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B5B0C">
      <w:pPr>
        <w:ind w:firstLine="723"/>
        <w:jc w:val="center"/>
        <w:rPr>
          <w:b/>
          <w:bCs/>
          <w:color w:val="000000" w:themeColor="text1"/>
          <w:sz w:val="36"/>
          <w:szCs w:val="36"/>
          <w14:textFill>
            <w14:solidFill>
              <w14:schemeClr w14:val="tx1"/>
            </w14:solidFill>
          </w14:textFill>
        </w:rPr>
      </w:pPr>
      <w:bookmarkStart w:id="0" w:name="_Hlk162644285"/>
      <w:bookmarkEnd w:id="0"/>
      <w:bookmarkStart w:id="1" w:name="_Toc471982321"/>
      <w:bookmarkStart w:id="761" w:name="_GoBack"/>
      <w:bookmarkEnd w:id="761"/>
    </w:p>
    <w:p w14:paraId="7550949A">
      <w:pPr>
        <w:ind w:firstLine="723"/>
        <w:jc w:val="center"/>
        <w:rPr>
          <w:b/>
          <w:bCs/>
          <w:color w:val="000000" w:themeColor="text1"/>
          <w:sz w:val="36"/>
          <w:szCs w:val="36"/>
          <w14:textFill>
            <w14:solidFill>
              <w14:schemeClr w14:val="tx1"/>
            </w14:solidFill>
          </w14:textFill>
        </w:rPr>
      </w:pPr>
    </w:p>
    <w:p w14:paraId="2F61CF75">
      <w:pPr>
        <w:ind w:firstLine="803"/>
        <w:jc w:val="center"/>
        <w:rPr>
          <w:b/>
          <w:bCs/>
          <w:color w:val="000000" w:themeColor="text1"/>
          <w:sz w:val="40"/>
          <w:szCs w:val="40"/>
          <w14:textFill>
            <w14:solidFill>
              <w14:schemeClr w14:val="tx1"/>
            </w14:solidFill>
          </w14:textFill>
        </w:rPr>
      </w:pPr>
    </w:p>
    <w:p w14:paraId="56608A8D">
      <w:pPr>
        <w:autoSpaceDE/>
        <w:autoSpaceDN/>
        <w:spacing w:line="240" w:lineRule="auto"/>
        <w:ind w:firstLine="0" w:firstLineChars="0"/>
        <w:jc w:val="center"/>
        <w:rPr>
          <w:b/>
          <w:bCs/>
          <w:color w:val="000000" w:themeColor="text1"/>
          <w:kern w:val="2"/>
          <w:sz w:val="44"/>
          <w:szCs w:val="44"/>
          <w:lang w:val="zh-CN" w:bidi="zh-CN"/>
          <w14:textFill>
            <w14:solidFill>
              <w14:schemeClr w14:val="tx1"/>
            </w14:solidFill>
          </w14:textFill>
        </w:rPr>
      </w:pPr>
      <w:r>
        <w:rPr>
          <w:b/>
          <w:bCs/>
          <w:color w:val="000000" w:themeColor="text1"/>
          <w:kern w:val="2"/>
          <w:sz w:val="44"/>
          <w:szCs w:val="44"/>
          <w:lang w:val="zh-CN" w:bidi="zh-CN"/>
          <w14:textFill>
            <w14:solidFill>
              <w14:schemeClr w14:val="tx1"/>
            </w14:solidFill>
          </w14:textFill>
        </w:rPr>
        <w:t>新疆华瑞化工技术有限公司</w:t>
      </w:r>
    </w:p>
    <w:p w14:paraId="50B03543">
      <w:pPr>
        <w:autoSpaceDE/>
        <w:autoSpaceDN/>
        <w:spacing w:line="240" w:lineRule="auto"/>
        <w:ind w:firstLine="0" w:firstLineChars="0"/>
        <w:jc w:val="center"/>
        <w:rPr>
          <w:b/>
          <w:bCs/>
          <w:color w:val="000000" w:themeColor="text1"/>
          <w:kern w:val="2"/>
          <w:sz w:val="44"/>
          <w:szCs w:val="44"/>
          <w:lang w:val="zh-CN" w:bidi="zh-CN"/>
          <w14:textFill>
            <w14:solidFill>
              <w14:schemeClr w14:val="tx1"/>
            </w14:solidFill>
          </w14:textFill>
        </w:rPr>
      </w:pPr>
      <w:r>
        <w:rPr>
          <w:b/>
          <w:bCs/>
          <w:color w:val="000000" w:themeColor="text1"/>
          <w:kern w:val="2"/>
          <w:sz w:val="44"/>
          <w:szCs w:val="44"/>
          <w:lang w:val="zh-CN" w:bidi="zh-CN"/>
          <w14:textFill>
            <w14:solidFill>
              <w14:schemeClr w14:val="tx1"/>
            </w14:solidFill>
          </w14:textFill>
        </w:rPr>
        <w:t>甘泉堡经开区华瑞化工年产5万吨工业废盐回收项目</w:t>
      </w:r>
    </w:p>
    <w:p w14:paraId="12F836B7">
      <w:pPr>
        <w:autoSpaceDE/>
        <w:autoSpaceDN/>
        <w:spacing w:line="240" w:lineRule="auto"/>
        <w:ind w:firstLine="0" w:firstLineChars="0"/>
        <w:jc w:val="center"/>
        <w:rPr>
          <w:b/>
          <w:bCs/>
          <w:color w:val="000000" w:themeColor="text1"/>
          <w:kern w:val="2"/>
          <w:sz w:val="44"/>
          <w:szCs w:val="44"/>
          <w:lang w:val="zh-CN" w:bidi="zh-CN"/>
          <w14:textFill>
            <w14:solidFill>
              <w14:schemeClr w14:val="tx1"/>
            </w14:solidFill>
          </w14:textFill>
        </w:rPr>
      </w:pPr>
    </w:p>
    <w:p w14:paraId="5757C91F">
      <w:pPr>
        <w:ind w:firstLine="0" w:firstLineChars="0"/>
        <w:jc w:val="center"/>
        <w:rPr>
          <w:b/>
          <w:bCs/>
          <w:color w:val="000000" w:themeColor="text1"/>
          <w:sz w:val="96"/>
          <w:szCs w:val="96"/>
          <w14:textFill>
            <w14:solidFill>
              <w14:schemeClr w14:val="tx1"/>
            </w14:solidFill>
          </w14:textFill>
        </w:rPr>
      </w:pPr>
      <w:r>
        <w:rPr>
          <w:b/>
          <w:bCs/>
          <w:color w:val="000000" w:themeColor="text1"/>
          <w:sz w:val="96"/>
          <w:szCs w:val="96"/>
          <w14:textFill>
            <w14:solidFill>
              <w14:schemeClr w14:val="tx1"/>
            </w14:solidFill>
          </w14:textFill>
        </w:rPr>
        <w:t>环境影响报告书</w:t>
      </w:r>
    </w:p>
    <w:p w14:paraId="5DCB7E68">
      <w:pPr>
        <w:ind w:firstLine="0" w:firstLineChars="0"/>
        <w:jc w:val="center"/>
        <w:rPr>
          <w:color w:val="000000" w:themeColor="text1"/>
          <w14:textFill>
            <w14:solidFill>
              <w14:schemeClr w14:val="tx1"/>
            </w14:solidFill>
          </w14:textFill>
        </w:rPr>
      </w:pPr>
      <w:r>
        <w:rPr>
          <w:b/>
          <w:color w:val="000000" w:themeColor="text1"/>
          <w:sz w:val="32"/>
          <w14:textFill>
            <w14:solidFill>
              <w14:schemeClr w14:val="tx1"/>
            </w14:solidFill>
          </w14:textFill>
        </w:rPr>
        <w:t>（送审版）</w:t>
      </w:r>
    </w:p>
    <w:p w14:paraId="62BD34F2">
      <w:pPr>
        <w:pStyle w:val="28"/>
        <w:ind w:firstLine="480"/>
        <w:rPr>
          <w:rFonts w:ascii="Times New Roman" w:cs="Times New Roman"/>
          <w:color w:val="000000" w:themeColor="text1"/>
          <w14:textFill>
            <w14:solidFill>
              <w14:schemeClr w14:val="tx1"/>
            </w14:solidFill>
          </w14:textFill>
        </w:rPr>
      </w:pPr>
    </w:p>
    <w:p w14:paraId="0FA5079A">
      <w:pPr>
        <w:pStyle w:val="75"/>
        <w:spacing w:after="0"/>
        <w:ind w:left="0" w:leftChars="0" w:firstLine="0" w:firstLineChars="0"/>
        <w:rPr>
          <w:color w:val="000000" w:themeColor="text1"/>
          <w14:textFill>
            <w14:solidFill>
              <w14:schemeClr w14:val="tx1"/>
            </w14:solidFill>
          </w14:textFill>
        </w:rPr>
      </w:pPr>
    </w:p>
    <w:p w14:paraId="492150B3">
      <w:pPr>
        <w:pStyle w:val="74"/>
        <w:ind w:firstLine="0" w:firstLineChars="0"/>
        <w:rPr>
          <w:color w:val="000000" w:themeColor="text1"/>
          <w14:textFill>
            <w14:solidFill>
              <w14:schemeClr w14:val="tx1"/>
            </w14:solidFill>
          </w14:textFill>
        </w:rPr>
      </w:pPr>
    </w:p>
    <w:p w14:paraId="1E21ADE2">
      <w:pPr>
        <w:pStyle w:val="74"/>
        <w:ind w:firstLine="0" w:firstLineChars="0"/>
        <w:rPr>
          <w:color w:val="000000" w:themeColor="text1"/>
          <w14:textFill>
            <w14:solidFill>
              <w14:schemeClr w14:val="tx1"/>
            </w14:solidFill>
          </w14:textFill>
        </w:rPr>
      </w:pPr>
    </w:p>
    <w:p w14:paraId="0D187C30">
      <w:pPr>
        <w:pStyle w:val="74"/>
        <w:ind w:firstLine="0" w:firstLineChars="0"/>
        <w:jc w:val="center"/>
        <w:rPr>
          <w:b/>
          <w:bCs/>
          <w:color w:val="000000" w:themeColor="text1"/>
          <w14:textFill>
            <w14:solidFill>
              <w14:schemeClr w14:val="tx1"/>
            </w14:solidFill>
          </w14:textFill>
        </w:rPr>
      </w:pPr>
    </w:p>
    <w:p w14:paraId="7F61030B">
      <w:pPr>
        <w:pStyle w:val="74"/>
        <w:ind w:firstLine="0" w:firstLineChars="0"/>
        <w:jc w:val="center"/>
        <w:rPr>
          <w:b/>
          <w:bCs/>
          <w:color w:val="000000" w:themeColor="text1"/>
          <w14:textFill>
            <w14:solidFill>
              <w14:schemeClr w14:val="tx1"/>
            </w14:solidFill>
          </w14:textFill>
        </w:rPr>
      </w:pPr>
    </w:p>
    <w:p w14:paraId="47BEB362">
      <w:pPr>
        <w:pStyle w:val="74"/>
        <w:ind w:firstLine="0" w:firstLineChars="0"/>
        <w:jc w:val="center"/>
        <w:rPr>
          <w:b/>
          <w:bCs/>
          <w:color w:val="000000" w:themeColor="text1"/>
          <w14:textFill>
            <w14:solidFill>
              <w14:schemeClr w14:val="tx1"/>
            </w14:solidFill>
          </w14:textFill>
        </w:rPr>
      </w:pPr>
    </w:p>
    <w:p w14:paraId="79F49023">
      <w:pPr>
        <w:pStyle w:val="74"/>
        <w:ind w:firstLine="0" w:firstLineChars="0"/>
        <w:jc w:val="center"/>
        <w:rPr>
          <w:b/>
          <w:bCs/>
          <w:color w:val="000000" w:themeColor="text1"/>
          <w14:textFill>
            <w14:solidFill>
              <w14:schemeClr w14:val="tx1"/>
            </w14:solidFill>
          </w14:textFill>
        </w:rPr>
      </w:pPr>
    </w:p>
    <w:p w14:paraId="364A913E">
      <w:pPr>
        <w:pStyle w:val="74"/>
        <w:spacing w:after="0"/>
        <w:ind w:firstLine="0" w:firstLineChars="0"/>
        <w:jc w:val="center"/>
        <w:rPr>
          <w:b/>
          <w:bCs/>
          <w:color w:val="000000" w:themeColor="text1"/>
          <w:sz w:val="28"/>
          <w:szCs w:val="28"/>
          <w:lang w:val="zh-CN" w:bidi="zh-CN"/>
          <w14:textFill>
            <w14:solidFill>
              <w14:schemeClr w14:val="tx1"/>
            </w14:solidFill>
          </w14:textFill>
        </w:rPr>
      </w:pPr>
    </w:p>
    <w:p w14:paraId="65B2BB2F">
      <w:pPr>
        <w:pStyle w:val="74"/>
        <w:spacing w:after="0"/>
        <w:ind w:firstLine="0" w:firstLineChars="0"/>
        <w:jc w:val="center"/>
        <w:rPr>
          <w:b/>
          <w:bCs/>
          <w:color w:val="000000" w:themeColor="text1"/>
          <w:sz w:val="28"/>
          <w:szCs w:val="28"/>
          <w:lang w:val="zh-CN" w:bidi="zh-CN"/>
          <w14:textFill>
            <w14:solidFill>
              <w14:schemeClr w14:val="tx1"/>
            </w14:solidFill>
          </w14:textFill>
        </w:rPr>
      </w:pPr>
      <w:r>
        <w:rPr>
          <w:b/>
          <w:bCs/>
          <w:color w:val="000000" w:themeColor="text1"/>
          <w:sz w:val="28"/>
          <w:szCs w:val="28"/>
          <w:lang w:val="zh-CN" w:bidi="zh-CN"/>
          <w14:textFill>
            <w14:solidFill>
              <w14:schemeClr w14:val="tx1"/>
            </w14:solidFill>
          </w14:textFill>
        </w:rPr>
        <w:t>委托单位：新疆华瑞化工技术有限公司</w:t>
      </w:r>
    </w:p>
    <w:p w14:paraId="14C3D4BE">
      <w:pPr>
        <w:pStyle w:val="74"/>
        <w:spacing w:after="0"/>
        <w:ind w:firstLine="0" w:firstLineChars="0"/>
        <w:jc w:val="center"/>
        <w:rPr>
          <w:b/>
          <w:bCs/>
          <w:color w:val="000000" w:themeColor="text1"/>
          <w:sz w:val="28"/>
          <w:szCs w:val="28"/>
          <w:lang w:val="zh-CN" w:bidi="zh-CN"/>
          <w14:textFill>
            <w14:solidFill>
              <w14:schemeClr w14:val="tx1"/>
            </w14:solidFill>
          </w14:textFill>
        </w:rPr>
      </w:pPr>
      <w:r>
        <w:rPr>
          <w:b/>
          <w:bCs/>
          <w:color w:val="000000" w:themeColor="text1"/>
          <w:sz w:val="28"/>
          <w:szCs w:val="28"/>
          <w:lang w:val="zh-CN" w:bidi="zh-CN"/>
          <w14:textFill>
            <w14:solidFill>
              <w14:schemeClr w14:val="tx1"/>
            </w14:solidFill>
          </w14:textFill>
        </w:rPr>
        <w:t>评价单位：新疆众智安环工程咨询服务有限公司</w:t>
      </w:r>
    </w:p>
    <w:p w14:paraId="37C52842">
      <w:pPr>
        <w:pStyle w:val="74"/>
        <w:spacing w:after="0"/>
        <w:ind w:firstLine="0" w:firstLineChars="0"/>
        <w:jc w:val="center"/>
        <w:rPr>
          <w:rFonts w:eastAsia="楷体_GB2312"/>
          <w:b/>
          <w:bCs/>
          <w:color w:val="000000" w:themeColor="text1"/>
          <w:sz w:val="44"/>
          <w14:textFill>
            <w14:solidFill>
              <w14:schemeClr w14:val="tx1"/>
            </w14:solidFill>
          </w14:textFill>
        </w:rPr>
      </w:pPr>
      <w:r>
        <w:rPr>
          <w:b/>
          <w:bCs/>
          <w:color w:val="000000" w:themeColor="text1"/>
          <w:sz w:val="28"/>
          <w:szCs w:val="28"/>
          <w:lang w:val="zh-CN" w:bidi="zh-CN"/>
          <w14:textFill>
            <w14:solidFill>
              <w14:schemeClr w14:val="tx1"/>
            </w14:solidFill>
          </w14:textFill>
        </w:rPr>
        <w:t>编制时间：2026年</w:t>
      </w:r>
      <w:r>
        <w:rPr>
          <w:rFonts w:hint="eastAsia"/>
          <w:b/>
          <w:bCs/>
          <w:color w:val="000000" w:themeColor="text1"/>
          <w:sz w:val="28"/>
          <w:szCs w:val="28"/>
          <w:lang w:val="zh-CN" w:bidi="zh-CN"/>
          <w14:textFill>
            <w14:solidFill>
              <w14:schemeClr w14:val="tx1"/>
            </w14:solidFill>
          </w14:textFill>
        </w:rPr>
        <w:t>4</w:t>
      </w:r>
      <w:r>
        <w:rPr>
          <w:b/>
          <w:bCs/>
          <w:color w:val="000000" w:themeColor="text1"/>
          <w:sz w:val="28"/>
          <w:szCs w:val="28"/>
          <w:lang w:val="zh-CN" w:bidi="zh-CN"/>
          <w14:textFill>
            <w14:solidFill>
              <w14:schemeClr w14:val="tx1"/>
            </w14:solidFill>
          </w14:textFill>
        </w:rPr>
        <w:t>月</w:t>
      </w:r>
      <w:r>
        <w:rPr>
          <w:rFonts w:eastAsia="楷体_GB2312"/>
          <w:b/>
          <w:bCs/>
          <w:color w:val="000000" w:themeColor="text1"/>
          <w:sz w:val="44"/>
          <w14:textFill>
            <w14:solidFill>
              <w14:schemeClr w14:val="tx1"/>
            </w14:solidFill>
          </w14:textFill>
        </w:rPr>
        <w:br w:type="page"/>
      </w:r>
    </w:p>
    <w:p w14:paraId="21A63E66">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type w:val="nextColumn"/>
          <w:pgSz w:w="11906" w:h="16838"/>
          <w:pgMar w:top="1418" w:right="1247" w:bottom="1418" w:left="1247" w:header="964" w:footer="964" w:gutter="0"/>
          <w:cols w:space="720" w:num="1"/>
          <w:docGrid w:linePitch="312" w:charSpace="0"/>
        </w:sectPr>
      </w:pPr>
    </w:p>
    <w:p w14:paraId="2292E893">
      <w:pPr>
        <w:keepNext/>
        <w:keepLines/>
        <w:ind w:firstLine="0" w:firstLineChars="0"/>
        <w:jc w:val="center"/>
        <w:outlineLvl w:val="0"/>
        <w:rPr>
          <w:color w:val="000000" w:themeColor="text1"/>
          <w14:textFill>
            <w14:solidFill>
              <w14:schemeClr w14:val="tx1"/>
            </w14:solidFill>
          </w14:textFill>
        </w:rPr>
      </w:pPr>
      <w:bookmarkStart w:id="2" w:name="_Toc516660283"/>
      <w:bookmarkStart w:id="3" w:name="_Toc516678359"/>
      <w:bookmarkStart w:id="4" w:name="_Toc516660771"/>
      <w:bookmarkStart w:id="5" w:name="_Toc533789913"/>
      <w:bookmarkStart w:id="6" w:name="_Toc516660047"/>
      <w:bookmarkStart w:id="7" w:name="_Toc24964214"/>
      <w:bookmarkStart w:id="8" w:name="_Toc225268267"/>
      <w:bookmarkStart w:id="9" w:name="_Toc519502064"/>
      <w:bookmarkStart w:id="10" w:name="_Toc23415183"/>
      <w:r>
        <w:rPr>
          <w:rFonts w:eastAsia="楷体_GB2312"/>
          <w:b/>
          <w:bCs/>
          <w:color w:val="000000" w:themeColor="text1"/>
          <w:kern w:val="44"/>
          <w:sz w:val="44"/>
          <w:szCs w:val="44"/>
          <w14:textFill>
            <w14:solidFill>
              <w14:schemeClr w14:val="tx1"/>
            </w14:solidFill>
          </w14:textFill>
        </w:rPr>
        <w:t>目  录</w:t>
      </w:r>
      <w:bookmarkEnd w:id="2"/>
      <w:bookmarkEnd w:id="3"/>
      <w:bookmarkEnd w:id="4"/>
      <w:bookmarkEnd w:id="5"/>
      <w:bookmarkEnd w:id="6"/>
      <w:bookmarkEnd w:id="7"/>
      <w:bookmarkEnd w:id="8"/>
      <w:bookmarkEnd w:id="9"/>
      <w:bookmarkEnd w:id="10"/>
      <w:r>
        <w:rPr>
          <w:rFonts w:eastAsia="仿宋"/>
          <w:color w:val="000000" w:themeColor="text1"/>
          <w14:textFill>
            <w14:solidFill>
              <w14:schemeClr w14:val="tx1"/>
            </w14:solidFill>
          </w14:textFill>
        </w:rPr>
        <w:fldChar w:fldCharType="begin"/>
      </w:r>
      <w:r>
        <w:rPr>
          <w:rFonts w:eastAsia="仿宋"/>
          <w:color w:val="000000" w:themeColor="text1"/>
          <w14:textFill>
            <w14:solidFill>
              <w14:schemeClr w14:val="tx1"/>
            </w14:solidFill>
          </w14:textFill>
        </w:rPr>
        <w:instrText xml:space="preserve"> TOC \o "1-2" \h \z \u </w:instrText>
      </w:r>
      <w:r>
        <w:rPr>
          <w:rFonts w:eastAsia="仿宋"/>
          <w:color w:val="000000" w:themeColor="text1"/>
          <w14:textFill>
            <w14:solidFill>
              <w14:schemeClr w14:val="tx1"/>
            </w14:solidFill>
          </w14:textFill>
        </w:rPr>
        <w:fldChar w:fldCharType="separate"/>
      </w:r>
    </w:p>
    <w:p w14:paraId="54835B51">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"_Toc225268267" </w:instrText>
      </w:r>
      <w:r>
        <w:fldChar w:fldCharType="separate"/>
      </w:r>
      <w:r>
        <w:rPr>
          <w:rStyle w:val="93"/>
          <w:rFonts w:hint="eastAsia" w:eastAsia="楷体_GB2312"/>
          <w:b/>
          <w:bCs/>
          <w:color w:val="000000" w:themeColor="text1"/>
          <w:kern w:val="44"/>
          <w14:textFill>
            <w14:solidFill>
              <w14:schemeClr w14:val="tx1"/>
            </w14:solidFill>
          </w14:textFill>
        </w:rPr>
        <w:t>目  录</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_Toc225268267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I</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E5326A4">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"_Toc225268268" </w:instrText>
      </w:r>
      <w:r>
        <w:fldChar w:fldCharType="separate"/>
      </w:r>
      <w:r>
        <w:rPr>
          <w:rStyle w:val="93"/>
          <w:rFonts w:hint="eastAsia" w:hAnsi="黑体"/>
          <w:bCs/>
          <w:color w:val="000000" w:themeColor="text1"/>
          <w14:textFill>
            <w14:solidFill>
              <w14:schemeClr w14:val="tx1"/>
            </w14:solidFill>
          </w14:textFill>
        </w:rPr>
        <w:t>1.</w:t>
      </w:r>
      <w:r>
        <w:rPr>
          <w:rStyle w:val="93"/>
          <w:rFonts w:hint="eastAsia"/>
          <w:color w:val="000000" w:themeColor="text1"/>
          <w14:textFill>
            <w14:solidFill>
              <w14:schemeClr w14:val="tx1"/>
            </w14:solidFill>
          </w14:textFill>
        </w:rPr>
        <w:t xml:space="preserve"> 概述</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_Toc225268268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6FE30DA">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"_Toc225268269" </w:instrText>
      </w:r>
      <w:r>
        <w:fldChar w:fldCharType="separate"/>
      </w:r>
      <w:r>
        <w:rPr>
          <w:rStyle w:val="93"/>
          <w:rFonts w:hint="eastAsia" w:hAnsi="黑体"/>
          <w:color w:val="000000" w:themeColor="text1"/>
          <w14:textFill>
            <w14:solidFill>
              <w14:schemeClr w14:val="tx1"/>
            </w14:solidFill>
          </w14:textFill>
        </w:rPr>
        <w:t>1.1.</w:t>
      </w:r>
      <w:r>
        <w:rPr>
          <w:rStyle w:val="93"/>
          <w:rFonts w:hint="eastAsia"/>
          <w:color w:val="000000" w:themeColor="text1"/>
          <w14:textFill>
            <w14:solidFill>
              <w14:schemeClr w14:val="tx1"/>
            </w14:solidFill>
          </w14:textFill>
        </w:rPr>
        <w:t xml:space="preserve"> 建设项目背景及其特点</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_Toc225268269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0A4FBC7">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"_Toc225268270" </w:instrText>
      </w:r>
      <w:r>
        <w:fldChar w:fldCharType="separate"/>
      </w:r>
      <w:r>
        <w:rPr>
          <w:rStyle w:val="93"/>
          <w:rFonts w:hint="eastAsia" w:hAnsi="黑体"/>
          <w:color w:val="000000" w:themeColor="text1"/>
          <w14:textFill>
            <w14:solidFill>
              <w14:schemeClr w14:val="tx1"/>
            </w14:solidFill>
          </w14:textFill>
        </w:rPr>
        <w:t>1.2.</w:t>
      </w:r>
      <w:r>
        <w:rPr>
          <w:rStyle w:val="93"/>
          <w:rFonts w:hint="eastAsia"/>
          <w:color w:val="000000" w:themeColor="text1"/>
          <w14:textFill>
            <w14:solidFill>
              <w14:schemeClr w14:val="tx1"/>
            </w14:solidFill>
          </w14:textFill>
        </w:rPr>
        <w:t xml:space="preserve"> 环境影响评价工作过程</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45BE04E">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"_Toc225268271" </w:instrText>
      </w:r>
      <w:r>
        <w:fldChar w:fldCharType="separate"/>
      </w:r>
      <w:r>
        <w:rPr>
          <w:rStyle w:val="93"/>
          <w:rFonts w:hint="eastAsia" w:hAnsi="黑体"/>
          <w:color w:val="000000" w:themeColor="text1"/>
          <w14:textFill>
            <w14:solidFill>
              <w14:schemeClr w14:val="tx1"/>
            </w14:solidFill>
          </w14:textFill>
        </w:rPr>
        <w:t>1.3.</w:t>
      </w:r>
      <w:r>
        <w:rPr>
          <w:rStyle w:val="93"/>
          <w:rFonts w:hint="eastAsia"/>
          <w:color w:val="000000" w:themeColor="text1"/>
          <w14:textFill>
            <w14:solidFill>
              <w14:schemeClr w14:val="tx1"/>
            </w14:solidFill>
          </w14:textFill>
        </w:rPr>
        <w:t>分析判定相关情况</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3B8D01A">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"_Toc225268272" </w:instrText>
      </w:r>
      <w:r>
        <w:fldChar w:fldCharType="separate"/>
      </w:r>
      <w:r>
        <w:rPr>
          <w:rStyle w:val="93"/>
          <w:rFonts w:hint="eastAsia" w:hAnsi="黑体"/>
          <w:color w:val="000000" w:themeColor="text1"/>
          <w14:textFill>
            <w14:solidFill>
              <w14:schemeClr w14:val="tx1"/>
            </w14:solidFill>
          </w14:textFill>
        </w:rPr>
        <w:t>1.4.</w:t>
      </w:r>
      <w:r>
        <w:rPr>
          <w:rStyle w:val="93"/>
          <w:rFonts w:hint="eastAsia"/>
          <w:color w:val="000000" w:themeColor="text1"/>
          <w14:textFill>
            <w14:solidFill>
              <w14:schemeClr w14:val="tx1"/>
            </w14:solidFill>
          </w14:textFill>
        </w:rPr>
        <w:t xml:space="preserve"> 关注的主要环境问题</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4143F07">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"_Toc225268273" </w:instrText>
      </w:r>
      <w:r>
        <w:fldChar w:fldCharType="separate"/>
      </w:r>
      <w:r>
        <w:rPr>
          <w:rStyle w:val="93"/>
          <w:rFonts w:hint="eastAsia" w:hAnsi="黑体"/>
          <w:color w:val="000000" w:themeColor="text1"/>
          <w14:textFill>
            <w14:solidFill>
              <w14:schemeClr w14:val="tx1"/>
            </w14:solidFill>
          </w14:textFill>
        </w:rPr>
        <w:t>1.5.</w:t>
      </w:r>
      <w:r>
        <w:rPr>
          <w:rStyle w:val="93"/>
          <w:rFonts w:hint="eastAsia"/>
          <w:color w:val="000000" w:themeColor="text1"/>
          <w14:textFill>
            <w14:solidFill>
              <w14:schemeClr w14:val="tx1"/>
            </w14:solidFill>
          </w14:textFill>
        </w:rPr>
        <w:t xml:space="preserve"> 环境影响评价的主要结论</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7C2B142">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"_Toc225268274" </w:instrText>
      </w:r>
      <w:r>
        <w:fldChar w:fldCharType="separate"/>
      </w:r>
      <w:r>
        <w:rPr>
          <w:rStyle w:val="93"/>
          <w:rFonts w:hint="eastAsia" w:hAnsi="黑体"/>
          <w:bCs/>
          <w:color w:val="000000" w:themeColor="text1"/>
          <w14:textFill>
            <w14:solidFill>
              <w14:schemeClr w14:val="tx1"/>
            </w14:solidFill>
          </w14:textFill>
        </w:rPr>
        <w:t>2.</w:t>
      </w:r>
      <w:r>
        <w:rPr>
          <w:rStyle w:val="93"/>
          <w:rFonts w:hint="eastAsia"/>
          <w:color w:val="000000" w:themeColor="text1"/>
          <w14:textFill>
            <w14:solidFill>
              <w14:schemeClr w14:val="tx1"/>
            </w14:solidFill>
          </w14:textFill>
        </w:rPr>
        <w:t xml:space="preserve"> 总论</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316EFEB">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"_Toc225268275" </w:instrText>
      </w:r>
      <w:r>
        <w:fldChar w:fldCharType="separate"/>
      </w:r>
      <w:r>
        <w:rPr>
          <w:rStyle w:val="93"/>
          <w:rFonts w:hint="eastAsia" w:hAnsi="黑体"/>
          <w:color w:val="000000" w:themeColor="text1"/>
          <w14:textFill>
            <w14:solidFill>
              <w14:schemeClr w14:val="tx1"/>
            </w14:solidFill>
          </w14:textFill>
        </w:rPr>
        <w:t>2.1.</w:t>
      </w:r>
      <w:r>
        <w:rPr>
          <w:rStyle w:val="93"/>
          <w:rFonts w:hint="eastAsia"/>
          <w:color w:val="000000" w:themeColor="text1"/>
          <w14:textFill>
            <w14:solidFill>
              <w14:schemeClr w14:val="tx1"/>
            </w14:solidFill>
          </w14:textFill>
        </w:rPr>
        <w:t xml:space="preserve"> 编制依据</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1FED407">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"_Toc225268276" </w:instrText>
      </w:r>
      <w:r>
        <w:fldChar w:fldCharType="separate"/>
      </w:r>
      <w:r>
        <w:rPr>
          <w:rStyle w:val="93"/>
          <w:rFonts w:hint="eastAsia" w:hAnsi="黑体"/>
          <w:color w:val="000000" w:themeColor="text1"/>
          <w14:textFill>
            <w14:solidFill>
              <w14:schemeClr w14:val="tx1"/>
            </w14:solidFill>
          </w14:textFill>
        </w:rPr>
        <w:t>2.2.</w:t>
      </w:r>
      <w:r>
        <w:rPr>
          <w:rStyle w:val="93"/>
          <w:rFonts w:hint="eastAsia"/>
          <w:color w:val="000000" w:themeColor="text1"/>
          <w14:textFill>
            <w14:solidFill>
              <w14:schemeClr w14:val="tx1"/>
            </w14:solidFill>
          </w14:textFill>
        </w:rPr>
        <w:t xml:space="preserve"> 评价目的、指导思想与评价重点</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818D939">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"_Toc225268277" </w:instrText>
      </w:r>
      <w:r>
        <w:fldChar w:fldCharType="separate"/>
      </w:r>
      <w:r>
        <w:rPr>
          <w:rStyle w:val="93"/>
          <w:rFonts w:hint="eastAsia" w:hAnsi="黑体"/>
          <w:color w:val="000000" w:themeColor="text1"/>
          <w14:textFill>
            <w14:solidFill>
              <w14:schemeClr w14:val="tx1"/>
            </w14:solidFill>
          </w14:textFill>
        </w:rPr>
        <w:t>2.3.</w:t>
      </w:r>
      <w:r>
        <w:rPr>
          <w:rStyle w:val="93"/>
          <w:rFonts w:hint="eastAsia"/>
          <w:color w:val="000000" w:themeColor="text1"/>
          <w14:textFill>
            <w14:solidFill>
              <w14:schemeClr w14:val="tx1"/>
            </w14:solidFill>
          </w14:textFill>
        </w:rPr>
        <w:t xml:space="preserve"> 环境影响因子的识别和筛选</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C5240E4">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"_Toc225268278" </w:instrText>
      </w:r>
      <w:r>
        <w:fldChar w:fldCharType="separate"/>
      </w:r>
      <w:r>
        <w:rPr>
          <w:rStyle w:val="93"/>
          <w:rFonts w:hint="eastAsia" w:hAnsi="黑体"/>
          <w:color w:val="000000" w:themeColor="text1"/>
          <w14:textFill>
            <w14:solidFill>
              <w14:schemeClr w14:val="tx1"/>
            </w14:solidFill>
          </w14:textFill>
        </w:rPr>
        <w:t>2.4.</w:t>
      </w:r>
      <w:r>
        <w:rPr>
          <w:rStyle w:val="93"/>
          <w:rFonts w:hint="eastAsia"/>
          <w:color w:val="000000" w:themeColor="text1"/>
          <w14:textFill>
            <w14:solidFill>
              <w14:schemeClr w14:val="tx1"/>
            </w14:solidFill>
          </w14:textFill>
        </w:rPr>
        <w:t xml:space="preserve"> 评价工作等级与评价范围</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A9034D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"_Toc225268279" </w:instrText>
      </w:r>
      <w:r>
        <w:fldChar w:fldCharType="separate"/>
      </w:r>
      <w:r>
        <w:rPr>
          <w:rStyle w:val="93"/>
          <w:rFonts w:hint="eastAsia" w:hAnsi="黑体"/>
          <w:color w:val="000000" w:themeColor="text1"/>
          <w14:textFill>
            <w14:solidFill>
              <w14:schemeClr w14:val="tx1"/>
            </w14:solidFill>
          </w14:textFill>
        </w:rPr>
        <w:t>2.5.</w:t>
      </w:r>
      <w:r>
        <w:rPr>
          <w:rStyle w:val="93"/>
          <w:rFonts w:hint="eastAsia"/>
          <w:color w:val="000000" w:themeColor="text1"/>
          <w14:textFill>
            <w14:solidFill>
              <w14:schemeClr w14:val="tx1"/>
            </w14:solidFill>
          </w14:textFill>
        </w:rPr>
        <w:t xml:space="preserve"> 环境功能区划与评价标准</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_Toc225268279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948A115">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"_Toc225268280" </w:instrText>
      </w:r>
      <w:r>
        <w:fldChar w:fldCharType="separate"/>
      </w:r>
      <w:r>
        <w:rPr>
          <w:rStyle w:val="93"/>
          <w:rFonts w:hint="eastAsia" w:hAnsi="黑体"/>
          <w:color w:val="000000" w:themeColor="text1"/>
          <w14:textFill>
            <w14:solidFill>
              <w14:schemeClr w14:val="tx1"/>
            </w14:solidFill>
          </w14:textFill>
        </w:rPr>
        <w:t>2.6.</w:t>
      </w:r>
      <w:r>
        <w:rPr>
          <w:rStyle w:val="93"/>
          <w:rFonts w:hint="eastAsia"/>
          <w:color w:val="000000" w:themeColor="text1"/>
          <w14:textFill>
            <w14:solidFill>
              <w14:schemeClr w14:val="tx1"/>
            </w14:solidFill>
          </w14:textFill>
        </w:rPr>
        <w:t xml:space="preserve"> 环境保护目标</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2586F34">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"_Toc225268281" </w:instrText>
      </w:r>
      <w:r>
        <w:fldChar w:fldCharType="separate"/>
      </w:r>
      <w:r>
        <w:rPr>
          <w:rStyle w:val="93"/>
          <w:rFonts w:hint="eastAsia" w:hAnsi="黑体"/>
          <w:bCs/>
          <w:color w:val="000000" w:themeColor="text1"/>
          <w14:textFill>
            <w14:solidFill>
              <w14:schemeClr w14:val="tx1"/>
            </w14:solidFill>
          </w14:textFill>
        </w:rPr>
        <w:t>3.</w:t>
      </w:r>
      <w:r>
        <w:rPr>
          <w:rStyle w:val="93"/>
          <w:rFonts w:hint="eastAsia"/>
          <w:color w:val="000000" w:themeColor="text1"/>
          <w14:textFill>
            <w14:solidFill>
              <w14:schemeClr w14:val="tx1"/>
            </w14:solidFill>
          </w14:textFill>
        </w:rPr>
        <w:t xml:space="preserve"> 在建项目工程分析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5AF1027">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"_Toc225268282" </w:instrText>
      </w:r>
      <w:r>
        <w:fldChar w:fldCharType="separate"/>
      </w:r>
      <w:r>
        <w:rPr>
          <w:rStyle w:val="93"/>
          <w:rFonts w:hint="eastAsia" w:hAnsi="黑体"/>
          <w:color w:val="000000" w:themeColor="text1"/>
          <w14:textFill>
            <w14:solidFill>
              <w14:schemeClr w14:val="tx1"/>
            </w14:solidFill>
          </w14:textFill>
        </w:rPr>
        <w:t>3.1.</w:t>
      </w:r>
      <w:r>
        <w:rPr>
          <w:rStyle w:val="93"/>
          <w:rFonts w:hint="eastAsia"/>
          <w:color w:val="000000" w:themeColor="text1"/>
          <w14:textFill>
            <w14:solidFill>
              <w14:schemeClr w14:val="tx1"/>
            </w14:solidFill>
          </w14:textFill>
        </w:rPr>
        <w:t xml:space="preserve"> 在建工程概况</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80BA872">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"_Toc225268283" </w:instrText>
      </w:r>
      <w:r>
        <w:fldChar w:fldCharType="separate"/>
      </w:r>
      <w:r>
        <w:rPr>
          <w:rStyle w:val="93"/>
          <w:rFonts w:hint="eastAsia" w:hAnsi="黑体"/>
          <w:color w:val="000000" w:themeColor="text1"/>
          <w14:textFill>
            <w14:solidFill>
              <w14:schemeClr w14:val="tx1"/>
            </w14:solidFill>
          </w14:textFill>
        </w:rPr>
        <w:t>3.2.</w:t>
      </w:r>
      <w:r>
        <w:rPr>
          <w:rStyle w:val="93"/>
          <w:rFonts w:hint="eastAsia"/>
          <w:color w:val="000000" w:themeColor="text1"/>
          <w14:textFill>
            <w14:solidFill>
              <w14:schemeClr w14:val="tx1"/>
            </w14:solidFill>
          </w14:textFill>
        </w:rPr>
        <w:t xml:space="preserve"> 在建项目三同时执行情况</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249F60E">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"_Toc225268284" </w:instrText>
      </w:r>
      <w:r>
        <w:fldChar w:fldCharType="separate"/>
      </w:r>
      <w:r>
        <w:rPr>
          <w:rStyle w:val="93"/>
          <w:rFonts w:hint="eastAsia" w:hAnsi="黑体"/>
          <w:color w:val="000000" w:themeColor="text1"/>
          <w14:textFill>
            <w14:solidFill>
              <w14:schemeClr w14:val="tx1"/>
            </w14:solidFill>
          </w14:textFill>
        </w:rPr>
        <w:t>3.3.</w:t>
      </w:r>
      <w:r>
        <w:rPr>
          <w:rStyle w:val="93"/>
          <w:rFonts w:hint="eastAsia"/>
          <w:color w:val="000000" w:themeColor="text1"/>
          <w14:textFill>
            <w14:solidFill>
              <w14:schemeClr w14:val="tx1"/>
            </w14:solidFill>
          </w14:textFill>
        </w:rPr>
        <w:t xml:space="preserve"> 在建项目工程组成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A714C5A">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"_Toc225268285" </w:instrText>
      </w:r>
      <w:r>
        <w:fldChar w:fldCharType="separate"/>
      </w:r>
      <w:r>
        <w:rPr>
          <w:rStyle w:val="93"/>
          <w:rFonts w:hint="eastAsia" w:hAnsi="黑体"/>
          <w:color w:val="000000" w:themeColor="text1"/>
          <w14:textFill>
            <w14:solidFill>
              <w14:schemeClr w14:val="tx1"/>
            </w14:solidFill>
          </w14:textFill>
        </w:rPr>
        <w:t>3.4.</w:t>
      </w:r>
      <w:r>
        <w:rPr>
          <w:rStyle w:val="93"/>
          <w:rFonts w:hint="eastAsia"/>
          <w:color w:val="000000" w:themeColor="text1"/>
          <w14:textFill>
            <w14:solidFill>
              <w14:schemeClr w14:val="tx1"/>
            </w14:solidFill>
          </w14:textFill>
        </w:rPr>
        <w:t xml:space="preserve"> 在建项目产品方案</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78B0DA8">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"_Toc225268286" </w:instrText>
      </w:r>
      <w:r>
        <w:fldChar w:fldCharType="separate"/>
      </w:r>
      <w:r>
        <w:rPr>
          <w:rStyle w:val="93"/>
          <w:rFonts w:hint="eastAsia" w:hAnsi="黑体"/>
          <w:color w:val="000000" w:themeColor="text1"/>
          <w14:textFill>
            <w14:solidFill>
              <w14:schemeClr w14:val="tx1"/>
            </w14:solidFill>
          </w14:textFill>
        </w:rPr>
        <w:t>3.5.</w:t>
      </w:r>
      <w:r>
        <w:rPr>
          <w:rStyle w:val="93"/>
          <w:rFonts w:hint="eastAsia"/>
          <w:color w:val="000000" w:themeColor="text1"/>
          <w14:textFill>
            <w14:solidFill>
              <w14:schemeClr w14:val="tx1"/>
            </w14:solidFill>
          </w14:textFill>
        </w:rPr>
        <w:t xml:space="preserve"> 在建工程原辅料消耗</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C97D4B3">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"_Toc225268287" </w:instrText>
      </w:r>
      <w:r>
        <w:fldChar w:fldCharType="separate"/>
      </w:r>
      <w:r>
        <w:rPr>
          <w:rStyle w:val="93"/>
          <w:rFonts w:hint="eastAsia" w:hAnsi="黑体"/>
          <w:color w:val="000000" w:themeColor="text1"/>
          <w14:textFill>
            <w14:solidFill>
              <w14:schemeClr w14:val="tx1"/>
            </w14:solidFill>
          </w14:textFill>
        </w:rPr>
        <w:t>3.6.</w:t>
      </w:r>
      <w:r>
        <w:rPr>
          <w:rStyle w:val="93"/>
          <w:rFonts w:hint="eastAsia"/>
          <w:color w:val="000000" w:themeColor="text1"/>
          <w14:textFill>
            <w14:solidFill>
              <w14:schemeClr w14:val="tx1"/>
            </w14:solidFill>
          </w14:textFill>
        </w:rPr>
        <w:t xml:space="preserve"> 在建工程工艺流程及产污环节</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7C7BBBB">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"_Toc225268288" </w:instrText>
      </w:r>
      <w:r>
        <w:fldChar w:fldCharType="separate"/>
      </w:r>
      <w:r>
        <w:rPr>
          <w:rStyle w:val="93"/>
          <w:rFonts w:hint="eastAsia" w:hAnsi="黑体"/>
          <w:color w:val="000000" w:themeColor="text1"/>
          <w14:textFill>
            <w14:solidFill>
              <w14:schemeClr w14:val="tx1"/>
            </w14:solidFill>
          </w14:textFill>
        </w:rPr>
        <w:t>3.7.</w:t>
      </w:r>
      <w:r>
        <w:rPr>
          <w:rStyle w:val="93"/>
          <w:rFonts w:hint="eastAsia"/>
          <w:color w:val="000000" w:themeColor="text1"/>
          <w14:textFill>
            <w14:solidFill>
              <w14:schemeClr w14:val="tx1"/>
            </w14:solidFill>
          </w14:textFill>
        </w:rPr>
        <w:t xml:space="preserve"> 在建工程公用工程和辅助工程</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479D391">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"_Toc225268289" </w:instrText>
      </w:r>
      <w:r>
        <w:fldChar w:fldCharType="separate"/>
      </w:r>
      <w:r>
        <w:rPr>
          <w:rStyle w:val="93"/>
          <w:rFonts w:hint="eastAsia" w:hAnsi="黑体"/>
          <w:color w:val="000000" w:themeColor="text1"/>
          <w14:textFill>
            <w14:solidFill>
              <w14:schemeClr w14:val="tx1"/>
            </w14:solidFill>
          </w14:textFill>
        </w:rPr>
        <w:t>3.8.</w:t>
      </w:r>
      <w:r>
        <w:rPr>
          <w:rStyle w:val="93"/>
          <w:rFonts w:hint="eastAsia"/>
          <w:color w:val="000000" w:themeColor="text1"/>
          <w14:textFill>
            <w14:solidFill>
              <w14:schemeClr w14:val="tx1"/>
            </w14:solidFill>
          </w14:textFill>
        </w:rPr>
        <w:t xml:space="preserve"> 在建工程主要污染源及达标分析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_Toc225268289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0B64B53">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"_Toc225268290" </w:instrText>
      </w:r>
      <w:r>
        <w:fldChar w:fldCharType="separate"/>
      </w:r>
      <w:r>
        <w:rPr>
          <w:rStyle w:val="93"/>
          <w:rFonts w:hint="eastAsia" w:hAnsi="黑体"/>
          <w:color w:val="000000" w:themeColor="text1"/>
          <w14:textFill>
            <w14:solidFill>
              <w14:schemeClr w14:val="tx1"/>
            </w14:solidFill>
          </w14:textFill>
        </w:rPr>
        <w:t>3.9.</w:t>
      </w:r>
      <w:r>
        <w:rPr>
          <w:rStyle w:val="93"/>
          <w:rFonts w:hint="eastAsia"/>
          <w:color w:val="000000" w:themeColor="text1"/>
          <w14:textFill>
            <w14:solidFill>
              <w14:schemeClr w14:val="tx1"/>
            </w14:solidFill>
          </w14:textFill>
        </w:rPr>
        <w:t xml:space="preserve"> 在建项目污染物排放汇总</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C748D56">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"_Toc225268291" </w:instrText>
      </w:r>
      <w:r>
        <w:fldChar w:fldCharType="separate"/>
      </w:r>
      <w:r>
        <w:rPr>
          <w:rStyle w:val="93"/>
          <w:rFonts w:hint="eastAsia" w:hAnsi="黑体"/>
          <w:color w:val="000000" w:themeColor="text1"/>
          <w14:textFill>
            <w14:solidFill>
              <w14:schemeClr w14:val="tx1"/>
            </w14:solidFill>
          </w14:textFill>
        </w:rPr>
        <w:t>3.10.</w:t>
      </w:r>
      <w:r>
        <w:rPr>
          <w:rStyle w:val="93"/>
          <w:rFonts w:hint="eastAsia"/>
          <w:color w:val="000000" w:themeColor="text1"/>
          <w14:textFill>
            <w14:solidFill>
              <w14:schemeClr w14:val="tx1"/>
            </w14:solidFill>
          </w14:textFill>
        </w:rPr>
        <w:t xml:space="preserve"> 在建工程与排污许可符合性分析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E5F0272">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"_Toc225268292" </w:instrText>
      </w:r>
      <w:r>
        <w:fldChar w:fldCharType="separate"/>
      </w:r>
      <w:r>
        <w:rPr>
          <w:rStyle w:val="93"/>
          <w:rFonts w:hint="eastAsia" w:hAnsi="黑体"/>
          <w:color w:val="000000" w:themeColor="text1"/>
          <w14:textFill>
            <w14:solidFill>
              <w14:schemeClr w14:val="tx1"/>
            </w14:solidFill>
          </w14:textFill>
        </w:rPr>
        <w:t>3.11.</w:t>
      </w:r>
      <w:r>
        <w:rPr>
          <w:rStyle w:val="93"/>
          <w:rFonts w:hint="eastAsia"/>
          <w:color w:val="000000" w:themeColor="text1"/>
          <w14:textFill>
            <w14:solidFill>
              <w14:schemeClr w14:val="tx1"/>
            </w14:solidFill>
          </w14:textFill>
        </w:rPr>
        <w:t xml:space="preserve"> 在建工程存在的主要环保问题及整改措施</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DED9FF7">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"_Toc225268293" </w:instrText>
      </w:r>
      <w:r>
        <w:fldChar w:fldCharType="separate"/>
      </w:r>
      <w:r>
        <w:rPr>
          <w:rStyle w:val="93"/>
          <w:rFonts w:hint="eastAsia" w:hAnsi="黑体"/>
          <w:bCs/>
          <w:color w:val="000000" w:themeColor="text1"/>
          <w14:textFill>
            <w14:solidFill>
              <w14:schemeClr w14:val="tx1"/>
            </w14:solidFill>
          </w14:textFill>
        </w:rPr>
        <w:t>4.</w:t>
      </w:r>
      <w:r>
        <w:rPr>
          <w:rStyle w:val="93"/>
          <w:rFonts w:hint="eastAsia"/>
          <w:color w:val="000000" w:themeColor="text1"/>
          <w14:textFill>
            <w14:solidFill>
              <w14:schemeClr w14:val="tx1"/>
            </w14:solidFill>
          </w14:textFill>
        </w:rPr>
        <w:t xml:space="preserve"> 拟建项目工程分析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01E8452">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"_Toc225268294" </w:instrText>
      </w:r>
      <w:r>
        <w:fldChar w:fldCharType="separate"/>
      </w:r>
      <w:r>
        <w:rPr>
          <w:rStyle w:val="93"/>
          <w:rFonts w:hint="eastAsia" w:hAnsi="黑体"/>
          <w:color w:val="000000" w:themeColor="text1"/>
          <w14:textFill>
            <w14:solidFill>
              <w14:schemeClr w14:val="tx1"/>
            </w14:solidFill>
          </w14:textFill>
        </w:rPr>
        <w:t>4.1.</w:t>
      </w:r>
      <w:r>
        <w:rPr>
          <w:rStyle w:val="93"/>
          <w:rFonts w:hint="eastAsia"/>
          <w:color w:val="000000" w:themeColor="text1"/>
          <w14:textFill>
            <w14:solidFill>
              <w14:schemeClr w14:val="tx1"/>
            </w14:solidFill>
          </w14:textFill>
        </w:rPr>
        <w:t xml:space="preserve"> 项目概况</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DC72377">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"_Toc225268295" </w:instrText>
      </w:r>
      <w:r>
        <w:fldChar w:fldCharType="separate"/>
      </w:r>
      <w:r>
        <w:rPr>
          <w:rStyle w:val="93"/>
          <w:rFonts w:hint="eastAsia" w:hAnsi="黑体"/>
          <w:color w:val="000000" w:themeColor="text1"/>
          <w14:textFill>
            <w14:solidFill>
              <w14:schemeClr w14:val="tx1"/>
            </w14:solidFill>
          </w14:textFill>
        </w:rPr>
        <w:t>4.2.</w:t>
      </w:r>
      <w:r>
        <w:rPr>
          <w:rStyle w:val="93"/>
          <w:rFonts w:hint="eastAsia"/>
          <w:color w:val="000000" w:themeColor="text1"/>
          <w14:textFill>
            <w14:solidFill>
              <w14:schemeClr w14:val="tx1"/>
            </w14:solidFill>
          </w14:textFill>
        </w:rPr>
        <w:t xml:space="preserve"> 建设内容与项目组成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3BA878CD">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"_Toc225268296" </w:instrText>
      </w:r>
      <w:r>
        <w:fldChar w:fldCharType="separate"/>
      </w:r>
      <w:r>
        <w:rPr>
          <w:rStyle w:val="93"/>
          <w:rFonts w:hint="eastAsia" w:hAnsi="黑体"/>
          <w:color w:val="000000" w:themeColor="text1"/>
          <w14:textFill>
            <w14:solidFill>
              <w14:schemeClr w14:val="tx1"/>
            </w14:solidFill>
          </w14:textFill>
        </w:rPr>
        <w:t>4.3.</w:t>
      </w:r>
      <w:r>
        <w:rPr>
          <w:rStyle w:val="93"/>
          <w:rFonts w:hint="eastAsia"/>
          <w:color w:val="000000" w:themeColor="text1"/>
          <w14:textFill>
            <w14:solidFill>
              <w14:schemeClr w14:val="tx1"/>
            </w14:solidFill>
          </w14:textFill>
        </w:rPr>
        <w:t xml:space="preserve"> 项目规模及产品方案</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92F31E1">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"_Toc225268297" </w:instrText>
      </w:r>
      <w:r>
        <w:fldChar w:fldCharType="separate"/>
      </w:r>
      <w:r>
        <w:rPr>
          <w:rStyle w:val="93"/>
          <w:rFonts w:hint="eastAsia" w:hAnsi="黑体"/>
          <w:color w:val="000000" w:themeColor="text1"/>
          <w14:textFill>
            <w14:solidFill>
              <w14:schemeClr w14:val="tx1"/>
            </w14:solidFill>
          </w14:textFill>
        </w:rPr>
        <w:t>4.4.</w:t>
      </w:r>
      <w:r>
        <w:rPr>
          <w:rStyle w:val="93"/>
          <w:rFonts w:hint="eastAsia"/>
          <w:color w:val="000000" w:themeColor="text1"/>
          <w14:textFill>
            <w14:solidFill>
              <w14:schemeClr w14:val="tx1"/>
            </w14:solidFill>
          </w14:textFill>
        </w:rPr>
        <w:t xml:space="preserve"> 项目占地及总图布置</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329963A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"_Toc225268298" </w:instrText>
      </w:r>
      <w:r>
        <w:fldChar w:fldCharType="separate"/>
      </w:r>
      <w:r>
        <w:rPr>
          <w:rStyle w:val="93"/>
          <w:rFonts w:hint="eastAsia" w:hAnsi="黑体"/>
          <w:color w:val="000000" w:themeColor="text1"/>
          <w14:textFill>
            <w14:solidFill>
              <w14:schemeClr w14:val="tx1"/>
            </w14:solidFill>
          </w14:textFill>
        </w:rPr>
        <w:t>4.5.</w:t>
      </w:r>
      <w:r>
        <w:rPr>
          <w:rStyle w:val="93"/>
          <w:rFonts w:hint="eastAsia"/>
          <w:color w:val="000000" w:themeColor="text1"/>
          <w14:textFill>
            <w14:solidFill>
              <w14:schemeClr w14:val="tx1"/>
            </w14:solidFill>
          </w14:textFill>
        </w:rPr>
        <w:t xml:space="preserve"> 主要设备选型及产能匹配性</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1919CA5">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"_Toc225268299" </w:instrText>
      </w:r>
      <w:r>
        <w:fldChar w:fldCharType="separate"/>
      </w:r>
      <w:r>
        <w:rPr>
          <w:rStyle w:val="93"/>
          <w:rFonts w:hint="eastAsia" w:hAnsi="黑体"/>
          <w:color w:val="000000" w:themeColor="text1"/>
          <w14:textFill>
            <w14:solidFill>
              <w14:schemeClr w14:val="tx1"/>
            </w14:solidFill>
          </w14:textFill>
        </w:rPr>
        <w:t>4.6.</w:t>
      </w:r>
      <w:r>
        <w:rPr>
          <w:rStyle w:val="93"/>
          <w:rFonts w:hint="eastAsia"/>
          <w:color w:val="000000" w:themeColor="text1"/>
          <w14:textFill>
            <w14:solidFill>
              <w14:schemeClr w14:val="tx1"/>
            </w14:solidFill>
          </w14:textFill>
        </w:rPr>
        <w:t xml:space="preserve"> 原辅材料及资源、能源消耗</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_Toc225268299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A3333A5">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"_Toc225268300" </w:instrText>
      </w:r>
      <w:r>
        <w:fldChar w:fldCharType="separate"/>
      </w:r>
      <w:r>
        <w:rPr>
          <w:rStyle w:val="93"/>
          <w:rFonts w:hint="eastAsia" w:hAnsi="黑体"/>
          <w:color w:val="000000" w:themeColor="text1"/>
          <w14:textFill>
            <w14:solidFill>
              <w14:schemeClr w14:val="tx1"/>
            </w14:solidFill>
          </w14:textFill>
        </w:rPr>
        <w:t>4.7.</w:t>
      </w:r>
      <w:r>
        <w:rPr>
          <w:rStyle w:val="93"/>
          <w:rFonts w:hint="eastAsia"/>
          <w:color w:val="000000" w:themeColor="text1"/>
          <w14:textFill>
            <w14:solidFill>
              <w14:schemeClr w14:val="tx1"/>
            </w14:solidFill>
          </w14:textFill>
        </w:rPr>
        <w:t xml:space="preserve"> 公用工程</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9510247">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"_Toc225268301" </w:instrText>
      </w:r>
      <w:r>
        <w:fldChar w:fldCharType="separate"/>
      </w:r>
      <w:r>
        <w:rPr>
          <w:rStyle w:val="93"/>
          <w:rFonts w:hint="eastAsia" w:hAnsi="黑体"/>
          <w:color w:val="000000" w:themeColor="text1"/>
          <w14:textFill>
            <w14:solidFill>
              <w14:schemeClr w14:val="tx1"/>
            </w14:solidFill>
          </w14:textFill>
        </w:rPr>
        <w:t>4.8.</w:t>
      </w:r>
      <w:r>
        <w:rPr>
          <w:rStyle w:val="93"/>
          <w:rFonts w:hint="eastAsia"/>
          <w:color w:val="000000" w:themeColor="text1"/>
          <w14:textFill>
            <w14:solidFill>
              <w14:schemeClr w14:val="tx1"/>
            </w14:solidFill>
          </w14:textFill>
        </w:rPr>
        <w:t xml:space="preserve"> 储运工程</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70</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3D1469E">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"_Toc225268302" </w:instrText>
      </w:r>
      <w:r>
        <w:fldChar w:fldCharType="separate"/>
      </w:r>
      <w:r>
        <w:rPr>
          <w:rStyle w:val="93"/>
          <w:rFonts w:hint="eastAsia" w:hAnsi="黑体"/>
          <w:color w:val="000000" w:themeColor="text1"/>
          <w14:textFill>
            <w14:solidFill>
              <w14:schemeClr w14:val="tx1"/>
            </w14:solidFill>
          </w14:textFill>
        </w:rPr>
        <w:t>4.9.</w:t>
      </w:r>
      <w:r>
        <w:rPr>
          <w:rStyle w:val="93"/>
          <w:rFonts w:hint="eastAsia"/>
          <w:color w:val="000000" w:themeColor="text1"/>
          <w14:textFill>
            <w14:solidFill>
              <w14:schemeClr w14:val="tx1"/>
            </w14:solidFill>
          </w14:textFill>
        </w:rPr>
        <w:t xml:space="preserve"> 工艺流程及产污环节分析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E8EF9A8">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"_Toc225268303" </w:instrText>
      </w:r>
      <w:r>
        <w:fldChar w:fldCharType="separate"/>
      </w:r>
      <w:r>
        <w:rPr>
          <w:rStyle w:val="93"/>
          <w:rFonts w:hint="eastAsia" w:hAnsi="黑体"/>
          <w:color w:val="000000" w:themeColor="text1"/>
          <w14:textFill>
            <w14:solidFill>
              <w14:schemeClr w14:val="tx1"/>
            </w14:solidFill>
          </w14:textFill>
        </w:rPr>
        <w:t>4.10.</w:t>
      </w:r>
      <w:r>
        <w:rPr>
          <w:rStyle w:val="93"/>
          <w:rFonts w:hint="eastAsia"/>
          <w:color w:val="000000" w:themeColor="text1"/>
          <w14:textFill>
            <w14:solidFill>
              <w14:schemeClr w14:val="tx1"/>
            </w14:solidFill>
          </w14:textFill>
        </w:rPr>
        <w:t xml:space="preserve"> 物料平衡</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E0C8F33">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"_Toc225268304" </w:instrText>
      </w:r>
      <w:r>
        <w:fldChar w:fldCharType="separate"/>
      </w:r>
      <w:r>
        <w:rPr>
          <w:rStyle w:val="93"/>
          <w:rFonts w:hint="eastAsia" w:hAnsi="黑体"/>
          <w:color w:val="000000" w:themeColor="text1"/>
          <w14:textFill>
            <w14:solidFill>
              <w14:schemeClr w14:val="tx1"/>
            </w14:solidFill>
          </w14:textFill>
        </w:rPr>
        <w:t>4.11.</w:t>
      </w:r>
      <w:r>
        <w:rPr>
          <w:rStyle w:val="93"/>
          <w:rFonts w:hint="eastAsia"/>
          <w:color w:val="000000" w:themeColor="text1"/>
          <w14:textFill>
            <w14:solidFill>
              <w14:schemeClr w14:val="tx1"/>
            </w14:solidFill>
          </w14:textFill>
        </w:rPr>
        <w:t xml:space="preserve"> 污染源核算</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2DE8A64">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"_Toc225268305" </w:instrText>
      </w:r>
      <w:r>
        <w:fldChar w:fldCharType="separate"/>
      </w:r>
      <w:r>
        <w:rPr>
          <w:rStyle w:val="93"/>
          <w:rFonts w:hint="eastAsia" w:hAnsi="黑体"/>
          <w:color w:val="000000" w:themeColor="text1"/>
          <w14:textFill>
            <w14:solidFill>
              <w14:schemeClr w14:val="tx1"/>
            </w14:solidFill>
          </w14:textFill>
        </w:rPr>
        <w:t>4.12.</w:t>
      </w:r>
      <w:r>
        <w:rPr>
          <w:rStyle w:val="93"/>
          <w:rFonts w:hint="eastAsia"/>
          <w:color w:val="000000" w:themeColor="text1"/>
          <w14:textFill>
            <w14:solidFill>
              <w14:schemeClr w14:val="tx1"/>
            </w14:solidFill>
          </w14:textFill>
        </w:rPr>
        <w:t xml:space="preserve"> 运输过程中的环境影响</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121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E7009B3">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"_Toc225268306" </w:instrText>
      </w:r>
      <w:r>
        <w:fldChar w:fldCharType="separate"/>
      </w:r>
      <w:r>
        <w:rPr>
          <w:rStyle w:val="93"/>
          <w:rFonts w:hint="eastAsia" w:hAnsi="黑体"/>
          <w:color w:val="000000" w:themeColor="text1"/>
          <w14:textFill>
            <w14:solidFill>
              <w14:schemeClr w14:val="tx1"/>
            </w14:solidFill>
          </w14:textFill>
        </w:rPr>
        <w:t>4.13.</w:t>
      </w:r>
      <w:r>
        <w:rPr>
          <w:rStyle w:val="93"/>
          <w:rFonts w:hint="eastAsia"/>
          <w:color w:val="000000" w:themeColor="text1"/>
          <w14:textFill>
            <w14:solidFill>
              <w14:schemeClr w14:val="tx1"/>
            </w14:solidFill>
          </w14:textFill>
        </w:rPr>
        <w:t xml:space="preserve"> 主要污染物排放汇总</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B30FD08">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"_Toc225268307" </w:instrText>
      </w:r>
      <w:r>
        <w:fldChar w:fldCharType="separate"/>
      </w:r>
      <w:r>
        <w:rPr>
          <w:rStyle w:val="93"/>
          <w:rFonts w:hint="eastAsia" w:hAnsi="黑体"/>
          <w:color w:val="000000" w:themeColor="text1"/>
          <w14:textFill>
            <w14:solidFill>
              <w14:schemeClr w14:val="tx1"/>
            </w14:solidFill>
          </w14:textFill>
        </w:rPr>
        <w:t>4.14.</w:t>
      </w:r>
      <w:r>
        <w:rPr>
          <w:rStyle w:val="93"/>
          <w:rFonts w:hint="eastAsia"/>
          <w:color w:val="000000" w:themeColor="text1"/>
          <w14:textFill>
            <w14:solidFill>
              <w14:schemeClr w14:val="tx1"/>
            </w14:solidFill>
          </w14:textFill>
        </w:rPr>
        <w:t xml:space="preserve"> 清洁生产分析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167F00E">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"_Toc225268308" </w:instrText>
      </w:r>
      <w:r>
        <w:fldChar w:fldCharType="separate"/>
      </w:r>
      <w:r>
        <w:rPr>
          <w:rStyle w:val="93"/>
          <w:rFonts w:hint="eastAsia" w:hAnsi="黑体"/>
          <w:bCs/>
          <w:color w:val="000000" w:themeColor="text1"/>
          <w14:textFill>
            <w14:solidFill>
              <w14:schemeClr w14:val="tx1"/>
            </w14:solidFill>
          </w14:textFill>
        </w:rPr>
        <w:t>5.</w:t>
      </w:r>
      <w:r>
        <w:rPr>
          <w:rStyle w:val="93"/>
          <w:rFonts w:hint="eastAsia"/>
          <w:color w:val="000000" w:themeColor="text1"/>
          <w14:textFill>
            <w14:solidFill>
              <w14:schemeClr w14:val="tx1"/>
            </w14:solidFill>
          </w14:textFill>
        </w:rPr>
        <w:t xml:space="preserve"> 区域环境概况及现状调查与评价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128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B70FBE4">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"_Toc225268309" </w:instrText>
      </w:r>
      <w:r>
        <w:fldChar w:fldCharType="separate"/>
      </w:r>
      <w:r>
        <w:rPr>
          <w:rStyle w:val="93"/>
          <w:rFonts w:hint="eastAsia" w:hAnsi="黑体"/>
          <w:color w:val="000000" w:themeColor="text1"/>
          <w:lang w:val="zh-CN"/>
          <w14:textFill>
            <w14:solidFill>
              <w14:schemeClr w14:val="tx1"/>
            </w14:solidFill>
          </w14:textFill>
        </w:rPr>
        <w:t>5.1.</w:t>
      </w:r>
      <w:r>
        <w:rPr>
          <w:rStyle w:val="93"/>
          <w:rFonts w:hint="eastAsia"/>
          <w:color w:val="000000" w:themeColor="text1"/>
          <w:lang w:val="zh-CN"/>
          <w14:textFill>
            <w14:solidFill>
              <w14:schemeClr w14:val="tx1"/>
            </w14:solidFill>
          </w14:textFill>
        </w:rPr>
        <w:t xml:space="preserve"> 自然环境概况</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_Toc225268309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128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87C1327">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"_Toc225268310" </w:instrText>
      </w:r>
      <w:r>
        <w:fldChar w:fldCharType="separate"/>
      </w:r>
      <w:r>
        <w:rPr>
          <w:rStyle w:val="93"/>
          <w:rFonts w:hint="eastAsia" w:hAnsi="黑体"/>
          <w:color w:val="000000" w:themeColor="text1"/>
          <w:lang w:val="zh-CN"/>
          <w14:textFill>
            <w14:solidFill>
              <w14:schemeClr w14:val="tx1"/>
            </w14:solidFill>
          </w14:textFill>
        </w:rPr>
        <w:t>5.2.</w:t>
      </w:r>
      <w:r>
        <w:rPr>
          <w:rStyle w:val="93"/>
          <w:rFonts w:hint="eastAsia"/>
          <w:color w:val="000000" w:themeColor="text1"/>
          <w:lang w:val="zh-CN"/>
          <w14:textFill>
            <w14:solidFill>
              <w14:schemeClr w14:val="tx1"/>
            </w14:solidFill>
          </w14:textFill>
        </w:rPr>
        <w:t xml:space="preserve"> 环境功能区划</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139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AF77C6D">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"_Toc225268311" </w:instrText>
      </w:r>
      <w:r>
        <w:fldChar w:fldCharType="separate"/>
      </w:r>
      <w:r>
        <w:rPr>
          <w:rStyle w:val="93"/>
          <w:rFonts w:hint="eastAsia" w:hAnsi="黑体"/>
          <w:color w:val="000000" w:themeColor="text1"/>
          <w:lang w:val="zh-CN"/>
          <w14:textFill>
            <w14:solidFill>
              <w14:schemeClr w14:val="tx1"/>
            </w14:solidFill>
          </w14:textFill>
        </w:rPr>
        <w:t>5.3.</w:t>
      </w:r>
      <w:r>
        <w:rPr>
          <w:rStyle w:val="93"/>
          <w:rFonts w:hint="eastAsia"/>
          <w:color w:val="000000" w:themeColor="text1"/>
          <w:lang w:val="zh-CN"/>
          <w14:textFill>
            <w14:solidFill>
              <w14:schemeClr w14:val="tx1"/>
            </w14:solidFill>
          </w14:textFill>
        </w:rPr>
        <w:t xml:space="preserve"> 大气环境质量现状调查及评价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139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36D14BD">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"_Toc225268312" </w:instrText>
      </w:r>
      <w:r>
        <w:fldChar w:fldCharType="separate"/>
      </w:r>
      <w:r>
        <w:rPr>
          <w:rStyle w:val="93"/>
          <w:rFonts w:hint="eastAsia" w:hAnsi="黑体"/>
          <w:color w:val="000000" w:themeColor="text1"/>
          <w:lang w:val="zh-CN"/>
          <w14:textFill>
            <w14:solidFill>
              <w14:schemeClr w14:val="tx1"/>
            </w14:solidFill>
          </w14:textFill>
        </w:rPr>
        <w:t>5.4.</w:t>
      </w:r>
      <w:r>
        <w:rPr>
          <w:rStyle w:val="93"/>
          <w:rFonts w:hint="eastAsia"/>
          <w:color w:val="000000" w:themeColor="text1"/>
          <w:lang w:val="zh-CN"/>
          <w14:textFill>
            <w14:solidFill>
              <w14:schemeClr w14:val="tx1"/>
            </w14:solidFill>
          </w14:textFill>
        </w:rPr>
        <w:t xml:space="preserve"> 地下水环境质量现状调查与评价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159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AC15C28">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"_Toc225268313" </w:instrText>
      </w:r>
      <w:r>
        <w:fldChar w:fldCharType="separate"/>
      </w:r>
      <w:r>
        <w:rPr>
          <w:rStyle w:val="93"/>
          <w:rFonts w:hint="eastAsia" w:hAnsi="黑体"/>
          <w:color w:val="000000" w:themeColor="text1"/>
          <w:lang w:val="zh-CN"/>
          <w14:textFill>
            <w14:solidFill>
              <w14:schemeClr w14:val="tx1"/>
            </w14:solidFill>
          </w14:textFill>
        </w:rPr>
        <w:t>5.5.</w:t>
      </w:r>
      <w:r>
        <w:rPr>
          <w:rStyle w:val="93"/>
          <w:rFonts w:hint="eastAsia"/>
          <w:color w:val="000000" w:themeColor="text1"/>
          <w:lang w:val="zh-CN"/>
          <w14:textFill>
            <w14:solidFill>
              <w14:schemeClr w14:val="tx1"/>
            </w14:solidFill>
          </w14:textFill>
        </w:rPr>
        <w:t xml:space="preserve"> 声环境质量现状调查与评价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164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6F94348">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"_Toc225268314" </w:instrText>
      </w:r>
      <w:r>
        <w:fldChar w:fldCharType="separate"/>
      </w:r>
      <w:r>
        <w:rPr>
          <w:rStyle w:val="93"/>
          <w:rFonts w:hint="eastAsia" w:hAnsi="黑体"/>
          <w:bCs/>
          <w:color w:val="000000" w:themeColor="text1"/>
          <w:lang w:val="zh-CN"/>
          <w14:textFill>
            <w14:solidFill>
              <w14:schemeClr w14:val="tx1"/>
            </w14:solidFill>
          </w14:textFill>
        </w:rPr>
        <w:t>5.6.</w:t>
      </w:r>
      <w:r>
        <w:rPr>
          <w:rStyle w:val="93"/>
          <w:rFonts w:hint="eastAsia"/>
          <w:color w:val="000000" w:themeColor="text1"/>
          <w14:textFill>
            <w14:solidFill>
              <w14:schemeClr w14:val="tx1"/>
            </w14:solidFill>
          </w14:textFill>
        </w:rPr>
        <w:t xml:space="preserve"> 土壤环境质量现状监测与评价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167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3397140F">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"_Toc225268315" </w:instrText>
      </w:r>
      <w:r>
        <w:fldChar w:fldCharType="separate"/>
      </w:r>
      <w:r>
        <w:rPr>
          <w:rStyle w:val="93"/>
          <w:rFonts w:hint="eastAsia" w:hAnsi="黑体"/>
          <w:bCs/>
          <w:color w:val="000000" w:themeColor="text1"/>
          <w14:textFill>
            <w14:solidFill>
              <w14:schemeClr w14:val="tx1"/>
            </w14:solidFill>
          </w14:textFill>
        </w:rPr>
        <w:t>6.</w:t>
      </w:r>
      <w:r>
        <w:rPr>
          <w:rStyle w:val="93"/>
          <w:rFonts w:hint="eastAsia"/>
          <w:color w:val="000000" w:themeColor="text1"/>
          <w14:textFill>
            <w14:solidFill>
              <w14:schemeClr w14:val="tx1"/>
            </w14:solidFill>
          </w14:textFill>
        </w:rPr>
        <w:t xml:space="preserve"> 环境影响预测评价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198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5E95F03">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"_Toc225268316" </w:instrText>
      </w:r>
      <w:r>
        <w:fldChar w:fldCharType="separate"/>
      </w:r>
      <w:r>
        <w:rPr>
          <w:rStyle w:val="93"/>
          <w:rFonts w:hint="eastAsia" w:hAnsi="黑体"/>
          <w:color w:val="000000" w:themeColor="text1"/>
          <w:lang w:val="zh-CN"/>
          <w14:textFill>
            <w14:solidFill>
              <w14:schemeClr w14:val="tx1"/>
            </w14:solidFill>
          </w14:textFill>
        </w:rPr>
        <w:t>6.1.</w:t>
      </w:r>
      <w:r>
        <w:rPr>
          <w:rStyle w:val="93"/>
          <w:rFonts w:hint="eastAsia"/>
          <w:color w:val="000000" w:themeColor="text1"/>
          <w:lang w:val="zh-CN"/>
          <w14:textFill>
            <w14:solidFill>
              <w14:schemeClr w14:val="tx1"/>
            </w14:solidFill>
          </w14:textFill>
        </w:rPr>
        <w:t xml:space="preserve"> 施工期环境影响分析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198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4EECE95">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"_Toc225268317" </w:instrText>
      </w:r>
      <w:r>
        <w:fldChar w:fldCharType="separate"/>
      </w:r>
      <w:r>
        <w:rPr>
          <w:rStyle w:val="93"/>
          <w:rFonts w:hint="eastAsia" w:hAnsi="黑体"/>
          <w:color w:val="000000" w:themeColor="text1"/>
          <w14:textFill>
            <w14:solidFill>
              <w14:schemeClr w14:val="tx1"/>
            </w14:solidFill>
          </w14:textFill>
        </w:rPr>
        <w:t>6.2.</w:t>
      </w:r>
      <w:r>
        <w:rPr>
          <w:rStyle w:val="93"/>
          <w:rFonts w:hint="eastAsia"/>
          <w:color w:val="000000" w:themeColor="text1"/>
          <w14:textFill>
            <w14:solidFill>
              <w14:schemeClr w14:val="tx1"/>
            </w14:solidFill>
          </w14:textFill>
        </w:rPr>
        <w:t xml:space="preserve"> 大气环境影响预测与评价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204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877F175">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"_Toc225268318" </w:instrText>
      </w:r>
      <w:r>
        <w:fldChar w:fldCharType="separate"/>
      </w:r>
      <w:r>
        <w:rPr>
          <w:rStyle w:val="93"/>
          <w:rFonts w:hint="eastAsia" w:hAnsi="黑体"/>
          <w:snapToGrid w:val="0"/>
          <w:color w:val="000000" w:themeColor="text1"/>
          <w:lang w:val="zh-CN"/>
          <w14:textFill>
            <w14:solidFill>
              <w14:schemeClr w14:val="tx1"/>
            </w14:solidFill>
          </w14:textFill>
        </w:rPr>
        <w:t>6.3.</w:t>
      </w:r>
      <w:r>
        <w:rPr>
          <w:rStyle w:val="93"/>
          <w:rFonts w:hint="eastAsia"/>
          <w:snapToGrid w:val="0"/>
          <w:color w:val="000000" w:themeColor="text1"/>
          <w:lang w:val="zh-CN"/>
          <w14:textFill>
            <w14:solidFill>
              <w14:schemeClr w14:val="tx1"/>
            </w14:solidFill>
          </w14:textFill>
        </w:rPr>
        <w:t xml:space="preserve"> 地表水环境影响预测与评价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215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C7712B6">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"_Toc225268319" </w:instrText>
      </w:r>
      <w:r>
        <w:fldChar w:fldCharType="separate"/>
      </w:r>
      <w:r>
        <w:rPr>
          <w:rStyle w:val="93"/>
          <w:rFonts w:hint="eastAsia" w:hAnsi="黑体"/>
          <w:snapToGrid w:val="0"/>
          <w:color w:val="000000" w:themeColor="text1"/>
          <w:lang w:val="zh-CN"/>
          <w14:textFill>
            <w14:solidFill>
              <w14:schemeClr w14:val="tx1"/>
            </w14:solidFill>
          </w14:textFill>
        </w:rPr>
        <w:t>6.4.</w:t>
      </w:r>
      <w:r>
        <w:rPr>
          <w:rStyle w:val="93"/>
          <w:rFonts w:hint="eastAsia"/>
          <w:snapToGrid w:val="0"/>
          <w:color w:val="000000" w:themeColor="text1"/>
          <w:lang w:val="zh-CN"/>
          <w14:textFill>
            <w14:solidFill>
              <w14:schemeClr w14:val="tx1"/>
            </w14:solidFill>
          </w14:textFill>
        </w:rPr>
        <w:t xml:space="preserve"> 地下水环境影响分析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_Toc225268319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220</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F1597A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"_Toc225268320" </w:instrText>
      </w:r>
      <w:r>
        <w:fldChar w:fldCharType="separate"/>
      </w:r>
      <w:r>
        <w:rPr>
          <w:rStyle w:val="93"/>
          <w:rFonts w:hint="eastAsia" w:hAnsi="黑体"/>
          <w:color w:val="000000" w:themeColor="text1"/>
          <w14:textFill>
            <w14:solidFill>
              <w14:schemeClr w14:val="tx1"/>
            </w14:solidFill>
          </w14:textFill>
        </w:rPr>
        <w:t>6.5.</w:t>
      </w:r>
      <w:r>
        <w:rPr>
          <w:rStyle w:val="93"/>
          <w:rFonts w:hint="eastAsia"/>
          <w:color w:val="000000" w:themeColor="text1"/>
          <w:lang w:val="zh-CN"/>
          <w14:textFill>
            <w14:solidFill>
              <w14:schemeClr w14:val="tx1"/>
            </w14:solidFill>
          </w14:textFill>
        </w:rPr>
        <w:t xml:space="preserve"> 噪声影响预测与评价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229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A688D3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"_Toc225268321" </w:instrText>
      </w:r>
      <w:r>
        <w:fldChar w:fldCharType="separate"/>
      </w:r>
      <w:r>
        <w:rPr>
          <w:rStyle w:val="93"/>
          <w:rFonts w:hint="eastAsia" w:hAnsi="黑体"/>
          <w:color w:val="000000" w:themeColor="text1"/>
          <w:lang w:val="zh-CN"/>
          <w14:textFill>
            <w14:solidFill>
              <w14:schemeClr w14:val="tx1"/>
            </w14:solidFill>
          </w14:textFill>
        </w:rPr>
        <w:t>6.6.</w:t>
      </w:r>
      <w:r>
        <w:rPr>
          <w:rStyle w:val="93"/>
          <w:rFonts w:hint="eastAsia"/>
          <w:color w:val="000000" w:themeColor="text1"/>
          <w:lang w:val="zh-CN"/>
          <w14:textFill>
            <w14:solidFill>
              <w14:schemeClr w14:val="tx1"/>
            </w14:solidFill>
          </w14:textFill>
        </w:rPr>
        <w:t xml:space="preserve"> 固体废物影响分析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233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7FEF212">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"_Toc225268322" </w:instrText>
      </w:r>
      <w:r>
        <w:fldChar w:fldCharType="separate"/>
      </w:r>
      <w:r>
        <w:rPr>
          <w:rStyle w:val="93"/>
          <w:rFonts w:hint="eastAsia" w:hAnsi="黑体"/>
          <w:color w:val="000000" w:themeColor="text1"/>
          <w:lang w:val="zh-CN"/>
          <w14:textFill>
            <w14:solidFill>
              <w14:schemeClr w14:val="tx1"/>
            </w14:solidFill>
          </w14:textFill>
        </w:rPr>
        <w:t>6.7.</w:t>
      </w:r>
      <w:r>
        <w:rPr>
          <w:rStyle w:val="93"/>
          <w:rFonts w:hint="eastAsia"/>
          <w:color w:val="000000" w:themeColor="text1"/>
          <w:lang w:val="zh-CN"/>
          <w14:textFill>
            <w14:solidFill>
              <w14:schemeClr w14:val="tx1"/>
            </w14:solidFill>
          </w14:textFill>
        </w:rPr>
        <w:t xml:space="preserve"> 土壤环境影响分析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236</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A9943A6">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"_Toc225268323" </w:instrText>
      </w:r>
      <w:r>
        <w:fldChar w:fldCharType="separate"/>
      </w:r>
      <w:r>
        <w:rPr>
          <w:rStyle w:val="93"/>
          <w:rFonts w:hint="eastAsia" w:hAnsi="黑体"/>
          <w:color w:val="000000" w:themeColor="text1"/>
          <w14:textFill>
            <w14:solidFill>
              <w14:schemeClr w14:val="tx1"/>
            </w14:solidFill>
          </w14:textFill>
        </w:rPr>
        <w:t>6.8.</w:t>
      </w:r>
      <w:r>
        <w:rPr>
          <w:rStyle w:val="93"/>
          <w:rFonts w:hint="eastAsia"/>
          <w:color w:val="000000" w:themeColor="text1"/>
          <w14:textFill>
            <w14:solidFill>
              <w14:schemeClr w14:val="tx1"/>
            </w14:solidFill>
          </w14:textFill>
        </w:rPr>
        <w:t xml:space="preserve"> 生态环境影响</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242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4C53077">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"_Toc225268324" </w:instrText>
      </w:r>
      <w:r>
        <w:fldChar w:fldCharType="separate"/>
      </w:r>
      <w:r>
        <w:rPr>
          <w:rStyle w:val="93"/>
          <w:rFonts w:hint="eastAsia" w:hAnsi="黑体"/>
          <w:bCs/>
          <w:color w:val="000000" w:themeColor="text1"/>
          <w14:textFill>
            <w14:solidFill>
              <w14:schemeClr w14:val="tx1"/>
            </w14:solidFill>
          </w14:textFill>
        </w:rPr>
        <w:t>7.</w:t>
      </w:r>
      <w:r>
        <w:rPr>
          <w:rStyle w:val="93"/>
          <w:rFonts w:hint="eastAsia"/>
          <w:color w:val="000000" w:themeColor="text1"/>
          <w14:textFill>
            <w14:solidFill>
              <w14:schemeClr w14:val="tx1"/>
            </w14:solidFill>
          </w14:textFill>
        </w:rPr>
        <w:t xml:space="preserve"> 污染防治措施分析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244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BE1140E">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"_Toc225268325" </w:instrText>
      </w:r>
      <w:r>
        <w:fldChar w:fldCharType="separate"/>
      </w:r>
      <w:r>
        <w:rPr>
          <w:rStyle w:val="93"/>
          <w:rFonts w:hint="eastAsia" w:hAnsi="黑体"/>
          <w:color w:val="000000" w:themeColor="text1"/>
          <w14:textFill>
            <w14:solidFill>
              <w14:schemeClr w14:val="tx1"/>
            </w14:solidFill>
          </w14:textFill>
        </w:rPr>
        <w:t>7.1.</w:t>
      </w:r>
      <w:r>
        <w:rPr>
          <w:rStyle w:val="93"/>
          <w:rFonts w:hint="eastAsia"/>
          <w:color w:val="000000" w:themeColor="text1"/>
          <w14:textFill>
            <w14:solidFill>
              <w14:schemeClr w14:val="tx1"/>
            </w14:solidFill>
          </w14:textFill>
        </w:rPr>
        <w:t xml:space="preserve"> 废气污染防治措施分析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244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4CB3A38">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"_Toc225268326" </w:instrText>
      </w:r>
      <w:r>
        <w:fldChar w:fldCharType="separate"/>
      </w:r>
      <w:r>
        <w:rPr>
          <w:rStyle w:val="93"/>
          <w:rFonts w:hint="eastAsia" w:hAnsi="黑体"/>
          <w:color w:val="000000" w:themeColor="text1"/>
          <w14:textFill>
            <w14:solidFill>
              <w14:schemeClr w14:val="tx1"/>
            </w14:solidFill>
          </w14:textFill>
        </w:rPr>
        <w:t>7.2.</w:t>
      </w:r>
      <w:r>
        <w:rPr>
          <w:rStyle w:val="93"/>
          <w:rFonts w:hint="eastAsia"/>
          <w:color w:val="000000" w:themeColor="text1"/>
          <w14:textFill>
            <w14:solidFill>
              <w14:schemeClr w14:val="tx1"/>
            </w14:solidFill>
          </w14:textFill>
        </w:rPr>
        <w:t xml:space="preserve"> 废水水污染防治措施分析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262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3856E14">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"_Toc225268327" </w:instrText>
      </w:r>
      <w:r>
        <w:fldChar w:fldCharType="separate"/>
      </w:r>
      <w:r>
        <w:rPr>
          <w:rStyle w:val="93"/>
          <w:rFonts w:hint="eastAsia" w:hAnsi="黑体"/>
          <w:color w:val="000000" w:themeColor="text1"/>
          <w14:textFill>
            <w14:solidFill>
              <w14:schemeClr w14:val="tx1"/>
            </w14:solidFill>
          </w14:textFill>
        </w:rPr>
        <w:t>7.3.</w:t>
      </w:r>
      <w:r>
        <w:rPr>
          <w:rStyle w:val="93"/>
          <w:rFonts w:hint="eastAsia"/>
          <w:color w:val="000000" w:themeColor="text1"/>
          <w14:textFill>
            <w14:solidFill>
              <w14:schemeClr w14:val="tx1"/>
            </w14:solidFill>
          </w14:textFill>
        </w:rPr>
        <w:t xml:space="preserve"> 地下水污染防治措施</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265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0DCD926">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"_Toc225268328" </w:instrText>
      </w:r>
      <w:r>
        <w:fldChar w:fldCharType="separate"/>
      </w:r>
      <w:r>
        <w:rPr>
          <w:rStyle w:val="93"/>
          <w:rFonts w:hint="eastAsia" w:hAnsi="黑体"/>
          <w:color w:val="000000" w:themeColor="text1"/>
          <w14:textFill>
            <w14:solidFill>
              <w14:schemeClr w14:val="tx1"/>
            </w14:solidFill>
          </w14:textFill>
        </w:rPr>
        <w:t>7.4.</w:t>
      </w:r>
      <w:r>
        <w:rPr>
          <w:rStyle w:val="93"/>
          <w:rFonts w:hint="eastAsia"/>
          <w:color w:val="000000" w:themeColor="text1"/>
          <w14:textFill>
            <w14:solidFill>
              <w14:schemeClr w14:val="tx1"/>
            </w14:solidFill>
          </w14:textFill>
        </w:rPr>
        <w:t xml:space="preserve"> 土壤污染防治措施</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272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3833F28">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"_Toc225268329" </w:instrText>
      </w:r>
      <w:r>
        <w:fldChar w:fldCharType="separate"/>
      </w:r>
      <w:r>
        <w:rPr>
          <w:rStyle w:val="93"/>
          <w:rFonts w:hint="eastAsia" w:hAnsi="黑体"/>
          <w:color w:val="000000" w:themeColor="text1"/>
          <w14:textFill>
            <w14:solidFill>
              <w14:schemeClr w14:val="tx1"/>
            </w14:solidFill>
          </w14:textFill>
        </w:rPr>
        <w:t>7.5.</w:t>
      </w:r>
      <w:r>
        <w:rPr>
          <w:rStyle w:val="93"/>
          <w:rFonts w:hint="eastAsia"/>
          <w:color w:val="000000" w:themeColor="text1"/>
          <w14:textFill>
            <w14:solidFill>
              <w14:schemeClr w14:val="tx1"/>
            </w14:solidFill>
          </w14:textFill>
        </w:rPr>
        <w:t xml:space="preserve"> 噪声污染防治措施技术经济可行性分析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_Toc225268329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274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D1A856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"_Toc225268330" </w:instrText>
      </w:r>
      <w:r>
        <w:fldChar w:fldCharType="separate"/>
      </w:r>
      <w:r>
        <w:rPr>
          <w:rStyle w:val="93"/>
          <w:rFonts w:hint="eastAsia" w:hAnsi="黑体"/>
          <w:color w:val="000000" w:themeColor="text1"/>
          <w14:textFill>
            <w14:solidFill>
              <w14:schemeClr w14:val="tx1"/>
            </w14:solidFill>
          </w14:textFill>
        </w:rPr>
        <w:t>7.6.</w:t>
      </w:r>
      <w:r>
        <w:rPr>
          <w:rStyle w:val="93"/>
          <w:rFonts w:hint="eastAsia"/>
          <w:color w:val="000000" w:themeColor="text1"/>
          <w14:textFill>
            <w14:solidFill>
              <w14:schemeClr w14:val="tx1"/>
            </w14:solidFill>
          </w14:textFill>
        </w:rPr>
        <w:t xml:space="preserve"> 固体废弃物污染防治措施分析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275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D7D5A4C">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"_Toc225268331" </w:instrText>
      </w:r>
      <w:r>
        <w:fldChar w:fldCharType="separate"/>
      </w:r>
      <w:r>
        <w:rPr>
          <w:rStyle w:val="93"/>
          <w:rFonts w:hint="eastAsia" w:hAnsi="黑体"/>
          <w:bCs/>
          <w:color w:val="000000" w:themeColor="text1"/>
          <w14:textFill>
            <w14:solidFill>
              <w14:schemeClr w14:val="tx1"/>
            </w14:solidFill>
          </w14:textFill>
        </w:rPr>
        <w:t>8.</w:t>
      </w:r>
      <w:r>
        <w:rPr>
          <w:rStyle w:val="93"/>
          <w:rFonts w:hint="eastAsia"/>
          <w:color w:val="000000" w:themeColor="text1"/>
          <w14:textFill>
            <w14:solidFill>
              <w14:schemeClr w14:val="tx1"/>
            </w14:solidFill>
          </w14:textFill>
        </w:rPr>
        <w:t xml:space="preserve"> 项目建设可行性分析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279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CFDFC30">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"_Toc225268332" </w:instrText>
      </w:r>
      <w:r>
        <w:fldChar w:fldCharType="separate"/>
      </w:r>
      <w:r>
        <w:rPr>
          <w:rStyle w:val="93"/>
          <w:rFonts w:hint="eastAsia" w:hAnsi="黑体"/>
          <w:color w:val="000000" w:themeColor="text1"/>
          <w14:textFill>
            <w14:solidFill>
              <w14:schemeClr w14:val="tx1"/>
            </w14:solidFill>
          </w14:textFill>
        </w:rPr>
        <w:t>8.1.</w:t>
      </w:r>
      <w:r>
        <w:rPr>
          <w:rStyle w:val="93"/>
          <w:rFonts w:hint="eastAsia"/>
          <w:color w:val="000000" w:themeColor="text1"/>
          <w14:textFill>
            <w14:solidFill>
              <w14:schemeClr w14:val="tx1"/>
            </w14:solidFill>
          </w14:textFill>
        </w:rPr>
        <w:t xml:space="preserve"> 产业政策符合性分析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279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6C08A77">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"_Toc225268333" </w:instrText>
      </w:r>
      <w:r>
        <w:fldChar w:fldCharType="separate"/>
      </w:r>
      <w:r>
        <w:rPr>
          <w:rStyle w:val="93"/>
          <w:rFonts w:hint="eastAsia" w:hAnsi="黑体"/>
          <w:color w:val="000000" w:themeColor="text1"/>
          <w14:textFill>
            <w14:solidFill>
              <w14:schemeClr w14:val="tx1"/>
            </w14:solidFill>
          </w14:textFill>
        </w:rPr>
        <w:t>8.2.</w:t>
      </w:r>
      <w:r>
        <w:rPr>
          <w:rStyle w:val="93"/>
          <w:rFonts w:hint="eastAsia"/>
          <w:color w:val="000000" w:themeColor="text1"/>
          <w14:textFill>
            <w14:solidFill>
              <w14:schemeClr w14:val="tx1"/>
            </w14:solidFill>
          </w14:textFill>
        </w:rPr>
        <w:t xml:space="preserve"> 与有关环境保护法律法规、标准、政策和规范符合性分析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279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38CC694">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"_Toc225268334" </w:instrText>
      </w:r>
      <w:r>
        <w:fldChar w:fldCharType="separate"/>
      </w:r>
      <w:r>
        <w:rPr>
          <w:rStyle w:val="93"/>
          <w:rFonts w:hint="eastAsia" w:hAnsi="黑体"/>
          <w:color w:val="000000" w:themeColor="text1"/>
          <w14:textFill>
            <w14:solidFill>
              <w14:schemeClr w14:val="tx1"/>
            </w14:solidFill>
          </w14:textFill>
        </w:rPr>
        <w:t>8.3.</w:t>
      </w:r>
      <w:r>
        <w:rPr>
          <w:rStyle w:val="93"/>
          <w:rFonts w:hint="eastAsia"/>
          <w:color w:val="000000" w:themeColor="text1"/>
          <w14:textFill>
            <w14:solidFill>
              <w14:schemeClr w14:val="tx1"/>
            </w14:solidFill>
          </w14:textFill>
        </w:rPr>
        <w:t xml:space="preserve"> 规划符合性分析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288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AAB0352">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"_Toc225268335" </w:instrText>
      </w:r>
      <w:r>
        <w:fldChar w:fldCharType="separate"/>
      </w:r>
      <w:r>
        <w:rPr>
          <w:rStyle w:val="93"/>
          <w:rFonts w:hint="eastAsia" w:hAnsi="黑体"/>
          <w:color w:val="000000" w:themeColor="text1"/>
          <w14:textFill>
            <w14:solidFill>
              <w14:schemeClr w14:val="tx1"/>
            </w14:solidFill>
          </w14:textFill>
        </w:rPr>
        <w:t>8.4.</w:t>
      </w:r>
      <w:r>
        <w:rPr>
          <w:rStyle w:val="93"/>
          <w:rFonts w:hint="eastAsia"/>
          <w:color w:val="000000" w:themeColor="text1"/>
          <w14:textFill>
            <w14:solidFill>
              <w14:schemeClr w14:val="tx1"/>
            </w14:solidFill>
          </w14:textFill>
        </w:rPr>
        <w:t xml:space="preserve"> 与生态环境分区管控符合性分析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297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DAB1550">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"_Toc225268336" </w:instrText>
      </w:r>
      <w:r>
        <w:fldChar w:fldCharType="separate"/>
      </w:r>
      <w:r>
        <w:rPr>
          <w:rStyle w:val="93"/>
          <w:rFonts w:hint="eastAsia" w:hAnsi="黑体"/>
          <w:color w:val="000000" w:themeColor="text1"/>
          <w14:textFill>
            <w14:solidFill>
              <w14:schemeClr w14:val="tx1"/>
            </w14:solidFill>
          </w14:textFill>
        </w:rPr>
        <w:t>8.5.</w:t>
      </w:r>
      <w:r>
        <w:rPr>
          <w:rStyle w:val="93"/>
          <w:rFonts w:hint="eastAsia"/>
          <w:color w:val="000000" w:themeColor="text1"/>
          <w14:textFill>
            <w14:solidFill>
              <w14:schemeClr w14:val="tx1"/>
            </w14:solidFill>
          </w14:textFill>
        </w:rPr>
        <w:t xml:space="preserve"> 相关技术规范导则及标准符合性分析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312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75D8491">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"_Toc225268337" </w:instrText>
      </w:r>
      <w:r>
        <w:fldChar w:fldCharType="separate"/>
      </w:r>
      <w:r>
        <w:rPr>
          <w:rStyle w:val="93"/>
          <w:rFonts w:hint="eastAsia" w:hAnsi="黑体"/>
          <w:bCs/>
          <w:color w:val="000000" w:themeColor="text1"/>
          <w14:textFill>
            <w14:solidFill>
              <w14:schemeClr w14:val="tx1"/>
            </w14:solidFill>
          </w14:textFill>
        </w:rPr>
        <w:t>9.</w:t>
      </w:r>
      <w:r>
        <w:rPr>
          <w:rStyle w:val="93"/>
          <w:rFonts w:hint="eastAsia"/>
          <w:color w:val="000000" w:themeColor="text1"/>
          <w14:textFill>
            <w14:solidFill>
              <w14:schemeClr w14:val="tx1"/>
            </w14:solidFill>
          </w14:textFill>
        </w:rPr>
        <w:t xml:space="preserve"> 环境风险评价</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328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9B374B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"_Toc225268338" </w:instrText>
      </w:r>
      <w:r>
        <w:fldChar w:fldCharType="separate"/>
      </w:r>
      <w:r>
        <w:rPr>
          <w:rStyle w:val="93"/>
          <w:rFonts w:hint="eastAsia" w:hAnsi="黑体"/>
          <w:color w:val="000000" w:themeColor="text1"/>
          <w14:textFill>
            <w14:solidFill>
              <w14:schemeClr w14:val="tx1"/>
            </w14:solidFill>
          </w14:textFill>
        </w:rPr>
        <w:t>9.1.</w:t>
      </w:r>
      <w:r>
        <w:rPr>
          <w:rStyle w:val="93"/>
          <w:rFonts w:hint="eastAsia"/>
          <w:color w:val="000000" w:themeColor="text1"/>
          <w14:textFill>
            <w14:solidFill>
              <w14:schemeClr w14:val="tx1"/>
            </w14:solidFill>
          </w14:textFill>
        </w:rPr>
        <w:t xml:space="preserve"> 评价依据</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328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49223C4">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"_Toc225268339" </w:instrText>
      </w:r>
      <w:r>
        <w:fldChar w:fldCharType="separate"/>
      </w:r>
      <w:r>
        <w:rPr>
          <w:rStyle w:val="93"/>
          <w:rFonts w:hint="eastAsia" w:hAnsi="黑体"/>
          <w:color w:val="000000" w:themeColor="text1"/>
          <w14:textFill>
            <w14:solidFill>
              <w14:schemeClr w14:val="tx1"/>
            </w14:solidFill>
          </w14:textFill>
        </w:rPr>
        <w:t>9.2.</w:t>
      </w:r>
      <w:r>
        <w:rPr>
          <w:rStyle w:val="93"/>
          <w:rFonts w:hint="eastAsia"/>
          <w:color w:val="000000" w:themeColor="text1"/>
          <w14:textFill>
            <w14:solidFill>
              <w14:schemeClr w14:val="tx1"/>
            </w14:solidFill>
          </w14:textFill>
        </w:rPr>
        <w:t xml:space="preserve"> 环境敏感目标概况</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_Toc225268339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333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572FD61">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"_Toc225268340" </w:instrText>
      </w:r>
      <w:r>
        <w:fldChar w:fldCharType="separate"/>
      </w:r>
      <w:r>
        <w:rPr>
          <w:rStyle w:val="93"/>
          <w:rFonts w:hint="eastAsia" w:hAnsi="黑体"/>
          <w:color w:val="000000" w:themeColor="text1"/>
          <w14:textFill>
            <w14:solidFill>
              <w14:schemeClr w14:val="tx1"/>
            </w14:solidFill>
          </w14:textFill>
        </w:rPr>
        <w:t>9.3.</w:t>
      </w:r>
      <w:r>
        <w:rPr>
          <w:rStyle w:val="93"/>
          <w:rFonts w:hint="eastAsia"/>
          <w:color w:val="000000" w:themeColor="text1"/>
          <w14:textFill>
            <w14:solidFill>
              <w14:schemeClr w14:val="tx1"/>
            </w14:solidFill>
          </w14:textFill>
        </w:rPr>
        <w:t xml:space="preserve"> 环境风险识别</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334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376F50A6">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"_Toc225268341" </w:instrText>
      </w:r>
      <w:r>
        <w:fldChar w:fldCharType="separate"/>
      </w:r>
      <w:r>
        <w:rPr>
          <w:rStyle w:val="93"/>
          <w:rFonts w:hint="eastAsia" w:hAnsi="黑体"/>
          <w:color w:val="000000" w:themeColor="text1"/>
          <w14:textFill>
            <w14:solidFill>
              <w14:schemeClr w14:val="tx1"/>
            </w14:solidFill>
          </w14:textFill>
        </w:rPr>
        <w:t>9.4.</w:t>
      </w:r>
      <w:r>
        <w:rPr>
          <w:rStyle w:val="93"/>
          <w:rFonts w:hint="eastAsia"/>
          <w:color w:val="000000" w:themeColor="text1"/>
          <w14:textFill>
            <w14:solidFill>
              <w14:schemeClr w14:val="tx1"/>
            </w14:solidFill>
          </w14:textFill>
        </w:rPr>
        <w:t xml:space="preserve"> 环境风险分析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338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475C50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"_Toc225268342" </w:instrText>
      </w:r>
      <w:r>
        <w:fldChar w:fldCharType="separate"/>
      </w:r>
      <w:r>
        <w:rPr>
          <w:rStyle w:val="93"/>
          <w:rFonts w:hint="eastAsia" w:hAnsi="黑体"/>
          <w:color w:val="000000" w:themeColor="text1"/>
          <w14:textFill>
            <w14:solidFill>
              <w14:schemeClr w14:val="tx1"/>
            </w14:solidFill>
          </w14:textFill>
        </w:rPr>
        <w:t>9.5.</w:t>
      </w:r>
      <w:r>
        <w:rPr>
          <w:rStyle w:val="93"/>
          <w:rFonts w:hint="eastAsia"/>
          <w:color w:val="000000" w:themeColor="text1"/>
          <w14:textFill>
            <w14:solidFill>
              <w14:schemeClr w14:val="tx1"/>
            </w14:solidFill>
          </w14:textFill>
        </w:rPr>
        <w:t xml:space="preserve"> 环境风险防范措施及应急措施</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344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51547E8">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"_Toc225268343" </w:instrText>
      </w:r>
      <w:r>
        <w:fldChar w:fldCharType="separate"/>
      </w:r>
      <w:r>
        <w:rPr>
          <w:rStyle w:val="93"/>
          <w:rFonts w:hint="eastAsia" w:hAnsi="黑体"/>
          <w:color w:val="000000" w:themeColor="text1"/>
          <w14:textFill>
            <w14:solidFill>
              <w14:schemeClr w14:val="tx1"/>
            </w14:solidFill>
          </w14:textFill>
        </w:rPr>
        <w:t>9.6.</w:t>
      </w:r>
      <w:r>
        <w:rPr>
          <w:rStyle w:val="93"/>
          <w:rFonts w:hint="eastAsia"/>
          <w:color w:val="000000" w:themeColor="text1"/>
          <w14:textFill>
            <w14:solidFill>
              <w14:schemeClr w14:val="tx1"/>
            </w14:solidFill>
          </w14:textFill>
        </w:rPr>
        <w:t xml:space="preserve"> 分析结论</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359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C74745C">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"_Toc225268344" </w:instrText>
      </w:r>
      <w:r>
        <w:fldChar w:fldCharType="separate"/>
      </w:r>
      <w:r>
        <w:rPr>
          <w:rStyle w:val="93"/>
          <w:rFonts w:hint="eastAsia" w:hAnsi="黑体"/>
          <w:bCs/>
          <w:color w:val="000000" w:themeColor="text1"/>
          <w14:textFill>
            <w14:solidFill>
              <w14:schemeClr w14:val="tx1"/>
            </w14:solidFill>
          </w14:textFill>
        </w:rPr>
        <w:t>10.</w:t>
      </w:r>
      <w:r>
        <w:rPr>
          <w:rStyle w:val="93"/>
          <w:rFonts w:hint="eastAsia"/>
          <w:color w:val="000000" w:themeColor="text1"/>
          <w14:textFill>
            <w14:solidFill>
              <w14:schemeClr w14:val="tx1"/>
            </w14:solidFill>
          </w14:textFill>
        </w:rPr>
        <w:t xml:space="preserve"> 环境经济损益分析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AA0C89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"_Toc225268345" </w:instrText>
      </w:r>
      <w:r>
        <w:fldChar w:fldCharType="separate"/>
      </w:r>
      <w:r>
        <w:rPr>
          <w:rStyle w:val="93"/>
          <w:rFonts w:hint="eastAsia" w:hAnsi="黑体"/>
          <w:color w:val="000000" w:themeColor="text1"/>
          <w14:textFill>
            <w14:solidFill>
              <w14:schemeClr w14:val="tx1"/>
            </w14:solidFill>
          </w14:textFill>
        </w:rPr>
        <w:t>10.1.</w:t>
      </w:r>
      <w:r>
        <w:rPr>
          <w:rStyle w:val="93"/>
          <w:rFonts w:hint="eastAsia"/>
          <w:color w:val="000000" w:themeColor="text1"/>
          <w14:textFill>
            <w14:solidFill>
              <w14:schemeClr w14:val="tx1"/>
            </w14:solidFill>
          </w14:textFill>
        </w:rPr>
        <w:t xml:space="preserve"> 社会效益</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53CE4AE">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"_Toc225268346" </w:instrText>
      </w:r>
      <w:r>
        <w:fldChar w:fldCharType="separate"/>
      </w:r>
      <w:r>
        <w:rPr>
          <w:rStyle w:val="93"/>
          <w:rFonts w:hint="eastAsia" w:hAnsi="黑体"/>
          <w:color w:val="000000" w:themeColor="text1"/>
          <w14:textFill>
            <w14:solidFill>
              <w14:schemeClr w14:val="tx1"/>
            </w14:solidFill>
          </w14:textFill>
        </w:rPr>
        <w:t>10.2.</w:t>
      </w:r>
      <w:r>
        <w:rPr>
          <w:rStyle w:val="93"/>
          <w:rFonts w:hint="eastAsia"/>
          <w:color w:val="000000" w:themeColor="text1"/>
          <w14:textFill>
            <w14:solidFill>
              <w14:schemeClr w14:val="tx1"/>
            </w14:solidFill>
          </w14:textFill>
        </w:rPr>
        <w:t xml:space="preserve"> 经济效益</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3C1DE983">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"_Toc225268347" </w:instrText>
      </w:r>
      <w:r>
        <w:fldChar w:fldCharType="separate"/>
      </w:r>
      <w:r>
        <w:rPr>
          <w:rStyle w:val="93"/>
          <w:rFonts w:hint="eastAsia" w:hAnsi="黑体"/>
          <w:color w:val="000000" w:themeColor="text1"/>
          <w14:textFill>
            <w14:solidFill>
              <w14:schemeClr w14:val="tx1"/>
            </w14:solidFill>
          </w14:textFill>
        </w:rPr>
        <w:t>10.3.</w:t>
      </w:r>
      <w:r>
        <w:rPr>
          <w:rStyle w:val="93"/>
          <w:rFonts w:hint="eastAsia"/>
          <w:color w:val="000000" w:themeColor="text1"/>
          <w14:textFill>
            <w14:solidFill>
              <w14:schemeClr w14:val="tx1"/>
            </w14:solidFill>
          </w14:textFill>
        </w:rPr>
        <w:t xml:space="preserve"> 环保投资估算</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2941BA2">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"_Toc225268348" </w:instrText>
      </w:r>
      <w:r>
        <w:fldChar w:fldCharType="separate"/>
      </w:r>
      <w:r>
        <w:rPr>
          <w:rStyle w:val="93"/>
          <w:rFonts w:hint="eastAsia" w:hAnsi="黑体"/>
          <w:color w:val="000000" w:themeColor="text1"/>
          <w14:textFill>
            <w14:solidFill>
              <w14:schemeClr w14:val="tx1"/>
            </w14:solidFill>
          </w14:textFill>
        </w:rPr>
        <w:t>10.4.</w:t>
      </w:r>
      <w:r>
        <w:rPr>
          <w:rStyle w:val="93"/>
          <w:rFonts w:hint="eastAsia"/>
          <w:color w:val="000000" w:themeColor="text1"/>
          <w14:textFill>
            <w14:solidFill>
              <w14:schemeClr w14:val="tx1"/>
            </w14:solidFill>
          </w14:textFill>
        </w:rPr>
        <w:t xml:space="preserve"> 资源循环利用效益</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6F4F5E8">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"_Toc225268349" </w:instrText>
      </w:r>
      <w:r>
        <w:fldChar w:fldCharType="separate"/>
      </w:r>
      <w:r>
        <w:rPr>
          <w:rStyle w:val="93"/>
          <w:rFonts w:hint="eastAsia" w:hAnsi="黑体"/>
          <w:color w:val="000000" w:themeColor="text1"/>
          <w14:textFill>
            <w14:solidFill>
              <w14:schemeClr w14:val="tx1"/>
            </w14:solidFill>
          </w14:textFill>
        </w:rPr>
        <w:t>10.5.</w:t>
      </w:r>
      <w:r>
        <w:rPr>
          <w:rStyle w:val="93"/>
          <w:rFonts w:hint="eastAsia"/>
          <w:color w:val="000000" w:themeColor="text1"/>
          <w14:textFill>
            <w14:solidFill>
              <w14:schemeClr w14:val="tx1"/>
            </w14:solidFill>
          </w14:textFill>
        </w:rPr>
        <w:t xml:space="preserve"> 生态环境风险降低效益</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_Toc225268349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E8AC03D">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"_Toc225268350" </w:instrText>
      </w:r>
      <w:r>
        <w:fldChar w:fldCharType="separate"/>
      </w:r>
      <w:r>
        <w:rPr>
          <w:rStyle w:val="93"/>
          <w:rFonts w:hint="eastAsia" w:hAnsi="黑体"/>
          <w:color w:val="000000" w:themeColor="text1"/>
          <w14:textFill>
            <w14:solidFill>
              <w14:schemeClr w14:val="tx1"/>
            </w14:solidFill>
          </w14:textFill>
        </w:rPr>
        <w:t>10.6.</w:t>
      </w:r>
      <w:r>
        <w:rPr>
          <w:rStyle w:val="93"/>
          <w:rFonts w:hint="eastAsia"/>
          <w:color w:val="000000" w:themeColor="text1"/>
          <w14:textFill>
            <w14:solidFill>
              <w14:schemeClr w14:val="tx1"/>
            </w14:solidFill>
          </w14:textFill>
        </w:rPr>
        <w:t xml:space="preserve"> 环境损害分析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BFDC0C6">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"_Toc225268351" </w:instrText>
      </w:r>
      <w:r>
        <w:fldChar w:fldCharType="separate"/>
      </w:r>
      <w:r>
        <w:rPr>
          <w:rStyle w:val="93"/>
          <w:rFonts w:hint="eastAsia" w:hAnsi="黑体"/>
          <w:color w:val="000000" w:themeColor="text1"/>
          <w14:textFill>
            <w14:solidFill>
              <w14:schemeClr w14:val="tx1"/>
            </w14:solidFill>
          </w14:textFill>
        </w:rPr>
        <w:t>10.7.</w:t>
      </w:r>
      <w:r>
        <w:rPr>
          <w:rStyle w:val="93"/>
          <w:rFonts w:hint="eastAsia"/>
          <w:color w:val="000000" w:themeColor="text1"/>
          <w14:textFill>
            <w14:solidFill>
              <w14:schemeClr w14:val="tx1"/>
            </w14:solidFill>
          </w14:textFill>
        </w:rPr>
        <w:t xml:space="preserve"> 结论</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0D932E4">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"_Toc225268352" </w:instrText>
      </w:r>
      <w:r>
        <w:fldChar w:fldCharType="separate"/>
      </w:r>
      <w:r>
        <w:rPr>
          <w:rStyle w:val="93"/>
          <w:rFonts w:hint="eastAsia" w:hAnsi="黑体"/>
          <w:bCs/>
          <w:color w:val="000000" w:themeColor="text1"/>
          <w14:textFill>
            <w14:solidFill>
              <w14:schemeClr w14:val="tx1"/>
            </w14:solidFill>
          </w14:textFill>
        </w:rPr>
        <w:t>11.</w:t>
      </w:r>
      <w:r>
        <w:rPr>
          <w:rStyle w:val="93"/>
          <w:rFonts w:hint="eastAsia"/>
          <w:color w:val="000000" w:themeColor="text1"/>
          <w14:textFill>
            <w14:solidFill>
              <w14:schemeClr w14:val="tx1"/>
            </w14:solidFill>
          </w14:textFill>
        </w:rPr>
        <w:t xml:space="preserve"> 环境管理与监测计划</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478208D4">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"_Toc225268353" </w:instrText>
      </w:r>
      <w:r>
        <w:fldChar w:fldCharType="separate"/>
      </w:r>
      <w:r>
        <w:rPr>
          <w:rStyle w:val="93"/>
          <w:rFonts w:hint="eastAsia" w:hAnsi="黑体"/>
          <w:color w:val="000000" w:themeColor="text1"/>
          <w14:textFill>
            <w14:solidFill>
              <w14:schemeClr w14:val="tx1"/>
            </w14:solidFill>
          </w14:textFill>
        </w:rPr>
        <w:t>11.1.</w:t>
      </w:r>
      <w:r>
        <w:rPr>
          <w:rStyle w:val="93"/>
          <w:rFonts w:hint="eastAsia"/>
          <w:color w:val="000000" w:themeColor="text1"/>
          <w14:textFill>
            <w14:solidFill>
              <w14:schemeClr w14:val="tx1"/>
            </w14:solidFill>
          </w14:textFill>
        </w:rPr>
        <w:t xml:space="preserve"> 环境管理体制</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299891A">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"_Toc225268354" </w:instrText>
      </w:r>
      <w:r>
        <w:fldChar w:fldCharType="separate"/>
      </w:r>
      <w:r>
        <w:rPr>
          <w:rStyle w:val="93"/>
          <w:rFonts w:hint="eastAsia" w:hAnsi="黑体"/>
          <w:color w:val="000000" w:themeColor="text1"/>
          <w14:textFill>
            <w14:solidFill>
              <w14:schemeClr w14:val="tx1"/>
            </w14:solidFill>
          </w14:textFill>
        </w:rPr>
        <w:t>11.2.</w:t>
      </w:r>
      <w:r>
        <w:rPr>
          <w:rStyle w:val="93"/>
          <w:rFonts w:hint="eastAsia"/>
          <w:color w:val="000000" w:themeColor="text1"/>
          <w14:textFill>
            <w14:solidFill>
              <w14:schemeClr w14:val="tx1"/>
            </w14:solidFill>
          </w14:textFill>
        </w:rPr>
        <w:t xml:space="preserve"> 各阶段的环境管理要求</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369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372D8D5A">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"_Toc225268355" </w:instrText>
      </w:r>
      <w:r>
        <w:fldChar w:fldCharType="separate"/>
      </w:r>
      <w:r>
        <w:rPr>
          <w:rStyle w:val="93"/>
          <w:rFonts w:hint="eastAsia" w:hAnsi="黑体"/>
          <w:color w:val="000000" w:themeColor="text1"/>
          <w14:textFill>
            <w14:solidFill>
              <w14:schemeClr w14:val="tx1"/>
            </w14:solidFill>
          </w14:textFill>
        </w:rPr>
        <w:t>11.3.</w:t>
      </w:r>
      <w:r>
        <w:rPr>
          <w:rStyle w:val="93"/>
          <w:rFonts w:hint="eastAsia"/>
          <w:color w:val="000000" w:themeColor="text1"/>
          <w14:textFill>
            <w14:solidFill>
              <w14:schemeClr w14:val="tx1"/>
            </w14:solidFill>
          </w14:textFill>
        </w:rPr>
        <w:t xml:space="preserve"> 环境管理制度</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370</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994868A">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"_Toc225268356" </w:instrText>
      </w:r>
      <w:r>
        <w:fldChar w:fldCharType="separate"/>
      </w:r>
      <w:r>
        <w:rPr>
          <w:rStyle w:val="93"/>
          <w:rFonts w:hint="eastAsia" w:hAnsi="黑体"/>
          <w:color w:val="000000" w:themeColor="text1"/>
          <w14:textFill>
            <w14:solidFill>
              <w14:schemeClr w14:val="tx1"/>
            </w14:solidFill>
          </w14:textFill>
        </w:rPr>
        <w:t>11.4.</w:t>
      </w:r>
      <w:r>
        <w:rPr>
          <w:rStyle w:val="93"/>
          <w:rFonts w:hint="eastAsia"/>
          <w:color w:val="000000" w:themeColor="text1"/>
          <w14:textFill>
            <w14:solidFill>
              <w14:schemeClr w14:val="tx1"/>
            </w14:solidFill>
          </w14:textFill>
        </w:rPr>
        <w:t xml:space="preserve"> 企业内部环境管理措施</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378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1FA5BF7">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"_Toc225268357" </w:instrText>
      </w:r>
      <w:r>
        <w:fldChar w:fldCharType="separate"/>
      </w:r>
      <w:r>
        <w:rPr>
          <w:rStyle w:val="93"/>
          <w:rFonts w:hint="eastAsia" w:hAnsi="黑体"/>
          <w:color w:val="000000" w:themeColor="text1"/>
          <w14:textFill>
            <w14:solidFill>
              <w14:schemeClr w14:val="tx1"/>
            </w14:solidFill>
          </w14:textFill>
        </w:rPr>
        <w:t>11.5.</w:t>
      </w:r>
      <w:r>
        <w:rPr>
          <w:rStyle w:val="93"/>
          <w:rFonts w:hint="eastAsia"/>
          <w:color w:val="000000" w:themeColor="text1"/>
          <w14:textFill>
            <w14:solidFill>
              <w14:schemeClr w14:val="tx1"/>
            </w14:solidFill>
          </w14:textFill>
        </w:rPr>
        <w:t xml:space="preserve"> 环境监测</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381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CA6C18F">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"_Toc225268358" </w:instrText>
      </w:r>
      <w:r>
        <w:fldChar w:fldCharType="separate"/>
      </w:r>
      <w:r>
        <w:rPr>
          <w:rStyle w:val="93"/>
          <w:rFonts w:hint="eastAsia" w:hAnsi="黑体"/>
          <w:color w:val="000000" w:themeColor="text1"/>
          <w14:textFill>
            <w14:solidFill>
              <w14:schemeClr w14:val="tx1"/>
            </w14:solidFill>
          </w14:textFill>
        </w:rPr>
        <w:t>11.6.</w:t>
      </w:r>
      <w:r>
        <w:rPr>
          <w:rStyle w:val="93"/>
          <w:rFonts w:hint="eastAsia"/>
          <w:color w:val="000000" w:themeColor="text1"/>
          <w14:textFill>
            <w14:solidFill>
              <w14:schemeClr w14:val="tx1"/>
            </w14:solidFill>
          </w14:textFill>
        </w:rPr>
        <w:t xml:space="preserve"> 竣工验收管理</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386</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45C78F3">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"_Toc225268359" </w:instrText>
      </w:r>
      <w:r>
        <w:fldChar w:fldCharType="separate"/>
      </w:r>
      <w:r>
        <w:rPr>
          <w:rStyle w:val="93"/>
          <w:rFonts w:hint="eastAsia" w:hAnsi="黑体"/>
          <w:bCs/>
          <w:color w:val="000000" w:themeColor="text1"/>
          <w14:textFill>
            <w14:solidFill>
              <w14:schemeClr w14:val="tx1"/>
            </w14:solidFill>
          </w14:textFill>
        </w:rPr>
        <w:t>12.</w:t>
      </w:r>
      <w:r>
        <w:rPr>
          <w:rStyle w:val="93"/>
          <w:rFonts w:hint="eastAsia"/>
          <w:color w:val="000000" w:themeColor="text1"/>
          <w14:textFill>
            <w14:solidFill>
              <w14:schemeClr w14:val="tx1"/>
            </w14:solidFill>
          </w14:textFill>
        </w:rPr>
        <w:t xml:space="preserve"> 污染物排放总量控制分析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_Toc225268359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A98BF59">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"_Toc225268360" </w:instrText>
      </w:r>
      <w:r>
        <w:fldChar w:fldCharType="separate"/>
      </w:r>
      <w:r>
        <w:rPr>
          <w:rStyle w:val="93"/>
          <w:rFonts w:hint="eastAsia" w:hAnsi="黑体"/>
          <w:color w:val="000000" w:themeColor="text1"/>
          <w14:textFill>
            <w14:solidFill>
              <w14:schemeClr w14:val="tx1"/>
            </w14:solidFill>
          </w14:textFill>
        </w:rPr>
        <w:t>12.1.</w:t>
      </w:r>
      <w:r>
        <w:rPr>
          <w:rStyle w:val="93"/>
          <w:rFonts w:hint="eastAsia"/>
          <w:color w:val="000000" w:themeColor="text1"/>
          <w14:textFill>
            <w14:solidFill>
              <w14:schemeClr w14:val="tx1"/>
            </w14:solidFill>
          </w14:textFill>
        </w:rPr>
        <w:t xml:space="preserve"> 意义和目的</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0F16E3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"_Toc225268361" </w:instrText>
      </w:r>
      <w:r>
        <w:fldChar w:fldCharType="separate"/>
      </w:r>
      <w:r>
        <w:rPr>
          <w:rStyle w:val="93"/>
          <w:rFonts w:hint="eastAsia" w:hAnsi="黑体"/>
          <w:color w:val="000000" w:themeColor="text1"/>
          <w14:textFill>
            <w14:solidFill>
              <w14:schemeClr w14:val="tx1"/>
            </w14:solidFill>
          </w14:textFill>
        </w:rPr>
        <w:t>12.2.</w:t>
      </w:r>
      <w:r>
        <w:rPr>
          <w:rStyle w:val="93"/>
          <w:rFonts w:hint="eastAsia"/>
          <w:color w:val="000000" w:themeColor="text1"/>
          <w14:textFill>
            <w14:solidFill>
              <w14:schemeClr w14:val="tx1"/>
            </w14:solidFill>
          </w14:textFill>
        </w:rPr>
        <w:t xml:space="preserve"> 原则</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91EB069">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"_Toc225268362" </w:instrText>
      </w:r>
      <w:r>
        <w:fldChar w:fldCharType="separate"/>
      </w:r>
      <w:r>
        <w:rPr>
          <w:rStyle w:val="93"/>
          <w:rFonts w:hint="eastAsia" w:hAnsi="黑体"/>
          <w:color w:val="000000" w:themeColor="text1"/>
          <w14:textFill>
            <w14:solidFill>
              <w14:schemeClr w14:val="tx1"/>
            </w14:solidFill>
          </w14:textFill>
        </w:rPr>
        <w:t>12.3.</w:t>
      </w:r>
      <w:r>
        <w:rPr>
          <w:rStyle w:val="93"/>
          <w:rFonts w:hint="eastAsia"/>
          <w:color w:val="000000" w:themeColor="text1"/>
          <w14:textFill>
            <w14:solidFill>
              <w14:schemeClr w14:val="tx1"/>
            </w14:solidFill>
          </w14:textFill>
        </w:rPr>
        <w:t xml:space="preserve"> 总量控制因子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5962AA53">
      <w:pPr>
        <w:pStyle w:val="50"/>
        <w:tabs>
          <w:tab w:val="right" w:leader="dot" w:pos="9402"/>
        </w:tabs>
        <w:ind w:firstLine="480"/>
        <w:rPr>
          <w:color w:val="000000" w:themeColor="text1"/>
          <w14:textFill>
            <w14:solidFill>
              <w14:schemeClr w14:val="tx1"/>
            </w14:solidFill>
          </w14:textFill>
        </w:rPr>
      </w:pPr>
      <w:r>
        <w:fldChar w:fldCharType="begin"/>
      </w:r>
      <w:r>
        <w:instrText xml:space="preserve"> HYPERLINK \l "_Toc225268363" </w:instrText>
      </w:r>
      <w:r>
        <w:fldChar w:fldCharType="separate"/>
      </w:r>
      <w:r>
        <w:rPr>
          <w:rStyle w:val="93"/>
          <w:rFonts w:hint="eastAsia" w:hAnsi="黑体"/>
          <w:bCs/>
          <w:color w:val="000000" w:themeColor="text1"/>
          <w14:textFill>
            <w14:solidFill>
              <w14:schemeClr w14:val="tx1"/>
            </w14:solidFill>
          </w14:textFill>
        </w:rPr>
        <w:t>13.</w:t>
      </w:r>
      <w:r>
        <w:rPr>
          <w:rStyle w:val="93"/>
          <w:rFonts w:hint="eastAsia"/>
          <w:color w:val="000000" w:themeColor="text1"/>
          <w14:textFill>
            <w14:solidFill>
              <w14:schemeClr w14:val="tx1"/>
            </w14:solidFill>
          </w14:textFill>
        </w:rPr>
        <w:t xml:space="preserve"> 结论</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_Toc225268363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392D077F">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"_Toc225268364" </w:instrText>
      </w:r>
      <w:r>
        <w:fldChar w:fldCharType="separate"/>
      </w:r>
      <w:r>
        <w:rPr>
          <w:rStyle w:val="93"/>
          <w:rFonts w:hint="eastAsia" w:hAnsi="黑体"/>
          <w:color w:val="000000" w:themeColor="text1"/>
          <w14:textFill>
            <w14:solidFill>
              <w14:schemeClr w14:val="tx1"/>
            </w14:solidFill>
          </w14:textFill>
        </w:rPr>
        <w:t>13.1.</w:t>
      </w:r>
      <w:r>
        <w:rPr>
          <w:rStyle w:val="93"/>
          <w:rFonts w:hint="eastAsia"/>
          <w:color w:val="000000" w:themeColor="text1"/>
          <w14:textFill>
            <w14:solidFill>
              <w14:schemeClr w14:val="tx1"/>
            </w14:solidFill>
          </w14:textFill>
        </w:rPr>
        <w:t xml:space="preserve"> 项目概况</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_Toc225268364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F8568B5">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"_Toc225268365" </w:instrText>
      </w:r>
      <w:r>
        <w:fldChar w:fldCharType="separate"/>
      </w:r>
      <w:r>
        <w:rPr>
          <w:rStyle w:val="93"/>
          <w:rFonts w:hint="eastAsia" w:hAnsi="黑体"/>
          <w:color w:val="000000" w:themeColor="text1"/>
          <w14:textFill>
            <w14:solidFill>
              <w14:schemeClr w14:val="tx1"/>
            </w14:solidFill>
          </w14:textFill>
        </w:rPr>
        <w:t>13.2.</w:t>
      </w:r>
      <w:r>
        <w:rPr>
          <w:rStyle w:val="93"/>
          <w:rFonts w:hint="eastAsia"/>
          <w:color w:val="000000" w:themeColor="text1"/>
          <w14:textFill>
            <w14:solidFill>
              <w14:schemeClr w14:val="tx1"/>
            </w14:solidFill>
          </w14:textFill>
        </w:rPr>
        <w:t xml:space="preserve"> 项目建设可行性分析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_Toc225268365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C0EABDE">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"_Toc225268366" </w:instrText>
      </w:r>
      <w:r>
        <w:fldChar w:fldCharType="separate"/>
      </w:r>
      <w:r>
        <w:rPr>
          <w:rStyle w:val="93"/>
          <w:rFonts w:hint="eastAsia" w:hAnsi="黑体"/>
          <w:color w:val="000000" w:themeColor="text1"/>
          <w14:textFill>
            <w14:solidFill>
              <w14:schemeClr w14:val="tx1"/>
            </w14:solidFill>
          </w14:textFill>
        </w:rPr>
        <w:t>13.3.</w:t>
      </w:r>
      <w:r>
        <w:rPr>
          <w:rStyle w:val="93"/>
          <w:rFonts w:hint="eastAsia"/>
          <w:color w:val="000000" w:themeColor="text1"/>
          <w14:textFill>
            <w14:solidFill>
              <w14:schemeClr w14:val="tx1"/>
            </w14:solidFill>
          </w14:textFill>
        </w:rPr>
        <w:t xml:space="preserve"> 环境质量现状结论</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_Toc225268366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9E41B66">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"_Toc225268367" </w:instrText>
      </w:r>
      <w:r>
        <w:fldChar w:fldCharType="separate"/>
      </w:r>
      <w:r>
        <w:rPr>
          <w:rStyle w:val="93"/>
          <w:rFonts w:hint="eastAsia" w:hAnsi="黑体"/>
          <w:color w:val="000000" w:themeColor="text1"/>
          <w14:textFill>
            <w14:solidFill>
              <w14:schemeClr w14:val="tx1"/>
            </w14:solidFill>
          </w14:textFill>
        </w:rPr>
        <w:t>13.4.</w:t>
      </w:r>
      <w:r>
        <w:rPr>
          <w:rStyle w:val="93"/>
          <w:rFonts w:hint="eastAsia"/>
          <w:color w:val="000000" w:themeColor="text1"/>
          <w14:textFill>
            <w14:solidFill>
              <w14:schemeClr w14:val="tx1"/>
            </w14:solidFill>
          </w14:textFill>
        </w:rPr>
        <w:t xml:space="preserve"> 环境影响预测结论</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_Toc225268367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EFBD0ED">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"_Toc225268368" </w:instrText>
      </w:r>
      <w:r>
        <w:fldChar w:fldCharType="separate"/>
      </w:r>
      <w:r>
        <w:rPr>
          <w:rStyle w:val="93"/>
          <w:rFonts w:hint="eastAsia" w:hAnsi="黑体"/>
          <w:color w:val="000000" w:themeColor="text1"/>
          <w14:textFill>
            <w14:solidFill>
              <w14:schemeClr w14:val="tx1"/>
            </w14:solidFill>
          </w14:textFill>
        </w:rPr>
        <w:t>13.5.</w:t>
      </w:r>
      <w:r>
        <w:rPr>
          <w:rStyle w:val="93"/>
          <w:rFonts w:hint="eastAsia"/>
          <w:color w:val="000000" w:themeColor="text1"/>
          <w14:textFill>
            <w14:solidFill>
              <w14:schemeClr w14:val="tx1"/>
            </w14:solidFill>
          </w14:textFill>
        </w:rPr>
        <w:t xml:space="preserve"> 污染物排放及防治措施</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_Toc225268368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D8AE8C5">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"_Toc225268369" </w:instrText>
      </w:r>
      <w:r>
        <w:fldChar w:fldCharType="separate"/>
      </w:r>
      <w:r>
        <w:rPr>
          <w:rStyle w:val="93"/>
          <w:rFonts w:hint="eastAsia" w:hAnsi="黑体"/>
          <w:color w:val="000000" w:themeColor="text1"/>
          <w14:textFill>
            <w14:solidFill>
              <w14:schemeClr w14:val="tx1"/>
            </w14:solidFill>
          </w14:textFill>
        </w:rPr>
        <w:t>13.6.</w:t>
      </w:r>
      <w:r>
        <w:rPr>
          <w:rStyle w:val="93"/>
          <w:rFonts w:hint="eastAsia"/>
          <w:color w:val="000000" w:themeColor="text1"/>
          <w14:textFill>
            <w14:solidFill>
              <w14:schemeClr w14:val="tx1"/>
            </w14:solidFill>
          </w14:textFill>
        </w:rPr>
        <w:t xml:space="preserve"> 总量控制</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_Toc225268369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5108AC9">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"_Toc225268370" </w:instrText>
      </w:r>
      <w:r>
        <w:fldChar w:fldCharType="separate"/>
      </w:r>
      <w:r>
        <w:rPr>
          <w:rStyle w:val="93"/>
          <w:rFonts w:hint="eastAsia" w:hAnsi="黑体"/>
          <w:color w:val="000000" w:themeColor="text1"/>
          <w14:textFill>
            <w14:solidFill>
              <w14:schemeClr w14:val="tx1"/>
            </w14:solidFill>
          </w14:textFill>
        </w:rPr>
        <w:t>13.7.</w:t>
      </w:r>
      <w:r>
        <w:rPr>
          <w:rStyle w:val="93"/>
          <w:rFonts w:hint="eastAsia"/>
          <w:color w:val="000000" w:themeColor="text1"/>
          <w14:textFill>
            <w14:solidFill>
              <w14:schemeClr w14:val="tx1"/>
            </w14:solidFill>
          </w14:textFill>
        </w:rPr>
        <w:t xml:space="preserve"> 环境影响损益分析</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_Toc225268370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6A903DC">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"_Toc225268371" </w:instrText>
      </w:r>
      <w:r>
        <w:fldChar w:fldCharType="separate"/>
      </w:r>
      <w:r>
        <w:rPr>
          <w:rStyle w:val="93"/>
          <w:rFonts w:hint="eastAsia" w:hAnsi="黑体"/>
          <w:color w:val="000000" w:themeColor="text1"/>
          <w14:textFill>
            <w14:solidFill>
              <w14:schemeClr w14:val="tx1"/>
            </w14:solidFill>
          </w14:textFill>
        </w:rPr>
        <w:t>13.8.</w:t>
      </w:r>
      <w:r>
        <w:rPr>
          <w:rStyle w:val="93"/>
          <w:rFonts w:hint="eastAsia"/>
          <w:color w:val="000000" w:themeColor="text1"/>
          <w14:textFill>
            <w14:solidFill>
              <w14:schemeClr w14:val="tx1"/>
            </w14:solidFill>
          </w14:textFill>
        </w:rPr>
        <w:t xml:space="preserve"> 综合结论</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_Toc225268371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D05C34D">
      <w:pPr>
        <w:pStyle w:val="62"/>
        <w:tabs>
          <w:tab w:val="right" w:leader="dot" w:pos="9402"/>
        </w:tabs>
        <w:ind w:left="480" w:firstLine="480"/>
        <w:rPr>
          <w:color w:val="000000" w:themeColor="text1"/>
          <w14:textFill>
            <w14:solidFill>
              <w14:schemeClr w14:val="tx1"/>
            </w14:solidFill>
          </w14:textFill>
        </w:rPr>
      </w:pPr>
      <w:r>
        <w:fldChar w:fldCharType="begin"/>
      </w:r>
      <w:r>
        <w:instrText xml:space="preserve"> HYPERLINK \l "_Toc225268372" </w:instrText>
      </w:r>
      <w:r>
        <w:fldChar w:fldCharType="separate"/>
      </w:r>
      <w:r>
        <w:rPr>
          <w:rStyle w:val="93"/>
          <w:rFonts w:hint="eastAsia" w:hAnsi="黑体"/>
          <w:color w:val="000000" w:themeColor="text1"/>
          <w14:textFill>
            <w14:solidFill>
              <w14:schemeClr w14:val="tx1"/>
            </w14:solidFill>
          </w14:textFill>
        </w:rPr>
        <w:t>13.9.</w:t>
      </w:r>
      <w:r>
        <w:rPr>
          <w:rStyle w:val="93"/>
          <w:rFonts w:hint="eastAsia"/>
          <w:color w:val="000000" w:themeColor="text1"/>
          <w14:textFill>
            <w14:solidFill>
              <w14:schemeClr w14:val="tx1"/>
            </w14:solidFill>
          </w14:textFill>
        </w:rPr>
        <w:t xml:space="preserve"> 要求与建议</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_Toc225268372 \h</w:instrText>
      </w:r>
      <w:r>
        <w:rPr>
          <w:rFonts w:hint="eastAsia"/>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398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F794A36">
      <w:pPr>
        <w:pStyle w:val="669"/>
        <w:tabs>
          <w:tab w:val="right" w:leader="dot" w:pos="8306"/>
        </w:tabs>
        <w:spacing w:line="360" w:lineRule="auto"/>
        <w:ind w:firstLine="480"/>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fldChar w:fldCharType="end"/>
      </w:r>
    </w:p>
    <w:p w14:paraId="0B20C9B8">
      <w:pPr>
        <w:ind w:firstLine="480"/>
        <w:rPr>
          <w:rFonts w:eastAsia="仿宋"/>
          <w:color w:val="000000" w:themeColor="text1"/>
          <w14:textFill>
            <w14:solidFill>
              <w14:schemeClr w14:val="tx1"/>
            </w14:solidFill>
          </w14:textFill>
        </w:rPr>
      </w:pPr>
    </w:p>
    <w:p w14:paraId="03E751FE">
      <w:pPr>
        <w:ind w:firstLine="480"/>
        <w:rPr>
          <w:rFonts w:eastAsia="仿宋"/>
          <w:color w:val="000000" w:themeColor="text1"/>
          <w14:textFill>
            <w14:solidFill>
              <w14:schemeClr w14:val="tx1"/>
            </w14:solidFill>
          </w14:textFill>
        </w:rPr>
        <w:sectPr>
          <w:headerReference r:id="rId12" w:type="first"/>
          <w:footerReference r:id="rId14" w:type="first"/>
          <w:headerReference r:id="rId11" w:type="default"/>
          <w:footerReference r:id="rId13" w:type="default"/>
          <w:type w:val="nextColumn"/>
          <w:pgSz w:w="11906" w:h="16838"/>
          <w:pgMar w:top="1418" w:right="1247" w:bottom="1418" w:left="1247" w:header="964" w:footer="964" w:gutter="0"/>
          <w:pgNumType w:fmt="upperRoman" w:start="1"/>
          <w:cols w:space="720" w:num="1"/>
          <w:docGrid w:linePitch="312" w:charSpace="0"/>
        </w:sectPr>
      </w:pPr>
    </w:p>
    <w:p w14:paraId="5C412EF3">
      <w:pPr>
        <w:pStyle w:val="2"/>
        <w:rPr>
          <w:rFonts w:ascii="Times New Roman" w:cs="Times New Roman"/>
          <w:color w:val="000000" w:themeColor="text1"/>
          <w14:textFill>
            <w14:solidFill>
              <w14:schemeClr w14:val="tx1"/>
            </w14:solidFill>
          </w14:textFill>
        </w:rPr>
      </w:pPr>
      <w:bookmarkStart w:id="11" w:name="_Toc225268268"/>
      <w:r>
        <w:rPr>
          <w:rFonts w:ascii="Times New Roman" w:cs="Times New Roman"/>
          <w:color w:val="000000" w:themeColor="text1"/>
          <w14:textFill>
            <w14:solidFill>
              <w14:schemeClr w14:val="tx1"/>
            </w14:solidFill>
          </w14:textFill>
        </w:rPr>
        <w:t>概述</w:t>
      </w:r>
      <w:bookmarkEnd w:id="1"/>
      <w:bookmarkEnd w:id="11"/>
    </w:p>
    <w:p w14:paraId="4BB30A86">
      <w:pPr>
        <w:pStyle w:val="3"/>
        <w:rPr>
          <w:rFonts w:ascii="Times New Roman" w:cs="Times New Roman"/>
          <w:color w:val="000000" w:themeColor="text1"/>
          <w14:textFill>
            <w14:solidFill>
              <w14:schemeClr w14:val="tx1"/>
            </w14:solidFill>
          </w14:textFill>
        </w:rPr>
      </w:pPr>
      <w:bookmarkStart w:id="12" w:name="_Toc225268269"/>
      <w:r>
        <w:rPr>
          <w:rFonts w:ascii="Times New Roman" w:cs="Times New Roman"/>
          <w:color w:val="000000" w:themeColor="text1"/>
          <w14:textFill>
            <w14:solidFill>
              <w14:schemeClr w14:val="tx1"/>
            </w14:solidFill>
          </w14:textFill>
        </w:rPr>
        <w:t>建设项目背景及其特点</w:t>
      </w:r>
      <w:bookmarkEnd w:id="12"/>
    </w:p>
    <w:p w14:paraId="2EA7A64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项目的建设背景及意义</w:t>
      </w:r>
    </w:p>
    <w:p w14:paraId="03E14020">
      <w:pPr>
        <w:ind w:firstLine="480"/>
        <w:rPr>
          <w:color w:val="000000" w:themeColor="text1"/>
          <w14:textFill>
            <w14:solidFill>
              <w14:schemeClr w14:val="tx1"/>
            </w14:solidFill>
          </w14:textFill>
        </w:rPr>
      </w:pPr>
      <w:r>
        <w:rPr>
          <w:color w:val="000000" w:themeColor="text1"/>
          <w14:textFill>
            <w14:solidFill>
              <w14:schemeClr w14:val="tx1"/>
            </w14:solidFill>
          </w14:textFill>
        </w:rPr>
        <w:t>国内各工业园区内有众多</w:t>
      </w:r>
      <w:r>
        <w:rPr>
          <w:rFonts w:hint="eastAsia"/>
          <w:color w:val="000000" w:themeColor="text1"/>
          <w14:textFill>
            <w14:solidFill>
              <w14:schemeClr w14:val="tx1"/>
            </w14:solidFill>
          </w14:textFill>
        </w:rPr>
        <w:t>煤化工、</w:t>
      </w:r>
      <w:r>
        <w:rPr>
          <w:color w:val="000000" w:themeColor="text1"/>
          <w14:textFill>
            <w14:solidFill>
              <w14:schemeClr w14:val="tx1"/>
            </w14:solidFill>
          </w14:textFill>
        </w:rPr>
        <w:t>农药、制药、精细化工、印染等生产企业，这些企业化工物料在酸、碱条件下的化学反应、盐析、固色处理和其他化学反应等工段产生的高含盐废水，经生化、蒸发、结晶等工艺处理，最终会产生</w:t>
      </w:r>
      <w:r>
        <w:rPr>
          <w:rFonts w:eastAsia="Times New Roman"/>
          <w:color w:val="000000" w:themeColor="text1"/>
          <w:lang w:bidi="en-US"/>
          <w14:textFill>
            <w14:solidFill>
              <w14:schemeClr w14:val="tx1"/>
            </w14:solidFill>
          </w14:textFill>
        </w:rPr>
        <w:t>NaCl</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Na</w:t>
      </w:r>
      <w:r>
        <w:rPr>
          <w:rFonts w:eastAsia="Times New Roman"/>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SO</w:t>
      </w:r>
      <w:r>
        <w:rPr>
          <w:rFonts w:eastAsia="Times New Roman"/>
          <w:color w:val="000000" w:themeColor="text1"/>
          <w:sz w:val="15"/>
          <w:szCs w:val="15"/>
          <w:lang w:bidi="en-US"/>
          <w14:textFill>
            <w14:solidFill>
              <w14:schemeClr w14:val="tx1"/>
            </w14:solidFill>
          </w14:textFill>
        </w:rPr>
        <w:t>4</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Na</w:t>
      </w:r>
      <w:r>
        <w:rPr>
          <w:rFonts w:hint="eastAsia" w:eastAsiaTheme="minorEastAsia"/>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SO</w:t>
      </w:r>
      <w:r>
        <w:rPr>
          <w:rFonts w:eastAsia="Times New Roman"/>
          <w:color w:val="000000" w:themeColor="text1"/>
          <w:sz w:val="15"/>
          <w:szCs w:val="15"/>
          <w:lang w:bidi="en-US"/>
          <w14:textFill>
            <w14:solidFill>
              <w14:schemeClr w14:val="tx1"/>
            </w14:solidFill>
          </w14:textFill>
        </w:rPr>
        <w:t>3</w:t>
      </w:r>
      <w:r>
        <w:rPr>
          <w:color w:val="000000" w:themeColor="text1"/>
          <w14:textFill>
            <w14:solidFill>
              <w14:schemeClr w14:val="tx1"/>
            </w14:solidFill>
          </w14:textFill>
        </w:rPr>
        <w:t>等一种或多种无机盐及有机污染物的混合物，属于危险废物。但由于目前现有的危险废物处置单位均不能有效去除废盐中的有机物，处理后生成的盐无法作为其它企业的原料，导致企业产生的废盐只能按危险废物管理的要求存放在危废暂存库中，由于无处置去向，目前废盐渣库存量很大，大部分生产企业盐满为患。这种废盐渣长期堆积不仅占用土地，还对环境造成巨大威胁，可溶性盐流失，盐化周围土壤，危及周围植被，同时对周边水源和农田造成污染，而直接向江河中倾倒则严重污染水源，直接威胁下游水质安全。</w:t>
      </w:r>
    </w:p>
    <w:p w14:paraId="4AC38C77">
      <w:pPr>
        <w:ind w:firstLine="480"/>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十四五</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期间，我国废盐产量将达到</w:t>
      </w:r>
      <w:r>
        <w:rPr>
          <w:rFonts w:eastAsia="Times New Roman"/>
          <w:color w:val="000000" w:themeColor="text1"/>
          <w14:textFill>
            <w14:solidFill>
              <w14:schemeClr w14:val="tx1"/>
            </w14:solidFill>
          </w14:textFill>
        </w:rPr>
        <w:t>4000</w:t>
      </w:r>
      <w:r>
        <w:rPr>
          <w:color w:val="000000" w:themeColor="text1"/>
          <w14:textFill>
            <w14:solidFill>
              <w14:schemeClr w14:val="tx1"/>
            </w14:solidFill>
          </w14:textFill>
        </w:rPr>
        <w:t>万吨，产生的大量废盐按照危险废物进行处置。但目前由于技术问题，全国废盐的处置已形成严重困扰产废企业生产和可持续发展的瓶颈问题，废盐绿色循环已成为化工产业亟需解决的问题。为此，建设单位通过大量市场调研，决定采用</w:t>
      </w:r>
      <w:r>
        <w:rPr>
          <w:rFonts w:hint="eastAsia"/>
          <w:color w:val="000000" w:themeColor="text1"/>
          <w14:textFill>
            <w14:solidFill>
              <w14:schemeClr w14:val="tx1"/>
            </w14:solidFill>
          </w14:textFill>
        </w:rPr>
        <w:t>热解焙烧工艺</w:t>
      </w:r>
      <w:r>
        <w:rPr>
          <w:color w:val="000000" w:themeColor="text1"/>
          <w14:textFill>
            <w14:solidFill>
              <w14:schemeClr w14:val="tx1"/>
            </w14:solidFill>
          </w14:textFill>
        </w:rPr>
        <w:t xml:space="preserve">去除化工废盐中的有害毒物， </w:t>
      </w:r>
      <w:r>
        <w:rPr>
          <w:rFonts w:hint="eastAsia"/>
          <w:color w:val="000000" w:themeColor="text1"/>
          <w14:textFill>
            <w14:solidFill>
              <w14:schemeClr w14:val="tx1"/>
            </w14:solidFill>
          </w14:textFill>
        </w:rPr>
        <w:t>处置后用于生产融雪剂，</w:t>
      </w:r>
      <w:r>
        <w:rPr>
          <w:color w:val="000000" w:themeColor="text1"/>
          <w14:textFill>
            <w14:solidFill>
              <w14:schemeClr w14:val="tx1"/>
            </w14:solidFill>
          </w14:textFill>
        </w:rPr>
        <w:t>资源化利用率高。</w:t>
      </w:r>
    </w:p>
    <w:p w14:paraId="6183324D">
      <w:pPr>
        <w:ind w:firstLine="480"/>
        <w:rPr>
          <w:color w:val="000000" w:themeColor="text1"/>
          <w14:textFill>
            <w14:solidFill>
              <w14:schemeClr w14:val="tx1"/>
            </w14:solidFill>
          </w14:textFill>
        </w:rPr>
      </w:pPr>
      <w:r>
        <w:rPr>
          <w:color w:val="000000" w:themeColor="text1"/>
          <w14:textFill>
            <w14:solidFill>
              <w14:schemeClr w14:val="tx1"/>
            </w14:solidFill>
          </w14:textFill>
        </w:rPr>
        <w:t>新疆华瑞化工技术有限公司位于乌鲁木齐甘泉堡经济技术开发区（工业区）化工园区，</w:t>
      </w:r>
      <w:r>
        <w:rPr>
          <w:rFonts w:hint="eastAsia"/>
          <w:color w:val="000000" w:themeColor="text1"/>
          <w14:textFill>
            <w14:solidFill>
              <w14:schemeClr w14:val="tx1"/>
            </w14:solidFill>
          </w14:textFill>
        </w:rPr>
        <w:t>公司拟投资</w:t>
      </w:r>
      <w:r>
        <w:rPr>
          <w:color w:val="000000" w:themeColor="text1"/>
          <w14:textFill>
            <w14:solidFill>
              <w14:schemeClr w14:val="tx1"/>
            </w14:solidFill>
          </w14:textFill>
        </w:rPr>
        <w:t>5000万元</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甘泉堡经开区华瑞化工年产5万吨工业废盐回收项目</w:t>
      </w:r>
      <w:r>
        <w:rPr>
          <w:rFonts w:hint="eastAsia"/>
          <w:color w:val="000000" w:themeColor="text1"/>
          <w14:textFill>
            <w14:solidFill>
              <w14:schemeClr w14:val="tx1"/>
            </w14:solidFill>
          </w14:textFill>
        </w:rPr>
        <w:t>，该项目</w:t>
      </w:r>
      <w:r>
        <w:rPr>
          <w:color w:val="000000" w:themeColor="text1"/>
          <w14:textFill>
            <w14:solidFill>
              <w14:schemeClr w14:val="tx1"/>
            </w14:solidFill>
          </w14:textFill>
        </w:rPr>
        <w:t>设计废盐接收</w:t>
      </w:r>
      <w:r>
        <w:rPr>
          <w:rFonts w:hint="eastAsia"/>
          <w:color w:val="000000" w:themeColor="text1"/>
          <w14:textFill>
            <w14:solidFill>
              <w14:schemeClr w14:val="tx1"/>
            </w14:solidFill>
          </w14:textFill>
        </w:rPr>
        <w:t>处置</w:t>
      </w:r>
      <w:r>
        <w:rPr>
          <w:color w:val="000000" w:themeColor="text1"/>
          <w14:textFill>
            <w14:solidFill>
              <w14:schemeClr w14:val="tx1"/>
            </w14:solidFill>
          </w14:textFill>
        </w:rPr>
        <w:t>量为5万吨/年，主要为乌鲁木齐甘泉堡经济技术开发区内企业，并辐射周边企业及园区(以处理乌鲁木齐市辖区内废盐为主)。建设1条热解焙烧窑焚烧处理废盐生产线，包含进料系统、盐渣热解系统、焚烧系统、烟气净化处理系统，处理量约为6.25t/h，年工作时数8000小时。同时建设1条融雪剂生产线，以项目处置后的废盐为原料，生产融雪剂，具备年产融雪剂46000t的规模。</w:t>
      </w:r>
    </w:p>
    <w:p w14:paraId="012DAE43">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华人民共和国环境保护法》《中华人民共和国环境影响评价法》和《建设项目环境保护管理条例》（国务院682号令）等有关法律文件的规定和精神，建设项目在可行性研究的同时应对该项目进行环境影响评价。根据《建设项目环境影响评价分类管理名录》（2021年版），本项目属于“四十七、生态保护和环境治理业—101.危险废物（不含医疗废物）利用及处置”，应当编制环境影响评价报告书。按照上述法律法规对建设项目的管理要求，新疆华瑞化工技术有限公司委托我单位对该项目进行环境影响评价工作。</w:t>
      </w:r>
    </w:p>
    <w:p w14:paraId="5082DE3C">
      <w:pPr>
        <w:pStyle w:val="4"/>
        <w:rPr>
          <w:color w:val="000000" w:themeColor="text1"/>
          <w14:textFill>
            <w14:solidFill>
              <w14:schemeClr w14:val="tx1"/>
            </w14:solidFill>
          </w14:textFill>
        </w:rPr>
      </w:pPr>
      <w:r>
        <w:rPr>
          <w:color w:val="000000" w:themeColor="text1"/>
          <w14:textFill>
            <w14:solidFill>
              <w14:schemeClr w14:val="tx1"/>
            </w14:solidFill>
          </w14:textFill>
        </w:rPr>
        <w:t>项目的特点</w:t>
      </w:r>
    </w:p>
    <w:p w14:paraId="47948FD8">
      <w:pPr>
        <w:pStyle w:val="38"/>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（1）本项目属于危险废物治理行业（N7724），服务对象为乌鲁木齐市及周边地区产生废盐的企业。项目拟建1条废盐处置生产线，采用“</w:t>
      </w:r>
      <w:r>
        <w:rPr>
          <w:rFonts w:hint="eastAsia" w:ascii="Times New Roman" w:hAnsi="Times New Roman"/>
          <w:color w:val="000000" w:themeColor="text1"/>
          <w:sz w:val="24"/>
          <w14:textFill>
            <w14:solidFill>
              <w14:schemeClr w14:val="tx1"/>
            </w14:solidFill>
          </w14:textFill>
        </w:rPr>
        <w:t>热解焚烧</w:t>
      </w:r>
      <w:r>
        <w:rPr>
          <w:rFonts w:ascii="Times New Roman" w:hAnsi="Times New Roman"/>
          <w:color w:val="000000" w:themeColor="text1"/>
          <w:sz w:val="24"/>
          <w14:textFill>
            <w14:solidFill>
              <w14:schemeClr w14:val="tx1"/>
            </w14:solidFill>
          </w14:textFill>
        </w:rPr>
        <w:t>法”对废盐进行处置。</w:t>
      </w:r>
    </w:p>
    <w:p w14:paraId="4457D880">
      <w:pPr>
        <w:pStyle w:val="38"/>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本项目属于《产业结构调整指导目录》（2024年本）鼓励类-四十二类中环境保护与资源节约综合利用-“10.工业“三废”循环利用：“三废”综合利用与治理技术、装备和工程，“三废”处理用生物菌种和添加剂开发与生产，废水高效循环利用技术应用，工业难降解有机废水循环利用、高盐废水循环利用、循环水回收利用、高效分离膜材料、高效催化氧化材料等技术装备，高盐废水和工业副产盐的资源化利用，轻烃类石化副产物综合利用技术装备，硫回收装备(低温克劳斯法)”，符合产业政策要求。</w:t>
      </w:r>
    </w:p>
    <w:p w14:paraId="6043D376">
      <w:pPr>
        <w:pStyle w:val="38"/>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3</w:t>
      </w:r>
      <w:r>
        <w:rPr>
          <w:rFonts w:ascii="Times New Roman" w:hAnsi="Times New Roman"/>
          <w:color w:val="000000" w:themeColor="text1"/>
          <w:sz w:val="24"/>
          <w14:textFill>
            <w14:solidFill>
              <w14:schemeClr w14:val="tx1"/>
            </w14:solidFill>
          </w14:textFill>
        </w:rPr>
        <w:t>）</w:t>
      </w:r>
      <w:r>
        <w:rPr>
          <w:color w:val="000000" w:themeColor="text1"/>
          <w:sz w:val="24"/>
          <w:szCs w:val="24"/>
          <w14:textFill>
            <w14:solidFill>
              <w14:schemeClr w14:val="tx1"/>
            </w14:solidFill>
          </w14:textFill>
        </w:rPr>
        <w:t>废盐仓库储存、配伍过程会产生挥发性有机废气</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废盐仓库</w:t>
      </w:r>
      <w:r>
        <w:rPr>
          <w:rFonts w:hint="eastAsia"/>
          <w:color w:val="000000" w:themeColor="text1"/>
          <w:sz w:val="24"/>
          <w:szCs w:val="24"/>
          <w14:textFill>
            <w14:solidFill>
              <w14:schemeClr w14:val="tx1"/>
            </w14:solidFill>
          </w14:textFill>
        </w:rPr>
        <w:t>为封闭式</w:t>
      </w:r>
      <w:r>
        <w:rPr>
          <w:color w:val="000000" w:themeColor="text1"/>
          <w:sz w:val="24"/>
          <w:szCs w:val="24"/>
          <w14:textFill>
            <w14:solidFill>
              <w14:schemeClr w14:val="tx1"/>
            </w14:solidFill>
          </w14:textFill>
        </w:rPr>
        <w:t>，采用负压操作系统收集，经二级活性炭吸附装置净化处理后经高15m的排气筒</w:t>
      </w:r>
      <w:r>
        <w:rPr>
          <w:rFonts w:hint="eastAsia"/>
          <w:color w:val="000000" w:themeColor="text1"/>
          <w:sz w:val="24"/>
          <w:szCs w:val="24"/>
          <w14:textFill>
            <w14:solidFill>
              <w14:schemeClr w14:val="tx1"/>
            </w14:solidFill>
          </w14:textFill>
        </w:rPr>
        <w:t>DA001</w:t>
      </w:r>
      <w:r>
        <w:rPr>
          <w:color w:val="000000" w:themeColor="text1"/>
          <w:sz w:val="24"/>
          <w:szCs w:val="24"/>
          <w14:textFill>
            <w14:solidFill>
              <w14:schemeClr w14:val="tx1"/>
            </w14:solidFill>
          </w14:textFill>
        </w:rPr>
        <w:t>排放；</w:t>
      </w:r>
      <w:r>
        <w:rPr>
          <w:rFonts w:hint="eastAsia"/>
          <w:color w:val="000000" w:themeColor="text1"/>
          <w:sz w:val="24"/>
          <w:szCs w:val="24"/>
          <w14:textFill>
            <w14:solidFill>
              <w14:schemeClr w14:val="tx1"/>
            </w14:solidFill>
          </w14:textFill>
        </w:rPr>
        <w:t>车间内</w:t>
      </w:r>
      <w:r>
        <w:rPr>
          <w:color w:val="000000" w:themeColor="text1"/>
          <w:sz w:val="24"/>
          <w:szCs w:val="24"/>
          <w14:textFill>
            <w14:solidFill>
              <w14:schemeClr w14:val="tx1"/>
            </w14:solidFill>
          </w14:textFill>
        </w:rPr>
        <w:t>设置单独封闭的配伍间，并进行抽负压设计，配伍过程产生的废气</w:t>
      </w:r>
      <w:r>
        <w:rPr>
          <w:rFonts w:hint="eastAsia"/>
          <w:color w:val="000000" w:themeColor="text1"/>
          <w:sz w:val="24"/>
          <w:szCs w:val="24"/>
          <w14:textFill>
            <w14:solidFill>
              <w14:schemeClr w14:val="tx1"/>
            </w14:solidFill>
          </w14:textFill>
        </w:rPr>
        <w:t>与废盐仓库废气共用一套废气处理设施</w:t>
      </w:r>
      <w:r>
        <w:rPr>
          <w:color w:val="000000" w:themeColor="text1"/>
          <w:sz w:val="24"/>
          <w:szCs w:val="24"/>
          <w14:textFill>
            <w14:solidFill>
              <w14:schemeClr w14:val="tx1"/>
            </w14:solidFill>
          </w14:textFill>
        </w:rPr>
        <w:t>。废盐处置废气经过</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二燃室（SNCR）+石墨急冷塔+二级碱洗塔+水洗塔+湿电除尘+引风机+活性炭吸附+GGH换热+热风炉（电加热）+SCR</w:t>
      </w:r>
      <w:r>
        <w:rPr>
          <w:rFonts w:hint="eastAsia"/>
          <w:color w:val="000000" w:themeColor="text1"/>
          <w:sz w:val="24"/>
          <w:szCs w:val="24"/>
          <w14:textFill>
            <w14:solidFill>
              <w14:schemeClr w14:val="tx1"/>
            </w14:solidFill>
          </w14:textFill>
        </w:rPr>
        <w:t>”处理后</w:t>
      </w:r>
      <w:r>
        <w:rPr>
          <w:color w:val="000000" w:themeColor="text1"/>
          <w:sz w:val="24"/>
          <w:szCs w:val="24"/>
          <w14:textFill>
            <w14:solidFill>
              <w14:schemeClr w14:val="tx1"/>
            </w14:solidFill>
          </w14:textFill>
        </w:rPr>
        <w:t>，通过</w:t>
      </w:r>
      <w:r>
        <w:rPr>
          <w:rFonts w:hint="eastAsia"/>
          <w:color w:val="000000" w:themeColor="text1"/>
          <w:sz w:val="24"/>
          <w:szCs w:val="24"/>
          <w14:textFill>
            <w14:solidFill>
              <w14:schemeClr w14:val="tx1"/>
            </w14:solidFill>
          </w14:textFill>
        </w:rPr>
        <w:t>50</w:t>
      </w:r>
      <w:r>
        <w:rPr>
          <w:color w:val="000000" w:themeColor="text1"/>
          <w:sz w:val="24"/>
          <w:szCs w:val="24"/>
          <w14:textFill>
            <w14:solidFill>
              <w14:schemeClr w14:val="tx1"/>
            </w14:solidFill>
          </w14:textFill>
        </w:rPr>
        <w:t>m高排气筒</w:t>
      </w:r>
      <w:r>
        <w:rPr>
          <w:rFonts w:hint="eastAsia"/>
          <w:color w:val="000000" w:themeColor="text1"/>
          <w:sz w:val="24"/>
          <w:szCs w:val="24"/>
          <w14:textFill>
            <w14:solidFill>
              <w14:schemeClr w14:val="tx1"/>
            </w14:solidFill>
          </w14:textFill>
        </w:rPr>
        <w:t>DA002</w:t>
      </w:r>
      <w:r>
        <w:rPr>
          <w:color w:val="000000" w:themeColor="text1"/>
          <w:sz w:val="24"/>
          <w:szCs w:val="24"/>
          <w14:textFill>
            <w14:solidFill>
              <w14:schemeClr w14:val="tx1"/>
            </w14:solidFill>
          </w14:textFill>
        </w:rPr>
        <w:t>排放</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热解焙烧窑</w:t>
      </w:r>
      <w:r>
        <w:rPr>
          <w:rFonts w:hint="eastAsia"/>
          <w:color w:val="000000" w:themeColor="text1"/>
          <w:sz w:val="24"/>
          <w:szCs w:val="24"/>
          <w14:textFill>
            <w14:solidFill>
              <w14:schemeClr w14:val="tx1"/>
            </w14:solidFill>
          </w14:textFill>
        </w:rPr>
        <w:t>天然气燃烧采用低氮燃烧器，燃烧烟气经15m高的排气筒DA003排放。氨水储罐设置呼吸阀，呼吸废气经二级水封吸收处理后无组织排放。</w:t>
      </w:r>
    </w:p>
    <w:p w14:paraId="251432B5">
      <w:pPr>
        <w:pStyle w:val="38"/>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烟气处理系统废水中和后排入多效蒸发器处理</w:t>
      </w:r>
      <w:r>
        <w:rPr>
          <w:rFonts w:hint="eastAsia"/>
          <w:color w:val="000000" w:themeColor="text1"/>
          <w:sz w:val="24"/>
          <w:szCs w:val="24"/>
          <w14:textFill>
            <w14:solidFill>
              <w14:schemeClr w14:val="tx1"/>
            </w14:solidFill>
          </w14:textFill>
        </w:rPr>
        <w:t>，冷凝水</w:t>
      </w:r>
      <w:r>
        <w:rPr>
          <w:color w:val="000000" w:themeColor="text1"/>
          <w:sz w:val="24"/>
          <w:szCs w:val="24"/>
          <w14:textFill>
            <w14:solidFill>
              <w14:schemeClr w14:val="tx1"/>
            </w14:solidFill>
          </w14:textFill>
        </w:rPr>
        <w:t>作为水洗塔和急冷塔补水使用</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生活污水经化粪池预处理后排入市政污水管网。循环冷却系统排污水、化验室废水、地面冲洗废水</w:t>
      </w:r>
      <w:r>
        <w:rPr>
          <w:rFonts w:hint="eastAsia"/>
          <w:color w:val="000000" w:themeColor="text1"/>
          <w:sz w:val="24"/>
          <w:szCs w:val="24"/>
          <w14:textFill>
            <w14:solidFill>
              <w14:schemeClr w14:val="tx1"/>
            </w14:solidFill>
          </w14:textFill>
        </w:rPr>
        <w:t>直接</w:t>
      </w:r>
      <w:r>
        <w:rPr>
          <w:color w:val="000000" w:themeColor="text1"/>
          <w:sz w:val="24"/>
          <w:szCs w:val="24"/>
          <w14:textFill>
            <w14:solidFill>
              <w14:schemeClr w14:val="tx1"/>
            </w14:solidFill>
          </w14:textFill>
        </w:rPr>
        <w:t>排入市政污水管网</w:t>
      </w:r>
      <w:r>
        <w:rPr>
          <w:rFonts w:ascii="Times New Roman" w:hAnsi="Times New Roman"/>
          <w:color w:val="000000" w:themeColor="text1"/>
          <w:sz w:val="24"/>
          <w:szCs w:val="24"/>
          <w14:textFill>
            <w14:solidFill>
              <w14:schemeClr w14:val="tx1"/>
            </w14:solidFill>
          </w14:textFill>
        </w:rPr>
        <w:t>。</w:t>
      </w:r>
    </w:p>
    <w:p w14:paraId="12E9FF41">
      <w:pPr>
        <w:pStyle w:val="38"/>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）本项目</w:t>
      </w:r>
      <w:r>
        <w:rPr>
          <w:color w:val="000000" w:themeColor="text1"/>
          <w:sz w:val="24"/>
          <w:szCs w:val="24"/>
          <w14:textFill>
            <w14:solidFill>
              <w14:schemeClr w14:val="tx1"/>
            </w14:solidFill>
          </w14:textFill>
        </w:rPr>
        <w:t>废活性炭、多效蒸发废盐；废气处理设施沉淀池泥渣；废脱硝催化剂；废盐包装袋；化验残渣、化验废液、破损的化验容器；废润滑油及废油桶</w:t>
      </w:r>
      <w:r>
        <w:rPr>
          <w:rFonts w:hint="eastAsia"/>
          <w:color w:val="000000" w:themeColor="text1"/>
          <w:sz w:val="24"/>
          <w:szCs w:val="24"/>
          <w14:textFill>
            <w14:solidFill>
              <w14:schemeClr w14:val="tx1"/>
            </w14:solidFill>
          </w14:textFill>
        </w:rPr>
        <w:t>属于危险废物，</w:t>
      </w:r>
      <w:r>
        <w:rPr>
          <w:color w:val="000000" w:themeColor="text1"/>
          <w:sz w:val="24"/>
          <w:szCs w:val="24"/>
          <w14:textFill>
            <w14:solidFill>
              <w14:schemeClr w14:val="tx1"/>
            </w14:solidFill>
          </w14:textFill>
        </w:rPr>
        <w:t>经收集在厂区危废间暂存后，委托有相关资质的危废处置单位进行收集处置。</w:t>
      </w:r>
      <w:r>
        <w:rPr>
          <w:rFonts w:ascii="Times New Roman" w:hAnsi="Times New Roman"/>
          <w:color w:val="000000" w:themeColor="text1"/>
          <w:sz w:val="24"/>
          <w:szCs w:val="24"/>
          <w14:textFill>
            <w14:solidFill>
              <w14:schemeClr w14:val="tx1"/>
            </w14:solidFill>
          </w14:textFill>
        </w:rPr>
        <w:t>生活垃圾委托环卫部门清运。</w:t>
      </w:r>
    </w:p>
    <w:p w14:paraId="35F22E9D">
      <w:pPr>
        <w:pStyle w:val="38"/>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为危险废物治理项目，对规划相符性、选址可行性要求较高，不与居住、公共设施等其它非工业功能区相混合。本项目选址位于乌鲁木齐市乌鲁木齐甘泉堡经济技术开发区（工业区）化工园区内，规划用地为</w:t>
      </w:r>
      <w:r>
        <w:rPr>
          <w:rFonts w:hint="eastAsia" w:ascii="Times New Roman" w:hAnsi="Times New Roman"/>
          <w:color w:val="000000" w:themeColor="text1"/>
          <w:sz w:val="24"/>
          <w14:textFill>
            <w14:solidFill>
              <w14:schemeClr w14:val="tx1"/>
            </w14:solidFill>
          </w14:textFill>
        </w:rPr>
        <w:t>三类</w:t>
      </w:r>
      <w:r>
        <w:rPr>
          <w:rFonts w:ascii="Times New Roman" w:hAnsi="Times New Roman"/>
          <w:color w:val="000000" w:themeColor="text1"/>
          <w:sz w:val="24"/>
          <w14:textFill>
            <w14:solidFill>
              <w14:schemeClr w14:val="tx1"/>
            </w14:solidFill>
          </w14:textFill>
        </w:rPr>
        <w:t>工业工地，符合相关导则、标准的要求。</w:t>
      </w:r>
    </w:p>
    <w:p w14:paraId="26F31A3F">
      <w:pPr>
        <w:pStyle w:val="3"/>
        <w:rPr>
          <w:color w:val="000000" w:themeColor="text1"/>
          <w14:textFill>
            <w14:solidFill>
              <w14:schemeClr w14:val="tx1"/>
            </w14:solidFill>
          </w14:textFill>
        </w:rPr>
      </w:pPr>
      <w:bookmarkStart w:id="13" w:name="_Toc225268270"/>
      <w:r>
        <w:rPr>
          <w:color w:val="000000" w:themeColor="text1"/>
          <w14:textFill>
            <w14:solidFill>
              <w14:schemeClr w14:val="tx1"/>
            </w14:solidFill>
          </w14:textFill>
        </w:rPr>
        <w:t>环境影响评价工作过程</w:t>
      </w:r>
      <w:bookmarkEnd w:id="13"/>
    </w:p>
    <w:p w14:paraId="5742BB3A">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华人民共和国环境影响评价法》及《建设项目环境保护管理条例》规定及有关环境保护政策法规的要求，新疆华瑞化工技术有限公司委托我单位承担新疆华瑞化工技术有限公司50000吨/年废盐再生项目的环境影响评价工作。</w:t>
      </w:r>
    </w:p>
    <w:p w14:paraId="36157FD4">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本次环境影响评价工作分三个阶段完成，即前期准备、调研和工作方案阶段，分析论证和预测评价阶段，环境影响文件编制阶段。</w:t>
      </w:r>
    </w:p>
    <w:p w14:paraId="71D5C719">
      <w:pPr>
        <w:ind w:firstLine="480"/>
        <w:rPr>
          <w:color w:val="000000" w:themeColor="text1"/>
          <w14:textFill>
            <w14:solidFill>
              <w14:schemeClr w14:val="tx1"/>
            </w14:solidFill>
          </w14:textFill>
        </w:rPr>
      </w:pPr>
      <w:r>
        <w:rPr>
          <w:color w:val="000000" w:themeColor="text1"/>
          <w14:textFill>
            <w14:solidFill>
              <w14:schemeClr w14:val="tx1"/>
            </w14:solidFill>
          </w14:textFill>
        </w:rPr>
        <w:t>接受委托后，</w:t>
      </w:r>
      <w:r>
        <w:rPr>
          <w:color w:val="000000" w:themeColor="text1"/>
          <w:lang w:val="zh-CN"/>
          <w14:textFill>
            <w14:solidFill>
              <w14:schemeClr w14:val="tx1"/>
            </w14:solidFill>
          </w14:textFill>
        </w:rPr>
        <w:t>根据建设单位提供的相关文件和技术资料，</w:t>
      </w:r>
      <w:r>
        <w:rPr>
          <w:color w:val="000000" w:themeColor="text1"/>
          <w14:textFill>
            <w14:solidFill>
              <w14:schemeClr w14:val="tx1"/>
            </w14:solidFill>
          </w14:textFill>
        </w:rPr>
        <w:t>评价单位组织有关环评人员赴现场进行实地踏勘，对评价区范围的自然环境、工业企业及人口分布情况进行了调查，收集了当地水文、地质、气象以及环境现状等资料，协助建设单位按照《环境影响评价公众参与办法》</w:t>
      </w:r>
      <w:r>
        <w:rPr>
          <w:color w:val="000000" w:themeColor="text1"/>
          <w:lang w:val="zh-CN"/>
          <w14:textFill>
            <w14:solidFill>
              <w14:schemeClr w14:val="tx1"/>
            </w14:solidFill>
          </w14:textFill>
        </w:rPr>
        <w:t>开展公众参与工作，根据公众意见和建议，提出了相关的污染治理措施，对建设项目进行了认真细致的工程分析，根据各环境要素的评价等级筛选及其相应评价等级要求，按照最新发布的环境影响评价导则对各环境要素进行了环境影响预测和评价，</w:t>
      </w:r>
      <w:r>
        <w:rPr>
          <w:rFonts w:hint="eastAsia"/>
          <w:color w:val="000000" w:themeColor="text1"/>
          <w:lang w:val="zh-CN"/>
          <w14:textFill>
            <w14:solidFill>
              <w14:schemeClr w14:val="tx1"/>
            </w14:solidFill>
          </w14:textFill>
        </w:rPr>
        <w:t>对</w:t>
      </w:r>
      <w:r>
        <w:rPr>
          <w:color w:val="000000" w:themeColor="text1"/>
          <w:lang w:val="zh-CN"/>
          <w14:textFill>
            <w14:solidFill>
              <w14:schemeClr w14:val="tx1"/>
            </w14:solidFill>
          </w14:textFill>
        </w:rPr>
        <w:t>相应的环境保护措施进行了技术经济论证，在此基础上</w:t>
      </w:r>
      <w:r>
        <w:rPr>
          <w:color w:val="000000" w:themeColor="text1"/>
          <w14:textFill>
            <w14:solidFill>
              <w14:schemeClr w14:val="tx1"/>
            </w14:solidFill>
          </w14:textFill>
        </w:rPr>
        <w:t>编制完成了《新疆华瑞化工技术有限公司甘泉堡经开区华瑞化工年产5万吨工业废盐回收项目环</w:t>
      </w:r>
      <w:r>
        <w:rPr>
          <w:snapToGrid w:val="0"/>
          <w:color w:val="000000" w:themeColor="text1"/>
          <w14:textFill>
            <w14:solidFill>
              <w14:schemeClr w14:val="tx1"/>
            </w14:solidFill>
          </w14:textFill>
        </w:rPr>
        <w:t>境影响报告书</w:t>
      </w:r>
      <w:r>
        <w:rPr>
          <w:color w:val="000000" w:themeColor="text1"/>
          <w14:textFill>
            <w14:solidFill>
              <w14:schemeClr w14:val="tx1"/>
            </w14:solidFill>
          </w14:textFill>
        </w:rPr>
        <w:t>》，提交环境主管部门和专家审查。建设项目编制环境影响报告书，报告书经环境保护行政主管部门批复后，环境影响评价工作即全部结束。环境影响报告书编制工作程序见图1.2-1。</w:t>
      </w:r>
    </w:p>
    <w:p w14:paraId="3143F72E">
      <w:pPr>
        <w:pStyle w:val="207"/>
        <w:ind w:firstLine="0" w:firstLineChars="0"/>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14:textFill>
            <w14:solidFill>
              <w14:schemeClr w14:val="tx1"/>
            </w14:solidFill>
          </w14:textFill>
        </w:rPr>
        <mc:AlternateContent>
          <mc:Choice Requires="wpg">
            <w:drawing>
              <wp:inline distT="0" distB="0" distL="0" distR="0">
                <wp:extent cx="5570220" cy="6510655"/>
                <wp:effectExtent l="0" t="0" r="30480" b="4445"/>
                <wp:docPr id="1" name="组合 151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a:xfrm>
                          <a:off x="0" y="0"/>
                          <a:ext cx="5570220" cy="6510655"/>
                          <a:chOff x="1695" y="1765"/>
                          <a:chExt cx="8523" cy="10144"/>
                        </a:xfrm>
                      </wpg:grpSpPr>
                      <wps:wsp>
                        <wps:cNvPr id="2" name="Rectangle 31325"/>
                        <wps:cNvSpPr>
                          <a:spLocks noChangeArrowheads="1"/>
                        </wps:cNvSpPr>
                        <wps:spPr bwMode="auto">
                          <a:xfrm>
                            <a:off x="3736" y="11325"/>
                            <a:ext cx="4860" cy="584"/>
                          </a:xfrm>
                          <a:prstGeom prst="rect">
                            <a:avLst/>
                          </a:prstGeom>
                          <a:solidFill>
                            <a:srgbClr val="FFFFFF"/>
                          </a:solidFill>
                          <a:ln>
                            <a:noFill/>
                          </a:ln>
                        </wps:spPr>
                        <wps:txbx>
                          <w:txbxContent>
                            <w:p w14:paraId="1CB289A3">
                              <w:pPr>
                                <w:pStyle w:val="313"/>
                                <w:spacing w:line="260" w:lineRule="exact"/>
                                <w:rPr>
                                  <w:rFonts w:hint="eastAsia" w:ascii="黑体" w:hAnsi="黑体" w:eastAsia="黑体"/>
                                  <w:b w:val="0"/>
                                  <w:kern w:val="2"/>
                                </w:rPr>
                              </w:pPr>
                              <w:r>
                                <w:rPr>
                                  <w:rFonts w:hint="eastAsia" w:ascii="黑体" w:hAnsi="黑体" w:eastAsia="黑体"/>
                                  <w:b w:val="0"/>
                                  <w:kern w:val="2"/>
                                </w:rPr>
                                <w:t>图1.2-1  环境影响评价工作程序</w:t>
                              </w:r>
                            </w:p>
                          </w:txbxContent>
                        </wps:txbx>
                        <wps:bodyPr rot="0" vert="horz" wrap="square" lIns="0" tIns="10800" rIns="0" bIns="0" anchor="t" anchorCtr="0" upright="1">
                          <a:noAutofit/>
                        </wps:bodyPr>
                      </wps:wsp>
                      <wps:wsp>
                        <wps:cNvPr id="3" name="Picture 31327"/>
                        <wps:cNvSpPr>
                          <a:spLocks noChangeAspect="1" noChangeArrowheads="1" noTextEdit="1"/>
                        </wps:cNvSpPr>
                        <wps:spPr bwMode="auto">
                          <a:xfrm>
                            <a:off x="1698" y="1765"/>
                            <a:ext cx="8520" cy="9485"/>
                          </a:xfrm>
                          <a:prstGeom prst="rect">
                            <a:avLst/>
                          </a:prstGeom>
                          <a:noFill/>
                          <a:ln w="9525">
                            <a:solidFill>
                              <a:srgbClr val="000000"/>
                            </a:solidFill>
                            <a:prstDash val="sysDot"/>
                            <a:miter lim="800000"/>
                          </a:ln>
                        </wps:spPr>
                        <wps:bodyPr rot="0" vert="horz" wrap="square" lIns="91440" tIns="45720" rIns="91440" bIns="45720" anchor="t" anchorCtr="0" upright="1">
                          <a:noAutofit/>
                        </wps:bodyPr>
                      </wps:wsp>
                      <wps:wsp>
                        <wps:cNvPr id="7" name="Text Box 31328"/>
                        <wps:cNvSpPr txBox="1">
                          <a:spLocks noChangeArrowheads="1"/>
                        </wps:cNvSpPr>
                        <wps:spPr bwMode="auto">
                          <a:xfrm>
                            <a:off x="3811" y="2069"/>
                            <a:ext cx="4133" cy="315"/>
                          </a:xfrm>
                          <a:prstGeom prst="rect">
                            <a:avLst/>
                          </a:prstGeom>
                          <a:solidFill>
                            <a:srgbClr val="FFFFFF"/>
                          </a:solidFill>
                          <a:ln w="9525">
                            <a:solidFill>
                              <a:srgbClr val="000000"/>
                            </a:solidFill>
                            <a:miter lim="800000"/>
                          </a:ln>
                        </wps:spPr>
                        <wps:txbx>
                          <w:txbxContent>
                            <w:p w14:paraId="07FE9141">
                              <w:pPr>
                                <w:spacing w:line="260" w:lineRule="exact"/>
                                <w:ind w:firstLine="0" w:firstLineChars="0"/>
                                <w:jc w:val="center"/>
                                <w:rPr>
                                  <w:rFonts w:cs="宋体-18030"/>
                                  <w:sz w:val="18"/>
                                  <w:szCs w:val="18"/>
                                </w:rPr>
                              </w:pPr>
                              <w:r>
                                <w:rPr>
                                  <w:rFonts w:hint="eastAsia" w:cs="宋体-18030"/>
                                  <w:sz w:val="18"/>
                                  <w:szCs w:val="18"/>
                                </w:rPr>
                                <w:t>依据相关规定确定环境影响评价文件类型</w:t>
                              </w:r>
                            </w:p>
                          </w:txbxContent>
                        </wps:txbx>
                        <wps:bodyPr rot="0" vert="horz" wrap="square" lIns="0" tIns="0" rIns="0" bIns="0" anchor="t" anchorCtr="0" upright="1">
                          <a:noAutofit/>
                        </wps:bodyPr>
                      </wps:wsp>
                      <wps:wsp>
                        <wps:cNvPr id="8" name="Text Box 31330"/>
                        <wps:cNvSpPr txBox="1">
                          <a:spLocks noChangeArrowheads="1"/>
                        </wps:cNvSpPr>
                        <wps:spPr bwMode="auto">
                          <a:xfrm>
                            <a:off x="3821" y="2648"/>
                            <a:ext cx="4123" cy="990"/>
                          </a:xfrm>
                          <a:prstGeom prst="rect">
                            <a:avLst/>
                          </a:prstGeom>
                          <a:solidFill>
                            <a:srgbClr val="FFFFFF"/>
                          </a:solidFill>
                          <a:ln w="9525">
                            <a:solidFill>
                              <a:srgbClr val="000000"/>
                            </a:solidFill>
                            <a:miter lim="800000"/>
                          </a:ln>
                        </wps:spPr>
                        <wps:txbx>
                          <w:txbxContent>
                            <w:p w14:paraId="2D20F315">
                              <w:pPr>
                                <w:spacing w:line="260" w:lineRule="exact"/>
                                <w:ind w:firstLine="0" w:firstLineChars="0"/>
                                <w:rPr>
                                  <w:rFonts w:cs="宋体-18030"/>
                                  <w:sz w:val="18"/>
                                  <w:szCs w:val="18"/>
                                </w:rPr>
                              </w:pPr>
                              <w:r>
                                <w:rPr>
                                  <w:rFonts w:hint="eastAsia" w:cs="宋体-18030"/>
                                  <w:sz w:val="18"/>
                                  <w:szCs w:val="18"/>
                                </w:rPr>
                                <w:t>1研究相关技术文件和其他有关文件</w:t>
                              </w:r>
                            </w:p>
                            <w:p w14:paraId="641A3396">
                              <w:pPr>
                                <w:spacing w:line="260" w:lineRule="exact"/>
                                <w:ind w:firstLine="0" w:firstLineChars="0"/>
                                <w:rPr>
                                  <w:rFonts w:cs="宋体-18030"/>
                                  <w:sz w:val="18"/>
                                  <w:szCs w:val="18"/>
                                </w:rPr>
                              </w:pPr>
                              <w:r>
                                <w:rPr>
                                  <w:rFonts w:hint="eastAsia" w:cs="宋体-18030"/>
                                  <w:sz w:val="18"/>
                                  <w:szCs w:val="18"/>
                                </w:rPr>
                                <w:t>2进行初步工程分析</w:t>
                              </w:r>
                            </w:p>
                            <w:p w14:paraId="5C39DBDB">
                              <w:pPr>
                                <w:spacing w:line="260" w:lineRule="exact"/>
                                <w:ind w:firstLine="0" w:firstLineChars="0"/>
                                <w:rPr>
                                  <w:rFonts w:cs="宋体-18030"/>
                                  <w:sz w:val="18"/>
                                  <w:szCs w:val="18"/>
                                </w:rPr>
                              </w:pPr>
                              <w:r>
                                <w:rPr>
                                  <w:rFonts w:hint="eastAsia" w:cs="宋体-18030"/>
                                  <w:sz w:val="18"/>
                                  <w:szCs w:val="18"/>
                                </w:rPr>
                                <w:t>3开展初步的环境现状调查</w:t>
                              </w:r>
                            </w:p>
                          </w:txbxContent>
                        </wps:txbx>
                        <wps:bodyPr rot="0" vert="horz" wrap="square" lIns="91440" tIns="45720" rIns="91440" bIns="18000" anchor="t" anchorCtr="0" upright="1">
                          <a:noAutofit/>
                        </wps:bodyPr>
                      </wps:wsp>
                      <wps:wsp>
                        <wps:cNvPr id="10" name="Line 31331"/>
                        <wps:cNvCnPr>
                          <a:cxnSpLocks noChangeShapeType="1"/>
                        </wps:cNvCnPr>
                        <wps:spPr bwMode="auto">
                          <a:xfrm>
                            <a:off x="5880" y="2384"/>
                            <a:ext cx="2" cy="283"/>
                          </a:xfrm>
                          <a:prstGeom prst="line">
                            <a:avLst/>
                          </a:prstGeom>
                          <a:noFill/>
                          <a:ln w="9525">
                            <a:solidFill>
                              <a:srgbClr val="000000"/>
                            </a:solidFill>
                            <a:round/>
                            <a:tailEnd type="triangle" w="med" len="med"/>
                          </a:ln>
                        </wps:spPr>
                        <wps:bodyPr/>
                      </wps:wsp>
                      <wps:wsp>
                        <wps:cNvPr id="12" name="Line 31332"/>
                        <wps:cNvCnPr>
                          <a:cxnSpLocks noChangeShapeType="1"/>
                        </wps:cNvCnPr>
                        <wps:spPr bwMode="auto">
                          <a:xfrm>
                            <a:off x="5896" y="3643"/>
                            <a:ext cx="1" cy="283"/>
                          </a:xfrm>
                          <a:prstGeom prst="line">
                            <a:avLst/>
                          </a:prstGeom>
                          <a:noFill/>
                          <a:ln w="9525">
                            <a:solidFill>
                              <a:srgbClr val="000000"/>
                            </a:solidFill>
                            <a:round/>
                            <a:tailEnd type="triangle" w="med" len="med"/>
                          </a:ln>
                        </wps:spPr>
                        <wps:bodyPr/>
                      </wps:wsp>
                      <wps:wsp>
                        <wps:cNvPr id="13" name="Line 31334"/>
                        <wps:cNvCnPr>
                          <a:cxnSpLocks noChangeShapeType="1"/>
                        </wps:cNvCnPr>
                        <wps:spPr bwMode="auto">
                          <a:xfrm>
                            <a:off x="5889" y="4916"/>
                            <a:ext cx="1" cy="283"/>
                          </a:xfrm>
                          <a:prstGeom prst="line">
                            <a:avLst/>
                          </a:prstGeom>
                          <a:noFill/>
                          <a:ln w="9525">
                            <a:solidFill>
                              <a:srgbClr val="000000"/>
                            </a:solidFill>
                            <a:round/>
                            <a:tailEnd type="triangle" w="med" len="med"/>
                          </a:ln>
                        </wps:spPr>
                        <wps:bodyPr/>
                      </wps:wsp>
                      <wps:wsp>
                        <wps:cNvPr id="14" name="Line 31335"/>
                        <wps:cNvCnPr>
                          <a:cxnSpLocks noChangeShapeType="1"/>
                        </wps:cNvCnPr>
                        <wps:spPr bwMode="auto">
                          <a:xfrm>
                            <a:off x="5890" y="5541"/>
                            <a:ext cx="0" cy="539"/>
                          </a:xfrm>
                          <a:prstGeom prst="line">
                            <a:avLst/>
                          </a:prstGeom>
                          <a:noFill/>
                          <a:ln w="9525">
                            <a:solidFill>
                              <a:srgbClr val="000000"/>
                            </a:solidFill>
                            <a:round/>
                            <a:tailEnd type="triangle" w="med" len="med"/>
                          </a:ln>
                        </wps:spPr>
                        <wps:bodyPr/>
                      </wps:wsp>
                      <wps:wsp>
                        <wps:cNvPr id="15" name="Line 31336"/>
                        <wps:cNvCnPr>
                          <a:cxnSpLocks noChangeShapeType="1"/>
                        </wps:cNvCnPr>
                        <wps:spPr bwMode="auto">
                          <a:xfrm>
                            <a:off x="1770" y="5775"/>
                            <a:ext cx="8448" cy="0"/>
                          </a:xfrm>
                          <a:prstGeom prst="line">
                            <a:avLst/>
                          </a:prstGeom>
                          <a:noFill/>
                          <a:ln w="9525">
                            <a:solidFill>
                              <a:srgbClr val="000000"/>
                            </a:solidFill>
                            <a:prstDash val="sysDot"/>
                            <a:round/>
                          </a:ln>
                        </wps:spPr>
                        <wps:bodyPr/>
                      </wps:wsp>
                      <wps:wsp>
                        <wps:cNvPr id="18" name="Line 31338"/>
                        <wps:cNvCnPr>
                          <a:cxnSpLocks noChangeShapeType="1"/>
                        </wps:cNvCnPr>
                        <wps:spPr bwMode="auto">
                          <a:xfrm>
                            <a:off x="1695" y="8745"/>
                            <a:ext cx="8516" cy="0"/>
                          </a:xfrm>
                          <a:prstGeom prst="line">
                            <a:avLst/>
                          </a:prstGeom>
                          <a:noFill/>
                          <a:ln w="9525">
                            <a:solidFill>
                              <a:srgbClr val="000000"/>
                            </a:solidFill>
                            <a:prstDash val="sysDot"/>
                            <a:round/>
                          </a:ln>
                        </wps:spPr>
                        <wps:bodyPr/>
                      </wps:wsp>
                      <wps:wsp>
                        <wps:cNvPr id="19" name="Text Box 31339"/>
                        <wps:cNvSpPr txBox="1">
                          <a:spLocks noChangeArrowheads="1"/>
                        </wps:cNvSpPr>
                        <wps:spPr bwMode="auto">
                          <a:xfrm>
                            <a:off x="1785" y="3506"/>
                            <a:ext cx="843" cy="1077"/>
                          </a:xfrm>
                          <a:prstGeom prst="rect">
                            <a:avLst/>
                          </a:prstGeom>
                          <a:solidFill>
                            <a:srgbClr val="FFFFFF"/>
                          </a:solidFill>
                          <a:ln>
                            <a:noFill/>
                          </a:ln>
                        </wps:spPr>
                        <wps:txbx>
                          <w:txbxContent>
                            <w:p w14:paraId="478768D9">
                              <w:pPr>
                                <w:spacing w:line="260" w:lineRule="exact"/>
                                <w:ind w:firstLine="0" w:firstLineChars="0"/>
                                <w:rPr>
                                  <w:sz w:val="18"/>
                                  <w:szCs w:val="18"/>
                                </w:rPr>
                              </w:pPr>
                              <w:r>
                                <w:rPr>
                                  <w:rFonts w:hint="eastAsia"/>
                                  <w:sz w:val="18"/>
                                  <w:szCs w:val="18"/>
                                </w:rPr>
                                <w:t>第一阶段</w:t>
                              </w:r>
                            </w:p>
                          </w:txbxContent>
                        </wps:txbx>
                        <wps:bodyPr rot="0" vert="eaVert" wrap="square" lIns="91440" tIns="45720" rIns="91440" bIns="45720" anchor="t" anchorCtr="0" upright="1">
                          <a:noAutofit/>
                        </wps:bodyPr>
                      </wps:wsp>
                      <wps:wsp>
                        <wps:cNvPr id="20" name="Text Box 31340"/>
                        <wps:cNvSpPr txBox="1">
                          <a:spLocks noChangeArrowheads="1"/>
                        </wps:cNvSpPr>
                        <wps:spPr bwMode="auto">
                          <a:xfrm>
                            <a:off x="1957" y="6422"/>
                            <a:ext cx="671" cy="1279"/>
                          </a:xfrm>
                          <a:prstGeom prst="rect">
                            <a:avLst/>
                          </a:prstGeom>
                          <a:solidFill>
                            <a:srgbClr val="FFFFFF"/>
                          </a:solidFill>
                          <a:ln>
                            <a:noFill/>
                          </a:ln>
                        </wps:spPr>
                        <wps:txbx>
                          <w:txbxContent>
                            <w:p w14:paraId="6E5575AC">
                              <w:pPr>
                                <w:spacing w:line="260" w:lineRule="exact"/>
                                <w:ind w:firstLine="0" w:firstLineChars="0"/>
                                <w:rPr>
                                  <w:sz w:val="18"/>
                                  <w:szCs w:val="18"/>
                                </w:rPr>
                              </w:pPr>
                              <w:r>
                                <w:rPr>
                                  <w:rFonts w:hint="eastAsia"/>
                                  <w:sz w:val="18"/>
                                  <w:szCs w:val="18"/>
                                </w:rPr>
                                <w:t>第二阶段</w:t>
                              </w:r>
                            </w:p>
                          </w:txbxContent>
                        </wps:txbx>
                        <wps:bodyPr rot="0" vert="eaVert" wrap="square" lIns="72000" tIns="45720" rIns="91440" bIns="45720" anchor="t" anchorCtr="0" upright="1">
                          <a:noAutofit/>
                        </wps:bodyPr>
                      </wps:wsp>
                      <wps:wsp>
                        <wps:cNvPr id="21" name="Text Box 31341"/>
                        <wps:cNvSpPr txBox="1">
                          <a:spLocks noChangeArrowheads="1"/>
                        </wps:cNvSpPr>
                        <wps:spPr bwMode="auto">
                          <a:xfrm>
                            <a:off x="1957" y="9583"/>
                            <a:ext cx="671" cy="991"/>
                          </a:xfrm>
                          <a:prstGeom prst="rect">
                            <a:avLst/>
                          </a:prstGeom>
                          <a:solidFill>
                            <a:srgbClr val="FFFFFF"/>
                          </a:solidFill>
                          <a:ln>
                            <a:noFill/>
                          </a:ln>
                        </wps:spPr>
                        <wps:txbx>
                          <w:txbxContent>
                            <w:p w14:paraId="3C68C4B4">
                              <w:pPr>
                                <w:spacing w:line="260" w:lineRule="exact"/>
                                <w:ind w:firstLine="0" w:firstLineChars="0"/>
                                <w:rPr>
                                  <w:sz w:val="18"/>
                                  <w:szCs w:val="18"/>
                                </w:rPr>
                              </w:pPr>
                              <w:r>
                                <w:rPr>
                                  <w:rFonts w:hint="eastAsia"/>
                                  <w:sz w:val="18"/>
                                  <w:szCs w:val="18"/>
                                </w:rPr>
                                <w:t>第三阶段</w:t>
                              </w:r>
                            </w:p>
                          </w:txbxContent>
                        </wps:txbx>
                        <wps:bodyPr rot="0" vert="eaVert" wrap="square" lIns="72000" tIns="45720" rIns="91440" bIns="45720" anchor="t" anchorCtr="0" upright="1">
                          <a:noAutofit/>
                        </wps:bodyPr>
                      </wps:wsp>
                      <wps:wsp>
                        <wps:cNvPr id="22" name="Text Box 31344"/>
                        <wps:cNvSpPr txBox="1">
                          <a:spLocks noChangeArrowheads="1"/>
                        </wps:cNvSpPr>
                        <wps:spPr bwMode="auto">
                          <a:xfrm>
                            <a:off x="4688" y="5199"/>
                            <a:ext cx="2405" cy="325"/>
                          </a:xfrm>
                          <a:prstGeom prst="rect">
                            <a:avLst/>
                          </a:prstGeom>
                          <a:solidFill>
                            <a:srgbClr val="FFFFFF"/>
                          </a:solidFill>
                          <a:ln w="9525">
                            <a:solidFill>
                              <a:srgbClr val="000000"/>
                            </a:solidFill>
                            <a:miter lim="800000"/>
                          </a:ln>
                        </wps:spPr>
                        <wps:txbx>
                          <w:txbxContent>
                            <w:p w14:paraId="63DB1F5B">
                              <w:pPr>
                                <w:spacing w:line="260" w:lineRule="exact"/>
                                <w:ind w:firstLine="0" w:firstLineChars="0"/>
                                <w:jc w:val="center"/>
                                <w:rPr>
                                  <w:rFonts w:cs="宋体-18030"/>
                                  <w:sz w:val="18"/>
                                  <w:szCs w:val="18"/>
                                </w:rPr>
                              </w:pPr>
                              <w:r>
                                <w:rPr>
                                  <w:rFonts w:hint="eastAsia" w:cs="宋体-18030"/>
                                  <w:sz w:val="18"/>
                                  <w:szCs w:val="18"/>
                                </w:rPr>
                                <w:t>制定工作方案</w:t>
                              </w:r>
                            </w:p>
                          </w:txbxContent>
                        </wps:txbx>
                        <wps:bodyPr rot="0" vert="horz" wrap="square" lIns="0" tIns="0" rIns="0" bIns="0" anchor="t" anchorCtr="0" upright="1">
                          <a:noAutofit/>
                        </wps:bodyPr>
                      </wps:wsp>
                      <wps:wsp>
                        <wps:cNvPr id="23" name="AutoShape 31346"/>
                        <wps:cNvCnPr>
                          <a:cxnSpLocks noChangeShapeType="1"/>
                        </wps:cNvCnPr>
                        <wps:spPr bwMode="auto">
                          <a:xfrm>
                            <a:off x="4159" y="6080"/>
                            <a:ext cx="3430" cy="0"/>
                          </a:xfrm>
                          <a:prstGeom prst="straightConnector1">
                            <a:avLst/>
                          </a:prstGeom>
                          <a:noFill/>
                          <a:ln w="9525">
                            <a:solidFill>
                              <a:srgbClr val="000000"/>
                            </a:solidFill>
                            <a:round/>
                          </a:ln>
                        </wps:spPr>
                        <wps:bodyPr/>
                      </wps:wsp>
                      <wps:wsp>
                        <wps:cNvPr id="24" name="AutoShape 31347"/>
                        <wps:cNvCnPr>
                          <a:cxnSpLocks noChangeShapeType="1"/>
                        </wps:cNvCnPr>
                        <wps:spPr bwMode="auto">
                          <a:xfrm>
                            <a:off x="4159" y="6080"/>
                            <a:ext cx="0" cy="193"/>
                          </a:xfrm>
                          <a:prstGeom prst="straightConnector1">
                            <a:avLst/>
                          </a:prstGeom>
                          <a:noFill/>
                          <a:ln w="9525">
                            <a:solidFill>
                              <a:srgbClr val="000000"/>
                            </a:solidFill>
                            <a:round/>
                          </a:ln>
                        </wps:spPr>
                        <wps:bodyPr/>
                      </wps:wsp>
                      <wps:wsp>
                        <wps:cNvPr id="25" name="Text Box 31348"/>
                        <wps:cNvSpPr txBox="1">
                          <a:spLocks noChangeArrowheads="1"/>
                        </wps:cNvSpPr>
                        <wps:spPr bwMode="auto">
                          <a:xfrm>
                            <a:off x="3350" y="6273"/>
                            <a:ext cx="1600" cy="756"/>
                          </a:xfrm>
                          <a:prstGeom prst="rect">
                            <a:avLst/>
                          </a:prstGeom>
                          <a:solidFill>
                            <a:srgbClr val="FFFFFF"/>
                          </a:solidFill>
                          <a:ln w="9525">
                            <a:solidFill>
                              <a:srgbClr val="000000"/>
                            </a:solidFill>
                            <a:miter lim="800000"/>
                          </a:ln>
                        </wps:spPr>
                        <wps:txbx>
                          <w:txbxContent>
                            <w:p w14:paraId="3210361D">
                              <w:pPr>
                                <w:spacing w:line="260" w:lineRule="exact"/>
                                <w:ind w:firstLine="0" w:firstLineChars="0"/>
                                <w:jc w:val="center"/>
                                <w:rPr>
                                  <w:rFonts w:cs="宋体-18030"/>
                                  <w:sz w:val="18"/>
                                  <w:szCs w:val="18"/>
                                </w:rPr>
                              </w:pPr>
                              <w:r>
                                <w:rPr>
                                  <w:rFonts w:hint="eastAsia" w:cs="宋体-18030"/>
                                  <w:sz w:val="18"/>
                                  <w:szCs w:val="18"/>
                                </w:rPr>
                                <w:t>环境现状调查</w:t>
                              </w:r>
                            </w:p>
                            <w:p w14:paraId="32F8C1C4">
                              <w:pPr>
                                <w:spacing w:line="260" w:lineRule="exact"/>
                                <w:ind w:firstLine="0" w:firstLineChars="0"/>
                                <w:jc w:val="center"/>
                                <w:rPr>
                                  <w:rFonts w:cs="宋体-18030"/>
                                  <w:sz w:val="18"/>
                                  <w:szCs w:val="18"/>
                                </w:rPr>
                              </w:pPr>
                              <w:r>
                                <w:rPr>
                                  <w:rFonts w:hint="eastAsia" w:cs="宋体-18030"/>
                                  <w:sz w:val="18"/>
                                  <w:szCs w:val="18"/>
                                </w:rPr>
                                <w:t>监测与评价</w:t>
                              </w:r>
                            </w:p>
                          </w:txbxContent>
                        </wps:txbx>
                        <wps:bodyPr rot="0" vert="horz" wrap="square" lIns="91440" tIns="45720" rIns="91440" bIns="45720" anchor="t" anchorCtr="0" upright="1">
                          <a:noAutofit/>
                        </wps:bodyPr>
                      </wps:wsp>
                      <wps:wsp>
                        <wps:cNvPr id="26" name="AutoShape 31349"/>
                        <wps:cNvCnPr>
                          <a:cxnSpLocks noChangeShapeType="1"/>
                        </wps:cNvCnPr>
                        <wps:spPr bwMode="auto">
                          <a:xfrm>
                            <a:off x="4149" y="7029"/>
                            <a:ext cx="0" cy="193"/>
                          </a:xfrm>
                          <a:prstGeom prst="straightConnector1">
                            <a:avLst/>
                          </a:prstGeom>
                          <a:noFill/>
                          <a:ln w="9525">
                            <a:solidFill>
                              <a:srgbClr val="000000"/>
                            </a:solidFill>
                            <a:round/>
                          </a:ln>
                        </wps:spPr>
                        <wps:bodyPr/>
                      </wps:wsp>
                      <wps:wsp>
                        <wps:cNvPr id="40" name="Text Box 31350"/>
                        <wps:cNvSpPr txBox="1">
                          <a:spLocks noChangeArrowheads="1"/>
                        </wps:cNvSpPr>
                        <wps:spPr bwMode="auto">
                          <a:xfrm>
                            <a:off x="7053" y="6273"/>
                            <a:ext cx="1051" cy="756"/>
                          </a:xfrm>
                          <a:prstGeom prst="rect">
                            <a:avLst/>
                          </a:prstGeom>
                          <a:solidFill>
                            <a:srgbClr val="FFFFFF"/>
                          </a:solidFill>
                          <a:ln w="9525">
                            <a:solidFill>
                              <a:srgbClr val="000000"/>
                            </a:solidFill>
                            <a:miter lim="800000"/>
                          </a:ln>
                        </wps:spPr>
                        <wps:txbx>
                          <w:txbxContent>
                            <w:p w14:paraId="65045F91">
                              <w:pPr>
                                <w:spacing w:line="260" w:lineRule="exact"/>
                                <w:ind w:firstLine="0" w:firstLineChars="0"/>
                                <w:rPr>
                                  <w:rFonts w:cs="宋体-18030"/>
                                  <w:sz w:val="18"/>
                                  <w:szCs w:val="18"/>
                                </w:rPr>
                              </w:pPr>
                              <w:r>
                                <w:rPr>
                                  <w:rFonts w:hint="eastAsia" w:cs="宋体-18030"/>
                                  <w:sz w:val="18"/>
                                  <w:szCs w:val="18"/>
                                </w:rPr>
                                <w:t>建设项目</w:t>
                              </w:r>
                            </w:p>
                            <w:p w14:paraId="73D335EF">
                              <w:pPr>
                                <w:spacing w:line="260" w:lineRule="exact"/>
                                <w:ind w:firstLine="0" w:firstLineChars="0"/>
                                <w:rPr>
                                  <w:rFonts w:cs="宋体-18030"/>
                                  <w:sz w:val="18"/>
                                  <w:szCs w:val="18"/>
                                </w:rPr>
                              </w:pPr>
                              <w:r>
                                <w:rPr>
                                  <w:rFonts w:hint="eastAsia" w:cs="宋体-18030"/>
                                  <w:sz w:val="18"/>
                                  <w:szCs w:val="18"/>
                                </w:rPr>
                                <w:t>工程分析</w:t>
                              </w:r>
                            </w:p>
                          </w:txbxContent>
                        </wps:txbx>
                        <wps:bodyPr rot="0" vert="horz" wrap="square" lIns="91440" tIns="45720" rIns="91440" bIns="45720" anchor="t" anchorCtr="0" upright="1">
                          <a:noAutofit/>
                        </wps:bodyPr>
                      </wps:wsp>
                      <wps:wsp>
                        <wps:cNvPr id="41" name="AutoShape 31351"/>
                        <wps:cNvCnPr>
                          <a:cxnSpLocks noChangeShapeType="1"/>
                        </wps:cNvCnPr>
                        <wps:spPr bwMode="auto">
                          <a:xfrm>
                            <a:off x="7589" y="6080"/>
                            <a:ext cx="0" cy="193"/>
                          </a:xfrm>
                          <a:prstGeom prst="straightConnector1">
                            <a:avLst/>
                          </a:prstGeom>
                          <a:noFill/>
                          <a:ln w="9525">
                            <a:solidFill>
                              <a:srgbClr val="000000"/>
                            </a:solidFill>
                            <a:round/>
                          </a:ln>
                        </wps:spPr>
                        <wps:bodyPr/>
                      </wps:wsp>
                      <wps:wsp>
                        <wps:cNvPr id="42" name="AutoShape 31352"/>
                        <wps:cNvCnPr>
                          <a:cxnSpLocks noChangeShapeType="1"/>
                        </wps:cNvCnPr>
                        <wps:spPr bwMode="auto">
                          <a:xfrm>
                            <a:off x="7589" y="7029"/>
                            <a:ext cx="0" cy="193"/>
                          </a:xfrm>
                          <a:prstGeom prst="straightConnector1">
                            <a:avLst/>
                          </a:prstGeom>
                          <a:noFill/>
                          <a:ln w="9525">
                            <a:solidFill>
                              <a:srgbClr val="000000"/>
                            </a:solidFill>
                            <a:round/>
                          </a:ln>
                        </wps:spPr>
                        <wps:bodyPr/>
                      </wps:wsp>
                      <wps:wsp>
                        <wps:cNvPr id="60" name="AutoShape 31353"/>
                        <wps:cNvCnPr>
                          <a:cxnSpLocks noChangeShapeType="1"/>
                        </wps:cNvCnPr>
                        <wps:spPr bwMode="auto">
                          <a:xfrm>
                            <a:off x="4159" y="7222"/>
                            <a:ext cx="3430" cy="0"/>
                          </a:xfrm>
                          <a:prstGeom prst="straightConnector1">
                            <a:avLst/>
                          </a:prstGeom>
                          <a:noFill/>
                          <a:ln w="9525">
                            <a:solidFill>
                              <a:srgbClr val="000000"/>
                            </a:solidFill>
                            <a:round/>
                          </a:ln>
                        </wps:spPr>
                        <wps:bodyPr/>
                      </wps:wsp>
                      <wps:wsp>
                        <wps:cNvPr id="69" name="Line 31354"/>
                        <wps:cNvCnPr>
                          <a:cxnSpLocks noChangeShapeType="1"/>
                        </wps:cNvCnPr>
                        <wps:spPr bwMode="auto">
                          <a:xfrm>
                            <a:off x="5890" y="7226"/>
                            <a:ext cx="0" cy="539"/>
                          </a:xfrm>
                          <a:prstGeom prst="line">
                            <a:avLst/>
                          </a:prstGeom>
                          <a:noFill/>
                          <a:ln w="9525">
                            <a:solidFill>
                              <a:srgbClr val="000000"/>
                            </a:solidFill>
                            <a:round/>
                            <a:tailEnd type="triangle" w="med" len="med"/>
                          </a:ln>
                        </wps:spPr>
                        <wps:bodyPr/>
                      </wps:wsp>
                      <wps:wsp>
                        <wps:cNvPr id="70" name="Text Box 31355"/>
                        <wps:cNvSpPr txBox="1">
                          <a:spLocks noChangeArrowheads="1"/>
                        </wps:cNvSpPr>
                        <wps:spPr bwMode="auto">
                          <a:xfrm>
                            <a:off x="3828" y="9009"/>
                            <a:ext cx="4123" cy="1026"/>
                          </a:xfrm>
                          <a:prstGeom prst="rect">
                            <a:avLst/>
                          </a:prstGeom>
                          <a:solidFill>
                            <a:srgbClr val="FFFFFF"/>
                          </a:solidFill>
                          <a:ln w="9525">
                            <a:solidFill>
                              <a:srgbClr val="000000"/>
                            </a:solidFill>
                            <a:miter lim="800000"/>
                          </a:ln>
                        </wps:spPr>
                        <wps:txbx>
                          <w:txbxContent>
                            <w:p w14:paraId="22166720">
                              <w:pPr>
                                <w:spacing w:line="260" w:lineRule="exact"/>
                                <w:ind w:firstLine="0" w:firstLineChars="0"/>
                                <w:rPr>
                                  <w:rFonts w:cs="宋体-18030"/>
                                  <w:sz w:val="18"/>
                                  <w:szCs w:val="18"/>
                                </w:rPr>
                              </w:pPr>
                              <w:r>
                                <w:rPr>
                                  <w:rFonts w:hint="eastAsia" w:cs="宋体-18030"/>
                                  <w:sz w:val="18"/>
                                  <w:szCs w:val="18"/>
                                </w:rPr>
                                <w:t>1提出环境保护措施，进行技术经济论证</w:t>
                              </w:r>
                            </w:p>
                            <w:p w14:paraId="507F0380">
                              <w:pPr>
                                <w:spacing w:line="260" w:lineRule="exact"/>
                                <w:ind w:firstLine="0" w:firstLineChars="0"/>
                                <w:rPr>
                                  <w:rFonts w:cs="宋体-18030"/>
                                  <w:sz w:val="18"/>
                                  <w:szCs w:val="18"/>
                                </w:rPr>
                              </w:pPr>
                              <w:r>
                                <w:rPr>
                                  <w:rFonts w:hint="eastAsia" w:cs="宋体-18030"/>
                                  <w:sz w:val="18"/>
                                  <w:szCs w:val="18"/>
                                </w:rPr>
                                <w:t>2给出污染物排放清单</w:t>
                              </w:r>
                            </w:p>
                            <w:p w14:paraId="33B62D47">
                              <w:pPr>
                                <w:spacing w:line="260" w:lineRule="exact"/>
                                <w:ind w:firstLine="0" w:firstLineChars="0"/>
                                <w:rPr>
                                  <w:rFonts w:cs="宋体-18030"/>
                                  <w:sz w:val="18"/>
                                  <w:szCs w:val="18"/>
                                </w:rPr>
                              </w:pPr>
                              <w:r>
                                <w:rPr>
                                  <w:rFonts w:hint="eastAsia" w:cs="宋体-18030"/>
                                  <w:sz w:val="18"/>
                                  <w:szCs w:val="18"/>
                                </w:rPr>
                                <w:t>3给出建设项目环境影响评价结论</w:t>
                              </w:r>
                            </w:p>
                          </w:txbxContent>
                        </wps:txbx>
                        <wps:bodyPr rot="0" vert="horz" wrap="square" lIns="91440" tIns="45720" rIns="91440" bIns="18000" anchor="t" anchorCtr="0" upright="1">
                          <a:noAutofit/>
                        </wps:bodyPr>
                      </wps:wsp>
                      <wps:wsp>
                        <wps:cNvPr id="96" name="Text Box 31356"/>
                        <wps:cNvSpPr txBox="1">
                          <a:spLocks noChangeArrowheads="1"/>
                        </wps:cNvSpPr>
                        <wps:spPr bwMode="auto">
                          <a:xfrm>
                            <a:off x="3859" y="7765"/>
                            <a:ext cx="4085" cy="714"/>
                          </a:xfrm>
                          <a:prstGeom prst="rect">
                            <a:avLst/>
                          </a:prstGeom>
                          <a:solidFill>
                            <a:srgbClr val="FFFFFF"/>
                          </a:solidFill>
                          <a:ln w="9525">
                            <a:solidFill>
                              <a:srgbClr val="000000"/>
                            </a:solidFill>
                            <a:miter lim="800000"/>
                          </a:ln>
                        </wps:spPr>
                        <wps:txbx>
                          <w:txbxContent>
                            <w:p w14:paraId="190852D9">
                              <w:pPr>
                                <w:spacing w:line="260" w:lineRule="exact"/>
                                <w:ind w:firstLine="0" w:firstLineChars="0"/>
                                <w:rPr>
                                  <w:rFonts w:cs="宋体-18030"/>
                                  <w:sz w:val="18"/>
                                  <w:szCs w:val="18"/>
                                </w:rPr>
                              </w:pPr>
                              <w:r>
                                <w:rPr>
                                  <w:rFonts w:hint="eastAsia" w:cs="宋体-18030"/>
                                  <w:sz w:val="18"/>
                                  <w:szCs w:val="18"/>
                                </w:rPr>
                                <w:t>1各环境要素环境影响预测与评价</w:t>
                              </w:r>
                            </w:p>
                            <w:p w14:paraId="6F5F1616">
                              <w:pPr>
                                <w:spacing w:line="260" w:lineRule="exact"/>
                                <w:ind w:firstLine="0" w:firstLineChars="0"/>
                                <w:rPr>
                                  <w:rFonts w:cs="宋体-18030"/>
                                  <w:sz w:val="18"/>
                                  <w:szCs w:val="18"/>
                                </w:rPr>
                              </w:pPr>
                              <w:r>
                                <w:rPr>
                                  <w:rFonts w:hint="eastAsia" w:cs="宋体-18030"/>
                                  <w:sz w:val="18"/>
                                  <w:szCs w:val="18"/>
                                </w:rPr>
                                <w:t>2各专题环境影响分析与评价</w:t>
                              </w:r>
                            </w:p>
                          </w:txbxContent>
                        </wps:txbx>
                        <wps:bodyPr rot="0" vert="horz" wrap="square" lIns="91440" tIns="45720" rIns="91440" bIns="18000" anchor="t" anchorCtr="0" upright="1">
                          <a:noAutofit/>
                        </wps:bodyPr>
                      </wps:wsp>
                      <wps:wsp>
                        <wps:cNvPr id="98" name="Line 31357"/>
                        <wps:cNvCnPr>
                          <a:cxnSpLocks noChangeShapeType="1"/>
                        </wps:cNvCnPr>
                        <wps:spPr bwMode="auto">
                          <a:xfrm>
                            <a:off x="5897" y="8479"/>
                            <a:ext cx="0" cy="539"/>
                          </a:xfrm>
                          <a:prstGeom prst="line">
                            <a:avLst/>
                          </a:prstGeom>
                          <a:noFill/>
                          <a:ln w="9525">
                            <a:solidFill>
                              <a:srgbClr val="000000"/>
                            </a:solidFill>
                            <a:round/>
                            <a:tailEnd type="triangle" w="med" len="med"/>
                          </a:ln>
                        </wps:spPr>
                        <wps:bodyPr/>
                      </wps:wsp>
                      <wps:wsp>
                        <wps:cNvPr id="99" name="Text Box 31358"/>
                        <wps:cNvSpPr txBox="1">
                          <a:spLocks noChangeArrowheads="1"/>
                        </wps:cNvSpPr>
                        <wps:spPr bwMode="auto">
                          <a:xfrm>
                            <a:off x="4675" y="10574"/>
                            <a:ext cx="2405" cy="331"/>
                          </a:xfrm>
                          <a:prstGeom prst="rect">
                            <a:avLst/>
                          </a:prstGeom>
                          <a:solidFill>
                            <a:srgbClr val="FFFFFF"/>
                          </a:solidFill>
                          <a:ln w="9525">
                            <a:solidFill>
                              <a:srgbClr val="000000"/>
                            </a:solidFill>
                            <a:miter lim="800000"/>
                          </a:ln>
                        </wps:spPr>
                        <wps:txbx>
                          <w:txbxContent>
                            <w:p w14:paraId="68AFE32F">
                              <w:pPr>
                                <w:spacing w:line="260" w:lineRule="exact"/>
                                <w:ind w:firstLine="0" w:firstLineChars="0"/>
                                <w:jc w:val="center"/>
                                <w:rPr>
                                  <w:rFonts w:cs="宋体-18030"/>
                                  <w:sz w:val="18"/>
                                  <w:szCs w:val="18"/>
                                </w:rPr>
                              </w:pPr>
                              <w:r>
                                <w:rPr>
                                  <w:rFonts w:hint="eastAsia" w:cs="宋体-18030"/>
                                  <w:sz w:val="18"/>
                                  <w:szCs w:val="18"/>
                                </w:rPr>
                                <w:t>编制环境影响报告书</w:t>
                              </w:r>
                            </w:p>
                          </w:txbxContent>
                        </wps:txbx>
                        <wps:bodyPr rot="0" vert="horz" wrap="square" lIns="0" tIns="0" rIns="0" bIns="0" anchor="t" anchorCtr="0" upright="1">
                          <a:noAutofit/>
                        </wps:bodyPr>
                      </wps:wsp>
                      <wps:wsp>
                        <wps:cNvPr id="101" name="Text Box 31330"/>
                        <wps:cNvSpPr txBox="1">
                          <a:spLocks noChangeArrowheads="1"/>
                        </wps:cNvSpPr>
                        <wps:spPr bwMode="auto">
                          <a:xfrm>
                            <a:off x="3836" y="3926"/>
                            <a:ext cx="4123" cy="990"/>
                          </a:xfrm>
                          <a:prstGeom prst="rect">
                            <a:avLst/>
                          </a:prstGeom>
                          <a:solidFill>
                            <a:srgbClr val="FFFFFF"/>
                          </a:solidFill>
                          <a:ln w="9525">
                            <a:solidFill>
                              <a:srgbClr val="000000"/>
                            </a:solidFill>
                            <a:miter lim="800000"/>
                          </a:ln>
                        </wps:spPr>
                        <wps:txbx>
                          <w:txbxContent>
                            <w:p w14:paraId="529DE764">
                              <w:pPr>
                                <w:spacing w:line="260" w:lineRule="exact"/>
                                <w:ind w:firstLine="0" w:firstLineChars="0"/>
                                <w:rPr>
                                  <w:rFonts w:cs="宋体-18030"/>
                                  <w:sz w:val="18"/>
                                  <w:szCs w:val="18"/>
                                </w:rPr>
                              </w:pPr>
                              <w:r>
                                <w:rPr>
                                  <w:rFonts w:hint="eastAsia" w:cs="宋体-18030"/>
                                  <w:sz w:val="18"/>
                                  <w:szCs w:val="18"/>
                                </w:rPr>
                                <w:t>1环境影响识别和评价因子筛选</w:t>
                              </w:r>
                            </w:p>
                            <w:p w14:paraId="0EC2BBDA">
                              <w:pPr>
                                <w:spacing w:line="260" w:lineRule="exact"/>
                                <w:ind w:firstLine="0" w:firstLineChars="0"/>
                                <w:rPr>
                                  <w:rFonts w:cs="宋体-18030"/>
                                  <w:sz w:val="18"/>
                                  <w:szCs w:val="18"/>
                                </w:rPr>
                              </w:pPr>
                              <w:r>
                                <w:rPr>
                                  <w:rFonts w:hint="eastAsia" w:cs="宋体-18030"/>
                                  <w:sz w:val="18"/>
                                  <w:szCs w:val="18"/>
                                </w:rPr>
                                <w:t>2明确评价重点和环境保护目标</w:t>
                              </w:r>
                            </w:p>
                            <w:p w14:paraId="5FAD4979">
                              <w:pPr>
                                <w:spacing w:line="260" w:lineRule="exact"/>
                                <w:ind w:firstLine="0" w:firstLineChars="0"/>
                                <w:rPr>
                                  <w:rFonts w:cs="宋体-18030"/>
                                  <w:sz w:val="18"/>
                                  <w:szCs w:val="18"/>
                                </w:rPr>
                              </w:pPr>
                              <w:r>
                                <w:rPr>
                                  <w:rFonts w:hint="eastAsia" w:cs="宋体-18030"/>
                                  <w:sz w:val="18"/>
                                  <w:szCs w:val="18"/>
                                </w:rPr>
                                <w:t>3确定工作等级、评价范围和评价标准</w:t>
                              </w:r>
                            </w:p>
                          </w:txbxContent>
                        </wps:txbx>
                        <wps:bodyPr rot="0" vert="horz" wrap="square" lIns="91440" tIns="45720" rIns="91440" bIns="18000" anchor="t" anchorCtr="0" upright="1">
                          <a:noAutofit/>
                        </wps:bodyPr>
                      </wps:wsp>
                      <wps:wsp>
                        <wps:cNvPr id="102" name="Line 31354"/>
                        <wps:cNvCnPr>
                          <a:cxnSpLocks noChangeShapeType="1"/>
                        </wps:cNvCnPr>
                        <wps:spPr bwMode="auto">
                          <a:xfrm>
                            <a:off x="5880" y="10035"/>
                            <a:ext cx="0" cy="539"/>
                          </a:xfrm>
                          <a:prstGeom prst="line">
                            <a:avLst/>
                          </a:prstGeom>
                          <a:noFill/>
                          <a:ln w="9525">
                            <a:solidFill>
                              <a:srgbClr val="000000"/>
                            </a:solidFill>
                            <a:round/>
                            <a:tailEnd type="triangle" w="med" len="med"/>
                          </a:ln>
                        </wps:spPr>
                        <wps:bodyPr/>
                      </wps:wsp>
                    </wpg:wgp>
                  </a:graphicData>
                </a:graphic>
              </wp:inline>
            </w:drawing>
          </mc:Choice>
          <mc:Fallback>
            <w:pict>
              <v:group id="组合 1515" o:spid="_x0000_s1026" o:spt="203" style="height:512.65pt;width:438.6pt;" coordorigin="1695,1765" coordsize="8523,10144" o:gfxdata="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">
                <o:lock v:ext="edit" position="t" rotation="t" aspectratio="f"/>
                <v:rect id="Rectangle 31325" o:spid="_x0000_s1026" o:spt="1" style="position:absolute;left:3736;top:11325;height:584;width:4860;" fillcolor="#FFFFFF" filled="t" stroked="f" coordsize="21600,21600" o:gfxdata="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S4WzugAAANoA&#10;AAAPAAAAAAAAAAEAIAAAACIAAABkcnMvZG93bnJldi54bWxQSwECFAAUAAAACACHTuJAMy8FnjsA&#10;AAA5AAAAEAAAAAAAAAABACAAAAAJAQAAZHJzL3NoYXBleG1sLnhtbFBLBQYAAAAABgAGAFsBAACz&#10;AwAAAAA=&#10;">
                  <v:fill on="t" focussize="0,0"/>
                  <v:stroke on="f"/>
                  <v:imagedata o:title=""/>
                  <o:lock v:ext="edit" aspectratio="f"/>
                  <v:textbox inset="0mm,0.3mm,0mm,0mm">
                    <w:txbxContent>
                      <w:p w14:paraId="1CB289A3">
                        <w:pPr>
                          <w:pStyle w:val="313"/>
                          <w:spacing w:line="260" w:lineRule="exact"/>
                          <w:rPr>
                            <w:rFonts w:hint="eastAsia" w:ascii="黑体" w:hAnsi="黑体" w:eastAsia="黑体"/>
                            <w:b w:val="0"/>
                            <w:kern w:val="2"/>
                          </w:rPr>
                        </w:pPr>
                        <w:r>
                          <w:rPr>
                            <w:rFonts w:hint="eastAsia" w:ascii="黑体" w:hAnsi="黑体" w:eastAsia="黑体"/>
                            <w:b w:val="0"/>
                            <w:kern w:val="2"/>
                          </w:rPr>
                          <w:t>图1.2-1  环境影响评价工作程序</w:t>
                        </w:r>
                      </w:p>
                    </w:txbxContent>
                  </v:textbox>
                </v:rect>
                <v:rect id="Picture 31327" o:spid="_x0000_s1026" o:spt="1" style="position:absolute;left:1698;top:1765;height:9485;width:8520;" filled="f" stroked="t" coordsize="21600,21600" o:gfxdata="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QKnC8AAAA&#10;2gAAAA8AAAAAAAAAAQAgAAAAIgAAAGRycy9kb3ducmV2LnhtbFBLAQIUABQAAAAIAIdO4kAzLwWe&#10;OwAAADkAAAAQAAAAAAAAAAEAIAAAAAsBAABkcnMvc2hhcGV4bWwueG1sUEsFBgAAAAAGAAYAWwEA&#10;ALUDAAAAAA==&#10;">
                  <v:fill on="f" focussize="0,0"/>
                  <v:stroke color="#000000" miterlimit="8" joinstyle="miter" dashstyle="1 1"/>
                  <v:imagedata o:title=""/>
                  <o:lock v:ext="edit" text="t" aspectratio="t"/>
                </v:rect>
                <v:shape id="Text Box 31328" o:spid="_x0000_s1026" o:spt="202" type="#_x0000_t202" style="position:absolute;left:3811;top:2069;height:315;width:4133;" fillcolor="#FFFFFF" filled="t" stroked="t" coordsize="21600,21600" o:gfxdata="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y9g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14:paraId="07FE9141">
                        <w:pPr>
                          <w:spacing w:line="260" w:lineRule="exact"/>
                          <w:ind w:firstLine="0" w:firstLineChars="0"/>
                          <w:jc w:val="center"/>
                          <w:rPr>
                            <w:rFonts w:cs="宋体-18030"/>
                            <w:sz w:val="18"/>
                            <w:szCs w:val="18"/>
                          </w:rPr>
                        </w:pPr>
                        <w:r>
                          <w:rPr>
                            <w:rFonts w:hint="eastAsia" w:cs="宋体-18030"/>
                            <w:sz w:val="18"/>
                            <w:szCs w:val="18"/>
                          </w:rPr>
                          <w:t>依据相关规定确定环境影响评价文件类型</w:t>
                        </w:r>
                      </w:p>
                    </w:txbxContent>
                  </v:textbox>
                </v:shape>
                <v:shape id="Text Box 31330" o:spid="_x0000_s1026" o:spt="202" type="#_x0000_t202" style="position:absolute;left:3821;top:2648;height:990;width:4123;" fillcolor="#FFFFFF" filled="t" stroked="t" coordsize="21600,21600" o:gfxdata="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c++S5AAAA2g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2.54mm,1.27mm,2.54mm,0.5mm">
                    <w:txbxContent>
                      <w:p w14:paraId="2D20F315">
                        <w:pPr>
                          <w:spacing w:line="260" w:lineRule="exact"/>
                          <w:ind w:firstLine="0" w:firstLineChars="0"/>
                          <w:rPr>
                            <w:rFonts w:cs="宋体-18030"/>
                            <w:sz w:val="18"/>
                            <w:szCs w:val="18"/>
                          </w:rPr>
                        </w:pPr>
                        <w:r>
                          <w:rPr>
                            <w:rFonts w:hint="eastAsia" w:cs="宋体-18030"/>
                            <w:sz w:val="18"/>
                            <w:szCs w:val="18"/>
                          </w:rPr>
                          <w:t>1研究相关技术文件和其他有关文件</w:t>
                        </w:r>
                      </w:p>
                      <w:p w14:paraId="641A3396">
                        <w:pPr>
                          <w:spacing w:line="260" w:lineRule="exact"/>
                          <w:ind w:firstLine="0" w:firstLineChars="0"/>
                          <w:rPr>
                            <w:rFonts w:cs="宋体-18030"/>
                            <w:sz w:val="18"/>
                            <w:szCs w:val="18"/>
                          </w:rPr>
                        </w:pPr>
                        <w:r>
                          <w:rPr>
                            <w:rFonts w:hint="eastAsia" w:cs="宋体-18030"/>
                            <w:sz w:val="18"/>
                            <w:szCs w:val="18"/>
                          </w:rPr>
                          <w:t>2进行初步工程分析</w:t>
                        </w:r>
                      </w:p>
                      <w:p w14:paraId="5C39DBDB">
                        <w:pPr>
                          <w:spacing w:line="260" w:lineRule="exact"/>
                          <w:ind w:firstLine="0" w:firstLineChars="0"/>
                          <w:rPr>
                            <w:rFonts w:cs="宋体-18030"/>
                            <w:sz w:val="18"/>
                            <w:szCs w:val="18"/>
                          </w:rPr>
                        </w:pPr>
                        <w:r>
                          <w:rPr>
                            <w:rFonts w:hint="eastAsia" w:cs="宋体-18030"/>
                            <w:sz w:val="18"/>
                            <w:szCs w:val="18"/>
                          </w:rPr>
                          <w:t>3开展初步的环境现状调查</w:t>
                        </w:r>
                      </w:p>
                    </w:txbxContent>
                  </v:textbox>
                </v:shape>
                <v:line id="Line 31331" o:spid="_x0000_s1026" o:spt="20" style="position:absolute;left:5880;top:2384;height:283;width:2;"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1332" o:spid="_x0000_s1026" o:spt="20" style="position:absolute;left:5896;top:3643;height:283;width:1;"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31334" o:spid="_x0000_s1026" o:spt="20" style="position:absolute;left:5889;top:4916;height:283;width:1;"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31335" o:spid="_x0000_s1026" o:spt="20" style="position:absolute;left:5890;top:5541;height:539;width:0;"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31336" o:spid="_x0000_s1026" o:spt="20" style="position:absolute;left:1770;top:5775;height:0;width:8448;" filled="f" stroked="t" coordsize="21600,21600" o:gfxdata="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mpwi8AAAA&#10;2wAAAA8AAAAAAAAAAQAgAAAAIgAAAGRycy9kb3ducmV2LnhtbFBLAQIUABQAAAAIAIdO4kAzLwWe&#10;OwAAADkAAAAQAAAAAAAAAAEAIAAAAAsBAABkcnMvc2hhcGV4bWwueG1sUEsFBgAAAAAGAAYAWwEA&#10;ALUDAAAAAA==&#10;">
                  <v:fill on="f" focussize="0,0"/>
                  <v:stroke color="#000000" joinstyle="round" dashstyle="1 1"/>
                  <v:imagedata o:title=""/>
                  <o:lock v:ext="edit" aspectratio="f"/>
                </v:line>
                <v:line id="Line 31338" o:spid="_x0000_s1026" o:spt="20" style="position:absolute;left:1695;top:8745;height:0;width:8516;" filled="f" stroked="t" coordsize="21600,21600" o:gfxdata="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wiWvQAA&#10;ANsAAAAPAAAAAAAAAAEAIAAAACIAAABkcnMvZG93bnJldi54bWxQSwECFAAUAAAACACHTuJAMy8F&#10;njsAAAA5AAAAEAAAAAAAAAABACAAAAAMAQAAZHJzL3NoYXBleG1sLnhtbFBLBQYAAAAABgAGAFsB&#10;AAC2AwAAAAA=&#10;">
                  <v:fill on="f" focussize="0,0"/>
                  <v:stroke color="#000000" joinstyle="round" dashstyle="1 1"/>
                  <v:imagedata o:title=""/>
                  <o:lock v:ext="edit" aspectratio="f"/>
                </v:line>
                <v:shape id="Text Box 31339" o:spid="_x0000_s1026" o:spt="202" type="#_x0000_t202" style="position:absolute;left:1785;top:3506;height:1077;width:843;" fillcolor="#FFFFFF" filled="t" stroked="f" coordsize="21600,21600" o:gfxdata="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ImGu8AAAA&#10;2wAAAA8AAAAAAAAAAQAgAAAAIgAAAGRycy9kb3ducmV2LnhtbFBLAQIUABQAAAAIAIdO4kAzLwWe&#10;OwAAADkAAAAQAAAAAAAAAAEAIAAAAAsBAABkcnMvc2hhcGV4bWwueG1sUEsFBgAAAAAGAAYAWwEA&#10;ALUDAAAAAA==&#10;">
                  <v:fill on="t" focussize="0,0"/>
                  <v:stroke on="f"/>
                  <v:imagedata o:title=""/>
                  <o:lock v:ext="edit" aspectratio="f"/>
                  <v:textbox style="layout-flow:vertical-ideographic;">
                    <w:txbxContent>
                      <w:p w14:paraId="478768D9">
                        <w:pPr>
                          <w:spacing w:line="260" w:lineRule="exact"/>
                          <w:ind w:firstLine="0" w:firstLineChars="0"/>
                          <w:rPr>
                            <w:sz w:val="18"/>
                            <w:szCs w:val="18"/>
                          </w:rPr>
                        </w:pPr>
                        <w:r>
                          <w:rPr>
                            <w:rFonts w:hint="eastAsia"/>
                            <w:sz w:val="18"/>
                            <w:szCs w:val="18"/>
                          </w:rPr>
                          <w:t>第一阶段</w:t>
                        </w:r>
                      </w:p>
                    </w:txbxContent>
                  </v:textbox>
                </v:shape>
                <v:shape id="Text Box 31340" o:spid="_x0000_s1026" o:spt="202" type="#_x0000_t202" style="position:absolute;left:1957;top:6422;height:1279;width:671;" fillcolor="#FFFFFF" filled="t" stroked="f" coordsize="21600,21600" o:gfxdata="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rMXtwAAANsAAAAP&#10;AAAAAAAAAAEAIAAAACIAAABkcnMvZG93bnJldi54bWxQSwECFAAUAAAACACHTuJAMy8FnjsAAAA5&#10;AAAAEAAAAAAAAAABACAAAAAGAQAAZHJzL3NoYXBleG1sLnhtbFBLBQYAAAAABgAGAFsBAACwAwAA&#10;AAA=&#10;">
                  <v:fill on="t" focussize="0,0"/>
                  <v:stroke on="f"/>
                  <v:imagedata o:title=""/>
                  <o:lock v:ext="edit" aspectratio="f"/>
                  <v:textbox inset="2mm,1.27mm,2.54mm,1.27mm" style="layout-flow:vertical-ideographic;">
                    <w:txbxContent>
                      <w:p w14:paraId="6E5575AC">
                        <w:pPr>
                          <w:spacing w:line="260" w:lineRule="exact"/>
                          <w:ind w:firstLine="0" w:firstLineChars="0"/>
                          <w:rPr>
                            <w:sz w:val="18"/>
                            <w:szCs w:val="18"/>
                          </w:rPr>
                        </w:pPr>
                        <w:r>
                          <w:rPr>
                            <w:rFonts w:hint="eastAsia"/>
                            <w:sz w:val="18"/>
                            <w:szCs w:val="18"/>
                          </w:rPr>
                          <w:t>第二阶段</w:t>
                        </w:r>
                      </w:p>
                    </w:txbxContent>
                  </v:textbox>
                </v:shape>
                <v:shape id="Text Box 31341" o:spid="_x0000_s1026" o:spt="202" type="#_x0000_t202" style="position:absolute;left:1957;top:9583;height:991;width:671;" fillcolor="#FFFFFF" filled="t" stroked="f" coordsize="21600,21600" o:gfxdata="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2Foy/&#10;AAAA2wAAAA8AAAAAAAAAAQAgAAAAIgAAAGRycy9kb3ducmV2LnhtbFBLAQIUABQAAAAIAIdO4kAz&#10;LwWeOwAAADkAAAAQAAAAAAAAAAEAIAAAAA4BAABkcnMvc2hhcGV4bWwueG1sUEsFBgAAAAAGAAYA&#10;WwEAALgDAAAAAA==&#10;">
                  <v:fill on="t" focussize="0,0"/>
                  <v:stroke on="f"/>
                  <v:imagedata o:title=""/>
                  <o:lock v:ext="edit" aspectratio="f"/>
                  <v:textbox inset="2mm,1.27mm,2.54mm,1.27mm" style="layout-flow:vertical-ideographic;">
                    <w:txbxContent>
                      <w:p w14:paraId="3C68C4B4">
                        <w:pPr>
                          <w:spacing w:line="260" w:lineRule="exact"/>
                          <w:ind w:firstLine="0" w:firstLineChars="0"/>
                          <w:rPr>
                            <w:sz w:val="18"/>
                            <w:szCs w:val="18"/>
                          </w:rPr>
                        </w:pPr>
                        <w:r>
                          <w:rPr>
                            <w:rFonts w:hint="eastAsia"/>
                            <w:sz w:val="18"/>
                            <w:szCs w:val="18"/>
                          </w:rPr>
                          <w:t>第三阶段</w:t>
                        </w:r>
                      </w:p>
                    </w:txbxContent>
                  </v:textbox>
                </v:shape>
                <v:shape id="Text Box 31344" o:spid="_x0000_s1026" o:spt="202" type="#_x0000_t202" style="position:absolute;left:4688;top:5199;height:325;width:2405;" fillcolor="#FFFFFF" filled="t" stroked="t" coordsize="21600,21600" o:gfxdata="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FCq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14:paraId="63DB1F5B">
                        <w:pPr>
                          <w:spacing w:line="260" w:lineRule="exact"/>
                          <w:ind w:firstLine="0" w:firstLineChars="0"/>
                          <w:jc w:val="center"/>
                          <w:rPr>
                            <w:rFonts w:cs="宋体-18030"/>
                            <w:sz w:val="18"/>
                            <w:szCs w:val="18"/>
                          </w:rPr>
                        </w:pPr>
                        <w:r>
                          <w:rPr>
                            <w:rFonts w:hint="eastAsia" w:cs="宋体-18030"/>
                            <w:sz w:val="18"/>
                            <w:szCs w:val="18"/>
                          </w:rPr>
                          <w:t>制定工作方案</w:t>
                        </w:r>
                      </w:p>
                    </w:txbxContent>
                  </v:textbox>
                </v:shape>
                <v:shape id="AutoShape 31346" o:spid="_x0000_s1026" o:spt="32" type="#_x0000_t32" style="position:absolute;left:4159;top:6080;height:0;width:3430;" filled="f" stroked="t" coordsize="21600,21600" o:gfxdata="UEsDBAoAAAAAAIdO4kAAAAAAAAAAAAAAAAAEAAAAZHJzL1BLAwQUAAAACACHTuJAcvaCqr0AAADb&#10;AAAADwAAAGRycy9kb3ducmV2LnhtbEWPQWvCQBSE7wX/w/IEL0V3k1L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oKq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1347" o:spid="_x0000_s1026" o:spt="32" type="#_x0000_t32" style="position:absolute;left:4159;top:6080;height:193;width:0;" filled="f" stroked="t" coordsize="21600,21600" o:gfxdata="UEsDBAoAAAAAAIdO4kAAAAAAAAAAAAAAAAAEAAAAZHJzL1BLAwQUAAAACACHTuJA/R8a3r0AAADb&#10;AAAADwAAAGRycy9kb3ducmV2LnhtbEWPQWvCQBSE7wX/w/IEL0V3E1r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Hxr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31348" o:spid="_x0000_s1026" o:spt="202" type="#_x0000_t202" style="position:absolute;left:3350;top:6273;height:756;width:1600;"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210361D">
                        <w:pPr>
                          <w:spacing w:line="260" w:lineRule="exact"/>
                          <w:ind w:firstLine="0" w:firstLineChars="0"/>
                          <w:jc w:val="center"/>
                          <w:rPr>
                            <w:rFonts w:cs="宋体-18030"/>
                            <w:sz w:val="18"/>
                            <w:szCs w:val="18"/>
                          </w:rPr>
                        </w:pPr>
                        <w:r>
                          <w:rPr>
                            <w:rFonts w:hint="eastAsia" w:cs="宋体-18030"/>
                            <w:sz w:val="18"/>
                            <w:szCs w:val="18"/>
                          </w:rPr>
                          <w:t>环境现状调查</w:t>
                        </w:r>
                      </w:p>
                      <w:p w14:paraId="32F8C1C4">
                        <w:pPr>
                          <w:spacing w:line="260" w:lineRule="exact"/>
                          <w:ind w:firstLine="0" w:firstLineChars="0"/>
                          <w:jc w:val="center"/>
                          <w:rPr>
                            <w:rFonts w:cs="宋体-18030"/>
                            <w:sz w:val="18"/>
                            <w:szCs w:val="18"/>
                          </w:rPr>
                        </w:pPr>
                        <w:r>
                          <w:rPr>
                            <w:rFonts w:hint="eastAsia" w:cs="宋体-18030"/>
                            <w:sz w:val="18"/>
                            <w:szCs w:val="18"/>
                          </w:rPr>
                          <w:t>监测与评价</w:t>
                        </w:r>
                      </w:p>
                    </w:txbxContent>
                  </v:textbox>
                </v:shape>
                <v:shape id="AutoShape 31349" o:spid="_x0000_s1026" o:spt="32" type="#_x0000_t32" style="position:absolute;left:4149;top:7029;height:193;width:0;" filled="f" stroked="t" coordsize="21600,21600" o:gfxdata="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SE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31350" o:spid="_x0000_s1026" o:spt="202" type="#_x0000_t202" style="position:absolute;left:7053;top:6273;height:756;width:1051;"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65045F91">
                        <w:pPr>
                          <w:spacing w:line="260" w:lineRule="exact"/>
                          <w:ind w:firstLine="0" w:firstLineChars="0"/>
                          <w:rPr>
                            <w:rFonts w:cs="宋体-18030"/>
                            <w:sz w:val="18"/>
                            <w:szCs w:val="18"/>
                          </w:rPr>
                        </w:pPr>
                        <w:r>
                          <w:rPr>
                            <w:rFonts w:hint="eastAsia" w:cs="宋体-18030"/>
                            <w:sz w:val="18"/>
                            <w:szCs w:val="18"/>
                          </w:rPr>
                          <w:t>建设项目</w:t>
                        </w:r>
                      </w:p>
                      <w:p w14:paraId="73D335EF">
                        <w:pPr>
                          <w:spacing w:line="260" w:lineRule="exact"/>
                          <w:ind w:firstLine="0" w:firstLineChars="0"/>
                          <w:rPr>
                            <w:rFonts w:cs="宋体-18030"/>
                            <w:sz w:val="18"/>
                            <w:szCs w:val="18"/>
                          </w:rPr>
                        </w:pPr>
                        <w:r>
                          <w:rPr>
                            <w:rFonts w:hint="eastAsia" w:cs="宋体-18030"/>
                            <w:sz w:val="18"/>
                            <w:szCs w:val="18"/>
                          </w:rPr>
                          <w:t>工程分析</w:t>
                        </w:r>
                      </w:p>
                    </w:txbxContent>
                  </v:textbox>
                </v:shape>
                <v:shape id="AutoShape 31351" o:spid="_x0000_s1026" o:spt="32" type="#_x0000_t32" style="position:absolute;left:7589;top:6080;height:193;width:0;" filled="f" stroked="t" coordsize="21600,21600" o:gfxdata="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3XO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31352" o:spid="_x0000_s1026" o:spt="32" type="#_x0000_t32" style="position:absolute;left:7589;top:7029;height:193;width:0;" filled="f" stroked="t" coordsize="21600,21600" o:gfxdata="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cKR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1353" o:spid="_x0000_s1026" o:spt="32" type="#_x0000_t32" style="position:absolute;left:4159;top:7222;height:0;width:3430;" filled="f" stroked="t" coordsize="21600,21600" o:gfxdata="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OpR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line id="Line 31354" o:spid="_x0000_s1026" o:spt="20" style="position:absolute;left:5890;top:7226;height:539;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31355" o:spid="_x0000_s1026" o:spt="202" type="#_x0000_t202" style="position:absolute;left:3828;top:9009;height:1026;width:4123;" fillcolor="#FFFFFF" filled="t" stroked="t" coordsize="21600,21600" o:gfxdata="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MVa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54mm,1.27mm,2.54mm,0.5mm">
                    <w:txbxContent>
                      <w:p w14:paraId="22166720">
                        <w:pPr>
                          <w:spacing w:line="260" w:lineRule="exact"/>
                          <w:ind w:firstLine="0" w:firstLineChars="0"/>
                          <w:rPr>
                            <w:rFonts w:cs="宋体-18030"/>
                            <w:sz w:val="18"/>
                            <w:szCs w:val="18"/>
                          </w:rPr>
                        </w:pPr>
                        <w:r>
                          <w:rPr>
                            <w:rFonts w:hint="eastAsia" w:cs="宋体-18030"/>
                            <w:sz w:val="18"/>
                            <w:szCs w:val="18"/>
                          </w:rPr>
                          <w:t>1提出环境保护措施，进行技术经济论证</w:t>
                        </w:r>
                      </w:p>
                      <w:p w14:paraId="507F0380">
                        <w:pPr>
                          <w:spacing w:line="260" w:lineRule="exact"/>
                          <w:ind w:firstLine="0" w:firstLineChars="0"/>
                          <w:rPr>
                            <w:rFonts w:cs="宋体-18030"/>
                            <w:sz w:val="18"/>
                            <w:szCs w:val="18"/>
                          </w:rPr>
                        </w:pPr>
                        <w:r>
                          <w:rPr>
                            <w:rFonts w:hint="eastAsia" w:cs="宋体-18030"/>
                            <w:sz w:val="18"/>
                            <w:szCs w:val="18"/>
                          </w:rPr>
                          <w:t>2给出污染物排放清单</w:t>
                        </w:r>
                      </w:p>
                      <w:p w14:paraId="33B62D47">
                        <w:pPr>
                          <w:spacing w:line="260" w:lineRule="exact"/>
                          <w:ind w:firstLine="0" w:firstLineChars="0"/>
                          <w:rPr>
                            <w:rFonts w:cs="宋体-18030"/>
                            <w:sz w:val="18"/>
                            <w:szCs w:val="18"/>
                          </w:rPr>
                        </w:pPr>
                        <w:r>
                          <w:rPr>
                            <w:rFonts w:hint="eastAsia" w:cs="宋体-18030"/>
                            <w:sz w:val="18"/>
                            <w:szCs w:val="18"/>
                          </w:rPr>
                          <w:t>3给出建设项目环境影响评价结论</w:t>
                        </w:r>
                      </w:p>
                    </w:txbxContent>
                  </v:textbox>
                </v:shape>
                <v:shape id="Text Box 31356" o:spid="_x0000_s1026" o:spt="202" type="#_x0000_t202" style="position:absolute;left:3859;top:7765;height:714;width:4085;" fillcolor="#FFFFFF" filled="t" stroked="t" coordsize="21600,21600" o:gfxdata="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rOf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2.54mm,1.27mm,2.54mm,0.5mm">
                    <w:txbxContent>
                      <w:p w14:paraId="190852D9">
                        <w:pPr>
                          <w:spacing w:line="260" w:lineRule="exact"/>
                          <w:ind w:firstLine="0" w:firstLineChars="0"/>
                          <w:rPr>
                            <w:rFonts w:cs="宋体-18030"/>
                            <w:sz w:val="18"/>
                            <w:szCs w:val="18"/>
                          </w:rPr>
                        </w:pPr>
                        <w:r>
                          <w:rPr>
                            <w:rFonts w:hint="eastAsia" w:cs="宋体-18030"/>
                            <w:sz w:val="18"/>
                            <w:szCs w:val="18"/>
                          </w:rPr>
                          <w:t>1各环境要素环境影响预测与评价</w:t>
                        </w:r>
                      </w:p>
                      <w:p w14:paraId="6F5F1616">
                        <w:pPr>
                          <w:spacing w:line="260" w:lineRule="exact"/>
                          <w:ind w:firstLine="0" w:firstLineChars="0"/>
                          <w:rPr>
                            <w:rFonts w:cs="宋体-18030"/>
                            <w:sz w:val="18"/>
                            <w:szCs w:val="18"/>
                          </w:rPr>
                        </w:pPr>
                        <w:r>
                          <w:rPr>
                            <w:rFonts w:hint="eastAsia" w:cs="宋体-18030"/>
                            <w:sz w:val="18"/>
                            <w:szCs w:val="18"/>
                          </w:rPr>
                          <w:t>2各专题环境影响分析与评价</w:t>
                        </w:r>
                      </w:p>
                    </w:txbxContent>
                  </v:textbox>
                </v:shape>
                <v:line id="Line 31357" o:spid="_x0000_s1026" o:spt="20" style="position:absolute;left:5897;top:8479;height:539;width:0;" filled="f" stroked="t" coordsize="21600,21600" o:gfxdata="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z9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31358" o:spid="_x0000_s1026" o:spt="202" type="#_x0000_t202" style="position:absolute;left:4675;top:10574;height:331;width:2405;" fillcolor="#FFFFFF" filled="t" stroked="t" coordsize="21600,21600" o:gfxdata="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k9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14:paraId="68AFE32F">
                        <w:pPr>
                          <w:spacing w:line="260" w:lineRule="exact"/>
                          <w:ind w:firstLine="0" w:firstLineChars="0"/>
                          <w:jc w:val="center"/>
                          <w:rPr>
                            <w:rFonts w:cs="宋体-18030"/>
                            <w:sz w:val="18"/>
                            <w:szCs w:val="18"/>
                          </w:rPr>
                        </w:pPr>
                        <w:r>
                          <w:rPr>
                            <w:rFonts w:hint="eastAsia" w:cs="宋体-18030"/>
                            <w:sz w:val="18"/>
                            <w:szCs w:val="18"/>
                          </w:rPr>
                          <w:t>编制环境影响报告书</w:t>
                        </w:r>
                      </w:p>
                    </w:txbxContent>
                  </v:textbox>
                </v:shape>
                <v:shape id="Text Box 31330" o:spid="_x0000_s1026" o:spt="202" type="#_x0000_t202" style="position:absolute;left:3836;top:3926;height:990;width:4123;" fillcolor="#FFFFFF" filled="t" stroked="t" coordsize="21600,21600" o:gfxdata="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GVv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2.54mm,1.27mm,2.54mm,0.5mm">
                    <w:txbxContent>
                      <w:p w14:paraId="529DE764">
                        <w:pPr>
                          <w:spacing w:line="260" w:lineRule="exact"/>
                          <w:ind w:firstLine="0" w:firstLineChars="0"/>
                          <w:rPr>
                            <w:rFonts w:cs="宋体-18030"/>
                            <w:sz w:val="18"/>
                            <w:szCs w:val="18"/>
                          </w:rPr>
                        </w:pPr>
                        <w:r>
                          <w:rPr>
                            <w:rFonts w:hint="eastAsia" w:cs="宋体-18030"/>
                            <w:sz w:val="18"/>
                            <w:szCs w:val="18"/>
                          </w:rPr>
                          <w:t>1环境影响识别和评价因子筛选</w:t>
                        </w:r>
                      </w:p>
                      <w:p w14:paraId="0EC2BBDA">
                        <w:pPr>
                          <w:spacing w:line="260" w:lineRule="exact"/>
                          <w:ind w:firstLine="0" w:firstLineChars="0"/>
                          <w:rPr>
                            <w:rFonts w:cs="宋体-18030"/>
                            <w:sz w:val="18"/>
                            <w:szCs w:val="18"/>
                          </w:rPr>
                        </w:pPr>
                        <w:r>
                          <w:rPr>
                            <w:rFonts w:hint="eastAsia" w:cs="宋体-18030"/>
                            <w:sz w:val="18"/>
                            <w:szCs w:val="18"/>
                          </w:rPr>
                          <w:t>2明确评价重点和环境保护目标</w:t>
                        </w:r>
                      </w:p>
                      <w:p w14:paraId="5FAD4979">
                        <w:pPr>
                          <w:spacing w:line="260" w:lineRule="exact"/>
                          <w:ind w:firstLine="0" w:firstLineChars="0"/>
                          <w:rPr>
                            <w:rFonts w:cs="宋体-18030"/>
                            <w:sz w:val="18"/>
                            <w:szCs w:val="18"/>
                          </w:rPr>
                        </w:pPr>
                        <w:r>
                          <w:rPr>
                            <w:rFonts w:hint="eastAsia" w:cs="宋体-18030"/>
                            <w:sz w:val="18"/>
                            <w:szCs w:val="18"/>
                          </w:rPr>
                          <w:t>3确定工作等级、评价范围和评价标准</w:t>
                        </w:r>
                      </w:p>
                    </w:txbxContent>
                  </v:textbox>
                </v:shape>
                <v:line id="Line 31354" o:spid="_x0000_s1026" o:spt="20" style="position:absolute;left:5880;top:10035;height:539;width:0;" filled="f" stroked="t" coordsize="21600,21600" o:gfxdata="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8V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14:paraId="176E652C">
      <w:pPr>
        <w:ind w:firstLine="482"/>
        <w:rPr>
          <w:b/>
          <w:color w:val="000000" w:themeColor="text1"/>
          <w14:textFill>
            <w14:solidFill>
              <w14:schemeClr w14:val="tx1"/>
            </w14:solidFill>
          </w14:textFill>
        </w:rPr>
      </w:pPr>
      <w:r>
        <w:rPr>
          <w:b/>
          <w:color w:val="000000" w:themeColor="text1"/>
          <w14:textFill>
            <w14:solidFill>
              <w14:schemeClr w14:val="tx1"/>
            </w14:solidFill>
          </w14:textFill>
        </w:rPr>
        <w:t>编制过程说明：</w:t>
      </w:r>
    </w:p>
    <w:p w14:paraId="012C0B13">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评价单位承接本建设项目环评任务后，通过搜集技术文件资料进行初步工程分析，委派环评人员奔赴现场勘查开展逐步的环境现状调查，在此基础上进行环境影响识别和评价因子筛选，明确评价重点和环境保护目标，确定工作等级、评价范围和评价标准，完成第一阶段制定工作方案的工作；接下来开展第二阶段工作，完成工程分析、项目环境现状调查、监测与评价；第三阶段工作在前期工作成果基础上，提出环境保护措施，核算统计污染物排放清单，综合分析得出建设项目环境影响评价结论。汇集以上工作成果编制完成环境影响报告书后即提交技术评估、分级主管部门预审，最终报送环境主管部门审批。</w:t>
      </w:r>
    </w:p>
    <w:p w14:paraId="11B19353">
      <w:pPr>
        <w:pStyle w:val="3"/>
        <w:rPr>
          <w:color w:val="000000" w:themeColor="text1"/>
          <w14:textFill>
            <w14:solidFill>
              <w14:schemeClr w14:val="tx1"/>
            </w14:solidFill>
          </w14:textFill>
        </w:rPr>
      </w:pPr>
      <w:bookmarkStart w:id="14" w:name="_Toc225268271"/>
      <w:r>
        <w:rPr>
          <w:color w:val="000000" w:themeColor="text1"/>
          <w14:textFill>
            <w14:solidFill>
              <w14:schemeClr w14:val="tx1"/>
            </w14:solidFill>
          </w14:textFill>
        </w:rPr>
        <w:t>分析判定相关情况</w:t>
      </w:r>
      <w:bookmarkEnd w:id="14"/>
    </w:p>
    <w:p w14:paraId="646D8C33">
      <w:pPr>
        <w:pStyle w:val="207"/>
        <w:ind w:firstLine="498"/>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（1）项目产业政策符合性分析</w:t>
      </w:r>
    </w:p>
    <w:p w14:paraId="59A87CF2">
      <w:pPr>
        <w:pStyle w:val="207"/>
        <w:ind w:firstLine="496"/>
        <w:rPr>
          <w:rFonts w:ascii="Times New Roman" w:hAnsi="Times New Roman" w:eastAsia="黑体"/>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属于《产业结构调整指导目录》（2024年本）鼓励类-四十二类中环境保护与资源节约综合利用-“10.工业“三废”循环利用：“三废”综合利用与治理技术、装备和工程，“三废”处理用生物菌种和添加剂开发与生产，废水高效循环利用技术应用，工业难降解有机废水循环利用、高盐废水循环利用、循环水回收利用、高效分离膜材料、高效催化氧化材料等技术装备，高盐废水和工业副产盐的资源化利用，轻烃类石化副产物综合利用技术装备，硫回收装备(低温克劳斯法)”，符合产业政策要求。</w:t>
      </w:r>
    </w:p>
    <w:p w14:paraId="2FCE2E2D">
      <w:pPr>
        <w:pStyle w:val="207"/>
        <w:ind w:firstLine="498"/>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（2）建设可行性分析</w:t>
      </w:r>
    </w:p>
    <w:p w14:paraId="5C12AA32">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项目为乌鲁木齐甘泉堡经济技术开发区（工业区）化工园区煤化工、精细化工产业提供必需的危险废物处置配套保障，是产业链安全、稳定、绿色运行的关键支撑环节。因此本项目符合园区总体规划及产业布局要求，是园区化工及新材料产业高质量、可持续发展的重要环保配套项目，符合《乌鲁木齐甘泉堡经济技术开发区（工业区）化工园区总体规划（2023-2035）》规划要求。</w:t>
      </w:r>
    </w:p>
    <w:p w14:paraId="726FD4DF">
      <w:pPr>
        <w:pStyle w:val="207"/>
        <w:ind w:firstLine="496"/>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t>项目用地为三类工业用地，符合乌鲁木齐甘泉堡经济技术开发区（工业区）化工园区土地利用规划，</w:t>
      </w:r>
      <w:r>
        <w:rPr>
          <w:rFonts w:hint="eastAsia"/>
          <w:color w:val="000000" w:themeColor="text1"/>
          <w14:textFill>
            <w14:solidFill>
              <w14:schemeClr w14:val="tx1"/>
            </w14:solidFill>
          </w14:textFill>
        </w:rPr>
        <w:t>同时本项目符合</w:t>
      </w:r>
      <w:r>
        <w:rPr>
          <w:bCs/>
          <w:color w:val="000000" w:themeColor="text1"/>
          <w14:textFill>
            <w14:solidFill>
              <w14:schemeClr w14:val="tx1"/>
            </w14:solidFill>
          </w14:textFill>
        </w:rPr>
        <w:t>《乌鲁木齐市生态环境准入清单（2023年版）》</w:t>
      </w:r>
      <w:r>
        <w:rPr>
          <w:rFonts w:hint="eastAsia"/>
          <w:bCs/>
          <w:color w:val="000000" w:themeColor="text1"/>
          <w14:textFill>
            <w14:solidFill>
              <w14:schemeClr w14:val="tx1"/>
            </w14:solidFill>
          </w14:textFill>
        </w:rPr>
        <w:t>的相关要求</w:t>
      </w:r>
      <w:r>
        <w:rPr>
          <w:rFonts w:ascii="Times New Roman" w:hAnsi="Times New Roman"/>
          <w:color w:val="000000" w:themeColor="text1"/>
          <w:kern w:val="0"/>
          <w14:textFill>
            <w14:solidFill>
              <w14:schemeClr w14:val="tx1"/>
            </w14:solidFill>
          </w14:textFill>
        </w:rPr>
        <w:t>。</w:t>
      </w:r>
    </w:p>
    <w:p w14:paraId="4746701D">
      <w:pPr>
        <w:pStyle w:val="3"/>
        <w:rPr>
          <w:color w:val="000000" w:themeColor="text1"/>
          <w14:textFill>
            <w14:solidFill>
              <w14:schemeClr w14:val="tx1"/>
            </w14:solidFill>
          </w14:textFill>
        </w:rPr>
      </w:pPr>
      <w:bookmarkStart w:id="15" w:name="_Toc225268272"/>
      <w:r>
        <w:rPr>
          <w:color w:val="000000" w:themeColor="text1"/>
          <w14:textFill>
            <w14:solidFill>
              <w14:schemeClr w14:val="tx1"/>
            </w14:solidFill>
          </w14:textFill>
        </w:rPr>
        <w:t>关注的主要环境问题</w:t>
      </w:r>
      <w:bookmarkEnd w:id="15"/>
    </w:p>
    <w:p w14:paraId="7447E12C">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本项目工程的环境影响评价工作，结合厂址地区环境特点、工程特点，重点关注以下环境问题：</w:t>
      </w:r>
    </w:p>
    <w:p w14:paraId="0496509F">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（1）项目的建设是否满足国家法律法规、产业政策和相关文件的要求；项目选址是否可行，是否符合相关规划的要求；</w:t>
      </w:r>
    </w:p>
    <w:p w14:paraId="159F8C27">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（2）重点关注项目的废气污染防治措施技术经济可行性，该项目排放的污染物对周围环境产生的影响，特别是大气污染物中的</w:t>
      </w:r>
      <w:r>
        <w:rPr>
          <w:rFonts w:hint="eastAsia" w:ascii="Times New Roman" w:hAnsi="Times New Roman"/>
          <w:color w:val="000000" w:themeColor="text1"/>
          <w14:textFill>
            <w14:solidFill>
              <w14:schemeClr w14:val="tx1"/>
            </w14:solidFill>
          </w14:textFill>
        </w:rPr>
        <w:t>酸性废气、重金属、</w:t>
      </w:r>
      <w:r>
        <w:rPr>
          <w:rFonts w:ascii="Times New Roman" w:hAnsi="Times New Roman"/>
          <w:color w:val="000000" w:themeColor="text1"/>
          <w14:textFill>
            <w14:solidFill>
              <w14:schemeClr w14:val="tx1"/>
            </w14:solidFill>
          </w14:textFill>
        </w:rPr>
        <w:t>二噁英类对环境保护目标的影响。针对污染物排放情况，合理确定本项目的卫生防护距离；</w:t>
      </w:r>
    </w:p>
    <w:p w14:paraId="24D063F9">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（3）关注本项目回收的废盐暂存、处置的可行性，以及本项目产生的各类固体废弃物在厂内暂存、合理合法处置的可行性；</w:t>
      </w:r>
    </w:p>
    <w:p w14:paraId="69981CF3">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（4）本项目生产区、仓储区</w:t>
      </w:r>
      <w:r>
        <w:rPr>
          <w:rFonts w:hint="eastAsia" w:ascii="Times New Roman" w:hAnsi="Times New Roman"/>
          <w:color w:val="000000" w:themeColor="text1"/>
          <w14:textFill>
            <w14:solidFill>
              <w14:schemeClr w14:val="tx1"/>
            </w14:solidFill>
          </w14:textFill>
        </w:rPr>
        <w:t>、储罐区</w:t>
      </w:r>
      <w:r>
        <w:rPr>
          <w:rFonts w:ascii="Times New Roman" w:hAnsi="Times New Roman"/>
          <w:color w:val="000000" w:themeColor="text1"/>
          <w14:textFill>
            <w14:solidFill>
              <w14:schemeClr w14:val="tx1"/>
            </w14:solidFill>
          </w14:textFill>
        </w:rPr>
        <w:t>物料泄漏、火灾等环境风险事故对周围环境的影响。</w:t>
      </w:r>
    </w:p>
    <w:p w14:paraId="0B9B79C9">
      <w:pPr>
        <w:pStyle w:val="3"/>
        <w:rPr>
          <w:color w:val="000000" w:themeColor="text1"/>
          <w14:textFill>
            <w14:solidFill>
              <w14:schemeClr w14:val="tx1"/>
            </w14:solidFill>
          </w14:textFill>
        </w:rPr>
      </w:pPr>
      <w:bookmarkStart w:id="16" w:name="_Toc225268273"/>
      <w:r>
        <w:rPr>
          <w:color w:val="000000" w:themeColor="text1"/>
          <w14:textFill>
            <w14:solidFill>
              <w14:schemeClr w14:val="tx1"/>
            </w14:solidFill>
          </w14:textFill>
        </w:rPr>
        <w:t>环境影响评价的主要结论</w:t>
      </w:r>
      <w:bookmarkEnd w:id="16"/>
    </w:p>
    <w:p w14:paraId="669BCFE3">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符合国家及地方的相关产业政策，基本符合规划相关要求；项目采用国内先进成熟的生产工艺，在能耗、水耗、装备水平及污染物排放等方面属国内先进水平，符合清洁生产要求。项目配套建设有完善的污染防治及环境风险防范设施，废气污染物可以实现达标排放，满足总量控制要求；对周边区域的环境影响和环境风险可以接受。在严格执行“三同时”制度、严格落实本报告书提出的各项环保措施的条件下，从环境保护角度分析，工程建设可行。</w:t>
      </w:r>
    </w:p>
    <w:p w14:paraId="02831654">
      <w:pPr>
        <w:pStyle w:val="207"/>
        <w:ind w:firstLine="496"/>
        <w:rPr>
          <w:rFonts w:ascii="Times New Roman" w:hAnsi="Times New Roman"/>
          <w:color w:val="000000" w:themeColor="text1"/>
          <w14:textFill>
            <w14:solidFill>
              <w14:schemeClr w14:val="tx1"/>
            </w14:solidFill>
          </w14:textFill>
        </w:rPr>
      </w:pPr>
    </w:p>
    <w:p w14:paraId="79FC4657">
      <w:pPr>
        <w:spacing w:line="450" w:lineRule="exact"/>
        <w:ind w:firstLine="480"/>
        <w:rPr>
          <w:color w:val="000000" w:themeColor="text1"/>
          <w14:textFill>
            <w14:solidFill>
              <w14:schemeClr w14:val="tx1"/>
            </w14:solidFill>
          </w14:textFill>
        </w:rPr>
        <w:sectPr>
          <w:footerReference r:id="rId15" w:type="default"/>
          <w:type w:val="nextColumn"/>
          <w:pgSz w:w="11906" w:h="16838"/>
          <w:pgMar w:top="1418" w:right="1247" w:bottom="1418" w:left="1247" w:header="964" w:footer="964" w:gutter="0"/>
          <w:pgNumType w:start="1"/>
          <w:cols w:space="720" w:num="1"/>
          <w:docGrid w:linePitch="312" w:charSpace="0"/>
        </w:sectPr>
      </w:pPr>
      <w:bookmarkStart w:id="17" w:name="_Toc172077708"/>
      <w:bookmarkStart w:id="18" w:name="_Toc178676306"/>
      <w:bookmarkStart w:id="19" w:name="_Toc230071404"/>
      <w:bookmarkStart w:id="20" w:name="_Toc172915165"/>
      <w:bookmarkStart w:id="21" w:name="_Toc189128877"/>
      <w:bookmarkStart w:id="22" w:name="_Toc266187508"/>
      <w:bookmarkStart w:id="23" w:name="_Toc213225655"/>
    </w:p>
    <w:bookmarkEnd w:id="17"/>
    <w:p w14:paraId="5E236FCB">
      <w:pPr>
        <w:pStyle w:val="2"/>
        <w:rPr>
          <w:rFonts w:ascii="Times New Roman" w:cs="Times New Roman"/>
          <w:color w:val="000000" w:themeColor="text1"/>
          <w14:textFill>
            <w14:solidFill>
              <w14:schemeClr w14:val="tx1"/>
            </w14:solidFill>
          </w14:textFill>
        </w:rPr>
      </w:pPr>
      <w:bookmarkStart w:id="24" w:name="_Toc280691096"/>
      <w:bookmarkStart w:id="25" w:name="_Toc329793406"/>
      <w:bookmarkStart w:id="26" w:name="_Toc278649376"/>
      <w:bookmarkStart w:id="27" w:name="_Toc330460748"/>
      <w:bookmarkStart w:id="28" w:name="_Toc293592326"/>
      <w:bookmarkStart w:id="29" w:name="_Toc321821679"/>
      <w:bookmarkStart w:id="30" w:name="_Toc225268274"/>
      <w:r>
        <w:rPr>
          <w:rFonts w:ascii="Times New Roman" w:cs="Times New Roman"/>
          <w:color w:val="000000" w:themeColor="text1"/>
          <w14:textFill>
            <w14:solidFill>
              <w14:schemeClr w14:val="tx1"/>
            </w14:solidFill>
          </w14:textFill>
        </w:rPr>
        <w:t>总论</w:t>
      </w:r>
      <w:bookmarkEnd w:id="18"/>
      <w:bookmarkEnd w:id="19"/>
      <w:bookmarkEnd w:id="20"/>
      <w:bookmarkEnd w:id="21"/>
      <w:bookmarkEnd w:id="22"/>
      <w:bookmarkEnd w:id="23"/>
      <w:bookmarkEnd w:id="24"/>
      <w:bookmarkEnd w:id="25"/>
      <w:bookmarkEnd w:id="26"/>
      <w:bookmarkEnd w:id="27"/>
      <w:bookmarkEnd w:id="28"/>
      <w:bookmarkEnd w:id="29"/>
      <w:bookmarkEnd w:id="30"/>
    </w:p>
    <w:p w14:paraId="108496CA">
      <w:pPr>
        <w:pStyle w:val="3"/>
        <w:rPr>
          <w:rFonts w:ascii="Times New Roman" w:cs="Times New Roman"/>
          <w:color w:val="000000" w:themeColor="text1"/>
          <w14:textFill>
            <w14:solidFill>
              <w14:schemeClr w14:val="tx1"/>
            </w14:solidFill>
          </w14:textFill>
        </w:rPr>
      </w:pPr>
      <w:bookmarkStart w:id="31" w:name="_Toc329793407"/>
      <w:bookmarkStart w:id="32" w:name="_Toc172915166"/>
      <w:bookmarkStart w:id="33" w:name="_Toc278649377"/>
      <w:bookmarkStart w:id="34" w:name="_Toc230071405"/>
      <w:bookmarkStart w:id="35" w:name="_Toc123697015"/>
      <w:bookmarkStart w:id="36" w:name="_Toc330460749"/>
      <w:bookmarkStart w:id="37" w:name="_Toc89766903"/>
      <w:bookmarkStart w:id="38" w:name="_Toc225268275"/>
      <w:bookmarkStart w:id="39" w:name="_Toc266187509"/>
      <w:bookmarkStart w:id="40" w:name="_Toc533649608"/>
      <w:bookmarkStart w:id="41" w:name="_Toc178676307"/>
      <w:bookmarkStart w:id="42" w:name="_Toc172077709"/>
      <w:bookmarkStart w:id="43" w:name="_Toc189128878"/>
      <w:bookmarkStart w:id="44" w:name="_Toc89781833"/>
      <w:bookmarkStart w:id="45" w:name="_Toc163373163"/>
      <w:bookmarkStart w:id="46" w:name="_Toc3971855"/>
      <w:bookmarkStart w:id="47" w:name="_Toc213225656"/>
      <w:bookmarkStart w:id="48" w:name="_Toc280691097"/>
      <w:bookmarkStart w:id="49" w:name="_Toc293592327"/>
      <w:bookmarkStart w:id="50" w:name="_Toc321821680"/>
      <w:r>
        <w:rPr>
          <w:rFonts w:ascii="Times New Roman" w:cs="Times New Roman"/>
          <w:color w:val="000000" w:themeColor="text1"/>
          <w14:textFill>
            <w14:solidFill>
              <w14:schemeClr w14:val="tx1"/>
            </w14:solidFill>
          </w14:textFill>
        </w:rPr>
        <w:t>编制依据</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49998745">
      <w:pPr>
        <w:pStyle w:val="4"/>
        <w:rPr>
          <w:rFonts w:ascii="Times New Roman" w:cs="Times New Roman"/>
          <w:bCs/>
          <w:color w:val="000000" w:themeColor="text1"/>
          <w14:textFill>
            <w14:solidFill>
              <w14:schemeClr w14:val="tx1"/>
            </w14:solidFill>
          </w14:textFill>
        </w:rPr>
      </w:pPr>
      <w:bookmarkStart w:id="51" w:name="_Toc266187511"/>
      <w:bookmarkStart w:id="52" w:name="_Toc321821682"/>
      <w:bookmarkStart w:id="53" w:name="_Toc280691099"/>
      <w:bookmarkStart w:id="54" w:name="_Toc178676309"/>
      <w:bookmarkStart w:id="55" w:name="_Toc329793408"/>
      <w:bookmarkStart w:id="56" w:name="_Toc189128880"/>
      <w:bookmarkStart w:id="57" w:name="_Toc172915168"/>
      <w:bookmarkStart w:id="58" w:name="_Toc230071407"/>
      <w:bookmarkStart w:id="59" w:name="_Toc213225658"/>
      <w:bookmarkStart w:id="60" w:name="_Toc293592329"/>
      <w:bookmarkStart w:id="61" w:name="_Toc172077711"/>
      <w:bookmarkStart w:id="62" w:name="_Toc278649379"/>
      <w:r>
        <w:rPr>
          <w:rFonts w:ascii="Times New Roman" w:cs="Times New Roman"/>
          <w:bCs/>
          <w:color w:val="000000" w:themeColor="text1"/>
          <w14:textFill>
            <w14:solidFill>
              <w14:schemeClr w14:val="tx1"/>
            </w14:solidFill>
          </w14:textFill>
        </w:rPr>
        <w:t>国家法律、法规和文件</w:t>
      </w:r>
      <w:bookmarkEnd w:id="51"/>
      <w:bookmarkEnd w:id="52"/>
      <w:bookmarkEnd w:id="53"/>
      <w:bookmarkEnd w:id="54"/>
      <w:bookmarkEnd w:id="55"/>
      <w:bookmarkEnd w:id="56"/>
      <w:bookmarkEnd w:id="57"/>
      <w:bookmarkEnd w:id="58"/>
      <w:bookmarkEnd w:id="59"/>
      <w:bookmarkEnd w:id="60"/>
      <w:bookmarkEnd w:id="61"/>
      <w:bookmarkEnd w:id="62"/>
    </w:p>
    <w:p w14:paraId="322CB4F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国家环保法律</w:t>
      </w:r>
    </w:p>
    <w:p w14:paraId="78265D2F">
      <w:pPr>
        <w:pStyle w:val="124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《中华人民共和国环境保护法》（2015年1月1日）；</w:t>
      </w:r>
    </w:p>
    <w:p w14:paraId="72D1D9E5">
      <w:pPr>
        <w:pStyle w:val="124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《中华人民共和国环境影响评价法》（2018年12月29日第二次修正）；</w:t>
      </w:r>
    </w:p>
    <w:p w14:paraId="77A10FEA">
      <w:pPr>
        <w:pStyle w:val="124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《中华人民共和国大气污染防治法》（2018年10月26日第二次修正）；</w:t>
      </w:r>
    </w:p>
    <w:p w14:paraId="78EC693C">
      <w:pPr>
        <w:pStyle w:val="124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《中华人民共和国水污染防治法》（2018年1月1日）；</w:t>
      </w:r>
    </w:p>
    <w:p w14:paraId="208E0BEC">
      <w:pPr>
        <w:pStyle w:val="124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《中华人民共和国噪声污染防治法》（2021年12月24日修订）；</w:t>
      </w:r>
    </w:p>
    <w:p w14:paraId="046C3095">
      <w:pPr>
        <w:pStyle w:val="124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《中华人民共和国固体废物污染环境防治法》（2020年4月29日修订）；</w:t>
      </w:r>
    </w:p>
    <w:p w14:paraId="4590816C">
      <w:pPr>
        <w:pStyle w:val="124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《中华人民共和国土壤污染防治法》（2019年1月1日）；</w:t>
      </w:r>
      <w:bookmarkStart w:id="63" w:name="_Toc344462257"/>
      <w:bookmarkStart w:id="64" w:name="_Toc170791270"/>
      <w:bookmarkStart w:id="65" w:name="_Toc14499"/>
      <w:bookmarkStart w:id="66" w:name="_Toc172689602"/>
    </w:p>
    <w:p w14:paraId="53C1D60A">
      <w:pPr>
        <w:pStyle w:val="124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《中华人民共和国清洁生产促进法》（2012年7月1日）。</w:t>
      </w:r>
    </w:p>
    <w:bookmarkEnd w:id="63"/>
    <w:bookmarkEnd w:id="64"/>
    <w:bookmarkEnd w:id="65"/>
    <w:bookmarkEnd w:id="66"/>
    <w:p w14:paraId="4E3D144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环境保护规章</w:t>
      </w:r>
    </w:p>
    <w:p w14:paraId="183EB431">
      <w:pPr>
        <w:pStyle w:val="1244"/>
        <w:numPr>
          <w:ilvl w:val="0"/>
          <w:numId w:val="6"/>
        </w:numPr>
        <w:rPr>
          <w:rFonts w:cs="Times New Roman"/>
          <w:color w:val="000000" w:themeColor="text1"/>
          <w14:textFill>
            <w14:solidFill>
              <w14:schemeClr w14:val="tx1"/>
            </w14:solidFill>
          </w14:textFill>
        </w:rPr>
      </w:pPr>
      <w:bookmarkStart w:id="67" w:name="_Hlk184835749"/>
      <w:r>
        <w:rPr>
          <w:rFonts w:cs="Times New Roman"/>
          <w:color w:val="000000" w:themeColor="text1"/>
          <w14:textFill>
            <w14:solidFill>
              <w14:schemeClr w14:val="tx1"/>
            </w14:solidFill>
          </w14:textFill>
        </w:rPr>
        <w:t>《建设项目环境影响评价分类管理名录》（2021版）；</w:t>
      </w:r>
    </w:p>
    <w:p w14:paraId="38938694">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《产业结构调整指导目录（2024年本）》；</w:t>
      </w:r>
    </w:p>
    <w:p w14:paraId="0E9EC03F">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《建设项目环境保护管理条例》（2017年10月1日）；</w:t>
      </w:r>
    </w:p>
    <w:p w14:paraId="7B41FA9D">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《国家危险废物名录（2025年版）》；</w:t>
      </w:r>
    </w:p>
    <w:p w14:paraId="2D384F0C">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《环境影响评价公众参与办法》（2019年1月1日）；</w:t>
      </w:r>
    </w:p>
    <w:p w14:paraId="643D5C7E">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《大气污染防治行动计划》（国发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2013</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37号，2013年9月13日）；</w:t>
      </w:r>
    </w:p>
    <w:p w14:paraId="21124583">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《土壤污染防治行动计划》（国发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2016</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31号，2016年5月28日）；</w:t>
      </w:r>
    </w:p>
    <w:p w14:paraId="5501701B">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《水污染防治行动计划》（国发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2015</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17号，2015年4月16日）；</w:t>
      </w:r>
    </w:p>
    <w:p w14:paraId="33369A85">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《危险化学品安全管理条例》（2013年修订，2013年12月7日）；</w:t>
      </w:r>
    </w:p>
    <w:p w14:paraId="50D2AA92">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《危险废物污染防治技术政策》（环发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2001</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199号，2001年12月17日）；</w:t>
      </w:r>
    </w:p>
    <w:p w14:paraId="3CE67D1A">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《危险废物转移管理办法》（生态环境部、公安部、交通运输部令第23号，2021年11月30日）；</w:t>
      </w:r>
    </w:p>
    <w:p w14:paraId="715A3505">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《危险废物收集、贮存、运输技术规范》（HJ2025-2012）；</w:t>
      </w:r>
    </w:p>
    <w:p w14:paraId="2CB0F435">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《排污许可证申请与核发技术规范总则》（HJ942-2018）；</w:t>
      </w:r>
    </w:p>
    <w:p w14:paraId="1B95649B">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《排污许可证申请与核发技术规范工业固体废物和危险废物治理》（HJ1033-2019）；</w:t>
      </w:r>
    </w:p>
    <w:p w14:paraId="4D414F7F">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《排污许可证申请与核发技术规范危险废物焚烧》（HJ1038-2019）；</w:t>
      </w:r>
    </w:p>
    <w:p w14:paraId="5D939606">
      <w:pPr>
        <w:pStyle w:val="124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《固体废物再生利用污染防治技术导则》（HJ1091-2020）；</w:t>
      </w:r>
    </w:p>
    <w:p w14:paraId="01EF4AB0">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《重点行业挥发性有机物综合治理方案》（环大气</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2019</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53号）2019年7月3日；</w:t>
      </w:r>
    </w:p>
    <w:p w14:paraId="5410E1A2">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《关于印发&lt;工业炉窑大气污染综合治理方案&gt;的通知》（环大气</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2019</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56号）；</w:t>
      </w:r>
    </w:p>
    <w:p w14:paraId="26ACD753">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《危险废物处置工程技术导则》（HJ2042-2014）；</w:t>
      </w:r>
    </w:p>
    <w:p w14:paraId="4FCD62F8">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《危险废物经营单位审查和许可指南》（2016年10月22日修订）；</w:t>
      </w:r>
    </w:p>
    <w:p w14:paraId="155A9971">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《固体废物鉴别标准通则》（GB34330-2025）；</w:t>
      </w:r>
    </w:p>
    <w:p w14:paraId="4FBD3341">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《危险废物鉴别标准通则》（GB5085.7-2019）；</w:t>
      </w:r>
    </w:p>
    <w:p w14:paraId="28642F17">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《危险废物经营许可证管理办法》2016年修订；</w:t>
      </w:r>
    </w:p>
    <w:p w14:paraId="266F3D1B">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《危险废物经营单位编制应急预案指南》（国家环境保护总局2007年 第48号）；</w:t>
      </w:r>
    </w:p>
    <w:p w14:paraId="1487EDAF">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《危险废物贮存污染控制标准》（GB18597-2023）</w:t>
      </w:r>
    </w:p>
    <w:p w14:paraId="3DB600E1">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《空气质量持续改善行动计划》的通知（国发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2023</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24号）；</w:t>
      </w:r>
    </w:p>
    <w:p w14:paraId="0A4C9B52">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《中共中央国务院关于深入打好污染防治攻坚战的意见》；</w:t>
      </w:r>
    </w:p>
    <w:p w14:paraId="37EF5BA0">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《关于加强重点行业建设项目区域削减措施监督管理的通知》（环办环评</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2020</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36号）；</w:t>
      </w:r>
    </w:p>
    <w:p w14:paraId="749AE3DC">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《西部地区鼓励类产业目录（2025年本）》（国家发展改革委令第28号）；</w:t>
      </w:r>
    </w:p>
    <w:p w14:paraId="75246DD9">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《危险废物管理计划和管理台账制定技术导则》（HJ 1259-2022）；</w:t>
      </w:r>
    </w:p>
    <w:p w14:paraId="119712A6">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《危险废物识别标志设置技术规范》（HJ 1276-2022）；</w:t>
      </w:r>
    </w:p>
    <w:p w14:paraId="6BB324AC">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《工业企业土壤和地下水自行监测技术指南（试行）》（HJ 1209-2021）。</w:t>
      </w:r>
    </w:p>
    <w:bookmarkEnd w:id="67"/>
    <w:p w14:paraId="5292C76E">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地方性法规和规章</w:t>
      </w:r>
    </w:p>
    <w:p w14:paraId="63F9A4FE">
      <w:pPr>
        <w:pStyle w:val="1244"/>
        <w:numPr>
          <w:ilvl w:val="0"/>
          <w:numId w:val="7"/>
        </w:numPr>
        <w:ind w:left="566" w:leftChars="1" w:hanging="564" w:hangingChars="2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《新疆维吾尔自治区环境保护条例》（2018年9月21日）；</w:t>
      </w:r>
    </w:p>
    <w:p w14:paraId="7B3BA2E6">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《新疆维吾尔自治区大气污染防治条例》（2019年1月1日）；</w:t>
      </w:r>
    </w:p>
    <w:p w14:paraId="39E550B5">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《新疆生态环境保护“十四五”规划》（2021年12月24日）；</w:t>
      </w:r>
    </w:p>
    <w:p w14:paraId="2D561309">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关于印发新疆维吾尔自治区水污染防治工作方案的通知》（2016年1月29日）；</w:t>
      </w:r>
    </w:p>
    <w:p w14:paraId="5A250D98">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《关于印发新疆维吾尔自治区土壤污染防治工作方案的通知》（2017年3月7日）；</w:t>
      </w:r>
    </w:p>
    <w:p w14:paraId="5A876B71">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《新疆维吾尔自治区重点行业环境准入条件（2024年）》；</w:t>
      </w:r>
    </w:p>
    <w:p w14:paraId="1831A51F">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《关于进一步加强我区危险废物和医疗废物监督管理工作的意见》（新政办发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2014</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38号），2014年3月31日；</w:t>
      </w:r>
    </w:p>
    <w:p w14:paraId="43984C49">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《关于危险废物经营单位安装视频监控系统的通知》（2017年5月26日）；</w:t>
      </w:r>
    </w:p>
    <w:p w14:paraId="44B364EF">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《危险废物环境管理视频监控设置规范》（DB65/T 4805-2024）；</w:t>
      </w:r>
    </w:p>
    <w:p w14:paraId="31340B8D">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《自治区危险废物处置利用设施建设布局指导意见》（新政办发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2018</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106号）；</w:t>
      </w:r>
    </w:p>
    <w:p w14:paraId="34ABFB30">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《新疆维吾尔自治区“三线一单”生态环境分区管控方案》（新政发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2021</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18号）；</w:t>
      </w:r>
    </w:p>
    <w:p w14:paraId="44D0278B">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《乌鲁木齐市生态环境准入清单（2023年版）》；</w:t>
      </w:r>
    </w:p>
    <w:p w14:paraId="0089E7CD">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《新疆维吾尔自治区2025年空气质量持续改善行动实施方案》（新政办发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2024</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58号）；</w:t>
      </w:r>
    </w:p>
    <w:p w14:paraId="458E50F4">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《关于印发＜新疆维吾尔自治区生态环境分区管控动态更新成果＞的通 知》（新环环评发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2024</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157号）；</w:t>
      </w:r>
    </w:p>
    <w:p w14:paraId="7FC4844B">
      <w:pPr>
        <w:widowControl/>
        <w:numPr>
          <w:ilvl w:val="0"/>
          <w:numId w:val="5"/>
        </w:numPr>
        <w:autoSpaceDE/>
        <w:autoSpaceDN/>
        <w:ind w:left="566" w:leftChars="1" w:hanging="564" w:hangingChars="235"/>
        <w:rPr>
          <w:color w:val="000000" w:themeColor="text1"/>
          <w14:textFill>
            <w14:solidFill>
              <w14:schemeClr w14:val="tx1"/>
            </w14:solidFill>
          </w14:textFill>
        </w:rPr>
      </w:pPr>
      <w:r>
        <w:rPr>
          <w:color w:val="000000" w:themeColor="text1"/>
          <w14:textFill>
            <w14:solidFill>
              <w14:schemeClr w14:val="tx1"/>
            </w14:solidFill>
          </w14:textFill>
        </w:rPr>
        <w:t>《自治区党委自治区人民政府印发〈关于深入打好污染防治攻坚战的实施方案〉的通知》（新党发</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2022</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14号）。</w:t>
      </w:r>
    </w:p>
    <w:p w14:paraId="31142CE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环境影响评价技术规范</w:t>
      </w:r>
    </w:p>
    <w:p w14:paraId="6E0A827C">
      <w:pPr>
        <w:pStyle w:val="1244"/>
        <w:numPr>
          <w:ilvl w:val="0"/>
          <w:numId w:val="8"/>
        </w:num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《建设项目环境影响评价技术导则 总纲》</w:t>
      </w:r>
      <w:r>
        <w:rPr>
          <w:rFonts w:cs="Times New Roman"/>
          <w:color w:val="000000" w:themeColor="text1"/>
          <w:lang w:bidi="en-US"/>
          <w14:textFill>
            <w14:solidFill>
              <w14:schemeClr w14:val="tx1"/>
            </w14:solidFill>
          </w14:textFill>
        </w:rPr>
        <w:t>（HJ2.1-2016）</w:t>
      </w:r>
      <w:r>
        <w:rPr>
          <w:rFonts w:cs="Times New Roman"/>
          <w:color w:val="000000" w:themeColor="text1"/>
          <w14:textFill>
            <w14:solidFill>
              <w14:schemeClr w14:val="tx1"/>
            </w14:solidFill>
          </w14:textFill>
        </w:rPr>
        <w:t>；</w:t>
      </w:r>
    </w:p>
    <w:p w14:paraId="243CCB94">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《环境影响评价技术导则大气环境》（HJ2.2-2018）；</w:t>
      </w:r>
    </w:p>
    <w:p w14:paraId="4B5AC269">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《环境影响评价技术导则地表水环境》（HJ2.3-2018）；</w:t>
      </w:r>
    </w:p>
    <w:p w14:paraId="73E10138">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《环境影响评价技术导则声环境》（HJ2.4-2021）；</w:t>
      </w:r>
    </w:p>
    <w:p w14:paraId="19F8C1B3">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《环境影响评价技术导则地下水环境》（HJ610-2016）；</w:t>
      </w:r>
    </w:p>
    <w:p w14:paraId="772BA958">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《环境影响评价技术导则土壤环境(试行)》(HJ964-2018)；</w:t>
      </w:r>
    </w:p>
    <w:p w14:paraId="610C9372">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《环境影响评价技术导则生态环境》(HJ19-2022)；</w:t>
      </w:r>
    </w:p>
    <w:p w14:paraId="3A816DA2">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《建设项目环境风险评价技术导则》(HJ169-2018)；</w:t>
      </w:r>
    </w:p>
    <w:p w14:paraId="1257A4F0">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《固体废物处理处置工程技术导则》(HJ2035-2013)；</w:t>
      </w:r>
    </w:p>
    <w:p w14:paraId="475F50CC">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《危险废物贮存污染控制标准》(GB18597-2023)；</w:t>
      </w:r>
    </w:p>
    <w:p w14:paraId="2EAB7222">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《建设项目危险废物环境影响评价指南》(公告2017年第43号)；</w:t>
      </w:r>
    </w:p>
    <w:p w14:paraId="02465BE5">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《排污许可证申请与核发技术规范 工业固体废物(试行)》 (HJ1200-2021)；</w:t>
      </w:r>
    </w:p>
    <w:p w14:paraId="604015FD">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《大气有害物质无物质排放卫生防护距离推导技术导则》(GB T39499-2020)；</w:t>
      </w:r>
    </w:p>
    <w:p w14:paraId="159874CA">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《危险废物处置工程技术导则》(HJ2042-2014)；</w:t>
      </w:r>
    </w:p>
    <w:p w14:paraId="14C526C1">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《危险废物收集、贮存、运输技术规范》(HJ2025-2012)；</w:t>
      </w:r>
    </w:p>
    <w:p w14:paraId="6A6C6485">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《固体废物再生利用污染防治技术导则》(HJ1091-2020)；</w:t>
      </w:r>
    </w:p>
    <w:p w14:paraId="5B593B2D">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《危险废物污染防治技术政策》(环发〔2001</w:t>
      </w:r>
      <w:r>
        <w:rPr>
          <w:rFonts w:eastAsia="Cambria Math"/>
          <w:color w:val="000000" w:themeColor="text1"/>
          <w14:textFill>
            <w14:solidFill>
              <w14:schemeClr w14:val="tx1"/>
            </w14:solidFill>
          </w14:textFill>
        </w:rPr>
        <w:t>〕</w:t>
      </w:r>
      <w:r>
        <w:rPr>
          <w:color w:val="000000" w:themeColor="text1"/>
          <w14:textFill>
            <w14:solidFill>
              <w14:schemeClr w14:val="tx1"/>
            </w14:solidFill>
          </w14:textFill>
        </w:rPr>
        <w:t>199号)；</w:t>
      </w:r>
    </w:p>
    <w:p w14:paraId="094006AA">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《危险货物包装通用技术条件》(GB12463-2009)；</w:t>
      </w:r>
    </w:p>
    <w:p w14:paraId="784C6F03">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《危险货物运输包装标志》(GB190-2009)；</w:t>
      </w:r>
    </w:p>
    <w:p w14:paraId="274BBC54">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《汽车危险货物运输规则》(JT617-2004)；</w:t>
      </w:r>
    </w:p>
    <w:p w14:paraId="1F84AE45">
      <w:pPr>
        <w:widowControl/>
        <w:numPr>
          <w:ilvl w:val="0"/>
          <w:numId w:val="5"/>
        </w:numPr>
        <w:autoSpaceDE/>
        <w:autoSpaceDN/>
        <w:ind w:firstLineChars="0"/>
        <w:rPr>
          <w:color w:val="000000" w:themeColor="text1"/>
          <w14:textFill>
            <w14:solidFill>
              <w14:schemeClr w14:val="tx1"/>
            </w14:solidFill>
          </w14:textFill>
        </w:rPr>
      </w:pPr>
      <w:r>
        <w:rPr>
          <w:color w:val="000000" w:themeColor="text1"/>
          <w14:textFill>
            <w14:solidFill>
              <w14:schemeClr w14:val="tx1"/>
            </w14:solidFill>
          </w14:textFill>
        </w:rPr>
        <w:t>《排污单位自行监测技术指南工业固体废物和危险废物治理》(HJ 1250-2022)。</w:t>
      </w:r>
    </w:p>
    <w:p w14:paraId="775E7D5B">
      <w:pPr>
        <w:pStyle w:val="4"/>
        <w:rPr>
          <w:rFonts w:ascii="Times New Roman" w:cs="Times New Roman"/>
          <w:color w:val="000000" w:themeColor="text1"/>
          <w14:textFill>
            <w14:solidFill>
              <w14:schemeClr w14:val="tx1"/>
            </w14:solidFill>
          </w14:textFill>
        </w:rPr>
      </w:pPr>
      <w:bookmarkStart w:id="68" w:name="_Toc172915172"/>
      <w:bookmarkStart w:id="69" w:name="_Toc280691103"/>
      <w:bookmarkStart w:id="70" w:name="_Toc230071411"/>
      <w:bookmarkStart w:id="71" w:name="_Toc278649383"/>
      <w:bookmarkStart w:id="72" w:name="_Toc266187515"/>
      <w:bookmarkStart w:id="73" w:name="_Toc213225662"/>
      <w:bookmarkStart w:id="74" w:name="_Toc178676313"/>
      <w:bookmarkStart w:id="75" w:name="_Toc321821686"/>
      <w:bookmarkStart w:id="76" w:name="_Toc189128884"/>
      <w:bookmarkStart w:id="77" w:name="_Toc293592333"/>
      <w:bookmarkStart w:id="78" w:name="_Toc329793411"/>
      <w:bookmarkStart w:id="79" w:name="_Toc172077715"/>
      <w:r>
        <w:rPr>
          <w:rFonts w:ascii="Times New Roman" w:cs="Times New Roman"/>
          <w:color w:val="000000" w:themeColor="text1"/>
          <w14:textFill>
            <w14:solidFill>
              <w14:schemeClr w14:val="tx1"/>
            </w14:solidFill>
          </w14:textFill>
        </w:rPr>
        <w:t>项目文件、资料</w:t>
      </w:r>
      <w:bookmarkEnd w:id="68"/>
      <w:bookmarkEnd w:id="69"/>
      <w:bookmarkEnd w:id="70"/>
      <w:bookmarkEnd w:id="71"/>
      <w:bookmarkEnd w:id="72"/>
      <w:bookmarkEnd w:id="73"/>
      <w:bookmarkEnd w:id="74"/>
      <w:bookmarkEnd w:id="75"/>
      <w:bookmarkEnd w:id="76"/>
      <w:bookmarkEnd w:id="77"/>
      <w:bookmarkEnd w:id="78"/>
      <w:bookmarkEnd w:id="79"/>
    </w:p>
    <w:p w14:paraId="7EFC07E9">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（1）新疆华瑞化工技术有限公司年处置甘泉堡经开区华瑞化工年产5万吨工业废盐回收项目环境影响评价工作委托书；</w:t>
      </w:r>
    </w:p>
    <w:p w14:paraId="25C87F97">
      <w:pPr>
        <w:ind w:firstLine="480"/>
        <w:rPr>
          <w:color w:val="000000" w:themeColor="text1"/>
          <w14:textFill>
            <w14:solidFill>
              <w14:schemeClr w14:val="tx1"/>
            </w14:solidFill>
          </w14:textFill>
        </w:rPr>
      </w:pPr>
      <w:r>
        <w:rPr>
          <w:color w:val="000000" w:themeColor="text1"/>
          <w:szCs w:val="22"/>
          <w14:textFill>
            <w14:solidFill>
              <w14:schemeClr w14:val="tx1"/>
            </w14:solidFill>
          </w14:textFill>
        </w:rPr>
        <w:t>（2）《新疆华瑞化工技术有限公司年处置甘泉堡经开区华瑞化工年产5万吨工业废盐回收项目备案证》</w:t>
      </w:r>
      <w:r>
        <w:rPr>
          <w:color w:val="000000" w:themeColor="text1"/>
          <w14:textFill>
            <w14:solidFill>
              <w14:schemeClr w14:val="tx1"/>
            </w14:solidFill>
          </w14:textFill>
        </w:rPr>
        <w:t>；</w:t>
      </w:r>
    </w:p>
    <w:p w14:paraId="17D386C5">
      <w:pPr>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color w:val="000000" w:themeColor="text1"/>
          <w:szCs w:val="22"/>
          <w14:textFill>
            <w14:solidFill>
              <w14:schemeClr w14:val="tx1"/>
            </w14:solidFill>
          </w14:textFill>
        </w:rPr>
        <w:t>新疆华瑞化工技术有限公司年处置甘泉堡经开区华瑞化工年产5万吨工业废盐回收项目可行性研究报告</w:t>
      </w:r>
      <w:r>
        <w:rPr>
          <w:color w:val="000000" w:themeColor="text1"/>
          <w14:textFill>
            <w14:solidFill>
              <w14:schemeClr w14:val="tx1"/>
            </w14:solidFill>
          </w14:textFill>
        </w:rPr>
        <w:t>》；</w:t>
      </w:r>
    </w:p>
    <w:p w14:paraId="28E5EEE9">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）环境质量现状检测报告；</w:t>
      </w:r>
    </w:p>
    <w:p w14:paraId="180B3517">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）项目其他支持性材料。</w:t>
      </w:r>
    </w:p>
    <w:p w14:paraId="01008209">
      <w:pPr>
        <w:pStyle w:val="3"/>
        <w:rPr>
          <w:rFonts w:ascii="Times New Roman" w:cs="Times New Roman"/>
          <w:color w:val="000000" w:themeColor="text1"/>
          <w14:textFill>
            <w14:solidFill>
              <w14:schemeClr w14:val="tx1"/>
            </w14:solidFill>
          </w14:textFill>
        </w:rPr>
      </w:pPr>
      <w:bookmarkStart w:id="80" w:name="_Toc225268276"/>
      <w:r>
        <w:rPr>
          <w:rFonts w:ascii="Times New Roman" w:cs="Times New Roman"/>
          <w:color w:val="000000" w:themeColor="text1"/>
          <w14:textFill>
            <w14:solidFill>
              <w14:schemeClr w14:val="tx1"/>
            </w14:solidFill>
          </w14:textFill>
        </w:rPr>
        <w:t>评价目的、指导思想与评价重点</w:t>
      </w:r>
      <w:bookmarkEnd w:id="80"/>
    </w:p>
    <w:p w14:paraId="0B893C1C">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评价目的</w:t>
      </w:r>
    </w:p>
    <w:p w14:paraId="2AD3B16D">
      <w:pPr>
        <w:ind w:firstLine="480"/>
        <w:rPr>
          <w:color w:val="000000" w:themeColor="text1"/>
          <w14:textFill>
            <w14:solidFill>
              <w14:schemeClr w14:val="tx1"/>
            </w14:solidFill>
          </w14:textFill>
        </w:rPr>
      </w:pPr>
      <w:r>
        <w:rPr>
          <w:color w:val="000000" w:themeColor="text1"/>
          <w14:textFill>
            <w14:solidFill>
              <w14:schemeClr w14:val="tx1"/>
            </w14:solidFill>
          </w14:textFill>
        </w:rPr>
        <w:t>摸清工程所在地环境质量现状，通过对拟建项目进行工程分析，找出工程的排污环节、确定污染物产生量、治理后排放量，提出拟建工程环境保护措施，分析治理措施的可行性，预测拟建项目投产后对周围环境的影响范围和程度；论证工程建设是否符合国家产业政策，为工程中的环保设施设计、环境管理及领导部门决策提供依据。</w:t>
      </w:r>
    </w:p>
    <w:p w14:paraId="164A6ADE">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指导思想</w:t>
      </w:r>
    </w:p>
    <w:p w14:paraId="3FF294B0">
      <w:pPr>
        <w:ind w:firstLine="480"/>
        <w:rPr>
          <w:color w:val="000000" w:themeColor="text1"/>
          <w14:textFill>
            <w14:solidFill>
              <w14:schemeClr w14:val="tx1"/>
            </w14:solidFill>
          </w14:textFill>
        </w:rPr>
      </w:pPr>
      <w:r>
        <w:rPr>
          <w:color w:val="000000" w:themeColor="text1"/>
          <w14:textFill>
            <w14:solidFill>
              <w14:schemeClr w14:val="tx1"/>
            </w14:solidFill>
          </w14:textFill>
        </w:rPr>
        <w:t>根据项目特点，抓住影响环境的主要因子，有重点地进行评价；评价方法力求科学严谨，实事求是；分析论证力求客观公正；贯彻国家产业政策、城市总体规划、环境功能要求、达标排放、总量控制、节能减排、事故风险的原则；提出的环保措施力求技术可靠、经济合理；充分利用已有数据，在保证报告书质量的前提下尽量缩短评价周期。</w:t>
      </w:r>
    </w:p>
    <w:p w14:paraId="583EF173">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评价重点</w:t>
      </w:r>
    </w:p>
    <w:p w14:paraId="01C1B248">
      <w:pPr>
        <w:ind w:firstLine="480"/>
        <w:rPr>
          <w:color w:val="000000" w:themeColor="text1"/>
          <w14:textFill>
            <w14:solidFill>
              <w14:schemeClr w14:val="tx1"/>
            </w14:solidFill>
          </w14:textFill>
        </w:rPr>
      </w:pPr>
      <w:r>
        <w:rPr>
          <w:color w:val="000000" w:themeColor="text1"/>
          <w14:textFill>
            <w14:solidFill>
              <w14:schemeClr w14:val="tx1"/>
            </w14:solidFill>
          </w14:textFill>
        </w:rPr>
        <w:t>根据项目的环境影响特征及当地的环境特征，通过工程分析和环境影响识别，确定本次评价重点为：</w:t>
      </w:r>
    </w:p>
    <w:p w14:paraId="7EE11E0A">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（1）工程分析 </w:t>
      </w:r>
    </w:p>
    <w:p w14:paraId="1D4A5415">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结合工艺过程，通过对物料、水进行平衡计算，并类比相似生产企业实际运行情况，分析生产过程中“三废”及噪声排放情况。 </w:t>
      </w:r>
    </w:p>
    <w:p w14:paraId="47886A24">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（2）污染防治措施分析推荐 </w:t>
      </w:r>
    </w:p>
    <w:p w14:paraId="575CCFFA">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根据工程“三废”及噪声排放特点，结合相似企业实际治理经验，对拟采取的治理措施可行性进行分析，并提出建议，确保拟建项目各污染物达标排放。 </w:t>
      </w:r>
    </w:p>
    <w:p w14:paraId="1EA38F0D">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（3）环境影响预测及评价 </w:t>
      </w:r>
    </w:p>
    <w:p w14:paraId="03B3A86A">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结合生产过程“三废”及噪声排放特点以及评价范围内环境概况，综合考虑共建项目的污染源及污染物情况，重点分析对环境的影响程度和范围。 </w:t>
      </w:r>
    </w:p>
    <w:p w14:paraId="1E5090F3">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（4）环境风险评价 </w:t>
      </w:r>
    </w:p>
    <w:p w14:paraId="13D574B9">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结合本项目生产工艺特点，分析确定各项目风险因素，预测风险发生时对环境造成的危害，提出环境风险防范措施，并编制应急预案。 </w:t>
      </w:r>
    </w:p>
    <w:p w14:paraId="7EEBAAC1">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（5）环境管理与验收分析 </w:t>
      </w:r>
    </w:p>
    <w:p w14:paraId="3202AE3E">
      <w:pPr>
        <w:ind w:firstLine="480"/>
        <w:rPr>
          <w:color w:val="000000" w:themeColor="text1"/>
          <w14:textFill>
            <w14:solidFill>
              <w14:schemeClr w14:val="tx1"/>
            </w14:solidFill>
          </w14:textFill>
        </w:rPr>
      </w:pPr>
      <w:r>
        <w:rPr>
          <w:color w:val="000000" w:themeColor="text1"/>
          <w14:textFill>
            <w14:solidFill>
              <w14:schemeClr w14:val="tx1"/>
            </w14:solidFill>
          </w14:textFill>
        </w:rPr>
        <w:t>结合环境管理要求，对环境管理与监测计划、竣工验收管理进行重点评价。</w:t>
      </w:r>
    </w:p>
    <w:p w14:paraId="2BE34B61">
      <w:pPr>
        <w:ind w:firstLine="480"/>
        <w:rPr>
          <w:color w:val="000000" w:themeColor="text1"/>
          <w14:textFill>
            <w14:solidFill>
              <w14:schemeClr w14:val="tx1"/>
            </w14:solidFill>
          </w14:textFill>
        </w:rPr>
      </w:pPr>
      <w:r>
        <w:rPr>
          <w:color w:val="000000" w:themeColor="text1"/>
          <w14:textFill>
            <w14:solidFill>
              <w14:schemeClr w14:val="tx1"/>
            </w14:solidFill>
          </w14:textFill>
        </w:rPr>
        <w:t>（6）项目选址合理性风险</w:t>
      </w:r>
    </w:p>
    <w:p w14:paraId="49CF8D52">
      <w:pPr>
        <w:ind w:firstLine="480"/>
        <w:rPr>
          <w:color w:val="000000" w:themeColor="text1"/>
          <w14:textFill>
            <w14:solidFill>
              <w14:schemeClr w14:val="tx1"/>
            </w14:solidFill>
          </w14:textFill>
        </w:rPr>
      </w:pPr>
      <w:r>
        <w:rPr>
          <w:color w:val="000000" w:themeColor="text1"/>
          <w14:textFill>
            <w14:solidFill>
              <w14:schemeClr w14:val="tx1"/>
            </w14:solidFill>
          </w14:textFill>
        </w:rPr>
        <w:t>结果本项目位置及所在园区规划，对项目建设可行性进行重点评价。</w:t>
      </w:r>
    </w:p>
    <w:p w14:paraId="3A6D6EC3">
      <w:pPr>
        <w:pStyle w:val="3"/>
        <w:rPr>
          <w:rFonts w:ascii="Times New Roman" w:cs="Times New Roman"/>
          <w:color w:val="000000" w:themeColor="text1"/>
          <w14:textFill>
            <w14:solidFill>
              <w14:schemeClr w14:val="tx1"/>
            </w14:solidFill>
          </w14:textFill>
        </w:rPr>
      </w:pPr>
      <w:bookmarkStart w:id="81" w:name="_Toc225268277"/>
      <w:r>
        <w:rPr>
          <w:rFonts w:ascii="Times New Roman" w:cs="Times New Roman"/>
          <w:color w:val="000000" w:themeColor="text1"/>
          <w14:textFill>
            <w14:solidFill>
              <w14:schemeClr w14:val="tx1"/>
            </w14:solidFill>
          </w14:textFill>
        </w:rPr>
        <w:t>环境影响因子的识别和筛选</w:t>
      </w:r>
      <w:bookmarkEnd w:id="81"/>
    </w:p>
    <w:p w14:paraId="133EFEDE">
      <w:pPr>
        <w:pStyle w:val="4"/>
        <w:rPr>
          <w:rFonts w:ascii="Times New Roman" w:cs="Times New Roman"/>
          <w:color w:val="000000" w:themeColor="text1"/>
          <w14:textFill>
            <w14:solidFill>
              <w14:schemeClr w14:val="tx1"/>
            </w14:solidFill>
          </w14:textFill>
        </w:rPr>
      </w:pPr>
      <w:bookmarkStart w:id="82" w:name="_Toc172077788"/>
      <w:bookmarkStart w:id="83" w:name="_Toc157675735"/>
      <w:bookmarkStart w:id="84" w:name="_Toc266187620"/>
      <w:bookmarkStart w:id="85" w:name="_Toc329793414"/>
      <w:bookmarkStart w:id="86" w:name="_Toc155696454"/>
      <w:bookmarkStart w:id="87" w:name="_Toc178760656"/>
      <w:bookmarkStart w:id="88" w:name="_Toc278649487"/>
      <w:bookmarkStart w:id="89" w:name="_Toc220229225"/>
      <w:bookmarkStart w:id="90" w:name="_Toc321821786"/>
      <w:bookmarkStart w:id="91" w:name="_Toc158114360"/>
      <w:r>
        <w:rPr>
          <w:rFonts w:ascii="Times New Roman" w:cs="Times New Roman"/>
          <w:color w:val="000000" w:themeColor="text1"/>
          <w14:textFill>
            <w14:solidFill>
              <w14:schemeClr w14:val="tx1"/>
            </w14:solidFill>
          </w14:textFill>
        </w:rPr>
        <w:t>环境影响要素识别</w:t>
      </w:r>
      <w:bookmarkEnd w:id="82"/>
      <w:bookmarkEnd w:id="83"/>
      <w:bookmarkEnd w:id="84"/>
      <w:bookmarkEnd w:id="85"/>
      <w:bookmarkEnd w:id="86"/>
      <w:bookmarkEnd w:id="87"/>
      <w:bookmarkEnd w:id="88"/>
      <w:bookmarkEnd w:id="89"/>
      <w:bookmarkEnd w:id="90"/>
      <w:bookmarkEnd w:id="91"/>
    </w:p>
    <w:p w14:paraId="72C43DD2">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总纲》（</w:t>
      </w:r>
      <w:r>
        <w:rPr>
          <w:rFonts w:eastAsia="TimesNewRomanPSMT"/>
          <w:color w:val="000000" w:themeColor="text1"/>
          <w14:textFill>
            <w14:solidFill>
              <w14:schemeClr w14:val="tx1"/>
            </w14:solidFill>
          </w14:textFill>
        </w:rPr>
        <w:t>HJ 2.1-2016</w:t>
      </w:r>
      <w:r>
        <w:rPr>
          <w:color w:val="000000" w:themeColor="text1"/>
          <w14:textFill>
            <w14:solidFill>
              <w14:schemeClr w14:val="tx1"/>
            </w14:solidFill>
          </w14:textFill>
        </w:rPr>
        <w:t>）本项目涉及的环境要素识别详见下表。</w:t>
      </w:r>
    </w:p>
    <w:p w14:paraId="4FBD8541">
      <w:pPr>
        <w:pStyle w:val="117"/>
        <w:rPr>
          <w:rFonts w:ascii="Times New Roman" w:hAnsi="Times New Roman" w:cs="Times New Roman"/>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66D8BEB6">
      <w:pPr>
        <w:pStyle w:val="117"/>
        <w:rPr>
          <w:rFonts w:ascii="Times New Roman" w:hAnsi="Times New Roman" w:cs="Times New Roman"/>
          <w:b/>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自然环境影响的因子识别</w:t>
      </w:r>
    </w:p>
    <w:tbl>
      <w:tblPr>
        <w:tblStyle w:val="76"/>
        <w:tblW w:w="14313" w:type="dxa"/>
        <w:tblInd w:w="0" w:type="dxa"/>
        <w:tblLayout w:type="autofit"/>
        <w:tblCellMar>
          <w:top w:w="0" w:type="dxa"/>
          <w:left w:w="108" w:type="dxa"/>
          <w:bottom w:w="0" w:type="dxa"/>
          <w:right w:w="108" w:type="dxa"/>
        </w:tblCellMar>
      </w:tblPr>
      <w:tblGrid>
        <w:gridCol w:w="704"/>
        <w:gridCol w:w="1134"/>
        <w:gridCol w:w="916"/>
        <w:gridCol w:w="959"/>
        <w:gridCol w:w="956"/>
        <w:gridCol w:w="916"/>
        <w:gridCol w:w="694"/>
        <w:gridCol w:w="22"/>
        <w:gridCol w:w="814"/>
        <w:gridCol w:w="777"/>
        <w:gridCol w:w="717"/>
        <w:gridCol w:w="1149"/>
        <w:gridCol w:w="34"/>
        <w:gridCol w:w="1100"/>
        <w:gridCol w:w="690"/>
        <w:gridCol w:w="869"/>
        <w:gridCol w:w="910"/>
        <w:gridCol w:w="918"/>
        <w:gridCol w:w="34"/>
      </w:tblGrid>
      <w:tr w14:paraId="11B2AEA0">
        <w:tblPrEx>
          <w:tblCellMar>
            <w:top w:w="0" w:type="dxa"/>
            <w:left w:w="108" w:type="dxa"/>
            <w:bottom w:w="0" w:type="dxa"/>
            <w:right w:w="108" w:type="dxa"/>
          </w:tblCellMar>
        </w:tblPrEx>
        <w:trPr>
          <w:trHeight w:val="276" w:hRule="atLeast"/>
        </w:trPr>
        <w:tc>
          <w:tcPr>
            <w:tcW w:w="704" w:type="dxa"/>
            <w:vMerge w:val="restart"/>
            <w:tcBorders>
              <w:top w:val="single" w:color="auto" w:sz="4" w:space="0"/>
              <w:left w:val="single" w:color="auto" w:sz="4" w:space="0"/>
              <w:bottom w:val="single" w:color="auto" w:sz="4" w:space="0"/>
              <w:right w:val="single" w:color="auto" w:sz="4" w:space="0"/>
            </w:tcBorders>
            <w:noWrap/>
            <w:vAlign w:val="center"/>
          </w:tcPr>
          <w:p w14:paraId="55FF5524">
            <w:pPr>
              <w:pStyle w:val="109"/>
              <w:rPr>
                <w:color w:val="000000" w:themeColor="text1"/>
                <w14:textFill>
                  <w14:solidFill>
                    <w14:schemeClr w14:val="tx1"/>
                  </w14:solidFill>
                </w14:textFill>
              </w:rPr>
            </w:pPr>
            <w:r>
              <w:rPr>
                <w:color w:val="000000" w:themeColor="text1"/>
                <w14:textFill>
                  <w14:solidFill>
                    <w14:schemeClr w14:val="tx1"/>
                  </w14:solidFill>
                </w14:textFill>
              </w:rPr>
              <w:t>影响因素</w:t>
            </w:r>
          </w:p>
        </w:tc>
        <w:tc>
          <w:tcPr>
            <w:tcW w:w="1134" w:type="dxa"/>
            <w:vMerge w:val="restart"/>
            <w:tcBorders>
              <w:top w:val="single" w:color="auto" w:sz="4" w:space="0"/>
              <w:left w:val="single" w:color="auto" w:sz="4" w:space="0"/>
              <w:bottom w:val="single" w:color="auto" w:sz="4" w:space="0"/>
              <w:right w:val="single" w:color="auto" w:sz="4" w:space="0"/>
            </w:tcBorders>
            <w:noWrap/>
            <w:vAlign w:val="center"/>
          </w:tcPr>
          <w:p w14:paraId="3F72308D">
            <w:pPr>
              <w:pStyle w:val="109"/>
              <w:rPr>
                <w:color w:val="000000" w:themeColor="text1"/>
                <w14:textFill>
                  <w14:solidFill>
                    <w14:schemeClr w14:val="tx1"/>
                  </w14:solidFill>
                </w14:textFill>
              </w:rPr>
            </w:pPr>
            <w:r>
              <w:rPr>
                <w:color w:val="000000" w:themeColor="text1"/>
                <w14:textFill>
                  <w14:solidFill>
                    <w14:schemeClr w14:val="tx1"/>
                  </w14:solidFill>
                </w14:textFill>
              </w:rPr>
              <w:t>影响受体</w:t>
            </w:r>
          </w:p>
        </w:tc>
        <w:tc>
          <w:tcPr>
            <w:tcW w:w="4463" w:type="dxa"/>
            <w:gridSpan w:val="6"/>
            <w:tcBorders>
              <w:top w:val="single" w:color="auto" w:sz="4" w:space="0"/>
              <w:left w:val="nil"/>
              <w:bottom w:val="single" w:color="auto" w:sz="4" w:space="0"/>
              <w:right w:val="single" w:color="auto" w:sz="4" w:space="0"/>
            </w:tcBorders>
            <w:noWrap/>
            <w:vAlign w:val="center"/>
          </w:tcPr>
          <w:p w14:paraId="1ABD6F56">
            <w:pPr>
              <w:pStyle w:val="109"/>
              <w:rPr>
                <w:color w:val="000000" w:themeColor="text1"/>
                <w14:textFill>
                  <w14:solidFill>
                    <w14:schemeClr w14:val="tx1"/>
                  </w14:solidFill>
                </w14:textFill>
              </w:rPr>
            </w:pPr>
            <w:r>
              <w:rPr>
                <w:color w:val="000000" w:themeColor="text1"/>
                <w14:textFill>
                  <w14:solidFill>
                    <w14:schemeClr w14:val="tx1"/>
                  </w14:solidFill>
                </w14:textFill>
              </w:rPr>
              <w:t>自然环境</w:t>
            </w:r>
          </w:p>
        </w:tc>
        <w:tc>
          <w:tcPr>
            <w:tcW w:w="3491" w:type="dxa"/>
            <w:gridSpan w:val="5"/>
            <w:tcBorders>
              <w:top w:val="single" w:color="auto" w:sz="4" w:space="0"/>
              <w:left w:val="nil"/>
              <w:bottom w:val="single" w:color="auto" w:sz="4" w:space="0"/>
              <w:right w:val="single" w:color="auto" w:sz="4" w:space="0"/>
            </w:tcBorders>
            <w:noWrap/>
            <w:vAlign w:val="center"/>
          </w:tcPr>
          <w:p w14:paraId="7064EF1C">
            <w:pPr>
              <w:pStyle w:val="109"/>
              <w:rPr>
                <w:color w:val="000000" w:themeColor="text1"/>
                <w14:textFill>
                  <w14:solidFill>
                    <w14:schemeClr w14:val="tx1"/>
                  </w14:solidFill>
                </w14:textFill>
              </w:rPr>
            </w:pPr>
            <w:r>
              <w:rPr>
                <w:color w:val="000000" w:themeColor="text1"/>
                <w14:textFill>
                  <w14:solidFill>
                    <w14:schemeClr w14:val="tx1"/>
                  </w14:solidFill>
                </w14:textFill>
              </w:rPr>
              <w:t>生态环境</w:t>
            </w:r>
          </w:p>
        </w:tc>
        <w:tc>
          <w:tcPr>
            <w:tcW w:w="4521" w:type="dxa"/>
            <w:gridSpan w:val="6"/>
            <w:tcBorders>
              <w:top w:val="single" w:color="auto" w:sz="4" w:space="0"/>
              <w:left w:val="nil"/>
              <w:bottom w:val="single" w:color="auto" w:sz="4" w:space="0"/>
              <w:right w:val="single" w:color="auto" w:sz="4" w:space="0"/>
            </w:tcBorders>
            <w:noWrap/>
            <w:vAlign w:val="center"/>
          </w:tcPr>
          <w:p w14:paraId="6B360034">
            <w:pPr>
              <w:pStyle w:val="109"/>
              <w:rPr>
                <w:color w:val="000000" w:themeColor="text1"/>
                <w14:textFill>
                  <w14:solidFill>
                    <w14:schemeClr w14:val="tx1"/>
                  </w14:solidFill>
                </w14:textFill>
              </w:rPr>
            </w:pPr>
            <w:r>
              <w:rPr>
                <w:color w:val="000000" w:themeColor="text1"/>
                <w14:textFill>
                  <w14:solidFill>
                    <w14:schemeClr w14:val="tx1"/>
                  </w14:solidFill>
                </w14:textFill>
              </w:rPr>
              <w:t>社会环境</w:t>
            </w:r>
          </w:p>
        </w:tc>
      </w:tr>
      <w:tr w14:paraId="2BDE8DAC">
        <w:tblPrEx>
          <w:tblCellMar>
            <w:top w:w="0" w:type="dxa"/>
            <w:left w:w="108" w:type="dxa"/>
            <w:bottom w:w="0" w:type="dxa"/>
            <w:right w:w="108" w:type="dxa"/>
          </w:tblCellMar>
        </w:tblPrEx>
        <w:trPr>
          <w:gridAfter w:val="1"/>
          <w:wAfter w:w="34" w:type="dxa"/>
          <w:trHeight w:val="276"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0EE1DA9D">
            <w:pPr>
              <w:pStyle w:val="109"/>
              <w:rPr>
                <w:color w:val="000000" w:themeColor="text1"/>
                <w14:textFill>
                  <w14:solidFill>
                    <w14:schemeClr w14:val="tx1"/>
                  </w14:solidFill>
                </w14:textFill>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98C6C24">
            <w:pPr>
              <w:pStyle w:val="109"/>
              <w:rPr>
                <w:color w:val="000000" w:themeColor="text1"/>
                <w14:textFill>
                  <w14:solidFill>
                    <w14:schemeClr w14:val="tx1"/>
                  </w14:solidFill>
                </w14:textFill>
              </w:rPr>
            </w:pPr>
          </w:p>
        </w:tc>
        <w:tc>
          <w:tcPr>
            <w:tcW w:w="916" w:type="dxa"/>
            <w:tcBorders>
              <w:top w:val="nil"/>
              <w:left w:val="nil"/>
              <w:bottom w:val="single" w:color="auto" w:sz="4" w:space="0"/>
              <w:right w:val="single" w:color="auto" w:sz="4" w:space="0"/>
            </w:tcBorders>
            <w:noWrap/>
            <w:vAlign w:val="center"/>
          </w:tcPr>
          <w:p w14:paraId="6B1D4FE8">
            <w:pPr>
              <w:pStyle w:val="109"/>
              <w:rPr>
                <w:color w:val="000000" w:themeColor="text1"/>
                <w14:textFill>
                  <w14:solidFill>
                    <w14:schemeClr w14:val="tx1"/>
                  </w14:solidFill>
                </w14:textFill>
              </w:rPr>
            </w:pPr>
            <w:r>
              <w:rPr>
                <w:color w:val="000000" w:themeColor="text1"/>
                <w14:textFill>
                  <w14:solidFill>
                    <w14:schemeClr w14:val="tx1"/>
                  </w14:solidFill>
                </w14:textFill>
              </w:rPr>
              <w:t>环境空气</w:t>
            </w:r>
          </w:p>
        </w:tc>
        <w:tc>
          <w:tcPr>
            <w:tcW w:w="959" w:type="dxa"/>
            <w:tcBorders>
              <w:top w:val="nil"/>
              <w:left w:val="nil"/>
              <w:bottom w:val="single" w:color="auto" w:sz="4" w:space="0"/>
              <w:right w:val="single" w:color="auto" w:sz="4" w:space="0"/>
            </w:tcBorders>
            <w:noWrap/>
            <w:vAlign w:val="center"/>
          </w:tcPr>
          <w:p w14:paraId="5E8F6546">
            <w:pPr>
              <w:pStyle w:val="109"/>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956" w:type="dxa"/>
            <w:tcBorders>
              <w:top w:val="nil"/>
              <w:left w:val="nil"/>
              <w:bottom w:val="single" w:color="auto" w:sz="4" w:space="0"/>
              <w:right w:val="single" w:color="auto" w:sz="4" w:space="0"/>
            </w:tcBorders>
            <w:noWrap/>
            <w:vAlign w:val="center"/>
          </w:tcPr>
          <w:p w14:paraId="3E2D2125">
            <w:pPr>
              <w:pStyle w:val="109"/>
              <w:rPr>
                <w:color w:val="000000" w:themeColor="text1"/>
                <w14:textFill>
                  <w14:solidFill>
                    <w14:schemeClr w14:val="tx1"/>
                  </w14:solidFill>
                </w14:textFill>
              </w:rPr>
            </w:pPr>
            <w:r>
              <w:rPr>
                <w:color w:val="000000" w:themeColor="text1"/>
                <w14:textFill>
                  <w14:solidFill>
                    <w14:schemeClr w14:val="tx1"/>
                  </w14:solidFill>
                </w14:textFill>
              </w:rPr>
              <w:t>地下水环境</w:t>
            </w:r>
          </w:p>
        </w:tc>
        <w:tc>
          <w:tcPr>
            <w:tcW w:w="916" w:type="dxa"/>
            <w:tcBorders>
              <w:top w:val="nil"/>
              <w:left w:val="nil"/>
              <w:bottom w:val="single" w:color="auto" w:sz="4" w:space="0"/>
              <w:right w:val="single" w:color="auto" w:sz="4" w:space="0"/>
            </w:tcBorders>
            <w:noWrap/>
            <w:vAlign w:val="center"/>
          </w:tcPr>
          <w:p w14:paraId="645D65CD">
            <w:pPr>
              <w:pStyle w:val="109"/>
              <w:rPr>
                <w:color w:val="000000" w:themeColor="text1"/>
                <w14:textFill>
                  <w14:solidFill>
                    <w14:schemeClr w14:val="tx1"/>
                  </w14:solidFill>
                </w14:textFill>
              </w:rPr>
            </w:pPr>
            <w:r>
              <w:rPr>
                <w:color w:val="000000" w:themeColor="text1"/>
                <w14:textFill>
                  <w14:solidFill>
                    <w14:schemeClr w14:val="tx1"/>
                  </w14:solidFill>
                </w14:textFill>
              </w:rPr>
              <w:t>土壤环境</w:t>
            </w:r>
          </w:p>
        </w:tc>
        <w:tc>
          <w:tcPr>
            <w:tcW w:w="694" w:type="dxa"/>
            <w:tcBorders>
              <w:top w:val="nil"/>
              <w:left w:val="nil"/>
              <w:bottom w:val="single" w:color="auto" w:sz="4" w:space="0"/>
              <w:right w:val="single" w:color="auto" w:sz="4" w:space="0"/>
            </w:tcBorders>
            <w:noWrap/>
            <w:vAlign w:val="center"/>
          </w:tcPr>
          <w:p w14:paraId="6E174FBF">
            <w:pPr>
              <w:pStyle w:val="109"/>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836" w:type="dxa"/>
            <w:gridSpan w:val="2"/>
            <w:tcBorders>
              <w:top w:val="nil"/>
              <w:left w:val="nil"/>
              <w:bottom w:val="single" w:color="auto" w:sz="4" w:space="0"/>
              <w:right w:val="single" w:color="auto" w:sz="4" w:space="0"/>
            </w:tcBorders>
            <w:noWrap/>
            <w:vAlign w:val="center"/>
          </w:tcPr>
          <w:p w14:paraId="0F5B5045">
            <w:pPr>
              <w:pStyle w:val="109"/>
              <w:rPr>
                <w:color w:val="000000" w:themeColor="text1"/>
                <w14:textFill>
                  <w14:solidFill>
                    <w14:schemeClr w14:val="tx1"/>
                  </w14:solidFill>
                </w14:textFill>
              </w:rPr>
            </w:pPr>
            <w:r>
              <w:rPr>
                <w:color w:val="000000" w:themeColor="text1"/>
                <w14:textFill>
                  <w14:solidFill>
                    <w14:schemeClr w14:val="tx1"/>
                  </w14:solidFill>
                </w14:textFill>
              </w:rPr>
              <w:t>陆域环境</w:t>
            </w:r>
          </w:p>
        </w:tc>
        <w:tc>
          <w:tcPr>
            <w:tcW w:w="777" w:type="dxa"/>
            <w:tcBorders>
              <w:top w:val="nil"/>
              <w:left w:val="nil"/>
              <w:bottom w:val="single" w:color="auto" w:sz="4" w:space="0"/>
              <w:right w:val="single" w:color="auto" w:sz="4" w:space="0"/>
            </w:tcBorders>
            <w:noWrap/>
            <w:vAlign w:val="center"/>
          </w:tcPr>
          <w:p w14:paraId="3D232089">
            <w:pPr>
              <w:pStyle w:val="109"/>
              <w:rPr>
                <w:color w:val="000000" w:themeColor="text1"/>
                <w14:textFill>
                  <w14:solidFill>
                    <w14:schemeClr w14:val="tx1"/>
                  </w14:solidFill>
                </w14:textFill>
              </w:rPr>
            </w:pPr>
            <w:r>
              <w:rPr>
                <w:color w:val="000000" w:themeColor="text1"/>
                <w14:textFill>
                  <w14:solidFill>
                    <w14:schemeClr w14:val="tx1"/>
                  </w14:solidFill>
                </w14:textFill>
              </w:rPr>
              <w:t>水生生物</w:t>
            </w:r>
          </w:p>
        </w:tc>
        <w:tc>
          <w:tcPr>
            <w:tcW w:w="717" w:type="dxa"/>
            <w:tcBorders>
              <w:top w:val="nil"/>
              <w:left w:val="nil"/>
              <w:bottom w:val="single" w:color="auto" w:sz="4" w:space="0"/>
              <w:right w:val="single" w:color="auto" w:sz="4" w:space="0"/>
            </w:tcBorders>
            <w:noWrap/>
            <w:vAlign w:val="center"/>
          </w:tcPr>
          <w:p w14:paraId="07A40DD3">
            <w:pPr>
              <w:pStyle w:val="109"/>
              <w:rPr>
                <w:color w:val="000000" w:themeColor="text1"/>
                <w14:textFill>
                  <w14:solidFill>
                    <w14:schemeClr w14:val="tx1"/>
                  </w14:solidFill>
                </w14:textFill>
              </w:rPr>
            </w:pPr>
            <w:r>
              <w:rPr>
                <w:color w:val="000000" w:themeColor="text1"/>
                <w14:textFill>
                  <w14:solidFill>
                    <w14:schemeClr w14:val="tx1"/>
                  </w14:solidFill>
                </w14:textFill>
              </w:rPr>
              <w:t>渔业资源</w:t>
            </w:r>
          </w:p>
        </w:tc>
        <w:tc>
          <w:tcPr>
            <w:tcW w:w="1149" w:type="dxa"/>
            <w:tcBorders>
              <w:top w:val="nil"/>
              <w:left w:val="nil"/>
              <w:bottom w:val="single" w:color="auto" w:sz="4" w:space="0"/>
              <w:right w:val="single" w:color="auto" w:sz="4" w:space="0"/>
            </w:tcBorders>
            <w:noWrap/>
            <w:vAlign w:val="center"/>
          </w:tcPr>
          <w:p w14:paraId="3BB31A44">
            <w:pPr>
              <w:pStyle w:val="109"/>
              <w:rPr>
                <w:color w:val="000000" w:themeColor="text1"/>
                <w14:textFill>
                  <w14:solidFill>
                    <w14:schemeClr w14:val="tx1"/>
                  </w14:solidFill>
                </w14:textFill>
              </w:rPr>
            </w:pPr>
            <w:r>
              <w:rPr>
                <w:color w:val="000000" w:themeColor="text1"/>
                <w14:textFill>
                  <w14:solidFill>
                    <w14:schemeClr w14:val="tx1"/>
                  </w14:solidFill>
                </w14:textFill>
              </w:rPr>
              <w:t>主要生态保护区域</w:t>
            </w:r>
          </w:p>
        </w:tc>
        <w:tc>
          <w:tcPr>
            <w:tcW w:w="1134" w:type="dxa"/>
            <w:gridSpan w:val="2"/>
            <w:tcBorders>
              <w:top w:val="nil"/>
              <w:left w:val="nil"/>
              <w:bottom w:val="single" w:color="auto" w:sz="4" w:space="0"/>
              <w:right w:val="single" w:color="auto" w:sz="4" w:space="0"/>
            </w:tcBorders>
            <w:noWrap/>
            <w:vAlign w:val="center"/>
          </w:tcPr>
          <w:p w14:paraId="61036889">
            <w:pPr>
              <w:pStyle w:val="109"/>
              <w:rPr>
                <w:color w:val="000000" w:themeColor="text1"/>
                <w14:textFill>
                  <w14:solidFill>
                    <w14:schemeClr w14:val="tx1"/>
                  </w14:solidFill>
                </w14:textFill>
              </w:rPr>
            </w:pPr>
            <w:r>
              <w:rPr>
                <w:color w:val="000000" w:themeColor="text1"/>
                <w14:textFill>
                  <w14:solidFill>
                    <w14:schemeClr w14:val="tx1"/>
                  </w14:solidFill>
                </w14:textFill>
              </w:rPr>
              <w:t>农业与土地利用</w:t>
            </w:r>
          </w:p>
        </w:tc>
        <w:tc>
          <w:tcPr>
            <w:tcW w:w="690" w:type="dxa"/>
            <w:tcBorders>
              <w:top w:val="nil"/>
              <w:left w:val="nil"/>
              <w:bottom w:val="single" w:color="auto" w:sz="4" w:space="0"/>
              <w:right w:val="single" w:color="auto" w:sz="4" w:space="0"/>
            </w:tcBorders>
            <w:noWrap/>
            <w:vAlign w:val="center"/>
          </w:tcPr>
          <w:p w14:paraId="5ACE34B2">
            <w:pPr>
              <w:pStyle w:val="109"/>
              <w:rPr>
                <w:color w:val="000000" w:themeColor="text1"/>
                <w14:textFill>
                  <w14:solidFill>
                    <w14:schemeClr w14:val="tx1"/>
                  </w14:solidFill>
                </w14:textFill>
              </w:rPr>
            </w:pPr>
            <w:r>
              <w:rPr>
                <w:color w:val="000000" w:themeColor="text1"/>
                <w14:textFill>
                  <w14:solidFill>
                    <w14:schemeClr w14:val="tx1"/>
                  </w14:solidFill>
                </w14:textFill>
              </w:rPr>
              <w:t>居民区</w:t>
            </w:r>
          </w:p>
        </w:tc>
        <w:tc>
          <w:tcPr>
            <w:tcW w:w="869" w:type="dxa"/>
            <w:tcBorders>
              <w:top w:val="nil"/>
              <w:left w:val="nil"/>
              <w:bottom w:val="single" w:color="auto" w:sz="4" w:space="0"/>
              <w:right w:val="single" w:color="auto" w:sz="4" w:space="0"/>
            </w:tcBorders>
            <w:noWrap/>
            <w:vAlign w:val="center"/>
          </w:tcPr>
          <w:p w14:paraId="33C88434">
            <w:pPr>
              <w:pStyle w:val="109"/>
              <w:rPr>
                <w:color w:val="000000" w:themeColor="text1"/>
                <w14:textFill>
                  <w14:solidFill>
                    <w14:schemeClr w14:val="tx1"/>
                  </w14:solidFill>
                </w14:textFill>
              </w:rPr>
            </w:pPr>
            <w:r>
              <w:rPr>
                <w:color w:val="000000" w:themeColor="text1"/>
                <w14:textFill>
                  <w14:solidFill>
                    <w14:schemeClr w14:val="tx1"/>
                  </w14:solidFill>
                </w14:textFill>
              </w:rPr>
              <w:t>特定保护区</w:t>
            </w:r>
          </w:p>
        </w:tc>
        <w:tc>
          <w:tcPr>
            <w:tcW w:w="910" w:type="dxa"/>
            <w:tcBorders>
              <w:top w:val="nil"/>
              <w:left w:val="nil"/>
              <w:bottom w:val="single" w:color="auto" w:sz="4" w:space="0"/>
              <w:right w:val="single" w:color="auto" w:sz="4" w:space="0"/>
            </w:tcBorders>
            <w:noWrap/>
            <w:vAlign w:val="center"/>
          </w:tcPr>
          <w:p w14:paraId="2E849C2E">
            <w:pPr>
              <w:pStyle w:val="109"/>
              <w:rPr>
                <w:color w:val="000000" w:themeColor="text1"/>
                <w14:textFill>
                  <w14:solidFill>
                    <w14:schemeClr w14:val="tx1"/>
                  </w14:solidFill>
                </w14:textFill>
              </w:rPr>
            </w:pPr>
            <w:r>
              <w:rPr>
                <w:color w:val="000000" w:themeColor="text1"/>
                <w14:textFill>
                  <w14:solidFill>
                    <w14:schemeClr w14:val="tx1"/>
                  </w14:solidFill>
                </w14:textFill>
              </w:rPr>
              <w:t>人群健康</w:t>
            </w:r>
          </w:p>
        </w:tc>
        <w:tc>
          <w:tcPr>
            <w:tcW w:w="918" w:type="dxa"/>
            <w:tcBorders>
              <w:top w:val="nil"/>
              <w:left w:val="nil"/>
              <w:bottom w:val="single" w:color="auto" w:sz="4" w:space="0"/>
              <w:right w:val="single" w:color="auto" w:sz="4" w:space="0"/>
            </w:tcBorders>
            <w:noWrap/>
            <w:vAlign w:val="center"/>
          </w:tcPr>
          <w:p w14:paraId="306849A8">
            <w:pPr>
              <w:pStyle w:val="109"/>
              <w:rPr>
                <w:color w:val="000000" w:themeColor="text1"/>
                <w14:textFill>
                  <w14:solidFill>
                    <w14:schemeClr w14:val="tx1"/>
                  </w14:solidFill>
                </w14:textFill>
              </w:rPr>
            </w:pPr>
            <w:r>
              <w:rPr>
                <w:color w:val="000000" w:themeColor="text1"/>
                <w14:textFill>
                  <w14:solidFill>
                    <w14:schemeClr w14:val="tx1"/>
                  </w14:solidFill>
                </w14:textFill>
              </w:rPr>
              <w:t>环境规划</w:t>
            </w:r>
          </w:p>
        </w:tc>
      </w:tr>
      <w:tr w14:paraId="2B0FA433">
        <w:tblPrEx>
          <w:tblCellMar>
            <w:top w:w="0" w:type="dxa"/>
            <w:left w:w="108" w:type="dxa"/>
            <w:bottom w:w="0" w:type="dxa"/>
            <w:right w:w="108" w:type="dxa"/>
          </w:tblCellMar>
        </w:tblPrEx>
        <w:trPr>
          <w:gridAfter w:val="1"/>
          <w:wAfter w:w="34" w:type="dxa"/>
          <w:trHeight w:val="276" w:hRule="atLeast"/>
        </w:trPr>
        <w:tc>
          <w:tcPr>
            <w:tcW w:w="704" w:type="dxa"/>
            <w:vMerge w:val="restart"/>
            <w:tcBorders>
              <w:top w:val="nil"/>
              <w:left w:val="single" w:color="auto" w:sz="4" w:space="0"/>
              <w:bottom w:val="single" w:color="auto" w:sz="4" w:space="0"/>
              <w:right w:val="single" w:color="auto" w:sz="4" w:space="0"/>
            </w:tcBorders>
            <w:noWrap/>
            <w:vAlign w:val="center"/>
          </w:tcPr>
          <w:p w14:paraId="13EDB895">
            <w:pPr>
              <w:pStyle w:val="109"/>
              <w:rPr>
                <w:color w:val="000000" w:themeColor="text1"/>
                <w14:textFill>
                  <w14:solidFill>
                    <w14:schemeClr w14:val="tx1"/>
                  </w14:solidFill>
                </w14:textFill>
              </w:rPr>
            </w:pPr>
            <w:r>
              <w:rPr>
                <w:color w:val="000000" w:themeColor="text1"/>
                <w14:textFill>
                  <w14:solidFill>
                    <w14:schemeClr w14:val="tx1"/>
                  </w14:solidFill>
                </w14:textFill>
              </w:rPr>
              <w:t>施工期</w:t>
            </w:r>
          </w:p>
        </w:tc>
        <w:tc>
          <w:tcPr>
            <w:tcW w:w="1134" w:type="dxa"/>
            <w:tcBorders>
              <w:top w:val="nil"/>
              <w:left w:val="nil"/>
              <w:bottom w:val="single" w:color="auto" w:sz="4" w:space="0"/>
              <w:right w:val="single" w:color="auto" w:sz="4" w:space="0"/>
            </w:tcBorders>
            <w:noWrap/>
            <w:vAlign w:val="center"/>
          </w:tcPr>
          <w:p w14:paraId="21CEEF5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施工废水 </w:t>
            </w:r>
          </w:p>
        </w:tc>
        <w:tc>
          <w:tcPr>
            <w:tcW w:w="916" w:type="dxa"/>
            <w:tcBorders>
              <w:top w:val="nil"/>
              <w:left w:val="nil"/>
              <w:bottom w:val="single" w:color="auto" w:sz="4" w:space="0"/>
              <w:right w:val="single" w:color="auto" w:sz="4" w:space="0"/>
            </w:tcBorders>
            <w:noWrap/>
            <w:vAlign w:val="center"/>
          </w:tcPr>
          <w:p w14:paraId="1AC0B3D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6DBF699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-1SD </w:t>
            </w:r>
          </w:p>
        </w:tc>
        <w:tc>
          <w:tcPr>
            <w:tcW w:w="956" w:type="dxa"/>
            <w:tcBorders>
              <w:top w:val="nil"/>
              <w:left w:val="nil"/>
              <w:bottom w:val="single" w:color="auto" w:sz="4" w:space="0"/>
              <w:right w:val="single" w:color="auto" w:sz="4" w:space="0"/>
            </w:tcBorders>
            <w:noWrap/>
            <w:vAlign w:val="center"/>
          </w:tcPr>
          <w:p w14:paraId="63437C3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-1SI </w:t>
            </w:r>
          </w:p>
        </w:tc>
        <w:tc>
          <w:tcPr>
            <w:tcW w:w="916" w:type="dxa"/>
            <w:tcBorders>
              <w:top w:val="nil"/>
              <w:left w:val="nil"/>
              <w:bottom w:val="single" w:color="auto" w:sz="4" w:space="0"/>
              <w:right w:val="single" w:color="auto" w:sz="4" w:space="0"/>
            </w:tcBorders>
            <w:noWrap/>
            <w:vAlign w:val="center"/>
          </w:tcPr>
          <w:p w14:paraId="2F00E4E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-1SD </w:t>
            </w:r>
          </w:p>
        </w:tc>
        <w:tc>
          <w:tcPr>
            <w:tcW w:w="694" w:type="dxa"/>
            <w:tcBorders>
              <w:top w:val="nil"/>
              <w:left w:val="nil"/>
              <w:bottom w:val="single" w:color="auto" w:sz="4" w:space="0"/>
              <w:right w:val="single" w:color="auto" w:sz="4" w:space="0"/>
            </w:tcBorders>
            <w:noWrap/>
            <w:vAlign w:val="center"/>
          </w:tcPr>
          <w:p w14:paraId="50596D9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11CE429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30DDD46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49295D30">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52E8CD0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480DA60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4EA6843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652B755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4F4092DF">
            <w:pPr>
              <w:pStyle w:val="109"/>
              <w:rPr>
                <w:color w:val="000000" w:themeColor="text1"/>
                <w14:textFill>
                  <w14:solidFill>
                    <w14:schemeClr w14:val="tx1"/>
                  </w14:solidFill>
                </w14:textFill>
              </w:rPr>
            </w:pPr>
            <w:r>
              <w:rPr>
                <w:color w:val="000000" w:themeColor="text1"/>
                <w14:textFill>
                  <w14:solidFill>
                    <w14:schemeClr w14:val="tx1"/>
                  </w14:solidFill>
                </w14:textFill>
              </w:rPr>
              <w:t>-1SI</w:t>
            </w:r>
          </w:p>
        </w:tc>
        <w:tc>
          <w:tcPr>
            <w:tcW w:w="918" w:type="dxa"/>
            <w:tcBorders>
              <w:top w:val="nil"/>
              <w:left w:val="nil"/>
              <w:bottom w:val="single" w:color="auto" w:sz="4" w:space="0"/>
              <w:right w:val="single" w:color="auto" w:sz="4" w:space="0"/>
            </w:tcBorders>
            <w:noWrap/>
            <w:vAlign w:val="center"/>
          </w:tcPr>
          <w:p w14:paraId="7B4F44C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165A5D7E">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121AFAB1">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30101AB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施工扬尘 </w:t>
            </w:r>
          </w:p>
        </w:tc>
        <w:tc>
          <w:tcPr>
            <w:tcW w:w="916" w:type="dxa"/>
            <w:tcBorders>
              <w:top w:val="nil"/>
              <w:left w:val="nil"/>
              <w:bottom w:val="single" w:color="auto" w:sz="4" w:space="0"/>
              <w:right w:val="single" w:color="auto" w:sz="4" w:space="0"/>
            </w:tcBorders>
            <w:noWrap/>
            <w:vAlign w:val="center"/>
          </w:tcPr>
          <w:p w14:paraId="74DCA93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-1SD </w:t>
            </w:r>
          </w:p>
        </w:tc>
        <w:tc>
          <w:tcPr>
            <w:tcW w:w="959" w:type="dxa"/>
            <w:tcBorders>
              <w:top w:val="nil"/>
              <w:left w:val="nil"/>
              <w:bottom w:val="single" w:color="auto" w:sz="4" w:space="0"/>
              <w:right w:val="single" w:color="auto" w:sz="4" w:space="0"/>
            </w:tcBorders>
            <w:noWrap/>
            <w:vAlign w:val="center"/>
          </w:tcPr>
          <w:p w14:paraId="5055075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690846D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7D92679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749D029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467A3D7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5A95D95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41C1001B">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242DE98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10655C4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1B90EC8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21CEB26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119E546A">
            <w:pPr>
              <w:pStyle w:val="109"/>
              <w:rPr>
                <w:color w:val="000000" w:themeColor="text1"/>
                <w14:textFill>
                  <w14:solidFill>
                    <w14:schemeClr w14:val="tx1"/>
                  </w14:solidFill>
                </w14:textFill>
              </w:rPr>
            </w:pPr>
            <w:r>
              <w:rPr>
                <w:color w:val="000000" w:themeColor="text1"/>
                <w14:textFill>
                  <w14:solidFill>
                    <w14:schemeClr w14:val="tx1"/>
                  </w14:solidFill>
                </w14:textFill>
              </w:rPr>
              <w:t>-1SD</w:t>
            </w:r>
          </w:p>
        </w:tc>
        <w:tc>
          <w:tcPr>
            <w:tcW w:w="918" w:type="dxa"/>
            <w:tcBorders>
              <w:top w:val="nil"/>
              <w:left w:val="nil"/>
              <w:bottom w:val="single" w:color="auto" w:sz="4" w:space="0"/>
              <w:right w:val="single" w:color="auto" w:sz="4" w:space="0"/>
            </w:tcBorders>
            <w:noWrap/>
            <w:vAlign w:val="center"/>
          </w:tcPr>
          <w:p w14:paraId="02190ED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r w14:paraId="25327500">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23C15E07">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4C41065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施工噪声 </w:t>
            </w:r>
          </w:p>
        </w:tc>
        <w:tc>
          <w:tcPr>
            <w:tcW w:w="916" w:type="dxa"/>
            <w:tcBorders>
              <w:top w:val="nil"/>
              <w:left w:val="nil"/>
              <w:bottom w:val="single" w:color="auto" w:sz="4" w:space="0"/>
              <w:right w:val="single" w:color="auto" w:sz="4" w:space="0"/>
            </w:tcBorders>
            <w:noWrap/>
            <w:vAlign w:val="center"/>
          </w:tcPr>
          <w:p w14:paraId="759C07B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7DE21EA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66BFA91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61C6B3E4">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1EF0182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-2SD </w:t>
            </w:r>
          </w:p>
        </w:tc>
        <w:tc>
          <w:tcPr>
            <w:tcW w:w="836" w:type="dxa"/>
            <w:gridSpan w:val="2"/>
            <w:tcBorders>
              <w:top w:val="nil"/>
              <w:left w:val="nil"/>
              <w:bottom w:val="single" w:color="auto" w:sz="4" w:space="0"/>
              <w:right w:val="single" w:color="auto" w:sz="4" w:space="0"/>
            </w:tcBorders>
            <w:noWrap/>
            <w:vAlign w:val="center"/>
          </w:tcPr>
          <w:p w14:paraId="7BDC7B3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546F08E0">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42B45FC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1CCC20E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5E17FBB0">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591F75B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26F4B59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14E74B35">
            <w:pPr>
              <w:pStyle w:val="109"/>
              <w:rPr>
                <w:color w:val="000000" w:themeColor="text1"/>
                <w14:textFill>
                  <w14:solidFill>
                    <w14:schemeClr w14:val="tx1"/>
                  </w14:solidFill>
                </w14:textFill>
              </w:rPr>
            </w:pPr>
            <w:r>
              <w:rPr>
                <w:color w:val="000000" w:themeColor="text1"/>
                <w14:textFill>
                  <w14:solidFill>
                    <w14:schemeClr w14:val="tx1"/>
                  </w14:solidFill>
                </w14:textFill>
              </w:rPr>
              <w:t>-1SD</w:t>
            </w:r>
          </w:p>
        </w:tc>
        <w:tc>
          <w:tcPr>
            <w:tcW w:w="918" w:type="dxa"/>
            <w:tcBorders>
              <w:top w:val="nil"/>
              <w:left w:val="nil"/>
              <w:bottom w:val="single" w:color="auto" w:sz="4" w:space="0"/>
              <w:right w:val="single" w:color="auto" w:sz="4" w:space="0"/>
            </w:tcBorders>
            <w:noWrap/>
            <w:vAlign w:val="center"/>
          </w:tcPr>
          <w:p w14:paraId="083CF29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r w14:paraId="584DAEEA">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1BBF500D">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156ECE67">
            <w:pPr>
              <w:pStyle w:val="109"/>
              <w:rPr>
                <w:color w:val="000000" w:themeColor="text1"/>
                <w14:textFill>
                  <w14:solidFill>
                    <w14:schemeClr w14:val="tx1"/>
                  </w14:solidFill>
                </w14:textFill>
              </w:rPr>
            </w:pPr>
            <w:r>
              <w:rPr>
                <w:color w:val="000000" w:themeColor="text1"/>
                <w14:textFill>
                  <w14:solidFill>
                    <w14:schemeClr w14:val="tx1"/>
                  </w14:solidFill>
                </w14:textFill>
              </w:rPr>
              <w:t>施工废渣</w:t>
            </w:r>
          </w:p>
        </w:tc>
        <w:tc>
          <w:tcPr>
            <w:tcW w:w="916" w:type="dxa"/>
            <w:tcBorders>
              <w:top w:val="nil"/>
              <w:left w:val="nil"/>
              <w:bottom w:val="single" w:color="auto" w:sz="4" w:space="0"/>
              <w:right w:val="single" w:color="auto" w:sz="4" w:space="0"/>
            </w:tcBorders>
            <w:noWrap/>
            <w:vAlign w:val="center"/>
          </w:tcPr>
          <w:p w14:paraId="56F10A6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7829DC9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7900D41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2FD54F9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255B60F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3DA2FEE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3118C4D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1E447AC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4426AB6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1A8ABEC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57C6884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7666E26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6408AF1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8" w:type="dxa"/>
            <w:tcBorders>
              <w:top w:val="nil"/>
              <w:left w:val="nil"/>
              <w:bottom w:val="single" w:color="auto" w:sz="4" w:space="0"/>
              <w:right w:val="single" w:color="auto" w:sz="4" w:space="0"/>
            </w:tcBorders>
            <w:noWrap/>
            <w:vAlign w:val="center"/>
          </w:tcPr>
          <w:p w14:paraId="3C31A9D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r w14:paraId="7D919C8F">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373C32FB">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1B7C973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基坑开挖 </w:t>
            </w:r>
          </w:p>
        </w:tc>
        <w:tc>
          <w:tcPr>
            <w:tcW w:w="916" w:type="dxa"/>
            <w:tcBorders>
              <w:top w:val="nil"/>
              <w:left w:val="nil"/>
              <w:bottom w:val="single" w:color="auto" w:sz="4" w:space="0"/>
              <w:right w:val="single" w:color="auto" w:sz="4" w:space="0"/>
            </w:tcBorders>
            <w:noWrap/>
            <w:vAlign w:val="center"/>
          </w:tcPr>
          <w:p w14:paraId="15C1A5C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-1SD </w:t>
            </w:r>
          </w:p>
        </w:tc>
        <w:tc>
          <w:tcPr>
            <w:tcW w:w="959" w:type="dxa"/>
            <w:tcBorders>
              <w:top w:val="nil"/>
              <w:left w:val="nil"/>
              <w:bottom w:val="single" w:color="auto" w:sz="4" w:space="0"/>
              <w:right w:val="single" w:color="auto" w:sz="4" w:space="0"/>
            </w:tcBorders>
            <w:noWrap/>
            <w:vAlign w:val="center"/>
          </w:tcPr>
          <w:p w14:paraId="410238E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0D4E062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054EF94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-1SD </w:t>
            </w:r>
          </w:p>
        </w:tc>
        <w:tc>
          <w:tcPr>
            <w:tcW w:w="694" w:type="dxa"/>
            <w:tcBorders>
              <w:top w:val="nil"/>
              <w:left w:val="nil"/>
              <w:bottom w:val="single" w:color="auto" w:sz="4" w:space="0"/>
              <w:right w:val="single" w:color="auto" w:sz="4" w:space="0"/>
            </w:tcBorders>
            <w:noWrap/>
            <w:vAlign w:val="center"/>
          </w:tcPr>
          <w:p w14:paraId="41BD32D1">
            <w:pPr>
              <w:pStyle w:val="109"/>
              <w:rPr>
                <w:color w:val="000000" w:themeColor="text1"/>
                <w14:textFill>
                  <w14:solidFill>
                    <w14:schemeClr w14:val="tx1"/>
                  </w14:solidFill>
                </w14:textFill>
              </w:rPr>
            </w:pPr>
            <w:r>
              <w:rPr>
                <w:color w:val="000000" w:themeColor="text1"/>
                <w14:textFill>
                  <w14:solidFill>
                    <w14:schemeClr w14:val="tx1"/>
                  </w14:solidFill>
                </w14:textFill>
              </w:rPr>
              <w:t>-1SD</w:t>
            </w:r>
          </w:p>
        </w:tc>
        <w:tc>
          <w:tcPr>
            <w:tcW w:w="836" w:type="dxa"/>
            <w:gridSpan w:val="2"/>
            <w:tcBorders>
              <w:top w:val="nil"/>
              <w:left w:val="nil"/>
              <w:bottom w:val="single" w:color="auto" w:sz="4" w:space="0"/>
              <w:right w:val="single" w:color="auto" w:sz="4" w:space="0"/>
            </w:tcBorders>
            <w:noWrap/>
            <w:vAlign w:val="center"/>
          </w:tcPr>
          <w:p w14:paraId="12534D9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20D4BFF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1CD581A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45DCE254">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45E37C7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432BCEA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02A3D78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629111D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8" w:type="dxa"/>
            <w:tcBorders>
              <w:top w:val="nil"/>
              <w:left w:val="nil"/>
              <w:bottom w:val="single" w:color="auto" w:sz="4" w:space="0"/>
              <w:right w:val="single" w:color="auto" w:sz="4" w:space="0"/>
            </w:tcBorders>
            <w:noWrap/>
            <w:vAlign w:val="center"/>
          </w:tcPr>
          <w:p w14:paraId="72673CB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r w14:paraId="0DE13D52">
        <w:tblPrEx>
          <w:tblCellMar>
            <w:top w:w="0" w:type="dxa"/>
            <w:left w:w="108" w:type="dxa"/>
            <w:bottom w:w="0" w:type="dxa"/>
            <w:right w:w="108" w:type="dxa"/>
          </w:tblCellMar>
        </w:tblPrEx>
        <w:trPr>
          <w:gridAfter w:val="1"/>
          <w:wAfter w:w="34" w:type="dxa"/>
          <w:trHeight w:val="276" w:hRule="atLeast"/>
        </w:trPr>
        <w:tc>
          <w:tcPr>
            <w:tcW w:w="704" w:type="dxa"/>
            <w:vMerge w:val="restart"/>
            <w:tcBorders>
              <w:top w:val="nil"/>
              <w:left w:val="single" w:color="auto" w:sz="4" w:space="0"/>
              <w:bottom w:val="single" w:color="auto" w:sz="4" w:space="0"/>
              <w:right w:val="single" w:color="auto" w:sz="4" w:space="0"/>
            </w:tcBorders>
            <w:noWrap/>
            <w:vAlign w:val="center"/>
          </w:tcPr>
          <w:p w14:paraId="563016DB">
            <w:pPr>
              <w:pStyle w:val="109"/>
              <w:rPr>
                <w:color w:val="000000" w:themeColor="text1"/>
                <w14:textFill>
                  <w14:solidFill>
                    <w14:schemeClr w14:val="tx1"/>
                  </w14:solidFill>
                </w14:textFill>
              </w:rPr>
            </w:pPr>
            <w:r>
              <w:rPr>
                <w:color w:val="000000" w:themeColor="text1"/>
                <w14:textFill>
                  <w14:solidFill>
                    <w14:schemeClr w14:val="tx1"/>
                  </w14:solidFill>
                </w14:textFill>
              </w:rPr>
              <w:t>运行期</w:t>
            </w:r>
          </w:p>
        </w:tc>
        <w:tc>
          <w:tcPr>
            <w:tcW w:w="1134" w:type="dxa"/>
            <w:tcBorders>
              <w:top w:val="nil"/>
              <w:left w:val="nil"/>
              <w:bottom w:val="single" w:color="auto" w:sz="4" w:space="0"/>
              <w:right w:val="single" w:color="auto" w:sz="4" w:space="0"/>
            </w:tcBorders>
            <w:noWrap/>
            <w:vAlign w:val="center"/>
          </w:tcPr>
          <w:p w14:paraId="0DE9A19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废水排放 </w:t>
            </w:r>
          </w:p>
        </w:tc>
        <w:tc>
          <w:tcPr>
            <w:tcW w:w="916" w:type="dxa"/>
            <w:tcBorders>
              <w:top w:val="nil"/>
              <w:left w:val="nil"/>
              <w:bottom w:val="single" w:color="auto" w:sz="4" w:space="0"/>
              <w:right w:val="single" w:color="auto" w:sz="4" w:space="0"/>
            </w:tcBorders>
            <w:noWrap/>
            <w:vAlign w:val="center"/>
          </w:tcPr>
          <w:p w14:paraId="56E98D2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58D9D75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-2LD </w:t>
            </w:r>
          </w:p>
        </w:tc>
        <w:tc>
          <w:tcPr>
            <w:tcW w:w="956" w:type="dxa"/>
            <w:tcBorders>
              <w:top w:val="nil"/>
              <w:left w:val="nil"/>
              <w:bottom w:val="single" w:color="auto" w:sz="4" w:space="0"/>
              <w:right w:val="single" w:color="auto" w:sz="4" w:space="0"/>
            </w:tcBorders>
            <w:noWrap/>
            <w:vAlign w:val="center"/>
          </w:tcPr>
          <w:p w14:paraId="3826A581">
            <w:pPr>
              <w:pStyle w:val="109"/>
              <w:rPr>
                <w:color w:val="000000" w:themeColor="text1"/>
                <w14:textFill>
                  <w14:solidFill>
                    <w14:schemeClr w14:val="tx1"/>
                  </w14:solidFill>
                </w14:textFill>
              </w:rPr>
            </w:pPr>
            <w:r>
              <w:rPr>
                <w:color w:val="000000" w:themeColor="text1"/>
                <w14:textFill>
                  <w14:solidFill>
                    <w14:schemeClr w14:val="tx1"/>
                  </w14:solidFill>
                </w14:textFill>
              </w:rPr>
              <w:t>-1LI</w:t>
            </w:r>
          </w:p>
        </w:tc>
        <w:tc>
          <w:tcPr>
            <w:tcW w:w="916" w:type="dxa"/>
            <w:tcBorders>
              <w:top w:val="nil"/>
              <w:left w:val="nil"/>
              <w:bottom w:val="single" w:color="auto" w:sz="4" w:space="0"/>
              <w:right w:val="single" w:color="auto" w:sz="4" w:space="0"/>
            </w:tcBorders>
            <w:noWrap/>
            <w:vAlign w:val="center"/>
          </w:tcPr>
          <w:p w14:paraId="3DA8269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76DD822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2AD7632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24034CD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2DA7E27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1CA7F3E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7245BF3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78C64F7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6AE36D0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31D9CB6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8" w:type="dxa"/>
            <w:tcBorders>
              <w:top w:val="nil"/>
              <w:left w:val="nil"/>
              <w:bottom w:val="single" w:color="auto" w:sz="4" w:space="0"/>
              <w:right w:val="single" w:color="auto" w:sz="4" w:space="0"/>
            </w:tcBorders>
            <w:noWrap/>
            <w:vAlign w:val="center"/>
          </w:tcPr>
          <w:p w14:paraId="0B5D1AF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2FADBC78">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14FA2B5D">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5C5E479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废气排放 </w:t>
            </w:r>
          </w:p>
        </w:tc>
        <w:tc>
          <w:tcPr>
            <w:tcW w:w="916" w:type="dxa"/>
            <w:tcBorders>
              <w:top w:val="nil"/>
              <w:left w:val="nil"/>
              <w:bottom w:val="single" w:color="auto" w:sz="4" w:space="0"/>
              <w:right w:val="single" w:color="auto" w:sz="4" w:space="0"/>
            </w:tcBorders>
            <w:noWrap/>
            <w:vAlign w:val="center"/>
          </w:tcPr>
          <w:p w14:paraId="27ECECD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-2LD </w:t>
            </w:r>
          </w:p>
        </w:tc>
        <w:tc>
          <w:tcPr>
            <w:tcW w:w="959" w:type="dxa"/>
            <w:tcBorders>
              <w:top w:val="nil"/>
              <w:left w:val="nil"/>
              <w:bottom w:val="single" w:color="auto" w:sz="4" w:space="0"/>
              <w:right w:val="single" w:color="auto" w:sz="4" w:space="0"/>
            </w:tcBorders>
            <w:noWrap/>
            <w:vAlign w:val="center"/>
          </w:tcPr>
          <w:p w14:paraId="474668B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732C1D4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7E6D179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3A2F0F8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3A73FB9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0E86F31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6A28BE80">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38212C1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6BA51DE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387A40C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-1LD </w:t>
            </w:r>
          </w:p>
        </w:tc>
        <w:tc>
          <w:tcPr>
            <w:tcW w:w="869" w:type="dxa"/>
            <w:tcBorders>
              <w:top w:val="nil"/>
              <w:left w:val="nil"/>
              <w:bottom w:val="single" w:color="auto" w:sz="4" w:space="0"/>
              <w:right w:val="single" w:color="auto" w:sz="4" w:space="0"/>
            </w:tcBorders>
            <w:noWrap/>
            <w:vAlign w:val="center"/>
          </w:tcPr>
          <w:p w14:paraId="4513DBF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25E9C1F6">
            <w:pPr>
              <w:pStyle w:val="109"/>
              <w:rPr>
                <w:color w:val="000000" w:themeColor="text1"/>
                <w14:textFill>
                  <w14:solidFill>
                    <w14:schemeClr w14:val="tx1"/>
                  </w14:solidFill>
                </w14:textFill>
              </w:rPr>
            </w:pPr>
            <w:r>
              <w:rPr>
                <w:color w:val="000000" w:themeColor="text1"/>
                <w14:textFill>
                  <w14:solidFill>
                    <w14:schemeClr w14:val="tx1"/>
                  </w14:solidFill>
                </w14:textFill>
              </w:rPr>
              <w:t>-1LD</w:t>
            </w:r>
          </w:p>
        </w:tc>
        <w:tc>
          <w:tcPr>
            <w:tcW w:w="918" w:type="dxa"/>
            <w:tcBorders>
              <w:top w:val="nil"/>
              <w:left w:val="nil"/>
              <w:bottom w:val="single" w:color="auto" w:sz="4" w:space="0"/>
              <w:right w:val="single" w:color="auto" w:sz="4" w:space="0"/>
            </w:tcBorders>
            <w:noWrap/>
            <w:vAlign w:val="center"/>
          </w:tcPr>
          <w:p w14:paraId="13C2B53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r w14:paraId="7342A4CC">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37240CC1">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7D0A14B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噪声排放 </w:t>
            </w:r>
          </w:p>
        </w:tc>
        <w:tc>
          <w:tcPr>
            <w:tcW w:w="916" w:type="dxa"/>
            <w:tcBorders>
              <w:top w:val="nil"/>
              <w:left w:val="nil"/>
              <w:bottom w:val="single" w:color="auto" w:sz="4" w:space="0"/>
              <w:right w:val="single" w:color="auto" w:sz="4" w:space="0"/>
            </w:tcBorders>
            <w:noWrap/>
            <w:vAlign w:val="center"/>
          </w:tcPr>
          <w:p w14:paraId="06C8963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583722E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5641F15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3AD4B47B">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0D1CA1A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-1LD </w:t>
            </w:r>
          </w:p>
        </w:tc>
        <w:tc>
          <w:tcPr>
            <w:tcW w:w="836" w:type="dxa"/>
            <w:gridSpan w:val="2"/>
            <w:tcBorders>
              <w:top w:val="nil"/>
              <w:left w:val="nil"/>
              <w:bottom w:val="single" w:color="auto" w:sz="4" w:space="0"/>
              <w:right w:val="single" w:color="auto" w:sz="4" w:space="0"/>
            </w:tcBorders>
            <w:noWrap/>
            <w:vAlign w:val="center"/>
          </w:tcPr>
          <w:p w14:paraId="1E72951B">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2CCEF5F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1ABDDCD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00CD159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56C22FA0">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72A9EAE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7BA6C80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4853F83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8" w:type="dxa"/>
            <w:tcBorders>
              <w:top w:val="nil"/>
              <w:left w:val="nil"/>
              <w:bottom w:val="single" w:color="auto" w:sz="4" w:space="0"/>
              <w:right w:val="single" w:color="auto" w:sz="4" w:space="0"/>
            </w:tcBorders>
            <w:noWrap/>
            <w:vAlign w:val="center"/>
          </w:tcPr>
          <w:p w14:paraId="58669A8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r w14:paraId="60F59374">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5EB9270F">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001C5B85">
            <w:pPr>
              <w:pStyle w:val="109"/>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916" w:type="dxa"/>
            <w:tcBorders>
              <w:top w:val="nil"/>
              <w:left w:val="nil"/>
              <w:bottom w:val="single" w:color="auto" w:sz="4" w:space="0"/>
              <w:right w:val="single" w:color="auto" w:sz="4" w:space="0"/>
            </w:tcBorders>
            <w:noWrap/>
            <w:vAlign w:val="center"/>
          </w:tcPr>
          <w:p w14:paraId="5AEFB47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38EB071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2B7B8E4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3E0E88A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4E9DF584">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1CE0AA4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71F18A7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5A5A9A5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60DF55E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72EFE43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78124B7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70E63DC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4BDD70A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8" w:type="dxa"/>
            <w:tcBorders>
              <w:top w:val="nil"/>
              <w:left w:val="nil"/>
              <w:bottom w:val="single" w:color="auto" w:sz="4" w:space="0"/>
              <w:right w:val="single" w:color="auto" w:sz="4" w:space="0"/>
            </w:tcBorders>
            <w:noWrap/>
            <w:vAlign w:val="center"/>
          </w:tcPr>
          <w:p w14:paraId="0938BE9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619DAE86">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4826C419">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123DCFB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事故风险 </w:t>
            </w:r>
          </w:p>
        </w:tc>
        <w:tc>
          <w:tcPr>
            <w:tcW w:w="916" w:type="dxa"/>
            <w:tcBorders>
              <w:top w:val="nil"/>
              <w:left w:val="nil"/>
              <w:bottom w:val="single" w:color="auto" w:sz="4" w:space="0"/>
              <w:right w:val="single" w:color="auto" w:sz="4" w:space="0"/>
            </w:tcBorders>
            <w:noWrap/>
            <w:vAlign w:val="center"/>
          </w:tcPr>
          <w:p w14:paraId="6855A69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-2SD </w:t>
            </w:r>
          </w:p>
        </w:tc>
        <w:tc>
          <w:tcPr>
            <w:tcW w:w="959" w:type="dxa"/>
            <w:tcBorders>
              <w:top w:val="nil"/>
              <w:left w:val="nil"/>
              <w:bottom w:val="single" w:color="auto" w:sz="4" w:space="0"/>
              <w:right w:val="single" w:color="auto" w:sz="4" w:space="0"/>
            </w:tcBorders>
            <w:noWrap/>
            <w:vAlign w:val="center"/>
          </w:tcPr>
          <w:p w14:paraId="38E5FC2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-2SD </w:t>
            </w:r>
          </w:p>
        </w:tc>
        <w:tc>
          <w:tcPr>
            <w:tcW w:w="956" w:type="dxa"/>
            <w:tcBorders>
              <w:top w:val="nil"/>
              <w:left w:val="nil"/>
              <w:bottom w:val="single" w:color="auto" w:sz="4" w:space="0"/>
              <w:right w:val="single" w:color="auto" w:sz="4" w:space="0"/>
            </w:tcBorders>
            <w:noWrap/>
            <w:vAlign w:val="center"/>
          </w:tcPr>
          <w:p w14:paraId="6A0633B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-2SI </w:t>
            </w:r>
          </w:p>
        </w:tc>
        <w:tc>
          <w:tcPr>
            <w:tcW w:w="916" w:type="dxa"/>
            <w:tcBorders>
              <w:top w:val="nil"/>
              <w:left w:val="nil"/>
              <w:bottom w:val="single" w:color="auto" w:sz="4" w:space="0"/>
              <w:right w:val="single" w:color="auto" w:sz="4" w:space="0"/>
            </w:tcBorders>
            <w:noWrap/>
            <w:vAlign w:val="center"/>
          </w:tcPr>
          <w:p w14:paraId="0AFAB00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-2SD </w:t>
            </w:r>
          </w:p>
        </w:tc>
        <w:tc>
          <w:tcPr>
            <w:tcW w:w="694" w:type="dxa"/>
            <w:tcBorders>
              <w:top w:val="nil"/>
              <w:left w:val="nil"/>
              <w:bottom w:val="single" w:color="auto" w:sz="4" w:space="0"/>
              <w:right w:val="single" w:color="auto" w:sz="4" w:space="0"/>
            </w:tcBorders>
            <w:noWrap/>
            <w:vAlign w:val="center"/>
          </w:tcPr>
          <w:p w14:paraId="4E3FA70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7AF7910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0682CEE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6348FB70">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01E2F160">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7A52A2C0">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4F3A866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-2SD </w:t>
            </w:r>
          </w:p>
        </w:tc>
        <w:tc>
          <w:tcPr>
            <w:tcW w:w="869" w:type="dxa"/>
            <w:tcBorders>
              <w:top w:val="nil"/>
              <w:left w:val="nil"/>
              <w:bottom w:val="single" w:color="auto" w:sz="4" w:space="0"/>
              <w:right w:val="single" w:color="auto" w:sz="4" w:space="0"/>
            </w:tcBorders>
            <w:noWrap/>
            <w:vAlign w:val="center"/>
          </w:tcPr>
          <w:p w14:paraId="1343087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0DA992E8">
            <w:pPr>
              <w:pStyle w:val="109"/>
              <w:rPr>
                <w:color w:val="000000" w:themeColor="text1"/>
                <w14:textFill>
                  <w14:solidFill>
                    <w14:schemeClr w14:val="tx1"/>
                  </w14:solidFill>
                </w14:textFill>
              </w:rPr>
            </w:pPr>
            <w:r>
              <w:rPr>
                <w:color w:val="000000" w:themeColor="text1"/>
                <w14:textFill>
                  <w14:solidFill>
                    <w14:schemeClr w14:val="tx1"/>
                  </w14:solidFill>
                </w14:textFill>
              </w:rPr>
              <w:t>-2SD</w:t>
            </w:r>
          </w:p>
        </w:tc>
        <w:tc>
          <w:tcPr>
            <w:tcW w:w="918" w:type="dxa"/>
            <w:tcBorders>
              <w:top w:val="nil"/>
              <w:left w:val="nil"/>
              <w:bottom w:val="single" w:color="auto" w:sz="4" w:space="0"/>
              <w:right w:val="single" w:color="auto" w:sz="4" w:space="0"/>
            </w:tcBorders>
            <w:noWrap/>
            <w:vAlign w:val="center"/>
          </w:tcPr>
          <w:p w14:paraId="3D758C8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28DA80AB">
        <w:tblPrEx>
          <w:tblCellMar>
            <w:top w:w="0" w:type="dxa"/>
            <w:left w:w="108" w:type="dxa"/>
            <w:bottom w:w="0" w:type="dxa"/>
            <w:right w:w="108" w:type="dxa"/>
          </w:tblCellMar>
        </w:tblPrEx>
        <w:trPr>
          <w:gridAfter w:val="1"/>
          <w:wAfter w:w="34" w:type="dxa"/>
          <w:trHeight w:val="276" w:hRule="atLeast"/>
        </w:trPr>
        <w:tc>
          <w:tcPr>
            <w:tcW w:w="704" w:type="dxa"/>
            <w:vMerge w:val="restart"/>
            <w:tcBorders>
              <w:top w:val="nil"/>
              <w:left w:val="single" w:color="auto" w:sz="4" w:space="0"/>
              <w:bottom w:val="single" w:color="auto" w:sz="4" w:space="0"/>
              <w:right w:val="single" w:color="auto" w:sz="4" w:space="0"/>
            </w:tcBorders>
            <w:noWrap/>
            <w:vAlign w:val="center"/>
          </w:tcPr>
          <w:p w14:paraId="793D3872">
            <w:pPr>
              <w:pStyle w:val="109"/>
              <w:rPr>
                <w:color w:val="000000" w:themeColor="text1"/>
                <w14:textFill>
                  <w14:solidFill>
                    <w14:schemeClr w14:val="tx1"/>
                  </w14:solidFill>
                </w14:textFill>
              </w:rPr>
            </w:pPr>
            <w:r>
              <w:rPr>
                <w:color w:val="000000" w:themeColor="text1"/>
                <w14:textFill>
                  <w14:solidFill>
                    <w14:schemeClr w14:val="tx1"/>
                  </w14:solidFill>
                </w14:textFill>
              </w:rPr>
              <w:t>服务期满后</w:t>
            </w:r>
          </w:p>
        </w:tc>
        <w:tc>
          <w:tcPr>
            <w:tcW w:w="1134" w:type="dxa"/>
            <w:tcBorders>
              <w:top w:val="nil"/>
              <w:left w:val="nil"/>
              <w:bottom w:val="single" w:color="auto" w:sz="4" w:space="0"/>
              <w:right w:val="single" w:color="auto" w:sz="4" w:space="0"/>
            </w:tcBorders>
            <w:noWrap/>
            <w:vAlign w:val="center"/>
          </w:tcPr>
          <w:p w14:paraId="3CAB7197">
            <w:pPr>
              <w:pStyle w:val="109"/>
              <w:rPr>
                <w:color w:val="000000" w:themeColor="text1"/>
                <w14:textFill>
                  <w14:solidFill>
                    <w14:schemeClr w14:val="tx1"/>
                  </w14:solidFill>
                </w14:textFill>
              </w:rPr>
            </w:pPr>
            <w:r>
              <w:rPr>
                <w:color w:val="000000" w:themeColor="text1"/>
                <w14:textFill>
                  <w14:solidFill>
                    <w14:schemeClr w14:val="tx1"/>
                  </w14:solidFill>
                </w14:textFill>
              </w:rPr>
              <w:t>废水排放</w:t>
            </w:r>
          </w:p>
        </w:tc>
        <w:tc>
          <w:tcPr>
            <w:tcW w:w="916" w:type="dxa"/>
            <w:tcBorders>
              <w:top w:val="nil"/>
              <w:left w:val="nil"/>
              <w:bottom w:val="single" w:color="auto" w:sz="4" w:space="0"/>
              <w:right w:val="single" w:color="auto" w:sz="4" w:space="0"/>
            </w:tcBorders>
            <w:noWrap/>
            <w:vAlign w:val="center"/>
          </w:tcPr>
          <w:p w14:paraId="1831713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3BD1302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63306A6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536FF53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0920525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3802E4D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6212BA4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0381981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1DB4000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1D71A7F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2C459B0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05583AE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24D8529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8" w:type="dxa"/>
            <w:tcBorders>
              <w:top w:val="nil"/>
              <w:left w:val="nil"/>
              <w:bottom w:val="single" w:color="auto" w:sz="4" w:space="0"/>
              <w:right w:val="single" w:color="auto" w:sz="4" w:space="0"/>
            </w:tcBorders>
            <w:noWrap/>
            <w:vAlign w:val="center"/>
          </w:tcPr>
          <w:p w14:paraId="19E6085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3A33EE35">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6186E727">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0F5EA481">
            <w:pPr>
              <w:pStyle w:val="109"/>
              <w:rPr>
                <w:color w:val="000000" w:themeColor="text1"/>
                <w14:textFill>
                  <w14:solidFill>
                    <w14:schemeClr w14:val="tx1"/>
                  </w14:solidFill>
                </w14:textFill>
              </w:rPr>
            </w:pPr>
            <w:r>
              <w:rPr>
                <w:color w:val="000000" w:themeColor="text1"/>
                <w14:textFill>
                  <w14:solidFill>
                    <w14:schemeClr w14:val="tx1"/>
                  </w14:solidFill>
                </w14:textFill>
              </w:rPr>
              <w:t>废气排放</w:t>
            </w:r>
          </w:p>
        </w:tc>
        <w:tc>
          <w:tcPr>
            <w:tcW w:w="916" w:type="dxa"/>
            <w:tcBorders>
              <w:top w:val="nil"/>
              <w:left w:val="nil"/>
              <w:bottom w:val="single" w:color="auto" w:sz="4" w:space="0"/>
              <w:right w:val="single" w:color="auto" w:sz="4" w:space="0"/>
            </w:tcBorders>
            <w:noWrap/>
            <w:vAlign w:val="center"/>
          </w:tcPr>
          <w:p w14:paraId="3CD99A7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0307AA84">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582530E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25D26C3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148F018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4D39852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32B7355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398524B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43DE547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435B978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2BD1BDC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286A9F6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1D716AD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8" w:type="dxa"/>
            <w:tcBorders>
              <w:top w:val="nil"/>
              <w:left w:val="nil"/>
              <w:bottom w:val="single" w:color="auto" w:sz="4" w:space="0"/>
              <w:right w:val="single" w:color="auto" w:sz="4" w:space="0"/>
            </w:tcBorders>
            <w:noWrap/>
            <w:vAlign w:val="center"/>
          </w:tcPr>
          <w:p w14:paraId="231D683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67B83A11">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75463421">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214ABDC4">
            <w:pPr>
              <w:pStyle w:val="109"/>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916" w:type="dxa"/>
            <w:tcBorders>
              <w:top w:val="nil"/>
              <w:left w:val="nil"/>
              <w:bottom w:val="single" w:color="auto" w:sz="4" w:space="0"/>
              <w:right w:val="single" w:color="auto" w:sz="4" w:space="0"/>
            </w:tcBorders>
            <w:noWrap/>
            <w:vAlign w:val="center"/>
          </w:tcPr>
          <w:p w14:paraId="4B5ED1B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0F9FEDD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0574FA5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73B4F19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7FA5E03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199853A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03CE499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1BEA25D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00BA3F8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042343F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57F3C14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3D4AEF5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7ECC7A5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8" w:type="dxa"/>
            <w:tcBorders>
              <w:top w:val="nil"/>
              <w:left w:val="nil"/>
              <w:bottom w:val="single" w:color="auto" w:sz="4" w:space="0"/>
              <w:right w:val="single" w:color="auto" w:sz="4" w:space="0"/>
            </w:tcBorders>
            <w:noWrap/>
            <w:vAlign w:val="center"/>
          </w:tcPr>
          <w:p w14:paraId="057EACC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410F8ED4">
        <w:tblPrEx>
          <w:tblCellMar>
            <w:top w:w="0" w:type="dxa"/>
            <w:left w:w="108" w:type="dxa"/>
            <w:bottom w:w="0" w:type="dxa"/>
            <w:right w:w="108" w:type="dxa"/>
          </w:tblCellMar>
        </w:tblPrEx>
        <w:trPr>
          <w:gridAfter w:val="1"/>
          <w:wAfter w:w="34" w:type="dxa"/>
          <w:trHeight w:val="276" w:hRule="atLeast"/>
        </w:trPr>
        <w:tc>
          <w:tcPr>
            <w:tcW w:w="704" w:type="dxa"/>
            <w:vMerge w:val="continue"/>
            <w:tcBorders>
              <w:top w:val="nil"/>
              <w:left w:val="single" w:color="auto" w:sz="4" w:space="0"/>
              <w:bottom w:val="single" w:color="auto" w:sz="4" w:space="0"/>
              <w:right w:val="single" w:color="auto" w:sz="4" w:space="0"/>
            </w:tcBorders>
            <w:vAlign w:val="center"/>
          </w:tcPr>
          <w:p w14:paraId="21989936">
            <w:pPr>
              <w:pStyle w:val="109"/>
              <w:rPr>
                <w:color w:val="000000" w:themeColor="text1"/>
                <w14:textFill>
                  <w14:solidFill>
                    <w14:schemeClr w14:val="tx1"/>
                  </w14:solidFill>
                </w14:textFill>
              </w:rPr>
            </w:pPr>
          </w:p>
        </w:tc>
        <w:tc>
          <w:tcPr>
            <w:tcW w:w="1134" w:type="dxa"/>
            <w:tcBorders>
              <w:top w:val="nil"/>
              <w:left w:val="nil"/>
              <w:bottom w:val="single" w:color="auto" w:sz="4" w:space="0"/>
              <w:right w:val="single" w:color="auto" w:sz="4" w:space="0"/>
            </w:tcBorders>
            <w:noWrap/>
            <w:vAlign w:val="center"/>
          </w:tcPr>
          <w:p w14:paraId="763A69D5">
            <w:pPr>
              <w:pStyle w:val="109"/>
              <w:rPr>
                <w:color w:val="000000" w:themeColor="text1"/>
                <w14:textFill>
                  <w14:solidFill>
                    <w14:schemeClr w14:val="tx1"/>
                  </w14:solidFill>
                </w14:textFill>
              </w:rPr>
            </w:pPr>
            <w:r>
              <w:rPr>
                <w:color w:val="000000" w:themeColor="text1"/>
                <w14:textFill>
                  <w14:solidFill>
                    <w14:schemeClr w14:val="tx1"/>
                  </w14:solidFill>
                </w14:textFill>
              </w:rPr>
              <w:t>事故风险</w:t>
            </w:r>
          </w:p>
        </w:tc>
        <w:tc>
          <w:tcPr>
            <w:tcW w:w="916" w:type="dxa"/>
            <w:tcBorders>
              <w:top w:val="nil"/>
              <w:left w:val="nil"/>
              <w:bottom w:val="single" w:color="auto" w:sz="4" w:space="0"/>
              <w:right w:val="single" w:color="auto" w:sz="4" w:space="0"/>
            </w:tcBorders>
            <w:noWrap/>
            <w:vAlign w:val="center"/>
          </w:tcPr>
          <w:p w14:paraId="39FAF994">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9" w:type="dxa"/>
            <w:tcBorders>
              <w:top w:val="nil"/>
              <w:left w:val="nil"/>
              <w:bottom w:val="single" w:color="auto" w:sz="4" w:space="0"/>
              <w:right w:val="single" w:color="auto" w:sz="4" w:space="0"/>
            </w:tcBorders>
            <w:noWrap/>
            <w:vAlign w:val="center"/>
          </w:tcPr>
          <w:p w14:paraId="6C457D80">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56" w:type="dxa"/>
            <w:tcBorders>
              <w:top w:val="nil"/>
              <w:left w:val="nil"/>
              <w:bottom w:val="single" w:color="auto" w:sz="4" w:space="0"/>
              <w:right w:val="single" w:color="auto" w:sz="4" w:space="0"/>
            </w:tcBorders>
            <w:noWrap/>
            <w:vAlign w:val="center"/>
          </w:tcPr>
          <w:p w14:paraId="40EC966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6" w:type="dxa"/>
            <w:tcBorders>
              <w:top w:val="nil"/>
              <w:left w:val="nil"/>
              <w:bottom w:val="single" w:color="auto" w:sz="4" w:space="0"/>
              <w:right w:val="single" w:color="auto" w:sz="4" w:space="0"/>
            </w:tcBorders>
            <w:noWrap/>
            <w:vAlign w:val="center"/>
          </w:tcPr>
          <w:p w14:paraId="4F53C86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dxa"/>
            <w:tcBorders>
              <w:top w:val="nil"/>
              <w:left w:val="nil"/>
              <w:bottom w:val="single" w:color="auto" w:sz="4" w:space="0"/>
              <w:right w:val="single" w:color="auto" w:sz="4" w:space="0"/>
            </w:tcBorders>
            <w:noWrap/>
            <w:vAlign w:val="center"/>
          </w:tcPr>
          <w:p w14:paraId="5C3C44C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36" w:type="dxa"/>
            <w:gridSpan w:val="2"/>
            <w:tcBorders>
              <w:top w:val="nil"/>
              <w:left w:val="nil"/>
              <w:bottom w:val="single" w:color="auto" w:sz="4" w:space="0"/>
              <w:right w:val="single" w:color="auto" w:sz="4" w:space="0"/>
            </w:tcBorders>
            <w:noWrap/>
            <w:vAlign w:val="center"/>
          </w:tcPr>
          <w:p w14:paraId="0F285274">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77" w:type="dxa"/>
            <w:tcBorders>
              <w:top w:val="nil"/>
              <w:left w:val="nil"/>
              <w:bottom w:val="single" w:color="auto" w:sz="4" w:space="0"/>
              <w:right w:val="single" w:color="auto" w:sz="4" w:space="0"/>
            </w:tcBorders>
            <w:noWrap/>
            <w:vAlign w:val="center"/>
          </w:tcPr>
          <w:p w14:paraId="18EFE7C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7" w:type="dxa"/>
            <w:tcBorders>
              <w:top w:val="nil"/>
              <w:left w:val="nil"/>
              <w:bottom w:val="single" w:color="auto" w:sz="4" w:space="0"/>
              <w:right w:val="single" w:color="auto" w:sz="4" w:space="0"/>
            </w:tcBorders>
            <w:noWrap/>
            <w:vAlign w:val="center"/>
          </w:tcPr>
          <w:p w14:paraId="469BD3F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49" w:type="dxa"/>
            <w:tcBorders>
              <w:top w:val="nil"/>
              <w:left w:val="nil"/>
              <w:bottom w:val="single" w:color="auto" w:sz="4" w:space="0"/>
              <w:right w:val="single" w:color="auto" w:sz="4" w:space="0"/>
            </w:tcBorders>
            <w:noWrap/>
            <w:vAlign w:val="center"/>
          </w:tcPr>
          <w:p w14:paraId="631FDC0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34" w:type="dxa"/>
            <w:gridSpan w:val="2"/>
            <w:tcBorders>
              <w:top w:val="nil"/>
              <w:left w:val="nil"/>
              <w:bottom w:val="single" w:color="auto" w:sz="4" w:space="0"/>
              <w:right w:val="single" w:color="auto" w:sz="4" w:space="0"/>
            </w:tcBorders>
            <w:noWrap/>
            <w:vAlign w:val="center"/>
          </w:tcPr>
          <w:p w14:paraId="58482FC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0" w:type="dxa"/>
            <w:tcBorders>
              <w:top w:val="nil"/>
              <w:left w:val="nil"/>
              <w:bottom w:val="single" w:color="auto" w:sz="4" w:space="0"/>
              <w:right w:val="single" w:color="auto" w:sz="4" w:space="0"/>
            </w:tcBorders>
            <w:noWrap/>
            <w:vAlign w:val="center"/>
          </w:tcPr>
          <w:p w14:paraId="645E23E9">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9" w:type="dxa"/>
            <w:tcBorders>
              <w:top w:val="nil"/>
              <w:left w:val="nil"/>
              <w:bottom w:val="single" w:color="auto" w:sz="4" w:space="0"/>
              <w:right w:val="single" w:color="auto" w:sz="4" w:space="0"/>
            </w:tcBorders>
            <w:noWrap/>
            <w:vAlign w:val="center"/>
          </w:tcPr>
          <w:p w14:paraId="0A947F1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0" w:type="dxa"/>
            <w:tcBorders>
              <w:top w:val="nil"/>
              <w:left w:val="nil"/>
              <w:bottom w:val="single" w:color="auto" w:sz="4" w:space="0"/>
              <w:right w:val="single" w:color="auto" w:sz="4" w:space="0"/>
            </w:tcBorders>
            <w:noWrap/>
            <w:vAlign w:val="center"/>
          </w:tcPr>
          <w:p w14:paraId="7DDC0F8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8" w:type="dxa"/>
            <w:tcBorders>
              <w:top w:val="nil"/>
              <w:left w:val="nil"/>
              <w:bottom w:val="single" w:color="auto" w:sz="4" w:space="0"/>
              <w:right w:val="single" w:color="auto" w:sz="4" w:space="0"/>
            </w:tcBorders>
            <w:noWrap/>
            <w:vAlign w:val="center"/>
          </w:tcPr>
          <w:p w14:paraId="7E4BE7FB">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bl>
    <w:p w14:paraId="34ADDD84">
      <w:pPr>
        <w:ind w:firstLine="480"/>
        <w:rPr>
          <w:b/>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bookmarkStart w:id="92" w:name="_Toc278649489"/>
      <w:bookmarkStart w:id="93" w:name="_Toc178760658"/>
      <w:bookmarkStart w:id="94" w:name="_Toc329793416"/>
      <w:bookmarkStart w:id="95" w:name="_Toc157675737"/>
      <w:bookmarkStart w:id="96" w:name="_Toc172077790"/>
      <w:bookmarkStart w:id="97" w:name="_Toc321821788"/>
      <w:bookmarkStart w:id="98" w:name="_Toc158114362"/>
      <w:bookmarkStart w:id="99" w:name="_Toc220229227"/>
      <w:bookmarkStart w:id="100" w:name="_Toc266187622"/>
      <w:r>
        <w:rPr>
          <w:color w:val="000000" w:themeColor="text1"/>
          <w14:textFill>
            <w14:solidFill>
              <w14:schemeClr w14:val="tx1"/>
            </w14:solidFill>
          </w14:textFill>
        </w:rPr>
        <w:t>说明：</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分别表示有利、不利影响；</w:t>
      </w:r>
      <w:r>
        <w:rPr>
          <w:rFonts w:eastAsia="TimesNewRomanPSMT"/>
          <w:color w:val="000000" w:themeColor="text1"/>
          <w14:textFill>
            <w14:solidFill>
              <w14:schemeClr w14:val="tx1"/>
            </w14:solidFill>
          </w14:textFill>
        </w:rPr>
        <w:t>“L”</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“S”</w:t>
      </w:r>
      <w:r>
        <w:rPr>
          <w:color w:val="000000" w:themeColor="text1"/>
          <w14:textFill>
            <w14:solidFill>
              <w14:schemeClr w14:val="tx1"/>
            </w14:solidFill>
          </w14:textFill>
        </w:rPr>
        <w:t>分别表示长期、短期影响；</w:t>
      </w:r>
      <w:r>
        <w:rPr>
          <w:rFonts w:eastAsia="TimesNewRomanPSMT"/>
          <w:color w:val="000000" w:themeColor="text1"/>
          <w14:textFill>
            <w14:solidFill>
              <w14:schemeClr w14:val="tx1"/>
            </w14:solidFill>
          </w14:textFill>
        </w:rPr>
        <w:t>“0”</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“”1</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“3”</w:t>
      </w:r>
      <w:r>
        <w:rPr>
          <w:color w:val="000000" w:themeColor="text1"/>
          <w14:textFill>
            <w14:solidFill>
              <w14:schemeClr w14:val="tx1"/>
            </w14:solidFill>
          </w14:textFill>
        </w:rPr>
        <w:t>数值分别表示无影响、轻微影响、中等影响和重大影响；用</w:t>
      </w:r>
      <w:r>
        <w:rPr>
          <w:rFonts w:eastAsia="TimesNewRomanPSMT"/>
          <w:color w:val="000000" w:themeColor="text1"/>
          <w14:textFill>
            <w14:solidFill>
              <w14:schemeClr w14:val="tx1"/>
            </w14:solidFill>
          </w14:textFill>
        </w:rPr>
        <w:t>“D”</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“I”</w:t>
      </w:r>
      <w:r>
        <w:rPr>
          <w:color w:val="000000" w:themeColor="text1"/>
          <w14:textFill>
            <w14:solidFill>
              <w14:schemeClr w14:val="tx1"/>
            </w14:solidFill>
          </w14:textFill>
        </w:rPr>
        <w:t>表示直接、间接影响。</w:t>
      </w:r>
    </w:p>
    <w:p w14:paraId="44BE1DF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环境影响因子筛选</w:t>
      </w:r>
      <w:bookmarkEnd w:id="92"/>
      <w:bookmarkEnd w:id="93"/>
      <w:bookmarkEnd w:id="94"/>
      <w:bookmarkEnd w:id="95"/>
      <w:bookmarkEnd w:id="96"/>
      <w:bookmarkEnd w:id="97"/>
      <w:bookmarkEnd w:id="98"/>
      <w:bookmarkEnd w:id="99"/>
      <w:bookmarkEnd w:id="100"/>
    </w:p>
    <w:p w14:paraId="4C90A00B">
      <w:pPr>
        <w:ind w:firstLine="480"/>
        <w:rPr>
          <w:rFonts w:eastAsia="黑体"/>
          <w:color w:val="000000" w:themeColor="text1"/>
          <w:highlight w:val="yellow"/>
          <w14:textFill>
            <w14:solidFill>
              <w14:schemeClr w14:val="tx1"/>
            </w14:solidFill>
          </w14:textFill>
        </w:rPr>
      </w:pPr>
      <w:r>
        <w:rPr>
          <w:color w:val="000000" w:themeColor="text1"/>
          <w14:textFill>
            <w14:solidFill>
              <w14:schemeClr w14:val="tx1"/>
            </w14:solidFill>
          </w14:textFill>
        </w:rPr>
        <w:t>拟建项目可能对环境产生的污染因素包括废气、废水、噪声、工业固体废弃物，这些因素可能导致的环境影响涉及环境空气、地下水环境、声环境、土壤环境等。根据初步工程分析及项目所在地环境状况调查，本项目评价因子筛选结果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63589485">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环境评价因子筛选</w:t>
      </w:r>
    </w:p>
    <w:tbl>
      <w:tblPr>
        <w:tblStyle w:val="76"/>
        <w:tblW w:w="9547" w:type="dxa"/>
        <w:tblInd w:w="0" w:type="dxa"/>
        <w:tblLayout w:type="autofit"/>
        <w:tblCellMar>
          <w:top w:w="0" w:type="dxa"/>
          <w:left w:w="108" w:type="dxa"/>
          <w:bottom w:w="0" w:type="dxa"/>
          <w:right w:w="108" w:type="dxa"/>
        </w:tblCellMar>
      </w:tblPr>
      <w:tblGrid>
        <w:gridCol w:w="704"/>
        <w:gridCol w:w="4662"/>
        <w:gridCol w:w="2646"/>
        <w:gridCol w:w="11"/>
        <w:gridCol w:w="1513"/>
        <w:gridCol w:w="11"/>
      </w:tblGrid>
      <w:tr w14:paraId="6AE0CCFB">
        <w:tblPrEx>
          <w:tblCellMar>
            <w:top w:w="0" w:type="dxa"/>
            <w:left w:w="108" w:type="dxa"/>
            <w:bottom w:w="0" w:type="dxa"/>
            <w:right w:w="108" w:type="dxa"/>
          </w:tblCellMar>
        </w:tblPrEx>
        <w:trPr>
          <w:gridAfter w:val="1"/>
          <w:wAfter w:w="11" w:type="dxa"/>
        </w:trPr>
        <w:tc>
          <w:tcPr>
            <w:tcW w:w="704" w:type="dxa"/>
            <w:tcBorders>
              <w:top w:val="single" w:color="auto" w:sz="4" w:space="0"/>
              <w:left w:val="single" w:color="auto" w:sz="4" w:space="0"/>
              <w:bottom w:val="single" w:color="auto" w:sz="4" w:space="0"/>
              <w:right w:val="single" w:color="auto" w:sz="4" w:space="0"/>
            </w:tcBorders>
            <w:noWrap/>
            <w:vAlign w:val="center"/>
          </w:tcPr>
          <w:p w14:paraId="41DDB5CB">
            <w:pPr>
              <w:pStyle w:val="109"/>
              <w:rPr>
                <w:color w:val="000000" w:themeColor="text1"/>
                <w14:textFill>
                  <w14:solidFill>
                    <w14:schemeClr w14:val="tx1"/>
                  </w14:solidFill>
                </w14:textFill>
              </w:rPr>
            </w:pPr>
            <w:r>
              <w:rPr>
                <w:color w:val="000000" w:themeColor="text1"/>
                <w14:textFill>
                  <w14:solidFill>
                    <w14:schemeClr w14:val="tx1"/>
                  </w14:solidFill>
                </w14:textFill>
              </w:rPr>
              <w:t>要素</w:t>
            </w:r>
          </w:p>
        </w:tc>
        <w:tc>
          <w:tcPr>
            <w:tcW w:w="4662" w:type="dxa"/>
            <w:tcBorders>
              <w:top w:val="single" w:color="auto" w:sz="4" w:space="0"/>
              <w:left w:val="nil"/>
              <w:bottom w:val="single" w:color="auto" w:sz="4" w:space="0"/>
              <w:right w:val="single" w:color="auto" w:sz="4" w:space="0"/>
            </w:tcBorders>
            <w:noWrap/>
            <w:vAlign w:val="center"/>
          </w:tcPr>
          <w:p w14:paraId="71940C47">
            <w:pPr>
              <w:pStyle w:val="109"/>
              <w:rPr>
                <w:color w:val="000000" w:themeColor="text1"/>
                <w14:textFill>
                  <w14:solidFill>
                    <w14:schemeClr w14:val="tx1"/>
                  </w14:solidFill>
                </w14:textFill>
              </w:rPr>
            </w:pPr>
            <w:r>
              <w:rPr>
                <w:color w:val="000000" w:themeColor="text1"/>
                <w14:textFill>
                  <w14:solidFill>
                    <w14:schemeClr w14:val="tx1"/>
                  </w14:solidFill>
                </w14:textFill>
              </w:rPr>
              <w:t>现状评价因子</w:t>
            </w:r>
          </w:p>
        </w:tc>
        <w:tc>
          <w:tcPr>
            <w:tcW w:w="2646" w:type="dxa"/>
            <w:tcBorders>
              <w:top w:val="single" w:color="auto" w:sz="4" w:space="0"/>
              <w:left w:val="nil"/>
              <w:bottom w:val="single" w:color="auto" w:sz="4" w:space="0"/>
              <w:right w:val="single" w:color="auto" w:sz="4" w:space="0"/>
            </w:tcBorders>
            <w:noWrap/>
            <w:vAlign w:val="center"/>
          </w:tcPr>
          <w:p w14:paraId="57A7F056">
            <w:pPr>
              <w:pStyle w:val="109"/>
              <w:rPr>
                <w:color w:val="000000" w:themeColor="text1"/>
                <w14:textFill>
                  <w14:solidFill>
                    <w14:schemeClr w14:val="tx1"/>
                  </w14:solidFill>
                </w14:textFill>
              </w:rPr>
            </w:pPr>
            <w:r>
              <w:rPr>
                <w:color w:val="000000" w:themeColor="text1"/>
                <w14:textFill>
                  <w14:solidFill>
                    <w14:schemeClr w14:val="tx1"/>
                  </w14:solidFill>
                </w14:textFill>
              </w:rPr>
              <w:t>影响评价因子</w:t>
            </w:r>
          </w:p>
        </w:tc>
        <w:tc>
          <w:tcPr>
            <w:tcW w:w="1524" w:type="dxa"/>
            <w:gridSpan w:val="2"/>
            <w:tcBorders>
              <w:top w:val="single" w:color="auto" w:sz="4" w:space="0"/>
              <w:left w:val="nil"/>
              <w:bottom w:val="single" w:color="auto" w:sz="4" w:space="0"/>
              <w:right w:val="single" w:color="auto" w:sz="4" w:space="0"/>
            </w:tcBorders>
            <w:noWrap/>
            <w:vAlign w:val="center"/>
          </w:tcPr>
          <w:p w14:paraId="60BBE67C">
            <w:pPr>
              <w:pStyle w:val="109"/>
              <w:rPr>
                <w:color w:val="000000" w:themeColor="text1"/>
                <w14:textFill>
                  <w14:solidFill>
                    <w14:schemeClr w14:val="tx1"/>
                  </w14:solidFill>
                </w14:textFill>
              </w:rPr>
            </w:pPr>
            <w:r>
              <w:rPr>
                <w:color w:val="000000" w:themeColor="text1"/>
                <w14:textFill>
                  <w14:solidFill>
                    <w14:schemeClr w14:val="tx1"/>
                  </w14:solidFill>
                </w14:textFill>
              </w:rPr>
              <w:t>总量控制因子</w:t>
            </w:r>
          </w:p>
        </w:tc>
      </w:tr>
      <w:tr w14:paraId="6BA2986C">
        <w:tblPrEx>
          <w:tblCellMar>
            <w:top w:w="0" w:type="dxa"/>
            <w:left w:w="108" w:type="dxa"/>
            <w:bottom w:w="0" w:type="dxa"/>
            <w:right w:w="108" w:type="dxa"/>
          </w:tblCellMar>
        </w:tblPrEx>
        <w:trPr>
          <w:gridAfter w:val="1"/>
          <w:wAfter w:w="11" w:type="dxa"/>
        </w:trPr>
        <w:tc>
          <w:tcPr>
            <w:tcW w:w="704" w:type="dxa"/>
            <w:tcBorders>
              <w:top w:val="nil"/>
              <w:left w:val="single" w:color="auto" w:sz="4" w:space="0"/>
              <w:bottom w:val="single" w:color="auto" w:sz="4" w:space="0"/>
              <w:right w:val="single" w:color="auto" w:sz="4" w:space="0"/>
            </w:tcBorders>
            <w:noWrap/>
            <w:vAlign w:val="center"/>
          </w:tcPr>
          <w:p w14:paraId="4D24B32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大气 </w:t>
            </w:r>
          </w:p>
        </w:tc>
        <w:tc>
          <w:tcPr>
            <w:tcW w:w="4662" w:type="dxa"/>
            <w:tcBorders>
              <w:top w:val="nil"/>
              <w:left w:val="nil"/>
              <w:bottom w:val="single" w:color="auto" w:sz="4" w:space="0"/>
              <w:right w:val="single" w:color="auto" w:sz="4" w:space="0"/>
            </w:tcBorders>
            <w:noWrap/>
            <w:vAlign w:val="center"/>
          </w:tcPr>
          <w:p w14:paraId="13FA476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SO</w:t>
            </w:r>
            <w:r>
              <w:rPr>
                <w:color w:val="000000" w:themeColor="text1"/>
                <w:vertAlign w:val="subscript"/>
                <w:lang w:val="zh-CN" w:bidi="zh-CN"/>
                <w14:textFill>
                  <w14:solidFill>
                    <w14:schemeClr w14:val="tx1"/>
                  </w14:solidFill>
                </w14:textFill>
              </w:rPr>
              <w:t>2</w:t>
            </w:r>
            <w:r>
              <w:rPr>
                <w:color w:val="000000" w:themeColor="text1"/>
                <w:lang w:val="zh-CN" w:bidi="zh-CN"/>
                <w14:textFill>
                  <w14:solidFill>
                    <w14:schemeClr w14:val="tx1"/>
                  </w14:solidFill>
                </w14:textFill>
              </w:rPr>
              <w:t>、NO</w:t>
            </w:r>
            <w:r>
              <w:rPr>
                <w:color w:val="000000" w:themeColor="text1"/>
                <w:vertAlign w:val="subscript"/>
                <w:lang w:val="zh-CN" w:bidi="zh-CN"/>
                <w14:textFill>
                  <w14:solidFill>
                    <w14:schemeClr w14:val="tx1"/>
                  </w14:solidFill>
                </w14:textFill>
              </w:rPr>
              <w:t>2</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、CO</w:t>
            </w:r>
            <w:r>
              <w:rPr>
                <w:rFonts w:hint="eastAsia"/>
                <w:color w:val="000000" w:themeColor="text1"/>
                <w:lang w:val="zh-CN" w:bidi="zh-CN"/>
                <w14:textFill>
                  <w14:solidFill>
                    <w14:schemeClr w14:val="tx1"/>
                  </w14:solidFill>
                </w14:textFill>
              </w:rPr>
              <w:t>、</w:t>
            </w:r>
            <w:r>
              <w:rPr>
                <w:color w:val="000000" w:themeColor="text1"/>
                <w:lang w:val="zh-CN" w:bidi="zh-CN"/>
                <w14:textFill>
                  <w14:solidFill>
                    <w14:schemeClr w14:val="tx1"/>
                  </w14:solidFill>
                </w14:textFill>
              </w:rPr>
              <w:t>O</w:t>
            </w:r>
            <w:r>
              <w:rPr>
                <w:color w:val="000000" w:themeColor="text1"/>
                <w:vertAlign w:val="subscript"/>
                <w:lang w:val="zh-CN" w:bidi="zh-CN"/>
                <w14:textFill>
                  <w14:solidFill>
                    <w14:schemeClr w14:val="tx1"/>
                  </w14:solidFill>
                </w14:textFill>
              </w:rPr>
              <w:t>3</w:t>
            </w:r>
            <w:r>
              <w:rPr>
                <w:rFonts w:hint="eastAsia"/>
                <w:color w:val="000000" w:themeColor="text1"/>
                <w:lang w:val="zh-CN" w:bidi="zh-CN"/>
                <w14:textFill>
                  <w14:solidFill>
                    <w14:schemeClr w14:val="tx1"/>
                  </w14:solidFill>
                </w14:textFill>
              </w:rPr>
              <w:t>、</w:t>
            </w:r>
            <w:r>
              <w:rPr>
                <w:rFonts w:hint="eastAsia"/>
                <w:color w:val="000000" w:themeColor="text1"/>
                <w14:textFill>
                  <w14:solidFill>
                    <w14:schemeClr w14:val="tx1"/>
                  </w14:solidFill>
                </w14:textFill>
              </w:rPr>
              <w:t>氨、硫化氢、氯化氢、氟化物、非甲烷总烃、二噁英、TSP、铅、镉、六价铬、砷、镍、汞、锰及其化合物、臭气浓度</w:t>
            </w:r>
          </w:p>
        </w:tc>
        <w:tc>
          <w:tcPr>
            <w:tcW w:w="2646" w:type="dxa"/>
            <w:tcBorders>
              <w:top w:val="nil"/>
              <w:left w:val="nil"/>
              <w:bottom w:val="single" w:color="auto" w:sz="4" w:space="0"/>
              <w:right w:val="single" w:color="auto" w:sz="4" w:space="0"/>
            </w:tcBorders>
            <w:noWrap/>
            <w:vAlign w:val="center"/>
          </w:tcPr>
          <w:p w14:paraId="0390DDAF">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SO</w:t>
            </w:r>
            <w:r>
              <w:rPr>
                <w:color w:val="000000" w:themeColor="text1"/>
                <w:vertAlign w:val="subscript"/>
                <w:lang w:val="zh-CN" w:bidi="zh-CN"/>
                <w14:textFill>
                  <w14:solidFill>
                    <w14:schemeClr w14:val="tx1"/>
                  </w14:solidFill>
                </w14:textFill>
              </w:rPr>
              <w:t>2</w:t>
            </w:r>
            <w:r>
              <w:rPr>
                <w:color w:val="000000" w:themeColor="text1"/>
                <w:lang w:val="zh-CN" w:bidi="zh-CN"/>
                <w14:textFill>
                  <w14:solidFill>
                    <w14:schemeClr w14:val="tx1"/>
                  </w14:solidFill>
                </w14:textFill>
              </w:rPr>
              <w:t>、NO</w:t>
            </w:r>
            <w:r>
              <w:rPr>
                <w:color w:val="000000" w:themeColor="text1"/>
                <w:vertAlign w:val="subscript"/>
                <w:lang w:val="zh-CN" w:bidi="zh-CN"/>
                <w14:textFill>
                  <w14:solidFill>
                    <w14:schemeClr w14:val="tx1"/>
                  </w14:solidFill>
                </w14:textFill>
              </w:rPr>
              <w:t>2</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、CO</w:t>
            </w:r>
            <w:r>
              <w:rPr>
                <w:rFonts w:hint="eastAsia"/>
                <w:color w:val="000000" w:themeColor="text1"/>
                <w:lang w:val="zh-CN" w:bidi="zh-CN"/>
                <w14:textFill>
                  <w14:solidFill>
                    <w14:schemeClr w14:val="tx1"/>
                  </w14:solidFill>
                </w14:textFill>
              </w:rPr>
              <w:t>、</w:t>
            </w:r>
            <w:r>
              <w:rPr>
                <w:color w:val="000000" w:themeColor="text1"/>
                <w:lang w:val="zh-CN" w:bidi="zh-CN"/>
                <w14:textFill>
                  <w14:solidFill>
                    <w14:schemeClr w14:val="tx1"/>
                  </w14:solidFill>
                </w14:textFill>
              </w:rPr>
              <w:t>O</w:t>
            </w:r>
            <w:r>
              <w:rPr>
                <w:color w:val="000000" w:themeColor="text1"/>
                <w:vertAlign w:val="subscript"/>
                <w:lang w:val="zh-CN" w:bidi="zh-CN"/>
                <w14:textFill>
                  <w14:solidFill>
                    <w14:schemeClr w14:val="tx1"/>
                  </w14:solidFill>
                </w14:textFill>
              </w:rPr>
              <w:t>3</w:t>
            </w:r>
            <w:r>
              <w:rPr>
                <w:rFonts w:hint="eastAsia"/>
                <w:color w:val="000000" w:themeColor="text1"/>
                <w:lang w:val="zh-CN" w:bidi="zh-CN"/>
                <w14:textFill>
                  <w14:solidFill>
                    <w14:schemeClr w14:val="tx1"/>
                  </w14:solidFill>
                </w14:textFill>
              </w:rPr>
              <w:t>、</w:t>
            </w:r>
            <w:r>
              <w:rPr>
                <w:rFonts w:hint="eastAsia"/>
                <w:color w:val="000000" w:themeColor="text1"/>
                <w14:textFill>
                  <w14:solidFill>
                    <w14:schemeClr w14:val="tx1"/>
                  </w14:solidFill>
                </w14:textFill>
              </w:rPr>
              <w:t>氨、硫化氢、氯化氢、氟化物、非甲烷总烃、二噁英、TSP、铅、镉、六价铬、砷、镍、汞、锰及其化合物、臭气浓度</w:t>
            </w:r>
          </w:p>
        </w:tc>
        <w:tc>
          <w:tcPr>
            <w:tcW w:w="1524" w:type="dxa"/>
            <w:gridSpan w:val="2"/>
            <w:tcBorders>
              <w:top w:val="nil"/>
              <w:left w:val="nil"/>
              <w:bottom w:val="single" w:color="auto" w:sz="4" w:space="0"/>
              <w:right w:val="single" w:color="auto" w:sz="4" w:space="0"/>
            </w:tcBorders>
            <w:noWrap/>
            <w:vAlign w:val="center"/>
          </w:tcPr>
          <w:p w14:paraId="679531B4">
            <w:pPr>
              <w:pStyle w:val="109"/>
              <w:rPr>
                <w:color w:val="000000" w:themeColor="text1"/>
                <w14:textFill>
                  <w14:solidFill>
                    <w14:schemeClr w14:val="tx1"/>
                  </w14:solidFill>
                </w14:textFill>
              </w:rPr>
            </w:pPr>
            <w:r>
              <w:rPr>
                <w:color w:val="000000" w:themeColor="text1"/>
                <w14:textFill>
                  <w14:solidFill>
                    <w14:schemeClr w14:val="tx1"/>
                  </w14:solidFill>
                </w14:textFill>
              </w:rPr>
              <w:t>烟（粉）尘、 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、NOx、 VOCs </w:t>
            </w:r>
          </w:p>
        </w:tc>
      </w:tr>
      <w:tr w14:paraId="5E3A3902">
        <w:tblPrEx>
          <w:tblCellMar>
            <w:top w:w="0" w:type="dxa"/>
            <w:left w:w="108" w:type="dxa"/>
            <w:bottom w:w="0" w:type="dxa"/>
            <w:right w:w="108" w:type="dxa"/>
          </w:tblCellMar>
        </w:tblPrEx>
        <w:trPr>
          <w:gridAfter w:val="1"/>
          <w:wAfter w:w="11" w:type="dxa"/>
        </w:trPr>
        <w:tc>
          <w:tcPr>
            <w:tcW w:w="704" w:type="dxa"/>
            <w:tcBorders>
              <w:top w:val="nil"/>
              <w:left w:val="single" w:color="auto" w:sz="4" w:space="0"/>
              <w:bottom w:val="single" w:color="auto" w:sz="4" w:space="0"/>
              <w:right w:val="single" w:color="auto" w:sz="4" w:space="0"/>
            </w:tcBorders>
            <w:noWrap/>
            <w:vAlign w:val="center"/>
          </w:tcPr>
          <w:p w14:paraId="57BE4618">
            <w:pPr>
              <w:pStyle w:val="109"/>
              <w:ind w:left="-120" w:leftChars="-50" w:right="-108" w:rightChars="-45"/>
              <w:rPr>
                <w:color w:val="000000" w:themeColor="text1"/>
                <w14:textFill>
                  <w14:solidFill>
                    <w14:schemeClr w14:val="tx1"/>
                  </w14:solidFill>
                </w14:textFill>
              </w:rPr>
            </w:pPr>
            <w:r>
              <w:rPr>
                <w:color w:val="000000" w:themeColor="text1"/>
                <w14:textFill>
                  <w14:solidFill>
                    <w14:schemeClr w14:val="tx1"/>
                  </w14:solidFill>
                </w14:textFill>
              </w:rPr>
              <w:t xml:space="preserve">地表水 </w:t>
            </w:r>
          </w:p>
        </w:tc>
        <w:tc>
          <w:tcPr>
            <w:tcW w:w="4662" w:type="dxa"/>
            <w:tcBorders>
              <w:top w:val="nil"/>
              <w:left w:val="nil"/>
              <w:bottom w:val="single" w:color="auto" w:sz="4" w:space="0"/>
              <w:right w:val="single" w:color="auto" w:sz="4" w:space="0"/>
            </w:tcBorders>
            <w:noWrap/>
            <w:vAlign w:val="center"/>
          </w:tcPr>
          <w:p w14:paraId="3993DF0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646" w:type="dxa"/>
            <w:tcBorders>
              <w:top w:val="nil"/>
              <w:left w:val="nil"/>
              <w:bottom w:val="single" w:color="auto" w:sz="4" w:space="0"/>
              <w:right w:val="single" w:color="auto" w:sz="4" w:space="0"/>
            </w:tcBorders>
            <w:noWrap/>
            <w:vAlign w:val="center"/>
          </w:tcPr>
          <w:p w14:paraId="78E1223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524" w:type="dxa"/>
            <w:gridSpan w:val="2"/>
            <w:tcBorders>
              <w:top w:val="nil"/>
              <w:left w:val="nil"/>
              <w:bottom w:val="single" w:color="auto" w:sz="4" w:space="0"/>
              <w:right w:val="single" w:color="auto" w:sz="4" w:space="0"/>
            </w:tcBorders>
            <w:noWrap/>
            <w:vAlign w:val="center"/>
          </w:tcPr>
          <w:p w14:paraId="6FEA2A5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COD、氨氮 </w:t>
            </w:r>
          </w:p>
        </w:tc>
      </w:tr>
      <w:tr w14:paraId="1FC7EBA6">
        <w:tblPrEx>
          <w:tblCellMar>
            <w:top w:w="0" w:type="dxa"/>
            <w:left w:w="108" w:type="dxa"/>
            <w:bottom w:w="0" w:type="dxa"/>
            <w:right w:w="108" w:type="dxa"/>
          </w:tblCellMar>
        </w:tblPrEx>
        <w:trPr>
          <w:gridAfter w:val="1"/>
          <w:wAfter w:w="11" w:type="dxa"/>
        </w:trPr>
        <w:tc>
          <w:tcPr>
            <w:tcW w:w="704" w:type="dxa"/>
            <w:tcBorders>
              <w:top w:val="nil"/>
              <w:left w:val="single" w:color="auto" w:sz="4" w:space="0"/>
              <w:bottom w:val="single" w:color="auto" w:sz="4" w:space="0"/>
              <w:right w:val="single" w:color="auto" w:sz="4" w:space="0"/>
            </w:tcBorders>
            <w:noWrap/>
            <w:vAlign w:val="center"/>
          </w:tcPr>
          <w:p w14:paraId="7AA9ED05">
            <w:pPr>
              <w:pStyle w:val="109"/>
              <w:rPr>
                <w:color w:val="000000" w:themeColor="text1"/>
                <w14:textFill>
                  <w14:solidFill>
                    <w14:schemeClr w14:val="tx1"/>
                  </w14:solidFill>
                </w14:textFill>
              </w:rPr>
            </w:pPr>
            <w:r>
              <w:rPr>
                <w:color w:val="000000" w:themeColor="text1"/>
                <w14:textFill>
                  <w14:solidFill>
                    <w14:schemeClr w14:val="tx1"/>
                  </w14:solidFill>
                </w14:textFill>
              </w:rPr>
              <w:t>声</w:t>
            </w:r>
          </w:p>
        </w:tc>
        <w:tc>
          <w:tcPr>
            <w:tcW w:w="4662" w:type="dxa"/>
            <w:tcBorders>
              <w:top w:val="nil"/>
              <w:left w:val="nil"/>
              <w:bottom w:val="single" w:color="auto" w:sz="4" w:space="0"/>
              <w:right w:val="single" w:color="auto" w:sz="4" w:space="0"/>
            </w:tcBorders>
            <w:noWrap/>
            <w:vAlign w:val="center"/>
          </w:tcPr>
          <w:p w14:paraId="63F6DD36">
            <w:pPr>
              <w:pStyle w:val="109"/>
              <w:rPr>
                <w:color w:val="000000" w:themeColor="text1"/>
                <w14:textFill>
                  <w14:solidFill>
                    <w14:schemeClr w14:val="tx1"/>
                  </w14:solidFill>
                </w14:textFill>
              </w:rPr>
            </w:pPr>
            <w:r>
              <w:rPr>
                <w:color w:val="000000" w:themeColor="text1"/>
                <w14:textFill>
                  <w14:solidFill>
                    <w14:schemeClr w14:val="tx1"/>
                  </w14:solidFill>
                </w14:textFill>
              </w:rPr>
              <w:t>等效连续 A声级</w:t>
            </w:r>
          </w:p>
        </w:tc>
        <w:tc>
          <w:tcPr>
            <w:tcW w:w="2646" w:type="dxa"/>
            <w:tcBorders>
              <w:top w:val="nil"/>
              <w:left w:val="nil"/>
              <w:bottom w:val="single" w:color="auto" w:sz="4" w:space="0"/>
              <w:right w:val="single" w:color="auto" w:sz="4" w:space="0"/>
            </w:tcBorders>
            <w:noWrap/>
            <w:vAlign w:val="center"/>
          </w:tcPr>
          <w:p w14:paraId="10915F5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等效连续 A声级 </w:t>
            </w:r>
          </w:p>
        </w:tc>
        <w:tc>
          <w:tcPr>
            <w:tcW w:w="1524" w:type="dxa"/>
            <w:gridSpan w:val="2"/>
            <w:tcBorders>
              <w:top w:val="nil"/>
              <w:left w:val="nil"/>
              <w:bottom w:val="single" w:color="auto" w:sz="4" w:space="0"/>
              <w:right w:val="single" w:color="auto" w:sz="4" w:space="0"/>
            </w:tcBorders>
            <w:noWrap/>
            <w:vAlign w:val="center"/>
          </w:tcPr>
          <w:p w14:paraId="3402AC8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r w14:paraId="32ECC47C">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53A804C3">
            <w:pPr>
              <w:pStyle w:val="109"/>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7319" w:type="dxa"/>
            <w:gridSpan w:val="3"/>
            <w:tcBorders>
              <w:top w:val="single" w:color="auto" w:sz="4" w:space="0"/>
              <w:left w:val="nil"/>
              <w:bottom w:val="single" w:color="auto" w:sz="4" w:space="0"/>
              <w:right w:val="single" w:color="auto" w:sz="4" w:space="0"/>
            </w:tcBorders>
            <w:noWrap/>
            <w:vAlign w:val="center"/>
          </w:tcPr>
          <w:p w14:paraId="6FCB954A">
            <w:pPr>
              <w:pStyle w:val="109"/>
              <w:rPr>
                <w:color w:val="000000" w:themeColor="text1"/>
                <w14:textFill>
                  <w14:solidFill>
                    <w14:schemeClr w14:val="tx1"/>
                  </w14:solidFill>
                </w14:textFill>
              </w:rPr>
            </w:pPr>
            <w:r>
              <w:rPr>
                <w:color w:val="000000" w:themeColor="text1"/>
                <w14:textFill>
                  <w14:solidFill>
                    <w14:schemeClr w14:val="tx1"/>
                  </w14:solidFill>
                </w14:textFill>
              </w:rPr>
              <w:t>固废的发生量、综合利用及处置状况</w:t>
            </w:r>
          </w:p>
        </w:tc>
        <w:tc>
          <w:tcPr>
            <w:tcW w:w="1524" w:type="dxa"/>
            <w:gridSpan w:val="2"/>
            <w:tcBorders>
              <w:top w:val="nil"/>
              <w:left w:val="nil"/>
              <w:bottom w:val="single" w:color="auto" w:sz="4" w:space="0"/>
              <w:right w:val="single" w:color="auto" w:sz="4" w:space="0"/>
            </w:tcBorders>
            <w:noWrap/>
            <w:vAlign w:val="center"/>
          </w:tcPr>
          <w:p w14:paraId="702B19A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固废排放量 </w:t>
            </w:r>
          </w:p>
        </w:tc>
      </w:tr>
      <w:tr w14:paraId="3D01956B">
        <w:tblPrEx>
          <w:tblCellMar>
            <w:top w:w="0" w:type="dxa"/>
            <w:left w:w="108" w:type="dxa"/>
            <w:bottom w:w="0" w:type="dxa"/>
            <w:right w:w="108" w:type="dxa"/>
          </w:tblCellMar>
        </w:tblPrEx>
        <w:trPr>
          <w:gridAfter w:val="1"/>
          <w:wAfter w:w="11" w:type="dxa"/>
        </w:trPr>
        <w:tc>
          <w:tcPr>
            <w:tcW w:w="704" w:type="dxa"/>
            <w:tcBorders>
              <w:top w:val="nil"/>
              <w:left w:val="single" w:color="auto" w:sz="4" w:space="0"/>
              <w:bottom w:val="single" w:color="auto" w:sz="4" w:space="0"/>
              <w:right w:val="single" w:color="auto" w:sz="4" w:space="0"/>
            </w:tcBorders>
            <w:noWrap/>
            <w:vAlign w:val="center"/>
          </w:tcPr>
          <w:p w14:paraId="403A9B7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地下水 </w:t>
            </w:r>
          </w:p>
        </w:tc>
        <w:tc>
          <w:tcPr>
            <w:tcW w:w="4662" w:type="dxa"/>
            <w:tcBorders>
              <w:top w:val="nil"/>
              <w:left w:val="nil"/>
              <w:bottom w:val="single" w:color="auto" w:sz="4" w:space="0"/>
              <w:right w:val="single" w:color="auto" w:sz="4" w:space="0"/>
            </w:tcBorders>
            <w:vAlign w:val="center"/>
          </w:tcPr>
          <w:p w14:paraId="236B1CF1">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pH、氨氮、硝酸盐、亚硝酸盐、挥发酚、氰化物、砷、汞、铬（六价）、总硬度、铅、氟、镉、铁、锰、溶解性总固体、耗氧量、硫酸盐、氯化物、总大肠菌群、细菌总数、石油类、苯、甲苯、二甲苯、苯并芘、K</w:t>
            </w:r>
            <w:r>
              <w:rPr>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、Na</w:t>
            </w:r>
            <w:r>
              <w:rPr>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、Ca</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、Mg</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、CO</w:t>
            </w:r>
            <w:r>
              <w:rPr>
                <w:color w:val="000000" w:themeColor="text1"/>
                <w:szCs w:val="21"/>
                <w:vertAlign w:val="subscript"/>
                <w14:textFill>
                  <w14:solidFill>
                    <w14:schemeClr w14:val="tx1"/>
                  </w14:solidFill>
                </w14:textFill>
              </w:rPr>
              <w:t>3</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、HCO</w:t>
            </w:r>
            <w:r>
              <w:rPr>
                <w:color w:val="000000" w:themeColor="text1"/>
                <w:szCs w:val="21"/>
                <w:vertAlign w:val="subscript"/>
                <w14:textFill>
                  <w14:solidFill>
                    <w14:schemeClr w14:val="tx1"/>
                  </w14:solidFill>
                </w14:textFill>
              </w:rPr>
              <w:t>3</w:t>
            </w:r>
            <w:r>
              <w:rPr>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、Cl</w:t>
            </w:r>
            <w:r>
              <w:rPr>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4</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等</w:t>
            </w:r>
          </w:p>
        </w:tc>
        <w:tc>
          <w:tcPr>
            <w:tcW w:w="2646" w:type="dxa"/>
            <w:tcBorders>
              <w:top w:val="nil"/>
              <w:left w:val="nil"/>
              <w:bottom w:val="single" w:color="auto" w:sz="4" w:space="0"/>
              <w:right w:val="single" w:color="auto" w:sz="4" w:space="0"/>
            </w:tcBorders>
            <w:noWrap/>
            <w:vAlign w:val="center"/>
          </w:tcPr>
          <w:p w14:paraId="5F4214ED">
            <w:pPr>
              <w:pStyle w:val="109"/>
              <w:rPr>
                <w:color w:val="000000" w:themeColor="text1"/>
                <w14:textFill>
                  <w14:solidFill>
                    <w14:schemeClr w14:val="tx1"/>
                  </w14:solidFill>
                </w14:textFill>
              </w:rPr>
            </w:pPr>
            <w:r>
              <w:rPr>
                <w:color w:val="000000" w:themeColor="text1"/>
                <w14:textFill>
                  <w14:solidFill>
                    <w14:schemeClr w14:val="tx1"/>
                  </w14:solidFill>
                </w14:textFill>
              </w:rPr>
              <w:t>COD、氨氮</w:t>
            </w:r>
          </w:p>
        </w:tc>
        <w:tc>
          <w:tcPr>
            <w:tcW w:w="1524" w:type="dxa"/>
            <w:gridSpan w:val="2"/>
            <w:tcBorders>
              <w:top w:val="nil"/>
              <w:left w:val="nil"/>
              <w:bottom w:val="single" w:color="auto" w:sz="4" w:space="0"/>
              <w:right w:val="single" w:color="auto" w:sz="4" w:space="0"/>
            </w:tcBorders>
            <w:noWrap/>
            <w:vAlign w:val="center"/>
          </w:tcPr>
          <w:p w14:paraId="0529BDF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r w14:paraId="186267C9">
        <w:tblPrEx>
          <w:tblCellMar>
            <w:top w:w="0" w:type="dxa"/>
            <w:left w:w="108" w:type="dxa"/>
            <w:bottom w:w="0" w:type="dxa"/>
            <w:right w:w="108" w:type="dxa"/>
          </w:tblCellMar>
        </w:tblPrEx>
        <w:trPr>
          <w:gridAfter w:val="1"/>
          <w:wAfter w:w="11" w:type="dxa"/>
        </w:trPr>
        <w:tc>
          <w:tcPr>
            <w:tcW w:w="704" w:type="dxa"/>
            <w:tcBorders>
              <w:top w:val="nil"/>
              <w:left w:val="single" w:color="auto" w:sz="4" w:space="0"/>
              <w:bottom w:val="single" w:color="auto" w:sz="4" w:space="0"/>
              <w:right w:val="single" w:color="auto" w:sz="4" w:space="0"/>
            </w:tcBorders>
            <w:noWrap/>
            <w:vAlign w:val="center"/>
          </w:tcPr>
          <w:p w14:paraId="00CE112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土壤 </w:t>
            </w:r>
          </w:p>
        </w:tc>
        <w:tc>
          <w:tcPr>
            <w:tcW w:w="4662" w:type="dxa"/>
            <w:tcBorders>
              <w:top w:val="nil"/>
              <w:left w:val="nil"/>
              <w:bottom w:val="single" w:color="auto" w:sz="4" w:space="0"/>
              <w:right w:val="single" w:color="auto" w:sz="4" w:space="0"/>
            </w:tcBorders>
            <w:noWrap/>
            <w:vAlign w:val="center"/>
          </w:tcPr>
          <w:p w14:paraId="7C73B7A3">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二噁英、氟化物、锰</w:t>
            </w:r>
          </w:p>
        </w:tc>
        <w:tc>
          <w:tcPr>
            <w:tcW w:w="2646" w:type="dxa"/>
            <w:tcBorders>
              <w:top w:val="nil"/>
              <w:left w:val="nil"/>
              <w:bottom w:val="single" w:color="auto" w:sz="4" w:space="0"/>
              <w:right w:val="single" w:color="auto" w:sz="4" w:space="0"/>
            </w:tcBorders>
            <w:noWrap/>
            <w:vAlign w:val="center"/>
          </w:tcPr>
          <w:p w14:paraId="7E58DF3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汞、镉、铅、砷、铬、二噁英类</w:t>
            </w:r>
            <w:r>
              <w:rPr>
                <w:color w:val="000000" w:themeColor="text1"/>
                <w14:textFill>
                  <w14:solidFill>
                    <w14:schemeClr w14:val="tx1"/>
                  </w14:solidFill>
                </w14:textFill>
              </w:rPr>
              <w:t xml:space="preserve"> </w:t>
            </w:r>
          </w:p>
        </w:tc>
        <w:tc>
          <w:tcPr>
            <w:tcW w:w="1524" w:type="dxa"/>
            <w:gridSpan w:val="2"/>
            <w:tcBorders>
              <w:top w:val="nil"/>
              <w:left w:val="nil"/>
              <w:bottom w:val="single" w:color="auto" w:sz="4" w:space="0"/>
              <w:right w:val="single" w:color="auto" w:sz="4" w:space="0"/>
            </w:tcBorders>
            <w:noWrap/>
            <w:vAlign w:val="center"/>
          </w:tcPr>
          <w:p w14:paraId="32779DF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bl>
    <w:p w14:paraId="49FC1AA8">
      <w:pPr>
        <w:pStyle w:val="3"/>
        <w:rPr>
          <w:rFonts w:ascii="Times New Roman" w:cs="Times New Roman"/>
          <w:color w:val="000000" w:themeColor="text1"/>
          <w14:textFill>
            <w14:solidFill>
              <w14:schemeClr w14:val="tx1"/>
            </w14:solidFill>
          </w14:textFill>
        </w:rPr>
      </w:pPr>
      <w:bookmarkStart w:id="101" w:name="_Toc225268278"/>
      <w:bookmarkStart w:id="102" w:name="_Toc330460753"/>
      <w:bookmarkStart w:id="103" w:name="_Toc230071413"/>
      <w:bookmarkStart w:id="104" w:name="_Toc163373166"/>
      <w:bookmarkStart w:id="105" w:name="_Toc213225664"/>
      <w:bookmarkStart w:id="106" w:name="_Toc172077719"/>
      <w:bookmarkStart w:id="107" w:name="_Toc293592338"/>
      <w:bookmarkStart w:id="108" w:name="_Toc178676317"/>
      <w:bookmarkStart w:id="109" w:name="_Toc189128886"/>
      <w:bookmarkStart w:id="110" w:name="_Toc266187520"/>
      <w:bookmarkStart w:id="111" w:name="_Toc280691108"/>
      <w:bookmarkStart w:id="112" w:name="_Toc278649388"/>
      <w:bookmarkStart w:id="113" w:name="_Toc321821691"/>
      <w:bookmarkStart w:id="114" w:name="_Toc172915176"/>
      <w:bookmarkStart w:id="115" w:name="_Toc329793422"/>
      <w:r>
        <w:rPr>
          <w:rFonts w:ascii="Times New Roman" w:cs="Times New Roman"/>
          <w:color w:val="000000" w:themeColor="text1"/>
          <w14:textFill>
            <w14:solidFill>
              <w14:schemeClr w14:val="tx1"/>
            </w14:solidFill>
          </w14:textFill>
        </w:rPr>
        <w:t>评价工作等级与评价范围</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797823C">
      <w:pPr>
        <w:pStyle w:val="4"/>
        <w:rPr>
          <w:rFonts w:ascii="Times New Roman" w:cs="Times New Roman"/>
          <w:color w:val="000000" w:themeColor="text1"/>
          <w14:textFill>
            <w14:solidFill>
              <w14:schemeClr w14:val="tx1"/>
            </w14:solidFill>
          </w14:textFill>
        </w:rPr>
      </w:pPr>
      <w:bookmarkStart w:id="116" w:name="_Toc321821692"/>
      <w:bookmarkStart w:id="117" w:name="_Toc329793423"/>
      <w:bookmarkStart w:id="118" w:name="_Toc293592339"/>
      <w:bookmarkStart w:id="119" w:name="_Toc189128889"/>
      <w:bookmarkStart w:id="120" w:name="_Toc178676319"/>
      <w:bookmarkStart w:id="121" w:name="_Toc246385948"/>
      <w:bookmarkStart w:id="122" w:name="_Toc172915179"/>
      <w:bookmarkStart w:id="123" w:name="_Toc238526401"/>
      <w:bookmarkStart w:id="124" w:name="_Toc266187522"/>
      <w:bookmarkStart w:id="125" w:name="_Toc189128888"/>
      <w:bookmarkStart w:id="126" w:name="_Toc213225666"/>
      <w:bookmarkStart w:id="127" w:name="_Toc230071415"/>
      <w:bookmarkStart w:id="128" w:name="_Toc178676320"/>
      <w:bookmarkStart w:id="129" w:name="_Toc172077722"/>
      <w:bookmarkStart w:id="130" w:name="_Hlk63673385"/>
      <w:r>
        <w:rPr>
          <w:rFonts w:ascii="Times New Roman" w:cs="Times New Roman"/>
          <w:color w:val="000000" w:themeColor="text1"/>
          <w14:textFill>
            <w14:solidFill>
              <w14:schemeClr w14:val="tx1"/>
            </w14:solidFill>
          </w14:textFill>
        </w:rPr>
        <w:t>环境空气</w:t>
      </w:r>
      <w:bookmarkEnd w:id="116"/>
      <w:bookmarkEnd w:id="117"/>
      <w:bookmarkEnd w:id="118"/>
    </w:p>
    <w:bookmarkEnd w:id="119"/>
    <w:bookmarkEnd w:id="120"/>
    <w:bookmarkEnd w:id="121"/>
    <w:bookmarkEnd w:id="122"/>
    <w:bookmarkEnd w:id="123"/>
    <w:bookmarkEnd w:id="124"/>
    <w:bookmarkEnd w:id="125"/>
    <w:bookmarkEnd w:id="126"/>
    <w:bookmarkEnd w:id="127"/>
    <w:bookmarkEnd w:id="128"/>
    <w:bookmarkEnd w:id="129"/>
    <w:p w14:paraId="6C355173">
      <w:pPr>
        <w:pStyle w:val="5"/>
        <w:rPr>
          <w:rFonts w:hint="eastAsia"/>
          <w:color w:val="000000" w:themeColor="text1"/>
          <w14:textFill>
            <w14:solidFill>
              <w14:schemeClr w14:val="tx1"/>
            </w14:solidFill>
          </w14:textFill>
        </w:rPr>
      </w:pPr>
      <w:bookmarkStart w:id="131" w:name="_Toc321821697"/>
      <w:bookmarkStart w:id="132" w:name="_Toc329793424"/>
      <w:bookmarkStart w:id="133" w:name="_Toc213225669"/>
      <w:bookmarkStart w:id="134" w:name="_Toc189128891"/>
      <w:bookmarkStart w:id="135" w:name="_Toc163373167"/>
      <w:bookmarkStart w:id="136" w:name="_Toc230071418"/>
      <w:bookmarkStart w:id="137" w:name="_Toc172915182"/>
      <w:bookmarkStart w:id="138" w:name="_Toc172077725"/>
      <w:bookmarkStart w:id="139" w:name="_Toc178676323"/>
      <w:r>
        <w:rPr>
          <w:rFonts w:hint="eastAsia"/>
          <w:color w:val="000000" w:themeColor="text1"/>
          <w14:textFill>
            <w14:solidFill>
              <w14:schemeClr w14:val="tx1"/>
            </w14:solidFill>
          </w14:textFill>
        </w:rPr>
        <w:t>评价因子和评价标准</w:t>
      </w:r>
    </w:p>
    <w:p w14:paraId="54828E01">
      <w:pPr>
        <w:ind w:firstLine="480"/>
        <w:rPr>
          <w:color w:val="000000" w:themeColor="text1"/>
          <w14:textFill>
            <w14:solidFill>
              <w14:schemeClr w14:val="tx1"/>
            </w14:solidFill>
          </w14:textFill>
        </w:rPr>
      </w:pPr>
      <w:r>
        <w:rPr>
          <w:color w:val="000000" w:themeColor="text1"/>
          <w14:textFill>
            <w14:solidFill>
              <w14:schemeClr w14:val="tx1"/>
            </w14:solidFill>
          </w14:textFill>
        </w:rPr>
        <w:t>评价因子和评价标准件表5.1-4。</w:t>
      </w:r>
    </w:p>
    <w:p w14:paraId="2F8EA57D">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评价因子和评价标准表</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02"/>
        <w:gridCol w:w="1080"/>
        <w:gridCol w:w="1808"/>
        <w:gridCol w:w="1579"/>
        <w:gridCol w:w="7"/>
        <w:gridCol w:w="3363"/>
        <w:gridCol w:w="7"/>
      </w:tblGrid>
      <w:tr w14:paraId="5AD7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Merge w:val="restart"/>
            <w:vAlign w:val="center"/>
          </w:tcPr>
          <w:p w14:paraId="0E6F802F">
            <w:pPr>
              <w:pStyle w:val="109"/>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4474" w:type="dxa"/>
            <w:gridSpan w:val="4"/>
            <w:vAlign w:val="center"/>
          </w:tcPr>
          <w:p w14:paraId="66954165">
            <w:pPr>
              <w:pStyle w:val="109"/>
              <w:rPr>
                <w:color w:val="000000" w:themeColor="text1"/>
                <w14:textFill>
                  <w14:solidFill>
                    <w14:schemeClr w14:val="tx1"/>
                  </w14:solidFill>
                </w14:textFill>
              </w:rPr>
            </w:pPr>
            <w:r>
              <w:rPr>
                <w:color w:val="000000" w:themeColor="text1"/>
                <w14:textFill>
                  <w14:solidFill>
                    <w14:schemeClr w14:val="tx1"/>
                  </w14:solidFill>
                </w14:textFill>
              </w:rPr>
              <w:t>浓度限值（</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3370" w:type="dxa"/>
            <w:gridSpan w:val="2"/>
            <w:vAlign w:val="center"/>
          </w:tcPr>
          <w:p w14:paraId="06FAB3FC">
            <w:pPr>
              <w:pStyle w:val="109"/>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4E80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Merge w:val="continue"/>
            <w:vAlign w:val="center"/>
          </w:tcPr>
          <w:p w14:paraId="17808410">
            <w:pPr>
              <w:pStyle w:val="109"/>
              <w:rPr>
                <w:color w:val="000000" w:themeColor="text1"/>
                <w14:textFill>
                  <w14:solidFill>
                    <w14:schemeClr w14:val="tx1"/>
                  </w14:solidFill>
                </w14:textFill>
              </w:rPr>
            </w:pPr>
          </w:p>
        </w:tc>
        <w:tc>
          <w:tcPr>
            <w:tcW w:w="1080" w:type="dxa"/>
            <w:vAlign w:val="center"/>
          </w:tcPr>
          <w:p w14:paraId="385712D5">
            <w:pPr>
              <w:pStyle w:val="109"/>
              <w:rPr>
                <w:color w:val="000000" w:themeColor="text1"/>
                <w14:textFill>
                  <w14:solidFill>
                    <w14:schemeClr w14:val="tx1"/>
                  </w14:solidFill>
                </w14:textFill>
              </w:rPr>
            </w:pPr>
            <w:r>
              <w:rPr>
                <w:color w:val="000000" w:themeColor="text1"/>
                <w14:textFill>
                  <w14:solidFill>
                    <w14:schemeClr w14:val="tx1"/>
                  </w14:solidFill>
                </w14:textFill>
              </w:rPr>
              <w:t>小时</w:t>
            </w:r>
          </w:p>
        </w:tc>
        <w:tc>
          <w:tcPr>
            <w:tcW w:w="1808" w:type="dxa"/>
            <w:vAlign w:val="center"/>
          </w:tcPr>
          <w:p w14:paraId="7F7A57FB">
            <w:pPr>
              <w:pStyle w:val="109"/>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1579" w:type="dxa"/>
            <w:vAlign w:val="center"/>
          </w:tcPr>
          <w:p w14:paraId="138E39E3">
            <w:pPr>
              <w:pStyle w:val="109"/>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3370" w:type="dxa"/>
            <w:gridSpan w:val="2"/>
            <w:vAlign w:val="center"/>
          </w:tcPr>
          <w:p w14:paraId="524F7D20">
            <w:pPr>
              <w:pStyle w:val="109"/>
              <w:rPr>
                <w:color w:val="000000" w:themeColor="text1"/>
                <w14:textFill>
                  <w14:solidFill>
                    <w14:schemeClr w14:val="tx1"/>
                  </w14:solidFill>
                </w14:textFill>
              </w:rPr>
            </w:pPr>
          </w:p>
        </w:tc>
      </w:tr>
      <w:tr w14:paraId="03CC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21D75B7B">
            <w:pPr>
              <w:pStyle w:val="109"/>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080" w:type="dxa"/>
            <w:vAlign w:val="center"/>
          </w:tcPr>
          <w:p w14:paraId="5DDD501A">
            <w:pPr>
              <w:pStyle w:val="109"/>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808" w:type="dxa"/>
            <w:vAlign w:val="center"/>
          </w:tcPr>
          <w:p w14:paraId="0E56EE28">
            <w:pPr>
              <w:pStyle w:val="109"/>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579" w:type="dxa"/>
            <w:vAlign w:val="center"/>
          </w:tcPr>
          <w:p w14:paraId="37FB3FE9">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3370" w:type="dxa"/>
            <w:gridSpan w:val="2"/>
            <w:vMerge w:val="restart"/>
            <w:vAlign w:val="center"/>
          </w:tcPr>
          <w:p w14:paraId="3CCF9D25">
            <w:pPr>
              <w:pStyle w:val="109"/>
              <w:rPr>
                <w:color w:val="000000" w:themeColor="text1"/>
                <w14:textFill>
                  <w14:solidFill>
                    <w14:schemeClr w14:val="tx1"/>
                  </w14:solidFill>
                </w14:textFill>
              </w:rPr>
            </w:pPr>
            <w:r>
              <w:rPr>
                <w:color w:val="000000" w:themeColor="text1"/>
                <w14:textFill>
                  <w14:solidFill>
                    <w14:schemeClr w14:val="tx1"/>
                  </w14:solidFill>
                </w14:textFill>
              </w:rPr>
              <w:t>《环境空气质量标准》 （GB3095-2026）过渡阶段</w:t>
            </w:r>
          </w:p>
        </w:tc>
      </w:tr>
      <w:tr w14:paraId="0F34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53148452">
            <w:pPr>
              <w:pStyle w:val="109"/>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1080" w:type="dxa"/>
            <w:vAlign w:val="center"/>
          </w:tcPr>
          <w:p w14:paraId="5525250A">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808" w:type="dxa"/>
            <w:vAlign w:val="center"/>
          </w:tcPr>
          <w:p w14:paraId="0D0AD604">
            <w:pPr>
              <w:pStyle w:val="109"/>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579" w:type="dxa"/>
            <w:vAlign w:val="center"/>
          </w:tcPr>
          <w:p w14:paraId="73C101B6">
            <w:pPr>
              <w:pStyle w:val="109"/>
              <w:rPr>
                <w:color w:val="000000" w:themeColor="text1"/>
                <w14:textFill>
                  <w14:solidFill>
                    <w14:schemeClr w14:val="tx1"/>
                  </w14:solidFill>
                </w14:textFill>
              </w:rPr>
            </w:pPr>
            <w:r>
              <w:rPr>
                <w:color w:val="000000" w:themeColor="text1"/>
                <w14:textFill>
                  <w14:solidFill>
                    <w14:schemeClr w14:val="tx1"/>
                  </w14:solidFill>
                </w14:textFill>
              </w:rPr>
              <w:t>40</w:t>
            </w:r>
          </w:p>
        </w:tc>
        <w:tc>
          <w:tcPr>
            <w:tcW w:w="3370" w:type="dxa"/>
            <w:gridSpan w:val="2"/>
            <w:vMerge w:val="continue"/>
            <w:vAlign w:val="center"/>
          </w:tcPr>
          <w:p w14:paraId="4E6B8E0A">
            <w:pPr>
              <w:pStyle w:val="109"/>
              <w:rPr>
                <w:color w:val="000000" w:themeColor="text1"/>
                <w14:textFill>
                  <w14:solidFill>
                    <w14:schemeClr w14:val="tx1"/>
                  </w14:solidFill>
                </w14:textFill>
              </w:rPr>
            </w:pPr>
          </w:p>
        </w:tc>
      </w:tr>
      <w:tr w14:paraId="0428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7DFEB92D">
            <w:pPr>
              <w:pStyle w:val="109"/>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080" w:type="dxa"/>
            <w:vAlign w:val="center"/>
          </w:tcPr>
          <w:p w14:paraId="3012EC8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6108062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1579" w:type="dxa"/>
            <w:vAlign w:val="center"/>
          </w:tcPr>
          <w:p w14:paraId="0BDFDDB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370" w:type="dxa"/>
            <w:gridSpan w:val="2"/>
            <w:vMerge w:val="continue"/>
            <w:vAlign w:val="center"/>
          </w:tcPr>
          <w:p w14:paraId="264A1C30">
            <w:pPr>
              <w:pStyle w:val="109"/>
              <w:rPr>
                <w:color w:val="000000" w:themeColor="text1"/>
                <w14:textFill>
                  <w14:solidFill>
                    <w14:schemeClr w14:val="tx1"/>
                  </w14:solidFill>
                </w14:textFill>
              </w:rPr>
            </w:pPr>
          </w:p>
        </w:tc>
      </w:tr>
      <w:tr w14:paraId="3756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11AD40B5">
            <w:pPr>
              <w:pStyle w:val="109"/>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080" w:type="dxa"/>
            <w:vAlign w:val="center"/>
          </w:tcPr>
          <w:p w14:paraId="3E98156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6B79EC5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1579" w:type="dxa"/>
            <w:vAlign w:val="center"/>
          </w:tcPr>
          <w:p w14:paraId="3F6D340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3370" w:type="dxa"/>
            <w:gridSpan w:val="2"/>
            <w:vMerge w:val="continue"/>
            <w:vAlign w:val="center"/>
          </w:tcPr>
          <w:p w14:paraId="5B71C9C8">
            <w:pPr>
              <w:pStyle w:val="109"/>
              <w:rPr>
                <w:color w:val="000000" w:themeColor="text1"/>
                <w14:textFill>
                  <w14:solidFill>
                    <w14:schemeClr w14:val="tx1"/>
                  </w14:solidFill>
                </w14:textFill>
              </w:rPr>
            </w:pPr>
          </w:p>
        </w:tc>
      </w:tr>
      <w:tr w14:paraId="023C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1B817EB2">
            <w:pPr>
              <w:pStyle w:val="109"/>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080" w:type="dxa"/>
            <w:vAlign w:val="center"/>
          </w:tcPr>
          <w:p w14:paraId="51E63DE4">
            <w:pPr>
              <w:pStyle w:val="109"/>
              <w:rPr>
                <w:color w:val="000000" w:themeColor="text1"/>
                <w14:textFill>
                  <w14:solidFill>
                    <w14:schemeClr w14:val="tx1"/>
                  </w14:solidFill>
                </w14:textFill>
              </w:rPr>
            </w:pPr>
            <w:r>
              <w:rPr>
                <w:color w:val="000000" w:themeColor="text1"/>
                <w14:textFill>
                  <w14:solidFill>
                    <w14:schemeClr w14:val="tx1"/>
                  </w14:solidFill>
                </w14:textFill>
              </w:rPr>
              <w:t>10000</w:t>
            </w:r>
          </w:p>
        </w:tc>
        <w:tc>
          <w:tcPr>
            <w:tcW w:w="1808" w:type="dxa"/>
            <w:vAlign w:val="center"/>
          </w:tcPr>
          <w:p w14:paraId="08E13BC2">
            <w:pPr>
              <w:pStyle w:val="109"/>
              <w:rPr>
                <w:color w:val="000000" w:themeColor="text1"/>
                <w14:textFill>
                  <w14:solidFill>
                    <w14:schemeClr w14:val="tx1"/>
                  </w14:solidFill>
                </w14:textFill>
              </w:rPr>
            </w:pPr>
            <w:r>
              <w:rPr>
                <w:color w:val="000000" w:themeColor="text1"/>
                <w14:textFill>
                  <w14:solidFill>
                    <w14:schemeClr w14:val="tx1"/>
                  </w14:solidFill>
                </w14:textFill>
              </w:rPr>
              <w:t>4000</w:t>
            </w:r>
          </w:p>
        </w:tc>
        <w:tc>
          <w:tcPr>
            <w:tcW w:w="1579" w:type="dxa"/>
            <w:vAlign w:val="center"/>
          </w:tcPr>
          <w:p w14:paraId="43BE327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72A36A94">
            <w:pPr>
              <w:pStyle w:val="109"/>
              <w:rPr>
                <w:color w:val="000000" w:themeColor="text1"/>
                <w14:textFill>
                  <w14:solidFill>
                    <w14:schemeClr w14:val="tx1"/>
                  </w14:solidFill>
                </w14:textFill>
              </w:rPr>
            </w:pPr>
          </w:p>
        </w:tc>
      </w:tr>
      <w:tr w14:paraId="4AB6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6A888DAC">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1080" w:type="dxa"/>
            <w:vAlign w:val="center"/>
          </w:tcPr>
          <w:p w14:paraId="13AFF2BB">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808" w:type="dxa"/>
            <w:vAlign w:val="center"/>
          </w:tcPr>
          <w:p w14:paraId="5FFFA1FC">
            <w:pPr>
              <w:pStyle w:val="109"/>
              <w:rPr>
                <w:color w:val="000000" w:themeColor="text1"/>
                <w14:textFill>
                  <w14:solidFill>
                    <w14:schemeClr w14:val="tx1"/>
                  </w14:solidFill>
                </w14:textFill>
              </w:rPr>
            </w:pPr>
            <w:r>
              <w:rPr>
                <w:color w:val="000000" w:themeColor="text1"/>
                <w14:textFill>
                  <w14:solidFill>
                    <w14:schemeClr w14:val="tx1"/>
                  </w14:solidFill>
                </w14:textFill>
              </w:rPr>
              <w:t>160（8小时平均）</w:t>
            </w:r>
          </w:p>
        </w:tc>
        <w:tc>
          <w:tcPr>
            <w:tcW w:w="1579" w:type="dxa"/>
            <w:vAlign w:val="center"/>
          </w:tcPr>
          <w:p w14:paraId="6CF6274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3A4D8365">
            <w:pPr>
              <w:pStyle w:val="109"/>
              <w:rPr>
                <w:color w:val="000000" w:themeColor="text1"/>
                <w14:textFill>
                  <w14:solidFill>
                    <w14:schemeClr w14:val="tx1"/>
                  </w14:solidFill>
                </w14:textFill>
              </w:rPr>
            </w:pPr>
          </w:p>
        </w:tc>
      </w:tr>
      <w:tr w14:paraId="1913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567DBA26">
            <w:pPr>
              <w:pStyle w:val="109"/>
              <w:rPr>
                <w:color w:val="000000" w:themeColor="text1"/>
                <w14:textFill>
                  <w14:solidFill>
                    <w14:schemeClr w14:val="tx1"/>
                  </w14:solidFill>
                </w14:textFill>
              </w:rPr>
            </w:pPr>
            <w:r>
              <w:rPr>
                <w:color w:val="000000" w:themeColor="text1"/>
                <w14:textFill>
                  <w14:solidFill>
                    <w14:schemeClr w14:val="tx1"/>
                  </w14:solidFill>
                </w14:textFill>
              </w:rPr>
              <w:t>TSP</w:t>
            </w:r>
          </w:p>
        </w:tc>
        <w:tc>
          <w:tcPr>
            <w:tcW w:w="1080" w:type="dxa"/>
            <w:vAlign w:val="center"/>
          </w:tcPr>
          <w:p w14:paraId="305B35C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362AAAF9">
            <w:pPr>
              <w:pStyle w:val="109"/>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579" w:type="dxa"/>
            <w:vAlign w:val="center"/>
          </w:tcPr>
          <w:p w14:paraId="1DEDD538">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3370" w:type="dxa"/>
            <w:gridSpan w:val="2"/>
            <w:vMerge w:val="continue"/>
            <w:vAlign w:val="center"/>
          </w:tcPr>
          <w:p w14:paraId="4819991D">
            <w:pPr>
              <w:pStyle w:val="109"/>
              <w:rPr>
                <w:color w:val="000000" w:themeColor="text1"/>
                <w14:textFill>
                  <w14:solidFill>
                    <w14:schemeClr w14:val="tx1"/>
                  </w14:solidFill>
                </w14:textFill>
              </w:rPr>
            </w:pPr>
          </w:p>
        </w:tc>
      </w:tr>
      <w:tr w14:paraId="0AB4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2741BAA2">
            <w:pPr>
              <w:pStyle w:val="109"/>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1080" w:type="dxa"/>
            <w:vAlign w:val="center"/>
          </w:tcPr>
          <w:p w14:paraId="1FA1AF19">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808" w:type="dxa"/>
            <w:vAlign w:val="center"/>
          </w:tcPr>
          <w:p w14:paraId="18C7082F">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579" w:type="dxa"/>
            <w:vAlign w:val="center"/>
          </w:tcPr>
          <w:p w14:paraId="2691AC1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3D83F753">
            <w:pPr>
              <w:pStyle w:val="109"/>
              <w:rPr>
                <w:color w:val="000000" w:themeColor="text1"/>
                <w14:textFill>
                  <w14:solidFill>
                    <w14:schemeClr w14:val="tx1"/>
                  </w14:solidFill>
                </w14:textFill>
              </w:rPr>
            </w:pPr>
          </w:p>
        </w:tc>
      </w:tr>
      <w:tr w14:paraId="190D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3769D35C">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1080" w:type="dxa"/>
            <w:vAlign w:val="center"/>
          </w:tcPr>
          <w:p w14:paraId="71DE441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76E8089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3E9F6772">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3370" w:type="dxa"/>
            <w:gridSpan w:val="2"/>
            <w:vMerge w:val="continue"/>
            <w:vAlign w:val="center"/>
          </w:tcPr>
          <w:p w14:paraId="0450565C">
            <w:pPr>
              <w:pStyle w:val="109"/>
              <w:rPr>
                <w:color w:val="000000" w:themeColor="text1"/>
                <w14:textFill>
                  <w14:solidFill>
                    <w14:schemeClr w14:val="tx1"/>
                  </w14:solidFill>
                </w14:textFill>
              </w:rPr>
            </w:pPr>
          </w:p>
        </w:tc>
      </w:tr>
      <w:tr w14:paraId="38F8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40BEE498">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1080" w:type="dxa"/>
            <w:vAlign w:val="center"/>
          </w:tcPr>
          <w:p w14:paraId="76547C5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2232659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026FA820">
            <w:pPr>
              <w:pStyle w:val="109"/>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3370" w:type="dxa"/>
            <w:gridSpan w:val="2"/>
            <w:vMerge w:val="continue"/>
            <w:vAlign w:val="center"/>
          </w:tcPr>
          <w:p w14:paraId="1091806F">
            <w:pPr>
              <w:pStyle w:val="109"/>
              <w:rPr>
                <w:color w:val="000000" w:themeColor="text1"/>
                <w14:textFill>
                  <w14:solidFill>
                    <w14:schemeClr w14:val="tx1"/>
                  </w14:solidFill>
                </w14:textFill>
              </w:rPr>
            </w:pPr>
          </w:p>
        </w:tc>
      </w:tr>
      <w:tr w14:paraId="0FC0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40C11906">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1080" w:type="dxa"/>
            <w:vAlign w:val="center"/>
          </w:tcPr>
          <w:p w14:paraId="4AE9C55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05452D8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49F00BA7">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3370" w:type="dxa"/>
            <w:gridSpan w:val="2"/>
            <w:vMerge w:val="continue"/>
            <w:vAlign w:val="center"/>
          </w:tcPr>
          <w:p w14:paraId="18FBD253">
            <w:pPr>
              <w:pStyle w:val="109"/>
              <w:rPr>
                <w:color w:val="000000" w:themeColor="text1"/>
                <w14:textFill>
                  <w14:solidFill>
                    <w14:schemeClr w14:val="tx1"/>
                  </w14:solidFill>
                </w14:textFill>
              </w:rPr>
            </w:pPr>
          </w:p>
        </w:tc>
      </w:tr>
      <w:tr w14:paraId="18CB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632F3730">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1080" w:type="dxa"/>
            <w:vAlign w:val="center"/>
          </w:tcPr>
          <w:p w14:paraId="2565057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2F8F04E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1CBB58D3">
            <w:pPr>
              <w:pStyle w:val="109"/>
              <w:rPr>
                <w:color w:val="000000" w:themeColor="text1"/>
                <w14:textFill>
                  <w14:solidFill>
                    <w14:schemeClr w14:val="tx1"/>
                  </w14:solidFill>
                </w14:textFill>
              </w:rPr>
            </w:pPr>
            <w:r>
              <w:rPr>
                <w:color w:val="000000" w:themeColor="text1"/>
                <w14:textFill>
                  <w14:solidFill>
                    <w14:schemeClr w14:val="tx1"/>
                  </w14:solidFill>
                </w14:textFill>
              </w:rPr>
              <w:t>0.006</w:t>
            </w:r>
          </w:p>
        </w:tc>
        <w:tc>
          <w:tcPr>
            <w:tcW w:w="3370" w:type="dxa"/>
            <w:gridSpan w:val="2"/>
            <w:vMerge w:val="continue"/>
            <w:vAlign w:val="center"/>
          </w:tcPr>
          <w:p w14:paraId="5A4B60C1">
            <w:pPr>
              <w:pStyle w:val="109"/>
              <w:rPr>
                <w:color w:val="000000" w:themeColor="text1"/>
                <w14:textFill>
                  <w14:solidFill>
                    <w14:schemeClr w14:val="tx1"/>
                  </w14:solidFill>
                </w14:textFill>
              </w:rPr>
            </w:pPr>
          </w:p>
        </w:tc>
      </w:tr>
      <w:tr w14:paraId="5241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5B5C08C3">
            <w:pPr>
              <w:pStyle w:val="109"/>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1080" w:type="dxa"/>
            <w:vAlign w:val="center"/>
          </w:tcPr>
          <w:p w14:paraId="74C9137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60FD2C1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6B90BF60">
            <w:pPr>
              <w:pStyle w:val="109"/>
              <w:rPr>
                <w:color w:val="000000" w:themeColor="text1"/>
                <w14:textFill>
                  <w14:solidFill>
                    <w14:schemeClr w14:val="tx1"/>
                  </w14:solidFill>
                </w14:textFill>
              </w:rPr>
            </w:pPr>
            <w:r>
              <w:rPr>
                <w:color w:val="000000" w:themeColor="text1"/>
                <w14:textFill>
                  <w14:solidFill>
                    <w14:schemeClr w14:val="tx1"/>
                  </w14:solidFill>
                </w14:textFill>
              </w:rPr>
              <w:t>0.000025</w:t>
            </w:r>
          </w:p>
        </w:tc>
        <w:tc>
          <w:tcPr>
            <w:tcW w:w="3370" w:type="dxa"/>
            <w:gridSpan w:val="2"/>
            <w:vMerge w:val="continue"/>
            <w:vAlign w:val="center"/>
          </w:tcPr>
          <w:p w14:paraId="2B0AA3FD">
            <w:pPr>
              <w:pStyle w:val="109"/>
              <w:rPr>
                <w:color w:val="000000" w:themeColor="text1"/>
                <w14:textFill>
                  <w14:solidFill>
                    <w14:schemeClr w14:val="tx1"/>
                  </w14:solidFill>
                </w14:textFill>
              </w:rPr>
            </w:pPr>
          </w:p>
        </w:tc>
      </w:tr>
      <w:tr w14:paraId="0A19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434CA253">
            <w:pPr>
              <w:pStyle w:val="109"/>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1080" w:type="dxa"/>
            <w:vAlign w:val="center"/>
          </w:tcPr>
          <w:p w14:paraId="6DFC2DBB">
            <w:pPr>
              <w:pStyle w:val="109"/>
              <w:rPr>
                <w:color w:val="000000" w:themeColor="text1"/>
                <w14:textFill>
                  <w14:solidFill>
                    <w14:schemeClr w14:val="tx1"/>
                  </w14:solidFill>
                </w14:textFill>
              </w:rPr>
            </w:pPr>
            <w:r>
              <w:rPr>
                <w:color w:val="000000" w:themeColor="text1"/>
                <w14:textFill>
                  <w14:solidFill>
                    <w14:schemeClr w14:val="tx1"/>
                  </w14:solidFill>
                </w14:textFill>
              </w:rPr>
              <w:t>50</w:t>
            </w:r>
          </w:p>
        </w:tc>
        <w:tc>
          <w:tcPr>
            <w:tcW w:w="1808" w:type="dxa"/>
            <w:vAlign w:val="center"/>
          </w:tcPr>
          <w:p w14:paraId="7E734821">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579" w:type="dxa"/>
            <w:vAlign w:val="center"/>
          </w:tcPr>
          <w:p w14:paraId="27A31B1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restart"/>
            <w:vAlign w:val="center"/>
          </w:tcPr>
          <w:p w14:paraId="375319FF">
            <w:pPr>
              <w:pStyle w:val="109"/>
              <w:rPr>
                <w:color w:val="000000" w:themeColor="text1"/>
                <w14:textFill>
                  <w14:solidFill>
                    <w14:schemeClr w14:val="tx1"/>
                  </w14:solidFill>
                </w14:textFill>
              </w:rPr>
            </w:pPr>
            <w:r>
              <w:rPr>
                <w:color w:val="000000" w:themeColor="text1"/>
                <w14:textFill>
                  <w14:solidFill>
                    <w14:schemeClr w14:val="tx1"/>
                  </w14:solidFill>
                </w14:textFill>
              </w:rPr>
              <w:t>《环境影响评价技术导则 大气环 境》（HJ2.2-2018）附录 D</w:t>
            </w:r>
          </w:p>
        </w:tc>
      </w:tr>
      <w:tr w14:paraId="5B40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011032E3">
            <w:pPr>
              <w:pStyle w:val="109"/>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080" w:type="dxa"/>
            <w:vAlign w:val="center"/>
          </w:tcPr>
          <w:p w14:paraId="657CD055">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808" w:type="dxa"/>
            <w:vAlign w:val="center"/>
          </w:tcPr>
          <w:p w14:paraId="00512A9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44DCB74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626F19DF">
            <w:pPr>
              <w:pStyle w:val="109"/>
              <w:rPr>
                <w:color w:val="000000" w:themeColor="text1"/>
                <w14:textFill>
                  <w14:solidFill>
                    <w14:schemeClr w14:val="tx1"/>
                  </w14:solidFill>
                </w14:textFill>
              </w:rPr>
            </w:pPr>
          </w:p>
        </w:tc>
      </w:tr>
      <w:tr w14:paraId="585E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4F98884C">
            <w:pPr>
              <w:pStyle w:val="109"/>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1080" w:type="dxa"/>
            <w:vAlign w:val="center"/>
          </w:tcPr>
          <w:p w14:paraId="29B1A6F3">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808" w:type="dxa"/>
            <w:vAlign w:val="center"/>
          </w:tcPr>
          <w:p w14:paraId="1F5E7BD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06C2A0F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73A692E6">
            <w:pPr>
              <w:pStyle w:val="109"/>
              <w:rPr>
                <w:color w:val="000000" w:themeColor="text1"/>
                <w14:textFill>
                  <w14:solidFill>
                    <w14:schemeClr w14:val="tx1"/>
                  </w14:solidFill>
                </w14:textFill>
              </w:rPr>
            </w:pPr>
          </w:p>
        </w:tc>
      </w:tr>
      <w:tr w14:paraId="603D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3B79CEAC">
            <w:pPr>
              <w:pStyle w:val="109"/>
              <w:rPr>
                <w:color w:val="000000" w:themeColor="text1"/>
                <w14:textFill>
                  <w14:solidFill>
                    <w14:schemeClr w14:val="tx1"/>
                  </w14:solidFill>
                </w14:textFill>
              </w:rPr>
            </w:pPr>
            <w:r>
              <w:rPr>
                <w:color w:val="000000" w:themeColor="text1"/>
                <w14:textFill>
                  <w14:solidFill>
                    <w14:schemeClr w14:val="tx1"/>
                  </w14:solidFill>
                </w14:textFill>
              </w:rPr>
              <w:t>锰及其化合物</w:t>
            </w:r>
          </w:p>
        </w:tc>
        <w:tc>
          <w:tcPr>
            <w:tcW w:w="1080" w:type="dxa"/>
            <w:vAlign w:val="center"/>
          </w:tcPr>
          <w:p w14:paraId="4AFA836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07912932">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579" w:type="dxa"/>
            <w:vAlign w:val="center"/>
          </w:tcPr>
          <w:p w14:paraId="66E61DE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251636B5">
            <w:pPr>
              <w:pStyle w:val="109"/>
              <w:rPr>
                <w:color w:val="000000" w:themeColor="text1"/>
                <w14:textFill>
                  <w14:solidFill>
                    <w14:schemeClr w14:val="tx1"/>
                  </w14:solidFill>
                </w14:textFill>
              </w:rPr>
            </w:pPr>
          </w:p>
        </w:tc>
      </w:tr>
      <w:tr w14:paraId="3E10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33723079">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1080" w:type="dxa"/>
            <w:vAlign w:val="center"/>
          </w:tcPr>
          <w:p w14:paraId="3EBA6162">
            <w:pPr>
              <w:pStyle w:val="109"/>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1808" w:type="dxa"/>
            <w:vAlign w:val="center"/>
          </w:tcPr>
          <w:p w14:paraId="0F36B4C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40C14D3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Align w:val="center"/>
          </w:tcPr>
          <w:p w14:paraId="52BD2A66">
            <w:pPr>
              <w:pStyle w:val="109"/>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《大气污染物综合排放标准详解》</w:t>
            </w:r>
          </w:p>
        </w:tc>
      </w:tr>
      <w:tr w14:paraId="19D2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183D3CDF">
            <w:pPr>
              <w:pStyle w:val="109"/>
              <w:rPr>
                <w:color w:val="000000" w:themeColor="text1"/>
                <w14:textFill>
                  <w14:solidFill>
                    <w14:schemeClr w14:val="tx1"/>
                  </w14:solidFill>
                </w14:textFill>
              </w:rPr>
            </w:pPr>
            <w:r>
              <w:rPr>
                <w:color w:val="000000" w:themeColor="text1"/>
                <w14:textFill>
                  <w14:solidFill>
                    <w14:schemeClr w14:val="tx1"/>
                  </w14:solidFill>
                </w14:textFill>
              </w:rPr>
              <w:t>二噁英</w:t>
            </w:r>
          </w:p>
        </w:tc>
        <w:tc>
          <w:tcPr>
            <w:tcW w:w="1080" w:type="dxa"/>
            <w:vAlign w:val="center"/>
          </w:tcPr>
          <w:p w14:paraId="0054F9B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56FC14D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1FB7E9D4">
            <w:pPr>
              <w:pStyle w:val="109"/>
              <w:rPr>
                <w:color w:val="000000" w:themeColor="text1"/>
                <w14:textFill>
                  <w14:solidFill>
                    <w14:schemeClr w14:val="tx1"/>
                  </w14:solidFill>
                </w14:textFill>
              </w:rPr>
            </w:pPr>
            <w:r>
              <w:rPr>
                <w:color w:val="000000" w:themeColor="text1"/>
                <w14:textFill>
                  <w14:solidFill>
                    <w14:schemeClr w14:val="tx1"/>
                  </w14:solidFill>
                </w14:textFill>
              </w:rPr>
              <w:t>0.6pgTEQ/</w:t>
            </w:r>
            <w:r>
              <w:rPr>
                <w:rFonts w:hint="eastAsia"/>
                <w:color w:val="000000" w:themeColor="text1"/>
                <w14:textFill>
                  <w14:solidFill>
                    <w14:schemeClr w14:val="tx1"/>
                  </w14:solidFill>
                </w14:textFill>
              </w:rPr>
              <w:t>m³</w:t>
            </w:r>
          </w:p>
        </w:tc>
        <w:tc>
          <w:tcPr>
            <w:tcW w:w="3370" w:type="dxa"/>
            <w:gridSpan w:val="2"/>
            <w:vAlign w:val="center"/>
          </w:tcPr>
          <w:p w14:paraId="6D921F96">
            <w:pPr>
              <w:pStyle w:val="109"/>
              <w:rPr>
                <w:color w:val="000000" w:themeColor="text1"/>
                <w14:textFill>
                  <w14:solidFill>
                    <w14:schemeClr w14:val="tx1"/>
                  </w14:solidFill>
                </w14:textFill>
              </w:rPr>
            </w:pPr>
            <w:r>
              <w:rPr>
                <w:color w:val="000000" w:themeColor="text1"/>
                <w14:textFill>
                  <w14:solidFill>
                    <w14:schemeClr w14:val="tx1"/>
                  </w14:solidFill>
                </w14:textFill>
              </w:rPr>
              <w:t>日本环境质量标准</w:t>
            </w:r>
          </w:p>
        </w:tc>
      </w:tr>
    </w:tbl>
    <w:p w14:paraId="44094FE4">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污染源</w:t>
      </w:r>
      <w:r>
        <w:rPr>
          <w:rFonts w:hint="eastAsia"/>
          <w:color w:val="000000" w:themeColor="text1"/>
          <w14:textFill>
            <w14:solidFill>
              <w14:schemeClr w14:val="tx1"/>
            </w14:solidFill>
          </w14:textFill>
        </w:rPr>
        <w:t>参数</w:t>
      </w:r>
    </w:p>
    <w:p w14:paraId="344AC47B">
      <w:pPr>
        <w:ind w:firstLine="480"/>
        <w:rPr>
          <w:color w:val="000000" w:themeColor="text1"/>
          <w14:textFill>
            <w14:solidFill>
              <w14:schemeClr w14:val="tx1"/>
            </w14:solidFill>
          </w14:textFill>
        </w:rPr>
      </w:pPr>
      <w:r>
        <w:rPr>
          <w:color w:val="000000" w:themeColor="text1"/>
          <w14:textFill>
            <w14:solidFill>
              <w14:schemeClr w14:val="tx1"/>
            </w14:solidFill>
          </w14:textFill>
        </w:rPr>
        <w:t>评价范围内与本项目有关的污染源主要为点源和面源，排放废气污染源见下表。</w:t>
      </w:r>
    </w:p>
    <w:p w14:paraId="336076AE">
      <w:pPr>
        <w:spacing w:line="480" w:lineRule="exact"/>
        <w:ind w:firstLine="480"/>
        <w:jc w:val="center"/>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26" w:charSpace="0"/>
        </w:sectPr>
      </w:pPr>
    </w:p>
    <w:p w14:paraId="16B5BC71">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主要废气污染源参数一览表(点源) </w:t>
      </w:r>
    </w:p>
    <w:tbl>
      <w:tblPr>
        <w:tblStyle w:val="76"/>
        <w:tblW w:w="14879" w:type="dxa"/>
        <w:tblInd w:w="-289" w:type="dxa"/>
        <w:tblLayout w:type="fixed"/>
        <w:tblCellMar>
          <w:top w:w="0" w:type="dxa"/>
          <w:left w:w="108" w:type="dxa"/>
          <w:bottom w:w="0" w:type="dxa"/>
          <w:right w:w="108" w:type="dxa"/>
        </w:tblCellMar>
      </w:tblPr>
      <w:tblGrid>
        <w:gridCol w:w="580"/>
        <w:gridCol w:w="679"/>
        <w:gridCol w:w="679"/>
        <w:gridCol w:w="609"/>
        <w:gridCol w:w="425"/>
        <w:gridCol w:w="567"/>
        <w:gridCol w:w="426"/>
        <w:gridCol w:w="628"/>
        <w:gridCol w:w="19"/>
        <w:gridCol w:w="628"/>
        <w:gridCol w:w="719"/>
        <w:gridCol w:w="557"/>
        <w:gridCol w:w="709"/>
        <w:gridCol w:w="708"/>
        <w:gridCol w:w="557"/>
        <w:gridCol w:w="495"/>
        <w:gridCol w:w="674"/>
        <w:gridCol w:w="674"/>
        <w:gridCol w:w="674"/>
        <w:gridCol w:w="618"/>
        <w:gridCol w:w="618"/>
        <w:gridCol w:w="674"/>
        <w:gridCol w:w="1051"/>
        <w:gridCol w:w="911"/>
      </w:tblGrid>
      <w:tr w14:paraId="31810E66">
        <w:tblPrEx>
          <w:tblCellMar>
            <w:top w:w="0" w:type="dxa"/>
            <w:left w:w="108" w:type="dxa"/>
            <w:bottom w:w="0" w:type="dxa"/>
            <w:right w:w="108" w:type="dxa"/>
          </w:tblCellMar>
        </w:tblPrEx>
        <w:trPr>
          <w:trHeight w:val="576" w:hRule="atLeast"/>
        </w:trPr>
        <w:tc>
          <w:tcPr>
            <w:tcW w:w="580" w:type="dxa"/>
            <w:vMerge w:val="restart"/>
            <w:tcBorders>
              <w:top w:val="single" w:color="auto" w:sz="4" w:space="0"/>
              <w:left w:val="single" w:color="auto" w:sz="4" w:space="0"/>
              <w:bottom w:val="single" w:color="auto" w:sz="4" w:space="0"/>
              <w:right w:val="single" w:color="auto" w:sz="4" w:space="0"/>
            </w:tcBorders>
            <w:vAlign w:val="center"/>
          </w:tcPr>
          <w:p w14:paraId="550AFC9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污染源名称</w:t>
            </w:r>
          </w:p>
        </w:tc>
        <w:tc>
          <w:tcPr>
            <w:tcW w:w="1358" w:type="dxa"/>
            <w:gridSpan w:val="2"/>
            <w:tcBorders>
              <w:top w:val="single" w:color="auto" w:sz="4" w:space="0"/>
              <w:left w:val="nil"/>
              <w:bottom w:val="single" w:color="auto" w:sz="4" w:space="0"/>
              <w:right w:val="single" w:color="auto" w:sz="4" w:space="0"/>
            </w:tcBorders>
            <w:vAlign w:val="center"/>
          </w:tcPr>
          <w:p w14:paraId="2189EA6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排气筒底部中心坐标(°)</w:t>
            </w:r>
          </w:p>
        </w:tc>
        <w:tc>
          <w:tcPr>
            <w:tcW w:w="609" w:type="dxa"/>
            <w:vMerge w:val="restart"/>
            <w:tcBorders>
              <w:top w:val="single" w:color="auto" w:sz="4" w:space="0"/>
              <w:left w:val="single" w:color="auto" w:sz="4" w:space="0"/>
              <w:bottom w:val="single" w:color="auto" w:sz="4" w:space="0"/>
              <w:right w:val="single" w:color="auto" w:sz="4" w:space="0"/>
            </w:tcBorders>
            <w:vAlign w:val="center"/>
          </w:tcPr>
          <w:p w14:paraId="42F2435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排气筒底部海拔高度(m)</w:t>
            </w:r>
          </w:p>
        </w:tc>
        <w:tc>
          <w:tcPr>
            <w:tcW w:w="2065" w:type="dxa"/>
            <w:gridSpan w:val="5"/>
            <w:tcBorders>
              <w:top w:val="single" w:color="auto" w:sz="4" w:space="0"/>
              <w:left w:val="nil"/>
              <w:bottom w:val="single" w:color="auto" w:sz="4" w:space="0"/>
              <w:right w:val="single" w:color="auto" w:sz="4" w:space="0"/>
            </w:tcBorders>
            <w:vAlign w:val="center"/>
          </w:tcPr>
          <w:p w14:paraId="630D425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排气筒参数</w:t>
            </w:r>
          </w:p>
        </w:tc>
        <w:tc>
          <w:tcPr>
            <w:tcW w:w="10267" w:type="dxa"/>
            <w:gridSpan w:val="15"/>
            <w:tcBorders>
              <w:top w:val="single" w:color="auto" w:sz="4" w:space="0"/>
              <w:left w:val="nil"/>
              <w:bottom w:val="single" w:color="auto" w:sz="4" w:space="0"/>
              <w:right w:val="single" w:color="auto" w:sz="4" w:space="0"/>
            </w:tcBorders>
            <w:noWrap/>
            <w:vAlign w:val="center"/>
          </w:tcPr>
          <w:p w14:paraId="0EB7854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污染物排放速率(kg/h)</w:t>
            </w:r>
          </w:p>
        </w:tc>
      </w:tr>
      <w:tr w14:paraId="29C56D8D">
        <w:tblPrEx>
          <w:tblCellMar>
            <w:top w:w="0" w:type="dxa"/>
            <w:left w:w="108" w:type="dxa"/>
            <w:bottom w:w="0" w:type="dxa"/>
            <w:right w:w="108" w:type="dxa"/>
          </w:tblCellMar>
        </w:tblPrEx>
        <w:trPr>
          <w:trHeight w:val="1440" w:hRule="atLeast"/>
        </w:trPr>
        <w:tc>
          <w:tcPr>
            <w:tcW w:w="580" w:type="dxa"/>
            <w:vMerge w:val="continue"/>
            <w:tcBorders>
              <w:top w:val="single" w:color="auto" w:sz="4" w:space="0"/>
              <w:left w:val="single" w:color="auto" w:sz="4" w:space="0"/>
              <w:bottom w:val="single" w:color="auto" w:sz="4" w:space="0"/>
              <w:right w:val="single" w:color="auto" w:sz="4" w:space="0"/>
            </w:tcBorders>
            <w:vAlign w:val="center"/>
          </w:tcPr>
          <w:p w14:paraId="3F122078">
            <w:pPr>
              <w:widowControl/>
              <w:autoSpaceDE/>
              <w:autoSpaceDN/>
              <w:spacing w:line="320" w:lineRule="exact"/>
              <w:ind w:firstLine="0" w:firstLineChars="0"/>
              <w:jc w:val="center"/>
              <w:rPr>
                <w:color w:val="000000" w:themeColor="text1"/>
                <w:sz w:val="18"/>
                <w:szCs w:val="18"/>
                <w14:textFill>
                  <w14:solidFill>
                    <w14:schemeClr w14:val="tx1"/>
                  </w14:solidFill>
                </w14:textFill>
              </w:rPr>
            </w:pPr>
          </w:p>
        </w:tc>
        <w:tc>
          <w:tcPr>
            <w:tcW w:w="679" w:type="dxa"/>
            <w:tcBorders>
              <w:top w:val="nil"/>
              <w:left w:val="nil"/>
              <w:bottom w:val="single" w:color="auto" w:sz="4" w:space="0"/>
              <w:right w:val="single" w:color="auto" w:sz="4" w:space="0"/>
            </w:tcBorders>
            <w:vAlign w:val="center"/>
          </w:tcPr>
          <w:p w14:paraId="3574650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经度</w:t>
            </w:r>
          </w:p>
        </w:tc>
        <w:tc>
          <w:tcPr>
            <w:tcW w:w="679" w:type="dxa"/>
            <w:tcBorders>
              <w:top w:val="nil"/>
              <w:left w:val="nil"/>
              <w:bottom w:val="single" w:color="auto" w:sz="4" w:space="0"/>
              <w:right w:val="single" w:color="auto" w:sz="4" w:space="0"/>
            </w:tcBorders>
            <w:vAlign w:val="center"/>
          </w:tcPr>
          <w:p w14:paraId="4D54715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纬度</w:t>
            </w:r>
          </w:p>
        </w:tc>
        <w:tc>
          <w:tcPr>
            <w:tcW w:w="609" w:type="dxa"/>
            <w:vMerge w:val="continue"/>
            <w:tcBorders>
              <w:top w:val="single" w:color="auto" w:sz="4" w:space="0"/>
              <w:left w:val="single" w:color="auto" w:sz="4" w:space="0"/>
              <w:bottom w:val="single" w:color="auto" w:sz="4" w:space="0"/>
              <w:right w:val="single" w:color="auto" w:sz="4" w:space="0"/>
            </w:tcBorders>
            <w:vAlign w:val="center"/>
          </w:tcPr>
          <w:p w14:paraId="3B8C1DF9">
            <w:pPr>
              <w:widowControl/>
              <w:autoSpaceDE/>
              <w:autoSpaceDN/>
              <w:spacing w:line="320" w:lineRule="exact"/>
              <w:ind w:firstLine="0" w:firstLineChars="0"/>
              <w:jc w:val="center"/>
              <w:rPr>
                <w:color w:val="000000" w:themeColor="text1"/>
                <w:sz w:val="18"/>
                <w:szCs w:val="18"/>
                <w14:textFill>
                  <w14:solidFill>
                    <w14:schemeClr w14:val="tx1"/>
                  </w14:solidFill>
                </w14:textFill>
              </w:rPr>
            </w:pPr>
          </w:p>
        </w:tc>
        <w:tc>
          <w:tcPr>
            <w:tcW w:w="425" w:type="dxa"/>
            <w:tcBorders>
              <w:top w:val="nil"/>
              <w:left w:val="nil"/>
              <w:bottom w:val="single" w:color="auto" w:sz="4" w:space="0"/>
              <w:right w:val="single" w:color="auto" w:sz="4" w:space="0"/>
            </w:tcBorders>
            <w:vAlign w:val="center"/>
          </w:tcPr>
          <w:p w14:paraId="0966A25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高度m</w:t>
            </w:r>
          </w:p>
        </w:tc>
        <w:tc>
          <w:tcPr>
            <w:tcW w:w="567" w:type="dxa"/>
            <w:tcBorders>
              <w:top w:val="nil"/>
              <w:left w:val="nil"/>
              <w:bottom w:val="single" w:color="auto" w:sz="4" w:space="0"/>
              <w:right w:val="single" w:color="auto" w:sz="4" w:space="0"/>
            </w:tcBorders>
            <w:vAlign w:val="center"/>
          </w:tcPr>
          <w:p w14:paraId="416F998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内径m</w:t>
            </w:r>
          </w:p>
        </w:tc>
        <w:tc>
          <w:tcPr>
            <w:tcW w:w="426" w:type="dxa"/>
            <w:tcBorders>
              <w:top w:val="nil"/>
              <w:left w:val="nil"/>
              <w:bottom w:val="single" w:color="auto" w:sz="4" w:space="0"/>
              <w:right w:val="single" w:color="auto" w:sz="4" w:space="0"/>
            </w:tcBorders>
            <w:vAlign w:val="center"/>
          </w:tcPr>
          <w:p w14:paraId="7160F44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温度℃</w:t>
            </w:r>
          </w:p>
        </w:tc>
        <w:tc>
          <w:tcPr>
            <w:tcW w:w="628" w:type="dxa"/>
            <w:tcBorders>
              <w:top w:val="nil"/>
              <w:left w:val="nil"/>
              <w:bottom w:val="single" w:color="auto" w:sz="4" w:space="0"/>
              <w:right w:val="single" w:color="auto" w:sz="4" w:space="0"/>
            </w:tcBorders>
            <w:vAlign w:val="center"/>
          </w:tcPr>
          <w:p w14:paraId="2F874E4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流速m/s</w:t>
            </w:r>
          </w:p>
        </w:tc>
        <w:tc>
          <w:tcPr>
            <w:tcW w:w="647" w:type="dxa"/>
            <w:gridSpan w:val="2"/>
            <w:tcBorders>
              <w:top w:val="nil"/>
              <w:left w:val="nil"/>
              <w:bottom w:val="single" w:color="auto" w:sz="4" w:space="0"/>
              <w:right w:val="single" w:color="auto" w:sz="4" w:space="0"/>
            </w:tcBorders>
            <w:noWrap/>
            <w:vAlign w:val="center"/>
          </w:tcPr>
          <w:p w14:paraId="74D2228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VOCs</w:t>
            </w:r>
          </w:p>
        </w:tc>
        <w:tc>
          <w:tcPr>
            <w:tcW w:w="719" w:type="dxa"/>
            <w:tcBorders>
              <w:top w:val="nil"/>
              <w:left w:val="nil"/>
              <w:bottom w:val="single" w:color="auto" w:sz="4" w:space="0"/>
              <w:right w:val="single" w:color="auto" w:sz="4" w:space="0"/>
            </w:tcBorders>
            <w:vAlign w:val="center"/>
          </w:tcPr>
          <w:p w14:paraId="3C82714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颗粒物</w:t>
            </w:r>
          </w:p>
        </w:tc>
        <w:tc>
          <w:tcPr>
            <w:tcW w:w="557" w:type="dxa"/>
            <w:tcBorders>
              <w:top w:val="nil"/>
              <w:left w:val="nil"/>
              <w:bottom w:val="single" w:color="auto" w:sz="4" w:space="0"/>
              <w:right w:val="single" w:color="auto" w:sz="4" w:space="0"/>
            </w:tcBorders>
            <w:vAlign w:val="center"/>
          </w:tcPr>
          <w:p w14:paraId="733F7BB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w:t>
            </w:r>
          </w:p>
        </w:tc>
        <w:tc>
          <w:tcPr>
            <w:tcW w:w="709" w:type="dxa"/>
            <w:tcBorders>
              <w:top w:val="nil"/>
              <w:left w:val="nil"/>
              <w:bottom w:val="single" w:color="auto" w:sz="4" w:space="0"/>
              <w:right w:val="single" w:color="auto" w:sz="4" w:space="0"/>
            </w:tcBorders>
            <w:vAlign w:val="center"/>
          </w:tcPr>
          <w:p w14:paraId="65790E2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NOx</w:t>
            </w:r>
          </w:p>
        </w:tc>
        <w:tc>
          <w:tcPr>
            <w:tcW w:w="708" w:type="dxa"/>
            <w:tcBorders>
              <w:top w:val="nil"/>
              <w:left w:val="nil"/>
              <w:bottom w:val="single" w:color="auto" w:sz="4" w:space="0"/>
              <w:right w:val="single" w:color="auto" w:sz="4" w:space="0"/>
            </w:tcBorders>
            <w:vAlign w:val="center"/>
          </w:tcPr>
          <w:p w14:paraId="70214B9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SO</w:t>
            </w:r>
            <w:r>
              <w:rPr>
                <w:color w:val="000000" w:themeColor="text1"/>
                <w:sz w:val="18"/>
                <w:szCs w:val="18"/>
                <w:vertAlign w:val="subscript"/>
                <w14:textFill>
                  <w14:solidFill>
                    <w14:schemeClr w14:val="tx1"/>
                  </w14:solidFill>
                </w14:textFill>
              </w:rPr>
              <w:t>2</w:t>
            </w:r>
          </w:p>
        </w:tc>
        <w:tc>
          <w:tcPr>
            <w:tcW w:w="557" w:type="dxa"/>
            <w:tcBorders>
              <w:top w:val="nil"/>
              <w:left w:val="nil"/>
              <w:bottom w:val="single" w:color="auto" w:sz="4" w:space="0"/>
              <w:right w:val="single" w:color="auto" w:sz="4" w:space="0"/>
            </w:tcBorders>
            <w:vAlign w:val="center"/>
          </w:tcPr>
          <w:p w14:paraId="485D634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HF</w:t>
            </w:r>
          </w:p>
        </w:tc>
        <w:tc>
          <w:tcPr>
            <w:tcW w:w="495" w:type="dxa"/>
            <w:tcBorders>
              <w:top w:val="nil"/>
              <w:left w:val="nil"/>
              <w:bottom w:val="single" w:color="auto" w:sz="4" w:space="0"/>
              <w:right w:val="single" w:color="auto" w:sz="4" w:space="0"/>
            </w:tcBorders>
            <w:vAlign w:val="center"/>
          </w:tcPr>
          <w:p w14:paraId="41B7689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HCl</w:t>
            </w:r>
          </w:p>
        </w:tc>
        <w:tc>
          <w:tcPr>
            <w:tcW w:w="674" w:type="dxa"/>
            <w:tcBorders>
              <w:top w:val="nil"/>
              <w:left w:val="nil"/>
              <w:bottom w:val="single" w:color="auto" w:sz="4" w:space="0"/>
              <w:right w:val="single" w:color="auto" w:sz="4" w:space="0"/>
            </w:tcBorders>
            <w:vAlign w:val="center"/>
          </w:tcPr>
          <w:p w14:paraId="3434977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汞及其化合物</w:t>
            </w:r>
          </w:p>
        </w:tc>
        <w:tc>
          <w:tcPr>
            <w:tcW w:w="674" w:type="dxa"/>
            <w:tcBorders>
              <w:top w:val="nil"/>
              <w:left w:val="nil"/>
              <w:bottom w:val="single" w:color="auto" w:sz="4" w:space="0"/>
              <w:right w:val="single" w:color="auto" w:sz="4" w:space="0"/>
            </w:tcBorders>
            <w:vAlign w:val="center"/>
          </w:tcPr>
          <w:p w14:paraId="60A2861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铊及其化合物</w:t>
            </w:r>
          </w:p>
        </w:tc>
        <w:tc>
          <w:tcPr>
            <w:tcW w:w="674" w:type="dxa"/>
            <w:tcBorders>
              <w:top w:val="nil"/>
              <w:left w:val="nil"/>
              <w:bottom w:val="single" w:color="auto" w:sz="4" w:space="0"/>
              <w:right w:val="single" w:color="auto" w:sz="4" w:space="0"/>
            </w:tcBorders>
            <w:vAlign w:val="center"/>
          </w:tcPr>
          <w:p w14:paraId="55FE26F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镉及其化合物</w:t>
            </w:r>
          </w:p>
        </w:tc>
        <w:tc>
          <w:tcPr>
            <w:tcW w:w="618" w:type="dxa"/>
            <w:tcBorders>
              <w:top w:val="nil"/>
              <w:left w:val="nil"/>
              <w:bottom w:val="single" w:color="auto" w:sz="4" w:space="0"/>
              <w:right w:val="single" w:color="auto" w:sz="4" w:space="0"/>
            </w:tcBorders>
            <w:vAlign w:val="center"/>
          </w:tcPr>
          <w:p w14:paraId="1229EE6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铅及其化合物</w:t>
            </w:r>
          </w:p>
        </w:tc>
        <w:tc>
          <w:tcPr>
            <w:tcW w:w="618" w:type="dxa"/>
            <w:tcBorders>
              <w:top w:val="nil"/>
              <w:left w:val="nil"/>
              <w:bottom w:val="single" w:color="auto" w:sz="4" w:space="0"/>
              <w:right w:val="single" w:color="auto" w:sz="4" w:space="0"/>
            </w:tcBorders>
            <w:vAlign w:val="center"/>
          </w:tcPr>
          <w:p w14:paraId="6DABDE5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砷及其化合物</w:t>
            </w:r>
          </w:p>
        </w:tc>
        <w:tc>
          <w:tcPr>
            <w:tcW w:w="674" w:type="dxa"/>
            <w:tcBorders>
              <w:top w:val="nil"/>
              <w:left w:val="nil"/>
              <w:bottom w:val="single" w:color="auto" w:sz="4" w:space="0"/>
              <w:right w:val="single" w:color="auto" w:sz="4" w:space="0"/>
            </w:tcBorders>
            <w:vAlign w:val="center"/>
          </w:tcPr>
          <w:p w14:paraId="757E02F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铬及其化合物</w:t>
            </w:r>
          </w:p>
        </w:tc>
        <w:tc>
          <w:tcPr>
            <w:tcW w:w="1051" w:type="dxa"/>
            <w:tcBorders>
              <w:top w:val="nil"/>
              <w:left w:val="nil"/>
              <w:bottom w:val="single" w:color="auto" w:sz="4" w:space="0"/>
              <w:right w:val="single" w:color="auto" w:sz="4" w:space="0"/>
            </w:tcBorders>
            <w:vAlign w:val="center"/>
          </w:tcPr>
          <w:p w14:paraId="7E451A6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锡、锑、铜、锰、 镍、钴及其化合 物</w:t>
            </w:r>
          </w:p>
        </w:tc>
        <w:tc>
          <w:tcPr>
            <w:tcW w:w="911" w:type="dxa"/>
            <w:tcBorders>
              <w:top w:val="nil"/>
              <w:left w:val="nil"/>
              <w:bottom w:val="single" w:color="auto" w:sz="4" w:space="0"/>
              <w:right w:val="single" w:color="auto" w:sz="4" w:space="0"/>
            </w:tcBorders>
            <w:vAlign w:val="center"/>
          </w:tcPr>
          <w:p w14:paraId="3C126BFC">
            <w:pPr>
              <w:widowControl/>
              <w:autoSpaceDE/>
              <w:autoSpaceDN/>
              <w:spacing w:line="320" w:lineRule="exact"/>
              <w:ind w:left="-43" w:leftChars="-18"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二噁英类ngTEQ/Nm³</w:t>
            </w:r>
          </w:p>
        </w:tc>
      </w:tr>
      <w:tr w14:paraId="1D69C563">
        <w:tblPrEx>
          <w:tblCellMar>
            <w:top w:w="0" w:type="dxa"/>
            <w:left w:w="108" w:type="dxa"/>
            <w:bottom w:w="0" w:type="dxa"/>
            <w:right w:w="108" w:type="dxa"/>
          </w:tblCellMar>
        </w:tblPrEx>
        <w:trPr>
          <w:trHeight w:val="276" w:hRule="atLeast"/>
        </w:trPr>
        <w:tc>
          <w:tcPr>
            <w:tcW w:w="580" w:type="dxa"/>
            <w:tcBorders>
              <w:top w:val="nil"/>
              <w:left w:val="single" w:color="auto" w:sz="4" w:space="0"/>
              <w:bottom w:val="single" w:color="auto" w:sz="4" w:space="0"/>
              <w:right w:val="single" w:color="auto" w:sz="4" w:space="0"/>
            </w:tcBorders>
            <w:vAlign w:val="center"/>
          </w:tcPr>
          <w:p w14:paraId="16088D3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DA001</w:t>
            </w:r>
          </w:p>
        </w:tc>
        <w:tc>
          <w:tcPr>
            <w:tcW w:w="679" w:type="dxa"/>
            <w:tcBorders>
              <w:top w:val="nil"/>
              <w:left w:val="nil"/>
              <w:bottom w:val="single" w:color="auto" w:sz="4" w:space="0"/>
              <w:right w:val="single" w:color="auto" w:sz="4" w:space="0"/>
            </w:tcBorders>
            <w:vAlign w:val="center"/>
          </w:tcPr>
          <w:p w14:paraId="611F674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87.69329</w:t>
            </w:r>
          </w:p>
        </w:tc>
        <w:tc>
          <w:tcPr>
            <w:tcW w:w="679" w:type="dxa"/>
            <w:tcBorders>
              <w:top w:val="nil"/>
              <w:left w:val="nil"/>
              <w:bottom w:val="single" w:color="auto" w:sz="4" w:space="0"/>
              <w:right w:val="single" w:color="auto" w:sz="4" w:space="0"/>
            </w:tcBorders>
            <w:vAlign w:val="center"/>
          </w:tcPr>
          <w:p w14:paraId="0CC8F96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44.13979</w:t>
            </w:r>
          </w:p>
        </w:tc>
        <w:tc>
          <w:tcPr>
            <w:tcW w:w="609" w:type="dxa"/>
            <w:tcBorders>
              <w:top w:val="nil"/>
              <w:left w:val="nil"/>
              <w:bottom w:val="single" w:color="auto" w:sz="4" w:space="0"/>
              <w:right w:val="single" w:color="auto" w:sz="4" w:space="0"/>
            </w:tcBorders>
            <w:vAlign w:val="center"/>
          </w:tcPr>
          <w:p w14:paraId="15141D7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483</w:t>
            </w:r>
          </w:p>
        </w:tc>
        <w:tc>
          <w:tcPr>
            <w:tcW w:w="425" w:type="dxa"/>
            <w:tcBorders>
              <w:top w:val="nil"/>
              <w:left w:val="nil"/>
              <w:bottom w:val="single" w:color="auto" w:sz="4" w:space="0"/>
              <w:right w:val="single" w:color="auto" w:sz="4" w:space="0"/>
            </w:tcBorders>
            <w:vAlign w:val="center"/>
          </w:tcPr>
          <w:p w14:paraId="3FBB112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567" w:type="dxa"/>
            <w:tcBorders>
              <w:top w:val="nil"/>
              <w:left w:val="nil"/>
              <w:bottom w:val="single" w:color="auto" w:sz="4" w:space="0"/>
              <w:right w:val="single" w:color="auto" w:sz="4" w:space="0"/>
            </w:tcBorders>
            <w:vAlign w:val="center"/>
          </w:tcPr>
          <w:p w14:paraId="068EFF5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426" w:type="dxa"/>
            <w:tcBorders>
              <w:top w:val="nil"/>
              <w:left w:val="nil"/>
              <w:bottom w:val="single" w:color="auto" w:sz="4" w:space="0"/>
              <w:right w:val="single" w:color="auto" w:sz="4" w:space="0"/>
            </w:tcBorders>
            <w:vAlign w:val="center"/>
          </w:tcPr>
          <w:p w14:paraId="36E62FC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628" w:type="dxa"/>
            <w:tcBorders>
              <w:top w:val="nil"/>
              <w:left w:val="nil"/>
              <w:bottom w:val="single" w:color="auto" w:sz="4" w:space="0"/>
              <w:right w:val="single" w:color="auto" w:sz="4" w:space="0"/>
            </w:tcBorders>
            <w:vAlign w:val="center"/>
          </w:tcPr>
          <w:p w14:paraId="37C2CAB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9.66</w:t>
            </w:r>
          </w:p>
        </w:tc>
        <w:tc>
          <w:tcPr>
            <w:tcW w:w="647" w:type="dxa"/>
            <w:gridSpan w:val="2"/>
            <w:tcBorders>
              <w:top w:val="nil"/>
              <w:left w:val="nil"/>
              <w:bottom w:val="single" w:color="auto" w:sz="4" w:space="0"/>
              <w:right w:val="single" w:color="auto" w:sz="4" w:space="0"/>
            </w:tcBorders>
            <w:vAlign w:val="center"/>
          </w:tcPr>
          <w:p w14:paraId="46E7B2E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0.031</w:t>
            </w:r>
          </w:p>
        </w:tc>
        <w:tc>
          <w:tcPr>
            <w:tcW w:w="719" w:type="dxa"/>
            <w:tcBorders>
              <w:top w:val="nil"/>
              <w:left w:val="nil"/>
              <w:bottom w:val="single" w:color="auto" w:sz="4" w:space="0"/>
              <w:right w:val="single" w:color="auto" w:sz="4" w:space="0"/>
            </w:tcBorders>
            <w:noWrap/>
            <w:vAlign w:val="center"/>
          </w:tcPr>
          <w:p w14:paraId="41C6713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557" w:type="dxa"/>
            <w:tcBorders>
              <w:top w:val="nil"/>
              <w:left w:val="nil"/>
              <w:bottom w:val="single" w:color="auto" w:sz="4" w:space="0"/>
              <w:right w:val="single" w:color="auto" w:sz="4" w:space="0"/>
            </w:tcBorders>
            <w:noWrap/>
            <w:vAlign w:val="center"/>
          </w:tcPr>
          <w:p w14:paraId="74F291D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09" w:type="dxa"/>
            <w:tcBorders>
              <w:top w:val="nil"/>
              <w:left w:val="nil"/>
              <w:bottom w:val="single" w:color="auto" w:sz="4" w:space="0"/>
              <w:right w:val="single" w:color="auto" w:sz="4" w:space="0"/>
            </w:tcBorders>
            <w:noWrap/>
            <w:vAlign w:val="center"/>
          </w:tcPr>
          <w:p w14:paraId="18D1C1C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08" w:type="dxa"/>
            <w:tcBorders>
              <w:top w:val="nil"/>
              <w:left w:val="nil"/>
              <w:bottom w:val="single" w:color="auto" w:sz="4" w:space="0"/>
              <w:right w:val="single" w:color="auto" w:sz="4" w:space="0"/>
            </w:tcBorders>
            <w:noWrap/>
            <w:vAlign w:val="center"/>
          </w:tcPr>
          <w:p w14:paraId="420456B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557" w:type="dxa"/>
            <w:tcBorders>
              <w:top w:val="nil"/>
              <w:left w:val="nil"/>
              <w:bottom w:val="single" w:color="auto" w:sz="4" w:space="0"/>
              <w:right w:val="single" w:color="auto" w:sz="4" w:space="0"/>
            </w:tcBorders>
            <w:noWrap/>
            <w:vAlign w:val="center"/>
          </w:tcPr>
          <w:p w14:paraId="3B80BA9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95" w:type="dxa"/>
            <w:tcBorders>
              <w:top w:val="nil"/>
              <w:left w:val="nil"/>
              <w:bottom w:val="single" w:color="auto" w:sz="4" w:space="0"/>
              <w:right w:val="single" w:color="auto" w:sz="4" w:space="0"/>
            </w:tcBorders>
            <w:noWrap/>
            <w:vAlign w:val="center"/>
          </w:tcPr>
          <w:p w14:paraId="548357E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4DD0D87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600E38D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1CA816A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8" w:type="dxa"/>
            <w:tcBorders>
              <w:top w:val="nil"/>
              <w:left w:val="nil"/>
              <w:bottom w:val="single" w:color="auto" w:sz="4" w:space="0"/>
              <w:right w:val="single" w:color="auto" w:sz="4" w:space="0"/>
            </w:tcBorders>
            <w:noWrap/>
            <w:vAlign w:val="center"/>
          </w:tcPr>
          <w:p w14:paraId="7779F07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8" w:type="dxa"/>
            <w:tcBorders>
              <w:top w:val="nil"/>
              <w:left w:val="nil"/>
              <w:bottom w:val="single" w:color="auto" w:sz="4" w:space="0"/>
              <w:right w:val="single" w:color="auto" w:sz="4" w:space="0"/>
            </w:tcBorders>
            <w:noWrap/>
            <w:vAlign w:val="center"/>
          </w:tcPr>
          <w:p w14:paraId="1C0BD3D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0CCB80D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1051" w:type="dxa"/>
            <w:tcBorders>
              <w:top w:val="nil"/>
              <w:left w:val="nil"/>
              <w:bottom w:val="single" w:color="auto" w:sz="4" w:space="0"/>
              <w:right w:val="single" w:color="auto" w:sz="4" w:space="0"/>
            </w:tcBorders>
            <w:noWrap/>
            <w:vAlign w:val="center"/>
          </w:tcPr>
          <w:p w14:paraId="761B148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911" w:type="dxa"/>
            <w:tcBorders>
              <w:top w:val="nil"/>
              <w:left w:val="nil"/>
              <w:bottom w:val="single" w:color="auto" w:sz="4" w:space="0"/>
              <w:right w:val="single" w:color="auto" w:sz="4" w:space="0"/>
            </w:tcBorders>
            <w:noWrap/>
            <w:vAlign w:val="center"/>
          </w:tcPr>
          <w:p w14:paraId="07F0012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14:paraId="3A102A0B">
        <w:tblPrEx>
          <w:tblCellMar>
            <w:top w:w="0" w:type="dxa"/>
            <w:left w:w="108" w:type="dxa"/>
            <w:bottom w:w="0" w:type="dxa"/>
            <w:right w:w="108" w:type="dxa"/>
          </w:tblCellMar>
        </w:tblPrEx>
        <w:trPr>
          <w:trHeight w:val="276" w:hRule="atLeast"/>
        </w:trPr>
        <w:tc>
          <w:tcPr>
            <w:tcW w:w="580" w:type="dxa"/>
            <w:tcBorders>
              <w:top w:val="nil"/>
              <w:left w:val="single" w:color="auto" w:sz="4" w:space="0"/>
              <w:bottom w:val="single" w:color="auto" w:sz="4" w:space="0"/>
              <w:right w:val="single" w:color="auto" w:sz="4" w:space="0"/>
            </w:tcBorders>
            <w:vAlign w:val="center"/>
          </w:tcPr>
          <w:p w14:paraId="7DC6169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DA002</w:t>
            </w:r>
          </w:p>
        </w:tc>
        <w:tc>
          <w:tcPr>
            <w:tcW w:w="679" w:type="dxa"/>
            <w:tcBorders>
              <w:top w:val="nil"/>
              <w:left w:val="nil"/>
              <w:bottom w:val="single" w:color="auto" w:sz="4" w:space="0"/>
              <w:right w:val="single" w:color="auto" w:sz="4" w:space="0"/>
            </w:tcBorders>
            <w:vAlign w:val="center"/>
          </w:tcPr>
          <w:p w14:paraId="335E995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87.69457</w:t>
            </w:r>
          </w:p>
        </w:tc>
        <w:tc>
          <w:tcPr>
            <w:tcW w:w="679" w:type="dxa"/>
            <w:tcBorders>
              <w:top w:val="nil"/>
              <w:left w:val="nil"/>
              <w:bottom w:val="single" w:color="auto" w:sz="4" w:space="0"/>
              <w:right w:val="single" w:color="auto" w:sz="4" w:space="0"/>
            </w:tcBorders>
            <w:vAlign w:val="center"/>
          </w:tcPr>
          <w:p w14:paraId="4F2CA43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44.14022</w:t>
            </w:r>
          </w:p>
        </w:tc>
        <w:tc>
          <w:tcPr>
            <w:tcW w:w="609" w:type="dxa"/>
            <w:tcBorders>
              <w:top w:val="nil"/>
              <w:left w:val="nil"/>
              <w:bottom w:val="single" w:color="auto" w:sz="4" w:space="0"/>
              <w:right w:val="single" w:color="auto" w:sz="4" w:space="0"/>
            </w:tcBorders>
            <w:vAlign w:val="center"/>
          </w:tcPr>
          <w:p w14:paraId="7EA5ED5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483</w:t>
            </w:r>
          </w:p>
        </w:tc>
        <w:tc>
          <w:tcPr>
            <w:tcW w:w="425" w:type="dxa"/>
            <w:tcBorders>
              <w:top w:val="nil"/>
              <w:left w:val="nil"/>
              <w:bottom w:val="single" w:color="auto" w:sz="4" w:space="0"/>
              <w:right w:val="single" w:color="auto" w:sz="4" w:space="0"/>
            </w:tcBorders>
            <w:vAlign w:val="center"/>
          </w:tcPr>
          <w:p w14:paraId="3E8EDE0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50</w:t>
            </w:r>
          </w:p>
        </w:tc>
        <w:tc>
          <w:tcPr>
            <w:tcW w:w="567" w:type="dxa"/>
            <w:tcBorders>
              <w:top w:val="nil"/>
              <w:left w:val="nil"/>
              <w:bottom w:val="single" w:color="auto" w:sz="4" w:space="0"/>
              <w:right w:val="single" w:color="auto" w:sz="4" w:space="0"/>
            </w:tcBorders>
            <w:vAlign w:val="center"/>
          </w:tcPr>
          <w:p w14:paraId="09E867A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w:t>
            </w:r>
          </w:p>
        </w:tc>
        <w:tc>
          <w:tcPr>
            <w:tcW w:w="426" w:type="dxa"/>
            <w:tcBorders>
              <w:top w:val="nil"/>
              <w:left w:val="nil"/>
              <w:bottom w:val="single" w:color="auto" w:sz="4" w:space="0"/>
              <w:right w:val="single" w:color="auto" w:sz="4" w:space="0"/>
            </w:tcBorders>
            <w:vAlign w:val="center"/>
          </w:tcPr>
          <w:p w14:paraId="33DDDCA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628" w:type="dxa"/>
            <w:tcBorders>
              <w:top w:val="nil"/>
              <w:left w:val="nil"/>
              <w:bottom w:val="single" w:color="auto" w:sz="4" w:space="0"/>
              <w:right w:val="single" w:color="auto" w:sz="4" w:space="0"/>
            </w:tcBorders>
            <w:vAlign w:val="center"/>
          </w:tcPr>
          <w:p w14:paraId="6166716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7.73</w:t>
            </w:r>
          </w:p>
        </w:tc>
        <w:tc>
          <w:tcPr>
            <w:tcW w:w="647" w:type="dxa"/>
            <w:gridSpan w:val="2"/>
            <w:tcBorders>
              <w:top w:val="nil"/>
              <w:left w:val="nil"/>
              <w:bottom w:val="single" w:color="auto" w:sz="4" w:space="0"/>
              <w:right w:val="single" w:color="auto" w:sz="4" w:space="0"/>
            </w:tcBorders>
            <w:noWrap/>
            <w:vAlign w:val="center"/>
          </w:tcPr>
          <w:p w14:paraId="3219062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19" w:type="dxa"/>
            <w:tcBorders>
              <w:top w:val="nil"/>
              <w:left w:val="nil"/>
              <w:bottom w:val="single" w:color="auto" w:sz="4" w:space="0"/>
              <w:right w:val="single" w:color="auto" w:sz="4" w:space="0"/>
            </w:tcBorders>
            <w:noWrap/>
            <w:vAlign w:val="center"/>
          </w:tcPr>
          <w:p w14:paraId="050E1DE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0.073</w:t>
            </w:r>
          </w:p>
        </w:tc>
        <w:tc>
          <w:tcPr>
            <w:tcW w:w="557" w:type="dxa"/>
            <w:tcBorders>
              <w:top w:val="nil"/>
              <w:left w:val="nil"/>
              <w:bottom w:val="single" w:color="auto" w:sz="4" w:space="0"/>
              <w:right w:val="single" w:color="auto" w:sz="4" w:space="0"/>
            </w:tcBorders>
            <w:noWrap/>
            <w:vAlign w:val="center"/>
          </w:tcPr>
          <w:p w14:paraId="099DD39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0.2917</w:t>
            </w:r>
          </w:p>
        </w:tc>
        <w:tc>
          <w:tcPr>
            <w:tcW w:w="709" w:type="dxa"/>
            <w:tcBorders>
              <w:top w:val="nil"/>
              <w:left w:val="nil"/>
              <w:bottom w:val="single" w:color="auto" w:sz="4" w:space="0"/>
              <w:right w:val="single" w:color="auto" w:sz="4" w:space="0"/>
            </w:tcBorders>
            <w:noWrap/>
            <w:vAlign w:val="center"/>
          </w:tcPr>
          <w:p w14:paraId="06CA922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0.336</w:t>
            </w:r>
          </w:p>
        </w:tc>
        <w:tc>
          <w:tcPr>
            <w:tcW w:w="708" w:type="dxa"/>
            <w:tcBorders>
              <w:top w:val="nil"/>
              <w:left w:val="nil"/>
              <w:bottom w:val="single" w:color="auto" w:sz="4" w:space="0"/>
              <w:right w:val="single" w:color="auto" w:sz="4" w:space="0"/>
            </w:tcBorders>
            <w:noWrap/>
            <w:vAlign w:val="center"/>
          </w:tcPr>
          <w:p w14:paraId="2454F32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0.25</w:t>
            </w:r>
          </w:p>
        </w:tc>
        <w:tc>
          <w:tcPr>
            <w:tcW w:w="557" w:type="dxa"/>
            <w:tcBorders>
              <w:top w:val="nil"/>
              <w:left w:val="nil"/>
              <w:bottom w:val="single" w:color="auto" w:sz="4" w:space="0"/>
              <w:right w:val="single" w:color="auto" w:sz="4" w:space="0"/>
            </w:tcBorders>
            <w:noWrap/>
            <w:vAlign w:val="center"/>
          </w:tcPr>
          <w:p w14:paraId="69FFE51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0.0066</w:t>
            </w:r>
          </w:p>
        </w:tc>
        <w:tc>
          <w:tcPr>
            <w:tcW w:w="495" w:type="dxa"/>
            <w:tcBorders>
              <w:top w:val="nil"/>
              <w:left w:val="nil"/>
              <w:bottom w:val="single" w:color="auto" w:sz="4" w:space="0"/>
              <w:right w:val="single" w:color="auto" w:sz="4" w:space="0"/>
            </w:tcBorders>
            <w:noWrap/>
            <w:vAlign w:val="center"/>
          </w:tcPr>
          <w:p w14:paraId="1905AF9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0.193</w:t>
            </w:r>
          </w:p>
        </w:tc>
        <w:tc>
          <w:tcPr>
            <w:tcW w:w="674" w:type="dxa"/>
            <w:tcBorders>
              <w:top w:val="nil"/>
              <w:left w:val="nil"/>
              <w:bottom w:val="single" w:color="auto" w:sz="4" w:space="0"/>
              <w:right w:val="single" w:color="auto" w:sz="4" w:space="0"/>
            </w:tcBorders>
            <w:noWrap/>
            <w:vAlign w:val="center"/>
          </w:tcPr>
          <w:p w14:paraId="0A2D880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1.25E-05</w:t>
            </w:r>
          </w:p>
        </w:tc>
        <w:tc>
          <w:tcPr>
            <w:tcW w:w="674" w:type="dxa"/>
            <w:tcBorders>
              <w:top w:val="nil"/>
              <w:left w:val="nil"/>
              <w:bottom w:val="single" w:color="auto" w:sz="4" w:space="0"/>
              <w:right w:val="single" w:color="auto" w:sz="4" w:space="0"/>
            </w:tcBorders>
            <w:noWrap/>
            <w:vAlign w:val="center"/>
          </w:tcPr>
          <w:p w14:paraId="0FC81E0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6.25E-07</w:t>
            </w:r>
          </w:p>
        </w:tc>
        <w:tc>
          <w:tcPr>
            <w:tcW w:w="674" w:type="dxa"/>
            <w:tcBorders>
              <w:top w:val="nil"/>
              <w:left w:val="nil"/>
              <w:bottom w:val="single" w:color="auto" w:sz="4" w:space="0"/>
              <w:right w:val="single" w:color="auto" w:sz="4" w:space="0"/>
            </w:tcBorders>
            <w:noWrap/>
            <w:vAlign w:val="center"/>
          </w:tcPr>
          <w:p w14:paraId="0B35CAB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3.75E-05</w:t>
            </w:r>
          </w:p>
        </w:tc>
        <w:tc>
          <w:tcPr>
            <w:tcW w:w="618" w:type="dxa"/>
            <w:tcBorders>
              <w:top w:val="nil"/>
              <w:left w:val="nil"/>
              <w:bottom w:val="single" w:color="auto" w:sz="4" w:space="0"/>
              <w:right w:val="single" w:color="auto" w:sz="4" w:space="0"/>
            </w:tcBorders>
            <w:noWrap/>
            <w:vAlign w:val="center"/>
          </w:tcPr>
          <w:p w14:paraId="29ADA65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0.00013</w:t>
            </w:r>
          </w:p>
        </w:tc>
        <w:tc>
          <w:tcPr>
            <w:tcW w:w="618" w:type="dxa"/>
            <w:tcBorders>
              <w:top w:val="nil"/>
              <w:left w:val="nil"/>
              <w:bottom w:val="single" w:color="auto" w:sz="4" w:space="0"/>
              <w:right w:val="single" w:color="auto" w:sz="4" w:space="0"/>
            </w:tcBorders>
            <w:noWrap/>
            <w:vAlign w:val="center"/>
          </w:tcPr>
          <w:p w14:paraId="05D340B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0.00025</w:t>
            </w:r>
          </w:p>
        </w:tc>
        <w:tc>
          <w:tcPr>
            <w:tcW w:w="674" w:type="dxa"/>
            <w:tcBorders>
              <w:top w:val="nil"/>
              <w:left w:val="nil"/>
              <w:bottom w:val="single" w:color="auto" w:sz="4" w:space="0"/>
              <w:right w:val="single" w:color="auto" w:sz="4" w:space="0"/>
            </w:tcBorders>
            <w:noWrap/>
            <w:vAlign w:val="center"/>
          </w:tcPr>
          <w:p w14:paraId="146719B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6.25E-06</w:t>
            </w:r>
          </w:p>
        </w:tc>
        <w:tc>
          <w:tcPr>
            <w:tcW w:w="1051" w:type="dxa"/>
            <w:tcBorders>
              <w:top w:val="nil"/>
              <w:left w:val="nil"/>
              <w:bottom w:val="single" w:color="auto" w:sz="4" w:space="0"/>
              <w:right w:val="single" w:color="auto" w:sz="4" w:space="0"/>
            </w:tcBorders>
            <w:noWrap/>
            <w:vAlign w:val="center"/>
          </w:tcPr>
          <w:p w14:paraId="5251EB1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4.38E-05</w:t>
            </w:r>
          </w:p>
        </w:tc>
        <w:tc>
          <w:tcPr>
            <w:tcW w:w="911" w:type="dxa"/>
            <w:tcBorders>
              <w:top w:val="nil"/>
              <w:left w:val="nil"/>
              <w:bottom w:val="single" w:color="auto" w:sz="4" w:space="0"/>
              <w:right w:val="single" w:color="auto" w:sz="4" w:space="0"/>
            </w:tcBorders>
            <w:noWrap/>
            <w:vAlign w:val="center"/>
          </w:tcPr>
          <w:p w14:paraId="2BB42C31">
            <w:pPr>
              <w:widowControl/>
              <w:autoSpaceDE/>
              <w:autoSpaceDN/>
              <w:spacing w:line="320" w:lineRule="exact"/>
              <w:ind w:left="-43" w:leftChars="-18"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0.000004mgTEQ/h</w:t>
            </w:r>
          </w:p>
        </w:tc>
      </w:tr>
      <w:tr w14:paraId="4C8A0D3C">
        <w:tblPrEx>
          <w:tblCellMar>
            <w:top w:w="0" w:type="dxa"/>
            <w:left w:w="108" w:type="dxa"/>
            <w:bottom w:w="0" w:type="dxa"/>
            <w:right w:w="108" w:type="dxa"/>
          </w:tblCellMar>
        </w:tblPrEx>
        <w:trPr>
          <w:trHeight w:val="276" w:hRule="atLeast"/>
        </w:trPr>
        <w:tc>
          <w:tcPr>
            <w:tcW w:w="580" w:type="dxa"/>
            <w:tcBorders>
              <w:top w:val="nil"/>
              <w:left w:val="single" w:color="auto" w:sz="4" w:space="0"/>
              <w:bottom w:val="single" w:color="auto" w:sz="4" w:space="0"/>
              <w:right w:val="single" w:color="auto" w:sz="4" w:space="0"/>
            </w:tcBorders>
            <w:vAlign w:val="center"/>
          </w:tcPr>
          <w:p w14:paraId="1929C47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DA003</w:t>
            </w:r>
          </w:p>
        </w:tc>
        <w:tc>
          <w:tcPr>
            <w:tcW w:w="679" w:type="dxa"/>
            <w:tcBorders>
              <w:top w:val="nil"/>
              <w:left w:val="nil"/>
              <w:bottom w:val="single" w:color="auto" w:sz="4" w:space="0"/>
              <w:right w:val="single" w:color="auto" w:sz="4" w:space="0"/>
            </w:tcBorders>
            <w:vAlign w:val="center"/>
          </w:tcPr>
          <w:p w14:paraId="72629BE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87.69463</w:t>
            </w:r>
          </w:p>
        </w:tc>
        <w:tc>
          <w:tcPr>
            <w:tcW w:w="679" w:type="dxa"/>
            <w:tcBorders>
              <w:top w:val="nil"/>
              <w:left w:val="nil"/>
              <w:bottom w:val="single" w:color="auto" w:sz="4" w:space="0"/>
              <w:right w:val="single" w:color="auto" w:sz="4" w:space="0"/>
            </w:tcBorders>
            <w:vAlign w:val="center"/>
          </w:tcPr>
          <w:p w14:paraId="4C03361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44.14024</w:t>
            </w:r>
          </w:p>
        </w:tc>
        <w:tc>
          <w:tcPr>
            <w:tcW w:w="609" w:type="dxa"/>
            <w:tcBorders>
              <w:top w:val="nil"/>
              <w:left w:val="nil"/>
              <w:bottom w:val="single" w:color="auto" w:sz="4" w:space="0"/>
              <w:right w:val="single" w:color="auto" w:sz="4" w:space="0"/>
            </w:tcBorders>
            <w:vAlign w:val="center"/>
          </w:tcPr>
          <w:p w14:paraId="323E2BE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483</w:t>
            </w:r>
          </w:p>
        </w:tc>
        <w:tc>
          <w:tcPr>
            <w:tcW w:w="425" w:type="dxa"/>
            <w:tcBorders>
              <w:top w:val="nil"/>
              <w:left w:val="nil"/>
              <w:bottom w:val="single" w:color="auto" w:sz="4" w:space="0"/>
              <w:right w:val="single" w:color="auto" w:sz="4" w:space="0"/>
            </w:tcBorders>
            <w:vAlign w:val="center"/>
          </w:tcPr>
          <w:p w14:paraId="16261A5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567" w:type="dxa"/>
            <w:tcBorders>
              <w:top w:val="nil"/>
              <w:left w:val="nil"/>
              <w:bottom w:val="single" w:color="auto" w:sz="4" w:space="0"/>
              <w:right w:val="single" w:color="auto" w:sz="4" w:space="0"/>
            </w:tcBorders>
            <w:vAlign w:val="center"/>
          </w:tcPr>
          <w:p w14:paraId="4ECCB5D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w:t>
            </w:r>
          </w:p>
        </w:tc>
        <w:tc>
          <w:tcPr>
            <w:tcW w:w="426" w:type="dxa"/>
            <w:tcBorders>
              <w:top w:val="nil"/>
              <w:left w:val="nil"/>
              <w:bottom w:val="single" w:color="auto" w:sz="4" w:space="0"/>
              <w:right w:val="single" w:color="auto" w:sz="4" w:space="0"/>
            </w:tcBorders>
            <w:vAlign w:val="center"/>
          </w:tcPr>
          <w:p w14:paraId="1E691B8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60</w:t>
            </w:r>
          </w:p>
        </w:tc>
        <w:tc>
          <w:tcPr>
            <w:tcW w:w="628" w:type="dxa"/>
            <w:tcBorders>
              <w:top w:val="nil"/>
              <w:left w:val="nil"/>
              <w:bottom w:val="single" w:color="auto" w:sz="4" w:space="0"/>
              <w:right w:val="single" w:color="auto" w:sz="4" w:space="0"/>
            </w:tcBorders>
            <w:vAlign w:val="center"/>
          </w:tcPr>
          <w:p w14:paraId="4152C24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9.41</w:t>
            </w:r>
          </w:p>
        </w:tc>
        <w:tc>
          <w:tcPr>
            <w:tcW w:w="647" w:type="dxa"/>
            <w:gridSpan w:val="2"/>
            <w:tcBorders>
              <w:top w:val="nil"/>
              <w:left w:val="nil"/>
              <w:bottom w:val="single" w:color="auto" w:sz="4" w:space="0"/>
              <w:right w:val="single" w:color="auto" w:sz="4" w:space="0"/>
            </w:tcBorders>
            <w:noWrap/>
            <w:vAlign w:val="center"/>
          </w:tcPr>
          <w:p w14:paraId="1EF3A6F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19" w:type="dxa"/>
            <w:tcBorders>
              <w:top w:val="nil"/>
              <w:left w:val="nil"/>
              <w:bottom w:val="single" w:color="auto" w:sz="4" w:space="0"/>
              <w:right w:val="single" w:color="auto" w:sz="4" w:space="0"/>
            </w:tcBorders>
            <w:vAlign w:val="center"/>
          </w:tcPr>
          <w:p w14:paraId="0457FED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0.029</w:t>
            </w:r>
          </w:p>
        </w:tc>
        <w:tc>
          <w:tcPr>
            <w:tcW w:w="557" w:type="dxa"/>
            <w:tcBorders>
              <w:top w:val="nil"/>
              <w:left w:val="nil"/>
              <w:bottom w:val="single" w:color="auto" w:sz="4" w:space="0"/>
              <w:right w:val="single" w:color="auto" w:sz="4" w:space="0"/>
            </w:tcBorders>
            <w:noWrap/>
            <w:vAlign w:val="center"/>
          </w:tcPr>
          <w:p w14:paraId="3ED718D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09" w:type="dxa"/>
            <w:tcBorders>
              <w:top w:val="nil"/>
              <w:left w:val="nil"/>
              <w:bottom w:val="single" w:color="auto" w:sz="4" w:space="0"/>
              <w:right w:val="single" w:color="auto" w:sz="4" w:space="0"/>
            </w:tcBorders>
            <w:noWrap/>
            <w:vAlign w:val="center"/>
          </w:tcPr>
          <w:p w14:paraId="5CE0376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0.459</w:t>
            </w:r>
          </w:p>
        </w:tc>
        <w:tc>
          <w:tcPr>
            <w:tcW w:w="708" w:type="dxa"/>
            <w:tcBorders>
              <w:top w:val="nil"/>
              <w:left w:val="nil"/>
              <w:bottom w:val="single" w:color="auto" w:sz="4" w:space="0"/>
              <w:right w:val="single" w:color="auto" w:sz="4" w:space="0"/>
            </w:tcBorders>
            <w:noWrap/>
            <w:vAlign w:val="center"/>
          </w:tcPr>
          <w:p w14:paraId="20B9978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0.058</w:t>
            </w:r>
          </w:p>
        </w:tc>
        <w:tc>
          <w:tcPr>
            <w:tcW w:w="557" w:type="dxa"/>
            <w:tcBorders>
              <w:top w:val="nil"/>
              <w:left w:val="nil"/>
              <w:bottom w:val="single" w:color="auto" w:sz="4" w:space="0"/>
              <w:right w:val="single" w:color="auto" w:sz="4" w:space="0"/>
            </w:tcBorders>
            <w:noWrap/>
            <w:vAlign w:val="center"/>
          </w:tcPr>
          <w:p w14:paraId="0AF7B3C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95" w:type="dxa"/>
            <w:tcBorders>
              <w:top w:val="nil"/>
              <w:left w:val="nil"/>
              <w:bottom w:val="single" w:color="auto" w:sz="4" w:space="0"/>
              <w:right w:val="single" w:color="auto" w:sz="4" w:space="0"/>
            </w:tcBorders>
            <w:noWrap/>
            <w:vAlign w:val="center"/>
          </w:tcPr>
          <w:p w14:paraId="5BB770B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276BFD8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74E96D0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3A0932C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8" w:type="dxa"/>
            <w:tcBorders>
              <w:top w:val="nil"/>
              <w:left w:val="nil"/>
              <w:bottom w:val="single" w:color="auto" w:sz="4" w:space="0"/>
              <w:right w:val="single" w:color="auto" w:sz="4" w:space="0"/>
            </w:tcBorders>
            <w:noWrap/>
            <w:vAlign w:val="center"/>
          </w:tcPr>
          <w:p w14:paraId="0DED2EB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8" w:type="dxa"/>
            <w:tcBorders>
              <w:top w:val="nil"/>
              <w:left w:val="nil"/>
              <w:bottom w:val="single" w:color="auto" w:sz="4" w:space="0"/>
              <w:right w:val="single" w:color="auto" w:sz="4" w:space="0"/>
            </w:tcBorders>
            <w:noWrap/>
            <w:vAlign w:val="center"/>
          </w:tcPr>
          <w:p w14:paraId="5F2708F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778EB7D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1051" w:type="dxa"/>
            <w:tcBorders>
              <w:top w:val="nil"/>
              <w:left w:val="nil"/>
              <w:bottom w:val="single" w:color="auto" w:sz="4" w:space="0"/>
              <w:right w:val="single" w:color="auto" w:sz="4" w:space="0"/>
            </w:tcBorders>
            <w:noWrap/>
            <w:vAlign w:val="center"/>
          </w:tcPr>
          <w:p w14:paraId="392F154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911" w:type="dxa"/>
            <w:tcBorders>
              <w:top w:val="nil"/>
              <w:left w:val="nil"/>
              <w:bottom w:val="single" w:color="auto" w:sz="4" w:space="0"/>
              <w:right w:val="single" w:color="auto" w:sz="4" w:space="0"/>
            </w:tcBorders>
            <w:noWrap/>
            <w:vAlign w:val="center"/>
          </w:tcPr>
          <w:p w14:paraId="5E50604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bl>
    <w:p w14:paraId="672A8C4A">
      <w:pPr>
        <w:ind w:firstLine="480"/>
        <w:rPr>
          <w:color w:val="000000" w:themeColor="text1"/>
          <w14:textFill>
            <w14:solidFill>
              <w14:schemeClr w14:val="tx1"/>
            </w14:solidFill>
          </w14:textFill>
        </w:rPr>
      </w:pPr>
    </w:p>
    <w:p w14:paraId="6654D663">
      <w:pPr>
        <w:ind w:firstLine="480"/>
        <w:rPr>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26" w:charSpace="0"/>
        </w:sectPr>
      </w:pPr>
    </w:p>
    <w:p w14:paraId="5FB17632">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主要废气污染源参数一览表(矩形面源) </w:t>
      </w:r>
    </w:p>
    <w:tbl>
      <w:tblPr>
        <w:tblStyle w:val="76"/>
        <w:tblW w:w="50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319"/>
        <w:gridCol w:w="1332"/>
        <w:gridCol w:w="867"/>
        <w:gridCol w:w="867"/>
        <w:gridCol w:w="973"/>
        <w:gridCol w:w="871"/>
        <w:gridCol w:w="1133"/>
        <w:gridCol w:w="1148"/>
      </w:tblGrid>
      <w:tr w14:paraId="3A7B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restart"/>
            <w:vAlign w:val="center"/>
          </w:tcPr>
          <w:p w14:paraId="36103B06">
            <w:pPr>
              <w:pStyle w:val="109"/>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1373" w:type="pct"/>
            <w:gridSpan w:val="2"/>
            <w:vAlign w:val="center"/>
          </w:tcPr>
          <w:p w14:paraId="27B52D5F">
            <w:pPr>
              <w:pStyle w:val="109"/>
              <w:rPr>
                <w:color w:val="000000" w:themeColor="text1"/>
                <w14:textFill>
                  <w14:solidFill>
                    <w14:schemeClr w14:val="tx1"/>
                  </w14:solidFill>
                </w14:textFill>
              </w:rPr>
            </w:pPr>
            <w:r>
              <w:rPr>
                <w:color w:val="000000" w:themeColor="text1"/>
                <w14:textFill>
                  <w14:solidFill>
                    <w14:schemeClr w14:val="tx1"/>
                  </w14:solidFill>
                </w14:textFill>
              </w:rPr>
              <w:t>坐标(°)</w:t>
            </w:r>
          </w:p>
        </w:tc>
        <w:tc>
          <w:tcPr>
            <w:tcW w:w="449" w:type="pct"/>
            <w:vMerge w:val="restart"/>
            <w:vAlign w:val="center"/>
          </w:tcPr>
          <w:p w14:paraId="6C9A6755">
            <w:pPr>
              <w:pStyle w:val="109"/>
              <w:rPr>
                <w:color w:val="000000" w:themeColor="text1"/>
                <w14:textFill>
                  <w14:solidFill>
                    <w14:schemeClr w14:val="tx1"/>
                  </w14:solidFill>
                </w14:textFill>
              </w:rPr>
            </w:pPr>
            <w:r>
              <w:rPr>
                <w:color w:val="000000" w:themeColor="text1"/>
                <w14:textFill>
                  <w14:solidFill>
                    <w14:schemeClr w14:val="tx1"/>
                  </w14:solidFill>
                </w14:textFill>
              </w:rPr>
              <w:t>海拔高度(m)</w:t>
            </w:r>
          </w:p>
        </w:tc>
        <w:tc>
          <w:tcPr>
            <w:tcW w:w="1404" w:type="pct"/>
            <w:gridSpan w:val="3"/>
            <w:vAlign w:val="center"/>
          </w:tcPr>
          <w:p w14:paraId="7A7B0F34">
            <w:pPr>
              <w:pStyle w:val="109"/>
              <w:rPr>
                <w:color w:val="000000" w:themeColor="text1"/>
                <w14:textFill>
                  <w14:solidFill>
                    <w14:schemeClr w14:val="tx1"/>
                  </w14:solidFill>
                </w14:textFill>
              </w:rPr>
            </w:pPr>
            <w:r>
              <w:rPr>
                <w:color w:val="000000" w:themeColor="text1"/>
                <w14:textFill>
                  <w14:solidFill>
                    <w14:schemeClr w14:val="tx1"/>
                  </w14:solidFill>
                </w14:textFill>
              </w:rPr>
              <w:t>矩形面源</w:t>
            </w:r>
          </w:p>
        </w:tc>
        <w:tc>
          <w:tcPr>
            <w:tcW w:w="1182" w:type="pct"/>
            <w:gridSpan w:val="2"/>
            <w:vAlign w:val="center"/>
          </w:tcPr>
          <w:p w14:paraId="5E032A4F">
            <w:pPr>
              <w:pStyle w:val="109"/>
              <w:rPr>
                <w:color w:val="000000" w:themeColor="text1"/>
                <w14:textFill>
                  <w14:solidFill>
                    <w14:schemeClr w14:val="tx1"/>
                  </w14:solidFill>
                </w14:textFill>
              </w:rPr>
            </w:pPr>
            <w:r>
              <w:rPr>
                <w:color w:val="000000" w:themeColor="text1"/>
                <w14:textFill>
                  <w14:solidFill>
                    <w14:schemeClr w14:val="tx1"/>
                  </w14:solidFill>
                </w14:textFill>
              </w:rPr>
              <w:t>污染物排放速率(kg/h)</w:t>
            </w:r>
          </w:p>
        </w:tc>
      </w:tr>
      <w:tr w14:paraId="0E19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vAlign w:val="center"/>
          </w:tcPr>
          <w:p w14:paraId="1E85B275">
            <w:pPr>
              <w:pStyle w:val="109"/>
              <w:rPr>
                <w:color w:val="000000" w:themeColor="text1"/>
                <w14:textFill>
                  <w14:solidFill>
                    <w14:schemeClr w14:val="tx1"/>
                  </w14:solidFill>
                </w14:textFill>
              </w:rPr>
            </w:pPr>
          </w:p>
        </w:tc>
        <w:tc>
          <w:tcPr>
            <w:tcW w:w="683" w:type="pct"/>
            <w:vAlign w:val="center"/>
          </w:tcPr>
          <w:p w14:paraId="0A1BE66F">
            <w:pPr>
              <w:pStyle w:val="109"/>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689" w:type="pct"/>
            <w:vAlign w:val="center"/>
          </w:tcPr>
          <w:p w14:paraId="6B63DF14">
            <w:pPr>
              <w:pStyle w:val="109"/>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449" w:type="pct"/>
            <w:vMerge w:val="continue"/>
            <w:vAlign w:val="center"/>
          </w:tcPr>
          <w:p w14:paraId="7171E94A">
            <w:pPr>
              <w:pStyle w:val="109"/>
              <w:rPr>
                <w:color w:val="000000" w:themeColor="text1"/>
                <w14:textFill>
                  <w14:solidFill>
                    <w14:schemeClr w14:val="tx1"/>
                  </w14:solidFill>
                </w14:textFill>
              </w:rPr>
            </w:pPr>
          </w:p>
        </w:tc>
        <w:tc>
          <w:tcPr>
            <w:tcW w:w="449" w:type="pct"/>
            <w:vAlign w:val="center"/>
          </w:tcPr>
          <w:p w14:paraId="3A0FB2CB">
            <w:pPr>
              <w:pStyle w:val="109"/>
              <w:rPr>
                <w:color w:val="000000" w:themeColor="text1"/>
                <w14:textFill>
                  <w14:solidFill>
                    <w14:schemeClr w14:val="tx1"/>
                  </w14:solidFill>
                </w14:textFill>
              </w:rPr>
            </w:pPr>
            <w:r>
              <w:rPr>
                <w:color w:val="000000" w:themeColor="text1"/>
                <w14:textFill>
                  <w14:solidFill>
                    <w14:schemeClr w14:val="tx1"/>
                  </w14:solidFill>
                </w14:textFill>
              </w:rPr>
              <w:t>长度(m)</w:t>
            </w:r>
          </w:p>
        </w:tc>
        <w:tc>
          <w:tcPr>
            <w:tcW w:w="504" w:type="pct"/>
            <w:vAlign w:val="center"/>
          </w:tcPr>
          <w:p w14:paraId="074AF9C7">
            <w:pPr>
              <w:pStyle w:val="109"/>
              <w:rPr>
                <w:color w:val="000000" w:themeColor="text1"/>
                <w14:textFill>
                  <w14:solidFill>
                    <w14:schemeClr w14:val="tx1"/>
                  </w14:solidFill>
                </w14:textFill>
              </w:rPr>
            </w:pPr>
            <w:r>
              <w:rPr>
                <w:color w:val="000000" w:themeColor="text1"/>
                <w14:textFill>
                  <w14:solidFill>
                    <w14:schemeClr w14:val="tx1"/>
                  </w14:solidFill>
                </w14:textFill>
              </w:rPr>
              <w:t>宽度(m)</w:t>
            </w:r>
          </w:p>
        </w:tc>
        <w:tc>
          <w:tcPr>
            <w:tcW w:w="451" w:type="pct"/>
            <w:vAlign w:val="center"/>
          </w:tcPr>
          <w:p w14:paraId="625D0D93">
            <w:pPr>
              <w:pStyle w:val="109"/>
              <w:rPr>
                <w:color w:val="000000" w:themeColor="text1"/>
                <w14:textFill>
                  <w14:solidFill>
                    <w14:schemeClr w14:val="tx1"/>
                  </w14:solidFill>
                </w14:textFill>
              </w:rPr>
            </w:pPr>
            <w:r>
              <w:rPr>
                <w:color w:val="000000" w:themeColor="text1"/>
                <w14:textFill>
                  <w14:solidFill>
                    <w14:schemeClr w14:val="tx1"/>
                  </w14:solidFill>
                </w14:textFill>
              </w:rPr>
              <w:t>有效高度(m)</w:t>
            </w:r>
          </w:p>
        </w:tc>
        <w:tc>
          <w:tcPr>
            <w:tcW w:w="587" w:type="pct"/>
            <w:vAlign w:val="center"/>
          </w:tcPr>
          <w:p w14:paraId="26DEA8C8">
            <w:pPr>
              <w:pStyle w:val="109"/>
              <w:rPr>
                <w:color w:val="000000" w:themeColor="text1"/>
                <w14:textFill>
                  <w14:solidFill>
                    <w14:schemeClr w14:val="tx1"/>
                  </w14:solidFill>
                </w14:textFill>
              </w:rPr>
            </w:pPr>
            <w:r>
              <w:rPr>
                <w:color w:val="000000" w:themeColor="text1"/>
                <w14:textFill>
                  <w14:solidFill>
                    <w14:schemeClr w14:val="tx1"/>
                  </w14:solidFill>
                </w14:textFill>
              </w:rPr>
              <w:t>VOC</w:t>
            </w:r>
            <w:r>
              <w:rPr>
                <w:rFonts w:hint="eastAsia"/>
                <w:color w:val="000000" w:themeColor="text1"/>
                <w14:textFill>
                  <w14:solidFill>
                    <w14:schemeClr w14:val="tx1"/>
                  </w14:solidFill>
                </w14:textFill>
              </w:rPr>
              <w:t>s</w:t>
            </w:r>
          </w:p>
        </w:tc>
        <w:tc>
          <w:tcPr>
            <w:tcW w:w="595" w:type="pct"/>
            <w:vAlign w:val="center"/>
          </w:tcPr>
          <w:p w14:paraId="46FDB51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w:t>
            </w:r>
          </w:p>
        </w:tc>
      </w:tr>
      <w:tr w14:paraId="3E26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Align w:val="center"/>
          </w:tcPr>
          <w:p w14:paraId="09F5762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废盐仓库</w:t>
            </w:r>
          </w:p>
        </w:tc>
        <w:tc>
          <w:tcPr>
            <w:tcW w:w="683" w:type="pct"/>
            <w:vAlign w:val="center"/>
          </w:tcPr>
          <w:p w14:paraId="28C262E7">
            <w:pPr>
              <w:pStyle w:val="109"/>
              <w:rPr>
                <w:color w:val="000000" w:themeColor="text1"/>
                <w14:textFill>
                  <w14:solidFill>
                    <w14:schemeClr w14:val="tx1"/>
                  </w14:solidFill>
                </w14:textFill>
              </w:rPr>
            </w:pPr>
            <w:r>
              <w:rPr>
                <w:color w:val="000000" w:themeColor="text1"/>
                <w14:textFill>
                  <w14:solidFill>
                    <w14:schemeClr w14:val="tx1"/>
                  </w14:solidFill>
                </w14:textFill>
              </w:rPr>
              <w:t>87.694567</w:t>
            </w:r>
          </w:p>
        </w:tc>
        <w:tc>
          <w:tcPr>
            <w:tcW w:w="689" w:type="pct"/>
            <w:vAlign w:val="center"/>
          </w:tcPr>
          <w:p w14:paraId="4458FC41">
            <w:pPr>
              <w:pStyle w:val="109"/>
              <w:rPr>
                <w:color w:val="000000" w:themeColor="text1"/>
                <w14:textFill>
                  <w14:solidFill>
                    <w14:schemeClr w14:val="tx1"/>
                  </w14:solidFill>
                </w14:textFill>
              </w:rPr>
            </w:pPr>
            <w:r>
              <w:rPr>
                <w:color w:val="000000" w:themeColor="text1"/>
                <w14:textFill>
                  <w14:solidFill>
                    <w14:schemeClr w14:val="tx1"/>
                  </w14:solidFill>
                </w14:textFill>
              </w:rPr>
              <w:t>44.139793</w:t>
            </w:r>
          </w:p>
        </w:tc>
        <w:tc>
          <w:tcPr>
            <w:tcW w:w="449" w:type="pct"/>
            <w:vAlign w:val="center"/>
          </w:tcPr>
          <w:p w14:paraId="24D2164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483</w:t>
            </w:r>
          </w:p>
        </w:tc>
        <w:tc>
          <w:tcPr>
            <w:tcW w:w="449" w:type="pct"/>
            <w:vAlign w:val="center"/>
          </w:tcPr>
          <w:p w14:paraId="2AAD019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504" w:type="pct"/>
            <w:vAlign w:val="center"/>
          </w:tcPr>
          <w:p w14:paraId="4A223A3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451" w:type="pct"/>
            <w:vAlign w:val="center"/>
          </w:tcPr>
          <w:p w14:paraId="1E1F692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587" w:type="pct"/>
            <w:vAlign w:val="center"/>
          </w:tcPr>
          <w:p w14:paraId="3612DB75">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0.0031</w:t>
            </w:r>
          </w:p>
        </w:tc>
        <w:tc>
          <w:tcPr>
            <w:tcW w:w="595" w:type="pct"/>
          </w:tcPr>
          <w:p w14:paraId="0C79F7D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B1B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Align w:val="center"/>
          </w:tcPr>
          <w:p w14:paraId="6B56FF7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氨水罐区</w:t>
            </w:r>
          </w:p>
        </w:tc>
        <w:tc>
          <w:tcPr>
            <w:tcW w:w="683" w:type="pct"/>
            <w:vAlign w:val="center"/>
          </w:tcPr>
          <w:p w14:paraId="0392F3F7">
            <w:pPr>
              <w:pStyle w:val="109"/>
              <w:rPr>
                <w:color w:val="000000" w:themeColor="text1"/>
                <w14:textFill>
                  <w14:solidFill>
                    <w14:schemeClr w14:val="tx1"/>
                  </w14:solidFill>
                </w14:textFill>
              </w:rPr>
            </w:pPr>
            <w:r>
              <w:rPr>
                <w:color w:val="000000" w:themeColor="text1"/>
                <w14:textFill>
                  <w14:solidFill>
                    <w14:schemeClr w14:val="tx1"/>
                  </w14:solidFill>
                </w14:textFill>
              </w:rPr>
              <w:t>87.695339</w:t>
            </w:r>
          </w:p>
        </w:tc>
        <w:tc>
          <w:tcPr>
            <w:tcW w:w="689" w:type="pct"/>
            <w:vAlign w:val="center"/>
          </w:tcPr>
          <w:p w14:paraId="37A5F0B8">
            <w:pPr>
              <w:pStyle w:val="109"/>
              <w:rPr>
                <w:color w:val="000000" w:themeColor="text1"/>
                <w14:textFill>
                  <w14:solidFill>
                    <w14:schemeClr w14:val="tx1"/>
                  </w14:solidFill>
                </w14:textFill>
              </w:rPr>
            </w:pPr>
            <w:r>
              <w:rPr>
                <w:color w:val="000000" w:themeColor="text1"/>
                <w14:textFill>
                  <w14:solidFill>
                    <w14:schemeClr w14:val="tx1"/>
                  </w14:solidFill>
                </w14:textFill>
              </w:rPr>
              <w:t>44.140147</w:t>
            </w:r>
          </w:p>
        </w:tc>
        <w:tc>
          <w:tcPr>
            <w:tcW w:w="449" w:type="pct"/>
            <w:vAlign w:val="center"/>
          </w:tcPr>
          <w:p w14:paraId="7410A03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483</w:t>
            </w:r>
          </w:p>
        </w:tc>
        <w:tc>
          <w:tcPr>
            <w:tcW w:w="449" w:type="pct"/>
            <w:vAlign w:val="center"/>
          </w:tcPr>
          <w:p w14:paraId="3CDED12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504" w:type="pct"/>
            <w:vAlign w:val="center"/>
          </w:tcPr>
          <w:p w14:paraId="4B0B363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451" w:type="pct"/>
            <w:vAlign w:val="center"/>
          </w:tcPr>
          <w:p w14:paraId="082B9C6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87" w:type="pct"/>
            <w:vAlign w:val="center"/>
          </w:tcPr>
          <w:p w14:paraId="0C1C96C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95" w:type="pct"/>
          </w:tcPr>
          <w:p w14:paraId="3FD21FD2">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0.0012</w:t>
            </w:r>
          </w:p>
        </w:tc>
      </w:tr>
    </w:tbl>
    <w:p w14:paraId="6E6E0B0D">
      <w:pPr>
        <w:pStyle w:val="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评价等级判定</w:t>
      </w:r>
    </w:p>
    <w:p w14:paraId="0EAAE723">
      <w:pPr>
        <w:ind w:firstLine="480"/>
        <w:rPr>
          <w:color w:val="000000" w:themeColor="text1"/>
          <w14:textFill>
            <w14:solidFill>
              <w14:schemeClr w14:val="tx1"/>
            </w14:solidFill>
          </w14:textFill>
        </w:rPr>
      </w:pPr>
      <w:r>
        <w:rPr>
          <w:color w:val="000000" w:themeColor="text1"/>
          <w14:textFill>
            <w14:solidFill>
              <w14:schemeClr w14:val="tx1"/>
            </w14:solidFill>
          </w14:textFill>
        </w:rPr>
        <w:t>根据导则要求，本项目使用估算模型AERSCREEN进行评价等级判定，估算模型参数取值情况见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4D71F578">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估算模式参数取值情况一览表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5"/>
        <w:gridCol w:w="3129"/>
        <w:gridCol w:w="3934"/>
      </w:tblGrid>
      <w:tr w14:paraId="162D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27E2C893">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参数</w:t>
            </w:r>
          </w:p>
        </w:tc>
        <w:tc>
          <w:tcPr>
            <w:tcW w:w="2044" w:type="pct"/>
            <w:vAlign w:val="center"/>
          </w:tcPr>
          <w:p w14:paraId="423569EC">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取值</w:t>
            </w:r>
          </w:p>
        </w:tc>
      </w:tr>
      <w:tr w14:paraId="48E0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restart"/>
            <w:vAlign w:val="center"/>
          </w:tcPr>
          <w:p w14:paraId="64792E41">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城市/农村选项</w:t>
            </w:r>
          </w:p>
        </w:tc>
        <w:tc>
          <w:tcPr>
            <w:tcW w:w="1625" w:type="pct"/>
            <w:vAlign w:val="center"/>
          </w:tcPr>
          <w:p w14:paraId="17F0650F">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城市/农村</w:t>
            </w:r>
          </w:p>
        </w:tc>
        <w:tc>
          <w:tcPr>
            <w:tcW w:w="2044" w:type="pct"/>
            <w:vAlign w:val="center"/>
          </w:tcPr>
          <w:p w14:paraId="7C61A412">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城市</w:t>
            </w:r>
          </w:p>
        </w:tc>
      </w:tr>
      <w:tr w14:paraId="6105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continue"/>
            <w:vAlign w:val="center"/>
          </w:tcPr>
          <w:p w14:paraId="5FE40EBC">
            <w:pPr>
              <w:spacing w:line="360" w:lineRule="exact"/>
              <w:ind w:firstLine="0" w:firstLineChars="0"/>
              <w:jc w:val="center"/>
              <w:rPr>
                <w:color w:val="000000" w:themeColor="text1"/>
                <w:sz w:val="21"/>
                <w:szCs w:val="21"/>
                <w14:textFill>
                  <w14:solidFill>
                    <w14:schemeClr w14:val="tx1"/>
                  </w14:solidFill>
                </w14:textFill>
              </w:rPr>
            </w:pPr>
          </w:p>
        </w:tc>
        <w:tc>
          <w:tcPr>
            <w:tcW w:w="1625" w:type="pct"/>
            <w:vAlign w:val="center"/>
          </w:tcPr>
          <w:p w14:paraId="4B1637A2">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人口数(城市人口数)</w:t>
            </w:r>
          </w:p>
        </w:tc>
        <w:tc>
          <w:tcPr>
            <w:tcW w:w="2044" w:type="pct"/>
            <w:vAlign w:val="center"/>
          </w:tcPr>
          <w:p w14:paraId="2E612CED">
            <w:pPr>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万</w:t>
            </w:r>
          </w:p>
        </w:tc>
      </w:tr>
      <w:tr w14:paraId="6AE1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22D71AB3">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最高环境温度</w:t>
            </w:r>
          </w:p>
        </w:tc>
        <w:tc>
          <w:tcPr>
            <w:tcW w:w="2044" w:type="pct"/>
            <w:vAlign w:val="center"/>
          </w:tcPr>
          <w:p w14:paraId="31281CB2">
            <w:pPr>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48</w:t>
            </w:r>
            <w:r>
              <w:rPr>
                <w:color w:val="000000" w:themeColor="text1"/>
                <w:sz w:val="21"/>
                <w:szCs w:val="21"/>
                <w14:textFill>
                  <w14:solidFill>
                    <w14:schemeClr w14:val="tx1"/>
                  </w14:solidFill>
                </w14:textFill>
              </w:rPr>
              <w:t>.0</w:t>
            </w:r>
          </w:p>
        </w:tc>
      </w:tr>
      <w:tr w14:paraId="4108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6CC6B059">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最低环境温度</w:t>
            </w:r>
          </w:p>
        </w:tc>
        <w:tc>
          <w:tcPr>
            <w:tcW w:w="2044" w:type="pct"/>
            <w:vAlign w:val="center"/>
          </w:tcPr>
          <w:p w14:paraId="1D68300F">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33.4</w:t>
            </w:r>
          </w:p>
        </w:tc>
      </w:tr>
      <w:tr w14:paraId="4346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7B7CDC1C">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土地利用类型</w:t>
            </w:r>
          </w:p>
        </w:tc>
        <w:tc>
          <w:tcPr>
            <w:tcW w:w="2044" w:type="pct"/>
            <w:vAlign w:val="center"/>
          </w:tcPr>
          <w:p w14:paraId="00151157">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w:t>
            </w:r>
          </w:p>
        </w:tc>
      </w:tr>
      <w:tr w14:paraId="30CF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139D2D26">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区域湿度条件</w:t>
            </w:r>
          </w:p>
        </w:tc>
        <w:tc>
          <w:tcPr>
            <w:tcW w:w="2044" w:type="pct"/>
            <w:vAlign w:val="center"/>
          </w:tcPr>
          <w:p w14:paraId="0FD9C7BA">
            <w:pPr>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干燥</w:t>
            </w:r>
          </w:p>
        </w:tc>
      </w:tr>
      <w:tr w14:paraId="30F2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restart"/>
            <w:vAlign w:val="center"/>
          </w:tcPr>
          <w:p w14:paraId="2FA639A1">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是否考虑地形</w:t>
            </w:r>
          </w:p>
        </w:tc>
        <w:tc>
          <w:tcPr>
            <w:tcW w:w="1625" w:type="pct"/>
            <w:vAlign w:val="center"/>
          </w:tcPr>
          <w:p w14:paraId="16FDAC8F">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考虑地形</w:t>
            </w:r>
          </w:p>
        </w:tc>
        <w:tc>
          <w:tcPr>
            <w:tcW w:w="2044" w:type="pct"/>
            <w:vAlign w:val="center"/>
          </w:tcPr>
          <w:p w14:paraId="1CD19FFA">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w:t>
            </w:r>
          </w:p>
        </w:tc>
      </w:tr>
      <w:tr w14:paraId="45B7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continue"/>
            <w:vAlign w:val="center"/>
          </w:tcPr>
          <w:p w14:paraId="724FB0BC">
            <w:pPr>
              <w:spacing w:line="360" w:lineRule="exact"/>
              <w:ind w:firstLine="0" w:firstLineChars="0"/>
              <w:jc w:val="center"/>
              <w:rPr>
                <w:color w:val="000000" w:themeColor="text1"/>
                <w:sz w:val="21"/>
                <w:szCs w:val="21"/>
                <w14:textFill>
                  <w14:solidFill>
                    <w14:schemeClr w14:val="tx1"/>
                  </w14:solidFill>
                </w14:textFill>
              </w:rPr>
            </w:pPr>
          </w:p>
        </w:tc>
        <w:tc>
          <w:tcPr>
            <w:tcW w:w="1625" w:type="pct"/>
            <w:vAlign w:val="center"/>
          </w:tcPr>
          <w:p w14:paraId="763C1D9F">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地形数据分辨率(m)</w:t>
            </w:r>
          </w:p>
        </w:tc>
        <w:tc>
          <w:tcPr>
            <w:tcW w:w="2044" w:type="pct"/>
            <w:vAlign w:val="center"/>
          </w:tcPr>
          <w:p w14:paraId="7B494A61">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w:t>
            </w:r>
          </w:p>
        </w:tc>
      </w:tr>
      <w:tr w14:paraId="2E4A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restart"/>
            <w:vAlign w:val="center"/>
          </w:tcPr>
          <w:p w14:paraId="272630DF">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是否考虑岸线熏烟</w:t>
            </w:r>
          </w:p>
        </w:tc>
        <w:tc>
          <w:tcPr>
            <w:tcW w:w="1625" w:type="pct"/>
            <w:vAlign w:val="center"/>
          </w:tcPr>
          <w:p w14:paraId="7F2D9BE5">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考虑岸线熏烟</w:t>
            </w:r>
          </w:p>
        </w:tc>
        <w:tc>
          <w:tcPr>
            <w:tcW w:w="2044" w:type="pct"/>
            <w:vAlign w:val="center"/>
          </w:tcPr>
          <w:p w14:paraId="13C2ABF0">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否</w:t>
            </w:r>
          </w:p>
        </w:tc>
      </w:tr>
      <w:tr w14:paraId="541F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continue"/>
            <w:vAlign w:val="center"/>
          </w:tcPr>
          <w:p w14:paraId="04C8A036">
            <w:pPr>
              <w:spacing w:line="360" w:lineRule="exact"/>
              <w:ind w:firstLine="0" w:firstLineChars="0"/>
              <w:jc w:val="center"/>
              <w:rPr>
                <w:color w:val="000000" w:themeColor="text1"/>
                <w:sz w:val="21"/>
                <w:szCs w:val="21"/>
                <w14:textFill>
                  <w14:solidFill>
                    <w14:schemeClr w14:val="tx1"/>
                  </w14:solidFill>
                </w14:textFill>
              </w:rPr>
            </w:pPr>
          </w:p>
        </w:tc>
        <w:tc>
          <w:tcPr>
            <w:tcW w:w="1625" w:type="pct"/>
            <w:vAlign w:val="center"/>
          </w:tcPr>
          <w:p w14:paraId="1FB6EEB1">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岸线距离/m</w:t>
            </w:r>
          </w:p>
        </w:tc>
        <w:tc>
          <w:tcPr>
            <w:tcW w:w="2044" w:type="pct"/>
            <w:vAlign w:val="center"/>
          </w:tcPr>
          <w:p w14:paraId="47EFC32F">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3B0F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continue"/>
            <w:vAlign w:val="center"/>
          </w:tcPr>
          <w:p w14:paraId="5F819CCD">
            <w:pPr>
              <w:spacing w:line="360" w:lineRule="exact"/>
              <w:ind w:firstLine="0" w:firstLineChars="0"/>
              <w:jc w:val="center"/>
              <w:rPr>
                <w:color w:val="000000" w:themeColor="text1"/>
                <w:sz w:val="21"/>
                <w:szCs w:val="21"/>
                <w14:textFill>
                  <w14:solidFill>
                    <w14:schemeClr w14:val="tx1"/>
                  </w14:solidFill>
                </w14:textFill>
              </w:rPr>
            </w:pPr>
          </w:p>
        </w:tc>
        <w:tc>
          <w:tcPr>
            <w:tcW w:w="1625" w:type="pct"/>
            <w:vAlign w:val="center"/>
          </w:tcPr>
          <w:p w14:paraId="0A694702">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岸线方向/°</w:t>
            </w:r>
          </w:p>
        </w:tc>
        <w:tc>
          <w:tcPr>
            <w:tcW w:w="2044" w:type="pct"/>
            <w:vAlign w:val="center"/>
          </w:tcPr>
          <w:p w14:paraId="03D5C5BD">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14:paraId="5D6E4AAF">
      <w:pPr>
        <w:ind w:firstLine="480"/>
        <w:rPr>
          <w:color w:val="000000" w:themeColor="text1"/>
          <w14:textFill>
            <w14:solidFill>
              <w14:schemeClr w14:val="tx1"/>
            </w14:solidFill>
          </w14:textFill>
        </w:rPr>
      </w:pPr>
      <w:r>
        <w:rPr>
          <w:color w:val="000000" w:themeColor="text1"/>
          <w14:textFill>
            <w14:solidFill>
              <w14:schemeClr w14:val="tx1"/>
            </w14:solidFill>
          </w14:textFill>
        </w:rPr>
        <w:t>按照《环境影响评价技术导则大气环境》（HJ2.2-2018）规定，分别计算项目排放主要污染物的最大地面空气质量浓度占标率</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（第</w:t>
      </w:r>
      <w:r>
        <w:rPr>
          <w:i/>
          <w:color w:val="000000" w:themeColor="text1"/>
          <w14:textFill>
            <w14:solidFill>
              <w14:schemeClr w14:val="tx1"/>
            </w14:solidFill>
          </w14:textFill>
        </w:rPr>
        <w:t>i</w:t>
      </w:r>
      <w:r>
        <w:rPr>
          <w:color w:val="000000" w:themeColor="text1"/>
          <w14:textFill>
            <w14:solidFill>
              <w14:schemeClr w14:val="tx1"/>
            </w14:solidFill>
          </w14:textFill>
        </w:rPr>
        <w:t>个污染物，简称“最大浓度占标率”），及第i个污染物的地面空气质量浓度达到标准值的10%时所对应的最远距离</w:t>
      </w:r>
      <w:r>
        <w:rPr>
          <w:i/>
          <w:color w:val="000000" w:themeColor="text1"/>
          <w14:textFill>
            <w14:solidFill>
              <w14:schemeClr w14:val="tx1"/>
            </w14:solidFill>
          </w14:textFill>
        </w:rPr>
        <w:t>D</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。其中</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定义见公式（1）。</w:t>
      </w:r>
    </w:p>
    <w:p w14:paraId="6B33F4D0">
      <w:pPr>
        <w:ind w:firstLine="480"/>
        <w:jc w:val="center"/>
        <w:rPr>
          <w:color w:val="000000" w:themeColor="text1"/>
          <w14:textFill>
            <w14:solidFill>
              <w14:schemeClr w14:val="tx1"/>
            </w14:solidFill>
          </w14:textFill>
        </w:rPr>
      </w:pP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i/>
          <w:color w:val="000000" w:themeColor="text1"/>
          <w14:textFill>
            <w14:solidFill>
              <w14:schemeClr w14:val="tx1"/>
            </w14:solidFill>
          </w14:textFill>
        </w:rPr>
        <w:t>=C</w:t>
      </w:r>
      <w:r>
        <w:rPr>
          <w:i/>
          <w:color w:val="000000" w:themeColor="text1"/>
          <w:vertAlign w:val="subscript"/>
          <w14:textFill>
            <w14:solidFill>
              <w14:schemeClr w14:val="tx1"/>
            </w14:solidFill>
          </w14:textFill>
        </w:rPr>
        <w:t>i</w:t>
      </w:r>
      <w:r>
        <w:rPr>
          <w:i/>
          <w:color w:val="000000" w:themeColor="text1"/>
          <w14:textFill>
            <w14:solidFill>
              <w14:schemeClr w14:val="tx1"/>
            </w14:solidFill>
          </w14:textFill>
        </w:rPr>
        <w:t>/C</w:t>
      </w:r>
      <w:r>
        <w:rPr>
          <w:i/>
          <w:color w:val="000000" w:themeColor="text1"/>
          <w:vertAlign w:val="subscript"/>
          <w14:textFill>
            <w14:solidFill>
              <w14:schemeClr w14:val="tx1"/>
            </w14:solidFill>
          </w14:textFill>
        </w:rPr>
        <w:t>oi</w:t>
      </w:r>
      <w:r>
        <w:rPr>
          <w:color w:val="000000" w:themeColor="text1"/>
          <w14:textFill>
            <w14:solidFill>
              <w14:schemeClr w14:val="tx1"/>
            </w14:solidFill>
          </w14:textFill>
        </w:rPr>
        <w:t>×100%   （1）</w:t>
      </w:r>
    </w:p>
    <w:p w14:paraId="4343B637">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——第i个污染物的最大地面空气质量浓度占标率，%；</w:t>
      </w:r>
    </w:p>
    <w:p w14:paraId="17B23021">
      <w:pPr>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C</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——采用估算模式计算出的第i个污染物的最大1h地面空气质量浓度，μg/m³；</w:t>
      </w:r>
    </w:p>
    <w:p w14:paraId="29ED14CB">
      <w:pPr>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C</w:t>
      </w:r>
      <w:r>
        <w:rPr>
          <w:i/>
          <w:color w:val="000000" w:themeColor="text1"/>
          <w:vertAlign w:val="subscript"/>
          <w14:textFill>
            <w14:solidFill>
              <w14:schemeClr w14:val="tx1"/>
            </w14:solidFill>
          </w14:textFill>
        </w:rPr>
        <w:t>0i</w:t>
      </w:r>
      <w:r>
        <w:rPr>
          <w:color w:val="000000" w:themeColor="text1"/>
          <w14:textFill>
            <w14:solidFill>
              <w14:schemeClr w14:val="tx1"/>
            </w14:solidFill>
          </w14:textFill>
        </w:rPr>
        <w:t>——第</w:t>
      </w:r>
      <w:r>
        <w:rPr>
          <w:i/>
          <w:color w:val="000000" w:themeColor="text1"/>
          <w14:textFill>
            <w14:solidFill>
              <w14:schemeClr w14:val="tx1"/>
            </w14:solidFill>
          </w14:textFill>
        </w:rPr>
        <w:t>i</w:t>
      </w:r>
      <w:r>
        <w:rPr>
          <w:color w:val="000000" w:themeColor="text1"/>
          <w14:textFill>
            <w14:solidFill>
              <w14:schemeClr w14:val="tx1"/>
            </w14:solidFill>
          </w14:textFill>
        </w:rPr>
        <w:t>个污染物的环境空气质量标准，μg/m³。</w:t>
      </w:r>
    </w:p>
    <w:p w14:paraId="07436912">
      <w:pPr>
        <w:ind w:firstLine="480"/>
        <w:rPr>
          <w:color w:val="000000" w:themeColor="text1"/>
          <w14:textFill>
            <w14:solidFill>
              <w14:schemeClr w14:val="tx1"/>
            </w14:solidFill>
          </w14:textFill>
        </w:rPr>
      </w:pPr>
      <w:r>
        <w:rPr>
          <w:color w:val="000000" w:themeColor="text1"/>
          <w14:textFill>
            <w14:solidFill>
              <w14:schemeClr w14:val="tx1"/>
            </w14:solidFill>
          </w14:textFill>
        </w:rPr>
        <w:t>评价工作等级的判定依据见下表。</w:t>
      </w:r>
    </w:p>
    <w:p w14:paraId="4022894B">
      <w:pPr>
        <w:pStyle w:val="197"/>
        <w:ind w:firstLine="480"/>
        <w:jc w:val="center"/>
        <w:rPr>
          <w:rFonts w:ascii="Times New Roman" w:hAnsi="Times New Roman" w:eastAsia="黑体"/>
          <w:color w:val="000000" w:themeColor="text1"/>
          <w:szCs w:val="24"/>
          <w14:textFill>
            <w14:solidFill>
              <w14:schemeClr w14:val="tx1"/>
            </w14:solidFill>
          </w14:textFill>
        </w:rPr>
      </w:pPr>
      <w:r>
        <w:rPr>
          <w:rFonts w:ascii="Times New Roman" w:hAnsi="Times New Roman" w:eastAsia="黑体"/>
          <w:color w:val="000000" w:themeColor="text1"/>
          <w:szCs w:val="24"/>
          <w14:textFill>
            <w14:solidFill>
              <w14:schemeClr w14:val="tx1"/>
            </w14:solidFill>
          </w14:textFill>
        </w:rPr>
        <w:t>表5.1-3 评价工作等级</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5"/>
        <w:gridCol w:w="6453"/>
      </w:tblGrid>
      <w:tr w14:paraId="0BE5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9" w:type="pct"/>
            <w:tcBorders>
              <w:top w:val="single" w:color="auto" w:sz="4" w:space="0"/>
              <w:left w:val="single" w:color="auto" w:sz="4" w:space="0"/>
              <w:bottom w:val="single" w:color="auto" w:sz="4" w:space="0"/>
              <w:right w:val="single" w:color="auto" w:sz="4" w:space="0"/>
            </w:tcBorders>
            <w:vAlign w:val="center"/>
          </w:tcPr>
          <w:p w14:paraId="07F9CD1A">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3351" w:type="pct"/>
            <w:tcBorders>
              <w:top w:val="single" w:color="auto" w:sz="4" w:space="0"/>
              <w:left w:val="single" w:color="auto" w:sz="4" w:space="0"/>
              <w:bottom w:val="single" w:color="auto" w:sz="4" w:space="0"/>
              <w:right w:val="single" w:color="auto" w:sz="4" w:space="0"/>
            </w:tcBorders>
            <w:vAlign w:val="center"/>
          </w:tcPr>
          <w:p w14:paraId="153E2388">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评价工作等级判据</w:t>
            </w:r>
          </w:p>
        </w:tc>
      </w:tr>
      <w:tr w14:paraId="5A5C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9" w:type="pct"/>
            <w:tcBorders>
              <w:top w:val="single" w:color="auto" w:sz="4" w:space="0"/>
              <w:left w:val="single" w:color="auto" w:sz="4" w:space="0"/>
              <w:bottom w:val="single" w:color="auto" w:sz="4" w:space="0"/>
              <w:right w:val="single" w:color="auto" w:sz="4" w:space="0"/>
            </w:tcBorders>
            <w:vAlign w:val="center"/>
          </w:tcPr>
          <w:p w14:paraId="0C830F7B">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3351" w:type="pct"/>
            <w:tcBorders>
              <w:top w:val="single" w:color="auto" w:sz="4" w:space="0"/>
              <w:left w:val="single" w:color="auto" w:sz="4" w:space="0"/>
              <w:bottom w:val="single" w:color="auto" w:sz="4" w:space="0"/>
              <w:right w:val="single" w:color="auto" w:sz="4" w:space="0"/>
            </w:tcBorders>
            <w:vAlign w:val="center"/>
          </w:tcPr>
          <w:p w14:paraId="1AF594DD">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Pmax≥10%</w:t>
            </w:r>
          </w:p>
        </w:tc>
      </w:tr>
      <w:tr w14:paraId="68F3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9" w:type="pct"/>
            <w:tcBorders>
              <w:top w:val="single" w:color="auto" w:sz="4" w:space="0"/>
              <w:left w:val="single" w:color="auto" w:sz="4" w:space="0"/>
              <w:bottom w:val="single" w:color="auto" w:sz="4" w:space="0"/>
              <w:right w:val="single" w:color="auto" w:sz="4" w:space="0"/>
            </w:tcBorders>
            <w:vAlign w:val="center"/>
          </w:tcPr>
          <w:p w14:paraId="2D434781">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3351" w:type="pct"/>
            <w:tcBorders>
              <w:top w:val="single" w:color="auto" w:sz="4" w:space="0"/>
              <w:left w:val="single" w:color="auto" w:sz="4" w:space="0"/>
              <w:bottom w:val="single" w:color="auto" w:sz="4" w:space="0"/>
              <w:right w:val="single" w:color="auto" w:sz="4" w:space="0"/>
            </w:tcBorders>
            <w:vAlign w:val="center"/>
          </w:tcPr>
          <w:p w14:paraId="091AEC98">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1%≤Pmax＜10%</w:t>
            </w:r>
          </w:p>
        </w:tc>
      </w:tr>
      <w:tr w14:paraId="525E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9" w:type="pct"/>
            <w:tcBorders>
              <w:top w:val="single" w:color="auto" w:sz="4" w:space="0"/>
              <w:left w:val="single" w:color="auto" w:sz="4" w:space="0"/>
              <w:bottom w:val="single" w:color="auto" w:sz="4" w:space="0"/>
              <w:right w:val="single" w:color="auto" w:sz="4" w:space="0"/>
            </w:tcBorders>
            <w:vAlign w:val="center"/>
          </w:tcPr>
          <w:p w14:paraId="55861C56">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3351" w:type="pct"/>
            <w:tcBorders>
              <w:top w:val="single" w:color="auto" w:sz="4" w:space="0"/>
              <w:left w:val="single" w:color="auto" w:sz="4" w:space="0"/>
              <w:bottom w:val="single" w:color="auto" w:sz="4" w:space="0"/>
              <w:right w:val="single" w:color="auto" w:sz="4" w:space="0"/>
            </w:tcBorders>
            <w:vAlign w:val="center"/>
          </w:tcPr>
          <w:p w14:paraId="14F9E8A2">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Pmax＜1%</w:t>
            </w:r>
          </w:p>
        </w:tc>
      </w:tr>
    </w:tbl>
    <w:p w14:paraId="09259406">
      <w:pPr>
        <w:pStyle w:val="1214"/>
        <w:rPr>
          <w:color w:val="000000" w:themeColor="text1"/>
          <w14:textFill>
            <w14:solidFill>
              <w14:schemeClr w14:val="tx1"/>
            </w14:solidFill>
          </w14:textFill>
        </w:rPr>
      </w:pPr>
      <w:r>
        <w:rPr>
          <w:color w:val="000000" w:themeColor="text1"/>
          <w14:textFill>
            <w14:solidFill>
              <w14:schemeClr w14:val="tx1"/>
            </w14:solidFill>
          </w14:textFill>
        </w:rPr>
        <w:t>对电力、钢铁、水泥、石化、化工、平板玻璃、有色等高耗能行业的多源项目或以使用高污染燃料为主的多源项目，并且编制环境影响报告书的项目评价等级提高一级。本项目不属于前述项目，无需提级。</w:t>
      </w:r>
    </w:p>
    <w:p w14:paraId="01AC4FCC">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评价等级及评价范围判定</w:t>
      </w:r>
    </w:p>
    <w:p w14:paraId="4A7DFFA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本项目通过估算模型AERSCREEN进行计算，主要污染源估算模型计算结果见下表。</w:t>
      </w:r>
    </w:p>
    <w:p w14:paraId="5EC49802">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估算模式计算最大地面空气质量浓度占标率</w:t>
      </w:r>
    </w:p>
    <w:tbl>
      <w:tblPr>
        <w:tblStyle w:val="76"/>
        <w:tblW w:w="5000" w:type="pct"/>
        <w:tblInd w:w="0" w:type="dxa"/>
        <w:tblLayout w:type="autofit"/>
        <w:tblCellMar>
          <w:top w:w="0" w:type="dxa"/>
          <w:left w:w="108" w:type="dxa"/>
          <w:bottom w:w="0" w:type="dxa"/>
          <w:right w:w="108" w:type="dxa"/>
        </w:tblCellMar>
      </w:tblPr>
      <w:tblGrid>
        <w:gridCol w:w="1161"/>
        <w:gridCol w:w="1594"/>
        <w:gridCol w:w="2729"/>
        <w:gridCol w:w="2026"/>
        <w:gridCol w:w="2118"/>
      </w:tblGrid>
      <w:tr w14:paraId="095F96EA">
        <w:tblPrEx>
          <w:tblCellMar>
            <w:top w:w="0" w:type="dxa"/>
            <w:left w:w="108" w:type="dxa"/>
            <w:bottom w:w="0" w:type="dxa"/>
            <w:right w:w="108" w:type="dxa"/>
          </w:tblCellMar>
        </w:tblPrEx>
        <w:tc>
          <w:tcPr>
            <w:tcW w:w="603" w:type="pct"/>
            <w:tcBorders>
              <w:top w:val="single" w:color="auto" w:sz="4" w:space="0"/>
              <w:left w:val="single" w:color="auto" w:sz="4" w:space="0"/>
              <w:bottom w:val="single" w:color="auto" w:sz="4" w:space="0"/>
              <w:right w:val="single" w:color="auto" w:sz="4" w:space="0"/>
            </w:tcBorders>
            <w:vAlign w:val="center"/>
          </w:tcPr>
          <w:p w14:paraId="37087160">
            <w:pPr>
              <w:pStyle w:val="109"/>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828" w:type="pct"/>
            <w:tcBorders>
              <w:top w:val="single" w:color="auto" w:sz="4" w:space="0"/>
              <w:left w:val="nil"/>
              <w:bottom w:val="single" w:color="auto" w:sz="4" w:space="0"/>
              <w:right w:val="single" w:color="auto" w:sz="4" w:space="0"/>
            </w:tcBorders>
            <w:vAlign w:val="center"/>
          </w:tcPr>
          <w:p w14:paraId="59F231E3">
            <w:pPr>
              <w:pStyle w:val="109"/>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1417" w:type="pct"/>
            <w:tcBorders>
              <w:top w:val="single" w:color="auto" w:sz="4" w:space="0"/>
              <w:left w:val="nil"/>
              <w:bottom w:val="single" w:color="auto" w:sz="4" w:space="0"/>
              <w:right w:val="single" w:color="auto" w:sz="4" w:space="0"/>
            </w:tcBorders>
            <w:vAlign w:val="center"/>
          </w:tcPr>
          <w:p w14:paraId="3B70AC47">
            <w:pPr>
              <w:pStyle w:val="109"/>
              <w:rPr>
                <w:color w:val="000000" w:themeColor="text1"/>
                <w14:textFill>
                  <w14:solidFill>
                    <w14:schemeClr w14:val="tx1"/>
                  </w14:solidFill>
                </w14:textFill>
              </w:rPr>
            </w:pPr>
            <w:r>
              <w:rPr>
                <w:color w:val="000000" w:themeColor="text1"/>
                <w14:textFill>
                  <w14:solidFill>
                    <w14:schemeClr w14:val="tx1"/>
                  </w14:solidFill>
                </w14:textFill>
              </w:rPr>
              <w:t>Cmax(μg/m³)</w:t>
            </w:r>
          </w:p>
        </w:tc>
        <w:tc>
          <w:tcPr>
            <w:tcW w:w="1052" w:type="pct"/>
            <w:tcBorders>
              <w:top w:val="single" w:color="auto" w:sz="4" w:space="0"/>
              <w:left w:val="nil"/>
              <w:bottom w:val="single" w:color="auto" w:sz="4" w:space="0"/>
              <w:right w:val="single" w:color="auto" w:sz="4" w:space="0"/>
            </w:tcBorders>
            <w:vAlign w:val="center"/>
          </w:tcPr>
          <w:p w14:paraId="6C8DFF53">
            <w:pPr>
              <w:pStyle w:val="109"/>
              <w:rPr>
                <w:color w:val="000000" w:themeColor="text1"/>
                <w14:textFill>
                  <w14:solidFill>
                    <w14:schemeClr w14:val="tx1"/>
                  </w14:solidFill>
                </w14:textFill>
              </w:rPr>
            </w:pPr>
            <w:r>
              <w:rPr>
                <w:color w:val="000000" w:themeColor="text1"/>
                <w14:textFill>
                  <w14:solidFill>
                    <w14:schemeClr w14:val="tx1"/>
                  </w14:solidFill>
                </w14:textFill>
              </w:rPr>
              <w:t>Pmax(%)</w:t>
            </w:r>
          </w:p>
        </w:tc>
        <w:tc>
          <w:tcPr>
            <w:tcW w:w="1100" w:type="pct"/>
            <w:tcBorders>
              <w:top w:val="single" w:color="auto" w:sz="4" w:space="0"/>
              <w:left w:val="nil"/>
              <w:bottom w:val="single" w:color="auto" w:sz="4" w:space="0"/>
              <w:right w:val="single" w:color="auto" w:sz="4" w:space="0"/>
            </w:tcBorders>
            <w:vAlign w:val="center"/>
          </w:tcPr>
          <w:p w14:paraId="1E8903B2">
            <w:pPr>
              <w:pStyle w:val="109"/>
              <w:rPr>
                <w:color w:val="000000" w:themeColor="text1"/>
                <w14:textFill>
                  <w14:solidFill>
                    <w14:schemeClr w14:val="tx1"/>
                  </w14:solidFill>
                </w14:textFill>
              </w:rPr>
            </w:pPr>
            <w:r>
              <w:rPr>
                <w:color w:val="000000" w:themeColor="text1"/>
                <w14:textFill>
                  <w14:solidFill>
                    <w14:schemeClr w14:val="tx1"/>
                  </w14:solidFill>
                </w14:textFill>
              </w:rPr>
              <w:t>D10%(m)</w:t>
            </w:r>
          </w:p>
        </w:tc>
      </w:tr>
      <w:tr w14:paraId="17080C20">
        <w:tblPrEx>
          <w:tblCellMar>
            <w:top w:w="0" w:type="dxa"/>
            <w:left w:w="108" w:type="dxa"/>
            <w:bottom w:w="0" w:type="dxa"/>
            <w:right w:w="108" w:type="dxa"/>
          </w:tblCellMar>
        </w:tblPrEx>
        <w:tc>
          <w:tcPr>
            <w:tcW w:w="603" w:type="pct"/>
            <w:tcBorders>
              <w:top w:val="nil"/>
              <w:left w:val="single" w:color="auto" w:sz="4" w:space="0"/>
              <w:bottom w:val="single" w:color="auto" w:sz="4" w:space="0"/>
              <w:right w:val="single" w:color="auto" w:sz="4" w:space="0"/>
            </w:tcBorders>
            <w:vAlign w:val="center"/>
          </w:tcPr>
          <w:p w14:paraId="332D3AE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DA001</w:t>
            </w:r>
          </w:p>
        </w:tc>
        <w:tc>
          <w:tcPr>
            <w:tcW w:w="828" w:type="pct"/>
            <w:tcBorders>
              <w:top w:val="nil"/>
              <w:left w:val="nil"/>
              <w:bottom w:val="single" w:color="auto" w:sz="4" w:space="0"/>
              <w:right w:val="single" w:color="auto" w:sz="4" w:space="0"/>
            </w:tcBorders>
            <w:vAlign w:val="center"/>
          </w:tcPr>
          <w:p w14:paraId="693A0DC7">
            <w:pPr>
              <w:pStyle w:val="109"/>
              <w:rPr>
                <w:color w:val="000000" w:themeColor="text1"/>
                <w14:textFill>
                  <w14:solidFill>
                    <w14:schemeClr w14:val="tx1"/>
                  </w14:solidFill>
                </w14:textFill>
              </w:rPr>
            </w:pPr>
            <w:r>
              <w:rPr>
                <w:color w:val="000000" w:themeColor="text1"/>
                <w14:textFill>
                  <w14:solidFill>
                    <w14:schemeClr w14:val="tx1"/>
                  </w14:solidFill>
                </w14:textFill>
              </w:rPr>
              <w:t>VOCs</w:t>
            </w:r>
          </w:p>
        </w:tc>
        <w:tc>
          <w:tcPr>
            <w:tcW w:w="1417" w:type="pct"/>
            <w:tcBorders>
              <w:top w:val="nil"/>
              <w:left w:val="nil"/>
              <w:bottom w:val="single" w:color="auto" w:sz="4" w:space="0"/>
              <w:right w:val="single" w:color="auto" w:sz="4" w:space="0"/>
            </w:tcBorders>
            <w:vAlign w:val="center"/>
          </w:tcPr>
          <w:p w14:paraId="732F8546">
            <w:pPr>
              <w:pStyle w:val="109"/>
              <w:rPr>
                <w:color w:val="000000" w:themeColor="text1"/>
                <w14:textFill>
                  <w14:solidFill>
                    <w14:schemeClr w14:val="tx1"/>
                  </w14:solidFill>
                </w14:textFill>
              </w:rPr>
            </w:pPr>
            <w:r>
              <w:rPr>
                <w:color w:val="000000" w:themeColor="text1"/>
                <w14:textFill>
                  <w14:solidFill>
                    <w14:schemeClr w14:val="tx1"/>
                  </w14:solidFill>
                </w14:textFill>
              </w:rPr>
              <w:t>0.0002783</w:t>
            </w:r>
          </w:p>
        </w:tc>
        <w:tc>
          <w:tcPr>
            <w:tcW w:w="1052" w:type="pct"/>
            <w:tcBorders>
              <w:top w:val="nil"/>
              <w:left w:val="nil"/>
              <w:bottom w:val="single" w:color="auto" w:sz="4" w:space="0"/>
              <w:right w:val="single" w:color="auto" w:sz="4" w:space="0"/>
            </w:tcBorders>
            <w:vAlign w:val="center"/>
          </w:tcPr>
          <w:p w14:paraId="0118C38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2E1281B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FFCC93A">
        <w:tblPrEx>
          <w:tblCellMar>
            <w:top w:w="0" w:type="dxa"/>
            <w:left w:w="108" w:type="dxa"/>
            <w:bottom w:w="0" w:type="dxa"/>
            <w:right w:w="108" w:type="dxa"/>
          </w:tblCellMar>
        </w:tblPrEx>
        <w:tc>
          <w:tcPr>
            <w:tcW w:w="603" w:type="pct"/>
            <w:vMerge w:val="restart"/>
            <w:tcBorders>
              <w:top w:val="nil"/>
              <w:left w:val="single" w:color="auto" w:sz="4" w:space="0"/>
              <w:right w:val="single" w:color="auto" w:sz="4" w:space="0"/>
            </w:tcBorders>
            <w:vAlign w:val="center"/>
          </w:tcPr>
          <w:p w14:paraId="2AC5EC2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DA002</w:t>
            </w:r>
          </w:p>
        </w:tc>
        <w:tc>
          <w:tcPr>
            <w:tcW w:w="828" w:type="pct"/>
            <w:tcBorders>
              <w:top w:val="nil"/>
              <w:left w:val="nil"/>
              <w:bottom w:val="single" w:color="auto" w:sz="4" w:space="0"/>
              <w:right w:val="single" w:color="auto" w:sz="4" w:space="0"/>
            </w:tcBorders>
          </w:tcPr>
          <w:p w14:paraId="060138B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417" w:type="pct"/>
            <w:tcBorders>
              <w:top w:val="nil"/>
              <w:left w:val="nil"/>
              <w:bottom w:val="single" w:color="auto" w:sz="4" w:space="0"/>
              <w:right w:val="single" w:color="auto" w:sz="4" w:space="0"/>
            </w:tcBorders>
            <w:vAlign w:val="center"/>
          </w:tcPr>
          <w:p w14:paraId="77E8E06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0.000873</w:t>
            </w:r>
          </w:p>
        </w:tc>
        <w:tc>
          <w:tcPr>
            <w:tcW w:w="1052" w:type="pct"/>
            <w:tcBorders>
              <w:top w:val="nil"/>
              <w:left w:val="nil"/>
              <w:bottom w:val="single" w:color="auto" w:sz="4" w:space="0"/>
              <w:right w:val="single" w:color="auto" w:sz="4" w:space="0"/>
            </w:tcBorders>
            <w:vAlign w:val="center"/>
          </w:tcPr>
          <w:p w14:paraId="3BF6193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0.19</w:t>
            </w:r>
          </w:p>
        </w:tc>
        <w:tc>
          <w:tcPr>
            <w:tcW w:w="1100" w:type="pct"/>
            <w:tcBorders>
              <w:top w:val="nil"/>
              <w:left w:val="nil"/>
              <w:bottom w:val="single" w:color="auto" w:sz="4" w:space="0"/>
              <w:right w:val="single" w:color="auto" w:sz="4" w:space="0"/>
            </w:tcBorders>
            <w:vAlign w:val="center"/>
          </w:tcPr>
          <w:p w14:paraId="6B33096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70F3CC0F">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3FC08605">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57E24063">
            <w:pPr>
              <w:pStyle w:val="109"/>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417" w:type="pct"/>
            <w:tcBorders>
              <w:top w:val="nil"/>
              <w:left w:val="nil"/>
              <w:bottom w:val="single" w:color="auto" w:sz="4" w:space="0"/>
              <w:right w:val="single" w:color="auto" w:sz="4" w:space="0"/>
            </w:tcBorders>
            <w:vAlign w:val="center"/>
          </w:tcPr>
          <w:p w14:paraId="1DCCF64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0.002293</w:t>
            </w:r>
          </w:p>
        </w:tc>
        <w:tc>
          <w:tcPr>
            <w:tcW w:w="1052" w:type="pct"/>
            <w:tcBorders>
              <w:top w:val="nil"/>
              <w:left w:val="nil"/>
              <w:bottom w:val="single" w:color="auto" w:sz="4" w:space="0"/>
              <w:right w:val="single" w:color="auto" w:sz="4" w:space="0"/>
            </w:tcBorders>
            <w:vAlign w:val="center"/>
          </w:tcPr>
          <w:p w14:paraId="5B0FB86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2.29</w:t>
            </w:r>
          </w:p>
        </w:tc>
        <w:tc>
          <w:tcPr>
            <w:tcW w:w="1100" w:type="pct"/>
            <w:tcBorders>
              <w:top w:val="nil"/>
              <w:left w:val="nil"/>
              <w:bottom w:val="single" w:color="auto" w:sz="4" w:space="0"/>
              <w:right w:val="single" w:color="auto" w:sz="4" w:space="0"/>
            </w:tcBorders>
            <w:vAlign w:val="center"/>
          </w:tcPr>
          <w:p w14:paraId="05217E3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02634485">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53E8519C">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128FB8BF">
            <w:pPr>
              <w:pStyle w:val="109"/>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1417" w:type="pct"/>
            <w:tcBorders>
              <w:top w:val="nil"/>
              <w:left w:val="nil"/>
              <w:bottom w:val="single" w:color="auto" w:sz="4" w:space="0"/>
              <w:right w:val="single" w:color="auto" w:sz="4" w:space="0"/>
            </w:tcBorders>
            <w:vAlign w:val="center"/>
          </w:tcPr>
          <w:p w14:paraId="2EAF408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0.004018</w:t>
            </w:r>
          </w:p>
        </w:tc>
        <w:tc>
          <w:tcPr>
            <w:tcW w:w="1052" w:type="pct"/>
            <w:tcBorders>
              <w:top w:val="nil"/>
              <w:left w:val="nil"/>
              <w:bottom w:val="single" w:color="auto" w:sz="4" w:space="0"/>
              <w:right w:val="single" w:color="auto" w:sz="4" w:space="0"/>
            </w:tcBorders>
            <w:vAlign w:val="center"/>
          </w:tcPr>
          <w:p w14:paraId="144AEC9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2.01</w:t>
            </w:r>
          </w:p>
        </w:tc>
        <w:tc>
          <w:tcPr>
            <w:tcW w:w="1100" w:type="pct"/>
            <w:tcBorders>
              <w:top w:val="nil"/>
              <w:left w:val="nil"/>
              <w:bottom w:val="single" w:color="auto" w:sz="4" w:space="0"/>
              <w:right w:val="single" w:color="auto" w:sz="4" w:space="0"/>
            </w:tcBorders>
            <w:vAlign w:val="center"/>
          </w:tcPr>
          <w:p w14:paraId="1962E7C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CFE7E3B">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354859C4">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33A87791">
            <w:pPr>
              <w:pStyle w:val="109"/>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417" w:type="pct"/>
            <w:tcBorders>
              <w:top w:val="nil"/>
              <w:left w:val="nil"/>
              <w:bottom w:val="single" w:color="auto" w:sz="4" w:space="0"/>
              <w:right w:val="single" w:color="auto" w:sz="4" w:space="0"/>
            </w:tcBorders>
            <w:vAlign w:val="center"/>
          </w:tcPr>
          <w:p w14:paraId="60FFCB7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0.00299</w:t>
            </w:r>
          </w:p>
        </w:tc>
        <w:tc>
          <w:tcPr>
            <w:tcW w:w="1052" w:type="pct"/>
            <w:tcBorders>
              <w:top w:val="nil"/>
              <w:left w:val="nil"/>
              <w:bottom w:val="single" w:color="auto" w:sz="4" w:space="0"/>
              <w:right w:val="single" w:color="auto" w:sz="4" w:space="0"/>
            </w:tcBorders>
            <w:vAlign w:val="center"/>
          </w:tcPr>
          <w:p w14:paraId="502D939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1100" w:type="pct"/>
            <w:tcBorders>
              <w:top w:val="nil"/>
              <w:left w:val="nil"/>
              <w:bottom w:val="single" w:color="auto" w:sz="4" w:space="0"/>
              <w:right w:val="single" w:color="auto" w:sz="4" w:space="0"/>
            </w:tcBorders>
            <w:vAlign w:val="center"/>
          </w:tcPr>
          <w:p w14:paraId="7F84996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60586C45">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6A3D67AF">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50BFA500">
            <w:pPr>
              <w:pStyle w:val="109"/>
              <w:rPr>
                <w:color w:val="000000" w:themeColor="text1"/>
                <w14:textFill>
                  <w14:solidFill>
                    <w14:schemeClr w14:val="tx1"/>
                  </w14:solidFill>
                </w14:textFill>
              </w:rPr>
            </w:pPr>
            <w:r>
              <w:rPr>
                <w:color w:val="000000" w:themeColor="text1"/>
                <w14:textFill>
                  <w14:solidFill>
                    <w14:schemeClr w14:val="tx1"/>
                  </w14:solidFill>
                </w14:textFill>
              </w:rPr>
              <w:t>HF</w:t>
            </w:r>
          </w:p>
        </w:tc>
        <w:tc>
          <w:tcPr>
            <w:tcW w:w="1417" w:type="pct"/>
            <w:tcBorders>
              <w:top w:val="nil"/>
              <w:left w:val="nil"/>
              <w:bottom w:val="single" w:color="auto" w:sz="4" w:space="0"/>
              <w:right w:val="single" w:color="auto" w:sz="4" w:space="0"/>
            </w:tcBorders>
            <w:vAlign w:val="center"/>
          </w:tcPr>
          <w:p w14:paraId="6329D79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7.89E-05</w:t>
            </w:r>
          </w:p>
        </w:tc>
        <w:tc>
          <w:tcPr>
            <w:tcW w:w="1052" w:type="pct"/>
            <w:tcBorders>
              <w:top w:val="nil"/>
              <w:left w:val="nil"/>
              <w:bottom w:val="single" w:color="auto" w:sz="4" w:space="0"/>
              <w:right w:val="single" w:color="auto" w:sz="4" w:space="0"/>
            </w:tcBorders>
            <w:vAlign w:val="center"/>
          </w:tcPr>
          <w:p w14:paraId="574015C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0.39</w:t>
            </w:r>
          </w:p>
        </w:tc>
        <w:tc>
          <w:tcPr>
            <w:tcW w:w="1100" w:type="pct"/>
            <w:tcBorders>
              <w:top w:val="nil"/>
              <w:left w:val="nil"/>
              <w:bottom w:val="single" w:color="auto" w:sz="4" w:space="0"/>
              <w:right w:val="single" w:color="auto" w:sz="4" w:space="0"/>
            </w:tcBorders>
            <w:vAlign w:val="center"/>
          </w:tcPr>
          <w:p w14:paraId="5090DC1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7168D079">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3B3E6DF4">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650D1024">
            <w:pPr>
              <w:pStyle w:val="109"/>
              <w:rPr>
                <w:color w:val="000000" w:themeColor="text1"/>
                <w14:textFill>
                  <w14:solidFill>
                    <w14:schemeClr w14:val="tx1"/>
                  </w14:solidFill>
                </w14:textFill>
              </w:rPr>
            </w:pPr>
            <w:r>
              <w:rPr>
                <w:color w:val="000000" w:themeColor="text1"/>
                <w14:textFill>
                  <w14:solidFill>
                    <w14:schemeClr w14:val="tx1"/>
                  </w14:solidFill>
                </w14:textFill>
              </w:rPr>
              <w:t>HCl</w:t>
            </w:r>
          </w:p>
        </w:tc>
        <w:tc>
          <w:tcPr>
            <w:tcW w:w="1417" w:type="pct"/>
            <w:tcBorders>
              <w:top w:val="nil"/>
              <w:left w:val="nil"/>
              <w:bottom w:val="single" w:color="auto" w:sz="4" w:space="0"/>
              <w:right w:val="single" w:color="auto" w:sz="4" w:space="0"/>
            </w:tcBorders>
            <w:vAlign w:val="center"/>
          </w:tcPr>
          <w:p w14:paraId="4131218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0.002308</w:t>
            </w:r>
          </w:p>
        </w:tc>
        <w:tc>
          <w:tcPr>
            <w:tcW w:w="1052" w:type="pct"/>
            <w:tcBorders>
              <w:top w:val="nil"/>
              <w:left w:val="nil"/>
              <w:bottom w:val="single" w:color="auto" w:sz="4" w:space="0"/>
              <w:right w:val="single" w:color="auto" w:sz="4" w:space="0"/>
            </w:tcBorders>
            <w:vAlign w:val="center"/>
          </w:tcPr>
          <w:p w14:paraId="14DEFEF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4.62</w:t>
            </w:r>
          </w:p>
        </w:tc>
        <w:tc>
          <w:tcPr>
            <w:tcW w:w="1100" w:type="pct"/>
            <w:tcBorders>
              <w:top w:val="nil"/>
              <w:left w:val="nil"/>
              <w:bottom w:val="single" w:color="auto" w:sz="4" w:space="0"/>
              <w:right w:val="single" w:color="auto" w:sz="4" w:space="0"/>
            </w:tcBorders>
            <w:vAlign w:val="center"/>
          </w:tcPr>
          <w:p w14:paraId="49E8574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0ED612B2">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5D12AD10">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3086297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汞及其化合物</w:t>
            </w:r>
          </w:p>
        </w:tc>
        <w:tc>
          <w:tcPr>
            <w:tcW w:w="1417" w:type="pct"/>
            <w:tcBorders>
              <w:top w:val="nil"/>
              <w:left w:val="nil"/>
              <w:bottom w:val="single" w:color="auto" w:sz="4" w:space="0"/>
              <w:right w:val="single" w:color="auto" w:sz="4" w:space="0"/>
            </w:tcBorders>
            <w:vAlign w:val="center"/>
          </w:tcPr>
          <w:p w14:paraId="25F0735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1.5E-07</w:t>
            </w:r>
          </w:p>
        </w:tc>
        <w:tc>
          <w:tcPr>
            <w:tcW w:w="1052" w:type="pct"/>
            <w:tcBorders>
              <w:top w:val="nil"/>
              <w:left w:val="nil"/>
              <w:bottom w:val="single" w:color="auto" w:sz="4" w:space="0"/>
              <w:right w:val="single" w:color="auto" w:sz="4" w:space="0"/>
            </w:tcBorders>
            <w:vAlign w:val="center"/>
          </w:tcPr>
          <w:p w14:paraId="1486DA8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14795C4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E22AD94">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4597F6A7">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71DE432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铊及其化合物</w:t>
            </w:r>
          </w:p>
        </w:tc>
        <w:tc>
          <w:tcPr>
            <w:tcW w:w="1417" w:type="pct"/>
            <w:tcBorders>
              <w:top w:val="nil"/>
              <w:left w:val="nil"/>
              <w:bottom w:val="single" w:color="auto" w:sz="4" w:space="0"/>
              <w:right w:val="single" w:color="auto" w:sz="4" w:space="0"/>
            </w:tcBorders>
            <w:vAlign w:val="center"/>
          </w:tcPr>
          <w:p w14:paraId="76C30AE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7.48E-09</w:t>
            </w:r>
          </w:p>
        </w:tc>
        <w:tc>
          <w:tcPr>
            <w:tcW w:w="1052" w:type="pct"/>
            <w:tcBorders>
              <w:top w:val="nil"/>
              <w:left w:val="nil"/>
              <w:bottom w:val="single" w:color="auto" w:sz="4" w:space="0"/>
              <w:right w:val="single" w:color="auto" w:sz="4" w:space="0"/>
            </w:tcBorders>
            <w:vAlign w:val="center"/>
          </w:tcPr>
          <w:p w14:paraId="3385402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19FB70C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ACF8F76">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7369E972">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412D9CB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镉及其化合物</w:t>
            </w:r>
          </w:p>
        </w:tc>
        <w:tc>
          <w:tcPr>
            <w:tcW w:w="1417" w:type="pct"/>
            <w:tcBorders>
              <w:top w:val="nil"/>
              <w:left w:val="nil"/>
              <w:bottom w:val="single" w:color="auto" w:sz="4" w:space="0"/>
              <w:right w:val="single" w:color="auto" w:sz="4" w:space="0"/>
            </w:tcBorders>
            <w:vAlign w:val="center"/>
          </w:tcPr>
          <w:p w14:paraId="0DE224A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4.49E-07</w:t>
            </w:r>
          </w:p>
        </w:tc>
        <w:tc>
          <w:tcPr>
            <w:tcW w:w="1052" w:type="pct"/>
            <w:tcBorders>
              <w:top w:val="nil"/>
              <w:left w:val="nil"/>
              <w:bottom w:val="single" w:color="auto" w:sz="4" w:space="0"/>
              <w:right w:val="single" w:color="auto" w:sz="4" w:space="0"/>
            </w:tcBorders>
          </w:tcPr>
          <w:p w14:paraId="37A5AE8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6A264FC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27511631">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67BF799B">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37A9240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铅及其化合物</w:t>
            </w:r>
          </w:p>
        </w:tc>
        <w:tc>
          <w:tcPr>
            <w:tcW w:w="1417" w:type="pct"/>
            <w:tcBorders>
              <w:top w:val="nil"/>
              <w:left w:val="nil"/>
              <w:bottom w:val="single" w:color="auto" w:sz="4" w:space="0"/>
              <w:right w:val="single" w:color="auto" w:sz="4" w:space="0"/>
            </w:tcBorders>
            <w:vAlign w:val="center"/>
          </w:tcPr>
          <w:p w14:paraId="6ED8BA0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1.56E-06</w:t>
            </w:r>
          </w:p>
        </w:tc>
        <w:tc>
          <w:tcPr>
            <w:tcW w:w="1052" w:type="pct"/>
            <w:tcBorders>
              <w:top w:val="nil"/>
              <w:left w:val="nil"/>
              <w:bottom w:val="single" w:color="auto" w:sz="4" w:space="0"/>
              <w:right w:val="single" w:color="auto" w:sz="4" w:space="0"/>
            </w:tcBorders>
          </w:tcPr>
          <w:p w14:paraId="0B66487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6DF6922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4D9E14D8">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6CCD28BE">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15A1042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砷及其化合物</w:t>
            </w:r>
          </w:p>
        </w:tc>
        <w:tc>
          <w:tcPr>
            <w:tcW w:w="1417" w:type="pct"/>
            <w:tcBorders>
              <w:top w:val="nil"/>
              <w:left w:val="nil"/>
              <w:bottom w:val="single" w:color="auto" w:sz="4" w:space="0"/>
              <w:right w:val="single" w:color="auto" w:sz="4" w:space="0"/>
            </w:tcBorders>
            <w:vAlign w:val="center"/>
          </w:tcPr>
          <w:p w14:paraId="5D28FAD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2.99E-06</w:t>
            </w:r>
          </w:p>
        </w:tc>
        <w:tc>
          <w:tcPr>
            <w:tcW w:w="1052" w:type="pct"/>
            <w:tcBorders>
              <w:top w:val="nil"/>
              <w:left w:val="nil"/>
              <w:bottom w:val="single" w:color="auto" w:sz="4" w:space="0"/>
              <w:right w:val="single" w:color="auto" w:sz="4" w:space="0"/>
            </w:tcBorders>
            <w:vAlign w:val="center"/>
          </w:tcPr>
          <w:p w14:paraId="082C36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23429D6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00D101D2">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44928FCA">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45A312B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铬及其化合物</w:t>
            </w:r>
          </w:p>
        </w:tc>
        <w:tc>
          <w:tcPr>
            <w:tcW w:w="1417" w:type="pct"/>
            <w:tcBorders>
              <w:top w:val="nil"/>
              <w:left w:val="nil"/>
              <w:bottom w:val="single" w:color="auto" w:sz="4" w:space="0"/>
              <w:right w:val="single" w:color="auto" w:sz="4" w:space="0"/>
            </w:tcBorders>
            <w:vAlign w:val="center"/>
          </w:tcPr>
          <w:p w14:paraId="1C13057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7.48E-08</w:t>
            </w:r>
          </w:p>
        </w:tc>
        <w:tc>
          <w:tcPr>
            <w:tcW w:w="1052" w:type="pct"/>
            <w:tcBorders>
              <w:top w:val="nil"/>
              <w:left w:val="nil"/>
              <w:bottom w:val="single" w:color="auto" w:sz="4" w:space="0"/>
              <w:right w:val="single" w:color="auto" w:sz="4" w:space="0"/>
            </w:tcBorders>
            <w:vAlign w:val="center"/>
          </w:tcPr>
          <w:p w14:paraId="20C5D5D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1100" w:type="pct"/>
            <w:tcBorders>
              <w:top w:val="nil"/>
              <w:left w:val="nil"/>
              <w:bottom w:val="single" w:color="auto" w:sz="4" w:space="0"/>
              <w:right w:val="single" w:color="auto" w:sz="4" w:space="0"/>
            </w:tcBorders>
            <w:vAlign w:val="center"/>
          </w:tcPr>
          <w:p w14:paraId="60AA502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5F98D7C">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6D3F841E">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38BC60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锡、锑、铜、锰、</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镍、钴及其化合</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物</w:t>
            </w:r>
          </w:p>
        </w:tc>
        <w:tc>
          <w:tcPr>
            <w:tcW w:w="1417" w:type="pct"/>
            <w:tcBorders>
              <w:top w:val="nil"/>
              <w:left w:val="nil"/>
              <w:bottom w:val="single" w:color="auto" w:sz="4" w:space="0"/>
              <w:right w:val="single" w:color="auto" w:sz="4" w:space="0"/>
            </w:tcBorders>
            <w:vAlign w:val="center"/>
          </w:tcPr>
          <w:p w14:paraId="2DDE091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5.24E-07</w:t>
            </w:r>
          </w:p>
        </w:tc>
        <w:tc>
          <w:tcPr>
            <w:tcW w:w="1052" w:type="pct"/>
            <w:tcBorders>
              <w:top w:val="nil"/>
              <w:left w:val="nil"/>
              <w:bottom w:val="single" w:color="auto" w:sz="4" w:space="0"/>
              <w:right w:val="single" w:color="auto" w:sz="4" w:space="0"/>
            </w:tcBorders>
            <w:vAlign w:val="center"/>
          </w:tcPr>
          <w:p w14:paraId="3A0F46F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77215CF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DE83908">
        <w:tblPrEx>
          <w:tblCellMar>
            <w:top w:w="0" w:type="dxa"/>
            <w:left w:w="108" w:type="dxa"/>
            <w:bottom w:w="0" w:type="dxa"/>
            <w:right w:w="108" w:type="dxa"/>
          </w:tblCellMar>
        </w:tblPrEx>
        <w:tc>
          <w:tcPr>
            <w:tcW w:w="603" w:type="pct"/>
            <w:vMerge w:val="continue"/>
            <w:tcBorders>
              <w:left w:val="single" w:color="auto" w:sz="4" w:space="0"/>
              <w:bottom w:val="single" w:color="auto" w:sz="4" w:space="0"/>
              <w:right w:val="single" w:color="auto" w:sz="4" w:space="0"/>
            </w:tcBorders>
            <w:vAlign w:val="center"/>
          </w:tcPr>
          <w:p w14:paraId="61B5A8C9">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1118FF9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二噁英类p</w:t>
            </w:r>
            <w:r>
              <w:rPr>
                <w:color w:val="000000" w:themeColor="text1"/>
                <w14:textFill>
                  <w14:solidFill>
                    <w14:schemeClr w14:val="tx1"/>
                  </w14:solidFill>
                </w14:textFill>
              </w:rPr>
              <w:t>gTEQ/Nm³</w:t>
            </w:r>
          </w:p>
        </w:tc>
        <w:tc>
          <w:tcPr>
            <w:tcW w:w="1417" w:type="pct"/>
            <w:tcBorders>
              <w:top w:val="nil"/>
              <w:left w:val="nil"/>
              <w:bottom w:val="single" w:color="auto" w:sz="4" w:space="0"/>
              <w:right w:val="single" w:color="auto" w:sz="4" w:space="0"/>
            </w:tcBorders>
            <w:vAlign w:val="center"/>
          </w:tcPr>
          <w:p w14:paraId="0711EBC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0.00078</w:t>
            </w:r>
          </w:p>
        </w:tc>
        <w:tc>
          <w:tcPr>
            <w:tcW w:w="1052" w:type="pct"/>
            <w:tcBorders>
              <w:top w:val="nil"/>
              <w:left w:val="nil"/>
              <w:bottom w:val="single" w:color="auto" w:sz="4" w:space="0"/>
              <w:right w:val="single" w:color="auto" w:sz="4" w:space="0"/>
            </w:tcBorders>
            <w:vAlign w:val="center"/>
          </w:tcPr>
          <w:p w14:paraId="558F9D7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0.13</w:t>
            </w:r>
          </w:p>
        </w:tc>
        <w:tc>
          <w:tcPr>
            <w:tcW w:w="1100" w:type="pct"/>
            <w:tcBorders>
              <w:top w:val="nil"/>
              <w:left w:val="nil"/>
              <w:bottom w:val="single" w:color="auto" w:sz="4" w:space="0"/>
              <w:right w:val="single" w:color="auto" w:sz="4" w:space="0"/>
            </w:tcBorders>
            <w:vAlign w:val="center"/>
          </w:tcPr>
          <w:p w14:paraId="0198CC7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3E0D476D">
        <w:tblPrEx>
          <w:tblCellMar>
            <w:top w:w="0" w:type="dxa"/>
            <w:left w:w="108" w:type="dxa"/>
            <w:bottom w:w="0" w:type="dxa"/>
            <w:right w:w="108" w:type="dxa"/>
          </w:tblCellMar>
        </w:tblPrEx>
        <w:tc>
          <w:tcPr>
            <w:tcW w:w="603" w:type="pct"/>
            <w:vMerge w:val="restart"/>
            <w:tcBorders>
              <w:left w:val="single" w:color="auto" w:sz="4" w:space="0"/>
              <w:right w:val="single" w:color="auto" w:sz="4" w:space="0"/>
            </w:tcBorders>
            <w:vAlign w:val="center"/>
          </w:tcPr>
          <w:p w14:paraId="30E0DF4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DA003</w:t>
            </w:r>
          </w:p>
        </w:tc>
        <w:tc>
          <w:tcPr>
            <w:tcW w:w="828" w:type="pct"/>
            <w:tcBorders>
              <w:top w:val="nil"/>
              <w:left w:val="nil"/>
              <w:bottom w:val="single" w:color="auto" w:sz="4" w:space="0"/>
              <w:right w:val="single" w:color="auto" w:sz="4" w:space="0"/>
            </w:tcBorders>
          </w:tcPr>
          <w:p w14:paraId="3DE2269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417" w:type="pct"/>
            <w:tcBorders>
              <w:top w:val="nil"/>
              <w:left w:val="nil"/>
              <w:bottom w:val="single" w:color="auto" w:sz="4" w:space="0"/>
              <w:right w:val="single" w:color="auto" w:sz="4" w:space="0"/>
            </w:tcBorders>
            <w:vAlign w:val="center"/>
          </w:tcPr>
          <w:p w14:paraId="27EE73F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0.000347</w:t>
            </w:r>
          </w:p>
        </w:tc>
        <w:tc>
          <w:tcPr>
            <w:tcW w:w="1052" w:type="pct"/>
            <w:tcBorders>
              <w:top w:val="nil"/>
              <w:left w:val="nil"/>
              <w:bottom w:val="single" w:color="auto" w:sz="4" w:space="0"/>
              <w:right w:val="single" w:color="auto" w:sz="4" w:space="0"/>
            </w:tcBorders>
            <w:vAlign w:val="center"/>
          </w:tcPr>
          <w:p w14:paraId="01E3F57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1100" w:type="pct"/>
            <w:tcBorders>
              <w:top w:val="nil"/>
              <w:left w:val="nil"/>
              <w:bottom w:val="single" w:color="auto" w:sz="4" w:space="0"/>
              <w:right w:val="single" w:color="auto" w:sz="4" w:space="0"/>
            </w:tcBorders>
          </w:tcPr>
          <w:p w14:paraId="214DBB0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305E262E">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1E79F472">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47A376B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氮氧化物</w:t>
            </w:r>
          </w:p>
        </w:tc>
        <w:tc>
          <w:tcPr>
            <w:tcW w:w="1417" w:type="pct"/>
            <w:tcBorders>
              <w:top w:val="nil"/>
              <w:left w:val="nil"/>
              <w:bottom w:val="single" w:color="auto" w:sz="4" w:space="0"/>
              <w:right w:val="single" w:color="auto" w:sz="4" w:space="0"/>
            </w:tcBorders>
            <w:vAlign w:val="center"/>
          </w:tcPr>
          <w:p w14:paraId="650DC78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0.00549</w:t>
            </w:r>
          </w:p>
        </w:tc>
        <w:tc>
          <w:tcPr>
            <w:tcW w:w="1052" w:type="pct"/>
            <w:tcBorders>
              <w:top w:val="nil"/>
              <w:left w:val="nil"/>
              <w:bottom w:val="single" w:color="auto" w:sz="4" w:space="0"/>
              <w:right w:val="single" w:color="auto" w:sz="4" w:space="0"/>
            </w:tcBorders>
            <w:vAlign w:val="center"/>
          </w:tcPr>
          <w:p w14:paraId="5CAD8F9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2.74</w:t>
            </w:r>
          </w:p>
        </w:tc>
        <w:tc>
          <w:tcPr>
            <w:tcW w:w="1100" w:type="pct"/>
            <w:tcBorders>
              <w:top w:val="nil"/>
              <w:left w:val="nil"/>
              <w:bottom w:val="single" w:color="auto" w:sz="4" w:space="0"/>
              <w:right w:val="single" w:color="auto" w:sz="4" w:space="0"/>
            </w:tcBorders>
          </w:tcPr>
          <w:p w14:paraId="0969869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1ADEC29">
        <w:tblPrEx>
          <w:tblCellMar>
            <w:top w:w="0" w:type="dxa"/>
            <w:left w:w="108" w:type="dxa"/>
            <w:bottom w:w="0" w:type="dxa"/>
            <w:right w:w="108" w:type="dxa"/>
          </w:tblCellMar>
        </w:tblPrEx>
        <w:tc>
          <w:tcPr>
            <w:tcW w:w="603" w:type="pct"/>
            <w:vMerge w:val="continue"/>
            <w:tcBorders>
              <w:left w:val="single" w:color="auto" w:sz="4" w:space="0"/>
              <w:bottom w:val="single" w:color="auto" w:sz="4" w:space="0"/>
              <w:right w:val="single" w:color="auto" w:sz="4" w:space="0"/>
            </w:tcBorders>
            <w:vAlign w:val="center"/>
          </w:tcPr>
          <w:p w14:paraId="26EB70D4">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31543EB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二氧化硫</w:t>
            </w:r>
          </w:p>
        </w:tc>
        <w:tc>
          <w:tcPr>
            <w:tcW w:w="1417" w:type="pct"/>
            <w:tcBorders>
              <w:top w:val="nil"/>
              <w:left w:val="nil"/>
              <w:bottom w:val="single" w:color="auto" w:sz="4" w:space="0"/>
              <w:right w:val="single" w:color="auto" w:sz="4" w:space="0"/>
            </w:tcBorders>
            <w:vAlign w:val="center"/>
          </w:tcPr>
          <w:p w14:paraId="07F7F50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0.000694</w:t>
            </w:r>
          </w:p>
        </w:tc>
        <w:tc>
          <w:tcPr>
            <w:tcW w:w="1052" w:type="pct"/>
            <w:tcBorders>
              <w:top w:val="nil"/>
              <w:left w:val="nil"/>
              <w:bottom w:val="single" w:color="auto" w:sz="4" w:space="0"/>
              <w:right w:val="single" w:color="auto" w:sz="4" w:space="0"/>
            </w:tcBorders>
            <w:vAlign w:val="center"/>
          </w:tcPr>
          <w:p w14:paraId="4E80375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0.14</w:t>
            </w:r>
          </w:p>
        </w:tc>
        <w:tc>
          <w:tcPr>
            <w:tcW w:w="1100" w:type="pct"/>
            <w:tcBorders>
              <w:top w:val="nil"/>
              <w:left w:val="nil"/>
              <w:bottom w:val="single" w:color="auto" w:sz="4" w:space="0"/>
              <w:right w:val="single" w:color="auto" w:sz="4" w:space="0"/>
            </w:tcBorders>
          </w:tcPr>
          <w:p w14:paraId="27D7824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1F9C358">
        <w:tblPrEx>
          <w:tblCellMar>
            <w:top w:w="0" w:type="dxa"/>
            <w:left w:w="108" w:type="dxa"/>
            <w:bottom w:w="0" w:type="dxa"/>
            <w:right w:w="108" w:type="dxa"/>
          </w:tblCellMar>
        </w:tblPrEx>
        <w:tc>
          <w:tcPr>
            <w:tcW w:w="603" w:type="pct"/>
            <w:vMerge w:val="restart"/>
            <w:tcBorders>
              <w:top w:val="nil"/>
              <w:left w:val="single" w:color="auto" w:sz="4" w:space="0"/>
              <w:bottom w:val="single" w:color="auto" w:sz="4" w:space="0"/>
              <w:right w:val="single" w:color="auto" w:sz="4" w:space="0"/>
            </w:tcBorders>
            <w:vAlign w:val="center"/>
          </w:tcPr>
          <w:p w14:paraId="584998DD">
            <w:pPr>
              <w:pStyle w:val="109"/>
              <w:rPr>
                <w:color w:val="000000" w:themeColor="text1"/>
                <w14:textFill>
                  <w14:solidFill>
                    <w14:schemeClr w14:val="tx1"/>
                  </w14:solidFill>
                </w14:textFill>
              </w:rPr>
            </w:pPr>
            <w:r>
              <w:rPr>
                <w:color w:val="000000" w:themeColor="text1"/>
                <w14:textFill>
                  <w14:solidFill>
                    <w14:schemeClr w14:val="tx1"/>
                  </w14:solidFill>
                </w14:textFill>
              </w:rPr>
              <w:t>矩形面源</w:t>
            </w:r>
          </w:p>
        </w:tc>
        <w:tc>
          <w:tcPr>
            <w:tcW w:w="828" w:type="pct"/>
            <w:tcBorders>
              <w:top w:val="nil"/>
              <w:left w:val="nil"/>
              <w:bottom w:val="single" w:color="auto" w:sz="4" w:space="0"/>
              <w:right w:val="single" w:color="auto" w:sz="4" w:space="0"/>
            </w:tcBorders>
            <w:vAlign w:val="center"/>
          </w:tcPr>
          <w:p w14:paraId="1A7A4A6D">
            <w:pPr>
              <w:pStyle w:val="109"/>
              <w:rPr>
                <w:color w:val="000000" w:themeColor="text1"/>
                <w14:textFill>
                  <w14:solidFill>
                    <w14:schemeClr w14:val="tx1"/>
                  </w14:solidFill>
                </w14:textFill>
              </w:rPr>
            </w:pPr>
            <w:r>
              <w:rPr>
                <w:color w:val="000000" w:themeColor="text1"/>
                <w14:textFill>
                  <w14:solidFill>
                    <w14:schemeClr w14:val="tx1"/>
                  </w14:solidFill>
                </w14:textFill>
              </w:rPr>
              <w:t>VOCs</w:t>
            </w:r>
          </w:p>
        </w:tc>
        <w:tc>
          <w:tcPr>
            <w:tcW w:w="1417" w:type="pct"/>
            <w:tcBorders>
              <w:top w:val="nil"/>
              <w:left w:val="nil"/>
              <w:bottom w:val="single" w:color="auto" w:sz="4" w:space="0"/>
              <w:right w:val="single" w:color="auto" w:sz="4" w:space="0"/>
            </w:tcBorders>
            <w:vAlign w:val="center"/>
          </w:tcPr>
          <w:p w14:paraId="6085FFE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0.003011</w:t>
            </w:r>
          </w:p>
        </w:tc>
        <w:tc>
          <w:tcPr>
            <w:tcW w:w="1052" w:type="pct"/>
            <w:tcBorders>
              <w:top w:val="nil"/>
              <w:left w:val="nil"/>
              <w:bottom w:val="single" w:color="auto" w:sz="4" w:space="0"/>
              <w:right w:val="single" w:color="auto" w:sz="4" w:space="0"/>
            </w:tcBorders>
            <w:vAlign w:val="center"/>
          </w:tcPr>
          <w:p w14:paraId="0FB725A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0.15</w:t>
            </w:r>
          </w:p>
        </w:tc>
        <w:tc>
          <w:tcPr>
            <w:tcW w:w="1100" w:type="pct"/>
            <w:tcBorders>
              <w:top w:val="nil"/>
              <w:left w:val="nil"/>
              <w:bottom w:val="single" w:color="auto" w:sz="4" w:space="0"/>
              <w:right w:val="single" w:color="auto" w:sz="4" w:space="0"/>
            </w:tcBorders>
            <w:vAlign w:val="center"/>
          </w:tcPr>
          <w:p w14:paraId="002B236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3EA2D62C">
        <w:tblPrEx>
          <w:tblCellMar>
            <w:top w:w="0" w:type="dxa"/>
            <w:left w:w="108" w:type="dxa"/>
            <w:bottom w:w="0" w:type="dxa"/>
            <w:right w:w="108" w:type="dxa"/>
          </w:tblCellMar>
        </w:tblPrEx>
        <w:tc>
          <w:tcPr>
            <w:tcW w:w="603" w:type="pct"/>
            <w:vMerge w:val="continue"/>
            <w:tcBorders>
              <w:top w:val="nil"/>
              <w:left w:val="single" w:color="auto" w:sz="4" w:space="0"/>
              <w:bottom w:val="single" w:color="auto" w:sz="4" w:space="0"/>
              <w:right w:val="single" w:color="auto" w:sz="4" w:space="0"/>
            </w:tcBorders>
            <w:vAlign w:val="center"/>
          </w:tcPr>
          <w:p w14:paraId="35C7BECB">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vAlign w:val="center"/>
          </w:tcPr>
          <w:p w14:paraId="4AEF3FF4">
            <w:pPr>
              <w:pStyle w:val="109"/>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417" w:type="pct"/>
            <w:tcBorders>
              <w:top w:val="nil"/>
              <w:left w:val="nil"/>
              <w:bottom w:val="single" w:color="auto" w:sz="4" w:space="0"/>
              <w:right w:val="single" w:color="auto" w:sz="4" w:space="0"/>
            </w:tcBorders>
            <w:vAlign w:val="center"/>
          </w:tcPr>
          <w:p w14:paraId="5775474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0.004476</w:t>
            </w:r>
          </w:p>
        </w:tc>
        <w:tc>
          <w:tcPr>
            <w:tcW w:w="1052" w:type="pct"/>
            <w:tcBorders>
              <w:top w:val="nil"/>
              <w:left w:val="nil"/>
              <w:bottom w:val="single" w:color="auto" w:sz="4" w:space="0"/>
              <w:right w:val="single" w:color="auto" w:sz="4" w:space="0"/>
            </w:tcBorders>
            <w:vAlign w:val="center"/>
          </w:tcPr>
          <w:p w14:paraId="493BA41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2.24</w:t>
            </w:r>
          </w:p>
        </w:tc>
        <w:tc>
          <w:tcPr>
            <w:tcW w:w="1100" w:type="pct"/>
            <w:tcBorders>
              <w:top w:val="nil"/>
              <w:left w:val="nil"/>
              <w:bottom w:val="single" w:color="auto" w:sz="4" w:space="0"/>
              <w:right w:val="single" w:color="auto" w:sz="4" w:space="0"/>
            </w:tcBorders>
            <w:vAlign w:val="center"/>
          </w:tcPr>
          <w:p w14:paraId="1012DC8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70D3608E">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本项目P</w:t>
      </w:r>
      <w:r>
        <w:rPr>
          <w:rFonts w:hint="eastAsia"/>
          <w:color w:val="000000" w:themeColor="text1"/>
          <w:vertAlign w:val="subscript"/>
          <w14:textFill>
            <w14:solidFill>
              <w14:schemeClr w14:val="tx1"/>
            </w14:solidFill>
          </w14:textFill>
        </w:rPr>
        <w:t>HCl</w:t>
      </w:r>
      <w:r>
        <w:rPr>
          <w:color w:val="000000" w:themeColor="text1"/>
          <w14:textFill>
            <w14:solidFill>
              <w14:schemeClr w14:val="tx1"/>
            </w14:solidFill>
          </w14:textFill>
        </w:rPr>
        <w:t>max=</w:t>
      </w:r>
      <w:r>
        <w:rPr>
          <w:rFonts w:hint="eastAsia"/>
          <w:color w:val="000000" w:themeColor="text1"/>
          <w14:textFill>
            <w14:solidFill>
              <w14:schemeClr w14:val="tx1"/>
            </w14:solidFill>
          </w14:textFill>
        </w:rPr>
        <w:t>4.62</w:t>
      </w: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未出现。因此，环境空气影响评价等级定为二级，评价范围取以该项目区为中心，边长5km矩形区域范围。因此，环境空气影响评价等级定为二级，评价范围取以该项目区为中心，边长5km矩形区域范围。</w:t>
      </w:r>
    </w:p>
    <w:bookmarkEnd w:id="130"/>
    <w:p w14:paraId="782C246A">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地表水</w:t>
      </w:r>
      <w:bookmarkEnd w:id="131"/>
      <w:r>
        <w:rPr>
          <w:rFonts w:ascii="Times New Roman" w:cs="Times New Roman"/>
          <w:color w:val="000000" w:themeColor="text1"/>
          <w14:textFill>
            <w14:solidFill>
              <w14:schemeClr w14:val="tx1"/>
            </w14:solidFill>
          </w14:textFill>
        </w:rPr>
        <w:t>环境</w:t>
      </w:r>
      <w:bookmarkEnd w:id="132"/>
    </w:p>
    <w:bookmarkEnd w:id="133"/>
    <w:bookmarkEnd w:id="134"/>
    <w:bookmarkEnd w:id="135"/>
    <w:bookmarkEnd w:id="136"/>
    <w:bookmarkEnd w:id="137"/>
    <w:bookmarkEnd w:id="138"/>
    <w:bookmarkEnd w:id="139"/>
    <w:p w14:paraId="507DE806">
      <w:pPr>
        <w:ind w:firstLine="480"/>
        <w:rPr>
          <w:color w:val="000000" w:themeColor="text1"/>
          <w14:textFill>
            <w14:solidFill>
              <w14:schemeClr w14:val="tx1"/>
            </w14:solidFill>
          </w14:textFill>
        </w:rPr>
      </w:pPr>
      <w:bookmarkStart w:id="140" w:name="_Toc293592344"/>
      <w:bookmarkStart w:id="141" w:name="_Toc266187525"/>
      <w:bookmarkStart w:id="142" w:name="_Toc172915183"/>
      <w:bookmarkStart w:id="143" w:name="_Toc172077726"/>
      <w:bookmarkStart w:id="144" w:name="_Toc278649394"/>
      <w:bookmarkStart w:id="145" w:name="_Toc189128894"/>
      <w:bookmarkStart w:id="146" w:name="_Toc213225672"/>
      <w:bookmarkStart w:id="147" w:name="_Toc178676324"/>
      <w:bookmarkStart w:id="148" w:name="_Toc230071421"/>
      <w:bookmarkStart w:id="149" w:name="_Toc280691114"/>
      <w:r>
        <w:rPr>
          <w:color w:val="000000" w:themeColor="text1"/>
          <w14:textFill>
            <w14:solidFill>
              <w14:schemeClr w14:val="tx1"/>
            </w14:solidFill>
          </w14:textFill>
        </w:rPr>
        <w:t>根据《环境影响评价技术导则 地表水环境》（HJ2.3-2018）中相关规定，根据建设项目的污水排放量、污水水质的复杂程度，受纳的规模以及水质要求进行地面水环境影响评价工作级别的划分。</w:t>
      </w:r>
    </w:p>
    <w:p w14:paraId="093B0F3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本项目烟气处理系统废水中和后排入多效蒸发器处理</w:t>
      </w:r>
      <w:r>
        <w:rPr>
          <w:rFonts w:hint="eastAsia"/>
          <w:color w:val="000000" w:themeColor="text1"/>
          <w14:textFill>
            <w14:solidFill>
              <w14:schemeClr w14:val="tx1"/>
            </w14:solidFill>
          </w14:textFill>
        </w:rPr>
        <w:t>，冷凝水</w:t>
      </w:r>
      <w:r>
        <w:rPr>
          <w:color w:val="000000" w:themeColor="text1"/>
          <w14:textFill>
            <w14:solidFill>
              <w14:schemeClr w14:val="tx1"/>
            </w14:solidFill>
          </w14:textFill>
        </w:rPr>
        <w:t>作为水洗塔和急冷塔补水使用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生活污水经化粪池预处理后排入市政污水管网。循环冷却系统排污水、化验室废水、地面冲洗废水</w:t>
      </w:r>
      <w:r>
        <w:rPr>
          <w:rFonts w:hint="eastAsia"/>
          <w:color w:val="000000" w:themeColor="text1"/>
          <w14:textFill>
            <w14:solidFill>
              <w14:schemeClr w14:val="tx1"/>
            </w14:solidFill>
          </w14:textFill>
        </w:rPr>
        <w:t>直接</w:t>
      </w:r>
      <w:r>
        <w:rPr>
          <w:color w:val="000000" w:themeColor="text1"/>
          <w14:textFill>
            <w14:solidFill>
              <w14:schemeClr w14:val="tx1"/>
            </w14:solidFill>
          </w14:textFill>
        </w:rPr>
        <w:t>排入市政污水管网，无废水直接外排。根据《环境影响评价技术导则地表水环境》（HJ2.3-2018）中评价工作分级原则，本项目属于水污染影响型建设项目，评价等级判定见下表。</w:t>
      </w:r>
    </w:p>
    <w:p w14:paraId="39C36D13">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水污染影响型建设项目评价等级判定</w:t>
      </w:r>
    </w:p>
    <w:tbl>
      <w:tblPr>
        <w:tblStyle w:val="76"/>
        <w:tblW w:w="51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3"/>
        <w:gridCol w:w="3075"/>
        <w:gridCol w:w="4283"/>
      </w:tblGrid>
      <w:tr w14:paraId="6130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vMerge w:val="restart"/>
            <w:tcBorders>
              <w:top w:val="single" w:color="auto" w:sz="4" w:space="0"/>
              <w:left w:val="single" w:color="auto" w:sz="4" w:space="0"/>
              <w:right w:val="single" w:color="auto" w:sz="4" w:space="0"/>
            </w:tcBorders>
            <w:vAlign w:val="center"/>
          </w:tcPr>
          <w:p w14:paraId="193C3F4E">
            <w:pPr>
              <w:pStyle w:val="109"/>
              <w:rPr>
                <w:color w:val="000000" w:themeColor="text1"/>
                <w14:textFill>
                  <w14:solidFill>
                    <w14:schemeClr w14:val="tx1"/>
                  </w14:solidFill>
                </w14:textFill>
              </w:rPr>
            </w:pPr>
            <w:r>
              <w:rPr>
                <w:color w:val="000000" w:themeColor="text1"/>
                <w14:textFill>
                  <w14:solidFill>
                    <w14:schemeClr w14:val="tx1"/>
                  </w14:solidFill>
                </w14:textFill>
              </w:rPr>
              <w:t>评价等级</w:t>
            </w:r>
          </w:p>
        </w:tc>
        <w:tc>
          <w:tcPr>
            <w:tcW w:w="3675" w:type="pct"/>
            <w:gridSpan w:val="2"/>
            <w:tcBorders>
              <w:top w:val="single" w:color="auto" w:sz="4" w:space="0"/>
              <w:left w:val="single" w:color="auto" w:sz="4" w:space="0"/>
              <w:bottom w:val="single" w:color="auto" w:sz="4" w:space="0"/>
              <w:right w:val="single" w:color="auto" w:sz="4" w:space="0"/>
            </w:tcBorders>
            <w:vAlign w:val="center"/>
          </w:tcPr>
          <w:p w14:paraId="37555F2A">
            <w:pPr>
              <w:pStyle w:val="109"/>
              <w:rPr>
                <w:color w:val="000000" w:themeColor="text1"/>
                <w14:textFill>
                  <w14:solidFill>
                    <w14:schemeClr w14:val="tx1"/>
                  </w14:solidFill>
                </w14:textFill>
              </w:rPr>
            </w:pPr>
            <w:r>
              <w:rPr>
                <w:color w:val="000000" w:themeColor="text1"/>
                <w14:textFill>
                  <w14:solidFill>
                    <w14:schemeClr w14:val="tx1"/>
                  </w14:solidFill>
                </w14:textFill>
              </w:rPr>
              <w:t>判定依据</w:t>
            </w:r>
          </w:p>
        </w:tc>
      </w:tr>
      <w:tr w14:paraId="2817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vMerge w:val="continue"/>
            <w:tcBorders>
              <w:left w:val="single" w:color="auto" w:sz="4" w:space="0"/>
              <w:right w:val="single" w:color="auto" w:sz="4" w:space="0"/>
            </w:tcBorders>
            <w:vAlign w:val="center"/>
          </w:tcPr>
          <w:p w14:paraId="21A524A7">
            <w:pPr>
              <w:pStyle w:val="109"/>
              <w:rPr>
                <w:color w:val="000000" w:themeColor="text1"/>
                <w14:textFill>
                  <w14:solidFill>
                    <w14:schemeClr w14:val="tx1"/>
                  </w14:solidFill>
                </w14:textFill>
              </w:rPr>
            </w:pPr>
          </w:p>
        </w:tc>
        <w:tc>
          <w:tcPr>
            <w:tcW w:w="1536" w:type="pct"/>
            <w:tcBorders>
              <w:top w:val="single" w:color="auto" w:sz="4" w:space="0"/>
              <w:left w:val="single" w:color="auto" w:sz="4" w:space="0"/>
              <w:bottom w:val="single" w:color="auto" w:sz="4" w:space="0"/>
              <w:right w:val="single" w:color="auto" w:sz="4" w:space="0"/>
            </w:tcBorders>
            <w:vAlign w:val="center"/>
          </w:tcPr>
          <w:p w14:paraId="577BEF90">
            <w:pPr>
              <w:pStyle w:val="109"/>
              <w:rPr>
                <w:color w:val="000000" w:themeColor="text1"/>
                <w14:textFill>
                  <w14:solidFill>
                    <w14:schemeClr w14:val="tx1"/>
                  </w14:solidFill>
                </w14:textFill>
              </w:rPr>
            </w:pPr>
            <w:r>
              <w:rPr>
                <w:color w:val="000000" w:themeColor="text1"/>
                <w14:textFill>
                  <w14:solidFill>
                    <w14:schemeClr w14:val="tx1"/>
                  </w14:solidFill>
                </w14:textFill>
              </w:rPr>
              <w:t>排放方式</w:t>
            </w:r>
          </w:p>
        </w:tc>
        <w:tc>
          <w:tcPr>
            <w:tcW w:w="2139" w:type="pct"/>
            <w:tcBorders>
              <w:top w:val="single" w:color="auto" w:sz="4" w:space="0"/>
              <w:left w:val="single" w:color="auto" w:sz="4" w:space="0"/>
              <w:bottom w:val="single" w:color="auto" w:sz="4" w:space="0"/>
              <w:right w:val="single" w:color="auto" w:sz="4" w:space="0"/>
            </w:tcBorders>
            <w:vAlign w:val="center"/>
          </w:tcPr>
          <w:p w14:paraId="48A2396F">
            <w:pPr>
              <w:pStyle w:val="109"/>
              <w:rPr>
                <w:color w:val="000000" w:themeColor="text1"/>
                <w14:textFill>
                  <w14:solidFill>
                    <w14:schemeClr w14:val="tx1"/>
                  </w14:solidFill>
                </w14:textFill>
              </w:rPr>
            </w:pPr>
            <w:r>
              <w:rPr>
                <w:color w:val="000000" w:themeColor="text1"/>
                <w14:textFill>
                  <w14:solidFill>
                    <w14:schemeClr w14:val="tx1"/>
                  </w14:solidFill>
                </w14:textFill>
              </w:rPr>
              <w:t>废水排放量Q/（m³/d）；</w:t>
            </w:r>
          </w:p>
          <w:p w14:paraId="1282342A">
            <w:pPr>
              <w:pStyle w:val="109"/>
              <w:rPr>
                <w:color w:val="000000" w:themeColor="text1"/>
                <w14:textFill>
                  <w14:solidFill>
                    <w14:schemeClr w14:val="tx1"/>
                  </w14:solidFill>
                </w14:textFill>
              </w:rPr>
            </w:pPr>
            <w:r>
              <w:rPr>
                <w:color w:val="000000" w:themeColor="text1"/>
                <w14:textFill>
                  <w14:solidFill>
                    <w14:schemeClr w14:val="tx1"/>
                  </w14:solidFill>
                </w14:textFill>
              </w:rPr>
              <w:t>水污染物当量数W/（无量纲）</w:t>
            </w:r>
          </w:p>
        </w:tc>
      </w:tr>
      <w:tr w14:paraId="0084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tcBorders>
              <w:left w:val="single" w:color="auto" w:sz="4" w:space="0"/>
              <w:right w:val="single" w:color="auto" w:sz="4" w:space="0"/>
            </w:tcBorders>
            <w:vAlign w:val="center"/>
          </w:tcPr>
          <w:p w14:paraId="37AFB47A">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1536" w:type="pct"/>
            <w:tcBorders>
              <w:top w:val="single" w:color="auto" w:sz="4" w:space="0"/>
              <w:left w:val="single" w:color="auto" w:sz="4" w:space="0"/>
              <w:bottom w:val="single" w:color="auto" w:sz="4" w:space="0"/>
              <w:right w:val="single" w:color="auto" w:sz="4" w:space="0"/>
            </w:tcBorders>
            <w:vAlign w:val="center"/>
          </w:tcPr>
          <w:p w14:paraId="6AAB8987">
            <w:pPr>
              <w:pStyle w:val="109"/>
              <w:rPr>
                <w:color w:val="000000" w:themeColor="text1"/>
                <w14:textFill>
                  <w14:solidFill>
                    <w14:schemeClr w14:val="tx1"/>
                  </w14:solidFill>
                </w14:textFill>
              </w:rPr>
            </w:pPr>
            <w:r>
              <w:rPr>
                <w:color w:val="000000" w:themeColor="text1"/>
                <w14:textFill>
                  <w14:solidFill>
                    <w14:schemeClr w14:val="tx1"/>
                  </w14:solidFill>
                </w14:textFill>
              </w:rPr>
              <w:t>直接排放</w:t>
            </w:r>
          </w:p>
        </w:tc>
        <w:tc>
          <w:tcPr>
            <w:tcW w:w="2139" w:type="pct"/>
            <w:tcBorders>
              <w:top w:val="single" w:color="auto" w:sz="4" w:space="0"/>
              <w:left w:val="single" w:color="auto" w:sz="4" w:space="0"/>
              <w:bottom w:val="single" w:color="auto" w:sz="4" w:space="0"/>
              <w:right w:val="single" w:color="auto" w:sz="4" w:space="0"/>
            </w:tcBorders>
            <w:vAlign w:val="center"/>
          </w:tcPr>
          <w:p w14:paraId="51C7FEBF">
            <w:pPr>
              <w:pStyle w:val="109"/>
              <w:rPr>
                <w:color w:val="000000" w:themeColor="text1"/>
                <w14:textFill>
                  <w14:solidFill>
                    <w14:schemeClr w14:val="tx1"/>
                  </w14:solidFill>
                </w14:textFill>
              </w:rPr>
            </w:pPr>
            <w:r>
              <w:rPr>
                <w:color w:val="000000" w:themeColor="text1"/>
                <w14:textFill>
                  <w14:solidFill>
                    <w14:schemeClr w14:val="tx1"/>
                  </w14:solidFill>
                </w14:textFill>
              </w:rPr>
              <w:t>Q≥20000或W≥600000</w:t>
            </w:r>
          </w:p>
        </w:tc>
      </w:tr>
      <w:tr w14:paraId="7740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tcBorders>
              <w:left w:val="single" w:color="auto" w:sz="4" w:space="0"/>
              <w:right w:val="single" w:color="auto" w:sz="4" w:space="0"/>
            </w:tcBorders>
            <w:vAlign w:val="center"/>
          </w:tcPr>
          <w:p w14:paraId="008BFB88">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1536" w:type="pct"/>
            <w:tcBorders>
              <w:top w:val="single" w:color="auto" w:sz="4" w:space="0"/>
              <w:left w:val="single" w:color="auto" w:sz="4" w:space="0"/>
              <w:bottom w:val="single" w:color="auto" w:sz="4" w:space="0"/>
              <w:right w:val="single" w:color="auto" w:sz="4" w:space="0"/>
            </w:tcBorders>
            <w:vAlign w:val="center"/>
          </w:tcPr>
          <w:p w14:paraId="153D30C8">
            <w:pPr>
              <w:pStyle w:val="109"/>
              <w:rPr>
                <w:color w:val="000000" w:themeColor="text1"/>
                <w14:textFill>
                  <w14:solidFill>
                    <w14:schemeClr w14:val="tx1"/>
                  </w14:solidFill>
                </w14:textFill>
              </w:rPr>
            </w:pPr>
            <w:r>
              <w:rPr>
                <w:color w:val="000000" w:themeColor="text1"/>
                <w14:textFill>
                  <w14:solidFill>
                    <w14:schemeClr w14:val="tx1"/>
                  </w14:solidFill>
                </w14:textFill>
              </w:rPr>
              <w:t>直接排放</w:t>
            </w:r>
          </w:p>
        </w:tc>
        <w:tc>
          <w:tcPr>
            <w:tcW w:w="2139" w:type="pct"/>
            <w:tcBorders>
              <w:top w:val="single" w:color="auto" w:sz="4" w:space="0"/>
              <w:left w:val="single" w:color="auto" w:sz="4" w:space="0"/>
              <w:bottom w:val="single" w:color="auto" w:sz="4" w:space="0"/>
              <w:right w:val="single" w:color="auto" w:sz="4" w:space="0"/>
            </w:tcBorders>
            <w:vAlign w:val="center"/>
          </w:tcPr>
          <w:p w14:paraId="67851340">
            <w:pPr>
              <w:pStyle w:val="109"/>
              <w:rPr>
                <w:color w:val="000000" w:themeColor="text1"/>
                <w14:textFill>
                  <w14:solidFill>
                    <w14:schemeClr w14:val="tx1"/>
                  </w14:solidFill>
                </w14:textFill>
              </w:rPr>
            </w:pPr>
            <w:r>
              <w:rPr>
                <w:color w:val="000000" w:themeColor="text1"/>
                <w14:textFill>
                  <w14:solidFill>
                    <w14:schemeClr w14:val="tx1"/>
                  </w14:solidFill>
                </w14:textFill>
              </w:rPr>
              <w:t>其他</w:t>
            </w:r>
          </w:p>
        </w:tc>
      </w:tr>
      <w:tr w14:paraId="00CC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tcBorders>
              <w:left w:val="single" w:color="auto" w:sz="4" w:space="0"/>
              <w:right w:val="single" w:color="auto" w:sz="4" w:space="0"/>
            </w:tcBorders>
            <w:vAlign w:val="center"/>
          </w:tcPr>
          <w:p w14:paraId="7B704143">
            <w:pPr>
              <w:pStyle w:val="109"/>
              <w:rPr>
                <w:color w:val="000000" w:themeColor="text1"/>
                <w14:textFill>
                  <w14:solidFill>
                    <w14:schemeClr w14:val="tx1"/>
                  </w14:solidFill>
                </w14:textFill>
              </w:rPr>
            </w:pPr>
            <w:r>
              <w:rPr>
                <w:color w:val="000000" w:themeColor="text1"/>
                <w14:textFill>
                  <w14:solidFill>
                    <w14:schemeClr w14:val="tx1"/>
                  </w14:solidFill>
                </w14:textFill>
              </w:rPr>
              <w:t>三级A</w:t>
            </w:r>
          </w:p>
        </w:tc>
        <w:tc>
          <w:tcPr>
            <w:tcW w:w="1536" w:type="pct"/>
            <w:tcBorders>
              <w:top w:val="single" w:color="auto" w:sz="4" w:space="0"/>
              <w:left w:val="single" w:color="auto" w:sz="4" w:space="0"/>
              <w:bottom w:val="single" w:color="auto" w:sz="4" w:space="0"/>
              <w:right w:val="single" w:color="auto" w:sz="4" w:space="0"/>
            </w:tcBorders>
            <w:vAlign w:val="center"/>
          </w:tcPr>
          <w:p w14:paraId="1C84ABBE">
            <w:pPr>
              <w:pStyle w:val="109"/>
              <w:rPr>
                <w:color w:val="000000" w:themeColor="text1"/>
                <w14:textFill>
                  <w14:solidFill>
                    <w14:schemeClr w14:val="tx1"/>
                  </w14:solidFill>
                </w14:textFill>
              </w:rPr>
            </w:pPr>
            <w:r>
              <w:rPr>
                <w:color w:val="000000" w:themeColor="text1"/>
                <w14:textFill>
                  <w14:solidFill>
                    <w14:schemeClr w14:val="tx1"/>
                  </w14:solidFill>
                </w14:textFill>
              </w:rPr>
              <w:t>直接排放</w:t>
            </w:r>
          </w:p>
        </w:tc>
        <w:tc>
          <w:tcPr>
            <w:tcW w:w="2139" w:type="pct"/>
            <w:tcBorders>
              <w:top w:val="single" w:color="auto" w:sz="4" w:space="0"/>
              <w:left w:val="single" w:color="auto" w:sz="4" w:space="0"/>
              <w:bottom w:val="single" w:color="auto" w:sz="4" w:space="0"/>
              <w:right w:val="single" w:color="auto" w:sz="4" w:space="0"/>
            </w:tcBorders>
            <w:vAlign w:val="center"/>
          </w:tcPr>
          <w:p w14:paraId="28BD4A01">
            <w:pPr>
              <w:pStyle w:val="109"/>
              <w:rPr>
                <w:color w:val="000000" w:themeColor="text1"/>
                <w14:textFill>
                  <w14:solidFill>
                    <w14:schemeClr w14:val="tx1"/>
                  </w14:solidFill>
                </w14:textFill>
              </w:rPr>
            </w:pPr>
            <w:r>
              <w:rPr>
                <w:color w:val="000000" w:themeColor="text1"/>
                <w14:textFill>
                  <w14:solidFill>
                    <w14:schemeClr w14:val="tx1"/>
                  </w14:solidFill>
                </w14:textFill>
              </w:rPr>
              <w:t>Q&lt;200且W&lt;6000</w:t>
            </w:r>
          </w:p>
        </w:tc>
      </w:tr>
      <w:tr w14:paraId="42C7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tcBorders>
              <w:left w:val="single" w:color="auto" w:sz="4" w:space="0"/>
              <w:right w:val="single" w:color="auto" w:sz="4" w:space="0"/>
            </w:tcBorders>
            <w:shd w:val="clear" w:color="auto" w:fill="D8D8D8" w:themeFill="background1" w:themeFillShade="D9"/>
            <w:vAlign w:val="center"/>
          </w:tcPr>
          <w:p w14:paraId="4A320E8F">
            <w:pPr>
              <w:pStyle w:val="109"/>
              <w:rPr>
                <w:color w:val="000000" w:themeColor="text1"/>
                <w14:textFill>
                  <w14:solidFill>
                    <w14:schemeClr w14:val="tx1"/>
                  </w14:solidFill>
                </w14:textFill>
              </w:rPr>
            </w:pPr>
            <w:r>
              <w:rPr>
                <w:color w:val="000000" w:themeColor="text1"/>
                <w14:textFill>
                  <w14:solidFill>
                    <w14:schemeClr w14:val="tx1"/>
                  </w14:solidFill>
                </w14:textFill>
              </w:rPr>
              <w:t>三级B</w:t>
            </w:r>
          </w:p>
        </w:tc>
        <w:tc>
          <w:tcPr>
            <w:tcW w:w="1536"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D65710B">
            <w:pPr>
              <w:pStyle w:val="109"/>
              <w:rPr>
                <w:color w:val="000000" w:themeColor="text1"/>
                <w14:textFill>
                  <w14:solidFill>
                    <w14:schemeClr w14:val="tx1"/>
                  </w14:solidFill>
                </w14:textFill>
              </w:rPr>
            </w:pPr>
            <w:r>
              <w:rPr>
                <w:color w:val="000000" w:themeColor="text1"/>
                <w14:textFill>
                  <w14:solidFill>
                    <w14:schemeClr w14:val="tx1"/>
                  </w14:solidFill>
                </w14:textFill>
              </w:rPr>
              <w:t>间接排放</w:t>
            </w:r>
          </w:p>
        </w:tc>
        <w:tc>
          <w:tcPr>
            <w:tcW w:w="213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7AEAA4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45E7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left w:val="single" w:color="auto" w:sz="4" w:space="0"/>
              <w:right w:val="single" w:color="auto" w:sz="4" w:space="0"/>
            </w:tcBorders>
            <w:vAlign w:val="center"/>
          </w:tcPr>
          <w:p w14:paraId="779DADED">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77264B7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132A038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注3：厂区存在堆积物（露天堆放的原料、燃料、废渣等以及垃圾堆放场）、降尘污染的，应将初期雨污水纳入废水排放量，相应的主要污染物纳入水污染当量计算。</w:t>
            </w:r>
          </w:p>
          <w:p w14:paraId="4DD5154C">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注4：建设项目直接排放第一类污染物的，其评价等级为一级；建设项目直接排放的污染物为受纳水体超标因子的，评价等级不低于二级。</w:t>
            </w:r>
          </w:p>
          <w:p w14:paraId="029EEF9C">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注5：直接排放受纳水体影响范围涉及饮用水水源保护区、饮用水取水口、重点保护与珍稀水生生物的栖息地、重要水生生物的自然产卵场等保护目标时，评价等级不低于二级。</w:t>
            </w:r>
          </w:p>
          <w:p w14:paraId="265AF5D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注6建设项目向河流、胡库排放温排水引起受纳水体水温变化超过水环境质量标准要求，且评价范围有水温敏感目标时，评价等级为一级。</w:t>
            </w:r>
          </w:p>
          <w:p w14:paraId="0A95D52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注7：建设项目利用海水作为调节温度介质，排水量≥500万m³/d，评价等级为一级；排水量&lt;500万m³/d，评价等级为二级。</w:t>
            </w:r>
          </w:p>
          <w:p w14:paraId="311E4149">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注8：仅涉及清净下水排放的，如其排放水质满足受纳水体水环境质量标准要求的，评价等级为三级A。</w:t>
            </w:r>
          </w:p>
          <w:p w14:paraId="70BB4F6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注9：依托现有排放口，且对外环境未新增排放污染物的直接排放建设项目，评价等级参照间接排放，定位三级B。</w:t>
            </w:r>
          </w:p>
          <w:p w14:paraId="5CE12F7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注10：建设项目生产工艺中有废水产生，但作为回水利用，不排放到外环境，按三级B评价。</w:t>
            </w:r>
          </w:p>
        </w:tc>
      </w:tr>
    </w:tbl>
    <w:p w14:paraId="540B9F41">
      <w:pPr>
        <w:ind w:firstLine="480"/>
        <w:rPr>
          <w:color w:val="000000" w:themeColor="text1"/>
          <w14:textFill>
            <w14:solidFill>
              <w14:schemeClr w14:val="tx1"/>
            </w14:solidFill>
          </w14:textFill>
        </w:rPr>
      </w:pPr>
      <w:r>
        <w:rPr>
          <w:color w:val="000000" w:themeColor="text1"/>
          <w14:textFill>
            <w14:solidFill>
              <w14:schemeClr w14:val="tx1"/>
            </w14:solidFill>
          </w14:textFill>
        </w:rPr>
        <w:t>根据上表，本项目</w:t>
      </w:r>
      <w:r>
        <w:rPr>
          <w:rFonts w:hint="eastAsia"/>
          <w:color w:val="000000" w:themeColor="text1"/>
          <w14:textFill>
            <w14:solidFill>
              <w14:schemeClr w14:val="tx1"/>
            </w14:solidFill>
          </w14:textFill>
        </w:rPr>
        <w:t>无废水</w:t>
      </w:r>
      <w:r>
        <w:rPr>
          <w:color w:val="000000" w:themeColor="text1"/>
          <w14:textFill>
            <w14:solidFill>
              <w14:schemeClr w14:val="tx1"/>
            </w14:solidFill>
          </w14:textFill>
        </w:rPr>
        <w:t>直接外排到外环境，故确定本项目地表水评价等级为三级B。根据三级B评价范围的要求，涉及地表水环境风险的，应覆盖环境风险影响范围所及的水环境保护目标水域。</w:t>
      </w:r>
    </w:p>
    <w:p w14:paraId="5CE95282">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地下水环境</w:t>
      </w:r>
    </w:p>
    <w:p w14:paraId="7E0F3384">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地下水环境》（HJ610-2016）附录A确定建设项目所在行业为“151、危险废物（含医疗废物）集中处置及综合利用”，因此，本项目地下水环境影响评价项目类别为Ⅰ类。</w:t>
      </w:r>
    </w:p>
    <w:p w14:paraId="28385D8B">
      <w:pPr>
        <w:ind w:firstLine="480"/>
        <w:rPr>
          <w:color w:val="000000" w:themeColor="text1"/>
          <w14:textFill>
            <w14:solidFill>
              <w14:schemeClr w14:val="tx1"/>
            </w14:solidFill>
          </w14:textFill>
        </w:rPr>
      </w:pPr>
      <w:r>
        <w:rPr>
          <w:color w:val="000000" w:themeColor="text1"/>
          <w14:textFill>
            <w14:solidFill>
              <w14:schemeClr w14:val="tx1"/>
            </w14:solidFill>
          </w14:textFill>
        </w:rPr>
        <w:t>建设项目的地下水环境敏感程度分级原则见下表。建设项目地下水环境影响评价工作等级划分见下表。</w:t>
      </w:r>
    </w:p>
    <w:p w14:paraId="15696A73">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地下水环境敏感程度分级</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8382"/>
      </w:tblGrid>
      <w:tr w14:paraId="5313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08258629">
            <w:pPr>
              <w:pStyle w:val="109"/>
              <w:rPr>
                <w:color w:val="000000" w:themeColor="text1"/>
                <w14:textFill>
                  <w14:solidFill>
                    <w14:schemeClr w14:val="tx1"/>
                  </w14:solidFill>
                </w14:textFill>
              </w:rPr>
            </w:pPr>
            <w:r>
              <w:rPr>
                <w:color w:val="000000" w:themeColor="text1"/>
                <w14:textFill>
                  <w14:solidFill>
                    <w14:schemeClr w14:val="tx1"/>
                  </w14:solidFill>
                </w14:textFill>
              </w:rPr>
              <w:t>敏感程度</w:t>
            </w:r>
          </w:p>
        </w:tc>
        <w:tc>
          <w:tcPr>
            <w:tcW w:w="4353" w:type="pct"/>
            <w:vAlign w:val="center"/>
          </w:tcPr>
          <w:p w14:paraId="22989835">
            <w:pPr>
              <w:pStyle w:val="109"/>
              <w:rPr>
                <w:color w:val="000000" w:themeColor="text1"/>
                <w14:textFill>
                  <w14:solidFill>
                    <w14:schemeClr w14:val="tx1"/>
                  </w14:solidFill>
                </w14:textFill>
              </w:rPr>
            </w:pPr>
            <w:r>
              <w:rPr>
                <w:color w:val="000000" w:themeColor="text1"/>
                <w14:textFill>
                  <w14:solidFill>
                    <w14:schemeClr w14:val="tx1"/>
                  </w14:solidFill>
                </w14:textFill>
              </w:rPr>
              <w:t>地下水环境敏感特征</w:t>
            </w:r>
          </w:p>
        </w:tc>
      </w:tr>
      <w:tr w14:paraId="49D2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3C21A271">
            <w:pPr>
              <w:pStyle w:val="109"/>
              <w:rPr>
                <w:color w:val="000000" w:themeColor="text1"/>
                <w14:textFill>
                  <w14:solidFill>
                    <w14:schemeClr w14:val="tx1"/>
                  </w14:solidFill>
                </w14:textFill>
              </w:rPr>
            </w:pPr>
            <w:r>
              <w:rPr>
                <w:color w:val="000000" w:themeColor="text1"/>
                <w14:textFill>
                  <w14:solidFill>
                    <w14:schemeClr w14:val="tx1"/>
                  </w14:solidFill>
                </w14:textFill>
              </w:rPr>
              <w:t>敏感</w:t>
            </w:r>
          </w:p>
        </w:tc>
        <w:tc>
          <w:tcPr>
            <w:tcW w:w="4353" w:type="pct"/>
            <w:vAlign w:val="center"/>
          </w:tcPr>
          <w:p w14:paraId="7161A3B6">
            <w:pPr>
              <w:pStyle w:val="109"/>
              <w:rPr>
                <w:color w:val="000000" w:themeColor="text1"/>
                <w14:textFill>
                  <w14:solidFill>
                    <w14:schemeClr w14:val="tx1"/>
                  </w14:solidFill>
                </w14:textFill>
              </w:rPr>
            </w:pPr>
            <w:r>
              <w:rPr>
                <w:color w:val="000000" w:themeColor="text1"/>
                <w14:textFill>
                  <w14:solidFill>
                    <w14:schemeClr w14:val="tx1"/>
                  </w14:solidFill>
                </w14:textFill>
              </w:rPr>
              <w:t>集中式饮用水水源（包括已建成的在用、备用、应急水源地，在建和规划的饮用水水源）准保护区；除集中式饮用水水源以外的国家或地方政府设定的与地下水环境相关的其它保护区，如热水、矿泉水、温泉等特殊地下水资源保护区。</w:t>
            </w:r>
          </w:p>
        </w:tc>
      </w:tr>
      <w:tr w14:paraId="5F43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29E252C3">
            <w:pPr>
              <w:pStyle w:val="109"/>
              <w:rPr>
                <w:color w:val="000000" w:themeColor="text1"/>
                <w14:textFill>
                  <w14:solidFill>
                    <w14:schemeClr w14:val="tx1"/>
                  </w14:solidFill>
                </w14:textFill>
              </w:rPr>
            </w:pPr>
            <w:r>
              <w:rPr>
                <w:color w:val="000000" w:themeColor="text1"/>
                <w14:textFill>
                  <w14:solidFill>
                    <w14:schemeClr w14:val="tx1"/>
                  </w14:solidFill>
                </w14:textFill>
              </w:rPr>
              <w:t>较敏感</w:t>
            </w:r>
          </w:p>
        </w:tc>
        <w:tc>
          <w:tcPr>
            <w:tcW w:w="4353" w:type="pct"/>
            <w:vAlign w:val="center"/>
          </w:tcPr>
          <w:p w14:paraId="6A8DDC27">
            <w:pPr>
              <w:pStyle w:val="109"/>
              <w:rPr>
                <w:color w:val="000000" w:themeColor="text1"/>
                <w14:textFill>
                  <w14:solidFill>
                    <w14:schemeClr w14:val="tx1"/>
                  </w14:solidFill>
                </w14:textFill>
              </w:rPr>
            </w:pPr>
            <w:r>
              <w:rPr>
                <w:color w:val="000000" w:themeColor="text1"/>
                <w14:textFill>
                  <w14:solidFill>
                    <w14:schemeClr w14:val="tx1"/>
                  </w14:solidFill>
                </w14:textFill>
              </w:rPr>
              <w:t>集中式饮用水水源（包括已建成的在用、备用、应急水源地，在建和规划的饮用水水源）准保护区以外的补给径流区；未划定准保护区的集中式饮用水水源，其保护区意外的补给径流区；分散式饮用水水源地；特殊地下水资源（如矿泉水、温泉等）保护区以外的分布区等其它未列入上述敏感分级的环境敏感区。</w:t>
            </w:r>
          </w:p>
        </w:tc>
      </w:tr>
      <w:tr w14:paraId="4049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shd w:val="clear" w:color="auto" w:fill="D8D8D8" w:themeFill="background1" w:themeFillShade="D9"/>
            <w:vAlign w:val="center"/>
          </w:tcPr>
          <w:p w14:paraId="43086242">
            <w:pPr>
              <w:pStyle w:val="109"/>
              <w:rPr>
                <w:color w:val="000000" w:themeColor="text1"/>
                <w14:textFill>
                  <w14:solidFill>
                    <w14:schemeClr w14:val="tx1"/>
                  </w14:solidFill>
                </w14:textFill>
              </w:rPr>
            </w:pPr>
            <w:r>
              <w:rPr>
                <w:color w:val="000000" w:themeColor="text1"/>
                <w14:textFill>
                  <w14:solidFill>
                    <w14:schemeClr w14:val="tx1"/>
                  </w14:solidFill>
                </w14:textFill>
              </w:rPr>
              <w:t>不敏感</w:t>
            </w:r>
          </w:p>
        </w:tc>
        <w:tc>
          <w:tcPr>
            <w:tcW w:w="4353" w:type="pct"/>
            <w:shd w:val="clear" w:color="auto" w:fill="D8D8D8" w:themeFill="background1" w:themeFillShade="D9"/>
            <w:vAlign w:val="center"/>
          </w:tcPr>
          <w:p w14:paraId="33AE4995">
            <w:pPr>
              <w:pStyle w:val="109"/>
              <w:rPr>
                <w:color w:val="000000" w:themeColor="text1"/>
                <w14:textFill>
                  <w14:solidFill>
                    <w14:schemeClr w14:val="tx1"/>
                  </w14:solidFill>
                </w14:textFill>
              </w:rPr>
            </w:pPr>
            <w:r>
              <w:rPr>
                <w:color w:val="000000" w:themeColor="text1"/>
                <w14:textFill>
                  <w14:solidFill>
                    <w14:schemeClr w14:val="tx1"/>
                  </w14:solidFill>
                </w14:textFill>
              </w:rPr>
              <w:t>上述地区之外的其它地区。</w:t>
            </w:r>
          </w:p>
        </w:tc>
      </w:tr>
    </w:tbl>
    <w:p w14:paraId="623935BE">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评价工作等级分级表</w:t>
      </w:r>
    </w:p>
    <w:tbl>
      <w:tblPr>
        <w:tblStyle w:val="7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07"/>
        <w:gridCol w:w="2407"/>
        <w:gridCol w:w="2407"/>
        <w:gridCol w:w="2407"/>
      </w:tblGrid>
      <w:tr w14:paraId="10348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vAlign w:val="center"/>
          </w:tcPr>
          <w:p w14:paraId="47CFB428">
            <w:pPr>
              <w:pStyle w:val="109"/>
              <w:rPr>
                <w:color w:val="000000" w:themeColor="text1"/>
                <w14:textFill>
                  <w14:solidFill>
                    <w14:schemeClr w14:val="tx1"/>
                  </w14:solidFill>
                </w14:textFill>
              </w:rPr>
            </w:pPr>
            <w:r>
              <w:rPr>
                <w:color w:val="000000" w:themeColor="text1"/>
                <w14:textFill>
                  <w14:solidFill>
                    <w14:schemeClr w14:val="tx1"/>
                  </w14:solidFill>
                </w14:textFill>
              </w:rPr>
              <w:t>敏感性</w:t>
            </w:r>
          </w:p>
        </w:tc>
        <w:tc>
          <w:tcPr>
            <w:tcW w:w="1250" w:type="pct"/>
            <w:vAlign w:val="center"/>
          </w:tcPr>
          <w:p w14:paraId="063F3F39">
            <w:pPr>
              <w:pStyle w:val="109"/>
              <w:rPr>
                <w:color w:val="000000" w:themeColor="text1"/>
                <w14:textFill>
                  <w14:solidFill>
                    <w14:schemeClr w14:val="tx1"/>
                  </w14:solidFill>
                </w14:textFill>
              </w:rPr>
            </w:pPr>
            <w:r>
              <w:rPr>
                <w:color w:val="000000" w:themeColor="text1"/>
                <w14:textFill>
                  <w14:solidFill>
                    <w14:schemeClr w14:val="tx1"/>
                  </w14:solidFill>
                </w14:textFill>
              </w:rPr>
              <w:t>Ⅰ类项目</w:t>
            </w:r>
          </w:p>
        </w:tc>
        <w:tc>
          <w:tcPr>
            <w:tcW w:w="1250" w:type="pct"/>
            <w:vAlign w:val="center"/>
          </w:tcPr>
          <w:p w14:paraId="43691545">
            <w:pPr>
              <w:pStyle w:val="109"/>
              <w:rPr>
                <w:color w:val="000000" w:themeColor="text1"/>
                <w14:textFill>
                  <w14:solidFill>
                    <w14:schemeClr w14:val="tx1"/>
                  </w14:solidFill>
                </w14:textFill>
              </w:rPr>
            </w:pPr>
            <w:r>
              <w:rPr>
                <w:color w:val="000000" w:themeColor="text1"/>
                <w14:textFill>
                  <w14:solidFill>
                    <w14:schemeClr w14:val="tx1"/>
                  </w14:solidFill>
                </w14:textFill>
              </w:rPr>
              <w:t>Ⅱ类项目</w:t>
            </w:r>
          </w:p>
        </w:tc>
        <w:tc>
          <w:tcPr>
            <w:tcW w:w="1250" w:type="pct"/>
            <w:vAlign w:val="center"/>
          </w:tcPr>
          <w:p w14:paraId="3161CE4F">
            <w:pPr>
              <w:pStyle w:val="109"/>
              <w:rPr>
                <w:color w:val="000000" w:themeColor="text1"/>
                <w14:textFill>
                  <w14:solidFill>
                    <w14:schemeClr w14:val="tx1"/>
                  </w14:solidFill>
                </w14:textFill>
              </w:rPr>
            </w:pPr>
            <w:r>
              <w:rPr>
                <w:color w:val="000000" w:themeColor="text1"/>
                <w14:textFill>
                  <w14:solidFill>
                    <w14:schemeClr w14:val="tx1"/>
                  </w14:solidFill>
                </w14:textFill>
              </w:rPr>
              <w:t>Ⅲ类项目</w:t>
            </w:r>
          </w:p>
        </w:tc>
      </w:tr>
      <w:tr w14:paraId="5293E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vAlign w:val="center"/>
          </w:tcPr>
          <w:p w14:paraId="4A7EC947">
            <w:pPr>
              <w:pStyle w:val="109"/>
              <w:rPr>
                <w:color w:val="000000" w:themeColor="text1"/>
                <w14:textFill>
                  <w14:solidFill>
                    <w14:schemeClr w14:val="tx1"/>
                  </w14:solidFill>
                </w14:textFill>
              </w:rPr>
            </w:pPr>
            <w:r>
              <w:rPr>
                <w:color w:val="000000" w:themeColor="text1"/>
                <w14:textFill>
                  <w14:solidFill>
                    <w14:schemeClr w14:val="tx1"/>
                  </w14:solidFill>
                </w14:textFill>
              </w:rPr>
              <w:t>敏感</w:t>
            </w:r>
          </w:p>
        </w:tc>
        <w:tc>
          <w:tcPr>
            <w:tcW w:w="1250" w:type="pct"/>
            <w:vAlign w:val="center"/>
          </w:tcPr>
          <w:p w14:paraId="7CFC8B65">
            <w:pPr>
              <w:pStyle w:val="109"/>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250" w:type="pct"/>
            <w:vAlign w:val="center"/>
          </w:tcPr>
          <w:p w14:paraId="7F7CA364">
            <w:pPr>
              <w:pStyle w:val="109"/>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250" w:type="pct"/>
            <w:vAlign w:val="center"/>
          </w:tcPr>
          <w:p w14:paraId="6B951D59">
            <w:pPr>
              <w:pStyle w:val="109"/>
              <w:rPr>
                <w:color w:val="000000" w:themeColor="text1"/>
                <w14:textFill>
                  <w14:solidFill>
                    <w14:schemeClr w14:val="tx1"/>
                  </w14:solidFill>
                </w14:textFill>
              </w:rPr>
            </w:pPr>
            <w:r>
              <w:rPr>
                <w:color w:val="000000" w:themeColor="text1"/>
                <w14:textFill>
                  <w14:solidFill>
                    <w14:schemeClr w14:val="tx1"/>
                  </w14:solidFill>
                </w14:textFill>
              </w:rPr>
              <w:t>二</w:t>
            </w:r>
          </w:p>
        </w:tc>
      </w:tr>
      <w:tr w14:paraId="0BF75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vAlign w:val="center"/>
          </w:tcPr>
          <w:p w14:paraId="0E15DAF8">
            <w:pPr>
              <w:pStyle w:val="109"/>
              <w:rPr>
                <w:color w:val="000000" w:themeColor="text1"/>
                <w14:textFill>
                  <w14:solidFill>
                    <w14:schemeClr w14:val="tx1"/>
                  </w14:solidFill>
                </w14:textFill>
              </w:rPr>
            </w:pPr>
            <w:r>
              <w:rPr>
                <w:color w:val="000000" w:themeColor="text1"/>
                <w14:textFill>
                  <w14:solidFill>
                    <w14:schemeClr w14:val="tx1"/>
                  </w14:solidFill>
                </w14:textFill>
              </w:rPr>
              <w:t>较敏感</w:t>
            </w:r>
          </w:p>
        </w:tc>
        <w:tc>
          <w:tcPr>
            <w:tcW w:w="1250" w:type="pct"/>
            <w:vAlign w:val="center"/>
          </w:tcPr>
          <w:p w14:paraId="777E0AFF">
            <w:pPr>
              <w:pStyle w:val="109"/>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250" w:type="pct"/>
            <w:vAlign w:val="center"/>
          </w:tcPr>
          <w:p w14:paraId="3978CD9A">
            <w:pPr>
              <w:pStyle w:val="109"/>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1250" w:type="pct"/>
            <w:vAlign w:val="center"/>
          </w:tcPr>
          <w:p w14:paraId="6A745540">
            <w:pPr>
              <w:pStyle w:val="109"/>
              <w:rPr>
                <w:color w:val="000000" w:themeColor="text1"/>
                <w14:textFill>
                  <w14:solidFill>
                    <w14:schemeClr w14:val="tx1"/>
                  </w14:solidFill>
                </w14:textFill>
              </w:rPr>
            </w:pPr>
            <w:r>
              <w:rPr>
                <w:color w:val="000000" w:themeColor="text1"/>
                <w14:textFill>
                  <w14:solidFill>
                    <w14:schemeClr w14:val="tx1"/>
                  </w14:solidFill>
                </w14:textFill>
              </w:rPr>
              <w:t>三</w:t>
            </w:r>
          </w:p>
        </w:tc>
      </w:tr>
      <w:tr w14:paraId="362C9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vAlign w:val="center"/>
          </w:tcPr>
          <w:p w14:paraId="2BB5DB47">
            <w:pPr>
              <w:pStyle w:val="109"/>
              <w:rPr>
                <w:color w:val="000000" w:themeColor="text1"/>
                <w14:textFill>
                  <w14:solidFill>
                    <w14:schemeClr w14:val="tx1"/>
                  </w14:solidFill>
                </w14:textFill>
              </w:rPr>
            </w:pPr>
            <w:r>
              <w:rPr>
                <w:color w:val="000000" w:themeColor="text1"/>
                <w14:textFill>
                  <w14:solidFill>
                    <w14:schemeClr w14:val="tx1"/>
                  </w14:solidFill>
                </w14:textFill>
              </w:rPr>
              <w:t>不敏感</w:t>
            </w:r>
          </w:p>
        </w:tc>
        <w:tc>
          <w:tcPr>
            <w:tcW w:w="1250" w:type="pct"/>
            <w:shd w:val="clear" w:color="auto" w:fill="D9D9D9"/>
            <w:vAlign w:val="center"/>
          </w:tcPr>
          <w:p w14:paraId="7AA9F613">
            <w:pPr>
              <w:pStyle w:val="109"/>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1250" w:type="pct"/>
            <w:vAlign w:val="center"/>
          </w:tcPr>
          <w:p w14:paraId="65523B73">
            <w:pPr>
              <w:pStyle w:val="109"/>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1250" w:type="pct"/>
            <w:vAlign w:val="center"/>
          </w:tcPr>
          <w:p w14:paraId="1EBF910F">
            <w:pPr>
              <w:pStyle w:val="109"/>
              <w:rPr>
                <w:color w:val="000000" w:themeColor="text1"/>
                <w14:textFill>
                  <w14:solidFill>
                    <w14:schemeClr w14:val="tx1"/>
                  </w14:solidFill>
                </w14:textFill>
              </w:rPr>
            </w:pPr>
            <w:r>
              <w:rPr>
                <w:color w:val="000000" w:themeColor="text1"/>
                <w14:textFill>
                  <w14:solidFill>
                    <w14:schemeClr w14:val="tx1"/>
                  </w14:solidFill>
                </w14:textFill>
              </w:rPr>
              <w:t>三</w:t>
            </w:r>
          </w:p>
        </w:tc>
      </w:tr>
    </w:tbl>
    <w:p w14:paraId="68A6FCC7">
      <w:pPr>
        <w:ind w:firstLine="480"/>
        <w:rPr>
          <w:color w:val="000000" w:themeColor="text1"/>
          <w14:textFill>
            <w14:solidFill>
              <w14:schemeClr w14:val="tx1"/>
            </w14:solidFill>
          </w14:textFill>
        </w:rPr>
      </w:pPr>
      <w:r>
        <w:rPr>
          <w:color w:val="000000" w:themeColor="text1"/>
          <w14:textFill>
            <w14:solidFill>
              <w14:schemeClr w14:val="tx1"/>
            </w14:solidFill>
          </w14:textFill>
        </w:rPr>
        <w:t>项目所在地非水源地，占地为工业园区规划的工业用地，项目与所在区域地下水无水力联系，不是集中式饮用水水源（包括已建成的在用、备用、应急水源，在建和规划的饮用水水源）准保护区和补给径流区，周边水井不作为饮用水井，不是分散式水源地，因此不是地下水环境敏感区或较敏感区，敏感程度为“不敏感”。</w:t>
      </w:r>
    </w:p>
    <w:p w14:paraId="693C4458">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根据建设项目地下水环境影响评价工作等级划分，本项目地下水环境影响评价等级为二级。</w:t>
      </w:r>
    </w:p>
    <w:p w14:paraId="4816CCF1">
      <w:pPr>
        <w:ind w:firstLine="480"/>
        <w:rPr>
          <w:color w:val="000000" w:themeColor="text1"/>
          <w14:textFill>
            <w14:solidFill>
              <w14:schemeClr w14:val="tx1"/>
            </w14:solidFill>
          </w14:textFill>
        </w:rPr>
      </w:pPr>
      <w:r>
        <w:rPr>
          <w:color w:val="000000" w:themeColor="text1"/>
          <w14:textFill>
            <w14:solidFill>
              <w14:schemeClr w14:val="tx1"/>
            </w14:solidFill>
          </w14:textFill>
        </w:rPr>
        <w:t>根据导则及工程影响范围，确定地下水影响评价范围为选址中心点为中心，厂界</w:t>
      </w:r>
      <w:r>
        <w:rPr>
          <w:rFonts w:hint="eastAsia"/>
          <w:color w:val="000000" w:themeColor="text1"/>
          <w14:textFill>
            <w14:solidFill>
              <w14:schemeClr w14:val="tx1"/>
            </w14:solidFill>
          </w14:textFill>
        </w:rPr>
        <w:t>外地下水上游1</w:t>
      </w:r>
      <w:r>
        <w:rPr>
          <w:color w:val="000000" w:themeColor="text1"/>
          <w14:textFill>
            <w14:solidFill>
              <w14:schemeClr w14:val="tx1"/>
            </w14:solidFill>
          </w14:textFill>
        </w:rPr>
        <w:t>km、下游2km、厂界两侧1km的区域，共约</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范围。</w:t>
      </w:r>
    </w:p>
    <w:p w14:paraId="2DC125C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声环境</w:t>
      </w:r>
    </w:p>
    <w:p w14:paraId="65D1F550">
      <w:pPr>
        <w:ind w:firstLine="480"/>
        <w:rPr>
          <w:color w:val="000000" w:themeColor="text1"/>
          <w14:textFill>
            <w14:solidFill>
              <w14:schemeClr w14:val="tx1"/>
            </w14:solidFill>
          </w14:textFill>
        </w:rPr>
      </w:pPr>
      <w:r>
        <w:rPr>
          <w:color w:val="000000" w:themeColor="text1"/>
          <w14:textFill>
            <w14:solidFill>
              <w14:schemeClr w14:val="tx1"/>
            </w14:solidFill>
          </w14:textFill>
        </w:rPr>
        <w:t>项目位于工业园区</w:t>
      </w:r>
      <w:r>
        <w:rPr>
          <w:color w:val="000000" w:themeColor="text1"/>
          <w:szCs w:val="21"/>
          <w14:textFill>
            <w14:solidFill>
              <w14:schemeClr w14:val="tx1"/>
            </w14:solidFill>
          </w14:textFill>
        </w:rPr>
        <w:t>内</w:t>
      </w:r>
      <w:r>
        <w:rPr>
          <w:color w:val="000000" w:themeColor="text1"/>
          <w14:textFill>
            <w14:solidFill>
              <w14:schemeClr w14:val="tx1"/>
            </w14:solidFill>
          </w14:textFill>
        </w:rPr>
        <w:t>，声环境功能区属于3类区。根据《环境影响评价技术导则 声环境》（HJ2.4-20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），项目建设前后噪声值变化较小且厂址附近没有声环境敏感目标，受影响人口数量基本不发生变化，因此本项目声环境评价等级定为三级。等级判定见下表。</w:t>
      </w:r>
    </w:p>
    <w:p w14:paraId="42BCF19A">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环境噪声影响评价工作等级判定依据表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687"/>
        <w:gridCol w:w="1708"/>
        <w:gridCol w:w="3696"/>
        <w:gridCol w:w="2377"/>
      </w:tblGrid>
      <w:tr w14:paraId="49A829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891" w:type="pct"/>
            <w:vAlign w:val="center"/>
          </w:tcPr>
          <w:p w14:paraId="658D7E3B">
            <w:pPr>
              <w:pStyle w:val="109"/>
              <w:rPr>
                <w:color w:val="000000" w:themeColor="text1"/>
                <w14:textFill>
                  <w14:solidFill>
                    <w14:schemeClr w14:val="tx1"/>
                  </w14:solidFill>
                </w14:textFill>
              </w:rPr>
            </w:pPr>
            <w:r>
              <w:rPr>
                <w:color w:val="000000" w:themeColor="text1"/>
                <w14:textFill>
                  <w14:solidFill>
                    <w14:schemeClr w14:val="tx1"/>
                  </w14:solidFill>
                </w14:textFill>
              </w:rPr>
              <w:t>判别依据</w:t>
            </w:r>
          </w:p>
        </w:tc>
        <w:tc>
          <w:tcPr>
            <w:tcW w:w="902" w:type="pct"/>
            <w:vAlign w:val="center"/>
          </w:tcPr>
          <w:p w14:paraId="00307CBF">
            <w:pPr>
              <w:pStyle w:val="109"/>
              <w:rPr>
                <w:color w:val="000000" w:themeColor="text1"/>
                <w14:textFill>
                  <w14:solidFill>
                    <w14:schemeClr w14:val="tx1"/>
                  </w14:solidFill>
                </w14:textFill>
              </w:rPr>
            </w:pPr>
            <w:r>
              <w:rPr>
                <w:color w:val="000000" w:themeColor="text1"/>
                <w14:textFill>
                  <w14:solidFill>
                    <w14:schemeClr w14:val="tx1"/>
                  </w14:solidFill>
                </w14:textFill>
              </w:rPr>
              <w:t>声环境功能区类别</w:t>
            </w:r>
          </w:p>
        </w:tc>
        <w:tc>
          <w:tcPr>
            <w:tcW w:w="1952" w:type="pct"/>
            <w:vAlign w:val="center"/>
          </w:tcPr>
          <w:p w14:paraId="5F2E60A9">
            <w:pPr>
              <w:pStyle w:val="109"/>
              <w:rPr>
                <w:color w:val="000000" w:themeColor="text1"/>
                <w14:textFill>
                  <w14:solidFill>
                    <w14:schemeClr w14:val="tx1"/>
                  </w14:solidFill>
                </w14:textFill>
              </w:rPr>
            </w:pPr>
            <w:r>
              <w:rPr>
                <w:color w:val="000000" w:themeColor="text1"/>
                <w14:textFill>
                  <w14:solidFill>
                    <w14:schemeClr w14:val="tx1"/>
                  </w14:solidFill>
                </w14:textFill>
              </w:rPr>
              <w:t>项目建设前后评价范围内敏感目标噪声级增高量</w:t>
            </w:r>
          </w:p>
        </w:tc>
        <w:tc>
          <w:tcPr>
            <w:tcW w:w="1254" w:type="pct"/>
            <w:vAlign w:val="center"/>
          </w:tcPr>
          <w:p w14:paraId="113F12DC">
            <w:pPr>
              <w:pStyle w:val="109"/>
              <w:rPr>
                <w:color w:val="000000" w:themeColor="text1"/>
                <w14:textFill>
                  <w14:solidFill>
                    <w14:schemeClr w14:val="tx1"/>
                  </w14:solidFill>
                </w14:textFill>
              </w:rPr>
            </w:pPr>
            <w:r>
              <w:rPr>
                <w:color w:val="000000" w:themeColor="text1"/>
                <w14:textFill>
                  <w14:solidFill>
                    <w14:schemeClr w14:val="tx1"/>
                  </w14:solidFill>
                </w14:textFill>
              </w:rPr>
              <w:t>受噪声影响</w:t>
            </w:r>
          </w:p>
          <w:p w14:paraId="3BC32D28">
            <w:pPr>
              <w:pStyle w:val="109"/>
              <w:rPr>
                <w:color w:val="000000" w:themeColor="text1"/>
                <w14:textFill>
                  <w14:solidFill>
                    <w14:schemeClr w14:val="tx1"/>
                  </w14:solidFill>
                </w14:textFill>
              </w:rPr>
            </w:pPr>
            <w:r>
              <w:rPr>
                <w:color w:val="000000" w:themeColor="text1"/>
                <w14:textFill>
                  <w14:solidFill>
                    <w14:schemeClr w14:val="tx1"/>
                  </w14:solidFill>
                </w14:textFill>
              </w:rPr>
              <w:t>范围内的人口数量</w:t>
            </w:r>
          </w:p>
        </w:tc>
      </w:tr>
      <w:tr w14:paraId="40598E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891" w:type="pct"/>
            <w:vAlign w:val="center"/>
          </w:tcPr>
          <w:p w14:paraId="535E47FC">
            <w:pPr>
              <w:pStyle w:val="109"/>
              <w:rPr>
                <w:color w:val="000000" w:themeColor="text1"/>
                <w14:textFill>
                  <w14:solidFill>
                    <w14:schemeClr w14:val="tx1"/>
                  </w14:solidFill>
                </w14:textFill>
              </w:rPr>
            </w:pPr>
            <w:r>
              <w:rPr>
                <w:color w:val="000000" w:themeColor="text1"/>
                <w14:textFill>
                  <w14:solidFill>
                    <w14:schemeClr w14:val="tx1"/>
                  </w14:solidFill>
                </w14:textFill>
              </w:rPr>
              <w:t>三级评价</w:t>
            </w:r>
          </w:p>
        </w:tc>
        <w:tc>
          <w:tcPr>
            <w:tcW w:w="902" w:type="pct"/>
            <w:vAlign w:val="center"/>
          </w:tcPr>
          <w:p w14:paraId="62FC8049">
            <w:pPr>
              <w:pStyle w:val="109"/>
              <w:rPr>
                <w:color w:val="000000" w:themeColor="text1"/>
                <w14:textFill>
                  <w14:solidFill>
                    <w14:schemeClr w14:val="tx1"/>
                  </w14:solidFill>
                </w14:textFill>
              </w:rPr>
            </w:pPr>
            <w:r>
              <w:rPr>
                <w:color w:val="000000" w:themeColor="text1"/>
                <w14:textFill>
                  <w14:solidFill>
                    <w14:schemeClr w14:val="tx1"/>
                  </w14:solidFill>
                </w14:textFill>
              </w:rPr>
              <w:t>3、4类地区</w:t>
            </w:r>
          </w:p>
        </w:tc>
        <w:tc>
          <w:tcPr>
            <w:tcW w:w="1952" w:type="pct"/>
            <w:vAlign w:val="center"/>
          </w:tcPr>
          <w:p w14:paraId="0BD26663">
            <w:pPr>
              <w:pStyle w:val="109"/>
              <w:rPr>
                <w:color w:val="000000" w:themeColor="text1"/>
                <w14:textFill>
                  <w14:solidFill>
                    <w14:schemeClr w14:val="tx1"/>
                  </w14:solidFill>
                </w14:textFill>
              </w:rPr>
            </w:pPr>
            <w:r>
              <w:rPr>
                <w:color w:val="000000" w:themeColor="text1"/>
                <w14:textFill>
                  <w14:solidFill>
                    <w14:schemeClr w14:val="tx1"/>
                  </w14:solidFill>
                </w14:textFill>
              </w:rPr>
              <w:t>小于3dB(A)（不含5dB(A)）</w:t>
            </w:r>
          </w:p>
        </w:tc>
        <w:tc>
          <w:tcPr>
            <w:tcW w:w="1254" w:type="pct"/>
            <w:vAlign w:val="center"/>
          </w:tcPr>
          <w:p w14:paraId="21AE8CBA">
            <w:pPr>
              <w:pStyle w:val="109"/>
              <w:rPr>
                <w:color w:val="000000" w:themeColor="text1"/>
                <w14:textFill>
                  <w14:solidFill>
                    <w14:schemeClr w14:val="tx1"/>
                  </w14:solidFill>
                </w14:textFill>
              </w:rPr>
            </w:pPr>
            <w:r>
              <w:rPr>
                <w:color w:val="000000" w:themeColor="text1"/>
                <w14:textFill>
                  <w14:solidFill>
                    <w14:schemeClr w14:val="tx1"/>
                  </w14:solidFill>
                </w14:textFill>
              </w:rPr>
              <w:t>变化不大</w:t>
            </w:r>
          </w:p>
        </w:tc>
      </w:tr>
      <w:tr w14:paraId="4A094C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891" w:type="pct"/>
            <w:vAlign w:val="center"/>
          </w:tcPr>
          <w:p w14:paraId="46B1BB3B">
            <w:pPr>
              <w:pStyle w:val="109"/>
              <w:rPr>
                <w:color w:val="000000" w:themeColor="text1"/>
                <w14:textFill>
                  <w14:solidFill>
                    <w14:schemeClr w14:val="tx1"/>
                  </w14:solidFill>
                </w14:textFill>
              </w:rPr>
            </w:pPr>
            <w:r>
              <w:rPr>
                <w:color w:val="000000" w:themeColor="text1"/>
                <w14:textFill>
                  <w14:solidFill>
                    <w14:schemeClr w14:val="tx1"/>
                  </w14:solidFill>
                </w14:textFill>
              </w:rPr>
              <w:t>本工程</w:t>
            </w:r>
          </w:p>
        </w:tc>
        <w:tc>
          <w:tcPr>
            <w:tcW w:w="902" w:type="pct"/>
            <w:vAlign w:val="center"/>
          </w:tcPr>
          <w:p w14:paraId="2B68ABD0">
            <w:pPr>
              <w:pStyle w:val="109"/>
              <w:rPr>
                <w:color w:val="000000" w:themeColor="text1"/>
                <w14:textFill>
                  <w14:solidFill>
                    <w14:schemeClr w14:val="tx1"/>
                  </w14:solidFill>
                </w14:textFill>
              </w:rPr>
            </w:pPr>
            <w:r>
              <w:rPr>
                <w:color w:val="000000" w:themeColor="text1"/>
                <w14:textFill>
                  <w14:solidFill>
                    <w14:schemeClr w14:val="tx1"/>
                  </w14:solidFill>
                </w14:textFill>
              </w:rPr>
              <w:t>3类区</w:t>
            </w:r>
          </w:p>
        </w:tc>
        <w:tc>
          <w:tcPr>
            <w:tcW w:w="1952" w:type="pct"/>
          </w:tcPr>
          <w:p w14:paraId="69941B2F">
            <w:pPr>
              <w:pStyle w:val="109"/>
              <w:rPr>
                <w:color w:val="000000" w:themeColor="text1"/>
                <w14:textFill>
                  <w14:solidFill>
                    <w14:schemeClr w14:val="tx1"/>
                  </w14:solidFill>
                </w14:textFill>
              </w:rPr>
            </w:pPr>
            <w:r>
              <w:rPr>
                <w:color w:val="000000" w:themeColor="text1"/>
                <w14:textFill>
                  <w14:solidFill>
                    <w14:schemeClr w14:val="tx1"/>
                  </w14:solidFill>
                </w14:textFill>
              </w:rPr>
              <w:t>小于3dB(A)</w:t>
            </w:r>
          </w:p>
        </w:tc>
        <w:tc>
          <w:tcPr>
            <w:tcW w:w="1254" w:type="pct"/>
          </w:tcPr>
          <w:p w14:paraId="71E3C4FF">
            <w:pPr>
              <w:pStyle w:val="109"/>
              <w:rPr>
                <w:color w:val="000000" w:themeColor="text1"/>
                <w14:textFill>
                  <w14:solidFill>
                    <w14:schemeClr w14:val="tx1"/>
                  </w14:solidFill>
                </w14:textFill>
              </w:rPr>
            </w:pPr>
            <w:r>
              <w:rPr>
                <w:color w:val="000000" w:themeColor="text1"/>
                <w14:textFill>
                  <w14:solidFill>
                    <w14:schemeClr w14:val="tx1"/>
                  </w14:solidFill>
                </w14:textFill>
              </w:rPr>
              <w:t>变化不大</w:t>
            </w:r>
          </w:p>
        </w:tc>
      </w:tr>
      <w:tr w14:paraId="5EA9FA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891" w:type="pct"/>
            <w:vAlign w:val="center"/>
          </w:tcPr>
          <w:p w14:paraId="61BCE0D2">
            <w:pPr>
              <w:pStyle w:val="109"/>
              <w:rPr>
                <w:b/>
                <w:color w:val="000000" w:themeColor="text1"/>
                <w14:textFill>
                  <w14:solidFill>
                    <w14:schemeClr w14:val="tx1"/>
                  </w14:solidFill>
                </w14:textFill>
              </w:rPr>
            </w:pPr>
            <w:r>
              <w:rPr>
                <w:color w:val="000000" w:themeColor="text1"/>
                <w14:textFill>
                  <w14:solidFill>
                    <w14:schemeClr w14:val="tx1"/>
                  </w14:solidFill>
                </w14:textFill>
              </w:rPr>
              <w:t>评价等级</w:t>
            </w:r>
          </w:p>
        </w:tc>
        <w:tc>
          <w:tcPr>
            <w:tcW w:w="4109" w:type="pct"/>
            <w:gridSpan w:val="3"/>
            <w:vAlign w:val="center"/>
          </w:tcPr>
          <w:p w14:paraId="2609BD25">
            <w:pPr>
              <w:pStyle w:val="109"/>
              <w:rPr>
                <w:color w:val="000000" w:themeColor="text1"/>
                <w14:textFill>
                  <w14:solidFill>
                    <w14:schemeClr w14:val="tx1"/>
                  </w14:solidFill>
                </w14:textFill>
              </w:rPr>
            </w:pPr>
            <w:r>
              <w:rPr>
                <w:color w:val="000000" w:themeColor="text1"/>
                <w14:textFill>
                  <w14:solidFill>
                    <w14:schemeClr w14:val="tx1"/>
                  </w14:solidFill>
                </w14:textFill>
              </w:rPr>
              <w:t>三级评价</w:t>
            </w:r>
          </w:p>
        </w:tc>
      </w:tr>
    </w:tbl>
    <w:p w14:paraId="3A0193B6">
      <w:pPr>
        <w:ind w:firstLine="480"/>
        <w:rPr>
          <w:color w:val="000000" w:themeColor="text1"/>
          <w14:textFill>
            <w14:solidFill>
              <w14:schemeClr w14:val="tx1"/>
            </w14:solidFill>
          </w14:textFill>
        </w:rPr>
      </w:pPr>
      <w:r>
        <w:rPr>
          <w:color w:val="000000" w:themeColor="text1"/>
          <w14:textFill>
            <w14:solidFill>
              <w14:schemeClr w14:val="tx1"/>
            </w14:solidFill>
          </w14:textFill>
        </w:rPr>
        <w:t>声环境评价范围为厂界外200m范围。</w:t>
      </w:r>
    </w:p>
    <w:p w14:paraId="698C8C0D">
      <w:pPr>
        <w:pStyle w:val="4"/>
        <w:rPr>
          <w:rFonts w:ascii="Times New Roman" w:cs="Times New Roman"/>
          <w:color w:val="000000" w:themeColor="text1"/>
          <w14:textFill>
            <w14:solidFill>
              <w14:schemeClr w14:val="tx1"/>
            </w14:solidFill>
          </w14:textFill>
        </w:rPr>
      </w:pPr>
      <w:bookmarkStart w:id="150" w:name="_Hlk63673609"/>
      <w:r>
        <w:rPr>
          <w:rFonts w:ascii="Times New Roman" w:cs="Times New Roman"/>
          <w:color w:val="000000" w:themeColor="text1"/>
          <w14:textFill>
            <w14:solidFill>
              <w14:schemeClr w14:val="tx1"/>
            </w14:solidFill>
          </w14:textFill>
        </w:rPr>
        <w:t>生态环境</w:t>
      </w:r>
    </w:p>
    <w:bookmarkEnd w:id="150"/>
    <w:p w14:paraId="7235C516">
      <w:pPr>
        <w:ind w:firstLine="480"/>
        <w:jc w:val="both"/>
        <w:rPr>
          <w:color w:val="000000" w:themeColor="text1"/>
          <w:lang w:bidi="ar"/>
          <w14:textFill>
            <w14:solidFill>
              <w14:schemeClr w14:val="tx1"/>
            </w14:solidFill>
          </w14:textFill>
        </w:rPr>
      </w:pPr>
      <w:r>
        <w:rPr>
          <w:color w:val="000000" w:themeColor="text1"/>
          <w:lang w:bidi="ar"/>
          <w14:textFill>
            <w14:solidFill>
              <w14:schemeClr w14:val="tx1"/>
            </w14:solidFill>
          </w14:textFill>
        </w:rPr>
        <w:t>依据《环境影响评价技术导则 生态影响》（HJ19-2022）中评价工作分级要求，将生态影响评价工作等级划分为一级、二级和三级。划分依据如下：</w:t>
      </w:r>
    </w:p>
    <w:p w14:paraId="13D6BFFA">
      <w:pPr>
        <w:ind w:firstLine="480"/>
        <w:jc w:val="both"/>
        <w:rPr>
          <w:color w:val="000000" w:themeColor="text1"/>
          <w:lang w:bidi="ar"/>
          <w14:textFill>
            <w14:solidFill>
              <w14:schemeClr w14:val="tx1"/>
            </w14:solidFill>
          </w14:textFill>
        </w:rPr>
      </w:pPr>
      <w:r>
        <w:rPr>
          <w:color w:val="000000" w:themeColor="text1"/>
          <w:lang w:bidi="ar"/>
          <w14:textFill>
            <w14:solidFill>
              <w14:schemeClr w14:val="tx1"/>
            </w14:solidFill>
          </w14:textFill>
        </w:rPr>
        <w:t>1、按以下原则确定评价等级：a）涉及国家公园、自然保护区、世界自然遗产、重要生境时，评价等级为一级；b）涉及自然公园时，评价等级为二级；c）涉及生态保护红线时，评价等级不低于二级；d）根据HJ2.3判断属于水文要素影响型且地表水评价等级不低于二级的建设项目，生态影响评价等级不低于二级；e）根据HJ610、HJ964判断地下水水位或土壤影响范围内分布有天然林、公益林、湿地等生态保护目标的建设项目，生态影响评价等级不低于二级；f）当工程占地规模大于20平方千米时（包括永久和临时占用陆域和水域），评价等级不低于二级；改扩建项目的占地范围以新增占地（包括陆域和水域）确定；g）除本条a）、b）、c）、d）、e）、f）以外的情况，评价等级为三级；h）当评价等级判定同时符合上述多种情况时，应采用其中最高的评价等级。</w:t>
      </w:r>
    </w:p>
    <w:p w14:paraId="308F8B59">
      <w:pPr>
        <w:ind w:firstLine="480"/>
        <w:jc w:val="both"/>
        <w:rPr>
          <w:color w:val="000000" w:themeColor="text1"/>
          <w:lang w:bidi="ar"/>
          <w14:textFill>
            <w14:solidFill>
              <w14:schemeClr w14:val="tx1"/>
            </w14:solidFill>
          </w14:textFill>
        </w:rPr>
      </w:pPr>
      <w:r>
        <w:rPr>
          <w:color w:val="000000" w:themeColor="text1"/>
          <w:lang w:bidi="ar"/>
          <w14:textFill>
            <w14:solidFill>
              <w14:schemeClr w14:val="tx1"/>
            </w14:solidFill>
          </w14:textFill>
        </w:rPr>
        <w:t>2、建设项目涉及经论证对保护生物多样性具有重要意义的区域时，可适当上调评价等级。</w:t>
      </w:r>
    </w:p>
    <w:p w14:paraId="0DE1B1A6">
      <w:pPr>
        <w:ind w:firstLine="480"/>
        <w:jc w:val="both"/>
        <w:rPr>
          <w:color w:val="000000" w:themeColor="text1"/>
          <w:lang w:bidi="ar"/>
          <w14:textFill>
            <w14:solidFill>
              <w14:schemeClr w14:val="tx1"/>
            </w14:solidFill>
          </w14:textFill>
        </w:rPr>
      </w:pPr>
      <w:r>
        <w:rPr>
          <w:color w:val="000000" w:themeColor="text1"/>
          <w:lang w:bidi="ar"/>
          <w14:textFill>
            <w14:solidFill>
              <w14:schemeClr w14:val="tx1"/>
            </w14:solidFill>
          </w14:textFill>
        </w:rPr>
        <w:t>3、建设项目同时涉及陆生、水生生态影响时，可针对陆生生态、水生生态分别判定评价等级。</w:t>
      </w:r>
    </w:p>
    <w:p w14:paraId="2668D864">
      <w:pPr>
        <w:ind w:firstLine="480"/>
        <w:jc w:val="both"/>
        <w:rPr>
          <w:color w:val="000000" w:themeColor="text1"/>
          <w:lang w:bidi="ar"/>
          <w14:textFill>
            <w14:solidFill>
              <w14:schemeClr w14:val="tx1"/>
            </w14:solidFill>
          </w14:textFill>
        </w:rPr>
      </w:pPr>
      <w:r>
        <w:rPr>
          <w:color w:val="000000" w:themeColor="text1"/>
          <w:lang w:bidi="ar"/>
          <w14:textFill>
            <w14:solidFill>
              <w14:schemeClr w14:val="tx1"/>
            </w14:solidFill>
          </w14:textFill>
        </w:rPr>
        <w:t>4、在矿山开采可能导致矿区土地利用类型明显改变，或拦河闸坝建设可能明显改变水文情势等情况下，评价等级应上调一级。</w:t>
      </w:r>
    </w:p>
    <w:p w14:paraId="1F4238D1">
      <w:pPr>
        <w:ind w:firstLine="480"/>
        <w:jc w:val="both"/>
        <w:rPr>
          <w:color w:val="000000" w:themeColor="text1"/>
          <w:lang w:bidi="ar"/>
          <w14:textFill>
            <w14:solidFill>
              <w14:schemeClr w14:val="tx1"/>
            </w14:solidFill>
          </w14:textFill>
        </w:rPr>
      </w:pPr>
      <w:r>
        <w:rPr>
          <w:color w:val="000000" w:themeColor="text1"/>
          <w:lang w:bidi="ar"/>
          <w14:textFill>
            <w14:solidFill>
              <w14:schemeClr w14:val="tx1"/>
            </w14:solidFill>
          </w14:textFill>
        </w:rPr>
        <w:t>5、线性工程可分段确定评价等级。线性工程地下穿越或地表跨越生态敏感区，在生态敏感区范围内无永久、临时占地时，评价等级可下调一级。</w:t>
      </w:r>
    </w:p>
    <w:p w14:paraId="4A8A5E27">
      <w:pPr>
        <w:ind w:firstLine="480"/>
        <w:jc w:val="both"/>
        <w:rPr>
          <w:color w:val="000000" w:themeColor="text1"/>
          <w14:textFill>
            <w14:solidFill>
              <w14:schemeClr w14:val="tx1"/>
            </w14:solidFill>
          </w14:textFill>
        </w:rPr>
      </w:pPr>
      <w:bookmarkStart w:id="151" w:name="_Toc2378"/>
      <w:r>
        <w:rPr>
          <w:color w:val="000000" w:themeColor="text1"/>
          <w14:textFill>
            <w14:solidFill>
              <w14:schemeClr w14:val="tx1"/>
            </w14:solidFill>
          </w14:textFill>
        </w:rPr>
        <w:t>6、涉海工程评价等级判定参照GB/T19485。</w:t>
      </w:r>
      <w:bookmarkEnd w:id="151"/>
    </w:p>
    <w:p w14:paraId="394AC8CC">
      <w:pPr>
        <w:ind w:firstLine="480"/>
        <w:jc w:val="both"/>
        <w:rPr>
          <w:color w:val="000000" w:themeColor="text1"/>
          <w:lang w:bidi="ar"/>
          <w14:textFill>
            <w14:solidFill>
              <w14:schemeClr w14:val="tx1"/>
            </w14:solidFill>
          </w14:textFill>
        </w:rPr>
      </w:pPr>
      <w:r>
        <w:rPr>
          <w:color w:val="000000" w:themeColor="text1"/>
          <w:lang w:bidi="ar"/>
          <w14:textFill>
            <w14:solidFill>
              <w14:schemeClr w14:val="tx1"/>
            </w14:solidFill>
          </w14:textFill>
        </w:rPr>
        <w:t>7、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14:paraId="36364842">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lang w:bidi="ar"/>
          <w14:textFill>
            <w14:solidFill>
              <w14:schemeClr w14:val="tx1"/>
            </w14:solidFill>
          </w14:textFill>
        </w:rPr>
        <w:t>本项目为符合位于已批准规划环评的产业园区内且符合规划环评要求、不涉及生态敏感区的污染影响类建设项目，不涉及a）、b）、c）、d）、e）、f）所列情况，属于“7”所规定的项目。因此，根据生态影响评价工作等级的划分原则，本项目不确定评价等级，直接进行生态影响简单分析。</w:t>
      </w:r>
    </w:p>
    <w:p w14:paraId="5B7ED99A">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环境风险</w:t>
      </w:r>
    </w:p>
    <w:p w14:paraId="04EDE00D">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危险物质数量与临界量比值（Q）</w:t>
      </w:r>
    </w:p>
    <w:p w14:paraId="34B8FEC8">
      <w:pPr>
        <w:ind w:firstLine="480"/>
        <w:rPr>
          <w:color w:val="000000" w:themeColor="text1"/>
          <w14:textFill>
            <w14:solidFill>
              <w14:schemeClr w14:val="tx1"/>
            </w14:solidFill>
          </w14:textFill>
        </w:rPr>
      </w:pPr>
      <w:r>
        <w:rPr>
          <w:color w:val="000000" w:themeColor="text1"/>
          <w14:textFill>
            <w14:solidFill>
              <w14:schemeClr w14:val="tx1"/>
            </w14:solidFill>
          </w14:textFill>
        </w:rPr>
        <w:t>计算所涉及的每种危险物质在厂界内的最大存在总量与其在附录B 中对应临界量的比值Q。在不同厂区的同一种物质，按其在厂界内的最大存在总量计算。对于长输管线项目，按照两个截断阀室之间管段危险物质最大存在总量计算。</w:t>
      </w:r>
    </w:p>
    <w:p w14:paraId="38131101">
      <w:pPr>
        <w:ind w:firstLine="480"/>
        <w:rPr>
          <w:color w:val="000000" w:themeColor="text1"/>
          <w14:textFill>
            <w14:solidFill>
              <w14:schemeClr w14:val="tx1"/>
            </w14:solidFill>
          </w14:textFill>
        </w:rPr>
      </w:pPr>
      <w:r>
        <w:rPr>
          <w:color w:val="000000" w:themeColor="text1"/>
          <w14:textFill>
            <w14:solidFill>
              <w14:schemeClr w14:val="tx1"/>
            </w14:solidFill>
          </w14:textFill>
        </w:rPr>
        <w:t>当只涉及一种危险物质时，计算该物质的总量与其临界量比值，即为Q；</w:t>
      </w:r>
    </w:p>
    <w:p w14:paraId="4E801EBE">
      <w:pPr>
        <w:ind w:firstLine="480"/>
        <w:rPr>
          <w:color w:val="000000" w:themeColor="text1"/>
          <w14:textFill>
            <w14:solidFill>
              <w14:schemeClr w14:val="tx1"/>
            </w14:solidFill>
          </w14:textFill>
        </w:rPr>
      </w:pPr>
      <w:r>
        <w:rPr>
          <w:color w:val="000000" w:themeColor="text1"/>
          <w14:textFill>
            <w14:solidFill>
              <w14:schemeClr w14:val="tx1"/>
            </w14:solidFill>
          </w14:textFill>
        </w:rPr>
        <w:t>当存在多种危险物质时，则按式（C.1）计算物质总量与其临界量比值（Q）：</w:t>
      </w:r>
    </w:p>
    <w:p w14:paraId="24282E86">
      <w:pPr>
        <w:pStyle w:val="197"/>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14:textFill>
            <w14:solidFill>
              <w14:schemeClr w14:val="tx1"/>
            </w14:solidFill>
          </w14:textFill>
        </w:rPr>
        <w:t xml:space="preserve">   </w:t>
      </w:r>
      <w:r>
        <w:rPr>
          <w:rFonts w:ascii="Times New Roman" w:hAnsi="Times New Roman"/>
          <w:color w:val="000000" w:themeColor="text1"/>
          <w:lang w:val="en-US"/>
          <w14:textFill>
            <w14:solidFill>
              <w14:schemeClr w14:val="tx1"/>
            </w14:solidFill>
          </w14:textFill>
        </w:rPr>
        <w:drawing>
          <wp:inline distT="0" distB="0" distL="0" distR="0">
            <wp:extent cx="1362075" cy="371475"/>
            <wp:effectExtent l="0" t="0" r="0" b="0"/>
            <wp:docPr id="11304434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43410" name="图片 7"/>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62075" cy="371475"/>
                    </a:xfrm>
                    <a:prstGeom prst="rect">
                      <a:avLst/>
                    </a:prstGeom>
                    <a:noFill/>
                    <a:ln>
                      <a:noFill/>
                    </a:ln>
                  </pic:spPr>
                </pic:pic>
              </a:graphicData>
            </a:graphic>
          </wp:inline>
        </w:drawing>
      </w:r>
    </w:p>
    <w:p w14:paraId="348D99CE">
      <w:pPr>
        <w:pStyle w:val="197"/>
        <w:ind w:firstLine="468" w:firstLineChars="19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式中：q</w:t>
      </w:r>
      <w:r>
        <w:rPr>
          <w:rFonts w:ascii="Times New Roman" w:hAnsi="Times New Roman"/>
          <w:color w:val="000000" w:themeColor="text1"/>
          <w:vertAlign w:val="subscript"/>
          <w14:textFill>
            <w14:solidFill>
              <w14:schemeClr w14:val="tx1"/>
            </w14:solidFill>
          </w14:textFill>
        </w:rPr>
        <w:t>1</w:t>
      </w:r>
      <w:r>
        <w:rPr>
          <w:rFonts w:ascii="Times New Roman" w:hAnsi="Times New Roman"/>
          <w:color w:val="000000" w:themeColor="text1"/>
          <w14:textFill>
            <w14:solidFill>
              <w14:schemeClr w14:val="tx1"/>
            </w14:solidFill>
          </w14:textFill>
        </w:rPr>
        <w:t>，q</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，...，q</w:t>
      </w:r>
      <w:r>
        <w:rPr>
          <w:rFonts w:ascii="Times New Roman" w:hAnsi="Times New Roman"/>
          <w:color w:val="000000" w:themeColor="text1"/>
          <w:vertAlign w:val="subscript"/>
          <w14:textFill>
            <w14:solidFill>
              <w14:schemeClr w14:val="tx1"/>
            </w14:solidFill>
          </w14:textFill>
        </w:rPr>
        <w:t>n</w:t>
      </w:r>
      <w:r>
        <w:rPr>
          <w:rFonts w:ascii="Times New Roman" w:hAnsi="Times New Roman"/>
          <w:color w:val="000000" w:themeColor="text1"/>
          <w14:textFill>
            <w14:solidFill>
              <w14:schemeClr w14:val="tx1"/>
            </w14:solidFill>
          </w14:textFill>
        </w:rPr>
        <w:t>——每种危险物质的最大存在总量，t；</w:t>
      </w:r>
    </w:p>
    <w:p w14:paraId="3752467C">
      <w:pPr>
        <w:pStyle w:val="197"/>
        <w:ind w:firstLine="468" w:firstLineChars="19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Q</w:t>
      </w:r>
      <w:r>
        <w:rPr>
          <w:rFonts w:ascii="Times New Roman" w:hAnsi="Times New Roman"/>
          <w:color w:val="000000" w:themeColor="text1"/>
          <w:vertAlign w:val="subscript"/>
          <w14:textFill>
            <w14:solidFill>
              <w14:schemeClr w14:val="tx1"/>
            </w14:solidFill>
          </w14:textFill>
        </w:rPr>
        <w:t>1</w:t>
      </w:r>
      <w:r>
        <w:rPr>
          <w:rFonts w:ascii="Times New Roman" w:hAnsi="Times New Roman"/>
          <w:color w:val="000000" w:themeColor="text1"/>
          <w14:textFill>
            <w14:solidFill>
              <w14:schemeClr w14:val="tx1"/>
            </w14:solidFill>
          </w14:textFill>
        </w:rPr>
        <w:t>， Q</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 ...， Q</w:t>
      </w:r>
      <w:r>
        <w:rPr>
          <w:rFonts w:ascii="Times New Roman" w:hAnsi="Times New Roman"/>
          <w:color w:val="000000" w:themeColor="text1"/>
          <w:vertAlign w:val="subscript"/>
          <w14:textFill>
            <w14:solidFill>
              <w14:schemeClr w14:val="tx1"/>
            </w14:solidFill>
          </w14:textFill>
        </w:rPr>
        <w:t>n</w:t>
      </w:r>
      <w:r>
        <w:rPr>
          <w:rFonts w:ascii="Times New Roman" w:hAnsi="Times New Roman"/>
          <w:color w:val="000000" w:themeColor="text1"/>
          <w14:textFill>
            <w14:solidFill>
              <w14:schemeClr w14:val="tx1"/>
            </w14:solidFill>
          </w14:textFill>
        </w:rPr>
        <w:t>——每种危险物质的临界量，t。</w:t>
      </w:r>
    </w:p>
    <w:p w14:paraId="6A66C3EF">
      <w:pPr>
        <w:pStyle w:val="197"/>
        <w:ind w:firstLine="468" w:firstLineChars="19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当Q＜1 时，该项目环境风险潜势为Ⅰ。</w:t>
      </w:r>
    </w:p>
    <w:p w14:paraId="03778D35">
      <w:pPr>
        <w:pStyle w:val="197"/>
        <w:ind w:firstLine="468" w:firstLineChars="19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Q≥1 时，将Q 值划分为：（1）1≤Q＜10；（2）10≤Q＜100；（3）Q≥100。</w:t>
      </w:r>
    </w:p>
    <w:p w14:paraId="1C70D48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本项目涉及的危险物质主要为管道内的天然气、危废间的废矿物油</w:t>
      </w:r>
      <w:r>
        <w:rPr>
          <w:rFonts w:hint="eastAsia"/>
          <w:color w:val="000000" w:themeColor="text1"/>
          <w14:textFill>
            <w14:solidFill>
              <w14:schemeClr w14:val="tx1"/>
            </w14:solidFill>
          </w14:textFill>
        </w:rPr>
        <w:t>、10%氨水</w:t>
      </w:r>
      <w:r>
        <w:rPr>
          <w:color w:val="000000" w:themeColor="text1"/>
          <w14:textFill>
            <w14:solidFill>
              <w14:schemeClr w14:val="tx1"/>
            </w14:solidFill>
          </w14:textFill>
        </w:rPr>
        <w:t>。</w:t>
      </w:r>
    </w:p>
    <w:p w14:paraId="2F959084">
      <w:pPr>
        <w:ind w:firstLine="480"/>
        <w:rPr>
          <w:color w:val="000000" w:themeColor="text1"/>
          <w14:textFill>
            <w14:solidFill>
              <w14:schemeClr w14:val="tx1"/>
            </w14:solidFill>
          </w14:textFill>
        </w:rPr>
      </w:pPr>
      <w:r>
        <w:rPr>
          <w:color w:val="000000" w:themeColor="text1"/>
          <w14:textFill>
            <w14:solidFill>
              <w14:schemeClr w14:val="tx1"/>
            </w14:solidFill>
          </w14:textFill>
        </w:rPr>
        <w:t>具体判定结果见下表。</w:t>
      </w:r>
    </w:p>
    <w:p w14:paraId="17D5D32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w:t>
      </w:r>
      <w:r>
        <w:rPr>
          <w:rFonts w:ascii="Times New Roman" w:hAnsi="Times New Roman" w:eastAsia="Times New Roman" w:cs="Times New Roman"/>
          <w:color w:val="000000" w:themeColor="text1"/>
          <w:lang w:bidi="en-US"/>
          <w14:textFill>
            <w14:solidFill>
              <w14:schemeClr w14:val="tx1"/>
            </w14:solidFill>
          </w14:textFill>
        </w:rPr>
        <w:t>Q</w:t>
      </w:r>
      <w:r>
        <w:rPr>
          <w:rFonts w:ascii="Times New Roman" w:hAnsi="Times New Roman" w:cs="Times New Roman"/>
          <w:color w:val="000000" w:themeColor="text1"/>
          <w14:textFill>
            <w14:solidFill>
              <w14:schemeClr w14:val="tx1"/>
            </w14:solidFill>
          </w14:textFill>
        </w:rPr>
        <w:t>值确定表</w:t>
      </w:r>
    </w:p>
    <w:tbl>
      <w:tblPr>
        <w:tblStyle w:val="7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66"/>
        <w:gridCol w:w="1130"/>
        <w:gridCol w:w="1134"/>
        <w:gridCol w:w="1276"/>
        <w:gridCol w:w="989"/>
        <w:gridCol w:w="1055"/>
        <w:gridCol w:w="1500"/>
        <w:gridCol w:w="1276"/>
      </w:tblGrid>
      <w:tr w14:paraId="6A96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566" w:type="dxa"/>
            <w:vAlign w:val="center"/>
          </w:tcPr>
          <w:p w14:paraId="01121F51">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30" w:type="dxa"/>
            <w:vAlign w:val="center"/>
          </w:tcPr>
          <w:p w14:paraId="2F4816FB">
            <w:pPr>
              <w:pStyle w:val="109"/>
              <w:rPr>
                <w:color w:val="000000" w:themeColor="text1"/>
                <w14:textFill>
                  <w14:solidFill>
                    <w14:schemeClr w14:val="tx1"/>
                  </w14:solidFill>
                </w14:textFill>
              </w:rPr>
            </w:pPr>
            <w:r>
              <w:rPr>
                <w:color w:val="000000" w:themeColor="text1"/>
                <w14:textFill>
                  <w14:solidFill>
                    <w14:schemeClr w14:val="tx1"/>
                  </w14:solidFill>
                </w14:textFill>
              </w:rPr>
              <w:t>化学品名称</w:t>
            </w:r>
          </w:p>
        </w:tc>
        <w:tc>
          <w:tcPr>
            <w:tcW w:w="1134" w:type="dxa"/>
            <w:vAlign w:val="center"/>
          </w:tcPr>
          <w:p w14:paraId="7BA669A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CAS</w:t>
            </w:r>
            <w:r>
              <w:rPr>
                <w:color w:val="000000" w:themeColor="text1"/>
                <w14:textFill>
                  <w14:solidFill>
                    <w14:schemeClr w14:val="tx1"/>
                  </w14:solidFill>
                </w14:textFill>
              </w:rPr>
              <w:t>号</w:t>
            </w:r>
          </w:p>
        </w:tc>
        <w:tc>
          <w:tcPr>
            <w:tcW w:w="1276" w:type="dxa"/>
            <w:vAlign w:val="center"/>
          </w:tcPr>
          <w:p w14:paraId="3A2F5803">
            <w:pPr>
              <w:pStyle w:val="109"/>
              <w:rPr>
                <w:color w:val="000000" w:themeColor="text1"/>
                <w14:textFill>
                  <w14:solidFill>
                    <w14:schemeClr w14:val="tx1"/>
                  </w14:solidFill>
                </w14:textFill>
              </w:rPr>
            </w:pPr>
            <w:r>
              <w:rPr>
                <w:color w:val="000000" w:themeColor="text1"/>
                <w14:textFill>
                  <w14:solidFill>
                    <w14:schemeClr w14:val="tx1"/>
                  </w14:solidFill>
                </w14:textFill>
              </w:rPr>
              <w:t>贮存区最大暂存总量</w:t>
            </w:r>
            <w:r>
              <w:rPr>
                <w:rFonts w:eastAsia="Times New Roman"/>
                <w:color w:val="000000" w:themeColor="text1"/>
                <w:lang w:bidi="en-US"/>
                <w14:textFill>
                  <w14:solidFill>
                    <w14:schemeClr w14:val="tx1"/>
                  </w14:solidFill>
                </w14:textFill>
              </w:rPr>
              <w:t>t</w:t>
            </w:r>
          </w:p>
        </w:tc>
        <w:tc>
          <w:tcPr>
            <w:tcW w:w="989" w:type="dxa"/>
            <w:vAlign w:val="center"/>
          </w:tcPr>
          <w:p w14:paraId="45503964">
            <w:pPr>
              <w:pStyle w:val="109"/>
              <w:rPr>
                <w:color w:val="000000" w:themeColor="text1"/>
                <w14:textFill>
                  <w14:solidFill>
                    <w14:schemeClr w14:val="tx1"/>
                  </w14:solidFill>
                </w14:textFill>
              </w:rPr>
            </w:pPr>
            <w:r>
              <w:rPr>
                <w:color w:val="000000" w:themeColor="text1"/>
                <w14:textFill>
                  <w14:solidFill>
                    <w14:schemeClr w14:val="tx1"/>
                  </w14:solidFill>
                </w14:textFill>
              </w:rPr>
              <w:t>最大在线量</w:t>
            </w:r>
            <w:r>
              <w:rPr>
                <w:rFonts w:eastAsia="Times New Roman"/>
                <w:color w:val="000000" w:themeColor="text1"/>
                <w:lang w:eastAsia="en-US" w:bidi="en-US"/>
                <w14:textFill>
                  <w14:solidFill>
                    <w14:schemeClr w14:val="tx1"/>
                  </w14:solidFill>
                </w14:textFill>
              </w:rPr>
              <w:t>t</w:t>
            </w:r>
          </w:p>
        </w:tc>
        <w:tc>
          <w:tcPr>
            <w:tcW w:w="1055" w:type="dxa"/>
            <w:vAlign w:val="center"/>
          </w:tcPr>
          <w:p w14:paraId="31B6840D">
            <w:pPr>
              <w:pStyle w:val="109"/>
              <w:rPr>
                <w:color w:val="000000" w:themeColor="text1"/>
                <w14:textFill>
                  <w14:solidFill>
                    <w14:schemeClr w14:val="tx1"/>
                  </w14:solidFill>
                </w14:textFill>
              </w:rPr>
            </w:pPr>
            <w:r>
              <w:rPr>
                <w:color w:val="000000" w:themeColor="text1"/>
                <w14:textFill>
                  <w14:solidFill>
                    <w14:schemeClr w14:val="tx1"/>
                  </w14:solidFill>
                </w14:textFill>
              </w:rPr>
              <w:t>厂区最大存在量</w:t>
            </w:r>
            <w:r>
              <w:rPr>
                <w:rFonts w:eastAsia="Times New Roman"/>
                <w:color w:val="000000" w:themeColor="text1"/>
                <w:lang w:eastAsia="en-US" w:bidi="en-US"/>
                <w14:textFill>
                  <w14:solidFill>
                    <w14:schemeClr w14:val="tx1"/>
                  </w14:solidFill>
                </w14:textFill>
              </w:rPr>
              <w:t>qn/t</w:t>
            </w:r>
          </w:p>
        </w:tc>
        <w:tc>
          <w:tcPr>
            <w:tcW w:w="1500" w:type="dxa"/>
            <w:vAlign w:val="center"/>
          </w:tcPr>
          <w:p w14:paraId="41F4AE94">
            <w:pPr>
              <w:pStyle w:val="109"/>
              <w:rPr>
                <w:color w:val="000000" w:themeColor="text1"/>
                <w14:textFill>
                  <w14:solidFill>
                    <w14:schemeClr w14:val="tx1"/>
                  </w14:solidFill>
                </w14:textFill>
              </w:rPr>
            </w:pPr>
            <w:r>
              <w:rPr>
                <w:color w:val="000000" w:themeColor="text1"/>
                <w14:textFill>
                  <w14:solidFill>
                    <w14:schemeClr w14:val="tx1"/>
                  </w14:solidFill>
                </w14:textFill>
              </w:rPr>
              <w:t>临界量</w:t>
            </w:r>
            <w:r>
              <w:rPr>
                <w:rFonts w:eastAsia="Times New Roman"/>
                <w:color w:val="000000" w:themeColor="text1"/>
                <w:lang w:eastAsia="en-US" w:bidi="en-US"/>
                <w14:textFill>
                  <w14:solidFill>
                    <w14:schemeClr w14:val="tx1"/>
                  </w14:solidFill>
                </w14:textFill>
              </w:rPr>
              <w:t>Qn/t</w:t>
            </w:r>
          </w:p>
        </w:tc>
        <w:tc>
          <w:tcPr>
            <w:tcW w:w="1276" w:type="dxa"/>
            <w:vAlign w:val="center"/>
          </w:tcPr>
          <w:p w14:paraId="62DA450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Q</w:t>
            </w:r>
            <w:r>
              <w:rPr>
                <w:color w:val="000000" w:themeColor="text1"/>
                <w14:textFill>
                  <w14:solidFill>
                    <w14:schemeClr w14:val="tx1"/>
                  </w14:solidFill>
                </w14:textFill>
              </w:rPr>
              <w:t>值</w:t>
            </w:r>
          </w:p>
        </w:tc>
      </w:tr>
      <w:tr w14:paraId="1A89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566" w:type="dxa"/>
            <w:vAlign w:val="center"/>
          </w:tcPr>
          <w:p w14:paraId="358A4DC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1130" w:type="dxa"/>
            <w:vAlign w:val="center"/>
          </w:tcPr>
          <w:p w14:paraId="15D58BB4">
            <w:pPr>
              <w:pStyle w:val="109"/>
              <w:rPr>
                <w:color w:val="000000" w:themeColor="text1"/>
                <w:sz w:val="13"/>
                <w:szCs w:val="13"/>
                <w14:textFill>
                  <w14:solidFill>
                    <w14:schemeClr w14:val="tx1"/>
                  </w14:solidFill>
                </w14:textFill>
              </w:rPr>
            </w:pPr>
            <w:r>
              <w:rPr>
                <w:color w:val="000000" w:themeColor="text1"/>
                <w14:textFill>
                  <w14:solidFill>
                    <w14:schemeClr w14:val="tx1"/>
                  </w14:solidFill>
                </w14:textFill>
              </w:rPr>
              <w:t>天然气</w:t>
            </w:r>
          </w:p>
        </w:tc>
        <w:tc>
          <w:tcPr>
            <w:tcW w:w="1134" w:type="dxa"/>
            <w:vAlign w:val="center"/>
          </w:tcPr>
          <w:p w14:paraId="3C5D40C6">
            <w:pPr>
              <w:pStyle w:val="109"/>
              <w:rPr>
                <w:color w:val="000000" w:themeColor="text1"/>
                <w14:textFill>
                  <w14:solidFill>
                    <w14:schemeClr w14:val="tx1"/>
                  </w14:solidFill>
                </w14:textFill>
              </w:rPr>
            </w:pPr>
            <w:r>
              <w:rPr>
                <w:color w:val="000000" w:themeColor="text1"/>
                <w14:textFill>
                  <w14:solidFill>
                    <w14:schemeClr w14:val="tx1"/>
                  </w14:solidFill>
                </w14:textFill>
              </w:rPr>
              <w:t>8006-14-2</w:t>
            </w:r>
          </w:p>
        </w:tc>
        <w:tc>
          <w:tcPr>
            <w:tcW w:w="1276" w:type="dxa"/>
            <w:vAlign w:val="center"/>
          </w:tcPr>
          <w:p w14:paraId="608AB13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989" w:type="dxa"/>
            <w:vAlign w:val="center"/>
          </w:tcPr>
          <w:p w14:paraId="43BE4BAC">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055" w:type="dxa"/>
            <w:vAlign w:val="center"/>
          </w:tcPr>
          <w:p w14:paraId="7669EF81">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500" w:type="dxa"/>
            <w:vAlign w:val="center"/>
          </w:tcPr>
          <w:p w14:paraId="591628E3">
            <w:pPr>
              <w:pStyle w:val="109"/>
              <w:rPr>
                <w:color w:val="000000" w:themeColor="text1"/>
                <w14:textFill>
                  <w14:solidFill>
                    <w14:schemeClr w14:val="tx1"/>
                  </w14:solidFill>
                </w14:textFill>
              </w:rPr>
            </w:pPr>
            <w:r>
              <w:rPr>
                <w:color w:val="000000" w:themeColor="text1"/>
                <w14:textFill>
                  <w14:solidFill>
                    <w14:schemeClr w14:val="tx1"/>
                  </w14:solidFill>
                </w14:textFill>
              </w:rPr>
              <w:t>10（参照甲烷）</w:t>
            </w:r>
          </w:p>
        </w:tc>
        <w:tc>
          <w:tcPr>
            <w:tcW w:w="1276" w:type="dxa"/>
            <w:vAlign w:val="center"/>
          </w:tcPr>
          <w:p w14:paraId="422B8493">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r>
      <w:tr w14:paraId="0FE4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566" w:type="dxa"/>
            <w:vAlign w:val="center"/>
          </w:tcPr>
          <w:p w14:paraId="35C091F2">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p>
        </w:tc>
        <w:tc>
          <w:tcPr>
            <w:tcW w:w="1130" w:type="dxa"/>
            <w:vAlign w:val="center"/>
          </w:tcPr>
          <w:p w14:paraId="37ABBD0B">
            <w:pPr>
              <w:pStyle w:val="109"/>
              <w:rPr>
                <w:color w:val="000000" w:themeColor="text1"/>
                <w14:textFill>
                  <w14:solidFill>
                    <w14:schemeClr w14:val="tx1"/>
                  </w14:solidFill>
                </w14:textFill>
              </w:rPr>
            </w:pPr>
            <w:r>
              <w:rPr>
                <w:color w:val="000000" w:themeColor="text1"/>
                <w14:textFill>
                  <w14:solidFill>
                    <w14:schemeClr w14:val="tx1"/>
                  </w14:solidFill>
                </w14:textFill>
              </w:rPr>
              <w:t>废矿物油</w:t>
            </w:r>
          </w:p>
        </w:tc>
        <w:tc>
          <w:tcPr>
            <w:tcW w:w="1134" w:type="dxa"/>
            <w:vAlign w:val="center"/>
          </w:tcPr>
          <w:p w14:paraId="52801773">
            <w:pPr>
              <w:pStyle w:val="109"/>
              <w:rPr>
                <w:color w:val="000000" w:themeColor="text1"/>
                <w14:textFill>
                  <w14:solidFill>
                    <w14:schemeClr w14:val="tx1"/>
                  </w14:solidFill>
                </w14:textFill>
              </w:rPr>
            </w:pPr>
            <w:r>
              <w:rPr>
                <w:color w:val="000000" w:themeColor="text1"/>
                <w14:textFill>
                  <w14:solidFill>
                    <w14:schemeClr w14:val="tx1"/>
                  </w14:solidFill>
                </w14:textFill>
              </w:rPr>
              <w:t>8042-47-5</w:t>
            </w:r>
          </w:p>
        </w:tc>
        <w:tc>
          <w:tcPr>
            <w:tcW w:w="1276" w:type="dxa"/>
            <w:vAlign w:val="center"/>
          </w:tcPr>
          <w:p w14:paraId="1710896C">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989" w:type="dxa"/>
            <w:vAlign w:val="center"/>
          </w:tcPr>
          <w:p w14:paraId="7074A44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055" w:type="dxa"/>
            <w:vAlign w:val="center"/>
          </w:tcPr>
          <w:p w14:paraId="45CE88BD">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500" w:type="dxa"/>
            <w:vAlign w:val="center"/>
          </w:tcPr>
          <w:p w14:paraId="1F6091CE">
            <w:pPr>
              <w:pStyle w:val="109"/>
              <w:rPr>
                <w:color w:val="000000" w:themeColor="text1"/>
                <w14:textFill>
                  <w14:solidFill>
                    <w14:schemeClr w14:val="tx1"/>
                  </w14:solidFill>
                </w14:textFill>
              </w:rPr>
            </w:pPr>
            <w:r>
              <w:rPr>
                <w:color w:val="000000" w:themeColor="text1"/>
                <w14:textFill>
                  <w14:solidFill>
                    <w14:schemeClr w14:val="tx1"/>
                  </w14:solidFill>
                </w14:textFill>
              </w:rPr>
              <w:t>2500</w:t>
            </w:r>
          </w:p>
        </w:tc>
        <w:tc>
          <w:tcPr>
            <w:tcW w:w="1276" w:type="dxa"/>
            <w:vAlign w:val="center"/>
          </w:tcPr>
          <w:p w14:paraId="56C648D4">
            <w:pPr>
              <w:pStyle w:val="109"/>
              <w:rPr>
                <w:color w:val="000000" w:themeColor="text1"/>
                <w14:textFill>
                  <w14:solidFill>
                    <w14:schemeClr w14:val="tx1"/>
                  </w14:solidFill>
                </w14:textFill>
              </w:rPr>
            </w:pPr>
            <w:r>
              <w:rPr>
                <w:color w:val="000000" w:themeColor="text1"/>
                <w14:textFill>
                  <w14:solidFill>
                    <w14:schemeClr w14:val="tx1"/>
                  </w14:solidFill>
                </w14:textFill>
              </w:rPr>
              <w:t>0.00008</w:t>
            </w:r>
          </w:p>
        </w:tc>
      </w:tr>
      <w:tr w14:paraId="5B18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566" w:type="dxa"/>
            <w:vAlign w:val="center"/>
          </w:tcPr>
          <w:p w14:paraId="55D8DACD">
            <w:pPr>
              <w:pStyle w:val="109"/>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3</w:t>
            </w:r>
          </w:p>
        </w:tc>
        <w:tc>
          <w:tcPr>
            <w:tcW w:w="1130" w:type="dxa"/>
            <w:vAlign w:val="center"/>
          </w:tcPr>
          <w:p w14:paraId="7B4EC1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10%氨水</w:t>
            </w:r>
          </w:p>
        </w:tc>
        <w:tc>
          <w:tcPr>
            <w:tcW w:w="1134" w:type="dxa"/>
            <w:vAlign w:val="center"/>
          </w:tcPr>
          <w:p w14:paraId="177206E0">
            <w:pPr>
              <w:pStyle w:val="109"/>
              <w:rPr>
                <w:color w:val="000000" w:themeColor="text1"/>
                <w14:textFill>
                  <w14:solidFill>
                    <w14:schemeClr w14:val="tx1"/>
                  </w14:solidFill>
                </w14:textFill>
              </w:rPr>
            </w:pPr>
            <w:r>
              <w:rPr>
                <w:color w:val="000000" w:themeColor="text1"/>
                <w14:textFill>
                  <w14:solidFill>
                    <w14:schemeClr w14:val="tx1"/>
                  </w14:solidFill>
                </w14:textFill>
              </w:rPr>
              <w:t>1336-21-6</w:t>
            </w:r>
          </w:p>
        </w:tc>
        <w:tc>
          <w:tcPr>
            <w:tcW w:w="1276" w:type="dxa"/>
            <w:vAlign w:val="center"/>
          </w:tcPr>
          <w:p w14:paraId="0C7E835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989" w:type="dxa"/>
            <w:vAlign w:val="center"/>
          </w:tcPr>
          <w:p w14:paraId="6C814A6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055" w:type="dxa"/>
            <w:vAlign w:val="center"/>
          </w:tcPr>
          <w:p w14:paraId="3710AB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26.4</w:t>
            </w:r>
          </w:p>
        </w:tc>
        <w:tc>
          <w:tcPr>
            <w:tcW w:w="1500" w:type="dxa"/>
            <w:vAlign w:val="center"/>
          </w:tcPr>
          <w:p w14:paraId="15A2B68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10（浓度≥20%）</w:t>
            </w:r>
          </w:p>
        </w:tc>
        <w:tc>
          <w:tcPr>
            <w:tcW w:w="1276" w:type="dxa"/>
            <w:vAlign w:val="center"/>
          </w:tcPr>
          <w:p w14:paraId="1E41BDB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1.32（折算浓度20%）</w:t>
            </w:r>
          </w:p>
        </w:tc>
      </w:tr>
    </w:tbl>
    <w:p w14:paraId="4DE0D1B8">
      <w:pPr>
        <w:pStyle w:val="197"/>
        <w:ind w:firstLine="468" w:firstLineChars="195"/>
        <w:rPr>
          <w:rFonts w:ascii="Times New Roman" w:hAnsi="Times New Roman"/>
          <w:snapToGrid w:val="0"/>
          <w:color w:val="000000" w:themeColor="text1"/>
          <w14:textFill>
            <w14:solidFill>
              <w14:schemeClr w14:val="tx1"/>
            </w14:solidFill>
          </w14:textFill>
        </w:rPr>
      </w:pPr>
      <w:r>
        <w:rPr>
          <w:rFonts w:ascii="Times New Roman" w:hAnsi="Times New Roman"/>
          <w:color w:val="000000" w:themeColor="text1"/>
          <w:szCs w:val="24"/>
          <w:lang w:bidi="zh-CN"/>
          <w14:textFill>
            <w14:solidFill>
              <w14:schemeClr w14:val="tx1"/>
            </w14:solidFill>
          </w14:textFill>
        </w:rPr>
        <w:t>由上表可知，本项目</w:t>
      </w:r>
      <w:r>
        <w:rPr>
          <w:rFonts w:ascii="Times New Roman" w:hAnsi="Times New Roman" w:eastAsia="黑体"/>
          <w:color w:val="000000" w:themeColor="text1"/>
          <w:szCs w:val="24"/>
          <w:lang w:val="en-US" w:bidi="en-US"/>
          <w14:textFill>
            <w14:solidFill>
              <w14:schemeClr w14:val="tx1"/>
            </w14:solidFill>
          </w14:textFill>
        </w:rPr>
        <w:t>Q</w:t>
      </w:r>
      <w:r>
        <w:rPr>
          <w:rFonts w:ascii="Times New Roman" w:hAnsi="Times New Roman"/>
          <w:color w:val="000000" w:themeColor="text1"/>
          <w:szCs w:val="24"/>
          <w:lang w:val="en-US" w:bidi="en-US"/>
          <w14:textFill>
            <w14:solidFill>
              <w14:schemeClr w14:val="tx1"/>
            </w14:solidFill>
          </w14:textFill>
        </w:rPr>
        <w:t>=</w:t>
      </w:r>
      <w:r>
        <w:rPr>
          <w:rFonts w:hint="eastAsia" w:ascii="Times New Roman" w:hAnsi="Times New Roman"/>
          <w:color w:val="000000" w:themeColor="text1"/>
          <w:szCs w:val="24"/>
          <w:lang w:val="en-US" w:bidi="en-US"/>
          <w14:textFill>
            <w14:solidFill>
              <w14:schemeClr w14:val="tx1"/>
            </w14:solidFill>
          </w14:textFill>
        </w:rPr>
        <w:t>1.32</w:t>
      </w:r>
      <w:r>
        <w:rPr>
          <w:rFonts w:ascii="Times New Roman" w:hAnsi="Times New Roman"/>
          <w:color w:val="000000" w:themeColor="text1"/>
          <w:szCs w:val="24"/>
          <w:lang w:val="en-US" w:bidi="en-US"/>
          <w14:textFill>
            <w14:solidFill>
              <w14:schemeClr w14:val="tx1"/>
            </w14:solidFill>
          </w14:textFill>
        </w:rPr>
        <w:t>108</w:t>
      </w:r>
      <w:r>
        <w:rPr>
          <w:rFonts w:hint="eastAsia" w:ascii="Times New Roman" w:hAnsi="Times New Roman"/>
          <w:color w:val="000000" w:themeColor="text1"/>
          <w:szCs w:val="24"/>
          <w:lang w:val="en-US" w:bidi="en-US"/>
          <w14:textFill>
            <w14:solidFill>
              <w14:schemeClr w14:val="tx1"/>
            </w14:solidFill>
          </w14:textFill>
        </w:rPr>
        <w:t>，</w:t>
      </w:r>
      <w:r>
        <w:rPr>
          <w:rFonts w:hint="eastAsia"/>
          <w:color w:val="000000" w:themeColor="text1"/>
          <w14:textFill>
            <w14:solidFill>
              <w14:schemeClr w14:val="tx1"/>
            </w14:solidFill>
          </w14:textFill>
        </w:rPr>
        <w:t>1≤Q＜10</w:t>
      </w:r>
      <w:r>
        <w:rPr>
          <w:rFonts w:ascii="Times New Roman" w:hAnsi="Times New Roman"/>
          <w:snapToGrid w:val="0"/>
          <w:color w:val="000000" w:themeColor="text1"/>
          <w14:textFill>
            <w14:solidFill>
              <w14:schemeClr w14:val="tx1"/>
            </w14:solidFill>
          </w14:textFill>
        </w:rPr>
        <w:t>。</w:t>
      </w:r>
    </w:p>
    <w:p w14:paraId="44DA51BE">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建设项目环境风险潜势划分为</w:t>
      </w:r>
      <w:r>
        <w:rPr>
          <w:color w:val="000000" w:themeColor="text1"/>
          <w:lang w:bidi="en-US"/>
          <w14:textFill>
            <w14:solidFill>
              <w14:schemeClr w14:val="tx1"/>
            </w14:solidFill>
          </w14:textFill>
        </w:rPr>
        <w:t>Ⅰ、Ⅱ、Ⅲ、Ⅳ/Ⅳ</w:t>
      </w:r>
      <w:r>
        <w:rPr>
          <w:color w:val="000000" w:themeColor="text1"/>
          <w:vertAlign w:val="superscript"/>
          <w:lang w:bidi="en-US"/>
          <w14:textFill>
            <w14:solidFill>
              <w14:schemeClr w14:val="tx1"/>
            </w14:solidFill>
          </w14:textFill>
        </w:rPr>
        <w:t>+</w:t>
      </w:r>
      <w:r>
        <w:rPr>
          <w:color w:val="000000" w:themeColor="text1"/>
          <w14:textFill>
            <w14:solidFill>
              <w14:schemeClr w14:val="tx1"/>
            </w14:solidFill>
          </w14:textFill>
        </w:rPr>
        <w:t>级。</w:t>
      </w:r>
    </w:p>
    <w:p w14:paraId="067EADF5">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根据建设项目涉及的物质和工艺系统的危险性及其所在地的环境敏感程度，结合事故情环境影响途径，对建设项目潜在环境危害程度进行概化分析，进而确定环境风险潜势，确定依据见下表。</w:t>
      </w:r>
    </w:p>
    <w:p w14:paraId="44E451DE">
      <w:pPr>
        <w:pStyle w:val="123"/>
        <w:tabs>
          <w:tab w:val="left" w:pos="1310"/>
        </w:tabs>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表</w:t>
      </w:r>
      <w:r>
        <w:rPr>
          <w:rFonts w:ascii="Times New Roman" w:hAnsi="Times New Roman" w:cs="Times New Roman"/>
          <w:color w:val="000000" w:themeColor="text1"/>
          <w:lang w:bidi="en-US"/>
          <w14:textFill>
            <w14:solidFill>
              <w14:schemeClr w14:val="tx1"/>
            </w14:solidFill>
          </w14:textFill>
        </w:rPr>
        <w:t>8.3-1</w:t>
      </w:r>
      <w:r>
        <w:rPr>
          <w:rFonts w:ascii="Times New Roman" w:hAnsi="Times New Roman" w:cs="Times New Roman"/>
          <w:color w:val="000000" w:themeColor="text1"/>
          <w:lang w:bidi="en-US"/>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项目环境风险潜势划分依据一览表</w:t>
      </w:r>
    </w:p>
    <w:tbl>
      <w:tblPr>
        <w:tblStyle w:val="76"/>
        <w:tblW w:w="5000" w:type="pct"/>
        <w:jc w:val="center"/>
        <w:tblLayout w:type="autofit"/>
        <w:tblCellMar>
          <w:top w:w="0" w:type="dxa"/>
          <w:left w:w="10" w:type="dxa"/>
          <w:bottom w:w="0" w:type="dxa"/>
          <w:right w:w="10" w:type="dxa"/>
        </w:tblCellMar>
      </w:tblPr>
      <w:tblGrid>
        <w:gridCol w:w="2477"/>
        <w:gridCol w:w="1722"/>
        <w:gridCol w:w="1722"/>
        <w:gridCol w:w="1726"/>
        <w:gridCol w:w="1785"/>
      </w:tblGrid>
      <w:tr w14:paraId="5EF7CBEF">
        <w:tblPrEx>
          <w:tblCellMar>
            <w:top w:w="0" w:type="dxa"/>
            <w:left w:w="10" w:type="dxa"/>
            <w:bottom w:w="0" w:type="dxa"/>
            <w:right w:w="10" w:type="dxa"/>
          </w:tblCellMar>
        </w:tblPrEx>
        <w:trPr>
          <w:jc w:val="center"/>
        </w:trPr>
        <w:tc>
          <w:tcPr>
            <w:tcW w:w="1313" w:type="pct"/>
            <w:vMerge w:val="restart"/>
            <w:tcBorders>
              <w:top w:val="single" w:color="auto" w:sz="4" w:space="0"/>
              <w:left w:val="single" w:color="auto" w:sz="4" w:space="0"/>
              <w:bottom w:val="single" w:color="auto" w:sz="4" w:space="0"/>
            </w:tcBorders>
            <w:vAlign w:val="center"/>
          </w:tcPr>
          <w:p w14:paraId="06257E87">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环境敏感程度</w:t>
            </w:r>
          </w:p>
        </w:tc>
        <w:tc>
          <w:tcPr>
            <w:tcW w:w="3687" w:type="pct"/>
            <w:gridSpan w:val="4"/>
            <w:tcBorders>
              <w:top w:val="single" w:color="auto" w:sz="4" w:space="0"/>
              <w:left w:val="single" w:color="auto" w:sz="4" w:space="0"/>
              <w:bottom w:val="single" w:color="auto" w:sz="4" w:space="0"/>
              <w:right w:val="single" w:color="auto" w:sz="4" w:space="0"/>
            </w:tcBorders>
            <w:vAlign w:val="bottom"/>
          </w:tcPr>
          <w:p w14:paraId="6773C27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危险物质及工艺系统危险性</w:t>
            </w:r>
            <w:r>
              <w:rPr>
                <w:color w:val="000000" w:themeColor="text1"/>
                <w:lang w:bidi="en-US"/>
                <w14:textFill>
                  <w14:solidFill>
                    <w14:schemeClr w14:val="tx1"/>
                  </w14:solidFill>
                </w14:textFill>
              </w:rPr>
              <w:t>P</w:t>
            </w:r>
          </w:p>
        </w:tc>
      </w:tr>
      <w:tr w14:paraId="2406AB04">
        <w:tblPrEx>
          <w:tblCellMar>
            <w:top w:w="0" w:type="dxa"/>
            <w:left w:w="10" w:type="dxa"/>
            <w:bottom w:w="0" w:type="dxa"/>
            <w:right w:w="10" w:type="dxa"/>
          </w:tblCellMar>
        </w:tblPrEx>
        <w:trPr>
          <w:jc w:val="center"/>
        </w:trPr>
        <w:tc>
          <w:tcPr>
            <w:tcW w:w="1313" w:type="pct"/>
            <w:vMerge w:val="continue"/>
            <w:tcBorders>
              <w:top w:val="single" w:color="auto" w:sz="4" w:space="0"/>
              <w:left w:val="single" w:color="auto" w:sz="4" w:space="0"/>
              <w:bottom w:val="single" w:color="auto" w:sz="4" w:space="0"/>
            </w:tcBorders>
            <w:vAlign w:val="center"/>
          </w:tcPr>
          <w:p w14:paraId="635769F6">
            <w:pPr>
              <w:pStyle w:val="109"/>
              <w:rPr>
                <w:color w:val="000000" w:themeColor="text1"/>
                <w14:textFill>
                  <w14:solidFill>
                    <w14:schemeClr w14:val="tx1"/>
                  </w14:solidFill>
                </w14:textFill>
              </w:rPr>
            </w:pPr>
          </w:p>
        </w:tc>
        <w:tc>
          <w:tcPr>
            <w:tcW w:w="913" w:type="pct"/>
            <w:tcBorders>
              <w:top w:val="single" w:color="auto" w:sz="4" w:space="0"/>
              <w:left w:val="single" w:color="auto" w:sz="4" w:space="0"/>
              <w:bottom w:val="single" w:color="auto" w:sz="4" w:space="0"/>
            </w:tcBorders>
            <w:vAlign w:val="bottom"/>
          </w:tcPr>
          <w:p w14:paraId="2B88EFEA">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极高危害</w:t>
            </w:r>
            <w:r>
              <w:rPr>
                <w:color w:val="000000" w:themeColor="text1"/>
                <w:lang w:eastAsia="en-US" w:bidi="en-US"/>
                <w14:textFill>
                  <w14:solidFill>
                    <w14:schemeClr w14:val="tx1"/>
                  </w14:solidFill>
                </w14:textFill>
              </w:rPr>
              <w:t>(P1)</w:t>
            </w:r>
          </w:p>
        </w:tc>
        <w:tc>
          <w:tcPr>
            <w:tcW w:w="913" w:type="pct"/>
            <w:tcBorders>
              <w:top w:val="single" w:color="auto" w:sz="4" w:space="0"/>
              <w:left w:val="single" w:color="auto" w:sz="4" w:space="0"/>
              <w:bottom w:val="single" w:color="auto" w:sz="4" w:space="0"/>
            </w:tcBorders>
            <w:vAlign w:val="bottom"/>
          </w:tcPr>
          <w:p w14:paraId="3F68ACEA">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高度危害</w:t>
            </w:r>
            <w:r>
              <w:rPr>
                <w:color w:val="000000" w:themeColor="text1"/>
                <w:lang w:eastAsia="en-US" w:bidi="en-US"/>
                <w14:textFill>
                  <w14:solidFill>
                    <w14:schemeClr w14:val="tx1"/>
                  </w14:solidFill>
                </w14:textFill>
              </w:rPr>
              <w:t>(P2)</w:t>
            </w:r>
          </w:p>
        </w:tc>
        <w:tc>
          <w:tcPr>
            <w:tcW w:w="915" w:type="pct"/>
            <w:tcBorders>
              <w:top w:val="single" w:color="auto" w:sz="4" w:space="0"/>
              <w:left w:val="single" w:color="auto" w:sz="4" w:space="0"/>
              <w:bottom w:val="single" w:color="auto" w:sz="4" w:space="0"/>
            </w:tcBorders>
            <w:vAlign w:val="bottom"/>
          </w:tcPr>
          <w:p w14:paraId="2DBE5CB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中度危害</w:t>
            </w:r>
            <w:r>
              <w:rPr>
                <w:color w:val="000000" w:themeColor="text1"/>
                <w:lang w:eastAsia="en-US" w:bidi="en-US"/>
                <w14:textFill>
                  <w14:solidFill>
                    <w14:schemeClr w14:val="tx1"/>
                  </w14:solidFill>
                </w14:textFill>
              </w:rPr>
              <w:t>(P3)</w:t>
            </w:r>
          </w:p>
        </w:tc>
        <w:tc>
          <w:tcPr>
            <w:tcW w:w="947" w:type="pct"/>
            <w:tcBorders>
              <w:top w:val="single" w:color="auto" w:sz="4" w:space="0"/>
              <w:left w:val="single" w:color="auto" w:sz="4" w:space="0"/>
              <w:bottom w:val="single" w:color="auto" w:sz="4" w:space="0"/>
              <w:right w:val="single" w:color="auto" w:sz="4" w:space="0"/>
            </w:tcBorders>
            <w:vAlign w:val="bottom"/>
          </w:tcPr>
          <w:p w14:paraId="7AF855F6">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轻度危害</w:t>
            </w:r>
            <w:r>
              <w:rPr>
                <w:color w:val="000000" w:themeColor="text1"/>
                <w:lang w:eastAsia="en-US" w:bidi="en-US"/>
                <w14:textFill>
                  <w14:solidFill>
                    <w14:schemeClr w14:val="tx1"/>
                  </w14:solidFill>
                </w14:textFill>
              </w:rPr>
              <w:t>(P4)</w:t>
            </w:r>
          </w:p>
        </w:tc>
      </w:tr>
      <w:tr w14:paraId="19D0E201">
        <w:tblPrEx>
          <w:tblCellMar>
            <w:top w:w="0" w:type="dxa"/>
            <w:left w:w="10" w:type="dxa"/>
            <w:bottom w:w="0" w:type="dxa"/>
            <w:right w:w="10" w:type="dxa"/>
          </w:tblCellMar>
        </w:tblPrEx>
        <w:trPr>
          <w:jc w:val="center"/>
        </w:trPr>
        <w:tc>
          <w:tcPr>
            <w:tcW w:w="1313" w:type="pct"/>
            <w:tcBorders>
              <w:top w:val="single" w:color="auto" w:sz="4" w:space="0"/>
              <w:left w:val="single" w:color="auto" w:sz="4" w:space="0"/>
              <w:bottom w:val="single" w:color="auto" w:sz="4" w:space="0"/>
            </w:tcBorders>
            <w:vAlign w:val="bottom"/>
          </w:tcPr>
          <w:p w14:paraId="2EDB7A9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环境高敏感度区</w:t>
            </w:r>
            <w:r>
              <w:rPr>
                <w:color w:val="000000" w:themeColor="text1"/>
                <w:lang w:eastAsia="en-US" w:bidi="en-US"/>
                <w14:textFill>
                  <w14:solidFill>
                    <w14:schemeClr w14:val="tx1"/>
                  </w14:solidFill>
                </w14:textFill>
              </w:rPr>
              <w:t>(E1)</w:t>
            </w:r>
          </w:p>
        </w:tc>
        <w:tc>
          <w:tcPr>
            <w:tcW w:w="913" w:type="pct"/>
            <w:tcBorders>
              <w:top w:val="single" w:color="auto" w:sz="4" w:space="0"/>
              <w:left w:val="single" w:color="auto" w:sz="4" w:space="0"/>
              <w:bottom w:val="single" w:color="auto" w:sz="4" w:space="0"/>
            </w:tcBorders>
            <w:vAlign w:val="bottom"/>
          </w:tcPr>
          <w:p w14:paraId="34FBC1C9">
            <w:pPr>
              <w:pStyle w:val="109"/>
              <w:rPr>
                <w:color w:val="000000" w:themeColor="text1"/>
                <w:sz w:val="11"/>
                <w:szCs w:val="11"/>
                <w14:textFill>
                  <w14:solidFill>
                    <w14:schemeClr w14:val="tx1"/>
                  </w14:solidFill>
                </w14:textFill>
              </w:rPr>
            </w:pPr>
            <w:r>
              <w:rPr>
                <w:color w:val="000000" w:themeColor="text1"/>
                <w:lang w:eastAsia="en-US" w:bidi="en-US"/>
                <w14:textFill>
                  <w14:solidFill>
                    <w14:schemeClr w14:val="tx1"/>
                  </w14:solidFill>
                </w14:textFill>
              </w:rPr>
              <w:t>IV</w:t>
            </w:r>
            <w:r>
              <w:rPr>
                <w:color w:val="000000" w:themeColor="text1"/>
                <w:sz w:val="11"/>
                <w:szCs w:val="11"/>
                <w:lang w:eastAsia="en-US" w:bidi="en-US"/>
                <w14:textFill>
                  <w14:solidFill>
                    <w14:schemeClr w14:val="tx1"/>
                  </w14:solidFill>
                </w14:textFill>
              </w:rPr>
              <w:t>+</w:t>
            </w:r>
          </w:p>
        </w:tc>
        <w:tc>
          <w:tcPr>
            <w:tcW w:w="913" w:type="pct"/>
            <w:tcBorders>
              <w:top w:val="single" w:color="auto" w:sz="4" w:space="0"/>
              <w:left w:val="single" w:color="auto" w:sz="4" w:space="0"/>
              <w:bottom w:val="single" w:color="auto" w:sz="4" w:space="0"/>
            </w:tcBorders>
            <w:vAlign w:val="bottom"/>
          </w:tcPr>
          <w:p w14:paraId="3946135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IV</w:t>
            </w:r>
          </w:p>
        </w:tc>
        <w:tc>
          <w:tcPr>
            <w:tcW w:w="915" w:type="pct"/>
            <w:tcBorders>
              <w:top w:val="single" w:color="auto" w:sz="4" w:space="0"/>
              <w:left w:val="single" w:color="auto" w:sz="4" w:space="0"/>
              <w:bottom w:val="single" w:color="auto" w:sz="4" w:space="0"/>
            </w:tcBorders>
            <w:vAlign w:val="bottom"/>
          </w:tcPr>
          <w:p w14:paraId="505FAEF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47" w:type="pct"/>
            <w:tcBorders>
              <w:top w:val="single" w:color="auto" w:sz="4" w:space="0"/>
              <w:left w:val="single" w:color="auto" w:sz="4" w:space="0"/>
              <w:bottom w:val="single" w:color="auto" w:sz="4" w:space="0"/>
              <w:right w:val="single" w:color="auto" w:sz="4" w:space="0"/>
            </w:tcBorders>
            <w:vAlign w:val="bottom"/>
          </w:tcPr>
          <w:p w14:paraId="01C9125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r>
      <w:tr w14:paraId="3509794F">
        <w:tblPrEx>
          <w:tblCellMar>
            <w:top w:w="0" w:type="dxa"/>
            <w:left w:w="10" w:type="dxa"/>
            <w:bottom w:w="0" w:type="dxa"/>
            <w:right w:w="10" w:type="dxa"/>
          </w:tblCellMar>
        </w:tblPrEx>
        <w:trPr>
          <w:jc w:val="center"/>
        </w:trPr>
        <w:tc>
          <w:tcPr>
            <w:tcW w:w="1313" w:type="pct"/>
            <w:tcBorders>
              <w:top w:val="single" w:color="auto" w:sz="4" w:space="0"/>
              <w:left w:val="single" w:color="auto" w:sz="4" w:space="0"/>
              <w:bottom w:val="single" w:color="auto" w:sz="4" w:space="0"/>
            </w:tcBorders>
            <w:vAlign w:val="bottom"/>
          </w:tcPr>
          <w:p w14:paraId="7D7B10C3">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环境中敏感度区</w:t>
            </w:r>
            <w:r>
              <w:rPr>
                <w:color w:val="000000" w:themeColor="text1"/>
                <w:lang w:eastAsia="en-US" w:bidi="en-US"/>
                <w14:textFill>
                  <w14:solidFill>
                    <w14:schemeClr w14:val="tx1"/>
                  </w14:solidFill>
                </w14:textFill>
              </w:rPr>
              <w:t>(E2)</w:t>
            </w:r>
          </w:p>
        </w:tc>
        <w:tc>
          <w:tcPr>
            <w:tcW w:w="913" w:type="pct"/>
            <w:tcBorders>
              <w:top w:val="single" w:color="auto" w:sz="4" w:space="0"/>
              <w:left w:val="single" w:color="auto" w:sz="4" w:space="0"/>
              <w:bottom w:val="single" w:color="auto" w:sz="4" w:space="0"/>
            </w:tcBorders>
            <w:vAlign w:val="bottom"/>
          </w:tcPr>
          <w:p w14:paraId="753EF5D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IV</w:t>
            </w:r>
          </w:p>
        </w:tc>
        <w:tc>
          <w:tcPr>
            <w:tcW w:w="913" w:type="pct"/>
            <w:tcBorders>
              <w:top w:val="single" w:color="auto" w:sz="4" w:space="0"/>
              <w:left w:val="single" w:color="auto" w:sz="4" w:space="0"/>
              <w:bottom w:val="single" w:color="auto" w:sz="4" w:space="0"/>
            </w:tcBorders>
            <w:vAlign w:val="bottom"/>
          </w:tcPr>
          <w:p w14:paraId="0B6ADDDB">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15" w:type="pct"/>
            <w:tcBorders>
              <w:top w:val="single" w:color="auto" w:sz="4" w:space="0"/>
              <w:left w:val="single" w:color="auto" w:sz="4" w:space="0"/>
              <w:bottom w:val="single" w:color="auto" w:sz="4" w:space="0"/>
            </w:tcBorders>
            <w:vAlign w:val="bottom"/>
          </w:tcPr>
          <w:p w14:paraId="1DCDC173">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47" w:type="pct"/>
            <w:tcBorders>
              <w:top w:val="single" w:color="auto" w:sz="4" w:space="0"/>
              <w:left w:val="single" w:color="auto" w:sz="4" w:space="0"/>
              <w:bottom w:val="single" w:color="auto" w:sz="4" w:space="0"/>
              <w:right w:val="single" w:color="auto" w:sz="4" w:space="0"/>
            </w:tcBorders>
            <w:vAlign w:val="bottom"/>
          </w:tcPr>
          <w:p w14:paraId="798316AA">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w:t>
            </w:r>
          </w:p>
        </w:tc>
      </w:tr>
      <w:tr w14:paraId="55E164F4">
        <w:tblPrEx>
          <w:tblCellMar>
            <w:top w:w="0" w:type="dxa"/>
            <w:left w:w="10" w:type="dxa"/>
            <w:bottom w:w="0" w:type="dxa"/>
            <w:right w:w="10" w:type="dxa"/>
          </w:tblCellMar>
        </w:tblPrEx>
        <w:trPr>
          <w:jc w:val="center"/>
        </w:trPr>
        <w:tc>
          <w:tcPr>
            <w:tcW w:w="1313" w:type="pct"/>
            <w:tcBorders>
              <w:top w:val="single" w:color="auto" w:sz="4" w:space="0"/>
              <w:left w:val="single" w:color="auto" w:sz="4" w:space="0"/>
              <w:bottom w:val="single" w:color="auto" w:sz="4" w:space="0"/>
            </w:tcBorders>
            <w:vAlign w:val="bottom"/>
          </w:tcPr>
          <w:p w14:paraId="477FA7C9">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环境低敏感度区</w:t>
            </w:r>
            <w:r>
              <w:rPr>
                <w:color w:val="000000" w:themeColor="text1"/>
                <w:lang w:eastAsia="en-US" w:bidi="en-US"/>
                <w14:textFill>
                  <w14:solidFill>
                    <w14:schemeClr w14:val="tx1"/>
                  </w14:solidFill>
                </w14:textFill>
              </w:rPr>
              <w:t>(E3)</w:t>
            </w:r>
          </w:p>
        </w:tc>
        <w:tc>
          <w:tcPr>
            <w:tcW w:w="913" w:type="pct"/>
            <w:tcBorders>
              <w:top w:val="single" w:color="auto" w:sz="4" w:space="0"/>
              <w:left w:val="single" w:color="auto" w:sz="4" w:space="0"/>
              <w:bottom w:val="single" w:color="auto" w:sz="4" w:space="0"/>
            </w:tcBorders>
            <w:vAlign w:val="bottom"/>
          </w:tcPr>
          <w:p w14:paraId="0754ACE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13" w:type="pct"/>
            <w:tcBorders>
              <w:top w:val="single" w:color="auto" w:sz="4" w:space="0"/>
              <w:left w:val="single" w:color="auto" w:sz="4" w:space="0"/>
              <w:bottom w:val="single" w:color="auto" w:sz="4" w:space="0"/>
            </w:tcBorders>
            <w:vAlign w:val="bottom"/>
          </w:tcPr>
          <w:p w14:paraId="567AD0F2">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15" w:type="pct"/>
            <w:tcBorders>
              <w:top w:val="single" w:color="auto" w:sz="4" w:space="0"/>
              <w:left w:val="single" w:color="auto" w:sz="4" w:space="0"/>
              <w:bottom w:val="single" w:color="auto" w:sz="4" w:space="0"/>
            </w:tcBorders>
            <w:vAlign w:val="bottom"/>
          </w:tcPr>
          <w:p w14:paraId="40AEAD6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w:t>
            </w:r>
          </w:p>
        </w:tc>
        <w:tc>
          <w:tcPr>
            <w:tcW w:w="947" w:type="pct"/>
            <w:tcBorders>
              <w:top w:val="single" w:color="auto" w:sz="4" w:space="0"/>
              <w:left w:val="single" w:color="auto" w:sz="4" w:space="0"/>
              <w:bottom w:val="single" w:color="auto" w:sz="4" w:space="0"/>
              <w:right w:val="single" w:color="auto" w:sz="4" w:space="0"/>
            </w:tcBorders>
            <w:vAlign w:val="bottom"/>
          </w:tcPr>
          <w:p w14:paraId="083E376F">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w:t>
            </w:r>
          </w:p>
        </w:tc>
      </w:tr>
    </w:tbl>
    <w:p w14:paraId="42EAD75B">
      <w:pPr>
        <w:pStyle w:val="123"/>
        <w:ind w:firstLine="400"/>
        <w:jc w:val="left"/>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注：</w:t>
      </w:r>
      <w:r>
        <w:rPr>
          <w:rFonts w:ascii="Times New Roman" w:hAnsi="Times New Roman" w:cs="Times New Roman"/>
          <w:color w:val="000000" w:themeColor="text1"/>
          <w:sz w:val="20"/>
          <w:szCs w:val="20"/>
          <w:lang w:bidi="en-US"/>
          <w14:textFill>
            <w14:solidFill>
              <w14:schemeClr w14:val="tx1"/>
            </w14:solidFill>
          </w14:textFill>
        </w:rPr>
        <w:t>IV</w:t>
      </w:r>
      <w:r>
        <w:rPr>
          <w:rFonts w:ascii="Times New Roman" w:hAnsi="Times New Roman" w:cs="Times New Roman"/>
          <w:color w:val="000000" w:themeColor="text1"/>
          <w:sz w:val="11"/>
          <w:szCs w:val="11"/>
          <w:lang w:bidi="en-US"/>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为极高环境风险</w:t>
      </w:r>
    </w:p>
    <w:p w14:paraId="46549B6B">
      <w:pPr>
        <w:pStyle w:val="5"/>
        <w:rPr>
          <w:rFonts w:hint="eastAsia"/>
          <w:color w:val="000000" w:themeColor="text1"/>
          <w14:textFill>
            <w14:solidFill>
              <w14:schemeClr w14:val="tx1"/>
            </w14:solidFill>
          </w14:textFill>
        </w:rPr>
      </w:pPr>
      <w:r>
        <w:rPr>
          <w:color w:val="000000" w:themeColor="text1"/>
          <w:lang w:eastAsia="en-US" w:bidi="en-US"/>
          <w14:textFill>
            <w14:solidFill>
              <w14:schemeClr w14:val="tx1"/>
            </w14:solidFill>
          </w14:textFill>
        </w:rPr>
        <w:t>M</w:t>
      </w:r>
      <w:r>
        <w:rPr>
          <w:color w:val="000000" w:themeColor="text1"/>
          <w14:textFill>
            <w14:solidFill>
              <w14:schemeClr w14:val="tx1"/>
            </w14:solidFill>
          </w14:textFill>
        </w:rPr>
        <w:t>值的确定</w:t>
      </w:r>
    </w:p>
    <w:p w14:paraId="36DB3E26">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本项目是</w:t>
      </w:r>
      <w:r>
        <w:rPr>
          <w:rFonts w:hint="eastAsia"/>
          <w:color w:val="000000" w:themeColor="text1"/>
          <w14:textFill>
            <w14:solidFill>
              <w14:schemeClr w14:val="tx1"/>
            </w14:solidFill>
          </w14:textFill>
        </w:rPr>
        <w:t>废盐热解焙烧处理，以及废盐混合、分装生产融雪剂，不</w:t>
      </w:r>
      <w:r>
        <w:rPr>
          <w:color w:val="000000" w:themeColor="text1"/>
          <w:lang w:val="zh-CN" w:bidi="zh-CN"/>
          <w14:textFill>
            <w14:solidFill>
              <w14:schemeClr w14:val="tx1"/>
            </w14:solidFill>
          </w14:textFill>
        </w:rPr>
        <w:t>涉及光气及光气化工艺、电解工艺（氯碱）、氯化工艺、硝化工艺、合成氨工艺、裂解（裂化）工艺、氟化工艺、加氢工艺、重氮化工艺、氧化工艺等</w:t>
      </w:r>
      <w:r>
        <w:rPr>
          <w:rFonts w:hint="eastAsia"/>
          <w:color w:val="000000" w:themeColor="text1"/>
          <w:lang w:val="zh-CN" w:bidi="zh-CN"/>
          <w14:textFill>
            <w14:solidFill>
              <w14:schemeClr w14:val="tx1"/>
            </w14:solidFill>
          </w14:textFill>
        </w:rPr>
        <w:t>工艺，</w:t>
      </w:r>
      <w:r>
        <w:rPr>
          <w:color w:val="000000" w:themeColor="text1"/>
          <w:lang w:val="zh-CN" w:bidi="zh-CN"/>
          <w14:textFill>
            <w14:solidFill>
              <w14:schemeClr w14:val="tx1"/>
            </w14:solidFill>
          </w14:textFill>
        </w:rPr>
        <w:t>涉及危险物质的贮存</w:t>
      </w: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附录</w:t>
      </w:r>
      <w:r>
        <w:rPr>
          <w:color w:val="000000" w:themeColor="text1"/>
          <w:lang w:bidi="en-US"/>
          <w14:textFill>
            <w14:solidFill>
              <w14:schemeClr w14:val="tx1"/>
            </w14:solidFill>
          </w14:textFill>
        </w:rPr>
        <w:t>C</w:t>
      </w:r>
      <w:r>
        <w:rPr>
          <w:color w:val="000000" w:themeColor="text1"/>
          <w14:textFill>
            <w14:solidFill>
              <w14:schemeClr w14:val="tx1"/>
            </w14:solidFill>
          </w14:textFill>
        </w:rPr>
        <w:t>中表</w:t>
      </w:r>
      <w:r>
        <w:rPr>
          <w:color w:val="000000" w:themeColor="text1"/>
          <w:lang w:bidi="en-US"/>
          <w14:textFill>
            <w14:solidFill>
              <w14:schemeClr w14:val="tx1"/>
            </w14:solidFill>
          </w14:textFill>
        </w:rPr>
        <w:t>C.1</w:t>
      </w:r>
      <w:r>
        <w:rPr>
          <w:color w:val="000000" w:themeColor="text1"/>
          <w14:textFill>
            <w14:solidFill>
              <w14:schemeClr w14:val="tx1"/>
            </w14:solidFill>
          </w14:textFill>
        </w:rPr>
        <w:t>的规定，将M划分为(1)M&gt;20；(2)10&lt;M≤20；(3)5&lt;M≤10；(4)M=5，分别以M1、M2、M3和M4表示。具体见下表。</w:t>
      </w:r>
    </w:p>
    <w:p w14:paraId="13EC0F53">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建设项目</w:t>
      </w:r>
      <w:r>
        <w:rPr>
          <w:color w:val="000000" w:themeColor="text1"/>
          <w:lang w:bidi="en-US"/>
          <w14:textFill>
            <w14:solidFill>
              <w14:schemeClr w14:val="tx1"/>
            </w14:solidFill>
          </w14:textFill>
        </w:rPr>
        <w:t>M</w:t>
      </w:r>
      <w:r>
        <w:rPr>
          <w:color w:val="000000" w:themeColor="text1"/>
          <w14:textFill>
            <w14:solidFill>
              <w14:schemeClr w14:val="tx1"/>
            </w14:solidFill>
          </w14:textFill>
        </w:rPr>
        <w:t>值确定一览表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29"/>
        <w:gridCol w:w="3905"/>
        <w:gridCol w:w="1820"/>
        <w:gridCol w:w="634"/>
        <w:gridCol w:w="6"/>
        <w:gridCol w:w="979"/>
        <w:gridCol w:w="1253"/>
        <w:gridCol w:w="6"/>
      </w:tblGrid>
      <w:tr w14:paraId="7E59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3" w:type="pct"/>
          <w:jc w:val="center"/>
        </w:trPr>
        <w:tc>
          <w:tcPr>
            <w:tcW w:w="440" w:type="pct"/>
            <w:vAlign w:val="bottom"/>
          </w:tcPr>
          <w:p w14:paraId="62149C9F">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行业</w:t>
            </w:r>
          </w:p>
        </w:tc>
        <w:tc>
          <w:tcPr>
            <w:tcW w:w="2070" w:type="pct"/>
            <w:vAlign w:val="bottom"/>
          </w:tcPr>
          <w:p w14:paraId="4BC965D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评估依据</w:t>
            </w:r>
          </w:p>
        </w:tc>
        <w:tc>
          <w:tcPr>
            <w:tcW w:w="965" w:type="pct"/>
            <w:vAlign w:val="bottom"/>
          </w:tcPr>
          <w:p w14:paraId="0853C58A">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本项目涉及工艺</w:t>
            </w:r>
          </w:p>
        </w:tc>
        <w:tc>
          <w:tcPr>
            <w:tcW w:w="336" w:type="pct"/>
            <w:vAlign w:val="bottom"/>
          </w:tcPr>
          <w:p w14:paraId="10CE04F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套数</w:t>
            </w:r>
          </w:p>
        </w:tc>
        <w:tc>
          <w:tcPr>
            <w:tcW w:w="522" w:type="pct"/>
            <w:gridSpan w:val="2"/>
            <w:vAlign w:val="bottom"/>
          </w:tcPr>
          <w:p w14:paraId="4AA15CA9">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每套分值</w:t>
            </w:r>
          </w:p>
        </w:tc>
        <w:tc>
          <w:tcPr>
            <w:tcW w:w="664" w:type="pct"/>
            <w:vAlign w:val="bottom"/>
          </w:tcPr>
          <w:p w14:paraId="2B6C8C92">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项目分值</w:t>
            </w:r>
          </w:p>
        </w:tc>
      </w:tr>
      <w:tr w14:paraId="59C2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3" w:type="pct"/>
          <w:jc w:val="center"/>
        </w:trPr>
        <w:tc>
          <w:tcPr>
            <w:tcW w:w="440" w:type="pct"/>
            <w:vMerge w:val="restart"/>
            <w:vAlign w:val="center"/>
          </w:tcPr>
          <w:p w14:paraId="4E824176">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化工</w:t>
            </w:r>
          </w:p>
        </w:tc>
        <w:tc>
          <w:tcPr>
            <w:tcW w:w="2070" w:type="pct"/>
            <w:vAlign w:val="bottom"/>
          </w:tcPr>
          <w:p w14:paraId="7616278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涉及光气及光气化工艺、电解工艺（氯碱）、氯化工艺、硝化工艺、合成氨工艺、裂解（裂化）工艺、氟化工艺、加氢工艺、重氮化工艺、氧化工艺等</w:t>
            </w:r>
          </w:p>
        </w:tc>
        <w:tc>
          <w:tcPr>
            <w:tcW w:w="965" w:type="pct"/>
            <w:vAlign w:val="center"/>
          </w:tcPr>
          <w:p w14:paraId="4AF65F52">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合成氨工艺</w:t>
            </w:r>
          </w:p>
        </w:tc>
        <w:tc>
          <w:tcPr>
            <w:tcW w:w="336" w:type="pct"/>
            <w:vAlign w:val="center"/>
          </w:tcPr>
          <w:p w14:paraId="68B3B683">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0</w:t>
            </w:r>
          </w:p>
        </w:tc>
        <w:tc>
          <w:tcPr>
            <w:tcW w:w="522" w:type="pct"/>
            <w:gridSpan w:val="2"/>
            <w:vAlign w:val="center"/>
          </w:tcPr>
          <w:p w14:paraId="516DA4B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10</w:t>
            </w:r>
          </w:p>
        </w:tc>
        <w:tc>
          <w:tcPr>
            <w:tcW w:w="664" w:type="pct"/>
            <w:vAlign w:val="center"/>
          </w:tcPr>
          <w:p w14:paraId="7655EF1A">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0</w:t>
            </w:r>
          </w:p>
        </w:tc>
      </w:tr>
      <w:tr w14:paraId="529B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3" w:type="pct"/>
          <w:jc w:val="center"/>
        </w:trPr>
        <w:tc>
          <w:tcPr>
            <w:tcW w:w="440" w:type="pct"/>
            <w:vMerge w:val="continue"/>
            <w:vAlign w:val="center"/>
          </w:tcPr>
          <w:p w14:paraId="1CDC795E">
            <w:pPr>
              <w:pStyle w:val="109"/>
              <w:rPr>
                <w:color w:val="000000" w:themeColor="text1"/>
                <w14:textFill>
                  <w14:solidFill>
                    <w14:schemeClr w14:val="tx1"/>
                  </w14:solidFill>
                </w14:textFill>
              </w:rPr>
            </w:pPr>
          </w:p>
        </w:tc>
        <w:tc>
          <w:tcPr>
            <w:tcW w:w="2070" w:type="pct"/>
            <w:vMerge w:val="restart"/>
            <w:vAlign w:val="bottom"/>
          </w:tcPr>
          <w:p w14:paraId="5128DC3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其他高温或高压，且涉及危险物质的工艺过程、危险物质贮存罐区</w:t>
            </w:r>
          </w:p>
        </w:tc>
        <w:tc>
          <w:tcPr>
            <w:tcW w:w="965" w:type="pct"/>
            <w:vAlign w:val="bottom"/>
          </w:tcPr>
          <w:p w14:paraId="27953EB7">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高温高压转化工艺</w:t>
            </w:r>
          </w:p>
        </w:tc>
        <w:tc>
          <w:tcPr>
            <w:tcW w:w="336" w:type="pct"/>
            <w:vAlign w:val="bottom"/>
          </w:tcPr>
          <w:p w14:paraId="2393BB50">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0</w:t>
            </w:r>
          </w:p>
        </w:tc>
        <w:tc>
          <w:tcPr>
            <w:tcW w:w="522" w:type="pct"/>
            <w:gridSpan w:val="2"/>
            <w:vAlign w:val="bottom"/>
          </w:tcPr>
          <w:p w14:paraId="7585B4D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5</w:t>
            </w:r>
          </w:p>
        </w:tc>
        <w:tc>
          <w:tcPr>
            <w:tcW w:w="664" w:type="pct"/>
            <w:vAlign w:val="bottom"/>
          </w:tcPr>
          <w:p w14:paraId="25769E14">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0</w:t>
            </w:r>
          </w:p>
        </w:tc>
      </w:tr>
      <w:tr w14:paraId="017B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3" w:type="pct"/>
          <w:jc w:val="center"/>
        </w:trPr>
        <w:tc>
          <w:tcPr>
            <w:tcW w:w="440" w:type="pct"/>
            <w:vMerge w:val="continue"/>
            <w:vAlign w:val="center"/>
          </w:tcPr>
          <w:p w14:paraId="25D9E2A0">
            <w:pPr>
              <w:pStyle w:val="109"/>
              <w:rPr>
                <w:color w:val="000000" w:themeColor="text1"/>
                <w14:textFill>
                  <w14:solidFill>
                    <w14:schemeClr w14:val="tx1"/>
                  </w14:solidFill>
                </w14:textFill>
              </w:rPr>
            </w:pPr>
          </w:p>
        </w:tc>
        <w:tc>
          <w:tcPr>
            <w:tcW w:w="2070" w:type="pct"/>
            <w:vMerge w:val="continue"/>
            <w:vAlign w:val="bottom"/>
          </w:tcPr>
          <w:p w14:paraId="32D7D4F0">
            <w:pPr>
              <w:pStyle w:val="109"/>
              <w:rPr>
                <w:color w:val="000000" w:themeColor="text1"/>
                <w14:textFill>
                  <w14:solidFill>
                    <w14:schemeClr w14:val="tx1"/>
                  </w14:solidFill>
                </w14:textFill>
              </w:rPr>
            </w:pPr>
          </w:p>
        </w:tc>
        <w:tc>
          <w:tcPr>
            <w:tcW w:w="965" w:type="pct"/>
            <w:vAlign w:val="bottom"/>
          </w:tcPr>
          <w:p w14:paraId="1D10D999">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危险物质贮存罐区</w:t>
            </w:r>
          </w:p>
        </w:tc>
        <w:tc>
          <w:tcPr>
            <w:tcW w:w="336" w:type="pct"/>
            <w:vAlign w:val="bottom"/>
          </w:tcPr>
          <w:p w14:paraId="2A78975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1</w:t>
            </w:r>
          </w:p>
        </w:tc>
        <w:tc>
          <w:tcPr>
            <w:tcW w:w="522" w:type="pct"/>
            <w:gridSpan w:val="2"/>
            <w:vAlign w:val="bottom"/>
          </w:tcPr>
          <w:p w14:paraId="6F5235B3">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5</w:t>
            </w:r>
          </w:p>
        </w:tc>
        <w:tc>
          <w:tcPr>
            <w:tcW w:w="664" w:type="pct"/>
            <w:vAlign w:val="bottom"/>
          </w:tcPr>
          <w:p w14:paraId="3FE2F91B">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5</w:t>
            </w:r>
          </w:p>
        </w:tc>
      </w:tr>
      <w:tr w14:paraId="7697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814" w:type="pct"/>
            <w:gridSpan w:val="5"/>
            <w:vAlign w:val="bottom"/>
          </w:tcPr>
          <w:p w14:paraId="748521A5">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项目</w:t>
            </w:r>
            <w:r>
              <w:rPr>
                <w:color w:val="000000" w:themeColor="text1"/>
                <w:lang w:eastAsia="en-US" w:bidi="en-US"/>
                <w14:textFill>
                  <w14:solidFill>
                    <w14:schemeClr w14:val="tx1"/>
                  </w14:solidFill>
                </w14:textFill>
              </w:rPr>
              <w:t>M</w:t>
            </w:r>
            <w:r>
              <w:rPr>
                <w:color w:val="000000" w:themeColor="text1"/>
                <w:lang w:val="zh-CN" w:bidi="zh-CN"/>
                <w14:textFill>
                  <w14:solidFill>
                    <w14:schemeClr w14:val="tx1"/>
                  </w14:solidFill>
                </w14:textFill>
              </w:rPr>
              <w:t>值</w:t>
            </w:r>
            <w:r>
              <w:rPr>
                <w:color w:val="000000" w:themeColor="text1"/>
                <w:lang w:bidi="zh-CN"/>
                <w14:textFill>
                  <w14:solidFill>
                    <w14:schemeClr w14:val="tx1"/>
                  </w14:solidFill>
                </w14:textFill>
              </w:rPr>
              <w:t>Σ</w:t>
            </w:r>
          </w:p>
        </w:tc>
        <w:tc>
          <w:tcPr>
            <w:tcW w:w="1186" w:type="pct"/>
            <w:gridSpan w:val="3"/>
            <w:vAlign w:val="bottom"/>
          </w:tcPr>
          <w:p w14:paraId="3268B93E">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5</w:t>
            </w:r>
          </w:p>
        </w:tc>
      </w:tr>
    </w:tbl>
    <w:p w14:paraId="284ECAD2">
      <w:pPr>
        <w:pStyle w:val="5"/>
        <w:rPr>
          <w:rFonts w:hint="eastAsia"/>
          <w:color w:val="000000" w:themeColor="text1"/>
          <w14:textFill>
            <w14:solidFill>
              <w14:schemeClr w14:val="tx1"/>
            </w14:solidFill>
          </w14:textFill>
        </w:rPr>
      </w:pPr>
      <w:r>
        <w:rPr>
          <w:color w:val="000000" w:themeColor="text1"/>
          <w:lang w:eastAsia="en-US" w:bidi="en-US"/>
          <w14:textFill>
            <w14:solidFill>
              <w14:schemeClr w14:val="tx1"/>
            </w14:solidFill>
          </w14:textFill>
        </w:rPr>
        <w:t>P</w:t>
      </w:r>
      <w:r>
        <w:rPr>
          <w:color w:val="000000" w:themeColor="text1"/>
          <w14:textFill>
            <w14:solidFill>
              <w14:schemeClr w14:val="tx1"/>
            </w14:solidFill>
          </w14:textFill>
        </w:rPr>
        <w:t>值的确定</w:t>
      </w:r>
    </w:p>
    <w:p w14:paraId="71C79A0D">
      <w:pPr>
        <w:ind w:firstLine="480"/>
        <w:rPr>
          <w:color w:val="000000" w:themeColor="text1"/>
          <w14:textFill>
            <w14:solidFill>
              <w14:schemeClr w14:val="tx1"/>
            </w14:solidFill>
          </w14:textFill>
        </w:rPr>
      </w:pPr>
      <w:r>
        <w:rPr>
          <w:color w:val="000000" w:themeColor="text1"/>
          <w14:textFill>
            <w14:solidFill>
              <w14:schemeClr w14:val="tx1"/>
            </w14:solidFill>
          </w14:textFill>
        </w:rPr>
        <w:t>根据危险物质数量与临界量比值</w:t>
      </w:r>
      <w:r>
        <w:rPr>
          <w:color w:val="000000" w:themeColor="text1"/>
          <w:lang w:bidi="en-US"/>
          <w14:textFill>
            <w14:solidFill>
              <w14:schemeClr w14:val="tx1"/>
            </w14:solidFill>
          </w14:textFill>
        </w:rPr>
        <w:t>（Q）</w:t>
      </w:r>
      <w:r>
        <w:rPr>
          <w:color w:val="000000" w:themeColor="text1"/>
          <w14:textFill>
            <w14:solidFill>
              <w14:schemeClr w14:val="tx1"/>
            </w14:solidFill>
          </w14:textFill>
        </w:rPr>
        <w:t>和行业及生产工艺</w:t>
      </w:r>
      <w:r>
        <w:rPr>
          <w:color w:val="000000" w:themeColor="text1"/>
          <w:lang w:bidi="en-US"/>
          <w14:textFill>
            <w14:solidFill>
              <w14:schemeClr w14:val="tx1"/>
            </w14:solidFill>
          </w14:textFill>
        </w:rPr>
        <w:t>（M）</w:t>
      </w:r>
      <w:r>
        <w:rPr>
          <w:color w:val="000000" w:themeColor="text1"/>
          <w14:textFill>
            <w14:solidFill>
              <w14:schemeClr w14:val="tx1"/>
            </w14:solidFill>
          </w14:textFill>
        </w:rPr>
        <w:t>确定危险物质及工艺系统危险性等级</w:t>
      </w:r>
      <w:r>
        <w:rPr>
          <w:color w:val="000000" w:themeColor="text1"/>
          <w:lang w:bidi="en-US"/>
          <w14:textFill>
            <w14:solidFill>
              <w14:schemeClr w14:val="tx1"/>
            </w14:solidFill>
          </w14:textFill>
        </w:rPr>
        <w:t>（P）</w:t>
      </w:r>
      <w:r>
        <w:rPr>
          <w:color w:val="000000" w:themeColor="text1"/>
          <w14:textFill>
            <w14:solidFill>
              <w14:schemeClr w14:val="tx1"/>
            </w14:solidFill>
          </w14:textFill>
        </w:rPr>
        <w:t>判断，分别以</w:t>
      </w:r>
      <w:r>
        <w:rPr>
          <w:color w:val="000000" w:themeColor="text1"/>
          <w:lang w:bidi="en-US"/>
          <w14:textFill>
            <w14:solidFill>
              <w14:schemeClr w14:val="tx1"/>
            </w14:solidFill>
          </w14:textFill>
        </w:rPr>
        <w:t>P1、P2、P3、P4</w:t>
      </w:r>
      <w:r>
        <w:rPr>
          <w:color w:val="000000" w:themeColor="text1"/>
          <w14:textFill>
            <w14:solidFill>
              <w14:schemeClr w14:val="tx1"/>
            </w14:solidFill>
          </w14:textFill>
        </w:rPr>
        <w:t>表示，其判断依据见下表。</w:t>
      </w:r>
    </w:p>
    <w:p w14:paraId="116DD4AB">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危险物质及工艺系统危险性等级判断</w:t>
      </w:r>
      <w:r>
        <w:rPr>
          <w:color w:val="000000" w:themeColor="text1"/>
          <w:lang w:bidi="en-US"/>
          <w14:textFill>
            <w14:solidFill>
              <w14:schemeClr w14:val="tx1"/>
            </w14:solidFill>
          </w14:textFill>
        </w:rPr>
        <w:t>（P）</w:t>
      </w:r>
      <w:r>
        <w:rPr>
          <w:color w:val="000000" w:themeColor="text1"/>
          <w14:textFill>
            <w14:solidFill>
              <w14:schemeClr w14:val="tx1"/>
            </w14:solidFill>
          </w14:textFill>
        </w:rPr>
        <w:t>依据一览表</w:t>
      </w:r>
    </w:p>
    <w:tbl>
      <w:tblPr>
        <w:tblStyle w:val="76"/>
        <w:tblW w:w="5000" w:type="pct"/>
        <w:jc w:val="center"/>
        <w:tblLayout w:type="autofit"/>
        <w:tblCellMar>
          <w:top w:w="0" w:type="dxa"/>
          <w:left w:w="10" w:type="dxa"/>
          <w:bottom w:w="0" w:type="dxa"/>
          <w:right w:w="10" w:type="dxa"/>
        </w:tblCellMar>
      </w:tblPr>
      <w:tblGrid>
        <w:gridCol w:w="1892"/>
        <w:gridCol w:w="1881"/>
        <w:gridCol w:w="1886"/>
        <w:gridCol w:w="1881"/>
        <w:gridCol w:w="1892"/>
      </w:tblGrid>
      <w:tr w14:paraId="645FB402">
        <w:tblPrEx>
          <w:tblCellMar>
            <w:top w:w="0" w:type="dxa"/>
            <w:left w:w="10" w:type="dxa"/>
            <w:bottom w:w="0" w:type="dxa"/>
            <w:right w:w="10" w:type="dxa"/>
          </w:tblCellMar>
        </w:tblPrEx>
        <w:trPr>
          <w:jc w:val="center"/>
        </w:trPr>
        <w:tc>
          <w:tcPr>
            <w:tcW w:w="1003" w:type="pct"/>
            <w:vMerge w:val="restart"/>
            <w:tcBorders>
              <w:top w:val="single" w:color="auto" w:sz="4" w:space="0"/>
              <w:left w:val="single" w:color="auto" w:sz="4" w:space="0"/>
            </w:tcBorders>
            <w:vAlign w:val="bottom"/>
          </w:tcPr>
          <w:p w14:paraId="3D8465F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危险物质数量与临界量比值</w:t>
            </w:r>
            <w:r>
              <w:rPr>
                <w:color w:val="000000" w:themeColor="text1"/>
                <w:lang w:bidi="en-US"/>
                <w14:textFill>
                  <w14:solidFill>
                    <w14:schemeClr w14:val="tx1"/>
                  </w14:solidFill>
                </w14:textFill>
              </w:rPr>
              <w:t>（Q）</w:t>
            </w:r>
          </w:p>
        </w:tc>
        <w:tc>
          <w:tcPr>
            <w:tcW w:w="3997" w:type="pct"/>
            <w:gridSpan w:val="4"/>
            <w:tcBorders>
              <w:top w:val="single" w:color="auto" w:sz="4" w:space="0"/>
              <w:left w:val="single" w:color="auto" w:sz="4" w:space="0"/>
              <w:right w:val="single" w:color="auto" w:sz="4" w:space="0"/>
            </w:tcBorders>
            <w:vAlign w:val="bottom"/>
          </w:tcPr>
          <w:p w14:paraId="1B49416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行业及生产工艺</w:t>
            </w:r>
            <w:r>
              <w:rPr>
                <w:color w:val="000000" w:themeColor="text1"/>
                <w:lang w:bidi="en-US"/>
                <w14:textFill>
                  <w14:solidFill>
                    <w14:schemeClr w14:val="tx1"/>
                  </w14:solidFill>
                </w14:textFill>
              </w:rPr>
              <w:t>（P）</w:t>
            </w:r>
          </w:p>
        </w:tc>
      </w:tr>
      <w:tr w14:paraId="090C4CD5">
        <w:tblPrEx>
          <w:tblCellMar>
            <w:top w:w="0" w:type="dxa"/>
            <w:left w:w="10" w:type="dxa"/>
            <w:bottom w:w="0" w:type="dxa"/>
            <w:right w:w="10" w:type="dxa"/>
          </w:tblCellMar>
        </w:tblPrEx>
        <w:trPr>
          <w:jc w:val="center"/>
        </w:trPr>
        <w:tc>
          <w:tcPr>
            <w:tcW w:w="1003" w:type="pct"/>
            <w:vMerge w:val="continue"/>
            <w:tcBorders>
              <w:left w:val="single" w:color="auto" w:sz="4" w:space="0"/>
            </w:tcBorders>
            <w:vAlign w:val="bottom"/>
          </w:tcPr>
          <w:p w14:paraId="4689A085">
            <w:pPr>
              <w:pStyle w:val="109"/>
              <w:rPr>
                <w:color w:val="000000" w:themeColor="text1"/>
                <w14:textFill>
                  <w14:solidFill>
                    <w14:schemeClr w14:val="tx1"/>
                  </w14:solidFill>
                </w14:textFill>
              </w:rPr>
            </w:pPr>
          </w:p>
        </w:tc>
        <w:tc>
          <w:tcPr>
            <w:tcW w:w="997" w:type="pct"/>
            <w:tcBorders>
              <w:top w:val="single" w:color="auto" w:sz="4" w:space="0"/>
              <w:left w:val="single" w:color="auto" w:sz="4" w:space="0"/>
            </w:tcBorders>
            <w:vAlign w:val="bottom"/>
          </w:tcPr>
          <w:p w14:paraId="28DFE875">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M1</w:t>
            </w:r>
          </w:p>
        </w:tc>
        <w:tc>
          <w:tcPr>
            <w:tcW w:w="1000" w:type="pct"/>
            <w:tcBorders>
              <w:top w:val="single" w:color="auto" w:sz="4" w:space="0"/>
              <w:left w:val="single" w:color="auto" w:sz="4" w:space="0"/>
            </w:tcBorders>
            <w:vAlign w:val="bottom"/>
          </w:tcPr>
          <w:p w14:paraId="30E597B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M2</w:t>
            </w:r>
          </w:p>
        </w:tc>
        <w:tc>
          <w:tcPr>
            <w:tcW w:w="997" w:type="pct"/>
            <w:tcBorders>
              <w:top w:val="single" w:color="auto" w:sz="4" w:space="0"/>
              <w:left w:val="single" w:color="auto" w:sz="4" w:space="0"/>
            </w:tcBorders>
            <w:vAlign w:val="bottom"/>
          </w:tcPr>
          <w:p w14:paraId="72F903D7">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M3</w:t>
            </w:r>
          </w:p>
        </w:tc>
        <w:tc>
          <w:tcPr>
            <w:tcW w:w="1003" w:type="pct"/>
            <w:tcBorders>
              <w:top w:val="single" w:color="auto" w:sz="4" w:space="0"/>
              <w:left w:val="single" w:color="auto" w:sz="4" w:space="0"/>
              <w:right w:val="single" w:color="auto" w:sz="4" w:space="0"/>
            </w:tcBorders>
            <w:vAlign w:val="bottom"/>
          </w:tcPr>
          <w:p w14:paraId="56154531">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M4</w:t>
            </w:r>
          </w:p>
        </w:tc>
      </w:tr>
      <w:tr w14:paraId="3667BF37">
        <w:tblPrEx>
          <w:tblCellMar>
            <w:top w:w="0" w:type="dxa"/>
            <w:left w:w="10" w:type="dxa"/>
            <w:bottom w:w="0" w:type="dxa"/>
            <w:right w:w="10" w:type="dxa"/>
          </w:tblCellMar>
        </w:tblPrEx>
        <w:trPr>
          <w:jc w:val="center"/>
        </w:trPr>
        <w:tc>
          <w:tcPr>
            <w:tcW w:w="1003" w:type="pct"/>
            <w:tcBorders>
              <w:top w:val="single" w:color="auto" w:sz="4" w:space="0"/>
              <w:left w:val="single" w:color="auto" w:sz="4" w:space="0"/>
            </w:tcBorders>
            <w:vAlign w:val="bottom"/>
          </w:tcPr>
          <w:p w14:paraId="37EC4DAA">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Q≥100</w:t>
            </w:r>
          </w:p>
        </w:tc>
        <w:tc>
          <w:tcPr>
            <w:tcW w:w="997" w:type="pct"/>
            <w:tcBorders>
              <w:top w:val="single" w:color="auto" w:sz="4" w:space="0"/>
              <w:left w:val="single" w:color="auto" w:sz="4" w:space="0"/>
            </w:tcBorders>
            <w:vAlign w:val="bottom"/>
          </w:tcPr>
          <w:p w14:paraId="7F6C34C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P1</w:t>
            </w:r>
          </w:p>
        </w:tc>
        <w:tc>
          <w:tcPr>
            <w:tcW w:w="1000" w:type="pct"/>
            <w:tcBorders>
              <w:top w:val="single" w:color="auto" w:sz="4" w:space="0"/>
              <w:left w:val="single" w:color="auto" w:sz="4" w:space="0"/>
            </w:tcBorders>
            <w:vAlign w:val="bottom"/>
          </w:tcPr>
          <w:p w14:paraId="7531446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P1</w:t>
            </w:r>
          </w:p>
        </w:tc>
        <w:tc>
          <w:tcPr>
            <w:tcW w:w="997" w:type="pct"/>
            <w:tcBorders>
              <w:top w:val="single" w:color="auto" w:sz="4" w:space="0"/>
              <w:left w:val="single" w:color="auto" w:sz="4" w:space="0"/>
            </w:tcBorders>
            <w:vAlign w:val="bottom"/>
          </w:tcPr>
          <w:p w14:paraId="7E191CC5">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P2</w:t>
            </w:r>
          </w:p>
        </w:tc>
        <w:tc>
          <w:tcPr>
            <w:tcW w:w="1003" w:type="pct"/>
            <w:tcBorders>
              <w:top w:val="single" w:color="auto" w:sz="4" w:space="0"/>
              <w:left w:val="single" w:color="auto" w:sz="4" w:space="0"/>
              <w:right w:val="single" w:color="auto" w:sz="4" w:space="0"/>
            </w:tcBorders>
            <w:vAlign w:val="bottom"/>
          </w:tcPr>
          <w:p w14:paraId="2471A23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P3</w:t>
            </w:r>
          </w:p>
        </w:tc>
      </w:tr>
      <w:tr w14:paraId="5AF7CDB7">
        <w:tblPrEx>
          <w:tblCellMar>
            <w:top w:w="0" w:type="dxa"/>
            <w:left w:w="10" w:type="dxa"/>
            <w:bottom w:w="0" w:type="dxa"/>
            <w:right w:w="10" w:type="dxa"/>
          </w:tblCellMar>
        </w:tblPrEx>
        <w:trPr>
          <w:jc w:val="center"/>
        </w:trPr>
        <w:tc>
          <w:tcPr>
            <w:tcW w:w="1003" w:type="pct"/>
            <w:tcBorders>
              <w:top w:val="single" w:color="auto" w:sz="4" w:space="0"/>
              <w:left w:val="single" w:color="auto" w:sz="4" w:space="0"/>
            </w:tcBorders>
            <w:vAlign w:val="bottom"/>
          </w:tcPr>
          <w:p w14:paraId="451F682A">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10≤Q＜100</w:t>
            </w:r>
          </w:p>
        </w:tc>
        <w:tc>
          <w:tcPr>
            <w:tcW w:w="997" w:type="pct"/>
            <w:tcBorders>
              <w:top w:val="single" w:color="auto" w:sz="4" w:space="0"/>
              <w:left w:val="single" w:color="auto" w:sz="4" w:space="0"/>
            </w:tcBorders>
            <w:vAlign w:val="bottom"/>
          </w:tcPr>
          <w:p w14:paraId="60EBDC2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P1</w:t>
            </w:r>
          </w:p>
        </w:tc>
        <w:tc>
          <w:tcPr>
            <w:tcW w:w="1000" w:type="pct"/>
            <w:tcBorders>
              <w:top w:val="single" w:color="auto" w:sz="4" w:space="0"/>
              <w:left w:val="single" w:color="auto" w:sz="4" w:space="0"/>
            </w:tcBorders>
            <w:vAlign w:val="bottom"/>
          </w:tcPr>
          <w:p w14:paraId="536A06FB">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P2</w:t>
            </w:r>
          </w:p>
        </w:tc>
        <w:tc>
          <w:tcPr>
            <w:tcW w:w="997" w:type="pct"/>
            <w:tcBorders>
              <w:top w:val="single" w:color="auto" w:sz="4" w:space="0"/>
              <w:left w:val="single" w:color="auto" w:sz="4" w:space="0"/>
            </w:tcBorders>
            <w:vAlign w:val="bottom"/>
          </w:tcPr>
          <w:p w14:paraId="259AAF37">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P3</w:t>
            </w:r>
          </w:p>
        </w:tc>
        <w:tc>
          <w:tcPr>
            <w:tcW w:w="1003" w:type="pct"/>
            <w:tcBorders>
              <w:top w:val="single" w:color="auto" w:sz="4" w:space="0"/>
              <w:left w:val="single" w:color="auto" w:sz="4" w:space="0"/>
              <w:right w:val="single" w:color="auto" w:sz="4" w:space="0"/>
            </w:tcBorders>
            <w:vAlign w:val="bottom"/>
          </w:tcPr>
          <w:p w14:paraId="3A40974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P4</w:t>
            </w:r>
          </w:p>
        </w:tc>
      </w:tr>
      <w:tr w14:paraId="1D4601E8">
        <w:tblPrEx>
          <w:tblCellMar>
            <w:top w:w="0" w:type="dxa"/>
            <w:left w:w="10" w:type="dxa"/>
            <w:bottom w:w="0" w:type="dxa"/>
            <w:right w:w="10" w:type="dxa"/>
          </w:tblCellMar>
        </w:tblPrEx>
        <w:trPr>
          <w:jc w:val="center"/>
        </w:trPr>
        <w:tc>
          <w:tcPr>
            <w:tcW w:w="1003" w:type="pct"/>
            <w:tcBorders>
              <w:top w:val="single" w:color="auto" w:sz="4" w:space="0"/>
              <w:left w:val="single" w:color="auto" w:sz="4" w:space="0"/>
              <w:bottom w:val="single" w:color="auto" w:sz="4" w:space="0"/>
            </w:tcBorders>
            <w:vAlign w:val="bottom"/>
          </w:tcPr>
          <w:p w14:paraId="6F9BC04A">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1≤Q＜10</w:t>
            </w:r>
          </w:p>
        </w:tc>
        <w:tc>
          <w:tcPr>
            <w:tcW w:w="997" w:type="pct"/>
            <w:tcBorders>
              <w:top w:val="single" w:color="auto" w:sz="4" w:space="0"/>
              <w:left w:val="single" w:color="auto" w:sz="4" w:space="0"/>
              <w:bottom w:val="single" w:color="auto" w:sz="4" w:space="0"/>
            </w:tcBorders>
            <w:vAlign w:val="bottom"/>
          </w:tcPr>
          <w:p w14:paraId="452CDCC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P2</w:t>
            </w:r>
          </w:p>
        </w:tc>
        <w:tc>
          <w:tcPr>
            <w:tcW w:w="1000" w:type="pct"/>
            <w:tcBorders>
              <w:top w:val="single" w:color="auto" w:sz="4" w:space="0"/>
              <w:left w:val="single" w:color="auto" w:sz="4" w:space="0"/>
              <w:bottom w:val="single" w:color="auto" w:sz="4" w:space="0"/>
            </w:tcBorders>
            <w:vAlign w:val="bottom"/>
          </w:tcPr>
          <w:p w14:paraId="651EAEE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P3</w:t>
            </w:r>
          </w:p>
        </w:tc>
        <w:tc>
          <w:tcPr>
            <w:tcW w:w="997" w:type="pct"/>
            <w:tcBorders>
              <w:top w:val="single" w:color="auto" w:sz="4" w:space="0"/>
              <w:left w:val="single" w:color="auto" w:sz="4" w:space="0"/>
              <w:bottom w:val="single" w:color="auto" w:sz="4" w:space="0"/>
            </w:tcBorders>
            <w:vAlign w:val="bottom"/>
          </w:tcPr>
          <w:p w14:paraId="6528FAB5">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P4</w:t>
            </w:r>
          </w:p>
        </w:tc>
        <w:tc>
          <w:tcPr>
            <w:tcW w:w="1003" w:type="pct"/>
            <w:tcBorders>
              <w:top w:val="single" w:color="auto" w:sz="4" w:space="0"/>
              <w:left w:val="single" w:color="auto" w:sz="4" w:space="0"/>
              <w:bottom w:val="single" w:color="auto" w:sz="4" w:space="0"/>
              <w:right w:val="single" w:color="auto" w:sz="4" w:space="0"/>
            </w:tcBorders>
            <w:vAlign w:val="bottom"/>
          </w:tcPr>
          <w:p w14:paraId="7026D85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P4</w:t>
            </w:r>
          </w:p>
        </w:tc>
      </w:tr>
    </w:tbl>
    <w:p w14:paraId="21C3F0A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本项目的</w:t>
      </w:r>
      <w:r>
        <w:rPr>
          <w:color w:val="000000" w:themeColor="text1"/>
          <w:lang w:bidi="en-US"/>
          <w14:textFill>
            <w14:solidFill>
              <w14:schemeClr w14:val="tx1"/>
            </w14:solidFill>
          </w14:textFill>
        </w:rPr>
        <w:t>Q</w:t>
      </w:r>
      <w:r>
        <w:rPr>
          <w:color w:val="000000" w:themeColor="text1"/>
          <w14:textFill>
            <w14:solidFill>
              <w14:schemeClr w14:val="tx1"/>
            </w14:solidFill>
          </w14:textFill>
        </w:rPr>
        <w:t>值为</w:t>
      </w:r>
      <w:r>
        <w:rPr>
          <w:rFonts w:hint="eastAsia"/>
          <w:color w:val="000000" w:themeColor="text1"/>
          <w:lang w:bidi="en-US"/>
          <w14:textFill>
            <w14:solidFill>
              <w14:schemeClr w14:val="tx1"/>
            </w14:solidFill>
          </w14:textFill>
        </w:rPr>
        <w:t>1.32</w:t>
      </w:r>
      <w:r>
        <w:rPr>
          <w:color w:val="000000" w:themeColor="text1"/>
          <w:lang w:bidi="en-US"/>
          <w14:textFill>
            <w14:solidFill>
              <w14:schemeClr w14:val="tx1"/>
            </w14:solidFill>
          </w14:textFill>
        </w:rPr>
        <w:t>108；M</w:t>
      </w:r>
      <w:r>
        <w:rPr>
          <w:color w:val="000000" w:themeColor="text1"/>
          <w14:textFill>
            <w14:solidFill>
              <w14:schemeClr w14:val="tx1"/>
            </w14:solidFill>
          </w14:textFill>
        </w:rPr>
        <w:t>值为5，以</w:t>
      </w:r>
      <w:r>
        <w:rPr>
          <w:color w:val="000000" w:themeColor="text1"/>
          <w:lang w:bidi="en-US"/>
          <w14:textFill>
            <w14:solidFill>
              <w14:schemeClr w14:val="tx1"/>
            </w14:solidFill>
          </w14:textFill>
        </w:rPr>
        <w:t>M</w:t>
      </w:r>
      <w:r>
        <w:rPr>
          <w:rFonts w:hint="eastAsia"/>
          <w:color w:val="000000" w:themeColor="text1"/>
          <w:lang w:bidi="en-US"/>
          <w14:textFill>
            <w14:solidFill>
              <w14:schemeClr w14:val="tx1"/>
            </w14:solidFill>
          </w14:textFill>
        </w:rPr>
        <w:t>4</w:t>
      </w:r>
      <w:r>
        <w:rPr>
          <w:color w:val="000000" w:themeColor="text1"/>
          <w14:textFill>
            <w14:solidFill>
              <w14:schemeClr w14:val="tx1"/>
            </w14:solidFill>
          </w14:textFill>
        </w:rPr>
        <w:t>表示，根据</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判断，本项目的</w:t>
      </w:r>
      <w:r>
        <w:rPr>
          <w:color w:val="000000" w:themeColor="text1"/>
          <w:lang w:bidi="en-US"/>
          <w14:textFill>
            <w14:solidFill>
              <w14:schemeClr w14:val="tx1"/>
            </w14:solidFill>
          </w14:textFill>
        </w:rPr>
        <w:t>P</w:t>
      </w:r>
      <w:r>
        <w:rPr>
          <w:color w:val="000000" w:themeColor="text1"/>
          <w14:textFill>
            <w14:solidFill>
              <w14:schemeClr w14:val="tx1"/>
            </w14:solidFill>
          </w14:textFill>
        </w:rPr>
        <w:t>值以</w:t>
      </w:r>
      <w:r>
        <w:rPr>
          <w:color w:val="000000" w:themeColor="text1"/>
          <w:lang w:bidi="en-US"/>
          <w14:textFill>
            <w14:solidFill>
              <w14:schemeClr w14:val="tx1"/>
            </w14:solidFill>
          </w14:textFill>
        </w:rPr>
        <w:t>P</w:t>
      </w:r>
      <w:r>
        <w:rPr>
          <w:rFonts w:hint="eastAsia"/>
          <w:color w:val="000000" w:themeColor="text1"/>
          <w:lang w:bidi="en-US"/>
          <w14:textFill>
            <w14:solidFill>
              <w14:schemeClr w14:val="tx1"/>
            </w14:solidFill>
          </w14:textFill>
        </w:rPr>
        <w:t>4</w:t>
      </w:r>
      <w:r>
        <w:rPr>
          <w:color w:val="000000" w:themeColor="text1"/>
          <w14:textFill>
            <w14:solidFill>
              <w14:schemeClr w14:val="tx1"/>
            </w14:solidFill>
          </w14:textFill>
        </w:rPr>
        <w:t>表示。</w:t>
      </w:r>
    </w:p>
    <w:p w14:paraId="74F33809">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环境敏感程度的确定</w:t>
      </w:r>
    </w:p>
    <w:p w14:paraId="31B9B286">
      <w:pPr>
        <w:ind w:firstLine="480"/>
        <w:rPr>
          <w:color w:val="000000" w:themeColor="text1"/>
          <w14:textFill>
            <w14:solidFill>
              <w14:schemeClr w14:val="tx1"/>
            </w14:solidFill>
          </w14:textFill>
        </w:rPr>
      </w:pPr>
      <w:r>
        <w:rPr>
          <w:color w:val="000000" w:themeColor="text1"/>
          <w14:textFill>
            <w14:solidFill>
              <w14:schemeClr w14:val="tx1"/>
            </w14:solidFill>
          </w14:textFill>
        </w:rPr>
        <w:t>（1）大气环境敏感程度</w:t>
      </w:r>
    </w:p>
    <w:p w14:paraId="3C027EE5">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附录</w:t>
      </w:r>
      <w:r>
        <w:rPr>
          <w:color w:val="000000" w:themeColor="text1"/>
          <w:lang w:bidi="en-US"/>
          <w14:textFill>
            <w14:solidFill>
              <w14:schemeClr w14:val="tx1"/>
            </w14:solidFill>
          </w14:textFill>
        </w:rPr>
        <w:t>D</w:t>
      </w:r>
      <w:r>
        <w:rPr>
          <w:color w:val="000000" w:themeColor="text1"/>
          <w14:textFill>
            <w14:solidFill>
              <w14:schemeClr w14:val="tx1"/>
            </w14:solidFill>
          </w14:textFill>
        </w:rPr>
        <w:t>的规定:项目所在区域大气环境敏感程度是依据环境敏感目标环境敏感性及人口密度划分环境风险受体的敏感性来确定。大气环境敏感程度共分为三种类型</w:t>
      </w:r>
      <w:r>
        <w:rPr>
          <w:rFonts w:hint="eastAsia"/>
          <w:color w:val="000000" w:themeColor="text1"/>
          <w14:textFill>
            <w14:solidFill>
              <w14:schemeClr w14:val="tx1"/>
            </w14:solidFill>
          </w14:textFill>
        </w:rPr>
        <w:t>：</w:t>
      </w:r>
      <w:r>
        <w:rPr>
          <w:color w:val="000000" w:themeColor="text1"/>
          <w:lang w:bidi="en-US"/>
          <w14:textFill>
            <w14:solidFill>
              <w14:schemeClr w14:val="tx1"/>
            </w14:solidFill>
          </w14:textFill>
        </w:rPr>
        <w:t>E1</w:t>
      </w:r>
      <w:r>
        <w:rPr>
          <w:color w:val="000000" w:themeColor="text1"/>
          <w14:textFill>
            <w14:solidFill>
              <w14:schemeClr w14:val="tx1"/>
            </w14:solidFill>
          </w14:textFill>
        </w:rPr>
        <w:t>为环境高度敏感区，</w:t>
      </w:r>
      <w:r>
        <w:rPr>
          <w:color w:val="000000" w:themeColor="text1"/>
          <w:lang w:bidi="en-US"/>
          <w14:textFill>
            <w14:solidFill>
              <w14:schemeClr w14:val="tx1"/>
            </w14:solidFill>
          </w14:textFill>
        </w:rPr>
        <w:t>E2</w:t>
      </w:r>
      <w:r>
        <w:rPr>
          <w:color w:val="000000" w:themeColor="text1"/>
          <w14:textFill>
            <w14:solidFill>
              <w14:schemeClr w14:val="tx1"/>
            </w14:solidFill>
          </w14:textFill>
        </w:rPr>
        <w:t>为环境中度敏感区，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为环境低度敏感区，分级原则见下表。</w:t>
      </w:r>
    </w:p>
    <w:p w14:paraId="46CAE438">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大气环境敏感程度分级原则一览表</w:t>
      </w:r>
    </w:p>
    <w:tbl>
      <w:tblPr>
        <w:tblStyle w:val="76"/>
        <w:tblW w:w="5000" w:type="pct"/>
        <w:jc w:val="center"/>
        <w:tblLayout w:type="autofit"/>
        <w:tblCellMar>
          <w:top w:w="0" w:type="dxa"/>
          <w:left w:w="10" w:type="dxa"/>
          <w:bottom w:w="0" w:type="dxa"/>
          <w:right w:w="10" w:type="dxa"/>
        </w:tblCellMar>
      </w:tblPr>
      <w:tblGrid>
        <w:gridCol w:w="704"/>
        <w:gridCol w:w="8728"/>
      </w:tblGrid>
      <w:tr w14:paraId="1A109E3C">
        <w:tblPrEx>
          <w:tblCellMar>
            <w:top w:w="0" w:type="dxa"/>
            <w:left w:w="10" w:type="dxa"/>
            <w:bottom w:w="0" w:type="dxa"/>
            <w:right w:w="10" w:type="dxa"/>
          </w:tblCellMar>
        </w:tblPrEx>
        <w:trPr>
          <w:jc w:val="center"/>
        </w:trPr>
        <w:tc>
          <w:tcPr>
            <w:tcW w:w="373" w:type="pct"/>
            <w:tcBorders>
              <w:top w:val="single" w:color="auto" w:sz="4" w:space="0"/>
              <w:left w:val="single" w:color="auto" w:sz="4" w:space="0"/>
            </w:tcBorders>
            <w:vAlign w:val="bottom"/>
          </w:tcPr>
          <w:p w14:paraId="70A207B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分级</w:t>
            </w:r>
          </w:p>
        </w:tc>
        <w:tc>
          <w:tcPr>
            <w:tcW w:w="4627" w:type="pct"/>
            <w:tcBorders>
              <w:top w:val="single" w:color="auto" w:sz="4" w:space="0"/>
              <w:left w:val="single" w:color="auto" w:sz="4" w:space="0"/>
              <w:right w:val="single" w:color="auto" w:sz="4" w:space="0"/>
            </w:tcBorders>
            <w:vAlign w:val="bottom"/>
          </w:tcPr>
          <w:p w14:paraId="130DF8DB">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大气环境敏感性</w:t>
            </w:r>
          </w:p>
        </w:tc>
      </w:tr>
      <w:tr w14:paraId="625F5805">
        <w:tblPrEx>
          <w:tblCellMar>
            <w:top w:w="0" w:type="dxa"/>
            <w:left w:w="10" w:type="dxa"/>
            <w:bottom w:w="0" w:type="dxa"/>
            <w:right w:w="10" w:type="dxa"/>
          </w:tblCellMar>
        </w:tblPrEx>
        <w:trPr>
          <w:jc w:val="center"/>
        </w:trPr>
        <w:tc>
          <w:tcPr>
            <w:tcW w:w="373" w:type="pct"/>
            <w:tcBorders>
              <w:top w:val="single" w:color="auto" w:sz="4" w:space="0"/>
              <w:left w:val="single" w:color="auto" w:sz="4" w:space="0"/>
            </w:tcBorders>
            <w:vAlign w:val="center"/>
          </w:tcPr>
          <w:p w14:paraId="0A9331E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4627" w:type="pct"/>
            <w:tcBorders>
              <w:top w:val="single" w:color="auto" w:sz="4" w:space="0"/>
              <w:left w:val="single" w:color="auto" w:sz="4" w:space="0"/>
              <w:right w:val="single" w:color="auto" w:sz="4" w:space="0"/>
            </w:tcBorders>
            <w:vAlign w:val="bottom"/>
          </w:tcPr>
          <w:p w14:paraId="4BED1C3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周边</w:t>
            </w:r>
            <w:r>
              <w:rPr>
                <w:color w:val="000000" w:themeColor="text1"/>
                <w:lang w:bidi="en-US"/>
                <w14:textFill>
                  <w14:solidFill>
                    <w14:schemeClr w14:val="tx1"/>
                  </w14:solidFill>
                </w14:textFill>
              </w:rPr>
              <w:t>5km</w:t>
            </w:r>
            <w:r>
              <w:rPr>
                <w:color w:val="000000" w:themeColor="text1"/>
                <w:lang w:val="zh-CN" w:bidi="zh-CN"/>
                <w14:textFill>
                  <w14:solidFill>
                    <w14:schemeClr w14:val="tx1"/>
                  </w14:solidFill>
                </w14:textFill>
              </w:rPr>
              <w:t>范围内居住区、医疗卫生、文化教育、科研、行政办公等机构人口总数大于5万人，或其他需要特殊保护区域；或周边</w:t>
            </w:r>
            <w:r>
              <w:rPr>
                <w:color w:val="000000" w:themeColor="text1"/>
                <w:lang w:bidi="en-US"/>
                <w14:textFill>
                  <w14:solidFill>
                    <w14:schemeClr w14:val="tx1"/>
                  </w14:solidFill>
                </w14:textFill>
              </w:rPr>
              <w:t>500m</w:t>
            </w:r>
            <w:r>
              <w:rPr>
                <w:color w:val="000000" w:themeColor="text1"/>
                <w:lang w:val="zh-CN" w:bidi="zh-CN"/>
                <w14:textFill>
                  <w14:solidFill>
                    <w14:schemeClr w14:val="tx1"/>
                  </w14:solidFill>
                </w14:textFill>
              </w:rPr>
              <w:t>范围内人口总数大于1000人；油气、化学品输送管线管段周边</w:t>
            </w:r>
            <w:r>
              <w:rPr>
                <w:color w:val="000000" w:themeColor="text1"/>
                <w:lang w:bidi="en-US"/>
                <w14:textFill>
                  <w14:solidFill>
                    <w14:schemeClr w14:val="tx1"/>
                  </w14:solidFill>
                </w14:textFill>
              </w:rPr>
              <w:t>200m</w:t>
            </w:r>
            <w:r>
              <w:rPr>
                <w:color w:val="000000" w:themeColor="text1"/>
                <w:lang w:val="zh-CN" w:bidi="zh-CN"/>
                <w14:textFill>
                  <w14:solidFill>
                    <w14:schemeClr w14:val="tx1"/>
                  </w14:solidFill>
                </w14:textFill>
              </w:rPr>
              <w:t>范围内，每千米管段人口数大于200人</w:t>
            </w:r>
          </w:p>
        </w:tc>
      </w:tr>
      <w:tr w14:paraId="2A02B0BF">
        <w:tblPrEx>
          <w:tblCellMar>
            <w:top w:w="0" w:type="dxa"/>
            <w:left w:w="10" w:type="dxa"/>
            <w:bottom w:w="0" w:type="dxa"/>
            <w:right w:w="10" w:type="dxa"/>
          </w:tblCellMar>
        </w:tblPrEx>
        <w:trPr>
          <w:jc w:val="center"/>
        </w:trPr>
        <w:tc>
          <w:tcPr>
            <w:tcW w:w="373" w:type="pct"/>
            <w:tcBorders>
              <w:top w:val="single" w:color="auto" w:sz="4" w:space="0"/>
              <w:left w:val="single" w:color="auto" w:sz="4" w:space="0"/>
            </w:tcBorders>
            <w:vAlign w:val="center"/>
          </w:tcPr>
          <w:p w14:paraId="7EC097F2">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4627" w:type="pct"/>
            <w:tcBorders>
              <w:top w:val="single" w:color="auto" w:sz="4" w:space="0"/>
              <w:left w:val="single" w:color="auto" w:sz="4" w:space="0"/>
              <w:right w:val="single" w:color="auto" w:sz="4" w:space="0"/>
            </w:tcBorders>
            <w:vAlign w:val="bottom"/>
          </w:tcPr>
          <w:p w14:paraId="3D9220D7">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周边</w:t>
            </w:r>
            <w:r>
              <w:rPr>
                <w:color w:val="000000" w:themeColor="text1"/>
                <w:lang w:bidi="en-US"/>
                <w14:textFill>
                  <w14:solidFill>
                    <w14:schemeClr w14:val="tx1"/>
                  </w14:solidFill>
                </w14:textFill>
              </w:rPr>
              <w:t>5km</w:t>
            </w:r>
            <w:r>
              <w:rPr>
                <w:color w:val="000000" w:themeColor="text1"/>
                <w:lang w:val="zh-CN" w:bidi="zh-CN"/>
                <w14:textFill>
                  <w14:solidFill>
                    <w14:schemeClr w14:val="tx1"/>
                  </w14:solidFill>
                </w14:textFill>
              </w:rPr>
              <w:t>范围内居住区、医疗卫生、文化教育、科研、行政办公等机构人口总数大于1万人，小于5万人；或周边</w:t>
            </w:r>
            <w:r>
              <w:rPr>
                <w:color w:val="000000" w:themeColor="text1"/>
                <w:lang w:bidi="en-US"/>
                <w14:textFill>
                  <w14:solidFill>
                    <w14:schemeClr w14:val="tx1"/>
                  </w14:solidFill>
                </w14:textFill>
              </w:rPr>
              <w:t>500m</w:t>
            </w:r>
            <w:r>
              <w:rPr>
                <w:color w:val="000000" w:themeColor="text1"/>
                <w:lang w:val="zh-CN" w:bidi="zh-CN"/>
                <w14:textFill>
                  <w14:solidFill>
                    <w14:schemeClr w14:val="tx1"/>
                  </w14:solidFill>
                </w14:textFill>
              </w:rPr>
              <w:t>范围内人口总数大于500人，小于1000人；油气、化学品输送管线管段周边</w:t>
            </w:r>
            <w:r>
              <w:rPr>
                <w:color w:val="000000" w:themeColor="text1"/>
                <w:lang w:bidi="en-US"/>
                <w14:textFill>
                  <w14:solidFill>
                    <w14:schemeClr w14:val="tx1"/>
                  </w14:solidFill>
                </w14:textFill>
              </w:rPr>
              <w:t>200m</w:t>
            </w:r>
            <w:r>
              <w:rPr>
                <w:color w:val="000000" w:themeColor="text1"/>
                <w:lang w:val="zh-CN" w:bidi="zh-CN"/>
                <w14:textFill>
                  <w14:solidFill>
                    <w14:schemeClr w14:val="tx1"/>
                  </w14:solidFill>
                </w14:textFill>
              </w:rPr>
              <w:t>范围内，每千米管段人口数大于100人，小于200人</w:t>
            </w:r>
          </w:p>
        </w:tc>
      </w:tr>
      <w:tr w14:paraId="10F0C216">
        <w:tblPrEx>
          <w:tblCellMar>
            <w:top w:w="0" w:type="dxa"/>
            <w:left w:w="10" w:type="dxa"/>
            <w:bottom w:w="0" w:type="dxa"/>
            <w:right w:w="10" w:type="dxa"/>
          </w:tblCellMar>
        </w:tblPrEx>
        <w:trPr>
          <w:jc w:val="center"/>
        </w:trPr>
        <w:tc>
          <w:tcPr>
            <w:tcW w:w="373" w:type="pct"/>
            <w:tcBorders>
              <w:top w:val="single" w:color="auto" w:sz="4" w:space="0"/>
              <w:left w:val="single" w:color="auto" w:sz="4" w:space="0"/>
              <w:bottom w:val="single" w:color="auto" w:sz="4" w:space="0"/>
            </w:tcBorders>
            <w:vAlign w:val="center"/>
          </w:tcPr>
          <w:p w14:paraId="444364A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c>
          <w:tcPr>
            <w:tcW w:w="4627" w:type="pct"/>
            <w:tcBorders>
              <w:top w:val="single" w:color="auto" w:sz="4" w:space="0"/>
              <w:left w:val="single" w:color="auto" w:sz="4" w:space="0"/>
              <w:bottom w:val="single" w:color="auto" w:sz="4" w:space="0"/>
              <w:right w:val="single" w:color="auto" w:sz="4" w:space="0"/>
            </w:tcBorders>
            <w:vAlign w:val="bottom"/>
          </w:tcPr>
          <w:p w14:paraId="68794FA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周边</w:t>
            </w:r>
            <w:r>
              <w:rPr>
                <w:color w:val="000000" w:themeColor="text1"/>
                <w:lang w:bidi="en-US"/>
                <w14:textFill>
                  <w14:solidFill>
                    <w14:schemeClr w14:val="tx1"/>
                  </w14:solidFill>
                </w14:textFill>
              </w:rPr>
              <w:t>5km</w:t>
            </w:r>
            <w:r>
              <w:rPr>
                <w:color w:val="000000" w:themeColor="text1"/>
                <w:lang w:val="zh-CN" w:bidi="zh-CN"/>
                <w14:textFill>
                  <w14:solidFill>
                    <w14:schemeClr w14:val="tx1"/>
                  </w14:solidFill>
                </w14:textFill>
              </w:rPr>
              <w:t>范围内居住区、医疗卫生、文化教育、科研、行政办公等机构人口总数小于1万人；或周边</w:t>
            </w:r>
            <w:r>
              <w:rPr>
                <w:color w:val="000000" w:themeColor="text1"/>
                <w:lang w:bidi="en-US"/>
                <w14:textFill>
                  <w14:solidFill>
                    <w14:schemeClr w14:val="tx1"/>
                  </w14:solidFill>
                </w14:textFill>
              </w:rPr>
              <w:t>500m</w:t>
            </w:r>
            <w:r>
              <w:rPr>
                <w:color w:val="000000" w:themeColor="text1"/>
                <w:lang w:val="zh-CN" w:bidi="zh-CN"/>
                <w14:textFill>
                  <w14:solidFill>
                    <w14:schemeClr w14:val="tx1"/>
                  </w14:solidFill>
                </w14:textFill>
              </w:rPr>
              <w:t>范围内人口总数小于500人；油气、化学品输送管线管段周边</w:t>
            </w:r>
            <w:r>
              <w:rPr>
                <w:color w:val="000000" w:themeColor="text1"/>
                <w:lang w:bidi="en-US"/>
                <w14:textFill>
                  <w14:solidFill>
                    <w14:schemeClr w14:val="tx1"/>
                  </w14:solidFill>
                </w14:textFill>
              </w:rPr>
              <w:t>200m</w:t>
            </w:r>
            <w:r>
              <w:rPr>
                <w:color w:val="000000" w:themeColor="text1"/>
                <w:lang w:val="zh-CN" w:bidi="zh-CN"/>
                <w14:textFill>
                  <w14:solidFill>
                    <w14:schemeClr w14:val="tx1"/>
                  </w14:solidFill>
                </w14:textFill>
              </w:rPr>
              <w:t>范围内，每千米管段人口数小于100人</w:t>
            </w:r>
          </w:p>
        </w:tc>
      </w:tr>
    </w:tbl>
    <w:p w14:paraId="7F527D5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本项目位于乌鲁木齐甘泉堡经济技术开发区（工业区）化工园区，项目周边</w:t>
      </w:r>
      <w:r>
        <w:rPr>
          <w:color w:val="000000" w:themeColor="text1"/>
          <w:lang w:bidi="en-US"/>
          <w14:textFill>
            <w14:solidFill>
              <w14:schemeClr w14:val="tx1"/>
            </w14:solidFill>
          </w14:textFill>
        </w:rPr>
        <w:t>5km</w:t>
      </w:r>
      <w:r>
        <w:rPr>
          <w:color w:val="000000" w:themeColor="text1"/>
          <w14:textFill>
            <w14:solidFill>
              <w14:schemeClr w14:val="tx1"/>
            </w14:solidFill>
          </w14:textFill>
        </w:rPr>
        <w:t>范围内居住区、医疗卫生、文化教育、科研、行政办公等机构人口总数</w:t>
      </w:r>
      <w:r>
        <w:rPr>
          <w:rFonts w:hint="eastAsia"/>
          <w:color w:val="000000" w:themeColor="text1"/>
          <w14:textFill>
            <w14:solidFill>
              <w14:schemeClr w14:val="tx1"/>
            </w14:solidFill>
          </w14:textFill>
        </w:rPr>
        <w:t>小于1</w:t>
      </w:r>
      <w:r>
        <w:rPr>
          <w:color w:val="000000" w:themeColor="text1"/>
          <w14:textFill>
            <w14:solidFill>
              <w14:schemeClr w14:val="tx1"/>
            </w14:solidFill>
          </w14:textFill>
        </w:rPr>
        <w:t>万人</w:t>
      </w:r>
      <w:r>
        <w:rPr>
          <w:rFonts w:hint="eastAsia"/>
          <w:color w:val="000000" w:themeColor="text1"/>
          <w14:textFill>
            <w14:solidFill>
              <w14:schemeClr w14:val="tx1"/>
            </w14:solidFill>
          </w14:textFill>
        </w:rPr>
        <w:t>，</w:t>
      </w:r>
      <w:r>
        <w:rPr>
          <w:color w:val="000000" w:themeColor="text1"/>
          <w:lang w:val="zh-CN" w:bidi="zh-CN"/>
          <w14:textFill>
            <w14:solidFill>
              <w14:schemeClr w14:val="tx1"/>
            </w14:solidFill>
          </w14:textFill>
        </w:rPr>
        <w:t>周边</w:t>
      </w:r>
      <w:r>
        <w:rPr>
          <w:color w:val="000000" w:themeColor="text1"/>
          <w:lang w:bidi="en-US"/>
          <w14:textFill>
            <w14:solidFill>
              <w14:schemeClr w14:val="tx1"/>
            </w14:solidFill>
          </w14:textFill>
        </w:rPr>
        <w:t>500m</w:t>
      </w:r>
      <w:r>
        <w:rPr>
          <w:color w:val="000000" w:themeColor="text1"/>
          <w:lang w:val="zh-CN" w:bidi="zh-CN"/>
          <w14:textFill>
            <w14:solidFill>
              <w14:schemeClr w14:val="tx1"/>
            </w14:solidFill>
          </w14:textFill>
        </w:rPr>
        <w:t>范围内人口总数小于500人</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判定，项目的所在区域大气环境敏感程度为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w:t>
      </w:r>
      <w:r>
        <w:rPr>
          <w:color w:val="000000" w:themeColor="text1"/>
          <w:lang w:bidi="en-US"/>
          <w14:textFill>
            <w14:solidFill>
              <w14:schemeClr w14:val="tx1"/>
            </w14:solidFill>
          </w14:textFill>
        </w:rPr>
        <w:t>。</w:t>
      </w:r>
    </w:p>
    <w:p w14:paraId="1AA03B8B">
      <w:pPr>
        <w:ind w:firstLine="480"/>
        <w:rPr>
          <w:color w:val="000000" w:themeColor="text1"/>
          <w14:textFill>
            <w14:solidFill>
              <w14:schemeClr w14:val="tx1"/>
            </w14:solidFill>
          </w14:textFill>
        </w:rPr>
      </w:pPr>
      <w:r>
        <w:rPr>
          <w:color w:val="000000" w:themeColor="text1"/>
          <w14:textFill>
            <w14:solidFill>
              <w14:schemeClr w14:val="tx1"/>
            </w14:solidFill>
          </w14:textFill>
        </w:rPr>
        <w:t>（2）地表水环境敏感程度</w:t>
      </w:r>
    </w:p>
    <w:p w14:paraId="1019068F">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附录</w:t>
      </w:r>
      <w:r>
        <w:rPr>
          <w:color w:val="000000" w:themeColor="text1"/>
          <w:lang w:bidi="en-US"/>
          <w14:textFill>
            <w14:solidFill>
              <w14:schemeClr w14:val="tx1"/>
            </w14:solidFill>
          </w14:textFill>
        </w:rPr>
        <w:t>D</w:t>
      </w:r>
      <w:r>
        <w:rPr>
          <w:color w:val="000000" w:themeColor="text1"/>
          <w14:textFill>
            <w14:solidFill>
              <w14:schemeClr w14:val="tx1"/>
            </w14:solidFill>
          </w14:textFill>
        </w:rPr>
        <w:t>的规定：区域地表水环境敏感程度依据事故情况下危险物质泄漏到水体的排放点受纳地表水体功能敏感性与下游环境敏感目标情况确定。区域地表水环境敏感程度共分为三种类型，</w:t>
      </w:r>
      <w:r>
        <w:rPr>
          <w:color w:val="000000" w:themeColor="text1"/>
          <w:lang w:bidi="en-US"/>
          <w14:textFill>
            <w14:solidFill>
              <w14:schemeClr w14:val="tx1"/>
            </w14:solidFill>
          </w14:textFill>
        </w:rPr>
        <w:t>E1</w:t>
      </w:r>
      <w:r>
        <w:rPr>
          <w:color w:val="000000" w:themeColor="text1"/>
          <w14:textFill>
            <w14:solidFill>
              <w14:schemeClr w14:val="tx1"/>
            </w14:solidFill>
          </w14:textFill>
        </w:rPr>
        <w:t>为环境高度敏感区，</w:t>
      </w:r>
      <w:r>
        <w:rPr>
          <w:color w:val="000000" w:themeColor="text1"/>
          <w:lang w:bidi="en-US"/>
          <w14:textFill>
            <w14:solidFill>
              <w14:schemeClr w14:val="tx1"/>
            </w14:solidFill>
          </w14:textFill>
        </w:rPr>
        <w:t>E2</w:t>
      </w:r>
      <w:r>
        <w:rPr>
          <w:color w:val="000000" w:themeColor="text1"/>
          <w14:textFill>
            <w14:solidFill>
              <w14:schemeClr w14:val="tx1"/>
            </w14:solidFill>
          </w14:textFill>
        </w:rPr>
        <w:t>为环境中度敏感区，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w:t>
      </w:r>
    </w:p>
    <w:p w14:paraId="2B1D653B">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地表水环境敏感程度分级原则一览表</w:t>
      </w:r>
    </w:p>
    <w:tbl>
      <w:tblPr>
        <w:tblStyle w:val="76"/>
        <w:tblW w:w="5000" w:type="pct"/>
        <w:jc w:val="center"/>
        <w:tblLayout w:type="autofit"/>
        <w:tblCellMar>
          <w:top w:w="0" w:type="dxa"/>
          <w:left w:w="10" w:type="dxa"/>
          <w:bottom w:w="0" w:type="dxa"/>
          <w:right w:w="10" w:type="dxa"/>
        </w:tblCellMar>
      </w:tblPr>
      <w:tblGrid>
        <w:gridCol w:w="2164"/>
        <w:gridCol w:w="2550"/>
        <w:gridCol w:w="2354"/>
        <w:gridCol w:w="2364"/>
      </w:tblGrid>
      <w:tr w14:paraId="66631BBB">
        <w:tblPrEx>
          <w:tblCellMar>
            <w:top w:w="0" w:type="dxa"/>
            <w:left w:w="10" w:type="dxa"/>
            <w:bottom w:w="0" w:type="dxa"/>
            <w:right w:w="10" w:type="dxa"/>
          </w:tblCellMar>
        </w:tblPrEx>
        <w:trPr>
          <w:jc w:val="center"/>
        </w:trPr>
        <w:tc>
          <w:tcPr>
            <w:tcW w:w="1147" w:type="pct"/>
            <w:vMerge w:val="restart"/>
            <w:tcBorders>
              <w:top w:val="single" w:color="auto" w:sz="4" w:space="0"/>
              <w:left w:val="single" w:color="auto" w:sz="4" w:space="0"/>
            </w:tcBorders>
            <w:vAlign w:val="center"/>
          </w:tcPr>
          <w:p w14:paraId="21C154A3">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环境敏感目标</w:t>
            </w:r>
          </w:p>
        </w:tc>
        <w:tc>
          <w:tcPr>
            <w:tcW w:w="3853" w:type="pct"/>
            <w:gridSpan w:val="3"/>
            <w:tcBorders>
              <w:top w:val="single" w:color="auto" w:sz="4" w:space="0"/>
              <w:left w:val="single" w:color="auto" w:sz="4" w:space="0"/>
              <w:right w:val="single" w:color="auto" w:sz="4" w:space="0"/>
            </w:tcBorders>
            <w:vAlign w:val="bottom"/>
          </w:tcPr>
          <w:p w14:paraId="10D8C0A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地表水功能敏感性</w:t>
            </w:r>
          </w:p>
        </w:tc>
      </w:tr>
      <w:tr w14:paraId="4B6E5F71">
        <w:tblPrEx>
          <w:tblCellMar>
            <w:top w:w="0" w:type="dxa"/>
            <w:left w:w="10" w:type="dxa"/>
            <w:bottom w:w="0" w:type="dxa"/>
            <w:right w:w="10" w:type="dxa"/>
          </w:tblCellMar>
        </w:tblPrEx>
        <w:trPr>
          <w:jc w:val="center"/>
        </w:trPr>
        <w:tc>
          <w:tcPr>
            <w:tcW w:w="1147" w:type="pct"/>
            <w:vMerge w:val="continue"/>
            <w:tcBorders>
              <w:left w:val="single" w:color="auto" w:sz="4" w:space="0"/>
            </w:tcBorders>
            <w:vAlign w:val="center"/>
          </w:tcPr>
          <w:p w14:paraId="032BD211">
            <w:pPr>
              <w:pStyle w:val="109"/>
              <w:rPr>
                <w:color w:val="000000" w:themeColor="text1"/>
                <w14:textFill>
                  <w14:solidFill>
                    <w14:schemeClr w14:val="tx1"/>
                  </w14:solidFill>
                </w14:textFill>
              </w:rPr>
            </w:pPr>
          </w:p>
        </w:tc>
        <w:tc>
          <w:tcPr>
            <w:tcW w:w="1352" w:type="pct"/>
            <w:tcBorders>
              <w:top w:val="single" w:color="auto" w:sz="4" w:space="0"/>
              <w:left w:val="single" w:color="auto" w:sz="4" w:space="0"/>
            </w:tcBorders>
            <w:vAlign w:val="bottom"/>
          </w:tcPr>
          <w:p w14:paraId="432696B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F1</w:t>
            </w:r>
          </w:p>
        </w:tc>
        <w:tc>
          <w:tcPr>
            <w:tcW w:w="1248" w:type="pct"/>
            <w:tcBorders>
              <w:top w:val="single" w:color="auto" w:sz="4" w:space="0"/>
              <w:left w:val="single" w:color="auto" w:sz="4" w:space="0"/>
            </w:tcBorders>
            <w:vAlign w:val="bottom"/>
          </w:tcPr>
          <w:p w14:paraId="3A6FC6D7">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F2</w:t>
            </w:r>
          </w:p>
        </w:tc>
        <w:tc>
          <w:tcPr>
            <w:tcW w:w="1254" w:type="pct"/>
            <w:tcBorders>
              <w:top w:val="single" w:color="auto" w:sz="4" w:space="0"/>
              <w:left w:val="single" w:color="auto" w:sz="4" w:space="0"/>
              <w:right w:val="single" w:color="auto" w:sz="4" w:space="0"/>
            </w:tcBorders>
            <w:vAlign w:val="bottom"/>
          </w:tcPr>
          <w:p w14:paraId="6D2BFBF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F3</w:t>
            </w:r>
          </w:p>
        </w:tc>
      </w:tr>
      <w:tr w14:paraId="712595EE">
        <w:tblPrEx>
          <w:tblCellMar>
            <w:top w:w="0" w:type="dxa"/>
            <w:left w:w="10" w:type="dxa"/>
            <w:bottom w:w="0" w:type="dxa"/>
            <w:right w:w="10" w:type="dxa"/>
          </w:tblCellMar>
        </w:tblPrEx>
        <w:trPr>
          <w:jc w:val="center"/>
        </w:trPr>
        <w:tc>
          <w:tcPr>
            <w:tcW w:w="1147" w:type="pct"/>
            <w:tcBorders>
              <w:top w:val="single" w:color="auto" w:sz="4" w:space="0"/>
              <w:left w:val="single" w:color="auto" w:sz="4" w:space="0"/>
            </w:tcBorders>
            <w:vAlign w:val="bottom"/>
          </w:tcPr>
          <w:p w14:paraId="64503FC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S1</w:t>
            </w:r>
          </w:p>
        </w:tc>
        <w:tc>
          <w:tcPr>
            <w:tcW w:w="1352" w:type="pct"/>
            <w:tcBorders>
              <w:top w:val="single" w:color="auto" w:sz="4" w:space="0"/>
              <w:left w:val="single" w:color="auto" w:sz="4" w:space="0"/>
            </w:tcBorders>
            <w:vAlign w:val="bottom"/>
          </w:tcPr>
          <w:p w14:paraId="75AA9073">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tcBorders>
            <w:vAlign w:val="bottom"/>
          </w:tcPr>
          <w:p w14:paraId="2B74749B">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54" w:type="pct"/>
            <w:tcBorders>
              <w:top w:val="single" w:color="auto" w:sz="4" w:space="0"/>
              <w:left w:val="single" w:color="auto" w:sz="4" w:space="0"/>
              <w:right w:val="single" w:color="auto" w:sz="4" w:space="0"/>
            </w:tcBorders>
            <w:vAlign w:val="bottom"/>
          </w:tcPr>
          <w:p w14:paraId="2DAA164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r>
      <w:tr w14:paraId="15786E59">
        <w:tblPrEx>
          <w:tblCellMar>
            <w:top w:w="0" w:type="dxa"/>
            <w:left w:w="10" w:type="dxa"/>
            <w:bottom w:w="0" w:type="dxa"/>
            <w:right w:w="10" w:type="dxa"/>
          </w:tblCellMar>
        </w:tblPrEx>
        <w:trPr>
          <w:jc w:val="center"/>
        </w:trPr>
        <w:tc>
          <w:tcPr>
            <w:tcW w:w="1147" w:type="pct"/>
            <w:tcBorders>
              <w:top w:val="single" w:color="auto" w:sz="4" w:space="0"/>
              <w:left w:val="single" w:color="auto" w:sz="4" w:space="0"/>
            </w:tcBorders>
            <w:vAlign w:val="bottom"/>
          </w:tcPr>
          <w:p w14:paraId="49F5BA21">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S2</w:t>
            </w:r>
          </w:p>
        </w:tc>
        <w:tc>
          <w:tcPr>
            <w:tcW w:w="1352" w:type="pct"/>
            <w:tcBorders>
              <w:top w:val="single" w:color="auto" w:sz="4" w:space="0"/>
              <w:left w:val="single" w:color="auto" w:sz="4" w:space="0"/>
            </w:tcBorders>
            <w:vAlign w:val="bottom"/>
          </w:tcPr>
          <w:p w14:paraId="72F268C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tcBorders>
            <w:vAlign w:val="bottom"/>
          </w:tcPr>
          <w:p w14:paraId="58AA0CCE">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1254" w:type="pct"/>
            <w:tcBorders>
              <w:top w:val="single" w:color="auto" w:sz="4" w:space="0"/>
              <w:left w:val="single" w:color="auto" w:sz="4" w:space="0"/>
              <w:right w:val="single" w:color="auto" w:sz="4" w:space="0"/>
            </w:tcBorders>
            <w:vAlign w:val="bottom"/>
          </w:tcPr>
          <w:p w14:paraId="0EBA205E">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r>
      <w:tr w14:paraId="6751B53C">
        <w:tblPrEx>
          <w:tblCellMar>
            <w:top w:w="0" w:type="dxa"/>
            <w:left w:w="10" w:type="dxa"/>
            <w:bottom w:w="0" w:type="dxa"/>
            <w:right w:w="10" w:type="dxa"/>
          </w:tblCellMar>
        </w:tblPrEx>
        <w:trPr>
          <w:jc w:val="center"/>
        </w:trPr>
        <w:tc>
          <w:tcPr>
            <w:tcW w:w="1147" w:type="pct"/>
            <w:tcBorders>
              <w:top w:val="single" w:color="auto" w:sz="4" w:space="0"/>
              <w:left w:val="single" w:color="auto" w:sz="4" w:space="0"/>
              <w:bottom w:val="single" w:color="auto" w:sz="4" w:space="0"/>
            </w:tcBorders>
            <w:vAlign w:val="bottom"/>
          </w:tcPr>
          <w:p w14:paraId="482E08A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S3</w:t>
            </w:r>
          </w:p>
        </w:tc>
        <w:tc>
          <w:tcPr>
            <w:tcW w:w="1352" w:type="pct"/>
            <w:tcBorders>
              <w:top w:val="single" w:color="auto" w:sz="4" w:space="0"/>
              <w:left w:val="single" w:color="auto" w:sz="4" w:space="0"/>
              <w:bottom w:val="single" w:color="auto" w:sz="4" w:space="0"/>
            </w:tcBorders>
            <w:vAlign w:val="bottom"/>
          </w:tcPr>
          <w:p w14:paraId="290EAA9D">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bottom w:val="single" w:color="auto" w:sz="4" w:space="0"/>
            </w:tcBorders>
            <w:vAlign w:val="bottom"/>
          </w:tcPr>
          <w:p w14:paraId="32B4088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1254" w:type="pct"/>
            <w:tcBorders>
              <w:top w:val="single" w:color="auto" w:sz="4" w:space="0"/>
              <w:left w:val="single" w:color="auto" w:sz="4" w:space="0"/>
              <w:bottom w:val="single" w:color="auto" w:sz="4" w:space="0"/>
              <w:right w:val="single" w:color="auto" w:sz="4" w:space="0"/>
            </w:tcBorders>
            <w:vAlign w:val="bottom"/>
          </w:tcPr>
          <w:p w14:paraId="3FB6EA92">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r>
    </w:tbl>
    <w:p w14:paraId="44A2A29A">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地表水功能敏感性分区原则一览表</w:t>
      </w:r>
    </w:p>
    <w:tbl>
      <w:tblPr>
        <w:tblStyle w:val="76"/>
        <w:tblW w:w="5000" w:type="pct"/>
        <w:jc w:val="center"/>
        <w:tblLayout w:type="autofit"/>
        <w:tblCellMar>
          <w:top w:w="0" w:type="dxa"/>
          <w:left w:w="10" w:type="dxa"/>
          <w:bottom w:w="0" w:type="dxa"/>
          <w:right w:w="10" w:type="dxa"/>
        </w:tblCellMar>
      </w:tblPr>
      <w:tblGrid>
        <w:gridCol w:w="1066"/>
        <w:gridCol w:w="8366"/>
      </w:tblGrid>
      <w:tr w14:paraId="5D9839C0">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bottom"/>
          </w:tcPr>
          <w:p w14:paraId="2E44C5B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敏感性</w:t>
            </w:r>
          </w:p>
        </w:tc>
        <w:tc>
          <w:tcPr>
            <w:tcW w:w="4435" w:type="pct"/>
            <w:tcBorders>
              <w:top w:val="single" w:color="auto" w:sz="4" w:space="0"/>
              <w:left w:val="single" w:color="auto" w:sz="4" w:space="0"/>
              <w:right w:val="single" w:color="auto" w:sz="4" w:space="0"/>
            </w:tcBorders>
            <w:vAlign w:val="bottom"/>
          </w:tcPr>
          <w:p w14:paraId="1F60BF5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地表水环境敏感特征</w:t>
            </w:r>
          </w:p>
        </w:tc>
      </w:tr>
      <w:tr w14:paraId="1E2F34B5">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center"/>
          </w:tcPr>
          <w:p w14:paraId="33EC64D9">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敏感</w:t>
            </w:r>
            <w:r>
              <w:rPr>
                <w:color w:val="000000" w:themeColor="text1"/>
                <w:lang w:eastAsia="en-US" w:bidi="en-US"/>
                <w14:textFill>
                  <w14:solidFill>
                    <w14:schemeClr w14:val="tx1"/>
                  </w14:solidFill>
                </w14:textFill>
              </w:rPr>
              <w:t>F1</w:t>
            </w:r>
          </w:p>
        </w:tc>
        <w:tc>
          <w:tcPr>
            <w:tcW w:w="4435" w:type="pct"/>
            <w:tcBorders>
              <w:top w:val="single" w:color="auto" w:sz="4" w:space="0"/>
              <w:left w:val="single" w:color="auto" w:sz="4" w:space="0"/>
              <w:right w:val="single" w:color="auto" w:sz="4" w:space="0"/>
            </w:tcBorders>
            <w:vAlign w:val="bottom"/>
          </w:tcPr>
          <w:p w14:paraId="0EE5BA7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排放点进入地表水水域环境功能为II类及以上，或海水水质分类第一类；或以发生事故时，危险物质泄漏到水体的排放点算起，排放进入受纳河流最大流速时，</w:t>
            </w:r>
            <w:r>
              <w:rPr>
                <w:color w:val="000000" w:themeColor="text1"/>
                <w:lang w:bidi="en-US"/>
                <w14:textFill>
                  <w14:solidFill>
                    <w14:schemeClr w14:val="tx1"/>
                  </w14:solidFill>
                </w14:textFill>
              </w:rPr>
              <w:t>24h</w:t>
            </w:r>
            <w:r>
              <w:rPr>
                <w:color w:val="000000" w:themeColor="text1"/>
                <w:lang w:val="zh-CN" w:bidi="zh-CN"/>
                <w14:textFill>
                  <w14:solidFill>
                    <w14:schemeClr w14:val="tx1"/>
                  </w14:solidFill>
                </w14:textFill>
              </w:rPr>
              <w:t>流经范围内涉跨国界的</w:t>
            </w:r>
          </w:p>
        </w:tc>
      </w:tr>
      <w:tr w14:paraId="3195DF7F">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center"/>
          </w:tcPr>
          <w:p w14:paraId="1405D68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较敏感</w:t>
            </w:r>
            <w:r>
              <w:rPr>
                <w:color w:val="000000" w:themeColor="text1"/>
                <w:lang w:eastAsia="en-US" w:bidi="en-US"/>
                <w14:textFill>
                  <w14:solidFill>
                    <w14:schemeClr w14:val="tx1"/>
                  </w14:solidFill>
                </w14:textFill>
              </w:rPr>
              <w:t>F2</w:t>
            </w:r>
          </w:p>
        </w:tc>
        <w:tc>
          <w:tcPr>
            <w:tcW w:w="4435" w:type="pct"/>
            <w:tcBorders>
              <w:top w:val="single" w:color="auto" w:sz="4" w:space="0"/>
              <w:left w:val="single" w:color="auto" w:sz="4" w:space="0"/>
              <w:right w:val="single" w:color="auto" w:sz="4" w:space="0"/>
            </w:tcBorders>
            <w:vAlign w:val="bottom"/>
          </w:tcPr>
          <w:p w14:paraId="3F04AE0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排放点进入地表水水域环境功能为III类，或海水水质分类第二类；或以发生事故时，危险物质泄漏到水体的排放点算起，排放进入受纳河流最大流速时，24</w:t>
            </w:r>
            <w:r>
              <w:rPr>
                <w:color w:val="000000" w:themeColor="text1"/>
                <w:lang w:bidi="en-US"/>
                <w14:textFill>
                  <w14:solidFill>
                    <w14:schemeClr w14:val="tx1"/>
                  </w14:solidFill>
                </w14:textFill>
              </w:rPr>
              <w:t>h</w:t>
            </w:r>
            <w:r>
              <w:rPr>
                <w:color w:val="000000" w:themeColor="text1"/>
                <w:lang w:val="zh-CN" w:bidi="zh-CN"/>
                <w14:textFill>
                  <w14:solidFill>
                    <w14:schemeClr w14:val="tx1"/>
                  </w14:solidFill>
                </w14:textFill>
              </w:rPr>
              <w:t>流经范围内涉跨省界的</w:t>
            </w:r>
          </w:p>
        </w:tc>
      </w:tr>
      <w:tr w14:paraId="55492984">
        <w:tblPrEx>
          <w:tblCellMar>
            <w:top w:w="0" w:type="dxa"/>
            <w:left w:w="10" w:type="dxa"/>
            <w:bottom w:w="0" w:type="dxa"/>
            <w:right w:w="10" w:type="dxa"/>
          </w:tblCellMar>
        </w:tblPrEx>
        <w:trPr>
          <w:jc w:val="center"/>
        </w:trPr>
        <w:tc>
          <w:tcPr>
            <w:tcW w:w="565" w:type="pct"/>
            <w:tcBorders>
              <w:top w:val="single" w:color="auto" w:sz="4" w:space="0"/>
              <w:left w:val="single" w:color="auto" w:sz="4" w:space="0"/>
              <w:bottom w:val="single" w:color="auto" w:sz="4" w:space="0"/>
            </w:tcBorders>
            <w:vAlign w:val="bottom"/>
          </w:tcPr>
          <w:p w14:paraId="5DABDC82">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低敏感</w:t>
            </w:r>
            <w:r>
              <w:rPr>
                <w:color w:val="000000" w:themeColor="text1"/>
                <w:lang w:eastAsia="en-US" w:bidi="en-US"/>
                <w14:textFill>
                  <w14:solidFill>
                    <w14:schemeClr w14:val="tx1"/>
                  </w14:solidFill>
                </w14:textFill>
              </w:rPr>
              <w:t>F3</w:t>
            </w:r>
          </w:p>
        </w:tc>
        <w:tc>
          <w:tcPr>
            <w:tcW w:w="4435" w:type="pct"/>
            <w:tcBorders>
              <w:top w:val="single" w:color="auto" w:sz="4" w:space="0"/>
              <w:left w:val="single" w:color="auto" w:sz="4" w:space="0"/>
              <w:bottom w:val="single" w:color="auto" w:sz="4" w:space="0"/>
              <w:right w:val="single" w:color="auto" w:sz="4" w:space="0"/>
            </w:tcBorders>
            <w:vAlign w:val="bottom"/>
          </w:tcPr>
          <w:p w14:paraId="25374B1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上述地区之外的其他地区</w:t>
            </w:r>
          </w:p>
        </w:tc>
      </w:tr>
    </w:tbl>
    <w:p w14:paraId="72CA9D91">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环境敏感目标分级原则一览表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96"/>
        <w:gridCol w:w="8836"/>
      </w:tblGrid>
      <w:tr w14:paraId="5566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16" w:type="pct"/>
            <w:vAlign w:val="bottom"/>
          </w:tcPr>
          <w:p w14:paraId="620BC41A">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分级</w:t>
            </w:r>
          </w:p>
        </w:tc>
        <w:tc>
          <w:tcPr>
            <w:tcW w:w="4684" w:type="pct"/>
            <w:vAlign w:val="bottom"/>
          </w:tcPr>
          <w:p w14:paraId="786F002B">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环境敏感目标</w:t>
            </w:r>
          </w:p>
        </w:tc>
      </w:tr>
      <w:tr w14:paraId="4D08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16" w:type="pct"/>
            <w:vAlign w:val="center"/>
          </w:tcPr>
          <w:p w14:paraId="56549B8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S1</w:t>
            </w:r>
          </w:p>
        </w:tc>
        <w:tc>
          <w:tcPr>
            <w:tcW w:w="4684" w:type="pct"/>
            <w:vAlign w:val="bottom"/>
          </w:tcPr>
          <w:p w14:paraId="06DFA6A6">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发生事故时，危险物质泄漏到内陆水体的排放点下游（顺水流向）10</w:t>
            </w:r>
            <w:r>
              <w:rPr>
                <w:color w:val="000000" w:themeColor="text1"/>
                <w:lang w:bidi="en-US"/>
                <w14:textFill>
                  <w14:solidFill>
                    <w14:schemeClr w14:val="tx1"/>
                  </w14:solidFill>
                </w14:textFill>
              </w:rPr>
              <w:t>km</w:t>
            </w:r>
            <w:r>
              <w:rPr>
                <w:color w:val="000000" w:themeColor="text1"/>
                <w:lang w:val="zh-CN" w:bidi="zh-CN"/>
                <w14:textFill>
                  <w14:solidFill>
                    <w14:schemeClr w14:val="tx1"/>
                  </w14:solidFill>
                </w14:textFill>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4CF2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16" w:type="pct"/>
            <w:vAlign w:val="center"/>
          </w:tcPr>
          <w:p w14:paraId="66A85FE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S2</w:t>
            </w:r>
          </w:p>
        </w:tc>
        <w:tc>
          <w:tcPr>
            <w:tcW w:w="4684" w:type="pct"/>
            <w:vAlign w:val="bottom"/>
          </w:tcPr>
          <w:p w14:paraId="6473E3A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发生事故时，危险物质泄漏到内陆水体的排放点下游（顺水流向）10</w:t>
            </w:r>
            <w:r>
              <w:rPr>
                <w:color w:val="000000" w:themeColor="text1"/>
                <w:lang w:bidi="en-US"/>
                <w14:textFill>
                  <w14:solidFill>
                    <w14:schemeClr w14:val="tx1"/>
                  </w14:solidFill>
                </w14:textFill>
              </w:rPr>
              <w:t>km</w:t>
            </w:r>
            <w:r>
              <w:rPr>
                <w:color w:val="000000" w:themeColor="text1"/>
                <w:lang w:val="zh-CN" w:bidi="zh-CN"/>
                <w14:textFill>
                  <w14:solidFill>
                    <w14:schemeClr w14:val="tx1"/>
                  </w14:solidFill>
                </w14:textFill>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3CA4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16" w:type="pct"/>
            <w:vAlign w:val="center"/>
          </w:tcPr>
          <w:p w14:paraId="090C42E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S3</w:t>
            </w:r>
          </w:p>
        </w:tc>
        <w:tc>
          <w:tcPr>
            <w:tcW w:w="4684" w:type="pct"/>
            <w:vAlign w:val="bottom"/>
          </w:tcPr>
          <w:p w14:paraId="366E32F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排放点下游（顺水流向）10</w:t>
            </w:r>
            <w:r>
              <w:rPr>
                <w:color w:val="000000" w:themeColor="text1"/>
                <w:lang w:bidi="en-US"/>
                <w14:textFill>
                  <w14:solidFill>
                    <w14:schemeClr w14:val="tx1"/>
                  </w14:solidFill>
                </w14:textFill>
              </w:rPr>
              <w:t>km</w:t>
            </w:r>
            <w:r>
              <w:rPr>
                <w:color w:val="000000" w:themeColor="text1"/>
                <w:lang w:val="zh-CN" w:bidi="zh-CN"/>
                <w14:textFill>
                  <w14:solidFill>
                    <w14:schemeClr w14:val="tx1"/>
                  </w14:solidFill>
                </w14:textFill>
              </w:rPr>
              <w:t>范围、近岸海域一个潮周期水质点可能达到的最大水平距离的两倍范围内无上述类型1和类型2包括的敏感保护目标</w:t>
            </w:r>
          </w:p>
        </w:tc>
      </w:tr>
    </w:tbl>
    <w:p w14:paraId="1FB5136D">
      <w:pPr>
        <w:ind w:firstLine="480"/>
        <w:rPr>
          <w:color w:val="000000" w:themeColor="text1"/>
          <w14:textFill>
            <w14:solidFill>
              <w14:schemeClr w14:val="tx1"/>
            </w14:solidFill>
          </w14:textFill>
        </w:rPr>
      </w:pPr>
      <w:r>
        <w:rPr>
          <w:color w:val="000000" w:themeColor="text1"/>
          <w14:textFill>
            <w14:solidFill>
              <w14:schemeClr w14:val="tx1"/>
            </w14:solidFill>
          </w14:textFill>
        </w:rPr>
        <w:t>根据项目工程分析，本项目发生事故时含泄漏危险物质的事故水输送到事故水池，不排入地表水体，距离地表水体较远。因此，本项目不考虑风险事故泄露危险物质对地表水体的影响。</w:t>
      </w:r>
    </w:p>
    <w:p w14:paraId="00B6F59F">
      <w:pPr>
        <w:ind w:firstLine="480"/>
        <w:rPr>
          <w:color w:val="000000" w:themeColor="text1"/>
          <w14:textFill>
            <w14:solidFill>
              <w14:schemeClr w14:val="tx1"/>
            </w14:solidFill>
          </w14:textFill>
        </w:rPr>
      </w:pPr>
      <w:r>
        <w:rPr>
          <w:color w:val="000000" w:themeColor="text1"/>
          <w14:textFill>
            <w14:solidFill>
              <w14:schemeClr w14:val="tx1"/>
            </w14:solidFill>
          </w14:textFill>
        </w:rPr>
        <w:t>（3）地下水环境敏感程度的确定</w:t>
      </w:r>
    </w:p>
    <w:p w14:paraId="05F99102">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附录</w:t>
      </w:r>
      <w:r>
        <w:rPr>
          <w:color w:val="000000" w:themeColor="text1"/>
          <w:lang w:bidi="en-US"/>
          <w14:textFill>
            <w14:solidFill>
              <w14:schemeClr w14:val="tx1"/>
            </w14:solidFill>
          </w14:textFill>
        </w:rPr>
        <w:t>D</w:t>
      </w:r>
      <w:r>
        <w:rPr>
          <w:color w:val="000000" w:themeColor="text1"/>
          <w14:textFill>
            <w14:solidFill>
              <w14:schemeClr w14:val="tx1"/>
            </w14:solidFill>
          </w14:textFill>
        </w:rPr>
        <w:t>的规定：项目所在区域地下水环境敏感程度依据地下水功能敏感性与包气带防污性能确定。区域地下水环境敏感程度共分为三种类型，</w:t>
      </w:r>
      <w:r>
        <w:rPr>
          <w:color w:val="000000" w:themeColor="text1"/>
          <w:lang w:bidi="en-US"/>
          <w14:textFill>
            <w14:solidFill>
              <w14:schemeClr w14:val="tx1"/>
            </w14:solidFill>
          </w14:textFill>
        </w:rPr>
        <w:t>E1</w:t>
      </w:r>
      <w:r>
        <w:rPr>
          <w:color w:val="000000" w:themeColor="text1"/>
          <w14:textFill>
            <w14:solidFill>
              <w14:schemeClr w14:val="tx1"/>
            </w14:solidFill>
          </w14:textFill>
        </w:rPr>
        <w:t>为环境高度敏感区，</w:t>
      </w:r>
      <w:r>
        <w:rPr>
          <w:color w:val="000000" w:themeColor="text1"/>
          <w:lang w:bidi="en-US"/>
          <w14:textFill>
            <w14:solidFill>
              <w14:schemeClr w14:val="tx1"/>
            </w14:solidFill>
          </w14:textFill>
        </w:rPr>
        <w:t>E2</w:t>
      </w:r>
      <w:r>
        <w:rPr>
          <w:color w:val="000000" w:themeColor="text1"/>
          <w14:textFill>
            <w14:solidFill>
              <w14:schemeClr w14:val="tx1"/>
            </w14:solidFill>
          </w14:textFill>
        </w:rPr>
        <w:t>为环境中度敏感区，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为环境低度敏感区。当同一建设项目涉及两个</w:t>
      </w:r>
      <w:r>
        <w:rPr>
          <w:color w:val="000000" w:themeColor="text1"/>
          <w:lang w:bidi="en-US"/>
          <w14:textFill>
            <w14:solidFill>
              <w14:schemeClr w14:val="tx1"/>
            </w14:solidFill>
          </w14:textFill>
        </w:rPr>
        <w:t>G</w:t>
      </w:r>
      <w:r>
        <w:rPr>
          <w:color w:val="000000" w:themeColor="text1"/>
          <w14:textFill>
            <w14:solidFill>
              <w14:schemeClr w14:val="tx1"/>
            </w14:solidFill>
          </w14:textFill>
        </w:rPr>
        <w:t>分区或</w:t>
      </w:r>
      <w:r>
        <w:rPr>
          <w:color w:val="000000" w:themeColor="text1"/>
          <w:lang w:bidi="en-US"/>
          <w14:textFill>
            <w14:solidFill>
              <w14:schemeClr w14:val="tx1"/>
            </w14:solidFill>
          </w14:textFill>
        </w:rPr>
        <w:t>D</w:t>
      </w:r>
      <w:r>
        <w:rPr>
          <w:color w:val="000000" w:themeColor="text1"/>
          <w14:textFill>
            <w14:solidFill>
              <w14:schemeClr w14:val="tx1"/>
            </w14:solidFill>
          </w14:textFill>
        </w:rPr>
        <w:t>分级及以上时，取相对值。</w:t>
      </w:r>
    </w:p>
    <w:p w14:paraId="523CAEB4">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地下水环境敏感程度分级原则一览表</w:t>
      </w:r>
    </w:p>
    <w:tbl>
      <w:tblPr>
        <w:tblStyle w:val="76"/>
        <w:tblW w:w="5000" w:type="pct"/>
        <w:jc w:val="center"/>
        <w:tblLayout w:type="autofit"/>
        <w:tblCellMar>
          <w:top w:w="0" w:type="dxa"/>
          <w:left w:w="10" w:type="dxa"/>
          <w:bottom w:w="0" w:type="dxa"/>
          <w:right w:w="10" w:type="dxa"/>
        </w:tblCellMar>
      </w:tblPr>
      <w:tblGrid>
        <w:gridCol w:w="2164"/>
        <w:gridCol w:w="2550"/>
        <w:gridCol w:w="2354"/>
        <w:gridCol w:w="2364"/>
      </w:tblGrid>
      <w:tr w14:paraId="64D47F4D">
        <w:tblPrEx>
          <w:tblCellMar>
            <w:top w:w="0" w:type="dxa"/>
            <w:left w:w="10" w:type="dxa"/>
            <w:bottom w:w="0" w:type="dxa"/>
            <w:right w:w="10" w:type="dxa"/>
          </w:tblCellMar>
        </w:tblPrEx>
        <w:trPr>
          <w:jc w:val="center"/>
        </w:trPr>
        <w:tc>
          <w:tcPr>
            <w:tcW w:w="1147" w:type="pct"/>
            <w:vMerge w:val="restart"/>
            <w:tcBorders>
              <w:top w:val="single" w:color="auto" w:sz="4" w:space="0"/>
              <w:left w:val="single" w:color="auto" w:sz="4" w:space="0"/>
            </w:tcBorders>
            <w:vAlign w:val="center"/>
          </w:tcPr>
          <w:p w14:paraId="7D06FE7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包气带防污性能</w:t>
            </w:r>
          </w:p>
        </w:tc>
        <w:tc>
          <w:tcPr>
            <w:tcW w:w="3853" w:type="pct"/>
            <w:gridSpan w:val="3"/>
            <w:tcBorders>
              <w:top w:val="single" w:color="auto" w:sz="4" w:space="0"/>
              <w:left w:val="single" w:color="auto" w:sz="4" w:space="0"/>
              <w:right w:val="single" w:color="auto" w:sz="4" w:space="0"/>
            </w:tcBorders>
            <w:vAlign w:val="bottom"/>
          </w:tcPr>
          <w:p w14:paraId="105D42B3">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地下水功能敏感性</w:t>
            </w:r>
          </w:p>
        </w:tc>
      </w:tr>
      <w:tr w14:paraId="56BF79ED">
        <w:tblPrEx>
          <w:tblCellMar>
            <w:top w:w="0" w:type="dxa"/>
            <w:left w:w="10" w:type="dxa"/>
            <w:bottom w:w="0" w:type="dxa"/>
            <w:right w:w="10" w:type="dxa"/>
          </w:tblCellMar>
        </w:tblPrEx>
        <w:trPr>
          <w:jc w:val="center"/>
        </w:trPr>
        <w:tc>
          <w:tcPr>
            <w:tcW w:w="1147" w:type="pct"/>
            <w:vMerge w:val="continue"/>
            <w:tcBorders>
              <w:left w:val="single" w:color="auto" w:sz="4" w:space="0"/>
            </w:tcBorders>
            <w:vAlign w:val="center"/>
          </w:tcPr>
          <w:p w14:paraId="4724A89B">
            <w:pPr>
              <w:pStyle w:val="109"/>
              <w:rPr>
                <w:color w:val="000000" w:themeColor="text1"/>
                <w14:textFill>
                  <w14:solidFill>
                    <w14:schemeClr w14:val="tx1"/>
                  </w14:solidFill>
                </w14:textFill>
              </w:rPr>
            </w:pPr>
          </w:p>
        </w:tc>
        <w:tc>
          <w:tcPr>
            <w:tcW w:w="1352" w:type="pct"/>
            <w:tcBorders>
              <w:top w:val="single" w:color="auto" w:sz="4" w:space="0"/>
              <w:left w:val="single" w:color="auto" w:sz="4" w:space="0"/>
            </w:tcBorders>
            <w:vAlign w:val="bottom"/>
          </w:tcPr>
          <w:p w14:paraId="646510E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G1</w:t>
            </w:r>
          </w:p>
        </w:tc>
        <w:tc>
          <w:tcPr>
            <w:tcW w:w="1248" w:type="pct"/>
            <w:tcBorders>
              <w:top w:val="single" w:color="auto" w:sz="4" w:space="0"/>
              <w:left w:val="single" w:color="auto" w:sz="4" w:space="0"/>
            </w:tcBorders>
            <w:vAlign w:val="bottom"/>
          </w:tcPr>
          <w:p w14:paraId="144682E1">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G2</w:t>
            </w:r>
          </w:p>
        </w:tc>
        <w:tc>
          <w:tcPr>
            <w:tcW w:w="1254" w:type="pct"/>
            <w:tcBorders>
              <w:top w:val="single" w:color="auto" w:sz="4" w:space="0"/>
              <w:left w:val="single" w:color="auto" w:sz="4" w:space="0"/>
              <w:right w:val="single" w:color="auto" w:sz="4" w:space="0"/>
            </w:tcBorders>
            <w:vAlign w:val="bottom"/>
          </w:tcPr>
          <w:p w14:paraId="7017A91C">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G3</w:t>
            </w:r>
          </w:p>
        </w:tc>
      </w:tr>
      <w:tr w14:paraId="0B6D7143">
        <w:tblPrEx>
          <w:tblCellMar>
            <w:top w:w="0" w:type="dxa"/>
            <w:left w:w="10" w:type="dxa"/>
            <w:bottom w:w="0" w:type="dxa"/>
            <w:right w:w="10" w:type="dxa"/>
          </w:tblCellMar>
        </w:tblPrEx>
        <w:trPr>
          <w:jc w:val="center"/>
        </w:trPr>
        <w:tc>
          <w:tcPr>
            <w:tcW w:w="1147" w:type="pct"/>
            <w:tcBorders>
              <w:top w:val="single" w:color="auto" w:sz="4" w:space="0"/>
              <w:left w:val="single" w:color="auto" w:sz="4" w:space="0"/>
            </w:tcBorders>
            <w:vAlign w:val="bottom"/>
          </w:tcPr>
          <w:p w14:paraId="0AB5628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D1</w:t>
            </w:r>
          </w:p>
        </w:tc>
        <w:tc>
          <w:tcPr>
            <w:tcW w:w="1352" w:type="pct"/>
            <w:tcBorders>
              <w:top w:val="single" w:color="auto" w:sz="4" w:space="0"/>
              <w:left w:val="single" w:color="auto" w:sz="4" w:space="0"/>
            </w:tcBorders>
            <w:vAlign w:val="bottom"/>
          </w:tcPr>
          <w:p w14:paraId="6B9177F5">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tcBorders>
            <w:vAlign w:val="bottom"/>
          </w:tcPr>
          <w:p w14:paraId="46B3E492">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54" w:type="pct"/>
            <w:tcBorders>
              <w:top w:val="single" w:color="auto" w:sz="4" w:space="0"/>
              <w:left w:val="single" w:color="auto" w:sz="4" w:space="0"/>
              <w:right w:val="single" w:color="auto" w:sz="4" w:space="0"/>
            </w:tcBorders>
            <w:vAlign w:val="bottom"/>
          </w:tcPr>
          <w:p w14:paraId="7E54848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r>
      <w:tr w14:paraId="6599031D">
        <w:tblPrEx>
          <w:tblCellMar>
            <w:top w:w="0" w:type="dxa"/>
            <w:left w:w="10" w:type="dxa"/>
            <w:bottom w:w="0" w:type="dxa"/>
            <w:right w:w="10" w:type="dxa"/>
          </w:tblCellMar>
        </w:tblPrEx>
        <w:trPr>
          <w:jc w:val="center"/>
        </w:trPr>
        <w:tc>
          <w:tcPr>
            <w:tcW w:w="1147" w:type="pct"/>
            <w:tcBorders>
              <w:top w:val="single" w:color="auto" w:sz="4" w:space="0"/>
              <w:left w:val="single" w:color="auto" w:sz="4" w:space="0"/>
            </w:tcBorders>
            <w:vAlign w:val="bottom"/>
          </w:tcPr>
          <w:p w14:paraId="009EC3A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D2</w:t>
            </w:r>
          </w:p>
        </w:tc>
        <w:tc>
          <w:tcPr>
            <w:tcW w:w="1352" w:type="pct"/>
            <w:tcBorders>
              <w:top w:val="single" w:color="auto" w:sz="4" w:space="0"/>
              <w:left w:val="single" w:color="auto" w:sz="4" w:space="0"/>
            </w:tcBorders>
            <w:vAlign w:val="bottom"/>
          </w:tcPr>
          <w:p w14:paraId="65C39203">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tcBorders>
            <w:vAlign w:val="bottom"/>
          </w:tcPr>
          <w:p w14:paraId="1AC5627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1254" w:type="pct"/>
            <w:tcBorders>
              <w:top w:val="single" w:color="auto" w:sz="4" w:space="0"/>
              <w:left w:val="single" w:color="auto" w:sz="4" w:space="0"/>
              <w:right w:val="single" w:color="auto" w:sz="4" w:space="0"/>
            </w:tcBorders>
            <w:vAlign w:val="bottom"/>
          </w:tcPr>
          <w:p w14:paraId="215F71A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r>
      <w:tr w14:paraId="3DCB7E97">
        <w:tblPrEx>
          <w:tblCellMar>
            <w:top w:w="0" w:type="dxa"/>
            <w:left w:w="10" w:type="dxa"/>
            <w:bottom w:w="0" w:type="dxa"/>
            <w:right w:w="10" w:type="dxa"/>
          </w:tblCellMar>
        </w:tblPrEx>
        <w:trPr>
          <w:jc w:val="center"/>
        </w:trPr>
        <w:tc>
          <w:tcPr>
            <w:tcW w:w="1147" w:type="pct"/>
            <w:tcBorders>
              <w:top w:val="single" w:color="auto" w:sz="4" w:space="0"/>
              <w:left w:val="single" w:color="auto" w:sz="4" w:space="0"/>
              <w:bottom w:val="single" w:color="auto" w:sz="4" w:space="0"/>
            </w:tcBorders>
            <w:vAlign w:val="bottom"/>
          </w:tcPr>
          <w:p w14:paraId="3A1966B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D3</w:t>
            </w:r>
          </w:p>
        </w:tc>
        <w:tc>
          <w:tcPr>
            <w:tcW w:w="1352" w:type="pct"/>
            <w:tcBorders>
              <w:top w:val="single" w:color="auto" w:sz="4" w:space="0"/>
              <w:left w:val="single" w:color="auto" w:sz="4" w:space="0"/>
              <w:bottom w:val="single" w:color="auto" w:sz="4" w:space="0"/>
            </w:tcBorders>
            <w:vAlign w:val="bottom"/>
          </w:tcPr>
          <w:p w14:paraId="7B8786D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1248" w:type="pct"/>
            <w:tcBorders>
              <w:top w:val="single" w:color="auto" w:sz="4" w:space="0"/>
              <w:left w:val="single" w:color="auto" w:sz="4" w:space="0"/>
              <w:bottom w:val="single" w:color="auto" w:sz="4" w:space="0"/>
            </w:tcBorders>
            <w:vAlign w:val="bottom"/>
          </w:tcPr>
          <w:p w14:paraId="194D2E6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c>
          <w:tcPr>
            <w:tcW w:w="1254" w:type="pct"/>
            <w:tcBorders>
              <w:top w:val="single" w:color="auto" w:sz="4" w:space="0"/>
              <w:left w:val="single" w:color="auto" w:sz="4" w:space="0"/>
              <w:bottom w:val="single" w:color="auto" w:sz="4" w:space="0"/>
              <w:right w:val="single" w:color="auto" w:sz="4" w:space="0"/>
            </w:tcBorders>
            <w:vAlign w:val="bottom"/>
          </w:tcPr>
          <w:p w14:paraId="40F97A0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r>
    </w:tbl>
    <w:p w14:paraId="42C44018">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地下水功能敏感性分区原则一览表</w:t>
      </w:r>
    </w:p>
    <w:tbl>
      <w:tblPr>
        <w:tblStyle w:val="76"/>
        <w:tblW w:w="5000" w:type="pct"/>
        <w:jc w:val="center"/>
        <w:tblLayout w:type="autofit"/>
        <w:tblCellMar>
          <w:top w:w="0" w:type="dxa"/>
          <w:left w:w="10" w:type="dxa"/>
          <w:bottom w:w="0" w:type="dxa"/>
          <w:right w:w="10" w:type="dxa"/>
        </w:tblCellMar>
      </w:tblPr>
      <w:tblGrid>
        <w:gridCol w:w="975"/>
        <w:gridCol w:w="8457"/>
      </w:tblGrid>
      <w:tr w14:paraId="06E10D89">
        <w:tblPrEx>
          <w:tblCellMar>
            <w:top w:w="0" w:type="dxa"/>
            <w:left w:w="10" w:type="dxa"/>
            <w:bottom w:w="0" w:type="dxa"/>
            <w:right w:w="10" w:type="dxa"/>
          </w:tblCellMar>
        </w:tblPrEx>
        <w:trPr>
          <w:jc w:val="center"/>
        </w:trPr>
        <w:tc>
          <w:tcPr>
            <w:tcW w:w="517" w:type="pct"/>
            <w:tcBorders>
              <w:top w:val="single" w:color="auto" w:sz="4" w:space="0"/>
              <w:left w:val="single" w:color="auto" w:sz="4" w:space="0"/>
            </w:tcBorders>
            <w:vAlign w:val="bottom"/>
          </w:tcPr>
          <w:p w14:paraId="7DDBBF5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分级</w:t>
            </w:r>
          </w:p>
        </w:tc>
        <w:tc>
          <w:tcPr>
            <w:tcW w:w="4483" w:type="pct"/>
            <w:tcBorders>
              <w:top w:val="single" w:color="auto" w:sz="4" w:space="0"/>
              <w:left w:val="single" w:color="auto" w:sz="4" w:space="0"/>
              <w:right w:val="single" w:color="auto" w:sz="4" w:space="0"/>
            </w:tcBorders>
            <w:vAlign w:val="bottom"/>
          </w:tcPr>
          <w:p w14:paraId="7249738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地下水环境敏感特征</w:t>
            </w:r>
          </w:p>
        </w:tc>
      </w:tr>
      <w:tr w14:paraId="32F4B27D">
        <w:tblPrEx>
          <w:tblCellMar>
            <w:top w:w="0" w:type="dxa"/>
            <w:left w:w="10" w:type="dxa"/>
            <w:bottom w:w="0" w:type="dxa"/>
            <w:right w:w="10" w:type="dxa"/>
          </w:tblCellMar>
        </w:tblPrEx>
        <w:trPr>
          <w:jc w:val="center"/>
        </w:trPr>
        <w:tc>
          <w:tcPr>
            <w:tcW w:w="517" w:type="pct"/>
            <w:tcBorders>
              <w:top w:val="single" w:color="auto" w:sz="4" w:space="0"/>
              <w:left w:val="single" w:color="auto" w:sz="4" w:space="0"/>
            </w:tcBorders>
            <w:vAlign w:val="center"/>
          </w:tcPr>
          <w:p w14:paraId="02D0E30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敏感</w:t>
            </w:r>
            <w:r>
              <w:rPr>
                <w:color w:val="000000" w:themeColor="text1"/>
                <w:lang w:eastAsia="en-US" w:bidi="en-US"/>
                <w14:textFill>
                  <w14:solidFill>
                    <w14:schemeClr w14:val="tx1"/>
                  </w14:solidFill>
                </w14:textFill>
              </w:rPr>
              <w:t>G1</w:t>
            </w:r>
          </w:p>
        </w:tc>
        <w:tc>
          <w:tcPr>
            <w:tcW w:w="4483" w:type="pct"/>
            <w:tcBorders>
              <w:top w:val="single" w:color="auto" w:sz="4" w:space="0"/>
              <w:left w:val="single" w:color="auto" w:sz="4" w:space="0"/>
              <w:right w:val="single" w:color="auto" w:sz="4" w:space="0"/>
            </w:tcBorders>
            <w:vAlign w:val="bottom"/>
          </w:tcPr>
          <w:p w14:paraId="22A1C44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208F3749">
        <w:tblPrEx>
          <w:tblCellMar>
            <w:top w:w="0" w:type="dxa"/>
            <w:left w:w="10" w:type="dxa"/>
            <w:bottom w:w="0" w:type="dxa"/>
            <w:right w:w="10" w:type="dxa"/>
          </w:tblCellMar>
        </w:tblPrEx>
        <w:trPr>
          <w:jc w:val="center"/>
        </w:trPr>
        <w:tc>
          <w:tcPr>
            <w:tcW w:w="517" w:type="pct"/>
            <w:tcBorders>
              <w:top w:val="single" w:color="auto" w:sz="4" w:space="0"/>
              <w:left w:val="single" w:color="auto" w:sz="4" w:space="0"/>
            </w:tcBorders>
            <w:vAlign w:val="center"/>
          </w:tcPr>
          <w:p w14:paraId="70704132">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较敏感</w:t>
            </w:r>
            <w:r>
              <w:rPr>
                <w:color w:val="000000" w:themeColor="text1"/>
                <w:lang w:eastAsia="en-US" w:bidi="en-US"/>
                <w14:textFill>
                  <w14:solidFill>
                    <w14:schemeClr w14:val="tx1"/>
                  </w14:solidFill>
                </w14:textFill>
              </w:rPr>
              <w:t>G2</w:t>
            </w:r>
          </w:p>
        </w:tc>
        <w:tc>
          <w:tcPr>
            <w:tcW w:w="4483" w:type="pct"/>
            <w:tcBorders>
              <w:top w:val="single" w:color="auto" w:sz="4" w:space="0"/>
              <w:left w:val="single" w:color="auto" w:sz="4" w:space="0"/>
              <w:right w:val="single" w:color="auto" w:sz="4" w:space="0"/>
            </w:tcBorders>
            <w:vAlign w:val="bottom"/>
          </w:tcPr>
          <w:p w14:paraId="1D82089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p>
        </w:tc>
      </w:tr>
      <w:tr w14:paraId="7B9C4ED2">
        <w:tblPrEx>
          <w:tblCellMar>
            <w:top w:w="0" w:type="dxa"/>
            <w:left w:w="10" w:type="dxa"/>
            <w:bottom w:w="0" w:type="dxa"/>
            <w:right w:w="10" w:type="dxa"/>
          </w:tblCellMar>
        </w:tblPrEx>
        <w:trPr>
          <w:jc w:val="center"/>
        </w:trPr>
        <w:tc>
          <w:tcPr>
            <w:tcW w:w="517" w:type="pct"/>
            <w:tcBorders>
              <w:top w:val="single" w:color="auto" w:sz="4" w:space="0"/>
              <w:left w:val="single" w:color="auto" w:sz="4" w:space="0"/>
            </w:tcBorders>
            <w:vAlign w:val="bottom"/>
          </w:tcPr>
          <w:p w14:paraId="31489D2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不敏感</w:t>
            </w:r>
            <w:r>
              <w:rPr>
                <w:color w:val="000000" w:themeColor="text1"/>
                <w:lang w:eastAsia="en-US" w:bidi="en-US"/>
                <w14:textFill>
                  <w14:solidFill>
                    <w14:schemeClr w14:val="tx1"/>
                  </w14:solidFill>
                </w14:textFill>
              </w:rPr>
              <w:t>G3</w:t>
            </w:r>
          </w:p>
        </w:tc>
        <w:tc>
          <w:tcPr>
            <w:tcW w:w="4483" w:type="pct"/>
            <w:tcBorders>
              <w:top w:val="single" w:color="auto" w:sz="4" w:space="0"/>
              <w:left w:val="single" w:color="auto" w:sz="4" w:space="0"/>
              <w:right w:val="single" w:color="auto" w:sz="4" w:space="0"/>
            </w:tcBorders>
            <w:vAlign w:val="bottom"/>
          </w:tcPr>
          <w:p w14:paraId="49C0918B">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上述地区之外的其他地区</w:t>
            </w:r>
          </w:p>
        </w:tc>
      </w:tr>
      <w:tr w14:paraId="3641ADBB">
        <w:tblPrEx>
          <w:tblCellMar>
            <w:top w:w="0" w:type="dxa"/>
            <w:left w:w="10" w:type="dxa"/>
            <w:bottom w:w="0" w:type="dxa"/>
            <w:right w:w="10"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cBorders>
            <w:vAlign w:val="bottom"/>
          </w:tcPr>
          <w:p w14:paraId="3688B983">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环境敏感区”是指《建设项目环境影响评价分类管理名录》中所界定的涉及地下水的环境敏感区</w:t>
            </w:r>
          </w:p>
        </w:tc>
      </w:tr>
    </w:tbl>
    <w:p w14:paraId="10B2C24B">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包气带防污性能分级原则一览表</w:t>
      </w:r>
    </w:p>
    <w:tbl>
      <w:tblPr>
        <w:tblStyle w:val="76"/>
        <w:tblW w:w="5000" w:type="pct"/>
        <w:jc w:val="center"/>
        <w:tblLayout w:type="autofit"/>
        <w:tblCellMar>
          <w:top w:w="0" w:type="dxa"/>
          <w:left w:w="10" w:type="dxa"/>
          <w:bottom w:w="0" w:type="dxa"/>
          <w:right w:w="10" w:type="dxa"/>
        </w:tblCellMar>
      </w:tblPr>
      <w:tblGrid>
        <w:gridCol w:w="1066"/>
        <w:gridCol w:w="8366"/>
      </w:tblGrid>
      <w:tr w14:paraId="00135139">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bottom"/>
          </w:tcPr>
          <w:p w14:paraId="34D4652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分级</w:t>
            </w:r>
          </w:p>
        </w:tc>
        <w:tc>
          <w:tcPr>
            <w:tcW w:w="4435" w:type="pct"/>
            <w:tcBorders>
              <w:top w:val="single" w:color="auto" w:sz="4" w:space="0"/>
              <w:left w:val="single" w:color="auto" w:sz="4" w:space="0"/>
              <w:right w:val="single" w:color="auto" w:sz="4" w:space="0"/>
            </w:tcBorders>
            <w:vAlign w:val="bottom"/>
          </w:tcPr>
          <w:p w14:paraId="533A5673">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包气带岩土的渗透性能</w:t>
            </w:r>
          </w:p>
        </w:tc>
      </w:tr>
      <w:tr w14:paraId="599154DA">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bottom"/>
          </w:tcPr>
          <w:p w14:paraId="001FAA37">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D3</w:t>
            </w:r>
          </w:p>
        </w:tc>
        <w:tc>
          <w:tcPr>
            <w:tcW w:w="4435" w:type="pct"/>
            <w:tcBorders>
              <w:top w:val="single" w:color="auto" w:sz="4" w:space="0"/>
              <w:left w:val="single" w:color="auto" w:sz="4" w:space="0"/>
              <w:right w:val="single" w:color="auto" w:sz="4" w:space="0"/>
            </w:tcBorders>
            <w:vAlign w:val="bottom"/>
          </w:tcPr>
          <w:p w14:paraId="59D19D6D">
            <w:pPr>
              <w:pStyle w:val="109"/>
              <w:rPr>
                <w:color w:val="000000" w:themeColor="text1"/>
                <w14:textFill>
                  <w14:solidFill>
                    <w14:schemeClr w14:val="tx1"/>
                  </w14:solidFill>
                </w14:textFill>
              </w:rPr>
            </w:pPr>
            <w:r>
              <w:rPr>
                <w:color w:val="000000" w:themeColor="text1"/>
                <w:lang w:bidi="en-US"/>
                <w14:textFill>
                  <w14:solidFill>
                    <w14:schemeClr w14:val="tx1"/>
                  </w14:solidFill>
                </w14:textFill>
              </w:rPr>
              <w:t>Mb≥1.0m，K≤1.0×10</w:t>
            </w:r>
            <w:r>
              <w:rPr>
                <w:color w:val="000000" w:themeColor="text1"/>
                <w:vertAlign w:val="superscript"/>
                <w:lang w:bidi="en-US"/>
                <w14:textFill>
                  <w14:solidFill>
                    <w14:schemeClr w14:val="tx1"/>
                  </w14:solidFill>
                </w14:textFill>
              </w:rPr>
              <w:t>-6</w:t>
            </w:r>
            <w:r>
              <w:rPr>
                <w:color w:val="000000" w:themeColor="text1"/>
                <w:lang w:bidi="en-US"/>
                <w14:textFill>
                  <w14:solidFill>
                    <w14:schemeClr w14:val="tx1"/>
                  </w14:solidFill>
                </w14:textFill>
              </w:rPr>
              <w:t>cm/s，且分布连续、稳定</w:t>
            </w:r>
          </w:p>
        </w:tc>
      </w:tr>
      <w:tr w14:paraId="67388512">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center"/>
          </w:tcPr>
          <w:p w14:paraId="37711673">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D2</w:t>
            </w:r>
          </w:p>
        </w:tc>
        <w:tc>
          <w:tcPr>
            <w:tcW w:w="4435" w:type="pct"/>
            <w:tcBorders>
              <w:top w:val="single" w:color="auto" w:sz="4" w:space="0"/>
              <w:left w:val="single" w:color="auto" w:sz="4" w:space="0"/>
              <w:right w:val="single" w:color="auto" w:sz="4" w:space="0"/>
            </w:tcBorders>
            <w:vAlign w:val="bottom"/>
          </w:tcPr>
          <w:p w14:paraId="0876F8CC">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0.5m≤Mb&lt;1.0m，K≤1.0×10</w:t>
            </w:r>
            <w:r>
              <w:rPr>
                <w:color w:val="000000" w:themeColor="text1"/>
                <w:vertAlign w:val="superscript"/>
                <w:lang w:bidi="en-US"/>
                <w14:textFill>
                  <w14:solidFill>
                    <w14:schemeClr w14:val="tx1"/>
                  </w14:solidFill>
                </w14:textFill>
              </w:rPr>
              <w:t>-6</w:t>
            </w:r>
            <w:r>
              <w:rPr>
                <w:color w:val="000000" w:themeColor="text1"/>
                <w:lang w:bidi="en-US"/>
                <w14:textFill>
                  <w14:solidFill>
                    <w14:schemeClr w14:val="tx1"/>
                  </w14:solidFill>
                </w14:textFill>
              </w:rPr>
              <w:t>cm/s，且分布连续、稳定</w:t>
            </w:r>
          </w:p>
          <w:p w14:paraId="5733545E">
            <w:pPr>
              <w:pStyle w:val="109"/>
              <w:rPr>
                <w:color w:val="000000" w:themeColor="text1"/>
                <w14:textFill>
                  <w14:solidFill>
                    <w14:schemeClr w14:val="tx1"/>
                  </w14:solidFill>
                </w14:textFill>
              </w:rPr>
            </w:pPr>
            <w:r>
              <w:rPr>
                <w:color w:val="000000" w:themeColor="text1"/>
                <w:lang w:bidi="en-US"/>
                <w14:textFill>
                  <w14:solidFill>
                    <w14:schemeClr w14:val="tx1"/>
                  </w14:solidFill>
                </w14:textFill>
              </w:rPr>
              <w:t>Mb≥1.0m，1.0×10</w:t>
            </w:r>
            <w:r>
              <w:rPr>
                <w:color w:val="000000" w:themeColor="text1"/>
                <w:vertAlign w:val="superscript"/>
                <w:lang w:bidi="en-US"/>
                <w14:textFill>
                  <w14:solidFill>
                    <w14:schemeClr w14:val="tx1"/>
                  </w14:solidFill>
                </w14:textFill>
              </w:rPr>
              <w:t>-6</w:t>
            </w:r>
            <w:r>
              <w:rPr>
                <w:color w:val="000000" w:themeColor="text1"/>
                <w:lang w:bidi="en-US"/>
                <w14:textFill>
                  <w14:solidFill>
                    <w14:schemeClr w14:val="tx1"/>
                  </w14:solidFill>
                </w14:textFill>
              </w:rPr>
              <w:t>cm/s＜K≤1.0×10</w:t>
            </w:r>
            <w:r>
              <w:rPr>
                <w:color w:val="000000" w:themeColor="text1"/>
                <w:vertAlign w:val="superscript"/>
                <w:lang w:bidi="en-US"/>
                <w14:textFill>
                  <w14:solidFill>
                    <w14:schemeClr w14:val="tx1"/>
                  </w14:solidFill>
                </w14:textFill>
              </w:rPr>
              <w:t>-4</w:t>
            </w:r>
            <w:r>
              <w:rPr>
                <w:color w:val="000000" w:themeColor="text1"/>
                <w:lang w:bidi="en-US"/>
                <w14:textFill>
                  <w14:solidFill>
                    <w14:schemeClr w14:val="tx1"/>
                  </w14:solidFill>
                </w14:textFill>
              </w:rPr>
              <w:t>cm/s，且分布连续、稳定</w:t>
            </w:r>
          </w:p>
        </w:tc>
      </w:tr>
      <w:tr w14:paraId="5A6395D9">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bottom"/>
          </w:tcPr>
          <w:p w14:paraId="7E55E51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D1</w:t>
            </w:r>
          </w:p>
        </w:tc>
        <w:tc>
          <w:tcPr>
            <w:tcW w:w="4435" w:type="pct"/>
            <w:tcBorders>
              <w:top w:val="single" w:color="auto" w:sz="4" w:space="0"/>
              <w:left w:val="single" w:color="auto" w:sz="4" w:space="0"/>
              <w:right w:val="single" w:color="auto" w:sz="4" w:space="0"/>
            </w:tcBorders>
            <w:vAlign w:val="bottom"/>
          </w:tcPr>
          <w:p w14:paraId="4042B697">
            <w:pPr>
              <w:pStyle w:val="109"/>
              <w:rPr>
                <w:color w:val="000000" w:themeColor="text1"/>
                <w14:textFill>
                  <w14:solidFill>
                    <w14:schemeClr w14:val="tx1"/>
                  </w14:solidFill>
                </w14:textFill>
              </w:rPr>
            </w:pPr>
            <w:r>
              <w:rPr>
                <w:color w:val="000000" w:themeColor="text1"/>
                <w:lang w:bidi="zh-CN"/>
                <w14:textFill>
                  <w14:solidFill>
                    <w14:schemeClr w14:val="tx1"/>
                  </w14:solidFill>
                </w14:textFill>
              </w:rPr>
              <w:t>岩（土）层不满足上述“D2”和“D3”条件</w:t>
            </w:r>
          </w:p>
        </w:tc>
      </w:tr>
      <w:tr w14:paraId="5E1D22C9">
        <w:tblPrEx>
          <w:tblCellMar>
            <w:top w:w="0" w:type="dxa"/>
            <w:left w:w="10" w:type="dxa"/>
            <w:bottom w:w="0" w:type="dxa"/>
            <w:right w:w="10"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cBorders>
            <w:vAlign w:val="bottom"/>
          </w:tcPr>
          <w:p w14:paraId="39787B40">
            <w:pPr>
              <w:pStyle w:val="109"/>
              <w:rPr>
                <w:color w:val="000000" w:themeColor="text1"/>
                <w14:textFill>
                  <w14:solidFill>
                    <w14:schemeClr w14:val="tx1"/>
                  </w14:solidFill>
                </w14:textFill>
              </w:rPr>
            </w:pPr>
            <w:r>
              <w:rPr>
                <w:color w:val="000000" w:themeColor="text1"/>
                <w:lang w:bidi="en-US"/>
                <w14:textFill>
                  <w14:solidFill>
                    <w14:schemeClr w14:val="tx1"/>
                  </w14:solidFill>
                </w14:textFill>
              </w:rPr>
              <w:t>Mb：岩土层单层厚度。K：渗透系数。</w:t>
            </w:r>
          </w:p>
        </w:tc>
      </w:tr>
    </w:tbl>
    <w:p w14:paraId="1ECC5F6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位于</w:t>
      </w:r>
      <w:r>
        <w:rPr>
          <w:color w:val="000000" w:themeColor="text1"/>
          <w14:textFill>
            <w14:solidFill>
              <w14:schemeClr w14:val="tx1"/>
            </w14:solidFill>
          </w14:textFill>
        </w:rPr>
        <w:t>乌鲁木齐甘泉堡经济技术开发区（工业区）化工园区，占地为工业园区规划的工业用地，项目与所在区域地下水无水力联系，不是集中式饮用水水源（包括已建成的在用、备用、应急水源，在建和规划的饮用水水源）准保护区和补给径流区，周边水井不作为饮用水井，不是分散式水源地，根据</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的判定依据，本项目所在区域地下水功能敏感性为“不敏感</w:t>
      </w:r>
      <w:r>
        <w:rPr>
          <w:color w:val="000000" w:themeColor="text1"/>
          <w:lang w:bidi="en-US"/>
          <w14:textFill>
            <w14:solidFill>
              <w14:schemeClr w14:val="tx1"/>
            </w14:solidFill>
          </w14:textFill>
        </w:rPr>
        <w:t>G3”。</w:t>
      </w:r>
    </w:p>
    <w:p w14:paraId="21739E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调查，项目周边地区无集中式饮用水水源准保护区、无与地下水环境相关的其他保护区、无准保护区以外的补给径流区等；项目地区地层包气带主要以风积砂、砂砾石、粉质粘土组成，岩土的渗透性能为1.0×10</w:t>
      </w:r>
      <w:r>
        <w:rPr>
          <w:rFonts w:hint="eastAsia"/>
          <w:color w:val="000000" w:themeColor="text1"/>
          <w:vertAlign w:val="superscript"/>
          <w14:textFill>
            <w14:solidFill>
              <w14:schemeClr w14:val="tx1"/>
            </w14:solidFill>
          </w14:textFill>
        </w:rPr>
        <w:t>-6</w:t>
      </w:r>
      <w:r>
        <w:rPr>
          <w:rFonts w:hint="eastAsia"/>
          <w:color w:val="000000" w:themeColor="text1"/>
          <w14:textFill>
            <w14:solidFill>
              <w14:schemeClr w14:val="tx1"/>
            </w14:solidFill>
          </w14:textFill>
        </w:rPr>
        <w:t>cm/s＜K≤1.0×10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cm/s，Mb≥1.0m，包气带防污性能为D2级。</w:t>
      </w:r>
    </w:p>
    <w:p w14:paraId="6B811B59">
      <w:pPr>
        <w:ind w:firstLine="480"/>
        <w:rPr>
          <w:color w:val="000000" w:themeColor="text1"/>
          <w14:textFill>
            <w14:solidFill>
              <w14:schemeClr w14:val="tx1"/>
            </w14:solidFill>
          </w14:textFill>
        </w:rPr>
      </w:pPr>
      <w:r>
        <w:rPr>
          <w:color w:val="000000" w:themeColor="text1"/>
          <w14:textFill>
            <w14:solidFill>
              <w14:schemeClr w14:val="tx1"/>
            </w14:solidFill>
          </w14:textFill>
        </w:rPr>
        <w:t>项目所在区域的地下水环境敏感程度分级为</w:t>
      </w:r>
      <w:r>
        <w:rPr>
          <w:color w:val="000000" w:themeColor="text1"/>
          <w:lang w:bidi="en-US"/>
          <w14:textFill>
            <w14:solidFill>
              <w14:schemeClr w14:val="tx1"/>
            </w14:solidFill>
          </w14:textFill>
        </w:rPr>
        <w:t>“E</w:t>
      </w:r>
      <w:r>
        <w:rPr>
          <w:rFonts w:hint="eastAsia"/>
          <w:color w:val="000000" w:themeColor="text1"/>
          <w:lang w:bidi="en-US"/>
          <w14:textFill>
            <w14:solidFill>
              <w14:schemeClr w14:val="tx1"/>
            </w14:solidFill>
          </w14:textFill>
        </w:rPr>
        <w:t>3</w:t>
      </w:r>
      <w:r>
        <w:rPr>
          <w:color w:val="000000" w:themeColor="text1"/>
          <w:lang w:bidi="en-US"/>
          <w14:textFill>
            <w14:solidFill>
              <w14:schemeClr w14:val="tx1"/>
            </w14:solidFill>
          </w14:textFill>
        </w:rPr>
        <w:t>”。</w:t>
      </w:r>
    </w:p>
    <w:p w14:paraId="53030BC2">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环境风险潜势判定</w:t>
      </w:r>
    </w:p>
    <w:p w14:paraId="36E6F701">
      <w:pPr>
        <w:ind w:firstLine="480"/>
        <w:rPr>
          <w:color w:val="000000" w:themeColor="text1"/>
          <w14:textFill>
            <w14:solidFill>
              <w14:schemeClr w14:val="tx1"/>
            </w14:solidFill>
          </w14:textFill>
        </w:rPr>
      </w:pPr>
      <w:r>
        <w:rPr>
          <w:color w:val="000000" w:themeColor="text1"/>
          <w14:textFill>
            <w14:solidFill>
              <w14:schemeClr w14:val="tx1"/>
            </w14:solidFill>
          </w14:textFill>
        </w:rPr>
        <w:t>经分析得知，本项目不考虑风险事故泄露危险物质对地表水体的影响，项目的所在区域大气环境敏感程度为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w:t>
      </w:r>
      <w:r>
        <w:rPr>
          <w:color w:val="000000" w:themeColor="text1"/>
          <w:lang w:bidi="en-US"/>
          <w14:textFill>
            <w14:solidFill>
              <w14:schemeClr w14:val="tx1"/>
            </w14:solidFill>
          </w14:textFill>
        </w:rPr>
        <w:t>，</w:t>
      </w:r>
      <w:r>
        <w:rPr>
          <w:color w:val="000000" w:themeColor="text1"/>
          <w14:textFill>
            <w14:solidFill>
              <w14:schemeClr w14:val="tx1"/>
            </w14:solidFill>
          </w14:textFill>
        </w:rPr>
        <w:t>项目所在区域的地下水环境敏感程度分级为</w:t>
      </w:r>
      <w:r>
        <w:rPr>
          <w:color w:val="000000" w:themeColor="text1"/>
          <w:lang w:bidi="en-US"/>
          <w14:textFill>
            <w14:solidFill>
              <w14:schemeClr w14:val="tx1"/>
            </w14:solidFill>
          </w14:textFill>
        </w:rPr>
        <w:t>“E3”，</w:t>
      </w:r>
      <w:r>
        <w:rPr>
          <w:color w:val="000000" w:themeColor="text1"/>
          <w14:textFill>
            <w14:solidFill>
              <w14:schemeClr w14:val="tx1"/>
            </w14:solidFill>
          </w14:textFill>
        </w:rPr>
        <w:t>其环境风险潜势判定结果具体见下表。</w:t>
      </w:r>
    </w:p>
    <w:p w14:paraId="559EBFEC">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项目环境风险潜势判定结果一览表</w:t>
      </w:r>
    </w:p>
    <w:tbl>
      <w:tblPr>
        <w:tblStyle w:val="76"/>
        <w:tblW w:w="5000" w:type="pct"/>
        <w:jc w:val="center"/>
        <w:tblLayout w:type="autofit"/>
        <w:tblCellMar>
          <w:top w:w="0" w:type="dxa"/>
          <w:left w:w="10" w:type="dxa"/>
          <w:bottom w:w="0" w:type="dxa"/>
          <w:right w:w="10" w:type="dxa"/>
        </w:tblCellMar>
      </w:tblPr>
      <w:tblGrid>
        <w:gridCol w:w="3411"/>
        <w:gridCol w:w="6021"/>
      </w:tblGrid>
      <w:tr w14:paraId="102B4065">
        <w:tblPrEx>
          <w:tblCellMar>
            <w:top w:w="0" w:type="dxa"/>
            <w:left w:w="10" w:type="dxa"/>
            <w:bottom w:w="0" w:type="dxa"/>
            <w:right w:w="10" w:type="dxa"/>
          </w:tblCellMar>
        </w:tblPrEx>
        <w:trPr>
          <w:jc w:val="center"/>
        </w:trPr>
        <w:tc>
          <w:tcPr>
            <w:tcW w:w="1808" w:type="pct"/>
            <w:vMerge w:val="restart"/>
            <w:tcBorders>
              <w:top w:val="single" w:color="auto" w:sz="4" w:space="0"/>
              <w:left w:val="single" w:color="auto" w:sz="4" w:space="0"/>
            </w:tcBorders>
            <w:vAlign w:val="center"/>
          </w:tcPr>
          <w:p w14:paraId="4635A36A">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项目环境敏感程度</w:t>
            </w:r>
          </w:p>
        </w:tc>
        <w:tc>
          <w:tcPr>
            <w:tcW w:w="3192" w:type="pct"/>
            <w:tcBorders>
              <w:top w:val="single" w:color="auto" w:sz="4" w:space="0"/>
              <w:left w:val="single" w:color="auto" w:sz="4" w:space="0"/>
              <w:right w:val="single" w:color="auto" w:sz="4" w:space="0"/>
            </w:tcBorders>
            <w:vAlign w:val="bottom"/>
          </w:tcPr>
          <w:p w14:paraId="12CAFBD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项目危险物质及工艺系统危险性</w:t>
            </w:r>
            <w:r>
              <w:rPr>
                <w:color w:val="000000" w:themeColor="text1"/>
                <w:lang w:bidi="en-US"/>
                <w14:textFill>
                  <w14:solidFill>
                    <w14:schemeClr w14:val="tx1"/>
                  </w14:solidFill>
                </w14:textFill>
              </w:rPr>
              <w:t>P</w:t>
            </w:r>
          </w:p>
        </w:tc>
      </w:tr>
      <w:tr w14:paraId="7C8CDA0D">
        <w:tblPrEx>
          <w:tblCellMar>
            <w:top w:w="0" w:type="dxa"/>
            <w:left w:w="10" w:type="dxa"/>
            <w:bottom w:w="0" w:type="dxa"/>
            <w:right w:w="10" w:type="dxa"/>
          </w:tblCellMar>
        </w:tblPrEx>
        <w:trPr>
          <w:jc w:val="center"/>
        </w:trPr>
        <w:tc>
          <w:tcPr>
            <w:tcW w:w="1808" w:type="pct"/>
            <w:vMerge w:val="continue"/>
            <w:tcBorders>
              <w:left w:val="single" w:color="auto" w:sz="4" w:space="0"/>
            </w:tcBorders>
            <w:vAlign w:val="center"/>
          </w:tcPr>
          <w:p w14:paraId="66521065">
            <w:pPr>
              <w:pStyle w:val="109"/>
              <w:rPr>
                <w:color w:val="000000" w:themeColor="text1"/>
                <w14:textFill>
                  <w14:solidFill>
                    <w14:schemeClr w14:val="tx1"/>
                  </w14:solidFill>
                </w14:textFill>
              </w:rPr>
            </w:pPr>
          </w:p>
        </w:tc>
        <w:tc>
          <w:tcPr>
            <w:tcW w:w="3192" w:type="pct"/>
            <w:tcBorders>
              <w:top w:val="single" w:color="auto" w:sz="4" w:space="0"/>
              <w:left w:val="single" w:color="auto" w:sz="4" w:space="0"/>
              <w:right w:val="single" w:color="auto" w:sz="4" w:space="0"/>
            </w:tcBorders>
            <w:vAlign w:val="bottom"/>
          </w:tcPr>
          <w:p w14:paraId="754BEB40">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轻度</w:t>
            </w:r>
            <w:r>
              <w:rPr>
                <w:color w:val="000000" w:themeColor="text1"/>
                <w:lang w:val="zh-CN" w:bidi="zh-CN"/>
                <w14:textFill>
                  <w14:solidFill>
                    <w14:schemeClr w14:val="tx1"/>
                  </w14:solidFill>
                </w14:textFill>
              </w:rPr>
              <w:t>危害</w:t>
            </w:r>
            <w:r>
              <w:rPr>
                <w:color w:val="000000" w:themeColor="text1"/>
                <w:lang w:eastAsia="en-US" w:bidi="en-US"/>
                <w14:textFill>
                  <w14:solidFill>
                    <w14:schemeClr w14:val="tx1"/>
                  </w14:solidFill>
                </w14:textFill>
              </w:rPr>
              <w:t>（P</w:t>
            </w:r>
            <w:r>
              <w:rPr>
                <w:rFonts w:hint="eastAsia"/>
                <w:color w:val="000000" w:themeColor="text1"/>
                <w:lang w:bidi="en-US"/>
                <w14:textFill>
                  <w14:solidFill>
                    <w14:schemeClr w14:val="tx1"/>
                  </w14:solidFill>
                </w14:textFill>
              </w:rPr>
              <w:t>4</w:t>
            </w:r>
            <w:r>
              <w:rPr>
                <w:color w:val="000000" w:themeColor="text1"/>
                <w:lang w:eastAsia="en-US" w:bidi="en-US"/>
                <w14:textFill>
                  <w14:solidFill>
                    <w14:schemeClr w14:val="tx1"/>
                  </w14:solidFill>
                </w14:textFill>
              </w:rPr>
              <w:t>）</w:t>
            </w:r>
          </w:p>
        </w:tc>
      </w:tr>
      <w:tr w14:paraId="151CCEE4">
        <w:tblPrEx>
          <w:tblCellMar>
            <w:top w:w="0" w:type="dxa"/>
            <w:left w:w="10" w:type="dxa"/>
            <w:bottom w:w="0" w:type="dxa"/>
            <w:right w:w="10" w:type="dxa"/>
          </w:tblCellMar>
        </w:tblPrEx>
        <w:trPr>
          <w:jc w:val="center"/>
        </w:trPr>
        <w:tc>
          <w:tcPr>
            <w:tcW w:w="1808" w:type="pct"/>
            <w:tcBorders>
              <w:top w:val="single" w:color="auto" w:sz="4" w:space="0"/>
              <w:left w:val="single" w:color="auto" w:sz="4" w:space="0"/>
            </w:tcBorders>
            <w:vAlign w:val="bottom"/>
          </w:tcPr>
          <w:p w14:paraId="429622D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大气环境中度敏感度区</w:t>
            </w:r>
            <w:r>
              <w:rPr>
                <w:color w:val="000000" w:themeColor="text1"/>
                <w:lang w:bidi="en-US"/>
                <w14:textFill>
                  <w14:solidFill>
                    <w14:schemeClr w14:val="tx1"/>
                  </w14:solidFill>
                </w14:textFill>
              </w:rPr>
              <w:t>（E</w:t>
            </w:r>
            <w:r>
              <w:rPr>
                <w:rFonts w:hint="eastAsia"/>
                <w:color w:val="000000" w:themeColor="text1"/>
                <w:lang w:bidi="en-US"/>
                <w14:textFill>
                  <w14:solidFill>
                    <w14:schemeClr w14:val="tx1"/>
                  </w14:solidFill>
                </w14:textFill>
              </w:rPr>
              <w:t>3</w:t>
            </w:r>
            <w:r>
              <w:rPr>
                <w:color w:val="000000" w:themeColor="text1"/>
                <w:lang w:bidi="en-US"/>
                <w14:textFill>
                  <w14:solidFill>
                    <w14:schemeClr w14:val="tx1"/>
                  </w14:solidFill>
                </w14:textFill>
              </w:rPr>
              <w:t>）</w:t>
            </w:r>
          </w:p>
        </w:tc>
        <w:tc>
          <w:tcPr>
            <w:tcW w:w="3192" w:type="pct"/>
            <w:tcBorders>
              <w:top w:val="single" w:color="auto" w:sz="4" w:space="0"/>
              <w:left w:val="single" w:color="auto" w:sz="4" w:space="0"/>
              <w:right w:val="single" w:color="auto" w:sz="4" w:space="0"/>
            </w:tcBorders>
            <w:vAlign w:val="bottom"/>
          </w:tcPr>
          <w:p w14:paraId="14C2ED78">
            <w:pPr>
              <w:pStyle w:val="109"/>
              <w:rPr>
                <w:color w:val="000000" w:themeColor="text1"/>
                <w:sz w:val="11"/>
                <w:szCs w:val="11"/>
                <w14:textFill>
                  <w14:solidFill>
                    <w14:schemeClr w14:val="tx1"/>
                  </w14:solidFill>
                </w14:textFill>
              </w:rPr>
            </w:pPr>
            <w:r>
              <w:rPr>
                <w:rFonts w:eastAsia="TimesNewRomanPSMT"/>
                <w:color w:val="000000" w:themeColor="text1"/>
                <w:szCs w:val="21"/>
                <w14:textFill>
                  <w14:solidFill>
                    <w14:schemeClr w14:val="tx1"/>
                  </w14:solidFill>
                </w14:textFill>
              </w:rPr>
              <w:t>Ⅰ</w:t>
            </w:r>
          </w:p>
        </w:tc>
      </w:tr>
      <w:tr w14:paraId="2701B668">
        <w:tblPrEx>
          <w:tblCellMar>
            <w:top w:w="0" w:type="dxa"/>
            <w:left w:w="10" w:type="dxa"/>
            <w:bottom w:w="0" w:type="dxa"/>
            <w:right w:w="10" w:type="dxa"/>
          </w:tblCellMar>
        </w:tblPrEx>
        <w:trPr>
          <w:jc w:val="center"/>
        </w:trPr>
        <w:tc>
          <w:tcPr>
            <w:tcW w:w="1808" w:type="pct"/>
            <w:tcBorders>
              <w:top w:val="single" w:color="auto" w:sz="4" w:space="0"/>
              <w:left w:val="single" w:color="auto" w:sz="4" w:space="0"/>
              <w:bottom w:val="single" w:color="auto" w:sz="4" w:space="0"/>
            </w:tcBorders>
            <w:vAlign w:val="bottom"/>
          </w:tcPr>
          <w:p w14:paraId="0D39C072">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地下水环境中度敏感度区</w:t>
            </w:r>
            <w:r>
              <w:rPr>
                <w:color w:val="000000" w:themeColor="text1"/>
                <w:lang w:bidi="en-US"/>
                <w14:textFill>
                  <w14:solidFill>
                    <w14:schemeClr w14:val="tx1"/>
                  </w14:solidFill>
                </w14:textFill>
              </w:rPr>
              <w:t>（E</w:t>
            </w:r>
            <w:r>
              <w:rPr>
                <w:rFonts w:hint="eastAsia"/>
                <w:color w:val="000000" w:themeColor="text1"/>
                <w:lang w:bidi="en-US"/>
                <w14:textFill>
                  <w14:solidFill>
                    <w14:schemeClr w14:val="tx1"/>
                  </w14:solidFill>
                </w14:textFill>
              </w:rPr>
              <w:t>3</w:t>
            </w:r>
            <w:r>
              <w:rPr>
                <w:color w:val="000000" w:themeColor="text1"/>
                <w:lang w:bidi="en-US"/>
                <w14:textFill>
                  <w14:solidFill>
                    <w14:schemeClr w14:val="tx1"/>
                  </w14:solidFill>
                </w14:textFill>
              </w:rPr>
              <w:t>）</w:t>
            </w:r>
          </w:p>
        </w:tc>
        <w:tc>
          <w:tcPr>
            <w:tcW w:w="3192" w:type="pct"/>
            <w:tcBorders>
              <w:top w:val="single" w:color="auto" w:sz="4" w:space="0"/>
              <w:left w:val="single" w:color="auto" w:sz="4" w:space="0"/>
              <w:bottom w:val="single" w:color="auto" w:sz="4" w:space="0"/>
              <w:right w:val="single" w:color="auto" w:sz="4" w:space="0"/>
            </w:tcBorders>
            <w:vAlign w:val="bottom"/>
          </w:tcPr>
          <w:p w14:paraId="7B98910E">
            <w:pPr>
              <w:pStyle w:val="109"/>
              <w:rPr>
                <w:color w:val="000000" w:themeColor="text1"/>
                <w14:textFill>
                  <w14:solidFill>
                    <w14:schemeClr w14:val="tx1"/>
                  </w14:solidFill>
                </w14:textFill>
              </w:rPr>
            </w:pPr>
            <w:r>
              <w:rPr>
                <w:rFonts w:eastAsia="TimesNewRomanPSMT"/>
                <w:color w:val="000000" w:themeColor="text1"/>
                <w:szCs w:val="21"/>
                <w14:textFill>
                  <w14:solidFill>
                    <w14:schemeClr w14:val="tx1"/>
                  </w14:solidFill>
                </w14:textFill>
              </w:rPr>
              <w:t>Ⅰ</w:t>
            </w:r>
          </w:p>
        </w:tc>
      </w:tr>
    </w:tbl>
    <w:p w14:paraId="07BF720D">
      <w:pPr>
        <w:ind w:firstLine="480"/>
        <w:rPr>
          <w:color w:val="000000" w:themeColor="text1"/>
          <w14:textFill>
            <w14:solidFill>
              <w14:schemeClr w14:val="tx1"/>
            </w14:solidFill>
          </w14:textFill>
        </w:rPr>
      </w:pPr>
      <w:r>
        <w:rPr>
          <w:color w:val="000000" w:themeColor="text1"/>
          <w14:textFill>
            <w14:solidFill>
              <w14:schemeClr w14:val="tx1"/>
            </w14:solidFill>
          </w14:textFill>
        </w:rPr>
        <w:t>从</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可知，本项目的大气环境风险潜势和地下水环境风险潜势</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为</w:t>
      </w:r>
      <w:r>
        <w:rPr>
          <w:color w:val="000000" w:themeColor="text1"/>
          <w:lang w:bidi="en-US"/>
          <w14:textFill>
            <w14:solidFill>
              <w14:schemeClr w14:val="tx1"/>
            </w14:solidFill>
          </w14:textFill>
        </w:rPr>
        <w:t>I</w:t>
      </w:r>
      <w:r>
        <w:rPr>
          <w:color w:val="000000" w:themeColor="text1"/>
          <w14:textFill>
            <w14:solidFill>
              <w14:schemeClr w14:val="tx1"/>
            </w14:solidFill>
          </w14:textFill>
        </w:rPr>
        <w:t>级，因此，本项目的环境风险潜势为</w:t>
      </w:r>
      <w:r>
        <w:rPr>
          <w:color w:val="000000" w:themeColor="text1"/>
          <w:lang w:bidi="en-US"/>
          <w14:textFill>
            <w14:solidFill>
              <w14:schemeClr w14:val="tx1"/>
            </w14:solidFill>
          </w14:textFill>
        </w:rPr>
        <w:t>I</w:t>
      </w:r>
      <w:r>
        <w:rPr>
          <w:color w:val="000000" w:themeColor="text1"/>
          <w14:textFill>
            <w14:solidFill>
              <w14:schemeClr w14:val="tx1"/>
            </w14:solidFill>
          </w14:textFill>
        </w:rPr>
        <w:t>级。</w:t>
      </w:r>
    </w:p>
    <w:p w14:paraId="56870E06">
      <w:pPr>
        <w:pStyle w:val="5"/>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评价</w:t>
      </w:r>
      <w:r>
        <w:rPr>
          <w:color w:val="000000" w:themeColor="text1"/>
          <w14:textFill>
            <w14:solidFill>
              <w14:schemeClr w14:val="tx1"/>
            </w14:solidFill>
          </w14:textFill>
        </w:rPr>
        <w:t>等级</w:t>
      </w:r>
      <w:r>
        <w:rPr>
          <w:rFonts w:ascii="Times New Roman"/>
          <w:color w:val="000000" w:themeColor="text1"/>
          <w14:textFill>
            <w14:solidFill>
              <w14:schemeClr w14:val="tx1"/>
            </w14:solidFill>
          </w14:textFill>
        </w:rPr>
        <w:t>及评价范围</w:t>
      </w:r>
    </w:p>
    <w:p w14:paraId="1631E9F4">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根据建设项目涉及的物质及工艺系统危险性和所在地的环境敏感性确定环境风险潜势，按照</w:t>
      </w:r>
      <w:r>
        <w:rPr>
          <w:rFonts w:hint="eastAsia" w:ascii="Times New Roman" w:hAnsi="Times New Roman"/>
          <w:color w:val="000000" w:themeColor="text1"/>
          <w14:textFill>
            <w14:solidFill>
              <w14:schemeClr w14:val="tx1"/>
            </w14:solidFill>
          </w14:textFill>
        </w:rPr>
        <w:t>下表</w:t>
      </w:r>
      <w:r>
        <w:rPr>
          <w:rFonts w:ascii="Times New Roman" w:hAnsi="Times New Roman"/>
          <w:color w:val="000000" w:themeColor="text1"/>
          <w14:textFill>
            <w14:solidFill>
              <w14:schemeClr w14:val="tx1"/>
            </w14:solidFill>
          </w14:textFill>
        </w:rPr>
        <w:t>确定评价工作等级。根据本项目环境风险潜势综合等级判定情况，本次环境风险综合评价等级为</w:t>
      </w:r>
      <w:r>
        <w:rPr>
          <w:rFonts w:hint="eastAsia" w:ascii="Times New Roman" w:hAnsi="Times New Roman"/>
          <w:color w:val="000000" w:themeColor="text1"/>
          <w14:textFill>
            <w14:solidFill>
              <w14:schemeClr w14:val="tx1"/>
            </w14:solidFill>
          </w14:textFill>
        </w:rPr>
        <w:t>简单分析</w:t>
      </w:r>
      <w:r>
        <w:rPr>
          <w:rFonts w:ascii="Times New Roman" w:hAnsi="Times New Roman"/>
          <w:color w:val="000000" w:themeColor="text1"/>
          <w14:textFill>
            <w14:solidFill>
              <w14:schemeClr w14:val="tx1"/>
            </w14:solidFill>
          </w14:textFill>
        </w:rPr>
        <w:t>。各要素评价等级及评价范围见</w:t>
      </w:r>
      <w:r>
        <w:rPr>
          <w:rFonts w:hint="eastAsia" w:ascii="Times New Roman" w:hAnsi="Times New Roman"/>
          <w:color w:val="000000" w:themeColor="text1"/>
          <w14:textFill>
            <w14:solidFill>
              <w14:schemeClr w14:val="tx1"/>
            </w14:solidFill>
          </w14:textFill>
        </w:rPr>
        <w:t>下表。</w:t>
      </w:r>
    </w:p>
    <w:p w14:paraId="13E8ED17">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评价工作级别</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1858"/>
        <w:gridCol w:w="1993"/>
        <w:gridCol w:w="1926"/>
        <w:gridCol w:w="1926"/>
      </w:tblGrid>
      <w:tr w14:paraId="5ADB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69DC4EB7">
            <w:pPr>
              <w:pStyle w:val="109"/>
              <w:rPr>
                <w:color w:val="000000" w:themeColor="text1"/>
                <w14:textFill>
                  <w14:solidFill>
                    <w14:schemeClr w14:val="tx1"/>
                  </w14:solidFill>
                </w14:textFill>
              </w:rPr>
            </w:pPr>
            <w:r>
              <w:rPr>
                <w:color w:val="000000" w:themeColor="text1"/>
                <w14:textFill>
                  <w14:solidFill>
                    <w14:schemeClr w14:val="tx1"/>
                  </w14:solidFill>
                </w14:textFill>
              </w:rPr>
              <w:t>环境风险潜势</w:t>
            </w:r>
          </w:p>
        </w:tc>
        <w:tc>
          <w:tcPr>
            <w:tcW w:w="965" w:type="pct"/>
            <w:vAlign w:val="center"/>
          </w:tcPr>
          <w:p w14:paraId="43C4A7A2">
            <w:pPr>
              <w:pStyle w:val="109"/>
              <w:rPr>
                <w:color w:val="000000" w:themeColor="text1"/>
                <w14:textFill>
                  <w14:solidFill>
                    <w14:schemeClr w14:val="tx1"/>
                  </w14:solidFill>
                </w14:textFill>
              </w:rPr>
            </w:pPr>
            <w:r>
              <w:rPr>
                <w:color w:val="000000" w:themeColor="text1"/>
                <w14:textFill>
                  <w14:solidFill>
                    <w14:schemeClr w14:val="tx1"/>
                  </w14:solidFill>
                </w14:textFill>
              </w:rPr>
              <w:t>Ⅳ、Ⅳ+</w:t>
            </w:r>
          </w:p>
        </w:tc>
        <w:tc>
          <w:tcPr>
            <w:tcW w:w="1035" w:type="pct"/>
            <w:vAlign w:val="center"/>
          </w:tcPr>
          <w:p w14:paraId="6A5FD3EE">
            <w:pPr>
              <w:pStyle w:val="109"/>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1000" w:type="pct"/>
            <w:vAlign w:val="center"/>
          </w:tcPr>
          <w:p w14:paraId="795248BE">
            <w:pPr>
              <w:pStyle w:val="109"/>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1000" w:type="pct"/>
            <w:vAlign w:val="center"/>
          </w:tcPr>
          <w:p w14:paraId="64BDA7D1">
            <w:pPr>
              <w:pStyle w:val="109"/>
              <w:rPr>
                <w:color w:val="000000" w:themeColor="text1"/>
                <w14:textFill>
                  <w14:solidFill>
                    <w14:schemeClr w14:val="tx1"/>
                  </w14:solidFill>
                </w14:textFill>
              </w:rPr>
            </w:pPr>
            <w:r>
              <w:rPr>
                <w:color w:val="000000" w:themeColor="text1"/>
                <w14:textFill>
                  <w14:solidFill>
                    <w14:schemeClr w14:val="tx1"/>
                  </w14:solidFill>
                </w14:textFill>
              </w:rPr>
              <w:t>Ⅰ</w:t>
            </w:r>
          </w:p>
        </w:tc>
      </w:tr>
      <w:tr w14:paraId="51B7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33D3BA9">
            <w:pPr>
              <w:pStyle w:val="109"/>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965" w:type="pct"/>
            <w:vAlign w:val="center"/>
          </w:tcPr>
          <w:p w14:paraId="1F26AD78">
            <w:pPr>
              <w:pStyle w:val="109"/>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035" w:type="pct"/>
            <w:vAlign w:val="center"/>
          </w:tcPr>
          <w:p w14:paraId="29D99DBA">
            <w:pPr>
              <w:pStyle w:val="109"/>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1000" w:type="pct"/>
            <w:vAlign w:val="center"/>
          </w:tcPr>
          <w:p w14:paraId="1C84A6D7">
            <w:pPr>
              <w:pStyle w:val="109"/>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1000" w:type="pct"/>
            <w:vAlign w:val="center"/>
          </w:tcPr>
          <w:p w14:paraId="28013769">
            <w:pPr>
              <w:pStyle w:val="109"/>
              <w:rPr>
                <w:color w:val="000000" w:themeColor="text1"/>
                <w14:textFill>
                  <w14:solidFill>
                    <w14:schemeClr w14:val="tx1"/>
                  </w14:solidFill>
                </w14:textFill>
              </w:rPr>
            </w:pPr>
            <w:r>
              <w:rPr>
                <w:color w:val="000000" w:themeColor="text1"/>
                <w14:textFill>
                  <w14:solidFill>
                    <w14:schemeClr w14:val="tx1"/>
                  </w14:solidFill>
                </w14:textFill>
              </w:rPr>
              <w:t>简单分析a</w:t>
            </w:r>
          </w:p>
        </w:tc>
      </w:tr>
      <w:tr w14:paraId="2559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77EC509">
            <w:pPr>
              <w:pStyle w:val="109"/>
              <w:rPr>
                <w:color w:val="000000" w:themeColor="text1"/>
                <w14:textFill>
                  <w14:solidFill>
                    <w14:schemeClr w14:val="tx1"/>
                  </w14:solidFill>
                </w14:textFill>
              </w:rPr>
            </w:pPr>
            <w:r>
              <w:rPr>
                <w:color w:val="000000" w:themeColor="text1"/>
                <w14:textFill>
                  <w14:solidFill>
                    <w14:schemeClr w14:val="tx1"/>
                  </w14:solidFill>
                </w14:textFill>
              </w:rPr>
              <w:t>a是相对详细评价工作内容而言，在描述危险物质、环境影响途径、环境危害后果、风险防范措施等方面给出定性的说明。</w:t>
            </w:r>
          </w:p>
        </w:tc>
      </w:tr>
    </w:tbl>
    <w:p w14:paraId="7DA4905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土壤环境</w:t>
      </w:r>
    </w:p>
    <w:p w14:paraId="75F69DC7">
      <w:pPr>
        <w:ind w:firstLine="480"/>
        <w:rPr>
          <w:color w:val="000000" w:themeColor="text1"/>
          <w14:textFill>
            <w14:solidFill>
              <w14:schemeClr w14:val="tx1"/>
            </w14:solidFill>
          </w14:textFill>
        </w:rPr>
      </w:pPr>
      <w:bookmarkStart w:id="152" w:name="_Toc275880076"/>
      <w:bookmarkStart w:id="153" w:name="_Toc293592335"/>
      <w:bookmarkStart w:id="154" w:name="_Toc321821688"/>
      <w:bookmarkStart w:id="155" w:name="_Toc278649385"/>
      <w:bookmarkStart w:id="156" w:name="_Toc329793417"/>
      <w:bookmarkStart w:id="157" w:name="_Toc280691105"/>
      <w:bookmarkStart w:id="158" w:name="_Toc330460752"/>
      <w:bookmarkStart w:id="159" w:name="_Toc241117016"/>
      <w:bookmarkStart w:id="160" w:name="_Toc266187518"/>
      <w:bookmarkStart w:id="161" w:name="_Toc189128892"/>
      <w:bookmarkStart w:id="162" w:name="_Toc213225670"/>
      <w:bookmarkStart w:id="163" w:name="_Toc230071419"/>
      <w:r>
        <w:rPr>
          <w:color w:val="000000" w:themeColor="text1"/>
          <w14:textFill>
            <w14:solidFill>
              <w14:schemeClr w14:val="tx1"/>
            </w14:solidFill>
          </w14:textFill>
        </w:rPr>
        <w:t>（1）评价等级</w:t>
      </w:r>
    </w:p>
    <w:p w14:paraId="4DE16434">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根据《环境影响评价技术导则土壤环境（试行）》</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HJ964-2018</w:t>
      </w:r>
      <w:r>
        <w:rPr>
          <w:color w:val="000000" w:themeColor="text1"/>
          <w:lang w:bidi="en-US"/>
          <w14:textFill>
            <w14:solidFill>
              <w14:schemeClr w14:val="tx1"/>
            </w14:solidFill>
          </w14:textFill>
        </w:rPr>
        <w:t>）</w:t>
      </w:r>
      <w:r>
        <w:rPr>
          <w:color w:val="000000" w:themeColor="text1"/>
          <w14:textFill>
            <w14:solidFill>
              <w14:schemeClr w14:val="tx1"/>
            </w14:solidFill>
          </w14:textFill>
        </w:rPr>
        <w:t>本项目属于污染影响型，土壤评价等级的确定主要依据项目类别和建设项目土壤环境敏感程度等参数进行确定，详见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5ACDEC97">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项目类别划分</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2"/>
        <w:gridCol w:w="1416"/>
        <w:gridCol w:w="2270"/>
        <w:gridCol w:w="2131"/>
        <w:gridCol w:w="845"/>
        <w:gridCol w:w="1402"/>
      </w:tblGrid>
      <w:tr w14:paraId="6CA7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22" w:type="dxa"/>
            <w:vMerge w:val="restart"/>
            <w:vAlign w:val="center"/>
          </w:tcPr>
          <w:p w14:paraId="28FA448F">
            <w:pPr>
              <w:pStyle w:val="109"/>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6662" w:type="dxa"/>
            <w:gridSpan w:val="4"/>
            <w:vAlign w:val="bottom"/>
          </w:tcPr>
          <w:p w14:paraId="2424E46A">
            <w:pPr>
              <w:pStyle w:val="109"/>
              <w:rPr>
                <w:color w:val="000000" w:themeColor="text1"/>
                <w14:textFill>
                  <w14:solidFill>
                    <w14:schemeClr w14:val="tx1"/>
                  </w14:solidFill>
                </w14:textFill>
              </w:rPr>
            </w:pPr>
            <w:r>
              <w:rPr>
                <w:color w:val="000000" w:themeColor="text1"/>
                <w14:textFill>
                  <w14:solidFill>
                    <w14:schemeClr w14:val="tx1"/>
                  </w14:solidFill>
                </w14:textFill>
              </w:rPr>
              <w:t>项目类别</w:t>
            </w:r>
          </w:p>
        </w:tc>
        <w:tc>
          <w:tcPr>
            <w:tcW w:w="1402" w:type="dxa"/>
            <w:vMerge w:val="restart"/>
            <w:vAlign w:val="center"/>
          </w:tcPr>
          <w:p w14:paraId="365B6E68">
            <w:pPr>
              <w:pStyle w:val="109"/>
              <w:rPr>
                <w:color w:val="000000" w:themeColor="text1"/>
                <w14:textFill>
                  <w14:solidFill>
                    <w14:schemeClr w14:val="tx1"/>
                  </w14:solidFill>
                </w14:textFill>
              </w:rPr>
            </w:pPr>
            <w:r>
              <w:rPr>
                <w:color w:val="000000" w:themeColor="text1"/>
                <w14:textFill>
                  <w14:solidFill>
                    <w14:schemeClr w14:val="tx1"/>
                  </w14:solidFill>
                </w14:textFill>
              </w:rPr>
              <w:t>本项目类别</w:t>
            </w:r>
          </w:p>
        </w:tc>
      </w:tr>
      <w:tr w14:paraId="38FA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22" w:type="dxa"/>
            <w:vMerge w:val="continue"/>
            <w:vAlign w:val="center"/>
          </w:tcPr>
          <w:p w14:paraId="6A183748">
            <w:pPr>
              <w:pStyle w:val="109"/>
              <w:rPr>
                <w:color w:val="000000" w:themeColor="text1"/>
                <w14:textFill>
                  <w14:solidFill>
                    <w14:schemeClr w14:val="tx1"/>
                  </w14:solidFill>
                </w14:textFill>
              </w:rPr>
            </w:pPr>
          </w:p>
        </w:tc>
        <w:tc>
          <w:tcPr>
            <w:tcW w:w="1416" w:type="dxa"/>
          </w:tcPr>
          <w:p w14:paraId="3E0DA97C">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I</w:t>
            </w:r>
            <w:r>
              <w:rPr>
                <w:color w:val="000000" w:themeColor="text1"/>
                <w14:textFill>
                  <w14:solidFill>
                    <w14:schemeClr w14:val="tx1"/>
                  </w14:solidFill>
                </w14:textFill>
              </w:rPr>
              <w:t>类</w:t>
            </w:r>
          </w:p>
        </w:tc>
        <w:tc>
          <w:tcPr>
            <w:tcW w:w="2270" w:type="dxa"/>
          </w:tcPr>
          <w:p w14:paraId="2D2BDC3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II</w:t>
            </w:r>
            <w:r>
              <w:rPr>
                <w:color w:val="000000" w:themeColor="text1"/>
                <w14:textFill>
                  <w14:solidFill>
                    <w14:schemeClr w14:val="tx1"/>
                  </w14:solidFill>
                </w14:textFill>
              </w:rPr>
              <w:t>类</w:t>
            </w:r>
          </w:p>
        </w:tc>
        <w:tc>
          <w:tcPr>
            <w:tcW w:w="2131" w:type="dxa"/>
          </w:tcPr>
          <w:p w14:paraId="06AB8EC9">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III</w:t>
            </w:r>
            <w:r>
              <w:rPr>
                <w:color w:val="000000" w:themeColor="text1"/>
                <w14:textFill>
                  <w14:solidFill>
                    <w14:schemeClr w14:val="tx1"/>
                  </w14:solidFill>
                </w14:textFill>
              </w:rPr>
              <w:t>类</w:t>
            </w:r>
          </w:p>
        </w:tc>
        <w:tc>
          <w:tcPr>
            <w:tcW w:w="845" w:type="dxa"/>
          </w:tcPr>
          <w:p w14:paraId="7E916AF7">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IV</w:t>
            </w:r>
            <w:r>
              <w:rPr>
                <w:color w:val="000000" w:themeColor="text1"/>
                <w14:textFill>
                  <w14:solidFill>
                    <w14:schemeClr w14:val="tx1"/>
                  </w14:solidFill>
                </w14:textFill>
              </w:rPr>
              <w:t>类</w:t>
            </w:r>
          </w:p>
        </w:tc>
        <w:tc>
          <w:tcPr>
            <w:tcW w:w="1402" w:type="dxa"/>
            <w:vMerge w:val="continue"/>
            <w:vAlign w:val="center"/>
          </w:tcPr>
          <w:p w14:paraId="2BC17D8B">
            <w:pPr>
              <w:pStyle w:val="109"/>
              <w:rPr>
                <w:color w:val="000000" w:themeColor="text1"/>
                <w14:textFill>
                  <w14:solidFill>
                    <w14:schemeClr w14:val="tx1"/>
                  </w14:solidFill>
                </w14:textFill>
              </w:rPr>
            </w:pPr>
          </w:p>
        </w:tc>
      </w:tr>
      <w:tr w14:paraId="4D8A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22" w:type="dxa"/>
            <w:vAlign w:val="center"/>
          </w:tcPr>
          <w:p w14:paraId="6A2DB4A4">
            <w:pPr>
              <w:pStyle w:val="109"/>
              <w:rPr>
                <w:color w:val="000000" w:themeColor="text1"/>
                <w14:textFill>
                  <w14:solidFill>
                    <w14:schemeClr w14:val="tx1"/>
                  </w14:solidFill>
                </w14:textFill>
              </w:rPr>
            </w:pPr>
            <w:r>
              <w:rPr>
                <w:color w:val="000000" w:themeColor="text1"/>
                <w14:textFill>
                  <w14:solidFill>
                    <w14:schemeClr w14:val="tx1"/>
                  </w14:solidFill>
                </w14:textFill>
              </w:rPr>
              <w:t>环境和公 共设施管 理业</w:t>
            </w:r>
          </w:p>
        </w:tc>
        <w:tc>
          <w:tcPr>
            <w:tcW w:w="1416" w:type="dxa"/>
            <w:shd w:val="clear" w:color="auto" w:fill="E5E5E5"/>
            <w:vAlign w:val="center"/>
          </w:tcPr>
          <w:p w14:paraId="7677E472">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危险废物利用 及处置</w:t>
            </w:r>
          </w:p>
        </w:tc>
        <w:tc>
          <w:tcPr>
            <w:tcW w:w="2270" w:type="dxa"/>
          </w:tcPr>
          <w:p w14:paraId="7083E6B1">
            <w:pPr>
              <w:pStyle w:val="109"/>
              <w:rPr>
                <w:color w:val="000000" w:themeColor="text1"/>
                <w14:textFill>
                  <w14:solidFill>
                    <w14:schemeClr w14:val="tx1"/>
                  </w14:solidFill>
                </w14:textFill>
              </w:rPr>
            </w:pPr>
            <w:r>
              <w:rPr>
                <w:color w:val="000000" w:themeColor="text1"/>
                <w14:textFill>
                  <w14:solidFill>
                    <w14:schemeClr w14:val="tx1"/>
                  </w14:solidFill>
                </w14:textFill>
              </w:rPr>
              <w:t>采取填埋和焚烧方式的 一般工业固体废物处置 及综合利用；城镇生活垃圾（不含餐厨废弃物）集 中处置</w:t>
            </w:r>
          </w:p>
        </w:tc>
        <w:tc>
          <w:tcPr>
            <w:tcW w:w="2131" w:type="dxa"/>
          </w:tcPr>
          <w:p w14:paraId="0F36091E">
            <w:pPr>
              <w:pStyle w:val="109"/>
              <w:rPr>
                <w:color w:val="000000" w:themeColor="text1"/>
                <w14:textFill>
                  <w14:solidFill>
                    <w14:schemeClr w14:val="tx1"/>
                  </w14:solidFill>
                </w14:textFill>
              </w:rPr>
            </w:pPr>
            <w:r>
              <w:rPr>
                <w:color w:val="000000" w:themeColor="text1"/>
                <w14:textFill>
                  <w14:solidFill>
                    <w14:schemeClr w14:val="tx1"/>
                  </w14:solidFill>
                </w14:textFill>
              </w:rPr>
              <w:t>一般工业固体废物处置 及综合利用（除采取填 埋和焚烧方式以外的）； 废旧资源加工、再生利用</w:t>
            </w:r>
          </w:p>
        </w:tc>
        <w:tc>
          <w:tcPr>
            <w:tcW w:w="845" w:type="dxa"/>
            <w:vAlign w:val="center"/>
          </w:tcPr>
          <w:p w14:paraId="27087E45">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w:t>
            </w:r>
          </w:p>
        </w:tc>
        <w:tc>
          <w:tcPr>
            <w:tcW w:w="1402" w:type="dxa"/>
            <w:vAlign w:val="center"/>
          </w:tcPr>
          <w:p w14:paraId="0BE0E3A7">
            <w:pPr>
              <w:pStyle w:val="109"/>
              <w:rPr>
                <w:color w:val="000000" w:themeColor="text1"/>
                <w14:textFill>
                  <w14:solidFill>
                    <w14:schemeClr w14:val="tx1"/>
                  </w14:solidFill>
                </w14:textFill>
              </w:rPr>
            </w:pPr>
            <w:r>
              <w:rPr>
                <w:color w:val="000000" w:themeColor="text1"/>
                <w14:textFill>
                  <w14:solidFill>
                    <w14:schemeClr w14:val="tx1"/>
                  </w14:solidFill>
                </w14:textFill>
              </w:rPr>
              <w:t>本项目属于</w:t>
            </w:r>
            <w:r>
              <w:rPr>
                <w:rFonts w:eastAsia="Times New Roman"/>
                <w:color w:val="000000" w:themeColor="text1"/>
                <w14:textFill>
                  <w14:solidFill>
                    <w14:schemeClr w14:val="tx1"/>
                  </w14:solidFill>
                </w14:textFill>
              </w:rPr>
              <w:t xml:space="preserve">I </w:t>
            </w:r>
            <w:r>
              <w:rPr>
                <w:color w:val="000000" w:themeColor="text1"/>
                <w14:textFill>
                  <w14:solidFill>
                    <w14:schemeClr w14:val="tx1"/>
                  </w14:solidFill>
                </w14:textFill>
              </w:rPr>
              <w:t>类</w:t>
            </w:r>
          </w:p>
        </w:tc>
      </w:tr>
    </w:tbl>
    <w:p w14:paraId="4A276321">
      <w:pPr>
        <w:spacing w:after="139" w:line="1" w:lineRule="exact"/>
        <w:ind w:firstLine="480"/>
        <w:rPr>
          <w:color w:val="000000" w:themeColor="text1"/>
          <w14:textFill>
            <w14:solidFill>
              <w14:schemeClr w14:val="tx1"/>
            </w14:solidFill>
          </w14:textFill>
        </w:rPr>
      </w:pPr>
    </w:p>
    <w:p w14:paraId="6412CA05">
      <w:pPr>
        <w:spacing w:line="1" w:lineRule="exact"/>
        <w:ind w:firstLine="480"/>
        <w:rPr>
          <w:color w:val="000000" w:themeColor="text1"/>
          <w14:textFill>
            <w14:solidFill>
              <w14:schemeClr w14:val="tx1"/>
            </w14:solidFill>
          </w14:textFill>
        </w:rPr>
      </w:pPr>
    </w:p>
    <w:p w14:paraId="3FDD044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土壤环境敏感程度分级表</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445"/>
        <w:gridCol w:w="5818"/>
        <w:gridCol w:w="1824"/>
      </w:tblGrid>
      <w:tr w14:paraId="303F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445" w:type="dxa"/>
            <w:vAlign w:val="bottom"/>
          </w:tcPr>
          <w:p w14:paraId="1CF9BED5">
            <w:pPr>
              <w:pStyle w:val="109"/>
              <w:rPr>
                <w:color w:val="000000" w:themeColor="text1"/>
                <w14:textFill>
                  <w14:solidFill>
                    <w14:schemeClr w14:val="tx1"/>
                  </w14:solidFill>
                </w14:textFill>
              </w:rPr>
            </w:pPr>
            <w:r>
              <w:rPr>
                <w:color w:val="000000" w:themeColor="text1"/>
                <w14:textFill>
                  <w14:solidFill>
                    <w14:schemeClr w14:val="tx1"/>
                  </w14:solidFill>
                </w14:textFill>
              </w:rPr>
              <w:t>敏感程度</w:t>
            </w:r>
          </w:p>
        </w:tc>
        <w:tc>
          <w:tcPr>
            <w:tcW w:w="5818" w:type="dxa"/>
            <w:vAlign w:val="bottom"/>
          </w:tcPr>
          <w:p w14:paraId="341ABD35">
            <w:pPr>
              <w:pStyle w:val="109"/>
              <w:rPr>
                <w:color w:val="000000" w:themeColor="text1"/>
                <w14:textFill>
                  <w14:solidFill>
                    <w14:schemeClr w14:val="tx1"/>
                  </w14:solidFill>
                </w14:textFill>
              </w:rPr>
            </w:pPr>
            <w:r>
              <w:rPr>
                <w:color w:val="000000" w:themeColor="text1"/>
                <w14:textFill>
                  <w14:solidFill>
                    <w14:schemeClr w14:val="tx1"/>
                  </w14:solidFill>
                </w14:textFill>
              </w:rPr>
              <w:t>判别依据</w:t>
            </w:r>
          </w:p>
        </w:tc>
        <w:tc>
          <w:tcPr>
            <w:tcW w:w="1824" w:type="dxa"/>
            <w:vAlign w:val="bottom"/>
          </w:tcPr>
          <w:p w14:paraId="00D96D34">
            <w:pPr>
              <w:pStyle w:val="109"/>
              <w:rPr>
                <w:color w:val="000000" w:themeColor="text1"/>
                <w14:textFill>
                  <w14:solidFill>
                    <w14:schemeClr w14:val="tx1"/>
                  </w14:solidFill>
                </w14:textFill>
              </w:rPr>
            </w:pPr>
            <w:r>
              <w:rPr>
                <w:color w:val="000000" w:themeColor="text1"/>
                <w14:textFill>
                  <w14:solidFill>
                    <w14:schemeClr w14:val="tx1"/>
                  </w14:solidFill>
                </w14:textFill>
              </w:rPr>
              <w:t>本项目属性</w:t>
            </w:r>
          </w:p>
        </w:tc>
      </w:tr>
      <w:tr w14:paraId="72B7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445" w:type="dxa"/>
            <w:vAlign w:val="center"/>
          </w:tcPr>
          <w:p w14:paraId="7FE05DC6">
            <w:pPr>
              <w:pStyle w:val="109"/>
              <w:rPr>
                <w:color w:val="000000" w:themeColor="text1"/>
                <w14:textFill>
                  <w14:solidFill>
                    <w14:schemeClr w14:val="tx1"/>
                  </w14:solidFill>
                </w14:textFill>
              </w:rPr>
            </w:pPr>
            <w:r>
              <w:rPr>
                <w:color w:val="000000" w:themeColor="text1"/>
                <w14:textFill>
                  <w14:solidFill>
                    <w14:schemeClr w14:val="tx1"/>
                  </w14:solidFill>
                </w14:textFill>
              </w:rPr>
              <w:t>敏感</w:t>
            </w:r>
          </w:p>
        </w:tc>
        <w:tc>
          <w:tcPr>
            <w:tcW w:w="5818" w:type="dxa"/>
          </w:tcPr>
          <w:p w14:paraId="5D7A78EA">
            <w:pPr>
              <w:pStyle w:val="109"/>
              <w:rPr>
                <w:color w:val="000000" w:themeColor="text1"/>
                <w14:textFill>
                  <w14:solidFill>
                    <w14:schemeClr w14:val="tx1"/>
                  </w14:solidFill>
                </w14:textFill>
              </w:rPr>
            </w:pPr>
            <w:r>
              <w:rPr>
                <w:color w:val="000000" w:themeColor="text1"/>
                <w14:textFill>
                  <w14:solidFill>
                    <w14:schemeClr w14:val="tx1"/>
                  </w14:solidFill>
                </w14:textFill>
              </w:rPr>
              <w:t>建设项目周边存在耕地、园地、牧草地、自来水源地或居民区、 学校、医院、疗养院、养老院等土壤环境敏感目标的</w:t>
            </w:r>
          </w:p>
        </w:tc>
        <w:tc>
          <w:tcPr>
            <w:tcW w:w="1824" w:type="dxa"/>
            <w:vMerge w:val="restart"/>
            <w:vAlign w:val="center"/>
          </w:tcPr>
          <w:p w14:paraId="3E7D9488">
            <w:pPr>
              <w:pStyle w:val="109"/>
              <w:rPr>
                <w:color w:val="000000" w:themeColor="text1"/>
                <w14:textFill>
                  <w14:solidFill>
                    <w14:schemeClr w14:val="tx1"/>
                  </w14:solidFill>
                </w14:textFill>
              </w:rPr>
            </w:pPr>
            <w:r>
              <w:rPr>
                <w:color w:val="000000" w:themeColor="text1"/>
                <w14:textFill>
                  <w14:solidFill>
                    <w14:schemeClr w14:val="tx1"/>
                  </w14:solidFill>
                </w14:textFill>
              </w:rPr>
              <w:t>本项目为</w:t>
            </w:r>
            <w:r>
              <w:rPr>
                <w:rFonts w:hint="eastAsia"/>
                <w:color w:val="000000" w:themeColor="text1"/>
                <w14:textFill>
                  <w14:solidFill>
                    <w14:schemeClr w14:val="tx1"/>
                  </w14:solidFill>
                </w14:textFill>
              </w:rPr>
              <w:t>不</w:t>
            </w:r>
            <w:r>
              <w:rPr>
                <w:color w:val="000000" w:themeColor="text1"/>
                <w14:textFill>
                  <w14:solidFill>
                    <w14:schemeClr w14:val="tx1"/>
                  </w14:solidFill>
                </w14:textFill>
              </w:rPr>
              <w:t>敏感</w:t>
            </w:r>
          </w:p>
        </w:tc>
      </w:tr>
      <w:tr w14:paraId="18AF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445" w:type="dxa"/>
          </w:tcPr>
          <w:p w14:paraId="15CB1C74">
            <w:pPr>
              <w:pStyle w:val="109"/>
              <w:rPr>
                <w:color w:val="000000" w:themeColor="text1"/>
                <w14:textFill>
                  <w14:solidFill>
                    <w14:schemeClr w14:val="tx1"/>
                  </w14:solidFill>
                </w14:textFill>
              </w:rPr>
            </w:pPr>
            <w:r>
              <w:rPr>
                <w:color w:val="000000" w:themeColor="text1"/>
                <w14:textFill>
                  <w14:solidFill>
                    <w14:schemeClr w14:val="tx1"/>
                  </w14:solidFill>
                </w14:textFill>
              </w:rPr>
              <w:t>较敏感</w:t>
            </w:r>
          </w:p>
        </w:tc>
        <w:tc>
          <w:tcPr>
            <w:tcW w:w="5818" w:type="dxa"/>
          </w:tcPr>
          <w:p w14:paraId="2C0F41C5">
            <w:pPr>
              <w:pStyle w:val="109"/>
              <w:rPr>
                <w:color w:val="000000" w:themeColor="text1"/>
                <w14:textFill>
                  <w14:solidFill>
                    <w14:schemeClr w14:val="tx1"/>
                  </w14:solidFill>
                </w14:textFill>
              </w:rPr>
            </w:pPr>
            <w:r>
              <w:rPr>
                <w:color w:val="000000" w:themeColor="text1"/>
                <w14:textFill>
                  <w14:solidFill>
                    <w14:schemeClr w14:val="tx1"/>
                  </w14:solidFill>
                </w14:textFill>
              </w:rPr>
              <w:t>建设项目周边存在其他土壤环境敏感目标的</w:t>
            </w:r>
          </w:p>
        </w:tc>
        <w:tc>
          <w:tcPr>
            <w:tcW w:w="1824" w:type="dxa"/>
            <w:vMerge w:val="continue"/>
            <w:vAlign w:val="center"/>
          </w:tcPr>
          <w:p w14:paraId="605ADBCF">
            <w:pPr>
              <w:pStyle w:val="109"/>
              <w:rPr>
                <w:color w:val="000000" w:themeColor="text1"/>
                <w14:textFill>
                  <w14:solidFill>
                    <w14:schemeClr w14:val="tx1"/>
                  </w14:solidFill>
                </w14:textFill>
              </w:rPr>
            </w:pPr>
          </w:p>
        </w:tc>
      </w:tr>
      <w:tr w14:paraId="53E0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445" w:type="dxa"/>
          </w:tcPr>
          <w:p w14:paraId="218F9418">
            <w:pPr>
              <w:pStyle w:val="109"/>
              <w:rPr>
                <w:color w:val="000000" w:themeColor="text1"/>
                <w14:textFill>
                  <w14:solidFill>
                    <w14:schemeClr w14:val="tx1"/>
                  </w14:solidFill>
                </w14:textFill>
              </w:rPr>
            </w:pPr>
            <w:r>
              <w:rPr>
                <w:color w:val="000000" w:themeColor="text1"/>
                <w14:textFill>
                  <w14:solidFill>
                    <w14:schemeClr w14:val="tx1"/>
                  </w14:solidFill>
                </w14:textFill>
              </w:rPr>
              <w:t>不敏感</w:t>
            </w:r>
          </w:p>
        </w:tc>
        <w:tc>
          <w:tcPr>
            <w:tcW w:w="5818" w:type="dxa"/>
            <w:shd w:val="clear" w:color="auto" w:fill="D8D8D8" w:themeFill="background1" w:themeFillShade="D9"/>
          </w:tcPr>
          <w:p w14:paraId="1C31216E">
            <w:pPr>
              <w:pStyle w:val="109"/>
              <w:rPr>
                <w:color w:val="000000" w:themeColor="text1"/>
                <w14:textFill>
                  <w14:solidFill>
                    <w14:schemeClr w14:val="tx1"/>
                  </w14:solidFill>
                </w14:textFill>
              </w:rPr>
            </w:pPr>
            <w:r>
              <w:rPr>
                <w:color w:val="000000" w:themeColor="text1"/>
                <w14:textFill>
                  <w14:solidFill>
                    <w14:schemeClr w14:val="tx1"/>
                  </w14:solidFill>
                </w14:textFill>
              </w:rPr>
              <w:t>其他情况</w:t>
            </w:r>
          </w:p>
        </w:tc>
        <w:tc>
          <w:tcPr>
            <w:tcW w:w="1824" w:type="dxa"/>
            <w:vMerge w:val="continue"/>
            <w:vAlign w:val="center"/>
          </w:tcPr>
          <w:p w14:paraId="23DC4218">
            <w:pPr>
              <w:pStyle w:val="109"/>
              <w:rPr>
                <w:color w:val="000000" w:themeColor="text1"/>
                <w14:textFill>
                  <w14:solidFill>
                    <w14:schemeClr w14:val="tx1"/>
                  </w14:solidFill>
                </w14:textFill>
              </w:rPr>
            </w:pPr>
          </w:p>
        </w:tc>
      </w:tr>
    </w:tbl>
    <w:p w14:paraId="5ABAC2F8">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工程占地面积约等于2公顷，占地规模为小型。本工程占地属于工业用地，所在地现状调查范围内无耕地，土壤环境敏感程度为不敏感。</w:t>
      </w:r>
    </w:p>
    <w:p w14:paraId="0FECB5EA">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根据土壤环境评价项目类别、占地规模与敏感程度划分评价工作等级，建设项目土壤环境影响评价工作等级划分见下表。</w:t>
      </w:r>
    </w:p>
    <w:p w14:paraId="070B85B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污染影响型土壤环境评价工作等级划分依据一览表</w:t>
      </w:r>
    </w:p>
    <w:tbl>
      <w:tblPr>
        <w:tblStyle w:val="7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62"/>
        <w:gridCol w:w="905"/>
        <w:gridCol w:w="712"/>
        <w:gridCol w:w="713"/>
        <w:gridCol w:w="712"/>
        <w:gridCol w:w="712"/>
        <w:gridCol w:w="713"/>
        <w:gridCol w:w="712"/>
        <w:gridCol w:w="712"/>
        <w:gridCol w:w="713"/>
      </w:tblGrid>
      <w:tr w14:paraId="5312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7" w:type="dxa"/>
            <w:vMerge w:val="restart"/>
            <w:vAlign w:val="center"/>
          </w:tcPr>
          <w:p w14:paraId="60155754">
            <w:pPr>
              <w:pStyle w:val="109"/>
              <w:rPr>
                <w:color w:val="000000" w:themeColor="text1"/>
                <w14:textFill>
                  <w14:solidFill>
                    <w14:schemeClr w14:val="tx1"/>
                  </w14:solidFill>
                </w14:textFill>
              </w:rPr>
            </w:pPr>
            <w:r>
              <w:rPr>
                <w:color w:val="000000" w:themeColor="text1"/>
                <w14:textFill>
                  <w14:solidFill>
                    <w14:schemeClr w14:val="tx1"/>
                  </w14:solidFill>
                </w14:textFill>
              </w:rPr>
              <w:t>占地规模</w:t>
            </w:r>
          </w:p>
          <w:p w14:paraId="2DC424E8">
            <w:pPr>
              <w:pStyle w:val="109"/>
              <w:rPr>
                <w:color w:val="000000" w:themeColor="text1"/>
                <w14:textFill>
                  <w14:solidFill>
                    <w14:schemeClr w14:val="tx1"/>
                  </w14:solidFill>
                </w14:textFill>
              </w:rPr>
            </w:pPr>
            <w:r>
              <w:rPr>
                <w:color w:val="000000" w:themeColor="text1"/>
                <w14:textFill>
                  <w14:solidFill>
                    <w14:schemeClr w14:val="tx1"/>
                  </w14:solidFill>
                </w14:textFill>
              </w:rPr>
              <w:t>敏感程度</w:t>
            </w:r>
          </w:p>
        </w:tc>
        <w:tc>
          <w:tcPr>
            <w:tcW w:w="2058" w:type="dxa"/>
            <w:gridSpan w:val="3"/>
            <w:vAlign w:val="center"/>
          </w:tcPr>
          <w:p w14:paraId="58C8A7A1">
            <w:pPr>
              <w:pStyle w:val="109"/>
              <w:rPr>
                <w:color w:val="000000" w:themeColor="text1"/>
                <w14:textFill>
                  <w14:solidFill>
                    <w14:schemeClr w14:val="tx1"/>
                  </w14:solidFill>
                </w14:textFill>
              </w:rPr>
            </w:pPr>
            <w:r>
              <w:rPr>
                <w:color w:val="000000" w:themeColor="text1"/>
                <w14:textFill>
                  <w14:solidFill>
                    <w14:schemeClr w14:val="tx1"/>
                  </w14:solidFill>
                </w14:textFill>
              </w:rPr>
              <w:t>Ⅰ类</w:t>
            </w:r>
          </w:p>
        </w:tc>
        <w:tc>
          <w:tcPr>
            <w:tcW w:w="1888" w:type="dxa"/>
            <w:gridSpan w:val="3"/>
            <w:vAlign w:val="center"/>
          </w:tcPr>
          <w:p w14:paraId="24D3B30B">
            <w:pPr>
              <w:pStyle w:val="109"/>
              <w:rPr>
                <w:color w:val="000000" w:themeColor="text1"/>
                <w14:textFill>
                  <w14:solidFill>
                    <w14:schemeClr w14:val="tx1"/>
                  </w14:solidFill>
                </w14:textFill>
              </w:rPr>
            </w:pPr>
            <w:r>
              <w:rPr>
                <w:color w:val="000000" w:themeColor="text1"/>
                <w14:textFill>
                  <w14:solidFill>
                    <w14:schemeClr w14:val="tx1"/>
                  </w14:solidFill>
                </w14:textFill>
              </w:rPr>
              <w:t>Ⅱ类</w:t>
            </w:r>
          </w:p>
        </w:tc>
        <w:tc>
          <w:tcPr>
            <w:tcW w:w="1888" w:type="dxa"/>
            <w:gridSpan w:val="3"/>
            <w:vAlign w:val="center"/>
          </w:tcPr>
          <w:p w14:paraId="68886185">
            <w:pPr>
              <w:pStyle w:val="109"/>
              <w:rPr>
                <w:color w:val="000000" w:themeColor="text1"/>
                <w14:textFill>
                  <w14:solidFill>
                    <w14:schemeClr w14:val="tx1"/>
                  </w14:solidFill>
                </w14:textFill>
              </w:rPr>
            </w:pPr>
            <w:r>
              <w:rPr>
                <w:color w:val="000000" w:themeColor="text1"/>
                <w14:textFill>
                  <w14:solidFill>
                    <w14:schemeClr w14:val="tx1"/>
                  </w14:solidFill>
                </w14:textFill>
              </w:rPr>
              <w:t>Ⅲ类</w:t>
            </w:r>
          </w:p>
        </w:tc>
      </w:tr>
      <w:tr w14:paraId="3BF3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7" w:type="dxa"/>
            <w:vMerge w:val="continue"/>
            <w:vAlign w:val="center"/>
          </w:tcPr>
          <w:p w14:paraId="77426B58">
            <w:pPr>
              <w:pStyle w:val="109"/>
              <w:rPr>
                <w:color w:val="000000" w:themeColor="text1"/>
                <w14:textFill>
                  <w14:solidFill>
                    <w14:schemeClr w14:val="tx1"/>
                  </w14:solidFill>
                </w14:textFill>
              </w:rPr>
            </w:pPr>
          </w:p>
        </w:tc>
        <w:tc>
          <w:tcPr>
            <w:tcW w:w="799" w:type="dxa"/>
            <w:vAlign w:val="center"/>
          </w:tcPr>
          <w:p w14:paraId="4A1D08CD">
            <w:pPr>
              <w:pStyle w:val="109"/>
              <w:rPr>
                <w:color w:val="000000" w:themeColor="text1"/>
                <w14:textFill>
                  <w14:solidFill>
                    <w14:schemeClr w14:val="tx1"/>
                  </w14:solidFill>
                </w14:textFill>
              </w:rPr>
            </w:pPr>
            <w:r>
              <w:rPr>
                <w:color w:val="000000" w:themeColor="text1"/>
                <w14:textFill>
                  <w14:solidFill>
                    <w14:schemeClr w14:val="tx1"/>
                  </w14:solidFill>
                </w14:textFill>
              </w:rPr>
              <w:t>大</w:t>
            </w:r>
          </w:p>
        </w:tc>
        <w:tc>
          <w:tcPr>
            <w:tcW w:w="629" w:type="dxa"/>
            <w:vAlign w:val="center"/>
          </w:tcPr>
          <w:p w14:paraId="56E787CC">
            <w:pPr>
              <w:pStyle w:val="109"/>
              <w:rPr>
                <w:color w:val="000000" w:themeColor="text1"/>
                <w14:textFill>
                  <w14:solidFill>
                    <w14:schemeClr w14:val="tx1"/>
                  </w14:solidFill>
                </w14:textFill>
              </w:rPr>
            </w:pPr>
            <w:r>
              <w:rPr>
                <w:color w:val="000000" w:themeColor="text1"/>
                <w14:textFill>
                  <w14:solidFill>
                    <w14:schemeClr w14:val="tx1"/>
                  </w14:solidFill>
                </w14:textFill>
              </w:rPr>
              <w:t>中</w:t>
            </w:r>
          </w:p>
        </w:tc>
        <w:tc>
          <w:tcPr>
            <w:tcW w:w="630" w:type="dxa"/>
            <w:vAlign w:val="center"/>
          </w:tcPr>
          <w:p w14:paraId="0B518976">
            <w:pPr>
              <w:pStyle w:val="109"/>
              <w:rPr>
                <w:color w:val="000000" w:themeColor="text1"/>
                <w14:textFill>
                  <w14:solidFill>
                    <w14:schemeClr w14:val="tx1"/>
                  </w14:solidFill>
                </w14:textFill>
              </w:rPr>
            </w:pPr>
            <w:r>
              <w:rPr>
                <w:color w:val="000000" w:themeColor="text1"/>
                <w14:textFill>
                  <w14:solidFill>
                    <w14:schemeClr w14:val="tx1"/>
                  </w14:solidFill>
                </w14:textFill>
              </w:rPr>
              <w:t>小</w:t>
            </w:r>
          </w:p>
        </w:tc>
        <w:tc>
          <w:tcPr>
            <w:tcW w:w="629" w:type="dxa"/>
            <w:vAlign w:val="center"/>
          </w:tcPr>
          <w:p w14:paraId="52131A01">
            <w:pPr>
              <w:pStyle w:val="109"/>
              <w:rPr>
                <w:color w:val="000000" w:themeColor="text1"/>
                <w14:textFill>
                  <w14:solidFill>
                    <w14:schemeClr w14:val="tx1"/>
                  </w14:solidFill>
                </w14:textFill>
              </w:rPr>
            </w:pPr>
            <w:r>
              <w:rPr>
                <w:color w:val="000000" w:themeColor="text1"/>
                <w14:textFill>
                  <w14:solidFill>
                    <w14:schemeClr w14:val="tx1"/>
                  </w14:solidFill>
                </w14:textFill>
              </w:rPr>
              <w:t>大</w:t>
            </w:r>
          </w:p>
        </w:tc>
        <w:tc>
          <w:tcPr>
            <w:tcW w:w="629" w:type="dxa"/>
            <w:vAlign w:val="center"/>
          </w:tcPr>
          <w:p w14:paraId="41D983A9">
            <w:pPr>
              <w:pStyle w:val="109"/>
              <w:rPr>
                <w:color w:val="000000" w:themeColor="text1"/>
                <w14:textFill>
                  <w14:solidFill>
                    <w14:schemeClr w14:val="tx1"/>
                  </w14:solidFill>
                </w14:textFill>
              </w:rPr>
            </w:pPr>
            <w:r>
              <w:rPr>
                <w:color w:val="000000" w:themeColor="text1"/>
                <w14:textFill>
                  <w14:solidFill>
                    <w14:schemeClr w14:val="tx1"/>
                  </w14:solidFill>
                </w14:textFill>
              </w:rPr>
              <w:t>中</w:t>
            </w:r>
          </w:p>
        </w:tc>
        <w:tc>
          <w:tcPr>
            <w:tcW w:w="630" w:type="dxa"/>
            <w:vAlign w:val="center"/>
          </w:tcPr>
          <w:p w14:paraId="509CC86E">
            <w:pPr>
              <w:pStyle w:val="109"/>
              <w:rPr>
                <w:color w:val="000000" w:themeColor="text1"/>
                <w14:textFill>
                  <w14:solidFill>
                    <w14:schemeClr w14:val="tx1"/>
                  </w14:solidFill>
                </w14:textFill>
              </w:rPr>
            </w:pPr>
            <w:r>
              <w:rPr>
                <w:color w:val="000000" w:themeColor="text1"/>
                <w14:textFill>
                  <w14:solidFill>
                    <w14:schemeClr w14:val="tx1"/>
                  </w14:solidFill>
                </w14:textFill>
              </w:rPr>
              <w:t>小</w:t>
            </w:r>
          </w:p>
        </w:tc>
        <w:tc>
          <w:tcPr>
            <w:tcW w:w="629" w:type="dxa"/>
            <w:vAlign w:val="center"/>
          </w:tcPr>
          <w:p w14:paraId="29C1FC3A">
            <w:pPr>
              <w:pStyle w:val="109"/>
              <w:rPr>
                <w:color w:val="000000" w:themeColor="text1"/>
                <w14:textFill>
                  <w14:solidFill>
                    <w14:schemeClr w14:val="tx1"/>
                  </w14:solidFill>
                </w14:textFill>
              </w:rPr>
            </w:pPr>
            <w:r>
              <w:rPr>
                <w:color w:val="000000" w:themeColor="text1"/>
                <w14:textFill>
                  <w14:solidFill>
                    <w14:schemeClr w14:val="tx1"/>
                  </w14:solidFill>
                </w14:textFill>
              </w:rPr>
              <w:t>大</w:t>
            </w:r>
          </w:p>
        </w:tc>
        <w:tc>
          <w:tcPr>
            <w:tcW w:w="629" w:type="dxa"/>
            <w:vAlign w:val="center"/>
          </w:tcPr>
          <w:p w14:paraId="11F615DD">
            <w:pPr>
              <w:pStyle w:val="109"/>
              <w:rPr>
                <w:color w:val="000000" w:themeColor="text1"/>
                <w14:textFill>
                  <w14:solidFill>
                    <w14:schemeClr w14:val="tx1"/>
                  </w14:solidFill>
                </w14:textFill>
              </w:rPr>
            </w:pPr>
            <w:r>
              <w:rPr>
                <w:color w:val="000000" w:themeColor="text1"/>
                <w14:textFill>
                  <w14:solidFill>
                    <w14:schemeClr w14:val="tx1"/>
                  </w14:solidFill>
                </w14:textFill>
              </w:rPr>
              <w:t>中</w:t>
            </w:r>
          </w:p>
        </w:tc>
        <w:tc>
          <w:tcPr>
            <w:tcW w:w="630" w:type="dxa"/>
            <w:vAlign w:val="center"/>
          </w:tcPr>
          <w:p w14:paraId="28B17C21">
            <w:pPr>
              <w:pStyle w:val="109"/>
              <w:rPr>
                <w:color w:val="000000" w:themeColor="text1"/>
                <w14:textFill>
                  <w14:solidFill>
                    <w14:schemeClr w14:val="tx1"/>
                  </w14:solidFill>
                </w14:textFill>
              </w:rPr>
            </w:pPr>
            <w:r>
              <w:rPr>
                <w:color w:val="000000" w:themeColor="text1"/>
                <w14:textFill>
                  <w14:solidFill>
                    <w14:schemeClr w14:val="tx1"/>
                  </w14:solidFill>
                </w14:textFill>
              </w:rPr>
              <w:t>小</w:t>
            </w:r>
          </w:p>
        </w:tc>
      </w:tr>
      <w:tr w14:paraId="45F7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7" w:type="dxa"/>
            <w:vAlign w:val="center"/>
          </w:tcPr>
          <w:p w14:paraId="11C05351">
            <w:pPr>
              <w:pStyle w:val="109"/>
              <w:rPr>
                <w:color w:val="000000" w:themeColor="text1"/>
                <w14:textFill>
                  <w14:solidFill>
                    <w14:schemeClr w14:val="tx1"/>
                  </w14:solidFill>
                </w14:textFill>
              </w:rPr>
            </w:pPr>
            <w:r>
              <w:rPr>
                <w:color w:val="000000" w:themeColor="text1"/>
                <w14:textFill>
                  <w14:solidFill>
                    <w14:schemeClr w14:val="tx1"/>
                  </w14:solidFill>
                </w14:textFill>
              </w:rPr>
              <w:t>敏感</w:t>
            </w:r>
          </w:p>
        </w:tc>
        <w:tc>
          <w:tcPr>
            <w:tcW w:w="799" w:type="dxa"/>
            <w:vAlign w:val="center"/>
          </w:tcPr>
          <w:p w14:paraId="1A48FAC2">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629" w:type="dxa"/>
            <w:vAlign w:val="center"/>
          </w:tcPr>
          <w:p w14:paraId="7CC89E05">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630" w:type="dxa"/>
            <w:vAlign w:val="center"/>
          </w:tcPr>
          <w:p w14:paraId="376312D7">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629" w:type="dxa"/>
            <w:vAlign w:val="center"/>
          </w:tcPr>
          <w:p w14:paraId="6ED680AB">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29" w:type="dxa"/>
            <w:vAlign w:val="center"/>
          </w:tcPr>
          <w:p w14:paraId="361313A9">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30" w:type="dxa"/>
            <w:vAlign w:val="center"/>
          </w:tcPr>
          <w:p w14:paraId="14E617D5">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29" w:type="dxa"/>
            <w:vAlign w:val="center"/>
          </w:tcPr>
          <w:p w14:paraId="5A2D0D43">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629" w:type="dxa"/>
            <w:vAlign w:val="center"/>
          </w:tcPr>
          <w:p w14:paraId="0D6296BD">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630" w:type="dxa"/>
            <w:vAlign w:val="center"/>
          </w:tcPr>
          <w:p w14:paraId="1A3D8A82">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r>
      <w:tr w14:paraId="6BBF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7" w:type="dxa"/>
            <w:vAlign w:val="center"/>
          </w:tcPr>
          <w:p w14:paraId="3D2D4C10">
            <w:pPr>
              <w:pStyle w:val="109"/>
              <w:rPr>
                <w:color w:val="000000" w:themeColor="text1"/>
                <w14:textFill>
                  <w14:solidFill>
                    <w14:schemeClr w14:val="tx1"/>
                  </w14:solidFill>
                </w14:textFill>
              </w:rPr>
            </w:pPr>
            <w:r>
              <w:rPr>
                <w:color w:val="000000" w:themeColor="text1"/>
                <w14:textFill>
                  <w14:solidFill>
                    <w14:schemeClr w14:val="tx1"/>
                  </w14:solidFill>
                </w14:textFill>
              </w:rPr>
              <w:t>较敏感</w:t>
            </w:r>
          </w:p>
        </w:tc>
        <w:tc>
          <w:tcPr>
            <w:tcW w:w="799" w:type="dxa"/>
            <w:vAlign w:val="center"/>
          </w:tcPr>
          <w:p w14:paraId="0DCBC986">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629" w:type="dxa"/>
            <w:vAlign w:val="center"/>
          </w:tcPr>
          <w:p w14:paraId="5DFEC6A3">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630" w:type="dxa"/>
            <w:vAlign w:val="center"/>
          </w:tcPr>
          <w:p w14:paraId="12173475">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29" w:type="dxa"/>
            <w:vAlign w:val="center"/>
          </w:tcPr>
          <w:p w14:paraId="1F442CCB">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29" w:type="dxa"/>
            <w:vAlign w:val="center"/>
          </w:tcPr>
          <w:p w14:paraId="15773BBE">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30" w:type="dxa"/>
            <w:vAlign w:val="center"/>
          </w:tcPr>
          <w:p w14:paraId="1A3BB341">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629" w:type="dxa"/>
            <w:vAlign w:val="center"/>
          </w:tcPr>
          <w:p w14:paraId="7F58862C">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629" w:type="dxa"/>
            <w:vAlign w:val="center"/>
          </w:tcPr>
          <w:p w14:paraId="022043B8">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630" w:type="dxa"/>
            <w:vAlign w:val="center"/>
          </w:tcPr>
          <w:p w14:paraId="2AD2958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4D4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7" w:type="dxa"/>
            <w:vAlign w:val="center"/>
          </w:tcPr>
          <w:p w14:paraId="20EAAEA2">
            <w:pPr>
              <w:pStyle w:val="109"/>
              <w:rPr>
                <w:color w:val="000000" w:themeColor="text1"/>
                <w14:textFill>
                  <w14:solidFill>
                    <w14:schemeClr w14:val="tx1"/>
                  </w14:solidFill>
                </w14:textFill>
              </w:rPr>
            </w:pPr>
            <w:r>
              <w:rPr>
                <w:color w:val="000000" w:themeColor="text1"/>
                <w14:textFill>
                  <w14:solidFill>
                    <w14:schemeClr w14:val="tx1"/>
                  </w14:solidFill>
                </w14:textFill>
              </w:rPr>
              <w:t>不敏感</w:t>
            </w:r>
          </w:p>
        </w:tc>
        <w:tc>
          <w:tcPr>
            <w:tcW w:w="799" w:type="dxa"/>
            <w:vAlign w:val="center"/>
          </w:tcPr>
          <w:p w14:paraId="663A4169">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629" w:type="dxa"/>
            <w:vAlign w:val="center"/>
          </w:tcPr>
          <w:p w14:paraId="63EC3AB3">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30" w:type="dxa"/>
            <w:shd w:val="clear" w:color="auto" w:fill="D8D8D8" w:themeFill="background1" w:themeFillShade="D9"/>
            <w:vAlign w:val="center"/>
          </w:tcPr>
          <w:p w14:paraId="7894D1E5">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29" w:type="dxa"/>
            <w:vAlign w:val="center"/>
          </w:tcPr>
          <w:p w14:paraId="00453B7A">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629" w:type="dxa"/>
            <w:vAlign w:val="center"/>
          </w:tcPr>
          <w:p w14:paraId="7B075F67">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630" w:type="dxa"/>
            <w:vAlign w:val="center"/>
          </w:tcPr>
          <w:p w14:paraId="64E3F970">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629" w:type="dxa"/>
            <w:vAlign w:val="center"/>
          </w:tcPr>
          <w:p w14:paraId="18E5320E">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629" w:type="dxa"/>
            <w:vAlign w:val="center"/>
          </w:tcPr>
          <w:p w14:paraId="2BBDF9E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630" w:type="dxa"/>
            <w:vAlign w:val="center"/>
          </w:tcPr>
          <w:p w14:paraId="322A1E2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08E4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61" w:type="dxa"/>
            <w:gridSpan w:val="10"/>
            <w:vAlign w:val="center"/>
          </w:tcPr>
          <w:p w14:paraId="269DA58A">
            <w:pPr>
              <w:pStyle w:val="109"/>
              <w:rPr>
                <w:color w:val="000000" w:themeColor="text1"/>
                <w14:textFill>
                  <w14:solidFill>
                    <w14:schemeClr w14:val="tx1"/>
                  </w14:solidFill>
                </w14:textFill>
              </w:rPr>
            </w:pPr>
            <w:r>
              <w:rPr>
                <w:color w:val="000000" w:themeColor="text1"/>
                <w14:textFill>
                  <w14:solidFill>
                    <w14:schemeClr w14:val="tx1"/>
                  </w14:solidFill>
                </w14:textFill>
              </w:rPr>
              <w:t>注</w:t>
            </w:r>
            <w:r>
              <w:rPr>
                <w:color w:val="000000" w:themeColor="text1"/>
                <w:spacing w:val="-106"/>
                <w14:textFill>
                  <w14:solidFill>
                    <w14:schemeClr w14:val="tx1"/>
                  </w14:solidFill>
                </w14:textFill>
              </w:rPr>
              <w:t>：</w:t>
            </w:r>
            <w:r>
              <w:rPr>
                <w:color w:val="000000" w:themeColor="text1"/>
                <w:spacing w:val="-1"/>
                <w14:textFill>
                  <w14:solidFill>
                    <w14:schemeClr w14:val="tx1"/>
                  </w14:solidFill>
                </w14:textFill>
              </w:rPr>
              <w:t>“</w:t>
            </w:r>
            <w:r>
              <w:rPr>
                <w:color w:val="000000" w:themeColor="text1"/>
                <w:spacing w:val="-4"/>
                <w14:textFill>
                  <w14:solidFill>
                    <w14:schemeClr w14:val="tx1"/>
                  </w14:solidFill>
                </w14:textFill>
              </w:rPr>
              <w:t>-</w:t>
            </w:r>
            <w:r>
              <w:rPr>
                <w:color w:val="000000" w:themeColor="text1"/>
                <w14:textFill>
                  <w14:solidFill>
                    <w14:schemeClr w14:val="tx1"/>
                  </w14:solidFill>
                </w14:textFill>
              </w:rPr>
              <w:t>”</w:t>
            </w:r>
            <w:r>
              <w:rPr>
                <w:color w:val="000000" w:themeColor="text1"/>
                <w:spacing w:val="-3"/>
                <w14:textFill>
                  <w14:solidFill>
                    <w14:schemeClr w14:val="tx1"/>
                  </w14:solidFill>
                </w14:textFill>
              </w:rPr>
              <w:t>表</w:t>
            </w:r>
            <w:r>
              <w:rPr>
                <w:color w:val="000000" w:themeColor="text1"/>
                <w14:textFill>
                  <w14:solidFill>
                    <w14:schemeClr w14:val="tx1"/>
                  </w14:solidFill>
                </w14:textFill>
              </w:rPr>
              <w:t>示</w:t>
            </w:r>
            <w:r>
              <w:rPr>
                <w:color w:val="000000" w:themeColor="text1"/>
                <w:spacing w:val="-3"/>
                <w14:textFill>
                  <w14:solidFill>
                    <w14:schemeClr w14:val="tx1"/>
                  </w14:solidFill>
                </w14:textFill>
              </w:rPr>
              <w:t>可</w:t>
            </w:r>
            <w:r>
              <w:rPr>
                <w:color w:val="000000" w:themeColor="text1"/>
                <w14:textFill>
                  <w14:solidFill>
                    <w14:schemeClr w14:val="tx1"/>
                  </w14:solidFill>
                </w14:textFill>
              </w:rPr>
              <w:t>不</w:t>
            </w:r>
            <w:r>
              <w:rPr>
                <w:color w:val="000000" w:themeColor="text1"/>
                <w:spacing w:val="-3"/>
                <w14:textFill>
                  <w14:solidFill>
                    <w14:schemeClr w14:val="tx1"/>
                  </w14:solidFill>
                </w14:textFill>
              </w:rPr>
              <w:t>开</w:t>
            </w:r>
            <w:r>
              <w:rPr>
                <w:color w:val="000000" w:themeColor="text1"/>
                <w14:textFill>
                  <w14:solidFill>
                    <w14:schemeClr w14:val="tx1"/>
                  </w14:solidFill>
                </w14:textFill>
              </w:rPr>
              <w:t>展</w:t>
            </w:r>
            <w:r>
              <w:rPr>
                <w:color w:val="000000" w:themeColor="text1"/>
                <w:spacing w:val="-3"/>
                <w14:textFill>
                  <w14:solidFill>
                    <w14:schemeClr w14:val="tx1"/>
                  </w14:solidFill>
                </w14:textFill>
              </w:rPr>
              <w:t>土</w:t>
            </w:r>
            <w:r>
              <w:rPr>
                <w:color w:val="000000" w:themeColor="text1"/>
                <w14:textFill>
                  <w14:solidFill>
                    <w14:schemeClr w14:val="tx1"/>
                  </w14:solidFill>
                </w14:textFill>
              </w:rPr>
              <w:t>壤环</w:t>
            </w:r>
            <w:r>
              <w:rPr>
                <w:color w:val="000000" w:themeColor="text1"/>
                <w:spacing w:val="-3"/>
                <w14:textFill>
                  <w14:solidFill>
                    <w14:schemeClr w14:val="tx1"/>
                  </w14:solidFill>
                </w14:textFill>
              </w:rPr>
              <w:t>境</w:t>
            </w:r>
            <w:r>
              <w:rPr>
                <w:color w:val="000000" w:themeColor="text1"/>
                <w14:textFill>
                  <w14:solidFill>
                    <w14:schemeClr w14:val="tx1"/>
                  </w14:solidFill>
                </w14:textFill>
              </w:rPr>
              <w:t>影</w:t>
            </w:r>
            <w:r>
              <w:rPr>
                <w:color w:val="000000" w:themeColor="text1"/>
                <w:spacing w:val="-3"/>
                <w14:textFill>
                  <w14:solidFill>
                    <w14:schemeClr w14:val="tx1"/>
                  </w14:solidFill>
                </w14:textFill>
              </w:rPr>
              <w:t>响</w:t>
            </w:r>
            <w:r>
              <w:rPr>
                <w:color w:val="000000" w:themeColor="text1"/>
                <w14:textFill>
                  <w14:solidFill>
                    <w14:schemeClr w14:val="tx1"/>
                  </w14:solidFill>
                </w14:textFill>
              </w:rPr>
              <w:t>评</w:t>
            </w:r>
            <w:r>
              <w:rPr>
                <w:color w:val="000000" w:themeColor="text1"/>
                <w:spacing w:val="-3"/>
                <w14:textFill>
                  <w14:solidFill>
                    <w14:schemeClr w14:val="tx1"/>
                  </w14:solidFill>
                </w14:textFill>
              </w:rPr>
              <w:t>价</w:t>
            </w:r>
            <w:r>
              <w:rPr>
                <w:color w:val="000000" w:themeColor="text1"/>
                <w14:textFill>
                  <w14:solidFill>
                    <w14:schemeClr w14:val="tx1"/>
                  </w14:solidFill>
                </w14:textFill>
              </w:rPr>
              <w:t>工</w:t>
            </w:r>
            <w:r>
              <w:rPr>
                <w:color w:val="000000" w:themeColor="text1"/>
                <w:spacing w:val="-3"/>
                <w14:textFill>
                  <w14:solidFill>
                    <w14:schemeClr w14:val="tx1"/>
                  </w14:solidFill>
                </w14:textFill>
              </w:rPr>
              <w:t>作</w:t>
            </w:r>
          </w:p>
        </w:tc>
      </w:tr>
    </w:tbl>
    <w:p w14:paraId="49D689EC">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土壤环境（试行）》（HJ964-2018）污染影响型评价工作等级划分表，本工程评价等级为二级。</w:t>
      </w:r>
    </w:p>
    <w:p w14:paraId="4675F6CE">
      <w:pPr>
        <w:kinsoku w:val="0"/>
        <w:overflowPunct w:val="0"/>
        <w:ind w:firstLine="480"/>
        <w:jc w:val="both"/>
        <w:rPr>
          <w:color w:val="000000" w:themeColor="text1"/>
          <w14:textFill>
            <w14:solidFill>
              <w14:schemeClr w14:val="tx1"/>
            </w14:solidFill>
          </w14:textFill>
        </w:rPr>
      </w:pPr>
      <w:r>
        <w:rPr>
          <w:color w:val="000000" w:themeColor="text1"/>
          <w14:textFill>
            <w14:solidFill>
              <w14:schemeClr w14:val="tx1"/>
            </w14:solidFill>
          </w14:textFill>
        </w:rPr>
        <w:t>（2）评价范围</w:t>
      </w:r>
    </w:p>
    <w:p w14:paraId="1BE8D288">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土壤环境（试行）》（HJ964-2018），确定本项目</w:t>
      </w:r>
      <w:r>
        <w:rPr>
          <w:rFonts w:hint="eastAsia"/>
          <w:color w:val="000000" w:themeColor="text1"/>
          <w14:textFill>
            <w14:solidFill>
              <w14:schemeClr w14:val="tx1"/>
            </w14:solidFill>
          </w14:textFill>
        </w:rPr>
        <w:t>评价范围为</w:t>
      </w:r>
      <w:r>
        <w:rPr>
          <w:color w:val="000000" w:themeColor="text1"/>
          <w14:textFill>
            <w14:solidFill>
              <w14:schemeClr w14:val="tx1"/>
            </w14:solidFill>
          </w14:textFill>
        </w:rPr>
        <w:t>占地范围及外扩200m范围内为评价范围</w:t>
      </w:r>
      <w:r>
        <w:rPr>
          <w:rFonts w:hint="eastAsia"/>
          <w:color w:val="000000" w:themeColor="text1"/>
          <w14:textFill>
            <w14:solidFill>
              <w14:schemeClr w14:val="tx1"/>
            </w14:solidFill>
          </w14:textFill>
        </w:rPr>
        <w:t>。</w:t>
      </w:r>
    </w:p>
    <w:p w14:paraId="524B43E8">
      <w:pPr>
        <w:pStyle w:val="3"/>
        <w:rPr>
          <w:rFonts w:ascii="Times New Roman" w:cs="Times New Roman"/>
          <w:color w:val="000000" w:themeColor="text1"/>
          <w14:textFill>
            <w14:solidFill>
              <w14:schemeClr w14:val="tx1"/>
            </w14:solidFill>
          </w14:textFill>
        </w:rPr>
      </w:pPr>
      <w:bookmarkStart w:id="164" w:name="_Toc225268279"/>
      <w:r>
        <w:rPr>
          <w:rFonts w:ascii="Times New Roman" w:cs="Times New Roman"/>
          <w:color w:val="000000" w:themeColor="text1"/>
          <w14:textFill>
            <w14:solidFill>
              <w14:schemeClr w14:val="tx1"/>
            </w14:solidFill>
          </w14:textFill>
        </w:rPr>
        <w:t>环境功能区划与评价标准</w:t>
      </w:r>
      <w:bookmarkEnd w:id="152"/>
      <w:bookmarkEnd w:id="153"/>
      <w:bookmarkEnd w:id="154"/>
      <w:bookmarkEnd w:id="155"/>
      <w:bookmarkEnd w:id="156"/>
      <w:bookmarkEnd w:id="157"/>
      <w:bookmarkEnd w:id="158"/>
      <w:bookmarkEnd w:id="159"/>
      <w:bookmarkEnd w:id="164"/>
    </w:p>
    <w:p w14:paraId="2C78F38C">
      <w:pPr>
        <w:pStyle w:val="4"/>
        <w:rPr>
          <w:rFonts w:ascii="Times New Roman" w:cs="Times New Roman"/>
          <w:color w:val="000000" w:themeColor="text1"/>
          <w14:textFill>
            <w14:solidFill>
              <w14:schemeClr w14:val="tx1"/>
            </w14:solidFill>
          </w14:textFill>
        </w:rPr>
      </w:pPr>
      <w:bookmarkStart w:id="165" w:name="_Toc241117017"/>
      <w:bookmarkStart w:id="166" w:name="_Toc275880077"/>
      <w:bookmarkStart w:id="167" w:name="_Toc278649386"/>
      <w:bookmarkStart w:id="168" w:name="_Toc280691106"/>
      <w:bookmarkStart w:id="169" w:name="_Toc293592336"/>
      <w:bookmarkStart w:id="170" w:name="_Toc329793418"/>
      <w:bookmarkStart w:id="171" w:name="_Toc321821689"/>
      <w:r>
        <w:rPr>
          <w:rFonts w:ascii="Times New Roman" w:cs="Times New Roman"/>
          <w:color w:val="000000" w:themeColor="text1"/>
          <w14:textFill>
            <w14:solidFill>
              <w14:schemeClr w14:val="tx1"/>
            </w14:solidFill>
          </w14:textFill>
        </w:rPr>
        <w:t>环境功能</w:t>
      </w:r>
      <w:bookmarkEnd w:id="165"/>
      <w:bookmarkEnd w:id="166"/>
      <w:r>
        <w:rPr>
          <w:rFonts w:ascii="Times New Roman" w:cs="Times New Roman"/>
          <w:color w:val="000000" w:themeColor="text1"/>
          <w14:textFill>
            <w14:solidFill>
              <w14:schemeClr w14:val="tx1"/>
            </w14:solidFill>
          </w14:textFill>
        </w:rPr>
        <w:t>区划</w:t>
      </w:r>
      <w:bookmarkEnd w:id="167"/>
      <w:bookmarkEnd w:id="168"/>
      <w:bookmarkEnd w:id="169"/>
      <w:bookmarkEnd w:id="170"/>
      <w:bookmarkEnd w:id="171"/>
    </w:p>
    <w:p w14:paraId="37241AA6">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 环境空气质量功能区划</w:t>
      </w:r>
    </w:p>
    <w:p w14:paraId="7F1F3582">
      <w:pPr>
        <w:ind w:firstLine="480"/>
        <w:rPr>
          <w:color w:val="000000" w:themeColor="text1"/>
          <w14:textFill>
            <w14:solidFill>
              <w14:schemeClr w14:val="tx1"/>
            </w14:solidFill>
          </w14:textFill>
        </w:rPr>
      </w:pPr>
      <w:r>
        <w:rPr>
          <w:color w:val="000000" w:themeColor="text1"/>
          <w14:textFill>
            <w14:solidFill>
              <w14:schemeClr w14:val="tx1"/>
            </w14:solidFill>
          </w14:textFill>
        </w:rPr>
        <w:t>按照《环境空气质量标准》（GB3095-2026）过渡阶段中的规定，该区域的环境空气质量功能区划属二类功能区；环境空气质量执行《环境空气质量标准》（GB3095-2026）</w:t>
      </w:r>
      <w:r>
        <w:rPr>
          <w:rFonts w:hint="eastAsia"/>
          <w:color w:val="000000" w:themeColor="text1"/>
          <w14:textFill>
            <w14:solidFill>
              <w14:schemeClr w14:val="tx1"/>
            </w14:solidFill>
          </w14:textFill>
        </w:rPr>
        <w:t>过渡阶段</w:t>
      </w:r>
      <w:r>
        <w:rPr>
          <w:color w:val="000000" w:themeColor="text1"/>
          <w14:textFill>
            <w14:solidFill>
              <w14:schemeClr w14:val="tx1"/>
            </w14:solidFill>
          </w14:textFill>
        </w:rPr>
        <w:t>二级标准。</w:t>
      </w:r>
    </w:p>
    <w:p w14:paraId="670B099D">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（2）地下水环境</w:t>
      </w:r>
    </w:p>
    <w:p w14:paraId="2D7CAECB">
      <w:pPr>
        <w:ind w:firstLine="480"/>
        <w:rPr>
          <w:color w:val="000000" w:themeColor="text1"/>
          <w14:textFill>
            <w14:solidFill>
              <w14:schemeClr w14:val="tx1"/>
            </w14:solidFill>
          </w14:textFill>
        </w:rPr>
      </w:pPr>
      <w:r>
        <w:rPr>
          <w:color w:val="000000" w:themeColor="text1"/>
          <w14:textFill>
            <w14:solidFill>
              <w14:schemeClr w14:val="tx1"/>
            </w14:solidFill>
          </w14:textFill>
        </w:rPr>
        <w:t>根据《地下水质量标准》（GB/T14848-2017）中地下水质量分类“以人体健康基准值为依据”的要求，主要适用于集中式生活饮用水水源及工、农业用水的地下水为Ⅲ类水质。本项目所在区域地下水执行《地下水质量标准》（GB/T14848-2017）中的Ⅲ类标准。</w:t>
      </w:r>
    </w:p>
    <w:p w14:paraId="234A64A9">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（3）声环境功能区划</w:t>
      </w:r>
    </w:p>
    <w:p w14:paraId="780462BC">
      <w:pPr>
        <w:ind w:firstLine="480"/>
        <w:rPr>
          <w:color w:val="000000" w:themeColor="text1"/>
          <w14:textFill>
            <w14:solidFill>
              <w14:schemeClr w14:val="tx1"/>
            </w14:solidFill>
          </w14:textFill>
        </w:rPr>
      </w:pPr>
      <w:r>
        <w:rPr>
          <w:color w:val="000000" w:themeColor="text1"/>
          <w14:textFill>
            <w14:solidFill>
              <w14:schemeClr w14:val="tx1"/>
            </w14:solidFill>
          </w14:textFill>
        </w:rPr>
        <w:t>项目处于工业园区内，根据《声环境质量标准》（GB3096-2008），执行3类声环境功能区。</w:t>
      </w:r>
    </w:p>
    <w:bookmarkEnd w:id="160"/>
    <w:bookmarkEnd w:id="161"/>
    <w:bookmarkEnd w:id="162"/>
    <w:bookmarkEnd w:id="163"/>
    <w:p w14:paraId="5B4CC11A">
      <w:pPr>
        <w:pStyle w:val="4"/>
        <w:rPr>
          <w:rFonts w:ascii="Times New Roman" w:cs="Times New Roman"/>
          <w:color w:val="000000" w:themeColor="text1"/>
          <w14:textFill>
            <w14:solidFill>
              <w14:schemeClr w14:val="tx1"/>
            </w14:solidFill>
          </w14:textFill>
        </w:rPr>
      </w:pPr>
      <w:bookmarkStart w:id="172" w:name="_Toc329793420"/>
      <w:r>
        <w:rPr>
          <w:rFonts w:ascii="Times New Roman" w:cs="Times New Roman"/>
          <w:color w:val="000000" w:themeColor="text1"/>
          <w14:textFill>
            <w14:solidFill>
              <w14:schemeClr w14:val="tx1"/>
            </w14:solidFill>
          </w14:textFill>
        </w:rPr>
        <w:t>环境质量标准</w:t>
      </w:r>
      <w:bookmarkEnd w:id="172"/>
    </w:p>
    <w:p w14:paraId="2A98F78F">
      <w:pPr>
        <w:ind w:firstLine="482"/>
        <w:rPr>
          <w:b/>
          <w:color w:val="000000" w:themeColor="text1"/>
          <w14:textFill>
            <w14:solidFill>
              <w14:schemeClr w14:val="tx1"/>
            </w14:solidFill>
          </w14:textFill>
        </w:rPr>
      </w:pPr>
      <w:bookmarkStart w:id="173" w:name="_Hlk62309686"/>
      <w:r>
        <w:rPr>
          <w:b/>
          <w:color w:val="000000" w:themeColor="text1"/>
          <w14:textFill>
            <w14:solidFill>
              <w14:schemeClr w14:val="tx1"/>
            </w14:solidFill>
          </w14:textFill>
        </w:rPr>
        <w:t>（1）环境空气</w:t>
      </w:r>
    </w:p>
    <w:bookmarkEnd w:id="173"/>
    <w:p w14:paraId="0226B027">
      <w:pPr>
        <w:ind w:firstLine="480"/>
        <w:rPr>
          <w:color w:val="000000" w:themeColor="text1"/>
          <w14:textFill>
            <w14:solidFill>
              <w14:schemeClr w14:val="tx1"/>
            </w14:solidFill>
          </w14:textFill>
        </w:rPr>
      </w:pPr>
      <w:r>
        <w:rPr>
          <w:color w:val="000000" w:themeColor="text1"/>
          <w14:textFill>
            <w14:solidFill>
              <w14:schemeClr w14:val="tx1"/>
            </w14:solidFill>
          </w14:textFill>
        </w:rPr>
        <w:t>项目所在区域环境功能区划类别为二类区，环境空气中</w:t>
      </w:r>
      <w:r>
        <w:rPr>
          <w:rFonts w:eastAsia="Times New Roman"/>
          <w:color w:val="000000" w:themeColor="text1"/>
          <w:lang w:bidi="en-US"/>
          <w14:textFill>
            <w14:solidFill>
              <w14:schemeClr w14:val="tx1"/>
            </w14:solidFill>
          </w14:textFill>
        </w:rPr>
        <w:t>SO</w:t>
      </w:r>
      <w:r>
        <w:rPr>
          <w:rFonts w:eastAsia="Times New Roman"/>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NO</w:t>
      </w:r>
      <w:r>
        <w:rPr>
          <w:rFonts w:eastAsia="Times New Roman"/>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PM</w:t>
      </w:r>
      <w:r>
        <w:rPr>
          <w:rFonts w:eastAsia="Times New Roman"/>
          <w:color w:val="000000" w:themeColor="text1"/>
          <w:sz w:val="15"/>
          <w:szCs w:val="15"/>
          <w:lang w:bidi="en-US"/>
          <w14:textFill>
            <w14:solidFill>
              <w14:schemeClr w14:val="tx1"/>
            </w14:solidFill>
          </w14:textFill>
        </w:rPr>
        <w:t>10</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PM</w:t>
      </w:r>
      <w:r>
        <w:rPr>
          <w:rFonts w:eastAsia="Times New Roman"/>
          <w:color w:val="000000" w:themeColor="text1"/>
          <w:sz w:val="15"/>
          <w:szCs w:val="15"/>
          <w:lang w:bidi="en-US"/>
          <w14:textFill>
            <w14:solidFill>
              <w14:schemeClr w14:val="tx1"/>
            </w14:solidFill>
          </w14:textFill>
        </w:rPr>
        <w:t>2.5</w:t>
      </w:r>
      <w:r>
        <w:rPr>
          <w:color w:val="000000" w:themeColor="text1"/>
          <w:lang w:bidi="en-US"/>
          <w14:textFill>
            <w14:solidFill>
              <w14:schemeClr w14:val="tx1"/>
            </w14:solidFill>
          </w14:textFill>
        </w:rPr>
        <w:t xml:space="preserve">、 </w:t>
      </w:r>
      <w:r>
        <w:rPr>
          <w:rFonts w:eastAsia="Times New Roman"/>
          <w:color w:val="000000" w:themeColor="text1"/>
          <w:lang w:bidi="en-US"/>
          <w14:textFill>
            <w14:solidFill>
              <w14:schemeClr w14:val="tx1"/>
            </w14:solidFill>
          </w14:textFill>
        </w:rPr>
        <w:t>CO</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O</w:t>
      </w:r>
      <w:r>
        <w:rPr>
          <w:rFonts w:eastAsia="Times New Roman"/>
          <w:color w:val="000000" w:themeColor="text1"/>
          <w:sz w:val="15"/>
          <w:szCs w:val="15"/>
          <w:lang w:bidi="en-US"/>
          <w14:textFill>
            <w14:solidFill>
              <w14:schemeClr w14:val="tx1"/>
            </w14:solidFill>
          </w14:textFill>
        </w:rPr>
        <w:t>3</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TSP</w:t>
      </w:r>
      <w:r>
        <w:rPr>
          <w:color w:val="000000" w:themeColor="text1"/>
          <w:lang w:bidi="en-US"/>
          <w14:textFill>
            <w14:solidFill>
              <w14:schemeClr w14:val="tx1"/>
            </w14:solidFill>
          </w14:textFill>
        </w:rPr>
        <w:t>、</w:t>
      </w:r>
      <w:r>
        <w:rPr>
          <w:color w:val="000000" w:themeColor="text1"/>
          <w14:textFill>
            <w14:solidFill>
              <w14:schemeClr w14:val="tx1"/>
            </w14:solidFill>
          </w14:textFill>
        </w:rPr>
        <w:t>铅（年平均）执行《环境空气质量标准》</w:t>
      </w:r>
      <w:r>
        <w:rPr>
          <w:color w:val="000000" w:themeColor="text1"/>
          <w:lang w:bidi="en-US"/>
          <w14:textFill>
            <w14:solidFill>
              <w14:schemeClr w14:val="tx1"/>
            </w14:solidFill>
          </w14:textFill>
        </w:rPr>
        <w:t>（GB3095-2026）</w:t>
      </w:r>
      <w:r>
        <w:rPr>
          <w:rFonts w:hint="eastAsia"/>
          <w:color w:val="000000" w:themeColor="text1"/>
          <w:lang w:bidi="en-US"/>
          <w14:textFill>
            <w14:solidFill>
              <w14:schemeClr w14:val="tx1"/>
            </w14:solidFill>
          </w14:textFill>
        </w:rPr>
        <w:t>表1</w:t>
      </w:r>
      <w:r>
        <w:rPr>
          <w:color w:val="000000" w:themeColor="text1"/>
          <w:lang w:bidi="en-US"/>
          <w14:textFill>
            <w14:solidFill>
              <w14:schemeClr w14:val="tx1"/>
            </w14:solidFill>
          </w14:textFill>
        </w:rPr>
        <w:t>过渡阶段</w:t>
      </w:r>
      <w:r>
        <w:rPr>
          <w:color w:val="000000" w:themeColor="text1"/>
          <w14:textFill>
            <w14:solidFill>
              <w14:schemeClr w14:val="tx1"/>
            </w14:solidFill>
          </w14:textFill>
        </w:rPr>
        <w:t>中的二级标准</w:t>
      </w:r>
      <w:r>
        <w:rPr>
          <w:rFonts w:hint="eastAsia"/>
          <w:color w:val="000000" w:themeColor="text1"/>
          <w14:textFill>
            <w14:solidFill>
              <w14:schemeClr w14:val="tx1"/>
            </w14:solidFill>
          </w14:textFill>
        </w:rPr>
        <w:t>及表2二级标准</w:t>
      </w:r>
      <w:r>
        <w:rPr>
          <w:color w:val="000000" w:themeColor="text1"/>
          <w14:textFill>
            <w14:solidFill>
              <w14:schemeClr w14:val="tx1"/>
            </w14:solidFill>
          </w14:textFill>
        </w:rPr>
        <w:t>；氟化物、汞（年平均）、镉（年平均）、砷（年平均）、六价铬（年平均） 参照执行《环境空气质量标准》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GB3095-2026</w:t>
      </w:r>
      <w:r>
        <w:rPr>
          <w:color w:val="000000" w:themeColor="text1"/>
          <w:lang w:bidi="en-US"/>
          <w14:textFill>
            <w14:solidFill>
              <w14:schemeClr w14:val="tx1"/>
            </w14:solidFill>
          </w14:textFill>
        </w:rPr>
        <w:t>）</w:t>
      </w: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A</w:t>
      </w:r>
      <w:r>
        <w:rPr>
          <w:color w:val="000000" w:themeColor="text1"/>
          <w14:textFill>
            <w14:solidFill>
              <w14:schemeClr w14:val="tx1"/>
            </w14:solidFill>
          </w14:textFill>
        </w:rPr>
        <w:t>中的二级标准；锰及其化合物、 氯化氢、氨、硫化氢参照执行《环境影响评价技术导则大气环境》</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HJ2.2-2018</w:t>
      </w:r>
      <w:r>
        <w:rPr>
          <w:color w:val="000000" w:themeColor="text1"/>
          <w:lang w:bidi="en-US"/>
          <w14:textFill>
            <w14:solidFill>
              <w14:schemeClr w14:val="tx1"/>
            </w14:solidFill>
          </w14:textFill>
        </w:rPr>
        <w:t>）</w:t>
      </w:r>
      <w:r>
        <w:rPr>
          <w:color w:val="000000" w:themeColor="text1"/>
          <w14:textFill>
            <w14:solidFill>
              <w14:schemeClr w14:val="tx1"/>
            </w14:solidFill>
          </w14:textFill>
        </w:rPr>
        <w:t xml:space="preserve">附 录 </w:t>
      </w:r>
      <w:r>
        <w:rPr>
          <w:rFonts w:eastAsia="Times New Roman"/>
          <w:color w:val="000000" w:themeColor="text1"/>
          <w:lang w:bidi="en-US"/>
          <w14:textFill>
            <w14:solidFill>
              <w14:schemeClr w14:val="tx1"/>
            </w14:solidFill>
          </w14:textFill>
        </w:rPr>
        <w:t xml:space="preserve">D </w:t>
      </w:r>
      <w:r>
        <w:rPr>
          <w:color w:val="000000" w:themeColor="text1"/>
          <w14:textFill>
            <w14:solidFill>
              <w14:schemeClr w14:val="tx1"/>
            </w14:solidFill>
          </w14:textFill>
        </w:rPr>
        <w:t>中其他污染物空气质量浓度参考限值；非甲烷总烃参照执行《大气污染物综合排 放标准详解》中参考值；二噁英参照执行日本环境厅中央环境审议会议制定的大气中二噁英质量控制浓度。具体见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2140756D">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环境空气质量标准</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02"/>
        <w:gridCol w:w="1080"/>
        <w:gridCol w:w="1808"/>
        <w:gridCol w:w="1579"/>
        <w:gridCol w:w="8"/>
        <w:gridCol w:w="3232"/>
      </w:tblGrid>
      <w:tr w14:paraId="0F23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Merge w:val="restart"/>
            <w:vAlign w:val="center"/>
          </w:tcPr>
          <w:p w14:paraId="40E5A55A">
            <w:pPr>
              <w:pStyle w:val="109"/>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4475" w:type="dxa"/>
            <w:gridSpan w:val="4"/>
            <w:vAlign w:val="center"/>
          </w:tcPr>
          <w:p w14:paraId="45053481">
            <w:pPr>
              <w:pStyle w:val="109"/>
              <w:rPr>
                <w:color w:val="000000" w:themeColor="text1"/>
                <w14:textFill>
                  <w14:solidFill>
                    <w14:schemeClr w14:val="tx1"/>
                  </w14:solidFill>
                </w14:textFill>
              </w:rPr>
            </w:pPr>
            <w:r>
              <w:rPr>
                <w:color w:val="000000" w:themeColor="text1"/>
                <w14:textFill>
                  <w14:solidFill>
                    <w14:schemeClr w14:val="tx1"/>
                  </w14:solidFill>
                </w14:textFill>
              </w:rPr>
              <w:t>浓度限值</w:t>
            </w:r>
            <w:r>
              <w:rPr>
                <w:color w:val="000000" w:themeColor="text1"/>
                <w:lang w:eastAsia="en-US" w:bidi="en-US"/>
                <w14:textFill>
                  <w14:solidFill>
                    <w14:schemeClr w14:val="tx1"/>
                  </w14:solidFill>
                </w14:textFill>
              </w:rPr>
              <w:t>（</w:t>
            </w:r>
            <w:r>
              <w:rPr>
                <w:color w:val="000000" w:themeColor="text1"/>
                <w:szCs w:val="21"/>
                <w:shd w:val="clear" w:color="auto" w:fill="FFFFFF"/>
                <w14:textFill>
                  <w14:solidFill>
                    <w14:schemeClr w14:val="tx1"/>
                  </w14:solidFill>
                </w14:textFill>
              </w:rPr>
              <w:t>μg</w:t>
            </w:r>
            <w:r>
              <w:rPr>
                <w:rFonts w:eastAsiaTheme="minorEastAsia"/>
                <w:color w:val="000000" w:themeColor="text1"/>
                <w:szCs w:val="21"/>
                <w14:textFill>
                  <w14:solidFill>
                    <w14:schemeClr w14:val="tx1"/>
                  </w14:solidFill>
                </w14:textFill>
              </w:rPr>
              <w:t>/</w:t>
            </w:r>
            <w:r>
              <w:rPr>
                <w:rFonts w:eastAsiaTheme="minorEastAsia"/>
                <w:color w:val="000000" w:themeColor="text1"/>
                <w:sz w:val="18"/>
                <w:szCs w:val="18"/>
                <w14:textFill>
                  <w14:solidFill>
                    <w14:schemeClr w14:val="tx1"/>
                  </w14:solidFill>
                </w14:textFill>
              </w:rPr>
              <w:t>m³</w:t>
            </w:r>
            <w:r>
              <w:rPr>
                <w:color w:val="000000" w:themeColor="text1"/>
                <w:lang w:eastAsia="en-US" w:bidi="en-US"/>
                <w14:textFill>
                  <w14:solidFill>
                    <w14:schemeClr w14:val="tx1"/>
                  </w14:solidFill>
                </w14:textFill>
              </w:rPr>
              <w:t>）</w:t>
            </w:r>
          </w:p>
        </w:tc>
        <w:tc>
          <w:tcPr>
            <w:tcW w:w="3232" w:type="dxa"/>
            <w:vAlign w:val="center"/>
          </w:tcPr>
          <w:p w14:paraId="73BC054A">
            <w:pPr>
              <w:pStyle w:val="109"/>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632C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Merge w:val="continue"/>
            <w:vAlign w:val="center"/>
          </w:tcPr>
          <w:p w14:paraId="6B5E15D9">
            <w:pPr>
              <w:pStyle w:val="109"/>
              <w:rPr>
                <w:color w:val="000000" w:themeColor="text1"/>
                <w14:textFill>
                  <w14:solidFill>
                    <w14:schemeClr w14:val="tx1"/>
                  </w14:solidFill>
                </w14:textFill>
              </w:rPr>
            </w:pPr>
          </w:p>
        </w:tc>
        <w:tc>
          <w:tcPr>
            <w:tcW w:w="1080" w:type="dxa"/>
            <w:vAlign w:val="center"/>
          </w:tcPr>
          <w:p w14:paraId="137904B2">
            <w:pPr>
              <w:pStyle w:val="109"/>
              <w:rPr>
                <w:color w:val="000000" w:themeColor="text1"/>
                <w14:textFill>
                  <w14:solidFill>
                    <w14:schemeClr w14:val="tx1"/>
                  </w14:solidFill>
                </w14:textFill>
              </w:rPr>
            </w:pPr>
            <w:r>
              <w:rPr>
                <w:color w:val="000000" w:themeColor="text1"/>
                <w14:textFill>
                  <w14:solidFill>
                    <w14:schemeClr w14:val="tx1"/>
                  </w14:solidFill>
                </w14:textFill>
              </w:rPr>
              <w:t>小时</w:t>
            </w:r>
          </w:p>
        </w:tc>
        <w:tc>
          <w:tcPr>
            <w:tcW w:w="1808" w:type="dxa"/>
            <w:vAlign w:val="center"/>
          </w:tcPr>
          <w:p w14:paraId="24B5D2A5">
            <w:pPr>
              <w:pStyle w:val="109"/>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1579" w:type="dxa"/>
            <w:vAlign w:val="center"/>
          </w:tcPr>
          <w:p w14:paraId="6E5EBD55">
            <w:pPr>
              <w:pStyle w:val="109"/>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3240" w:type="dxa"/>
            <w:gridSpan w:val="2"/>
            <w:vAlign w:val="center"/>
          </w:tcPr>
          <w:p w14:paraId="43926B54">
            <w:pPr>
              <w:pStyle w:val="109"/>
              <w:rPr>
                <w:color w:val="000000" w:themeColor="text1"/>
                <w14:textFill>
                  <w14:solidFill>
                    <w14:schemeClr w14:val="tx1"/>
                  </w14:solidFill>
                </w14:textFill>
              </w:rPr>
            </w:pPr>
          </w:p>
        </w:tc>
      </w:tr>
      <w:tr w14:paraId="57DD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33130895">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SO</w:t>
            </w:r>
            <w:r>
              <w:rPr>
                <w:rFonts w:eastAsia="Times New Roman"/>
                <w:color w:val="000000" w:themeColor="text1"/>
                <w:sz w:val="13"/>
                <w:szCs w:val="13"/>
                <w:lang w:eastAsia="en-US" w:bidi="en-US"/>
                <w14:textFill>
                  <w14:solidFill>
                    <w14:schemeClr w14:val="tx1"/>
                  </w14:solidFill>
                </w14:textFill>
              </w:rPr>
              <w:t>2</w:t>
            </w:r>
          </w:p>
        </w:tc>
        <w:tc>
          <w:tcPr>
            <w:tcW w:w="1080" w:type="dxa"/>
            <w:vAlign w:val="center"/>
          </w:tcPr>
          <w:p w14:paraId="7C3CFA1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500</w:t>
            </w:r>
          </w:p>
        </w:tc>
        <w:tc>
          <w:tcPr>
            <w:tcW w:w="1808" w:type="dxa"/>
            <w:vAlign w:val="center"/>
          </w:tcPr>
          <w:p w14:paraId="4A534CE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150</w:t>
            </w:r>
          </w:p>
        </w:tc>
        <w:tc>
          <w:tcPr>
            <w:tcW w:w="1579" w:type="dxa"/>
            <w:vAlign w:val="center"/>
          </w:tcPr>
          <w:p w14:paraId="78B9056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60</w:t>
            </w:r>
          </w:p>
        </w:tc>
        <w:tc>
          <w:tcPr>
            <w:tcW w:w="3240" w:type="dxa"/>
            <w:gridSpan w:val="2"/>
            <w:vMerge w:val="restart"/>
            <w:vAlign w:val="center"/>
          </w:tcPr>
          <w:p w14:paraId="6D119DC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《环境空气质量标准》 </w:t>
            </w:r>
            <w:r>
              <w:rPr>
                <w:color w:val="000000" w:themeColor="text1"/>
                <w:lang w:bidi="en-US"/>
                <w14:textFill>
                  <w14:solidFill>
                    <w14:schemeClr w14:val="tx1"/>
                  </w14:solidFill>
                </w14:textFill>
              </w:rPr>
              <w:t>（GB3095-2026）</w:t>
            </w:r>
          </w:p>
        </w:tc>
      </w:tr>
      <w:tr w14:paraId="2010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76A0929F">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NO</w:t>
            </w:r>
            <w:r>
              <w:rPr>
                <w:rFonts w:eastAsia="Times New Roman"/>
                <w:color w:val="000000" w:themeColor="text1"/>
                <w:sz w:val="13"/>
                <w:szCs w:val="13"/>
                <w:lang w:eastAsia="en-US" w:bidi="en-US"/>
                <w14:textFill>
                  <w14:solidFill>
                    <w14:schemeClr w14:val="tx1"/>
                  </w14:solidFill>
                </w14:textFill>
              </w:rPr>
              <w:t>2</w:t>
            </w:r>
          </w:p>
        </w:tc>
        <w:tc>
          <w:tcPr>
            <w:tcW w:w="1080" w:type="dxa"/>
            <w:vAlign w:val="center"/>
          </w:tcPr>
          <w:p w14:paraId="0925D66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w:t>
            </w:r>
          </w:p>
        </w:tc>
        <w:tc>
          <w:tcPr>
            <w:tcW w:w="1808" w:type="dxa"/>
            <w:vAlign w:val="center"/>
          </w:tcPr>
          <w:p w14:paraId="0B9ECB9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80</w:t>
            </w:r>
          </w:p>
        </w:tc>
        <w:tc>
          <w:tcPr>
            <w:tcW w:w="1579" w:type="dxa"/>
            <w:vAlign w:val="center"/>
          </w:tcPr>
          <w:p w14:paraId="65F6279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40</w:t>
            </w:r>
          </w:p>
        </w:tc>
        <w:tc>
          <w:tcPr>
            <w:tcW w:w="3240" w:type="dxa"/>
            <w:gridSpan w:val="2"/>
            <w:vMerge w:val="continue"/>
            <w:vAlign w:val="center"/>
          </w:tcPr>
          <w:p w14:paraId="2F59B8BA">
            <w:pPr>
              <w:pStyle w:val="109"/>
              <w:rPr>
                <w:color w:val="000000" w:themeColor="text1"/>
                <w14:textFill>
                  <w14:solidFill>
                    <w14:schemeClr w14:val="tx1"/>
                  </w14:solidFill>
                </w14:textFill>
              </w:rPr>
            </w:pPr>
          </w:p>
        </w:tc>
      </w:tr>
      <w:tr w14:paraId="2940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36371FDC">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PM</w:t>
            </w:r>
            <w:r>
              <w:rPr>
                <w:rFonts w:eastAsia="Times New Roman"/>
                <w:color w:val="000000" w:themeColor="text1"/>
                <w:sz w:val="13"/>
                <w:szCs w:val="13"/>
                <w:lang w:eastAsia="en-US" w:bidi="en-US"/>
                <w14:textFill>
                  <w14:solidFill>
                    <w14:schemeClr w14:val="tx1"/>
                  </w14:solidFill>
                </w14:textFill>
              </w:rPr>
              <w:t>10</w:t>
            </w:r>
          </w:p>
        </w:tc>
        <w:tc>
          <w:tcPr>
            <w:tcW w:w="1080" w:type="dxa"/>
            <w:vAlign w:val="center"/>
          </w:tcPr>
          <w:p w14:paraId="7BCE1B9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2D04E2BF">
            <w:pPr>
              <w:pStyle w:val="109"/>
              <w:rPr>
                <w:rFonts w:eastAsiaTheme="minorEastAsia"/>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120</w:t>
            </w:r>
          </w:p>
        </w:tc>
        <w:tc>
          <w:tcPr>
            <w:tcW w:w="1579" w:type="dxa"/>
            <w:vAlign w:val="center"/>
          </w:tcPr>
          <w:p w14:paraId="2F7B751B">
            <w:pPr>
              <w:pStyle w:val="109"/>
              <w:rPr>
                <w:rFonts w:eastAsiaTheme="minorEastAsia"/>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60</w:t>
            </w:r>
          </w:p>
        </w:tc>
        <w:tc>
          <w:tcPr>
            <w:tcW w:w="3240" w:type="dxa"/>
            <w:gridSpan w:val="2"/>
            <w:vMerge w:val="continue"/>
            <w:vAlign w:val="center"/>
          </w:tcPr>
          <w:p w14:paraId="2E485DBC">
            <w:pPr>
              <w:pStyle w:val="109"/>
              <w:rPr>
                <w:color w:val="000000" w:themeColor="text1"/>
                <w14:textFill>
                  <w14:solidFill>
                    <w14:schemeClr w14:val="tx1"/>
                  </w14:solidFill>
                </w14:textFill>
              </w:rPr>
            </w:pPr>
          </w:p>
        </w:tc>
      </w:tr>
      <w:tr w14:paraId="0244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31947A39">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PM</w:t>
            </w:r>
            <w:r>
              <w:rPr>
                <w:rFonts w:eastAsia="Times New Roman"/>
                <w:color w:val="000000" w:themeColor="text1"/>
                <w:sz w:val="13"/>
                <w:szCs w:val="13"/>
                <w:lang w:eastAsia="en-US" w:bidi="en-US"/>
                <w14:textFill>
                  <w14:solidFill>
                    <w14:schemeClr w14:val="tx1"/>
                  </w14:solidFill>
                </w14:textFill>
              </w:rPr>
              <w:t>2.5</w:t>
            </w:r>
          </w:p>
        </w:tc>
        <w:tc>
          <w:tcPr>
            <w:tcW w:w="1080" w:type="dxa"/>
            <w:vAlign w:val="center"/>
          </w:tcPr>
          <w:p w14:paraId="2821A4B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2DB8C950">
            <w:pPr>
              <w:pStyle w:val="109"/>
              <w:rPr>
                <w:rFonts w:eastAsiaTheme="minorEastAsia"/>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60</w:t>
            </w:r>
          </w:p>
        </w:tc>
        <w:tc>
          <w:tcPr>
            <w:tcW w:w="1579" w:type="dxa"/>
            <w:vAlign w:val="center"/>
          </w:tcPr>
          <w:p w14:paraId="250FCAD2">
            <w:pPr>
              <w:pStyle w:val="109"/>
              <w:rPr>
                <w:rFonts w:eastAsiaTheme="minorEastAsia"/>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30</w:t>
            </w:r>
          </w:p>
        </w:tc>
        <w:tc>
          <w:tcPr>
            <w:tcW w:w="3240" w:type="dxa"/>
            <w:gridSpan w:val="2"/>
            <w:vMerge w:val="continue"/>
            <w:vAlign w:val="center"/>
          </w:tcPr>
          <w:p w14:paraId="69E49C13">
            <w:pPr>
              <w:pStyle w:val="109"/>
              <w:rPr>
                <w:color w:val="000000" w:themeColor="text1"/>
                <w14:textFill>
                  <w14:solidFill>
                    <w14:schemeClr w14:val="tx1"/>
                  </w14:solidFill>
                </w14:textFill>
              </w:rPr>
            </w:pPr>
          </w:p>
        </w:tc>
      </w:tr>
      <w:tr w14:paraId="3AEE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16B690E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CO</w:t>
            </w:r>
          </w:p>
        </w:tc>
        <w:tc>
          <w:tcPr>
            <w:tcW w:w="1080" w:type="dxa"/>
            <w:vAlign w:val="center"/>
          </w:tcPr>
          <w:p w14:paraId="74E0F72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10000</w:t>
            </w:r>
          </w:p>
        </w:tc>
        <w:tc>
          <w:tcPr>
            <w:tcW w:w="1808" w:type="dxa"/>
            <w:vAlign w:val="center"/>
          </w:tcPr>
          <w:p w14:paraId="7576AE3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4000</w:t>
            </w:r>
          </w:p>
        </w:tc>
        <w:tc>
          <w:tcPr>
            <w:tcW w:w="1579" w:type="dxa"/>
            <w:vAlign w:val="center"/>
          </w:tcPr>
          <w:p w14:paraId="650586F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240" w:type="dxa"/>
            <w:gridSpan w:val="2"/>
            <w:vMerge w:val="continue"/>
            <w:vAlign w:val="center"/>
          </w:tcPr>
          <w:p w14:paraId="20175A45">
            <w:pPr>
              <w:pStyle w:val="109"/>
              <w:rPr>
                <w:color w:val="000000" w:themeColor="text1"/>
                <w14:textFill>
                  <w14:solidFill>
                    <w14:schemeClr w14:val="tx1"/>
                  </w14:solidFill>
                </w14:textFill>
              </w:rPr>
            </w:pPr>
          </w:p>
        </w:tc>
      </w:tr>
      <w:tr w14:paraId="033E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754DC073">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O</w:t>
            </w:r>
            <w:r>
              <w:rPr>
                <w:rFonts w:eastAsia="Times New Roman"/>
                <w:color w:val="000000" w:themeColor="text1"/>
                <w:sz w:val="13"/>
                <w:szCs w:val="13"/>
                <w:lang w:eastAsia="en-US" w:bidi="en-US"/>
                <w14:textFill>
                  <w14:solidFill>
                    <w14:schemeClr w14:val="tx1"/>
                  </w14:solidFill>
                </w14:textFill>
              </w:rPr>
              <w:t>3</w:t>
            </w:r>
          </w:p>
        </w:tc>
        <w:tc>
          <w:tcPr>
            <w:tcW w:w="1080" w:type="dxa"/>
            <w:vAlign w:val="center"/>
          </w:tcPr>
          <w:p w14:paraId="42DCE00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w:t>
            </w:r>
          </w:p>
        </w:tc>
        <w:tc>
          <w:tcPr>
            <w:tcW w:w="1808" w:type="dxa"/>
            <w:vAlign w:val="center"/>
          </w:tcPr>
          <w:p w14:paraId="2E8B6E3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160</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8</w:t>
            </w:r>
            <w:r>
              <w:rPr>
                <w:color w:val="000000" w:themeColor="text1"/>
                <w14:textFill>
                  <w14:solidFill>
                    <w14:schemeClr w14:val="tx1"/>
                  </w14:solidFill>
                </w14:textFill>
              </w:rPr>
              <w:t>小时平均）</w:t>
            </w:r>
          </w:p>
        </w:tc>
        <w:tc>
          <w:tcPr>
            <w:tcW w:w="1579" w:type="dxa"/>
            <w:vAlign w:val="center"/>
          </w:tcPr>
          <w:p w14:paraId="36112A7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240" w:type="dxa"/>
            <w:gridSpan w:val="2"/>
            <w:vMerge w:val="continue"/>
            <w:vAlign w:val="center"/>
          </w:tcPr>
          <w:p w14:paraId="4B9737A7">
            <w:pPr>
              <w:pStyle w:val="109"/>
              <w:rPr>
                <w:color w:val="000000" w:themeColor="text1"/>
                <w14:textFill>
                  <w14:solidFill>
                    <w14:schemeClr w14:val="tx1"/>
                  </w14:solidFill>
                </w14:textFill>
              </w:rPr>
            </w:pPr>
          </w:p>
        </w:tc>
      </w:tr>
      <w:tr w14:paraId="34E8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1CD9C30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TSP</w:t>
            </w:r>
          </w:p>
        </w:tc>
        <w:tc>
          <w:tcPr>
            <w:tcW w:w="1080" w:type="dxa"/>
            <w:vAlign w:val="center"/>
          </w:tcPr>
          <w:p w14:paraId="691B1FF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50A5F0FD">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300</w:t>
            </w:r>
          </w:p>
        </w:tc>
        <w:tc>
          <w:tcPr>
            <w:tcW w:w="1579" w:type="dxa"/>
            <w:vAlign w:val="center"/>
          </w:tcPr>
          <w:p w14:paraId="091B04D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w:t>
            </w:r>
          </w:p>
        </w:tc>
        <w:tc>
          <w:tcPr>
            <w:tcW w:w="3240" w:type="dxa"/>
            <w:gridSpan w:val="2"/>
            <w:vMerge w:val="continue"/>
            <w:vAlign w:val="center"/>
          </w:tcPr>
          <w:p w14:paraId="6C9540EF">
            <w:pPr>
              <w:pStyle w:val="109"/>
              <w:rPr>
                <w:color w:val="000000" w:themeColor="text1"/>
                <w14:textFill>
                  <w14:solidFill>
                    <w14:schemeClr w14:val="tx1"/>
                  </w14:solidFill>
                </w14:textFill>
              </w:rPr>
            </w:pPr>
          </w:p>
        </w:tc>
      </w:tr>
      <w:tr w14:paraId="5E90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69596CA7">
            <w:pPr>
              <w:pStyle w:val="109"/>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1080" w:type="dxa"/>
            <w:vAlign w:val="center"/>
          </w:tcPr>
          <w:p w14:paraId="26AA3E7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w:t>
            </w:r>
          </w:p>
        </w:tc>
        <w:tc>
          <w:tcPr>
            <w:tcW w:w="1808" w:type="dxa"/>
            <w:vAlign w:val="center"/>
          </w:tcPr>
          <w:p w14:paraId="6C2A9E5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7</w:t>
            </w:r>
          </w:p>
        </w:tc>
        <w:tc>
          <w:tcPr>
            <w:tcW w:w="1579" w:type="dxa"/>
            <w:vAlign w:val="center"/>
          </w:tcPr>
          <w:p w14:paraId="3A08496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240" w:type="dxa"/>
            <w:gridSpan w:val="2"/>
            <w:vMerge w:val="continue"/>
            <w:vAlign w:val="center"/>
          </w:tcPr>
          <w:p w14:paraId="6AF54624">
            <w:pPr>
              <w:pStyle w:val="109"/>
              <w:rPr>
                <w:color w:val="000000" w:themeColor="text1"/>
                <w14:textFill>
                  <w14:solidFill>
                    <w14:schemeClr w14:val="tx1"/>
                  </w14:solidFill>
                </w14:textFill>
              </w:rPr>
            </w:pPr>
          </w:p>
        </w:tc>
      </w:tr>
      <w:tr w14:paraId="1809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71A509E7">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1080" w:type="dxa"/>
            <w:vAlign w:val="center"/>
          </w:tcPr>
          <w:p w14:paraId="6379D70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543C22E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2213EA8F">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0.5</w:t>
            </w:r>
          </w:p>
        </w:tc>
        <w:tc>
          <w:tcPr>
            <w:tcW w:w="3240" w:type="dxa"/>
            <w:gridSpan w:val="2"/>
            <w:vMerge w:val="continue"/>
            <w:vAlign w:val="center"/>
          </w:tcPr>
          <w:p w14:paraId="711A4657">
            <w:pPr>
              <w:pStyle w:val="109"/>
              <w:rPr>
                <w:color w:val="000000" w:themeColor="text1"/>
                <w14:textFill>
                  <w14:solidFill>
                    <w14:schemeClr w14:val="tx1"/>
                  </w14:solidFill>
                </w14:textFill>
              </w:rPr>
            </w:pPr>
          </w:p>
        </w:tc>
      </w:tr>
      <w:tr w14:paraId="000C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3B019781">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1080" w:type="dxa"/>
            <w:vAlign w:val="center"/>
          </w:tcPr>
          <w:p w14:paraId="471E133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67D41FA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4FCE975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0.005</w:t>
            </w:r>
          </w:p>
        </w:tc>
        <w:tc>
          <w:tcPr>
            <w:tcW w:w="3240" w:type="dxa"/>
            <w:gridSpan w:val="2"/>
            <w:vMerge w:val="continue"/>
            <w:vAlign w:val="center"/>
          </w:tcPr>
          <w:p w14:paraId="438FD5DE">
            <w:pPr>
              <w:pStyle w:val="109"/>
              <w:rPr>
                <w:color w:val="000000" w:themeColor="text1"/>
                <w14:textFill>
                  <w14:solidFill>
                    <w14:schemeClr w14:val="tx1"/>
                  </w14:solidFill>
                </w14:textFill>
              </w:rPr>
            </w:pPr>
          </w:p>
        </w:tc>
      </w:tr>
      <w:tr w14:paraId="4B5D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7A5E51C3">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1080" w:type="dxa"/>
            <w:vAlign w:val="center"/>
          </w:tcPr>
          <w:p w14:paraId="0F738E7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5F2C5C3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43D9A72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0.05</w:t>
            </w:r>
          </w:p>
        </w:tc>
        <w:tc>
          <w:tcPr>
            <w:tcW w:w="3240" w:type="dxa"/>
            <w:gridSpan w:val="2"/>
            <w:vMerge w:val="continue"/>
            <w:vAlign w:val="center"/>
          </w:tcPr>
          <w:p w14:paraId="0FEE7DD4">
            <w:pPr>
              <w:pStyle w:val="109"/>
              <w:rPr>
                <w:color w:val="000000" w:themeColor="text1"/>
                <w14:textFill>
                  <w14:solidFill>
                    <w14:schemeClr w14:val="tx1"/>
                  </w14:solidFill>
                </w14:textFill>
              </w:rPr>
            </w:pPr>
          </w:p>
        </w:tc>
      </w:tr>
      <w:tr w14:paraId="7D9B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6D9D398D">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1080" w:type="dxa"/>
            <w:vAlign w:val="center"/>
          </w:tcPr>
          <w:p w14:paraId="43B5D57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31CA871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41ADC09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0.006</w:t>
            </w:r>
          </w:p>
        </w:tc>
        <w:tc>
          <w:tcPr>
            <w:tcW w:w="3240" w:type="dxa"/>
            <w:gridSpan w:val="2"/>
            <w:vMerge w:val="continue"/>
            <w:vAlign w:val="center"/>
          </w:tcPr>
          <w:p w14:paraId="41C354E0">
            <w:pPr>
              <w:pStyle w:val="109"/>
              <w:rPr>
                <w:color w:val="000000" w:themeColor="text1"/>
                <w14:textFill>
                  <w14:solidFill>
                    <w14:schemeClr w14:val="tx1"/>
                  </w14:solidFill>
                </w14:textFill>
              </w:rPr>
            </w:pPr>
          </w:p>
        </w:tc>
      </w:tr>
      <w:tr w14:paraId="4936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6151CCDE">
            <w:pPr>
              <w:pStyle w:val="109"/>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1080" w:type="dxa"/>
            <w:vAlign w:val="center"/>
          </w:tcPr>
          <w:p w14:paraId="1A2D4CC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56E6FF8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76E5AF5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0.000025</w:t>
            </w:r>
          </w:p>
        </w:tc>
        <w:tc>
          <w:tcPr>
            <w:tcW w:w="3240" w:type="dxa"/>
            <w:gridSpan w:val="2"/>
            <w:vMerge w:val="continue"/>
            <w:vAlign w:val="center"/>
          </w:tcPr>
          <w:p w14:paraId="64847984">
            <w:pPr>
              <w:pStyle w:val="109"/>
              <w:rPr>
                <w:color w:val="000000" w:themeColor="text1"/>
                <w14:textFill>
                  <w14:solidFill>
                    <w14:schemeClr w14:val="tx1"/>
                  </w14:solidFill>
                </w14:textFill>
              </w:rPr>
            </w:pPr>
          </w:p>
        </w:tc>
      </w:tr>
      <w:tr w14:paraId="79DD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4F9CABE6">
            <w:pPr>
              <w:pStyle w:val="109"/>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1080" w:type="dxa"/>
            <w:vAlign w:val="center"/>
          </w:tcPr>
          <w:p w14:paraId="487B742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50</w:t>
            </w:r>
          </w:p>
        </w:tc>
        <w:tc>
          <w:tcPr>
            <w:tcW w:w="1808" w:type="dxa"/>
            <w:vAlign w:val="center"/>
          </w:tcPr>
          <w:p w14:paraId="43235DE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15</w:t>
            </w:r>
          </w:p>
        </w:tc>
        <w:tc>
          <w:tcPr>
            <w:tcW w:w="1579" w:type="dxa"/>
            <w:vAlign w:val="center"/>
          </w:tcPr>
          <w:p w14:paraId="3ED60BB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240" w:type="dxa"/>
            <w:gridSpan w:val="2"/>
            <w:vMerge w:val="restart"/>
            <w:vAlign w:val="center"/>
          </w:tcPr>
          <w:p w14:paraId="348BFFB6">
            <w:pPr>
              <w:pStyle w:val="109"/>
              <w:rPr>
                <w:color w:val="000000" w:themeColor="text1"/>
                <w14:textFill>
                  <w14:solidFill>
                    <w14:schemeClr w14:val="tx1"/>
                  </w14:solidFill>
                </w14:textFill>
              </w:rPr>
            </w:pPr>
            <w:r>
              <w:rPr>
                <w:color w:val="000000" w:themeColor="text1"/>
                <w14:textFill>
                  <w14:solidFill>
                    <w14:schemeClr w14:val="tx1"/>
                  </w14:solidFill>
                </w14:textFill>
              </w:rPr>
              <w:t>《环境影响评价技术导则 大气环 境》</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HJ2.2-2018</w:t>
            </w:r>
            <w:r>
              <w:rPr>
                <w:color w:val="000000" w:themeColor="text1"/>
                <w:lang w:bidi="en-US"/>
                <w14:textFill>
                  <w14:solidFill>
                    <w14:schemeClr w14:val="tx1"/>
                  </w14:solidFill>
                </w14:textFill>
              </w:rPr>
              <w:t>）</w:t>
            </w:r>
            <w:r>
              <w:rPr>
                <w:color w:val="000000" w:themeColor="text1"/>
                <w14:textFill>
                  <w14:solidFill>
                    <w14:schemeClr w14:val="tx1"/>
                  </w14:solidFill>
                </w14:textFill>
              </w:rPr>
              <w:t xml:space="preserve">附录 </w:t>
            </w:r>
            <w:r>
              <w:rPr>
                <w:rFonts w:eastAsia="Times New Roman"/>
                <w:color w:val="000000" w:themeColor="text1"/>
                <w:lang w:bidi="en-US"/>
                <w14:textFill>
                  <w14:solidFill>
                    <w14:schemeClr w14:val="tx1"/>
                  </w14:solidFill>
                </w14:textFill>
              </w:rPr>
              <w:t>D</w:t>
            </w:r>
          </w:p>
        </w:tc>
      </w:tr>
      <w:tr w14:paraId="3683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4BCC3FD5">
            <w:pPr>
              <w:pStyle w:val="109"/>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080" w:type="dxa"/>
            <w:vAlign w:val="center"/>
          </w:tcPr>
          <w:p w14:paraId="75B999D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w:t>
            </w:r>
          </w:p>
        </w:tc>
        <w:tc>
          <w:tcPr>
            <w:tcW w:w="1808" w:type="dxa"/>
            <w:vAlign w:val="center"/>
          </w:tcPr>
          <w:p w14:paraId="6C4F56D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3AC38DFC">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240" w:type="dxa"/>
            <w:gridSpan w:val="2"/>
            <w:vMerge w:val="continue"/>
            <w:vAlign w:val="center"/>
          </w:tcPr>
          <w:p w14:paraId="7B2ADD93">
            <w:pPr>
              <w:pStyle w:val="109"/>
              <w:rPr>
                <w:color w:val="000000" w:themeColor="text1"/>
                <w14:textFill>
                  <w14:solidFill>
                    <w14:schemeClr w14:val="tx1"/>
                  </w14:solidFill>
                </w14:textFill>
              </w:rPr>
            </w:pPr>
          </w:p>
        </w:tc>
      </w:tr>
      <w:tr w14:paraId="6FC9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6802AD41">
            <w:pPr>
              <w:pStyle w:val="109"/>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1080" w:type="dxa"/>
            <w:vAlign w:val="center"/>
          </w:tcPr>
          <w:p w14:paraId="49BD96B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10</w:t>
            </w:r>
          </w:p>
        </w:tc>
        <w:tc>
          <w:tcPr>
            <w:tcW w:w="1808" w:type="dxa"/>
            <w:vAlign w:val="center"/>
          </w:tcPr>
          <w:p w14:paraId="094CC1BB">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60B0DA1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240" w:type="dxa"/>
            <w:gridSpan w:val="2"/>
            <w:vMerge w:val="continue"/>
            <w:vAlign w:val="center"/>
          </w:tcPr>
          <w:p w14:paraId="7BAB257A">
            <w:pPr>
              <w:pStyle w:val="109"/>
              <w:rPr>
                <w:color w:val="000000" w:themeColor="text1"/>
                <w14:textFill>
                  <w14:solidFill>
                    <w14:schemeClr w14:val="tx1"/>
                  </w14:solidFill>
                </w14:textFill>
              </w:rPr>
            </w:pPr>
          </w:p>
        </w:tc>
      </w:tr>
      <w:tr w14:paraId="74E0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2749CDBD">
            <w:pPr>
              <w:pStyle w:val="109"/>
              <w:rPr>
                <w:color w:val="000000" w:themeColor="text1"/>
                <w14:textFill>
                  <w14:solidFill>
                    <w14:schemeClr w14:val="tx1"/>
                  </w14:solidFill>
                </w14:textFill>
              </w:rPr>
            </w:pPr>
            <w:r>
              <w:rPr>
                <w:color w:val="000000" w:themeColor="text1"/>
                <w14:textFill>
                  <w14:solidFill>
                    <w14:schemeClr w14:val="tx1"/>
                  </w14:solidFill>
                </w14:textFill>
              </w:rPr>
              <w:t>锰及其化合物</w:t>
            </w:r>
          </w:p>
        </w:tc>
        <w:tc>
          <w:tcPr>
            <w:tcW w:w="1080" w:type="dxa"/>
            <w:vAlign w:val="center"/>
          </w:tcPr>
          <w:p w14:paraId="5566925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5B08124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10</w:t>
            </w:r>
          </w:p>
        </w:tc>
        <w:tc>
          <w:tcPr>
            <w:tcW w:w="1579" w:type="dxa"/>
            <w:vAlign w:val="center"/>
          </w:tcPr>
          <w:p w14:paraId="5FB21A5D">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240" w:type="dxa"/>
            <w:gridSpan w:val="2"/>
            <w:vMerge w:val="continue"/>
            <w:vAlign w:val="center"/>
          </w:tcPr>
          <w:p w14:paraId="4EAA4331">
            <w:pPr>
              <w:pStyle w:val="109"/>
              <w:rPr>
                <w:color w:val="000000" w:themeColor="text1"/>
                <w14:textFill>
                  <w14:solidFill>
                    <w14:schemeClr w14:val="tx1"/>
                  </w14:solidFill>
                </w14:textFill>
              </w:rPr>
            </w:pPr>
          </w:p>
        </w:tc>
      </w:tr>
      <w:tr w14:paraId="70BE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65AA4474">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1080" w:type="dxa"/>
            <w:vAlign w:val="center"/>
          </w:tcPr>
          <w:p w14:paraId="50110A5B">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2000</w:t>
            </w:r>
          </w:p>
        </w:tc>
        <w:tc>
          <w:tcPr>
            <w:tcW w:w="1808" w:type="dxa"/>
            <w:vAlign w:val="center"/>
          </w:tcPr>
          <w:p w14:paraId="38C7145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4863E17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240" w:type="dxa"/>
            <w:gridSpan w:val="2"/>
            <w:vAlign w:val="center"/>
          </w:tcPr>
          <w:p w14:paraId="3ACD4AE0">
            <w:pPr>
              <w:pStyle w:val="109"/>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《大气污染物综合排放标准详解》</w:t>
            </w:r>
          </w:p>
        </w:tc>
      </w:tr>
      <w:tr w14:paraId="2545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517C7371">
            <w:pPr>
              <w:pStyle w:val="109"/>
              <w:rPr>
                <w:color w:val="000000" w:themeColor="text1"/>
                <w14:textFill>
                  <w14:solidFill>
                    <w14:schemeClr w14:val="tx1"/>
                  </w14:solidFill>
                </w14:textFill>
              </w:rPr>
            </w:pPr>
            <w:r>
              <w:rPr>
                <w:color w:val="000000" w:themeColor="text1"/>
                <w14:textFill>
                  <w14:solidFill>
                    <w14:schemeClr w14:val="tx1"/>
                  </w14:solidFill>
                </w14:textFill>
              </w:rPr>
              <w:t>二噁英</w:t>
            </w:r>
          </w:p>
        </w:tc>
        <w:tc>
          <w:tcPr>
            <w:tcW w:w="1080" w:type="dxa"/>
            <w:vAlign w:val="center"/>
          </w:tcPr>
          <w:p w14:paraId="2E659E4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808" w:type="dxa"/>
            <w:vAlign w:val="center"/>
          </w:tcPr>
          <w:p w14:paraId="0B75D6AC">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42B945E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0.6pgTEQ/m³</w:t>
            </w:r>
          </w:p>
        </w:tc>
        <w:tc>
          <w:tcPr>
            <w:tcW w:w="3240" w:type="dxa"/>
            <w:gridSpan w:val="2"/>
            <w:vAlign w:val="center"/>
          </w:tcPr>
          <w:p w14:paraId="58BB51FC">
            <w:pPr>
              <w:pStyle w:val="109"/>
              <w:rPr>
                <w:color w:val="000000" w:themeColor="text1"/>
                <w14:textFill>
                  <w14:solidFill>
                    <w14:schemeClr w14:val="tx1"/>
                  </w14:solidFill>
                </w14:textFill>
              </w:rPr>
            </w:pPr>
            <w:r>
              <w:rPr>
                <w:color w:val="000000" w:themeColor="text1"/>
                <w14:textFill>
                  <w14:solidFill>
                    <w14:schemeClr w14:val="tx1"/>
                  </w14:solidFill>
                </w14:textFill>
              </w:rPr>
              <w:t>日本环境质量标准</w:t>
            </w:r>
          </w:p>
        </w:tc>
      </w:tr>
    </w:tbl>
    <w:p w14:paraId="0936F317">
      <w:pPr>
        <w:pStyle w:val="245"/>
        <w:spacing w:line="360" w:lineRule="auto"/>
        <w:ind w:firstLine="48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w:t>
      </w:r>
      <w:r>
        <w:rPr>
          <w:rFonts w:hint="eastAsia" w:ascii="Times New Roman" w:hAnsi="Times New Roman" w:eastAsia="宋体" w:cs="Times New Roman"/>
          <w:b/>
          <w:color w:val="000000" w:themeColor="text1"/>
          <w14:textFill>
            <w14:solidFill>
              <w14:schemeClr w14:val="tx1"/>
            </w14:solidFill>
          </w14:textFill>
        </w:rPr>
        <w:t>2</w:t>
      </w:r>
      <w:r>
        <w:rPr>
          <w:rFonts w:ascii="Times New Roman" w:hAnsi="Times New Roman" w:eastAsia="宋体" w:cs="Times New Roman"/>
          <w:b/>
          <w:color w:val="000000" w:themeColor="text1"/>
          <w14:textFill>
            <w14:solidFill>
              <w14:schemeClr w14:val="tx1"/>
            </w14:solidFill>
          </w14:textFill>
        </w:rPr>
        <w:t>）地下水</w:t>
      </w:r>
    </w:p>
    <w:p w14:paraId="7C2C08DE">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项目区地下水水质评价执行《地下水质量标准》(GB/T14848-2017)中III类水质标准，具体标准值见下表。</w:t>
      </w:r>
    </w:p>
    <w:p w14:paraId="405D3804">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地下水质量标准值</w:t>
      </w:r>
    </w:p>
    <w:tbl>
      <w:tblPr>
        <w:tblStyle w:val="7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3165"/>
        <w:gridCol w:w="1140"/>
        <w:gridCol w:w="711"/>
        <w:gridCol w:w="2971"/>
        <w:gridCol w:w="1019"/>
      </w:tblGrid>
      <w:tr w14:paraId="698E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blHeader/>
          <w:jc w:val="center"/>
        </w:trPr>
        <w:tc>
          <w:tcPr>
            <w:tcW w:w="321" w:type="pct"/>
            <w:vAlign w:val="center"/>
          </w:tcPr>
          <w:p w14:paraId="533AC599">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643" w:type="pct"/>
            <w:vAlign w:val="center"/>
          </w:tcPr>
          <w:p w14:paraId="10BB57C0">
            <w:pPr>
              <w:pStyle w:val="109"/>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592" w:type="pct"/>
            <w:vAlign w:val="center"/>
          </w:tcPr>
          <w:p w14:paraId="7E221A11">
            <w:pPr>
              <w:pStyle w:val="109"/>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369" w:type="pct"/>
            <w:vAlign w:val="center"/>
          </w:tcPr>
          <w:p w14:paraId="7D4EFCA7">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542" w:type="pct"/>
            <w:vAlign w:val="center"/>
          </w:tcPr>
          <w:p w14:paraId="5A3F83E2">
            <w:pPr>
              <w:pStyle w:val="109"/>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529" w:type="pct"/>
            <w:vAlign w:val="center"/>
          </w:tcPr>
          <w:p w14:paraId="51B3609F">
            <w:pPr>
              <w:pStyle w:val="109"/>
              <w:rPr>
                <w:color w:val="000000" w:themeColor="text1"/>
                <w14:textFill>
                  <w14:solidFill>
                    <w14:schemeClr w14:val="tx1"/>
                  </w14:solidFill>
                </w14:textFill>
              </w:rPr>
            </w:pPr>
            <w:r>
              <w:rPr>
                <w:color w:val="000000" w:themeColor="text1"/>
                <w14:textFill>
                  <w14:solidFill>
                    <w14:schemeClr w14:val="tx1"/>
                  </w14:solidFill>
                </w14:textFill>
              </w:rPr>
              <w:t>标准值</w:t>
            </w:r>
          </w:p>
        </w:tc>
      </w:tr>
      <w:tr w14:paraId="3423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209E134C">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643" w:type="pct"/>
            <w:vAlign w:val="center"/>
          </w:tcPr>
          <w:p w14:paraId="6B56FE28">
            <w:pPr>
              <w:pStyle w:val="109"/>
              <w:rPr>
                <w:bCs/>
                <w:color w:val="000000" w:themeColor="text1"/>
                <w:szCs w:val="21"/>
                <w14:textFill>
                  <w14:solidFill>
                    <w14:schemeClr w14:val="tx1"/>
                  </w14:solidFill>
                </w14:textFill>
              </w:rPr>
            </w:pPr>
            <w:r>
              <w:rPr>
                <w:color w:val="000000" w:themeColor="text1"/>
                <w14:textFill>
                  <w14:solidFill>
                    <w14:schemeClr w14:val="tx1"/>
                  </w14:solidFill>
                </w14:textFill>
              </w:rPr>
              <w:t>镍</w:t>
            </w:r>
            <w:r>
              <w:rPr>
                <w:bCs/>
                <w:color w:val="000000" w:themeColor="text1"/>
                <w:szCs w:val="21"/>
                <w14:textFill>
                  <w14:solidFill>
                    <w14:schemeClr w14:val="tx1"/>
                  </w14:solidFill>
                </w14:textFill>
              </w:rPr>
              <w:t>（mg/L）</w:t>
            </w:r>
          </w:p>
        </w:tc>
        <w:tc>
          <w:tcPr>
            <w:tcW w:w="592" w:type="pct"/>
            <w:vAlign w:val="center"/>
          </w:tcPr>
          <w:p w14:paraId="0361438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w:t>
            </w:r>
          </w:p>
        </w:tc>
        <w:tc>
          <w:tcPr>
            <w:tcW w:w="369" w:type="pct"/>
            <w:vAlign w:val="center"/>
          </w:tcPr>
          <w:p w14:paraId="4568B41D">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18</w:t>
            </w:r>
          </w:p>
        </w:tc>
        <w:tc>
          <w:tcPr>
            <w:tcW w:w="1542" w:type="pct"/>
            <w:vAlign w:val="center"/>
          </w:tcPr>
          <w:p w14:paraId="5CD2921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氨氮（以Ｎ计）（mg/L）</w:t>
            </w:r>
          </w:p>
        </w:tc>
        <w:tc>
          <w:tcPr>
            <w:tcW w:w="529" w:type="pct"/>
            <w:vAlign w:val="center"/>
          </w:tcPr>
          <w:p w14:paraId="153BD9EC">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≤0.50</w:t>
            </w:r>
          </w:p>
        </w:tc>
      </w:tr>
      <w:tr w14:paraId="2C6A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60E74FE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1643" w:type="pct"/>
            <w:vAlign w:val="center"/>
          </w:tcPr>
          <w:p w14:paraId="24F1BF0B">
            <w:pPr>
              <w:pStyle w:val="109"/>
              <w:rPr>
                <w:bCs/>
                <w:color w:val="000000" w:themeColor="text1"/>
                <w:szCs w:val="21"/>
                <w14:textFill>
                  <w14:solidFill>
                    <w14:schemeClr w14:val="tx1"/>
                  </w14:solidFill>
                </w14:textFill>
              </w:rPr>
            </w:pPr>
            <w:r>
              <w:rPr>
                <w:color w:val="000000" w:themeColor="text1"/>
                <w14:textFill>
                  <w14:solidFill>
                    <w14:schemeClr w14:val="tx1"/>
                  </w14:solidFill>
                </w14:textFill>
              </w:rPr>
              <w:t>三氯甲烷</w:t>
            </w:r>
            <w:r>
              <w:rPr>
                <w:bCs/>
                <w:color w:val="000000" w:themeColor="text1"/>
                <w:szCs w:val="21"/>
                <w14:textFill>
                  <w14:solidFill>
                    <w14:schemeClr w14:val="tx1"/>
                  </w14:solidFill>
                </w14:textFill>
              </w:rPr>
              <w:t>（mg/L）</w:t>
            </w:r>
          </w:p>
        </w:tc>
        <w:tc>
          <w:tcPr>
            <w:tcW w:w="592" w:type="pct"/>
            <w:vAlign w:val="center"/>
          </w:tcPr>
          <w:p w14:paraId="693AC636">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≤60</w:t>
            </w:r>
          </w:p>
        </w:tc>
        <w:tc>
          <w:tcPr>
            <w:tcW w:w="369" w:type="pct"/>
            <w:vAlign w:val="center"/>
          </w:tcPr>
          <w:p w14:paraId="0ED2EED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19</w:t>
            </w:r>
          </w:p>
        </w:tc>
        <w:tc>
          <w:tcPr>
            <w:tcW w:w="1542" w:type="pct"/>
            <w:vAlign w:val="center"/>
          </w:tcPr>
          <w:p w14:paraId="4D20A2A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硫化物（mg/L）</w:t>
            </w:r>
          </w:p>
        </w:tc>
        <w:tc>
          <w:tcPr>
            <w:tcW w:w="529" w:type="pct"/>
            <w:vAlign w:val="center"/>
          </w:tcPr>
          <w:p w14:paraId="780D2C5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w:t>
            </w:r>
          </w:p>
        </w:tc>
      </w:tr>
      <w:tr w14:paraId="428A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025146F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1643" w:type="pct"/>
            <w:vAlign w:val="center"/>
          </w:tcPr>
          <w:p w14:paraId="031B3404">
            <w:pPr>
              <w:pStyle w:val="109"/>
              <w:rPr>
                <w:bCs/>
                <w:color w:val="000000" w:themeColor="text1"/>
                <w:szCs w:val="21"/>
                <w14:textFill>
                  <w14:solidFill>
                    <w14:schemeClr w14:val="tx1"/>
                  </w14:solidFill>
                </w14:textFill>
              </w:rPr>
            </w:pPr>
            <w:r>
              <w:rPr>
                <w:color w:val="000000" w:themeColor="text1"/>
                <w14:textFill>
                  <w14:solidFill>
                    <w14:schemeClr w14:val="tx1"/>
                  </w14:solidFill>
                </w14:textFill>
              </w:rPr>
              <w:t>二氯甲烷</w:t>
            </w:r>
            <w:r>
              <w:rPr>
                <w:bCs/>
                <w:color w:val="000000" w:themeColor="text1"/>
                <w:szCs w:val="21"/>
                <w14:textFill>
                  <w14:solidFill>
                    <w14:schemeClr w14:val="tx1"/>
                  </w14:solidFill>
                </w14:textFill>
              </w:rPr>
              <w:t>（mg/L）</w:t>
            </w:r>
          </w:p>
        </w:tc>
        <w:tc>
          <w:tcPr>
            <w:tcW w:w="592" w:type="pct"/>
            <w:vAlign w:val="center"/>
          </w:tcPr>
          <w:p w14:paraId="45A7343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w:t>
            </w:r>
          </w:p>
        </w:tc>
        <w:tc>
          <w:tcPr>
            <w:tcW w:w="369" w:type="pct"/>
            <w:vAlign w:val="center"/>
          </w:tcPr>
          <w:p w14:paraId="3A8B7D7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w:t>
            </w:r>
          </w:p>
        </w:tc>
        <w:tc>
          <w:tcPr>
            <w:tcW w:w="1542" w:type="pct"/>
            <w:vAlign w:val="center"/>
          </w:tcPr>
          <w:p w14:paraId="14582B39">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钠（mg/L）</w:t>
            </w:r>
          </w:p>
        </w:tc>
        <w:tc>
          <w:tcPr>
            <w:tcW w:w="529" w:type="pct"/>
            <w:vAlign w:val="center"/>
          </w:tcPr>
          <w:p w14:paraId="157EF503">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≤200</w:t>
            </w:r>
          </w:p>
        </w:tc>
      </w:tr>
      <w:tr w14:paraId="5A7C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21" w:type="pct"/>
            <w:vAlign w:val="center"/>
          </w:tcPr>
          <w:p w14:paraId="4C44730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1643" w:type="pct"/>
            <w:vAlign w:val="center"/>
          </w:tcPr>
          <w:p w14:paraId="78FCE5FF">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肉眼可见物</w:t>
            </w:r>
          </w:p>
        </w:tc>
        <w:tc>
          <w:tcPr>
            <w:tcW w:w="592" w:type="pct"/>
            <w:vAlign w:val="center"/>
          </w:tcPr>
          <w:p w14:paraId="1910526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无</w:t>
            </w:r>
          </w:p>
        </w:tc>
        <w:tc>
          <w:tcPr>
            <w:tcW w:w="369" w:type="pct"/>
            <w:vAlign w:val="center"/>
          </w:tcPr>
          <w:p w14:paraId="223659D7">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21</w:t>
            </w:r>
          </w:p>
        </w:tc>
        <w:tc>
          <w:tcPr>
            <w:tcW w:w="1542" w:type="pct"/>
            <w:vAlign w:val="center"/>
          </w:tcPr>
          <w:p w14:paraId="1A2162D3">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总大肠菌群（MPN/100mL或CFU/100mL）</w:t>
            </w:r>
          </w:p>
        </w:tc>
        <w:tc>
          <w:tcPr>
            <w:tcW w:w="529" w:type="pct"/>
            <w:vAlign w:val="center"/>
          </w:tcPr>
          <w:p w14:paraId="0DD90AB4">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w:t>
            </w:r>
          </w:p>
        </w:tc>
      </w:tr>
      <w:tr w14:paraId="6B96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6D52132C">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643" w:type="pct"/>
            <w:vAlign w:val="center"/>
          </w:tcPr>
          <w:p w14:paraId="00B672F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pH（无量纲）</w:t>
            </w:r>
          </w:p>
        </w:tc>
        <w:tc>
          <w:tcPr>
            <w:tcW w:w="592" w:type="pct"/>
            <w:vAlign w:val="center"/>
          </w:tcPr>
          <w:p w14:paraId="72659B30">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5.5≤pH＜6.5</w:t>
            </w:r>
          </w:p>
        </w:tc>
        <w:tc>
          <w:tcPr>
            <w:tcW w:w="369" w:type="pct"/>
            <w:vAlign w:val="center"/>
          </w:tcPr>
          <w:p w14:paraId="3EFF6D63">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22</w:t>
            </w:r>
          </w:p>
        </w:tc>
        <w:tc>
          <w:tcPr>
            <w:tcW w:w="1542" w:type="pct"/>
            <w:vAlign w:val="center"/>
          </w:tcPr>
          <w:p w14:paraId="68143206">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菌落总数（CFU/mL）</w:t>
            </w:r>
          </w:p>
        </w:tc>
        <w:tc>
          <w:tcPr>
            <w:tcW w:w="529" w:type="pct"/>
            <w:vAlign w:val="center"/>
          </w:tcPr>
          <w:p w14:paraId="69CFFFD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r>
      <w:tr w14:paraId="72C5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769E59FB">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w:t>
            </w:r>
          </w:p>
        </w:tc>
        <w:tc>
          <w:tcPr>
            <w:tcW w:w="1643" w:type="pct"/>
            <w:vAlign w:val="center"/>
          </w:tcPr>
          <w:p w14:paraId="33EEE0B4">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总硬度（以CaCO</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计）（mg/L）</w:t>
            </w:r>
          </w:p>
        </w:tc>
        <w:tc>
          <w:tcPr>
            <w:tcW w:w="592" w:type="pct"/>
            <w:vAlign w:val="center"/>
          </w:tcPr>
          <w:p w14:paraId="6E2F303B">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≤450</w:t>
            </w:r>
          </w:p>
        </w:tc>
        <w:tc>
          <w:tcPr>
            <w:tcW w:w="369" w:type="pct"/>
            <w:vAlign w:val="center"/>
          </w:tcPr>
          <w:p w14:paraId="235A3548">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23</w:t>
            </w:r>
          </w:p>
        </w:tc>
        <w:tc>
          <w:tcPr>
            <w:tcW w:w="1542" w:type="pct"/>
            <w:vAlign w:val="center"/>
          </w:tcPr>
          <w:p w14:paraId="56BAC9B8">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亚硝酸盐（以N计）（mg/L）</w:t>
            </w:r>
          </w:p>
        </w:tc>
        <w:tc>
          <w:tcPr>
            <w:tcW w:w="529" w:type="pct"/>
            <w:vAlign w:val="center"/>
          </w:tcPr>
          <w:p w14:paraId="56D98B6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r>
      <w:tr w14:paraId="6005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0C65E2C7">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w:t>
            </w:r>
          </w:p>
        </w:tc>
        <w:tc>
          <w:tcPr>
            <w:tcW w:w="1643" w:type="pct"/>
            <w:vAlign w:val="center"/>
          </w:tcPr>
          <w:p w14:paraId="3BB9A19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溶解性总固体</w:t>
            </w:r>
          </w:p>
        </w:tc>
        <w:tc>
          <w:tcPr>
            <w:tcW w:w="592" w:type="pct"/>
            <w:vAlign w:val="center"/>
          </w:tcPr>
          <w:p w14:paraId="5B78172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≤1000</w:t>
            </w:r>
          </w:p>
        </w:tc>
        <w:tc>
          <w:tcPr>
            <w:tcW w:w="369" w:type="pct"/>
            <w:vAlign w:val="center"/>
          </w:tcPr>
          <w:p w14:paraId="291C5CED">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w:t>
            </w:r>
          </w:p>
        </w:tc>
        <w:tc>
          <w:tcPr>
            <w:tcW w:w="1542" w:type="pct"/>
            <w:vAlign w:val="center"/>
          </w:tcPr>
          <w:p w14:paraId="4025C75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硝酸盐（以N计）（mg/L）</w:t>
            </w:r>
          </w:p>
        </w:tc>
        <w:tc>
          <w:tcPr>
            <w:tcW w:w="529" w:type="pct"/>
            <w:vAlign w:val="center"/>
          </w:tcPr>
          <w:p w14:paraId="045C3264">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≤20.0</w:t>
            </w:r>
          </w:p>
        </w:tc>
      </w:tr>
      <w:tr w14:paraId="02D6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5A0EB63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w:t>
            </w:r>
          </w:p>
        </w:tc>
        <w:tc>
          <w:tcPr>
            <w:tcW w:w="1643" w:type="pct"/>
            <w:vAlign w:val="center"/>
          </w:tcPr>
          <w:p w14:paraId="017049B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硫酸盐（mg/L）</w:t>
            </w:r>
          </w:p>
        </w:tc>
        <w:tc>
          <w:tcPr>
            <w:tcW w:w="592" w:type="pct"/>
            <w:vAlign w:val="center"/>
          </w:tcPr>
          <w:p w14:paraId="4BC90277">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≤250</w:t>
            </w:r>
          </w:p>
        </w:tc>
        <w:tc>
          <w:tcPr>
            <w:tcW w:w="369" w:type="pct"/>
            <w:vAlign w:val="center"/>
          </w:tcPr>
          <w:p w14:paraId="79707B46">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25</w:t>
            </w:r>
          </w:p>
        </w:tc>
        <w:tc>
          <w:tcPr>
            <w:tcW w:w="1542" w:type="pct"/>
            <w:vAlign w:val="center"/>
          </w:tcPr>
          <w:p w14:paraId="6B36353F">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氰化物（mg/L）</w:t>
            </w:r>
          </w:p>
        </w:tc>
        <w:tc>
          <w:tcPr>
            <w:tcW w:w="529" w:type="pct"/>
            <w:vAlign w:val="center"/>
          </w:tcPr>
          <w:p w14:paraId="19A5A5CE">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≤0.05</w:t>
            </w:r>
          </w:p>
        </w:tc>
      </w:tr>
      <w:tr w14:paraId="2483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7A7865BB">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w:t>
            </w:r>
          </w:p>
        </w:tc>
        <w:tc>
          <w:tcPr>
            <w:tcW w:w="1643" w:type="pct"/>
            <w:vAlign w:val="center"/>
          </w:tcPr>
          <w:p w14:paraId="77E3B6B0">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氯化物（mg/L）</w:t>
            </w:r>
          </w:p>
        </w:tc>
        <w:tc>
          <w:tcPr>
            <w:tcW w:w="592" w:type="pct"/>
            <w:vAlign w:val="center"/>
          </w:tcPr>
          <w:p w14:paraId="75E4632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≤250</w:t>
            </w:r>
          </w:p>
        </w:tc>
        <w:tc>
          <w:tcPr>
            <w:tcW w:w="369" w:type="pct"/>
            <w:vAlign w:val="center"/>
          </w:tcPr>
          <w:p w14:paraId="55BD2B6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26</w:t>
            </w:r>
          </w:p>
        </w:tc>
        <w:tc>
          <w:tcPr>
            <w:tcW w:w="1542" w:type="pct"/>
            <w:vAlign w:val="center"/>
          </w:tcPr>
          <w:p w14:paraId="5536227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氟化物（mg/L）</w:t>
            </w:r>
          </w:p>
        </w:tc>
        <w:tc>
          <w:tcPr>
            <w:tcW w:w="529" w:type="pct"/>
            <w:vAlign w:val="center"/>
          </w:tcPr>
          <w:p w14:paraId="18D4531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r>
      <w:tr w14:paraId="777E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691E3D95">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1643" w:type="pct"/>
            <w:vAlign w:val="center"/>
          </w:tcPr>
          <w:p w14:paraId="482D7C6F">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铁（mg/L）</w:t>
            </w:r>
          </w:p>
        </w:tc>
        <w:tc>
          <w:tcPr>
            <w:tcW w:w="592" w:type="pct"/>
            <w:vAlign w:val="center"/>
          </w:tcPr>
          <w:p w14:paraId="140B791B">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≤0.3</w:t>
            </w:r>
          </w:p>
        </w:tc>
        <w:tc>
          <w:tcPr>
            <w:tcW w:w="369" w:type="pct"/>
            <w:vAlign w:val="center"/>
          </w:tcPr>
          <w:p w14:paraId="1731BEED">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27</w:t>
            </w:r>
          </w:p>
        </w:tc>
        <w:tc>
          <w:tcPr>
            <w:tcW w:w="1542" w:type="pct"/>
            <w:vAlign w:val="center"/>
          </w:tcPr>
          <w:p w14:paraId="6A7653D3">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碘化物（mg/L）</w:t>
            </w:r>
          </w:p>
        </w:tc>
        <w:tc>
          <w:tcPr>
            <w:tcW w:w="529" w:type="pct"/>
            <w:vAlign w:val="center"/>
          </w:tcPr>
          <w:p w14:paraId="587ABBA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≤0.08</w:t>
            </w:r>
          </w:p>
        </w:tc>
      </w:tr>
      <w:tr w14:paraId="3DAA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424953B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11</w:t>
            </w:r>
          </w:p>
        </w:tc>
        <w:tc>
          <w:tcPr>
            <w:tcW w:w="1643" w:type="pct"/>
            <w:vAlign w:val="center"/>
          </w:tcPr>
          <w:p w14:paraId="121C956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锰（mg/L）</w:t>
            </w:r>
          </w:p>
        </w:tc>
        <w:tc>
          <w:tcPr>
            <w:tcW w:w="592" w:type="pct"/>
            <w:vAlign w:val="center"/>
          </w:tcPr>
          <w:p w14:paraId="6D9B692D">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≤0.10</w:t>
            </w:r>
          </w:p>
        </w:tc>
        <w:tc>
          <w:tcPr>
            <w:tcW w:w="369" w:type="pct"/>
            <w:vAlign w:val="center"/>
          </w:tcPr>
          <w:p w14:paraId="7E1ED35D">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28</w:t>
            </w:r>
          </w:p>
        </w:tc>
        <w:tc>
          <w:tcPr>
            <w:tcW w:w="1542" w:type="pct"/>
            <w:vAlign w:val="center"/>
          </w:tcPr>
          <w:p w14:paraId="7F9F85E6">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汞（mg/L）</w:t>
            </w:r>
          </w:p>
        </w:tc>
        <w:tc>
          <w:tcPr>
            <w:tcW w:w="529" w:type="pct"/>
            <w:vAlign w:val="center"/>
          </w:tcPr>
          <w:p w14:paraId="25E0D725">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≤0.001</w:t>
            </w:r>
          </w:p>
        </w:tc>
      </w:tr>
      <w:tr w14:paraId="43FA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4F19B21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12</w:t>
            </w:r>
          </w:p>
        </w:tc>
        <w:tc>
          <w:tcPr>
            <w:tcW w:w="1643" w:type="pct"/>
            <w:vAlign w:val="center"/>
          </w:tcPr>
          <w:p w14:paraId="27D14836">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铜（mg/L）</w:t>
            </w:r>
          </w:p>
        </w:tc>
        <w:tc>
          <w:tcPr>
            <w:tcW w:w="592" w:type="pct"/>
            <w:vAlign w:val="center"/>
          </w:tcPr>
          <w:p w14:paraId="22CC1A2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369" w:type="pct"/>
            <w:vAlign w:val="center"/>
          </w:tcPr>
          <w:p w14:paraId="0B134E04">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29</w:t>
            </w:r>
          </w:p>
        </w:tc>
        <w:tc>
          <w:tcPr>
            <w:tcW w:w="1542" w:type="pct"/>
            <w:vAlign w:val="center"/>
          </w:tcPr>
          <w:p w14:paraId="7EA4A3C0">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砷（mg/L）</w:t>
            </w:r>
          </w:p>
        </w:tc>
        <w:tc>
          <w:tcPr>
            <w:tcW w:w="529" w:type="pct"/>
            <w:vAlign w:val="center"/>
          </w:tcPr>
          <w:p w14:paraId="0D2AF4B7">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w:t>
            </w:r>
          </w:p>
        </w:tc>
      </w:tr>
      <w:tr w14:paraId="4B7A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0522AC5B">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13</w:t>
            </w:r>
          </w:p>
        </w:tc>
        <w:tc>
          <w:tcPr>
            <w:tcW w:w="1643" w:type="pct"/>
            <w:vAlign w:val="center"/>
          </w:tcPr>
          <w:p w14:paraId="1E3ABFF4">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锌（mg/L）</w:t>
            </w:r>
          </w:p>
        </w:tc>
        <w:tc>
          <w:tcPr>
            <w:tcW w:w="592" w:type="pct"/>
            <w:vAlign w:val="center"/>
          </w:tcPr>
          <w:p w14:paraId="4EE2C383">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369" w:type="pct"/>
            <w:vAlign w:val="center"/>
          </w:tcPr>
          <w:p w14:paraId="6C736A8E">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w:t>
            </w:r>
          </w:p>
        </w:tc>
        <w:tc>
          <w:tcPr>
            <w:tcW w:w="1542" w:type="pct"/>
            <w:vAlign w:val="center"/>
          </w:tcPr>
          <w:p w14:paraId="22CBADFE">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硒（mg/L）</w:t>
            </w:r>
          </w:p>
        </w:tc>
        <w:tc>
          <w:tcPr>
            <w:tcW w:w="529" w:type="pct"/>
            <w:vAlign w:val="center"/>
          </w:tcPr>
          <w:p w14:paraId="7ADEAC08">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w:t>
            </w:r>
          </w:p>
        </w:tc>
      </w:tr>
      <w:tr w14:paraId="2A8A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3BB3C178">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14</w:t>
            </w:r>
          </w:p>
        </w:tc>
        <w:tc>
          <w:tcPr>
            <w:tcW w:w="1643" w:type="pct"/>
            <w:vAlign w:val="center"/>
          </w:tcPr>
          <w:p w14:paraId="7A11F474">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铝（mg/L）</w:t>
            </w:r>
          </w:p>
        </w:tc>
        <w:tc>
          <w:tcPr>
            <w:tcW w:w="592" w:type="pct"/>
            <w:vAlign w:val="center"/>
          </w:tcPr>
          <w:p w14:paraId="1DDBFA8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≤0.20</w:t>
            </w:r>
          </w:p>
        </w:tc>
        <w:tc>
          <w:tcPr>
            <w:tcW w:w="369" w:type="pct"/>
            <w:vAlign w:val="center"/>
          </w:tcPr>
          <w:p w14:paraId="1B260427">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31</w:t>
            </w:r>
          </w:p>
        </w:tc>
        <w:tc>
          <w:tcPr>
            <w:tcW w:w="1542" w:type="pct"/>
            <w:vAlign w:val="center"/>
          </w:tcPr>
          <w:p w14:paraId="1C7A051E">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镉（mg/L）</w:t>
            </w:r>
          </w:p>
        </w:tc>
        <w:tc>
          <w:tcPr>
            <w:tcW w:w="529" w:type="pct"/>
            <w:vAlign w:val="center"/>
          </w:tcPr>
          <w:p w14:paraId="1023052D">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≤0.005</w:t>
            </w:r>
          </w:p>
        </w:tc>
      </w:tr>
      <w:tr w14:paraId="3401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160A00A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15</w:t>
            </w:r>
          </w:p>
        </w:tc>
        <w:tc>
          <w:tcPr>
            <w:tcW w:w="1643" w:type="pct"/>
            <w:vAlign w:val="center"/>
          </w:tcPr>
          <w:p w14:paraId="18C6D158">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挥发性酚类（以苯酚计）（mg/L）</w:t>
            </w:r>
          </w:p>
        </w:tc>
        <w:tc>
          <w:tcPr>
            <w:tcW w:w="592" w:type="pct"/>
            <w:vAlign w:val="center"/>
          </w:tcPr>
          <w:p w14:paraId="1E59E0EE">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≤0.002</w:t>
            </w:r>
          </w:p>
        </w:tc>
        <w:tc>
          <w:tcPr>
            <w:tcW w:w="369" w:type="pct"/>
            <w:vAlign w:val="center"/>
          </w:tcPr>
          <w:p w14:paraId="7916DAA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32</w:t>
            </w:r>
          </w:p>
        </w:tc>
        <w:tc>
          <w:tcPr>
            <w:tcW w:w="1542" w:type="pct"/>
            <w:vAlign w:val="center"/>
          </w:tcPr>
          <w:p w14:paraId="7CCE6053">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铬（六价）（mg/L）</w:t>
            </w:r>
          </w:p>
        </w:tc>
        <w:tc>
          <w:tcPr>
            <w:tcW w:w="529" w:type="pct"/>
            <w:vAlign w:val="center"/>
          </w:tcPr>
          <w:p w14:paraId="14524A83">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≤0.05</w:t>
            </w:r>
          </w:p>
        </w:tc>
      </w:tr>
      <w:tr w14:paraId="0399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313C6FB9">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16</w:t>
            </w:r>
          </w:p>
        </w:tc>
        <w:tc>
          <w:tcPr>
            <w:tcW w:w="1643" w:type="pct"/>
            <w:vAlign w:val="center"/>
          </w:tcPr>
          <w:p w14:paraId="7696DF73">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阴离子表面活性剂（mg/L）</w:t>
            </w:r>
          </w:p>
        </w:tc>
        <w:tc>
          <w:tcPr>
            <w:tcW w:w="592" w:type="pct"/>
            <w:vAlign w:val="center"/>
          </w:tcPr>
          <w:p w14:paraId="1507376A">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≤0.3</w:t>
            </w:r>
          </w:p>
        </w:tc>
        <w:tc>
          <w:tcPr>
            <w:tcW w:w="369" w:type="pct"/>
            <w:vAlign w:val="center"/>
          </w:tcPr>
          <w:p w14:paraId="50E5A21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33</w:t>
            </w:r>
          </w:p>
        </w:tc>
        <w:tc>
          <w:tcPr>
            <w:tcW w:w="1542" w:type="pct"/>
            <w:vAlign w:val="center"/>
          </w:tcPr>
          <w:p w14:paraId="148747BC">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铅（mg/L）</w:t>
            </w:r>
          </w:p>
        </w:tc>
        <w:tc>
          <w:tcPr>
            <w:tcW w:w="529" w:type="pct"/>
            <w:vAlign w:val="center"/>
          </w:tcPr>
          <w:p w14:paraId="24D7BDCE">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w:t>
            </w:r>
          </w:p>
        </w:tc>
      </w:tr>
      <w:tr w14:paraId="16C6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21" w:type="pct"/>
            <w:vAlign w:val="center"/>
          </w:tcPr>
          <w:p w14:paraId="2DD4E09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17</w:t>
            </w:r>
          </w:p>
        </w:tc>
        <w:tc>
          <w:tcPr>
            <w:tcW w:w="1643" w:type="pct"/>
            <w:vAlign w:val="center"/>
          </w:tcPr>
          <w:p w14:paraId="5AB7D4F8">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耗氧量（COD</w:t>
            </w:r>
            <w:r>
              <w:rPr>
                <w:bCs/>
                <w:color w:val="000000" w:themeColor="text1"/>
                <w:szCs w:val="21"/>
                <w:vertAlign w:val="subscript"/>
                <w14:textFill>
                  <w14:solidFill>
                    <w14:schemeClr w14:val="tx1"/>
                  </w14:solidFill>
                </w14:textFill>
              </w:rPr>
              <w:t>Mn</w:t>
            </w:r>
            <w:r>
              <w:rPr>
                <w:bCs/>
                <w:color w:val="000000" w:themeColor="text1"/>
                <w:szCs w:val="21"/>
                <w14:textFill>
                  <w14:solidFill>
                    <w14:schemeClr w14:val="tx1"/>
                  </w14:solidFill>
                </w14:textFill>
              </w:rPr>
              <w:t>法，以O</w:t>
            </w:r>
            <w:r>
              <w:rPr>
                <w:bCs/>
                <w:color w:val="000000" w:themeColor="text1"/>
                <w:szCs w:val="21"/>
                <w:vertAlign w:val="subscript"/>
                <w14:textFill>
                  <w14:solidFill>
                    <w14:schemeClr w14:val="tx1"/>
                  </w14:solidFill>
                </w14:textFill>
              </w:rPr>
              <w:t>2</w:t>
            </w:r>
            <w:r>
              <w:rPr>
                <w:bCs/>
                <w:color w:val="000000" w:themeColor="text1"/>
                <w:szCs w:val="21"/>
                <w14:textFill>
                  <w14:solidFill>
                    <w14:schemeClr w14:val="tx1"/>
                  </w14:solidFill>
                </w14:textFill>
              </w:rPr>
              <w:t>计）（mg/L）</w:t>
            </w:r>
          </w:p>
        </w:tc>
        <w:tc>
          <w:tcPr>
            <w:tcW w:w="592" w:type="pct"/>
            <w:vAlign w:val="center"/>
          </w:tcPr>
          <w:p w14:paraId="5972141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w:t>
            </w:r>
          </w:p>
        </w:tc>
        <w:tc>
          <w:tcPr>
            <w:tcW w:w="369" w:type="pct"/>
            <w:vAlign w:val="center"/>
          </w:tcPr>
          <w:p w14:paraId="0878D88D">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34</w:t>
            </w:r>
          </w:p>
        </w:tc>
        <w:tc>
          <w:tcPr>
            <w:tcW w:w="1542" w:type="pct"/>
            <w:vAlign w:val="center"/>
          </w:tcPr>
          <w:p w14:paraId="1F183CD1">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石油类（mg/L）</w:t>
            </w:r>
          </w:p>
        </w:tc>
        <w:tc>
          <w:tcPr>
            <w:tcW w:w="529" w:type="pct"/>
            <w:vAlign w:val="center"/>
          </w:tcPr>
          <w:p w14:paraId="7FE1DC1D">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≤0.05</w:t>
            </w:r>
          </w:p>
        </w:tc>
      </w:tr>
    </w:tbl>
    <w:p w14:paraId="0DFD8B9D">
      <w:pPr>
        <w:pStyle w:val="245"/>
        <w:spacing w:line="360" w:lineRule="auto"/>
        <w:ind w:firstLine="42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注：石油类标准参照《地表水环境质量标准》(GB3838-2002)中的III类标准。</w:t>
      </w:r>
    </w:p>
    <w:p w14:paraId="20E6AB10">
      <w:pPr>
        <w:pStyle w:val="245"/>
        <w:spacing w:line="360" w:lineRule="auto"/>
        <w:ind w:firstLine="48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w:t>
      </w:r>
      <w:r>
        <w:rPr>
          <w:rFonts w:hint="eastAsia" w:ascii="Times New Roman" w:hAnsi="Times New Roman" w:eastAsia="宋体" w:cs="Times New Roman"/>
          <w:b/>
          <w:color w:val="000000" w:themeColor="text1"/>
          <w14:textFill>
            <w14:solidFill>
              <w14:schemeClr w14:val="tx1"/>
            </w14:solidFill>
          </w14:textFill>
        </w:rPr>
        <w:t>3</w:t>
      </w:r>
      <w:r>
        <w:rPr>
          <w:rFonts w:ascii="Times New Roman" w:hAnsi="Times New Roman" w:eastAsia="宋体" w:cs="Times New Roman"/>
          <w:b/>
          <w:color w:val="000000" w:themeColor="text1"/>
          <w14:textFill>
            <w14:solidFill>
              <w14:schemeClr w14:val="tx1"/>
            </w14:solidFill>
          </w14:textFill>
        </w:rPr>
        <w:t>）声环境</w:t>
      </w:r>
    </w:p>
    <w:p w14:paraId="4C3D5044">
      <w:pPr>
        <w:pStyle w:val="245"/>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厂址各厂界声环境现状执行《声环境质量标准》（GB3096-2008）3类标准，即昼间65dB（A），夜间55dB（A）。</w:t>
      </w:r>
    </w:p>
    <w:p w14:paraId="673D172B">
      <w:pPr>
        <w:pStyle w:val="207"/>
        <w:ind w:firstLine="498"/>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（4）土壤</w:t>
      </w:r>
    </w:p>
    <w:p w14:paraId="5BD8A29D">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评价范围内土壤质量执行《土壤环境质量建设用地土壤污染风险管控标准(试行)》(GB36600-2018)第二类用地风险筛选值，见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20E3510E">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《土壤环境质量建设用地土壤污染风险管控标准（试行）》表1筛选值标准</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2024"/>
        <w:gridCol w:w="1011"/>
        <w:gridCol w:w="1011"/>
        <w:gridCol w:w="764"/>
        <w:gridCol w:w="2139"/>
        <w:gridCol w:w="903"/>
        <w:gridCol w:w="1012"/>
      </w:tblGrid>
      <w:tr w14:paraId="2DCB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397" w:type="pct"/>
            <w:vAlign w:val="center"/>
          </w:tcPr>
          <w:p w14:paraId="4BA94EC4">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051" w:type="pct"/>
            <w:vAlign w:val="center"/>
          </w:tcPr>
          <w:p w14:paraId="393F9663">
            <w:pPr>
              <w:pStyle w:val="109"/>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525" w:type="pct"/>
            <w:vAlign w:val="center"/>
          </w:tcPr>
          <w:p w14:paraId="57791DFE">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525" w:type="pct"/>
            <w:vAlign w:val="center"/>
          </w:tcPr>
          <w:p w14:paraId="5C8084CB">
            <w:pPr>
              <w:pStyle w:val="109"/>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397" w:type="pct"/>
            <w:vAlign w:val="center"/>
          </w:tcPr>
          <w:p w14:paraId="497352B0">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11" w:type="pct"/>
            <w:vAlign w:val="center"/>
          </w:tcPr>
          <w:p w14:paraId="6837F5D6">
            <w:pPr>
              <w:pStyle w:val="109"/>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469" w:type="pct"/>
            <w:vAlign w:val="center"/>
          </w:tcPr>
          <w:p w14:paraId="45DF1305">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525" w:type="pct"/>
            <w:vAlign w:val="center"/>
          </w:tcPr>
          <w:p w14:paraId="19E97F76">
            <w:pPr>
              <w:pStyle w:val="109"/>
              <w:rPr>
                <w:color w:val="000000" w:themeColor="text1"/>
                <w14:textFill>
                  <w14:solidFill>
                    <w14:schemeClr w14:val="tx1"/>
                  </w14:solidFill>
                </w14:textFill>
              </w:rPr>
            </w:pPr>
            <w:r>
              <w:rPr>
                <w:color w:val="000000" w:themeColor="text1"/>
                <w14:textFill>
                  <w14:solidFill>
                    <w14:schemeClr w14:val="tx1"/>
                  </w14:solidFill>
                </w14:textFill>
              </w:rPr>
              <w:t>标准值</w:t>
            </w:r>
          </w:p>
        </w:tc>
      </w:tr>
      <w:tr w14:paraId="56A6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7317FA8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51" w:type="pct"/>
            <w:vAlign w:val="center"/>
          </w:tcPr>
          <w:p w14:paraId="79F2FBA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525" w:type="pct"/>
            <w:vAlign w:val="center"/>
          </w:tcPr>
          <w:p w14:paraId="79AC79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无量纲</w:t>
            </w:r>
          </w:p>
        </w:tc>
        <w:tc>
          <w:tcPr>
            <w:tcW w:w="525" w:type="pct"/>
            <w:vAlign w:val="center"/>
          </w:tcPr>
          <w:p w14:paraId="68CF421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97" w:type="pct"/>
            <w:vAlign w:val="center"/>
          </w:tcPr>
          <w:p w14:paraId="7227F62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1111" w:type="pct"/>
            <w:vAlign w:val="center"/>
          </w:tcPr>
          <w:p w14:paraId="021A0E2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氯乙烯</w:t>
            </w:r>
          </w:p>
        </w:tc>
        <w:tc>
          <w:tcPr>
            <w:tcW w:w="469" w:type="pct"/>
            <w:vAlign w:val="center"/>
          </w:tcPr>
          <w:p w14:paraId="3C9ECB8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32F4066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0.43</w:t>
            </w:r>
          </w:p>
        </w:tc>
      </w:tr>
      <w:tr w14:paraId="0FB1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97" w:type="pct"/>
            <w:vAlign w:val="center"/>
          </w:tcPr>
          <w:p w14:paraId="5F396A5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051" w:type="pct"/>
            <w:vAlign w:val="center"/>
          </w:tcPr>
          <w:p w14:paraId="38B098F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砷</w:t>
            </w:r>
          </w:p>
        </w:tc>
        <w:tc>
          <w:tcPr>
            <w:tcW w:w="525" w:type="pct"/>
            <w:vAlign w:val="center"/>
          </w:tcPr>
          <w:p w14:paraId="69E9190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2E718DC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397" w:type="pct"/>
            <w:vAlign w:val="center"/>
          </w:tcPr>
          <w:p w14:paraId="55584D7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27</w:t>
            </w:r>
          </w:p>
        </w:tc>
        <w:tc>
          <w:tcPr>
            <w:tcW w:w="1111" w:type="pct"/>
            <w:vAlign w:val="center"/>
          </w:tcPr>
          <w:p w14:paraId="37A120C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苯</w:t>
            </w:r>
          </w:p>
        </w:tc>
        <w:tc>
          <w:tcPr>
            <w:tcW w:w="469" w:type="pct"/>
            <w:vAlign w:val="center"/>
          </w:tcPr>
          <w:p w14:paraId="3B735BD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3982AD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14:paraId="1A6E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1F8812D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051" w:type="pct"/>
            <w:vAlign w:val="center"/>
          </w:tcPr>
          <w:p w14:paraId="4247CF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镉</w:t>
            </w:r>
          </w:p>
        </w:tc>
        <w:tc>
          <w:tcPr>
            <w:tcW w:w="525" w:type="pct"/>
            <w:vAlign w:val="center"/>
          </w:tcPr>
          <w:p w14:paraId="58014AD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44A0B80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97" w:type="pct"/>
            <w:vAlign w:val="center"/>
          </w:tcPr>
          <w:p w14:paraId="64BFC40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28</w:t>
            </w:r>
          </w:p>
        </w:tc>
        <w:tc>
          <w:tcPr>
            <w:tcW w:w="1111" w:type="pct"/>
            <w:vAlign w:val="center"/>
          </w:tcPr>
          <w:p w14:paraId="2BD0D75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氯苯</w:t>
            </w:r>
          </w:p>
        </w:tc>
        <w:tc>
          <w:tcPr>
            <w:tcW w:w="469" w:type="pct"/>
            <w:vAlign w:val="center"/>
          </w:tcPr>
          <w:p w14:paraId="05E26D1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A80CE1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270</w:t>
            </w:r>
          </w:p>
        </w:tc>
      </w:tr>
      <w:tr w14:paraId="20BB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19A0FF5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051" w:type="pct"/>
            <w:vAlign w:val="center"/>
          </w:tcPr>
          <w:p w14:paraId="506F7BC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铬（六价）</w:t>
            </w:r>
          </w:p>
        </w:tc>
        <w:tc>
          <w:tcPr>
            <w:tcW w:w="525" w:type="pct"/>
            <w:vAlign w:val="center"/>
          </w:tcPr>
          <w:p w14:paraId="5FEC415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0594258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5.7</w:t>
            </w:r>
          </w:p>
        </w:tc>
        <w:tc>
          <w:tcPr>
            <w:tcW w:w="397" w:type="pct"/>
            <w:vAlign w:val="center"/>
          </w:tcPr>
          <w:p w14:paraId="1F6FEA2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29</w:t>
            </w:r>
          </w:p>
        </w:tc>
        <w:tc>
          <w:tcPr>
            <w:tcW w:w="1111" w:type="pct"/>
            <w:vAlign w:val="center"/>
          </w:tcPr>
          <w:p w14:paraId="2377CD8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1，2-二氯苯</w:t>
            </w:r>
          </w:p>
        </w:tc>
        <w:tc>
          <w:tcPr>
            <w:tcW w:w="469" w:type="pct"/>
            <w:vAlign w:val="center"/>
          </w:tcPr>
          <w:p w14:paraId="4613FC8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07CB63A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560</w:t>
            </w:r>
          </w:p>
        </w:tc>
      </w:tr>
      <w:tr w14:paraId="4ACB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4E62C7A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051" w:type="pct"/>
            <w:vAlign w:val="center"/>
          </w:tcPr>
          <w:p w14:paraId="3E91FA5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铜</w:t>
            </w:r>
          </w:p>
        </w:tc>
        <w:tc>
          <w:tcPr>
            <w:tcW w:w="525" w:type="pct"/>
            <w:vAlign w:val="center"/>
          </w:tcPr>
          <w:p w14:paraId="013E40B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4C4657A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18000</w:t>
            </w:r>
          </w:p>
        </w:tc>
        <w:tc>
          <w:tcPr>
            <w:tcW w:w="397" w:type="pct"/>
            <w:vAlign w:val="center"/>
          </w:tcPr>
          <w:p w14:paraId="419E202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1111" w:type="pct"/>
            <w:vAlign w:val="center"/>
          </w:tcPr>
          <w:p w14:paraId="6A434B3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1，4-二氯苯</w:t>
            </w:r>
          </w:p>
        </w:tc>
        <w:tc>
          <w:tcPr>
            <w:tcW w:w="469" w:type="pct"/>
            <w:vAlign w:val="center"/>
          </w:tcPr>
          <w:p w14:paraId="32AA0D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40E5CBE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14:paraId="1A73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02F3AD4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051" w:type="pct"/>
            <w:vAlign w:val="center"/>
          </w:tcPr>
          <w:p w14:paraId="594AC7F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铅</w:t>
            </w:r>
          </w:p>
        </w:tc>
        <w:tc>
          <w:tcPr>
            <w:tcW w:w="525" w:type="pct"/>
            <w:vAlign w:val="center"/>
          </w:tcPr>
          <w:p w14:paraId="24E64CC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321BB34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800</w:t>
            </w:r>
          </w:p>
        </w:tc>
        <w:tc>
          <w:tcPr>
            <w:tcW w:w="397" w:type="pct"/>
            <w:vAlign w:val="center"/>
          </w:tcPr>
          <w:p w14:paraId="6BB872F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31</w:t>
            </w:r>
          </w:p>
        </w:tc>
        <w:tc>
          <w:tcPr>
            <w:tcW w:w="1111" w:type="pct"/>
            <w:vAlign w:val="center"/>
          </w:tcPr>
          <w:p w14:paraId="1E2064D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乙苯</w:t>
            </w:r>
          </w:p>
        </w:tc>
        <w:tc>
          <w:tcPr>
            <w:tcW w:w="469" w:type="pct"/>
            <w:vAlign w:val="center"/>
          </w:tcPr>
          <w:p w14:paraId="5BC8B18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3D4EFE0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28</w:t>
            </w:r>
          </w:p>
        </w:tc>
      </w:tr>
      <w:tr w14:paraId="708E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5164E11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051" w:type="pct"/>
            <w:vAlign w:val="center"/>
          </w:tcPr>
          <w:p w14:paraId="261B16B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汞</w:t>
            </w:r>
          </w:p>
        </w:tc>
        <w:tc>
          <w:tcPr>
            <w:tcW w:w="525" w:type="pct"/>
            <w:vAlign w:val="center"/>
          </w:tcPr>
          <w:p w14:paraId="7843B75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8DD28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38</w:t>
            </w:r>
          </w:p>
        </w:tc>
        <w:tc>
          <w:tcPr>
            <w:tcW w:w="397" w:type="pct"/>
            <w:vAlign w:val="center"/>
          </w:tcPr>
          <w:p w14:paraId="3778A98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32</w:t>
            </w:r>
          </w:p>
        </w:tc>
        <w:tc>
          <w:tcPr>
            <w:tcW w:w="1111" w:type="pct"/>
            <w:vAlign w:val="center"/>
          </w:tcPr>
          <w:p w14:paraId="2B0B685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苯乙烯</w:t>
            </w:r>
          </w:p>
        </w:tc>
        <w:tc>
          <w:tcPr>
            <w:tcW w:w="469" w:type="pct"/>
            <w:vAlign w:val="center"/>
          </w:tcPr>
          <w:p w14:paraId="6FADDCF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7C01EA8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1290</w:t>
            </w:r>
          </w:p>
        </w:tc>
      </w:tr>
      <w:tr w14:paraId="39E6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97" w:type="pct"/>
            <w:vAlign w:val="center"/>
          </w:tcPr>
          <w:p w14:paraId="1FF3F5D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051" w:type="pct"/>
            <w:vAlign w:val="center"/>
          </w:tcPr>
          <w:p w14:paraId="6D2A438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镍</w:t>
            </w:r>
          </w:p>
        </w:tc>
        <w:tc>
          <w:tcPr>
            <w:tcW w:w="525" w:type="pct"/>
            <w:vAlign w:val="center"/>
          </w:tcPr>
          <w:p w14:paraId="096E059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CD825A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p>
        </w:tc>
        <w:tc>
          <w:tcPr>
            <w:tcW w:w="397" w:type="pct"/>
            <w:vAlign w:val="center"/>
          </w:tcPr>
          <w:p w14:paraId="6B2A38C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33</w:t>
            </w:r>
          </w:p>
        </w:tc>
        <w:tc>
          <w:tcPr>
            <w:tcW w:w="1111" w:type="pct"/>
            <w:vAlign w:val="center"/>
          </w:tcPr>
          <w:p w14:paraId="4DD24AA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甲苯</w:t>
            </w:r>
          </w:p>
        </w:tc>
        <w:tc>
          <w:tcPr>
            <w:tcW w:w="469" w:type="pct"/>
            <w:vAlign w:val="center"/>
          </w:tcPr>
          <w:p w14:paraId="17876A8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410D64F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1200</w:t>
            </w:r>
          </w:p>
        </w:tc>
      </w:tr>
      <w:tr w14:paraId="5113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5F40FEB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051" w:type="pct"/>
            <w:vAlign w:val="center"/>
          </w:tcPr>
          <w:p w14:paraId="5B79921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四氯化碳</w:t>
            </w:r>
          </w:p>
        </w:tc>
        <w:tc>
          <w:tcPr>
            <w:tcW w:w="525" w:type="pct"/>
            <w:vAlign w:val="center"/>
          </w:tcPr>
          <w:p w14:paraId="61E7739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074A813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2.8</w:t>
            </w:r>
          </w:p>
        </w:tc>
        <w:tc>
          <w:tcPr>
            <w:tcW w:w="397" w:type="pct"/>
            <w:vAlign w:val="center"/>
          </w:tcPr>
          <w:p w14:paraId="504CADA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34</w:t>
            </w:r>
          </w:p>
        </w:tc>
        <w:tc>
          <w:tcPr>
            <w:tcW w:w="1111" w:type="pct"/>
            <w:vAlign w:val="center"/>
          </w:tcPr>
          <w:p w14:paraId="28AF4EEA">
            <w:pPr>
              <w:pStyle w:val="109"/>
              <w:rPr>
                <w:color w:val="000000" w:themeColor="text1"/>
                <w:szCs w:val="21"/>
                <w14:textFill>
                  <w14:solidFill>
                    <w14:schemeClr w14:val="tx1"/>
                  </w14:solidFill>
                </w14:textFill>
              </w:rPr>
            </w:pPr>
            <w:r>
              <w:rPr>
                <w:color w:val="000000" w:themeColor="text1"/>
                <w:spacing w:val="-12"/>
                <w:szCs w:val="21"/>
                <w14:textFill>
                  <w14:solidFill>
                    <w14:schemeClr w14:val="tx1"/>
                  </w14:solidFill>
                </w14:textFill>
              </w:rPr>
              <w:t>间二甲苯+对二甲苯</w:t>
            </w:r>
          </w:p>
        </w:tc>
        <w:tc>
          <w:tcPr>
            <w:tcW w:w="469" w:type="pct"/>
            <w:vAlign w:val="center"/>
          </w:tcPr>
          <w:p w14:paraId="6873400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286BF7E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570</w:t>
            </w:r>
          </w:p>
        </w:tc>
      </w:tr>
      <w:tr w14:paraId="0142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65AA959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051" w:type="pct"/>
            <w:vAlign w:val="center"/>
          </w:tcPr>
          <w:p w14:paraId="5C3A4DC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氯仿</w:t>
            </w:r>
          </w:p>
        </w:tc>
        <w:tc>
          <w:tcPr>
            <w:tcW w:w="525" w:type="pct"/>
            <w:vAlign w:val="center"/>
          </w:tcPr>
          <w:p w14:paraId="43C779E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69D6BB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397" w:type="pct"/>
            <w:vAlign w:val="center"/>
          </w:tcPr>
          <w:p w14:paraId="703B080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111" w:type="pct"/>
            <w:vAlign w:val="center"/>
          </w:tcPr>
          <w:p w14:paraId="23B0C51F">
            <w:pPr>
              <w:pStyle w:val="109"/>
              <w:rPr>
                <w:color w:val="000000" w:themeColor="text1"/>
                <w:spacing w:val="-12"/>
                <w:szCs w:val="21"/>
                <w14:textFill>
                  <w14:solidFill>
                    <w14:schemeClr w14:val="tx1"/>
                  </w14:solidFill>
                </w14:textFill>
              </w:rPr>
            </w:pPr>
            <w:r>
              <w:rPr>
                <w:color w:val="000000" w:themeColor="text1"/>
                <w:szCs w:val="21"/>
                <w14:textFill>
                  <w14:solidFill>
                    <w14:schemeClr w14:val="tx1"/>
                  </w14:solidFill>
                </w14:textFill>
              </w:rPr>
              <w:t>邻二甲苯</w:t>
            </w:r>
          </w:p>
        </w:tc>
        <w:tc>
          <w:tcPr>
            <w:tcW w:w="469" w:type="pct"/>
            <w:vAlign w:val="center"/>
          </w:tcPr>
          <w:p w14:paraId="4F870D6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0B1A0B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640</w:t>
            </w:r>
          </w:p>
        </w:tc>
      </w:tr>
      <w:tr w14:paraId="4E59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6F1794C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051" w:type="pct"/>
            <w:vAlign w:val="center"/>
          </w:tcPr>
          <w:p w14:paraId="76B4A0A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氯甲烷</w:t>
            </w:r>
          </w:p>
        </w:tc>
        <w:tc>
          <w:tcPr>
            <w:tcW w:w="525" w:type="pct"/>
            <w:vAlign w:val="center"/>
          </w:tcPr>
          <w:p w14:paraId="0A83981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756D414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37</w:t>
            </w:r>
          </w:p>
        </w:tc>
        <w:tc>
          <w:tcPr>
            <w:tcW w:w="397" w:type="pct"/>
            <w:vAlign w:val="center"/>
          </w:tcPr>
          <w:p w14:paraId="7B6D313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c>
          <w:tcPr>
            <w:tcW w:w="1111" w:type="pct"/>
            <w:vAlign w:val="center"/>
          </w:tcPr>
          <w:p w14:paraId="27067D6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硝基苯</w:t>
            </w:r>
          </w:p>
        </w:tc>
        <w:tc>
          <w:tcPr>
            <w:tcW w:w="469" w:type="pct"/>
            <w:vAlign w:val="center"/>
          </w:tcPr>
          <w:p w14:paraId="3F0496B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2E17490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76</w:t>
            </w:r>
          </w:p>
        </w:tc>
      </w:tr>
      <w:tr w14:paraId="3E4F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48F1C79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051" w:type="pct"/>
            <w:vAlign w:val="center"/>
          </w:tcPr>
          <w:p w14:paraId="7E83F84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1，1-二氯乙烷</w:t>
            </w:r>
          </w:p>
        </w:tc>
        <w:tc>
          <w:tcPr>
            <w:tcW w:w="525" w:type="pct"/>
            <w:vAlign w:val="center"/>
          </w:tcPr>
          <w:p w14:paraId="27D97E2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DC8C86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397" w:type="pct"/>
            <w:vAlign w:val="center"/>
          </w:tcPr>
          <w:p w14:paraId="7ABBE58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37</w:t>
            </w:r>
          </w:p>
        </w:tc>
        <w:tc>
          <w:tcPr>
            <w:tcW w:w="1111" w:type="pct"/>
            <w:vAlign w:val="center"/>
          </w:tcPr>
          <w:p w14:paraId="1561B0B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苯胺</w:t>
            </w:r>
          </w:p>
        </w:tc>
        <w:tc>
          <w:tcPr>
            <w:tcW w:w="469" w:type="pct"/>
            <w:vAlign w:val="center"/>
          </w:tcPr>
          <w:p w14:paraId="5FC5C86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41A6FD4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r>
      <w:tr w14:paraId="775B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045846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1051" w:type="pct"/>
            <w:vAlign w:val="center"/>
          </w:tcPr>
          <w:p w14:paraId="4999272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1，2-二氯乙烷</w:t>
            </w:r>
          </w:p>
        </w:tc>
        <w:tc>
          <w:tcPr>
            <w:tcW w:w="525" w:type="pct"/>
            <w:vAlign w:val="center"/>
          </w:tcPr>
          <w:p w14:paraId="13811A7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AE1A37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397" w:type="pct"/>
            <w:vAlign w:val="center"/>
          </w:tcPr>
          <w:p w14:paraId="1D48203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38</w:t>
            </w:r>
          </w:p>
        </w:tc>
        <w:tc>
          <w:tcPr>
            <w:tcW w:w="1111" w:type="pct"/>
            <w:vAlign w:val="center"/>
          </w:tcPr>
          <w:p w14:paraId="730787C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2-氯酚</w:t>
            </w:r>
          </w:p>
        </w:tc>
        <w:tc>
          <w:tcPr>
            <w:tcW w:w="469" w:type="pct"/>
            <w:vAlign w:val="center"/>
          </w:tcPr>
          <w:p w14:paraId="02F011C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4EE6627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2256</w:t>
            </w:r>
          </w:p>
        </w:tc>
      </w:tr>
      <w:tr w14:paraId="3D54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0E1206C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051" w:type="pct"/>
            <w:vAlign w:val="center"/>
          </w:tcPr>
          <w:p w14:paraId="649A406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1，1-二氯乙烯</w:t>
            </w:r>
          </w:p>
        </w:tc>
        <w:tc>
          <w:tcPr>
            <w:tcW w:w="525" w:type="pct"/>
            <w:vAlign w:val="center"/>
          </w:tcPr>
          <w:p w14:paraId="0CA4A56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236A23E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66</w:t>
            </w:r>
          </w:p>
        </w:tc>
        <w:tc>
          <w:tcPr>
            <w:tcW w:w="397" w:type="pct"/>
            <w:vAlign w:val="center"/>
          </w:tcPr>
          <w:p w14:paraId="39F12E3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39</w:t>
            </w:r>
          </w:p>
        </w:tc>
        <w:tc>
          <w:tcPr>
            <w:tcW w:w="1111" w:type="pct"/>
            <w:vAlign w:val="center"/>
          </w:tcPr>
          <w:p w14:paraId="7485C14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苯并〔a〕蒽</w:t>
            </w:r>
          </w:p>
        </w:tc>
        <w:tc>
          <w:tcPr>
            <w:tcW w:w="469" w:type="pct"/>
            <w:vAlign w:val="center"/>
          </w:tcPr>
          <w:p w14:paraId="4A54927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2983B8C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r w14:paraId="1038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63377E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051" w:type="pct"/>
            <w:vAlign w:val="center"/>
          </w:tcPr>
          <w:p w14:paraId="62FAA82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顺1，2-二氯乙烯</w:t>
            </w:r>
          </w:p>
        </w:tc>
        <w:tc>
          <w:tcPr>
            <w:tcW w:w="525" w:type="pct"/>
            <w:vAlign w:val="center"/>
          </w:tcPr>
          <w:p w14:paraId="451146E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42DA770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596</w:t>
            </w:r>
          </w:p>
        </w:tc>
        <w:tc>
          <w:tcPr>
            <w:tcW w:w="397" w:type="pct"/>
            <w:vAlign w:val="center"/>
          </w:tcPr>
          <w:p w14:paraId="5215BA6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1111" w:type="pct"/>
            <w:vAlign w:val="center"/>
          </w:tcPr>
          <w:p w14:paraId="269C363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苯并〔a〕芘</w:t>
            </w:r>
          </w:p>
        </w:tc>
        <w:tc>
          <w:tcPr>
            <w:tcW w:w="469" w:type="pct"/>
            <w:vAlign w:val="center"/>
          </w:tcPr>
          <w:p w14:paraId="51D7C18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D29309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r w14:paraId="5B80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71BD83A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1051" w:type="pct"/>
            <w:vAlign w:val="center"/>
          </w:tcPr>
          <w:p w14:paraId="0E71A63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反-1，2-二氯乙烯</w:t>
            </w:r>
          </w:p>
        </w:tc>
        <w:tc>
          <w:tcPr>
            <w:tcW w:w="525" w:type="pct"/>
            <w:vAlign w:val="center"/>
          </w:tcPr>
          <w:p w14:paraId="39027D7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2F95521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54</w:t>
            </w:r>
          </w:p>
        </w:tc>
        <w:tc>
          <w:tcPr>
            <w:tcW w:w="397" w:type="pct"/>
            <w:vAlign w:val="center"/>
          </w:tcPr>
          <w:p w14:paraId="0E7B3E3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1111" w:type="pct"/>
            <w:vAlign w:val="center"/>
          </w:tcPr>
          <w:p w14:paraId="290E48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苯并〔b〕荧蒽</w:t>
            </w:r>
          </w:p>
        </w:tc>
        <w:tc>
          <w:tcPr>
            <w:tcW w:w="469" w:type="pct"/>
            <w:vAlign w:val="center"/>
          </w:tcPr>
          <w:p w14:paraId="240AC5B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4C5106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r w14:paraId="395F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76E7C95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1051" w:type="pct"/>
            <w:vAlign w:val="center"/>
          </w:tcPr>
          <w:p w14:paraId="3523A59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二氯甲烷</w:t>
            </w:r>
          </w:p>
        </w:tc>
        <w:tc>
          <w:tcPr>
            <w:tcW w:w="525" w:type="pct"/>
            <w:vAlign w:val="center"/>
          </w:tcPr>
          <w:p w14:paraId="3395228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7B5A21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616</w:t>
            </w:r>
          </w:p>
        </w:tc>
        <w:tc>
          <w:tcPr>
            <w:tcW w:w="397" w:type="pct"/>
            <w:vAlign w:val="center"/>
          </w:tcPr>
          <w:p w14:paraId="4BCECAD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1111" w:type="pct"/>
            <w:vAlign w:val="center"/>
          </w:tcPr>
          <w:p w14:paraId="5748D4E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苯并〔k〕荧蒽</w:t>
            </w:r>
          </w:p>
        </w:tc>
        <w:tc>
          <w:tcPr>
            <w:tcW w:w="469" w:type="pct"/>
            <w:vAlign w:val="center"/>
          </w:tcPr>
          <w:p w14:paraId="201C75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7ECA7E6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151</w:t>
            </w:r>
          </w:p>
        </w:tc>
      </w:tr>
      <w:tr w14:paraId="7360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3161F4E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1051" w:type="pct"/>
            <w:vAlign w:val="center"/>
          </w:tcPr>
          <w:p w14:paraId="15FCF4B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1，2-二氯乙烷</w:t>
            </w:r>
          </w:p>
        </w:tc>
        <w:tc>
          <w:tcPr>
            <w:tcW w:w="525" w:type="pct"/>
            <w:vAlign w:val="center"/>
          </w:tcPr>
          <w:p w14:paraId="2445168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097E112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397" w:type="pct"/>
            <w:vAlign w:val="center"/>
          </w:tcPr>
          <w:p w14:paraId="44651CB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1111" w:type="pct"/>
            <w:vAlign w:val="center"/>
          </w:tcPr>
          <w:p w14:paraId="760CB6D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䓛</w:t>
            </w:r>
          </w:p>
        </w:tc>
        <w:tc>
          <w:tcPr>
            <w:tcW w:w="469" w:type="pct"/>
            <w:vAlign w:val="center"/>
          </w:tcPr>
          <w:p w14:paraId="60CEF55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7EA74DC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1293</w:t>
            </w:r>
          </w:p>
        </w:tc>
      </w:tr>
      <w:tr w14:paraId="0A16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4F4DA6A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1051" w:type="pct"/>
            <w:vAlign w:val="center"/>
          </w:tcPr>
          <w:p w14:paraId="70FF3EF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1，1，1，2-四氯乙烷</w:t>
            </w:r>
          </w:p>
        </w:tc>
        <w:tc>
          <w:tcPr>
            <w:tcW w:w="525" w:type="pct"/>
            <w:vAlign w:val="center"/>
          </w:tcPr>
          <w:p w14:paraId="0B20667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75070B0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397" w:type="pct"/>
            <w:vAlign w:val="center"/>
          </w:tcPr>
          <w:p w14:paraId="2A3F607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1111" w:type="pct"/>
            <w:vAlign w:val="center"/>
          </w:tcPr>
          <w:p w14:paraId="5C657DF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二苯并〔a、h〕蒽</w:t>
            </w:r>
          </w:p>
        </w:tc>
        <w:tc>
          <w:tcPr>
            <w:tcW w:w="469" w:type="pct"/>
            <w:vAlign w:val="center"/>
          </w:tcPr>
          <w:p w14:paraId="3C9D5AE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7BB5D77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r w14:paraId="7CB4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2A375EC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051" w:type="pct"/>
            <w:vAlign w:val="center"/>
          </w:tcPr>
          <w:p w14:paraId="293AD26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1，1，2，2-四氯乙烷</w:t>
            </w:r>
          </w:p>
        </w:tc>
        <w:tc>
          <w:tcPr>
            <w:tcW w:w="525" w:type="pct"/>
            <w:vAlign w:val="center"/>
          </w:tcPr>
          <w:p w14:paraId="50A68D6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208BE6B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6.8</w:t>
            </w:r>
          </w:p>
        </w:tc>
        <w:tc>
          <w:tcPr>
            <w:tcW w:w="397" w:type="pct"/>
            <w:vAlign w:val="center"/>
          </w:tcPr>
          <w:p w14:paraId="321FA23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1111" w:type="pct"/>
            <w:vAlign w:val="center"/>
          </w:tcPr>
          <w:p w14:paraId="029F3C14">
            <w:pPr>
              <w:pStyle w:val="109"/>
              <w:rPr>
                <w:color w:val="000000" w:themeColor="text1"/>
                <w:szCs w:val="21"/>
                <w14:textFill>
                  <w14:solidFill>
                    <w14:schemeClr w14:val="tx1"/>
                  </w14:solidFill>
                </w14:textFill>
              </w:rPr>
            </w:pPr>
            <w:r>
              <w:rPr>
                <w:color w:val="000000" w:themeColor="text1"/>
                <w:spacing w:val="-24"/>
                <w:szCs w:val="21"/>
                <w14:textFill>
                  <w14:solidFill>
                    <w14:schemeClr w14:val="tx1"/>
                  </w14:solidFill>
                </w14:textFill>
              </w:rPr>
              <w:t>茚并〔1、2、3-cd〕芘</w:t>
            </w:r>
          </w:p>
        </w:tc>
        <w:tc>
          <w:tcPr>
            <w:tcW w:w="469" w:type="pct"/>
            <w:vAlign w:val="center"/>
          </w:tcPr>
          <w:p w14:paraId="31D076C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256A5E6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r w14:paraId="56BD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36B7681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1051" w:type="pct"/>
            <w:vAlign w:val="center"/>
          </w:tcPr>
          <w:p w14:paraId="3522093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四氯乙烯</w:t>
            </w:r>
          </w:p>
        </w:tc>
        <w:tc>
          <w:tcPr>
            <w:tcW w:w="525" w:type="pct"/>
            <w:vAlign w:val="center"/>
          </w:tcPr>
          <w:p w14:paraId="75C82CF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1B70E8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397" w:type="pct"/>
            <w:vAlign w:val="center"/>
          </w:tcPr>
          <w:p w14:paraId="559827B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46</w:t>
            </w:r>
          </w:p>
        </w:tc>
        <w:tc>
          <w:tcPr>
            <w:tcW w:w="1111" w:type="pct"/>
            <w:vAlign w:val="center"/>
          </w:tcPr>
          <w:p w14:paraId="4937CA01">
            <w:pPr>
              <w:pStyle w:val="109"/>
              <w:rPr>
                <w:color w:val="000000" w:themeColor="text1"/>
                <w:spacing w:val="-24"/>
                <w:szCs w:val="21"/>
                <w14:textFill>
                  <w14:solidFill>
                    <w14:schemeClr w14:val="tx1"/>
                  </w14:solidFill>
                </w14:textFill>
              </w:rPr>
            </w:pPr>
            <w:r>
              <w:rPr>
                <w:color w:val="000000" w:themeColor="text1"/>
                <w:szCs w:val="21"/>
                <w14:textFill>
                  <w14:solidFill>
                    <w14:schemeClr w14:val="tx1"/>
                  </w14:solidFill>
                </w14:textFill>
              </w:rPr>
              <w:t>萘</w:t>
            </w:r>
          </w:p>
        </w:tc>
        <w:tc>
          <w:tcPr>
            <w:tcW w:w="469" w:type="pct"/>
            <w:vAlign w:val="center"/>
          </w:tcPr>
          <w:p w14:paraId="7C4D69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40CB6A6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r>
      <w:tr w14:paraId="669A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4F4A39A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1051" w:type="pct"/>
            <w:vAlign w:val="center"/>
          </w:tcPr>
          <w:p w14:paraId="6D937BD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1，1，1-三氯乙烷</w:t>
            </w:r>
          </w:p>
        </w:tc>
        <w:tc>
          <w:tcPr>
            <w:tcW w:w="525" w:type="pct"/>
            <w:vAlign w:val="center"/>
          </w:tcPr>
          <w:p w14:paraId="4E02A05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5CE6DD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840</w:t>
            </w:r>
          </w:p>
        </w:tc>
        <w:tc>
          <w:tcPr>
            <w:tcW w:w="397" w:type="pct"/>
            <w:vAlign w:val="center"/>
          </w:tcPr>
          <w:p w14:paraId="6B58C6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1111" w:type="pct"/>
            <w:vAlign w:val="center"/>
          </w:tcPr>
          <w:p w14:paraId="47C1C82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469" w:type="pct"/>
            <w:vAlign w:val="center"/>
          </w:tcPr>
          <w:p w14:paraId="70273CD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2C557C9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4500</w:t>
            </w:r>
          </w:p>
        </w:tc>
      </w:tr>
      <w:tr w14:paraId="69AB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4C5E29E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1051" w:type="pct"/>
            <w:vAlign w:val="center"/>
          </w:tcPr>
          <w:p w14:paraId="537AA9E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1，1，2-三氯乙烷</w:t>
            </w:r>
          </w:p>
        </w:tc>
        <w:tc>
          <w:tcPr>
            <w:tcW w:w="525" w:type="pct"/>
            <w:vAlign w:val="center"/>
          </w:tcPr>
          <w:p w14:paraId="23D60A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656EA69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2.8</w:t>
            </w:r>
          </w:p>
        </w:tc>
        <w:tc>
          <w:tcPr>
            <w:tcW w:w="397" w:type="pct"/>
            <w:vAlign w:val="center"/>
          </w:tcPr>
          <w:p w14:paraId="60F94C3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48</w:t>
            </w:r>
          </w:p>
        </w:tc>
        <w:tc>
          <w:tcPr>
            <w:tcW w:w="1111" w:type="pct"/>
            <w:vAlign w:val="center"/>
          </w:tcPr>
          <w:p w14:paraId="56EE9D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二噁英类（总毒性当 量）</w:t>
            </w:r>
          </w:p>
        </w:tc>
        <w:tc>
          <w:tcPr>
            <w:tcW w:w="469" w:type="pct"/>
            <w:vAlign w:val="center"/>
          </w:tcPr>
          <w:p w14:paraId="1B0F7E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3C6AD648">
            <w:pPr>
              <w:pStyle w:val="109"/>
              <w:rPr>
                <w:color w:val="000000" w:themeColor="text1"/>
                <w:szCs w:val="21"/>
                <w14:textFill>
                  <w14:solidFill>
                    <w14:schemeClr w14:val="tx1"/>
                  </w14:solidFill>
                </w14:textFill>
              </w:rPr>
            </w:pPr>
            <w:r>
              <w:rPr>
                <w:rFonts w:eastAsia="Times New Roman"/>
                <w:color w:val="000000" w:themeColor="text1"/>
                <w:sz w:val="20"/>
                <w:szCs w:val="20"/>
                <w:lang w:eastAsia="en-US" w:bidi="en-US"/>
                <w14:textFill>
                  <w14:solidFill>
                    <w14:schemeClr w14:val="tx1"/>
                  </w14:solidFill>
                </w14:textFill>
              </w:rPr>
              <w:t>4</w:t>
            </w:r>
            <w:r>
              <w:rPr>
                <w:color w:val="000000" w:themeColor="text1"/>
                <w:sz w:val="20"/>
                <w:szCs w:val="20"/>
                <w:shd w:val="clear" w:color="auto" w:fill="FFFFFF"/>
                <w14:textFill>
                  <w14:solidFill>
                    <w14:schemeClr w14:val="tx1"/>
                  </w14:solidFill>
                </w14:textFill>
              </w:rPr>
              <w:t>x</w:t>
            </w:r>
            <w:r>
              <w:rPr>
                <w:rFonts w:eastAsia="Times New Roman"/>
                <w:color w:val="000000" w:themeColor="text1"/>
                <w:sz w:val="20"/>
                <w:szCs w:val="20"/>
                <w:lang w:eastAsia="en-US" w:bidi="en-US"/>
                <w14:textFill>
                  <w14:solidFill>
                    <w14:schemeClr w14:val="tx1"/>
                  </w14:solidFill>
                </w14:textFill>
              </w:rPr>
              <w:t>10</w:t>
            </w:r>
            <w:r>
              <w:rPr>
                <w:rFonts w:eastAsia="Times New Roman"/>
                <w:color w:val="000000" w:themeColor="text1"/>
                <w:sz w:val="20"/>
                <w:szCs w:val="20"/>
                <w:vertAlign w:val="superscript"/>
                <w:lang w:eastAsia="en-US" w:bidi="en-US"/>
                <w14:textFill>
                  <w14:solidFill>
                    <w14:schemeClr w14:val="tx1"/>
                  </w14:solidFill>
                </w14:textFill>
              </w:rPr>
              <w:t>-5</w:t>
            </w:r>
          </w:p>
        </w:tc>
      </w:tr>
      <w:tr w14:paraId="2AFD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6F795E3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051" w:type="pct"/>
            <w:vAlign w:val="center"/>
          </w:tcPr>
          <w:p w14:paraId="1E1F811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三氯乙烯</w:t>
            </w:r>
          </w:p>
        </w:tc>
        <w:tc>
          <w:tcPr>
            <w:tcW w:w="525" w:type="pct"/>
            <w:vAlign w:val="center"/>
          </w:tcPr>
          <w:p w14:paraId="39A798B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6D9B2E2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2.8</w:t>
            </w:r>
          </w:p>
        </w:tc>
        <w:tc>
          <w:tcPr>
            <w:tcW w:w="397" w:type="pct"/>
            <w:vAlign w:val="center"/>
          </w:tcPr>
          <w:p w14:paraId="754751E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49</w:t>
            </w:r>
          </w:p>
        </w:tc>
        <w:tc>
          <w:tcPr>
            <w:tcW w:w="1111" w:type="pct"/>
            <w:vAlign w:val="center"/>
          </w:tcPr>
          <w:p w14:paraId="4C1F12B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氟化物</w:t>
            </w:r>
          </w:p>
        </w:tc>
        <w:tc>
          <w:tcPr>
            <w:tcW w:w="469" w:type="pct"/>
          </w:tcPr>
          <w:p w14:paraId="5F1DEF0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1A6836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7B0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7" w:type="pct"/>
            <w:vAlign w:val="center"/>
          </w:tcPr>
          <w:p w14:paraId="11AE846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051" w:type="pct"/>
            <w:vAlign w:val="center"/>
          </w:tcPr>
          <w:p w14:paraId="6F1ACDC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1，2，3-三氯丙烷</w:t>
            </w:r>
          </w:p>
        </w:tc>
        <w:tc>
          <w:tcPr>
            <w:tcW w:w="525" w:type="pct"/>
            <w:vAlign w:val="center"/>
          </w:tcPr>
          <w:p w14:paraId="7255C52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5F7A46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397" w:type="pct"/>
            <w:vAlign w:val="center"/>
          </w:tcPr>
          <w:p w14:paraId="70FD34F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111" w:type="pct"/>
            <w:vAlign w:val="center"/>
          </w:tcPr>
          <w:p w14:paraId="3CE6002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锰</w:t>
            </w:r>
          </w:p>
        </w:tc>
        <w:tc>
          <w:tcPr>
            <w:tcW w:w="469" w:type="pct"/>
          </w:tcPr>
          <w:p w14:paraId="5EA003D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525" w:type="pct"/>
            <w:vAlign w:val="center"/>
          </w:tcPr>
          <w:p w14:paraId="3BC174F4">
            <w:pPr>
              <w:pStyle w:val="109"/>
              <w:rPr>
                <w:rFonts w:eastAsiaTheme="minorEastAsia"/>
                <w:color w:val="000000" w:themeColor="text1"/>
                <w:sz w:val="20"/>
                <w:szCs w:val="20"/>
                <w:lang w:bidi="en-US"/>
                <w14:textFill>
                  <w14:solidFill>
                    <w14:schemeClr w14:val="tx1"/>
                  </w14:solidFill>
                </w14:textFill>
              </w:rPr>
            </w:pPr>
            <w:r>
              <w:rPr>
                <w:rFonts w:eastAsiaTheme="minorEastAsia"/>
                <w:color w:val="000000" w:themeColor="text1"/>
                <w:sz w:val="20"/>
                <w:szCs w:val="20"/>
                <w:lang w:bidi="en-US"/>
                <w14:textFill>
                  <w14:solidFill>
                    <w14:schemeClr w14:val="tx1"/>
                  </w14:solidFill>
                </w14:textFill>
              </w:rPr>
              <w:t>/</w:t>
            </w:r>
          </w:p>
        </w:tc>
      </w:tr>
    </w:tbl>
    <w:p w14:paraId="700BC400">
      <w:pPr>
        <w:pStyle w:val="4"/>
        <w:rPr>
          <w:rFonts w:ascii="Times New Roman" w:cs="Times New Roman"/>
          <w:color w:val="000000" w:themeColor="text1"/>
          <w14:textFill>
            <w14:solidFill>
              <w14:schemeClr w14:val="tx1"/>
            </w14:solidFill>
          </w14:textFill>
        </w:rPr>
      </w:pPr>
      <w:bookmarkStart w:id="174" w:name="_Toc189128893"/>
      <w:bookmarkStart w:id="175" w:name="_Toc230071420"/>
      <w:bookmarkStart w:id="176" w:name="_Toc213225671"/>
      <w:bookmarkStart w:id="177" w:name="_Toc266187519"/>
      <w:bookmarkStart w:id="178" w:name="_Toc329793421"/>
      <w:r>
        <w:rPr>
          <w:rFonts w:ascii="Times New Roman" w:cs="Times New Roman"/>
          <w:color w:val="000000" w:themeColor="text1"/>
          <w14:textFill>
            <w14:solidFill>
              <w14:schemeClr w14:val="tx1"/>
            </w14:solidFill>
          </w14:textFill>
        </w:rPr>
        <w:t>污染物排放标准</w:t>
      </w:r>
      <w:bookmarkEnd w:id="174"/>
      <w:bookmarkEnd w:id="175"/>
      <w:bookmarkEnd w:id="176"/>
      <w:bookmarkEnd w:id="177"/>
      <w:bookmarkEnd w:id="178"/>
    </w:p>
    <w:p w14:paraId="058E4FF7">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)大气污染物排放标准</w:t>
      </w:r>
    </w:p>
    <w:p w14:paraId="3F9E7A51">
      <w:pPr>
        <w:ind w:firstLine="480"/>
        <w:rPr>
          <w:color w:val="000000" w:themeColor="text1"/>
          <w14:textFill>
            <w14:solidFill>
              <w14:schemeClr w14:val="tx1"/>
            </w14:solidFill>
          </w14:textFill>
        </w:rPr>
      </w:pPr>
      <w:r>
        <w:rPr>
          <w:color w:val="000000" w:themeColor="text1"/>
          <w14:textFill>
            <w14:solidFill>
              <w14:schemeClr w14:val="tx1"/>
            </w14:solidFill>
          </w14:textFill>
        </w:rPr>
        <w:t>有组织废气：本项目热解烟气污染物排放参照执行《危险废物焚烧污染控制标准》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GB18484-2020</w:t>
      </w:r>
      <w:r>
        <w:rPr>
          <w:color w:val="000000" w:themeColor="text1"/>
          <w:lang w:bidi="en-US"/>
          <w14:textFill>
            <w14:solidFill>
              <w14:schemeClr w14:val="tx1"/>
            </w14:solidFill>
          </w14:textFill>
        </w:rPr>
        <w:t>)</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中标准限值要求，排气筒高度参照执行《危险废物焚烧污染控制标准》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GB18484-2020</w:t>
      </w:r>
      <w:r>
        <w:rPr>
          <w:color w:val="000000" w:themeColor="text1"/>
          <w:lang w:bidi="en-US"/>
          <w14:textFill>
            <w14:solidFill>
              <w14:schemeClr w14:val="tx1"/>
            </w14:solidFill>
          </w14:textFill>
        </w:rPr>
        <w:t>)</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中焚烧炉排气筒高度要求；恶臭污染物氨、臭气浓度执行《恶臭污染物排放标准》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GB14554-93</w:t>
      </w:r>
      <w:r>
        <w:rPr>
          <w:color w:val="000000" w:themeColor="text1"/>
          <w:lang w:bidi="en-US"/>
          <w14:textFill>
            <w14:solidFill>
              <w14:schemeClr w14:val="tx1"/>
            </w14:solidFill>
          </w14:textFill>
        </w:rPr>
        <w:t>)</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标准要求，其余废气污染因子执行《大气污染物综合排放标准》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GB16297-1996</w:t>
      </w:r>
      <w:r>
        <w:rPr>
          <w:color w:val="000000" w:themeColor="text1"/>
          <w:lang w:bidi="en-US"/>
          <w14:textFill>
            <w14:solidFill>
              <w14:schemeClr w14:val="tx1"/>
            </w14:solidFill>
          </w14:textFill>
        </w:rPr>
        <w:t>)</w:t>
      </w:r>
      <w:r>
        <w:rPr>
          <w:color w:val="000000" w:themeColor="text1"/>
          <w14:textFill>
            <w14:solidFill>
              <w14:schemeClr w14:val="tx1"/>
            </w14:solidFill>
          </w14:textFill>
        </w:rPr>
        <w:t>中表</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标准要求。</w:t>
      </w:r>
    </w:p>
    <w:p w14:paraId="3DC7491F">
      <w:pPr>
        <w:ind w:firstLine="480"/>
        <w:rPr>
          <w:color w:val="000000" w:themeColor="text1"/>
          <w14:textFill>
            <w14:solidFill>
              <w14:schemeClr w14:val="tx1"/>
            </w14:solidFill>
          </w14:textFill>
        </w:rPr>
      </w:pPr>
      <w:r>
        <w:rPr>
          <w:color w:val="000000" w:themeColor="text1"/>
          <w14:textFill>
            <w14:solidFill>
              <w14:schemeClr w14:val="tx1"/>
            </w14:solidFill>
          </w14:textFill>
        </w:rPr>
        <w:t>无组织废气：恶臭污染物氨、臭气浓度执行《恶臭污染物排放标准》 (</w:t>
      </w:r>
      <w:r>
        <w:rPr>
          <w:rFonts w:eastAsia="Times New Roman"/>
          <w:color w:val="000000" w:themeColor="text1"/>
          <w:lang w:bidi="en-US"/>
          <w14:textFill>
            <w14:solidFill>
              <w14:schemeClr w14:val="tx1"/>
            </w14:solidFill>
          </w14:textFill>
        </w:rPr>
        <w:t>GB14554-93</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 xml:space="preserve">标准要求，其他因子执行《大气污染物综合排放标准》 </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GB16297-1996</w:t>
      </w:r>
      <w:r>
        <w:rPr>
          <w:color w:val="000000" w:themeColor="text1"/>
          <w:lang w:bidi="en-US"/>
          <w14:textFill>
            <w14:solidFill>
              <w14:schemeClr w14:val="tx1"/>
            </w14:solidFill>
          </w14:textFill>
        </w:rPr>
        <w:t>)</w:t>
      </w:r>
      <w:r>
        <w:rPr>
          <w:color w:val="000000" w:themeColor="text1"/>
          <w14:textFill>
            <w14:solidFill>
              <w14:schemeClr w14:val="tx1"/>
            </w14:solidFill>
          </w14:textFill>
        </w:rPr>
        <w:t>中表</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标准要求。</w:t>
      </w:r>
    </w:p>
    <w:p w14:paraId="214CFFFB">
      <w:pPr>
        <w:ind w:firstLine="480"/>
        <w:rPr>
          <w:color w:val="000000" w:themeColor="text1"/>
          <w14:textFill>
            <w14:solidFill>
              <w14:schemeClr w14:val="tx1"/>
            </w14:solidFill>
          </w14:textFill>
        </w:rPr>
      </w:pPr>
      <w:r>
        <w:rPr>
          <w:color w:val="000000" w:themeColor="text1"/>
          <w14:textFill>
            <w14:solidFill>
              <w14:schemeClr w14:val="tx1"/>
            </w14:solidFill>
          </w14:textFill>
        </w:rPr>
        <w:t>厂内无组织非甲烷总烃排放执行《挥发性有机物无组织排放控制标准》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 37822-2019</w:t>
      </w:r>
      <w:r>
        <w:rPr>
          <w:color w:val="000000" w:themeColor="text1"/>
          <w:lang w:bidi="en-US"/>
          <w14:textFill>
            <w14:solidFill>
              <w14:schemeClr w14:val="tx1"/>
            </w14:solidFill>
          </w14:textFill>
        </w:rPr>
        <w:t>)</w:t>
      </w:r>
      <w:r>
        <w:rPr>
          <w:color w:val="000000" w:themeColor="text1"/>
          <w14:textFill>
            <w14:solidFill>
              <w14:schemeClr w14:val="tx1"/>
            </w14:solidFill>
          </w14:textFill>
        </w:rPr>
        <w:t>中表</w:t>
      </w:r>
      <w:r>
        <w:rPr>
          <w:rFonts w:eastAsia="Times New Roman"/>
          <w:color w:val="000000" w:themeColor="text1"/>
          <w:lang w:bidi="en-US"/>
          <w14:textFill>
            <w14:solidFill>
              <w14:schemeClr w14:val="tx1"/>
            </w14:solidFill>
          </w14:textFill>
        </w:rPr>
        <w:t>A.1</w:t>
      </w:r>
      <w:r>
        <w:rPr>
          <w:color w:val="000000" w:themeColor="text1"/>
          <w14:textFill>
            <w14:solidFill>
              <w14:schemeClr w14:val="tx1"/>
            </w14:solidFill>
          </w14:textFill>
        </w:rPr>
        <w:t>中排放标准限值要求。</w:t>
      </w:r>
    </w:p>
    <w:p w14:paraId="2205123B">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大气污染物排放标准</w:t>
      </w:r>
    </w:p>
    <w:tbl>
      <w:tblPr>
        <w:tblStyle w:val="76"/>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42"/>
        <w:gridCol w:w="758"/>
        <w:gridCol w:w="1474"/>
        <w:gridCol w:w="610"/>
        <w:gridCol w:w="1498"/>
        <w:gridCol w:w="1310"/>
        <w:gridCol w:w="1061"/>
        <w:gridCol w:w="1934"/>
      </w:tblGrid>
      <w:tr w14:paraId="7922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Align w:val="center"/>
          </w:tcPr>
          <w:p w14:paraId="3799374D">
            <w:pPr>
              <w:pStyle w:val="109"/>
              <w:rPr>
                <w:color w:val="000000" w:themeColor="text1"/>
                <w14:textFill>
                  <w14:solidFill>
                    <w14:schemeClr w14:val="tx1"/>
                  </w14:solidFill>
                </w14:textFill>
              </w:rPr>
            </w:pPr>
            <w:r>
              <w:rPr>
                <w:color w:val="000000" w:themeColor="text1"/>
                <w14:textFill>
                  <w14:solidFill>
                    <w14:schemeClr w14:val="tx1"/>
                  </w14:solidFill>
                </w14:textFill>
              </w:rPr>
              <w:t>序 号</w:t>
            </w:r>
          </w:p>
        </w:tc>
        <w:tc>
          <w:tcPr>
            <w:tcW w:w="758" w:type="dxa"/>
            <w:vAlign w:val="center"/>
          </w:tcPr>
          <w:p w14:paraId="0BEB64F6">
            <w:pPr>
              <w:pStyle w:val="109"/>
              <w:rPr>
                <w:color w:val="000000" w:themeColor="text1"/>
                <w14:textFill>
                  <w14:solidFill>
                    <w14:schemeClr w14:val="tx1"/>
                  </w14:solidFill>
                </w14:textFill>
              </w:rPr>
            </w:pPr>
            <w:r>
              <w:rPr>
                <w:color w:val="000000" w:themeColor="text1"/>
                <w14:textFill>
                  <w14:solidFill>
                    <w14:schemeClr w14:val="tx1"/>
                  </w14:solidFill>
                </w14:textFill>
              </w:rPr>
              <w:t>废气种 类</w:t>
            </w:r>
          </w:p>
        </w:tc>
        <w:tc>
          <w:tcPr>
            <w:tcW w:w="1474" w:type="dxa"/>
            <w:vAlign w:val="center"/>
          </w:tcPr>
          <w:p w14:paraId="608CD8A1">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610" w:type="dxa"/>
            <w:vAlign w:val="bottom"/>
          </w:tcPr>
          <w:p w14:paraId="165F7939">
            <w:pPr>
              <w:pStyle w:val="109"/>
              <w:rPr>
                <w:color w:val="000000" w:themeColor="text1"/>
                <w14:textFill>
                  <w14:solidFill>
                    <w14:schemeClr w14:val="tx1"/>
                  </w14:solidFill>
                </w14:textFill>
              </w:rPr>
            </w:pPr>
            <w:r>
              <w:rPr>
                <w:color w:val="000000" w:themeColor="text1"/>
                <w14:textFill>
                  <w14:solidFill>
                    <w14:schemeClr w14:val="tx1"/>
                  </w14:solidFill>
                </w14:textFill>
              </w:rPr>
              <w:t>排放 高度</w:t>
            </w:r>
          </w:p>
          <w:p w14:paraId="67BA464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m</w:t>
            </w:r>
          </w:p>
        </w:tc>
        <w:tc>
          <w:tcPr>
            <w:tcW w:w="1498" w:type="dxa"/>
            <w:vAlign w:val="center"/>
          </w:tcPr>
          <w:p w14:paraId="702762C4">
            <w:pPr>
              <w:pStyle w:val="109"/>
              <w:rPr>
                <w:color w:val="000000" w:themeColor="text1"/>
                <w14:textFill>
                  <w14:solidFill>
                    <w14:schemeClr w14:val="tx1"/>
                  </w14:solidFill>
                </w14:textFill>
              </w:rPr>
            </w:pPr>
            <w:r>
              <w:rPr>
                <w:color w:val="000000" w:themeColor="text1"/>
                <w14:textFill>
                  <w14:solidFill>
                    <w14:schemeClr w14:val="tx1"/>
                  </w14:solidFill>
                </w14:textFill>
              </w:rPr>
              <w:t>最高允许排放浓 度限值</w:t>
            </w:r>
            <w:r>
              <w:rPr>
                <w:rFonts w:eastAsia="Times New Roman"/>
                <w:color w:val="000000" w:themeColor="text1"/>
                <w:lang w:bidi="en-US"/>
                <w14:textFill>
                  <w14:solidFill>
                    <w14:schemeClr w14:val="tx1"/>
                  </w14:solidFill>
                </w14:textFill>
              </w:rPr>
              <w:t>mg/m³</w:t>
            </w:r>
          </w:p>
        </w:tc>
        <w:tc>
          <w:tcPr>
            <w:tcW w:w="1310" w:type="dxa"/>
            <w:vAlign w:val="center"/>
          </w:tcPr>
          <w:p w14:paraId="3204E9E5">
            <w:pPr>
              <w:pStyle w:val="109"/>
              <w:rPr>
                <w:color w:val="000000" w:themeColor="text1"/>
                <w14:textFill>
                  <w14:solidFill>
                    <w14:schemeClr w14:val="tx1"/>
                  </w14:solidFill>
                </w14:textFill>
              </w:rPr>
            </w:pPr>
            <w:r>
              <w:rPr>
                <w:color w:val="000000" w:themeColor="text1"/>
                <w14:textFill>
                  <w14:solidFill>
                    <w14:schemeClr w14:val="tx1"/>
                  </w14:solidFill>
                </w14:textFill>
              </w:rPr>
              <w:t>取值时间</w:t>
            </w:r>
          </w:p>
        </w:tc>
        <w:tc>
          <w:tcPr>
            <w:tcW w:w="1061" w:type="dxa"/>
            <w:vAlign w:val="bottom"/>
          </w:tcPr>
          <w:p w14:paraId="018DD73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最高允许 排放速率 </w:t>
            </w:r>
            <w:r>
              <w:rPr>
                <w:rFonts w:eastAsia="Times New Roman"/>
                <w:color w:val="000000" w:themeColor="text1"/>
                <w:lang w:eastAsia="en-US" w:bidi="en-US"/>
                <w14:textFill>
                  <w14:solidFill>
                    <w14:schemeClr w14:val="tx1"/>
                  </w14:solidFill>
                </w14:textFill>
              </w:rPr>
              <w:t>kg/h</w:t>
            </w:r>
          </w:p>
        </w:tc>
        <w:tc>
          <w:tcPr>
            <w:tcW w:w="1934" w:type="dxa"/>
            <w:vAlign w:val="center"/>
          </w:tcPr>
          <w:p w14:paraId="3986882A">
            <w:pPr>
              <w:pStyle w:val="109"/>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4F77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restart"/>
            <w:vAlign w:val="center"/>
          </w:tcPr>
          <w:p w14:paraId="3BAEAAB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758" w:type="dxa"/>
            <w:vMerge w:val="restart"/>
            <w:vAlign w:val="center"/>
          </w:tcPr>
          <w:p w14:paraId="36D6ECF1">
            <w:pPr>
              <w:pStyle w:val="109"/>
              <w:rPr>
                <w:color w:val="000000" w:themeColor="text1"/>
                <w14:textFill>
                  <w14:solidFill>
                    <w14:schemeClr w14:val="tx1"/>
                  </w14:solidFill>
                </w14:textFill>
              </w:rPr>
            </w:pPr>
            <w:r>
              <w:rPr>
                <w:color w:val="000000" w:themeColor="text1"/>
                <w14:textFill>
                  <w14:solidFill>
                    <w14:schemeClr w14:val="tx1"/>
                  </w14:solidFill>
                </w14:textFill>
              </w:rPr>
              <w:t>热解烟 气</w:t>
            </w:r>
          </w:p>
        </w:tc>
        <w:tc>
          <w:tcPr>
            <w:tcW w:w="1474" w:type="dxa"/>
            <w:vMerge w:val="restart"/>
            <w:vAlign w:val="center"/>
          </w:tcPr>
          <w:p w14:paraId="6E4CAC92">
            <w:pPr>
              <w:pStyle w:val="109"/>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10" w:type="dxa"/>
            <w:vMerge w:val="restart"/>
            <w:vAlign w:val="center"/>
          </w:tcPr>
          <w:p w14:paraId="0E8540C6">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50</w:t>
            </w:r>
          </w:p>
        </w:tc>
        <w:tc>
          <w:tcPr>
            <w:tcW w:w="1498" w:type="dxa"/>
            <w:vAlign w:val="bottom"/>
          </w:tcPr>
          <w:p w14:paraId="2912966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30</w:t>
            </w:r>
          </w:p>
        </w:tc>
        <w:tc>
          <w:tcPr>
            <w:tcW w:w="1310" w:type="dxa"/>
            <w:vAlign w:val="bottom"/>
          </w:tcPr>
          <w:p w14:paraId="492139F9">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小时均值</w:t>
            </w:r>
          </w:p>
        </w:tc>
        <w:tc>
          <w:tcPr>
            <w:tcW w:w="1061" w:type="dxa"/>
            <w:vMerge w:val="restart"/>
            <w:vAlign w:val="center"/>
          </w:tcPr>
          <w:p w14:paraId="1AB9DAA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restart"/>
            <w:vAlign w:val="center"/>
          </w:tcPr>
          <w:p w14:paraId="6C465652">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《危险废物焚烧污染 控制标准》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GB18484-2020</w:t>
            </w:r>
            <w:r>
              <w:rPr>
                <w:color w:val="000000" w:themeColor="text1"/>
                <w:lang w:bidi="en-US"/>
                <w14:textFill>
                  <w14:solidFill>
                    <w14:schemeClr w14:val="tx1"/>
                  </w14:solidFill>
                </w14:textFill>
              </w:rPr>
              <w:t>)</w:t>
            </w:r>
            <w:r>
              <w:rPr>
                <w:color w:val="000000" w:themeColor="text1"/>
                <w14:textFill>
                  <w14:solidFill>
                    <w14:schemeClr w14:val="tx1"/>
                  </w14:solidFill>
                </w14:textFill>
              </w:rPr>
              <w:t>表</w:t>
            </w:r>
          </w:p>
          <w:p w14:paraId="616A8B83">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3</w:t>
            </w:r>
          </w:p>
        </w:tc>
      </w:tr>
      <w:tr w14:paraId="29A6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continue"/>
            <w:vAlign w:val="center"/>
          </w:tcPr>
          <w:p w14:paraId="245509E8">
            <w:pPr>
              <w:pStyle w:val="109"/>
              <w:rPr>
                <w:color w:val="000000" w:themeColor="text1"/>
                <w14:textFill>
                  <w14:solidFill>
                    <w14:schemeClr w14:val="tx1"/>
                  </w14:solidFill>
                </w14:textFill>
              </w:rPr>
            </w:pPr>
          </w:p>
        </w:tc>
        <w:tc>
          <w:tcPr>
            <w:tcW w:w="758" w:type="dxa"/>
            <w:vMerge w:val="continue"/>
            <w:vAlign w:val="center"/>
          </w:tcPr>
          <w:p w14:paraId="6D69E0DF">
            <w:pPr>
              <w:pStyle w:val="109"/>
              <w:rPr>
                <w:color w:val="000000" w:themeColor="text1"/>
                <w14:textFill>
                  <w14:solidFill>
                    <w14:schemeClr w14:val="tx1"/>
                  </w14:solidFill>
                </w14:textFill>
              </w:rPr>
            </w:pPr>
          </w:p>
        </w:tc>
        <w:tc>
          <w:tcPr>
            <w:tcW w:w="1474" w:type="dxa"/>
            <w:vMerge w:val="continue"/>
            <w:vAlign w:val="center"/>
          </w:tcPr>
          <w:p w14:paraId="11E4B1D1">
            <w:pPr>
              <w:pStyle w:val="109"/>
              <w:rPr>
                <w:color w:val="000000" w:themeColor="text1"/>
                <w14:textFill>
                  <w14:solidFill>
                    <w14:schemeClr w14:val="tx1"/>
                  </w14:solidFill>
                </w14:textFill>
              </w:rPr>
            </w:pPr>
          </w:p>
        </w:tc>
        <w:tc>
          <w:tcPr>
            <w:tcW w:w="610" w:type="dxa"/>
            <w:vMerge w:val="continue"/>
            <w:vAlign w:val="center"/>
          </w:tcPr>
          <w:p w14:paraId="0D865A7F">
            <w:pPr>
              <w:pStyle w:val="109"/>
              <w:rPr>
                <w:color w:val="000000" w:themeColor="text1"/>
                <w14:textFill>
                  <w14:solidFill>
                    <w14:schemeClr w14:val="tx1"/>
                  </w14:solidFill>
                </w14:textFill>
              </w:rPr>
            </w:pPr>
          </w:p>
        </w:tc>
        <w:tc>
          <w:tcPr>
            <w:tcW w:w="1498" w:type="dxa"/>
          </w:tcPr>
          <w:p w14:paraId="764A7D1F">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w:t>
            </w:r>
          </w:p>
        </w:tc>
        <w:tc>
          <w:tcPr>
            <w:tcW w:w="1310" w:type="dxa"/>
          </w:tcPr>
          <w:p w14:paraId="22AEF6F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24</w:t>
            </w:r>
            <w:r>
              <w:rPr>
                <w:color w:val="000000" w:themeColor="text1"/>
                <w14:textFill>
                  <w14:solidFill>
                    <w14:schemeClr w14:val="tx1"/>
                  </w14:solidFill>
                </w14:textFill>
              </w:rPr>
              <w:t>小时均值</w:t>
            </w:r>
          </w:p>
        </w:tc>
        <w:tc>
          <w:tcPr>
            <w:tcW w:w="1061" w:type="dxa"/>
            <w:vMerge w:val="continue"/>
            <w:vAlign w:val="center"/>
          </w:tcPr>
          <w:p w14:paraId="2D442596">
            <w:pPr>
              <w:pStyle w:val="109"/>
              <w:rPr>
                <w:color w:val="000000" w:themeColor="text1"/>
                <w14:textFill>
                  <w14:solidFill>
                    <w14:schemeClr w14:val="tx1"/>
                  </w14:solidFill>
                </w14:textFill>
              </w:rPr>
            </w:pPr>
          </w:p>
        </w:tc>
        <w:tc>
          <w:tcPr>
            <w:tcW w:w="1934" w:type="dxa"/>
            <w:vMerge w:val="continue"/>
            <w:vAlign w:val="center"/>
          </w:tcPr>
          <w:p w14:paraId="2A62C183">
            <w:pPr>
              <w:pStyle w:val="109"/>
              <w:rPr>
                <w:color w:val="000000" w:themeColor="text1"/>
                <w14:textFill>
                  <w14:solidFill>
                    <w14:schemeClr w14:val="tx1"/>
                  </w14:solidFill>
                </w14:textFill>
              </w:rPr>
            </w:pPr>
          </w:p>
        </w:tc>
      </w:tr>
      <w:tr w14:paraId="1D14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restart"/>
            <w:vAlign w:val="center"/>
          </w:tcPr>
          <w:p w14:paraId="7475252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p>
        </w:tc>
        <w:tc>
          <w:tcPr>
            <w:tcW w:w="758" w:type="dxa"/>
            <w:vMerge w:val="continue"/>
            <w:vAlign w:val="center"/>
          </w:tcPr>
          <w:p w14:paraId="4D2083EB">
            <w:pPr>
              <w:pStyle w:val="109"/>
              <w:rPr>
                <w:color w:val="000000" w:themeColor="text1"/>
                <w14:textFill>
                  <w14:solidFill>
                    <w14:schemeClr w14:val="tx1"/>
                  </w14:solidFill>
                </w14:textFill>
              </w:rPr>
            </w:pPr>
          </w:p>
        </w:tc>
        <w:tc>
          <w:tcPr>
            <w:tcW w:w="1474" w:type="dxa"/>
            <w:vMerge w:val="restart"/>
            <w:vAlign w:val="center"/>
          </w:tcPr>
          <w:p w14:paraId="7371B45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CO</w:t>
            </w:r>
          </w:p>
        </w:tc>
        <w:tc>
          <w:tcPr>
            <w:tcW w:w="610" w:type="dxa"/>
            <w:vMerge w:val="continue"/>
            <w:vAlign w:val="center"/>
          </w:tcPr>
          <w:p w14:paraId="6C209C56">
            <w:pPr>
              <w:pStyle w:val="109"/>
              <w:rPr>
                <w:color w:val="000000" w:themeColor="text1"/>
                <w14:textFill>
                  <w14:solidFill>
                    <w14:schemeClr w14:val="tx1"/>
                  </w14:solidFill>
                </w14:textFill>
              </w:rPr>
            </w:pPr>
          </w:p>
        </w:tc>
        <w:tc>
          <w:tcPr>
            <w:tcW w:w="1498" w:type="dxa"/>
          </w:tcPr>
          <w:p w14:paraId="3A1A7F8F">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100</w:t>
            </w:r>
          </w:p>
        </w:tc>
        <w:tc>
          <w:tcPr>
            <w:tcW w:w="1310" w:type="dxa"/>
          </w:tcPr>
          <w:p w14:paraId="259C759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小时均值</w:t>
            </w:r>
          </w:p>
        </w:tc>
        <w:tc>
          <w:tcPr>
            <w:tcW w:w="1061" w:type="dxa"/>
            <w:vMerge w:val="restart"/>
            <w:vAlign w:val="center"/>
          </w:tcPr>
          <w:p w14:paraId="7E57866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7ECD17BA">
            <w:pPr>
              <w:pStyle w:val="109"/>
              <w:rPr>
                <w:color w:val="000000" w:themeColor="text1"/>
                <w14:textFill>
                  <w14:solidFill>
                    <w14:schemeClr w14:val="tx1"/>
                  </w14:solidFill>
                </w14:textFill>
              </w:rPr>
            </w:pPr>
          </w:p>
        </w:tc>
      </w:tr>
      <w:tr w14:paraId="3DA0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continue"/>
            <w:vAlign w:val="center"/>
          </w:tcPr>
          <w:p w14:paraId="2CBAC8B2">
            <w:pPr>
              <w:pStyle w:val="109"/>
              <w:rPr>
                <w:color w:val="000000" w:themeColor="text1"/>
                <w14:textFill>
                  <w14:solidFill>
                    <w14:schemeClr w14:val="tx1"/>
                  </w14:solidFill>
                </w14:textFill>
              </w:rPr>
            </w:pPr>
          </w:p>
        </w:tc>
        <w:tc>
          <w:tcPr>
            <w:tcW w:w="758" w:type="dxa"/>
            <w:vMerge w:val="continue"/>
            <w:vAlign w:val="center"/>
          </w:tcPr>
          <w:p w14:paraId="14B2164E">
            <w:pPr>
              <w:pStyle w:val="109"/>
              <w:rPr>
                <w:color w:val="000000" w:themeColor="text1"/>
                <w14:textFill>
                  <w14:solidFill>
                    <w14:schemeClr w14:val="tx1"/>
                  </w14:solidFill>
                </w14:textFill>
              </w:rPr>
            </w:pPr>
          </w:p>
        </w:tc>
        <w:tc>
          <w:tcPr>
            <w:tcW w:w="1474" w:type="dxa"/>
            <w:vMerge w:val="continue"/>
            <w:vAlign w:val="center"/>
          </w:tcPr>
          <w:p w14:paraId="0F0E6650">
            <w:pPr>
              <w:pStyle w:val="109"/>
              <w:rPr>
                <w:color w:val="000000" w:themeColor="text1"/>
                <w14:textFill>
                  <w14:solidFill>
                    <w14:schemeClr w14:val="tx1"/>
                  </w14:solidFill>
                </w14:textFill>
              </w:rPr>
            </w:pPr>
          </w:p>
        </w:tc>
        <w:tc>
          <w:tcPr>
            <w:tcW w:w="610" w:type="dxa"/>
            <w:vMerge w:val="continue"/>
            <w:vAlign w:val="center"/>
          </w:tcPr>
          <w:p w14:paraId="3677B27A">
            <w:pPr>
              <w:pStyle w:val="109"/>
              <w:rPr>
                <w:color w:val="000000" w:themeColor="text1"/>
                <w14:textFill>
                  <w14:solidFill>
                    <w14:schemeClr w14:val="tx1"/>
                  </w14:solidFill>
                </w14:textFill>
              </w:rPr>
            </w:pPr>
          </w:p>
        </w:tc>
        <w:tc>
          <w:tcPr>
            <w:tcW w:w="1498" w:type="dxa"/>
            <w:vAlign w:val="bottom"/>
          </w:tcPr>
          <w:p w14:paraId="2906BAA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80</w:t>
            </w:r>
          </w:p>
        </w:tc>
        <w:tc>
          <w:tcPr>
            <w:tcW w:w="1310" w:type="dxa"/>
            <w:vAlign w:val="bottom"/>
          </w:tcPr>
          <w:p w14:paraId="023270D5">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24</w:t>
            </w:r>
            <w:r>
              <w:rPr>
                <w:color w:val="000000" w:themeColor="text1"/>
                <w14:textFill>
                  <w14:solidFill>
                    <w14:schemeClr w14:val="tx1"/>
                  </w14:solidFill>
                </w14:textFill>
              </w:rPr>
              <w:t>小时均值</w:t>
            </w:r>
          </w:p>
        </w:tc>
        <w:tc>
          <w:tcPr>
            <w:tcW w:w="1061" w:type="dxa"/>
            <w:vMerge w:val="continue"/>
            <w:vAlign w:val="center"/>
          </w:tcPr>
          <w:p w14:paraId="641F53A6">
            <w:pPr>
              <w:pStyle w:val="109"/>
              <w:rPr>
                <w:color w:val="000000" w:themeColor="text1"/>
                <w14:textFill>
                  <w14:solidFill>
                    <w14:schemeClr w14:val="tx1"/>
                  </w14:solidFill>
                </w14:textFill>
              </w:rPr>
            </w:pPr>
          </w:p>
        </w:tc>
        <w:tc>
          <w:tcPr>
            <w:tcW w:w="1934" w:type="dxa"/>
            <w:vMerge w:val="continue"/>
            <w:vAlign w:val="center"/>
          </w:tcPr>
          <w:p w14:paraId="20D8F0F5">
            <w:pPr>
              <w:pStyle w:val="109"/>
              <w:rPr>
                <w:color w:val="000000" w:themeColor="text1"/>
                <w14:textFill>
                  <w14:solidFill>
                    <w14:schemeClr w14:val="tx1"/>
                  </w14:solidFill>
                </w14:textFill>
              </w:rPr>
            </w:pPr>
          </w:p>
        </w:tc>
      </w:tr>
      <w:tr w14:paraId="2431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restart"/>
            <w:vAlign w:val="center"/>
          </w:tcPr>
          <w:p w14:paraId="596C6326">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3</w:t>
            </w:r>
          </w:p>
        </w:tc>
        <w:tc>
          <w:tcPr>
            <w:tcW w:w="758" w:type="dxa"/>
            <w:vMerge w:val="continue"/>
            <w:vAlign w:val="center"/>
          </w:tcPr>
          <w:p w14:paraId="2E24A08B">
            <w:pPr>
              <w:pStyle w:val="109"/>
              <w:rPr>
                <w:color w:val="000000" w:themeColor="text1"/>
                <w14:textFill>
                  <w14:solidFill>
                    <w14:schemeClr w14:val="tx1"/>
                  </w14:solidFill>
                </w14:textFill>
              </w:rPr>
            </w:pPr>
          </w:p>
        </w:tc>
        <w:tc>
          <w:tcPr>
            <w:tcW w:w="1474" w:type="dxa"/>
            <w:vMerge w:val="restart"/>
            <w:vAlign w:val="center"/>
          </w:tcPr>
          <w:p w14:paraId="4E2FB20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NOx</w:t>
            </w:r>
          </w:p>
        </w:tc>
        <w:tc>
          <w:tcPr>
            <w:tcW w:w="610" w:type="dxa"/>
            <w:vMerge w:val="continue"/>
            <w:vAlign w:val="center"/>
          </w:tcPr>
          <w:p w14:paraId="16CCFBCD">
            <w:pPr>
              <w:pStyle w:val="109"/>
              <w:rPr>
                <w:color w:val="000000" w:themeColor="text1"/>
                <w14:textFill>
                  <w14:solidFill>
                    <w14:schemeClr w14:val="tx1"/>
                  </w14:solidFill>
                </w14:textFill>
              </w:rPr>
            </w:pPr>
          </w:p>
        </w:tc>
        <w:tc>
          <w:tcPr>
            <w:tcW w:w="1498" w:type="dxa"/>
            <w:vAlign w:val="bottom"/>
          </w:tcPr>
          <w:p w14:paraId="50E4B1B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300</w:t>
            </w:r>
          </w:p>
        </w:tc>
        <w:tc>
          <w:tcPr>
            <w:tcW w:w="1310" w:type="dxa"/>
            <w:vAlign w:val="bottom"/>
          </w:tcPr>
          <w:p w14:paraId="708306A2">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小时均值</w:t>
            </w:r>
          </w:p>
        </w:tc>
        <w:tc>
          <w:tcPr>
            <w:tcW w:w="1061" w:type="dxa"/>
            <w:vMerge w:val="restart"/>
            <w:vAlign w:val="center"/>
          </w:tcPr>
          <w:p w14:paraId="6DA25B6D">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089A5811">
            <w:pPr>
              <w:pStyle w:val="109"/>
              <w:rPr>
                <w:color w:val="000000" w:themeColor="text1"/>
                <w14:textFill>
                  <w14:solidFill>
                    <w14:schemeClr w14:val="tx1"/>
                  </w14:solidFill>
                </w14:textFill>
              </w:rPr>
            </w:pPr>
          </w:p>
        </w:tc>
      </w:tr>
      <w:tr w14:paraId="721F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continue"/>
            <w:vAlign w:val="center"/>
          </w:tcPr>
          <w:p w14:paraId="0EAC994B">
            <w:pPr>
              <w:pStyle w:val="109"/>
              <w:rPr>
                <w:color w:val="000000" w:themeColor="text1"/>
                <w14:textFill>
                  <w14:solidFill>
                    <w14:schemeClr w14:val="tx1"/>
                  </w14:solidFill>
                </w14:textFill>
              </w:rPr>
            </w:pPr>
          </w:p>
        </w:tc>
        <w:tc>
          <w:tcPr>
            <w:tcW w:w="758" w:type="dxa"/>
            <w:vMerge w:val="continue"/>
            <w:vAlign w:val="center"/>
          </w:tcPr>
          <w:p w14:paraId="0E818307">
            <w:pPr>
              <w:pStyle w:val="109"/>
              <w:rPr>
                <w:color w:val="000000" w:themeColor="text1"/>
                <w14:textFill>
                  <w14:solidFill>
                    <w14:schemeClr w14:val="tx1"/>
                  </w14:solidFill>
                </w14:textFill>
              </w:rPr>
            </w:pPr>
          </w:p>
        </w:tc>
        <w:tc>
          <w:tcPr>
            <w:tcW w:w="1474" w:type="dxa"/>
            <w:vMerge w:val="continue"/>
            <w:vAlign w:val="center"/>
          </w:tcPr>
          <w:p w14:paraId="198C608A">
            <w:pPr>
              <w:pStyle w:val="109"/>
              <w:rPr>
                <w:color w:val="000000" w:themeColor="text1"/>
                <w14:textFill>
                  <w14:solidFill>
                    <w14:schemeClr w14:val="tx1"/>
                  </w14:solidFill>
                </w14:textFill>
              </w:rPr>
            </w:pPr>
          </w:p>
        </w:tc>
        <w:tc>
          <w:tcPr>
            <w:tcW w:w="610" w:type="dxa"/>
            <w:vMerge w:val="continue"/>
            <w:vAlign w:val="center"/>
          </w:tcPr>
          <w:p w14:paraId="39603C11">
            <w:pPr>
              <w:pStyle w:val="109"/>
              <w:rPr>
                <w:color w:val="000000" w:themeColor="text1"/>
                <w14:textFill>
                  <w14:solidFill>
                    <w14:schemeClr w14:val="tx1"/>
                  </w14:solidFill>
                </w14:textFill>
              </w:rPr>
            </w:pPr>
          </w:p>
        </w:tc>
        <w:tc>
          <w:tcPr>
            <w:tcW w:w="1498" w:type="dxa"/>
            <w:vAlign w:val="bottom"/>
          </w:tcPr>
          <w:p w14:paraId="3BED18E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250</w:t>
            </w:r>
          </w:p>
        </w:tc>
        <w:tc>
          <w:tcPr>
            <w:tcW w:w="1310" w:type="dxa"/>
            <w:vAlign w:val="bottom"/>
          </w:tcPr>
          <w:p w14:paraId="11E1A07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24</w:t>
            </w:r>
            <w:r>
              <w:rPr>
                <w:color w:val="000000" w:themeColor="text1"/>
                <w14:textFill>
                  <w14:solidFill>
                    <w14:schemeClr w14:val="tx1"/>
                  </w14:solidFill>
                </w14:textFill>
              </w:rPr>
              <w:t>小时均值</w:t>
            </w:r>
          </w:p>
        </w:tc>
        <w:tc>
          <w:tcPr>
            <w:tcW w:w="1061" w:type="dxa"/>
            <w:vMerge w:val="continue"/>
            <w:vAlign w:val="center"/>
          </w:tcPr>
          <w:p w14:paraId="17D534A5">
            <w:pPr>
              <w:pStyle w:val="109"/>
              <w:rPr>
                <w:color w:val="000000" w:themeColor="text1"/>
                <w14:textFill>
                  <w14:solidFill>
                    <w14:schemeClr w14:val="tx1"/>
                  </w14:solidFill>
                </w14:textFill>
              </w:rPr>
            </w:pPr>
          </w:p>
        </w:tc>
        <w:tc>
          <w:tcPr>
            <w:tcW w:w="1934" w:type="dxa"/>
            <w:vMerge w:val="continue"/>
            <w:vAlign w:val="center"/>
          </w:tcPr>
          <w:p w14:paraId="695161C0">
            <w:pPr>
              <w:pStyle w:val="109"/>
              <w:rPr>
                <w:color w:val="000000" w:themeColor="text1"/>
                <w14:textFill>
                  <w14:solidFill>
                    <w14:schemeClr w14:val="tx1"/>
                  </w14:solidFill>
                </w14:textFill>
              </w:rPr>
            </w:pPr>
          </w:p>
        </w:tc>
      </w:tr>
      <w:tr w14:paraId="4097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restart"/>
            <w:vAlign w:val="center"/>
          </w:tcPr>
          <w:p w14:paraId="4D94A50D">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4</w:t>
            </w:r>
          </w:p>
        </w:tc>
        <w:tc>
          <w:tcPr>
            <w:tcW w:w="758" w:type="dxa"/>
            <w:vMerge w:val="continue"/>
            <w:vAlign w:val="center"/>
          </w:tcPr>
          <w:p w14:paraId="5A8CB6F7">
            <w:pPr>
              <w:pStyle w:val="109"/>
              <w:rPr>
                <w:color w:val="000000" w:themeColor="text1"/>
                <w14:textFill>
                  <w14:solidFill>
                    <w14:schemeClr w14:val="tx1"/>
                  </w14:solidFill>
                </w14:textFill>
              </w:rPr>
            </w:pPr>
          </w:p>
        </w:tc>
        <w:tc>
          <w:tcPr>
            <w:tcW w:w="1474" w:type="dxa"/>
            <w:vMerge w:val="restart"/>
            <w:vAlign w:val="center"/>
          </w:tcPr>
          <w:p w14:paraId="63541A5D">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SO</w:t>
            </w:r>
            <w:r>
              <w:rPr>
                <w:rFonts w:eastAsia="Times New Roman"/>
                <w:color w:val="000000" w:themeColor="text1"/>
                <w:sz w:val="13"/>
                <w:szCs w:val="13"/>
                <w:lang w:eastAsia="en-US" w:bidi="en-US"/>
                <w14:textFill>
                  <w14:solidFill>
                    <w14:schemeClr w14:val="tx1"/>
                  </w14:solidFill>
                </w14:textFill>
              </w:rPr>
              <w:t>2</w:t>
            </w:r>
          </w:p>
        </w:tc>
        <w:tc>
          <w:tcPr>
            <w:tcW w:w="610" w:type="dxa"/>
            <w:vMerge w:val="continue"/>
            <w:vAlign w:val="center"/>
          </w:tcPr>
          <w:p w14:paraId="2C844C8F">
            <w:pPr>
              <w:pStyle w:val="109"/>
              <w:rPr>
                <w:color w:val="000000" w:themeColor="text1"/>
                <w14:textFill>
                  <w14:solidFill>
                    <w14:schemeClr w14:val="tx1"/>
                  </w14:solidFill>
                </w14:textFill>
              </w:rPr>
            </w:pPr>
          </w:p>
        </w:tc>
        <w:tc>
          <w:tcPr>
            <w:tcW w:w="1498" w:type="dxa"/>
          </w:tcPr>
          <w:p w14:paraId="6A79DD9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100</w:t>
            </w:r>
          </w:p>
        </w:tc>
        <w:tc>
          <w:tcPr>
            <w:tcW w:w="1310" w:type="dxa"/>
          </w:tcPr>
          <w:p w14:paraId="6035F8C9">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小时均值</w:t>
            </w:r>
          </w:p>
        </w:tc>
        <w:tc>
          <w:tcPr>
            <w:tcW w:w="1061" w:type="dxa"/>
            <w:vMerge w:val="restart"/>
            <w:vAlign w:val="center"/>
          </w:tcPr>
          <w:p w14:paraId="1196338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4A447DB7">
            <w:pPr>
              <w:pStyle w:val="109"/>
              <w:rPr>
                <w:color w:val="000000" w:themeColor="text1"/>
                <w14:textFill>
                  <w14:solidFill>
                    <w14:schemeClr w14:val="tx1"/>
                  </w14:solidFill>
                </w14:textFill>
              </w:rPr>
            </w:pPr>
          </w:p>
        </w:tc>
      </w:tr>
      <w:tr w14:paraId="1B8A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continue"/>
            <w:vAlign w:val="center"/>
          </w:tcPr>
          <w:p w14:paraId="17A07DC8">
            <w:pPr>
              <w:pStyle w:val="109"/>
              <w:rPr>
                <w:color w:val="000000" w:themeColor="text1"/>
                <w14:textFill>
                  <w14:solidFill>
                    <w14:schemeClr w14:val="tx1"/>
                  </w14:solidFill>
                </w14:textFill>
              </w:rPr>
            </w:pPr>
          </w:p>
        </w:tc>
        <w:tc>
          <w:tcPr>
            <w:tcW w:w="758" w:type="dxa"/>
            <w:vMerge w:val="continue"/>
            <w:vAlign w:val="center"/>
          </w:tcPr>
          <w:p w14:paraId="03061A28">
            <w:pPr>
              <w:pStyle w:val="109"/>
              <w:rPr>
                <w:color w:val="000000" w:themeColor="text1"/>
                <w14:textFill>
                  <w14:solidFill>
                    <w14:schemeClr w14:val="tx1"/>
                  </w14:solidFill>
                </w14:textFill>
              </w:rPr>
            </w:pPr>
          </w:p>
        </w:tc>
        <w:tc>
          <w:tcPr>
            <w:tcW w:w="1474" w:type="dxa"/>
            <w:vMerge w:val="continue"/>
            <w:vAlign w:val="center"/>
          </w:tcPr>
          <w:p w14:paraId="1C26225C">
            <w:pPr>
              <w:pStyle w:val="109"/>
              <w:rPr>
                <w:color w:val="000000" w:themeColor="text1"/>
                <w14:textFill>
                  <w14:solidFill>
                    <w14:schemeClr w14:val="tx1"/>
                  </w14:solidFill>
                </w14:textFill>
              </w:rPr>
            </w:pPr>
          </w:p>
        </w:tc>
        <w:tc>
          <w:tcPr>
            <w:tcW w:w="610" w:type="dxa"/>
            <w:vMerge w:val="continue"/>
            <w:vAlign w:val="center"/>
          </w:tcPr>
          <w:p w14:paraId="7E00F53E">
            <w:pPr>
              <w:pStyle w:val="109"/>
              <w:rPr>
                <w:color w:val="000000" w:themeColor="text1"/>
                <w14:textFill>
                  <w14:solidFill>
                    <w14:schemeClr w14:val="tx1"/>
                  </w14:solidFill>
                </w14:textFill>
              </w:rPr>
            </w:pPr>
          </w:p>
        </w:tc>
        <w:tc>
          <w:tcPr>
            <w:tcW w:w="1498" w:type="dxa"/>
          </w:tcPr>
          <w:p w14:paraId="05CD49DB">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80</w:t>
            </w:r>
          </w:p>
        </w:tc>
        <w:tc>
          <w:tcPr>
            <w:tcW w:w="1310" w:type="dxa"/>
          </w:tcPr>
          <w:p w14:paraId="2F9713A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24</w:t>
            </w:r>
            <w:r>
              <w:rPr>
                <w:color w:val="000000" w:themeColor="text1"/>
                <w14:textFill>
                  <w14:solidFill>
                    <w14:schemeClr w14:val="tx1"/>
                  </w14:solidFill>
                </w14:textFill>
              </w:rPr>
              <w:t>小时均值</w:t>
            </w:r>
          </w:p>
        </w:tc>
        <w:tc>
          <w:tcPr>
            <w:tcW w:w="1061" w:type="dxa"/>
            <w:vMerge w:val="continue"/>
            <w:vAlign w:val="center"/>
          </w:tcPr>
          <w:p w14:paraId="51D8BC63">
            <w:pPr>
              <w:pStyle w:val="109"/>
              <w:rPr>
                <w:color w:val="000000" w:themeColor="text1"/>
                <w14:textFill>
                  <w14:solidFill>
                    <w14:schemeClr w14:val="tx1"/>
                  </w14:solidFill>
                </w14:textFill>
              </w:rPr>
            </w:pPr>
          </w:p>
        </w:tc>
        <w:tc>
          <w:tcPr>
            <w:tcW w:w="1934" w:type="dxa"/>
            <w:vMerge w:val="continue"/>
            <w:vAlign w:val="center"/>
          </w:tcPr>
          <w:p w14:paraId="02C004F3">
            <w:pPr>
              <w:pStyle w:val="109"/>
              <w:rPr>
                <w:color w:val="000000" w:themeColor="text1"/>
                <w14:textFill>
                  <w14:solidFill>
                    <w14:schemeClr w14:val="tx1"/>
                  </w14:solidFill>
                </w14:textFill>
              </w:rPr>
            </w:pPr>
          </w:p>
        </w:tc>
      </w:tr>
      <w:tr w14:paraId="369E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restart"/>
            <w:vAlign w:val="center"/>
          </w:tcPr>
          <w:p w14:paraId="2DB8CE48">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5</w:t>
            </w:r>
          </w:p>
        </w:tc>
        <w:tc>
          <w:tcPr>
            <w:tcW w:w="758" w:type="dxa"/>
            <w:vMerge w:val="continue"/>
            <w:vAlign w:val="center"/>
          </w:tcPr>
          <w:p w14:paraId="25CE665E">
            <w:pPr>
              <w:pStyle w:val="109"/>
              <w:rPr>
                <w:color w:val="000000" w:themeColor="text1"/>
                <w14:textFill>
                  <w14:solidFill>
                    <w14:schemeClr w14:val="tx1"/>
                  </w14:solidFill>
                </w14:textFill>
              </w:rPr>
            </w:pPr>
          </w:p>
        </w:tc>
        <w:tc>
          <w:tcPr>
            <w:tcW w:w="1474" w:type="dxa"/>
            <w:vMerge w:val="restart"/>
            <w:vAlign w:val="center"/>
          </w:tcPr>
          <w:p w14:paraId="7A39DF3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HF</w:t>
            </w:r>
          </w:p>
        </w:tc>
        <w:tc>
          <w:tcPr>
            <w:tcW w:w="610" w:type="dxa"/>
            <w:vMerge w:val="continue"/>
            <w:vAlign w:val="center"/>
          </w:tcPr>
          <w:p w14:paraId="193439BD">
            <w:pPr>
              <w:pStyle w:val="109"/>
              <w:rPr>
                <w:color w:val="000000" w:themeColor="text1"/>
                <w14:textFill>
                  <w14:solidFill>
                    <w14:schemeClr w14:val="tx1"/>
                  </w14:solidFill>
                </w14:textFill>
              </w:rPr>
            </w:pPr>
          </w:p>
        </w:tc>
        <w:tc>
          <w:tcPr>
            <w:tcW w:w="1498" w:type="dxa"/>
          </w:tcPr>
          <w:p w14:paraId="0397C08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4.0</w:t>
            </w:r>
          </w:p>
        </w:tc>
        <w:tc>
          <w:tcPr>
            <w:tcW w:w="1310" w:type="dxa"/>
          </w:tcPr>
          <w:p w14:paraId="6FC1F613">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小时均值</w:t>
            </w:r>
          </w:p>
        </w:tc>
        <w:tc>
          <w:tcPr>
            <w:tcW w:w="1061" w:type="dxa"/>
            <w:vMerge w:val="restart"/>
            <w:vAlign w:val="center"/>
          </w:tcPr>
          <w:p w14:paraId="7F0A1A7B">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41A6C9F5">
            <w:pPr>
              <w:pStyle w:val="109"/>
              <w:rPr>
                <w:color w:val="000000" w:themeColor="text1"/>
                <w14:textFill>
                  <w14:solidFill>
                    <w14:schemeClr w14:val="tx1"/>
                  </w14:solidFill>
                </w14:textFill>
              </w:rPr>
            </w:pPr>
          </w:p>
        </w:tc>
      </w:tr>
      <w:tr w14:paraId="7791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continue"/>
            <w:vAlign w:val="center"/>
          </w:tcPr>
          <w:p w14:paraId="7E18036E">
            <w:pPr>
              <w:pStyle w:val="109"/>
              <w:rPr>
                <w:color w:val="000000" w:themeColor="text1"/>
                <w14:textFill>
                  <w14:solidFill>
                    <w14:schemeClr w14:val="tx1"/>
                  </w14:solidFill>
                </w14:textFill>
              </w:rPr>
            </w:pPr>
          </w:p>
        </w:tc>
        <w:tc>
          <w:tcPr>
            <w:tcW w:w="758" w:type="dxa"/>
            <w:vMerge w:val="continue"/>
            <w:vAlign w:val="center"/>
          </w:tcPr>
          <w:p w14:paraId="7A4883E0">
            <w:pPr>
              <w:pStyle w:val="109"/>
              <w:rPr>
                <w:color w:val="000000" w:themeColor="text1"/>
                <w14:textFill>
                  <w14:solidFill>
                    <w14:schemeClr w14:val="tx1"/>
                  </w14:solidFill>
                </w14:textFill>
              </w:rPr>
            </w:pPr>
          </w:p>
        </w:tc>
        <w:tc>
          <w:tcPr>
            <w:tcW w:w="1474" w:type="dxa"/>
            <w:vMerge w:val="continue"/>
            <w:vAlign w:val="center"/>
          </w:tcPr>
          <w:p w14:paraId="4AF81E63">
            <w:pPr>
              <w:pStyle w:val="109"/>
              <w:rPr>
                <w:color w:val="000000" w:themeColor="text1"/>
                <w14:textFill>
                  <w14:solidFill>
                    <w14:schemeClr w14:val="tx1"/>
                  </w14:solidFill>
                </w14:textFill>
              </w:rPr>
            </w:pPr>
          </w:p>
        </w:tc>
        <w:tc>
          <w:tcPr>
            <w:tcW w:w="610" w:type="dxa"/>
            <w:vMerge w:val="continue"/>
            <w:vAlign w:val="center"/>
          </w:tcPr>
          <w:p w14:paraId="2BB2991A">
            <w:pPr>
              <w:pStyle w:val="109"/>
              <w:rPr>
                <w:color w:val="000000" w:themeColor="text1"/>
                <w14:textFill>
                  <w14:solidFill>
                    <w14:schemeClr w14:val="tx1"/>
                  </w14:solidFill>
                </w14:textFill>
              </w:rPr>
            </w:pPr>
          </w:p>
        </w:tc>
        <w:tc>
          <w:tcPr>
            <w:tcW w:w="1498" w:type="dxa"/>
            <w:vAlign w:val="bottom"/>
          </w:tcPr>
          <w:p w14:paraId="7DA84BD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w:t>
            </w:r>
          </w:p>
        </w:tc>
        <w:tc>
          <w:tcPr>
            <w:tcW w:w="1310" w:type="dxa"/>
            <w:vAlign w:val="bottom"/>
          </w:tcPr>
          <w:p w14:paraId="3C7174CE">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24</w:t>
            </w:r>
            <w:r>
              <w:rPr>
                <w:color w:val="000000" w:themeColor="text1"/>
                <w14:textFill>
                  <w14:solidFill>
                    <w14:schemeClr w14:val="tx1"/>
                  </w14:solidFill>
                </w14:textFill>
              </w:rPr>
              <w:t>小时均值</w:t>
            </w:r>
          </w:p>
        </w:tc>
        <w:tc>
          <w:tcPr>
            <w:tcW w:w="1061" w:type="dxa"/>
            <w:vMerge w:val="continue"/>
            <w:vAlign w:val="center"/>
          </w:tcPr>
          <w:p w14:paraId="679AE19E">
            <w:pPr>
              <w:pStyle w:val="109"/>
              <w:rPr>
                <w:color w:val="000000" w:themeColor="text1"/>
                <w14:textFill>
                  <w14:solidFill>
                    <w14:schemeClr w14:val="tx1"/>
                  </w14:solidFill>
                </w14:textFill>
              </w:rPr>
            </w:pPr>
          </w:p>
        </w:tc>
        <w:tc>
          <w:tcPr>
            <w:tcW w:w="1934" w:type="dxa"/>
            <w:vMerge w:val="continue"/>
            <w:vAlign w:val="center"/>
          </w:tcPr>
          <w:p w14:paraId="3BCE61FC">
            <w:pPr>
              <w:pStyle w:val="109"/>
              <w:rPr>
                <w:color w:val="000000" w:themeColor="text1"/>
                <w14:textFill>
                  <w14:solidFill>
                    <w14:schemeClr w14:val="tx1"/>
                  </w14:solidFill>
                </w14:textFill>
              </w:rPr>
            </w:pPr>
          </w:p>
        </w:tc>
      </w:tr>
      <w:tr w14:paraId="2EFB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restart"/>
            <w:vAlign w:val="center"/>
          </w:tcPr>
          <w:p w14:paraId="30DE605D">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6</w:t>
            </w:r>
          </w:p>
        </w:tc>
        <w:tc>
          <w:tcPr>
            <w:tcW w:w="758" w:type="dxa"/>
            <w:vMerge w:val="continue"/>
            <w:vAlign w:val="center"/>
          </w:tcPr>
          <w:p w14:paraId="5E239970">
            <w:pPr>
              <w:pStyle w:val="109"/>
              <w:rPr>
                <w:color w:val="000000" w:themeColor="text1"/>
                <w14:textFill>
                  <w14:solidFill>
                    <w14:schemeClr w14:val="tx1"/>
                  </w14:solidFill>
                </w14:textFill>
              </w:rPr>
            </w:pPr>
          </w:p>
        </w:tc>
        <w:tc>
          <w:tcPr>
            <w:tcW w:w="1474" w:type="dxa"/>
            <w:vMerge w:val="restart"/>
            <w:vAlign w:val="center"/>
          </w:tcPr>
          <w:p w14:paraId="16C24CBC">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HCl</w:t>
            </w:r>
          </w:p>
        </w:tc>
        <w:tc>
          <w:tcPr>
            <w:tcW w:w="610" w:type="dxa"/>
            <w:vMerge w:val="continue"/>
            <w:vAlign w:val="center"/>
          </w:tcPr>
          <w:p w14:paraId="3706831E">
            <w:pPr>
              <w:pStyle w:val="109"/>
              <w:rPr>
                <w:color w:val="000000" w:themeColor="text1"/>
                <w14:textFill>
                  <w14:solidFill>
                    <w14:schemeClr w14:val="tx1"/>
                  </w14:solidFill>
                </w14:textFill>
              </w:rPr>
            </w:pPr>
          </w:p>
        </w:tc>
        <w:tc>
          <w:tcPr>
            <w:tcW w:w="1498" w:type="dxa"/>
            <w:vAlign w:val="bottom"/>
          </w:tcPr>
          <w:p w14:paraId="0FE0DFE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60</w:t>
            </w:r>
          </w:p>
        </w:tc>
        <w:tc>
          <w:tcPr>
            <w:tcW w:w="1310" w:type="dxa"/>
            <w:vAlign w:val="bottom"/>
          </w:tcPr>
          <w:p w14:paraId="40FB729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小时均值</w:t>
            </w:r>
          </w:p>
        </w:tc>
        <w:tc>
          <w:tcPr>
            <w:tcW w:w="1061" w:type="dxa"/>
            <w:vMerge w:val="restart"/>
            <w:vAlign w:val="center"/>
          </w:tcPr>
          <w:p w14:paraId="09690A5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1DBE7783">
            <w:pPr>
              <w:pStyle w:val="109"/>
              <w:rPr>
                <w:color w:val="000000" w:themeColor="text1"/>
                <w14:textFill>
                  <w14:solidFill>
                    <w14:schemeClr w14:val="tx1"/>
                  </w14:solidFill>
                </w14:textFill>
              </w:rPr>
            </w:pPr>
          </w:p>
        </w:tc>
      </w:tr>
      <w:tr w14:paraId="26D4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Merge w:val="continue"/>
            <w:vAlign w:val="center"/>
          </w:tcPr>
          <w:p w14:paraId="03D58DB9">
            <w:pPr>
              <w:pStyle w:val="109"/>
              <w:rPr>
                <w:color w:val="000000" w:themeColor="text1"/>
                <w14:textFill>
                  <w14:solidFill>
                    <w14:schemeClr w14:val="tx1"/>
                  </w14:solidFill>
                </w14:textFill>
              </w:rPr>
            </w:pPr>
          </w:p>
        </w:tc>
        <w:tc>
          <w:tcPr>
            <w:tcW w:w="758" w:type="dxa"/>
            <w:vMerge w:val="continue"/>
            <w:vAlign w:val="center"/>
          </w:tcPr>
          <w:p w14:paraId="32AAA11D">
            <w:pPr>
              <w:pStyle w:val="109"/>
              <w:rPr>
                <w:color w:val="000000" w:themeColor="text1"/>
                <w14:textFill>
                  <w14:solidFill>
                    <w14:schemeClr w14:val="tx1"/>
                  </w14:solidFill>
                </w14:textFill>
              </w:rPr>
            </w:pPr>
          </w:p>
        </w:tc>
        <w:tc>
          <w:tcPr>
            <w:tcW w:w="1474" w:type="dxa"/>
            <w:vMerge w:val="continue"/>
            <w:vAlign w:val="center"/>
          </w:tcPr>
          <w:p w14:paraId="56F3A422">
            <w:pPr>
              <w:pStyle w:val="109"/>
              <w:rPr>
                <w:color w:val="000000" w:themeColor="text1"/>
                <w14:textFill>
                  <w14:solidFill>
                    <w14:schemeClr w14:val="tx1"/>
                  </w14:solidFill>
                </w14:textFill>
              </w:rPr>
            </w:pPr>
          </w:p>
        </w:tc>
        <w:tc>
          <w:tcPr>
            <w:tcW w:w="610" w:type="dxa"/>
            <w:vMerge w:val="continue"/>
            <w:vAlign w:val="center"/>
          </w:tcPr>
          <w:p w14:paraId="5BEC9AF2">
            <w:pPr>
              <w:pStyle w:val="109"/>
              <w:rPr>
                <w:color w:val="000000" w:themeColor="text1"/>
                <w14:textFill>
                  <w14:solidFill>
                    <w14:schemeClr w14:val="tx1"/>
                  </w14:solidFill>
                </w14:textFill>
              </w:rPr>
            </w:pPr>
          </w:p>
        </w:tc>
        <w:tc>
          <w:tcPr>
            <w:tcW w:w="1498" w:type="dxa"/>
            <w:vAlign w:val="bottom"/>
          </w:tcPr>
          <w:p w14:paraId="1F0113A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50</w:t>
            </w:r>
          </w:p>
        </w:tc>
        <w:tc>
          <w:tcPr>
            <w:tcW w:w="1310" w:type="dxa"/>
            <w:vAlign w:val="bottom"/>
          </w:tcPr>
          <w:p w14:paraId="075BAA1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24</w:t>
            </w:r>
            <w:r>
              <w:rPr>
                <w:color w:val="000000" w:themeColor="text1"/>
                <w14:textFill>
                  <w14:solidFill>
                    <w14:schemeClr w14:val="tx1"/>
                  </w14:solidFill>
                </w14:textFill>
              </w:rPr>
              <w:t>小时均值</w:t>
            </w:r>
          </w:p>
        </w:tc>
        <w:tc>
          <w:tcPr>
            <w:tcW w:w="1061" w:type="dxa"/>
            <w:vMerge w:val="continue"/>
            <w:vAlign w:val="center"/>
          </w:tcPr>
          <w:p w14:paraId="6297EAB9">
            <w:pPr>
              <w:pStyle w:val="109"/>
              <w:rPr>
                <w:color w:val="000000" w:themeColor="text1"/>
                <w14:textFill>
                  <w14:solidFill>
                    <w14:schemeClr w14:val="tx1"/>
                  </w14:solidFill>
                </w14:textFill>
              </w:rPr>
            </w:pPr>
          </w:p>
        </w:tc>
        <w:tc>
          <w:tcPr>
            <w:tcW w:w="1934" w:type="dxa"/>
            <w:vMerge w:val="continue"/>
            <w:vAlign w:val="center"/>
          </w:tcPr>
          <w:p w14:paraId="79149CE9">
            <w:pPr>
              <w:pStyle w:val="109"/>
              <w:rPr>
                <w:color w:val="000000" w:themeColor="text1"/>
                <w14:textFill>
                  <w14:solidFill>
                    <w14:schemeClr w14:val="tx1"/>
                  </w14:solidFill>
                </w14:textFill>
              </w:rPr>
            </w:pPr>
          </w:p>
        </w:tc>
      </w:tr>
      <w:tr w14:paraId="4F1B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Align w:val="bottom"/>
          </w:tcPr>
          <w:p w14:paraId="43DCDDE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7</w:t>
            </w:r>
          </w:p>
        </w:tc>
        <w:tc>
          <w:tcPr>
            <w:tcW w:w="758" w:type="dxa"/>
            <w:vMerge w:val="continue"/>
            <w:vAlign w:val="center"/>
          </w:tcPr>
          <w:p w14:paraId="0B394A00">
            <w:pPr>
              <w:pStyle w:val="109"/>
              <w:rPr>
                <w:color w:val="000000" w:themeColor="text1"/>
                <w14:textFill>
                  <w14:solidFill>
                    <w14:schemeClr w14:val="tx1"/>
                  </w14:solidFill>
                </w14:textFill>
              </w:rPr>
            </w:pPr>
          </w:p>
        </w:tc>
        <w:tc>
          <w:tcPr>
            <w:tcW w:w="1474" w:type="dxa"/>
            <w:vAlign w:val="bottom"/>
          </w:tcPr>
          <w:p w14:paraId="2FD89122">
            <w:pPr>
              <w:pStyle w:val="109"/>
              <w:rPr>
                <w:color w:val="000000" w:themeColor="text1"/>
                <w14:textFill>
                  <w14:solidFill>
                    <w14:schemeClr w14:val="tx1"/>
                  </w14:solidFill>
                </w14:textFill>
              </w:rPr>
            </w:pPr>
            <w:r>
              <w:rPr>
                <w:color w:val="000000" w:themeColor="text1"/>
                <w14:textFill>
                  <w14:solidFill>
                    <w14:schemeClr w14:val="tx1"/>
                  </w14:solidFill>
                </w14:textFill>
              </w:rPr>
              <w:t>汞及其化合物</w:t>
            </w:r>
          </w:p>
        </w:tc>
        <w:tc>
          <w:tcPr>
            <w:tcW w:w="610" w:type="dxa"/>
            <w:vMerge w:val="continue"/>
            <w:vAlign w:val="center"/>
          </w:tcPr>
          <w:p w14:paraId="2244827F">
            <w:pPr>
              <w:pStyle w:val="109"/>
              <w:rPr>
                <w:color w:val="000000" w:themeColor="text1"/>
                <w14:textFill>
                  <w14:solidFill>
                    <w14:schemeClr w14:val="tx1"/>
                  </w14:solidFill>
                </w14:textFill>
              </w:rPr>
            </w:pPr>
          </w:p>
        </w:tc>
        <w:tc>
          <w:tcPr>
            <w:tcW w:w="1498" w:type="dxa"/>
            <w:vAlign w:val="bottom"/>
          </w:tcPr>
          <w:p w14:paraId="394EFE0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0.05</w:t>
            </w:r>
          </w:p>
        </w:tc>
        <w:tc>
          <w:tcPr>
            <w:tcW w:w="1310" w:type="dxa"/>
            <w:vAlign w:val="bottom"/>
          </w:tcPr>
          <w:p w14:paraId="26734B39">
            <w:pPr>
              <w:pStyle w:val="109"/>
              <w:rPr>
                <w:color w:val="000000" w:themeColor="text1"/>
                <w14:textFill>
                  <w14:solidFill>
                    <w14:schemeClr w14:val="tx1"/>
                  </w14:solidFill>
                </w14:textFill>
              </w:rPr>
            </w:pPr>
            <w:r>
              <w:rPr>
                <w:color w:val="000000" w:themeColor="text1"/>
                <w14:textFill>
                  <w14:solidFill>
                    <w14:schemeClr w14:val="tx1"/>
                  </w14:solidFill>
                </w14:textFill>
              </w:rPr>
              <w:t>测定均值</w:t>
            </w:r>
          </w:p>
        </w:tc>
        <w:tc>
          <w:tcPr>
            <w:tcW w:w="1061" w:type="dxa"/>
            <w:vAlign w:val="bottom"/>
          </w:tcPr>
          <w:p w14:paraId="3019A1E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6264C660">
            <w:pPr>
              <w:pStyle w:val="109"/>
              <w:rPr>
                <w:color w:val="000000" w:themeColor="text1"/>
                <w14:textFill>
                  <w14:solidFill>
                    <w14:schemeClr w14:val="tx1"/>
                  </w14:solidFill>
                </w14:textFill>
              </w:rPr>
            </w:pPr>
          </w:p>
        </w:tc>
      </w:tr>
      <w:tr w14:paraId="32AE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tcPr>
          <w:p w14:paraId="6247E8D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8</w:t>
            </w:r>
          </w:p>
        </w:tc>
        <w:tc>
          <w:tcPr>
            <w:tcW w:w="758" w:type="dxa"/>
            <w:vMerge w:val="continue"/>
            <w:vAlign w:val="center"/>
          </w:tcPr>
          <w:p w14:paraId="7BBDA5E0">
            <w:pPr>
              <w:pStyle w:val="109"/>
              <w:rPr>
                <w:color w:val="000000" w:themeColor="text1"/>
                <w14:textFill>
                  <w14:solidFill>
                    <w14:schemeClr w14:val="tx1"/>
                  </w14:solidFill>
                </w14:textFill>
              </w:rPr>
            </w:pPr>
          </w:p>
        </w:tc>
        <w:tc>
          <w:tcPr>
            <w:tcW w:w="1474" w:type="dxa"/>
          </w:tcPr>
          <w:p w14:paraId="35916DAC">
            <w:pPr>
              <w:pStyle w:val="109"/>
              <w:rPr>
                <w:color w:val="000000" w:themeColor="text1"/>
                <w14:textFill>
                  <w14:solidFill>
                    <w14:schemeClr w14:val="tx1"/>
                  </w14:solidFill>
                </w14:textFill>
              </w:rPr>
            </w:pPr>
            <w:r>
              <w:rPr>
                <w:color w:val="000000" w:themeColor="text1"/>
                <w14:textFill>
                  <w14:solidFill>
                    <w14:schemeClr w14:val="tx1"/>
                  </w14:solidFill>
                </w14:textFill>
              </w:rPr>
              <w:t>铊及其化合物</w:t>
            </w:r>
          </w:p>
        </w:tc>
        <w:tc>
          <w:tcPr>
            <w:tcW w:w="610" w:type="dxa"/>
            <w:vMerge w:val="continue"/>
            <w:vAlign w:val="center"/>
          </w:tcPr>
          <w:p w14:paraId="27293D85">
            <w:pPr>
              <w:pStyle w:val="109"/>
              <w:rPr>
                <w:color w:val="000000" w:themeColor="text1"/>
                <w14:textFill>
                  <w14:solidFill>
                    <w14:schemeClr w14:val="tx1"/>
                  </w14:solidFill>
                </w14:textFill>
              </w:rPr>
            </w:pPr>
          </w:p>
        </w:tc>
        <w:tc>
          <w:tcPr>
            <w:tcW w:w="1498" w:type="dxa"/>
          </w:tcPr>
          <w:p w14:paraId="7429EF9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0.05</w:t>
            </w:r>
          </w:p>
        </w:tc>
        <w:tc>
          <w:tcPr>
            <w:tcW w:w="1310" w:type="dxa"/>
          </w:tcPr>
          <w:p w14:paraId="07D8FFEC">
            <w:pPr>
              <w:pStyle w:val="109"/>
              <w:rPr>
                <w:color w:val="000000" w:themeColor="text1"/>
                <w14:textFill>
                  <w14:solidFill>
                    <w14:schemeClr w14:val="tx1"/>
                  </w14:solidFill>
                </w14:textFill>
              </w:rPr>
            </w:pPr>
            <w:r>
              <w:rPr>
                <w:color w:val="000000" w:themeColor="text1"/>
                <w14:textFill>
                  <w14:solidFill>
                    <w14:schemeClr w14:val="tx1"/>
                  </w14:solidFill>
                </w14:textFill>
              </w:rPr>
              <w:t>测定均值</w:t>
            </w:r>
          </w:p>
        </w:tc>
        <w:tc>
          <w:tcPr>
            <w:tcW w:w="1061" w:type="dxa"/>
          </w:tcPr>
          <w:p w14:paraId="2ADEBDA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3E1E7CFF">
            <w:pPr>
              <w:pStyle w:val="109"/>
              <w:rPr>
                <w:color w:val="000000" w:themeColor="text1"/>
                <w14:textFill>
                  <w14:solidFill>
                    <w14:schemeClr w14:val="tx1"/>
                  </w14:solidFill>
                </w14:textFill>
              </w:rPr>
            </w:pPr>
          </w:p>
        </w:tc>
      </w:tr>
      <w:tr w14:paraId="5B04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Align w:val="bottom"/>
          </w:tcPr>
          <w:p w14:paraId="59626A3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9</w:t>
            </w:r>
          </w:p>
        </w:tc>
        <w:tc>
          <w:tcPr>
            <w:tcW w:w="758" w:type="dxa"/>
            <w:vMerge w:val="continue"/>
            <w:vAlign w:val="center"/>
          </w:tcPr>
          <w:p w14:paraId="2F912947">
            <w:pPr>
              <w:pStyle w:val="109"/>
              <w:rPr>
                <w:color w:val="000000" w:themeColor="text1"/>
                <w14:textFill>
                  <w14:solidFill>
                    <w14:schemeClr w14:val="tx1"/>
                  </w14:solidFill>
                </w14:textFill>
              </w:rPr>
            </w:pPr>
          </w:p>
        </w:tc>
        <w:tc>
          <w:tcPr>
            <w:tcW w:w="1474" w:type="dxa"/>
            <w:vAlign w:val="bottom"/>
          </w:tcPr>
          <w:p w14:paraId="6EE96135">
            <w:pPr>
              <w:pStyle w:val="109"/>
              <w:rPr>
                <w:color w:val="000000" w:themeColor="text1"/>
                <w14:textFill>
                  <w14:solidFill>
                    <w14:schemeClr w14:val="tx1"/>
                  </w14:solidFill>
                </w14:textFill>
              </w:rPr>
            </w:pPr>
            <w:r>
              <w:rPr>
                <w:color w:val="000000" w:themeColor="text1"/>
                <w14:textFill>
                  <w14:solidFill>
                    <w14:schemeClr w14:val="tx1"/>
                  </w14:solidFill>
                </w14:textFill>
              </w:rPr>
              <w:t>镉及其化合物</w:t>
            </w:r>
          </w:p>
        </w:tc>
        <w:tc>
          <w:tcPr>
            <w:tcW w:w="610" w:type="dxa"/>
            <w:vMerge w:val="continue"/>
            <w:vAlign w:val="center"/>
          </w:tcPr>
          <w:p w14:paraId="0A4314FC">
            <w:pPr>
              <w:pStyle w:val="109"/>
              <w:rPr>
                <w:color w:val="000000" w:themeColor="text1"/>
                <w14:textFill>
                  <w14:solidFill>
                    <w14:schemeClr w14:val="tx1"/>
                  </w14:solidFill>
                </w14:textFill>
              </w:rPr>
            </w:pPr>
          </w:p>
        </w:tc>
        <w:tc>
          <w:tcPr>
            <w:tcW w:w="1498" w:type="dxa"/>
            <w:vAlign w:val="bottom"/>
          </w:tcPr>
          <w:p w14:paraId="4A88BC3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0.05</w:t>
            </w:r>
          </w:p>
        </w:tc>
        <w:tc>
          <w:tcPr>
            <w:tcW w:w="1310" w:type="dxa"/>
            <w:vAlign w:val="bottom"/>
          </w:tcPr>
          <w:p w14:paraId="7AA9A4C7">
            <w:pPr>
              <w:pStyle w:val="109"/>
              <w:rPr>
                <w:color w:val="000000" w:themeColor="text1"/>
                <w14:textFill>
                  <w14:solidFill>
                    <w14:schemeClr w14:val="tx1"/>
                  </w14:solidFill>
                </w14:textFill>
              </w:rPr>
            </w:pPr>
            <w:r>
              <w:rPr>
                <w:color w:val="000000" w:themeColor="text1"/>
                <w14:textFill>
                  <w14:solidFill>
                    <w14:schemeClr w14:val="tx1"/>
                  </w14:solidFill>
                </w14:textFill>
              </w:rPr>
              <w:t>测定均值</w:t>
            </w:r>
          </w:p>
        </w:tc>
        <w:tc>
          <w:tcPr>
            <w:tcW w:w="1061" w:type="dxa"/>
            <w:vAlign w:val="bottom"/>
          </w:tcPr>
          <w:p w14:paraId="592370D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3FAC9609">
            <w:pPr>
              <w:pStyle w:val="109"/>
              <w:rPr>
                <w:color w:val="000000" w:themeColor="text1"/>
                <w14:textFill>
                  <w14:solidFill>
                    <w14:schemeClr w14:val="tx1"/>
                  </w14:solidFill>
                </w14:textFill>
              </w:rPr>
            </w:pPr>
          </w:p>
        </w:tc>
      </w:tr>
      <w:tr w14:paraId="60BD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Align w:val="bottom"/>
          </w:tcPr>
          <w:p w14:paraId="600819F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10</w:t>
            </w:r>
          </w:p>
        </w:tc>
        <w:tc>
          <w:tcPr>
            <w:tcW w:w="758" w:type="dxa"/>
            <w:vMerge w:val="continue"/>
            <w:vAlign w:val="center"/>
          </w:tcPr>
          <w:p w14:paraId="31D87E82">
            <w:pPr>
              <w:pStyle w:val="109"/>
              <w:rPr>
                <w:color w:val="000000" w:themeColor="text1"/>
                <w14:textFill>
                  <w14:solidFill>
                    <w14:schemeClr w14:val="tx1"/>
                  </w14:solidFill>
                </w14:textFill>
              </w:rPr>
            </w:pPr>
          </w:p>
        </w:tc>
        <w:tc>
          <w:tcPr>
            <w:tcW w:w="1474" w:type="dxa"/>
            <w:vAlign w:val="bottom"/>
          </w:tcPr>
          <w:p w14:paraId="597A0509">
            <w:pPr>
              <w:pStyle w:val="109"/>
              <w:rPr>
                <w:color w:val="000000" w:themeColor="text1"/>
                <w14:textFill>
                  <w14:solidFill>
                    <w14:schemeClr w14:val="tx1"/>
                  </w14:solidFill>
                </w14:textFill>
              </w:rPr>
            </w:pPr>
            <w:r>
              <w:rPr>
                <w:color w:val="000000" w:themeColor="text1"/>
                <w14:textFill>
                  <w14:solidFill>
                    <w14:schemeClr w14:val="tx1"/>
                  </w14:solidFill>
                </w14:textFill>
              </w:rPr>
              <w:t>铅及其化合物</w:t>
            </w:r>
          </w:p>
        </w:tc>
        <w:tc>
          <w:tcPr>
            <w:tcW w:w="610" w:type="dxa"/>
            <w:vMerge w:val="continue"/>
            <w:vAlign w:val="center"/>
          </w:tcPr>
          <w:p w14:paraId="392012DF">
            <w:pPr>
              <w:pStyle w:val="109"/>
              <w:rPr>
                <w:color w:val="000000" w:themeColor="text1"/>
                <w14:textFill>
                  <w14:solidFill>
                    <w14:schemeClr w14:val="tx1"/>
                  </w14:solidFill>
                </w14:textFill>
              </w:rPr>
            </w:pPr>
          </w:p>
        </w:tc>
        <w:tc>
          <w:tcPr>
            <w:tcW w:w="1498" w:type="dxa"/>
            <w:vAlign w:val="bottom"/>
          </w:tcPr>
          <w:p w14:paraId="1E80BE5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0.5</w:t>
            </w:r>
          </w:p>
        </w:tc>
        <w:tc>
          <w:tcPr>
            <w:tcW w:w="1310" w:type="dxa"/>
            <w:vAlign w:val="bottom"/>
          </w:tcPr>
          <w:p w14:paraId="4C13EF52">
            <w:pPr>
              <w:pStyle w:val="109"/>
              <w:rPr>
                <w:color w:val="000000" w:themeColor="text1"/>
                <w14:textFill>
                  <w14:solidFill>
                    <w14:schemeClr w14:val="tx1"/>
                  </w14:solidFill>
                </w14:textFill>
              </w:rPr>
            </w:pPr>
            <w:r>
              <w:rPr>
                <w:color w:val="000000" w:themeColor="text1"/>
                <w14:textFill>
                  <w14:solidFill>
                    <w14:schemeClr w14:val="tx1"/>
                  </w14:solidFill>
                </w14:textFill>
              </w:rPr>
              <w:t>测定均值</w:t>
            </w:r>
          </w:p>
        </w:tc>
        <w:tc>
          <w:tcPr>
            <w:tcW w:w="1061" w:type="dxa"/>
            <w:vAlign w:val="bottom"/>
          </w:tcPr>
          <w:p w14:paraId="33D0E81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7064A93F">
            <w:pPr>
              <w:pStyle w:val="109"/>
              <w:rPr>
                <w:color w:val="000000" w:themeColor="text1"/>
                <w14:textFill>
                  <w14:solidFill>
                    <w14:schemeClr w14:val="tx1"/>
                  </w14:solidFill>
                </w14:textFill>
              </w:rPr>
            </w:pPr>
          </w:p>
        </w:tc>
      </w:tr>
      <w:tr w14:paraId="4022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Align w:val="bottom"/>
          </w:tcPr>
          <w:p w14:paraId="6CCE0D7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11</w:t>
            </w:r>
          </w:p>
        </w:tc>
        <w:tc>
          <w:tcPr>
            <w:tcW w:w="758" w:type="dxa"/>
            <w:vMerge w:val="continue"/>
            <w:vAlign w:val="center"/>
          </w:tcPr>
          <w:p w14:paraId="37E8196D">
            <w:pPr>
              <w:pStyle w:val="109"/>
              <w:rPr>
                <w:color w:val="000000" w:themeColor="text1"/>
                <w14:textFill>
                  <w14:solidFill>
                    <w14:schemeClr w14:val="tx1"/>
                  </w14:solidFill>
                </w14:textFill>
              </w:rPr>
            </w:pPr>
          </w:p>
        </w:tc>
        <w:tc>
          <w:tcPr>
            <w:tcW w:w="1474" w:type="dxa"/>
            <w:vAlign w:val="bottom"/>
          </w:tcPr>
          <w:p w14:paraId="5E243A3F">
            <w:pPr>
              <w:pStyle w:val="109"/>
              <w:rPr>
                <w:color w:val="000000" w:themeColor="text1"/>
                <w14:textFill>
                  <w14:solidFill>
                    <w14:schemeClr w14:val="tx1"/>
                  </w14:solidFill>
                </w14:textFill>
              </w:rPr>
            </w:pPr>
            <w:r>
              <w:rPr>
                <w:color w:val="000000" w:themeColor="text1"/>
                <w14:textFill>
                  <w14:solidFill>
                    <w14:schemeClr w14:val="tx1"/>
                  </w14:solidFill>
                </w14:textFill>
              </w:rPr>
              <w:t>砷及其化合物</w:t>
            </w:r>
          </w:p>
        </w:tc>
        <w:tc>
          <w:tcPr>
            <w:tcW w:w="610" w:type="dxa"/>
            <w:vMerge w:val="continue"/>
            <w:vAlign w:val="center"/>
          </w:tcPr>
          <w:p w14:paraId="2EDB5FF3">
            <w:pPr>
              <w:pStyle w:val="109"/>
              <w:rPr>
                <w:color w:val="000000" w:themeColor="text1"/>
                <w14:textFill>
                  <w14:solidFill>
                    <w14:schemeClr w14:val="tx1"/>
                  </w14:solidFill>
                </w14:textFill>
              </w:rPr>
            </w:pPr>
          </w:p>
        </w:tc>
        <w:tc>
          <w:tcPr>
            <w:tcW w:w="1498" w:type="dxa"/>
            <w:vAlign w:val="bottom"/>
          </w:tcPr>
          <w:p w14:paraId="30FCB7AF">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0.5</w:t>
            </w:r>
          </w:p>
        </w:tc>
        <w:tc>
          <w:tcPr>
            <w:tcW w:w="1310" w:type="dxa"/>
            <w:vAlign w:val="bottom"/>
          </w:tcPr>
          <w:p w14:paraId="6A1F7636">
            <w:pPr>
              <w:pStyle w:val="109"/>
              <w:rPr>
                <w:color w:val="000000" w:themeColor="text1"/>
                <w14:textFill>
                  <w14:solidFill>
                    <w14:schemeClr w14:val="tx1"/>
                  </w14:solidFill>
                </w14:textFill>
              </w:rPr>
            </w:pPr>
            <w:r>
              <w:rPr>
                <w:color w:val="000000" w:themeColor="text1"/>
                <w14:textFill>
                  <w14:solidFill>
                    <w14:schemeClr w14:val="tx1"/>
                  </w14:solidFill>
                </w14:textFill>
              </w:rPr>
              <w:t>测定均值</w:t>
            </w:r>
          </w:p>
        </w:tc>
        <w:tc>
          <w:tcPr>
            <w:tcW w:w="1061" w:type="dxa"/>
            <w:vAlign w:val="bottom"/>
          </w:tcPr>
          <w:p w14:paraId="5406D3F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24FE056B">
            <w:pPr>
              <w:pStyle w:val="109"/>
              <w:rPr>
                <w:color w:val="000000" w:themeColor="text1"/>
                <w14:textFill>
                  <w14:solidFill>
                    <w14:schemeClr w14:val="tx1"/>
                  </w14:solidFill>
                </w14:textFill>
              </w:rPr>
            </w:pPr>
          </w:p>
        </w:tc>
      </w:tr>
      <w:tr w14:paraId="5A2D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Align w:val="bottom"/>
          </w:tcPr>
          <w:p w14:paraId="0BB47D0E">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12</w:t>
            </w:r>
          </w:p>
        </w:tc>
        <w:tc>
          <w:tcPr>
            <w:tcW w:w="758" w:type="dxa"/>
            <w:vMerge w:val="continue"/>
            <w:vAlign w:val="center"/>
          </w:tcPr>
          <w:p w14:paraId="262E3A5C">
            <w:pPr>
              <w:pStyle w:val="109"/>
              <w:rPr>
                <w:color w:val="000000" w:themeColor="text1"/>
                <w14:textFill>
                  <w14:solidFill>
                    <w14:schemeClr w14:val="tx1"/>
                  </w14:solidFill>
                </w14:textFill>
              </w:rPr>
            </w:pPr>
          </w:p>
        </w:tc>
        <w:tc>
          <w:tcPr>
            <w:tcW w:w="1474" w:type="dxa"/>
            <w:vAlign w:val="bottom"/>
          </w:tcPr>
          <w:p w14:paraId="56819EB5">
            <w:pPr>
              <w:pStyle w:val="109"/>
              <w:rPr>
                <w:color w:val="000000" w:themeColor="text1"/>
                <w14:textFill>
                  <w14:solidFill>
                    <w14:schemeClr w14:val="tx1"/>
                  </w14:solidFill>
                </w14:textFill>
              </w:rPr>
            </w:pPr>
            <w:r>
              <w:rPr>
                <w:color w:val="000000" w:themeColor="text1"/>
                <w14:textFill>
                  <w14:solidFill>
                    <w14:schemeClr w14:val="tx1"/>
                  </w14:solidFill>
                </w14:textFill>
              </w:rPr>
              <w:t>铬及其化合物</w:t>
            </w:r>
          </w:p>
        </w:tc>
        <w:tc>
          <w:tcPr>
            <w:tcW w:w="610" w:type="dxa"/>
            <w:vMerge w:val="continue"/>
            <w:vAlign w:val="center"/>
          </w:tcPr>
          <w:p w14:paraId="45B263F0">
            <w:pPr>
              <w:pStyle w:val="109"/>
              <w:rPr>
                <w:color w:val="000000" w:themeColor="text1"/>
                <w14:textFill>
                  <w14:solidFill>
                    <w14:schemeClr w14:val="tx1"/>
                  </w14:solidFill>
                </w14:textFill>
              </w:rPr>
            </w:pPr>
          </w:p>
        </w:tc>
        <w:tc>
          <w:tcPr>
            <w:tcW w:w="1498" w:type="dxa"/>
            <w:vAlign w:val="bottom"/>
          </w:tcPr>
          <w:p w14:paraId="67B0D46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0.5</w:t>
            </w:r>
          </w:p>
        </w:tc>
        <w:tc>
          <w:tcPr>
            <w:tcW w:w="1310" w:type="dxa"/>
            <w:vAlign w:val="bottom"/>
          </w:tcPr>
          <w:p w14:paraId="05D0D0E1">
            <w:pPr>
              <w:pStyle w:val="109"/>
              <w:rPr>
                <w:color w:val="000000" w:themeColor="text1"/>
                <w14:textFill>
                  <w14:solidFill>
                    <w14:schemeClr w14:val="tx1"/>
                  </w14:solidFill>
                </w14:textFill>
              </w:rPr>
            </w:pPr>
            <w:r>
              <w:rPr>
                <w:color w:val="000000" w:themeColor="text1"/>
                <w14:textFill>
                  <w14:solidFill>
                    <w14:schemeClr w14:val="tx1"/>
                  </w14:solidFill>
                </w14:textFill>
              </w:rPr>
              <w:t>测定均值</w:t>
            </w:r>
          </w:p>
        </w:tc>
        <w:tc>
          <w:tcPr>
            <w:tcW w:w="1061" w:type="dxa"/>
            <w:vAlign w:val="bottom"/>
          </w:tcPr>
          <w:p w14:paraId="36EA055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4ADB4D31">
            <w:pPr>
              <w:pStyle w:val="109"/>
              <w:rPr>
                <w:color w:val="000000" w:themeColor="text1"/>
                <w14:textFill>
                  <w14:solidFill>
                    <w14:schemeClr w14:val="tx1"/>
                  </w14:solidFill>
                </w14:textFill>
              </w:rPr>
            </w:pPr>
          </w:p>
        </w:tc>
      </w:tr>
      <w:tr w14:paraId="3C53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Align w:val="center"/>
          </w:tcPr>
          <w:p w14:paraId="1495670D">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13</w:t>
            </w:r>
          </w:p>
        </w:tc>
        <w:tc>
          <w:tcPr>
            <w:tcW w:w="758" w:type="dxa"/>
            <w:vMerge w:val="continue"/>
            <w:vAlign w:val="center"/>
          </w:tcPr>
          <w:p w14:paraId="429F1A6A">
            <w:pPr>
              <w:pStyle w:val="109"/>
              <w:rPr>
                <w:color w:val="000000" w:themeColor="text1"/>
                <w14:textFill>
                  <w14:solidFill>
                    <w14:schemeClr w14:val="tx1"/>
                  </w14:solidFill>
                </w14:textFill>
              </w:rPr>
            </w:pPr>
          </w:p>
        </w:tc>
        <w:tc>
          <w:tcPr>
            <w:tcW w:w="1474" w:type="dxa"/>
          </w:tcPr>
          <w:p w14:paraId="6CC5334A">
            <w:pPr>
              <w:pStyle w:val="109"/>
              <w:rPr>
                <w:color w:val="000000" w:themeColor="text1"/>
                <w14:textFill>
                  <w14:solidFill>
                    <w14:schemeClr w14:val="tx1"/>
                  </w14:solidFill>
                </w14:textFill>
              </w:rPr>
            </w:pPr>
            <w:r>
              <w:rPr>
                <w:color w:val="000000" w:themeColor="text1"/>
                <w14:textFill>
                  <w14:solidFill>
                    <w14:schemeClr w14:val="tx1"/>
                  </w14:solidFill>
                </w14:textFill>
              </w:rPr>
              <w:t>锡、锑、铜、锰、 镍、钴及其化合 物</w:t>
            </w:r>
          </w:p>
        </w:tc>
        <w:tc>
          <w:tcPr>
            <w:tcW w:w="610" w:type="dxa"/>
            <w:vMerge w:val="continue"/>
            <w:vAlign w:val="center"/>
          </w:tcPr>
          <w:p w14:paraId="644D9577">
            <w:pPr>
              <w:pStyle w:val="109"/>
              <w:rPr>
                <w:color w:val="000000" w:themeColor="text1"/>
                <w14:textFill>
                  <w14:solidFill>
                    <w14:schemeClr w14:val="tx1"/>
                  </w14:solidFill>
                </w14:textFill>
              </w:rPr>
            </w:pPr>
          </w:p>
        </w:tc>
        <w:tc>
          <w:tcPr>
            <w:tcW w:w="1498" w:type="dxa"/>
            <w:vAlign w:val="center"/>
          </w:tcPr>
          <w:p w14:paraId="0F6BF28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w:t>
            </w:r>
          </w:p>
        </w:tc>
        <w:tc>
          <w:tcPr>
            <w:tcW w:w="1310" w:type="dxa"/>
            <w:vAlign w:val="center"/>
          </w:tcPr>
          <w:p w14:paraId="3B4458B9">
            <w:pPr>
              <w:pStyle w:val="109"/>
              <w:rPr>
                <w:color w:val="000000" w:themeColor="text1"/>
                <w14:textFill>
                  <w14:solidFill>
                    <w14:schemeClr w14:val="tx1"/>
                  </w14:solidFill>
                </w14:textFill>
              </w:rPr>
            </w:pPr>
            <w:r>
              <w:rPr>
                <w:color w:val="000000" w:themeColor="text1"/>
                <w14:textFill>
                  <w14:solidFill>
                    <w14:schemeClr w14:val="tx1"/>
                  </w14:solidFill>
                </w14:textFill>
              </w:rPr>
              <w:t>测定均值</w:t>
            </w:r>
          </w:p>
        </w:tc>
        <w:tc>
          <w:tcPr>
            <w:tcW w:w="1061" w:type="dxa"/>
            <w:vAlign w:val="center"/>
          </w:tcPr>
          <w:p w14:paraId="480C7AB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21CC793A">
            <w:pPr>
              <w:pStyle w:val="109"/>
              <w:rPr>
                <w:color w:val="000000" w:themeColor="text1"/>
                <w14:textFill>
                  <w14:solidFill>
                    <w14:schemeClr w14:val="tx1"/>
                  </w14:solidFill>
                </w14:textFill>
              </w:rPr>
            </w:pPr>
          </w:p>
        </w:tc>
      </w:tr>
      <w:tr w14:paraId="7096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Align w:val="bottom"/>
          </w:tcPr>
          <w:p w14:paraId="66F506A1">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14</w:t>
            </w:r>
          </w:p>
        </w:tc>
        <w:tc>
          <w:tcPr>
            <w:tcW w:w="758" w:type="dxa"/>
            <w:vMerge w:val="continue"/>
            <w:vAlign w:val="center"/>
          </w:tcPr>
          <w:p w14:paraId="610C410D">
            <w:pPr>
              <w:pStyle w:val="109"/>
              <w:rPr>
                <w:color w:val="000000" w:themeColor="text1"/>
                <w14:textFill>
                  <w14:solidFill>
                    <w14:schemeClr w14:val="tx1"/>
                  </w14:solidFill>
                </w14:textFill>
              </w:rPr>
            </w:pPr>
          </w:p>
        </w:tc>
        <w:tc>
          <w:tcPr>
            <w:tcW w:w="1474" w:type="dxa"/>
            <w:vAlign w:val="bottom"/>
          </w:tcPr>
          <w:p w14:paraId="2E288583">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610" w:type="dxa"/>
            <w:vMerge w:val="continue"/>
            <w:vAlign w:val="center"/>
          </w:tcPr>
          <w:p w14:paraId="6396BABE">
            <w:pPr>
              <w:pStyle w:val="109"/>
              <w:rPr>
                <w:color w:val="000000" w:themeColor="text1"/>
                <w14:textFill>
                  <w14:solidFill>
                    <w14:schemeClr w14:val="tx1"/>
                  </w14:solidFill>
                </w14:textFill>
              </w:rPr>
            </w:pPr>
          </w:p>
        </w:tc>
        <w:tc>
          <w:tcPr>
            <w:tcW w:w="1498" w:type="dxa"/>
            <w:vAlign w:val="bottom"/>
          </w:tcPr>
          <w:p w14:paraId="2887082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0.5ngTEQ/Nm³</w:t>
            </w:r>
          </w:p>
        </w:tc>
        <w:tc>
          <w:tcPr>
            <w:tcW w:w="1310" w:type="dxa"/>
            <w:vAlign w:val="bottom"/>
          </w:tcPr>
          <w:p w14:paraId="5F50A70B">
            <w:pPr>
              <w:pStyle w:val="109"/>
              <w:rPr>
                <w:color w:val="000000" w:themeColor="text1"/>
                <w14:textFill>
                  <w14:solidFill>
                    <w14:schemeClr w14:val="tx1"/>
                  </w14:solidFill>
                </w14:textFill>
              </w:rPr>
            </w:pPr>
            <w:r>
              <w:rPr>
                <w:color w:val="000000" w:themeColor="text1"/>
                <w14:textFill>
                  <w14:solidFill>
                    <w14:schemeClr w14:val="tx1"/>
                  </w14:solidFill>
                </w14:textFill>
              </w:rPr>
              <w:t>测定均值</w:t>
            </w:r>
          </w:p>
        </w:tc>
        <w:tc>
          <w:tcPr>
            <w:tcW w:w="1061" w:type="dxa"/>
            <w:vAlign w:val="bottom"/>
          </w:tcPr>
          <w:p w14:paraId="342539E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934" w:type="dxa"/>
            <w:vMerge w:val="continue"/>
            <w:vAlign w:val="center"/>
          </w:tcPr>
          <w:p w14:paraId="132AEB6C">
            <w:pPr>
              <w:pStyle w:val="109"/>
              <w:rPr>
                <w:color w:val="000000" w:themeColor="text1"/>
                <w14:textFill>
                  <w14:solidFill>
                    <w14:schemeClr w14:val="tx1"/>
                  </w14:solidFill>
                </w14:textFill>
              </w:rPr>
            </w:pPr>
          </w:p>
        </w:tc>
      </w:tr>
      <w:tr w14:paraId="76C8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2" w:type="dxa"/>
            <w:vAlign w:val="center"/>
          </w:tcPr>
          <w:p w14:paraId="51AB3A89">
            <w:pPr>
              <w:pStyle w:val="109"/>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15</w:t>
            </w:r>
          </w:p>
        </w:tc>
        <w:tc>
          <w:tcPr>
            <w:tcW w:w="758" w:type="dxa"/>
            <w:vAlign w:val="center"/>
          </w:tcPr>
          <w:p w14:paraId="30F17AA7">
            <w:pPr>
              <w:pStyle w:val="109"/>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废盐暂存废气、配伍废气</w:t>
            </w:r>
          </w:p>
        </w:tc>
        <w:tc>
          <w:tcPr>
            <w:tcW w:w="1474" w:type="dxa"/>
            <w:vAlign w:val="center"/>
          </w:tcPr>
          <w:p w14:paraId="3AFB2D30">
            <w:pPr>
              <w:pStyle w:val="109"/>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610" w:type="dxa"/>
            <w:vAlign w:val="center"/>
          </w:tcPr>
          <w:p w14:paraId="51016014">
            <w:pPr>
              <w:pStyle w:val="109"/>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15</w:t>
            </w:r>
          </w:p>
        </w:tc>
        <w:tc>
          <w:tcPr>
            <w:tcW w:w="1498" w:type="dxa"/>
            <w:vAlign w:val="center"/>
          </w:tcPr>
          <w:p w14:paraId="3CCFD0B5">
            <w:pPr>
              <w:pStyle w:val="109"/>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120</w:t>
            </w:r>
          </w:p>
        </w:tc>
        <w:tc>
          <w:tcPr>
            <w:tcW w:w="1310" w:type="dxa"/>
            <w:vAlign w:val="center"/>
          </w:tcPr>
          <w:p w14:paraId="0B8689BF">
            <w:pPr>
              <w:pStyle w:val="109"/>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测定均值</w:t>
            </w:r>
          </w:p>
        </w:tc>
        <w:tc>
          <w:tcPr>
            <w:tcW w:w="1061" w:type="dxa"/>
            <w:vAlign w:val="center"/>
          </w:tcPr>
          <w:p w14:paraId="435F1DA2">
            <w:pPr>
              <w:pStyle w:val="109"/>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10</w:t>
            </w:r>
          </w:p>
        </w:tc>
        <w:tc>
          <w:tcPr>
            <w:tcW w:w="1934" w:type="dxa"/>
            <w:vAlign w:val="center"/>
          </w:tcPr>
          <w:p w14:paraId="3300A100">
            <w:pPr>
              <w:pStyle w:val="109"/>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《大气污染物综合排</w:t>
            </w:r>
          </w:p>
          <w:p w14:paraId="3A2D4BFA">
            <w:pPr>
              <w:pStyle w:val="109"/>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放标准》</w:t>
            </w:r>
            <w:r>
              <w:rPr>
                <w:rFonts w:eastAsia="Times New Roman"/>
                <w:color w:val="000000" w:themeColor="text1"/>
                <w14:textFill>
                  <w14:solidFill>
                    <w14:schemeClr w14:val="tx1"/>
                  </w14:solidFill>
                </w14:textFill>
              </w:rPr>
              <w:t xml:space="preserve"> (GB16297-1996)</w:t>
            </w:r>
          </w:p>
        </w:tc>
      </w:tr>
    </w:tbl>
    <w:p w14:paraId="6C2DB435">
      <w:pPr>
        <w:pStyle w:val="123"/>
        <w:spacing w:line="269" w:lineRule="exact"/>
        <w:ind w:left="10" w:hanging="10"/>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注：</w:t>
      </w:r>
      <w:r>
        <w:rPr>
          <w:rFonts w:ascii="Cambria Math" w:hAnsi="Cambria Math" w:eastAsia="宋体" w:cs="Cambria Math"/>
          <w:color w:val="000000" w:themeColor="text1"/>
          <w:sz w:val="20"/>
          <w:szCs w:val="20"/>
          <w14:textFill>
            <w14:solidFill>
              <w14:schemeClr w14:val="tx1"/>
            </w14:solidFill>
          </w14:textFill>
        </w:rPr>
        <w:t>①</w:t>
      </w:r>
      <w:r>
        <w:rPr>
          <w:rFonts w:ascii="Times New Roman" w:hAnsi="Times New Roman" w:eastAsia="宋体" w:cs="Times New Roman"/>
          <w:color w:val="000000" w:themeColor="text1"/>
          <w:sz w:val="20"/>
          <w:szCs w:val="20"/>
          <w14:textFill>
            <w14:solidFill>
              <w14:schemeClr w14:val="tx1"/>
            </w14:solidFill>
          </w14:textFill>
        </w:rPr>
        <w:t>《危险废物焚烧污染控制标准》</w:t>
      </w:r>
      <w:r>
        <w:rPr>
          <w:rFonts w:ascii="Times New Roman" w:hAnsi="Times New Roman" w:eastAsia="宋体" w:cs="Times New Roman"/>
          <w:color w:val="000000" w:themeColor="text1"/>
          <w:sz w:val="20"/>
          <w:szCs w:val="20"/>
          <w:lang w:bidi="en-US"/>
          <w14:textFill>
            <w14:solidFill>
              <w14:schemeClr w14:val="tx1"/>
            </w14:solidFill>
          </w14:textFill>
        </w:rPr>
        <w:t>(</w:t>
      </w:r>
      <w:r>
        <w:rPr>
          <w:rFonts w:ascii="Times New Roman" w:hAnsi="Times New Roman" w:eastAsia="Times New Roman" w:cs="Times New Roman"/>
          <w:color w:val="000000" w:themeColor="text1"/>
          <w:sz w:val="20"/>
          <w:szCs w:val="20"/>
          <w:lang w:bidi="en-US"/>
          <w14:textFill>
            <w14:solidFill>
              <w14:schemeClr w14:val="tx1"/>
            </w14:solidFill>
          </w14:textFill>
        </w:rPr>
        <w:t>GB18484-2020</w:t>
      </w:r>
      <w:r>
        <w:rPr>
          <w:rFonts w:ascii="Times New Roman" w:hAnsi="Times New Roman" w:eastAsia="宋体" w:cs="Times New Roman"/>
          <w:color w:val="000000" w:themeColor="text1"/>
          <w:sz w:val="20"/>
          <w:szCs w:val="20"/>
          <w:lang w:bidi="en-US"/>
          <w14:textFill>
            <w14:solidFill>
              <w14:schemeClr w14:val="tx1"/>
            </w14:solidFill>
          </w14:textFill>
        </w:rPr>
        <w:t>)</w:t>
      </w:r>
      <w:r>
        <w:rPr>
          <w:rFonts w:ascii="Times New Roman" w:hAnsi="Times New Roman" w:eastAsia="宋体" w:cs="Times New Roman"/>
          <w:color w:val="000000" w:themeColor="text1"/>
          <w:sz w:val="20"/>
          <w:szCs w:val="20"/>
          <w14:textFill>
            <w14:solidFill>
              <w14:schemeClr w14:val="tx1"/>
            </w14:solidFill>
          </w14:textFill>
        </w:rPr>
        <w:t>中浓度限值对应烟气基准氧含量为</w:t>
      </w:r>
      <w:r>
        <w:rPr>
          <w:rFonts w:ascii="Times New Roman" w:hAnsi="Times New Roman" w:eastAsia="Times New Roman" w:cs="Times New Roman"/>
          <w:color w:val="000000" w:themeColor="text1"/>
          <w:sz w:val="20"/>
          <w:szCs w:val="20"/>
          <w14:textFill>
            <w14:solidFill>
              <w14:schemeClr w14:val="tx1"/>
            </w14:solidFill>
          </w14:textFill>
        </w:rPr>
        <w:t xml:space="preserve">11% </w:t>
      </w:r>
      <w:r>
        <w:rPr>
          <w:rFonts w:ascii="Times New Roman" w:hAnsi="Times New Roman" w:eastAsia="宋体" w:cs="Times New Roman"/>
          <w:color w:val="000000" w:themeColor="text1"/>
          <w:sz w:val="20"/>
          <w:szCs w:val="20"/>
          <w14:textFill>
            <w14:solidFill>
              <w14:schemeClr w14:val="tx1"/>
            </w14:solidFill>
          </w14:textFill>
        </w:rPr>
        <w:t>(干 烟气)。</w:t>
      </w:r>
    </w:p>
    <w:p w14:paraId="306736BD">
      <w:pPr>
        <w:spacing w:after="159" w:line="1" w:lineRule="exact"/>
        <w:ind w:firstLine="480"/>
        <w:rPr>
          <w:color w:val="000000" w:themeColor="text1"/>
          <w14:textFill>
            <w14:solidFill>
              <w14:schemeClr w14:val="tx1"/>
            </w14:solidFill>
          </w14:textFill>
        </w:rPr>
      </w:pPr>
    </w:p>
    <w:p w14:paraId="02ABB047">
      <w:pPr>
        <w:spacing w:line="1" w:lineRule="exact"/>
        <w:ind w:firstLine="480"/>
        <w:rPr>
          <w:color w:val="000000" w:themeColor="text1"/>
          <w14:textFill>
            <w14:solidFill>
              <w14:schemeClr w14:val="tx1"/>
            </w14:solidFill>
          </w14:textFill>
        </w:rPr>
      </w:pPr>
    </w:p>
    <w:p w14:paraId="0F964F70">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热解装置排气筒高度</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541"/>
        <w:gridCol w:w="4546"/>
      </w:tblGrid>
      <w:tr w14:paraId="709A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41" w:type="dxa"/>
            <w:vAlign w:val="bottom"/>
          </w:tcPr>
          <w:p w14:paraId="147245A6">
            <w:pPr>
              <w:pStyle w:val="109"/>
              <w:rPr>
                <w:color w:val="000000" w:themeColor="text1"/>
                <w14:textFill>
                  <w14:solidFill>
                    <w14:schemeClr w14:val="tx1"/>
                  </w14:solidFill>
                </w14:textFill>
              </w:rPr>
            </w:pPr>
            <w:r>
              <w:rPr>
                <w:color w:val="000000" w:themeColor="text1"/>
                <w14:textFill>
                  <w14:solidFill>
                    <w14:schemeClr w14:val="tx1"/>
                  </w14:solidFill>
                </w14:textFill>
              </w:rPr>
              <w:t>焚烧处理能力</w:t>
            </w: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kg/h</w:t>
            </w:r>
            <w:r>
              <w:rPr>
                <w:color w:val="000000" w:themeColor="text1"/>
                <w:lang w:eastAsia="en-US" w:bidi="en-US"/>
                <w14:textFill>
                  <w14:solidFill>
                    <w14:schemeClr w14:val="tx1"/>
                  </w14:solidFill>
                </w14:textFill>
              </w:rPr>
              <w:t>)</w:t>
            </w:r>
          </w:p>
        </w:tc>
        <w:tc>
          <w:tcPr>
            <w:tcW w:w="4546" w:type="dxa"/>
            <w:vAlign w:val="bottom"/>
          </w:tcPr>
          <w:p w14:paraId="7EE6A022">
            <w:pPr>
              <w:pStyle w:val="109"/>
              <w:rPr>
                <w:color w:val="000000" w:themeColor="text1"/>
                <w14:textFill>
                  <w14:solidFill>
                    <w14:schemeClr w14:val="tx1"/>
                  </w14:solidFill>
                </w14:textFill>
              </w:rPr>
            </w:pPr>
            <w:r>
              <w:rPr>
                <w:color w:val="000000" w:themeColor="text1"/>
                <w14:textFill>
                  <w14:solidFill>
                    <w14:schemeClr w14:val="tx1"/>
                  </w14:solidFill>
                </w14:textFill>
              </w:rPr>
              <w:t>排气筒最低允许高度</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m</w:t>
            </w:r>
            <w:r>
              <w:rPr>
                <w:color w:val="000000" w:themeColor="text1"/>
                <w:lang w:bidi="en-US"/>
                <w14:textFill>
                  <w14:solidFill>
                    <w14:schemeClr w14:val="tx1"/>
                  </w14:solidFill>
                </w14:textFill>
              </w:rPr>
              <w:t>)</w:t>
            </w:r>
          </w:p>
        </w:tc>
      </w:tr>
      <w:tr w14:paraId="28FC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41" w:type="dxa"/>
            <w:vAlign w:val="bottom"/>
          </w:tcPr>
          <w:p w14:paraId="64BDF0A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&lt;300</w:t>
            </w:r>
          </w:p>
        </w:tc>
        <w:tc>
          <w:tcPr>
            <w:tcW w:w="4546" w:type="dxa"/>
            <w:vAlign w:val="bottom"/>
          </w:tcPr>
          <w:p w14:paraId="65C7470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25</w:t>
            </w:r>
          </w:p>
        </w:tc>
      </w:tr>
      <w:tr w14:paraId="348A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41" w:type="dxa"/>
            <w:vAlign w:val="bottom"/>
          </w:tcPr>
          <w:p w14:paraId="675797D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300~2000</w:t>
            </w:r>
          </w:p>
        </w:tc>
        <w:tc>
          <w:tcPr>
            <w:tcW w:w="4546" w:type="dxa"/>
            <w:vAlign w:val="bottom"/>
          </w:tcPr>
          <w:p w14:paraId="2669666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35</w:t>
            </w:r>
          </w:p>
        </w:tc>
      </w:tr>
      <w:tr w14:paraId="7306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41" w:type="dxa"/>
            <w:vAlign w:val="bottom"/>
          </w:tcPr>
          <w:p w14:paraId="3B8FC1A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2000~2500</w:t>
            </w:r>
          </w:p>
        </w:tc>
        <w:tc>
          <w:tcPr>
            <w:tcW w:w="4546" w:type="dxa"/>
            <w:vAlign w:val="bottom"/>
          </w:tcPr>
          <w:p w14:paraId="1504C50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45</w:t>
            </w:r>
          </w:p>
        </w:tc>
      </w:tr>
      <w:tr w14:paraId="66EF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41" w:type="dxa"/>
          </w:tcPr>
          <w:p w14:paraId="6882B062">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&gt;2500</w:t>
            </w:r>
          </w:p>
        </w:tc>
        <w:tc>
          <w:tcPr>
            <w:tcW w:w="4546" w:type="dxa"/>
          </w:tcPr>
          <w:p w14:paraId="78B5865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50</w:t>
            </w:r>
          </w:p>
        </w:tc>
      </w:tr>
    </w:tbl>
    <w:p w14:paraId="7E9778F0">
      <w:pPr>
        <w:spacing w:after="119" w:line="1" w:lineRule="exact"/>
        <w:ind w:firstLine="480"/>
        <w:rPr>
          <w:color w:val="000000" w:themeColor="text1"/>
          <w14:textFill>
            <w14:solidFill>
              <w14:schemeClr w14:val="tx1"/>
            </w14:solidFill>
          </w14:textFill>
        </w:rPr>
      </w:pPr>
    </w:p>
    <w:p w14:paraId="1407856D">
      <w:pPr>
        <w:spacing w:line="1" w:lineRule="exact"/>
        <w:ind w:firstLine="480"/>
        <w:rPr>
          <w:color w:val="000000" w:themeColor="text1"/>
          <w14:textFill>
            <w14:solidFill>
              <w14:schemeClr w14:val="tx1"/>
            </w14:solidFill>
          </w14:textFill>
        </w:rPr>
      </w:pPr>
    </w:p>
    <w:p w14:paraId="7F967259">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厂界无组织控制标准</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6"/>
        <w:gridCol w:w="1426"/>
        <w:gridCol w:w="2986"/>
        <w:gridCol w:w="3955"/>
      </w:tblGrid>
      <w:tr w14:paraId="19A2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86" w:type="dxa"/>
            <w:vAlign w:val="center"/>
          </w:tcPr>
          <w:p w14:paraId="49ADB2AC">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26" w:type="dxa"/>
            <w:vAlign w:val="center"/>
          </w:tcPr>
          <w:p w14:paraId="27AC5185">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986" w:type="dxa"/>
            <w:vAlign w:val="center"/>
          </w:tcPr>
          <w:p w14:paraId="18C0176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无组织排放监控浓度限值 </w:t>
            </w:r>
            <w:r>
              <w:rPr>
                <w:rFonts w:eastAsia="Times New Roman"/>
                <w:color w:val="000000" w:themeColor="text1"/>
                <w:lang w:bidi="en-US"/>
                <w14:textFill>
                  <w14:solidFill>
                    <w14:schemeClr w14:val="tx1"/>
                  </w14:solidFill>
                </w14:textFill>
              </w:rPr>
              <w:t>mg/m³</w:t>
            </w:r>
          </w:p>
        </w:tc>
        <w:tc>
          <w:tcPr>
            <w:tcW w:w="3955" w:type="dxa"/>
            <w:vAlign w:val="center"/>
          </w:tcPr>
          <w:p w14:paraId="1C4EE48C">
            <w:pPr>
              <w:pStyle w:val="109"/>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369D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86" w:type="dxa"/>
            <w:vAlign w:val="center"/>
          </w:tcPr>
          <w:p w14:paraId="0E1524E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w:t>
            </w:r>
          </w:p>
        </w:tc>
        <w:tc>
          <w:tcPr>
            <w:tcW w:w="1426" w:type="dxa"/>
            <w:vAlign w:val="center"/>
          </w:tcPr>
          <w:p w14:paraId="5C34CEDD">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2986" w:type="dxa"/>
            <w:vAlign w:val="center"/>
          </w:tcPr>
          <w:p w14:paraId="70F0C92D">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4.0</w:t>
            </w:r>
          </w:p>
        </w:tc>
        <w:tc>
          <w:tcPr>
            <w:tcW w:w="3955" w:type="dxa"/>
            <w:vAlign w:val="center"/>
          </w:tcPr>
          <w:p w14:paraId="6062BBD5">
            <w:pPr>
              <w:pStyle w:val="109"/>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w:t>
            </w:r>
          </w:p>
          <w:p w14:paraId="46CCB737">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GB16297-1996</w:t>
            </w:r>
            <w:r>
              <w:rPr>
                <w:color w:val="000000" w:themeColor="text1"/>
                <w:lang w:eastAsia="en-US" w:bidi="en-US"/>
                <w14:textFill>
                  <w14:solidFill>
                    <w14:schemeClr w14:val="tx1"/>
                  </w14:solidFill>
                </w14:textFill>
              </w:rPr>
              <w:t>)</w:t>
            </w:r>
          </w:p>
        </w:tc>
      </w:tr>
      <w:tr w14:paraId="7C25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86" w:type="dxa"/>
            <w:vAlign w:val="center"/>
          </w:tcPr>
          <w:p w14:paraId="7B6CDD65">
            <w:pPr>
              <w:pStyle w:val="109"/>
              <w:rPr>
                <w:rFonts w:eastAsiaTheme="minorEastAsia"/>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2</w:t>
            </w:r>
          </w:p>
        </w:tc>
        <w:tc>
          <w:tcPr>
            <w:tcW w:w="1426" w:type="dxa"/>
            <w:vAlign w:val="center"/>
          </w:tcPr>
          <w:p w14:paraId="1A766634">
            <w:pPr>
              <w:pStyle w:val="109"/>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2986" w:type="dxa"/>
            <w:vAlign w:val="center"/>
          </w:tcPr>
          <w:p w14:paraId="4B3B8BC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1.5</w:t>
            </w:r>
          </w:p>
        </w:tc>
        <w:tc>
          <w:tcPr>
            <w:tcW w:w="3955" w:type="dxa"/>
            <w:vMerge w:val="restart"/>
            <w:vAlign w:val="center"/>
          </w:tcPr>
          <w:p w14:paraId="466DC4DB">
            <w:pPr>
              <w:pStyle w:val="109"/>
              <w:rPr>
                <w:color w:val="000000" w:themeColor="text1"/>
                <w14:textFill>
                  <w14:solidFill>
                    <w14:schemeClr w14:val="tx1"/>
                  </w14:solidFill>
                </w14:textFill>
              </w:rPr>
            </w:pPr>
            <w:r>
              <w:rPr>
                <w:color w:val="000000" w:themeColor="text1"/>
                <w14:textFill>
                  <w14:solidFill>
                    <w14:schemeClr w14:val="tx1"/>
                  </w14:solidFill>
                </w14:textFill>
              </w:rPr>
              <w:t>《恶臭污染物排放标准》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GB14554-93</w:t>
            </w:r>
            <w:r>
              <w:rPr>
                <w:color w:val="000000" w:themeColor="text1"/>
                <w:lang w:bidi="en-US"/>
                <w14:textFill>
                  <w14:solidFill>
                    <w14:schemeClr w14:val="tx1"/>
                  </w14:solidFill>
                </w14:textFill>
              </w:rPr>
              <w:t>)</w:t>
            </w:r>
          </w:p>
        </w:tc>
      </w:tr>
      <w:tr w14:paraId="5824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86" w:type="dxa"/>
            <w:vAlign w:val="center"/>
          </w:tcPr>
          <w:p w14:paraId="68B42D28">
            <w:pPr>
              <w:pStyle w:val="109"/>
              <w:rPr>
                <w:rFonts w:eastAsiaTheme="minorEastAsia"/>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3</w:t>
            </w:r>
          </w:p>
        </w:tc>
        <w:tc>
          <w:tcPr>
            <w:tcW w:w="1426" w:type="dxa"/>
            <w:vAlign w:val="center"/>
          </w:tcPr>
          <w:p w14:paraId="63354AC5">
            <w:pPr>
              <w:pStyle w:val="109"/>
              <w:rPr>
                <w:color w:val="000000" w:themeColor="text1"/>
                <w14:textFill>
                  <w14:solidFill>
                    <w14:schemeClr w14:val="tx1"/>
                  </w14:solidFill>
                </w14:textFill>
              </w:rPr>
            </w:pPr>
            <w:r>
              <w:rPr>
                <w:color w:val="000000" w:themeColor="text1"/>
                <w14:textFill>
                  <w14:solidFill>
                    <w14:schemeClr w14:val="tx1"/>
                  </w14:solidFill>
                </w14:textFill>
              </w:rPr>
              <w:t>臭气浓度</w:t>
            </w:r>
          </w:p>
        </w:tc>
        <w:tc>
          <w:tcPr>
            <w:tcW w:w="2986" w:type="dxa"/>
            <w:vAlign w:val="center"/>
          </w:tcPr>
          <w:p w14:paraId="0E824F5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w:t>
            </w:r>
          </w:p>
        </w:tc>
        <w:tc>
          <w:tcPr>
            <w:tcW w:w="3955" w:type="dxa"/>
            <w:vMerge w:val="continue"/>
            <w:vAlign w:val="center"/>
          </w:tcPr>
          <w:p w14:paraId="382AAC66">
            <w:pPr>
              <w:pStyle w:val="109"/>
              <w:rPr>
                <w:color w:val="000000" w:themeColor="text1"/>
                <w14:textFill>
                  <w14:solidFill>
                    <w14:schemeClr w14:val="tx1"/>
                  </w14:solidFill>
                </w14:textFill>
              </w:rPr>
            </w:pPr>
          </w:p>
        </w:tc>
      </w:tr>
    </w:tbl>
    <w:p w14:paraId="0FFC0859">
      <w:pPr>
        <w:spacing w:after="119" w:line="1" w:lineRule="exact"/>
        <w:ind w:firstLine="480"/>
        <w:rPr>
          <w:color w:val="000000" w:themeColor="text1"/>
          <w14:textFill>
            <w14:solidFill>
              <w14:schemeClr w14:val="tx1"/>
            </w14:solidFill>
          </w14:textFill>
        </w:rPr>
      </w:pPr>
    </w:p>
    <w:p w14:paraId="52D9073D">
      <w:pPr>
        <w:spacing w:line="1" w:lineRule="exact"/>
        <w:ind w:firstLine="480"/>
        <w:rPr>
          <w:color w:val="000000" w:themeColor="text1"/>
          <w14:textFill>
            <w14:solidFill>
              <w14:schemeClr w14:val="tx1"/>
            </w14:solidFill>
          </w14:textFill>
        </w:rPr>
      </w:pPr>
    </w:p>
    <w:p w14:paraId="6AF77EE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厂区内挥发性有机物无组织控制标准</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68"/>
        <w:gridCol w:w="1104"/>
        <w:gridCol w:w="1277"/>
        <w:gridCol w:w="2693"/>
        <w:gridCol w:w="3245"/>
      </w:tblGrid>
      <w:tr w14:paraId="0901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768" w:type="dxa"/>
            <w:vAlign w:val="center"/>
          </w:tcPr>
          <w:p w14:paraId="33CB8822">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04" w:type="dxa"/>
            <w:vAlign w:val="center"/>
          </w:tcPr>
          <w:p w14:paraId="223246B6">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277" w:type="dxa"/>
            <w:vAlign w:val="bottom"/>
          </w:tcPr>
          <w:p w14:paraId="7DCF7D1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限值浓度 </w:t>
            </w: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mg/m³</w:t>
            </w:r>
            <w:r>
              <w:rPr>
                <w:color w:val="000000" w:themeColor="text1"/>
                <w:lang w:eastAsia="en-US" w:bidi="en-US"/>
                <w14:textFill>
                  <w14:solidFill>
                    <w14:schemeClr w14:val="tx1"/>
                  </w14:solidFill>
                </w14:textFill>
              </w:rPr>
              <w:t>)</w:t>
            </w:r>
          </w:p>
        </w:tc>
        <w:tc>
          <w:tcPr>
            <w:tcW w:w="2693" w:type="dxa"/>
            <w:vAlign w:val="center"/>
          </w:tcPr>
          <w:p w14:paraId="1BFEFEC7">
            <w:pPr>
              <w:pStyle w:val="109"/>
              <w:rPr>
                <w:color w:val="000000" w:themeColor="text1"/>
                <w14:textFill>
                  <w14:solidFill>
                    <w14:schemeClr w14:val="tx1"/>
                  </w14:solidFill>
                </w14:textFill>
              </w:rPr>
            </w:pPr>
            <w:r>
              <w:rPr>
                <w:color w:val="000000" w:themeColor="text1"/>
                <w14:textFill>
                  <w14:solidFill>
                    <w14:schemeClr w14:val="tx1"/>
                  </w14:solidFill>
                </w14:textFill>
              </w:rPr>
              <w:t>限值含义</w:t>
            </w:r>
          </w:p>
        </w:tc>
        <w:tc>
          <w:tcPr>
            <w:tcW w:w="3245" w:type="dxa"/>
            <w:vAlign w:val="center"/>
          </w:tcPr>
          <w:p w14:paraId="2080D1EA">
            <w:pPr>
              <w:pStyle w:val="109"/>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0B37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768" w:type="dxa"/>
            <w:vMerge w:val="restart"/>
            <w:vAlign w:val="center"/>
          </w:tcPr>
          <w:p w14:paraId="24EDE696">
            <w:pPr>
              <w:pStyle w:val="109"/>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w:t>
            </w:r>
          </w:p>
        </w:tc>
        <w:tc>
          <w:tcPr>
            <w:tcW w:w="1104" w:type="dxa"/>
            <w:vMerge w:val="restart"/>
            <w:vAlign w:val="center"/>
          </w:tcPr>
          <w:p w14:paraId="55B3CF1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NMHC</w:t>
            </w:r>
          </w:p>
        </w:tc>
        <w:tc>
          <w:tcPr>
            <w:tcW w:w="1277" w:type="dxa"/>
          </w:tcPr>
          <w:p w14:paraId="6E1BE9C9">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6</w:t>
            </w:r>
          </w:p>
        </w:tc>
        <w:tc>
          <w:tcPr>
            <w:tcW w:w="2693" w:type="dxa"/>
          </w:tcPr>
          <w:p w14:paraId="3FE4B4B6">
            <w:pPr>
              <w:pStyle w:val="109"/>
              <w:rPr>
                <w:color w:val="000000" w:themeColor="text1"/>
                <w14:textFill>
                  <w14:solidFill>
                    <w14:schemeClr w14:val="tx1"/>
                  </w14:solidFill>
                </w14:textFill>
              </w:rPr>
            </w:pPr>
            <w:r>
              <w:rPr>
                <w:color w:val="000000" w:themeColor="text1"/>
                <w14:textFill>
                  <w14:solidFill>
                    <w14:schemeClr w14:val="tx1"/>
                  </w14:solidFill>
                </w14:textFill>
              </w:rPr>
              <w:t>监控点处</w:t>
            </w:r>
            <w:r>
              <w:rPr>
                <w:rFonts w:eastAsia="Times New Roman"/>
                <w:color w:val="000000" w:themeColor="text1"/>
                <w:lang w:bidi="en-US"/>
                <w14:textFill>
                  <w14:solidFill>
                    <w14:schemeClr w14:val="tx1"/>
                  </w14:solidFill>
                </w14:textFill>
              </w:rPr>
              <w:t>1h</w:t>
            </w:r>
            <w:r>
              <w:rPr>
                <w:color w:val="000000" w:themeColor="text1"/>
                <w14:textFill>
                  <w14:solidFill>
                    <w14:schemeClr w14:val="tx1"/>
                  </w14:solidFill>
                </w14:textFill>
              </w:rPr>
              <w:t>平均浓度值</w:t>
            </w:r>
          </w:p>
        </w:tc>
        <w:tc>
          <w:tcPr>
            <w:tcW w:w="3245" w:type="dxa"/>
            <w:vMerge w:val="restart"/>
          </w:tcPr>
          <w:p w14:paraId="43F58B26">
            <w:pPr>
              <w:pStyle w:val="109"/>
              <w:rPr>
                <w:color w:val="000000" w:themeColor="text1"/>
                <w14:textFill>
                  <w14:solidFill>
                    <w14:schemeClr w14:val="tx1"/>
                  </w14:solidFill>
                </w14:textFill>
              </w:rPr>
            </w:pPr>
            <w:r>
              <w:rPr>
                <w:color w:val="000000" w:themeColor="text1"/>
                <w14:textFill>
                  <w14:solidFill>
                    <w14:schemeClr w14:val="tx1"/>
                  </w14:solidFill>
                </w14:textFill>
              </w:rPr>
              <w:t>《挥发性有机物无组织排放控制标</w:t>
            </w:r>
          </w:p>
          <w:p w14:paraId="3DE81343">
            <w:pPr>
              <w:pStyle w:val="109"/>
              <w:rPr>
                <w:color w:val="000000" w:themeColor="text1"/>
                <w14:textFill>
                  <w14:solidFill>
                    <w14:schemeClr w14:val="tx1"/>
                  </w14:solidFill>
                </w14:textFill>
              </w:rPr>
            </w:pPr>
            <w:r>
              <w:rPr>
                <w:color w:val="000000" w:themeColor="text1"/>
                <w14:textFill>
                  <w14:solidFill>
                    <w14:schemeClr w14:val="tx1"/>
                  </w14:solidFill>
                </w14:textFill>
              </w:rPr>
              <w:t>准》</w:t>
            </w: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GB37822-2019</w:t>
            </w:r>
            <w:r>
              <w:rPr>
                <w:color w:val="000000" w:themeColor="text1"/>
                <w:lang w:eastAsia="en-US" w:bidi="en-US"/>
                <w14:textFill>
                  <w14:solidFill>
                    <w14:schemeClr w14:val="tx1"/>
                  </w14:solidFill>
                </w14:textFill>
              </w:rPr>
              <w:t>)</w:t>
            </w:r>
          </w:p>
        </w:tc>
      </w:tr>
      <w:tr w14:paraId="0418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768" w:type="dxa"/>
            <w:vMerge w:val="continue"/>
            <w:vAlign w:val="center"/>
          </w:tcPr>
          <w:p w14:paraId="749D4AD9">
            <w:pPr>
              <w:pStyle w:val="109"/>
              <w:rPr>
                <w:color w:val="000000" w:themeColor="text1"/>
                <w14:textFill>
                  <w14:solidFill>
                    <w14:schemeClr w14:val="tx1"/>
                  </w14:solidFill>
                </w14:textFill>
              </w:rPr>
            </w:pPr>
          </w:p>
        </w:tc>
        <w:tc>
          <w:tcPr>
            <w:tcW w:w="1104" w:type="dxa"/>
            <w:vMerge w:val="continue"/>
            <w:vAlign w:val="center"/>
          </w:tcPr>
          <w:p w14:paraId="514D6024">
            <w:pPr>
              <w:pStyle w:val="109"/>
              <w:rPr>
                <w:color w:val="000000" w:themeColor="text1"/>
                <w14:textFill>
                  <w14:solidFill>
                    <w14:schemeClr w14:val="tx1"/>
                  </w14:solidFill>
                </w14:textFill>
              </w:rPr>
            </w:pPr>
          </w:p>
        </w:tc>
        <w:tc>
          <w:tcPr>
            <w:tcW w:w="1277" w:type="dxa"/>
          </w:tcPr>
          <w:p w14:paraId="206E21E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20</w:t>
            </w:r>
          </w:p>
        </w:tc>
        <w:tc>
          <w:tcPr>
            <w:tcW w:w="2693" w:type="dxa"/>
          </w:tcPr>
          <w:p w14:paraId="3C17E9DF">
            <w:pPr>
              <w:pStyle w:val="109"/>
              <w:rPr>
                <w:color w:val="000000" w:themeColor="text1"/>
                <w14:textFill>
                  <w14:solidFill>
                    <w14:schemeClr w14:val="tx1"/>
                  </w14:solidFill>
                </w14:textFill>
              </w:rPr>
            </w:pPr>
            <w:r>
              <w:rPr>
                <w:color w:val="000000" w:themeColor="text1"/>
                <w14:textFill>
                  <w14:solidFill>
                    <w14:schemeClr w14:val="tx1"/>
                  </w14:solidFill>
                </w14:textFill>
              </w:rPr>
              <w:t>监控点任意一次浓度值</w:t>
            </w:r>
          </w:p>
        </w:tc>
        <w:tc>
          <w:tcPr>
            <w:tcW w:w="3245" w:type="dxa"/>
            <w:vMerge w:val="continue"/>
          </w:tcPr>
          <w:p w14:paraId="7C73DE02">
            <w:pPr>
              <w:pStyle w:val="109"/>
              <w:rPr>
                <w:color w:val="000000" w:themeColor="text1"/>
                <w14:textFill>
                  <w14:solidFill>
                    <w14:schemeClr w14:val="tx1"/>
                  </w14:solidFill>
                </w14:textFill>
              </w:rPr>
            </w:pPr>
          </w:p>
        </w:tc>
      </w:tr>
    </w:tbl>
    <w:p w14:paraId="32E251FE">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eastAsia="Times New Roman"/>
          <w:b/>
          <w:bCs/>
          <w:color w:val="000000" w:themeColor="text1"/>
          <w14:textFill>
            <w14:solidFill>
              <w14:schemeClr w14:val="tx1"/>
            </w14:solidFill>
          </w14:textFill>
        </w:rPr>
        <w:t>2</w:t>
      </w:r>
      <w:r>
        <w:rPr>
          <w:b/>
          <w:bCs/>
          <w:color w:val="000000" w:themeColor="text1"/>
          <w14:textFill>
            <w14:solidFill>
              <w14:schemeClr w14:val="tx1"/>
            </w14:solidFill>
          </w14:textFill>
        </w:rPr>
        <w:t>)废水污染物排放标准</w:t>
      </w:r>
    </w:p>
    <w:p w14:paraId="6CDF88B2">
      <w:pPr>
        <w:ind w:firstLine="480"/>
        <w:rPr>
          <w:color w:val="000000" w:themeColor="text1"/>
          <w:kern w:val="2"/>
          <w:sz w:val="21"/>
          <w14:textFill>
            <w14:solidFill>
              <w14:schemeClr w14:val="tx1"/>
            </w14:solidFill>
          </w14:textFill>
        </w:rPr>
      </w:pPr>
      <w:r>
        <w:rPr>
          <w:snapToGrid w:val="0"/>
          <w:color w:val="000000" w:themeColor="text1"/>
          <w:szCs w:val="21"/>
          <w14:textFill>
            <w14:solidFill>
              <w14:schemeClr w14:val="tx1"/>
            </w14:solidFill>
          </w14:textFill>
        </w:rPr>
        <w:t>本项目废水主要为生产废水和生活污水。排放执行园区污水处理厂进水水质要求（《污水综合排放标准》（GB8978-1996）表4三级标准限值）。具体见下表。</w:t>
      </w:r>
    </w:p>
    <w:p w14:paraId="568C0E9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水综合排放标准单位：mg/m³（pH除外）</w:t>
      </w:r>
    </w:p>
    <w:tbl>
      <w:tblPr>
        <w:tblStyle w:val="12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82"/>
        <w:gridCol w:w="2910"/>
        <w:gridCol w:w="1815"/>
        <w:gridCol w:w="1815"/>
      </w:tblGrid>
      <w:tr w14:paraId="03AB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30" w:type="pct"/>
            <w:vMerge w:val="restart"/>
            <w:vAlign w:val="center"/>
          </w:tcPr>
          <w:p w14:paraId="5617E542">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污染物</w:t>
            </w:r>
          </w:p>
        </w:tc>
        <w:tc>
          <w:tcPr>
            <w:tcW w:w="1544" w:type="pct"/>
            <w:vAlign w:val="center"/>
          </w:tcPr>
          <w:p w14:paraId="565C4F39">
            <w:pPr>
              <w:pStyle w:val="109"/>
              <w:adjustRightInd w:val="0"/>
              <w:snapToGrid w:val="0"/>
              <w:rPr>
                <w:color w:val="000000" w:themeColor="text1"/>
                <w:kern w:val="2"/>
                <w14:textFill>
                  <w14:solidFill>
                    <w14:schemeClr w14:val="tx1"/>
                  </w14:solidFill>
                </w14:textFill>
              </w:rPr>
            </w:pPr>
            <w:r>
              <w:rPr>
                <w:snapToGrid w:val="0"/>
                <w:color w:val="000000" w:themeColor="text1"/>
                <w:kern w:val="2"/>
                <w14:textFill>
                  <w14:solidFill>
                    <w14:schemeClr w14:val="tx1"/>
                  </w14:solidFill>
                </w14:textFill>
              </w:rPr>
              <w:t>园区污水处理厂</w:t>
            </w:r>
            <w:r>
              <w:rPr>
                <w:color w:val="000000" w:themeColor="text1"/>
                <w:kern w:val="2"/>
                <w14:textFill>
                  <w14:solidFill>
                    <w14:schemeClr w14:val="tx1"/>
                  </w14:solidFill>
                </w14:textFill>
              </w:rPr>
              <w:t>进水标准</w:t>
            </w:r>
          </w:p>
        </w:tc>
        <w:tc>
          <w:tcPr>
            <w:tcW w:w="963" w:type="pct"/>
            <w:vAlign w:val="center"/>
          </w:tcPr>
          <w:p w14:paraId="0C9EA0DE">
            <w:pPr>
              <w:pStyle w:val="109"/>
              <w:adjustRightInd w:val="0"/>
              <w:snapToGrid w:val="0"/>
              <w:rPr>
                <w:color w:val="000000" w:themeColor="text1"/>
                <w:kern w:val="2"/>
                <w14:textFill>
                  <w14:solidFill>
                    <w14:schemeClr w14:val="tx1"/>
                  </w14:solidFill>
                </w14:textFill>
              </w:rPr>
            </w:pPr>
            <w:r>
              <w:rPr>
                <w:snapToGrid w:val="0"/>
                <w:color w:val="000000" w:themeColor="text1"/>
                <w:kern w:val="2"/>
                <w:szCs w:val="21"/>
                <w14:textFill>
                  <w14:solidFill>
                    <w14:schemeClr w14:val="tx1"/>
                  </w14:solidFill>
                </w14:textFill>
              </w:rPr>
              <w:t>GB8978-1996</w:t>
            </w:r>
          </w:p>
        </w:tc>
        <w:tc>
          <w:tcPr>
            <w:tcW w:w="963" w:type="pct"/>
            <w:vAlign w:val="center"/>
          </w:tcPr>
          <w:p w14:paraId="2E5811B4">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排放限值</w:t>
            </w:r>
          </w:p>
        </w:tc>
      </w:tr>
      <w:tr w14:paraId="6D85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30" w:type="pct"/>
            <w:vMerge w:val="continue"/>
            <w:vAlign w:val="center"/>
          </w:tcPr>
          <w:p w14:paraId="76612252">
            <w:pPr>
              <w:pStyle w:val="109"/>
              <w:adjustRightInd w:val="0"/>
              <w:snapToGrid w:val="0"/>
              <w:rPr>
                <w:color w:val="000000" w:themeColor="text1"/>
                <w:kern w:val="2"/>
                <w14:textFill>
                  <w14:solidFill>
                    <w14:schemeClr w14:val="tx1"/>
                  </w14:solidFill>
                </w14:textFill>
              </w:rPr>
            </w:pPr>
          </w:p>
        </w:tc>
        <w:tc>
          <w:tcPr>
            <w:tcW w:w="1544" w:type="pct"/>
            <w:vAlign w:val="center"/>
          </w:tcPr>
          <w:p w14:paraId="3A373D5D">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mg/L</w:t>
            </w:r>
          </w:p>
        </w:tc>
        <w:tc>
          <w:tcPr>
            <w:tcW w:w="963" w:type="pct"/>
            <w:vAlign w:val="center"/>
          </w:tcPr>
          <w:p w14:paraId="33BBDB38">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mg/L</w:t>
            </w:r>
          </w:p>
        </w:tc>
        <w:tc>
          <w:tcPr>
            <w:tcW w:w="963" w:type="pct"/>
            <w:vAlign w:val="center"/>
          </w:tcPr>
          <w:p w14:paraId="7439EEA6">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mg/L</w:t>
            </w:r>
          </w:p>
        </w:tc>
      </w:tr>
      <w:tr w14:paraId="365F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30" w:type="pct"/>
            <w:vAlign w:val="center"/>
          </w:tcPr>
          <w:p w14:paraId="3040405F">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pH</w:t>
            </w:r>
          </w:p>
        </w:tc>
        <w:tc>
          <w:tcPr>
            <w:tcW w:w="1544" w:type="pct"/>
            <w:vAlign w:val="center"/>
          </w:tcPr>
          <w:p w14:paraId="073E7688">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6～9</w:t>
            </w:r>
          </w:p>
        </w:tc>
        <w:tc>
          <w:tcPr>
            <w:tcW w:w="963" w:type="pct"/>
            <w:vAlign w:val="center"/>
          </w:tcPr>
          <w:p w14:paraId="4E2D2A3C">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6～9</w:t>
            </w:r>
          </w:p>
        </w:tc>
        <w:tc>
          <w:tcPr>
            <w:tcW w:w="963" w:type="pct"/>
            <w:vAlign w:val="center"/>
          </w:tcPr>
          <w:p w14:paraId="0255F330">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6～9</w:t>
            </w:r>
          </w:p>
        </w:tc>
      </w:tr>
      <w:tr w14:paraId="5216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30" w:type="pct"/>
            <w:vAlign w:val="center"/>
          </w:tcPr>
          <w:p w14:paraId="7958C1E2">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悬浮物</w:t>
            </w:r>
          </w:p>
        </w:tc>
        <w:tc>
          <w:tcPr>
            <w:tcW w:w="1544" w:type="pct"/>
            <w:vAlign w:val="center"/>
          </w:tcPr>
          <w:p w14:paraId="386E5D0E">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400</w:t>
            </w:r>
          </w:p>
        </w:tc>
        <w:tc>
          <w:tcPr>
            <w:tcW w:w="963" w:type="pct"/>
            <w:vAlign w:val="center"/>
          </w:tcPr>
          <w:p w14:paraId="41EBD791">
            <w:pPr>
              <w:pStyle w:val="109"/>
              <w:adjustRightInd w:val="0"/>
              <w:snapToGrid w:val="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400</w:t>
            </w:r>
          </w:p>
        </w:tc>
        <w:tc>
          <w:tcPr>
            <w:tcW w:w="963" w:type="pct"/>
            <w:vAlign w:val="center"/>
          </w:tcPr>
          <w:p w14:paraId="7CF4B028">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400</w:t>
            </w:r>
          </w:p>
        </w:tc>
      </w:tr>
      <w:tr w14:paraId="4174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30" w:type="pct"/>
            <w:vAlign w:val="center"/>
          </w:tcPr>
          <w:p w14:paraId="565E2232">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化学需氧量</w:t>
            </w:r>
          </w:p>
        </w:tc>
        <w:tc>
          <w:tcPr>
            <w:tcW w:w="1544" w:type="pct"/>
            <w:vAlign w:val="center"/>
          </w:tcPr>
          <w:p w14:paraId="25806B25">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500</w:t>
            </w:r>
          </w:p>
        </w:tc>
        <w:tc>
          <w:tcPr>
            <w:tcW w:w="963" w:type="pct"/>
            <w:vAlign w:val="center"/>
          </w:tcPr>
          <w:p w14:paraId="5E78B030">
            <w:pPr>
              <w:pStyle w:val="109"/>
              <w:adjustRightInd w:val="0"/>
              <w:snapToGrid w:val="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500</w:t>
            </w:r>
          </w:p>
        </w:tc>
        <w:tc>
          <w:tcPr>
            <w:tcW w:w="963" w:type="pct"/>
            <w:vAlign w:val="center"/>
          </w:tcPr>
          <w:p w14:paraId="4A9B4362">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500</w:t>
            </w:r>
          </w:p>
        </w:tc>
      </w:tr>
      <w:tr w14:paraId="30E6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30" w:type="pct"/>
            <w:vAlign w:val="center"/>
          </w:tcPr>
          <w:p w14:paraId="39915AB8">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五日生化需氧量</w:t>
            </w:r>
          </w:p>
        </w:tc>
        <w:tc>
          <w:tcPr>
            <w:tcW w:w="1544" w:type="pct"/>
            <w:vAlign w:val="center"/>
          </w:tcPr>
          <w:p w14:paraId="1F05ED0E">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300</w:t>
            </w:r>
          </w:p>
        </w:tc>
        <w:tc>
          <w:tcPr>
            <w:tcW w:w="963" w:type="pct"/>
            <w:vAlign w:val="center"/>
          </w:tcPr>
          <w:p w14:paraId="04BEA16C">
            <w:pPr>
              <w:pStyle w:val="109"/>
              <w:adjustRightInd w:val="0"/>
              <w:snapToGrid w:val="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300</w:t>
            </w:r>
          </w:p>
        </w:tc>
        <w:tc>
          <w:tcPr>
            <w:tcW w:w="963" w:type="pct"/>
            <w:vAlign w:val="center"/>
          </w:tcPr>
          <w:p w14:paraId="4163E8C9">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300</w:t>
            </w:r>
          </w:p>
        </w:tc>
      </w:tr>
      <w:tr w14:paraId="6965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30" w:type="pct"/>
            <w:vAlign w:val="center"/>
          </w:tcPr>
          <w:p w14:paraId="0A02E43D">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氨氮</w:t>
            </w:r>
          </w:p>
        </w:tc>
        <w:tc>
          <w:tcPr>
            <w:tcW w:w="1544" w:type="pct"/>
            <w:vAlign w:val="center"/>
          </w:tcPr>
          <w:p w14:paraId="4B43D620">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c>
          <w:tcPr>
            <w:tcW w:w="963" w:type="pct"/>
            <w:vAlign w:val="top"/>
          </w:tcPr>
          <w:p w14:paraId="530682F0">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c>
          <w:tcPr>
            <w:tcW w:w="963" w:type="pct"/>
            <w:vAlign w:val="center"/>
          </w:tcPr>
          <w:p w14:paraId="047A784C">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r>
      <w:tr w14:paraId="127F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30" w:type="pct"/>
            <w:vAlign w:val="center"/>
          </w:tcPr>
          <w:p w14:paraId="7E9B7DE9">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总氮</w:t>
            </w:r>
          </w:p>
        </w:tc>
        <w:tc>
          <w:tcPr>
            <w:tcW w:w="1544" w:type="pct"/>
            <w:vAlign w:val="center"/>
          </w:tcPr>
          <w:p w14:paraId="0B4E4496">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c>
          <w:tcPr>
            <w:tcW w:w="963" w:type="pct"/>
            <w:vAlign w:val="top"/>
          </w:tcPr>
          <w:p w14:paraId="357E8D62">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c>
          <w:tcPr>
            <w:tcW w:w="963" w:type="pct"/>
            <w:vAlign w:val="center"/>
          </w:tcPr>
          <w:p w14:paraId="54A9D5E7">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r>
      <w:tr w14:paraId="15CE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30" w:type="pct"/>
            <w:vAlign w:val="center"/>
          </w:tcPr>
          <w:p w14:paraId="50CA7832">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总磷</w:t>
            </w:r>
          </w:p>
        </w:tc>
        <w:tc>
          <w:tcPr>
            <w:tcW w:w="1544" w:type="pct"/>
            <w:vAlign w:val="top"/>
          </w:tcPr>
          <w:p w14:paraId="68C91FC2">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c>
          <w:tcPr>
            <w:tcW w:w="963" w:type="pct"/>
            <w:vAlign w:val="top"/>
          </w:tcPr>
          <w:p w14:paraId="288EC165">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c>
          <w:tcPr>
            <w:tcW w:w="963" w:type="pct"/>
            <w:vAlign w:val="top"/>
          </w:tcPr>
          <w:p w14:paraId="06D433AB">
            <w:pPr>
              <w:pStyle w:val="109"/>
              <w:adjustRightInd w:val="0"/>
              <w:snapToGrid w:val="0"/>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r>
    </w:tbl>
    <w:p w14:paraId="785AD20A">
      <w:pPr>
        <w:spacing w:after="159" w:line="1" w:lineRule="exact"/>
        <w:ind w:firstLine="480"/>
        <w:rPr>
          <w:color w:val="000000" w:themeColor="text1"/>
          <w14:textFill>
            <w14:solidFill>
              <w14:schemeClr w14:val="tx1"/>
            </w14:solidFill>
          </w14:textFill>
        </w:rPr>
      </w:pPr>
    </w:p>
    <w:p w14:paraId="782C30E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eastAsia="Times New Roman"/>
          <w:b/>
          <w:bCs/>
          <w:color w:val="000000" w:themeColor="text1"/>
          <w14:textFill>
            <w14:solidFill>
              <w14:schemeClr w14:val="tx1"/>
            </w14:solidFill>
          </w14:textFill>
        </w:rPr>
        <w:t>3</w:t>
      </w:r>
      <w:r>
        <w:rPr>
          <w:b/>
          <w:bCs/>
          <w:color w:val="000000" w:themeColor="text1"/>
          <w14:textFill>
            <w14:solidFill>
              <w14:schemeClr w14:val="tx1"/>
            </w14:solidFill>
          </w14:textFill>
        </w:rPr>
        <w:t>）噪声排放标准</w:t>
      </w:r>
    </w:p>
    <w:p w14:paraId="4D7F0CB3">
      <w:pPr>
        <w:ind w:firstLine="480"/>
        <w:rPr>
          <w:color w:val="000000" w:themeColor="text1"/>
          <w14:textFill>
            <w14:solidFill>
              <w14:schemeClr w14:val="tx1"/>
            </w14:solidFill>
          </w14:textFill>
        </w:rPr>
      </w:pPr>
      <w:r>
        <w:rPr>
          <w:color w:val="000000" w:themeColor="text1"/>
          <w14:textFill>
            <w14:solidFill>
              <w14:schemeClr w14:val="tx1"/>
            </w14:solidFill>
          </w14:textFill>
        </w:rPr>
        <w:t>项目运营期噪声厂界排放执行《工业企业厂界环境噪声排放标准》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GB12348-2008</w:t>
      </w:r>
      <w:r>
        <w:rPr>
          <w:color w:val="000000" w:themeColor="text1"/>
          <w:lang w:bidi="en-US"/>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类排放限值，详见下表。</w:t>
      </w:r>
    </w:p>
    <w:p w14:paraId="1E17126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项目运营期噪声排放执行标准</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806"/>
        <w:gridCol w:w="2626"/>
        <w:gridCol w:w="2654"/>
      </w:tblGrid>
      <w:tr w14:paraId="1A3E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806" w:type="dxa"/>
            <w:vAlign w:val="bottom"/>
          </w:tcPr>
          <w:p w14:paraId="76290DE5">
            <w:pPr>
              <w:pStyle w:val="109"/>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2626" w:type="dxa"/>
            <w:vAlign w:val="bottom"/>
          </w:tcPr>
          <w:p w14:paraId="2006F14C">
            <w:pPr>
              <w:pStyle w:val="109"/>
              <w:rPr>
                <w:color w:val="000000" w:themeColor="text1"/>
                <w14:textFill>
                  <w14:solidFill>
                    <w14:schemeClr w14:val="tx1"/>
                  </w14:solidFill>
                </w14:textFill>
              </w:rPr>
            </w:pPr>
            <w:r>
              <w:rPr>
                <w:color w:val="000000" w:themeColor="text1"/>
                <w14:textFill>
                  <w14:solidFill>
                    <w14:schemeClr w14:val="tx1"/>
                  </w14:solidFill>
                </w14:textFill>
              </w:rPr>
              <w:t>昼间</w:t>
            </w:r>
            <w:r>
              <w:rPr>
                <w:rFonts w:eastAsia="Times New Roman"/>
                <w:color w:val="000000" w:themeColor="text1"/>
                <w:lang w:eastAsia="en-US" w:bidi="en-US"/>
                <w14:textFill>
                  <w14:solidFill>
                    <w14:schemeClr w14:val="tx1"/>
                  </w14:solidFill>
                </w14:textFill>
              </w:rPr>
              <w:t>dB</w:t>
            </w: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A</w:t>
            </w:r>
            <w:r>
              <w:rPr>
                <w:color w:val="000000" w:themeColor="text1"/>
                <w:lang w:eastAsia="en-US" w:bidi="en-US"/>
                <w14:textFill>
                  <w14:solidFill>
                    <w14:schemeClr w14:val="tx1"/>
                  </w14:solidFill>
                </w14:textFill>
              </w:rPr>
              <w:t>）</w:t>
            </w:r>
          </w:p>
        </w:tc>
        <w:tc>
          <w:tcPr>
            <w:tcW w:w="2654" w:type="dxa"/>
            <w:vAlign w:val="bottom"/>
          </w:tcPr>
          <w:p w14:paraId="4563A1B0">
            <w:pPr>
              <w:pStyle w:val="109"/>
              <w:rPr>
                <w:color w:val="000000" w:themeColor="text1"/>
                <w14:textFill>
                  <w14:solidFill>
                    <w14:schemeClr w14:val="tx1"/>
                  </w14:solidFill>
                </w14:textFill>
              </w:rPr>
            </w:pPr>
            <w:r>
              <w:rPr>
                <w:color w:val="000000" w:themeColor="text1"/>
                <w14:textFill>
                  <w14:solidFill>
                    <w14:schemeClr w14:val="tx1"/>
                  </w14:solidFill>
                </w14:textFill>
              </w:rPr>
              <w:t>夜间</w:t>
            </w:r>
            <w:r>
              <w:rPr>
                <w:rFonts w:eastAsia="Times New Roman"/>
                <w:color w:val="000000" w:themeColor="text1"/>
                <w:lang w:eastAsia="en-US" w:bidi="en-US"/>
                <w14:textFill>
                  <w14:solidFill>
                    <w14:schemeClr w14:val="tx1"/>
                  </w14:solidFill>
                </w14:textFill>
              </w:rPr>
              <w:t>dB</w:t>
            </w: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A</w:t>
            </w:r>
            <w:r>
              <w:rPr>
                <w:color w:val="000000" w:themeColor="text1"/>
                <w:lang w:eastAsia="en-US" w:bidi="en-US"/>
                <w14:textFill>
                  <w14:solidFill>
                    <w14:schemeClr w14:val="tx1"/>
                  </w14:solidFill>
                </w14:textFill>
              </w:rPr>
              <w:t>）</w:t>
            </w:r>
          </w:p>
        </w:tc>
      </w:tr>
      <w:tr w14:paraId="5746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806" w:type="dxa"/>
          </w:tcPr>
          <w:p w14:paraId="72D163A5">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类标准</w:t>
            </w:r>
          </w:p>
        </w:tc>
        <w:tc>
          <w:tcPr>
            <w:tcW w:w="2626" w:type="dxa"/>
          </w:tcPr>
          <w:p w14:paraId="65E8998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65</w:t>
            </w:r>
          </w:p>
        </w:tc>
        <w:tc>
          <w:tcPr>
            <w:tcW w:w="2654" w:type="dxa"/>
          </w:tcPr>
          <w:p w14:paraId="275732DA">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55</w:t>
            </w:r>
          </w:p>
        </w:tc>
      </w:tr>
    </w:tbl>
    <w:p w14:paraId="4E30CCBB">
      <w:pPr>
        <w:ind w:firstLine="480"/>
        <w:rPr>
          <w:color w:val="000000" w:themeColor="text1"/>
          <w14:textFill>
            <w14:solidFill>
              <w14:schemeClr w14:val="tx1"/>
            </w14:solidFill>
          </w14:textFill>
        </w:rPr>
      </w:pPr>
      <w:r>
        <w:rPr>
          <w:color w:val="000000" w:themeColor="text1"/>
          <w14:textFill>
            <w14:solidFill>
              <w14:schemeClr w14:val="tx1"/>
            </w14:solidFill>
          </w14:textFill>
        </w:rPr>
        <w:t>建设期施工作业现场噪声排放执行《建筑施工噪声排放标准》</w:t>
      </w:r>
      <w:r>
        <w:rPr>
          <w:color w:val="000000" w:themeColor="text1"/>
          <w:lang w:bidi="en-US"/>
          <w14:textFill>
            <w14:solidFill>
              <w14:schemeClr w14:val="tx1"/>
            </w14:solidFill>
          </w14:textFill>
        </w:rPr>
        <w:t>（GB 12523—2025）</w:t>
      </w:r>
      <w:r>
        <w:rPr>
          <w:color w:val="000000" w:themeColor="text1"/>
          <w:lang w:val="zh-CN" w:bidi="zh-CN"/>
          <w14:textFill>
            <w14:solidFill>
              <w14:schemeClr w14:val="tx1"/>
            </w14:solidFill>
          </w14:textFill>
        </w:rPr>
        <w:t>，详见</w:t>
      </w:r>
      <w:r>
        <w:rPr>
          <w:rFonts w:hint="eastAsia"/>
          <w:color w:val="000000" w:themeColor="text1"/>
          <w:lang w:val="zh-CN" w:bidi="zh-CN"/>
          <w14:textFill>
            <w14:solidFill>
              <w14:schemeClr w14:val="tx1"/>
            </w14:solidFill>
          </w14:textFill>
        </w:rPr>
        <w:t>下表</w:t>
      </w:r>
      <w:r>
        <w:rPr>
          <w:color w:val="000000" w:themeColor="text1"/>
          <w:lang w:val="zh-CN" w:bidi="zh-CN"/>
          <w14:textFill>
            <w14:solidFill>
              <w14:schemeClr w14:val="tx1"/>
            </w14:solidFill>
          </w14:textFill>
        </w:rPr>
        <w:t>。</w:t>
      </w:r>
    </w:p>
    <w:p w14:paraId="412AF448">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项目施工期噪声排放执行标准</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486"/>
        <w:gridCol w:w="3946"/>
        <w:gridCol w:w="2654"/>
      </w:tblGrid>
      <w:tr w14:paraId="74A4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486" w:type="dxa"/>
            <w:vAlign w:val="bottom"/>
          </w:tcPr>
          <w:p w14:paraId="27EA3989">
            <w:pPr>
              <w:pStyle w:val="109"/>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3946" w:type="dxa"/>
            <w:vAlign w:val="bottom"/>
          </w:tcPr>
          <w:p w14:paraId="5FAE0C44">
            <w:pPr>
              <w:pStyle w:val="109"/>
              <w:rPr>
                <w:color w:val="000000" w:themeColor="text1"/>
                <w14:textFill>
                  <w14:solidFill>
                    <w14:schemeClr w14:val="tx1"/>
                  </w14:solidFill>
                </w14:textFill>
              </w:rPr>
            </w:pPr>
            <w:r>
              <w:rPr>
                <w:color w:val="000000" w:themeColor="text1"/>
                <w14:textFill>
                  <w14:solidFill>
                    <w14:schemeClr w14:val="tx1"/>
                  </w14:solidFill>
                </w14:textFill>
              </w:rPr>
              <w:t>昼间</w:t>
            </w:r>
            <w:r>
              <w:rPr>
                <w:rFonts w:eastAsia="Times New Roman"/>
                <w:color w:val="000000" w:themeColor="text1"/>
                <w:lang w:eastAsia="en-US" w:bidi="en-US"/>
                <w14:textFill>
                  <w14:solidFill>
                    <w14:schemeClr w14:val="tx1"/>
                  </w14:solidFill>
                </w14:textFill>
              </w:rPr>
              <w:t>dB</w:t>
            </w: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A</w:t>
            </w:r>
            <w:r>
              <w:rPr>
                <w:color w:val="000000" w:themeColor="text1"/>
                <w:lang w:eastAsia="en-US" w:bidi="en-US"/>
                <w14:textFill>
                  <w14:solidFill>
                    <w14:schemeClr w14:val="tx1"/>
                  </w14:solidFill>
                </w14:textFill>
              </w:rPr>
              <w:t>）</w:t>
            </w:r>
          </w:p>
        </w:tc>
        <w:tc>
          <w:tcPr>
            <w:tcW w:w="2654" w:type="dxa"/>
            <w:vAlign w:val="bottom"/>
          </w:tcPr>
          <w:p w14:paraId="33198231">
            <w:pPr>
              <w:pStyle w:val="109"/>
              <w:rPr>
                <w:color w:val="000000" w:themeColor="text1"/>
                <w14:textFill>
                  <w14:solidFill>
                    <w14:schemeClr w14:val="tx1"/>
                  </w14:solidFill>
                </w14:textFill>
              </w:rPr>
            </w:pPr>
            <w:r>
              <w:rPr>
                <w:color w:val="000000" w:themeColor="text1"/>
                <w14:textFill>
                  <w14:solidFill>
                    <w14:schemeClr w14:val="tx1"/>
                  </w14:solidFill>
                </w14:textFill>
              </w:rPr>
              <w:t>夜间</w:t>
            </w:r>
            <w:r>
              <w:rPr>
                <w:rFonts w:eastAsia="Times New Roman"/>
                <w:color w:val="000000" w:themeColor="text1"/>
                <w:lang w:eastAsia="en-US" w:bidi="en-US"/>
                <w14:textFill>
                  <w14:solidFill>
                    <w14:schemeClr w14:val="tx1"/>
                  </w14:solidFill>
                </w14:textFill>
              </w:rPr>
              <w:t>dB</w:t>
            </w: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A</w:t>
            </w:r>
            <w:r>
              <w:rPr>
                <w:color w:val="000000" w:themeColor="text1"/>
                <w:lang w:eastAsia="en-US" w:bidi="en-US"/>
                <w14:textFill>
                  <w14:solidFill>
                    <w14:schemeClr w14:val="tx1"/>
                  </w14:solidFill>
                </w14:textFill>
              </w:rPr>
              <w:t>）</w:t>
            </w:r>
          </w:p>
        </w:tc>
      </w:tr>
      <w:tr w14:paraId="089B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486" w:type="dxa"/>
          </w:tcPr>
          <w:p w14:paraId="61AE50A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946" w:type="dxa"/>
          </w:tcPr>
          <w:p w14:paraId="77596F4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70</w:t>
            </w:r>
          </w:p>
        </w:tc>
        <w:tc>
          <w:tcPr>
            <w:tcW w:w="2654" w:type="dxa"/>
          </w:tcPr>
          <w:p w14:paraId="3D0F221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55</w:t>
            </w:r>
          </w:p>
        </w:tc>
      </w:tr>
    </w:tbl>
    <w:p w14:paraId="3028EB76">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eastAsia="Times New Roman"/>
          <w:b/>
          <w:bCs/>
          <w:color w:val="000000" w:themeColor="text1"/>
          <w14:textFill>
            <w14:solidFill>
              <w14:schemeClr w14:val="tx1"/>
            </w14:solidFill>
          </w14:textFill>
        </w:rPr>
        <w:t>4</w:t>
      </w:r>
      <w:r>
        <w:rPr>
          <w:b/>
          <w:bCs/>
          <w:color w:val="000000" w:themeColor="text1"/>
          <w14:textFill>
            <w14:solidFill>
              <w14:schemeClr w14:val="tx1"/>
            </w14:solidFill>
          </w14:textFill>
        </w:rPr>
        <w:t>）固体废物控制标准</w:t>
      </w:r>
    </w:p>
    <w:p w14:paraId="3A14BB01">
      <w:pPr>
        <w:ind w:firstLine="480"/>
        <w:rPr>
          <w:color w:val="000000" w:themeColor="text1"/>
          <w14:textFill>
            <w14:solidFill>
              <w14:schemeClr w14:val="tx1"/>
            </w14:solidFill>
          </w14:textFill>
        </w:rPr>
      </w:pPr>
      <w:r>
        <w:rPr>
          <w:color w:val="000000" w:themeColor="text1"/>
          <w14:textFill>
            <w14:solidFill>
              <w14:schemeClr w14:val="tx1"/>
            </w14:solidFill>
          </w14:textFill>
        </w:rPr>
        <w:t>一般工业固体废物及危废暂存执行《中华人民共和国固体废物污染环境防治法》要 求，一般工业固废的暂存及污染控制参照《一般工业固体废物贮存和填埋污染控制标准》 （</w:t>
      </w:r>
      <w:r>
        <w:rPr>
          <w:rFonts w:eastAsia="Times New Roman"/>
          <w:color w:val="000000" w:themeColor="text1"/>
          <w:lang w:bidi="en-US"/>
          <w14:textFill>
            <w14:solidFill>
              <w14:schemeClr w14:val="tx1"/>
            </w14:solidFill>
          </w14:textFill>
        </w:rPr>
        <w:t>GB18599-2020</w:t>
      </w:r>
      <w:r>
        <w:rPr>
          <w:color w:val="000000" w:themeColor="text1"/>
          <w14:textFill>
            <w14:solidFill>
              <w14:schemeClr w14:val="tx1"/>
            </w14:solidFill>
          </w14:textFill>
        </w:rPr>
        <w:t xml:space="preserve">）；危险废物的暂存及污染控制按《危险废物贮存污染控制标准》 </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GB18597-2023</w:t>
      </w:r>
      <w:r>
        <w:rPr>
          <w:color w:val="000000" w:themeColor="text1"/>
          <w:lang w:bidi="en-US"/>
          <w14:textFill>
            <w14:solidFill>
              <w14:schemeClr w14:val="tx1"/>
            </w14:solidFill>
          </w14:textFill>
        </w:rPr>
        <w:t>）</w:t>
      </w:r>
      <w:r>
        <w:rPr>
          <w:color w:val="000000" w:themeColor="text1"/>
          <w14:textFill>
            <w14:solidFill>
              <w14:schemeClr w14:val="tx1"/>
            </w14:solidFill>
          </w14:textFill>
        </w:rPr>
        <w:t>进行暂存、控制。</w:t>
      </w:r>
    </w:p>
    <w:bookmarkEnd w:id="140"/>
    <w:bookmarkEnd w:id="141"/>
    <w:bookmarkEnd w:id="142"/>
    <w:bookmarkEnd w:id="143"/>
    <w:bookmarkEnd w:id="144"/>
    <w:bookmarkEnd w:id="145"/>
    <w:bookmarkEnd w:id="146"/>
    <w:bookmarkEnd w:id="147"/>
    <w:bookmarkEnd w:id="148"/>
    <w:bookmarkEnd w:id="149"/>
    <w:p w14:paraId="4856DBB9">
      <w:pPr>
        <w:pStyle w:val="3"/>
        <w:rPr>
          <w:rFonts w:ascii="Times New Roman" w:cs="Times New Roman"/>
          <w:color w:val="000000" w:themeColor="text1"/>
          <w14:textFill>
            <w14:solidFill>
              <w14:schemeClr w14:val="tx1"/>
            </w14:solidFill>
          </w14:textFill>
        </w:rPr>
      </w:pPr>
      <w:bookmarkStart w:id="179" w:name="_Toc330460755"/>
      <w:bookmarkStart w:id="180" w:name="_Toc280691115"/>
      <w:bookmarkStart w:id="181" w:name="_Toc266187526"/>
      <w:bookmarkStart w:id="182" w:name="_Toc213225673"/>
      <w:bookmarkStart w:id="183" w:name="_Toc172077727"/>
      <w:bookmarkStart w:id="184" w:name="_Toc172919577"/>
      <w:bookmarkStart w:id="185" w:name="_Toc173209370"/>
      <w:bookmarkStart w:id="186" w:name="_Toc321821699"/>
      <w:bookmarkStart w:id="187" w:name="_Toc189128895"/>
      <w:bookmarkStart w:id="188" w:name="_Toc293592345"/>
      <w:bookmarkStart w:id="189" w:name="_Toc329793429"/>
      <w:bookmarkStart w:id="190" w:name="_Toc278649395"/>
      <w:bookmarkStart w:id="191" w:name="_Toc230071422"/>
      <w:bookmarkStart w:id="192" w:name="_Toc185164264"/>
      <w:bookmarkStart w:id="193" w:name="_Toc225268280"/>
      <w:r>
        <w:rPr>
          <w:rFonts w:ascii="Times New Roman" w:cs="Times New Roman"/>
          <w:color w:val="000000" w:themeColor="text1"/>
          <w14:textFill>
            <w14:solidFill>
              <w14:schemeClr w14:val="tx1"/>
            </w14:solidFill>
          </w14:textFill>
        </w:rPr>
        <w:t>环境保护</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ascii="Times New Roman" w:cs="Times New Roman"/>
          <w:color w:val="000000" w:themeColor="text1"/>
          <w14:textFill>
            <w14:solidFill>
              <w14:schemeClr w14:val="tx1"/>
            </w14:solidFill>
          </w14:textFill>
        </w:rPr>
        <w:t>目标</w:t>
      </w:r>
      <w:bookmarkEnd w:id="193"/>
    </w:p>
    <w:p w14:paraId="7F4E100F">
      <w:pPr>
        <w:ind w:firstLine="480"/>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t>根据现场勘查，评价区均不涉及国家、自治区自然保护区、风景名胜区等国家明令规定的保护对象，不涉及饮用水</w:t>
      </w:r>
      <w:r>
        <w:rPr>
          <w:rFonts w:hint="eastAsia" w:ascii="Times New Roman Regular" w:hAnsi="Times New Roman Regular" w:cs="Times New Roman Regular"/>
          <w:color w:val="000000" w:themeColor="text1"/>
          <w14:textFill>
            <w14:solidFill>
              <w14:schemeClr w14:val="tx1"/>
            </w14:solidFill>
          </w14:textFill>
        </w:rPr>
        <w:t>水</w:t>
      </w:r>
      <w:r>
        <w:rPr>
          <w:rFonts w:ascii="Times New Roman Regular" w:hAnsi="Times New Roman Regular" w:cs="Times New Roman Regular"/>
          <w:color w:val="000000" w:themeColor="text1"/>
          <w14:textFill>
            <w14:solidFill>
              <w14:schemeClr w14:val="tx1"/>
            </w14:solidFill>
          </w14:textFill>
        </w:rPr>
        <w:t>源保护区，项目区评价范围内无居民区，环境保护目标确定为保护项目所在区域的大气、水、声、土壤及生态环境，主要环境保护要求如下。</w:t>
      </w:r>
    </w:p>
    <w:p w14:paraId="70CAF965">
      <w:pPr>
        <w:kinsoku w:val="0"/>
        <w:overflowPunct w:val="0"/>
        <w:ind w:firstLine="480"/>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t>（1）环境空气：保护目标为建设区域周围的空气环境质量，保护级别为《环境空气质量标准》（GB3095-20</w:t>
      </w:r>
      <w:r>
        <w:rPr>
          <w:rFonts w:hint="eastAsia" w:ascii="Times New Roman Regular" w:hAnsi="Times New Roman Regular" w:cs="Times New Roman Regular"/>
          <w:color w:val="000000" w:themeColor="text1"/>
          <w14:textFill>
            <w14:solidFill>
              <w14:schemeClr w14:val="tx1"/>
            </w14:solidFill>
          </w14:textFill>
        </w:rPr>
        <w:t>26</w:t>
      </w:r>
      <w:r>
        <w:rPr>
          <w:rFonts w:ascii="Times New Roman Regular" w:hAnsi="Times New Roman Regular" w:cs="Times New Roman Regular"/>
          <w:color w:val="000000" w:themeColor="text1"/>
          <w14:textFill>
            <w14:solidFill>
              <w14:schemeClr w14:val="tx1"/>
            </w14:solidFill>
          </w14:textFill>
        </w:rPr>
        <w:t>）二级标准；</w:t>
      </w:r>
    </w:p>
    <w:p w14:paraId="35CE91E7">
      <w:pPr>
        <w:kinsoku w:val="0"/>
        <w:overflowPunct w:val="0"/>
        <w:ind w:firstLine="480"/>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t>（2）地下水环境：地下水环境质量评价标准执行《地下水质量标准》（GB/T14848-2017）Ⅲ类标准；</w:t>
      </w:r>
    </w:p>
    <w:p w14:paraId="50C00849">
      <w:pPr>
        <w:kinsoku w:val="0"/>
        <w:overflowPunct w:val="0"/>
        <w:ind w:firstLine="460"/>
        <w:jc w:val="both"/>
        <w:rPr>
          <w:rFonts w:ascii="Times New Roman Regular" w:hAnsi="Times New Roman Regular" w:cs="Times New Roman Regular"/>
          <w:color w:val="000000" w:themeColor="text1"/>
          <w:spacing w:val="-10"/>
          <w14:textFill>
            <w14:solidFill>
              <w14:schemeClr w14:val="tx1"/>
            </w14:solidFill>
          </w14:textFill>
        </w:rPr>
      </w:pPr>
      <w:r>
        <w:rPr>
          <w:rFonts w:ascii="Times New Roman Regular" w:hAnsi="Times New Roman Regular" w:cs="Times New Roman Regular"/>
          <w:color w:val="000000" w:themeColor="text1"/>
          <w:spacing w:val="-10"/>
          <w14:textFill>
            <w14:solidFill>
              <w14:schemeClr w14:val="tx1"/>
            </w14:solidFill>
          </w14:textFill>
        </w:rPr>
        <w:t>（3）</w:t>
      </w:r>
      <w:r>
        <w:rPr>
          <w:rFonts w:hint="eastAsia" w:ascii="Times New Roman Regular" w:hAnsi="Times New Roman Regular" w:cs="Times New Roman Regular"/>
          <w:color w:val="000000" w:themeColor="text1"/>
          <w:spacing w:val="-10"/>
          <w14:textFill>
            <w14:solidFill>
              <w14:schemeClr w14:val="tx1"/>
            </w14:solidFill>
          </w14:textFill>
        </w:rPr>
        <w:t>土壤</w:t>
      </w:r>
      <w:r>
        <w:rPr>
          <w:rFonts w:ascii="Times New Roman Regular" w:hAnsi="Times New Roman Regular" w:cs="Times New Roman Regular"/>
          <w:color w:val="000000" w:themeColor="text1"/>
          <w14:textFill>
            <w14:solidFill>
              <w14:schemeClr w14:val="tx1"/>
            </w14:solidFill>
          </w14:textFill>
        </w:rPr>
        <w:t>环境：</w:t>
      </w:r>
      <w:r>
        <w:rPr>
          <w:rFonts w:hint="eastAsia" w:ascii="Times New Roman Regular" w:hAnsi="Times New Roman Regular" w:cs="Times New Roman Regular"/>
          <w:color w:val="000000" w:themeColor="text1"/>
          <w14:textFill>
            <w14:solidFill>
              <w14:schemeClr w14:val="tx1"/>
            </w14:solidFill>
          </w14:textFill>
        </w:rPr>
        <w:t>土壤</w:t>
      </w:r>
      <w:r>
        <w:rPr>
          <w:rFonts w:ascii="Times New Roman Regular" w:hAnsi="Times New Roman Regular" w:cs="Times New Roman Regular"/>
          <w:color w:val="000000" w:themeColor="text1"/>
          <w14:textFill>
            <w14:solidFill>
              <w14:schemeClr w14:val="tx1"/>
            </w14:solidFill>
          </w14:textFill>
        </w:rPr>
        <w:t>环境质量评价标准执行</w:t>
      </w:r>
      <w:r>
        <w:rPr>
          <w:rFonts w:ascii="Times New Roman Regular" w:hAnsi="Times New Roman Regular"/>
          <w:color w:val="000000" w:themeColor="text1"/>
          <w14:textFill>
            <w14:solidFill>
              <w14:schemeClr w14:val="tx1"/>
            </w14:solidFill>
          </w14:textFill>
        </w:rPr>
        <w:t>《土壤环境质量建设用地土壤污染风险管控标准（试行）》（GB36600-2018）第二类用地</w:t>
      </w:r>
      <w:r>
        <w:rPr>
          <w:rFonts w:hint="eastAsia" w:ascii="Times New Roman Regular" w:hAnsi="Times New Roman Regular"/>
          <w:color w:val="000000" w:themeColor="text1"/>
          <w14:textFill>
            <w14:solidFill>
              <w14:schemeClr w14:val="tx1"/>
            </w14:solidFill>
          </w14:textFill>
        </w:rPr>
        <w:t>的管控值</w:t>
      </w:r>
      <w:r>
        <w:rPr>
          <w:rFonts w:ascii="Times New Roman Regular" w:hAnsi="Times New Roman Regular" w:cs="Times New Roman Regular"/>
          <w:color w:val="000000" w:themeColor="text1"/>
          <w14:textFill>
            <w14:solidFill>
              <w14:schemeClr w14:val="tx1"/>
            </w14:solidFill>
          </w14:textFill>
        </w:rPr>
        <w:t>；</w:t>
      </w:r>
    </w:p>
    <w:p w14:paraId="720AA94A">
      <w:pPr>
        <w:kinsoku w:val="0"/>
        <w:overflowPunct w:val="0"/>
        <w:ind w:firstLine="460"/>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spacing w:val="-10"/>
          <w14:textFill>
            <w14:solidFill>
              <w14:schemeClr w14:val="tx1"/>
            </w14:solidFill>
          </w14:textFill>
        </w:rPr>
        <w:t>（</w:t>
      </w:r>
      <w:r>
        <w:rPr>
          <w:rFonts w:hint="eastAsia" w:ascii="Times New Roman Regular" w:hAnsi="Times New Roman Regular" w:cs="Times New Roman Regular"/>
          <w:color w:val="000000" w:themeColor="text1"/>
          <w:spacing w:val="-10"/>
          <w14:textFill>
            <w14:solidFill>
              <w14:schemeClr w14:val="tx1"/>
            </w14:solidFill>
          </w14:textFill>
        </w:rPr>
        <w:t>4</w:t>
      </w:r>
      <w:r>
        <w:rPr>
          <w:rFonts w:ascii="Times New Roman Regular" w:hAnsi="Times New Roman Regular" w:cs="Times New Roman Regular"/>
          <w:color w:val="000000" w:themeColor="text1"/>
          <w:spacing w:val="-10"/>
          <w14:textFill>
            <w14:solidFill>
              <w14:schemeClr w14:val="tx1"/>
            </w14:solidFill>
          </w14:textFill>
        </w:rPr>
        <w:t>）</w:t>
      </w:r>
      <w:r>
        <w:rPr>
          <w:rFonts w:ascii="Times New Roman Regular" w:hAnsi="Times New Roman Regular" w:cs="Times New Roman Regular"/>
          <w:color w:val="000000" w:themeColor="text1"/>
          <w14:textFill>
            <w14:solidFill>
              <w14:schemeClr w14:val="tx1"/>
            </w14:solidFill>
          </w14:textFill>
        </w:rPr>
        <w:t>声环境：保护目标为评价范围内的声环境质量，保护级别为《声环境质量标准》（GB3096-2008）中的3类标准；</w:t>
      </w:r>
    </w:p>
    <w:p w14:paraId="1E0D74BF">
      <w:pPr>
        <w:ind w:firstLine="480"/>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t>以项目中心位置为原点，评价范围</w:t>
      </w:r>
      <w:r>
        <w:rPr>
          <w:rFonts w:hint="eastAsia" w:ascii="Times New Roman Regular" w:hAnsi="Times New Roman Regular" w:cs="Times New Roman Regular"/>
          <w:color w:val="000000" w:themeColor="text1"/>
          <w14:textFill>
            <w14:solidFill>
              <w14:schemeClr w14:val="tx1"/>
            </w14:solidFill>
          </w14:textFill>
        </w:rPr>
        <w:t>及周边关系影像图见图2.6-1。</w:t>
      </w:r>
    </w:p>
    <w:p w14:paraId="0544766B">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环境保护目标及保护级别一览表</w:t>
      </w:r>
    </w:p>
    <w:tbl>
      <w:tblPr>
        <w:tblStyle w:val="76"/>
        <w:tblW w:w="5028"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8"/>
        <w:gridCol w:w="741"/>
        <w:gridCol w:w="917"/>
        <w:gridCol w:w="853"/>
        <w:gridCol w:w="616"/>
        <w:gridCol w:w="813"/>
        <w:gridCol w:w="582"/>
        <w:gridCol w:w="798"/>
        <w:gridCol w:w="830"/>
        <w:gridCol w:w="2588"/>
      </w:tblGrid>
      <w:tr w14:paraId="67DB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389" w:type="pct"/>
            <w:vMerge w:val="restart"/>
            <w:vAlign w:val="center"/>
          </w:tcPr>
          <w:p w14:paraId="2E7F8EB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p w14:paraId="6E938E0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要素</w:t>
            </w:r>
          </w:p>
        </w:tc>
        <w:tc>
          <w:tcPr>
            <w:tcW w:w="391" w:type="pct"/>
            <w:vMerge w:val="restart"/>
            <w:vAlign w:val="center"/>
          </w:tcPr>
          <w:p w14:paraId="2DBD54B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名称</w:t>
            </w:r>
          </w:p>
        </w:tc>
        <w:tc>
          <w:tcPr>
            <w:tcW w:w="934" w:type="pct"/>
            <w:gridSpan w:val="2"/>
            <w:vAlign w:val="center"/>
          </w:tcPr>
          <w:p w14:paraId="5367380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坐标/m</w:t>
            </w:r>
          </w:p>
        </w:tc>
        <w:tc>
          <w:tcPr>
            <w:tcW w:w="325" w:type="pct"/>
            <w:vMerge w:val="restart"/>
            <w:vAlign w:val="center"/>
          </w:tcPr>
          <w:p w14:paraId="39DE79E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保护</w:t>
            </w:r>
          </w:p>
          <w:p w14:paraId="26F786A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对象</w:t>
            </w:r>
          </w:p>
          <w:p w14:paraId="00F6B368">
            <w:pPr>
              <w:pStyle w:val="109"/>
              <w:rPr>
                <w:color w:val="000000" w:themeColor="text1"/>
                <w:lang w:bidi="ar"/>
                <w14:textFill>
                  <w14:solidFill>
                    <w14:schemeClr w14:val="tx1"/>
                  </w14:solidFill>
                </w14:textFill>
              </w:rPr>
            </w:pPr>
          </w:p>
        </w:tc>
        <w:tc>
          <w:tcPr>
            <w:tcW w:w="429" w:type="pct"/>
            <w:vMerge w:val="restart"/>
            <w:vAlign w:val="center"/>
          </w:tcPr>
          <w:p w14:paraId="134D495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保护</w:t>
            </w:r>
          </w:p>
          <w:p w14:paraId="1704518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内容</w:t>
            </w:r>
          </w:p>
        </w:tc>
        <w:tc>
          <w:tcPr>
            <w:tcW w:w="307" w:type="pct"/>
            <w:vMerge w:val="restart"/>
            <w:vAlign w:val="center"/>
          </w:tcPr>
          <w:p w14:paraId="1BB9484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环境功能区</w:t>
            </w:r>
          </w:p>
        </w:tc>
        <w:tc>
          <w:tcPr>
            <w:tcW w:w="421" w:type="pct"/>
            <w:vMerge w:val="restart"/>
            <w:vAlign w:val="center"/>
          </w:tcPr>
          <w:p w14:paraId="2E15C66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相对厂界距离（km）</w:t>
            </w:r>
          </w:p>
        </w:tc>
        <w:tc>
          <w:tcPr>
            <w:tcW w:w="438" w:type="pct"/>
            <w:vMerge w:val="restart"/>
            <w:vAlign w:val="center"/>
          </w:tcPr>
          <w:p w14:paraId="14687AD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相对厂址方位</w:t>
            </w:r>
          </w:p>
        </w:tc>
        <w:tc>
          <w:tcPr>
            <w:tcW w:w="1366" w:type="pct"/>
            <w:vMerge w:val="restart"/>
            <w:vAlign w:val="center"/>
          </w:tcPr>
          <w:p w14:paraId="073DC5D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环境质量</w:t>
            </w:r>
          </w:p>
        </w:tc>
      </w:tr>
      <w:tr w14:paraId="0FC6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389" w:type="pct"/>
            <w:vMerge w:val="continue"/>
            <w:vAlign w:val="center"/>
          </w:tcPr>
          <w:p w14:paraId="6DBB1A08">
            <w:pPr>
              <w:pStyle w:val="109"/>
              <w:rPr>
                <w:color w:val="000000" w:themeColor="text1"/>
                <w:lang w:bidi="ar"/>
                <w14:textFill>
                  <w14:solidFill>
                    <w14:schemeClr w14:val="tx1"/>
                  </w14:solidFill>
                </w14:textFill>
              </w:rPr>
            </w:pPr>
          </w:p>
        </w:tc>
        <w:tc>
          <w:tcPr>
            <w:tcW w:w="391" w:type="pct"/>
            <w:vMerge w:val="continue"/>
            <w:vAlign w:val="center"/>
          </w:tcPr>
          <w:p w14:paraId="3DE29034">
            <w:pPr>
              <w:pStyle w:val="109"/>
              <w:rPr>
                <w:color w:val="000000" w:themeColor="text1"/>
                <w:lang w:bidi="ar"/>
                <w14:textFill>
                  <w14:solidFill>
                    <w14:schemeClr w14:val="tx1"/>
                  </w14:solidFill>
                </w14:textFill>
              </w:rPr>
            </w:pPr>
          </w:p>
        </w:tc>
        <w:tc>
          <w:tcPr>
            <w:tcW w:w="484" w:type="pct"/>
            <w:vAlign w:val="center"/>
          </w:tcPr>
          <w:p w14:paraId="37C2F8E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X（纬度）</w:t>
            </w:r>
          </w:p>
        </w:tc>
        <w:tc>
          <w:tcPr>
            <w:tcW w:w="450" w:type="pct"/>
            <w:vAlign w:val="center"/>
          </w:tcPr>
          <w:p w14:paraId="4DD4745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Y（经度）</w:t>
            </w:r>
          </w:p>
        </w:tc>
        <w:tc>
          <w:tcPr>
            <w:tcW w:w="325" w:type="pct"/>
            <w:vMerge w:val="continue"/>
            <w:vAlign w:val="center"/>
          </w:tcPr>
          <w:p w14:paraId="6A80EC93">
            <w:pPr>
              <w:pStyle w:val="109"/>
              <w:rPr>
                <w:color w:val="000000" w:themeColor="text1"/>
                <w:lang w:bidi="ar"/>
                <w14:textFill>
                  <w14:solidFill>
                    <w14:schemeClr w14:val="tx1"/>
                  </w14:solidFill>
                </w14:textFill>
              </w:rPr>
            </w:pPr>
          </w:p>
        </w:tc>
        <w:tc>
          <w:tcPr>
            <w:tcW w:w="429" w:type="pct"/>
            <w:vMerge w:val="continue"/>
            <w:vAlign w:val="center"/>
          </w:tcPr>
          <w:p w14:paraId="6F00A69B">
            <w:pPr>
              <w:pStyle w:val="109"/>
              <w:rPr>
                <w:color w:val="000000" w:themeColor="text1"/>
                <w:lang w:bidi="ar"/>
                <w14:textFill>
                  <w14:solidFill>
                    <w14:schemeClr w14:val="tx1"/>
                  </w14:solidFill>
                </w14:textFill>
              </w:rPr>
            </w:pPr>
          </w:p>
        </w:tc>
        <w:tc>
          <w:tcPr>
            <w:tcW w:w="307" w:type="pct"/>
            <w:vMerge w:val="continue"/>
            <w:vAlign w:val="center"/>
          </w:tcPr>
          <w:p w14:paraId="07047509">
            <w:pPr>
              <w:pStyle w:val="109"/>
              <w:rPr>
                <w:color w:val="000000" w:themeColor="text1"/>
                <w:lang w:bidi="ar"/>
                <w14:textFill>
                  <w14:solidFill>
                    <w14:schemeClr w14:val="tx1"/>
                  </w14:solidFill>
                </w14:textFill>
              </w:rPr>
            </w:pPr>
          </w:p>
        </w:tc>
        <w:tc>
          <w:tcPr>
            <w:tcW w:w="421" w:type="pct"/>
            <w:vMerge w:val="continue"/>
            <w:vAlign w:val="center"/>
          </w:tcPr>
          <w:p w14:paraId="510A7CF6">
            <w:pPr>
              <w:pStyle w:val="109"/>
              <w:rPr>
                <w:color w:val="000000" w:themeColor="text1"/>
                <w:lang w:bidi="ar"/>
                <w14:textFill>
                  <w14:solidFill>
                    <w14:schemeClr w14:val="tx1"/>
                  </w14:solidFill>
                </w14:textFill>
              </w:rPr>
            </w:pPr>
          </w:p>
        </w:tc>
        <w:tc>
          <w:tcPr>
            <w:tcW w:w="438" w:type="pct"/>
            <w:vMerge w:val="continue"/>
            <w:vAlign w:val="center"/>
          </w:tcPr>
          <w:p w14:paraId="1A68C708">
            <w:pPr>
              <w:pStyle w:val="109"/>
              <w:rPr>
                <w:color w:val="000000" w:themeColor="text1"/>
                <w:lang w:bidi="ar"/>
                <w14:textFill>
                  <w14:solidFill>
                    <w14:schemeClr w14:val="tx1"/>
                  </w14:solidFill>
                </w14:textFill>
              </w:rPr>
            </w:pPr>
          </w:p>
        </w:tc>
        <w:tc>
          <w:tcPr>
            <w:tcW w:w="1366" w:type="pct"/>
            <w:vMerge w:val="continue"/>
            <w:vAlign w:val="center"/>
          </w:tcPr>
          <w:p w14:paraId="40A83355">
            <w:pPr>
              <w:pStyle w:val="109"/>
              <w:rPr>
                <w:color w:val="000000" w:themeColor="text1"/>
                <w:lang w:bidi="ar"/>
                <w14:textFill>
                  <w14:solidFill>
                    <w14:schemeClr w14:val="tx1"/>
                  </w14:solidFill>
                </w14:textFill>
              </w:rPr>
            </w:pPr>
          </w:p>
        </w:tc>
      </w:tr>
      <w:tr w14:paraId="4808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389" w:type="pct"/>
            <w:vAlign w:val="center"/>
          </w:tcPr>
          <w:p w14:paraId="3B9D6DF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大气</w:t>
            </w:r>
          </w:p>
          <w:p w14:paraId="2190E7C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391" w:type="pct"/>
            <w:vAlign w:val="center"/>
          </w:tcPr>
          <w:p w14:paraId="4F18ED4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84" w:type="pct"/>
            <w:vAlign w:val="center"/>
          </w:tcPr>
          <w:p w14:paraId="0A54704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50" w:type="pct"/>
            <w:vAlign w:val="center"/>
          </w:tcPr>
          <w:p w14:paraId="6464FED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325" w:type="pct"/>
            <w:vAlign w:val="center"/>
          </w:tcPr>
          <w:p w14:paraId="1191087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29" w:type="pct"/>
            <w:vAlign w:val="center"/>
          </w:tcPr>
          <w:p w14:paraId="03FDD9C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307" w:type="pct"/>
            <w:vAlign w:val="center"/>
          </w:tcPr>
          <w:p w14:paraId="3C9965E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21" w:type="pct"/>
            <w:vAlign w:val="center"/>
          </w:tcPr>
          <w:p w14:paraId="63E69C3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38" w:type="pct"/>
            <w:vAlign w:val="center"/>
          </w:tcPr>
          <w:p w14:paraId="2102DEC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1366" w:type="pct"/>
            <w:vAlign w:val="center"/>
          </w:tcPr>
          <w:p w14:paraId="0628CC5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《环境空气质量标准》（GB3095-20</w:t>
            </w:r>
            <w:r>
              <w:rPr>
                <w:rFonts w:hint="eastAsia"/>
                <w:color w:val="000000" w:themeColor="text1"/>
                <w:lang w:bidi="ar"/>
                <w14:textFill>
                  <w14:solidFill>
                    <w14:schemeClr w14:val="tx1"/>
                  </w14:solidFill>
                </w14:textFill>
              </w:rPr>
              <w:t>26</w:t>
            </w:r>
            <w:r>
              <w:rPr>
                <w:color w:val="000000" w:themeColor="text1"/>
                <w:lang w:bidi="ar"/>
                <w14:textFill>
                  <w14:solidFill>
                    <w14:schemeClr w14:val="tx1"/>
                  </w14:solidFill>
                </w14:textFill>
              </w:rPr>
              <w:t>）</w:t>
            </w:r>
          </w:p>
          <w:p w14:paraId="6632DAFF">
            <w:pPr>
              <w:pStyle w:val="109"/>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过渡阶段</w:t>
            </w:r>
            <w:r>
              <w:rPr>
                <w:color w:val="000000" w:themeColor="text1"/>
                <w:lang w:bidi="ar"/>
                <w14:textFill>
                  <w14:solidFill>
                    <w14:schemeClr w14:val="tx1"/>
                  </w14:solidFill>
                </w14:textFill>
              </w:rPr>
              <w:t>二级标准</w:t>
            </w:r>
          </w:p>
        </w:tc>
      </w:tr>
      <w:tr w14:paraId="239A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89" w:type="pct"/>
            <w:vAlign w:val="center"/>
          </w:tcPr>
          <w:p w14:paraId="04C4DC2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地表水</w:t>
            </w:r>
          </w:p>
        </w:tc>
        <w:tc>
          <w:tcPr>
            <w:tcW w:w="391" w:type="pct"/>
            <w:vAlign w:val="center"/>
          </w:tcPr>
          <w:p w14:paraId="0F3D816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84" w:type="pct"/>
            <w:vAlign w:val="center"/>
          </w:tcPr>
          <w:p w14:paraId="459B2F9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50" w:type="pct"/>
            <w:vAlign w:val="center"/>
          </w:tcPr>
          <w:p w14:paraId="6D7D19B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325" w:type="pct"/>
            <w:vAlign w:val="center"/>
          </w:tcPr>
          <w:p w14:paraId="734FFF8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29" w:type="pct"/>
            <w:vAlign w:val="center"/>
          </w:tcPr>
          <w:p w14:paraId="5F0AE909">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307" w:type="pct"/>
            <w:vAlign w:val="center"/>
          </w:tcPr>
          <w:p w14:paraId="409AD60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21" w:type="pct"/>
            <w:vAlign w:val="center"/>
          </w:tcPr>
          <w:p w14:paraId="0F10FF7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38" w:type="pct"/>
            <w:vAlign w:val="center"/>
          </w:tcPr>
          <w:p w14:paraId="1A2551E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1366" w:type="pct"/>
            <w:vAlign w:val="center"/>
          </w:tcPr>
          <w:p w14:paraId="24C48E79">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r>
      <w:tr w14:paraId="4DF4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389" w:type="pct"/>
            <w:vMerge w:val="restart"/>
            <w:vAlign w:val="center"/>
          </w:tcPr>
          <w:p w14:paraId="34E3BE2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土壤</w:t>
            </w:r>
          </w:p>
        </w:tc>
        <w:tc>
          <w:tcPr>
            <w:tcW w:w="391" w:type="pct"/>
            <w:vAlign w:val="center"/>
          </w:tcPr>
          <w:p w14:paraId="2002C06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厂界</w:t>
            </w:r>
          </w:p>
          <w:p w14:paraId="249BE7E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周围</w:t>
            </w:r>
          </w:p>
        </w:tc>
        <w:tc>
          <w:tcPr>
            <w:tcW w:w="484" w:type="pct"/>
            <w:vMerge w:val="restart"/>
            <w:vAlign w:val="center"/>
          </w:tcPr>
          <w:p w14:paraId="0C1CD43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50" w:type="pct"/>
            <w:vMerge w:val="restart"/>
            <w:vAlign w:val="center"/>
          </w:tcPr>
          <w:p w14:paraId="49057A59">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325" w:type="pct"/>
            <w:vMerge w:val="restart"/>
            <w:vAlign w:val="center"/>
          </w:tcPr>
          <w:p w14:paraId="72338FA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29" w:type="pct"/>
            <w:vMerge w:val="restart"/>
            <w:vAlign w:val="center"/>
          </w:tcPr>
          <w:p w14:paraId="3F1B0C6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307" w:type="pct"/>
            <w:vMerge w:val="restart"/>
            <w:vAlign w:val="center"/>
          </w:tcPr>
          <w:p w14:paraId="0BB6B1E5">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二</w:t>
            </w:r>
          </w:p>
          <w:p w14:paraId="7AD34AB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类</w:t>
            </w:r>
          </w:p>
          <w:p w14:paraId="16E58AD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区</w:t>
            </w:r>
          </w:p>
        </w:tc>
        <w:tc>
          <w:tcPr>
            <w:tcW w:w="421" w:type="pct"/>
            <w:vMerge w:val="restart"/>
            <w:vAlign w:val="center"/>
          </w:tcPr>
          <w:p w14:paraId="7F0B736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38" w:type="pct"/>
            <w:vMerge w:val="restart"/>
            <w:vAlign w:val="center"/>
          </w:tcPr>
          <w:p w14:paraId="755628F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1366" w:type="pct"/>
            <w:vMerge w:val="restart"/>
            <w:vAlign w:val="center"/>
          </w:tcPr>
          <w:p w14:paraId="5EC1DAD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《土壤环境质量建设用地土壤污染风险管控标准（试行）》（GB36600-2018）第二类用地</w:t>
            </w:r>
          </w:p>
        </w:tc>
      </w:tr>
      <w:tr w14:paraId="0309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389" w:type="pct"/>
            <w:vMerge w:val="continue"/>
            <w:vAlign w:val="center"/>
          </w:tcPr>
          <w:p w14:paraId="37EDFE21">
            <w:pPr>
              <w:pStyle w:val="109"/>
              <w:rPr>
                <w:color w:val="000000" w:themeColor="text1"/>
                <w:lang w:bidi="ar"/>
                <w14:textFill>
                  <w14:solidFill>
                    <w14:schemeClr w14:val="tx1"/>
                  </w14:solidFill>
                </w14:textFill>
              </w:rPr>
            </w:pPr>
          </w:p>
        </w:tc>
        <w:tc>
          <w:tcPr>
            <w:tcW w:w="391" w:type="pct"/>
            <w:vAlign w:val="center"/>
          </w:tcPr>
          <w:p w14:paraId="403AF94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占地区域内</w:t>
            </w:r>
          </w:p>
        </w:tc>
        <w:tc>
          <w:tcPr>
            <w:tcW w:w="484" w:type="pct"/>
            <w:vMerge w:val="continue"/>
            <w:vAlign w:val="center"/>
          </w:tcPr>
          <w:p w14:paraId="3178EE1C">
            <w:pPr>
              <w:pStyle w:val="109"/>
              <w:rPr>
                <w:color w:val="000000" w:themeColor="text1"/>
                <w:lang w:bidi="ar"/>
                <w14:textFill>
                  <w14:solidFill>
                    <w14:schemeClr w14:val="tx1"/>
                  </w14:solidFill>
                </w14:textFill>
              </w:rPr>
            </w:pPr>
          </w:p>
        </w:tc>
        <w:tc>
          <w:tcPr>
            <w:tcW w:w="450" w:type="pct"/>
            <w:vMerge w:val="continue"/>
            <w:vAlign w:val="center"/>
          </w:tcPr>
          <w:p w14:paraId="07536431">
            <w:pPr>
              <w:pStyle w:val="109"/>
              <w:rPr>
                <w:color w:val="000000" w:themeColor="text1"/>
                <w:lang w:bidi="ar"/>
                <w14:textFill>
                  <w14:solidFill>
                    <w14:schemeClr w14:val="tx1"/>
                  </w14:solidFill>
                </w14:textFill>
              </w:rPr>
            </w:pPr>
          </w:p>
        </w:tc>
        <w:tc>
          <w:tcPr>
            <w:tcW w:w="325" w:type="pct"/>
            <w:vMerge w:val="continue"/>
            <w:vAlign w:val="center"/>
          </w:tcPr>
          <w:p w14:paraId="2537723C">
            <w:pPr>
              <w:pStyle w:val="109"/>
              <w:rPr>
                <w:color w:val="000000" w:themeColor="text1"/>
                <w:lang w:bidi="ar"/>
                <w14:textFill>
                  <w14:solidFill>
                    <w14:schemeClr w14:val="tx1"/>
                  </w14:solidFill>
                </w14:textFill>
              </w:rPr>
            </w:pPr>
          </w:p>
        </w:tc>
        <w:tc>
          <w:tcPr>
            <w:tcW w:w="429" w:type="pct"/>
            <w:vMerge w:val="continue"/>
            <w:vAlign w:val="center"/>
          </w:tcPr>
          <w:p w14:paraId="5B2637BE">
            <w:pPr>
              <w:pStyle w:val="109"/>
              <w:rPr>
                <w:color w:val="000000" w:themeColor="text1"/>
                <w:lang w:bidi="ar"/>
                <w14:textFill>
                  <w14:solidFill>
                    <w14:schemeClr w14:val="tx1"/>
                  </w14:solidFill>
                </w14:textFill>
              </w:rPr>
            </w:pPr>
          </w:p>
        </w:tc>
        <w:tc>
          <w:tcPr>
            <w:tcW w:w="307" w:type="pct"/>
            <w:vMerge w:val="continue"/>
            <w:vAlign w:val="center"/>
          </w:tcPr>
          <w:p w14:paraId="64356CF5">
            <w:pPr>
              <w:pStyle w:val="109"/>
              <w:rPr>
                <w:color w:val="000000" w:themeColor="text1"/>
                <w:lang w:bidi="ar"/>
                <w14:textFill>
                  <w14:solidFill>
                    <w14:schemeClr w14:val="tx1"/>
                  </w14:solidFill>
                </w14:textFill>
              </w:rPr>
            </w:pPr>
          </w:p>
        </w:tc>
        <w:tc>
          <w:tcPr>
            <w:tcW w:w="421" w:type="pct"/>
            <w:vMerge w:val="continue"/>
            <w:vAlign w:val="center"/>
          </w:tcPr>
          <w:p w14:paraId="70A1D349">
            <w:pPr>
              <w:pStyle w:val="109"/>
              <w:rPr>
                <w:color w:val="000000" w:themeColor="text1"/>
                <w:lang w:bidi="ar"/>
                <w14:textFill>
                  <w14:solidFill>
                    <w14:schemeClr w14:val="tx1"/>
                  </w14:solidFill>
                </w14:textFill>
              </w:rPr>
            </w:pPr>
          </w:p>
        </w:tc>
        <w:tc>
          <w:tcPr>
            <w:tcW w:w="438" w:type="pct"/>
            <w:vMerge w:val="continue"/>
            <w:vAlign w:val="center"/>
          </w:tcPr>
          <w:p w14:paraId="0B338106">
            <w:pPr>
              <w:pStyle w:val="109"/>
              <w:rPr>
                <w:color w:val="000000" w:themeColor="text1"/>
                <w:lang w:bidi="ar"/>
                <w14:textFill>
                  <w14:solidFill>
                    <w14:schemeClr w14:val="tx1"/>
                  </w14:solidFill>
                </w14:textFill>
              </w:rPr>
            </w:pPr>
          </w:p>
        </w:tc>
        <w:tc>
          <w:tcPr>
            <w:tcW w:w="1366" w:type="pct"/>
            <w:vMerge w:val="continue"/>
            <w:vAlign w:val="center"/>
          </w:tcPr>
          <w:p w14:paraId="51E96D10">
            <w:pPr>
              <w:pStyle w:val="109"/>
              <w:rPr>
                <w:color w:val="000000" w:themeColor="text1"/>
                <w:lang w:bidi="ar"/>
                <w14:textFill>
                  <w14:solidFill>
                    <w14:schemeClr w14:val="tx1"/>
                  </w14:solidFill>
                </w14:textFill>
              </w:rPr>
            </w:pPr>
          </w:p>
        </w:tc>
      </w:tr>
      <w:tr w14:paraId="4662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1714" w:type="pct"/>
            <w:gridSpan w:val="4"/>
            <w:vAlign w:val="center"/>
          </w:tcPr>
          <w:p w14:paraId="2EDFCCC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地下水</w:t>
            </w:r>
          </w:p>
        </w:tc>
        <w:tc>
          <w:tcPr>
            <w:tcW w:w="754" w:type="pct"/>
            <w:gridSpan w:val="2"/>
            <w:vAlign w:val="center"/>
          </w:tcPr>
          <w:p w14:paraId="5ABFB2E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项目区及周边地下水</w:t>
            </w:r>
          </w:p>
        </w:tc>
        <w:tc>
          <w:tcPr>
            <w:tcW w:w="307" w:type="pct"/>
            <w:vAlign w:val="center"/>
          </w:tcPr>
          <w:p w14:paraId="07402DA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III类区</w:t>
            </w:r>
          </w:p>
        </w:tc>
        <w:tc>
          <w:tcPr>
            <w:tcW w:w="859" w:type="pct"/>
            <w:gridSpan w:val="2"/>
            <w:vAlign w:val="center"/>
          </w:tcPr>
          <w:p w14:paraId="442332C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1366" w:type="pct"/>
            <w:vAlign w:val="center"/>
          </w:tcPr>
          <w:p w14:paraId="1561075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《地下水质量标准》(GB/T14848-2017)III类</w:t>
            </w:r>
          </w:p>
        </w:tc>
      </w:tr>
      <w:tr w14:paraId="1870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14" w:type="pct"/>
            <w:gridSpan w:val="4"/>
            <w:vAlign w:val="center"/>
          </w:tcPr>
          <w:p w14:paraId="4AD3843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声环境</w:t>
            </w:r>
          </w:p>
        </w:tc>
        <w:tc>
          <w:tcPr>
            <w:tcW w:w="1920" w:type="pct"/>
            <w:gridSpan w:val="5"/>
            <w:vAlign w:val="center"/>
          </w:tcPr>
          <w:p w14:paraId="2F85042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声环境质量标准3类</w:t>
            </w:r>
          </w:p>
        </w:tc>
        <w:tc>
          <w:tcPr>
            <w:tcW w:w="1366" w:type="pct"/>
            <w:vAlign w:val="center"/>
          </w:tcPr>
          <w:p w14:paraId="1CFC5C6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《声环境质量标准》（GB3096-2008）3类</w:t>
            </w:r>
          </w:p>
        </w:tc>
      </w:tr>
      <w:tr w14:paraId="7D8E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780" w:type="pct"/>
            <w:gridSpan w:val="2"/>
            <w:vAlign w:val="center"/>
          </w:tcPr>
          <w:p w14:paraId="680C4F9F">
            <w:pPr>
              <w:pStyle w:val="109"/>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环境风险</w:t>
            </w:r>
          </w:p>
        </w:tc>
        <w:tc>
          <w:tcPr>
            <w:tcW w:w="484" w:type="pct"/>
            <w:vAlign w:val="center"/>
          </w:tcPr>
          <w:p w14:paraId="3B577EC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50" w:type="pct"/>
            <w:vAlign w:val="center"/>
          </w:tcPr>
          <w:p w14:paraId="26A8318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325" w:type="pct"/>
            <w:vAlign w:val="center"/>
          </w:tcPr>
          <w:p w14:paraId="1D7FC9B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29" w:type="pct"/>
            <w:vAlign w:val="center"/>
          </w:tcPr>
          <w:p w14:paraId="4A6AB05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307" w:type="pct"/>
            <w:vAlign w:val="center"/>
          </w:tcPr>
          <w:p w14:paraId="79FB2C2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21" w:type="pct"/>
            <w:vAlign w:val="center"/>
          </w:tcPr>
          <w:p w14:paraId="33D8CED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438" w:type="pct"/>
            <w:vAlign w:val="center"/>
          </w:tcPr>
          <w:p w14:paraId="1F85159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1366" w:type="pct"/>
            <w:vAlign w:val="center"/>
          </w:tcPr>
          <w:p w14:paraId="4F9AB7E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r>
    </w:tbl>
    <w:p w14:paraId="23FB374D">
      <w:pPr>
        <w:pStyle w:val="28"/>
        <w:ind w:firstLine="480"/>
        <w:rPr>
          <w:rFonts w:ascii="Times New Roman" w:cs="Times New Roman"/>
          <w:snapToGrid w:val="0"/>
          <w:color w:val="000000" w:themeColor="text1"/>
          <w14:textFill>
            <w14:solidFill>
              <w14:schemeClr w14:val="tx1"/>
            </w14:solidFill>
          </w14:textFill>
        </w:rPr>
      </w:pPr>
    </w:p>
    <w:p w14:paraId="3ED28A3A">
      <w:pPr>
        <w:pStyle w:val="28"/>
        <w:ind w:firstLine="480"/>
        <w:rPr>
          <w:rFonts w:ascii="Times New Roman" w:cs="Times New Roman"/>
          <w:snapToGrid w:val="0"/>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6D73C68D">
      <w:pPr>
        <w:widowControl/>
        <w:autoSpaceDE/>
        <w:autoSpaceDN/>
        <w:spacing w:line="240" w:lineRule="auto"/>
        <w:ind w:firstLine="0" w:firstLineChars="0"/>
        <w:rPr>
          <w:color w:val="000000" w:themeColor="text1"/>
          <w14:textFill>
            <w14:solidFill>
              <w14:schemeClr w14:val="tx1"/>
            </w14:solidFill>
          </w14:textFill>
        </w:rPr>
      </w:pPr>
      <w:bookmarkStart w:id="194" w:name="_Toc225268281"/>
      <w:bookmarkStart w:id="195" w:name="_Toc329793433"/>
      <w:bookmarkStart w:id="196" w:name="_Toc225489002"/>
      <w:bookmarkStart w:id="197" w:name="_Toc321821702"/>
      <w:bookmarkStart w:id="198" w:name="_Toc280691118"/>
      <w:bookmarkStart w:id="199" w:name="_Toc278649398"/>
      <w:bookmarkStart w:id="200" w:name="_Toc225867333"/>
      <w:bookmarkStart w:id="201" w:name="_Toc330460757"/>
    </w:p>
    <w:p w14:paraId="4CA969F4">
      <w:pPr>
        <w:pStyle w:val="7"/>
        <w:rPr>
          <w:rFonts w:hint="eastAsia"/>
          <w:color w:val="000000" w:themeColor="text1"/>
          <w:sz w:val="32"/>
          <w:szCs w:val="32"/>
          <w14:textFill>
            <w14:solidFill>
              <w14:schemeClr w14:val="tx1"/>
            </w14:solidFill>
          </w14:textFill>
        </w:rPr>
      </w:pPr>
      <w:r>
        <w:rPr>
          <w:rFonts w:hint="eastAsia"/>
          <w:color w:val="000000" w:themeColor="text1"/>
          <w14:textFill>
            <w14:solidFill>
              <w14:schemeClr w14:val="tx1"/>
            </w14:solidFill>
          </w14:textFill>
        </w:rPr>
        <w:t>项目周边关系影像图</w:t>
      </w:r>
      <w:r>
        <w:rPr>
          <w:rFonts w:ascii="Times New Roman" w:cs="Times New Roman"/>
          <w:color w:val="000000" w:themeColor="text1"/>
          <w14:textFill>
            <w14:solidFill>
              <w14:schemeClr w14:val="tx1"/>
            </w14:solidFill>
          </w14:textFill>
        </w:rPr>
        <w:br w:type="page"/>
      </w:r>
    </w:p>
    <w:p w14:paraId="7A644A8C">
      <w:pPr>
        <w:pStyle w:val="2"/>
        <w:rPr>
          <w:rFonts w:ascii="Times New Roman" w:cs="Times New Roman"/>
          <w:color w:val="000000" w:themeColor="text1"/>
          <w14:textFill>
            <w14:solidFill>
              <w14:schemeClr w14:val="tx1"/>
            </w14:solidFill>
          </w14:textFill>
        </w:rPr>
        <w:sectPr>
          <w:headerReference r:id="rId16" w:type="first"/>
          <w:pgSz w:w="16838" w:h="11906" w:orient="landscape"/>
          <w:pgMar w:top="1247" w:right="1418" w:bottom="1247" w:left="1418" w:header="964" w:footer="964" w:gutter="0"/>
          <w:cols w:space="720" w:num="1"/>
          <w:titlePg/>
          <w:docGrid w:linePitch="286" w:charSpace="0"/>
        </w:sectPr>
      </w:pPr>
    </w:p>
    <w:p w14:paraId="0E8D9014">
      <w:pPr>
        <w:pStyle w:val="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在建项目工程分析</w:t>
      </w:r>
      <w:bookmarkEnd w:id="194"/>
    </w:p>
    <w:p w14:paraId="67DD03F0">
      <w:pPr>
        <w:pStyle w:val="3"/>
        <w:rPr>
          <w:rFonts w:ascii="Times New Roman" w:cs="Times New Roman"/>
          <w:color w:val="000000" w:themeColor="text1"/>
          <w14:textFill>
            <w14:solidFill>
              <w14:schemeClr w14:val="tx1"/>
            </w14:solidFill>
          </w14:textFill>
        </w:rPr>
      </w:pPr>
      <w:bookmarkStart w:id="202" w:name="_Toc225268282"/>
      <w:r>
        <w:rPr>
          <w:rFonts w:ascii="Times New Roman" w:cs="Times New Roman"/>
          <w:color w:val="000000" w:themeColor="text1"/>
          <w14:textFill>
            <w14:solidFill>
              <w14:schemeClr w14:val="tx1"/>
            </w14:solidFill>
          </w14:textFill>
        </w:rPr>
        <w:t>在建工程概况</w:t>
      </w:r>
      <w:bookmarkEnd w:id="202"/>
    </w:p>
    <w:p w14:paraId="390B6B52">
      <w:pPr>
        <w:widowControl/>
        <w:ind w:left="480" w:firstLine="0" w:firstLineChars="0"/>
        <w:jc w:val="both"/>
        <w:rPr>
          <w:bCs/>
          <w:color w:val="000000" w:themeColor="text1"/>
          <w:lang w:val="zh-CN" w:bidi="zh-CN"/>
          <w14:textFill>
            <w14:solidFill>
              <w14:schemeClr w14:val="tx1"/>
            </w14:solidFill>
          </w14:textFill>
        </w:rPr>
      </w:pPr>
      <w:r>
        <w:rPr>
          <w:bCs/>
          <w:color w:val="000000" w:themeColor="text1"/>
          <w:lang w:val="zh-CN" w:bidi="zh-CN"/>
          <w14:textFill>
            <w14:solidFill>
              <w14:schemeClr w14:val="tx1"/>
            </w14:solidFill>
          </w14:textFill>
        </w:rPr>
        <w:t>项目名称：甘泉堡经开区华瑞化工年产5万吨煤基戊烯深加工项目</w:t>
      </w:r>
    </w:p>
    <w:p w14:paraId="0620F658">
      <w:pPr>
        <w:widowControl/>
        <w:ind w:left="480" w:firstLine="0" w:firstLineChars="0"/>
        <w:jc w:val="both"/>
        <w:rPr>
          <w:bCs/>
          <w:color w:val="000000" w:themeColor="text1"/>
          <w:lang w:val="zh-CN" w:bidi="zh-CN"/>
          <w14:textFill>
            <w14:solidFill>
              <w14:schemeClr w14:val="tx1"/>
            </w14:solidFill>
          </w14:textFill>
        </w:rPr>
      </w:pPr>
      <w:r>
        <w:rPr>
          <w:bCs/>
          <w:color w:val="000000" w:themeColor="text1"/>
          <w:lang w:val="zh-CN" w:bidi="zh-CN"/>
          <w14:textFill>
            <w14:solidFill>
              <w14:schemeClr w14:val="tx1"/>
            </w14:solidFill>
          </w14:textFill>
        </w:rPr>
        <w:t>建设单位：新疆华瑞化工技术有限公司。</w:t>
      </w:r>
    </w:p>
    <w:p w14:paraId="7AB3A436">
      <w:pPr>
        <w:ind w:firstLine="480"/>
        <w:jc w:val="both"/>
        <w:rPr>
          <w:bCs/>
          <w:color w:val="000000" w:themeColor="text1"/>
          <w:lang w:bidi="zh-CN"/>
          <w14:textFill>
            <w14:solidFill>
              <w14:schemeClr w14:val="tx1"/>
            </w14:solidFill>
          </w14:textFill>
        </w:rPr>
      </w:pPr>
      <w:r>
        <w:rPr>
          <w:bCs/>
          <w:color w:val="000000" w:themeColor="text1"/>
          <w:lang w:val="zh-CN" w:bidi="zh-CN"/>
          <w14:textFill>
            <w14:solidFill>
              <w14:schemeClr w14:val="tx1"/>
            </w14:solidFill>
          </w14:textFill>
        </w:rPr>
        <w:t>建设</w:t>
      </w:r>
      <w:r>
        <w:rPr>
          <w:bCs/>
          <w:color w:val="000000" w:themeColor="text1"/>
          <w:lang w:bidi="zh-CN"/>
          <w14:textFill>
            <w14:solidFill>
              <w14:schemeClr w14:val="tx1"/>
            </w14:solidFill>
          </w14:textFill>
        </w:rPr>
        <w:t>地点</w:t>
      </w:r>
      <w:r>
        <w:rPr>
          <w:bCs/>
          <w:color w:val="000000" w:themeColor="text1"/>
          <w:lang w:val="zh-CN" w:bidi="zh-CN"/>
          <w14:textFill>
            <w14:solidFill>
              <w14:schemeClr w14:val="tx1"/>
            </w14:solidFill>
          </w14:textFill>
        </w:rPr>
        <w:t>：本项目位于乌鲁木齐甘泉堡经济技术开发区（工业区）化工园区，</w:t>
      </w:r>
      <w:r>
        <w:rPr>
          <w:bCs/>
          <w:color w:val="000000" w:themeColor="text1"/>
          <w:lang w:bidi="zh-CN"/>
          <w14:textFill>
            <w14:solidFill>
              <w14:schemeClr w14:val="tx1"/>
            </w14:solidFill>
          </w14:textFill>
        </w:rPr>
        <w:t>中心地理坐标为E87°41′39.225″，N44°8′13.014″。</w:t>
      </w:r>
    </w:p>
    <w:p w14:paraId="58AFAF7D">
      <w:pPr>
        <w:ind w:firstLine="480"/>
        <w:jc w:val="both"/>
        <w:rPr>
          <w:bCs/>
          <w:color w:val="000000" w:themeColor="text1"/>
          <w:lang w:val="zh-CN" w:bidi="zh-CN"/>
          <w14:textFill>
            <w14:solidFill>
              <w14:schemeClr w14:val="tx1"/>
            </w14:solidFill>
          </w14:textFill>
        </w:rPr>
      </w:pPr>
      <w:r>
        <w:rPr>
          <w:bCs/>
          <w:color w:val="000000" w:themeColor="text1"/>
          <w:lang w:val="zh-CN" w:bidi="zh-CN"/>
          <w14:textFill>
            <w14:solidFill>
              <w14:schemeClr w14:val="tx1"/>
            </w14:solidFill>
          </w14:textFill>
        </w:rPr>
        <w:t>建设内容：项目用地面积</w:t>
      </w:r>
      <w:r>
        <w:rPr>
          <w:bCs/>
          <w:color w:val="000000" w:themeColor="text1"/>
          <w:lang w:bidi="zh-CN"/>
          <w14:textFill>
            <w14:solidFill>
              <w14:schemeClr w14:val="tx1"/>
            </w14:solidFill>
          </w14:textFill>
        </w:rPr>
        <w:t>5</w:t>
      </w:r>
      <w:r>
        <w:rPr>
          <w:bCs/>
          <w:color w:val="000000" w:themeColor="text1"/>
          <w:lang w:val="zh-CN" w:bidi="zh-CN"/>
          <w14:textFill>
            <w14:solidFill>
              <w14:schemeClr w14:val="tx1"/>
            </w14:solidFill>
          </w14:textFill>
        </w:rPr>
        <w:t>0亩，本项目利用</w:t>
      </w:r>
      <w:bookmarkStart w:id="203" w:name="OLE_LINK84"/>
      <w:r>
        <w:rPr>
          <w:color w:val="000000" w:themeColor="text1"/>
          <w14:textFill>
            <w14:solidFill>
              <w14:schemeClr w14:val="tx1"/>
            </w14:solidFill>
          </w14:textFill>
        </w:rPr>
        <w:t>国能新疆化工有限公司生产的副产物</w:t>
      </w:r>
      <w:bookmarkEnd w:id="203"/>
      <w:r>
        <w:rPr>
          <w:bCs/>
          <w:color w:val="000000" w:themeColor="text1"/>
          <w:lang w:val="zh-CN" w:bidi="zh-CN"/>
          <w14:textFill>
            <w14:solidFill>
              <w14:schemeClr w14:val="tx1"/>
            </w14:solidFill>
          </w14:textFill>
        </w:rPr>
        <w:t>煤基戊烯</w:t>
      </w:r>
      <w:r>
        <w:rPr>
          <w:bCs/>
          <w:color w:val="000000" w:themeColor="text1"/>
          <w:lang w:bidi="zh-CN"/>
          <w14:textFill>
            <w14:solidFill>
              <w14:schemeClr w14:val="tx1"/>
            </w14:solidFill>
          </w14:textFill>
        </w:rPr>
        <w:t>原料中的异</w:t>
      </w:r>
      <w:r>
        <w:rPr>
          <w:bCs/>
          <w:color w:val="000000" w:themeColor="text1"/>
          <w:lang w:val="zh-CN" w:bidi="zh-CN"/>
          <w14:textFill>
            <w14:solidFill>
              <w14:schemeClr w14:val="tx1"/>
            </w14:solidFill>
          </w14:textFill>
        </w:rPr>
        <w:t>戊烯</w:t>
      </w:r>
      <w:r>
        <w:rPr>
          <w:bCs/>
          <w:color w:val="000000" w:themeColor="text1"/>
          <w:lang w:bidi="zh-CN"/>
          <w14:textFill>
            <w14:solidFill>
              <w14:schemeClr w14:val="tx1"/>
            </w14:solidFill>
          </w14:textFill>
        </w:rPr>
        <w:t>成分</w:t>
      </w:r>
      <w:r>
        <w:rPr>
          <w:bCs/>
          <w:color w:val="000000" w:themeColor="text1"/>
          <w:lang w:val="zh-CN" w:bidi="zh-CN"/>
          <w14:textFill>
            <w14:solidFill>
              <w14:schemeClr w14:val="tx1"/>
            </w14:solidFill>
          </w14:textFill>
        </w:rPr>
        <w:t>醚化反应生成</w:t>
      </w:r>
      <w:r>
        <w:rPr>
          <w:bCs/>
          <w:color w:val="000000" w:themeColor="text1"/>
          <w:lang w:bidi="zh-CN"/>
          <w14:textFill>
            <w14:solidFill>
              <w14:schemeClr w14:val="tx1"/>
            </w14:solidFill>
          </w14:textFill>
        </w:rPr>
        <w:t>含有</w:t>
      </w:r>
      <w:r>
        <w:rPr>
          <w:bCs/>
          <w:color w:val="000000" w:themeColor="text1"/>
          <w:lang w:val="zh-CN" w:bidi="zh-CN"/>
          <w14:textFill>
            <w14:solidFill>
              <w14:schemeClr w14:val="tx1"/>
            </w14:solidFill>
          </w14:textFill>
        </w:rPr>
        <w:t>甲基叔戊醚（TAME）</w:t>
      </w:r>
      <w:r>
        <w:rPr>
          <w:bCs/>
          <w:color w:val="000000" w:themeColor="text1"/>
          <w:lang w:bidi="zh-CN"/>
          <w14:textFill>
            <w14:solidFill>
              <w14:schemeClr w14:val="tx1"/>
            </w14:solidFill>
          </w14:textFill>
        </w:rPr>
        <w:t>的混合物</w:t>
      </w:r>
      <w:r>
        <w:rPr>
          <w:bCs/>
          <w:color w:val="000000" w:themeColor="text1"/>
          <w:lang w:val="zh-CN" w:bidi="zh-CN"/>
          <w14:textFill>
            <w14:solidFill>
              <w14:schemeClr w14:val="tx1"/>
            </w14:solidFill>
          </w14:textFill>
        </w:rPr>
        <w:t>，生产规模为年产5万吨醚</w:t>
      </w:r>
      <w:r>
        <w:rPr>
          <w:bCs/>
          <w:color w:val="000000" w:themeColor="text1"/>
          <w:lang w:bidi="zh-CN"/>
          <w14:textFill>
            <w14:solidFill>
              <w14:schemeClr w14:val="tx1"/>
            </w14:solidFill>
          </w14:textFill>
        </w:rPr>
        <w:t>后</w:t>
      </w:r>
      <w:r>
        <w:rPr>
          <w:bCs/>
          <w:color w:val="000000" w:themeColor="text1"/>
          <w:lang w:val="zh-CN" w:bidi="zh-CN"/>
          <w14:textFill>
            <w14:solidFill>
              <w14:schemeClr w14:val="tx1"/>
            </w14:solidFill>
          </w14:textFill>
        </w:rPr>
        <w:t>戊烯</w:t>
      </w:r>
      <w:r>
        <w:rPr>
          <w:bCs/>
          <w:color w:val="000000" w:themeColor="text1"/>
          <w:lang w:bidi="zh-CN"/>
          <w14:textFill>
            <w14:solidFill>
              <w14:schemeClr w14:val="tx1"/>
            </w14:solidFill>
          </w14:textFill>
        </w:rPr>
        <w:t>混合物</w:t>
      </w:r>
      <w:r>
        <w:rPr>
          <w:bCs/>
          <w:color w:val="000000" w:themeColor="text1"/>
          <w:lang w:val="zh-CN" w:bidi="zh-CN"/>
          <w14:textFill>
            <w14:solidFill>
              <w14:schemeClr w14:val="tx1"/>
            </w14:solidFill>
          </w14:textFill>
        </w:rPr>
        <w:t>。建设主生产装置一套，一个罐区，一个装卸区，部分公辅设施及配套生活设施依托新疆华瑞气体有限公司</w:t>
      </w:r>
      <w:r>
        <w:rPr>
          <w:color w:val="000000" w:themeColor="text1"/>
          <w14:textFill>
            <w14:solidFill>
              <w14:schemeClr w14:val="tx1"/>
            </w14:solidFill>
          </w14:textFill>
        </w:rPr>
        <w:t>年产30万吨食品级液体二氧化碳项目设施</w:t>
      </w:r>
      <w:r>
        <w:rPr>
          <w:bCs/>
          <w:color w:val="000000" w:themeColor="text1"/>
          <w:lang w:val="zh-CN" w:bidi="zh-CN"/>
          <w14:textFill>
            <w14:solidFill>
              <w14:schemeClr w14:val="tx1"/>
            </w14:solidFill>
          </w14:textFill>
        </w:rPr>
        <w:t>。</w:t>
      </w:r>
    </w:p>
    <w:p w14:paraId="10C4C367">
      <w:pPr>
        <w:kinsoku w:val="0"/>
        <w:overflowPunct w:val="0"/>
        <w:ind w:firstLine="480"/>
        <w:jc w:val="both"/>
        <w:rPr>
          <w:bCs/>
          <w:color w:val="000000" w:themeColor="text1"/>
          <w:lang w:val="zh-CN" w:bidi="zh-CN"/>
          <w14:textFill>
            <w14:solidFill>
              <w14:schemeClr w14:val="tx1"/>
            </w14:solidFill>
          </w14:textFill>
        </w:rPr>
      </w:pPr>
      <w:r>
        <w:rPr>
          <w:bCs/>
          <w:color w:val="000000" w:themeColor="text1"/>
          <w:lang w:val="zh-CN" w:bidi="zh-CN"/>
          <w14:textFill>
            <w14:solidFill>
              <w14:schemeClr w14:val="tx1"/>
            </w14:solidFill>
          </w14:textFill>
        </w:rPr>
        <w:t>劳动定员：项目劳动定员为</w:t>
      </w:r>
      <w:r>
        <w:rPr>
          <w:bCs/>
          <w:color w:val="000000" w:themeColor="text1"/>
          <w:lang w:bidi="zh-CN"/>
          <w14:textFill>
            <w14:solidFill>
              <w14:schemeClr w14:val="tx1"/>
            </w14:solidFill>
          </w14:textFill>
        </w:rPr>
        <w:t>25</w:t>
      </w:r>
      <w:r>
        <w:rPr>
          <w:bCs/>
          <w:color w:val="000000" w:themeColor="text1"/>
          <w:lang w:val="zh-CN" w:bidi="zh-CN"/>
          <w14:textFill>
            <w14:solidFill>
              <w14:schemeClr w14:val="tx1"/>
            </w14:solidFill>
          </w14:textFill>
        </w:rPr>
        <w:t>人。</w:t>
      </w:r>
    </w:p>
    <w:p w14:paraId="678900A3">
      <w:pPr>
        <w:kinsoku w:val="0"/>
        <w:overflowPunct w:val="0"/>
        <w:ind w:firstLine="480"/>
        <w:jc w:val="both"/>
        <w:rPr>
          <w:bCs/>
          <w:color w:val="000000" w:themeColor="text1"/>
          <w:lang w:val="zh-CN" w:bidi="zh-CN"/>
          <w14:textFill>
            <w14:solidFill>
              <w14:schemeClr w14:val="tx1"/>
            </w14:solidFill>
          </w14:textFill>
        </w:rPr>
      </w:pPr>
      <w:r>
        <w:rPr>
          <w:bCs/>
          <w:color w:val="000000" w:themeColor="text1"/>
          <w:lang w:val="zh-CN" w:bidi="zh-CN"/>
          <w14:textFill>
            <w14:solidFill>
              <w14:schemeClr w14:val="tx1"/>
            </w14:solidFill>
          </w14:textFill>
        </w:rPr>
        <w:t>生产制度：全</w:t>
      </w:r>
      <w:r>
        <w:rPr>
          <w:bCs/>
          <w:color w:val="000000" w:themeColor="text1"/>
          <w:lang w:bidi="zh-CN"/>
          <w14:textFill>
            <w14:solidFill>
              <w14:schemeClr w14:val="tx1"/>
            </w14:solidFill>
          </w14:textFill>
        </w:rPr>
        <w:t>年生产8000小时</w:t>
      </w:r>
      <w:r>
        <w:rPr>
          <w:bCs/>
          <w:color w:val="000000" w:themeColor="text1"/>
          <w:lang w:val="zh-CN" w:bidi="zh-CN"/>
          <w14:textFill>
            <w14:solidFill>
              <w14:schemeClr w14:val="tx1"/>
            </w14:solidFill>
          </w14:textFill>
        </w:rPr>
        <w:t>。</w:t>
      </w:r>
    </w:p>
    <w:p w14:paraId="0DEA4C3A">
      <w:pPr>
        <w:kinsoku w:val="0"/>
        <w:overflowPunct w:val="0"/>
        <w:ind w:firstLine="480"/>
        <w:jc w:val="both"/>
        <w:rPr>
          <w:bCs/>
          <w:color w:val="000000" w:themeColor="text1"/>
          <w:lang w:val="zh-CN" w:bidi="zh-CN"/>
          <w14:textFill>
            <w14:solidFill>
              <w14:schemeClr w14:val="tx1"/>
            </w14:solidFill>
          </w14:textFill>
        </w:rPr>
      </w:pPr>
      <w:r>
        <w:rPr>
          <w:bCs/>
          <w:color w:val="000000" w:themeColor="text1"/>
          <w:lang w:bidi="zh-CN"/>
          <w14:textFill>
            <w14:solidFill>
              <w14:schemeClr w14:val="tx1"/>
            </w14:solidFill>
          </w14:textFill>
        </w:rPr>
        <w:t>项目实施进度</w:t>
      </w:r>
      <w:r>
        <w:rPr>
          <w:bCs/>
          <w:color w:val="000000" w:themeColor="text1"/>
          <w:lang w:val="zh-CN" w:bidi="zh-CN"/>
          <w14:textFill>
            <w14:solidFill>
              <w14:schemeClr w14:val="tx1"/>
            </w14:solidFill>
          </w14:textFill>
        </w:rPr>
        <w:t>：</w:t>
      </w:r>
      <w:r>
        <w:rPr>
          <w:rFonts w:hint="eastAsia"/>
          <w:bCs/>
          <w:color w:val="000000" w:themeColor="text1"/>
          <w:lang w:val="zh-CN" w:bidi="zh-CN"/>
          <w14:textFill>
            <w14:solidFill>
              <w14:schemeClr w14:val="tx1"/>
            </w14:solidFill>
          </w14:textFill>
        </w:rPr>
        <w:t>在建</w:t>
      </w:r>
      <w:r>
        <w:rPr>
          <w:bCs/>
          <w:color w:val="000000" w:themeColor="text1"/>
          <w:lang w:val="zh-CN" w:bidi="zh-CN"/>
          <w14:textFill>
            <w14:solidFill>
              <w14:schemeClr w14:val="tx1"/>
            </w14:solidFill>
          </w14:textFill>
        </w:rPr>
        <w:t>。</w:t>
      </w:r>
    </w:p>
    <w:p w14:paraId="6AA2CDDD">
      <w:pPr>
        <w:pStyle w:val="3"/>
        <w:rPr>
          <w:rFonts w:ascii="Times New Roman" w:cs="Times New Roman"/>
          <w:color w:val="000000" w:themeColor="text1"/>
          <w14:textFill>
            <w14:solidFill>
              <w14:schemeClr w14:val="tx1"/>
            </w14:solidFill>
          </w14:textFill>
        </w:rPr>
      </w:pPr>
      <w:bookmarkStart w:id="204" w:name="_Toc225268283"/>
      <w:r>
        <w:rPr>
          <w:rFonts w:ascii="Times New Roman" w:cs="Times New Roman"/>
          <w:color w:val="000000" w:themeColor="text1"/>
          <w14:textFill>
            <w14:solidFill>
              <w14:schemeClr w14:val="tx1"/>
            </w14:solidFill>
          </w14:textFill>
        </w:rPr>
        <w:t>在建项目三同时执行情况</w:t>
      </w:r>
      <w:bookmarkEnd w:id="204"/>
    </w:p>
    <w:p w14:paraId="34433CEE">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在建项目三同时执行情况一览表</w:t>
      </w:r>
    </w:p>
    <w:tbl>
      <w:tblPr>
        <w:tblStyle w:val="76"/>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235"/>
        <w:gridCol w:w="1974"/>
        <w:gridCol w:w="2041"/>
        <w:gridCol w:w="2131"/>
      </w:tblGrid>
      <w:tr w14:paraId="5BA7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724" w:type="pct"/>
            <w:vAlign w:val="center"/>
          </w:tcPr>
          <w:p w14:paraId="154BCA5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项目名称</w:t>
            </w:r>
          </w:p>
        </w:tc>
        <w:tc>
          <w:tcPr>
            <w:tcW w:w="1052" w:type="pct"/>
            <w:vAlign w:val="center"/>
          </w:tcPr>
          <w:p w14:paraId="0F0E3AD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1088" w:type="pct"/>
            <w:vAlign w:val="center"/>
          </w:tcPr>
          <w:p w14:paraId="2FF3A34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环评批复</w:t>
            </w:r>
          </w:p>
        </w:tc>
        <w:tc>
          <w:tcPr>
            <w:tcW w:w="1137" w:type="pct"/>
            <w:vAlign w:val="center"/>
          </w:tcPr>
          <w:p w14:paraId="30CC4AA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验收情况</w:t>
            </w:r>
          </w:p>
        </w:tc>
      </w:tr>
      <w:tr w14:paraId="36F3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724" w:type="pct"/>
            <w:vAlign w:val="center"/>
          </w:tcPr>
          <w:p w14:paraId="576435AF">
            <w:pPr>
              <w:pStyle w:val="109"/>
              <w:rPr>
                <w:color w:val="000000" w:themeColor="text1"/>
                <w:szCs w:val="21"/>
                <w14:textFill>
                  <w14:solidFill>
                    <w14:schemeClr w14:val="tx1"/>
                  </w14:solidFill>
                </w14:textFill>
              </w:rPr>
            </w:pPr>
            <w:r>
              <w:rPr>
                <w:bCs/>
                <w:color w:val="000000" w:themeColor="text1"/>
                <w:szCs w:val="21"/>
                <w:lang w:val="zh-CN" w:bidi="zh-CN"/>
                <w14:textFill>
                  <w14:solidFill>
                    <w14:schemeClr w14:val="tx1"/>
                  </w14:solidFill>
                </w14:textFill>
              </w:rPr>
              <w:t>甘泉堡经开区华瑞化工年产5万吨煤基戊烯深加工项目</w:t>
            </w:r>
          </w:p>
        </w:tc>
        <w:tc>
          <w:tcPr>
            <w:tcW w:w="1052" w:type="pct"/>
            <w:vAlign w:val="center"/>
          </w:tcPr>
          <w:p w14:paraId="6AEC014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环境影响报告书</w:t>
            </w:r>
          </w:p>
        </w:tc>
        <w:tc>
          <w:tcPr>
            <w:tcW w:w="1088" w:type="pct"/>
            <w:vAlign w:val="center"/>
          </w:tcPr>
          <w:p w14:paraId="7AFA4CB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乌环评（甘）审</w:t>
            </w:r>
            <w:r>
              <w:rPr>
                <w:rFonts w:eastAsia="Cambria Math"/>
                <w:color w:val="000000" w:themeColor="text1"/>
                <w:szCs w:val="21"/>
                <w14:textFill>
                  <w14:solidFill>
                    <w14:schemeClr w14:val="tx1"/>
                  </w14:solidFill>
                </w14:textFill>
              </w:rPr>
              <w:t>〔</w:t>
            </w:r>
            <w:r>
              <w:rPr>
                <w:color w:val="000000" w:themeColor="text1"/>
                <w:szCs w:val="21"/>
                <w14:textFill>
                  <w14:solidFill>
                    <w14:schemeClr w14:val="tx1"/>
                  </w14:solidFill>
                </w14:textFill>
              </w:rPr>
              <w:t>2025</w:t>
            </w:r>
            <w:r>
              <w:rPr>
                <w:rFonts w:eastAsia="Cambria Math"/>
                <w:color w:val="000000" w:themeColor="text1"/>
                <w:szCs w:val="21"/>
                <w14:textFill>
                  <w14:solidFill>
                    <w14:schemeClr w14:val="tx1"/>
                  </w14:solidFill>
                </w14:textFill>
              </w:rPr>
              <w:t>〕</w:t>
            </w:r>
            <w:r>
              <w:rPr>
                <w:color w:val="000000" w:themeColor="text1"/>
                <w:szCs w:val="21"/>
                <w14:textFill>
                  <w14:solidFill>
                    <w14:schemeClr w14:val="tx1"/>
                  </w14:solidFill>
                </w14:textFill>
              </w:rPr>
              <w:t>9号</w:t>
            </w:r>
          </w:p>
        </w:tc>
        <w:tc>
          <w:tcPr>
            <w:tcW w:w="1137" w:type="pct"/>
            <w:vAlign w:val="center"/>
          </w:tcPr>
          <w:p w14:paraId="6F5F25B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尚未建成，未验收</w:t>
            </w:r>
          </w:p>
        </w:tc>
      </w:tr>
    </w:tbl>
    <w:p w14:paraId="1C640E4E">
      <w:pPr>
        <w:pStyle w:val="3"/>
        <w:rPr>
          <w:rFonts w:ascii="Times New Roman" w:cs="Times New Roman"/>
          <w:color w:val="000000" w:themeColor="text1"/>
          <w14:textFill>
            <w14:solidFill>
              <w14:schemeClr w14:val="tx1"/>
            </w14:solidFill>
          </w14:textFill>
        </w:rPr>
      </w:pPr>
      <w:bookmarkStart w:id="205" w:name="_Toc225268284"/>
      <w:r>
        <w:rPr>
          <w:rFonts w:ascii="Times New Roman" w:cs="Times New Roman"/>
          <w:color w:val="000000" w:themeColor="text1"/>
          <w14:textFill>
            <w14:solidFill>
              <w14:schemeClr w14:val="tx1"/>
            </w14:solidFill>
          </w14:textFill>
        </w:rPr>
        <w:t>在建项目工程组成</w:t>
      </w:r>
      <w:bookmarkEnd w:id="205"/>
    </w:p>
    <w:p w14:paraId="577E83A9">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项目建设内容详见下表。</w:t>
      </w:r>
    </w:p>
    <w:p w14:paraId="2B8DDE63">
      <w:pPr>
        <w:pStyle w:val="117"/>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建设内容</w:t>
      </w:r>
      <w:r>
        <w:rPr>
          <w:rFonts w:ascii="Times New Roman" w:hAnsi="Times New Roman" w:cs="Times New Roman"/>
          <w:color w:val="000000" w:themeColor="text1"/>
          <w14:textFill>
            <w14:solidFill>
              <w14:schemeClr w14:val="tx1"/>
            </w14:solidFill>
          </w14:textFill>
        </w:rPr>
        <w:t>一览</w:t>
      </w:r>
      <w:r>
        <w:rPr>
          <w:rFonts w:ascii="Times New Roman" w:hAnsi="Times New Roman" w:cs="Times New Roman"/>
          <w:color w:val="000000" w:themeColor="text1"/>
          <w:lang w:val="zh-CN"/>
          <w14:textFill>
            <w14:solidFill>
              <w14:schemeClr w14:val="tx1"/>
            </w14:solidFill>
          </w14:textFill>
        </w:rPr>
        <w:t>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8"/>
        <w:gridCol w:w="1263"/>
        <w:gridCol w:w="7581"/>
      </w:tblGrid>
      <w:tr w14:paraId="7874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307" w:type="pct"/>
            <w:vAlign w:val="center"/>
          </w:tcPr>
          <w:p w14:paraId="7C993655">
            <w:pPr>
              <w:pStyle w:val="109"/>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670" w:type="pct"/>
            <w:vAlign w:val="center"/>
          </w:tcPr>
          <w:p w14:paraId="1CC647D4">
            <w:pPr>
              <w:pStyle w:val="109"/>
              <w:rPr>
                <w:color w:val="000000" w:themeColor="text1"/>
                <w14:textFill>
                  <w14:solidFill>
                    <w14:schemeClr w14:val="tx1"/>
                  </w14:solidFill>
                </w14:textFill>
              </w:rPr>
            </w:pPr>
            <w:r>
              <w:rPr>
                <w:color w:val="000000" w:themeColor="text1"/>
                <w14:textFill>
                  <w14:solidFill>
                    <w14:schemeClr w14:val="tx1"/>
                  </w14:solidFill>
                </w14:textFill>
              </w:rPr>
              <w:t>工程名称</w:t>
            </w:r>
          </w:p>
        </w:tc>
        <w:tc>
          <w:tcPr>
            <w:tcW w:w="4023" w:type="pct"/>
            <w:vAlign w:val="center"/>
          </w:tcPr>
          <w:p w14:paraId="7DBE47AF">
            <w:pPr>
              <w:pStyle w:val="109"/>
              <w:rPr>
                <w:color w:val="000000" w:themeColor="text1"/>
                <w14:textFill>
                  <w14:solidFill>
                    <w14:schemeClr w14:val="tx1"/>
                  </w14:solidFill>
                </w14:textFill>
              </w:rPr>
            </w:pPr>
            <w:r>
              <w:rPr>
                <w:color w:val="000000" w:themeColor="text1"/>
                <w14:textFill>
                  <w14:solidFill>
                    <w14:schemeClr w14:val="tx1"/>
                  </w14:solidFill>
                </w14:textFill>
              </w:rPr>
              <w:t>项目组成及规模</w:t>
            </w:r>
          </w:p>
        </w:tc>
      </w:tr>
      <w:tr w14:paraId="1C30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7" w:type="pct"/>
            <w:vAlign w:val="center"/>
          </w:tcPr>
          <w:p w14:paraId="31304829">
            <w:pPr>
              <w:pStyle w:val="109"/>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670" w:type="pct"/>
            <w:vAlign w:val="center"/>
          </w:tcPr>
          <w:p w14:paraId="244D0B29">
            <w:pPr>
              <w:pStyle w:val="109"/>
              <w:rPr>
                <w:color w:val="000000" w:themeColor="text1"/>
                <w14:textFill>
                  <w14:solidFill>
                    <w14:schemeClr w14:val="tx1"/>
                  </w14:solidFill>
                </w14:textFill>
              </w:rPr>
            </w:pPr>
            <w:r>
              <w:rPr>
                <w:color w:val="000000" w:themeColor="text1"/>
                <w14:textFill>
                  <w14:solidFill>
                    <w14:schemeClr w14:val="tx1"/>
                  </w14:solidFill>
                </w14:textFill>
              </w:rPr>
              <w:t>醚后戊烯</w:t>
            </w:r>
          </w:p>
          <w:p w14:paraId="3AB1FB90">
            <w:pPr>
              <w:pStyle w:val="109"/>
              <w:rPr>
                <w:color w:val="000000" w:themeColor="text1"/>
                <w14:textFill>
                  <w14:solidFill>
                    <w14:schemeClr w14:val="tx1"/>
                  </w14:solidFill>
                </w14:textFill>
              </w:rPr>
            </w:pPr>
            <w:r>
              <w:rPr>
                <w:color w:val="000000" w:themeColor="text1"/>
                <w14:textFill>
                  <w14:solidFill>
                    <w14:schemeClr w14:val="tx1"/>
                  </w14:solidFill>
                </w14:textFill>
              </w:rPr>
              <w:t>生产区</w:t>
            </w:r>
          </w:p>
        </w:tc>
        <w:tc>
          <w:tcPr>
            <w:tcW w:w="4023" w:type="pct"/>
            <w:vAlign w:val="center"/>
          </w:tcPr>
          <w:p w14:paraId="590C8AB8">
            <w:pPr>
              <w:pStyle w:val="109"/>
              <w:rPr>
                <w:color w:val="000000" w:themeColor="text1"/>
                <w14:textFill>
                  <w14:solidFill>
                    <w14:schemeClr w14:val="tx1"/>
                  </w14:solidFill>
                </w14:textFill>
              </w:rPr>
            </w:pPr>
            <w:r>
              <w:rPr>
                <w:color w:val="000000" w:themeColor="text1"/>
                <w14:textFill>
                  <w14:solidFill>
                    <w14:schemeClr w14:val="tx1"/>
                  </w14:solidFill>
                </w14:textFill>
              </w:rPr>
              <w:t>建设套年产5万吨醚后戊烯（含甲基叔戊醚成分的混合物）生产装置，主要设备为1个30m³醚化反应器、1个精馏塔</w:t>
            </w:r>
            <w:r>
              <w:rPr>
                <w:rFonts w:hint="eastAsia"/>
                <w:color w:val="000000" w:themeColor="text1"/>
                <w14:textFill>
                  <w14:solidFill>
                    <w14:schemeClr w14:val="tx1"/>
                  </w14:solidFill>
                </w14:textFill>
              </w:rPr>
              <w:t>。</w:t>
            </w:r>
          </w:p>
        </w:tc>
      </w:tr>
      <w:tr w14:paraId="3DE7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7" w:type="pct"/>
            <w:vAlign w:val="center"/>
          </w:tcPr>
          <w:p w14:paraId="1E02B37C">
            <w:pPr>
              <w:pStyle w:val="109"/>
              <w:rPr>
                <w:color w:val="000000" w:themeColor="text1"/>
                <w14:textFill>
                  <w14:solidFill>
                    <w14:schemeClr w14:val="tx1"/>
                  </w14:solidFill>
                </w14:textFill>
              </w:rPr>
            </w:pPr>
            <w:r>
              <w:rPr>
                <w:color w:val="000000" w:themeColor="text1"/>
                <w14:textFill>
                  <w14:solidFill>
                    <w14:schemeClr w14:val="tx1"/>
                  </w14:solidFill>
                </w14:textFill>
              </w:rPr>
              <w:t>储运工程</w:t>
            </w:r>
          </w:p>
        </w:tc>
        <w:tc>
          <w:tcPr>
            <w:tcW w:w="670" w:type="pct"/>
            <w:vAlign w:val="center"/>
          </w:tcPr>
          <w:p w14:paraId="68AC57C3">
            <w:pPr>
              <w:pStyle w:val="109"/>
              <w:rPr>
                <w:color w:val="000000" w:themeColor="text1"/>
                <w14:textFill>
                  <w14:solidFill>
                    <w14:schemeClr w14:val="tx1"/>
                  </w14:solidFill>
                </w14:textFill>
              </w:rPr>
            </w:pPr>
            <w:r>
              <w:rPr>
                <w:color w:val="000000" w:themeColor="text1"/>
                <w14:textFill>
                  <w14:solidFill>
                    <w14:schemeClr w14:val="tx1"/>
                  </w14:solidFill>
                </w14:textFill>
              </w:rPr>
              <w:t>储罐</w:t>
            </w:r>
          </w:p>
        </w:tc>
        <w:tc>
          <w:tcPr>
            <w:tcW w:w="4023" w:type="pct"/>
            <w:vAlign w:val="center"/>
          </w:tcPr>
          <w:p w14:paraId="36AFCB20">
            <w:pPr>
              <w:pStyle w:val="109"/>
              <w:rPr>
                <w:color w:val="000000" w:themeColor="text1"/>
                <w14:textFill>
                  <w14:solidFill>
                    <w14:schemeClr w14:val="tx1"/>
                  </w14:solidFill>
                </w14:textFill>
              </w:rPr>
            </w:pPr>
            <w:r>
              <w:rPr>
                <w:color w:val="000000" w:themeColor="text1"/>
                <w14:textFill>
                  <w14:solidFill>
                    <w14:schemeClr w14:val="tx1"/>
                  </w14:solidFill>
                </w14:textFill>
              </w:rPr>
              <w:t>甲醇内浮顶储罐3200m³4个、戊烯原料罐球罐1000m³4个，醚后戊烯内浮顶储罐3200m³3个。</w:t>
            </w:r>
          </w:p>
        </w:tc>
      </w:tr>
      <w:tr w14:paraId="7D05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7" w:type="pct"/>
            <w:vMerge w:val="restart"/>
            <w:vAlign w:val="center"/>
          </w:tcPr>
          <w:p w14:paraId="05DCAFB1">
            <w:pPr>
              <w:pStyle w:val="109"/>
              <w:rPr>
                <w:color w:val="000000" w:themeColor="text1"/>
                <w14:textFill>
                  <w14:solidFill>
                    <w14:schemeClr w14:val="tx1"/>
                  </w14:solidFill>
                </w14:textFill>
              </w:rPr>
            </w:pPr>
            <w:r>
              <w:rPr>
                <w:color w:val="000000" w:themeColor="text1"/>
                <w14:textFill>
                  <w14:solidFill>
                    <w14:schemeClr w14:val="tx1"/>
                  </w14:solidFill>
                </w14:textFill>
              </w:rPr>
              <w:t>辅助工程</w:t>
            </w:r>
          </w:p>
        </w:tc>
        <w:tc>
          <w:tcPr>
            <w:tcW w:w="670" w:type="pct"/>
            <w:vAlign w:val="center"/>
          </w:tcPr>
          <w:p w14:paraId="7E4CBBC4">
            <w:pPr>
              <w:pStyle w:val="109"/>
              <w:rPr>
                <w:color w:val="000000" w:themeColor="text1"/>
                <w14:textFill>
                  <w14:solidFill>
                    <w14:schemeClr w14:val="tx1"/>
                  </w14:solidFill>
                </w14:textFill>
              </w:rPr>
            </w:pPr>
            <w:r>
              <w:rPr>
                <w:color w:val="000000" w:themeColor="text1"/>
                <w14:textFill>
                  <w14:solidFill>
                    <w14:schemeClr w14:val="tx1"/>
                  </w14:solidFill>
                </w14:textFill>
              </w:rPr>
              <w:t>办公楼</w:t>
            </w:r>
          </w:p>
        </w:tc>
        <w:tc>
          <w:tcPr>
            <w:tcW w:w="4023" w:type="pct"/>
            <w:vAlign w:val="center"/>
          </w:tcPr>
          <w:p w14:paraId="60CC3D52">
            <w:pPr>
              <w:pStyle w:val="109"/>
              <w:rPr>
                <w:color w:val="000000" w:themeColor="text1"/>
                <w14:textFill>
                  <w14:solidFill>
                    <w14:schemeClr w14:val="tx1"/>
                  </w14:solidFill>
                </w14:textFill>
              </w:rPr>
            </w:pPr>
            <w:r>
              <w:rPr>
                <w:color w:val="000000" w:themeColor="text1"/>
                <w14:textFill>
                  <w14:solidFill>
                    <w14:schemeClr w14:val="tx1"/>
                  </w14:solidFill>
                </w14:textFill>
              </w:rPr>
              <w:t>1栋，占地面积918平方米，4层建筑。</w:t>
            </w:r>
          </w:p>
        </w:tc>
      </w:tr>
      <w:tr w14:paraId="574F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5572FF4A">
            <w:pPr>
              <w:pStyle w:val="109"/>
              <w:rPr>
                <w:color w:val="000000" w:themeColor="text1"/>
                <w14:textFill>
                  <w14:solidFill>
                    <w14:schemeClr w14:val="tx1"/>
                  </w14:solidFill>
                </w14:textFill>
              </w:rPr>
            </w:pPr>
          </w:p>
        </w:tc>
        <w:tc>
          <w:tcPr>
            <w:tcW w:w="670" w:type="pct"/>
            <w:vAlign w:val="center"/>
          </w:tcPr>
          <w:p w14:paraId="37B8A9C0">
            <w:pPr>
              <w:pStyle w:val="109"/>
              <w:rPr>
                <w:color w:val="000000" w:themeColor="text1"/>
                <w14:textFill>
                  <w14:solidFill>
                    <w14:schemeClr w14:val="tx1"/>
                  </w14:solidFill>
                </w14:textFill>
              </w:rPr>
            </w:pPr>
            <w:r>
              <w:rPr>
                <w:color w:val="000000" w:themeColor="text1"/>
                <w14:textFill>
                  <w14:solidFill>
                    <w14:schemeClr w14:val="tx1"/>
                  </w14:solidFill>
                </w14:textFill>
              </w:rPr>
              <w:t>配电室</w:t>
            </w:r>
          </w:p>
        </w:tc>
        <w:tc>
          <w:tcPr>
            <w:tcW w:w="4023" w:type="pct"/>
            <w:vAlign w:val="center"/>
          </w:tcPr>
          <w:p w14:paraId="42550BDB">
            <w:pPr>
              <w:pStyle w:val="109"/>
              <w:rPr>
                <w:color w:val="000000" w:themeColor="text1"/>
                <w14:textFill>
                  <w14:solidFill>
                    <w14:schemeClr w14:val="tx1"/>
                  </w14:solidFill>
                </w14:textFill>
              </w:rPr>
            </w:pPr>
            <w:r>
              <w:rPr>
                <w:color w:val="000000" w:themeColor="text1"/>
                <w14:textFill>
                  <w14:solidFill>
                    <w14:schemeClr w14:val="tx1"/>
                  </w14:solidFill>
                </w14:textFill>
              </w:rPr>
              <w:t>1栋，占地面积400平方米，1层建筑。</w:t>
            </w:r>
          </w:p>
        </w:tc>
      </w:tr>
      <w:tr w14:paraId="72C4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29CBAE38">
            <w:pPr>
              <w:pStyle w:val="109"/>
              <w:rPr>
                <w:color w:val="000000" w:themeColor="text1"/>
                <w14:textFill>
                  <w14:solidFill>
                    <w14:schemeClr w14:val="tx1"/>
                  </w14:solidFill>
                </w14:textFill>
              </w:rPr>
            </w:pPr>
          </w:p>
        </w:tc>
        <w:tc>
          <w:tcPr>
            <w:tcW w:w="670" w:type="pct"/>
            <w:vAlign w:val="center"/>
          </w:tcPr>
          <w:p w14:paraId="05E769C6">
            <w:pPr>
              <w:pStyle w:val="109"/>
              <w:rPr>
                <w:color w:val="000000" w:themeColor="text1"/>
                <w:lang w:bidi="zh-CN"/>
                <w14:textFill>
                  <w14:solidFill>
                    <w14:schemeClr w14:val="tx1"/>
                  </w14:solidFill>
                </w14:textFill>
              </w:rPr>
            </w:pPr>
            <w:r>
              <w:rPr>
                <w:color w:val="000000" w:themeColor="text1"/>
                <w14:textFill>
                  <w14:solidFill>
                    <w14:schemeClr w14:val="tx1"/>
                  </w14:solidFill>
                </w14:textFill>
              </w:rPr>
              <w:t>装卸车棚</w:t>
            </w:r>
          </w:p>
        </w:tc>
        <w:tc>
          <w:tcPr>
            <w:tcW w:w="4023" w:type="pct"/>
            <w:vAlign w:val="center"/>
          </w:tcPr>
          <w:p w14:paraId="19D172BA">
            <w:pPr>
              <w:pStyle w:val="109"/>
              <w:rPr>
                <w:color w:val="000000" w:themeColor="text1"/>
                <w:lang w:bidi="zh-CN"/>
                <w14:textFill>
                  <w14:solidFill>
                    <w14:schemeClr w14:val="tx1"/>
                  </w14:solidFill>
                </w14:textFill>
              </w:rPr>
            </w:pPr>
            <w:r>
              <w:rPr>
                <w:color w:val="000000" w:themeColor="text1"/>
                <w14:textFill>
                  <w14:solidFill>
                    <w14:schemeClr w14:val="tx1"/>
                  </w14:solidFill>
                </w14:textFill>
              </w:rPr>
              <w:t>1栋，占地面积670平方米，8个车位，底部浸没装载</w:t>
            </w:r>
            <w:r>
              <w:rPr>
                <w:rFonts w:hint="eastAsia"/>
                <w:color w:val="000000" w:themeColor="text1"/>
                <w14:textFill>
                  <w14:solidFill>
                    <w14:schemeClr w14:val="tx1"/>
                  </w14:solidFill>
                </w14:textFill>
              </w:rPr>
              <w:t>。</w:t>
            </w:r>
          </w:p>
        </w:tc>
      </w:tr>
      <w:tr w14:paraId="37CF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7E1421C6">
            <w:pPr>
              <w:pStyle w:val="109"/>
              <w:rPr>
                <w:color w:val="000000" w:themeColor="text1"/>
                <w14:textFill>
                  <w14:solidFill>
                    <w14:schemeClr w14:val="tx1"/>
                  </w14:solidFill>
                </w14:textFill>
              </w:rPr>
            </w:pPr>
          </w:p>
        </w:tc>
        <w:tc>
          <w:tcPr>
            <w:tcW w:w="670" w:type="pct"/>
            <w:vAlign w:val="center"/>
          </w:tcPr>
          <w:p w14:paraId="6560B485">
            <w:pPr>
              <w:pStyle w:val="109"/>
              <w:rPr>
                <w:color w:val="000000" w:themeColor="text1"/>
                <w14:textFill>
                  <w14:solidFill>
                    <w14:schemeClr w14:val="tx1"/>
                  </w14:solidFill>
                </w14:textFill>
              </w:rPr>
            </w:pPr>
            <w:r>
              <w:rPr>
                <w:color w:val="000000" w:themeColor="text1"/>
                <w14:textFill>
                  <w14:solidFill>
                    <w14:schemeClr w14:val="tx1"/>
                  </w14:solidFill>
                </w14:textFill>
              </w:rPr>
              <w:t>消防泵房</w:t>
            </w:r>
          </w:p>
        </w:tc>
        <w:tc>
          <w:tcPr>
            <w:tcW w:w="4023" w:type="pct"/>
            <w:vAlign w:val="center"/>
          </w:tcPr>
          <w:p w14:paraId="49FA3B71">
            <w:pPr>
              <w:pStyle w:val="109"/>
              <w:rPr>
                <w:color w:val="000000" w:themeColor="text1"/>
                <w14:textFill>
                  <w14:solidFill>
                    <w14:schemeClr w14:val="tx1"/>
                  </w14:solidFill>
                </w14:textFill>
              </w:rPr>
            </w:pPr>
            <w:r>
              <w:rPr>
                <w:color w:val="000000" w:themeColor="text1"/>
                <w14:textFill>
                  <w14:solidFill>
                    <w14:schemeClr w14:val="tx1"/>
                  </w14:solidFill>
                </w14:textFill>
              </w:rPr>
              <w:t>占地面积296平方米，一层，另设置两个有效容积不小于2100m³消防水罐</w:t>
            </w:r>
            <w:r>
              <w:rPr>
                <w:rFonts w:hint="eastAsia"/>
                <w:color w:val="000000" w:themeColor="text1"/>
                <w14:textFill>
                  <w14:solidFill>
                    <w14:schemeClr w14:val="tx1"/>
                  </w14:solidFill>
                </w14:textFill>
              </w:rPr>
              <w:t>。</w:t>
            </w:r>
          </w:p>
        </w:tc>
      </w:tr>
      <w:tr w14:paraId="6B93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205741BF">
            <w:pPr>
              <w:pStyle w:val="109"/>
              <w:rPr>
                <w:color w:val="000000" w:themeColor="text1"/>
                <w14:textFill>
                  <w14:solidFill>
                    <w14:schemeClr w14:val="tx1"/>
                  </w14:solidFill>
                </w14:textFill>
              </w:rPr>
            </w:pPr>
          </w:p>
        </w:tc>
        <w:tc>
          <w:tcPr>
            <w:tcW w:w="670" w:type="pct"/>
            <w:vAlign w:val="center"/>
          </w:tcPr>
          <w:p w14:paraId="4E8212A1">
            <w:pPr>
              <w:pStyle w:val="109"/>
              <w:rPr>
                <w:color w:val="000000" w:themeColor="text1"/>
                <w14:textFill>
                  <w14:solidFill>
                    <w14:schemeClr w14:val="tx1"/>
                  </w14:solidFill>
                </w14:textFill>
              </w:rPr>
            </w:pPr>
            <w:r>
              <w:rPr>
                <w:color w:val="000000" w:themeColor="text1"/>
                <w14:textFill>
                  <w14:solidFill>
                    <w14:schemeClr w14:val="tx1"/>
                  </w14:solidFill>
                </w14:textFill>
              </w:rPr>
              <w:t>生活区</w:t>
            </w:r>
          </w:p>
        </w:tc>
        <w:tc>
          <w:tcPr>
            <w:tcW w:w="4023" w:type="pct"/>
            <w:vAlign w:val="center"/>
          </w:tcPr>
          <w:p w14:paraId="6F1186F2">
            <w:pPr>
              <w:pStyle w:val="109"/>
              <w:rPr>
                <w:color w:val="000000" w:themeColor="text1"/>
                <w14:textFill>
                  <w14:solidFill>
                    <w14:schemeClr w14:val="tx1"/>
                  </w14:solidFill>
                </w14:textFill>
              </w:rPr>
            </w:pPr>
            <w:r>
              <w:rPr>
                <w:color w:val="000000" w:themeColor="text1"/>
                <w:lang w:bidi="zh-CN"/>
                <w14:textFill>
                  <w14:solidFill>
                    <w14:schemeClr w14:val="tx1"/>
                  </w14:solidFill>
                </w14:textFill>
              </w:rPr>
              <w:t>部分</w:t>
            </w:r>
            <w:r>
              <w:rPr>
                <w:color w:val="000000" w:themeColor="text1"/>
                <w:lang w:val="zh-CN" w:bidi="zh-CN"/>
                <w14:textFill>
                  <w14:solidFill>
                    <w14:schemeClr w14:val="tx1"/>
                  </w14:solidFill>
                </w14:textFill>
              </w:rPr>
              <w:t>依托</w:t>
            </w:r>
            <w:r>
              <w:rPr>
                <w:color w:val="000000" w:themeColor="text1"/>
                <w14:textFill>
                  <w14:solidFill>
                    <w14:schemeClr w14:val="tx1"/>
                  </w14:solidFill>
                </w14:textFill>
              </w:rPr>
              <w:t>新疆华瑞气体有限公司年产30万吨食品级液体二氧化碳项目</w:t>
            </w:r>
            <w:r>
              <w:rPr>
                <w:rFonts w:hint="eastAsia"/>
                <w:color w:val="000000" w:themeColor="text1"/>
                <w14:textFill>
                  <w14:solidFill>
                    <w14:schemeClr w14:val="tx1"/>
                  </w14:solidFill>
                </w14:textFill>
              </w:rPr>
              <w:t>。</w:t>
            </w:r>
          </w:p>
        </w:tc>
      </w:tr>
      <w:tr w14:paraId="07C0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7" w:type="pct"/>
            <w:vMerge w:val="restart"/>
            <w:vAlign w:val="center"/>
          </w:tcPr>
          <w:p w14:paraId="25944836">
            <w:pPr>
              <w:pStyle w:val="109"/>
              <w:rPr>
                <w:color w:val="000000" w:themeColor="text1"/>
                <w14:textFill>
                  <w14:solidFill>
                    <w14:schemeClr w14:val="tx1"/>
                  </w14:solidFill>
                </w14:textFill>
              </w:rPr>
            </w:pPr>
            <w:r>
              <w:rPr>
                <w:color w:val="000000" w:themeColor="text1"/>
                <w14:textFill>
                  <w14:solidFill>
                    <w14:schemeClr w14:val="tx1"/>
                  </w14:solidFill>
                </w14:textFill>
              </w:rPr>
              <w:t>公用工程</w:t>
            </w:r>
          </w:p>
        </w:tc>
        <w:tc>
          <w:tcPr>
            <w:tcW w:w="670" w:type="pct"/>
            <w:vAlign w:val="center"/>
          </w:tcPr>
          <w:p w14:paraId="44A2FF15">
            <w:pPr>
              <w:pStyle w:val="109"/>
              <w:rPr>
                <w:color w:val="000000" w:themeColor="text1"/>
                <w:lang w:bidi="zh-CN"/>
                <w14:textFill>
                  <w14:solidFill>
                    <w14:schemeClr w14:val="tx1"/>
                  </w14:solidFill>
                </w14:textFill>
              </w:rPr>
            </w:pPr>
            <w:r>
              <w:rPr>
                <w:color w:val="000000" w:themeColor="text1"/>
                <w14:textFill>
                  <w14:solidFill>
                    <w14:schemeClr w14:val="tx1"/>
                  </w14:solidFill>
                </w14:textFill>
              </w:rPr>
              <w:t>供热</w:t>
            </w:r>
          </w:p>
        </w:tc>
        <w:tc>
          <w:tcPr>
            <w:tcW w:w="4023" w:type="pct"/>
            <w:vAlign w:val="center"/>
          </w:tcPr>
          <w:p w14:paraId="3C209CB3">
            <w:pPr>
              <w:pStyle w:val="109"/>
              <w:rPr>
                <w:color w:val="000000" w:themeColor="text1"/>
                <w:lang w:bidi="zh-CN"/>
                <w14:textFill>
                  <w14:solidFill>
                    <w14:schemeClr w14:val="tx1"/>
                  </w14:solidFill>
                </w14:textFill>
              </w:rPr>
            </w:pPr>
            <w:r>
              <w:rPr>
                <w:snapToGrid w:val="0"/>
                <w:color w:val="000000" w:themeColor="text1"/>
                <w14:textFill>
                  <w14:solidFill>
                    <w14:schemeClr w14:val="tx1"/>
                  </w14:solidFill>
                </w14:textFill>
              </w:rPr>
              <w:t>项目生产不用热，冬季采暖依托园区集中供热</w:t>
            </w:r>
            <w:r>
              <w:rPr>
                <w:rFonts w:hint="eastAsia"/>
                <w:snapToGrid w:val="0"/>
                <w:color w:val="000000" w:themeColor="text1"/>
                <w14:textFill>
                  <w14:solidFill>
                    <w14:schemeClr w14:val="tx1"/>
                  </w14:solidFill>
                </w14:textFill>
              </w:rPr>
              <w:t>。</w:t>
            </w:r>
          </w:p>
        </w:tc>
      </w:tr>
      <w:tr w14:paraId="3B09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0CB20856">
            <w:pPr>
              <w:pStyle w:val="109"/>
              <w:rPr>
                <w:color w:val="000000" w:themeColor="text1"/>
                <w14:textFill>
                  <w14:solidFill>
                    <w14:schemeClr w14:val="tx1"/>
                  </w14:solidFill>
                </w14:textFill>
              </w:rPr>
            </w:pPr>
          </w:p>
        </w:tc>
        <w:tc>
          <w:tcPr>
            <w:tcW w:w="670" w:type="pct"/>
            <w:vAlign w:val="center"/>
          </w:tcPr>
          <w:p w14:paraId="24F67342">
            <w:pPr>
              <w:pStyle w:val="109"/>
              <w:rPr>
                <w:color w:val="000000" w:themeColor="text1"/>
                <w14:textFill>
                  <w14:solidFill>
                    <w14:schemeClr w14:val="tx1"/>
                  </w14:solidFill>
                </w14:textFill>
              </w:rPr>
            </w:pPr>
            <w:r>
              <w:rPr>
                <w:color w:val="000000" w:themeColor="text1"/>
                <w14:textFill>
                  <w14:solidFill>
                    <w14:schemeClr w14:val="tx1"/>
                  </w14:solidFill>
                </w14:textFill>
              </w:rPr>
              <w:t>供水</w:t>
            </w:r>
          </w:p>
        </w:tc>
        <w:tc>
          <w:tcPr>
            <w:tcW w:w="4023" w:type="pct"/>
            <w:vAlign w:val="center"/>
          </w:tcPr>
          <w:p w14:paraId="1DB05E4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园区管网接入，能够满足项目用水需求</w:t>
            </w:r>
            <w:r>
              <w:rPr>
                <w:rFonts w:hint="eastAsia"/>
                <w:color w:val="000000" w:themeColor="text1"/>
                <w:lang w:bidi="ar"/>
                <w14:textFill>
                  <w14:solidFill>
                    <w14:schemeClr w14:val="tx1"/>
                  </w14:solidFill>
                </w14:textFill>
              </w:rPr>
              <w:t>。</w:t>
            </w:r>
          </w:p>
        </w:tc>
      </w:tr>
      <w:tr w14:paraId="5CB4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776D1375">
            <w:pPr>
              <w:pStyle w:val="109"/>
              <w:rPr>
                <w:color w:val="000000" w:themeColor="text1"/>
                <w14:textFill>
                  <w14:solidFill>
                    <w14:schemeClr w14:val="tx1"/>
                  </w14:solidFill>
                </w14:textFill>
              </w:rPr>
            </w:pPr>
          </w:p>
        </w:tc>
        <w:tc>
          <w:tcPr>
            <w:tcW w:w="670" w:type="pct"/>
            <w:vAlign w:val="center"/>
          </w:tcPr>
          <w:p w14:paraId="2E9068AA">
            <w:pPr>
              <w:pStyle w:val="109"/>
              <w:rPr>
                <w:color w:val="000000" w:themeColor="text1"/>
                <w14:textFill>
                  <w14:solidFill>
                    <w14:schemeClr w14:val="tx1"/>
                  </w14:solidFill>
                </w14:textFill>
              </w:rPr>
            </w:pPr>
            <w:r>
              <w:rPr>
                <w:color w:val="000000" w:themeColor="text1"/>
                <w14:textFill>
                  <w14:solidFill>
                    <w14:schemeClr w14:val="tx1"/>
                  </w14:solidFill>
                </w14:textFill>
              </w:rPr>
              <w:t>排水</w:t>
            </w:r>
          </w:p>
        </w:tc>
        <w:tc>
          <w:tcPr>
            <w:tcW w:w="4023" w:type="pct"/>
            <w:vAlign w:val="center"/>
          </w:tcPr>
          <w:p w14:paraId="750C10A8">
            <w:pPr>
              <w:pStyle w:val="109"/>
              <w:rPr>
                <w:color w:val="000000" w:themeColor="text1"/>
                <w14:textFill>
                  <w14:solidFill>
                    <w14:schemeClr w14:val="tx1"/>
                  </w14:solidFill>
                </w14:textFill>
              </w:rPr>
            </w:pPr>
            <w:r>
              <w:rPr>
                <w:color w:val="000000" w:themeColor="text1"/>
                <w14:textFill>
                  <w14:solidFill>
                    <w14:schemeClr w14:val="tx1"/>
                  </w14:solidFill>
                </w14:textFill>
              </w:rPr>
              <w:t>生活污水和清净下水排入园区污水处理厂。</w:t>
            </w:r>
          </w:p>
        </w:tc>
      </w:tr>
      <w:tr w14:paraId="35A2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1E8E9010">
            <w:pPr>
              <w:pStyle w:val="109"/>
              <w:rPr>
                <w:color w:val="000000" w:themeColor="text1"/>
                <w14:textFill>
                  <w14:solidFill>
                    <w14:schemeClr w14:val="tx1"/>
                  </w14:solidFill>
                </w14:textFill>
              </w:rPr>
            </w:pPr>
          </w:p>
        </w:tc>
        <w:tc>
          <w:tcPr>
            <w:tcW w:w="670" w:type="pct"/>
            <w:vAlign w:val="center"/>
          </w:tcPr>
          <w:p w14:paraId="5E39719B">
            <w:pPr>
              <w:pStyle w:val="109"/>
              <w:rPr>
                <w:color w:val="000000" w:themeColor="text1"/>
                <w14:textFill>
                  <w14:solidFill>
                    <w14:schemeClr w14:val="tx1"/>
                  </w14:solidFill>
                </w14:textFill>
              </w:rPr>
            </w:pPr>
            <w:r>
              <w:rPr>
                <w:color w:val="000000" w:themeColor="text1"/>
                <w14:textFill>
                  <w14:solidFill>
                    <w14:schemeClr w14:val="tx1"/>
                  </w14:solidFill>
                </w14:textFill>
              </w:rPr>
              <w:t>循环水系统</w:t>
            </w:r>
          </w:p>
        </w:tc>
        <w:tc>
          <w:tcPr>
            <w:tcW w:w="4023" w:type="pct"/>
            <w:vAlign w:val="center"/>
          </w:tcPr>
          <w:p w14:paraId="5CC81F33">
            <w:pPr>
              <w:pStyle w:val="109"/>
              <w:rPr>
                <w:color w:val="000000" w:themeColor="text1"/>
                <w14:textFill>
                  <w14:solidFill>
                    <w14:schemeClr w14:val="tx1"/>
                  </w14:solidFill>
                </w14:textFill>
              </w:rPr>
            </w:pPr>
            <w:r>
              <w:rPr>
                <w:color w:val="000000" w:themeColor="text1"/>
                <w:lang w:bidi="zh-CN"/>
                <w14:textFill>
                  <w14:solidFill>
                    <w14:schemeClr w14:val="tx1"/>
                  </w14:solidFill>
                </w14:textFill>
              </w:rPr>
              <w:t>68.5</w:t>
            </w:r>
            <w:r>
              <w:rPr>
                <w:color w:val="000000" w:themeColor="text1"/>
                <w:lang w:bidi="ar"/>
                <w14:textFill>
                  <w14:solidFill>
                    <w14:schemeClr w14:val="tx1"/>
                  </w14:solidFill>
                </w14:textFill>
              </w:rPr>
              <w:t>m³</w:t>
            </w:r>
            <w:r>
              <w:rPr>
                <w:color w:val="000000" w:themeColor="text1"/>
                <w:lang w:val="zh-CN" w:bidi="zh-CN"/>
                <w14:textFill>
                  <w14:solidFill>
                    <w14:schemeClr w14:val="tx1"/>
                  </w14:solidFill>
                </w14:textFill>
              </w:rPr>
              <w:t>/h</w:t>
            </w:r>
            <w:r>
              <w:rPr>
                <w:color w:val="000000" w:themeColor="text1"/>
                <w:lang w:bidi="zh-CN"/>
                <w14:textFill>
                  <w14:solidFill>
                    <w14:schemeClr w14:val="tx1"/>
                  </w14:solidFill>
                </w14:textFill>
              </w:rPr>
              <w:t>循环水系统</w:t>
            </w:r>
          </w:p>
        </w:tc>
      </w:tr>
      <w:tr w14:paraId="41FE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448D6C12">
            <w:pPr>
              <w:pStyle w:val="109"/>
              <w:rPr>
                <w:color w:val="000000" w:themeColor="text1"/>
                <w14:textFill>
                  <w14:solidFill>
                    <w14:schemeClr w14:val="tx1"/>
                  </w14:solidFill>
                </w14:textFill>
              </w:rPr>
            </w:pPr>
          </w:p>
        </w:tc>
        <w:tc>
          <w:tcPr>
            <w:tcW w:w="670" w:type="pct"/>
            <w:vAlign w:val="center"/>
          </w:tcPr>
          <w:p w14:paraId="0077C922">
            <w:pPr>
              <w:pStyle w:val="109"/>
              <w:rPr>
                <w:color w:val="000000" w:themeColor="text1"/>
                <w14:textFill>
                  <w14:solidFill>
                    <w14:schemeClr w14:val="tx1"/>
                  </w14:solidFill>
                </w14:textFill>
              </w:rPr>
            </w:pPr>
            <w:r>
              <w:rPr>
                <w:color w:val="000000" w:themeColor="text1"/>
                <w14:textFill>
                  <w14:solidFill>
                    <w14:schemeClr w14:val="tx1"/>
                  </w14:solidFill>
                </w14:textFill>
              </w:rPr>
              <w:t>供电</w:t>
            </w:r>
          </w:p>
        </w:tc>
        <w:tc>
          <w:tcPr>
            <w:tcW w:w="4023" w:type="pct"/>
            <w:vAlign w:val="center"/>
          </w:tcPr>
          <w:p w14:paraId="0E6BC19F">
            <w:pPr>
              <w:pStyle w:val="109"/>
              <w:rPr>
                <w:color w:val="000000" w:themeColor="text1"/>
                <w14:textFill>
                  <w14:solidFill>
                    <w14:schemeClr w14:val="tx1"/>
                  </w14:solidFill>
                </w14:textFill>
              </w:rPr>
            </w:pPr>
            <w:r>
              <w:rPr>
                <w:color w:val="000000" w:themeColor="text1"/>
                <w14:textFill>
                  <w14:solidFill>
                    <w14:schemeClr w14:val="tx1"/>
                  </w14:solidFill>
                </w14:textFill>
              </w:rPr>
              <w:t>由园区110kV变电站引入</w:t>
            </w:r>
          </w:p>
        </w:tc>
      </w:tr>
      <w:tr w14:paraId="0CCC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07" w:type="pct"/>
            <w:vMerge w:val="restart"/>
            <w:vAlign w:val="center"/>
          </w:tcPr>
          <w:p w14:paraId="4C5F92B1">
            <w:pPr>
              <w:pStyle w:val="109"/>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670" w:type="pct"/>
            <w:vAlign w:val="center"/>
          </w:tcPr>
          <w:p w14:paraId="098B5E28">
            <w:pPr>
              <w:pStyle w:val="109"/>
              <w:rPr>
                <w:color w:val="000000" w:themeColor="text1"/>
                <w14:textFill>
                  <w14:solidFill>
                    <w14:schemeClr w14:val="tx1"/>
                  </w14:solidFill>
                </w14:textFill>
              </w:rPr>
            </w:pPr>
            <w:r>
              <w:rPr>
                <w:color w:val="000000" w:themeColor="text1"/>
                <w14:textFill>
                  <w14:solidFill>
                    <w14:schemeClr w14:val="tx1"/>
                  </w14:solidFill>
                </w14:textFill>
              </w:rPr>
              <w:t>废气处理</w:t>
            </w:r>
          </w:p>
        </w:tc>
        <w:tc>
          <w:tcPr>
            <w:tcW w:w="4023" w:type="pct"/>
            <w:vAlign w:val="center"/>
          </w:tcPr>
          <w:p w14:paraId="42A7CD71">
            <w:pPr>
              <w:pStyle w:val="109"/>
              <w:rPr>
                <w:color w:val="000000" w:themeColor="text1"/>
                <w14:textFill>
                  <w14:solidFill>
                    <w14:schemeClr w14:val="tx1"/>
                  </w14:solidFill>
                </w14:textFill>
              </w:rPr>
            </w:pPr>
            <w:r>
              <w:rPr>
                <w:color w:val="000000" w:themeColor="text1"/>
                <w14:textFill>
                  <w14:solidFill>
                    <w14:schemeClr w14:val="tx1"/>
                  </w14:solidFill>
                </w14:textFill>
              </w:rPr>
              <w:t>装置区不凝废气、储罐和装卸区产生的有机废气经1套油气回收装置，采用“二级冷凝-膜分离-吸附装置”治理后通过20m排气筒（DA001）排放</w:t>
            </w:r>
            <w:r>
              <w:rPr>
                <w:rFonts w:hint="eastAsia"/>
                <w:color w:val="000000" w:themeColor="text1"/>
                <w14:textFill>
                  <w14:solidFill>
                    <w14:schemeClr w14:val="tx1"/>
                  </w14:solidFill>
                </w14:textFill>
              </w:rPr>
              <w:t>。</w:t>
            </w:r>
          </w:p>
        </w:tc>
      </w:tr>
      <w:tr w14:paraId="6362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14D3D70D">
            <w:pPr>
              <w:pStyle w:val="109"/>
              <w:rPr>
                <w:color w:val="000000" w:themeColor="text1"/>
                <w14:textFill>
                  <w14:solidFill>
                    <w14:schemeClr w14:val="tx1"/>
                  </w14:solidFill>
                </w14:textFill>
              </w:rPr>
            </w:pPr>
          </w:p>
        </w:tc>
        <w:tc>
          <w:tcPr>
            <w:tcW w:w="670" w:type="pct"/>
            <w:vAlign w:val="center"/>
          </w:tcPr>
          <w:p w14:paraId="1DEDD74E">
            <w:pPr>
              <w:pStyle w:val="109"/>
              <w:rPr>
                <w:color w:val="000000" w:themeColor="text1"/>
                <w14:textFill>
                  <w14:solidFill>
                    <w14:schemeClr w14:val="tx1"/>
                  </w14:solidFill>
                </w14:textFill>
              </w:rPr>
            </w:pPr>
            <w:r>
              <w:rPr>
                <w:color w:val="000000" w:themeColor="text1"/>
                <w14:textFill>
                  <w14:solidFill>
                    <w14:schemeClr w14:val="tx1"/>
                  </w14:solidFill>
                </w14:textFill>
              </w:rPr>
              <w:t>废水处理</w:t>
            </w:r>
          </w:p>
        </w:tc>
        <w:tc>
          <w:tcPr>
            <w:tcW w:w="4023" w:type="pct"/>
            <w:vAlign w:val="center"/>
          </w:tcPr>
          <w:p w14:paraId="48698D0C">
            <w:pPr>
              <w:pStyle w:val="109"/>
              <w:rPr>
                <w:color w:val="000000" w:themeColor="text1"/>
                <w14:textFill>
                  <w14:solidFill>
                    <w14:schemeClr w14:val="tx1"/>
                  </w14:solidFill>
                </w14:textFill>
              </w:rPr>
            </w:pPr>
            <w:r>
              <w:rPr>
                <w:color w:val="000000" w:themeColor="text1"/>
                <w14:textFill>
                  <w14:solidFill>
                    <w14:schemeClr w14:val="tx1"/>
                  </w14:solidFill>
                </w14:textFill>
              </w:rPr>
              <w:t>无工艺废水产生，生活污水和清净下水排入园区污水处理厂。</w:t>
            </w:r>
          </w:p>
        </w:tc>
      </w:tr>
      <w:tr w14:paraId="56A5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5DDA5E9E">
            <w:pPr>
              <w:pStyle w:val="109"/>
              <w:rPr>
                <w:color w:val="000000" w:themeColor="text1"/>
                <w14:textFill>
                  <w14:solidFill>
                    <w14:schemeClr w14:val="tx1"/>
                  </w14:solidFill>
                </w14:textFill>
              </w:rPr>
            </w:pPr>
          </w:p>
        </w:tc>
        <w:tc>
          <w:tcPr>
            <w:tcW w:w="670" w:type="pct"/>
            <w:vAlign w:val="center"/>
          </w:tcPr>
          <w:p w14:paraId="1D6CC3CB">
            <w:pPr>
              <w:pStyle w:val="109"/>
              <w:rPr>
                <w:color w:val="000000" w:themeColor="text1"/>
                <w14:textFill>
                  <w14:solidFill>
                    <w14:schemeClr w14:val="tx1"/>
                  </w14:solidFill>
                </w14:textFill>
              </w:rPr>
            </w:pPr>
            <w:r>
              <w:rPr>
                <w:color w:val="000000" w:themeColor="text1"/>
                <w14:textFill>
                  <w14:solidFill>
                    <w14:schemeClr w14:val="tx1"/>
                  </w14:solidFill>
                </w14:textFill>
              </w:rPr>
              <w:t>固废处理</w:t>
            </w:r>
          </w:p>
        </w:tc>
        <w:tc>
          <w:tcPr>
            <w:tcW w:w="4023" w:type="pct"/>
            <w:vAlign w:val="center"/>
          </w:tcPr>
          <w:p w14:paraId="70A007E7">
            <w:pPr>
              <w:pStyle w:val="109"/>
              <w:rPr>
                <w:color w:val="000000" w:themeColor="text1"/>
                <w14:textFill>
                  <w14:solidFill>
                    <w14:schemeClr w14:val="tx1"/>
                  </w14:solidFill>
                </w14:textFill>
              </w:rPr>
            </w:pPr>
            <w:r>
              <w:rPr>
                <w:color w:val="000000" w:themeColor="text1"/>
                <w14:textFill>
                  <w14:solidFill>
                    <w14:schemeClr w14:val="tx1"/>
                  </w14:solidFill>
                </w14:textFill>
              </w:rPr>
              <w:t>废醚化催化剂、废润滑油、废油桶属于危险废物，依托新疆华瑞气体有限公司年产30万吨食品级液体二氧化碳项目20m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危废暂存间，目前该危废暂存间已用5m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，剩余15m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，依托可行。危废委托有资质单位处置。废活性炭由活性炭厂家在换新活性炭后委托具有相应资质的公司直接拉运至有处理资质的单位处理，不在本项目厂区储存。</w:t>
            </w:r>
          </w:p>
        </w:tc>
      </w:tr>
      <w:tr w14:paraId="74CA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2904424F">
            <w:pPr>
              <w:pStyle w:val="109"/>
              <w:rPr>
                <w:color w:val="000000" w:themeColor="text1"/>
                <w14:textFill>
                  <w14:solidFill>
                    <w14:schemeClr w14:val="tx1"/>
                  </w14:solidFill>
                </w14:textFill>
              </w:rPr>
            </w:pPr>
          </w:p>
        </w:tc>
        <w:tc>
          <w:tcPr>
            <w:tcW w:w="670" w:type="pct"/>
            <w:vAlign w:val="center"/>
          </w:tcPr>
          <w:p w14:paraId="2370A119">
            <w:pPr>
              <w:pStyle w:val="109"/>
              <w:rPr>
                <w:color w:val="000000" w:themeColor="text1"/>
                <w14:textFill>
                  <w14:solidFill>
                    <w14:schemeClr w14:val="tx1"/>
                  </w14:solidFill>
                </w14:textFill>
              </w:rPr>
            </w:pPr>
            <w:r>
              <w:rPr>
                <w:color w:val="000000" w:themeColor="text1"/>
                <w14:textFill>
                  <w14:solidFill>
                    <w14:schemeClr w14:val="tx1"/>
                  </w14:solidFill>
                </w14:textFill>
              </w:rPr>
              <w:t>噪声防治</w:t>
            </w:r>
          </w:p>
        </w:tc>
        <w:tc>
          <w:tcPr>
            <w:tcW w:w="4023" w:type="pct"/>
            <w:vAlign w:val="center"/>
          </w:tcPr>
          <w:p w14:paraId="32E1121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选用低噪声设备，设备采取厂房隔声、基础减振及消声处理</w:t>
            </w:r>
            <w:r>
              <w:rPr>
                <w:rFonts w:hint="eastAsia"/>
                <w:color w:val="000000" w:themeColor="text1"/>
                <w:lang w:bidi="ar"/>
                <w14:textFill>
                  <w14:solidFill>
                    <w14:schemeClr w14:val="tx1"/>
                  </w14:solidFill>
                </w14:textFill>
              </w:rPr>
              <w:t>。</w:t>
            </w:r>
          </w:p>
        </w:tc>
      </w:tr>
      <w:tr w14:paraId="5A99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27030F05">
            <w:pPr>
              <w:pStyle w:val="109"/>
              <w:rPr>
                <w:color w:val="000000" w:themeColor="text1"/>
                <w14:textFill>
                  <w14:solidFill>
                    <w14:schemeClr w14:val="tx1"/>
                  </w14:solidFill>
                </w14:textFill>
              </w:rPr>
            </w:pPr>
          </w:p>
        </w:tc>
        <w:tc>
          <w:tcPr>
            <w:tcW w:w="670" w:type="pct"/>
            <w:vMerge w:val="restart"/>
            <w:vAlign w:val="center"/>
          </w:tcPr>
          <w:p w14:paraId="3B64005E">
            <w:pPr>
              <w:pStyle w:val="109"/>
              <w:rPr>
                <w:color w:val="000000" w:themeColor="text1"/>
                <w14:textFill>
                  <w14:solidFill>
                    <w14:schemeClr w14:val="tx1"/>
                  </w14:solidFill>
                </w14:textFill>
              </w:rPr>
            </w:pPr>
            <w:r>
              <w:rPr>
                <w:color w:val="000000" w:themeColor="text1"/>
                <w14:textFill>
                  <w14:solidFill>
                    <w14:schemeClr w14:val="tx1"/>
                  </w14:solidFill>
                </w14:textFill>
              </w:rPr>
              <w:t>环境风险</w:t>
            </w:r>
          </w:p>
        </w:tc>
        <w:tc>
          <w:tcPr>
            <w:tcW w:w="4023" w:type="pct"/>
            <w:vAlign w:val="center"/>
          </w:tcPr>
          <w:p w14:paraId="066EEFEB">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罐区、</w:t>
            </w:r>
            <w:r>
              <w:rPr>
                <w:color w:val="000000" w:themeColor="text1"/>
                <w:lang w:bidi="ar"/>
                <w14:textFill>
                  <w14:solidFill>
                    <w14:schemeClr w14:val="tx1"/>
                  </w14:solidFill>
                </w14:textFill>
              </w:rPr>
              <w:t>事故水池容积4472m³</w:t>
            </w:r>
            <w:r>
              <w:rPr>
                <w:color w:val="000000" w:themeColor="text1"/>
                <w14:textFill>
                  <w14:solidFill>
                    <w14:schemeClr w14:val="tx1"/>
                  </w14:solidFill>
                </w14:textFill>
              </w:rPr>
              <w:t>，重点防渗：等效黏土防渗层Mb≥6.0m，K≤1.0×10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厘米/秒；或参照GB18598执行</w:t>
            </w:r>
            <w:r>
              <w:rPr>
                <w:rFonts w:hint="eastAsia"/>
                <w:color w:val="000000" w:themeColor="text1"/>
                <w14:textFill>
                  <w14:solidFill>
                    <w14:schemeClr w14:val="tx1"/>
                  </w14:solidFill>
                </w14:textFill>
              </w:rPr>
              <w:t>。</w:t>
            </w:r>
          </w:p>
        </w:tc>
      </w:tr>
      <w:tr w14:paraId="5589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48104357">
            <w:pPr>
              <w:pStyle w:val="109"/>
              <w:rPr>
                <w:color w:val="000000" w:themeColor="text1"/>
                <w14:textFill>
                  <w14:solidFill>
                    <w14:schemeClr w14:val="tx1"/>
                  </w14:solidFill>
                </w14:textFill>
              </w:rPr>
            </w:pPr>
          </w:p>
        </w:tc>
        <w:tc>
          <w:tcPr>
            <w:tcW w:w="670" w:type="pct"/>
            <w:vMerge w:val="continue"/>
            <w:vAlign w:val="center"/>
          </w:tcPr>
          <w:p w14:paraId="32F42FE1">
            <w:pPr>
              <w:pStyle w:val="109"/>
              <w:rPr>
                <w:color w:val="000000" w:themeColor="text1"/>
                <w14:textFill>
                  <w14:solidFill>
                    <w14:schemeClr w14:val="tx1"/>
                  </w14:solidFill>
                </w14:textFill>
              </w:rPr>
            </w:pPr>
          </w:p>
        </w:tc>
        <w:tc>
          <w:tcPr>
            <w:tcW w:w="4023" w:type="pct"/>
            <w:vAlign w:val="center"/>
          </w:tcPr>
          <w:p w14:paraId="5CDDAB52">
            <w:pPr>
              <w:pStyle w:val="109"/>
              <w:rPr>
                <w:color w:val="000000" w:themeColor="text1"/>
                <w:lang w:bidi="ar"/>
                <w14:textFill>
                  <w14:solidFill>
                    <w14:schemeClr w14:val="tx1"/>
                  </w14:solidFill>
                </w14:textFill>
              </w:rPr>
            </w:pPr>
            <w:bookmarkStart w:id="206" w:name="OLE_LINK58"/>
            <w:r>
              <w:rPr>
                <w:color w:val="000000" w:themeColor="text1"/>
                <w:lang w:bidi="ar"/>
                <w14:textFill>
                  <w14:solidFill>
                    <w14:schemeClr w14:val="tx1"/>
                  </w14:solidFill>
                </w14:textFill>
              </w:rPr>
              <w:t>初期雨水池376.09m³</w:t>
            </w:r>
            <w:bookmarkEnd w:id="206"/>
            <w:r>
              <w:rPr>
                <w:color w:val="000000" w:themeColor="text1"/>
                <w14:textFill>
                  <w14:solidFill>
                    <w14:schemeClr w14:val="tx1"/>
                  </w14:solidFill>
                </w14:textFill>
              </w:rPr>
              <w:t>。原料罐区围堰2352m³；甲醇和产品罐区围堰5712m³。</w:t>
            </w:r>
          </w:p>
        </w:tc>
      </w:tr>
    </w:tbl>
    <w:p w14:paraId="24FE532C">
      <w:pPr>
        <w:pStyle w:val="3"/>
        <w:rPr>
          <w:rFonts w:ascii="Times New Roman" w:cs="Times New Roman"/>
          <w:color w:val="000000" w:themeColor="text1"/>
          <w14:textFill>
            <w14:solidFill>
              <w14:schemeClr w14:val="tx1"/>
            </w14:solidFill>
          </w14:textFill>
        </w:rPr>
      </w:pPr>
      <w:bookmarkStart w:id="207" w:name="_Toc225268285"/>
      <w:bookmarkStart w:id="208" w:name="bookmark31"/>
      <w:r>
        <w:rPr>
          <w:rFonts w:ascii="Times New Roman" w:cs="Times New Roman"/>
          <w:color w:val="000000" w:themeColor="text1"/>
          <w14:textFill>
            <w14:solidFill>
              <w14:schemeClr w14:val="tx1"/>
            </w14:solidFill>
          </w14:textFill>
        </w:rPr>
        <w:t>在建项目产品方案</w:t>
      </w:r>
      <w:bookmarkEnd w:id="207"/>
    </w:p>
    <w:p w14:paraId="2FF33AAB">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本项目产品醚后戊烯为混合物，本项目无提纯工段，因此产品醚后戊烯无相对应的质量标准，醚后戊烯的产品方案和主要成分见下表。</w:t>
      </w:r>
    </w:p>
    <w:p w14:paraId="211E89B7">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产品方案表</w:t>
      </w:r>
    </w:p>
    <w:tbl>
      <w:tblPr>
        <w:tblStyle w:val="76"/>
        <w:tblW w:w="4998"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4"/>
        <w:gridCol w:w="1767"/>
        <w:gridCol w:w="1076"/>
        <w:gridCol w:w="1262"/>
        <w:gridCol w:w="1522"/>
        <w:gridCol w:w="2597"/>
      </w:tblGrid>
      <w:tr w14:paraId="13CC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trPr>
        <w:tc>
          <w:tcPr>
            <w:tcW w:w="634" w:type="pct"/>
            <w:vAlign w:val="center"/>
          </w:tcPr>
          <w:p w14:paraId="2B95F1EC">
            <w:pPr>
              <w:pStyle w:val="109"/>
              <w:rPr>
                <w:color w:val="000000" w:themeColor="text1"/>
                <w:sz w:val="20"/>
                <w:lang w:bidi="zh-CN"/>
                <w14:textFill>
                  <w14:solidFill>
                    <w14:schemeClr w14:val="tx1"/>
                  </w14:solidFill>
                </w14:textFill>
              </w:rPr>
            </w:pPr>
            <w:r>
              <w:rPr>
                <w:color w:val="000000" w:themeColor="text1"/>
                <w:lang w:bidi="zh-CN"/>
                <w14:textFill>
                  <w14:solidFill>
                    <w14:schemeClr w14:val="tx1"/>
                  </w14:solidFill>
                </w14:textFill>
              </w:rPr>
              <w:t>序号</w:t>
            </w:r>
          </w:p>
        </w:tc>
        <w:tc>
          <w:tcPr>
            <w:tcW w:w="938" w:type="pct"/>
            <w:vAlign w:val="center"/>
          </w:tcPr>
          <w:p w14:paraId="326EA64E">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名称</w:t>
            </w:r>
          </w:p>
        </w:tc>
        <w:tc>
          <w:tcPr>
            <w:tcW w:w="571" w:type="pct"/>
            <w:vAlign w:val="center"/>
          </w:tcPr>
          <w:p w14:paraId="59EEC152">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单位</w:t>
            </w:r>
          </w:p>
        </w:tc>
        <w:tc>
          <w:tcPr>
            <w:tcW w:w="670" w:type="pct"/>
            <w:vAlign w:val="center"/>
          </w:tcPr>
          <w:p w14:paraId="377B4F77">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状态</w:t>
            </w:r>
          </w:p>
        </w:tc>
        <w:tc>
          <w:tcPr>
            <w:tcW w:w="808" w:type="pct"/>
            <w:vAlign w:val="center"/>
          </w:tcPr>
          <w:p w14:paraId="10A4588F">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数量</w:t>
            </w:r>
          </w:p>
        </w:tc>
        <w:tc>
          <w:tcPr>
            <w:tcW w:w="1378" w:type="pct"/>
            <w:vAlign w:val="center"/>
          </w:tcPr>
          <w:p w14:paraId="0BE60EA4">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产品的去向</w:t>
            </w:r>
          </w:p>
        </w:tc>
      </w:tr>
      <w:tr w14:paraId="64D8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34" w:type="pct"/>
            <w:vAlign w:val="center"/>
          </w:tcPr>
          <w:p w14:paraId="1FFB6C34">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1</w:t>
            </w:r>
          </w:p>
        </w:tc>
        <w:tc>
          <w:tcPr>
            <w:tcW w:w="938" w:type="pct"/>
            <w:vAlign w:val="center"/>
          </w:tcPr>
          <w:p w14:paraId="0B72C589">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醚后戊烯</w:t>
            </w:r>
          </w:p>
        </w:tc>
        <w:tc>
          <w:tcPr>
            <w:tcW w:w="571" w:type="pct"/>
            <w:vAlign w:val="center"/>
          </w:tcPr>
          <w:p w14:paraId="4D10C68D">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t/a</w:t>
            </w:r>
          </w:p>
        </w:tc>
        <w:tc>
          <w:tcPr>
            <w:tcW w:w="670" w:type="pct"/>
            <w:vAlign w:val="center"/>
          </w:tcPr>
          <w:p w14:paraId="179DE864">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液态</w:t>
            </w:r>
          </w:p>
        </w:tc>
        <w:tc>
          <w:tcPr>
            <w:tcW w:w="808" w:type="pct"/>
            <w:vAlign w:val="center"/>
          </w:tcPr>
          <w:p w14:paraId="1FE8FDA7">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50000</w:t>
            </w:r>
          </w:p>
        </w:tc>
        <w:tc>
          <w:tcPr>
            <w:tcW w:w="1378" w:type="pct"/>
            <w:vAlign w:val="center"/>
          </w:tcPr>
          <w:p w14:paraId="4857A16C">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外售</w:t>
            </w:r>
          </w:p>
        </w:tc>
      </w:tr>
    </w:tbl>
    <w:p w14:paraId="4E5C42DD">
      <w:pPr>
        <w:pStyle w:val="117"/>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产品成分表</w:t>
      </w:r>
    </w:p>
    <w:tbl>
      <w:tblPr>
        <w:tblStyle w:val="7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8"/>
        <w:gridCol w:w="2293"/>
        <w:gridCol w:w="2295"/>
      </w:tblGrid>
      <w:tr w14:paraId="61A1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17" w:type="pct"/>
            <w:noWrap/>
            <w:vAlign w:val="center"/>
          </w:tcPr>
          <w:p w14:paraId="447DE7EF">
            <w:pPr>
              <w:pStyle w:val="109"/>
              <w:rPr>
                <w:color w:val="000000" w:themeColor="text1"/>
                <w14:textFill>
                  <w14:solidFill>
                    <w14:schemeClr w14:val="tx1"/>
                  </w14:solidFill>
                </w14:textFill>
              </w:rPr>
            </w:pPr>
            <w:r>
              <w:rPr>
                <w:color w:val="000000" w:themeColor="text1"/>
                <w14:textFill>
                  <w14:solidFill>
                    <w14:schemeClr w14:val="tx1"/>
                  </w14:solidFill>
                </w14:textFill>
              </w:rPr>
              <w:t>成分</w:t>
            </w:r>
          </w:p>
        </w:tc>
        <w:tc>
          <w:tcPr>
            <w:tcW w:w="1191" w:type="pct"/>
            <w:noWrap/>
            <w:vAlign w:val="center"/>
          </w:tcPr>
          <w:p w14:paraId="2D3798E3">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192" w:type="pct"/>
            <w:noWrap/>
            <w:vAlign w:val="center"/>
          </w:tcPr>
          <w:p w14:paraId="48F106DE">
            <w:pPr>
              <w:pStyle w:val="109"/>
              <w:rPr>
                <w:color w:val="000000" w:themeColor="text1"/>
                <w14:textFill>
                  <w14:solidFill>
                    <w14:schemeClr w14:val="tx1"/>
                  </w14:solidFill>
                </w14:textFill>
              </w:rPr>
            </w:pPr>
            <w:r>
              <w:rPr>
                <w:color w:val="000000" w:themeColor="text1"/>
                <w14:textFill>
                  <w14:solidFill>
                    <w14:schemeClr w14:val="tx1"/>
                  </w14:solidFill>
                </w14:textFill>
              </w:rPr>
              <w:t>数值</w:t>
            </w:r>
          </w:p>
        </w:tc>
      </w:tr>
      <w:tr w14:paraId="25A9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17" w:type="pct"/>
            <w:noWrap/>
            <w:vAlign w:val="center"/>
          </w:tcPr>
          <w:p w14:paraId="061F70A5">
            <w:pPr>
              <w:pStyle w:val="109"/>
              <w:rPr>
                <w:color w:val="000000" w:themeColor="text1"/>
                <w14:textFill>
                  <w14:solidFill>
                    <w14:schemeClr w14:val="tx1"/>
                  </w14:solidFill>
                </w14:textFill>
              </w:rPr>
            </w:pPr>
            <w:r>
              <w:rPr>
                <w:color w:val="000000" w:themeColor="text1"/>
                <w14:textFill>
                  <w14:solidFill>
                    <w14:schemeClr w14:val="tx1"/>
                  </w14:solidFill>
                </w14:textFill>
              </w:rPr>
              <w:t>未反应的异戊烯</w:t>
            </w:r>
          </w:p>
        </w:tc>
        <w:tc>
          <w:tcPr>
            <w:tcW w:w="1191" w:type="pct"/>
            <w:noWrap/>
            <w:vAlign w:val="center"/>
          </w:tcPr>
          <w:p w14:paraId="7F31115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92" w:type="pct"/>
            <w:noWrap/>
            <w:vAlign w:val="center"/>
          </w:tcPr>
          <w:p w14:paraId="1873985E">
            <w:pPr>
              <w:pStyle w:val="109"/>
              <w:rPr>
                <w:color w:val="000000" w:themeColor="text1"/>
                <w14:textFill>
                  <w14:solidFill>
                    <w14:schemeClr w14:val="tx1"/>
                  </w14:solidFill>
                </w14:textFill>
              </w:rPr>
            </w:pPr>
            <w:r>
              <w:rPr>
                <w:color w:val="000000" w:themeColor="text1"/>
                <w14:textFill>
                  <w14:solidFill>
                    <w14:schemeClr w14:val="tx1"/>
                  </w14:solidFill>
                </w14:textFill>
              </w:rPr>
              <w:t>0.94</w:t>
            </w:r>
          </w:p>
        </w:tc>
      </w:tr>
      <w:tr w14:paraId="2AB0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17" w:type="pct"/>
            <w:noWrap/>
            <w:vAlign w:val="center"/>
          </w:tcPr>
          <w:p w14:paraId="6153D5EA">
            <w:pPr>
              <w:pStyle w:val="109"/>
              <w:rPr>
                <w:color w:val="000000" w:themeColor="text1"/>
                <w14:textFill>
                  <w14:solidFill>
                    <w14:schemeClr w14:val="tx1"/>
                  </w14:solidFill>
                </w14:textFill>
              </w:rPr>
            </w:pPr>
            <w:r>
              <w:rPr>
                <w:color w:val="000000" w:themeColor="text1"/>
                <w14:textFill>
                  <w14:solidFill>
                    <w14:schemeClr w14:val="tx1"/>
                  </w14:solidFill>
                </w14:textFill>
              </w:rPr>
              <w:t>正戊烯</w:t>
            </w:r>
          </w:p>
        </w:tc>
        <w:tc>
          <w:tcPr>
            <w:tcW w:w="1191" w:type="pct"/>
            <w:noWrap/>
            <w:vAlign w:val="center"/>
          </w:tcPr>
          <w:p w14:paraId="6842578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92" w:type="pct"/>
            <w:noWrap/>
            <w:vAlign w:val="center"/>
          </w:tcPr>
          <w:p w14:paraId="54250154">
            <w:pPr>
              <w:pStyle w:val="109"/>
              <w:rPr>
                <w:color w:val="000000" w:themeColor="text1"/>
                <w14:textFill>
                  <w14:solidFill>
                    <w14:schemeClr w14:val="tx1"/>
                  </w14:solidFill>
                </w14:textFill>
              </w:rPr>
            </w:pPr>
            <w:r>
              <w:rPr>
                <w:color w:val="000000" w:themeColor="text1"/>
                <w14:textFill>
                  <w14:solidFill>
                    <w14:schemeClr w14:val="tx1"/>
                  </w14:solidFill>
                </w14:textFill>
              </w:rPr>
              <w:t>25.96</w:t>
            </w:r>
          </w:p>
        </w:tc>
      </w:tr>
      <w:tr w14:paraId="0C4E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17" w:type="pct"/>
            <w:noWrap/>
            <w:vAlign w:val="center"/>
          </w:tcPr>
          <w:p w14:paraId="5D161E78">
            <w:pPr>
              <w:pStyle w:val="109"/>
              <w:rPr>
                <w:color w:val="000000" w:themeColor="text1"/>
                <w14:textFill>
                  <w14:solidFill>
                    <w14:schemeClr w14:val="tx1"/>
                  </w14:solidFill>
                </w14:textFill>
              </w:rPr>
            </w:pPr>
            <w:r>
              <w:rPr>
                <w:color w:val="000000" w:themeColor="text1"/>
                <w14:textFill>
                  <w14:solidFill>
                    <w14:schemeClr w14:val="tx1"/>
                  </w14:solidFill>
                </w14:textFill>
              </w:rPr>
              <w:t>己烷</w:t>
            </w:r>
          </w:p>
        </w:tc>
        <w:tc>
          <w:tcPr>
            <w:tcW w:w="1191" w:type="pct"/>
            <w:noWrap/>
            <w:vAlign w:val="center"/>
          </w:tcPr>
          <w:p w14:paraId="349BC76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92" w:type="pct"/>
            <w:noWrap/>
            <w:vAlign w:val="center"/>
          </w:tcPr>
          <w:p w14:paraId="573E4E4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31.335 </w:t>
            </w:r>
          </w:p>
        </w:tc>
      </w:tr>
      <w:tr w14:paraId="18F5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17" w:type="pct"/>
            <w:noWrap/>
            <w:vAlign w:val="center"/>
          </w:tcPr>
          <w:p w14:paraId="47D5BD36">
            <w:pPr>
              <w:pStyle w:val="109"/>
              <w:rPr>
                <w:color w:val="000000" w:themeColor="text1"/>
                <w14:textFill>
                  <w14:solidFill>
                    <w14:schemeClr w14:val="tx1"/>
                  </w14:solidFill>
                </w14:textFill>
              </w:rPr>
            </w:pPr>
            <w:r>
              <w:rPr>
                <w:color w:val="000000" w:themeColor="text1"/>
                <w14:textFill>
                  <w14:solidFill>
                    <w14:schemeClr w14:val="tx1"/>
                  </w14:solidFill>
                </w14:textFill>
              </w:rPr>
              <w:t>C7-C8</w:t>
            </w:r>
          </w:p>
        </w:tc>
        <w:tc>
          <w:tcPr>
            <w:tcW w:w="1191" w:type="pct"/>
            <w:noWrap/>
            <w:vAlign w:val="center"/>
          </w:tcPr>
          <w:p w14:paraId="6DC8985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92" w:type="pct"/>
            <w:noWrap/>
            <w:vAlign w:val="center"/>
          </w:tcPr>
          <w:p w14:paraId="4389CFC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6.562 </w:t>
            </w:r>
          </w:p>
        </w:tc>
      </w:tr>
      <w:tr w14:paraId="73A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17" w:type="pct"/>
            <w:noWrap/>
            <w:vAlign w:val="center"/>
          </w:tcPr>
          <w:p w14:paraId="21DFA1F4">
            <w:pPr>
              <w:pStyle w:val="109"/>
              <w:rPr>
                <w:color w:val="000000" w:themeColor="text1"/>
                <w14:textFill>
                  <w14:solidFill>
                    <w14:schemeClr w14:val="tx1"/>
                  </w14:solidFill>
                </w14:textFill>
              </w:rPr>
            </w:pPr>
            <w:r>
              <w:rPr>
                <w:color w:val="000000" w:themeColor="text1"/>
                <w14:textFill>
                  <w14:solidFill>
                    <w14:schemeClr w14:val="tx1"/>
                  </w14:solidFill>
                </w14:textFill>
              </w:rPr>
              <w:t>TAME</w:t>
            </w:r>
          </w:p>
        </w:tc>
        <w:tc>
          <w:tcPr>
            <w:tcW w:w="1191" w:type="pct"/>
            <w:noWrap/>
            <w:vAlign w:val="center"/>
          </w:tcPr>
          <w:p w14:paraId="1B54C0A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92" w:type="pct"/>
            <w:noWrap/>
            <w:vAlign w:val="center"/>
          </w:tcPr>
          <w:p w14:paraId="1D702E59">
            <w:pPr>
              <w:pStyle w:val="109"/>
              <w:rPr>
                <w:color w:val="000000" w:themeColor="text1"/>
                <w14:textFill>
                  <w14:solidFill>
                    <w14:schemeClr w14:val="tx1"/>
                  </w14:solidFill>
                </w14:textFill>
              </w:rPr>
            </w:pPr>
            <w:r>
              <w:rPr>
                <w:color w:val="000000" w:themeColor="text1"/>
                <w14:textFill>
                  <w14:solidFill>
                    <w14:schemeClr w14:val="tx1"/>
                  </w14:solidFill>
                </w14:textFill>
              </w:rPr>
              <w:t>35</w:t>
            </w:r>
          </w:p>
        </w:tc>
      </w:tr>
      <w:tr w14:paraId="6AA8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17" w:type="pct"/>
            <w:noWrap/>
            <w:vAlign w:val="center"/>
          </w:tcPr>
          <w:p w14:paraId="15A48FF9">
            <w:pPr>
              <w:pStyle w:val="109"/>
              <w:rPr>
                <w:color w:val="000000" w:themeColor="text1"/>
                <w14:textFill>
                  <w14:solidFill>
                    <w14:schemeClr w14:val="tx1"/>
                  </w14:solidFill>
                </w14:textFill>
              </w:rPr>
            </w:pPr>
            <w:r>
              <w:rPr>
                <w:color w:val="000000" w:themeColor="text1"/>
                <w14:textFill>
                  <w14:solidFill>
                    <w14:schemeClr w14:val="tx1"/>
                  </w14:solidFill>
                </w14:textFill>
              </w:rPr>
              <w:t>甲醇</w:t>
            </w:r>
          </w:p>
        </w:tc>
        <w:tc>
          <w:tcPr>
            <w:tcW w:w="1191" w:type="pct"/>
            <w:noWrap/>
            <w:vAlign w:val="center"/>
          </w:tcPr>
          <w:p w14:paraId="6533FE2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92" w:type="pct"/>
            <w:noWrap/>
            <w:vAlign w:val="center"/>
          </w:tcPr>
          <w:p w14:paraId="16A8F415">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r>
      <w:tr w14:paraId="2C7B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17" w:type="pct"/>
            <w:noWrap/>
            <w:vAlign w:val="center"/>
          </w:tcPr>
          <w:p w14:paraId="60B6D9BB">
            <w:pPr>
              <w:pStyle w:val="109"/>
              <w:rPr>
                <w:color w:val="000000" w:themeColor="text1"/>
                <w14:textFill>
                  <w14:solidFill>
                    <w14:schemeClr w14:val="tx1"/>
                  </w14:solidFill>
                </w14:textFill>
              </w:rPr>
            </w:pPr>
            <w:r>
              <w:rPr>
                <w:color w:val="000000" w:themeColor="text1"/>
                <w14:textFill>
                  <w14:solidFill>
                    <w14:schemeClr w14:val="tx1"/>
                  </w14:solidFill>
                </w14:textFill>
              </w:rPr>
              <w:t>二甲醚</w:t>
            </w:r>
          </w:p>
        </w:tc>
        <w:tc>
          <w:tcPr>
            <w:tcW w:w="1191" w:type="pct"/>
            <w:noWrap/>
            <w:vAlign w:val="center"/>
          </w:tcPr>
          <w:p w14:paraId="61CBD43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92" w:type="pct"/>
            <w:noWrap/>
            <w:vAlign w:val="center"/>
          </w:tcPr>
          <w:p w14:paraId="639A2B48">
            <w:pPr>
              <w:pStyle w:val="109"/>
              <w:rPr>
                <w:color w:val="000000" w:themeColor="text1"/>
                <w14:textFill>
                  <w14:solidFill>
                    <w14:schemeClr w14:val="tx1"/>
                  </w14:solidFill>
                </w14:textFill>
              </w:rPr>
            </w:pPr>
            <w:r>
              <w:rPr>
                <w:color w:val="000000" w:themeColor="text1"/>
                <w14:textFill>
                  <w14:solidFill>
                    <w14:schemeClr w14:val="tx1"/>
                  </w14:solidFill>
                </w14:textFill>
              </w:rPr>
              <w:t>0.003</w:t>
            </w:r>
          </w:p>
        </w:tc>
      </w:tr>
    </w:tbl>
    <w:p w14:paraId="00C11FA5">
      <w:pPr>
        <w:pStyle w:val="3"/>
        <w:rPr>
          <w:rFonts w:ascii="Times New Roman" w:cs="Times New Roman"/>
          <w:color w:val="000000" w:themeColor="text1"/>
          <w14:textFill>
            <w14:solidFill>
              <w14:schemeClr w14:val="tx1"/>
            </w14:solidFill>
          </w14:textFill>
        </w:rPr>
      </w:pPr>
      <w:bookmarkStart w:id="209" w:name="bookmark56"/>
      <w:bookmarkStart w:id="210" w:name="_Toc225268286"/>
      <w:r>
        <w:rPr>
          <w:rFonts w:ascii="Times New Roman" w:cs="Times New Roman"/>
          <w:color w:val="000000" w:themeColor="text1"/>
          <w14:textFill>
            <w14:solidFill>
              <w14:schemeClr w14:val="tx1"/>
            </w14:solidFill>
          </w14:textFill>
        </w:rPr>
        <w:t>在建工程原辅料消耗</w:t>
      </w:r>
      <w:bookmarkEnd w:id="209"/>
      <w:bookmarkEnd w:id="210"/>
    </w:p>
    <w:p w14:paraId="2EFDD4C6">
      <w:pPr>
        <w:ind w:firstLine="480"/>
        <w:rPr>
          <w:color w:val="000000" w:themeColor="text1"/>
          <w:lang w:bidi="zh-CN"/>
          <w14:textFill>
            <w14:solidFill>
              <w14:schemeClr w14:val="tx1"/>
            </w14:solidFill>
          </w14:textFill>
        </w:rPr>
      </w:pPr>
      <w:r>
        <w:rPr>
          <w:color w:val="000000" w:themeColor="text1"/>
          <w:lang w:val="zh-CN" w:bidi="zh-CN"/>
          <w14:textFill>
            <w14:solidFill>
              <w14:schemeClr w14:val="tx1"/>
            </w14:solidFill>
          </w14:textFill>
        </w:rPr>
        <w:t>项目主要原辅材料消耗情况见</w:t>
      </w:r>
      <w:r>
        <w:rPr>
          <w:rFonts w:hint="eastAsia"/>
          <w:color w:val="000000" w:themeColor="text1"/>
          <w:lang w:bidi="zh-CN"/>
          <w14:textFill>
            <w14:solidFill>
              <w14:schemeClr w14:val="tx1"/>
            </w14:solidFill>
          </w14:textFill>
        </w:rPr>
        <w:t>下表</w:t>
      </w:r>
      <w:r>
        <w:rPr>
          <w:color w:val="000000" w:themeColor="text1"/>
          <w:lang w:bidi="zh-CN"/>
          <w14:textFill>
            <w14:solidFill>
              <w14:schemeClr w14:val="tx1"/>
            </w14:solidFill>
          </w14:textFill>
        </w:rPr>
        <w:t>。</w:t>
      </w:r>
    </w:p>
    <w:p w14:paraId="5AD8851F">
      <w:pPr>
        <w:pStyle w:val="117"/>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主要原辅材料消耗统计一览表</w:t>
      </w:r>
    </w:p>
    <w:tbl>
      <w:tblPr>
        <w:tblStyle w:val="76"/>
        <w:tblW w:w="5000"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8"/>
        <w:gridCol w:w="1385"/>
        <w:gridCol w:w="588"/>
        <w:gridCol w:w="980"/>
        <w:gridCol w:w="1078"/>
        <w:gridCol w:w="1623"/>
        <w:gridCol w:w="712"/>
        <w:gridCol w:w="905"/>
        <w:gridCol w:w="1733"/>
      </w:tblGrid>
      <w:tr w14:paraId="66DB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222" w:type="pct"/>
            <w:vAlign w:val="center"/>
          </w:tcPr>
          <w:p w14:paraId="3F77E442">
            <w:pPr>
              <w:pStyle w:val="109"/>
              <w:rPr>
                <w:color w:val="000000" w:themeColor="text1"/>
                <w:sz w:val="20"/>
                <w:lang w:bidi="zh-CN"/>
                <w14:textFill>
                  <w14:solidFill>
                    <w14:schemeClr w14:val="tx1"/>
                  </w14:solidFill>
                </w14:textFill>
              </w:rPr>
            </w:pPr>
            <w:r>
              <w:rPr>
                <w:color w:val="000000" w:themeColor="text1"/>
                <w:lang w:bidi="zh-CN"/>
                <w14:textFill>
                  <w14:solidFill>
                    <w14:schemeClr w14:val="tx1"/>
                  </w14:solidFill>
                </w14:textFill>
              </w:rPr>
              <w:t>序号</w:t>
            </w:r>
          </w:p>
        </w:tc>
        <w:tc>
          <w:tcPr>
            <w:tcW w:w="735" w:type="pct"/>
            <w:vAlign w:val="center"/>
          </w:tcPr>
          <w:p w14:paraId="757C8453">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原料名称</w:t>
            </w:r>
          </w:p>
        </w:tc>
        <w:tc>
          <w:tcPr>
            <w:tcW w:w="312" w:type="pct"/>
            <w:vAlign w:val="center"/>
          </w:tcPr>
          <w:p w14:paraId="44ED67E0">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单位</w:t>
            </w:r>
          </w:p>
        </w:tc>
        <w:tc>
          <w:tcPr>
            <w:tcW w:w="520" w:type="pct"/>
            <w:vAlign w:val="center"/>
          </w:tcPr>
          <w:p w14:paraId="62B6E2CD">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年需用量（吨）</w:t>
            </w:r>
          </w:p>
        </w:tc>
        <w:tc>
          <w:tcPr>
            <w:tcW w:w="572" w:type="pct"/>
            <w:vAlign w:val="center"/>
          </w:tcPr>
          <w:p w14:paraId="1D27B7EE">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状态</w:t>
            </w:r>
          </w:p>
        </w:tc>
        <w:tc>
          <w:tcPr>
            <w:tcW w:w="861" w:type="pct"/>
            <w:vAlign w:val="center"/>
          </w:tcPr>
          <w:p w14:paraId="17C7D6B1">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供应来源</w:t>
            </w:r>
          </w:p>
        </w:tc>
        <w:tc>
          <w:tcPr>
            <w:tcW w:w="378" w:type="pct"/>
            <w:vAlign w:val="center"/>
          </w:tcPr>
          <w:p w14:paraId="688404BD">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包装</w:t>
            </w:r>
          </w:p>
          <w:p w14:paraId="2BB6A898">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形式</w:t>
            </w:r>
          </w:p>
        </w:tc>
        <w:tc>
          <w:tcPr>
            <w:tcW w:w="480" w:type="pct"/>
            <w:vAlign w:val="center"/>
          </w:tcPr>
          <w:p w14:paraId="196E9235">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运输</w:t>
            </w:r>
          </w:p>
          <w:p w14:paraId="41EBBD91">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方式</w:t>
            </w:r>
          </w:p>
        </w:tc>
        <w:tc>
          <w:tcPr>
            <w:tcW w:w="919" w:type="pct"/>
            <w:vAlign w:val="center"/>
          </w:tcPr>
          <w:p w14:paraId="0BD43401">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备注</w:t>
            </w:r>
          </w:p>
        </w:tc>
      </w:tr>
      <w:tr w14:paraId="7DBD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22" w:type="pct"/>
            <w:vAlign w:val="center"/>
          </w:tcPr>
          <w:p w14:paraId="1570C567">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1</w:t>
            </w:r>
          </w:p>
        </w:tc>
        <w:tc>
          <w:tcPr>
            <w:tcW w:w="735" w:type="pct"/>
            <w:vAlign w:val="center"/>
          </w:tcPr>
          <w:p w14:paraId="2251C56E">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戊烯原料</w:t>
            </w:r>
          </w:p>
        </w:tc>
        <w:tc>
          <w:tcPr>
            <w:tcW w:w="312" w:type="pct"/>
            <w:vAlign w:val="center"/>
          </w:tcPr>
          <w:p w14:paraId="360FCB9A">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t/a</w:t>
            </w:r>
          </w:p>
        </w:tc>
        <w:tc>
          <w:tcPr>
            <w:tcW w:w="520" w:type="pct"/>
            <w:vAlign w:val="center"/>
          </w:tcPr>
          <w:p w14:paraId="1702A718">
            <w:pPr>
              <w:pStyle w:val="109"/>
              <w:rPr>
                <w:color w:val="000000" w:themeColor="text1"/>
                <w:lang w:bidi="zh-CN"/>
                <w14:textFill>
                  <w14:solidFill>
                    <w14:schemeClr w14:val="tx1"/>
                  </w14:solidFill>
                </w14:textFill>
              </w:rPr>
            </w:pPr>
            <w:r>
              <w:rPr>
                <w:rFonts w:eastAsia="Times New Roman Regular"/>
                <w:color w:val="000000" w:themeColor="text1"/>
                <w:lang w:bidi="ar"/>
                <w14:textFill>
                  <w14:solidFill>
                    <w14:schemeClr w14:val="tx1"/>
                  </w14:solidFill>
                </w14:textFill>
              </w:rPr>
              <w:t>44764.2</w:t>
            </w:r>
          </w:p>
        </w:tc>
        <w:tc>
          <w:tcPr>
            <w:tcW w:w="572" w:type="pct"/>
            <w:vAlign w:val="center"/>
          </w:tcPr>
          <w:p w14:paraId="5BD0F685">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液态</w:t>
            </w:r>
          </w:p>
        </w:tc>
        <w:tc>
          <w:tcPr>
            <w:tcW w:w="861" w:type="pct"/>
            <w:vAlign w:val="center"/>
          </w:tcPr>
          <w:p w14:paraId="7A8E2BFF">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外购自国能新疆化工有限公司</w:t>
            </w:r>
          </w:p>
        </w:tc>
        <w:tc>
          <w:tcPr>
            <w:tcW w:w="378" w:type="pct"/>
            <w:vAlign w:val="center"/>
          </w:tcPr>
          <w:p w14:paraId="3B3AD41E">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槽车</w:t>
            </w:r>
          </w:p>
        </w:tc>
        <w:tc>
          <w:tcPr>
            <w:tcW w:w="480" w:type="pct"/>
            <w:vAlign w:val="center"/>
          </w:tcPr>
          <w:p w14:paraId="5AE84DC0">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汽运</w:t>
            </w:r>
          </w:p>
        </w:tc>
        <w:tc>
          <w:tcPr>
            <w:tcW w:w="919" w:type="pct"/>
            <w:vAlign w:val="center"/>
          </w:tcPr>
          <w:p w14:paraId="1CFBAA33">
            <w:pPr>
              <w:pStyle w:val="109"/>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w:t>
            </w:r>
          </w:p>
        </w:tc>
      </w:tr>
      <w:tr w14:paraId="6375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trPr>
        <w:tc>
          <w:tcPr>
            <w:tcW w:w="222" w:type="pct"/>
            <w:vAlign w:val="center"/>
          </w:tcPr>
          <w:p w14:paraId="5D530ABD">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2</w:t>
            </w:r>
          </w:p>
        </w:tc>
        <w:tc>
          <w:tcPr>
            <w:tcW w:w="735" w:type="pct"/>
            <w:vAlign w:val="center"/>
          </w:tcPr>
          <w:p w14:paraId="55CFCE33">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甲醇（99.99%）</w:t>
            </w:r>
          </w:p>
        </w:tc>
        <w:tc>
          <w:tcPr>
            <w:tcW w:w="312" w:type="pct"/>
            <w:vAlign w:val="center"/>
          </w:tcPr>
          <w:p w14:paraId="202656B1">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t/a</w:t>
            </w:r>
          </w:p>
        </w:tc>
        <w:tc>
          <w:tcPr>
            <w:tcW w:w="520" w:type="pct"/>
            <w:vAlign w:val="center"/>
          </w:tcPr>
          <w:p w14:paraId="79D887CF">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5503.61</w:t>
            </w:r>
          </w:p>
        </w:tc>
        <w:tc>
          <w:tcPr>
            <w:tcW w:w="572" w:type="pct"/>
            <w:vAlign w:val="center"/>
          </w:tcPr>
          <w:p w14:paraId="02DF034B">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液态</w:t>
            </w:r>
          </w:p>
        </w:tc>
        <w:tc>
          <w:tcPr>
            <w:tcW w:w="861" w:type="pct"/>
            <w:vAlign w:val="center"/>
          </w:tcPr>
          <w:p w14:paraId="408E07B9">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外购</w:t>
            </w:r>
          </w:p>
        </w:tc>
        <w:tc>
          <w:tcPr>
            <w:tcW w:w="378" w:type="pct"/>
            <w:vAlign w:val="center"/>
          </w:tcPr>
          <w:p w14:paraId="23CB15E2">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槽车</w:t>
            </w:r>
          </w:p>
        </w:tc>
        <w:tc>
          <w:tcPr>
            <w:tcW w:w="480" w:type="pct"/>
            <w:vAlign w:val="center"/>
          </w:tcPr>
          <w:p w14:paraId="41134922">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汽运</w:t>
            </w:r>
          </w:p>
        </w:tc>
        <w:tc>
          <w:tcPr>
            <w:tcW w:w="919" w:type="pct"/>
            <w:vAlign w:val="center"/>
          </w:tcPr>
          <w:p w14:paraId="1BE96283">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其中新鲜甲醇5238.9t/a，循环甲醇</w:t>
            </w:r>
            <w:r>
              <w:rPr>
                <w:color w:val="000000" w:themeColor="text1"/>
                <w14:textFill>
                  <w14:solidFill>
                    <w14:schemeClr w14:val="tx1"/>
                  </w14:solidFill>
                </w14:textFill>
              </w:rPr>
              <w:t>264.71</w:t>
            </w:r>
            <w:r>
              <w:rPr>
                <w:color w:val="000000" w:themeColor="text1"/>
                <w:lang w:bidi="zh-CN"/>
                <w14:textFill>
                  <w14:solidFill>
                    <w14:schemeClr w14:val="tx1"/>
                  </w14:solidFill>
                </w14:textFill>
              </w:rPr>
              <w:t>t/a</w:t>
            </w:r>
          </w:p>
        </w:tc>
      </w:tr>
      <w:tr w14:paraId="0BCF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trPr>
        <w:tc>
          <w:tcPr>
            <w:tcW w:w="222" w:type="pct"/>
            <w:vAlign w:val="center"/>
          </w:tcPr>
          <w:p w14:paraId="1BC72587">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3</w:t>
            </w:r>
          </w:p>
        </w:tc>
        <w:tc>
          <w:tcPr>
            <w:tcW w:w="735" w:type="pct"/>
            <w:vAlign w:val="center"/>
          </w:tcPr>
          <w:p w14:paraId="41F75F98">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醚化催化剂（离子交换树脂、丙类）</w:t>
            </w:r>
          </w:p>
        </w:tc>
        <w:tc>
          <w:tcPr>
            <w:tcW w:w="312" w:type="pct"/>
            <w:vAlign w:val="center"/>
          </w:tcPr>
          <w:p w14:paraId="4A1B22DC">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t/a</w:t>
            </w:r>
          </w:p>
        </w:tc>
        <w:tc>
          <w:tcPr>
            <w:tcW w:w="520" w:type="pct"/>
            <w:vAlign w:val="center"/>
          </w:tcPr>
          <w:p w14:paraId="0E152732">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33.5</w:t>
            </w:r>
          </w:p>
        </w:tc>
        <w:tc>
          <w:tcPr>
            <w:tcW w:w="572" w:type="pct"/>
            <w:vAlign w:val="center"/>
          </w:tcPr>
          <w:p w14:paraId="5C8D5166">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固态</w:t>
            </w:r>
          </w:p>
        </w:tc>
        <w:tc>
          <w:tcPr>
            <w:tcW w:w="861" w:type="pct"/>
            <w:vAlign w:val="center"/>
          </w:tcPr>
          <w:p w14:paraId="3478A4A6">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外购</w:t>
            </w:r>
          </w:p>
        </w:tc>
        <w:tc>
          <w:tcPr>
            <w:tcW w:w="378" w:type="pct"/>
            <w:vAlign w:val="center"/>
          </w:tcPr>
          <w:p w14:paraId="1351520B">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袋装</w:t>
            </w:r>
          </w:p>
        </w:tc>
        <w:tc>
          <w:tcPr>
            <w:tcW w:w="480" w:type="pct"/>
            <w:vAlign w:val="center"/>
          </w:tcPr>
          <w:p w14:paraId="31C52C64">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汽运</w:t>
            </w:r>
          </w:p>
        </w:tc>
        <w:tc>
          <w:tcPr>
            <w:tcW w:w="919" w:type="pct"/>
            <w:vAlign w:val="center"/>
          </w:tcPr>
          <w:p w14:paraId="7444BB3C">
            <w:pPr>
              <w:pStyle w:val="109"/>
              <w:rPr>
                <w:color w:val="000000" w:themeColor="text1"/>
                <w:lang w:bidi="zh-CN"/>
                <w14:textFill>
                  <w14:solidFill>
                    <w14:schemeClr w14:val="tx1"/>
                  </w14:solidFill>
                </w14:textFill>
              </w:rPr>
            </w:pPr>
            <w:r>
              <w:rPr>
                <w:rFonts w:hint="eastAsia"/>
                <w:color w:val="000000" w:themeColor="text1"/>
                <w:lang w:bidi="zh-CN"/>
                <w14:textFill>
                  <w14:solidFill>
                    <w14:schemeClr w14:val="tx1"/>
                  </w14:solidFill>
                </w14:textFill>
              </w:rPr>
              <w:t>/</w:t>
            </w:r>
          </w:p>
        </w:tc>
      </w:tr>
      <w:tr w14:paraId="5EF2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222" w:type="pct"/>
            <w:vAlign w:val="center"/>
          </w:tcPr>
          <w:p w14:paraId="43F1BD18">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4</w:t>
            </w:r>
          </w:p>
        </w:tc>
        <w:tc>
          <w:tcPr>
            <w:tcW w:w="735" w:type="pct"/>
            <w:vAlign w:val="center"/>
          </w:tcPr>
          <w:p w14:paraId="2BF01065">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活性炭</w:t>
            </w:r>
          </w:p>
        </w:tc>
        <w:tc>
          <w:tcPr>
            <w:tcW w:w="312" w:type="pct"/>
            <w:vAlign w:val="center"/>
          </w:tcPr>
          <w:p w14:paraId="33B1C1E4">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t/a</w:t>
            </w:r>
          </w:p>
        </w:tc>
        <w:tc>
          <w:tcPr>
            <w:tcW w:w="520" w:type="pct"/>
            <w:vAlign w:val="center"/>
          </w:tcPr>
          <w:p w14:paraId="45682171">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10.8</w:t>
            </w:r>
          </w:p>
        </w:tc>
        <w:tc>
          <w:tcPr>
            <w:tcW w:w="572" w:type="pct"/>
            <w:vAlign w:val="center"/>
          </w:tcPr>
          <w:p w14:paraId="46D7CF2E">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固态</w:t>
            </w:r>
          </w:p>
        </w:tc>
        <w:tc>
          <w:tcPr>
            <w:tcW w:w="861" w:type="pct"/>
            <w:vAlign w:val="center"/>
          </w:tcPr>
          <w:p w14:paraId="6033FD76">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外购</w:t>
            </w:r>
          </w:p>
        </w:tc>
        <w:tc>
          <w:tcPr>
            <w:tcW w:w="378" w:type="pct"/>
            <w:vAlign w:val="center"/>
          </w:tcPr>
          <w:p w14:paraId="458F8B55">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袋装</w:t>
            </w:r>
          </w:p>
        </w:tc>
        <w:tc>
          <w:tcPr>
            <w:tcW w:w="480" w:type="pct"/>
            <w:vAlign w:val="center"/>
          </w:tcPr>
          <w:p w14:paraId="2EE11233">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汽运</w:t>
            </w:r>
          </w:p>
        </w:tc>
        <w:tc>
          <w:tcPr>
            <w:tcW w:w="919" w:type="pct"/>
            <w:vAlign w:val="center"/>
          </w:tcPr>
          <w:p w14:paraId="0B83EB99">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油气回收装置用作废气吸附剂</w:t>
            </w:r>
          </w:p>
        </w:tc>
      </w:tr>
    </w:tbl>
    <w:p w14:paraId="64280802">
      <w:pPr>
        <w:pStyle w:val="3"/>
        <w:rPr>
          <w:rFonts w:ascii="Times New Roman" w:cs="Times New Roman"/>
          <w:color w:val="000000" w:themeColor="text1"/>
          <w14:textFill>
            <w14:solidFill>
              <w14:schemeClr w14:val="tx1"/>
            </w14:solidFill>
          </w14:textFill>
        </w:rPr>
      </w:pPr>
      <w:bookmarkStart w:id="211" w:name="_Toc225268287"/>
      <w:r>
        <w:rPr>
          <w:rFonts w:ascii="Times New Roman" w:cs="Times New Roman"/>
          <w:color w:val="000000" w:themeColor="text1"/>
          <w14:textFill>
            <w14:solidFill>
              <w14:schemeClr w14:val="tx1"/>
            </w14:solidFill>
          </w14:textFill>
        </w:rPr>
        <w:t>在建工程工艺流程及产污环节</w:t>
      </w:r>
      <w:bookmarkEnd w:id="208"/>
      <w:bookmarkEnd w:id="211"/>
    </w:p>
    <w:p w14:paraId="67A9011A">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罐区的戊烯与来自甲醇原料罐的甲醇，分别计量后通过管道送入混合器混合，经过进料预热器预热后进入原料净化-醚化反应器，反应器中装有大孔径磺酸阳离子交换树酯，该树酯既用作原料净化剂，又用作反应催化剂，原料中的叔戊烯和甲醇在此反应生成TAME。</w:t>
      </w:r>
    </w:p>
    <w:p w14:paraId="599C3084">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醚化反应温度35-75℃，为连续反应，压力为常压。由于此反应为放热反应，温度由上而下逐步升高，物料部分气化，以气液混相从反应器顶部流出进入催化精馏塔进料-产品换热器，与TAME产品换热至70℃后进入催化精馏塔。</w:t>
      </w:r>
    </w:p>
    <w:p w14:paraId="57FE0B46">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液相TAME从塔底流出，经TAME产品冷却器冷却至40℃后，送至罐区储存。未反应的甲醇和未反应的组分以共沸物从塔顶馏出，经催化精馏塔冷凝器冷凝后进入催化未反应的组分回流罐，由催化精馏塔回流泵抽出，冷凝液一部分送往塔顶作为回流，另一部分送入后醚化反应器进一步反应。</w:t>
      </w:r>
    </w:p>
    <w:p w14:paraId="480355AB">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产污环节：催化精馏塔冷凝器产生不凝气及装置无组织废气。</w:t>
      </w:r>
    </w:p>
    <w:p w14:paraId="42FA67C6">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后醚化反应器出口物料经甲醇回收塔进料冷却器降温后，从下部进入甲醇回收塔。甲醇回收塔作为未反应甲醇和后醚化产物的共沸物分离设备，在此蒸馏出甲醇。蒸馏出的甲醇在装置内循环使用。</w:t>
      </w:r>
    </w:p>
    <w:p w14:paraId="1B6BEAED">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产污环节：甲醇回收塔产生不凝气。</w:t>
      </w:r>
    </w:p>
    <w:p w14:paraId="16205154">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工艺流程及产污环节示意图见图3.6-1。</w:t>
      </w:r>
    </w:p>
    <w:p w14:paraId="70DCC513">
      <w:pPr>
        <w:ind w:firstLine="0" w:firstLineChars="0"/>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5954395" cy="3171825"/>
            <wp:effectExtent l="0" t="0" r="0" b="0"/>
            <wp:docPr id="117495226"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226" name="图片 33" descr="IMG_2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59747" cy="3174478"/>
                    </a:xfrm>
                    <a:prstGeom prst="rect">
                      <a:avLst/>
                    </a:prstGeom>
                    <a:noFill/>
                    <a:ln>
                      <a:noFill/>
                    </a:ln>
                  </pic:spPr>
                </pic:pic>
              </a:graphicData>
            </a:graphic>
          </wp:inline>
        </w:drawing>
      </w:r>
    </w:p>
    <w:p w14:paraId="06CBA6AF">
      <w:pPr>
        <w:pStyle w:val="7"/>
        <w:rPr>
          <w:rFonts w:hint="eastAsia"/>
          <w:color w:val="000000" w:themeColor="text1"/>
          <w14:textFill>
            <w14:solidFill>
              <w14:schemeClr w14:val="tx1"/>
            </w14:solidFill>
          </w14:textFill>
        </w:rPr>
      </w:pPr>
      <w:r>
        <w:rPr>
          <w:color w:val="000000" w:themeColor="text1"/>
          <w14:textFill>
            <w14:solidFill>
              <w14:schemeClr w14:val="tx1"/>
            </w14:solidFill>
          </w14:textFill>
        </w:rPr>
        <w:t>工艺流程及产污环节示意图</w:t>
      </w:r>
    </w:p>
    <w:p w14:paraId="71DC166D">
      <w:pPr>
        <w:pStyle w:val="3"/>
        <w:rPr>
          <w:rFonts w:ascii="Times New Roman" w:cs="Times New Roman"/>
          <w:color w:val="000000" w:themeColor="text1"/>
          <w14:textFill>
            <w14:solidFill>
              <w14:schemeClr w14:val="tx1"/>
            </w14:solidFill>
          </w14:textFill>
        </w:rPr>
      </w:pPr>
      <w:bookmarkStart w:id="212" w:name="_Toc225268288"/>
      <w:r>
        <w:rPr>
          <w:rFonts w:ascii="Times New Roman" w:cs="Times New Roman"/>
          <w:color w:val="000000" w:themeColor="text1"/>
          <w14:textFill>
            <w14:solidFill>
              <w14:schemeClr w14:val="tx1"/>
            </w14:solidFill>
          </w14:textFill>
        </w:rPr>
        <w:t>在建工程公用工程和辅助工程</w:t>
      </w:r>
      <w:bookmarkEnd w:id="212"/>
    </w:p>
    <w:p w14:paraId="5527E6B3">
      <w:pPr>
        <w:pStyle w:val="4"/>
        <w:rPr>
          <w:rFonts w:ascii="Times New Roman" w:cs="Times New Roman"/>
          <w:color w:val="000000" w:themeColor="text1"/>
          <w14:textFill>
            <w14:solidFill>
              <w14:schemeClr w14:val="tx1"/>
            </w14:solidFill>
          </w14:textFill>
        </w:rPr>
      </w:pPr>
      <w:bookmarkStart w:id="213" w:name="_Toc27786"/>
      <w:r>
        <w:rPr>
          <w:rFonts w:ascii="Times New Roman" w:cs="Times New Roman"/>
          <w:color w:val="000000" w:themeColor="text1"/>
          <w14:textFill>
            <w14:solidFill>
              <w14:schemeClr w14:val="tx1"/>
            </w14:solidFill>
          </w14:textFill>
        </w:rPr>
        <w:t>给排水</w:t>
      </w:r>
      <w:bookmarkEnd w:id="213"/>
    </w:p>
    <w:p w14:paraId="76CA4880">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给水</w:t>
      </w:r>
    </w:p>
    <w:p w14:paraId="494C50C8">
      <w:pPr>
        <w:ind w:firstLine="480"/>
        <w:rPr>
          <w:color w:val="000000" w:themeColor="text1"/>
          <w14:textFill>
            <w14:solidFill>
              <w14:schemeClr w14:val="tx1"/>
            </w14:solidFill>
          </w14:textFill>
        </w:rPr>
      </w:pPr>
      <w:r>
        <w:rPr>
          <w:color w:val="000000" w:themeColor="text1"/>
          <w14:textFill>
            <w14:solidFill>
              <w14:schemeClr w14:val="tx1"/>
            </w14:solidFill>
          </w14:textFill>
        </w:rPr>
        <w:t>（1）生活用水</w:t>
      </w:r>
    </w:p>
    <w:p w14:paraId="0FC3F34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本项目总劳动定员25人，根据《</w:t>
      </w:r>
      <w:bookmarkStart w:id="214" w:name="OLE_LINK50"/>
      <w:bookmarkStart w:id="215" w:name="OLE_LINK49"/>
      <w:r>
        <w:rPr>
          <w:color w:val="000000" w:themeColor="text1"/>
          <w14:textFill>
            <w14:solidFill>
              <w14:schemeClr w14:val="tx1"/>
            </w14:solidFill>
          </w14:textFill>
        </w:rPr>
        <w:t>生活污染源产排污系数手册</w:t>
      </w:r>
      <w:bookmarkEnd w:id="214"/>
      <w:bookmarkEnd w:id="215"/>
      <w:r>
        <w:rPr>
          <w:color w:val="000000" w:themeColor="text1"/>
          <w14:textFill>
            <w14:solidFill>
              <w14:schemeClr w14:val="tx1"/>
            </w14:solidFill>
          </w14:textFill>
        </w:rPr>
        <w:t>》生活用水量按137L/人·d计，年工作333天则本项目生活用水量为3.43m³/d（1140.53m³/a）。</w:t>
      </w:r>
    </w:p>
    <w:p w14:paraId="6B58D6D6">
      <w:pPr>
        <w:ind w:left="480" w:firstLine="0" w:firstLineChars="0"/>
        <w:rPr>
          <w:color w:val="000000" w:themeColor="text1"/>
          <w14:textFill>
            <w14:solidFill>
              <w14:schemeClr w14:val="tx1"/>
            </w14:solidFill>
          </w14:textFill>
        </w:rPr>
      </w:pPr>
      <w:r>
        <w:rPr>
          <w:color w:val="000000" w:themeColor="text1"/>
          <w14:textFill>
            <w14:solidFill>
              <w14:schemeClr w14:val="tx1"/>
            </w14:solidFill>
          </w14:textFill>
        </w:rPr>
        <w:t>循环水系统</w:t>
      </w:r>
    </w:p>
    <w:p w14:paraId="4A36CD19">
      <w:pPr>
        <w:ind w:firstLine="480"/>
        <w:rPr>
          <w:color w:val="000000" w:themeColor="text1"/>
          <w14:textFill>
            <w14:solidFill>
              <w14:schemeClr w14:val="tx1"/>
            </w14:solidFill>
          </w14:textFill>
        </w:rPr>
      </w:pPr>
      <w:r>
        <w:rPr>
          <w:color w:val="000000" w:themeColor="text1"/>
          <w:lang w:bidi="zh-CN"/>
          <w14:textFill>
            <w14:solidFill>
              <w14:schemeClr w14:val="tx1"/>
            </w14:solidFill>
          </w14:textFill>
        </w:rPr>
        <w:t>本项目循环水用量为</w:t>
      </w:r>
      <w:r>
        <w:rPr>
          <w:color w:val="000000" w:themeColor="text1"/>
          <w14:textFill>
            <w14:solidFill>
              <w14:schemeClr w14:val="tx1"/>
            </w14:solidFill>
          </w14:textFill>
        </w:rPr>
        <w:t>68.5m³</w:t>
      </w:r>
      <w:r>
        <w:rPr>
          <w:color w:val="000000" w:themeColor="text1"/>
          <w:lang w:bidi="zh-CN"/>
          <w14:textFill>
            <w14:solidFill>
              <w14:schemeClr w14:val="tx1"/>
            </w14:solidFill>
          </w14:textFill>
        </w:rPr>
        <w:t>/h，循环水</w:t>
      </w:r>
      <w:r>
        <w:rPr>
          <w:color w:val="000000" w:themeColor="text1"/>
          <w14:textFill>
            <w14:solidFill>
              <w14:schemeClr w14:val="tx1"/>
            </w14:solidFill>
          </w14:textFill>
        </w:rPr>
        <w:t>系统风吹损耗</w:t>
      </w:r>
      <w:r>
        <w:rPr>
          <w:color w:val="000000" w:themeColor="text1"/>
          <w:lang w:bidi="zh-CN"/>
          <w14:textFill>
            <w14:solidFill>
              <w14:schemeClr w14:val="tx1"/>
            </w14:solidFill>
          </w14:textFill>
        </w:rPr>
        <w:t>补水量按2%计算，</w:t>
      </w:r>
      <w:r>
        <w:rPr>
          <w:color w:val="000000" w:themeColor="text1"/>
          <w14:textFill>
            <w14:solidFill>
              <w14:schemeClr w14:val="tx1"/>
            </w14:solidFill>
          </w14:textFill>
        </w:rPr>
        <w:t>风吹损耗补水量</w:t>
      </w:r>
      <w:r>
        <w:rPr>
          <w:color w:val="000000" w:themeColor="text1"/>
          <w:lang w:bidi="zh-CN"/>
          <w14:textFill>
            <w14:solidFill>
              <w14:schemeClr w14:val="tx1"/>
            </w14:solidFill>
          </w14:textFill>
        </w:rPr>
        <w:t>1.37</w:t>
      </w:r>
      <w:r>
        <w:rPr>
          <w:color w:val="000000" w:themeColor="text1"/>
          <w14:textFill>
            <w14:solidFill>
              <w14:schemeClr w14:val="tx1"/>
            </w14:solidFill>
          </w14:textFill>
        </w:rPr>
        <w:t>m³</w:t>
      </w:r>
      <w:r>
        <w:rPr>
          <w:color w:val="000000" w:themeColor="text1"/>
          <w:lang w:bidi="zh-CN"/>
          <w14:textFill>
            <w14:solidFill>
              <w14:schemeClr w14:val="tx1"/>
            </w14:solidFill>
          </w14:textFill>
        </w:rPr>
        <w:t>/h，年运行时间8000h，循环水</w:t>
      </w:r>
      <w:r>
        <w:rPr>
          <w:color w:val="000000" w:themeColor="text1"/>
          <w14:textFill>
            <w14:solidFill>
              <w14:schemeClr w14:val="tx1"/>
            </w14:solidFill>
          </w14:textFill>
        </w:rPr>
        <w:t>系统风吹损耗</w:t>
      </w:r>
      <w:r>
        <w:rPr>
          <w:color w:val="000000" w:themeColor="text1"/>
          <w:lang w:bidi="zh-CN"/>
          <w14:textFill>
            <w14:solidFill>
              <w14:schemeClr w14:val="tx1"/>
            </w14:solidFill>
          </w14:textFill>
        </w:rPr>
        <w:t>补水总量109</w:t>
      </w:r>
      <w:r>
        <w:rPr>
          <w:color w:val="000000" w:themeColor="text1"/>
          <w14:textFill>
            <w14:solidFill>
              <w14:schemeClr w14:val="tx1"/>
            </w14:solidFill>
          </w14:textFill>
        </w:rPr>
        <w:t>60m³/a</w:t>
      </w:r>
      <w:r>
        <w:rPr>
          <w:color w:val="000000" w:themeColor="text1"/>
          <w:lang w:bidi="zh-CN"/>
          <w14:textFill>
            <w14:solidFill>
              <w14:schemeClr w14:val="tx1"/>
            </w14:solidFill>
          </w14:textFill>
        </w:rPr>
        <w:t>。循环水</w:t>
      </w:r>
      <w:r>
        <w:rPr>
          <w:color w:val="000000" w:themeColor="text1"/>
          <w14:textFill>
            <w14:solidFill>
              <w14:schemeClr w14:val="tx1"/>
            </w14:solidFill>
          </w14:textFill>
        </w:rPr>
        <w:t>系统排水</w:t>
      </w:r>
      <w:r>
        <w:rPr>
          <w:color w:val="000000" w:themeColor="text1"/>
          <w:lang w:bidi="zh-CN"/>
          <w14:textFill>
            <w14:solidFill>
              <w14:schemeClr w14:val="tx1"/>
            </w14:solidFill>
          </w14:textFill>
        </w:rPr>
        <w:t>量按</w:t>
      </w:r>
      <w:r>
        <w:rPr>
          <w:color w:val="000000" w:themeColor="text1"/>
          <w14:textFill>
            <w14:solidFill>
              <w14:schemeClr w14:val="tx1"/>
            </w14:solidFill>
          </w14:textFill>
        </w:rPr>
        <w:t>0.5</w:t>
      </w:r>
      <w:r>
        <w:rPr>
          <w:color w:val="000000" w:themeColor="text1"/>
          <w:lang w:bidi="zh-CN"/>
          <w14:textFill>
            <w14:solidFill>
              <w14:schemeClr w14:val="tx1"/>
            </w14:solidFill>
          </w14:textFill>
        </w:rPr>
        <w:t>%计算，</w:t>
      </w:r>
      <w:r>
        <w:rPr>
          <w:color w:val="000000" w:themeColor="text1"/>
          <w14:textFill>
            <w14:solidFill>
              <w14:schemeClr w14:val="tx1"/>
            </w14:solidFill>
          </w14:textFill>
        </w:rPr>
        <w:t>则因排污补水量0.34m³/a</w:t>
      </w:r>
      <w:r>
        <w:rPr>
          <w:color w:val="000000" w:themeColor="text1"/>
          <w:lang w:bidi="zh-CN"/>
          <w14:textFill>
            <w14:solidFill>
              <w14:schemeClr w14:val="tx1"/>
            </w14:solidFill>
          </w14:textFill>
        </w:rPr>
        <w:t>，年运行时间8000h，循环水</w:t>
      </w:r>
      <w:r>
        <w:rPr>
          <w:color w:val="000000" w:themeColor="text1"/>
          <w14:textFill>
            <w14:solidFill>
              <w14:schemeClr w14:val="tx1"/>
            </w14:solidFill>
          </w14:textFill>
        </w:rPr>
        <w:t>因排污补水</w:t>
      </w:r>
      <w:r>
        <w:rPr>
          <w:color w:val="000000" w:themeColor="text1"/>
          <w:lang w:bidi="zh-CN"/>
          <w14:textFill>
            <w14:solidFill>
              <w14:schemeClr w14:val="tx1"/>
            </w14:solidFill>
          </w14:textFill>
        </w:rPr>
        <w:t>总量</w:t>
      </w:r>
      <w:r>
        <w:rPr>
          <w:color w:val="000000" w:themeColor="text1"/>
          <w14:textFill>
            <w14:solidFill>
              <w14:schemeClr w14:val="tx1"/>
            </w14:solidFill>
          </w14:textFill>
        </w:rPr>
        <w:t>2720m³/a</w:t>
      </w:r>
      <w:r>
        <w:rPr>
          <w:color w:val="000000" w:themeColor="text1"/>
          <w:lang w:bidi="zh-CN"/>
          <w14:textFill>
            <w14:solidFill>
              <w14:schemeClr w14:val="tx1"/>
            </w14:solidFill>
          </w14:textFill>
        </w:rPr>
        <w:t>。</w:t>
      </w:r>
      <w:r>
        <w:rPr>
          <w:color w:val="000000" w:themeColor="text1"/>
          <w14:textFill>
            <w14:solidFill>
              <w14:schemeClr w14:val="tx1"/>
            </w14:solidFill>
          </w14:textFill>
        </w:rPr>
        <w:t>则循环水系统总补水量13680m³/a。</w:t>
      </w:r>
    </w:p>
    <w:p w14:paraId="33670D94">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综上，本项目用水量为1</w:t>
      </w:r>
      <w:r>
        <w:rPr>
          <w:color w:val="000000" w:themeColor="text1"/>
          <w14:textFill>
            <w14:solidFill>
              <w14:schemeClr w14:val="tx1"/>
            </w14:solidFill>
          </w14:textFill>
        </w:rPr>
        <w:t>4820.53m³/a</w:t>
      </w:r>
      <w:r>
        <w:rPr>
          <w:color w:val="000000" w:themeColor="text1"/>
          <w:lang w:bidi="zh-CN"/>
          <w14:textFill>
            <w14:solidFill>
              <w14:schemeClr w14:val="tx1"/>
            </w14:solidFill>
          </w14:textFill>
        </w:rPr>
        <w:t>。</w:t>
      </w:r>
    </w:p>
    <w:p w14:paraId="1380A3E9">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排水</w:t>
      </w:r>
    </w:p>
    <w:p w14:paraId="491CDD8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本项目排水包括生活污水和循环水系统排放的清净下水。</w:t>
      </w:r>
    </w:p>
    <w:p w14:paraId="736AC972">
      <w:pPr>
        <w:ind w:firstLine="480"/>
        <w:rPr>
          <w:color w:val="000000" w:themeColor="text1"/>
          <w14:textFill>
            <w14:solidFill>
              <w14:schemeClr w14:val="tx1"/>
            </w14:solidFill>
          </w14:textFill>
        </w:rPr>
      </w:pPr>
      <w:r>
        <w:rPr>
          <w:color w:val="000000" w:themeColor="text1"/>
          <w14:textFill>
            <w14:solidFill>
              <w14:schemeClr w14:val="tx1"/>
            </w14:solidFill>
          </w14:textFill>
        </w:rPr>
        <w:t>生活排水系数取0.80，生活污水排放量约2.74m³/d（912.42m³/a）。循环水系统排放的清净下水2720m³/a，全厂排水3632.42m³/a（10.91t/d），通过管网排入甘泉堡南区污水处理厂处理。</w:t>
      </w:r>
    </w:p>
    <w:p w14:paraId="62BF18F7">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供电</w:t>
      </w:r>
    </w:p>
    <w:p w14:paraId="582DB3FD">
      <w:pPr>
        <w:ind w:firstLine="480"/>
        <w:rPr>
          <w:color w:val="000000" w:themeColor="text1"/>
          <w14:textFill>
            <w14:solidFill>
              <w14:schemeClr w14:val="tx1"/>
            </w14:solidFill>
          </w14:textFill>
        </w:rPr>
      </w:pPr>
      <w:r>
        <w:rPr>
          <w:color w:val="000000" w:themeColor="text1"/>
          <w14:textFill>
            <w14:solidFill>
              <w14:schemeClr w14:val="tx1"/>
            </w14:solidFill>
          </w14:textFill>
        </w:rPr>
        <w:t>该项目位于乌鲁木齐甘泉堡经济技术开发区(工业区），园区具备双电源供电条件，同时满足一级负荷和特别重要负荷企业供电需求。供配电系统使用380V/220V等级的电源，装置区利用新建配电室，变电所对装置区用电设备放射式供电，变电所至装置区的配电线路全部沿管廊桥架敷设。</w:t>
      </w:r>
    </w:p>
    <w:p w14:paraId="6C5EDF34">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消防</w:t>
      </w:r>
    </w:p>
    <w:p w14:paraId="0EA5B61F">
      <w:pPr>
        <w:ind w:firstLine="480"/>
        <w:rPr>
          <w:bCs/>
          <w:color w:val="000000" w:themeColor="text1"/>
          <w:lang w:bidi="zh-CN"/>
          <w14:textFill>
            <w14:solidFill>
              <w14:schemeClr w14:val="tx1"/>
            </w14:solidFill>
          </w14:textFill>
        </w:rPr>
      </w:pPr>
      <w:r>
        <w:rPr>
          <w:bCs/>
          <w:color w:val="000000" w:themeColor="text1"/>
          <w:lang w:bidi="zh-CN"/>
          <w14:textFill>
            <w14:solidFill>
              <w14:schemeClr w14:val="tx1"/>
            </w14:solidFill>
          </w14:textFill>
        </w:rPr>
        <w:t>本项目消防用水由厂区消防水罐供给，消防水罐补水由园区管网单独接入，消防泵房内设有1台电动机消防泵XBD7.0/60-150L（Q=60L/s，H=70m，N=75kW）；备用1台型号为XBC7.0/60-W200的柴油消防水泵（Q=60L/s，H=70m，N=110kW）；设稳压装置1套，包含2台电动稳压泵XBD4.0/3.0-40L（Q=3L/s，H=40m，N=4kW，一用一备），可满足本项目消防需求。</w:t>
      </w:r>
    </w:p>
    <w:p w14:paraId="064869DB">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储运</w:t>
      </w:r>
    </w:p>
    <w:p w14:paraId="23119894">
      <w:pPr>
        <w:ind w:firstLine="480"/>
        <w:rPr>
          <w:color w:val="000000" w:themeColor="text1"/>
          <w14:textFill>
            <w14:solidFill>
              <w14:schemeClr w14:val="tx1"/>
            </w14:solidFill>
          </w14:textFill>
        </w:rPr>
      </w:pPr>
      <w:r>
        <w:rPr>
          <w:color w:val="000000" w:themeColor="text1"/>
          <w14:textFill>
            <w14:solidFill>
              <w14:schemeClr w14:val="tx1"/>
            </w14:solidFill>
          </w14:textFill>
        </w:rPr>
        <w:t>项目罐区情况见下表。</w:t>
      </w:r>
    </w:p>
    <w:p w14:paraId="75172B1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储罐情况一览表</w:t>
      </w:r>
    </w:p>
    <w:tbl>
      <w:tblPr>
        <w:tblStyle w:val="76"/>
        <w:tblW w:w="5000"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59"/>
        <w:gridCol w:w="1292"/>
        <w:gridCol w:w="1612"/>
        <w:gridCol w:w="1452"/>
        <w:gridCol w:w="1129"/>
        <w:gridCol w:w="1292"/>
        <w:gridCol w:w="886"/>
      </w:tblGrid>
      <w:tr w14:paraId="434B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1545" w:type="dxa"/>
            <w:vAlign w:val="center"/>
          </w:tcPr>
          <w:p w14:paraId="14DC526B">
            <w:pPr>
              <w:pStyle w:val="109"/>
              <w:rPr>
                <w:color w:val="000000" w:themeColor="text1"/>
                <w14:textFill>
                  <w14:solidFill>
                    <w14:schemeClr w14:val="tx1"/>
                  </w14:solidFill>
                </w14:textFill>
              </w:rPr>
            </w:pPr>
            <w:r>
              <w:rPr>
                <w:color w:val="000000" w:themeColor="text1"/>
                <w14:textFill>
                  <w14:solidFill>
                    <w14:schemeClr w14:val="tx1"/>
                  </w14:solidFill>
                </w14:textFill>
              </w:rPr>
              <w:t>储罐名称</w:t>
            </w:r>
          </w:p>
        </w:tc>
        <w:tc>
          <w:tcPr>
            <w:tcW w:w="1135" w:type="dxa"/>
            <w:vAlign w:val="center"/>
          </w:tcPr>
          <w:p w14:paraId="63529688">
            <w:pPr>
              <w:pStyle w:val="109"/>
              <w:rPr>
                <w:color w:val="000000" w:themeColor="text1"/>
                <w14:textFill>
                  <w14:solidFill>
                    <w14:schemeClr w14:val="tx1"/>
                  </w14:solidFill>
                </w14:textFill>
              </w:rPr>
            </w:pPr>
            <w:r>
              <w:rPr>
                <w:color w:val="000000" w:themeColor="text1"/>
                <w14:textFill>
                  <w14:solidFill>
                    <w14:schemeClr w14:val="tx1"/>
                  </w14:solidFill>
                </w14:textFill>
              </w:rPr>
              <w:t>储存物质</w:t>
            </w:r>
          </w:p>
        </w:tc>
        <w:tc>
          <w:tcPr>
            <w:tcW w:w="1417" w:type="dxa"/>
            <w:vAlign w:val="center"/>
          </w:tcPr>
          <w:p w14:paraId="7265BA11">
            <w:pPr>
              <w:pStyle w:val="109"/>
              <w:rPr>
                <w:color w:val="000000" w:themeColor="text1"/>
                <w14:textFill>
                  <w14:solidFill>
                    <w14:schemeClr w14:val="tx1"/>
                  </w14:solidFill>
                </w14:textFill>
              </w:rPr>
            </w:pPr>
            <w:r>
              <w:rPr>
                <w:color w:val="000000" w:themeColor="text1"/>
                <w14:textFill>
                  <w14:solidFill>
                    <w14:schemeClr w14:val="tx1"/>
                  </w14:solidFill>
                </w14:textFill>
              </w:rPr>
              <w:t>储罐容量及台数(m³×台)</w:t>
            </w:r>
          </w:p>
        </w:tc>
        <w:tc>
          <w:tcPr>
            <w:tcW w:w="1276" w:type="dxa"/>
            <w:vAlign w:val="center"/>
          </w:tcPr>
          <w:p w14:paraId="43A01623">
            <w:pPr>
              <w:pStyle w:val="109"/>
              <w:rPr>
                <w:color w:val="000000" w:themeColor="text1"/>
                <w14:textFill>
                  <w14:solidFill>
                    <w14:schemeClr w14:val="tx1"/>
                  </w14:solidFill>
                </w14:textFill>
              </w:rPr>
            </w:pPr>
            <w:r>
              <w:rPr>
                <w:color w:val="000000" w:themeColor="text1"/>
                <w14:textFill>
                  <w14:solidFill>
                    <w14:schemeClr w14:val="tx1"/>
                  </w14:solidFill>
                </w14:textFill>
              </w:rPr>
              <w:t>储罐规格</w:t>
            </w:r>
          </w:p>
          <w:p w14:paraId="6F7E0F35">
            <w:pPr>
              <w:pStyle w:val="109"/>
              <w:rPr>
                <w:color w:val="000000" w:themeColor="text1"/>
                <w14:textFill>
                  <w14:solidFill>
                    <w14:schemeClr w14:val="tx1"/>
                  </w14:solidFill>
                </w14:textFill>
              </w:rPr>
            </w:pPr>
            <w:r>
              <w:rPr>
                <w:color w:val="000000" w:themeColor="text1"/>
                <w14:textFill>
                  <w14:solidFill>
                    <w14:schemeClr w14:val="tx1"/>
                  </w14:solidFill>
                </w14:textFill>
              </w:rPr>
              <w:t>(直径×高)m</w:t>
            </w:r>
          </w:p>
        </w:tc>
        <w:tc>
          <w:tcPr>
            <w:tcW w:w="992" w:type="dxa"/>
            <w:vAlign w:val="center"/>
          </w:tcPr>
          <w:p w14:paraId="521A63EE">
            <w:pPr>
              <w:pStyle w:val="109"/>
              <w:rPr>
                <w:color w:val="000000" w:themeColor="text1"/>
                <w14:textFill>
                  <w14:solidFill>
                    <w14:schemeClr w14:val="tx1"/>
                  </w14:solidFill>
                </w14:textFill>
              </w:rPr>
            </w:pPr>
            <w:r>
              <w:rPr>
                <w:color w:val="000000" w:themeColor="text1"/>
                <w14:textFill>
                  <w14:solidFill>
                    <w14:schemeClr w14:val="tx1"/>
                  </w14:solidFill>
                </w14:textFill>
              </w:rPr>
              <w:t>最大储</w:t>
            </w:r>
          </w:p>
          <w:p w14:paraId="59788F14">
            <w:pPr>
              <w:pStyle w:val="109"/>
              <w:rPr>
                <w:color w:val="000000" w:themeColor="text1"/>
                <w14:textFill>
                  <w14:solidFill>
                    <w14:schemeClr w14:val="tx1"/>
                  </w14:solidFill>
                </w14:textFill>
              </w:rPr>
            </w:pPr>
            <w:r>
              <w:rPr>
                <w:color w:val="000000" w:themeColor="text1"/>
                <w14:textFill>
                  <w14:solidFill>
                    <w14:schemeClr w14:val="tx1"/>
                  </w14:solidFill>
                </w14:textFill>
              </w:rPr>
              <w:t>存量（t）</w:t>
            </w:r>
          </w:p>
        </w:tc>
        <w:tc>
          <w:tcPr>
            <w:tcW w:w="1135" w:type="dxa"/>
            <w:vAlign w:val="center"/>
          </w:tcPr>
          <w:p w14:paraId="0115E882">
            <w:pPr>
              <w:pStyle w:val="109"/>
              <w:rPr>
                <w:color w:val="000000" w:themeColor="text1"/>
                <w14:textFill>
                  <w14:solidFill>
                    <w14:schemeClr w14:val="tx1"/>
                  </w14:solidFill>
                </w14:textFill>
              </w:rPr>
            </w:pPr>
            <w:r>
              <w:rPr>
                <w:color w:val="000000" w:themeColor="text1"/>
                <w14:textFill>
                  <w14:solidFill>
                    <w14:schemeClr w14:val="tx1"/>
                  </w14:solidFill>
                </w14:textFill>
              </w:rPr>
              <w:t>结构形式</w:t>
            </w:r>
          </w:p>
        </w:tc>
        <w:tc>
          <w:tcPr>
            <w:tcW w:w="778" w:type="dxa"/>
            <w:vAlign w:val="center"/>
          </w:tcPr>
          <w:p w14:paraId="40856877">
            <w:pPr>
              <w:pStyle w:val="109"/>
              <w:rPr>
                <w:color w:val="000000" w:themeColor="text1"/>
                <w14:textFill>
                  <w14:solidFill>
                    <w14:schemeClr w14:val="tx1"/>
                  </w14:solidFill>
                </w14:textFill>
              </w:rPr>
            </w:pPr>
            <w:r>
              <w:rPr>
                <w:color w:val="000000" w:themeColor="text1"/>
                <w14:textFill>
                  <w14:solidFill>
                    <w14:schemeClr w14:val="tx1"/>
                  </w14:solidFill>
                </w14:textFill>
              </w:rPr>
              <w:t>储存</w:t>
            </w:r>
          </w:p>
          <w:p w14:paraId="590581A2">
            <w:pPr>
              <w:pStyle w:val="109"/>
              <w:rPr>
                <w:color w:val="000000" w:themeColor="text1"/>
                <w14:textFill>
                  <w14:solidFill>
                    <w14:schemeClr w14:val="tx1"/>
                  </w14:solidFill>
                </w14:textFill>
              </w:rPr>
            </w:pPr>
            <w:r>
              <w:rPr>
                <w:color w:val="000000" w:themeColor="text1"/>
                <w14:textFill>
                  <w14:solidFill>
                    <w14:schemeClr w14:val="tx1"/>
                  </w14:solidFill>
                </w14:textFill>
              </w:rPr>
              <w:t>时间</w:t>
            </w:r>
          </w:p>
        </w:tc>
      </w:tr>
      <w:tr w14:paraId="2157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545" w:type="dxa"/>
            <w:vAlign w:val="center"/>
          </w:tcPr>
          <w:p w14:paraId="32F572CE">
            <w:pPr>
              <w:pStyle w:val="109"/>
              <w:rPr>
                <w:color w:val="000000" w:themeColor="text1"/>
                <w14:textFill>
                  <w14:solidFill>
                    <w14:schemeClr w14:val="tx1"/>
                  </w14:solidFill>
                </w14:textFill>
              </w:rPr>
            </w:pPr>
            <w:r>
              <w:rPr>
                <w:color w:val="000000" w:themeColor="text1"/>
                <w14:textFill>
                  <w14:solidFill>
                    <w14:schemeClr w14:val="tx1"/>
                  </w14:solidFill>
                </w14:textFill>
              </w:rPr>
              <w:t>戊烯原料罐</w:t>
            </w:r>
          </w:p>
        </w:tc>
        <w:tc>
          <w:tcPr>
            <w:tcW w:w="1135" w:type="dxa"/>
            <w:vAlign w:val="center"/>
          </w:tcPr>
          <w:p w14:paraId="0D4214D1">
            <w:pPr>
              <w:pStyle w:val="109"/>
              <w:rPr>
                <w:color w:val="000000" w:themeColor="text1"/>
                <w14:textFill>
                  <w14:solidFill>
                    <w14:schemeClr w14:val="tx1"/>
                  </w14:solidFill>
                </w14:textFill>
              </w:rPr>
            </w:pPr>
            <w:r>
              <w:rPr>
                <w:color w:val="000000" w:themeColor="text1"/>
                <w14:textFill>
                  <w14:solidFill>
                    <w14:schemeClr w14:val="tx1"/>
                  </w14:solidFill>
                </w14:textFill>
              </w:rPr>
              <w:t>戊烯原料</w:t>
            </w:r>
          </w:p>
        </w:tc>
        <w:tc>
          <w:tcPr>
            <w:tcW w:w="1417" w:type="dxa"/>
            <w:vAlign w:val="center"/>
          </w:tcPr>
          <w:p w14:paraId="3B255072">
            <w:pPr>
              <w:pStyle w:val="109"/>
              <w:rPr>
                <w:color w:val="000000" w:themeColor="text1"/>
                <w14:textFill>
                  <w14:solidFill>
                    <w14:schemeClr w14:val="tx1"/>
                  </w14:solidFill>
                </w14:textFill>
              </w:rPr>
            </w:pPr>
            <w:r>
              <w:rPr>
                <w:color w:val="000000" w:themeColor="text1"/>
                <w14:textFill>
                  <w14:solidFill>
                    <w14:schemeClr w14:val="tx1"/>
                  </w14:solidFill>
                </w14:textFill>
              </w:rPr>
              <w:t>1000×4</w:t>
            </w:r>
          </w:p>
        </w:tc>
        <w:tc>
          <w:tcPr>
            <w:tcW w:w="1276" w:type="dxa"/>
            <w:vAlign w:val="center"/>
          </w:tcPr>
          <w:p w14:paraId="218BF9E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992" w:type="dxa"/>
            <w:vAlign w:val="center"/>
          </w:tcPr>
          <w:p w14:paraId="12001B78">
            <w:pPr>
              <w:pStyle w:val="109"/>
              <w:rPr>
                <w:color w:val="000000" w:themeColor="text1"/>
                <w14:textFill>
                  <w14:solidFill>
                    <w14:schemeClr w14:val="tx1"/>
                  </w14:solidFill>
                </w14:textFill>
              </w:rPr>
            </w:pPr>
            <w:r>
              <w:rPr>
                <w:color w:val="000000" w:themeColor="text1"/>
                <w14:textFill>
                  <w14:solidFill>
                    <w14:schemeClr w14:val="tx1"/>
                  </w14:solidFill>
                </w14:textFill>
              </w:rPr>
              <w:t>2600</w:t>
            </w:r>
          </w:p>
        </w:tc>
        <w:tc>
          <w:tcPr>
            <w:tcW w:w="1135" w:type="dxa"/>
            <w:vAlign w:val="center"/>
          </w:tcPr>
          <w:p w14:paraId="292A95AC">
            <w:pPr>
              <w:pStyle w:val="109"/>
              <w:rPr>
                <w:color w:val="000000" w:themeColor="text1"/>
                <w14:textFill>
                  <w14:solidFill>
                    <w14:schemeClr w14:val="tx1"/>
                  </w14:solidFill>
                </w14:textFill>
              </w:rPr>
            </w:pPr>
            <w:r>
              <w:rPr>
                <w:color w:val="000000" w:themeColor="text1"/>
                <w14:textFill>
                  <w14:solidFill>
                    <w14:schemeClr w14:val="tx1"/>
                  </w14:solidFill>
                </w14:textFill>
              </w:rPr>
              <w:t>球罐</w:t>
            </w:r>
          </w:p>
        </w:tc>
        <w:tc>
          <w:tcPr>
            <w:tcW w:w="778" w:type="dxa"/>
            <w:vAlign w:val="center"/>
          </w:tcPr>
          <w:p w14:paraId="61BCC179">
            <w:pPr>
              <w:pStyle w:val="109"/>
              <w:rPr>
                <w:color w:val="000000" w:themeColor="text1"/>
                <w14:textFill>
                  <w14:solidFill>
                    <w14:schemeClr w14:val="tx1"/>
                  </w14:solidFill>
                </w14:textFill>
              </w:rPr>
            </w:pPr>
            <w:r>
              <w:rPr>
                <w:color w:val="000000" w:themeColor="text1"/>
                <w14:textFill>
                  <w14:solidFill>
                    <w14:schemeClr w14:val="tx1"/>
                  </w14:solidFill>
                </w14:textFill>
              </w:rPr>
              <w:t>20天</w:t>
            </w:r>
          </w:p>
        </w:tc>
      </w:tr>
      <w:tr w14:paraId="11F4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545" w:type="dxa"/>
            <w:vAlign w:val="center"/>
          </w:tcPr>
          <w:p w14:paraId="263C71D3">
            <w:pPr>
              <w:pStyle w:val="109"/>
              <w:rPr>
                <w:color w:val="000000" w:themeColor="text1"/>
                <w14:textFill>
                  <w14:solidFill>
                    <w14:schemeClr w14:val="tx1"/>
                  </w14:solidFill>
                </w14:textFill>
              </w:rPr>
            </w:pPr>
            <w:r>
              <w:rPr>
                <w:color w:val="000000" w:themeColor="text1"/>
                <w14:textFill>
                  <w14:solidFill>
                    <w14:schemeClr w14:val="tx1"/>
                  </w14:solidFill>
                </w14:textFill>
              </w:rPr>
              <w:t>甲醇储罐</w:t>
            </w:r>
          </w:p>
        </w:tc>
        <w:tc>
          <w:tcPr>
            <w:tcW w:w="1135" w:type="dxa"/>
            <w:vAlign w:val="center"/>
          </w:tcPr>
          <w:p w14:paraId="77E77AA0">
            <w:pPr>
              <w:pStyle w:val="109"/>
              <w:rPr>
                <w:color w:val="000000" w:themeColor="text1"/>
                <w14:textFill>
                  <w14:solidFill>
                    <w14:schemeClr w14:val="tx1"/>
                  </w14:solidFill>
                </w14:textFill>
              </w:rPr>
            </w:pPr>
            <w:r>
              <w:rPr>
                <w:color w:val="000000" w:themeColor="text1"/>
                <w14:textFill>
                  <w14:solidFill>
                    <w14:schemeClr w14:val="tx1"/>
                  </w14:solidFill>
                </w14:textFill>
              </w:rPr>
              <w:t>甲醇</w:t>
            </w:r>
          </w:p>
        </w:tc>
        <w:tc>
          <w:tcPr>
            <w:tcW w:w="1417" w:type="dxa"/>
            <w:vAlign w:val="center"/>
          </w:tcPr>
          <w:p w14:paraId="06583734">
            <w:pPr>
              <w:pStyle w:val="109"/>
              <w:rPr>
                <w:color w:val="000000" w:themeColor="text1"/>
                <w14:textFill>
                  <w14:solidFill>
                    <w14:schemeClr w14:val="tx1"/>
                  </w14:solidFill>
                </w14:textFill>
              </w:rPr>
            </w:pPr>
            <w:r>
              <w:rPr>
                <w:color w:val="000000" w:themeColor="text1"/>
                <w14:textFill>
                  <w14:solidFill>
                    <w14:schemeClr w14:val="tx1"/>
                  </w14:solidFill>
                </w14:textFill>
              </w:rPr>
              <w:t>3200×4</w:t>
            </w:r>
          </w:p>
        </w:tc>
        <w:tc>
          <w:tcPr>
            <w:tcW w:w="1276" w:type="dxa"/>
            <w:vAlign w:val="center"/>
          </w:tcPr>
          <w:p w14:paraId="014A68BD">
            <w:pPr>
              <w:pStyle w:val="109"/>
              <w:rPr>
                <w:color w:val="000000" w:themeColor="text1"/>
                <w14:textFill>
                  <w14:solidFill>
                    <w14:schemeClr w14:val="tx1"/>
                  </w14:solidFill>
                </w14:textFill>
              </w:rPr>
            </w:pPr>
            <w:r>
              <w:rPr>
                <w:color w:val="000000" w:themeColor="text1"/>
                <w14:textFill>
                  <w14:solidFill>
                    <w14:schemeClr w14:val="tx1"/>
                  </w14:solidFill>
                </w14:textFill>
              </w:rPr>
              <w:t>Φ16×16</w:t>
            </w:r>
          </w:p>
        </w:tc>
        <w:tc>
          <w:tcPr>
            <w:tcW w:w="992" w:type="dxa"/>
            <w:vAlign w:val="center"/>
          </w:tcPr>
          <w:p w14:paraId="1EA0B988">
            <w:pPr>
              <w:pStyle w:val="109"/>
              <w:rPr>
                <w:color w:val="000000" w:themeColor="text1"/>
                <w14:textFill>
                  <w14:solidFill>
                    <w14:schemeClr w14:val="tx1"/>
                  </w14:solidFill>
                </w14:textFill>
              </w:rPr>
            </w:pPr>
            <w:r>
              <w:rPr>
                <w:color w:val="000000" w:themeColor="text1"/>
                <w14:textFill>
                  <w14:solidFill>
                    <w14:schemeClr w14:val="tx1"/>
                  </w14:solidFill>
                </w14:textFill>
              </w:rPr>
              <w:t>10112</w:t>
            </w:r>
          </w:p>
        </w:tc>
        <w:tc>
          <w:tcPr>
            <w:tcW w:w="1135" w:type="dxa"/>
            <w:vAlign w:val="center"/>
          </w:tcPr>
          <w:p w14:paraId="16FA69F5">
            <w:pPr>
              <w:pStyle w:val="109"/>
              <w:rPr>
                <w:color w:val="000000" w:themeColor="text1"/>
                <w14:textFill>
                  <w14:solidFill>
                    <w14:schemeClr w14:val="tx1"/>
                  </w14:solidFill>
                </w14:textFill>
              </w:rPr>
            </w:pPr>
            <w:r>
              <w:rPr>
                <w:color w:val="000000" w:themeColor="text1"/>
                <w14:textFill>
                  <w14:solidFill>
                    <w14:schemeClr w14:val="tx1"/>
                  </w14:solidFill>
                </w14:textFill>
              </w:rPr>
              <w:t>内浮顶罐</w:t>
            </w:r>
          </w:p>
        </w:tc>
        <w:tc>
          <w:tcPr>
            <w:tcW w:w="778" w:type="dxa"/>
            <w:vAlign w:val="center"/>
          </w:tcPr>
          <w:p w14:paraId="1FBF88ED">
            <w:pPr>
              <w:pStyle w:val="109"/>
              <w:rPr>
                <w:color w:val="000000" w:themeColor="text1"/>
                <w14:textFill>
                  <w14:solidFill>
                    <w14:schemeClr w14:val="tx1"/>
                  </w14:solidFill>
                </w14:textFill>
              </w:rPr>
            </w:pPr>
            <w:r>
              <w:rPr>
                <w:color w:val="000000" w:themeColor="text1"/>
                <w14:textFill>
                  <w14:solidFill>
                    <w14:schemeClr w14:val="tx1"/>
                  </w14:solidFill>
                </w14:textFill>
              </w:rPr>
              <w:t>20天</w:t>
            </w:r>
          </w:p>
        </w:tc>
      </w:tr>
      <w:tr w14:paraId="6EA0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545" w:type="dxa"/>
            <w:vAlign w:val="center"/>
          </w:tcPr>
          <w:p w14:paraId="72DDD203">
            <w:pPr>
              <w:pStyle w:val="109"/>
              <w:rPr>
                <w:color w:val="000000" w:themeColor="text1"/>
                <w14:textFill>
                  <w14:solidFill>
                    <w14:schemeClr w14:val="tx1"/>
                  </w14:solidFill>
                </w14:textFill>
              </w:rPr>
            </w:pPr>
            <w:r>
              <w:rPr>
                <w:color w:val="000000" w:themeColor="text1"/>
                <w14:textFill>
                  <w14:solidFill>
                    <w14:schemeClr w14:val="tx1"/>
                  </w14:solidFill>
                </w14:textFill>
              </w:rPr>
              <w:t>醚后戊烯储罐</w:t>
            </w:r>
          </w:p>
        </w:tc>
        <w:tc>
          <w:tcPr>
            <w:tcW w:w="1135" w:type="dxa"/>
            <w:vAlign w:val="center"/>
          </w:tcPr>
          <w:p w14:paraId="42CEB743">
            <w:pPr>
              <w:pStyle w:val="109"/>
              <w:rPr>
                <w:color w:val="000000" w:themeColor="text1"/>
                <w14:textFill>
                  <w14:solidFill>
                    <w14:schemeClr w14:val="tx1"/>
                  </w14:solidFill>
                </w14:textFill>
              </w:rPr>
            </w:pPr>
            <w:r>
              <w:rPr>
                <w:color w:val="000000" w:themeColor="text1"/>
                <w14:textFill>
                  <w14:solidFill>
                    <w14:schemeClr w14:val="tx1"/>
                  </w14:solidFill>
                </w14:textFill>
              </w:rPr>
              <w:t>醚后戊烯</w:t>
            </w:r>
          </w:p>
        </w:tc>
        <w:tc>
          <w:tcPr>
            <w:tcW w:w="1417" w:type="dxa"/>
            <w:vAlign w:val="center"/>
          </w:tcPr>
          <w:p w14:paraId="0F595272">
            <w:pPr>
              <w:pStyle w:val="109"/>
              <w:rPr>
                <w:color w:val="000000" w:themeColor="text1"/>
                <w14:textFill>
                  <w14:solidFill>
                    <w14:schemeClr w14:val="tx1"/>
                  </w14:solidFill>
                </w14:textFill>
              </w:rPr>
            </w:pPr>
            <w:r>
              <w:rPr>
                <w:color w:val="000000" w:themeColor="text1"/>
                <w14:textFill>
                  <w14:solidFill>
                    <w14:schemeClr w14:val="tx1"/>
                  </w14:solidFill>
                </w14:textFill>
              </w:rPr>
              <w:t>3200×3</w:t>
            </w:r>
          </w:p>
        </w:tc>
        <w:tc>
          <w:tcPr>
            <w:tcW w:w="1276" w:type="dxa"/>
            <w:vAlign w:val="center"/>
          </w:tcPr>
          <w:p w14:paraId="70BC8F5E">
            <w:pPr>
              <w:pStyle w:val="109"/>
              <w:rPr>
                <w:color w:val="000000" w:themeColor="text1"/>
                <w14:textFill>
                  <w14:solidFill>
                    <w14:schemeClr w14:val="tx1"/>
                  </w14:solidFill>
                </w14:textFill>
              </w:rPr>
            </w:pPr>
            <w:r>
              <w:rPr>
                <w:color w:val="000000" w:themeColor="text1"/>
                <w14:textFill>
                  <w14:solidFill>
                    <w14:schemeClr w14:val="tx1"/>
                  </w14:solidFill>
                </w14:textFill>
              </w:rPr>
              <w:t>Φ16×16</w:t>
            </w:r>
          </w:p>
        </w:tc>
        <w:tc>
          <w:tcPr>
            <w:tcW w:w="992" w:type="dxa"/>
            <w:vAlign w:val="center"/>
          </w:tcPr>
          <w:p w14:paraId="0CD4EC95">
            <w:pPr>
              <w:pStyle w:val="109"/>
              <w:rPr>
                <w:color w:val="000000" w:themeColor="text1"/>
                <w14:textFill>
                  <w14:solidFill>
                    <w14:schemeClr w14:val="tx1"/>
                  </w14:solidFill>
                </w14:textFill>
              </w:rPr>
            </w:pPr>
            <w:r>
              <w:rPr>
                <w:color w:val="000000" w:themeColor="text1"/>
                <w14:textFill>
                  <w14:solidFill>
                    <w14:schemeClr w14:val="tx1"/>
                  </w14:solidFill>
                </w14:textFill>
              </w:rPr>
              <w:t>6720</w:t>
            </w:r>
          </w:p>
        </w:tc>
        <w:tc>
          <w:tcPr>
            <w:tcW w:w="1135" w:type="dxa"/>
            <w:vAlign w:val="center"/>
          </w:tcPr>
          <w:p w14:paraId="5F84C51A">
            <w:pPr>
              <w:pStyle w:val="109"/>
              <w:rPr>
                <w:color w:val="000000" w:themeColor="text1"/>
                <w14:textFill>
                  <w14:solidFill>
                    <w14:schemeClr w14:val="tx1"/>
                  </w14:solidFill>
                </w14:textFill>
              </w:rPr>
            </w:pPr>
            <w:r>
              <w:rPr>
                <w:color w:val="000000" w:themeColor="text1"/>
                <w14:textFill>
                  <w14:solidFill>
                    <w14:schemeClr w14:val="tx1"/>
                  </w14:solidFill>
                </w14:textFill>
              </w:rPr>
              <w:t>内浮顶罐</w:t>
            </w:r>
          </w:p>
        </w:tc>
        <w:tc>
          <w:tcPr>
            <w:tcW w:w="778" w:type="dxa"/>
            <w:vAlign w:val="center"/>
          </w:tcPr>
          <w:p w14:paraId="038A6066">
            <w:pPr>
              <w:pStyle w:val="109"/>
              <w:rPr>
                <w:color w:val="000000" w:themeColor="text1"/>
                <w14:textFill>
                  <w14:solidFill>
                    <w14:schemeClr w14:val="tx1"/>
                  </w14:solidFill>
                </w14:textFill>
              </w:rPr>
            </w:pPr>
            <w:r>
              <w:rPr>
                <w:color w:val="000000" w:themeColor="text1"/>
                <w14:textFill>
                  <w14:solidFill>
                    <w14:schemeClr w14:val="tx1"/>
                  </w14:solidFill>
                </w14:textFill>
              </w:rPr>
              <w:t>20天</w:t>
            </w:r>
          </w:p>
        </w:tc>
      </w:tr>
    </w:tbl>
    <w:p w14:paraId="53DC309F">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依托工程</w:t>
      </w:r>
    </w:p>
    <w:p w14:paraId="414219A1">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危废暂存间依托新疆华瑞气体有限公司年产30万吨食品级液体二氧化碳项目，2023年1月，新疆华瑞气体有限公司委托新疆正佳环保科技有限公司编制《新疆华瑞气体有限公司年产30万吨食品级液体二氧化碳项目环境影响报告表》；2023年2月18日，乌鲁木齐市生态环境局以乌环评（甘）审[2023〕4号文件予以批复。本项目于2023年4月开工建设，2023年11月竣工并开始调试运行，2024年4月8日通过竣工环保验收。</w:t>
      </w:r>
    </w:p>
    <w:p w14:paraId="7384A1F4">
      <w:pPr>
        <w:ind w:firstLine="480"/>
        <w:rPr>
          <w:color w:val="000000" w:themeColor="text1"/>
          <w14:textFill>
            <w14:solidFill>
              <w14:schemeClr w14:val="tx1"/>
            </w14:solidFill>
          </w14:textFill>
        </w:rPr>
      </w:pPr>
      <w:r>
        <w:rPr>
          <w:bCs/>
          <w:color w:val="000000" w:themeColor="text1"/>
          <w14:textFill>
            <w14:solidFill>
              <w14:schemeClr w14:val="tx1"/>
            </w14:solidFill>
          </w14:textFill>
        </w:rPr>
        <w:t>该项目厂区东南侧建设一座20m</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危废暂存间，目前该危废暂存间已用5m</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，剩余15m</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，用于废催化剂、废润滑油等危险废物的暂存，新疆华瑞气体有限公司危废暂存间依托可行。</w:t>
      </w:r>
    </w:p>
    <w:p w14:paraId="1257A2C5">
      <w:pPr>
        <w:pStyle w:val="3"/>
        <w:rPr>
          <w:rFonts w:ascii="Times New Roman" w:cs="Times New Roman"/>
          <w:color w:val="000000" w:themeColor="text1"/>
          <w14:textFill>
            <w14:solidFill>
              <w14:schemeClr w14:val="tx1"/>
            </w14:solidFill>
          </w14:textFill>
        </w:rPr>
      </w:pPr>
      <w:bookmarkStart w:id="216" w:name="_Toc225268289"/>
      <w:bookmarkStart w:id="217" w:name="bookmark72"/>
      <w:r>
        <w:rPr>
          <w:rFonts w:ascii="Times New Roman" w:cs="Times New Roman"/>
          <w:color w:val="000000" w:themeColor="text1"/>
          <w14:textFill>
            <w14:solidFill>
              <w14:schemeClr w14:val="tx1"/>
            </w14:solidFill>
          </w14:textFill>
        </w:rPr>
        <w:t>在建工程主要污染源及达标分析</w:t>
      </w:r>
      <w:bookmarkEnd w:id="216"/>
      <w:bookmarkEnd w:id="217"/>
    </w:p>
    <w:p w14:paraId="24ED02A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废水</w:t>
      </w:r>
    </w:p>
    <w:p w14:paraId="2DAA03A9">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在建工程废水产生情况及排放去向</w:t>
      </w:r>
    </w:p>
    <w:p w14:paraId="7A110E29">
      <w:pPr>
        <w:ind w:firstLine="480"/>
        <w:rPr>
          <w:color w:val="000000" w:themeColor="text1"/>
          <w14:textFill>
            <w14:solidFill>
              <w14:schemeClr w14:val="tx1"/>
            </w14:solidFill>
          </w14:textFill>
        </w:rPr>
      </w:pPr>
      <w:r>
        <w:rPr>
          <w:color w:val="000000" w:themeColor="text1"/>
          <w14:textFill>
            <w14:solidFill>
              <w14:schemeClr w14:val="tx1"/>
            </w14:solidFill>
          </w14:textFill>
        </w:rPr>
        <w:t>在建项目无工艺废水产生，项目废水主要为循环水站排污水、生活污水，均经厂区污水总排口排入园区污水处理厂。</w:t>
      </w:r>
    </w:p>
    <w:p w14:paraId="2A79319B">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废水外排达标情况</w:t>
      </w:r>
    </w:p>
    <w:p w14:paraId="29586ED2">
      <w:pPr>
        <w:ind w:firstLine="480"/>
        <w:rPr>
          <w:color w:val="000000" w:themeColor="text1"/>
          <w14:textFill>
            <w14:solidFill>
              <w14:schemeClr w14:val="tx1"/>
            </w14:solidFill>
          </w14:textFill>
        </w:rPr>
      </w:pPr>
      <w:r>
        <w:rPr>
          <w:snapToGrid w:val="0"/>
          <w:color w:val="000000" w:themeColor="text1"/>
          <w:szCs w:val="21"/>
          <w14:textFill>
            <w14:solidFill>
              <w14:schemeClr w14:val="tx1"/>
            </w14:solidFill>
          </w14:textFill>
        </w:rPr>
        <w:t>混合废水排放可满足《石油化学工业污染物排放标准（含2024年修改单）》(GB31571-2015)表1间接排放限值和园区污水处理厂进水水质要求（《污水综合排放标准》（GB8978-1996）表4三级标准限值）。</w:t>
      </w:r>
    </w:p>
    <w:p w14:paraId="5B222387">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废水最终排放情况汇总</w:t>
      </w:r>
    </w:p>
    <w:p w14:paraId="713BE1B6">
      <w:pPr>
        <w:ind w:firstLine="480"/>
        <w:jc w:val="both"/>
        <w:rPr>
          <w:color w:val="000000" w:themeColor="text1"/>
          <w14:textFill>
            <w14:solidFill>
              <w14:schemeClr w14:val="tx1"/>
            </w14:solidFill>
          </w14:textFill>
        </w:rPr>
      </w:pPr>
      <w:r>
        <w:rPr>
          <w:color w:val="000000" w:themeColor="text1"/>
          <w:kern w:val="2"/>
          <w:lang w:bidi="ar"/>
          <w14:textFill>
            <w14:solidFill>
              <w14:schemeClr w14:val="tx1"/>
            </w14:solidFill>
          </w14:textFill>
        </w:rPr>
        <w:t>项目废水污染源核算结果见</w:t>
      </w:r>
      <w:r>
        <w:rPr>
          <w:color w:val="000000" w:themeColor="text1"/>
          <w:kern w:val="2"/>
          <w:lang w:bidi="ar"/>
          <w14:textFill>
            <w14:solidFill>
              <w14:schemeClr w14:val="tx1"/>
            </w14:solidFill>
          </w14:textFill>
        </w:rPr>
        <w:fldChar w:fldCharType="begin"/>
      </w:r>
      <w:r>
        <w:rPr>
          <w:color w:val="000000" w:themeColor="text1"/>
          <w:kern w:val="2"/>
          <w:lang w:bidi="ar"/>
          <w14:textFill>
            <w14:solidFill>
              <w14:schemeClr w14:val="tx1"/>
            </w14:solidFill>
          </w14:textFill>
        </w:rPr>
        <w:instrText xml:space="preserve"> REF _Ref141303572 \h  \* MERGEFORMAT </w:instrText>
      </w:r>
      <w:r>
        <w:rPr>
          <w:color w:val="000000" w:themeColor="text1"/>
          <w:kern w:val="2"/>
          <w:lang w:bidi="ar"/>
          <w14:textFill>
            <w14:solidFill>
              <w14:schemeClr w14:val="tx1"/>
            </w14:solidFill>
          </w14:textFill>
        </w:rPr>
        <w:fldChar w:fldCharType="separate"/>
      </w:r>
      <w:r>
        <w:rPr>
          <w:rFonts w:hint="eastAsia"/>
          <w:b/>
          <w:bCs/>
          <w:color w:val="000000" w:themeColor="text1"/>
          <w:kern w:val="2"/>
          <w:lang w:bidi="ar"/>
          <w14:textFill>
            <w14:solidFill>
              <w14:schemeClr w14:val="tx1"/>
            </w14:solidFill>
          </w14:textFill>
        </w:rPr>
        <w:t>错误!未找到引用源。</w:t>
      </w:r>
      <w:r>
        <w:rPr>
          <w:color w:val="000000" w:themeColor="text1"/>
          <w:kern w:val="2"/>
          <w:lang w:bidi="ar"/>
          <w14:textFill>
            <w14:solidFill>
              <w14:schemeClr w14:val="tx1"/>
            </w14:solidFill>
          </w14:textFill>
        </w:rPr>
        <w:fldChar w:fldCharType="end"/>
      </w:r>
      <w:r>
        <w:rPr>
          <w:color w:val="000000" w:themeColor="text1"/>
          <w:kern w:val="2"/>
          <w14:textFill>
            <w14:solidFill>
              <w14:schemeClr w14:val="tx1"/>
            </w14:solidFill>
          </w14:textFill>
        </w:rPr>
        <w:t>3.8-7</w:t>
      </w:r>
      <w:r>
        <w:rPr>
          <w:color w:val="000000" w:themeColor="text1"/>
          <w:kern w:val="2"/>
          <w:lang w:bidi="ar"/>
          <w14:textFill>
            <w14:solidFill>
              <w14:schemeClr w14:val="tx1"/>
            </w14:solidFill>
          </w14:textFill>
        </w:rPr>
        <w:t>。</w:t>
      </w:r>
    </w:p>
    <w:p w14:paraId="214EE80C">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废水污染源强核算一览表</w:t>
      </w:r>
    </w:p>
    <w:tbl>
      <w:tblPr>
        <w:tblStyle w:val="7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353"/>
        <w:gridCol w:w="1317"/>
        <w:gridCol w:w="2341"/>
        <w:gridCol w:w="1844"/>
        <w:gridCol w:w="1809"/>
      </w:tblGrid>
      <w:tr w14:paraId="4716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Align w:val="center"/>
          </w:tcPr>
          <w:p w14:paraId="6B28E19C">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污染源</w:t>
            </w:r>
          </w:p>
        </w:tc>
        <w:tc>
          <w:tcPr>
            <w:tcW w:w="703" w:type="pct"/>
            <w:vAlign w:val="center"/>
          </w:tcPr>
          <w:p w14:paraId="1A6401E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污染物</w:t>
            </w:r>
          </w:p>
        </w:tc>
        <w:tc>
          <w:tcPr>
            <w:tcW w:w="684" w:type="pct"/>
            <w:vAlign w:val="center"/>
          </w:tcPr>
          <w:p w14:paraId="09AABC70">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废水量（m³/a）</w:t>
            </w:r>
          </w:p>
        </w:tc>
        <w:tc>
          <w:tcPr>
            <w:tcW w:w="1216" w:type="pct"/>
            <w:vAlign w:val="center"/>
          </w:tcPr>
          <w:p w14:paraId="760BD84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污染物产生浓度（mg/L）</w:t>
            </w:r>
          </w:p>
        </w:tc>
        <w:tc>
          <w:tcPr>
            <w:tcW w:w="958" w:type="pct"/>
            <w:vAlign w:val="center"/>
          </w:tcPr>
          <w:p w14:paraId="3F74C920">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污染物产生量（t/a）</w:t>
            </w:r>
          </w:p>
        </w:tc>
        <w:tc>
          <w:tcPr>
            <w:tcW w:w="941" w:type="pct"/>
            <w:vAlign w:val="center"/>
          </w:tcPr>
          <w:p w14:paraId="7E54A66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治理措施及</w:t>
            </w:r>
          </w:p>
          <w:p w14:paraId="10812FE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排放去向</w:t>
            </w:r>
          </w:p>
        </w:tc>
      </w:tr>
      <w:tr w14:paraId="0DFF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restart"/>
            <w:vAlign w:val="center"/>
          </w:tcPr>
          <w:p w14:paraId="54FD9CF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循环</w:t>
            </w:r>
          </w:p>
          <w:p w14:paraId="207BECE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水站</w:t>
            </w:r>
          </w:p>
        </w:tc>
        <w:tc>
          <w:tcPr>
            <w:tcW w:w="703" w:type="pct"/>
            <w:vAlign w:val="center"/>
          </w:tcPr>
          <w:p w14:paraId="4D3D0C3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COD</w:t>
            </w:r>
          </w:p>
        </w:tc>
        <w:tc>
          <w:tcPr>
            <w:tcW w:w="684" w:type="pct"/>
            <w:vMerge w:val="restart"/>
            <w:vAlign w:val="center"/>
          </w:tcPr>
          <w:p w14:paraId="3A0AD58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2720</w:t>
            </w:r>
          </w:p>
        </w:tc>
        <w:tc>
          <w:tcPr>
            <w:tcW w:w="1216" w:type="pct"/>
            <w:vAlign w:val="center"/>
          </w:tcPr>
          <w:p w14:paraId="4CAE6852">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50</w:t>
            </w:r>
          </w:p>
        </w:tc>
        <w:tc>
          <w:tcPr>
            <w:tcW w:w="958" w:type="pct"/>
            <w:vAlign w:val="center"/>
          </w:tcPr>
          <w:p w14:paraId="59E4E82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0.14 </w:t>
            </w:r>
          </w:p>
        </w:tc>
        <w:tc>
          <w:tcPr>
            <w:tcW w:w="941" w:type="pct"/>
            <w:vMerge w:val="restart"/>
            <w:vAlign w:val="center"/>
          </w:tcPr>
          <w:p w14:paraId="3DAC171C">
            <w:pPr>
              <w:pStyle w:val="109"/>
              <w:rPr>
                <w:color w:val="000000" w:themeColor="text1"/>
                <w14:textFill>
                  <w14:solidFill>
                    <w14:schemeClr w14:val="tx1"/>
                  </w14:solidFill>
                </w14:textFill>
              </w:rPr>
            </w:pPr>
            <w:r>
              <w:rPr>
                <w:color w:val="000000" w:themeColor="text1"/>
                <w14:textFill>
                  <w14:solidFill>
                    <w14:schemeClr w14:val="tx1"/>
                  </w14:solidFill>
                </w14:textFill>
              </w:rPr>
              <w:t>排入园区污水处理厂</w:t>
            </w:r>
          </w:p>
        </w:tc>
      </w:tr>
      <w:tr w14:paraId="3EF9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continue"/>
            <w:vAlign w:val="center"/>
          </w:tcPr>
          <w:p w14:paraId="19B8346C">
            <w:pPr>
              <w:pStyle w:val="109"/>
              <w:rPr>
                <w:color w:val="000000" w:themeColor="text1"/>
                <w14:textFill>
                  <w14:solidFill>
                    <w14:schemeClr w14:val="tx1"/>
                  </w14:solidFill>
                </w14:textFill>
              </w:rPr>
            </w:pPr>
          </w:p>
        </w:tc>
        <w:tc>
          <w:tcPr>
            <w:tcW w:w="703" w:type="pct"/>
            <w:vAlign w:val="center"/>
          </w:tcPr>
          <w:p w14:paraId="4ABFC12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TDS</w:t>
            </w:r>
          </w:p>
        </w:tc>
        <w:tc>
          <w:tcPr>
            <w:tcW w:w="684" w:type="pct"/>
            <w:vMerge w:val="continue"/>
            <w:vAlign w:val="center"/>
          </w:tcPr>
          <w:p w14:paraId="39624F5C">
            <w:pPr>
              <w:pStyle w:val="109"/>
              <w:rPr>
                <w:color w:val="000000" w:themeColor="text1"/>
                <w14:textFill>
                  <w14:solidFill>
                    <w14:schemeClr w14:val="tx1"/>
                  </w14:solidFill>
                </w14:textFill>
              </w:rPr>
            </w:pPr>
          </w:p>
        </w:tc>
        <w:tc>
          <w:tcPr>
            <w:tcW w:w="1216" w:type="pct"/>
            <w:vAlign w:val="center"/>
          </w:tcPr>
          <w:p w14:paraId="0B8B53D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1500</w:t>
            </w:r>
          </w:p>
        </w:tc>
        <w:tc>
          <w:tcPr>
            <w:tcW w:w="958" w:type="pct"/>
            <w:vAlign w:val="center"/>
          </w:tcPr>
          <w:p w14:paraId="7B1D1E26">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4.08 </w:t>
            </w:r>
          </w:p>
        </w:tc>
        <w:tc>
          <w:tcPr>
            <w:tcW w:w="941" w:type="pct"/>
            <w:vMerge w:val="continue"/>
            <w:vAlign w:val="center"/>
          </w:tcPr>
          <w:p w14:paraId="271A81FB">
            <w:pPr>
              <w:pStyle w:val="109"/>
              <w:rPr>
                <w:color w:val="000000" w:themeColor="text1"/>
                <w14:textFill>
                  <w14:solidFill>
                    <w14:schemeClr w14:val="tx1"/>
                  </w14:solidFill>
                </w14:textFill>
              </w:rPr>
            </w:pPr>
          </w:p>
        </w:tc>
      </w:tr>
      <w:tr w14:paraId="63B8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restart"/>
            <w:vAlign w:val="center"/>
          </w:tcPr>
          <w:p w14:paraId="7A92A475">
            <w:pPr>
              <w:pStyle w:val="109"/>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703" w:type="pct"/>
            <w:vAlign w:val="center"/>
          </w:tcPr>
          <w:p w14:paraId="66BC11E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COD</w:t>
            </w:r>
          </w:p>
        </w:tc>
        <w:tc>
          <w:tcPr>
            <w:tcW w:w="684" w:type="pct"/>
            <w:vMerge w:val="restart"/>
            <w:vAlign w:val="center"/>
          </w:tcPr>
          <w:p w14:paraId="5808301F">
            <w:pPr>
              <w:pStyle w:val="109"/>
              <w:rPr>
                <w:color w:val="000000" w:themeColor="text1"/>
                <w14:textFill>
                  <w14:solidFill>
                    <w14:schemeClr w14:val="tx1"/>
                  </w14:solidFill>
                </w14:textFill>
              </w:rPr>
            </w:pPr>
            <w:r>
              <w:rPr>
                <w:color w:val="000000" w:themeColor="text1"/>
                <w14:textFill>
                  <w14:solidFill>
                    <w14:schemeClr w14:val="tx1"/>
                  </w14:solidFill>
                </w14:textFill>
              </w:rPr>
              <w:t>912.42</w:t>
            </w:r>
          </w:p>
        </w:tc>
        <w:tc>
          <w:tcPr>
            <w:tcW w:w="1216" w:type="pct"/>
            <w:vAlign w:val="center"/>
          </w:tcPr>
          <w:p w14:paraId="4D2B079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460</w:t>
            </w:r>
          </w:p>
        </w:tc>
        <w:tc>
          <w:tcPr>
            <w:tcW w:w="958" w:type="pct"/>
            <w:vAlign w:val="center"/>
          </w:tcPr>
          <w:p w14:paraId="06CF7FD5">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0.42 </w:t>
            </w:r>
          </w:p>
        </w:tc>
        <w:tc>
          <w:tcPr>
            <w:tcW w:w="941" w:type="pct"/>
            <w:vMerge w:val="continue"/>
            <w:vAlign w:val="center"/>
          </w:tcPr>
          <w:p w14:paraId="6167BC88">
            <w:pPr>
              <w:pStyle w:val="109"/>
              <w:rPr>
                <w:color w:val="000000" w:themeColor="text1"/>
                <w14:textFill>
                  <w14:solidFill>
                    <w14:schemeClr w14:val="tx1"/>
                  </w14:solidFill>
                </w14:textFill>
              </w:rPr>
            </w:pPr>
          </w:p>
        </w:tc>
      </w:tr>
      <w:tr w14:paraId="643B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continue"/>
            <w:vAlign w:val="center"/>
          </w:tcPr>
          <w:p w14:paraId="3E481296">
            <w:pPr>
              <w:pStyle w:val="109"/>
              <w:rPr>
                <w:color w:val="000000" w:themeColor="text1"/>
                <w14:textFill>
                  <w14:solidFill>
                    <w14:schemeClr w14:val="tx1"/>
                  </w14:solidFill>
                </w14:textFill>
              </w:rPr>
            </w:pPr>
          </w:p>
        </w:tc>
        <w:tc>
          <w:tcPr>
            <w:tcW w:w="703" w:type="pct"/>
            <w:vAlign w:val="center"/>
          </w:tcPr>
          <w:p w14:paraId="6DFDDE7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NH</w:t>
            </w:r>
            <w:r>
              <w:rPr>
                <w:color w:val="000000" w:themeColor="text1"/>
                <w:vertAlign w:val="subscript"/>
                <w:lang w:bidi="ar"/>
                <w14:textFill>
                  <w14:solidFill>
                    <w14:schemeClr w14:val="tx1"/>
                  </w14:solidFill>
                </w14:textFill>
              </w:rPr>
              <w:t>3</w:t>
            </w:r>
            <w:r>
              <w:rPr>
                <w:color w:val="000000" w:themeColor="text1"/>
                <w:lang w:bidi="ar"/>
                <w14:textFill>
                  <w14:solidFill>
                    <w14:schemeClr w14:val="tx1"/>
                  </w14:solidFill>
                </w14:textFill>
              </w:rPr>
              <w:t>-N</w:t>
            </w:r>
          </w:p>
        </w:tc>
        <w:tc>
          <w:tcPr>
            <w:tcW w:w="684" w:type="pct"/>
            <w:vMerge w:val="continue"/>
            <w:vAlign w:val="center"/>
          </w:tcPr>
          <w:p w14:paraId="3F4CF44B">
            <w:pPr>
              <w:pStyle w:val="109"/>
              <w:rPr>
                <w:color w:val="000000" w:themeColor="text1"/>
                <w14:textFill>
                  <w14:solidFill>
                    <w14:schemeClr w14:val="tx1"/>
                  </w14:solidFill>
                </w14:textFill>
              </w:rPr>
            </w:pPr>
          </w:p>
        </w:tc>
        <w:tc>
          <w:tcPr>
            <w:tcW w:w="1216" w:type="pct"/>
            <w:vAlign w:val="center"/>
          </w:tcPr>
          <w:p w14:paraId="0644B266">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52.2</w:t>
            </w:r>
          </w:p>
        </w:tc>
        <w:tc>
          <w:tcPr>
            <w:tcW w:w="958" w:type="pct"/>
            <w:vAlign w:val="center"/>
          </w:tcPr>
          <w:p w14:paraId="147C9BA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0.05 </w:t>
            </w:r>
          </w:p>
        </w:tc>
        <w:tc>
          <w:tcPr>
            <w:tcW w:w="941" w:type="pct"/>
            <w:vMerge w:val="continue"/>
            <w:vAlign w:val="center"/>
          </w:tcPr>
          <w:p w14:paraId="0B6CB3D5">
            <w:pPr>
              <w:pStyle w:val="109"/>
              <w:rPr>
                <w:color w:val="000000" w:themeColor="text1"/>
                <w14:textFill>
                  <w14:solidFill>
                    <w14:schemeClr w14:val="tx1"/>
                  </w14:solidFill>
                </w14:textFill>
              </w:rPr>
            </w:pPr>
          </w:p>
        </w:tc>
      </w:tr>
      <w:tr w14:paraId="3835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continue"/>
            <w:vAlign w:val="center"/>
          </w:tcPr>
          <w:p w14:paraId="62954EDA">
            <w:pPr>
              <w:pStyle w:val="109"/>
              <w:rPr>
                <w:color w:val="000000" w:themeColor="text1"/>
                <w14:textFill>
                  <w14:solidFill>
                    <w14:schemeClr w14:val="tx1"/>
                  </w14:solidFill>
                </w14:textFill>
              </w:rPr>
            </w:pPr>
          </w:p>
        </w:tc>
        <w:tc>
          <w:tcPr>
            <w:tcW w:w="703" w:type="pct"/>
            <w:vAlign w:val="center"/>
          </w:tcPr>
          <w:p w14:paraId="14FEFF3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TN</w:t>
            </w:r>
          </w:p>
        </w:tc>
        <w:tc>
          <w:tcPr>
            <w:tcW w:w="684" w:type="pct"/>
            <w:vMerge w:val="continue"/>
            <w:vAlign w:val="center"/>
          </w:tcPr>
          <w:p w14:paraId="15921B7B">
            <w:pPr>
              <w:pStyle w:val="109"/>
              <w:rPr>
                <w:color w:val="000000" w:themeColor="text1"/>
                <w14:textFill>
                  <w14:solidFill>
                    <w14:schemeClr w14:val="tx1"/>
                  </w14:solidFill>
                </w14:textFill>
              </w:rPr>
            </w:pPr>
          </w:p>
        </w:tc>
        <w:tc>
          <w:tcPr>
            <w:tcW w:w="1216" w:type="pct"/>
            <w:vAlign w:val="center"/>
          </w:tcPr>
          <w:p w14:paraId="2134F52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71.2</w:t>
            </w:r>
          </w:p>
        </w:tc>
        <w:tc>
          <w:tcPr>
            <w:tcW w:w="958" w:type="pct"/>
            <w:vAlign w:val="center"/>
          </w:tcPr>
          <w:p w14:paraId="07ACDCB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0.06 </w:t>
            </w:r>
          </w:p>
        </w:tc>
        <w:tc>
          <w:tcPr>
            <w:tcW w:w="941" w:type="pct"/>
            <w:vMerge w:val="continue"/>
            <w:vAlign w:val="center"/>
          </w:tcPr>
          <w:p w14:paraId="0D9C1746">
            <w:pPr>
              <w:pStyle w:val="109"/>
              <w:rPr>
                <w:color w:val="000000" w:themeColor="text1"/>
                <w14:textFill>
                  <w14:solidFill>
                    <w14:schemeClr w14:val="tx1"/>
                  </w14:solidFill>
                </w14:textFill>
              </w:rPr>
            </w:pPr>
          </w:p>
        </w:tc>
      </w:tr>
      <w:tr w14:paraId="5FDE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continue"/>
            <w:vAlign w:val="center"/>
          </w:tcPr>
          <w:p w14:paraId="7A8146B9">
            <w:pPr>
              <w:pStyle w:val="109"/>
              <w:rPr>
                <w:color w:val="000000" w:themeColor="text1"/>
                <w14:textFill>
                  <w14:solidFill>
                    <w14:schemeClr w14:val="tx1"/>
                  </w14:solidFill>
                </w14:textFill>
              </w:rPr>
            </w:pPr>
          </w:p>
        </w:tc>
        <w:tc>
          <w:tcPr>
            <w:tcW w:w="703" w:type="pct"/>
            <w:vAlign w:val="center"/>
          </w:tcPr>
          <w:p w14:paraId="4C832E0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TP</w:t>
            </w:r>
          </w:p>
        </w:tc>
        <w:tc>
          <w:tcPr>
            <w:tcW w:w="684" w:type="pct"/>
            <w:vMerge w:val="continue"/>
            <w:vAlign w:val="center"/>
          </w:tcPr>
          <w:p w14:paraId="5F88AD82">
            <w:pPr>
              <w:pStyle w:val="109"/>
              <w:rPr>
                <w:color w:val="000000" w:themeColor="text1"/>
                <w14:textFill>
                  <w14:solidFill>
                    <w14:schemeClr w14:val="tx1"/>
                  </w14:solidFill>
                </w14:textFill>
              </w:rPr>
            </w:pPr>
          </w:p>
        </w:tc>
        <w:tc>
          <w:tcPr>
            <w:tcW w:w="1216" w:type="pct"/>
            <w:vAlign w:val="center"/>
          </w:tcPr>
          <w:p w14:paraId="1975499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5.12</w:t>
            </w:r>
          </w:p>
        </w:tc>
        <w:tc>
          <w:tcPr>
            <w:tcW w:w="958" w:type="pct"/>
            <w:vAlign w:val="center"/>
          </w:tcPr>
          <w:p w14:paraId="4394046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0.005 </w:t>
            </w:r>
          </w:p>
        </w:tc>
        <w:tc>
          <w:tcPr>
            <w:tcW w:w="941" w:type="pct"/>
            <w:vMerge w:val="continue"/>
            <w:vAlign w:val="center"/>
          </w:tcPr>
          <w:p w14:paraId="20791319">
            <w:pPr>
              <w:pStyle w:val="109"/>
              <w:rPr>
                <w:color w:val="000000" w:themeColor="text1"/>
                <w14:textFill>
                  <w14:solidFill>
                    <w14:schemeClr w14:val="tx1"/>
                  </w14:solidFill>
                </w14:textFill>
              </w:rPr>
            </w:pPr>
          </w:p>
        </w:tc>
      </w:tr>
      <w:tr w14:paraId="42C5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restart"/>
            <w:vAlign w:val="center"/>
          </w:tcPr>
          <w:p w14:paraId="71BC81FF">
            <w:pPr>
              <w:pStyle w:val="109"/>
              <w:rPr>
                <w:color w:val="000000" w:themeColor="text1"/>
                <w14:textFill>
                  <w14:solidFill>
                    <w14:schemeClr w14:val="tx1"/>
                  </w14:solidFill>
                </w14:textFill>
              </w:rPr>
            </w:pPr>
            <w:r>
              <w:rPr>
                <w:color w:val="000000" w:themeColor="text1"/>
                <w14:textFill>
                  <w14:solidFill>
                    <w14:schemeClr w14:val="tx1"/>
                  </w14:solidFill>
                </w14:textFill>
              </w:rPr>
              <w:t>综合废水</w:t>
            </w:r>
          </w:p>
        </w:tc>
        <w:tc>
          <w:tcPr>
            <w:tcW w:w="703" w:type="pct"/>
            <w:vAlign w:val="center"/>
          </w:tcPr>
          <w:p w14:paraId="67D4016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COD</w:t>
            </w:r>
          </w:p>
        </w:tc>
        <w:tc>
          <w:tcPr>
            <w:tcW w:w="684" w:type="pct"/>
            <w:vMerge w:val="restart"/>
            <w:vAlign w:val="center"/>
          </w:tcPr>
          <w:p w14:paraId="4B46D0AB">
            <w:pPr>
              <w:pStyle w:val="109"/>
              <w:rPr>
                <w:color w:val="000000" w:themeColor="text1"/>
                <w14:textFill>
                  <w14:solidFill>
                    <w14:schemeClr w14:val="tx1"/>
                  </w14:solidFill>
                </w14:textFill>
              </w:rPr>
            </w:pPr>
            <w:r>
              <w:rPr>
                <w:color w:val="000000" w:themeColor="text1"/>
                <w14:textFill>
                  <w14:solidFill>
                    <w14:schemeClr w14:val="tx1"/>
                  </w14:solidFill>
                </w14:textFill>
              </w:rPr>
              <w:t>3632.42</w:t>
            </w:r>
          </w:p>
        </w:tc>
        <w:tc>
          <w:tcPr>
            <w:tcW w:w="1216" w:type="pct"/>
            <w:vAlign w:val="center"/>
          </w:tcPr>
          <w:p w14:paraId="76BFFA7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152.99 </w:t>
            </w:r>
          </w:p>
        </w:tc>
        <w:tc>
          <w:tcPr>
            <w:tcW w:w="958" w:type="pct"/>
            <w:vAlign w:val="center"/>
          </w:tcPr>
          <w:p w14:paraId="3DF7EEC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0.56 </w:t>
            </w:r>
          </w:p>
        </w:tc>
        <w:tc>
          <w:tcPr>
            <w:tcW w:w="941" w:type="pct"/>
            <w:vMerge w:val="continue"/>
            <w:vAlign w:val="center"/>
          </w:tcPr>
          <w:p w14:paraId="6B915DBA">
            <w:pPr>
              <w:pStyle w:val="109"/>
              <w:rPr>
                <w:color w:val="000000" w:themeColor="text1"/>
                <w14:textFill>
                  <w14:solidFill>
                    <w14:schemeClr w14:val="tx1"/>
                  </w14:solidFill>
                </w14:textFill>
              </w:rPr>
            </w:pPr>
          </w:p>
        </w:tc>
      </w:tr>
      <w:tr w14:paraId="7AED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continue"/>
            <w:vAlign w:val="center"/>
          </w:tcPr>
          <w:p w14:paraId="3316AF31">
            <w:pPr>
              <w:pStyle w:val="109"/>
              <w:rPr>
                <w:color w:val="000000" w:themeColor="text1"/>
                <w14:textFill>
                  <w14:solidFill>
                    <w14:schemeClr w14:val="tx1"/>
                  </w14:solidFill>
                </w14:textFill>
              </w:rPr>
            </w:pPr>
          </w:p>
        </w:tc>
        <w:tc>
          <w:tcPr>
            <w:tcW w:w="703" w:type="pct"/>
            <w:vAlign w:val="center"/>
          </w:tcPr>
          <w:p w14:paraId="084BCC1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NH</w:t>
            </w:r>
            <w:r>
              <w:rPr>
                <w:color w:val="000000" w:themeColor="text1"/>
                <w:vertAlign w:val="subscript"/>
                <w:lang w:bidi="ar"/>
                <w14:textFill>
                  <w14:solidFill>
                    <w14:schemeClr w14:val="tx1"/>
                  </w14:solidFill>
                </w14:textFill>
              </w:rPr>
              <w:t>3</w:t>
            </w:r>
            <w:r>
              <w:rPr>
                <w:color w:val="000000" w:themeColor="text1"/>
                <w:lang w:bidi="ar"/>
                <w14:textFill>
                  <w14:solidFill>
                    <w14:schemeClr w14:val="tx1"/>
                  </w14:solidFill>
                </w14:textFill>
              </w:rPr>
              <w:t>-N</w:t>
            </w:r>
          </w:p>
        </w:tc>
        <w:tc>
          <w:tcPr>
            <w:tcW w:w="684" w:type="pct"/>
            <w:vMerge w:val="continue"/>
            <w:vAlign w:val="center"/>
          </w:tcPr>
          <w:p w14:paraId="5EE02C72">
            <w:pPr>
              <w:pStyle w:val="109"/>
              <w:rPr>
                <w:color w:val="000000" w:themeColor="text1"/>
                <w14:textFill>
                  <w14:solidFill>
                    <w14:schemeClr w14:val="tx1"/>
                  </w14:solidFill>
                </w14:textFill>
              </w:rPr>
            </w:pPr>
          </w:p>
        </w:tc>
        <w:tc>
          <w:tcPr>
            <w:tcW w:w="1216" w:type="pct"/>
            <w:vAlign w:val="center"/>
          </w:tcPr>
          <w:p w14:paraId="5915F8D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13.11 </w:t>
            </w:r>
          </w:p>
        </w:tc>
        <w:tc>
          <w:tcPr>
            <w:tcW w:w="958" w:type="pct"/>
            <w:vAlign w:val="center"/>
          </w:tcPr>
          <w:p w14:paraId="3AF736E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0.05 </w:t>
            </w:r>
          </w:p>
        </w:tc>
        <w:tc>
          <w:tcPr>
            <w:tcW w:w="941" w:type="pct"/>
            <w:vMerge w:val="continue"/>
            <w:vAlign w:val="center"/>
          </w:tcPr>
          <w:p w14:paraId="39011E1F">
            <w:pPr>
              <w:pStyle w:val="109"/>
              <w:rPr>
                <w:color w:val="000000" w:themeColor="text1"/>
                <w14:textFill>
                  <w14:solidFill>
                    <w14:schemeClr w14:val="tx1"/>
                  </w14:solidFill>
                </w14:textFill>
              </w:rPr>
            </w:pPr>
          </w:p>
        </w:tc>
      </w:tr>
      <w:tr w14:paraId="1876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continue"/>
            <w:vAlign w:val="center"/>
          </w:tcPr>
          <w:p w14:paraId="7D38CB8D">
            <w:pPr>
              <w:pStyle w:val="109"/>
              <w:rPr>
                <w:color w:val="000000" w:themeColor="text1"/>
                <w14:textFill>
                  <w14:solidFill>
                    <w14:schemeClr w14:val="tx1"/>
                  </w14:solidFill>
                </w14:textFill>
              </w:rPr>
            </w:pPr>
          </w:p>
        </w:tc>
        <w:tc>
          <w:tcPr>
            <w:tcW w:w="703" w:type="pct"/>
            <w:vAlign w:val="center"/>
          </w:tcPr>
          <w:p w14:paraId="06E5CA4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TN</w:t>
            </w:r>
          </w:p>
        </w:tc>
        <w:tc>
          <w:tcPr>
            <w:tcW w:w="684" w:type="pct"/>
            <w:vMerge w:val="continue"/>
            <w:vAlign w:val="center"/>
          </w:tcPr>
          <w:p w14:paraId="388CADA0">
            <w:pPr>
              <w:pStyle w:val="109"/>
              <w:rPr>
                <w:color w:val="000000" w:themeColor="text1"/>
                <w14:textFill>
                  <w14:solidFill>
                    <w14:schemeClr w14:val="tx1"/>
                  </w14:solidFill>
                </w14:textFill>
              </w:rPr>
            </w:pPr>
          </w:p>
        </w:tc>
        <w:tc>
          <w:tcPr>
            <w:tcW w:w="1216" w:type="pct"/>
            <w:vAlign w:val="center"/>
          </w:tcPr>
          <w:p w14:paraId="07EDABB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17.88 </w:t>
            </w:r>
          </w:p>
        </w:tc>
        <w:tc>
          <w:tcPr>
            <w:tcW w:w="958" w:type="pct"/>
            <w:vAlign w:val="center"/>
          </w:tcPr>
          <w:p w14:paraId="43E0739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0.06 </w:t>
            </w:r>
          </w:p>
        </w:tc>
        <w:tc>
          <w:tcPr>
            <w:tcW w:w="941" w:type="pct"/>
            <w:vMerge w:val="continue"/>
            <w:vAlign w:val="center"/>
          </w:tcPr>
          <w:p w14:paraId="14BFADAB">
            <w:pPr>
              <w:pStyle w:val="109"/>
              <w:rPr>
                <w:color w:val="000000" w:themeColor="text1"/>
                <w14:textFill>
                  <w14:solidFill>
                    <w14:schemeClr w14:val="tx1"/>
                  </w14:solidFill>
                </w14:textFill>
              </w:rPr>
            </w:pPr>
          </w:p>
        </w:tc>
      </w:tr>
      <w:tr w14:paraId="618C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continue"/>
            <w:vAlign w:val="center"/>
          </w:tcPr>
          <w:p w14:paraId="0BA79815">
            <w:pPr>
              <w:pStyle w:val="109"/>
              <w:rPr>
                <w:color w:val="000000" w:themeColor="text1"/>
                <w14:textFill>
                  <w14:solidFill>
                    <w14:schemeClr w14:val="tx1"/>
                  </w14:solidFill>
                </w14:textFill>
              </w:rPr>
            </w:pPr>
          </w:p>
        </w:tc>
        <w:tc>
          <w:tcPr>
            <w:tcW w:w="703" w:type="pct"/>
            <w:vAlign w:val="center"/>
          </w:tcPr>
          <w:p w14:paraId="3782084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TP</w:t>
            </w:r>
          </w:p>
        </w:tc>
        <w:tc>
          <w:tcPr>
            <w:tcW w:w="684" w:type="pct"/>
            <w:vMerge w:val="continue"/>
            <w:vAlign w:val="center"/>
          </w:tcPr>
          <w:p w14:paraId="1283D9BE">
            <w:pPr>
              <w:pStyle w:val="109"/>
              <w:rPr>
                <w:color w:val="000000" w:themeColor="text1"/>
                <w14:textFill>
                  <w14:solidFill>
                    <w14:schemeClr w14:val="tx1"/>
                  </w14:solidFill>
                </w14:textFill>
              </w:rPr>
            </w:pPr>
          </w:p>
        </w:tc>
        <w:tc>
          <w:tcPr>
            <w:tcW w:w="1216" w:type="pct"/>
            <w:vAlign w:val="center"/>
          </w:tcPr>
          <w:p w14:paraId="67451AF9">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1.29 </w:t>
            </w:r>
          </w:p>
        </w:tc>
        <w:tc>
          <w:tcPr>
            <w:tcW w:w="958" w:type="pct"/>
            <w:vAlign w:val="center"/>
          </w:tcPr>
          <w:p w14:paraId="6128B13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0.005 </w:t>
            </w:r>
          </w:p>
        </w:tc>
        <w:tc>
          <w:tcPr>
            <w:tcW w:w="941" w:type="pct"/>
            <w:vMerge w:val="continue"/>
            <w:vAlign w:val="center"/>
          </w:tcPr>
          <w:p w14:paraId="7122DD32">
            <w:pPr>
              <w:pStyle w:val="109"/>
              <w:rPr>
                <w:color w:val="000000" w:themeColor="text1"/>
                <w14:textFill>
                  <w14:solidFill>
                    <w14:schemeClr w14:val="tx1"/>
                  </w14:solidFill>
                </w14:textFill>
              </w:rPr>
            </w:pPr>
          </w:p>
        </w:tc>
      </w:tr>
      <w:tr w14:paraId="39D1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vMerge w:val="continue"/>
            <w:vAlign w:val="center"/>
          </w:tcPr>
          <w:p w14:paraId="70E311A7">
            <w:pPr>
              <w:pStyle w:val="109"/>
              <w:rPr>
                <w:color w:val="000000" w:themeColor="text1"/>
                <w14:textFill>
                  <w14:solidFill>
                    <w14:schemeClr w14:val="tx1"/>
                  </w14:solidFill>
                </w14:textFill>
              </w:rPr>
            </w:pPr>
          </w:p>
        </w:tc>
        <w:tc>
          <w:tcPr>
            <w:tcW w:w="703" w:type="pct"/>
            <w:vAlign w:val="center"/>
          </w:tcPr>
          <w:p w14:paraId="522934B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TDS</w:t>
            </w:r>
          </w:p>
        </w:tc>
        <w:tc>
          <w:tcPr>
            <w:tcW w:w="684" w:type="pct"/>
            <w:vMerge w:val="continue"/>
            <w:vAlign w:val="center"/>
          </w:tcPr>
          <w:p w14:paraId="11D7626A">
            <w:pPr>
              <w:pStyle w:val="109"/>
              <w:rPr>
                <w:color w:val="000000" w:themeColor="text1"/>
                <w14:textFill>
                  <w14:solidFill>
                    <w14:schemeClr w14:val="tx1"/>
                  </w14:solidFill>
                </w14:textFill>
              </w:rPr>
            </w:pPr>
          </w:p>
        </w:tc>
        <w:tc>
          <w:tcPr>
            <w:tcW w:w="1216" w:type="pct"/>
            <w:vAlign w:val="center"/>
          </w:tcPr>
          <w:p w14:paraId="0EE73681">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 xml:space="preserve">1123.22 </w:t>
            </w:r>
          </w:p>
        </w:tc>
        <w:tc>
          <w:tcPr>
            <w:tcW w:w="958" w:type="pct"/>
            <w:vAlign w:val="center"/>
          </w:tcPr>
          <w:p w14:paraId="5722BCF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4.08 </w:t>
            </w:r>
          </w:p>
        </w:tc>
        <w:tc>
          <w:tcPr>
            <w:tcW w:w="941" w:type="pct"/>
            <w:vMerge w:val="continue"/>
            <w:vAlign w:val="center"/>
          </w:tcPr>
          <w:p w14:paraId="6AB84238">
            <w:pPr>
              <w:pStyle w:val="109"/>
              <w:rPr>
                <w:color w:val="000000" w:themeColor="text1"/>
                <w14:textFill>
                  <w14:solidFill>
                    <w14:schemeClr w14:val="tx1"/>
                  </w14:solidFill>
                </w14:textFill>
              </w:rPr>
            </w:pPr>
          </w:p>
        </w:tc>
      </w:tr>
    </w:tbl>
    <w:p w14:paraId="75CA913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废气</w:t>
      </w:r>
    </w:p>
    <w:p w14:paraId="720DF76B">
      <w:pPr>
        <w:pStyle w:val="5"/>
        <w:rPr>
          <w:rFonts w:ascii="Times New Roman" w:hAnsi="Times New Roman"/>
          <w:color w:val="000000" w:themeColor="text1"/>
          <w14:textFill>
            <w14:solidFill>
              <w14:schemeClr w14:val="tx1"/>
            </w14:solidFill>
          </w14:textFill>
        </w:rPr>
      </w:pPr>
      <w:bookmarkStart w:id="218" w:name="bookmark11"/>
      <w:r>
        <w:rPr>
          <w:rFonts w:ascii="Times New Roman" w:hAnsi="Times New Roman"/>
          <w:color w:val="000000" w:themeColor="text1"/>
          <w14:textFill>
            <w14:solidFill>
              <w14:schemeClr w14:val="tx1"/>
            </w14:solidFill>
          </w14:textFill>
        </w:rPr>
        <w:t>废气治理情况</w:t>
      </w:r>
      <w:bookmarkEnd w:id="218"/>
    </w:p>
    <w:p w14:paraId="42C04E55">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一、有组织废气</w:t>
      </w:r>
    </w:p>
    <w:p w14:paraId="6689D99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本项目运营期醚后戊烯生产装置不需要供热，正常工况下排放的废气主要为装置区、罐区VOCs废气，装卸排放的VOCs废气，</w:t>
      </w:r>
      <w:r>
        <w:rPr>
          <w:color w:val="000000" w:themeColor="text1"/>
          <w:lang w:bidi="zh-CN"/>
          <w14:textFill>
            <w14:solidFill>
              <w14:schemeClr w14:val="tx1"/>
            </w14:solidFill>
          </w14:textFill>
        </w:rPr>
        <w:t>主要污染物包括非甲烷总烃、甲醇</w:t>
      </w:r>
      <w:r>
        <w:rPr>
          <w:color w:val="000000" w:themeColor="text1"/>
          <w14:textFill>
            <w14:solidFill>
              <w14:schemeClr w14:val="tx1"/>
            </w14:solidFill>
          </w14:textFill>
        </w:rPr>
        <w:t>。设置有1套油气回收装置处理三股废气，设计油气回收处理能力为1000Nm³/h，采用二级冷凝-膜分离-吸附组合工艺处理。</w:t>
      </w:r>
    </w:p>
    <w:p w14:paraId="1D47CD7F">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二、无组织废气</w:t>
      </w:r>
    </w:p>
    <w:p w14:paraId="66A3391B">
      <w:pPr>
        <w:ind w:firstLine="480"/>
        <w:rPr>
          <w:color w:val="000000" w:themeColor="text1"/>
          <w14:textFill>
            <w14:solidFill>
              <w14:schemeClr w14:val="tx1"/>
            </w14:solidFill>
          </w14:textFill>
        </w:rPr>
      </w:pPr>
      <w:r>
        <w:rPr>
          <w:color w:val="000000" w:themeColor="text1"/>
          <w14:textFill>
            <w14:solidFill>
              <w14:schemeClr w14:val="tx1"/>
            </w14:solidFill>
          </w14:textFill>
        </w:rPr>
        <w:t>（1）装置区排放的VOCs废气</w:t>
      </w:r>
    </w:p>
    <w:p w14:paraId="1ED2B4F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本项目正常工况下排放的废气主要为装置区及配套设施的压缩机、泵、阀门、法兰等设备输送有机介质时动、静密封点存在的VOCs泄漏排放。</w:t>
      </w:r>
    </w:p>
    <w:p w14:paraId="14749696">
      <w:pPr>
        <w:ind w:firstLine="480"/>
        <w:rPr>
          <w:color w:val="000000" w:themeColor="text1"/>
          <w14:textFill>
            <w14:solidFill>
              <w14:schemeClr w14:val="tx1"/>
            </w14:solidFill>
          </w14:textFill>
        </w:rPr>
      </w:pPr>
      <w:r>
        <w:rPr>
          <w:color w:val="000000" w:themeColor="text1"/>
          <w14:textFill>
            <w14:solidFill>
              <w14:schemeClr w14:val="tx1"/>
            </w14:solidFill>
          </w14:textFill>
        </w:rPr>
        <w:t>针对上述情况，企业主要采取设备与管阀件泄漏检测与维修（LDAR）的方式减少设备及部件动、静密封点存在的VOCs泄漏排放。</w:t>
      </w:r>
    </w:p>
    <w:p w14:paraId="57C1B6D5">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根据《排污许可证申请与核发技术规范 石化工业》（HJ853-2017）表5，设备与管线组件的无组织挥发性有机物的可行技术即为泄漏检测与维修（LDAR）。    </w:t>
      </w:r>
    </w:p>
    <w:p w14:paraId="3D8FE804">
      <w:pPr>
        <w:ind w:firstLine="480"/>
        <w:rPr>
          <w:color w:val="000000" w:themeColor="text1"/>
          <w14:textFill>
            <w14:solidFill>
              <w14:schemeClr w14:val="tx1"/>
            </w14:solidFill>
          </w14:textFill>
        </w:rPr>
      </w:pPr>
      <w:r>
        <w:rPr>
          <w:bCs/>
          <w:color w:val="000000" w:themeColor="text1"/>
          <w14:textFill>
            <w14:solidFill>
              <w14:schemeClr w14:val="tx1"/>
            </w14:solidFill>
          </w14:textFill>
        </w:rPr>
        <w:t>在本项目运营期，</w:t>
      </w:r>
      <w:r>
        <w:rPr>
          <w:bCs/>
          <w:color w:val="000000" w:themeColor="text1"/>
          <w:lang w:bidi="zh-CN"/>
          <w14:textFill>
            <w14:solidFill>
              <w14:schemeClr w14:val="tx1"/>
            </w14:solidFill>
          </w14:textFill>
        </w:rPr>
        <w:t>新疆华瑞化工技术有限公司</w:t>
      </w:r>
      <w:r>
        <w:rPr>
          <w:bCs/>
          <w:color w:val="000000" w:themeColor="text1"/>
          <w14:textFill>
            <w14:solidFill>
              <w14:schemeClr w14:val="tx1"/>
            </w14:solidFill>
          </w14:textFill>
        </w:rPr>
        <w:t>将</w:t>
      </w:r>
      <w:r>
        <w:rPr>
          <w:color w:val="000000" w:themeColor="text1"/>
          <w14:textFill>
            <w14:solidFill>
              <w14:schemeClr w14:val="tx1"/>
            </w14:solidFill>
          </w14:textFill>
        </w:rPr>
        <w:t>每年对本厂区装置开展LDAR，并对厂区装置及设施漏点进行了修复，减少了VOCs废气排放。</w:t>
      </w:r>
    </w:p>
    <w:p w14:paraId="54C4A4BD">
      <w:pPr>
        <w:ind w:firstLine="480"/>
        <w:rPr>
          <w:color w:val="000000" w:themeColor="text1"/>
          <w14:textFill>
            <w14:solidFill>
              <w14:schemeClr w14:val="tx1"/>
            </w14:solidFill>
          </w14:textFill>
        </w:rPr>
      </w:pPr>
      <w:r>
        <w:rPr>
          <w:color w:val="000000" w:themeColor="text1"/>
          <w14:textFill>
            <w14:solidFill>
              <w14:schemeClr w14:val="tx1"/>
            </w14:solidFill>
          </w14:textFill>
        </w:rPr>
        <w:t>（2）罐区</w:t>
      </w:r>
    </w:p>
    <w:p w14:paraId="4574575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储罐共11个，包括3200m³甲醇内浮顶储罐4个、1000m³戊烯原料罐球罐4个和3200m³醚后戊烯混合物产品内浮顶储罐3个。甲醇原料外购通过汽车槽车运至厂内，戊烯原料外购国能新疆化工有限公司通过汽车槽车运至厂内，本装置醚后戊烯产品均通过汽车槽车运出厂外售。</w:t>
      </w:r>
    </w:p>
    <w:p w14:paraId="73B41A94">
      <w:pPr>
        <w:ind w:firstLine="480"/>
        <w:rPr>
          <w:color w:val="000000" w:themeColor="text1"/>
          <w14:textFill>
            <w14:solidFill>
              <w14:schemeClr w14:val="tx1"/>
            </w14:solidFill>
          </w14:textFill>
        </w:rPr>
      </w:pPr>
      <w:r>
        <w:rPr>
          <w:color w:val="000000" w:themeColor="text1"/>
          <w14:textFill>
            <w14:solidFill>
              <w14:schemeClr w14:val="tx1"/>
            </w14:solidFill>
          </w14:textFill>
        </w:rPr>
        <w:t>（3）装卸车</w:t>
      </w:r>
    </w:p>
    <w:p w14:paraId="5F6C966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本项目原料及产品装卸车采用底部装载方式，挥发废气进入油气回收装置。</w:t>
      </w:r>
    </w:p>
    <w:p w14:paraId="63D1CF64">
      <w:pPr>
        <w:ind w:firstLine="480"/>
        <w:rPr>
          <w:color w:val="000000" w:themeColor="text1"/>
          <w14:textFill>
            <w14:solidFill>
              <w14:schemeClr w14:val="tx1"/>
            </w14:solidFill>
          </w14:textFill>
        </w:rPr>
      </w:pPr>
      <w:bookmarkStart w:id="219" w:name="_Hlk25054781"/>
      <w:r>
        <w:rPr>
          <w:color w:val="000000" w:themeColor="text1"/>
          <w14:textFill>
            <w14:solidFill>
              <w14:schemeClr w14:val="tx1"/>
            </w14:solidFill>
          </w14:textFill>
        </w:rPr>
        <w:t>本项目厂区装卸采用的底部装载方式+油气回收治理措施属于可行技术。</w:t>
      </w:r>
      <w:bookmarkEnd w:id="219"/>
    </w:p>
    <w:p w14:paraId="11BD1116">
      <w:pPr>
        <w:ind w:firstLine="480"/>
        <w:rPr>
          <w:color w:val="000000" w:themeColor="text1"/>
          <w14:textFill>
            <w14:solidFill>
              <w14:schemeClr w14:val="tx1"/>
            </w14:solidFill>
          </w14:textFill>
        </w:rPr>
      </w:pPr>
      <w:r>
        <w:rPr>
          <w:color w:val="000000" w:themeColor="text1"/>
          <w14:textFill>
            <w14:solidFill>
              <w14:schemeClr w14:val="tx1"/>
            </w14:solidFill>
          </w14:textFill>
        </w:rPr>
        <w:t>通过采取以上无组织控制措施，确保厂界甲醇满足《大气污染物综合排放标准》(GB16297-1996)表2无组织排放监控浓度限值;确保厂界非甲烷总烃满足《石油化学工业污染物排放标准》(GB31571-2015)及2024年修改单表7企业边界大气污染物浓度限值要求;确保厂区内非甲烷总烃满足《挥发性有机物无组织排放控制标准》(GB37822-2019)附录A.1厂区内 VOCs 无组织排放监控要求。</w:t>
      </w:r>
    </w:p>
    <w:p w14:paraId="75FEEDD2">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废气排放汇总</w:t>
      </w:r>
    </w:p>
    <w:p w14:paraId="37F91441">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项目工艺不凝气、储罐废气、装卸废气均排至油气回收装置，油气回收装置治理措施为二级冷凝-膜分离-吸附，根据</w:t>
      </w:r>
      <w:r>
        <w:rPr>
          <w:rFonts w:ascii="Times New Roman" w:hAnsi="Times New Roman"/>
          <w:color w:val="000000" w:themeColor="text1"/>
          <w:szCs w:val="22"/>
          <w14:textFill>
            <w14:solidFill>
              <w14:schemeClr w14:val="tx1"/>
            </w14:solidFill>
          </w14:textFill>
        </w:rPr>
        <w:t>《主要污染物总量减排核算技术指南(2022 年修订)》，一级</w:t>
      </w:r>
      <w:r>
        <w:rPr>
          <w:rFonts w:ascii="Times New Roman" w:hAnsi="Times New Roman"/>
          <w:color w:val="000000" w:themeColor="text1"/>
          <w14:textFill>
            <w14:solidFill>
              <w14:schemeClr w14:val="tx1"/>
            </w14:solidFill>
          </w14:textFill>
        </w:rPr>
        <w:t>冷凝-膜分离-吸附治理措施治理效率90%，二级冷凝-膜分离-吸附治理措施治理效率99%，有组织废气污染源统计见下表。</w:t>
      </w:r>
    </w:p>
    <w:p w14:paraId="6830F1F1">
      <w:pPr>
        <w:pStyle w:val="117"/>
        <w:rPr>
          <w:rFonts w:ascii="Times New Roman" w:hAnsi="Times New Roman" w:cs="Times New Roman"/>
          <w:color w:val="000000" w:themeColor="text1"/>
          <w14:textFill>
            <w14:solidFill>
              <w14:schemeClr w14:val="tx1"/>
            </w14:solidFill>
          </w14:textFill>
        </w:rPr>
        <w:sectPr>
          <w:pgSz w:w="11906" w:h="16838"/>
          <w:pgMar w:top="1418" w:right="1247" w:bottom="1418" w:left="1247" w:header="964" w:footer="964" w:gutter="0"/>
          <w:cols w:space="720" w:num="1"/>
          <w:titlePg/>
          <w:docGrid w:linePitch="286" w:charSpace="0"/>
        </w:sectPr>
      </w:pPr>
    </w:p>
    <w:p w14:paraId="698AC51F">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项目有组织废气污染源统计一览表</w:t>
      </w:r>
    </w:p>
    <w:tbl>
      <w:tblPr>
        <w:tblStyle w:val="76"/>
        <w:tblpPr w:leftFromText="180" w:rightFromText="180" w:vertAnchor="text" w:tblpY="1"/>
        <w:tblOverlap w:val="never"/>
        <w:tblW w:w="14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8"/>
        <w:gridCol w:w="567"/>
        <w:gridCol w:w="683"/>
        <w:gridCol w:w="833"/>
        <w:gridCol w:w="701"/>
        <w:gridCol w:w="1125"/>
        <w:gridCol w:w="971"/>
        <w:gridCol w:w="974"/>
        <w:gridCol w:w="14"/>
        <w:gridCol w:w="734"/>
        <w:gridCol w:w="759"/>
        <w:gridCol w:w="22"/>
        <w:gridCol w:w="975"/>
        <w:gridCol w:w="853"/>
        <w:gridCol w:w="759"/>
        <w:gridCol w:w="23"/>
        <w:gridCol w:w="831"/>
        <w:gridCol w:w="599"/>
        <w:gridCol w:w="665"/>
        <w:gridCol w:w="644"/>
        <w:gridCol w:w="850"/>
      </w:tblGrid>
      <w:tr w14:paraId="1C7A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578" w:type="dxa"/>
            <w:vMerge w:val="restart"/>
            <w:vAlign w:val="center"/>
          </w:tcPr>
          <w:p w14:paraId="0BB9295B">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污染源编号</w:t>
            </w:r>
          </w:p>
        </w:tc>
        <w:tc>
          <w:tcPr>
            <w:tcW w:w="567" w:type="dxa"/>
            <w:vMerge w:val="restart"/>
            <w:vAlign w:val="center"/>
          </w:tcPr>
          <w:p w14:paraId="59743B88">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污染源</w:t>
            </w:r>
          </w:p>
        </w:tc>
        <w:tc>
          <w:tcPr>
            <w:tcW w:w="683" w:type="dxa"/>
            <w:vMerge w:val="restart"/>
            <w:vAlign w:val="center"/>
          </w:tcPr>
          <w:p w14:paraId="5B1CC87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污染物</w:t>
            </w:r>
          </w:p>
        </w:tc>
        <w:tc>
          <w:tcPr>
            <w:tcW w:w="833" w:type="dxa"/>
            <w:vMerge w:val="restart"/>
            <w:vAlign w:val="center"/>
          </w:tcPr>
          <w:p w14:paraId="7A427070">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废气量（m³/h）</w:t>
            </w:r>
          </w:p>
        </w:tc>
        <w:tc>
          <w:tcPr>
            <w:tcW w:w="3785" w:type="dxa"/>
            <w:gridSpan w:val="5"/>
            <w:vAlign w:val="center"/>
          </w:tcPr>
          <w:p w14:paraId="61E06D46">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污染物产生情况</w:t>
            </w:r>
          </w:p>
        </w:tc>
        <w:tc>
          <w:tcPr>
            <w:tcW w:w="1515" w:type="dxa"/>
            <w:gridSpan w:val="3"/>
            <w:vAlign w:val="center"/>
          </w:tcPr>
          <w:p w14:paraId="79CD088B">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环保措施</w:t>
            </w:r>
          </w:p>
        </w:tc>
        <w:tc>
          <w:tcPr>
            <w:tcW w:w="2610" w:type="dxa"/>
            <w:gridSpan w:val="4"/>
            <w:vAlign w:val="center"/>
          </w:tcPr>
          <w:p w14:paraId="49CDAED6">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污染物排放情况</w:t>
            </w:r>
          </w:p>
        </w:tc>
        <w:tc>
          <w:tcPr>
            <w:tcW w:w="2739" w:type="dxa"/>
            <w:gridSpan w:val="4"/>
            <w:vAlign w:val="center"/>
          </w:tcPr>
          <w:p w14:paraId="72B928C6">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排气筒参数</w:t>
            </w:r>
          </w:p>
        </w:tc>
        <w:tc>
          <w:tcPr>
            <w:tcW w:w="850" w:type="dxa"/>
            <w:vMerge w:val="restart"/>
            <w:vAlign w:val="center"/>
          </w:tcPr>
          <w:p w14:paraId="445E166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排放</w:t>
            </w:r>
          </w:p>
          <w:p w14:paraId="688DA18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时间（h）</w:t>
            </w:r>
          </w:p>
        </w:tc>
      </w:tr>
      <w:tr w14:paraId="501C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578" w:type="dxa"/>
            <w:vMerge w:val="continue"/>
            <w:vAlign w:val="center"/>
          </w:tcPr>
          <w:p w14:paraId="13F9438D">
            <w:pPr>
              <w:pStyle w:val="109"/>
              <w:rPr>
                <w:color w:val="000000" w:themeColor="text1"/>
                <w14:textFill>
                  <w14:solidFill>
                    <w14:schemeClr w14:val="tx1"/>
                  </w14:solidFill>
                </w14:textFill>
              </w:rPr>
            </w:pPr>
          </w:p>
        </w:tc>
        <w:tc>
          <w:tcPr>
            <w:tcW w:w="567" w:type="dxa"/>
            <w:vMerge w:val="continue"/>
            <w:vAlign w:val="center"/>
          </w:tcPr>
          <w:p w14:paraId="5CA12F5E">
            <w:pPr>
              <w:pStyle w:val="109"/>
              <w:rPr>
                <w:color w:val="000000" w:themeColor="text1"/>
                <w14:textFill>
                  <w14:solidFill>
                    <w14:schemeClr w14:val="tx1"/>
                  </w14:solidFill>
                </w14:textFill>
              </w:rPr>
            </w:pPr>
          </w:p>
        </w:tc>
        <w:tc>
          <w:tcPr>
            <w:tcW w:w="683" w:type="dxa"/>
            <w:vMerge w:val="continue"/>
            <w:vAlign w:val="center"/>
          </w:tcPr>
          <w:p w14:paraId="2EA31D5D">
            <w:pPr>
              <w:pStyle w:val="109"/>
              <w:rPr>
                <w:color w:val="000000" w:themeColor="text1"/>
                <w14:textFill>
                  <w14:solidFill>
                    <w14:schemeClr w14:val="tx1"/>
                  </w14:solidFill>
                </w14:textFill>
              </w:rPr>
            </w:pPr>
          </w:p>
        </w:tc>
        <w:tc>
          <w:tcPr>
            <w:tcW w:w="833" w:type="dxa"/>
            <w:vMerge w:val="continue"/>
            <w:vAlign w:val="center"/>
          </w:tcPr>
          <w:p w14:paraId="42AA480F">
            <w:pPr>
              <w:pStyle w:val="109"/>
              <w:rPr>
                <w:color w:val="000000" w:themeColor="text1"/>
                <w14:textFill>
                  <w14:solidFill>
                    <w14:schemeClr w14:val="tx1"/>
                  </w14:solidFill>
                </w14:textFill>
              </w:rPr>
            </w:pPr>
          </w:p>
        </w:tc>
        <w:tc>
          <w:tcPr>
            <w:tcW w:w="701" w:type="dxa"/>
            <w:vAlign w:val="center"/>
          </w:tcPr>
          <w:p w14:paraId="199B480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核算</w:t>
            </w:r>
          </w:p>
          <w:p w14:paraId="752739E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方法</w:t>
            </w:r>
          </w:p>
        </w:tc>
        <w:tc>
          <w:tcPr>
            <w:tcW w:w="1125" w:type="dxa"/>
            <w:vAlign w:val="center"/>
          </w:tcPr>
          <w:p w14:paraId="7CE5AC22">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产生浓度</w:t>
            </w:r>
          </w:p>
          <w:p w14:paraId="1209845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（mg/m³）</w:t>
            </w:r>
          </w:p>
        </w:tc>
        <w:tc>
          <w:tcPr>
            <w:tcW w:w="971" w:type="dxa"/>
            <w:vAlign w:val="center"/>
          </w:tcPr>
          <w:p w14:paraId="1227F94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产生速率（kg/h）</w:t>
            </w:r>
          </w:p>
        </w:tc>
        <w:tc>
          <w:tcPr>
            <w:tcW w:w="974" w:type="dxa"/>
            <w:vAlign w:val="center"/>
          </w:tcPr>
          <w:p w14:paraId="22928DDB">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产生量（t/a）</w:t>
            </w:r>
          </w:p>
        </w:tc>
        <w:tc>
          <w:tcPr>
            <w:tcW w:w="748" w:type="dxa"/>
            <w:gridSpan w:val="2"/>
            <w:vAlign w:val="center"/>
          </w:tcPr>
          <w:p w14:paraId="6B58D07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工艺</w:t>
            </w:r>
          </w:p>
        </w:tc>
        <w:tc>
          <w:tcPr>
            <w:tcW w:w="759" w:type="dxa"/>
            <w:vAlign w:val="center"/>
          </w:tcPr>
          <w:p w14:paraId="4942512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去除</w:t>
            </w:r>
          </w:p>
          <w:p w14:paraId="102F280C">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效率</w:t>
            </w:r>
          </w:p>
        </w:tc>
        <w:tc>
          <w:tcPr>
            <w:tcW w:w="997" w:type="dxa"/>
            <w:gridSpan w:val="2"/>
            <w:vAlign w:val="center"/>
          </w:tcPr>
          <w:p w14:paraId="7C200BA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排放浓度（mg/m³）</w:t>
            </w:r>
          </w:p>
        </w:tc>
        <w:tc>
          <w:tcPr>
            <w:tcW w:w="853" w:type="dxa"/>
            <w:vAlign w:val="center"/>
          </w:tcPr>
          <w:p w14:paraId="746C07D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排放速率（kg/h）</w:t>
            </w:r>
          </w:p>
        </w:tc>
        <w:tc>
          <w:tcPr>
            <w:tcW w:w="759" w:type="dxa"/>
            <w:vAlign w:val="center"/>
          </w:tcPr>
          <w:p w14:paraId="6F74CA6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排放量（t/a）</w:t>
            </w:r>
          </w:p>
        </w:tc>
        <w:tc>
          <w:tcPr>
            <w:tcW w:w="854" w:type="dxa"/>
            <w:gridSpan w:val="2"/>
            <w:vAlign w:val="center"/>
          </w:tcPr>
          <w:p w14:paraId="6E856D10">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排气筒编号</w:t>
            </w:r>
          </w:p>
        </w:tc>
        <w:tc>
          <w:tcPr>
            <w:tcW w:w="599" w:type="dxa"/>
            <w:vAlign w:val="center"/>
          </w:tcPr>
          <w:p w14:paraId="0FB6001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高度（m）</w:t>
            </w:r>
          </w:p>
        </w:tc>
        <w:tc>
          <w:tcPr>
            <w:tcW w:w="665" w:type="dxa"/>
            <w:vAlign w:val="center"/>
          </w:tcPr>
          <w:p w14:paraId="542D4C6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内径（m）</w:t>
            </w:r>
          </w:p>
        </w:tc>
        <w:tc>
          <w:tcPr>
            <w:tcW w:w="644" w:type="dxa"/>
            <w:vAlign w:val="center"/>
          </w:tcPr>
          <w:p w14:paraId="68D8655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温度（℃）</w:t>
            </w:r>
          </w:p>
        </w:tc>
        <w:tc>
          <w:tcPr>
            <w:tcW w:w="850" w:type="dxa"/>
            <w:vMerge w:val="continue"/>
            <w:vAlign w:val="center"/>
          </w:tcPr>
          <w:p w14:paraId="50B52368">
            <w:pPr>
              <w:pStyle w:val="109"/>
              <w:rPr>
                <w:color w:val="000000" w:themeColor="text1"/>
                <w14:textFill>
                  <w14:solidFill>
                    <w14:schemeClr w14:val="tx1"/>
                  </w14:solidFill>
                </w14:textFill>
              </w:rPr>
            </w:pPr>
          </w:p>
        </w:tc>
      </w:tr>
      <w:tr w14:paraId="2547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8" w:type="dxa"/>
            <w:vMerge w:val="restart"/>
            <w:vAlign w:val="center"/>
          </w:tcPr>
          <w:p w14:paraId="65107BC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G</w:t>
            </w:r>
            <w:r>
              <w:rPr>
                <w:color w:val="000000" w:themeColor="text1"/>
                <w:vertAlign w:val="subscript"/>
                <w:lang w:bidi="ar"/>
                <w14:textFill>
                  <w14:solidFill>
                    <w14:schemeClr w14:val="tx1"/>
                  </w14:solidFill>
                </w14:textFill>
              </w:rPr>
              <w:t>1</w:t>
            </w:r>
          </w:p>
        </w:tc>
        <w:tc>
          <w:tcPr>
            <w:tcW w:w="567" w:type="dxa"/>
            <w:vMerge w:val="restart"/>
            <w:vAlign w:val="center"/>
          </w:tcPr>
          <w:p w14:paraId="4468F4B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工艺废气</w:t>
            </w:r>
          </w:p>
        </w:tc>
        <w:tc>
          <w:tcPr>
            <w:tcW w:w="683" w:type="dxa"/>
            <w:vAlign w:val="center"/>
          </w:tcPr>
          <w:p w14:paraId="098089D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甲醇</w:t>
            </w:r>
          </w:p>
        </w:tc>
        <w:tc>
          <w:tcPr>
            <w:tcW w:w="833" w:type="dxa"/>
            <w:vMerge w:val="restart"/>
            <w:vAlign w:val="center"/>
          </w:tcPr>
          <w:p w14:paraId="2333C40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30</w:t>
            </w:r>
          </w:p>
        </w:tc>
        <w:tc>
          <w:tcPr>
            <w:tcW w:w="701" w:type="dxa"/>
          </w:tcPr>
          <w:p w14:paraId="13F44E16">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物料衡算法</w:t>
            </w:r>
          </w:p>
        </w:tc>
        <w:tc>
          <w:tcPr>
            <w:tcW w:w="1125" w:type="dxa"/>
            <w:vAlign w:val="center"/>
          </w:tcPr>
          <w:p w14:paraId="1E645A0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9583.33</w:t>
            </w:r>
          </w:p>
        </w:tc>
        <w:tc>
          <w:tcPr>
            <w:tcW w:w="971" w:type="dxa"/>
            <w:vAlign w:val="center"/>
          </w:tcPr>
          <w:p w14:paraId="0ADF066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0.29</w:t>
            </w:r>
          </w:p>
        </w:tc>
        <w:tc>
          <w:tcPr>
            <w:tcW w:w="974" w:type="dxa"/>
            <w:vAlign w:val="center"/>
          </w:tcPr>
          <w:p w14:paraId="29047B6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2.3</w:t>
            </w:r>
          </w:p>
        </w:tc>
        <w:tc>
          <w:tcPr>
            <w:tcW w:w="748" w:type="dxa"/>
            <w:gridSpan w:val="2"/>
            <w:vMerge w:val="restart"/>
            <w:vAlign w:val="center"/>
          </w:tcPr>
          <w:p w14:paraId="2BFFC350">
            <w:pPr>
              <w:pStyle w:val="109"/>
              <w:rPr>
                <w:color w:val="000000" w:themeColor="text1"/>
                <w14:textFill>
                  <w14:solidFill>
                    <w14:schemeClr w14:val="tx1"/>
                  </w14:solidFill>
                </w14:textFill>
              </w:rPr>
            </w:pPr>
            <w:r>
              <w:rPr>
                <w:color w:val="000000" w:themeColor="text1"/>
                <w14:textFill>
                  <w14:solidFill>
                    <w14:schemeClr w14:val="tx1"/>
                  </w14:solidFill>
                </w14:textFill>
              </w:rPr>
              <w:t>二级冷凝-膜分离-吸附</w:t>
            </w:r>
          </w:p>
        </w:tc>
        <w:tc>
          <w:tcPr>
            <w:tcW w:w="759" w:type="dxa"/>
            <w:vAlign w:val="center"/>
          </w:tcPr>
          <w:p w14:paraId="0DF4AF2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0.99</w:t>
            </w:r>
          </w:p>
        </w:tc>
        <w:tc>
          <w:tcPr>
            <w:tcW w:w="5371" w:type="dxa"/>
            <w:gridSpan w:val="9"/>
            <w:vMerge w:val="restart"/>
            <w:vAlign w:val="center"/>
          </w:tcPr>
          <w:p w14:paraId="7EF12663">
            <w:pPr>
              <w:pStyle w:val="109"/>
              <w:rPr>
                <w:color w:val="000000" w:themeColor="text1"/>
                <w14:textFill>
                  <w14:solidFill>
                    <w14:schemeClr w14:val="tx1"/>
                  </w14:solidFill>
                </w14:textFill>
              </w:rPr>
            </w:pPr>
            <w:r>
              <w:rPr>
                <w:color w:val="000000" w:themeColor="text1"/>
                <w14:textFill>
                  <w14:solidFill>
                    <w14:schemeClr w14:val="tx1"/>
                  </w14:solidFill>
                </w14:textFill>
              </w:rPr>
              <w:t>送至油气回收装置（二级冷凝-膜分离-吸附）处理</w:t>
            </w:r>
          </w:p>
        </w:tc>
        <w:tc>
          <w:tcPr>
            <w:tcW w:w="850" w:type="dxa"/>
            <w:vAlign w:val="center"/>
          </w:tcPr>
          <w:p w14:paraId="045AAA6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8000</w:t>
            </w:r>
          </w:p>
        </w:tc>
      </w:tr>
      <w:tr w14:paraId="118C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8" w:type="dxa"/>
            <w:vMerge w:val="continue"/>
            <w:vAlign w:val="center"/>
          </w:tcPr>
          <w:p w14:paraId="4022464D">
            <w:pPr>
              <w:pStyle w:val="109"/>
              <w:rPr>
                <w:color w:val="000000" w:themeColor="text1"/>
                <w14:textFill>
                  <w14:solidFill>
                    <w14:schemeClr w14:val="tx1"/>
                  </w14:solidFill>
                </w14:textFill>
              </w:rPr>
            </w:pPr>
          </w:p>
        </w:tc>
        <w:tc>
          <w:tcPr>
            <w:tcW w:w="567" w:type="dxa"/>
            <w:vMerge w:val="continue"/>
            <w:vAlign w:val="center"/>
          </w:tcPr>
          <w:p w14:paraId="7DEFDD0C">
            <w:pPr>
              <w:pStyle w:val="109"/>
              <w:rPr>
                <w:color w:val="000000" w:themeColor="text1"/>
                <w14:textFill>
                  <w14:solidFill>
                    <w14:schemeClr w14:val="tx1"/>
                  </w14:solidFill>
                </w14:textFill>
              </w:rPr>
            </w:pPr>
          </w:p>
        </w:tc>
        <w:tc>
          <w:tcPr>
            <w:tcW w:w="683" w:type="dxa"/>
            <w:vAlign w:val="center"/>
          </w:tcPr>
          <w:p w14:paraId="760016D5">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833" w:type="dxa"/>
            <w:vMerge w:val="continue"/>
            <w:vAlign w:val="center"/>
          </w:tcPr>
          <w:p w14:paraId="7C78E4C8">
            <w:pPr>
              <w:pStyle w:val="109"/>
              <w:rPr>
                <w:color w:val="000000" w:themeColor="text1"/>
                <w14:textFill>
                  <w14:solidFill>
                    <w14:schemeClr w14:val="tx1"/>
                  </w14:solidFill>
                </w14:textFill>
              </w:rPr>
            </w:pPr>
          </w:p>
        </w:tc>
        <w:tc>
          <w:tcPr>
            <w:tcW w:w="701" w:type="dxa"/>
          </w:tcPr>
          <w:p w14:paraId="44EDD32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物料衡算法</w:t>
            </w:r>
          </w:p>
        </w:tc>
        <w:tc>
          <w:tcPr>
            <w:tcW w:w="1125" w:type="dxa"/>
            <w:vAlign w:val="center"/>
          </w:tcPr>
          <w:p w14:paraId="72CA5AC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333333.33 </w:t>
            </w:r>
          </w:p>
        </w:tc>
        <w:tc>
          <w:tcPr>
            <w:tcW w:w="971" w:type="dxa"/>
            <w:vAlign w:val="center"/>
          </w:tcPr>
          <w:p w14:paraId="580A704B">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10.00 </w:t>
            </w:r>
          </w:p>
        </w:tc>
        <w:tc>
          <w:tcPr>
            <w:tcW w:w="974" w:type="dxa"/>
            <w:vAlign w:val="center"/>
          </w:tcPr>
          <w:p w14:paraId="2382D6F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80</w:t>
            </w:r>
          </w:p>
        </w:tc>
        <w:tc>
          <w:tcPr>
            <w:tcW w:w="748" w:type="dxa"/>
            <w:gridSpan w:val="2"/>
            <w:vMerge w:val="continue"/>
            <w:vAlign w:val="center"/>
          </w:tcPr>
          <w:p w14:paraId="6D7DCD3F">
            <w:pPr>
              <w:pStyle w:val="109"/>
              <w:rPr>
                <w:color w:val="000000" w:themeColor="text1"/>
                <w14:textFill>
                  <w14:solidFill>
                    <w14:schemeClr w14:val="tx1"/>
                  </w14:solidFill>
                </w14:textFill>
              </w:rPr>
            </w:pPr>
          </w:p>
        </w:tc>
        <w:tc>
          <w:tcPr>
            <w:tcW w:w="759" w:type="dxa"/>
            <w:vAlign w:val="center"/>
          </w:tcPr>
          <w:p w14:paraId="0E37CBF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0.99</w:t>
            </w:r>
          </w:p>
        </w:tc>
        <w:tc>
          <w:tcPr>
            <w:tcW w:w="5371" w:type="dxa"/>
            <w:gridSpan w:val="9"/>
            <w:vMerge w:val="continue"/>
            <w:vAlign w:val="center"/>
          </w:tcPr>
          <w:p w14:paraId="0D98BA18">
            <w:pPr>
              <w:pStyle w:val="109"/>
              <w:rPr>
                <w:color w:val="000000" w:themeColor="text1"/>
                <w14:textFill>
                  <w14:solidFill>
                    <w14:schemeClr w14:val="tx1"/>
                  </w14:solidFill>
                </w14:textFill>
              </w:rPr>
            </w:pPr>
          </w:p>
        </w:tc>
        <w:tc>
          <w:tcPr>
            <w:tcW w:w="850" w:type="dxa"/>
            <w:vAlign w:val="center"/>
          </w:tcPr>
          <w:p w14:paraId="3727EBC2">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8000</w:t>
            </w:r>
          </w:p>
        </w:tc>
      </w:tr>
      <w:tr w14:paraId="1E8D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8" w:type="dxa"/>
            <w:vMerge w:val="restart"/>
            <w:vAlign w:val="center"/>
          </w:tcPr>
          <w:p w14:paraId="4C43CA5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G</w:t>
            </w:r>
            <w:r>
              <w:rPr>
                <w:color w:val="000000" w:themeColor="text1"/>
                <w:vertAlign w:val="subscript"/>
                <w:lang w:bidi="ar"/>
                <w14:textFill>
                  <w14:solidFill>
                    <w14:schemeClr w14:val="tx1"/>
                  </w14:solidFill>
                </w14:textFill>
              </w:rPr>
              <w:t>2</w:t>
            </w:r>
          </w:p>
        </w:tc>
        <w:tc>
          <w:tcPr>
            <w:tcW w:w="567" w:type="dxa"/>
            <w:vMerge w:val="restart"/>
            <w:vAlign w:val="center"/>
          </w:tcPr>
          <w:p w14:paraId="5FB6574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储罐</w:t>
            </w:r>
          </w:p>
        </w:tc>
        <w:tc>
          <w:tcPr>
            <w:tcW w:w="683" w:type="dxa"/>
            <w:vAlign w:val="center"/>
          </w:tcPr>
          <w:p w14:paraId="713F194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甲醇</w:t>
            </w:r>
          </w:p>
        </w:tc>
        <w:tc>
          <w:tcPr>
            <w:tcW w:w="833" w:type="dxa"/>
            <w:vMerge w:val="restart"/>
            <w:vAlign w:val="center"/>
          </w:tcPr>
          <w:p w14:paraId="1CBAAF5D">
            <w:pPr>
              <w:pStyle w:val="109"/>
              <w:rPr>
                <w:color w:val="000000" w:themeColor="text1"/>
                <w14:textFill>
                  <w14:solidFill>
                    <w14:schemeClr w14:val="tx1"/>
                  </w14:solidFill>
                </w14:textFill>
              </w:rPr>
            </w:pPr>
            <w:r>
              <w:rPr>
                <w:color w:val="000000" w:themeColor="text1"/>
                <w14:textFill>
                  <w14:solidFill>
                    <w14:schemeClr w14:val="tx1"/>
                  </w14:solidFill>
                </w14:textFill>
              </w:rPr>
              <w:t>520</w:t>
            </w:r>
          </w:p>
        </w:tc>
        <w:tc>
          <w:tcPr>
            <w:tcW w:w="701" w:type="dxa"/>
          </w:tcPr>
          <w:p w14:paraId="40E6372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物料衡算法</w:t>
            </w:r>
          </w:p>
        </w:tc>
        <w:tc>
          <w:tcPr>
            <w:tcW w:w="1125" w:type="dxa"/>
            <w:vAlign w:val="center"/>
          </w:tcPr>
          <w:p w14:paraId="5ADEF87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180.29 </w:t>
            </w:r>
          </w:p>
        </w:tc>
        <w:tc>
          <w:tcPr>
            <w:tcW w:w="971" w:type="dxa"/>
            <w:vAlign w:val="center"/>
          </w:tcPr>
          <w:p w14:paraId="36EE952B">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0.09 </w:t>
            </w:r>
          </w:p>
        </w:tc>
        <w:tc>
          <w:tcPr>
            <w:tcW w:w="974" w:type="dxa"/>
            <w:vAlign w:val="center"/>
          </w:tcPr>
          <w:p w14:paraId="79DD655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0.75</w:t>
            </w:r>
          </w:p>
        </w:tc>
        <w:tc>
          <w:tcPr>
            <w:tcW w:w="748" w:type="dxa"/>
            <w:gridSpan w:val="2"/>
            <w:vMerge w:val="restart"/>
            <w:vAlign w:val="center"/>
          </w:tcPr>
          <w:p w14:paraId="3D85A8D3">
            <w:pPr>
              <w:pStyle w:val="109"/>
              <w:rPr>
                <w:color w:val="000000" w:themeColor="text1"/>
                <w14:textFill>
                  <w14:solidFill>
                    <w14:schemeClr w14:val="tx1"/>
                  </w14:solidFill>
                </w14:textFill>
              </w:rPr>
            </w:pPr>
            <w:r>
              <w:rPr>
                <w:color w:val="000000" w:themeColor="text1"/>
                <w14:textFill>
                  <w14:solidFill>
                    <w14:schemeClr w14:val="tx1"/>
                  </w14:solidFill>
                </w14:textFill>
              </w:rPr>
              <w:t>二级冷凝-膜分离-吸附</w:t>
            </w:r>
          </w:p>
        </w:tc>
        <w:tc>
          <w:tcPr>
            <w:tcW w:w="759" w:type="dxa"/>
            <w:vAlign w:val="center"/>
          </w:tcPr>
          <w:p w14:paraId="4BAA87FC">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0.99</w:t>
            </w:r>
          </w:p>
        </w:tc>
        <w:tc>
          <w:tcPr>
            <w:tcW w:w="5371" w:type="dxa"/>
            <w:gridSpan w:val="9"/>
            <w:vMerge w:val="continue"/>
            <w:vAlign w:val="center"/>
          </w:tcPr>
          <w:p w14:paraId="682FA683">
            <w:pPr>
              <w:pStyle w:val="109"/>
              <w:rPr>
                <w:color w:val="000000" w:themeColor="text1"/>
                <w14:textFill>
                  <w14:solidFill>
                    <w14:schemeClr w14:val="tx1"/>
                  </w14:solidFill>
                </w14:textFill>
              </w:rPr>
            </w:pPr>
          </w:p>
        </w:tc>
        <w:tc>
          <w:tcPr>
            <w:tcW w:w="850" w:type="dxa"/>
            <w:vAlign w:val="center"/>
          </w:tcPr>
          <w:p w14:paraId="0713D2E0">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8000</w:t>
            </w:r>
          </w:p>
        </w:tc>
      </w:tr>
      <w:tr w14:paraId="3D86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8" w:type="dxa"/>
            <w:vMerge w:val="continue"/>
            <w:vAlign w:val="center"/>
          </w:tcPr>
          <w:p w14:paraId="35CE0877">
            <w:pPr>
              <w:pStyle w:val="109"/>
              <w:rPr>
                <w:color w:val="000000" w:themeColor="text1"/>
                <w14:textFill>
                  <w14:solidFill>
                    <w14:schemeClr w14:val="tx1"/>
                  </w14:solidFill>
                </w14:textFill>
              </w:rPr>
            </w:pPr>
          </w:p>
        </w:tc>
        <w:tc>
          <w:tcPr>
            <w:tcW w:w="567" w:type="dxa"/>
            <w:vMerge w:val="continue"/>
            <w:vAlign w:val="center"/>
          </w:tcPr>
          <w:p w14:paraId="3C27944C">
            <w:pPr>
              <w:pStyle w:val="109"/>
              <w:rPr>
                <w:color w:val="000000" w:themeColor="text1"/>
                <w14:textFill>
                  <w14:solidFill>
                    <w14:schemeClr w14:val="tx1"/>
                  </w14:solidFill>
                </w14:textFill>
              </w:rPr>
            </w:pPr>
          </w:p>
        </w:tc>
        <w:tc>
          <w:tcPr>
            <w:tcW w:w="683" w:type="dxa"/>
            <w:vAlign w:val="center"/>
          </w:tcPr>
          <w:p w14:paraId="557103FF">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833" w:type="dxa"/>
            <w:vMerge w:val="continue"/>
            <w:vAlign w:val="center"/>
          </w:tcPr>
          <w:p w14:paraId="6BB3260D">
            <w:pPr>
              <w:pStyle w:val="109"/>
              <w:rPr>
                <w:color w:val="000000" w:themeColor="text1"/>
                <w14:textFill>
                  <w14:solidFill>
                    <w14:schemeClr w14:val="tx1"/>
                  </w14:solidFill>
                </w14:textFill>
              </w:rPr>
            </w:pPr>
          </w:p>
        </w:tc>
        <w:tc>
          <w:tcPr>
            <w:tcW w:w="701" w:type="dxa"/>
          </w:tcPr>
          <w:p w14:paraId="52C7A77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物料衡算法</w:t>
            </w:r>
          </w:p>
        </w:tc>
        <w:tc>
          <w:tcPr>
            <w:tcW w:w="1125" w:type="dxa"/>
            <w:vAlign w:val="center"/>
          </w:tcPr>
          <w:p w14:paraId="506FC1D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651.44 </w:t>
            </w:r>
          </w:p>
        </w:tc>
        <w:tc>
          <w:tcPr>
            <w:tcW w:w="971" w:type="dxa"/>
            <w:vAlign w:val="center"/>
          </w:tcPr>
          <w:p w14:paraId="6A6B3D00">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0.34 </w:t>
            </w:r>
          </w:p>
        </w:tc>
        <w:tc>
          <w:tcPr>
            <w:tcW w:w="974" w:type="dxa"/>
            <w:vAlign w:val="center"/>
          </w:tcPr>
          <w:p w14:paraId="2F100D2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2.71</w:t>
            </w:r>
          </w:p>
        </w:tc>
        <w:tc>
          <w:tcPr>
            <w:tcW w:w="748" w:type="dxa"/>
            <w:gridSpan w:val="2"/>
            <w:vMerge w:val="continue"/>
            <w:vAlign w:val="center"/>
          </w:tcPr>
          <w:p w14:paraId="15D671EF">
            <w:pPr>
              <w:pStyle w:val="109"/>
              <w:rPr>
                <w:color w:val="000000" w:themeColor="text1"/>
                <w14:textFill>
                  <w14:solidFill>
                    <w14:schemeClr w14:val="tx1"/>
                  </w14:solidFill>
                </w14:textFill>
              </w:rPr>
            </w:pPr>
          </w:p>
        </w:tc>
        <w:tc>
          <w:tcPr>
            <w:tcW w:w="759" w:type="dxa"/>
            <w:vAlign w:val="center"/>
          </w:tcPr>
          <w:p w14:paraId="5EDD9798">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0.99</w:t>
            </w:r>
          </w:p>
        </w:tc>
        <w:tc>
          <w:tcPr>
            <w:tcW w:w="5371" w:type="dxa"/>
            <w:gridSpan w:val="9"/>
            <w:vMerge w:val="continue"/>
            <w:vAlign w:val="center"/>
          </w:tcPr>
          <w:p w14:paraId="760D7DC7">
            <w:pPr>
              <w:pStyle w:val="109"/>
              <w:rPr>
                <w:color w:val="000000" w:themeColor="text1"/>
                <w14:textFill>
                  <w14:solidFill>
                    <w14:schemeClr w14:val="tx1"/>
                  </w14:solidFill>
                </w14:textFill>
              </w:rPr>
            </w:pPr>
          </w:p>
        </w:tc>
        <w:tc>
          <w:tcPr>
            <w:tcW w:w="850" w:type="dxa"/>
            <w:vAlign w:val="center"/>
          </w:tcPr>
          <w:p w14:paraId="7E9F3A2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8000</w:t>
            </w:r>
          </w:p>
        </w:tc>
      </w:tr>
      <w:tr w14:paraId="4D55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8" w:type="dxa"/>
            <w:vMerge w:val="restart"/>
            <w:vAlign w:val="center"/>
          </w:tcPr>
          <w:p w14:paraId="6D977480">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G</w:t>
            </w:r>
            <w:r>
              <w:rPr>
                <w:color w:val="000000" w:themeColor="text1"/>
                <w:vertAlign w:val="subscript"/>
                <w:lang w:bidi="ar"/>
                <w14:textFill>
                  <w14:solidFill>
                    <w14:schemeClr w14:val="tx1"/>
                  </w14:solidFill>
                </w14:textFill>
              </w:rPr>
              <w:t>3</w:t>
            </w:r>
          </w:p>
        </w:tc>
        <w:tc>
          <w:tcPr>
            <w:tcW w:w="567" w:type="dxa"/>
            <w:vMerge w:val="restart"/>
            <w:vAlign w:val="center"/>
          </w:tcPr>
          <w:p w14:paraId="665D433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装卸</w:t>
            </w:r>
          </w:p>
        </w:tc>
        <w:tc>
          <w:tcPr>
            <w:tcW w:w="683" w:type="dxa"/>
            <w:vAlign w:val="center"/>
          </w:tcPr>
          <w:p w14:paraId="22E78FD6">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甲醇</w:t>
            </w:r>
          </w:p>
        </w:tc>
        <w:tc>
          <w:tcPr>
            <w:tcW w:w="833" w:type="dxa"/>
            <w:vMerge w:val="restart"/>
            <w:vAlign w:val="center"/>
          </w:tcPr>
          <w:p w14:paraId="2885C0D6">
            <w:pPr>
              <w:pStyle w:val="109"/>
              <w:rPr>
                <w:color w:val="000000" w:themeColor="text1"/>
                <w14:textFill>
                  <w14:solidFill>
                    <w14:schemeClr w14:val="tx1"/>
                  </w14:solidFill>
                </w14:textFill>
              </w:rPr>
            </w:pPr>
            <w:r>
              <w:rPr>
                <w:color w:val="000000" w:themeColor="text1"/>
                <w14:textFill>
                  <w14:solidFill>
                    <w14:schemeClr w14:val="tx1"/>
                  </w14:solidFill>
                </w14:textFill>
              </w:rPr>
              <w:t>450</w:t>
            </w:r>
          </w:p>
        </w:tc>
        <w:tc>
          <w:tcPr>
            <w:tcW w:w="701" w:type="dxa"/>
            <w:vMerge w:val="restart"/>
          </w:tcPr>
          <w:p w14:paraId="2E439F25">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物料衡算法</w:t>
            </w:r>
          </w:p>
        </w:tc>
        <w:tc>
          <w:tcPr>
            <w:tcW w:w="1125" w:type="dxa"/>
            <w:vAlign w:val="center"/>
          </w:tcPr>
          <w:p w14:paraId="733D1A4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227.78 </w:t>
            </w:r>
          </w:p>
        </w:tc>
        <w:tc>
          <w:tcPr>
            <w:tcW w:w="971" w:type="dxa"/>
            <w:vAlign w:val="center"/>
          </w:tcPr>
          <w:p w14:paraId="0A259C0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0.10 </w:t>
            </w:r>
          </w:p>
        </w:tc>
        <w:tc>
          <w:tcPr>
            <w:tcW w:w="974" w:type="dxa"/>
            <w:vAlign w:val="center"/>
          </w:tcPr>
          <w:p w14:paraId="5FDEFBE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0.82</w:t>
            </w:r>
          </w:p>
        </w:tc>
        <w:tc>
          <w:tcPr>
            <w:tcW w:w="748" w:type="dxa"/>
            <w:gridSpan w:val="2"/>
            <w:vMerge w:val="restart"/>
            <w:vAlign w:val="center"/>
          </w:tcPr>
          <w:p w14:paraId="08738EF7">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二级冷凝-膜分离-吸附</w:t>
            </w:r>
          </w:p>
        </w:tc>
        <w:tc>
          <w:tcPr>
            <w:tcW w:w="759" w:type="dxa"/>
            <w:vAlign w:val="center"/>
          </w:tcPr>
          <w:p w14:paraId="5440415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0.99</w:t>
            </w:r>
          </w:p>
        </w:tc>
        <w:tc>
          <w:tcPr>
            <w:tcW w:w="5371" w:type="dxa"/>
            <w:gridSpan w:val="9"/>
            <w:vMerge w:val="continue"/>
            <w:vAlign w:val="center"/>
          </w:tcPr>
          <w:p w14:paraId="4018905C">
            <w:pPr>
              <w:pStyle w:val="109"/>
              <w:rPr>
                <w:color w:val="000000" w:themeColor="text1"/>
                <w14:textFill>
                  <w14:solidFill>
                    <w14:schemeClr w14:val="tx1"/>
                  </w14:solidFill>
                </w14:textFill>
              </w:rPr>
            </w:pPr>
          </w:p>
        </w:tc>
        <w:tc>
          <w:tcPr>
            <w:tcW w:w="850" w:type="dxa"/>
            <w:vAlign w:val="center"/>
          </w:tcPr>
          <w:p w14:paraId="0966F1C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8000</w:t>
            </w:r>
          </w:p>
        </w:tc>
      </w:tr>
      <w:tr w14:paraId="37DD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8" w:type="dxa"/>
            <w:vMerge w:val="continue"/>
            <w:vAlign w:val="center"/>
          </w:tcPr>
          <w:p w14:paraId="69BEBDAA">
            <w:pPr>
              <w:pStyle w:val="109"/>
              <w:rPr>
                <w:color w:val="000000" w:themeColor="text1"/>
                <w14:textFill>
                  <w14:solidFill>
                    <w14:schemeClr w14:val="tx1"/>
                  </w14:solidFill>
                </w14:textFill>
              </w:rPr>
            </w:pPr>
          </w:p>
        </w:tc>
        <w:tc>
          <w:tcPr>
            <w:tcW w:w="567" w:type="dxa"/>
            <w:vMerge w:val="continue"/>
            <w:vAlign w:val="center"/>
          </w:tcPr>
          <w:p w14:paraId="557F0FDA">
            <w:pPr>
              <w:pStyle w:val="109"/>
              <w:rPr>
                <w:color w:val="000000" w:themeColor="text1"/>
                <w14:textFill>
                  <w14:solidFill>
                    <w14:schemeClr w14:val="tx1"/>
                  </w14:solidFill>
                </w14:textFill>
              </w:rPr>
            </w:pPr>
          </w:p>
        </w:tc>
        <w:tc>
          <w:tcPr>
            <w:tcW w:w="683" w:type="dxa"/>
            <w:vAlign w:val="center"/>
          </w:tcPr>
          <w:p w14:paraId="06900A05">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833" w:type="dxa"/>
            <w:vMerge w:val="continue"/>
            <w:vAlign w:val="center"/>
          </w:tcPr>
          <w:p w14:paraId="5EDD23E7">
            <w:pPr>
              <w:pStyle w:val="109"/>
              <w:rPr>
                <w:color w:val="000000" w:themeColor="text1"/>
                <w14:textFill>
                  <w14:solidFill>
                    <w14:schemeClr w14:val="tx1"/>
                  </w14:solidFill>
                </w14:textFill>
              </w:rPr>
            </w:pPr>
          </w:p>
        </w:tc>
        <w:tc>
          <w:tcPr>
            <w:tcW w:w="701" w:type="dxa"/>
            <w:vMerge w:val="continue"/>
            <w:vAlign w:val="center"/>
          </w:tcPr>
          <w:p w14:paraId="64B736B3">
            <w:pPr>
              <w:pStyle w:val="109"/>
              <w:rPr>
                <w:color w:val="000000" w:themeColor="text1"/>
                <w:lang w:bidi="ar"/>
                <w14:textFill>
                  <w14:solidFill>
                    <w14:schemeClr w14:val="tx1"/>
                  </w14:solidFill>
                </w14:textFill>
              </w:rPr>
            </w:pPr>
          </w:p>
        </w:tc>
        <w:tc>
          <w:tcPr>
            <w:tcW w:w="1125" w:type="dxa"/>
            <w:vAlign w:val="center"/>
          </w:tcPr>
          <w:p w14:paraId="63BA4C7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861.11 </w:t>
            </w:r>
          </w:p>
        </w:tc>
        <w:tc>
          <w:tcPr>
            <w:tcW w:w="971" w:type="dxa"/>
            <w:vAlign w:val="center"/>
          </w:tcPr>
          <w:p w14:paraId="7D13559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0.39 </w:t>
            </w:r>
          </w:p>
        </w:tc>
        <w:tc>
          <w:tcPr>
            <w:tcW w:w="974" w:type="dxa"/>
            <w:vAlign w:val="center"/>
          </w:tcPr>
          <w:p w14:paraId="69C7EAE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3.1</w:t>
            </w:r>
          </w:p>
        </w:tc>
        <w:tc>
          <w:tcPr>
            <w:tcW w:w="748" w:type="dxa"/>
            <w:gridSpan w:val="2"/>
            <w:vMerge w:val="continue"/>
            <w:vAlign w:val="center"/>
          </w:tcPr>
          <w:p w14:paraId="358AB658">
            <w:pPr>
              <w:pStyle w:val="109"/>
              <w:rPr>
                <w:color w:val="000000" w:themeColor="text1"/>
                <w:lang w:bidi="ar"/>
                <w14:textFill>
                  <w14:solidFill>
                    <w14:schemeClr w14:val="tx1"/>
                  </w14:solidFill>
                </w14:textFill>
              </w:rPr>
            </w:pPr>
          </w:p>
        </w:tc>
        <w:tc>
          <w:tcPr>
            <w:tcW w:w="759" w:type="dxa"/>
            <w:vAlign w:val="center"/>
          </w:tcPr>
          <w:p w14:paraId="25822A6F">
            <w:pPr>
              <w:pStyle w:val="109"/>
              <w:rPr>
                <w:color w:val="000000" w:themeColor="text1"/>
                <w:lang w:bidi="ar"/>
                <w14:textFill>
                  <w14:solidFill>
                    <w14:schemeClr w14:val="tx1"/>
                  </w14:solidFill>
                </w14:textFill>
              </w:rPr>
            </w:pPr>
          </w:p>
        </w:tc>
        <w:tc>
          <w:tcPr>
            <w:tcW w:w="5371" w:type="dxa"/>
            <w:gridSpan w:val="9"/>
            <w:vMerge w:val="continue"/>
            <w:vAlign w:val="center"/>
          </w:tcPr>
          <w:p w14:paraId="0DA29D59">
            <w:pPr>
              <w:pStyle w:val="109"/>
              <w:rPr>
                <w:color w:val="000000" w:themeColor="text1"/>
                <w14:textFill>
                  <w14:solidFill>
                    <w14:schemeClr w14:val="tx1"/>
                  </w14:solidFill>
                </w14:textFill>
              </w:rPr>
            </w:pPr>
          </w:p>
        </w:tc>
        <w:tc>
          <w:tcPr>
            <w:tcW w:w="850" w:type="dxa"/>
            <w:vAlign w:val="center"/>
          </w:tcPr>
          <w:p w14:paraId="327B1B9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8000</w:t>
            </w:r>
          </w:p>
        </w:tc>
      </w:tr>
      <w:tr w14:paraId="6AC8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8" w:type="dxa"/>
            <w:vMerge w:val="restart"/>
            <w:vAlign w:val="center"/>
          </w:tcPr>
          <w:p w14:paraId="4EF8899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67" w:type="dxa"/>
            <w:vMerge w:val="restart"/>
            <w:vAlign w:val="center"/>
          </w:tcPr>
          <w:p w14:paraId="2FC3F95E">
            <w:pPr>
              <w:pStyle w:val="109"/>
              <w:rPr>
                <w:color w:val="000000" w:themeColor="text1"/>
                <w14:textFill>
                  <w14:solidFill>
                    <w14:schemeClr w14:val="tx1"/>
                  </w14:solidFill>
                </w14:textFill>
              </w:rPr>
            </w:pPr>
            <w:r>
              <w:rPr>
                <w:color w:val="000000" w:themeColor="text1"/>
                <w14:textFill>
                  <w14:solidFill>
                    <w14:schemeClr w14:val="tx1"/>
                  </w14:solidFill>
                </w14:textFill>
              </w:rPr>
              <w:t>油气回收装置</w:t>
            </w:r>
          </w:p>
        </w:tc>
        <w:tc>
          <w:tcPr>
            <w:tcW w:w="683" w:type="dxa"/>
            <w:vAlign w:val="center"/>
          </w:tcPr>
          <w:p w14:paraId="0C4260D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甲醇</w:t>
            </w:r>
          </w:p>
        </w:tc>
        <w:tc>
          <w:tcPr>
            <w:tcW w:w="833" w:type="dxa"/>
            <w:vMerge w:val="restart"/>
            <w:vAlign w:val="center"/>
          </w:tcPr>
          <w:p w14:paraId="698AF6B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1000</w:t>
            </w:r>
          </w:p>
        </w:tc>
        <w:tc>
          <w:tcPr>
            <w:tcW w:w="701" w:type="dxa"/>
          </w:tcPr>
          <w:p w14:paraId="1326E08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物料衡算法</w:t>
            </w:r>
          </w:p>
        </w:tc>
        <w:tc>
          <w:tcPr>
            <w:tcW w:w="1125" w:type="dxa"/>
            <w:vAlign w:val="center"/>
          </w:tcPr>
          <w:p w14:paraId="5580A16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486.25 </w:t>
            </w:r>
          </w:p>
        </w:tc>
        <w:tc>
          <w:tcPr>
            <w:tcW w:w="971" w:type="dxa"/>
            <w:vAlign w:val="center"/>
          </w:tcPr>
          <w:p w14:paraId="42BC46F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0.49 </w:t>
            </w:r>
          </w:p>
        </w:tc>
        <w:tc>
          <w:tcPr>
            <w:tcW w:w="974" w:type="dxa"/>
            <w:vAlign w:val="center"/>
          </w:tcPr>
          <w:p w14:paraId="4BFADF5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3.87</w:t>
            </w:r>
          </w:p>
        </w:tc>
        <w:tc>
          <w:tcPr>
            <w:tcW w:w="748" w:type="dxa"/>
            <w:gridSpan w:val="2"/>
            <w:vMerge w:val="restart"/>
            <w:vAlign w:val="center"/>
          </w:tcPr>
          <w:p w14:paraId="72582C74">
            <w:pPr>
              <w:pStyle w:val="109"/>
              <w:rPr>
                <w:color w:val="000000" w:themeColor="text1"/>
                <w14:textFill>
                  <w14:solidFill>
                    <w14:schemeClr w14:val="tx1"/>
                  </w14:solidFill>
                </w14:textFill>
              </w:rPr>
            </w:pPr>
            <w:r>
              <w:rPr>
                <w:color w:val="000000" w:themeColor="text1"/>
                <w14:textFill>
                  <w14:solidFill>
                    <w14:schemeClr w14:val="tx1"/>
                  </w14:solidFill>
                </w14:textFill>
              </w:rPr>
              <w:t>二级冷凝-膜分离-吸附</w:t>
            </w:r>
          </w:p>
        </w:tc>
        <w:tc>
          <w:tcPr>
            <w:tcW w:w="759" w:type="dxa"/>
            <w:vAlign w:val="center"/>
          </w:tcPr>
          <w:p w14:paraId="3BAE626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0.99</w:t>
            </w:r>
          </w:p>
        </w:tc>
        <w:tc>
          <w:tcPr>
            <w:tcW w:w="997" w:type="dxa"/>
            <w:gridSpan w:val="2"/>
            <w:vAlign w:val="center"/>
          </w:tcPr>
          <w:p w14:paraId="2C0160BC">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4.86 </w:t>
            </w:r>
          </w:p>
        </w:tc>
        <w:tc>
          <w:tcPr>
            <w:tcW w:w="853" w:type="dxa"/>
            <w:vAlign w:val="center"/>
          </w:tcPr>
          <w:p w14:paraId="4BE8CDE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0.005 </w:t>
            </w:r>
          </w:p>
        </w:tc>
        <w:tc>
          <w:tcPr>
            <w:tcW w:w="759" w:type="dxa"/>
            <w:vAlign w:val="center"/>
          </w:tcPr>
          <w:p w14:paraId="3D31282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0.04 </w:t>
            </w:r>
          </w:p>
        </w:tc>
        <w:tc>
          <w:tcPr>
            <w:tcW w:w="854" w:type="dxa"/>
            <w:gridSpan w:val="2"/>
            <w:vMerge w:val="restart"/>
            <w:vAlign w:val="center"/>
          </w:tcPr>
          <w:p w14:paraId="21DE7AAC">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DA001</w:t>
            </w:r>
          </w:p>
        </w:tc>
        <w:tc>
          <w:tcPr>
            <w:tcW w:w="599" w:type="dxa"/>
            <w:vMerge w:val="restart"/>
            <w:vAlign w:val="center"/>
          </w:tcPr>
          <w:p w14:paraId="6F14E0C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15</w:t>
            </w:r>
          </w:p>
        </w:tc>
        <w:tc>
          <w:tcPr>
            <w:tcW w:w="665" w:type="dxa"/>
            <w:vMerge w:val="restart"/>
            <w:vAlign w:val="center"/>
          </w:tcPr>
          <w:p w14:paraId="0F008A1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0.2</w:t>
            </w:r>
          </w:p>
        </w:tc>
        <w:tc>
          <w:tcPr>
            <w:tcW w:w="644" w:type="dxa"/>
            <w:vMerge w:val="restart"/>
            <w:vAlign w:val="center"/>
          </w:tcPr>
          <w:p w14:paraId="22BE4CA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20</w:t>
            </w:r>
          </w:p>
        </w:tc>
        <w:tc>
          <w:tcPr>
            <w:tcW w:w="850" w:type="dxa"/>
            <w:vAlign w:val="center"/>
          </w:tcPr>
          <w:p w14:paraId="798E7FC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8000</w:t>
            </w:r>
          </w:p>
        </w:tc>
      </w:tr>
      <w:tr w14:paraId="132F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8" w:type="dxa"/>
            <w:vMerge w:val="continue"/>
            <w:vAlign w:val="center"/>
          </w:tcPr>
          <w:p w14:paraId="2FA617D0">
            <w:pPr>
              <w:pStyle w:val="109"/>
              <w:rPr>
                <w:color w:val="000000" w:themeColor="text1"/>
                <w14:textFill>
                  <w14:solidFill>
                    <w14:schemeClr w14:val="tx1"/>
                  </w14:solidFill>
                </w14:textFill>
              </w:rPr>
            </w:pPr>
          </w:p>
        </w:tc>
        <w:tc>
          <w:tcPr>
            <w:tcW w:w="567" w:type="dxa"/>
            <w:vMerge w:val="continue"/>
            <w:vAlign w:val="center"/>
          </w:tcPr>
          <w:p w14:paraId="11EC5E28">
            <w:pPr>
              <w:pStyle w:val="109"/>
              <w:rPr>
                <w:color w:val="000000" w:themeColor="text1"/>
                <w14:textFill>
                  <w14:solidFill>
                    <w14:schemeClr w14:val="tx1"/>
                  </w14:solidFill>
                </w14:textFill>
              </w:rPr>
            </w:pPr>
          </w:p>
        </w:tc>
        <w:tc>
          <w:tcPr>
            <w:tcW w:w="683" w:type="dxa"/>
            <w:vAlign w:val="center"/>
          </w:tcPr>
          <w:p w14:paraId="33E4E4F8">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833" w:type="dxa"/>
            <w:vMerge w:val="continue"/>
            <w:vAlign w:val="center"/>
          </w:tcPr>
          <w:p w14:paraId="6F30E006">
            <w:pPr>
              <w:pStyle w:val="109"/>
              <w:rPr>
                <w:color w:val="000000" w:themeColor="text1"/>
                <w14:textFill>
                  <w14:solidFill>
                    <w14:schemeClr w14:val="tx1"/>
                  </w14:solidFill>
                </w14:textFill>
              </w:rPr>
            </w:pPr>
          </w:p>
        </w:tc>
        <w:tc>
          <w:tcPr>
            <w:tcW w:w="701" w:type="dxa"/>
          </w:tcPr>
          <w:p w14:paraId="410F2F8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物料衡算法</w:t>
            </w:r>
          </w:p>
        </w:tc>
        <w:tc>
          <w:tcPr>
            <w:tcW w:w="1125" w:type="dxa"/>
            <w:vAlign w:val="center"/>
          </w:tcPr>
          <w:p w14:paraId="7E9F36D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10726.25 </w:t>
            </w:r>
          </w:p>
        </w:tc>
        <w:tc>
          <w:tcPr>
            <w:tcW w:w="971" w:type="dxa"/>
            <w:vAlign w:val="center"/>
          </w:tcPr>
          <w:p w14:paraId="3D08C0E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10.73 </w:t>
            </w:r>
          </w:p>
        </w:tc>
        <w:tc>
          <w:tcPr>
            <w:tcW w:w="974" w:type="dxa"/>
            <w:vAlign w:val="center"/>
          </w:tcPr>
          <w:p w14:paraId="13DD719B">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85.81</w:t>
            </w:r>
          </w:p>
        </w:tc>
        <w:tc>
          <w:tcPr>
            <w:tcW w:w="748" w:type="dxa"/>
            <w:gridSpan w:val="2"/>
            <w:vMerge w:val="continue"/>
            <w:vAlign w:val="center"/>
          </w:tcPr>
          <w:p w14:paraId="315BFB4F">
            <w:pPr>
              <w:pStyle w:val="109"/>
              <w:rPr>
                <w:color w:val="000000" w:themeColor="text1"/>
                <w14:textFill>
                  <w14:solidFill>
                    <w14:schemeClr w14:val="tx1"/>
                  </w14:solidFill>
                </w14:textFill>
              </w:rPr>
            </w:pPr>
          </w:p>
        </w:tc>
        <w:tc>
          <w:tcPr>
            <w:tcW w:w="759" w:type="dxa"/>
            <w:vAlign w:val="center"/>
          </w:tcPr>
          <w:p w14:paraId="30C4E1C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0.99</w:t>
            </w:r>
          </w:p>
        </w:tc>
        <w:tc>
          <w:tcPr>
            <w:tcW w:w="997" w:type="dxa"/>
            <w:gridSpan w:val="2"/>
            <w:vAlign w:val="center"/>
          </w:tcPr>
          <w:p w14:paraId="0C16BEE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107.26 </w:t>
            </w:r>
          </w:p>
        </w:tc>
        <w:tc>
          <w:tcPr>
            <w:tcW w:w="853" w:type="dxa"/>
            <w:vAlign w:val="center"/>
          </w:tcPr>
          <w:p w14:paraId="5FA75AF2">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0.11 </w:t>
            </w:r>
          </w:p>
        </w:tc>
        <w:tc>
          <w:tcPr>
            <w:tcW w:w="759" w:type="dxa"/>
            <w:vAlign w:val="center"/>
          </w:tcPr>
          <w:p w14:paraId="3258CF6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 xml:space="preserve">0.86 </w:t>
            </w:r>
          </w:p>
        </w:tc>
        <w:tc>
          <w:tcPr>
            <w:tcW w:w="854" w:type="dxa"/>
            <w:gridSpan w:val="2"/>
            <w:vMerge w:val="continue"/>
            <w:vAlign w:val="center"/>
          </w:tcPr>
          <w:p w14:paraId="1418916F">
            <w:pPr>
              <w:pStyle w:val="109"/>
              <w:rPr>
                <w:color w:val="000000" w:themeColor="text1"/>
                <w14:textFill>
                  <w14:solidFill>
                    <w14:schemeClr w14:val="tx1"/>
                  </w14:solidFill>
                </w14:textFill>
              </w:rPr>
            </w:pPr>
          </w:p>
        </w:tc>
        <w:tc>
          <w:tcPr>
            <w:tcW w:w="599" w:type="dxa"/>
            <w:vMerge w:val="continue"/>
            <w:vAlign w:val="center"/>
          </w:tcPr>
          <w:p w14:paraId="0D9016F6">
            <w:pPr>
              <w:pStyle w:val="109"/>
              <w:rPr>
                <w:color w:val="000000" w:themeColor="text1"/>
                <w14:textFill>
                  <w14:solidFill>
                    <w14:schemeClr w14:val="tx1"/>
                  </w14:solidFill>
                </w14:textFill>
              </w:rPr>
            </w:pPr>
          </w:p>
        </w:tc>
        <w:tc>
          <w:tcPr>
            <w:tcW w:w="665" w:type="dxa"/>
            <w:vMerge w:val="continue"/>
            <w:vAlign w:val="center"/>
          </w:tcPr>
          <w:p w14:paraId="6BCD815A">
            <w:pPr>
              <w:pStyle w:val="109"/>
              <w:rPr>
                <w:color w:val="000000" w:themeColor="text1"/>
                <w14:textFill>
                  <w14:solidFill>
                    <w14:schemeClr w14:val="tx1"/>
                  </w14:solidFill>
                </w14:textFill>
              </w:rPr>
            </w:pPr>
          </w:p>
        </w:tc>
        <w:tc>
          <w:tcPr>
            <w:tcW w:w="644" w:type="dxa"/>
            <w:vMerge w:val="continue"/>
            <w:vAlign w:val="center"/>
          </w:tcPr>
          <w:p w14:paraId="45E85D6B">
            <w:pPr>
              <w:pStyle w:val="109"/>
              <w:rPr>
                <w:color w:val="000000" w:themeColor="text1"/>
                <w14:textFill>
                  <w14:solidFill>
                    <w14:schemeClr w14:val="tx1"/>
                  </w14:solidFill>
                </w14:textFill>
              </w:rPr>
            </w:pPr>
          </w:p>
        </w:tc>
        <w:tc>
          <w:tcPr>
            <w:tcW w:w="850" w:type="dxa"/>
            <w:vAlign w:val="center"/>
          </w:tcPr>
          <w:p w14:paraId="7E54B84B">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8000</w:t>
            </w:r>
          </w:p>
        </w:tc>
      </w:tr>
    </w:tbl>
    <w:p w14:paraId="12143A8F">
      <w:pPr>
        <w:ind w:firstLine="480"/>
        <w:rPr>
          <w:color w:val="000000" w:themeColor="text1"/>
          <w:sz w:val="18"/>
          <w14:textFill>
            <w14:solidFill>
              <w14:schemeClr w14:val="tx1"/>
            </w14:solidFill>
          </w14:textFill>
        </w:rPr>
      </w:pPr>
      <w:r>
        <w:rPr>
          <w:color w:val="000000" w:themeColor="text1"/>
          <w:lang w:bidi="zh-CN"/>
          <w14:textFill>
            <w14:solidFill>
              <w14:schemeClr w14:val="tx1"/>
            </w14:solidFill>
          </w14:textFill>
        </w:rPr>
        <w:t>甲烷总烃、甲醇</w:t>
      </w:r>
      <w:r>
        <w:rPr>
          <w:color w:val="000000" w:themeColor="text1"/>
          <w14:textFill>
            <w14:solidFill>
              <w14:schemeClr w14:val="tx1"/>
            </w14:solidFill>
          </w14:textFill>
        </w:rPr>
        <w:t>达到《石油化学工业污染物排放标准》（GB31571-2015）及2024年修改单中表5 大气污染物特别排放限和表6 废气中有机特征污染物及排放限值。</w:t>
      </w:r>
    </w:p>
    <w:p w14:paraId="2D1727F6">
      <w:pPr>
        <w:ind w:firstLine="480"/>
        <w:rPr>
          <w:color w:val="000000" w:themeColor="text1"/>
          <w14:textFill>
            <w14:solidFill>
              <w14:schemeClr w14:val="tx1"/>
            </w14:solidFill>
          </w14:textFill>
        </w:rPr>
      </w:pPr>
      <w:r>
        <w:rPr>
          <w:color w:val="000000" w:themeColor="text1"/>
          <w14:textFill>
            <w14:solidFill>
              <w14:schemeClr w14:val="tx1"/>
            </w14:solidFill>
          </w14:textFill>
        </w:rPr>
        <w:t>无组织废气排放统计见下表。</w:t>
      </w:r>
    </w:p>
    <w:p w14:paraId="6C64E20E">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无组织废气排放统计一览表</w:t>
      </w:r>
    </w:p>
    <w:tbl>
      <w:tblPr>
        <w:tblStyle w:val="76"/>
        <w:tblW w:w="5025"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7"/>
        <w:gridCol w:w="1180"/>
        <w:gridCol w:w="1645"/>
        <w:gridCol w:w="1959"/>
        <w:gridCol w:w="2063"/>
        <w:gridCol w:w="1544"/>
        <w:gridCol w:w="1252"/>
        <w:gridCol w:w="1844"/>
        <w:gridCol w:w="1572"/>
      </w:tblGrid>
      <w:tr w14:paraId="612B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4" w:type="pct"/>
            <w:vMerge w:val="restart"/>
            <w:vAlign w:val="center"/>
          </w:tcPr>
          <w:p w14:paraId="75411D2E">
            <w:pPr>
              <w:pStyle w:val="109"/>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409" w:type="pct"/>
            <w:vMerge w:val="restart"/>
            <w:vAlign w:val="center"/>
          </w:tcPr>
          <w:p w14:paraId="5E0975B4">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249" w:type="pct"/>
            <w:gridSpan w:val="2"/>
            <w:vAlign w:val="center"/>
          </w:tcPr>
          <w:p w14:paraId="2BF56E4E">
            <w:pPr>
              <w:pStyle w:val="109"/>
              <w:rPr>
                <w:color w:val="000000" w:themeColor="text1"/>
                <w14:textFill>
                  <w14:solidFill>
                    <w14:schemeClr w14:val="tx1"/>
                  </w14:solidFill>
                </w14:textFill>
              </w:rPr>
            </w:pPr>
            <w:r>
              <w:rPr>
                <w:color w:val="000000" w:themeColor="text1"/>
                <w14:textFill>
                  <w14:solidFill>
                    <w14:schemeClr w14:val="tx1"/>
                  </w14:solidFill>
                </w14:textFill>
              </w:rPr>
              <w:t>污染物产生情况</w:t>
            </w:r>
          </w:p>
        </w:tc>
        <w:tc>
          <w:tcPr>
            <w:tcW w:w="715" w:type="pct"/>
            <w:vMerge w:val="restart"/>
            <w:vAlign w:val="center"/>
          </w:tcPr>
          <w:p w14:paraId="0195801B">
            <w:pPr>
              <w:pStyle w:val="109"/>
              <w:rPr>
                <w:color w:val="000000" w:themeColor="text1"/>
                <w14:textFill>
                  <w14:solidFill>
                    <w14:schemeClr w14:val="tx1"/>
                  </w14:solidFill>
                </w14:textFill>
              </w:rPr>
            </w:pPr>
            <w:r>
              <w:rPr>
                <w:color w:val="000000" w:themeColor="text1"/>
                <w14:textFill>
                  <w14:solidFill>
                    <w14:schemeClr w14:val="tx1"/>
                  </w14:solidFill>
                </w14:textFill>
              </w:rPr>
              <w:t>环保措施</w:t>
            </w:r>
          </w:p>
        </w:tc>
        <w:tc>
          <w:tcPr>
            <w:tcW w:w="969" w:type="pct"/>
            <w:gridSpan w:val="2"/>
            <w:vAlign w:val="center"/>
          </w:tcPr>
          <w:p w14:paraId="5F603026">
            <w:pPr>
              <w:pStyle w:val="109"/>
              <w:rPr>
                <w:color w:val="000000" w:themeColor="text1"/>
                <w14:textFill>
                  <w14:solidFill>
                    <w14:schemeClr w14:val="tx1"/>
                  </w14:solidFill>
                </w14:textFill>
              </w:rPr>
            </w:pPr>
            <w:r>
              <w:rPr>
                <w:color w:val="000000" w:themeColor="text1"/>
                <w14:textFill>
                  <w14:solidFill>
                    <w14:schemeClr w14:val="tx1"/>
                  </w14:solidFill>
                </w14:textFill>
              </w:rPr>
              <w:t>污染物排放情况</w:t>
            </w:r>
          </w:p>
        </w:tc>
        <w:tc>
          <w:tcPr>
            <w:tcW w:w="639" w:type="pct"/>
            <w:vMerge w:val="restart"/>
            <w:vAlign w:val="center"/>
          </w:tcPr>
          <w:p w14:paraId="0823FF52">
            <w:pPr>
              <w:pStyle w:val="109"/>
              <w:rPr>
                <w:color w:val="000000" w:themeColor="text1"/>
                <w14:textFill>
                  <w14:solidFill>
                    <w14:schemeClr w14:val="tx1"/>
                  </w14:solidFill>
                </w14:textFill>
              </w:rPr>
            </w:pPr>
            <w:r>
              <w:rPr>
                <w:color w:val="000000" w:themeColor="text1"/>
                <w14:textFill>
                  <w14:solidFill>
                    <w14:schemeClr w14:val="tx1"/>
                  </w14:solidFill>
                </w14:textFill>
              </w:rPr>
              <w:t>参数(长×宽×高)</w:t>
            </w:r>
          </w:p>
        </w:tc>
        <w:tc>
          <w:tcPr>
            <w:tcW w:w="545" w:type="pct"/>
            <w:vMerge w:val="restart"/>
            <w:vAlign w:val="center"/>
          </w:tcPr>
          <w:p w14:paraId="68069FBD">
            <w:pPr>
              <w:pStyle w:val="109"/>
              <w:rPr>
                <w:color w:val="000000" w:themeColor="text1"/>
                <w14:textFill>
                  <w14:solidFill>
                    <w14:schemeClr w14:val="tx1"/>
                  </w14:solidFill>
                </w14:textFill>
              </w:rPr>
            </w:pPr>
            <w:r>
              <w:rPr>
                <w:color w:val="000000" w:themeColor="text1"/>
                <w14:textFill>
                  <w14:solidFill>
                    <w14:schemeClr w14:val="tx1"/>
                  </w14:solidFill>
                </w14:textFill>
              </w:rPr>
              <w:t>排放时间（h）</w:t>
            </w:r>
          </w:p>
        </w:tc>
      </w:tr>
      <w:tr w14:paraId="1989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4" w:type="pct"/>
            <w:vMerge w:val="continue"/>
            <w:vAlign w:val="center"/>
          </w:tcPr>
          <w:p w14:paraId="4A29B108">
            <w:pPr>
              <w:pStyle w:val="109"/>
              <w:rPr>
                <w:color w:val="000000" w:themeColor="text1"/>
                <w14:textFill>
                  <w14:solidFill>
                    <w14:schemeClr w14:val="tx1"/>
                  </w14:solidFill>
                </w14:textFill>
              </w:rPr>
            </w:pPr>
          </w:p>
        </w:tc>
        <w:tc>
          <w:tcPr>
            <w:tcW w:w="409" w:type="pct"/>
            <w:vMerge w:val="continue"/>
            <w:vAlign w:val="center"/>
          </w:tcPr>
          <w:p w14:paraId="3C794B82">
            <w:pPr>
              <w:pStyle w:val="109"/>
              <w:rPr>
                <w:color w:val="000000" w:themeColor="text1"/>
                <w14:textFill>
                  <w14:solidFill>
                    <w14:schemeClr w14:val="tx1"/>
                  </w14:solidFill>
                </w14:textFill>
              </w:rPr>
            </w:pPr>
          </w:p>
        </w:tc>
        <w:tc>
          <w:tcPr>
            <w:tcW w:w="570" w:type="pct"/>
            <w:vAlign w:val="center"/>
          </w:tcPr>
          <w:p w14:paraId="14529EA2">
            <w:pPr>
              <w:pStyle w:val="109"/>
              <w:rPr>
                <w:color w:val="000000" w:themeColor="text1"/>
                <w14:textFill>
                  <w14:solidFill>
                    <w14:schemeClr w14:val="tx1"/>
                  </w14:solidFill>
                </w14:textFill>
              </w:rPr>
            </w:pPr>
            <w:r>
              <w:rPr>
                <w:color w:val="000000" w:themeColor="text1"/>
                <w14:textFill>
                  <w14:solidFill>
                    <w14:schemeClr w14:val="tx1"/>
                  </w14:solidFill>
                </w14:textFill>
              </w:rPr>
              <w:t>产生速率（kg/h）</w:t>
            </w:r>
          </w:p>
        </w:tc>
        <w:tc>
          <w:tcPr>
            <w:tcW w:w="679" w:type="pct"/>
            <w:vAlign w:val="center"/>
          </w:tcPr>
          <w:p w14:paraId="409C6F9D">
            <w:pPr>
              <w:pStyle w:val="109"/>
              <w:rPr>
                <w:color w:val="000000" w:themeColor="text1"/>
                <w14:textFill>
                  <w14:solidFill>
                    <w14:schemeClr w14:val="tx1"/>
                  </w14:solidFill>
                </w14:textFill>
              </w:rPr>
            </w:pPr>
            <w:r>
              <w:rPr>
                <w:color w:val="000000" w:themeColor="text1"/>
                <w14:textFill>
                  <w14:solidFill>
                    <w14:schemeClr w14:val="tx1"/>
                  </w14:solidFill>
                </w14:textFill>
              </w:rPr>
              <w:t>产生量（t/a）</w:t>
            </w:r>
          </w:p>
        </w:tc>
        <w:tc>
          <w:tcPr>
            <w:tcW w:w="715" w:type="pct"/>
            <w:vMerge w:val="continue"/>
            <w:vAlign w:val="center"/>
          </w:tcPr>
          <w:p w14:paraId="4C72ADCE">
            <w:pPr>
              <w:pStyle w:val="109"/>
              <w:rPr>
                <w:color w:val="000000" w:themeColor="text1"/>
                <w14:textFill>
                  <w14:solidFill>
                    <w14:schemeClr w14:val="tx1"/>
                  </w14:solidFill>
                </w14:textFill>
              </w:rPr>
            </w:pPr>
          </w:p>
        </w:tc>
        <w:tc>
          <w:tcPr>
            <w:tcW w:w="535" w:type="pct"/>
            <w:vAlign w:val="center"/>
          </w:tcPr>
          <w:p w14:paraId="66829485">
            <w:pPr>
              <w:pStyle w:val="109"/>
              <w:rPr>
                <w:color w:val="000000" w:themeColor="text1"/>
                <w14:textFill>
                  <w14:solidFill>
                    <w14:schemeClr w14:val="tx1"/>
                  </w14:solidFill>
                </w14:textFill>
              </w:rPr>
            </w:pPr>
            <w:r>
              <w:rPr>
                <w:color w:val="000000" w:themeColor="text1"/>
                <w14:textFill>
                  <w14:solidFill>
                    <w14:schemeClr w14:val="tx1"/>
                  </w14:solidFill>
                </w14:textFill>
              </w:rPr>
              <w:t>排放速率（kg/h）</w:t>
            </w:r>
          </w:p>
        </w:tc>
        <w:tc>
          <w:tcPr>
            <w:tcW w:w="434" w:type="pct"/>
            <w:vAlign w:val="center"/>
          </w:tcPr>
          <w:p w14:paraId="3A88A69B">
            <w:pPr>
              <w:pStyle w:val="109"/>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639" w:type="pct"/>
            <w:vMerge w:val="continue"/>
            <w:vAlign w:val="center"/>
          </w:tcPr>
          <w:p w14:paraId="276C5E8E">
            <w:pPr>
              <w:pStyle w:val="109"/>
              <w:rPr>
                <w:color w:val="000000" w:themeColor="text1"/>
                <w14:textFill>
                  <w14:solidFill>
                    <w14:schemeClr w14:val="tx1"/>
                  </w14:solidFill>
                </w14:textFill>
              </w:rPr>
            </w:pPr>
          </w:p>
        </w:tc>
        <w:tc>
          <w:tcPr>
            <w:tcW w:w="545" w:type="pct"/>
            <w:vMerge w:val="continue"/>
            <w:vAlign w:val="center"/>
          </w:tcPr>
          <w:p w14:paraId="037423B0">
            <w:pPr>
              <w:pStyle w:val="109"/>
              <w:rPr>
                <w:color w:val="000000" w:themeColor="text1"/>
                <w14:textFill>
                  <w14:solidFill>
                    <w14:schemeClr w14:val="tx1"/>
                  </w14:solidFill>
                </w14:textFill>
              </w:rPr>
            </w:pPr>
          </w:p>
        </w:tc>
      </w:tr>
      <w:tr w14:paraId="6B11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4" w:type="pct"/>
            <w:vAlign w:val="center"/>
          </w:tcPr>
          <w:p w14:paraId="56FBCC9C">
            <w:pPr>
              <w:pStyle w:val="109"/>
              <w:rPr>
                <w:color w:val="000000" w:themeColor="text1"/>
                <w14:textFill>
                  <w14:solidFill>
                    <w14:schemeClr w14:val="tx1"/>
                  </w14:solidFill>
                </w14:textFill>
              </w:rPr>
            </w:pPr>
            <w:r>
              <w:rPr>
                <w:color w:val="000000" w:themeColor="text1"/>
                <w14:textFill>
                  <w14:solidFill>
                    <w14:schemeClr w14:val="tx1"/>
                  </w14:solidFill>
                </w14:textFill>
              </w:rPr>
              <w:t>装置区车间</w:t>
            </w:r>
          </w:p>
        </w:tc>
        <w:tc>
          <w:tcPr>
            <w:tcW w:w="409" w:type="pct"/>
            <w:vAlign w:val="center"/>
          </w:tcPr>
          <w:p w14:paraId="14E55803">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570" w:type="pct"/>
            <w:vAlign w:val="center"/>
          </w:tcPr>
          <w:p w14:paraId="3D6E2EAD">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0.02</w:t>
            </w:r>
          </w:p>
        </w:tc>
        <w:tc>
          <w:tcPr>
            <w:tcW w:w="679" w:type="pct"/>
            <w:vAlign w:val="center"/>
          </w:tcPr>
          <w:p w14:paraId="4701768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0.18</w:t>
            </w:r>
          </w:p>
        </w:tc>
        <w:tc>
          <w:tcPr>
            <w:tcW w:w="715" w:type="pct"/>
            <w:vAlign w:val="center"/>
          </w:tcPr>
          <w:p w14:paraId="1E2D8837">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LDAR</w:t>
            </w:r>
            <w:r>
              <w:rPr>
                <w:color w:val="000000" w:themeColor="text1"/>
                <w14:textFill>
                  <w14:solidFill>
                    <w14:schemeClr w14:val="tx1"/>
                  </w14:solidFill>
                </w14:textFill>
              </w:rPr>
              <w:t>检测</w:t>
            </w:r>
          </w:p>
        </w:tc>
        <w:tc>
          <w:tcPr>
            <w:tcW w:w="535" w:type="pct"/>
            <w:vAlign w:val="center"/>
          </w:tcPr>
          <w:p w14:paraId="53CF7807">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0.02</w:t>
            </w:r>
          </w:p>
        </w:tc>
        <w:tc>
          <w:tcPr>
            <w:tcW w:w="434" w:type="pct"/>
            <w:vAlign w:val="center"/>
          </w:tcPr>
          <w:p w14:paraId="593C7A69">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0.18</w:t>
            </w:r>
          </w:p>
        </w:tc>
        <w:tc>
          <w:tcPr>
            <w:tcW w:w="639" w:type="pct"/>
            <w:vAlign w:val="center"/>
          </w:tcPr>
          <w:p w14:paraId="0030EE22">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20</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12</w:t>
            </w:r>
            <w:r>
              <w:rPr>
                <w:color w:val="000000" w:themeColor="text1"/>
                <w14:textFill>
                  <w14:solidFill>
                    <w14:schemeClr w14:val="tx1"/>
                  </w14:solidFill>
                </w14:textFill>
              </w:rPr>
              <w:t>×1</w:t>
            </w:r>
            <w:r>
              <w:rPr>
                <w:rFonts w:eastAsia="Times New Roman"/>
                <w:color w:val="000000" w:themeColor="text1"/>
                <w14:textFill>
                  <w14:solidFill>
                    <w14:schemeClr w14:val="tx1"/>
                  </w14:solidFill>
                </w14:textFill>
              </w:rPr>
              <w:t>3.2</w:t>
            </w:r>
          </w:p>
        </w:tc>
        <w:tc>
          <w:tcPr>
            <w:tcW w:w="545" w:type="pct"/>
            <w:vAlign w:val="center"/>
          </w:tcPr>
          <w:p w14:paraId="702C359D">
            <w:pPr>
              <w:pStyle w:val="109"/>
              <w:rPr>
                <w:color w:val="000000" w:themeColor="text1"/>
                <w14:textFill>
                  <w14:solidFill>
                    <w14:schemeClr w14:val="tx1"/>
                  </w14:solidFill>
                </w14:textFill>
              </w:rPr>
            </w:pPr>
            <w:r>
              <w:rPr>
                <w:color w:val="000000" w:themeColor="text1"/>
                <w14:textFill>
                  <w14:solidFill>
                    <w14:schemeClr w14:val="tx1"/>
                  </w14:solidFill>
                </w14:textFill>
              </w:rPr>
              <w:t>8000</w:t>
            </w:r>
          </w:p>
        </w:tc>
      </w:tr>
      <w:tr w14:paraId="4072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4" w:type="pct"/>
            <w:vMerge w:val="restart"/>
            <w:vAlign w:val="center"/>
          </w:tcPr>
          <w:p w14:paraId="1F84629D">
            <w:pPr>
              <w:pStyle w:val="109"/>
              <w:rPr>
                <w:rFonts w:eastAsia="Times New Roman Regular"/>
                <w:color w:val="000000" w:themeColor="text1"/>
                <w:lang w:bidi="ar"/>
                <w14:textFill>
                  <w14:solidFill>
                    <w14:schemeClr w14:val="tx1"/>
                  </w14:solidFill>
                </w14:textFill>
              </w:rPr>
            </w:pPr>
            <w:r>
              <w:rPr>
                <w:color w:val="000000" w:themeColor="text1"/>
                <w:lang w:bidi="ar"/>
                <w14:textFill>
                  <w14:solidFill>
                    <w14:schemeClr w14:val="tx1"/>
                  </w14:solidFill>
                </w14:textFill>
              </w:rPr>
              <w:t>罐区</w:t>
            </w:r>
          </w:p>
        </w:tc>
        <w:tc>
          <w:tcPr>
            <w:tcW w:w="409" w:type="pct"/>
            <w:vAlign w:val="center"/>
          </w:tcPr>
          <w:p w14:paraId="34C7DACE">
            <w:pPr>
              <w:pStyle w:val="109"/>
              <w:rPr>
                <w:rFonts w:eastAsia="Times New Roman Regular"/>
                <w:color w:val="000000" w:themeColor="text1"/>
                <w:lang w:bidi="ar"/>
                <w14:textFill>
                  <w14:solidFill>
                    <w14:schemeClr w14:val="tx1"/>
                  </w14:solidFill>
                </w14:textFill>
              </w:rPr>
            </w:pPr>
            <w:r>
              <w:rPr>
                <w:color w:val="000000" w:themeColor="text1"/>
                <w:lang w:bidi="ar"/>
                <w14:textFill>
                  <w14:solidFill>
                    <w14:schemeClr w14:val="tx1"/>
                  </w14:solidFill>
                </w14:textFill>
              </w:rPr>
              <w:t>非甲烷总烃</w:t>
            </w:r>
          </w:p>
        </w:tc>
        <w:tc>
          <w:tcPr>
            <w:tcW w:w="570" w:type="pct"/>
            <w:vAlign w:val="center"/>
          </w:tcPr>
          <w:p w14:paraId="7221EC65">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0.018</w:t>
            </w:r>
          </w:p>
        </w:tc>
        <w:tc>
          <w:tcPr>
            <w:tcW w:w="679" w:type="pct"/>
            <w:vAlign w:val="center"/>
          </w:tcPr>
          <w:p w14:paraId="1A76DD8C">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0.14</w:t>
            </w:r>
          </w:p>
        </w:tc>
        <w:tc>
          <w:tcPr>
            <w:tcW w:w="715" w:type="pct"/>
            <w:vMerge w:val="restart"/>
            <w:vAlign w:val="center"/>
          </w:tcPr>
          <w:p w14:paraId="5D1E0B44">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LDAR</w:t>
            </w:r>
            <w:r>
              <w:rPr>
                <w:color w:val="000000" w:themeColor="text1"/>
                <w:lang w:bidi="ar"/>
                <w14:textFill>
                  <w14:solidFill>
                    <w14:schemeClr w14:val="tx1"/>
                  </w14:solidFill>
                </w14:textFill>
              </w:rPr>
              <w:t>检测</w:t>
            </w:r>
          </w:p>
        </w:tc>
        <w:tc>
          <w:tcPr>
            <w:tcW w:w="535" w:type="pct"/>
            <w:vAlign w:val="center"/>
          </w:tcPr>
          <w:p w14:paraId="64A30D83">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0.018</w:t>
            </w:r>
          </w:p>
        </w:tc>
        <w:tc>
          <w:tcPr>
            <w:tcW w:w="434" w:type="pct"/>
            <w:vAlign w:val="center"/>
          </w:tcPr>
          <w:p w14:paraId="5E4A4450">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0.14</w:t>
            </w:r>
          </w:p>
        </w:tc>
        <w:tc>
          <w:tcPr>
            <w:tcW w:w="639" w:type="pct"/>
            <w:vMerge w:val="restart"/>
            <w:vAlign w:val="center"/>
          </w:tcPr>
          <w:p w14:paraId="622B9637">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102×57×16</w:t>
            </w:r>
          </w:p>
        </w:tc>
        <w:tc>
          <w:tcPr>
            <w:tcW w:w="545" w:type="pct"/>
            <w:vMerge w:val="restart"/>
            <w:vAlign w:val="center"/>
          </w:tcPr>
          <w:p w14:paraId="3D2E9E10">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8000</w:t>
            </w:r>
          </w:p>
        </w:tc>
      </w:tr>
      <w:tr w14:paraId="28D1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4" w:type="pct"/>
            <w:vMerge w:val="continue"/>
            <w:vAlign w:val="center"/>
          </w:tcPr>
          <w:p w14:paraId="07F3B8BC">
            <w:pPr>
              <w:pStyle w:val="109"/>
              <w:rPr>
                <w:rFonts w:eastAsia="Times New Roman Regular"/>
                <w:color w:val="000000" w:themeColor="text1"/>
                <w:lang w:bidi="ar"/>
                <w14:textFill>
                  <w14:solidFill>
                    <w14:schemeClr w14:val="tx1"/>
                  </w14:solidFill>
                </w14:textFill>
              </w:rPr>
            </w:pPr>
          </w:p>
        </w:tc>
        <w:tc>
          <w:tcPr>
            <w:tcW w:w="409" w:type="pct"/>
            <w:vAlign w:val="center"/>
          </w:tcPr>
          <w:p w14:paraId="2C02AF02">
            <w:pPr>
              <w:pStyle w:val="109"/>
              <w:rPr>
                <w:rFonts w:eastAsia="Times New Roman Regular"/>
                <w:color w:val="000000" w:themeColor="text1"/>
                <w:lang w:bidi="ar"/>
                <w14:textFill>
                  <w14:solidFill>
                    <w14:schemeClr w14:val="tx1"/>
                  </w14:solidFill>
                </w14:textFill>
              </w:rPr>
            </w:pPr>
            <w:r>
              <w:rPr>
                <w:color w:val="000000" w:themeColor="text1"/>
                <w:lang w:bidi="ar"/>
                <w14:textFill>
                  <w14:solidFill>
                    <w14:schemeClr w14:val="tx1"/>
                  </w14:solidFill>
                </w14:textFill>
              </w:rPr>
              <w:t>甲醇</w:t>
            </w:r>
          </w:p>
        </w:tc>
        <w:tc>
          <w:tcPr>
            <w:tcW w:w="570" w:type="pct"/>
            <w:vAlign w:val="center"/>
          </w:tcPr>
          <w:p w14:paraId="7E00A7BB">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0.005</w:t>
            </w:r>
          </w:p>
        </w:tc>
        <w:tc>
          <w:tcPr>
            <w:tcW w:w="679" w:type="pct"/>
            <w:vAlign w:val="center"/>
          </w:tcPr>
          <w:p w14:paraId="7A2FA020">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0.04</w:t>
            </w:r>
          </w:p>
        </w:tc>
        <w:tc>
          <w:tcPr>
            <w:tcW w:w="715" w:type="pct"/>
            <w:vMerge w:val="continue"/>
            <w:vAlign w:val="center"/>
          </w:tcPr>
          <w:p w14:paraId="101EDABF">
            <w:pPr>
              <w:pStyle w:val="109"/>
              <w:rPr>
                <w:rFonts w:eastAsia="Times New Roman Regular"/>
                <w:color w:val="000000" w:themeColor="text1"/>
                <w:lang w:bidi="ar"/>
                <w14:textFill>
                  <w14:solidFill>
                    <w14:schemeClr w14:val="tx1"/>
                  </w14:solidFill>
                </w14:textFill>
              </w:rPr>
            </w:pPr>
          </w:p>
        </w:tc>
        <w:tc>
          <w:tcPr>
            <w:tcW w:w="535" w:type="pct"/>
            <w:vAlign w:val="center"/>
          </w:tcPr>
          <w:p w14:paraId="0ABA9341">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0.005</w:t>
            </w:r>
          </w:p>
        </w:tc>
        <w:tc>
          <w:tcPr>
            <w:tcW w:w="434" w:type="pct"/>
            <w:vAlign w:val="center"/>
          </w:tcPr>
          <w:p w14:paraId="32AFCB21">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0.04</w:t>
            </w:r>
          </w:p>
        </w:tc>
        <w:tc>
          <w:tcPr>
            <w:tcW w:w="639" w:type="pct"/>
            <w:vMerge w:val="continue"/>
            <w:vAlign w:val="center"/>
          </w:tcPr>
          <w:p w14:paraId="1D107267">
            <w:pPr>
              <w:pStyle w:val="109"/>
              <w:rPr>
                <w:rFonts w:eastAsia="Times New Roman Regular"/>
                <w:color w:val="000000" w:themeColor="text1"/>
                <w:lang w:bidi="ar"/>
                <w14:textFill>
                  <w14:solidFill>
                    <w14:schemeClr w14:val="tx1"/>
                  </w14:solidFill>
                </w14:textFill>
              </w:rPr>
            </w:pPr>
          </w:p>
        </w:tc>
        <w:tc>
          <w:tcPr>
            <w:tcW w:w="545" w:type="pct"/>
            <w:vMerge w:val="continue"/>
            <w:vAlign w:val="center"/>
          </w:tcPr>
          <w:p w14:paraId="1B01A2DA">
            <w:pPr>
              <w:pStyle w:val="109"/>
              <w:rPr>
                <w:rFonts w:eastAsia="Times New Roman Regular"/>
                <w:color w:val="000000" w:themeColor="text1"/>
                <w:lang w:bidi="ar"/>
                <w14:textFill>
                  <w14:solidFill>
                    <w14:schemeClr w14:val="tx1"/>
                  </w14:solidFill>
                </w14:textFill>
              </w:rPr>
            </w:pPr>
          </w:p>
        </w:tc>
      </w:tr>
      <w:tr w14:paraId="353B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4" w:type="pct"/>
            <w:vMerge w:val="restart"/>
            <w:vAlign w:val="center"/>
          </w:tcPr>
          <w:p w14:paraId="7D836FA3">
            <w:pPr>
              <w:pStyle w:val="109"/>
              <w:rPr>
                <w:rFonts w:eastAsia="Times New Roman Regular"/>
                <w:color w:val="000000" w:themeColor="text1"/>
                <w:lang w:bidi="ar"/>
                <w14:textFill>
                  <w14:solidFill>
                    <w14:schemeClr w14:val="tx1"/>
                  </w14:solidFill>
                </w14:textFill>
              </w:rPr>
            </w:pPr>
            <w:r>
              <w:rPr>
                <w:color w:val="000000" w:themeColor="text1"/>
                <w:lang w:bidi="ar"/>
                <w14:textFill>
                  <w14:solidFill>
                    <w14:schemeClr w14:val="tx1"/>
                  </w14:solidFill>
                </w14:textFill>
              </w:rPr>
              <w:t>装卸区</w:t>
            </w:r>
          </w:p>
        </w:tc>
        <w:tc>
          <w:tcPr>
            <w:tcW w:w="409" w:type="pct"/>
            <w:vAlign w:val="center"/>
          </w:tcPr>
          <w:p w14:paraId="365EAF7C">
            <w:pPr>
              <w:pStyle w:val="109"/>
              <w:rPr>
                <w:rFonts w:eastAsia="Times New Roman Regular"/>
                <w:color w:val="000000" w:themeColor="text1"/>
                <w:lang w:bidi="ar"/>
                <w14:textFill>
                  <w14:solidFill>
                    <w14:schemeClr w14:val="tx1"/>
                  </w14:solidFill>
                </w14:textFill>
              </w:rPr>
            </w:pPr>
            <w:r>
              <w:rPr>
                <w:color w:val="000000" w:themeColor="text1"/>
                <w:lang w:bidi="ar"/>
                <w14:textFill>
                  <w14:solidFill>
                    <w14:schemeClr w14:val="tx1"/>
                  </w14:solidFill>
                </w14:textFill>
              </w:rPr>
              <w:t>非甲烷总烃</w:t>
            </w:r>
          </w:p>
        </w:tc>
        <w:tc>
          <w:tcPr>
            <w:tcW w:w="570" w:type="pct"/>
            <w:vAlign w:val="center"/>
          </w:tcPr>
          <w:p w14:paraId="697EF7D8">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0.02</w:t>
            </w:r>
          </w:p>
        </w:tc>
        <w:tc>
          <w:tcPr>
            <w:tcW w:w="679" w:type="pct"/>
            <w:vAlign w:val="center"/>
          </w:tcPr>
          <w:p w14:paraId="46F70477">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0.16</w:t>
            </w:r>
          </w:p>
        </w:tc>
        <w:tc>
          <w:tcPr>
            <w:tcW w:w="715" w:type="pct"/>
            <w:vMerge w:val="restart"/>
            <w:vAlign w:val="center"/>
          </w:tcPr>
          <w:p w14:paraId="0D7331C2">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LDAR</w:t>
            </w:r>
            <w:r>
              <w:rPr>
                <w:color w:val="000000" w:themeColor="text1"/>
                <w:lang w:bidi="ar"/>
                <w14:textFill>
                  <w14:solidFill>
                    <w14:schemeClr w14:val="tx1"/>
                  </w14:solidFill>
                </w14:textFill>
              </w:rPr>
              <w:t>检测</w:t>
            </w:r>
          </w:p>
        </w:tc>
        <w:tc>
          <w:tcPr>
            <w:tcW w:w="535" w:type="pct"/>
            <w:vAlign w:val="center"/>
          </w:tcPr>
          <w:p w14:paraId="1748A1DE">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0.02</w:t>
            </w:r>
          </w:p>
        </w:tc>
        <w:tc>
          <w:tcPr>
            <w:tcW w:w="434" w:type="pct"/>
            <w:vAlign w:val="center"/>
          </w:tcPr>
          <w:p w14:paraId="58767293">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0.16</w:t>
            </w:r>
          </w:p>
        </w:tc>
        <w:tc>
          <w:tcPr>
            <w:tcW w:w="639" w:type="pct"/>
            <w:vMerge w:val="restart"/>
            <w:vAlign w:val="center"/>
          </w:tcPr>
          <w:p w14:paraId="531662B1">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70×20×8.5</w:t>
            </w:r>
          </w:p>
        </w:tc>
        <w:tc>
          <w:tcPr>
            <w:tcW w:w="545" w:type="pct"/>
            <w:vMerge w:val="restart"/>
            <w:vAlign w:val="center"/>
          </w:tcPr>
          <w:p w14:paraId="1CD512B8">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8000</w:t>
            </w:r>
          </w:p>
        </w:tc>
      </w:tr>
      <w:tr w14:paraId="5862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4" w:type="pct"/>
            <w:vMerge w:val="continue"/>
            <w:vAlign w:val="center"/>
          </w:tcPr>
          <w:p w14:paraId="54CD3347">
            <w:pPr>
              <w:pStyle w:val="109"/>
              <w:rPr>
                <w:rFonts w:eastAsia="Times New Roman Regular"/>
                <w:color w:val="000000" w:themeColor="text1"/>
                <w:lang w:bidi="ar"/>
                <w14:textFill>
                  <w14:solidFill>
                    <w14:schemeClr w14:val="tx1"/>
                  </w14:solidFill>
                </w14:textFill>
              </w:rPr>
            </w:pPr>
          </w:p>
        </w:tc>
        <w:tc>
          <w:tcPr>
            <w:tcW w:w="409" w:type="pct"/>
            <w:vAlign w:val="center"/>
          </w:tcPr>
          <w:p w14:paraId="5F3500CF">
            <w:pPr>
              <w:pStyle w:val="109"/>
              <w:rPr>
                <w:rFonts w:eastAsia="Times New Roman Regular"/>
                <w:color w:val="000000" w:themeColor="text1"/>
                <w:lang w:bidi="ar"/>
                <w14:textFill>
                  <w14:solidFill>
                    <w14:schemeClr w14:val="tx1"/>
                  </w14:solidFill>
                </w14:textFill>
              </w:rPr>
            </w:pPr>
            <w:r>
              <w:rPr>
                <w:color w:val="000000" w:themeColor="text1"/>
                <w:lang w:bidi="ar"/>
                <w14:textFill>
                  <w14:solidFill>
                    <w14:schemeClr w14:val="tx1"/>
                  </w14:solidFill>
                </w14:textFill>
              </w:rPr>
              <w:t>甲醇</w:t>
            </w:r>
          </w:p>
        </w:tc>
        <w:tc>
          <w:tcPr>
            <w:tcW w:w="570" w:type="pct"/>
            <w:vAlign w:val="center"/>
          </w:tcPr>
          <w:p w14:paraId="0F6CF31F">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0.005</w:t>
            </w:r>
          </w:p>
        </w:tc>
        <w:tc>
          <w:tcPr>
            <w:tcW w:w="679" w:type="pct"/>
            <w:vAlign w:val="center"/>
          </w:tcPr>
          <w:p w14:paraId="61B7B1A5">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0.04</w:t>
            </w:r>
          </w:p>
        </w:tc>
        <w:tc>
          <w:tcPr>
            <w:tcW w:w="715" w:type="pct"/>
            <w:vMerge w:val="continue"/>
            <w:vAlign w:val="center"/>
          </w:tcPr>
          <w:p w14:paraId="5F26E86C">
            <w:pPr>
              <w:pStyle w:val="109"/>
              <w:rPr>
                <w:rFonts w:eastAsia="Times New Roman Regular"/>
                <w:color w:val="000000" w:themeColor="text1"/>
                <w:lang w:bidi="ar"/>
                <w14:textFill>
                  <w14:solidFill>
                    <w14:schemeClr w14:val="tx1"/>
                  </w14:solidFill>
                </w14:textFill>
              </w:rPr>
            </w:pPr>
          </w:p>
        </w:tc>
        <w:tc>
          <w:tcPr>
            <w:tcW w:w="535" w:type="pct"/>
            <w:vAlign w:val="center"/>
          </w:tcPr>
          <w:p w14:paraId="72AF5D22">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0.005</w:t>
            </w:r>
          </w:p>
        </w:tc>
        <w:tc>
          <w:tcPr>
            <w:tcW w:w="434" w:type="pct"/>
            <w:vAlign w:val="center"/>
          </w:tcPr>
          <w:p w14:paraId="4C94E2C1">
            <w:pPr>
              <w:pStyle w:val="109"/>
              <w:rPr>
                <w:rFonts w:eastAsia="Times New Roman Regular"/>
                <w:color w:val="000000" w:themeColor="text1"/>
                <w:lang w:bidi="ar"/>
                <w14:textFill>
                  <w14:solidFill>
                    <w14:schemeClr w14:val="tx1"/>
                  </w14:solidFill>
                </w14:textFill>
              </w:rPr>
            </w:pPr>
            <w:r>
              <w:rPr>
                <w:rFonts w:eastAsia="Times New Roman Regular"/>
                <w:color w:val="000000" w:themeColor="text1"/>
                <w:lang w:bidi="ar"/>
                <w14:textFill>
                  <w14:solidFill>
                    <w14:schemeClr w14:val="tx1"/>
                  </w14:solidFill>
                </w14:textFill>
              </w:rPr>
              <w:t>0.04</w:t>
            </w:r>
          </w:p>
        </w:tc>
        <w:tc>
          <w:tcPr>
            <w:tcW w:w="639" w:type="pct"/>
            <w:vMerge w:val="continue"/>
            <w:vAlign w:val="center"/>
          </w:tcPr>
          <w:p w14:paraId="06CBD444">
            <w:pPr>
              <w:pStyle w:val="109"/>
              <w:rPr>
                <w:rFonts w:eastAsia="Times New Roman Regular"/>
                <w:color w:val="000000" w:themeColor="text1"/>
                <w:lang w:bidi="ar"/>
                <w14:textFill>
                  <w14:solidFill>
                    <w14:schemeClr w14:val="tx1"/>
                  </w14:solidFill>
                </w14:textFill>
              </w:rPr>
            </w:pPr>
          </w:p>
        </w:tc>
        <w:tc>
          <w:tcPr>
            <w:tcW w:w="545" w:type="pct"/>
            <w:vMerge w:val="continue"/>
            <w:vAlign w:val="center"/>
          </w:tcPr>
          <w:p w14:paraId="549AF97D">
            <w:pPr>
              <w:pStyle w:val="109"/>
              <w:rPr>
                <w:rFonts w:eastAsia="Times New Roman Regular"/>
                <w:color w:val="000000" w:themeColor="text1"/>
                <w:lang w:bidi="ar"/>
                <w14:textFill>
                  <w14:solidFill>
                    <w14:schemeClr w14:val="tx1"/>
                  </w14:solidFill>
                </w14:textFill>
              </w:rPr>
            </w:pPr>
          </w:p>
        </w:tc>
      </w:tr>
    </w:tbl>
    <w:p w14:paraId="38BE8ECE">
      <w:pPr>
        <w:ind w:firstLine="480"/>
        <w:rPr>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titlePg/>
          <w:docGrid w:linePitch="286" w:charSpace="0"/>
        </w:sectPr>
      </w:pPr>
      <w:bookmarkStart w:id="220" w:name="bookmark48"/>
    </w:p>
    <w:p w14:paraId="195452A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噪声</w:t>
      </w:r>
      <w:bookmarkEnd w:id="220"/>
    </w:p>
    <w:p w14:paraId="15396476">
      <w:pPr>
        <w:ind w:firstLine="480"/>
        <w:rPr>
          <w:color w:val="000000" w:themeColor="text1"/>
          <w14:textFill>
            <w14:solidFill>
              <w14:schemeClr w14:val="tx1"/>
            </w14:solidFill>
          </w14:textFill>
        </w:rPr>
      </w:pPr>
      <w:r>
        <w:rPr>
          <w:color w:val="000000" w:themeColor="text1"/>
          <w14:textFill>
            <w14:solidFill>
              <w14:schemeClr w14:val="tx1"/>
            </w14:solidFill>
          </w14:textFill>
        </w:rPr>
        <w:t>项目运营期各类设备运行噪声主要在 85-90dB(A)之间，为各设备运行噪声，主要为室外声源，按声源位置属于固定声源，按发声形式属于点声源，按照发声时间大部分属于频发噪声，室外产噪设备经选取低噪声设备、基础减震、安装消音器柔性接头等降噪措施，可降低噪声源强10dB(A)。</w:t>
      </w:r>
    </w:p>
    <w:p w14:paraId="03E710D4">
      <w:pPr>
        <w:ind w:firstLine="480"/>
        <w:rPr>
          <w:color w:val="000000" w:themeColor="text1"/>
          <w14:textFill>
            <w14:solidFill>
              <w14:schemeClr w14:val="tx1"/>
            </w14:solidFill>
          </w14:textFill>
        </w:rPr>
      </w:pPr>
      <w:r>
        <w:rPr>
          <w:bCs/>
          <w:color w:val="000000" w:themeColor="text1"/>
          <w14:textFill>
            <w14:solidFill>
              <w14:schemeClr w14:val="tx1"/>
            </w14:solidFill>
          </w14:textFill>
        </w:rPr>
        <w:t>大功率机泵采取选用低噪声设备、基础减振等降噪措施</w:t>
      </w:r>
      <w:r>
        <w:rPr>
          <w:color w:val="000000" w:themeColor="text1"/>
          <w14:textFill>
            <w14:solidFill>
              <w14:schemeClr w14:val="tx1"/>
            </w14:solidFill>
          </w14:textFill>
        </w:rPr>
        <w:t>，根据预测分析，本项目实施后基本不会改变厂界噪声现状值，区域声环境变化不大，厂界噪声可满足</w:t>
      </w:r>
      <w:r>
        <w:rPr>
          <w:color w:val="000000" w:themeColor="text1"/>
          <w:lang w:bidi="zh-CN"/>
          <w14:textFill>
            <w14:solidFill>
              <w14:schemeClr w14:val="tx1"/>
            </w14:solidFill>
          </w14:textFill>
        </w:rPr>
        <w:t>《工业企业厂界环境噪声排放标准》（GB12348－2008）中3类标准。</w:t>
      </w:r>
    </w:p>
    <w:p w14:paraId="37E8A465">
      <w:pPr>
        <w:pStyle w:val="4"/>
        <w:rPr>
          <w:rFonts w:ascii="Times New Roman" w:cs="Times New Roman"/>
          <w:color w:val="000000" w:themeColor="text1"/>
          <w14:textFill>
            <w14:solidFill>
              <w14:schemeClr w14:val="tx1"/>
            </w14:solidFill>
          </w14:textFill>
        </w:rPr>
      </w:pPr>
      <w:bookmarkStart w:id="221" w:name="bookmark54"/>
      <w:r>
        <w:rPr>
          <w:rFonts w:ascii="Times New Roman" w:cs="Times New Roman"/>
          <w:color w:val="000000" w:themeColor="text1"/>
          <w14:textFill>
            <w14:solidFill>
              <w14:schemeClr w14:val="tx1"/>
            </w14:solidFill>
          </w14:textFill>
        </w:rPr>
        <w:t>固体废物</w:t>
      </w:r>
      <w:bookmarkEnd w:id="221"/>
    </w:p>
    <w:p w14:paraId="043CA566">
      <w:pPr>
        <w:ind w:firstLine="480"/>
        <w:rPr>
          <w:color w:val="000000" w:themeColor="text1"/>
          <w:lang w:val="zh-CN" w:bidi="zh-CN"/>
          <w14:textFill>
            <w14:solidFill>
              <w14:schemeClr w14:val="tx1"/>
            </w14:solidFill>
          </w14:textFill>
        </w:rPr>
      </w:pPr>
      <w:r>
        <w:rPr>
          <w:color w:val="000000" w:themeColor="text1"/>
          <w:lang w:bidi="zh-CN"/>
          <w14:textFill>
            <w14:solidFill>
              <w14:schemeClr w14:val="tx1"/>
            </w14:solidFill>
          </w14:textFill>
        </w:rPr>
        <w:t>（1）</w:t>
      </w:r>
      <w:r>
        <w:rPr>
          <w:color w:val="000000" w:themeColor="text1"/>
          <w:lang w:bidi="ar"/>
          <w14:textFill>
            <w14:solidFill>
              <w14:schemeClr w14:val="tx1"/>
            </w14:solidFill>
          </w14:textFill>
        </w:rPr>
        <w:t>醚化反应器废催化剂</w:t>
      </w:r>
    </w:p>
    <w:p w14:paraId="25A1E703">
      <w:pPr>
        <w:ind w:firstLine="480"/>
        <w:rPr>
          <w:color w:val="000000" w:themeColor="text1"/>
          <w:lang w:val="zh-CN" w:bidi="zh-CN"/>
          <w14:textFill>
            <w14:solidFill>
              <w14:schemeClr w14:val="tx1"/>
            </w14:solidFill>
          </w14:textFill>
        </w:rPr>
      </w:pPr>
      <w:r>
        <w:rPr>
          <w:color w:val="000000" w:themeColor="text1"/>
          <w:lang w:bidi="ar"/>
          <w14:textFill>
            <w14:solidFill>
              <w14:schemeClr w14:val="tx1"/>
            </w14:solidFill>
          </w14:textFill>
        </w:rPr>
        <w:t>在建项目醚化反应器中加入大孔强酸性离子交换树脂，作为醚化催化剂和吸附杂质。根据建设单位提供的资料，废醚化催化剂产生量为33.5t/a，主要成分为等。根据</w:t>
      </w:r>
      <w:r>
        <w:rPr>
          <w:bCs/>
          <w:snapToGrid w:val="0"/>
          <w:color w:val="000000" w:themeColor="text1"/>
          <w:lang w:bidi="ar"/>
          <w14:textFill>
            <w14:solidFill>
              <w14:schemeClr w14:val="tx1"/>
            </w14:solidFill>
          </w14:textFill>
        </w:rPr>
        <w:t>《国家危险废物名录》（2025年版），本项目</w:t>
      </w:r>
      <w:r>
        <w:rPr>
          <w:color w:val="000000" w:themeColor="text1"/>
          <w:lang w:bidi="ar"/>
          <w14:textFill>
            <w14:solidFill>
              <w14:schemeClr w14:val="tx1"/>
            </w14:solidFill>
          </w14:textFill>
        </w:rPr>
        <w:t>废醚化催化剂属于危险废物，危废类别：HW49非特定行业，危废代码：900-041-49，暂存于危废间，委托有资质单位处理。</w:t>
      </w:r>
    </w:p>
    <w:p w14:paraId="4F283754">
      <w:pPr>
        <w:ind w:firstLine="480"/>
        <w:rPr>
          <w:color w:val="000000" w:themeColor="text1"/>
          <w:lang w:val="zh-CN" w:bidi="zh-CN"/>
          <w14:textFill>
            <w14:solidFill>
              <w14:schemeClr w14:val="tx1"/>
            </w14:solidFill>
          </w14:textFill>
        </w:rPr>
      </w:pPr>
      <w:r>
        <w:rPr>
          <w:color w:val="000000" w:themeColor="text1"/>
          <w:lang w:bidi="ar"/>
          <w14:textFill>
            <w14:solidFill>
              <w14:schemeClr w14:val="tx1"/>
            </w14:solidFill>
          </w14:textFill>
        </w:rPr>
        <w:t>（2）废活性炭</w:t>
      </w:r>
    </w:p>
    <w:p w14:paraId="54DF782B">
      <w:pPr>
        <w:ind w:firstLine="480"/>
        <w:rPr>
          <w:color w:val="000000" w:themeColor="text1"/>
          <w:lang w:val="zh-CN" w:bidi="zh-CN"/>
          <w14:textFill>
            <w14:solidFill>
              <w14:schemeClr w14:val="tx1"/>
            </w14:solidFill>
          </w14:textFill>
        </w:rPr>
      </w:pPr>
      <w:r>
        <w:rPr>
          <w:color w:val="000000" w:themeColor="text1"/>
          <w:lang w:bidi="ar"/>
          <w14:textFill>
            <w14:solidFill>
              <w14:schemeClr w14:val="tx1"/>
            </w14:solidFill>
          </w14:textFill>
        </w:rPr>
        <w:t>油气回收装置产生废活性炭，有机废气产生量89.68t/a，二级冷凝和膜分离去除有机废气约96%，进入活性炭吸附装置的有机物等废气的量为2.7t/a，根据《现代涂装手册》(化学工业出版社，2010 年出版)，活性炭对有机废气的吸附量约为0.25g废气/g活性炭，故吸附2.7t/a的有机废气至少要活性炭10.8t/a。项废活性炭的产生量为10.8+2.7=13.5t/a，根据</w:t>
      </w:r>
      <w:r>
        <w:rPr>
          <w:bCs/>
          <w:snapToGrid w:val="0"/>
          <w:color w:val="000000" w:themeColor="text1"/>
          <w:lang w:bidi="ar"/>
          <w14:textFill>
            <w14:solidFill>
              <w14:schemeClr w14:val="tx1"/>
            </w14:solidFill>
          </w14:textFill>
        </w:rPr>
        <w:t>《国家危险废物名录》（2025年版），本项目</w:t>
      </w:r>
      <w:r>
        <w:rPr>
          <w:color w:val="000000" w:themeColor="text1"/>
          <w:lang w:bidi="ar"/>
          <w14:textFill>
            <w14:solidFill>
              <w14:schemeClr w14:val="tx1"/>
            </w14:solidFill>
          </w14:textFill>
        </w:rPr>
        <w:t>废活性炭属于危险废物，废物类别：HW49，废物代码：900-039-49。</w:t>
      </w:r>
      <w:r>
        <w:rPr>
          <w:bCs/>
          <w:color w:val="000000" w:themeColor="text1"/>
          <w:lang w:val="zh-CN" w:bidi="zh-CN"/>
          <w14:textFill>
            <w14:solidFill>
              <w14:schemeClr w14:val="tx1"/>
            </w14:solidFill>
          </w14:textFill>
        </w:rPr>
        <w:t>废</w:t>
      </w:r>
      <w:r>
        <w:rPr>
          <w:bCs/>
          <w:color w:val="000000" w:themeColor="text1"/>
          <w:lang w:bidi="zh-CN"/>
          <w14:textFill>
            <w14:solidFill>
              <w14:schemeClr w14:val="tx1"/>
            </w14:solidFill>
          </w14:textFill>
        </w:rPr>
        <w:t>活性炭由活性炭厂家在换新活性炭后委托</w:t>
      </w:r>
      <w:r>
        <w:rPr>
          <w:color w:val="000000" w:themeColor="text1"/>
          <w:lang w:bidi="zh-CN"/>
          <w14:textFill>
            <w14:solidFill>
              <w14:schemeClr w14:val="tx1"/>
            </w14:solidFill>
          </w14:textFill>
        </w:rPr>
        <w:t>具有相应资质的公司</w:t>
      </w:r>
      <w:r>
        <w:rPr>
          <w:bCs/>
          <w:color w:val="000000" w:themeColor="text1"/>
          <w:lang w:bidi="zh-CN"/>
          <w14:textFill>
            <w14:solidFill>
              <w14:schemeClr w14:val="tx1"/>
            </w14:solidFill>
          </w14:textFill>
        </w:rPr>
        <w:t>直接拉运至有处理资质的单位处理，</w:t>
      </w:r>
      <w:r>
        <w:rPr>
          <w:color w:val="000000" w:themeColor="text1"/>
          <w:lang w:bidi="ar"/>
          <w14:textFill>
            <w14:solidFill>
              <w14:schemeClr w14:val="tx1"/>
            </w14:solidFill>
          </w14:textFill>
        </w:rPr>
        <w:t>不在本项目厂区储存。</w:t>
      </w:r>
    </w:p>
    <w:p w14:paraId="1C11DD9E">
      <w:pPr>
        <w:ind w:firstLine="480"/>
        <w:rPr>
          <w:color w:val="000000" w:themeColor="text1"/>
          <w:lang w:val="zh-CN" w:bidi="zh-CN"/>
          <w14:textFill>
            <w14:solidFill>
              <w14:schemeClr w14:val="tx1"/>
            </w14:solidFill>
          </w14:textFill>
        </w:rPr>
      </w:pPr>
      <w:r>
        <w:rPr>
          <w:color w:val="000000" w:themeColor="text1"/>
          <w:lang w:bidi="ar"/>
          <w14:textFill>
            <w14:solidFill>
              <w14:schemeClr w14:val="tx1"/>
            </w14:solidFill>
          </w14:textFill>
        </w:rPr>
        <w:t>（3）工艺生产中废手套及劳保用品</w:t>
      </w:r>
    </w:p>
    <w:p w14:paraId="746FC1A0">
      <w:pPr>
        <w:ind w:firstLine="480"/>
        <w:rPr>
          <w:color w:val="000000" w:themeColor="text1"/>
          <w:lang w:val="zh-CN" w:bidi="zh-CN"/>
          <w14:textFill>
            <w14:solidFill>
              <w14:schemeClr w14:val="tx1"/>
            </w14:solidFill>
          </w14:textFill>
        </w:rPr>
      </w:pPr>
      <w:r>
        <w:rPr>
          <w:color w:val="000000" w:themeColor="text1"/>
          <w:lang w:bidi="ar"/>
          <w14:textFill>
            <w14:solidFill>
              <w14:schemeClr w14:val="tx1"/>
            </w14:solidFill>
          </w14:textFill>
        </w:rPr>
        <w:t>根据建设单位提供的资料，在建项目工艺生产中废手套及劳保用品产生量为0.005t/a。根据</w:t>
      </w:r>
      <w:r>
        <w:rPr>
          <w:bCs/>
          <w:snapToGrid w:val="0"/>
          <w:color w:val="000000" w:themeColor="text1"/>
          <w:lang w:bidi="ar"/>
          <w14:textFill>
            <w14:solidFill>
              <w14:schemeClr w14:val="tx1"/>
            </w14:solidFill>
          </w14:textFill>
        </w:rPr>
        <w:t>《国家危险废物名录》（2025年版），</w:t>
      </w:r>
      <w:r>
        <w:rPr>
          <w:color w:val="000000" w:themeColor="text1"/>
          <w:lang w:bidi="ar"/>
          <w14:textFill>
            <w14:solidFill>
              <w14:schemeClr w14:val="tx1"/>
            </w14:solidFill>
          </w14:textFill>
        </w:rPr>
        <w:t>工艺生产中废手套及劳保用品属于危险废物，废物类别：HW49，废物代码：900-041-49，暂存于危废间，委托有资质单位处理</w:t>
      </w:r>
      <w:r>
        <w:rPr>
          <w:rFonts w:hint="eastAsia"/>
          <w:color w:val="000000" w:themeColor="text1"/>
          <w:lang w:bidi="ar"/>
          <w14:textFill>
            <w14:solidFill>
              <w14:schemeClr w14:val="tx1"/>
            </w14:solidFill>
          </w14:textFill>
        </w:rPr>
        <w:t>。</w:t>
      </w:r>
    </w:p>
    <w:p w14:paraId="7E63FF0C">
      <w:pPr>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（4）废润滑油</w:t>
      </w:r>
    </w:p>
    <w:p w14:paraId="5D3C6D2A">
      <w:pPr>
        <w:ind w:firstLine="480"/>
        <w:rPr>
          <w:color w:val="000000" w:themeColor="text1"/>
          <w:lang w:val="zh-CN" w:bidi="zh-CN"/>
          <w14:textFill>
            <w14:solidFill>
              <w14:schemeClr w14:val="tx1"/>
            </w14:solidFill>
          </w14:textFill>
        </w:rPr>
      </w:pPr>
      <w:r>
        <w:rPr>
          <w:color w:val="000000" w:themeColor="text1"/>
          <w:lang w:bidi="ar"/>
          <w14:textFill>
            <w14:solidFill>
              <w14:schemeClr w14:val="tx1"/>
            </w14:solidFill>
          </w14:textFill>
        </w:rPr>
        <w:t>在建项目设备检维修过程中会产生废润滑油，根据建设单位提供的资料，在建项目废润滑油产生量为0.5t/a。根据</w:t>
      </w:r>
      <w:r>
        <w:rPr>
          <w:bCs/>
          <w:snapToGrid w:val="0"/>
          <w:color w:val="000000" w:themeColor="text1"/>
          <w:lang w:bidi="ar"/>
          <w14:textFill>
            <w14:solidFill>
              <w14:schemeClr w14:val="tx1"/>
            </w14:solidFill>
          </w14:textFill>
        </w:rPr>
        <w:t>《国家危险废物名录》（2025年版），</w:t>
      </w:r>
      <w:r>
        <w:rPr>
          <w:color w:val="000000" w:themeColor="text1"/>
          <w:lang w:bidi="ar"/>
          <w14:textFill>
            <w14:solidFill>
              <w14:schemeClr w14:val="tx1"/>
            </w14:solidFill>
          </w14:textFill>
        </w:rPr>
        <w:t>废润滑油属于危险废物，废物类别：HW08，废物代码：900-217-08，暂存于危废间，委托有资质单位处理。</w:t>
      </w:r>
    </w:p>
    <w:p w14:paraId="7234BD32">
      <w:pPr>
        <w:ind w:firstLine="480"/>
        <w:rPr>
          <w:color w:val="000000" w:themeColor="text1"/>
          <w:lang w:val="zh-CN" w:bidi="zh-CN"/>
          <w14:textFill>
            <w14:solidFill>
              <w14:schemeClr w14:val="tx1"/>
            </w14:solidFill>
          </w14:textFill>
        </w:rPr>
      </w:pPr>
      <w:r>
        <w:rPr>
          <w:color w:val="000000" w:themeColor="text1"/>
          <w:lang w:bidi="ar"/>
          <w14:textFill>
            <w14:solidFill>
              <w14:schemeClr w14:val="tx1"/>
            </w14:solidFill>
          </w14:textFill>
        </w:rPr>
        <w:t>（5）废润滑油桶</w:t>
      </w:r>
    </w:p>
    <w:p w14:paraId="6C4B184E">
      <w:pPr>
        <w:ind w:firstLine="480"/>
        <w:rPr>
          <w:color w:val="000000" w:themeColor="text1"/>
          <w:lang w:bidi="zh-CN"/>
          <w14:textFill>
            <w14:solidFill>
              <w14:schemeClr w14:val="tx1"/>
            </w14:solidFill>
          </w14:textFill>
        </w:rPr>
      </w:pPr>
      <w:r>
        <w:rPr>
          <w:color w:val="000000" w:themeColor="text1"/>
          <w:lang w:bidi="ar"/>
          <w14:textFill>
            <w14:solidFill>
              <w14:schemeClr w14:val="tx1"/>
            </w14:solidFill>
          </w14:textFill>
        </w:rPr>
        <w:t>在建项目设备检维修过程中会产生废润滑油桶，根据建设单位提供的资料，在建项目废润滑油桶产生量为0.25t/a。根据</w:t>
      </w:r>
      <w:r>
        <w:rPr>
          <w:bCs/>
          <w:snapToGrid w:val="0"/>
          <w:color w:val="000000" w:themeColor="text1"/>
          <w:lang w:bidi="ar"/>
          <w14:textFill>
            <w14:solidFill>
              <w14:schemeClr w14:val="tx1"/>
            </w14:solidFill>
          </w14:textFill>
        </w:rPr>
        <w:t>《国家危险废物名录》（2025年版），本项目</w:t>
      </w:r>
      <w:r>
        <w:rPr>
          <w:color w:val="000000" w:themeColor="text1"/>
          <w:lang w:bidi="ar"/>
          <w14:textFill>
            <w14:solidFill>
              <w14:schemeClr w14:val="tx1"/>
            </w14:solidFill>
          </w14:textFill>
        </w:rPr>
        <w:t>废润滑油桶属于危险废物，危废类别：HW49非特定行业，危废代码：900-041-49，暂存于危废间，委托有资质单位处理。</w:t>
      </w:r>
    </w:p>
    <w:p w14:paraId="17F04CF8">
      <w:pPr>
        <w:kinsoku w:val="0"/>
        <w:overflowPunct w:val="0"/>
        <w:ind w:firstLine="480"/>
        <w:jc w:val="both"/>
        <w:rPr>
          <w:color w:val="000000" w:themeColor="text1"/>
          <w:lang w:bidi="zh-CN"/>
          <w14:textFill>
            <w14:solidFill>
              <w14:schemeClr w14:val="tx1"/>
            </w14:solidFill>
          </w14:textFill>
        </w:rPr>
      </w:pPr>
      <w:r>
        <w:rPr>
          <w:color w:val="000000" w:themeColor="text1"/>
          <w:lang w:bidi="zh-CN"/>
          <w14:textFill>
            <w14:solidFill>
              <w14:schemeClr w14:val="tx1"/>
            </w14:solidFill>
          </w14:textFill>
        </w:rPr>
        <w:t>（5）生活垃圾</w:t>
      </w:r>
    </w:p>
    <w:p w14:paraId="78C57778">
      <w:pPr>
        <w:kinsoku w:val="0"/>
        <w:overflowPunct w:val="0"/>
        <w:ind w:firstLine="480"/>
        <w:jc w:val="both"/>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本项目劳动定员25人，年正常生产333天，每人每天的生活垃圾产生量为0.5kg，则本项目生活垃圾的产生量为4.16t/a，经集中收集后送生活垃圾填埋场填埋。</w:t>
      </w:r>
    </w:p>
    <w:p w14:paraId="4A852B55">
      <w:pPr>
        <w:pStyle w:val="207"/>
        <w:ind w:firstLine="496"/>
        <w:rPr>
          <w:rFonts w:ascii="Times New Roman" w:hAnsi="Times New Roman"/>
          <w:snapToGrid w:val="0"/>
          <w:color w:val="000000" w:themeColor="text1"/>
          <w14:textFill>
            <w14:solidFill>
              <w14:schemeClr w14:val="tx1"/>
            </w14:solidFill>
          </w14:textFill>
        </w:rPr>
      </w:pPr>
      <w:r>
        <w:rPr>
          <w:rFonts w:ascii="Times New Roman" w:hAnsi="Times New Roman"/>
          <w:color w:val="000000" w:themeColor="text1"/>
          <w:lang w:bidi="zh-CN"/>
          <w14:textFill>
            <w14:solidFill>
              <w14:schemeClr w14:val="tx1"/>
            </w14:solidFill>
          </w14:textFill>
        </w:rPr>
        <w:t>本项目</w:t>
      </w:r>
      <w:r>
        <w:rPr>
          <w:rFonts w:ascii="Times New Roman" w:hAnsi="Times New Roman"/>
          <w:color w:val="000000" w:themeColor="text1"/>
          <w14:textFill>
            <w14:solidFill>
              <w14:schemeClr w14:val="tx1"/>
            </w14:solidFill>
          </w14:textFill>
        </w:rPr>
        <w:t>依托新疆华瑞化工技术有限公司年产30万吨食品级液体二氧化碳项目20m</w:t>
      </w:r>
      <w:r>
        <w:rPr>
          <w:rFonts w:ascii="Times New Roman" w:hAnsi="Times New Roman"/>
          <w:color w:val="000000" w:themeColor="text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危废暂存间，</w:t>
      </w:r>
      <w:r>
        <w:rPr>
          <w:rFonts w:ascii="Times New Roman" w:hAnsi="Times New Roman"/>
          <w:color w:val="000000" w:themeColor="text1"/>
          <w:lang w:bidi="zh-CN"/>
          <w14:textFill>
            <w14:solidFill>
              <w14:schemeClr w14:val="tx1"/>
            </w14:solidFill>
          </w14:textFill>
        </w:rPr>
        <w:t>用于废催化剂、废润滑油等危险废物的暂存，各区之间由隔挡设置，将不同种类的危废分开存放。厂内危废暂存周期原则不超过一个月。</w:t>
      </w:r>
    </w:p>
    <w:p w14:paraId="71DC35B7">
      <w:pPr>
        <w:pStyle w:val="207"/>
        <w:ind w:firstLine="496"/>
        <w:rPr>
          <w:rFonts w:ascii="Times New Roman" w:hAnsi="Times New Roman"/>
          <w:snapToGrid w:val="0"/>
          <w:color w:val="000000" w:themeColor="text1"/>
          <w14:textFill>
            <w14:solidFill>
              <w14:schemeClr w14:val="tx1"/>
            </w14:solidFill>
          </w14:textFill>
        </w:rPr>
      </w:pPr>
      <w:r>
        <w:rPr>
          <w:rFonts w:ascii="Times New Roman" w:hAnsi="Times New Roman"/>
          <w:snapToGrid w:val="0"/>
          <w:color w:val="000000" w:themeColor="text1"/>
          <w14:textFill>
            <w14:solidFill>
              <w14:schemeClr w14:val="tx1"/>
            </w14:solidFill>
          </w14:textFill>
        </w:rPr>
        <w:t>本项目固体废物统计见</w:t>
      </w:r>
      <w:r>
        <w:rPr>
          <w:rFonts w:hint="eastAsia" w:ascii="Times New Roman" w:hAnsi="Times New Roman"/>
          <w:snapToGrid w:val="0"/>
          <w:color w:val="000000" w:themeColor="text1"/>
          <w14:textFill>
            <w14:solidFill>
              <w14:schemeClr w14:val="tx1"/>
            </w14:solidFill>
          </w14:textFill>
        </w:rPr>
        <w:t>下表</w:t>
      </w:r>
      <w:r>
        <w:rPr>
          <w:rFonts w:ascii="Times New Roman" w:hAnsi="Times New Roman"/>
          <w:snapToGrid w:val="0"/>
          <w:color w:val="000000" w:themeColor="text1"/>
          <w14:textFill>
            <w14:solidFill>
              <w14:schemeClr w14:val="tx1"/>
            </w14:solidFill>
          </w14:textFill>
        </w:rPr>
        <w:t>。</w:t>
      </w:r>
    </w:p>
    <w:p w14:paraId="2805A584">
      <w:pPr>
        <w:pStyle w:val="117"/>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固体废物统计一览表</w:t>
      </w:r>
    </w:p>
    <w:tbl>
      <w:tblPr>
        <w:tblStyle w:val="76"/>
        <w:tblW w:w="9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3"/>
        <w:gridCol w:w="1610"/>
        <w:gridCol w:w="1132"/>
        <w:gridCol w:w="1140"/>
        <w:gridCol w:w="729"/>
        <w:gridCol w:w="537"/>
        <w:gridCol w:w="852"/>
        <w:gridCol w:w="684"/>
        <w:gridCol w:w="1212"/>
        <w:gridCol w:w="729"/>
      </w:tblGrid>
      <w:tr w14:paraId="2B74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7BAB927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污染源</w:t>
            </w:r>
          </w:p>
        </w:tc>
        <w:tc>
          <w:tcPr>
            <w:tcW w:w="1610" w:type="dxa"/>
            <w:vAlign w:val="center"/>
          </w:tcPr>
          <w:p w14:paraId="001FC7F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固废名称</w:t>
            </w:r>
          </w:p>
        </w:tc>
        <w:tc>
          <w:tcPr>
            <w:tcW w:w="0" w:type="auto"/>
            <w:vAlign w:val="center"/>
          </w:tcPr>
          <w:p w14:paraId="5E4605D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固废属性</w:t>
            </w:r>
          </w:p>
        </w:tc>
        <w:tc>
          <w:tcPr>
            <w:tcW w:w="1140" w:type="dxa"/>
            <w:vAlign w:val="center"/>
          </w:tcPr>
          <w:p w14:paraId="2860581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废物代码</w:t>
            </w:r>
          </w:p>
        </w:tc>
        <w:tc>
          <w:tcPr>
            <w:tcW w:w="0" w:type="auto"/>
            <w:vAlign w:val="center"/>
          </w:tcPr>
          <w:p w14:paraId="13216AE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产生量t/a</w:t>
            </w:r>
          </w:p>
        </w:tc>
        <w:tc>
          <w:tcPr>
            <w:tcW w:w="537" w:type="dxa"/>
            <w:vAlign w:val="center"/>
          </w:tcPr>
          <w:p w14:paraId="040E673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形态</w:t>
            </w:r>
          </w:p>
        </w:tc>
        <w:tc>
          <w:tcPr>
            <w:tcW w:w="0" w:type="auto"/>
            <w:vAlign w:val="center"/>
          </w:tcPr>
          <w:p w14:paraId="3799D61C">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主要成分</w:t>
            </w:r>
          </w:p>
        </w:tc>
        <w:tc>
          <w:tcPr>
            <w:tcW w:w="0" w:type="auto"/>
            <w:vAlign w:val="center"/>
          </w:tcPr>
          <w:p w14:paraId="23B7CE0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有害类别</w:t>
            </w:r>
          </w:p>
        </w:tc>
        <w:tc>
          <w:tcPr>
            <w:tcW w:w="1212" w:type="dxa"/>
            <w:vAlign w:val="center"/>
          </w:tcPr>
          <w:p w14:paraId="5D68DFC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处置措施</w:t>
            </w:r>
          </w:p>
          <w:p w14:paraId="1B5DB65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及去向</w:t>
            </w:r>
          </w:p>
        </w:tc>
        <w:tc>
          <w:tcPr>
            <w:tcW w:w="0" w:type="auto"/>
            <w:vAlign w:val="center"/>
          </w:tcPr>
          <w:p w14:paraId="7528709B">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处置量t/a</w:t>
            </w:r>
          </w:p>
        </w:tc>
      </w:tr>
      <w:tr w14:paraId="56BD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3D784AC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醚化反应器</w:t>
            </w:r>
          </w:p>
        </w:tc>
        <w:tc>
          <w:tcPr>
            <w:tcW w:w="1610" w:type="dxa"/>
            <w:vAlign w:val="center"/>
          </w:tcPr>
          <w:p w14:paraId="4ADA9AC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废醚化催化剂</w:t>
            </w:r>
          </w:p>
        </w:tc>
        <w:tc>
          <w:tcPr>
            <w:tcW w:w="0" w:type="auto"/>
            <w:vAlign w:val="center"/>
          </w:tcPr>
          <w:p w14:paraId="3F6F906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危险废物HW49</w:t>
            </w:r>
          </w:p>
        </w:tc>
        <w:tc>
          <w:tcPr>
            <w:tcW w:w="1140" w:type="dxa"/>
            <w:vAlign w:val="center"/>
          </w:tcPr>
          <w:p w14:paraId="36032199">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900-041-49</w:t>
            </w:r>
          </w:p>
        </w:tc>
        <w:tc>
          <w:tcPr>
            <w:tcW w:w="0" w:type="auto"/>
            <w:vAlign w:val="center"/>
          </w:tcPr>
          <w:p w14:paraId="312CB92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33.5</w:t>
            </w:r>
          </w:p>
        </w:tc>
        <w:tc>
          <w:tcPr>
            <w:tcW w:w="537" w:type="dxa"/>
            <w:vAlign w:val="center"/>
          </w:tcPr>
          <w:p w14:paraId="1BC9084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固体</w:t>
            </w:r>
          </w:p>
        </w:tc>
        <w:tc>
          <w:tcPr>
            <w:tcW w:w="0" w:type="auto"/>
            <w:vAlign w:val="center"/>
          </w:tcPr>
          <w:p w14:paraId="0A50761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石油类</w:t>
            </w:r>
          </w:p>
        </w:tc>
        <w:tc>
          <w:tcPr>
            <w:tcW w:w="0" w:type="auto"/>
            <w:vAlign w:val="center"/>
          </w:tcPr>
          <w:p w14:paraId="4BCE734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w:t>
            </w:r>
          </w:p>
        </w:tc>
        <w:tc>
          <w:tcPr>
            <w:tcW w:w="1212" w:type="dxa"/>
            <w:vMerge w:val="restart"/>
            <w:vAlign w:val="center"/>
          </w:tcPr>
          <w:p w14:paraId="4A29ED8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委托有处理资质单位处置</w:t>
            </w:r>
          </w:p>
        </w:tc>
        <w:tc>
          <w:tcPr>
            <w:tcW w:w="0" w:type="auto"/>
            <w:vAlign w:val="center"/>
          </w:tcPr>
          <w:p w14:paraId="4589E906">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33.5</w:t>
            </w:r>
          </w:p>
        </w:tc>
      </w:tr>
      <w:tr w14:paraId="5E32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3A0A4BC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油气回收装置</w:t>
            </w:r>
          </w:p>
        </w:tc>
        <w:tc>
          <w:tcPr>
            <w:tcW w:w="1610" w:type="dxa"/>
            <w:vAlign w:val="center"/>
          </w:tcPr>
          <w:p w14:paraId="380AC6A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废活性炭</w:t>
            </w:r>
          </w:p>
        </w:tc>
        <w:tc>
          <w:tcPr>
            <w:tcW w:w="0" w:type="auto"/>
            <w:vAlign w:val="center"/>
          </w:tcPr>
          <w:p w14:paraId="10748E1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危险废物HW49</w:t>
            </w:r>
          </w:p>
        </w:tc>
        <w:tc>
          <w:tcPr>
            <w:tcW w:w="1140" w:type="dxa"/>
            <w:vAlign w:val="center"/>
          </w:tcPr>
          <w:p w14:paraId="627C3836">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900-039-49</w:t>
            </w:r>
          </w:p>
        </w:tc>
        <w:tc>
          <w:tcPr>
            <w:tcW w:w="0" w:type="auto"/>
            <w:vAlign w:val="center"/>
          </w:tcPr>
          <w:p w14:paraId="5285555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13.5</w:t>
            </w:r>
          </w:p>
        </w:tc>
        <w:tc>
          <w:tcPr>
            <w:tcW w:w="537" w:type="dxa"/>
            <w:vAlign w:val="center"/>
          </w:tcPr>
          <w:p w14:paraId="6028EA9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固体</w:t>
            </w:r>
          </w:p>
        </w:tc>
        <w:tc>
          <w:tcPr>
            <w:tcW w:w="0" w:type="auto"/>
            <w:vAlign w:val="center"/>
          </w:tcPr>
          <w:p w14:paraId="1CBD5F5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石油类、炭</w:t>
            </w:r>
          </w:p>
        </w:tc>
        <w:tc>
          <w:tcPr>
            <w:tcW w:w="0" w:type="auto"/>
            <w:vAlign w:val="center"/>
          </w:tcPr>
          <w:p w14:paraId="27FFE32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w:t>
            </w:r>
          </w:p>
        </w:tc>
        <w:tc>
          <w:tcPr>
            <w:tcW w:w="1212" w:type="dxa"/>
            <w:vMerge w:val="continue"/>
            <w:vAlign w:val="center"/>
          </w:tcPr>
          <w:p w14:paraId="1EB91DE4">
            <w:pPr>
              <w:pStyle w:val="109"/>
              <w:rPr>
                <w:color w:val="000000" w:themeColor="text1"/>
                <w14:textFill>
                  <w14:solidFill>
                    <w14:schemeClr w14:val="tx1"/>
                  </w14:solidFill>
                </w14:textFill>
              </w:rPr>
            </w:pPr>
          </w:p>
        </w:tc>
        <w:tc>
          <w:tcPr>
            <w:tcW w:w="0" w:type="auto"/>
            <w:vAlign w:val="center"/>
          </w:tcPr>
          <w:p w14:paraId="3EBC707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13.5</w:t>
            </w:r>
          </w:p>
        </w:tc>
      </w:tr>
      <w:tr w14:paraId="0A7D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56C6B5C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生产</w:t>
            </w:r>
          </w:p>
        </w:tc>
        <w:tc>
          <w:tcPr>
            <w:tcW w:w="1610" w:type="dxa"/>
            <w:vAlign w:val="center"/>
          </w:tcPr>
          <w:p w14:paraId="203868D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工艺生产中废手套及劳保用品</w:t>
            </w:r>
          </w:p>
        </w:tc>
        <w:tc>
          <w:tcPr>
            <w:tcW w:w="0" w:type="auto"/>
            <w:vAlign w:val="center"/>
          </w:tcPr>
          <w:p w14:paraId="2F1BAA65">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危险废物HW49</w:t>
            </w:r>
          </w:p>
        </w:tc>
        <w:tc>
          <w:tcPr>
            <w:tcW w:w="1140" w:type="dxa"/>
            <w:vAlign w:val="center"/>
          </w:tcPr>
          <w:p w14:paraId="5364C2C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900-041-49</w:t>
            </w:r>
          </w:p>
        </w:tc>
        <w:tc>
          <w:tcPr>
            <w:tcW w:w="0" w:type="auto"/>
            <w:vAlign w:val="center"/>
          </w:tcPr>
          <w:p w14:paraId="5B9211B5">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0.005</w:t>
            </w:r>
          </w:p>
        </w:tc>
        <w:tc>
          <w:tcPr>
            <w:tcW w:w="537" w:type="dxa"/>
            <w:vAlign w:val="center"/>
          </w:tcPr>
          <w:p w14:paraId="0DBE216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固体</w:t>
            </w:r>
          </w:p>
        </w:tc>
        <w:tc>
          <w:tcPr>
            <w:tcW w:w="0" w:type="auto"/>
            <w:vAlign w:val="center"/>
          </w:tcPr>
          <w:p w14:paraId="52150FD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石油类</w:t>
            </w:r>
          </w:p>
        </w:tc>
        <w:tc>
          <w:tcPr>
            <w:tcW w:w="0" w:type="auto"/>
            <w:vAlign w:val="center"/>
          </w:tcPr>
          <w:p w14:paraId="0D0C87C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w:t>
            </w:r>
          </w:p>
        </w:tc>
        <w:tc>
          <w:tcPr>
            <w:tcW w:w="1212" w:type="dxa"/>
            <w:vMerge w:val="continue"/>
            <w:vAlign w:val="center"/>
          </w:tcPr>
          <w:p w14:paraId="34C11E94">
            <w:pPr>
              <w:pStyle w:val="109"/>
              <w:rPr>
                <w:color w:val="000000" w:themeColor="text1"/>
                <w14:textFill>
                  <w14:solidFill>
                    <w14:schemeClr w14:val="tx1"/>
                  </w14:solidFill>
                </w14:textFill>
              </w:rPr>
            </w:pPr>
          </w:p>
        </w:tc>
        <w:tc>
          <w:tcPr>
            <w:tcW w:w="0" w:type="auto"/>
            <w:vAlign w:val="center"/>
          </w:tcPr>
          <w:p w14:paraId="6FBEEC5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0.005</w:t>
            </w:r>
          </w:p>
        </w:tc>
      </w:tr>
      <w:tr w14:paraId="0B7C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0320828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维修车间</w:t>
            </w:r>
          </w:p>
        </w:tc>
        <w:tc>
          <w:tcPr>
            <w:tcW w:w="1610" w:type="dxa"/>
            <w:vAlign w:val="center"/>
          </w:tcPr>
          <w:p w14:paraId="113B840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废润滑油</w:t>
            </w:r>
          </w:p>
        </w:tc>
        <w:tc>
          <w:tcPr>
            <w:tcW w:w="0" w:type="auto"/>
            <w:vAlign w:val="center"/>
          </w:tcPr>
          <w:p w14:paraId="3345C3D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危险废物HW08</w:t>
            </w:r>
          </w:p>
        </w:tc>
        <w:tc>
          <w:tcPr>
            <w:tcW w:w="1140" w:type="dxa"/>
            <w:vAlign w:val="center"/>
          </w:tcPr>
          <w:p w14:paraId="1677B74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900-217-08</w:t>
            </w:r>
          </w:p>
        </w:tc>
        <w:tc>
          <w:tcPr>
            <w:tcW w:w="0" w:type="auto"/>
            <w:vAlign w:val="center"/>
          </w:tcPr>
          <w:p w14:paraId="09BFB96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0.5</w:t>
            </w:r>
          </w:p>
        </w:tc>
        <w:tc>
          <w:tcPr>
            <w:tcW w:w="537" w:type="dxa"/>
            <w:vAlign w:val="center"/>
          </w:tcPr>
          <w:p w14:paraId="1B3943C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液态</w:t>
            </w:r>
          </w:p>
        </w:tc>
        <w:tc>
          <w:tcPr>
            <w:tcW w:w="0" w:type="auto"/>
            <w:vAlign w:val="center"/>
          </w:tcPr>
          <w:p w14:paraId="7EE9A6B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废矿物油</w:t>
            </w:r>
          </w:p>
        </w:tc>
        <w:tc>
          <w:tcPr>
            <w:tcW w:w="0" w:type="auto"/>
            <w:vAlign w:val="center"/>
          </w:tcPr>
          <w:p w14:paraId="64AEC07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T，I</w:t>
            </w:r>
          </w:p>
        </w:tc>
        <w:tc>
          <w:tcPr>
            <w:tcW w:w="1212" w:type="dxa"/>
            <w:vMerge w:val="continue"/>
            <w:vAlign w:val="center"/>
          </w:tcPr>
          <w:p w14:paraId="1F1B1975">
            <w:pPr>
              <w:pStyle w:val="109"/>
              <w:rPr>
                <w:color w:val="000000" w:themeColor="text1"/>
                <w14:textFill>
                  <w14:solidFill>
                    <w14:schemeClr w14:val="tx1"/>
                  </w14:solidFill>
                </w14:textFill>
              </w:rPr>
            </w:pPr>
          </w:p>
        </w:tc>
        <w:tc>
          <w:tcPr>
            <w:tcW w:w="0" w:type="auto"/>
            <w:vAlign w:val="center"/>
          </w:tcPr>
          <w:p w14:paraId="6DAC711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0.5</w:t>
            </w:r>
          </w:p>
        </w:tc>
      </w:tr>
      <w:tr w14:paraId="1671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482DE41E">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维修车间</w:t>
            </w:r>
          </w:p>
        </w:tc>
        <w:tc>
          <w:tcPr>
            <w:tcW w:w="1610" w:type="dxa"/>
            <w:vAlign w:val="center"/>
          </w:tcPr>
          <w:p w14:paraId="23952F5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废润滑油桶</w:t>
            </w:r>
          </w:p>
        </w:tc>
        <w:tc>
          <w:tcPr>
            <w:tcW w:w="0" w:type="auto"/>
            <w:vAlign w:val="center"/>
          </w:tcPr>
          <w:p w14:paraId="2D46BBC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危险废物HW49</w:t>
            </w:r>
          </w:p>
        </w:tc>
        <w:tc>
          <w:tcPr>
            <w:tcW w:w="1140" w:type="dxa"/>
            <w:vAlign w:val="center"/>
          </w:tcPr>
          <w:p w14:paraId="0D9FB072">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900-041-49</w:t>
            </w:r>
          </w:p>
        </w:tc>
        <w:tc>
          <w:tcPr>
            <w:tcW w:w="0" w:type="auto"/>
            <w:vAlign w:val="center"/>
          </w:tcPr>
          <w:p w14:paraId="4240BA6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0.25</w:t>
            </w:r>
          </w:p>
        </w:tc>
        <w:tc>
          <w:tcPr>
            <w:tcW w:w="537" w:type="dxa"/>
            <w:vAlign w:val="center"/>
          </w:tcPr>
          <w:p w14:paraId="483B51E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固体</w:t>
            </w:r>
          </w:p>
        </w:tc>
        <w:tc>
          <w:tcPr>
            <w:tcW w:w="0" w:type="auto"/>
            <w:vAlign w:val="center"/>
          </w:tcPr>
          <w:p w14:paraId="26C251B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废矿物油</w:t>
            </w:r>
          </w:p>
        </w:tc>
        <w:tc>
          <w:tcPr>
            <w:tcW w:w="0" w:type="auto"/>
            <w:vAlign w:val="center"/>
          </w:tcPr>
          <w:p w14:paraId="07C53C1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T</w:t>
            </w:r>
          </w:p>
        </w:tc>
        <w:tc>
          <w:tcPr>
            <w:tcW w:w="1212" w:type="dxa"/>
            <w:vMerge w:val="continue"/>
            <w:vAlign w:val="center"/>
          </w:tcPr>
          <w:p w14:paraId="349FD038">
            <w:pPr>
              <w:pStyle w:val="109"/>
              <w:rPr>
                <w:color w:val="000000" w:themeColor="text1"/>
                <w14:textFill>
                  <w14:solidFill>
                    <w14:schemeClr w14:val="tx1"/>
                  </w14:solidFill>
                </w14:textFill>
              </w:rPr>
            </w:pPr>
          </w:p>
        </w:tc>
        <w:tc>
          <w:tcPr>
            <w:tcW w:w="0" w:type="auto"/>
            <w:vAlign w:val="center"/>
          </w:tcPr>
          <w:p w14:paraId="7203CA3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0.25</w:t>
            </w:r>
          </w:p>
        </w:tc>
      </w:tr>
      <w:tr w14:paraId="6871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158736A6">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生活垃圾</w:t>
            </w:r>
          </w:p>
        </w:tc>
        <w:tc>
          <w:tcPr>
            <w:tcW w:w="1610" w:type="dxa"/>
            <w:vAlign w:val="center"/>
          </w:tcPr>
          <w:p w14:paraId="7F483FA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生活垃圾</w:t>
            </w:r>
          </w:p>
        </w:tc>
        <w:tc>
          <w:tcPr>
            <w:tcW w:w="0" w:type="auto"/>
            <w:vAlign w:val="center"/>
          </w:tcPr>
          <w:p w14:paraId="11BE5F68">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w:t>
            </w:r>
          </w:p>
        </w:tc>
        <w:tc>
          <w:tcPr>
            <w:tcW w:w="1140" w:type="dxa"/>
            <w:vAlign w:val="center"/>
          </w:tcPr>
          <w:p w14:paraId="4F5ED0C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900-099-S64</w:t>
            </w:r>
          </w:p>
        </w:tc>
        <w:tc>
          <w:tcPr>
            <w:tcW w:w="0" w:type="auto"/>
            <w:vAlign w:val="center"/>
          </w:tcPr>
          <w:p w14:paraId="037B49E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4.16</w:t>
            </w:r>
          </w:p>
        </w:tc>
        <w:tc>
          <w:tcPr>
            <w:tcW w:w="537" w:type="dxa"/>
            <w:vAlign w:val="center"/>
          </w:tcPr>
          <w:p w14:paraId="2BCE782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固体</w:t>
            </w:r>
          </w:p>
        </w:tc>
        <w:tc>
          <w:tcPr>
            <w:tcW w:w="0" w:type="auto"/>
            <w:vAlign w:val="center"/>
          </w:tcPr>
          <w:p w14:paraId="2AE3950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生活垃圾</w:t>
            </w:r>
          </w:p>
        </w:tc>
        <w:tc>
          <w:tcPr>
            <w:tcW w:w="0" w:type="auto"/>
            <w:vAlign w:val="center"/>
          </w:tcPr>
          <w:p w14:paraId="77DA18B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w:t>
            </w:r>
          </w:p>
        </w:tc>
        <w:tc>
          <w:tcPr>
            <w:tcW w:w="1212" w:type="dxa"/>
            <w:vAlign w:val="center"/>
          </w:tcPr>
          <w:p w14:paraId="04F3347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园区环卫部门定期清运</w:t>
            </w:r>
          </w:p>
        </w:tc>
        <w:tc>
          <w:tcPr>
            <w:tcW w:w="0" w:type="auto"/>
            <w:vAlign w:val="center"/>
          </w:tcPr>
          <w:p w14:paraId="0131A41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4.16</w:t>
            </w:r>
          </w:p>
        </w:tc>
      </w:tr>
    </w:tbl>
    <w:p w14:paraId="1FEBA400">
      <w:pPr>
        <w:pStyle w:val="3"/>
        <w:rPr>
          <w:rFonts w:ascii="Times New Roman" w:cs="Times New Roman"/>
          <w:color w:val="000000" w:themeColor="text1"/>
          <w14:textFill>
            <w14:solidFill>
              <w14:schemeClr w14:val="tx1"/>
            </w14:solidFill>
          </w14:textFill>
        </w:rPr>
      </w:pPr>
      <w:bookmarkStart w:id="222" w:name="_Toc225268290"/>
      <w:r>
        <w:rPr>
          <w:rFonts w:ascii="Times New Roman" w:cs="Times New Roman"/>
          <w:color w:val="000000" w:themeColor="text1"/>
          <w14:textFill>
            <w14:solidFill>
              <w14:schemeClr w14:val="tx1"/>
            </w14:solidFill>
          </w14:textFill>
        </w:rPr>
        <w:t>在建项目污染物排放汇总</w:t>
      </w:r>
      <w:bookmarkEnd w:id="222"/>
    </w:p>
    <w:p w14:paraId="3907549E">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项目全厂“三废” 及污染物排放量见</w:t>
      </w:r>
      <w:r>
        <w:rPr>
          <w:rFonts w:hint="eastAsia" w:ascii="Times New Roman" w:hAnsi="Times New Roman"/>
          <w:color w:val="000000" w:themeColor="text1"/>
          <w14:textFill>
            <w14:solidFill>
              <w14:schemeClr w14:val="tx1"/>
            </w14:solidFill>
          </w14:textFill>
        </w:rPr>
        <w:t>下表</w:t>
      </w:r>
      <w:r>
        <w:rPr>
          <w:rFonts w:ascii="Times New Roman" w:hAnsi="Times New Roman"/>
          <w:color w:val="000000" w:themeColor="text1"/>
          <w14:textFill>
            <w14:solidFill>
              <w14:schemeClr w14:val="tx1"/>
            </w14:solidFill>
          </w14:textFill>
        </w:rPr>
        <w:t>。</w:t>
      </w:r>
    </w:p>
    <w:p w14:paraId="69460BE9">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项目“三废”排放一览表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0"/>
        <w:gridCol w:w="2375"/>
        <w:gridCol w:w="1830"/>
        <w:gridCol w:w="1836"/>
        <w:gridCol w:w="1825"/>
      </w:tblGrid>
      <w:tr w14:paraId="2337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tcMar>
              <w:left w:w="0" w:type="dxa"/>
              <w:right w:w="0" w:type="dxa"/>
            </w:tcMar>
            <w:vAlign w:val="center"/>
          </w:tcPr>
          <w:p w14:paraId="3F43D3AB">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类别</w:t>
            </w:r>
          </w:p>
        </w:tc>
        <w:tc>
          <w:tcPr>
            <w:tcW w:w="1261" w:type="pct"/>
            <w:vAlign w:val="center"/>
          </w:tcPr>
          <w:p w14:paraId="281C21C9">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污染物</w:t>
            </w:r>
          </w:p>
        </w:tc>
        <w:tc>
          <w:tcPr>
            <w:tcW w:w="972" w:type="pct"/>
            <w:vAlign w:val="center"/>
          </w:tcPr>
          <w:p w14:paraId="5A48ED9D">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产生量(t/a)</w:t>
            </w:r>
          </w:p>
        </w:tc>
        <w:tc>
          <w:tcPr>
            <w:tcW w:w="975" w:type="pct"/>
            <w:vAlign w:val="center"/>
          </w:tcPr>
          <w:p w14:paraId="3AD098D2">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削减量(t/a)</w:t>
            </w:r>
          </w:p>
        </w:tc>
        <w:tc>
          <w:tcPr>
            <w:tcW w:w="969" w:type="pct"/>
            <w:vAlign w:val="center"/>
          </w:tcPr>
          <w:p w14:paraId="6F8382A2">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排放量(t/a)</w:t>
            </w:r>
          </w:p>
        </w:tc>
      </w:tr>
      <w:tr w14:paraId="2F87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restart"/>
            <w:tcMar>
              <w:left w:w="0" w:type="dxa"/>
              <w:right w:w="0" w:type="dxa"/>
            </w:tcMar>
            <w:vAlign w:val="center"/>
          </w:tcPr>
          <w:p w14:paraId="213400DF">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废水污染物</w:t>
            </w:r>
          </w:p>
        </w:tc>
        <w:tc>
          <w:tcPr>
            <w:tcW w:w="1261" w:type="pct"/>
            <w:vAlign w:val="center"/>
          </w:tcPr>
          <w:p w14:paraId="631221B5">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废水量</w:t>
            </w:r>
          </w:p>
        </w:tc>
        <w:tc>
          <w:tcPr>
            <w:tcW w:w="972" w:type="pct"/>
            <w:vAlign w:val="center"/>
          </w:tcPr>
          <w:p w14:paraId="49A40D8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3632.42</w:t>
            </w:r>
          </w:p>
        </w:tc>
        <w:tc>
          <w:tcPr>
            <w:tcW w:w="975" w:type="pct"/>
            <w:vAlign w:val="center"/>
          </w:tcPr>
          <w:p w14:paraId="35A78F51">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0</w:t>
            </w:r>
          </w:p>
        </w:tc>
        <w:tc>
          <w:tcPr>
            <w:tcW w:w="969" w:type="pct"/>
            <w:vAlign w:val="center"/>
          </w:tcPr>
          <w:p w14:paraId="7831F4C2">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3632.42</w:t>
            </w:r>
          </w:p>
        </w:tc>
      </w:tr>
      <w:tr w14:paraId="0C17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continue"/>
            <w:tcMar>
              <w:left w:w="0" w:type="dxa"/>
              <w:right w:w="0" w:type="dxa"/>
            </w:tcMar>
            <w:vAlign w:val="center"/>
          </w:tcPr>
          <w:p w14:paraId="02A937DC">
            <w:pPr>
              <w:pStyle w:val="109"/>
              <w:rPr>
                <w:color w:val="000000" w:themeColor="text1"/>
                <w:lang w:val="zh-CN"/>
                <w14:textFill>
                  <w14:solidFill>
                    <w14:schemeClr w14:val="tx1"/>
                  </w14:solidFill>
                </w14:textFill>
              </w:rPr>
            </w:pPr>
          </w:p>
        </w:tc>
        <w:tc>
          <w:tcPr>
            <w:tcW w:w="1261" w:type="pct"/>
            <w:vAlign w:val="center"/>
          </w:tcPr>
          <w:p w14:paraId="30D098D6">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COD</w:t>
            </w:r>
            <w:r>
              <w:rPr>
                <w:color w:val="000000" w:themeColor="text1"/>
                <w:vertAlign w:val="subscript"/>
                <w:lang w:val="zh-CN"/>
                <w14:textFill>
                  <w14:solidFill>
                    <w14:schemeClr w14:val="tx1"/>
                  </w14:solidFill>
                </w14:textFill>
              </w:rPr>
              <w:t>Cr</w:t>
            </w:r>
          </w:p>
        </w:tc>
        <w:tc>
          <w:tcPr>
            <w:tcW w:w="972" w:type="pct"/>
            <w:vAlign w:val="center"/>
          </w:tcPr>
          <w:p w14:paraId="4D84202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0.56</w:t>
            </w:r>
          </w:p>
        </w:tc>
        <w:tc>
          <w:tcPr>
            <w:tcW w:w="975" w:type="pct"/>
            <w:vAlign w:val="center"/>
          </w:tcPr>
          <w:p w14:paraId="60D1B9C0">
            <w:pPr>
              <w:pStyle w:val="109"/>
              <w:rPr>
                <w:color w:val="000000" w:themeColor="text1"/>
                <w14:textFill>
                  <w14:solidFill>
                    <w14:schemeClr w14:val="tx1"/>
                  </w14:solidFill>
                </w14:textFill>
              </w:rPr>
            </w:pPr>
            <w:r>
              <w:rPr>
                <w:color w:val="000000" w:themeColor="text1"/>
                <w14:textFill>
                  <w14:solidFill>
                    <w14:schemeClr w14:val="tx1"/>
                  </w14:solidFill>
                </w14:textFill>
              </w:rPr>
              <w:t>0</w:t>
            </w:r>
          </w:p>
        </w:tc>
        <w:tc>
          <w:tcPr>
            <w:tcW w:w="969" w:type="pct"/>
            <w:vAlign w:val="center"/>
          </w:tcPr>
          <w:p w14:paraId="68CFEF3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0.56</w:t>
            </w:r>
          </w:p>
        </w:tc>
      </w:tr>
      <w:tr w14:paraId="26D4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continue"/>
            <w:tcMar>
              <w:left w:w="0" w:type="dxa"/>
              <w:right w:w="0" w:type="dxa"/>
            </w:tcMar>
            <w:vAlign w:val="center"/>
          </w:tcPr>
          <w:p w14:paraId="0C43C99F">
            <w:pPr>
              <w:pStyle w:val="109"/>
              <w:rPr>
                <w:color w:val="000000" w:themeColor="text1"/>
                <w:lang w:val="zh-CN"/>
                <w14:textFill>
                  <w14:solidFill>
                    <w14:schemeClr w14:val="tx1"/>
                  </w14:solidFill>
                </w14:textFill>
              </w:rPr>
            </w:pPr>
          </w:p>
        </w:tc>
        <w:tc>
          <w:tcPr>
            <w:tcW w:w="1261" w:type="pct"/>
            <w:vAlign w:val="center"/>
          </w:tcPr>
          <w:p w14:paraId="1F9A9289">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NH</w:t>
            </w:r>
            <w:r>
              <w:rPr>
                <w:color w:val="000000" w:themeColor="text1"/>
                <w:vertAlign w:val="subscript"/>
                <w:lang w:val="zh-CN"/>
                <w14:textFill>
                  <w14:solidFill>
                    <w14:schemeClr w14:val="tx1"/>
                  </w14:solidFill>
                </w14:textFill>
              </w:rPr>
              <w:t>3</w:t>
            </w:r>
            <w:r>
              <w:rPr>
                <w:color w:val="000000" w:themeColor="text1"/>
                <w14:textFill>
                  <w14:solidFill>
                    <w14:schemeClr w14:val="tx1"/>
                  </w14:solidFill>
                </w14:textFill>
              </w:rPr>
              <w:t>-N</w:t>
            </w:r>
          </w:p>
        </w:tc>
        <w:tc>
          <w:tcPr>
            <w:tcW w:w="972" w:type="pct"/>
            <w:vAlign w:val="center"/>
          </w:tcPr>
          <w:p w14:paraId="07F446F9">
            <w:pPr>
              <w:pStyle w:val="109"/>
              <w:rPr>
                <w:color w:val="000000" w:themeColor="text1"/>
                <w:szCs w:val="21"/>
                <w:lang w:val="zh-CN"/>
                <w14:textFill>
                  <w14:solidFill>
                    <w14:schemeClr w14:val="tx1"/>
                  </w14:solidFill>
                </w14:textFill>
              </w:rPr>
            </w:pPr>
            <w:r>
              <w:rPr>
                <w:color w:val="000000" w:themeColor="text1"/>
                <w:szCs w:val="21"/>
                <w:lang w:bidi="ar"/>
                <w14:textFill>
                  <w14:solidFill>
                    <w14:schemeClr w14:val="tx1"/>
                  </w14:solidFill>
                </w14:textFill>
              </w:rPr>
              <w:t>0.05</w:t>
            </w:r>
          </w:p>
        </w:tc>
        <w:tc>
          <w:tcPr>
            <w:tcW w:w="975" w:type="pct"/>
            <w:vAlign w:val="center"/>
          </w:tcPr>
          <w:p w14:paraId="41537096">
            <w:pPr>
              <w:pStyle w:val="109"/>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0</w:t>
            </w:r>
          </w:p>
        </w:tc>
        <w:tc>
          <w:tcPr>
            <w:tcW w:w="969" w:type="pct"/>
            <w:vAlign w:val="center"/>
          </w:tcPr>
          <w:p w14:paraId="3912F1D3">
            <w:pPr>
              <w:pStyle w:val="109"/>
              <w:rPr>
                <w:color w:val="000000" w:themeColor="text1"/>
                <w:szCs w:val="21"/>
                <w:lang w:val="zh-CN"/>
                <w14:textFill>
                  <w14:solidFill>
                    <w14:schemeClr w14:val="tx1"/>
                  </w14:solidFill>
                </w14:textFill>
              </w:rPr>
            </w:pPr>
            <w:r>
              <w:rPr>
                <w:color w:val="000000" w:themeColor="text1"/>
                <w:szCs w:val="21"/>
                <w:lang w:bidi="ar"/>
                <w14:textFill>
                  <w14:solidFill>
                    <w14:schemeClr w14:val="tx1"/>
                  </w14:solidFill>
                </w14:textFill>
              </w:rPr>
              <w:t>0.05</w:t>
            </w:r>
          </w:p>
        </w:tc>
      </w:tr>
      <w:tr w14:paraId="4235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continue"/>
            <w:tcMar>
              <w:left w:w="0" w:type="dxa"/>
              <w:right w:w="0" w:type="dxa"/>
            </w:tcMar>
            <w:vAlign w:val="center"/>
          </w:tcPr>
          <w:p w14:paraId="2E70899F">
            <w:pPr>
              <w:pStyle w:val="109"/>
              <w:rPr>
                <w:color w:val="000000" w:themeColor="text1"/>
                <w:lang w:val="zh-CN"/>
                <w14:textFill>
                  <w14:solidFill>
                    <w14:schemeClr w14:val="tx1"/>
                  </w14:solidFill>
                </w14:textFill>
              </w:rPr>
            </w:pPr>
          </w:p>
        </w:tc>
        <w:tc>
          <w:tcPr>
            <w:tcW w:w="1261" w:type="pct"/>
            <w:vAlign w:val="center"/>
          </w:tcPr>
          <w:p w14:paraId="2E5C572E">
            <w:pPr>
              <w:pStyle w:val="109"/>
              <w:rPr>
                <w:color w:val="000000" w:themeColor="text1"/>
                <w:szCs w:val="21"/>
                <w:lang w:val="zh-CN"/>
                <w14:textFill>
                  <w14:solidFill>
                    <w14:schemeClr w14:val="tx1"/>
                  </w14:solidFill>
                </w14:textFill>
              </w:rPr>
            </w:pPr>
            <w:r>
              <w:rPr>
                <w:color w:val="000000" w:themeColor="text1"/>
                <w:szCs w:val="21"/>
                <w:lang w:bidi="ar"/>
                <w14:textFill>
                  <w14:solidFill>
                    <w14:schemeClr w14:val="tx1"/>
                  </w14:solidFill>
                </w14:textFill>
              </w:rPr>
              <w:t>TN</w:t>
            </w:r>
          </w:p>
        </w:tc>
        <w:tc>
          <w:tcPr>
            <w:tcW w:w="972" w:type="pct"/>
            <w:vAlign w:val="center"/>
          </w:tcPr>
          <w:p w14:paraId="27893EF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0.06</w:t>
            </w:r>
          </w:p>
        </w:tc>
        <w:tc>
          <w:tcPr>
            <w:tcW w:w="975" w:type="pct"/>
            <w:vAlign w:val="center"/>
          </w:tcPr>
          <w:p w14:paraId="5740D5CE">
            <w:pPr>
              <w:pStyle w:val="109"/>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0</w:t>
            </w:r>
          </w:p>
        </w:tc>
        <w:tc>
          <w:tcPr>
            <w:tcW w:w="969" w:type="pct"/>
            <w:vAlign w:val="center"/>
          </w:tcPr>
          <w:p w14:paraId="6D571E6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0.06</w:t>
            </w:r>
          </w:p>
        </w:tc>
      </w:tr>
      <w:tr w14:paraId="7FC3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continue"/>
            <w:tcMar>
              <w:left w:w="0" w:type="dxa"/>
              <w:right w:w="0" w:type="dxa"/>
            </w:tcMar>
            <w:vAlign w:val="center"/>
          </w:tcPr>
          <w:p w14:paraId="29937DE5">
            <w:pPr>
              <w:pStyle w:val="109"/>
              <w:rPr>
                <w:color w:val="000000" w:themeColor="text1"/>
                <w:lang w:val="zh-CN"/>
                <w14:textFill>
                  <w14:solidFill>
                    <w14:schemeClr w14:val="tx1"/>
                  </w14:solidFill>
                </w14:textFill>
              </w:rPr>
            </w:pPr>
          </w:p>
        </w:tc>
        <w:tc>
          <w:tcPr>
            <w:tcW w:w="1261" w:type="pct"/>
            <w:vAlign w:val="center"/>
          </w:tcPr>
          <w:p w14:paraId="1A5180A0">
            <w:pPr>
              <w:pStyle w:val="109"/>
              <w:rPr>
                <w:color w:val="000000" w:themeColor="text1"/>
                <w:szCs w:val="21"/>
                <w:lang w:val="zh-CN"/>
                <w14:textFill>
                  <w14:solidFill>
                    <w14:schemeClr w14:val="tx1"/>
                  </w14:solidFill>
                </w14:textFill>
              </w:rPr>
            </w:pPr>
            <w:r>
              <w:rPr>
                <w:color w:val="000000" w:themeColor="text1"/>
                <w:szCs w:val="21"/>
                <w:lang w:bidi="ar"/>
                <w14:textFill>
                  <w14:solidFill>
                    <w14:schemeClr w14:val="tx1"/>
                  </w14:solidFill>
                </w14:textFill>
              </w:rPr>
              <w:t>TP</w:t>
            </w:r>
          </w:p>
        </w:tc>
        <w:tc>
          <w:tcPr>
            <w:tcW w:w="972" w:type="pct"/>
            <w:vAlign w:val="center"/>
          </w:tcPr>
          <w:p w14:paraId="43C04A1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w:t>
            </w:r>
          </w:p>
        </w:tc>
        <w:tc>
          <w:tcPr>
            <w:tcW w:w="975" w:type="pct"/>
            <w:vAlign w:val="center"/>
          </w:tcPr>
          <w:p w14:paraId="42E68D7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9" w:type="pct"/>
            <w:vAlign w:val="center"/>
          </w:tcPr>
          <w:p w14:paraId="21CE3B3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w:t>
            </w:r>
          </w:p>
        </w:tc>
      </w:tr>
      <w:tr w14:paraId="120A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continue"/>
            <w:tcMar>
              <w:left w:w="0" w:type="dxa"/>
              <w:right w:w="0" w:type="dxa"/>
            </w:tcMar>
            <w:vAlign w:val="center"/>
          </w:tcPr>
          <w:p w14:paraId="09922FA5">
            <w:pPr>
              <w:pStyle w:val="109"/>
              <w:rPr>
                <w:color w:val="000000" w:themeColor="text1"/>
                <w:lang w:val="zh-CN"/>
                <w14:textFill>
                  <w14:solidFill>
                    <w14:schemeClr w14:val="tx1"/>
                  </w14:solidFill>
                </w14:textFill>
              </w:rPr>
            </w:pPr>
          </w:p>
        </w:tc>
        <w:tc>
          <w:tcPr>
            <w:tcW w:w="1261" w:type="pct"/>
            <w:vAlign w:val="center"/>
          </w:tcPr>
          <w:p w14:paraId="483A9519">
            <w:pPr>
              <w:pStyle w:val="109"/>
              <w:rPr>
                <w:color w:val="000000" w:themeColor="text1"/>
                <w:szCs w:val="21"/>
                <w:lang w:val="zh-CN"/>
                <w14:textFill>
                  <w14:solidFill>
                    <w14:schemeClr w14:val="tx1"/>
                  </w14:solidFill>
                </w14:textFill>
              </w:rPr>
            </w:pPr>
            <w:r>
              <w:rPr>
                <w:color w:val="000000" w:themeColor="text1"/>
                <w:szCs w:val="21"/>
                <w:lang w:bidi="ar"/>
                <w14:textFill>
                  <w14:solidFill>
                    <w14:schemeClr w14:val="tx1"/>
                  </w14:solidFill>
                </w14:textFill>
              </w:rPr>
              <w:t>TDS</w:t>
            </w:r>
          </w:p>
        </w:tc>
        <w:tc>
          <w:tcPr>
            <w:tcW w:w="972" w:type="pct"/>
            <w:vAlign w:val="center"/>
          </w:tcPr>
          <w:p w14:paraId="0A76B6DA">
            <w:pPr>
              <w:pStyle w:val="109"/>
              <w:rPr>
                <w:color w:val="000000" w:themeColor="text1"/>
                <w:szCs w:val="21"/>
                <w:lang w:val="zh-CN"/>
                <w14:textFill>
                  <w14:solidFill>
                    <w14:schemeClr w14:val="tx1"/>
                  </w14:solidFill>
                </w14:textFill>
              </w:rPr>
            </w:pPr>
            <w:r>
              <w:rPr>
                <w:color w:val="000000" w:themeColor="text1"/>
                <w:szCs w:val="21"/>
                <w:lang w:bidi="ar"/>
                <w14:textFill>
                  <w14:solidFill>
                    <w14:schemeClr w14:val="tx1"/>
                  </w14:solidFill>
                </w14:textFill>
              </w:rPr>
              <w:t>4.08</w:t>
            </w:r>
          </w:p>
        </w:tc>
        <w:tc>
          <w:tcPr>
            <w:tcW w:w="975" w:type="pct"/>
            <w:vAlign w:val="center"/>
          </w:tcPr>
          <w:p w14:paraId="075189B6">
            <w:pPr>
              <w:pStyle w:val="109"/>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0</w:t>
            </w:r>
          </w:p>
        </w:tc>
        <w:tc>
          <w:tcPr>
            <w:tcW w:w="969" w:type="pct"/>
            <w:vAlign w:val="center"/>
          </w:tcPr>
          <w:p w14:paraId="5E1CCDA7">
            <w:pPr>
              <w:pStyle w:val="109"/>
              <w:rPr>
                <w:color w:val="000000" w:themeColor="text1"/>
                <w:szCs w:val="21"/>
                <w:lang w:val="zh-CN"/>
                <w14:textFill>
                  <w14:solidFill>
                    <w14:schemeClr w14:val="tx1"/>
                  </w14:solidFill>
                </w14:textFill>
              </w:rPr>
            </w:pPr>
            <w:r>
              <w:rPr>
                <w:color w:val="000000" w:themeColor="text1"/>
                <w:szCs w:val="21"/>
                <w:lang w:bidi="ar"/>
                <w14:textFill>
                  <w14:solidFill>
                    <w14:schemeClr w14:val="tx1"/>
                  </w14:solidFill>
                </w14:textFill>
              </w:rPr>
              <w:t>4.08</w:t>
            </w:r>
          </w:p>
        </w:tc>
      </w:tr>
      <w:tr w14:paraId="046B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restart"/>
            <w:tcMar>
              <w:left w:w="0" w:type="dxa"/>
              <w:right w:w="0" w:type="dxa"/>
            </w:tcMar>
            <w:vAlign w:val="center"/>
          </w:tcPr>
          <w:p w14:paraId="33CD8E3E">
            <w:pPr>
              <w:pStyle w:val="109"/>
              <w:rPr>
                <w:color w:val="000000" w:themeColor="text1"/>
                <w14:textFill>
                  <w14:solidFill>
                    <w14:schemeClr w14:val="tx1"/>
                  </w14:solidFill>
                </w14:textFill>
              </w:rPr>
            </w:pPr>
            <w:r>
              <w:rPr>
                <w:color w:val="000000" w:themeColor="text1"/>
                <w14:textFill>
                  <w14:solidFill>
                    <w14:schemeClr w14:val="tx1"/>
                  </w14:solidFill>
                </w14:textFill>
              </w:rPr>
              <w:t>有组织废气</w:t>
            </w:r>
          </w:p>
        </w:tc>
        <w:tc>
          <w:tcPr>
            <w:tcW w:w="1261" w:type="pct"/>
            <w:vAlign w:val="center"/>
          </w:tcPr>
          <w:p w14:paraId="6FD6AD53">
            <w:pPr>
              <w:pStyle w:val="109"/>
              <w:rPr>
                <w:color w:val="000000" w:themeColor="text1"/>
                <w14:textFill>
                  <w14:solidFill>
                    <w14:schemeClr w14:val="tx1"/>
                  </w14:solidFill>
                </w14:textFill>
              </w:rPr>
            </w:pPr>
            <w:r>
              <w:rPr>
                <w:color w:val="000000" w:themeColor="text1"/>
                <w14:textFill>
                  <w14:solidFill>
                    <w14:schemeClr w14:val="tx1"/>
                  </w14:solidFill>
                </w14:textFill>
              </w:rPr>
              <w:t>废气量（m³/a）</w:t>
            </w:r>
          </w:p>
        </w:tc>
        <w:tc>
          <w:tcPr>
            <w:tcW w:w="972" w:type="pct"/>
            <w:vAlign w:val="center"/>
          </w:tcPr>
          <w:p w14:paraId="19C429F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8000000</w:t>
            </w:r>
          </w:p>
        </w:tc>
        <w:tc>
          <w:tcPr>
            <w:tcW w:w="975" w:type="pct"/>
            <w:vAlign w:val="center"/>
          </w:tcPr>
          <w:p w14:paraId="158A8FEC">
            <w:pPr>
              <w:pStyle w:val="109"/>
              <w:rPr>
                <w:color w:val="000000" w:themeColor="text1"/>
                <w14:textFill>
                  <w14:solidFill>
                    <w14:schemeClr w14:val="tx1"/>
                  </w14:solidFill>
                </w14:textFill>
              </w:rPr>
            </w:pPr>
            <w:r>
              <w:rPr>
                <w:color w:val="000000" w:themeColor="text1"/>
                <w14:textFill>
                  <w14:solidFill>
                    <w14:schemeClr w14:val="tx1"/>
                  </w14:solidFill>
                </w14:textFill>
              </w:rPr>
              <w:t>0</w:t>
            </w:r>
          </w:p>
        </w:tc>
        <w:tc>
          <w:tcPr>
            <w:tcW w:w="969" w:type="pct"/>
            <w:vAlign w:val="center"/>
          </w:tcPr>
          <w:p w14:paraId="7FC00422">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8000000</w:t>
            </w:r>
          </w:p>
        </w:tc>
      </w:tr>
      <w:tr w14:paraId="5453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continue"/>
            <w:tcMar>
              <w:left w:w="0" w:type="dxa"/>
              <w:right w:w="0" w:type="dxa"/>
            </w:tcMar>
            <w:vAlign w:val="center"/>
          </w:tcPr>
          <w:p w14:paraId="2AB74F75">
            <w:pPr>
              <w:pStyle w:val="109"/>
              <w:rPr>
                <w:color w:val="000000" w:themeColor="text1"/>
                <w:lang w:val="zh-CN"/>
                <w14:textFill>
                  <w14:solidFill>
                    <w14:schemeClr w14:val="tx1"/>
                  </w14:solidFill>
                </w14:textFill>
              </w:rPr>
            </w:pPr>
          </w:p>
        </w:tc>
        <w:tc>
          <w:tcPr>
            <w:tcW w:w="1261" w:type="pct"/>
            <w:vAlign w:val="center"/>
          </w:tcPr>
          <w:p w14:paraId="55701052">
            <w:pPr>
              <w:pStyle w:val="109"/>
              <w:rPr>
                <w:color w:val="000000" w:themeColor="text1"/>
                <w14:textFill>
                  <w14:solidFill>
                    <w14:schemeClr w14:val="tx1"/>
                  </w14:solidFill>
                </w14:textFill>
              </w:rPr>
            </w:pPr>
            <w:r>
              <w:rPr>
                <w:color w:val="000000" w:themeColor="text1"/>
                <w14:textFill>
                  <w14:solidFill>
                    <w14:schemeClr w14:val="tx1"/>
                  </w14:solidFill>
                </w14:textFill>
              </w:rPr>
              <w:t>甲醇</w:t>
            </w:r>
          </w:p>
        </w:tc>
        <w:tc>
          <w:tcPr>
            <w:tcW w:w="972" w:type="pct"/>
            <w:vAlign w:val="center"/>
          </w:tcPr>
          <w:p w14:paraId="472F0B4E">
            <w:pPr>
              <w:pStyle w:val="109"/>
              <w:rPr>
                <w:color w:val="000000" w:themeColor="text1"/>
                <w:szCs w:val="21"/>
                <w14:textFill>
                  <w14:solidFill>
                    <w14:schemeClr w14:val="tx1"/>
                  </w14:solidFill>
                </w14:textFill>
              </w:rPr>
            </w:pPr>
            <w:r>
              <w:rPr>
                <w:color w:val="000000" w:themeColor="text1"/>
                <w:sz w:val="20"/>
                <w:szCs w:val="20"/>
                <w:lang w:bidi="ar"/>
                <w14:textFill>
                  <w14:solidFill>
                    <w14:schemeClr w14:val="tx1"/>
                  </w14:solidFill>
                </w14:textFill>
              </w:rPr>
              <w:t>3.87</w:t>
            </w:r>
          </w:p>
        </w:tc>
        <w:tc>
          <w:tcPr>
            <w:tcW w:w="975" w:type="pct"/>
            <w:vAlign w:val="center"/>
          </w:tcPr>
          <w:p w14:paraId="72D1904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3.83</w:t>
            </w:r>
          </w:p>
        </w:tc>
        <w:tc>
          <w:tcPr>
            <w:tcW w:w="969" w:type="pct"/>
            <w:vAlign w:val="center"/>
          </w:tcPr>
          <w:p w14:paraId="6C9968B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w:t>
            </w:r>
          </w:p>
        </w:tc>
      </w:tr>
      <w:tr w14:paraId="6129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continue"/>
            <w:tcMar>
              <w:left w:w="0" w:type="dxa"/>
              <w:right w:w="0" w:type="dxa"/>
            </w:tcMar>
            <w:vAlign w:val="center"/>
          </w:tcPr>
          <w:p w14:paraId="2CDBB4B0">
            <w:pPr>
              <w:pStyle w:val="109"/>
              <w:rPr>
                <w:color w:val="000000" w:themeColor="text1"/>
                <w:lang w:val="zh-CN"/>
                <w14:textFill>
                  <w14:solidFill>
                    <w14:schemeClr w14:val="tx1"/>
                  </w14:solidFill>
                </w14:textFill>
              </w:rPr>
            </w:pPr>
          </w:p>
        </w:tc>
        <w:tc>
          <w:tcPr>
            <w:tcW w:w="1261" w:type="pct"/>
            <w:vAlign w:val="center"/>
          </w:tcPr>
          <w:p w14:paraId="03AF9D42">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972" w:type="pct"/>
            <w:vAlign w:val="center"/>
          </w:tcPr>
          <w:p w14:paraId="03308DE0">
            <w:pPr>
              <w:pStyle w:val="109"/>
              <w:rPr>
                <w:color w:val="000000" w:themeColor="text1"/>
                <w:szCs w:val="21"/>
                <w14:textFill>
                  <w14:solidFill>
                    <w14:schemeClr w14:val="tx1"/>
                  </w14:solidFill>
                </w14:textFill>
              </w:rPr>
            </w:pPr>
            <w:r>
              <w:rPr>
                <w:color w:val="000000" w:themeColor="text1"/>
                <w:sz w:val="20"/>
                <w:szCs w:val="20"/>
                <w:lang w:bidi="ar"/>
                <w14:textFill>
                  <w14:solidFill>
                    <w14:schemeClr w14:val="tx1"/>
                  </w14:solidFill>
                </w14:textFill>
              </w:rPr>
              <w:t>85.81</w:t>
            </w:r>
          </w:p>
        </w:tc>
        <w:tc>
          <w:tcPr>
            <w:tcW w:w="975" w:type="pct"/>
            <w:vAlign w:val="center"/>
          </w:tcPr>
          <w:p w14:paraId="78BF73E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84.95</w:t>
            </w:r>
          </w:p>
        </w:tc>
        <w:tc>
          <w:tcPr>
            <w:tcW w:w="969" w:type="pct"/>
            <w:vAlign w:val="center"/>
          </w:tcPr>
          <w:p w14:paraId="63CD971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0.86</w:t>
            </w:r>
          </w:p>
        </w:tc>
      </w:tr>
      <w:tr w14:paraId="0911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restart"/>
            <w:tcMar>
              <w:left w:w="0" w:type="dxa"/>
              <w:right w:w="0" w:type="dxa"/>
            </w:tcMar>
            <w:vAlign w:val="center"/>
          </w:tcPr>
          <w:p w14:paraId="0BB7CE31">
            <w:pPr>
              <w:pStyle w:val="109"/>
              <w:rPr>
                <w:color w:val="000000" w:themeColor="text1"/>
                <w:lang w:val="zh-CN"/>
                <w14:textFill>
                  <w14:solidFill>
                    <w14:schemeClr w14:val="tx1"/>
                  </w14:solidFill>
                </w14:textFill>
              </w:rPr>
            </w:pPr>
            <w:r>
              <w:rPr>
                <w:color w:val="000000" w:themeColor="text1"/>
                <w14:textFill>
                  <w14:solidFill>
                    <w14:schemeClr w14:val="tx1"/>
                  </w14:solidFill>
                </w14:textFill>
              </w:rPr>
              <w:t>无组织废气</w:t>
            </w:r>
          </w:p>
        </w:tc>
        <w:tc>
          <w:tcPr>
            <w:tcW w:w="1261" w:type="pct"/>
            <w:vAlign w:val="center"/>
          </w:tcPr>
          <w:p w14:paraId="256DDC09">
            <w:pPr>
              <w:pStyle w:val="109"/>
              <w:rPr>
                <w:color w:val="000000" w:themeColor="text1"/>
                <w14:textFill>
                  <w14:solidFill>
                    <w14:schemeClr w14:val="tx1"/>
                  </w14:solidFill>
                </w14:textFill>
              </w:rPr>
            </w:pPr>
            <w:r>
              <w:rPr>
                <w:color w:val="000000" w:themeColor="text1"/>
                <w14:textFill>
                  <w14:solidFill>
                    <w14:schemeClr w14:val="tx1"/>
                  </w14:solidFill>
                </w14:textFill>
              </w:rPr>
              <w:t>甲醇</w:t>
            </w:r>
          </w:p>
        </w:tc>
        <w:tc>
          <w:tcPr>
            <w:tcW w:w="972" w:type="pct"/>
            <w:vAlign w:val="center"/>
          </w:tcPr>
          <w:p w14:paraId="029EFB86">
            <w:pPr>
              <w:pStyle w:val="109"/>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0.08</w:t>
            </w:r>
          </w:p>
        </w:tc>
        <w:tc>
          <w:tcPr>
            <w:tcW w:w="975" w:type="pct"/>
            <w:vAlign w:val="center"/>
          </w:tcPr>
          <w:p w14:paraId="2823E44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9" w:type="pct"/>
            <w:vAlign w:val="center"/>
          </w:tcPr>
          <w:p w14:paraId="03F92BCD">
            <w:pPr>
              <w:pStyle w:val="109"/>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0.08</w:t>
            </w:r>
          </w:p>
        </w:tc>
      </w:tr>
      <w:tr w14:paraId="688B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continue"/>
            <w:tcMar>
              <w:left w:w="0" w:type="dxa"/>
              <w:right w:w="0" w:type="dxa"/>
            </w:tcMar>
            <w:vAlign w:val="center"/>
          </w:tcPr>
          <w:p w14:paraId="1243D496">
            <w:pPr>
              <w:pStyle w:val="109"/>
              <w:rPr>
                <w:color w:val="000000" w:themeColor="text1"/>
                <w:lang w:val="zh-CN"/>
                <w14:textFill>
                  <w14:solidFill>
                    <w14:schemeClr w14:val="tx1"/>
                  </w14:solidFill>
                </w14:textFill>
              </w:rPr>
            </w:pPr>
          </w:p>
        </w:tc>
        <w:tc>
          <w:tcPr>
            <w:tcW w:w="1261" w:type="pct"/>
            <w:vAlign w:val="center"/>
          </w:tcPr>
          <w:p w14:paraId="4F3F29CD">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972" w:type="pct"/>
            <w:vAlign w:val="center"/>
          </w:tcPr>
          <w:p w14:paraId="453376DD">
            <w:pPr>
              <w:pStyle w:val="109"/>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0.48</w:t>
            </w:r>
          </w:p>
        </w:tc>
        <w:tc>
          <w:tcPr>
            <w:tcW w:w="975" w:type="pct"/>
            <w:vAlign w:val="center"/>
          </w:tcPr>
          <w:p w14:paraId="6263CA8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9" w:type="pct"/>
            <w:vAlign w:val="center"/>
          </w:tcPr>
          <w:p w14:paraId="295CCF5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0.48</w:t>
            </w:r>
          </w:p>
        </w:tc>
      </w:tr>
      <w:tr w14:paraId="0AA6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restart"/>
            <w:tcMar>
              <w:left w:w="0" w:type="dxa"/>
              <w:right w:w="0" w:type="dxa"/>
            </w:tcMar>
            <w:vAlign w:val="center"/>
          </w:tcPr>
          <w:p w14:paraId="3E94DACC">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固废</w:t>
            </w:r>
          </w:p>
        </w:tc>
        <w:tc>
          <w:tcPr>
            <w:tcW w:w="1261" w:type="pct"/>
            <w:vAlign w:val="center"/>
          </w:tcPr>
          <w:p w14:paraId="6F9A98A0">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危险固废</w:t>
            </w:r>
          </w:p>
        </w:tc>
        <w:tc>
          <w:tcPr>
            <w:tcW w:w="972" w:type="pct"/>
            <w:vAlign w:val="center"/>
          </w:tcPr>
          <w:p w14:paraId="18DE2E2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47.755</w:t>
            </w:r>
          </w:p>
        </w:tc>
        <w:tc>
          <w:tcPr>
            <w:tcW w:w="975" w:type="pct"/>
            <w:vAlign w:val="center"/>
          </w:tcPr>
          <w:p w14:paraId="1E9C9982">
            <w:pPr>
              <w:pStyle w:val="109"/>
              <w:rPr>
                <w:color w:val="000000" w:themeColor="text1"/>
                <w14:textFill>
                  <w14:solidFill>
                    <w14:schemeClr w14:val="tx1"/>
                  </w14:solidFill>
                </w14:textFill>
              </w:rPr>
            </w:pPr>
            <w:r>
              <w:rPr>
                <w:color w:val="000000" w:themeColor="text1"/>
                <w14:textFill>
                  <w14:solidFill>
                    <w14:schemeClr w14:val="tx1"/>
                  </w14:solidFill>
                </w14:textFill>
              </w:rPr>
              <w:t>0</w:t>
            </w:r>
          </w:p>
        </w:tc>
        <w:tc>
          <w:tcPr>
            <w:tcW w:w="969" w:type="pct"/>
            <w:vAlign w:val="center"/>
          </w:tcPr>
          <w:p w14:paraId="78B9CAD1">
            <w:pPr>
              <w:pStyle w:val="109"/>
              <w:rPr>
                <w:color w:val="000000" w:themeColor="text1"/>
                <w:szCs w:val="21"/>
                <w:lang w:val="zh-CN"/>
                <w14:textFill>
                  <w14:solidFill>
                    <w14:schemeClr w14:val="tx1"/>
                  </w14:solidFill>
                </w14:textFill>
              </w:rPr>
            </w:pPr>
            <w:r>
              <w:rPr>
                <w:color w:val="000000" w:themeColor="text1"/>
                <w:szCs w:val="21"/>
                <w:lang w:bidi="ar"/>
                <w14:textFill>
                  <w14:solidFill>
                    <w14:schemeClr w14:val="tx1"/>
                  </w14:solidFill>
                </w14:textFill>
              </w:rPr>
              <w:t>47.755</w:t>
            </w:r>
          </w:p>
        </w:tc>
      </w:tr>
      <w:tr w14:paraId="65C9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3" w:type="pct"/>
            <w:vMerge w:val="continue"/>
            <w:tcMar>
              <w:left w:w="0" w:type="dxa"/>
              <w:right w:w="0" w:type="dxa"/>
            </w:tcMar>
            <w:vAlign w:val="center"/>
          </w:tcPr>
          <w:p w14:paraId="389864E4">
            <w:pPr>
              <w:pStyle w:val="109"/>
              <w:rPr>
                <w:color w:val="000000" w:themeColor="text1"/>
                <w:lang w:val="zh-CN"/>
                <w14:textFill>
                  <w14:solidFill>
                    <w14:schemeClr w14:val="tx1"/>
                  </w14:solidFill>
                </w14:textFill>
              </w:rPr>
            </w:pPr>
          </w:p>
        </w:tc>
        <w:tc>
          <w:tcPr>
            <w:tcW w:w="1261" w:type="pct"/>
            <w:vAlign w:val="center"/>
          </w:tcPr>
          <w:p w14:paraId="49635140">
            <w:pPr>
              <w:pStyle w:val="109"/>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生活垃圾</w:t>
            </w:r>
          </w:p>
        </w:tc>
        <w:tc>
          <w:tcPr>
            <w:tcW w:w="972" w:type="pct"/>
            <w:vAlign w:val="center"/>
          </w:tcPr>
          <w:p w14:paraId="0230D6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4.16</w:t>
            </w:r>
          </w:p>
        </w:tc>
        <w:tc>
          <w:tcPr>
            <w:tcW w:w="975" w:type="pct"/>
            <w:vAlign w:val="center"/>
          </w:tcPr>
          <w:p w14:paraId="26A576F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9" w:type="pct"/>
            <w:vAlign w:val="center"/>
          </w:tcPr>
          <w:p w14:paraId="34D18ADF">
            <w:pPr>
              <w:pStyle w:val="109"/>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4.16</w:t>
            </w:r>
          </w:p>
        </w:tc>
      </w:tr>
    </w:tbl>
    <w:p w14:paraId="384AEB44">
      <w:pPr>
        <w:pStyle w:val="3"/>
        <w:rPr>
          <w:rFonts w:ascii="Times New Roman" w:cs="Times New Roman"/>
          <w:color w:val="000000" w:themeColor="text1"/>
          <w14:textFill>
            <w14:solidFill>
              <w14:schemeClr w14:val="tx1"/>
            </w14:solidFill>
          </w14:textFill>
        </w:rPr>
      </w:pPr>
      <w:bookmarkStart w:id="223" w:name="_Toc225268291"/>
      <w:r>
        <w:rPr>
          <w:rFonts w:ascii="Times New Roman" w:cs="Times New Roman"/>
          <w:color w:val="000000" w:themeColor="text1"/>
          <w14:textFill>
            <w14:solidFill>
              <w14:schemeClr w14:val="tx1"/>
            </w14:solidFill>
          </w14:textFill>
        </w:rPr>
        <w:t>在建工程与排污许可符合性分析</w:t>
      </w:r>
      <w:bookmarkEnd w:id="223"/>
    </w:p>
    <w:p w14:paraId="3545228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在建工程目前正在建设过程中，尚未办理排污许可证。</w:t>
      </w:r>
    </w:p>
    <w:p w14:paraId="7910B6EB">
      <w:pPr>
        <w:pStyle w:val="3"/>
        <w:rPr>
          <w:rFonts w:ascii="Times New Roman" w:cs="Times New Roman"/>
          <w:color w:val="000000" w:themeColor="text1"/>
          <w14:textFill>
            <w14:solidFill>
              <w14:schemeClr w14:val="tx1"/>
            </w14:solidFill>
          </w14:textFill>
        </w:rPr>
      </w:pPr>
      <w:bookmarkStart w:id="224" w:name="_Toc225268292"/>
      <w:r>
        <w:rPr>
          <w:rFonts w:ascii="Times New Roman" w:cs="Times New Roman"/>
          <w:color w:val="000000" w:themeColor="text1"/>
          <w14:textFill>
            <w14:solidFill>
              <w14:schemeClr w14:val="tx1"/>
            </w14:solidFill>
          </w14:textFill>
        </w:rPr>
        <w:t>在建工程存在的主要环保问题及整改措施</w:t>
      </w:r>
      <w:bookmarkEnd w:id="224"/>
    </w:p>
    <w:p w14:paraId="338A984E">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在建工程目前正在建设过程中，项目建设应严格按照“三同时”制度完成环保设施的建设。</w:t>
      </w:r>
      <w:r>
        <w:rPr>
          <w:rFonts w:eastAsia="黑体"/>
          <w:color w:val="000000" w:themeColor="text1"/>
          <w:sz w:val="32"/>
          <w:szCs w:val="32"/>
          <w14:textFill>
            <w14:solidFill>
              <w14:schemeClr w14:val="tx1"/>
            </w14:solidFill>
          </w14:textFill>
        </w:rPr>
        <w:br w:type="page"/>
      </w:r>
    </w:p>
    <w:p w14:paraId="36390A8E">
      <w:pPr>
        <w:pStyle w:val="2"/>
        <w:rPr>
          <w:rFonts w:ascii="Times New Roman" w:cs="Times New Roman"/>
          <w:color w:val="000000" w:themeColor="text1"/>
          <w14:textFill>
            <w14:solidFill>
              <w14:schemeClr w14:val="tx1"/>
            </w14:solidFill>
          </w14:textFill>
        </w:rPr>
      </w:pPr>
      <w:bookmarkStart w:id="225" w:name="_Toc225268293"/>
      <w:r>
        <w:rPr>
          <w:rFonts w:ascii="Times New Roman" w:cs="Times New Roman"/>
          <w:color w:val="000000" w:themeColor="text1"/>
          <w14:textFill>
            <w14:solidFill>
              <w14:schemeClr w14:val="tx1"/>
            </w14:solidFill>
          </w14:textFill>
        </w:rPr>
        <w:t>拟建项目工程</w:t>
      </w:r>
      <w:bookmarkEnd w:id="195"/>
      <w:bookmarkEnd w:id="196"/>
      <w:bookmarkEnd w:id="197"/>
      <w:bookmarkEnd w:id="198"/>
      <w:bookmarkEnd w:id="199"/>
      <w:bookmarkEnd w:id="200"/>
      <w:bookmarkEnd w:id="201"/>
      <w:r>
        <w:rPr>
          <w:rFonts w:ascii="Times New Roman" w:cs="Times New Roman"/>
          <w:color w:val="000000" w:themeColor="text1"/>
          <w14:textFill>
            <w14:solidFill>
              <w14:schemeClr w14:val="tx1"/>
            </w14:solidFill>
          </w14:textFill>
        </w:rPr>
        <w:t>分析</w:t>
      </w:r>
      <w:bookmarkEnd w:id="225"/>
    </w:p>
    <w:p w14:paraId="2D9B3163">
      <w:pPr>
        <w:pStyle w:val="3"/>
        <w:rPr>
          <w:rFonts w:ascii="Times New Roman" w:cs="Times New Roman"/>
          <w:color w:val="000000" w:themeColor="text1"/>
          <w14:textFill>
            <w14:solidFill>
              <w14:schemeClr w14:val="tx1"/>
            </w14:solidFill>
          </w14:textFill>
        </w:rPr>
      </w:pPr>
      <w:bookmarkStart w:id="226" w:name="_Toc225268294"/>
      <w:r>
        <w:rPr>
          <w:rFonts w:ascii="Times New Roman" w:cs="Times New Roman"/>
          <w:color w:val="000000" w:themeColor="text1"/>
          <w14:textFill>
            <w14:solidFill>
              <w14:schemeClr w14:val="tx1"/>
            </w14:solidFill>
          </w14:textFill>
        </w:rPr>
        <w:t>项目概况</w:t>
      </w:r>
      <w:bookmarkEnd w:id="226"/>
    </w:p>
    <w:p w14:paraId="35C263DB">
      <w:pPr>
        <w:ind w:firstLine="480"/>
        <w:rPr>
          <w:color w:val="000000" w:themeColor="text1"/>
          <w14:textFill>
            <w14:solidFill>
              <w14:schemeClr w14:val="tx1"/>
            </w14:solidFill>
          </w14:textFill>
        </w:rPr>
      </w:pPr>
      <w:r>
        <w:rPr>
          <w:color w:val="000000" w:themeColor="text1"/>
          <w14:textFill>
            <w14:solidFill>
              <w14:schemeClr w14:val="tx1"/>
            </w14:solidFill>
          </w14:textFill>
        </w:rPr>
        <w:t>项目名称：新疆华瑞化工技术有限公司甘泉堡经开区华瑞化工年产5万吨工业废盐回收项目</w:t>
      </w:r>
    </w:p>
    <w:p w14:paraId="7D7D8792">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建设单位：新疆华瑞化工技术有限公司；</w:t>
      </w:r>
    </w:p>
    <w:p w14:paraId="53C6E306">
      <w:pPr>
        <w:ind w:firstLine="480"/>
        <w:rPr>
          <w:color w:val="000000" w:themeColor="text1"/>
          <w14:textFill>
            <w14:solidFill>
              <w14:schemeClr w14:val="tx1"/>
            </w14:solidFill>
          </w14:textFill>
        </w:rPr>
      </w:pPr>
      <w:r>
        <w:rPr>
          <w:color w:val="000000" w:themeColor="text1"/>
          <w14:textFill>
            <w14:solidFill>
              <w14:schemeClr w14:val="tx1"/>
            </w14:solidFill>
          </w14:textFill>
        </w:rPr>
        <w:t>建设性质：新建；</w:t>
      </w:r>
    </w:p>
    <w:p w14:paraId="1000481B">
      <w:pPr>
        <w:ind w:firstLine="480"/>
        <w:rPr>
          <w:color w:val="000000" w:themeColor="text1"/>
          <w14:textFill>
            <w14:solidFill>
              <w14:schemeClr w14:val="tx1"/>
            </w14:solidFill>
          </w14:textFill>
        </w:rPr>
      </w:pPr>
      <w:r>
        <w:rPr>
          <w:color w:val="000000" w:themeColor="text1"/>
          <w:kern w:val="24"/>
          <w14:textFill>
            <w14:solidFill>
              <w14:schemeClr w14:val="tx1"/>
            </w14:solidFill>
          </w14:textFill>
        </w:rPr>
        <w:t>项目</w:t>
      </w:r>
      <w:r>
        <w:rPr>
          <w:color w:val="000000" w:themeColor="text1"/>
          <w14:textFill>
            <w14:solidFill>
              <w14:schemeClr w14:val="tx1"/>
            </w14:solidFill>
          </w14:textFill>
        </w:rPr>
        <w:t>总投资：5000万元；</w:t>
      </w:r>
    </w:p>
    <w:p w14:paraId="6B0FBFDE">
      <w:pPr>
        <w:ind w:firstLine="480"/>
        <w:rPr>
          <w:color w:val="000000" w:themeColor="text1"/>
          <w14:textFill>
            <w14:solidFill>
              <w14:schemeClr w14:val="tx1"/>
            </w14:solidFill>
          </w14:textFill>
        </w:rPr>
      </w:pPr>
      <w:r>
        <w:rPr>
          <w:color w:val="000000" w:themeColor="text1"/>
          <w14:textFill>
            <w14:solidFill>
              <w14:schemeClr w14:val="tx1"/>
            </w14:solidFill>
          </w14:textFill>
        </w:rPr>
        <w:t>行业类别：N7724危险废物治理；</w:t>
      </w:r>
    </w:p>
    <w:p w14:paraId="5640A501">
      <w:pPr>
        <w:ind w:firstLine="480"/>
        <w:rPr>
          <w:color w:val="000000" w:themeColor="text1"/>
          <w:kern w:val="24"/>
          <w14:textFill>
            <w14:solidFill>
              <w14:schemeClr w14:val="tx1"/>
            </w14:solidFill>
          </w14:textFill>
        </w:rPr>
      </w:pPr>
      <w:r>
        <w:rPr>
          <w:color w:val="000000" w:themeColor="text1"/>
          <w:kern w:val="24"/>
          <w14:textFill>
            <w14:solidFill>
              <w14:schemeClr w14:val="tx1"/>
            </w14:solidFill>
          </w14:textFill>
        </w:rPr>
        <w:t>生产制度：四班三运转，年工作约8000h；</w:t>
      </w:r>
    </w:p>
    <w:p w14:paraId="0906ECDC">
      <w:pPr>
        <w:ind w:firstLine="480"/>
        <w:rPr>
          <w:color w:val="000000" w:themeColor="text1"/>
          <w14:textFill>
            <w14:solidFill>
              <w14:schemeClr w14:val="tx1"/>
            </w14:solidFill>
          </w14:textFill>
        </w:rPr>
      </w:pPr>
      <w:r>
        <w:rPr>
          <w:color w:val="000000" w:themeColor="text1"/>
          <w14:textFill>
            <w14:solidFill>
              <w14:schemeClr w14:val="tx1"/>
            </w14:solidFill>
          </w14:textFill>
        </w:rPr>
        <w:t>劳动定员：本项目劳动定员30人；</w:t>
      </w:r>
    </w:p>
    <w:p w14:paraId="69B97110">
      <w:pPr>
        <w:ind w:firstLine="480"/>
        <w:rPr>
          <w:color w:val="000000" w:themeColor="text1"/>
          <w14:textFill>
            <w14:solidFill>
              <w14:schemeClr w14:val="tx1"/>
            </w14:solidFill>
          </w14:textFill>
        </w:rPr>
      </w:pPr>
      <w:r>
        <w:rPr>
          <w:color w:val="000000" w:themeColor="text1"/>
          <w14:textFill>
            <w14:solidFill>
              <w14:schemeClr w14:val="tx1"/>
            </w14:solidFill>
          </w14:textFill>
        </w:rPr>
        <w:t>建设地点：本项目位于乌鲁木齐甘泉堡经济技术开发区（工业区）化工园区，新疆华瑞化工技术有限公司现有厂区内，中心地理坐标为E87°41′39.225″，N44°8′13.014″。本项目地理位置见图</w:t>
      </w:r>
      <w:r>
        <w:rPr>
          <w:rFonts w:hint="eastAsia"/>
          <w:color w:val="000000" w:themeColor="text1"/>
          <w14:textFill>
            <w14:solidFill>
              <w14:schemeClr w14:val="tx1"/>
            </w14:solidFill>
          </w14:textFill>
        </w:rPr>
        <w:t>4.1</w:t>
      </w:r>
      <w:r>
        <w:rPr>
          <w:color w:val="000000" w:themeColor="text1"/>
          <w14:textFill>
            <w14:solidFill>
              <w14:schemeClr w14:val="tx1"/>
            </w14:solidFill>
          </w14:textFill>
        </w:rPr>
        <w:t>-1。</w:t>
      </w:r>
    </w:p>
    <w:p w14:paraId="0A33550C">
      <w:pPr>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建设内容：本项目设计废盐接收</w:t>
      </w:r>
      <w:r>
        <w:rPr>
          <w:rFonts w:hint="eastAsia"/>
          <w:color w:val="000000" w:themeColor="text1"/>
          <w14:textFill>
            <w14:solidFill>
              <w14:schemeClr w14:val="tx1"/>
            </w14:solidFill>
          </w14:textFill>
        </w:rPr>
        <w:t>处置</w:t>
      </w:r>
      <w:r>
        <w:rPr>
          <w:color w:val="000000" w:themeColor="text1"/>
          <w14:textFill>
            <w14:solidFill>
              <w14:schemeClr w14:val="tx1"/>
            </w14:solidFill>
          </w14:textFill>
        </w:rPr>
        <w:t>量为5万吨/年，主要为乌鲁木齐甘泉堡经济技术开发区内企业，并辐射周边企业及园区(以处理乌鲁木齐市辖区内废盐为主)。建设1条热解焙烧窑焚烧处理废盐生产线，包含进料系统、盐渣热解系统、焚烧系统、烟气净化处理系统，处理量约为6.25t/h，年工作时数8000小时。同时建设1条融雪剂生产线，以项目处置后的废盐为原料生产融雪剂，具备年产融雪剂46000t的规模。</w:t>
      </w:r>
    </w:p>
    <w:p w14:paraId="42AEDD3C">
      <w:pPr>
        <w:widowControl/>
        <w:autoSpaceDE/>
        <w:autoSpaceDN/>
        <w:spacing w:line="240" w:lineRule="auto"/>
        <w:ind w:firstLine="0" w:firstLineChars="0"/>
        <w:rPr>
          <w:rFonts w:eastAsia="黑体"/>
          <w:color w:val="000000" w:themeColor="text1"/>
          <w:sz w:val="30"/>
          <w:szCs w:val="30"/>
          <w14:textFill>
            <w14:solidFill>
              <w14:schemeClr w14:val="tx1"/>
            </w14:solidFill>
          </w14:textFill>
        </w:rPr>
      </w:pPr>
      <w:bookmarkStart w:id="227" w:name="_Toc225268295"/>
      <w:r>
        <w:rPr>
          <w:color w:val="000000" w:themeColor="text1"/>
          <w14:textFill>
            <w14:solidFill>
              <w14:schemeClr w14:val="tx1"/>
            </w14:solidFill>
          </w14:textFill>
        </w:rPr>
        <w:br w:type="page"/>
      </w:r>
    </w:p>
    <w:p w14:paraId="3FA3186F">
      <w:pPr>
        <w:widowControl/>
        <w:autoSpaceDE/>
        <w:autoSpaceDN/>
        <w:spacing w:line="240" w:lineRule="auto"/>
        <w:ind w:firstLine="0" w:firstLineChars="0"/>
        <w:jc w:val="center"/>
        <w:rPr>
          <w:color w:val="000000" w:themeColor="text1"/>
          <w14:textFill>
            <w14:solidFill>
              <w14:schemeClr w14:val="tx1"/>
            </w14:solidFill>
          </w14:textFill>
        </w:rPr>
      </w:pPr>
    </w:p>
    <w:p w14:paraId="0514712E">
      <w:pPr>
        <w:pStyle w:val="7"/>
        <w:rPr>
          <w:rFonts w:hint="eastAsia"/>
          <w:color w:val="000000" w:themeColor="text1"/>
          <w:sz w:val="30"/>
          <w:szCs w:val="30"/>
          <w14:textFill>
            <w14:solidFill>
              <w14:schemeClr w14:val="tx1"/>
            </w14:solidFill>
          </w14:textFill>
        </w:rPr>
      </w:pPr>
      <w:r>
        <w:rPr>
          <w:rFonts w:hint="eastAsia"/>
          <w:color w:val="000000" w:themeColor="text1"/>
          <w14:textFill>
            <w14:solidFill>
              <w14:schemeClr w14:val="tx1"/>
            </w14:solidFill>
          </w14:textFill>
        </w:rPr>
        <w:t>项目地理位置图</w:t>
      </w:r>
      <w:r>
        <w:rPr>
          <w:rFonts w:ascii="Times New Roman" w:cs="Times New Roman"/>
          <w:color w:val="000000" w:themeColor="text1"/>
          <w14:textFill>
            <w14:solidFill>
              <w14:schemeClr w14:val="tx1"/>
            </w14:solidFill>
          </w14:textFill>
        </w:rPr>
        <w:br w:type="page"/>
      </w:r>
    </w:p>
    <w:p w14:paraId="0D1AFED1">
      <w:pPr>
        <w:pStyle w:val="3"/>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建设内容与项目组成</w:t>
      </w:r>
      <w:bookmarkEnd w:id="227"/>
    </w:p>
    <w:p w14:paraId="5FAE554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本项目建设内容主要包括主生产装置及相关公辅设施。本项目组成及主要建设内容汇总见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3E0AEF05">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项目组成与主要建设内容汇总表</w:t>
      </w:r>
    </w:p>
    <w:tbl>
      <w:tblPr>
        <w:tblStyle w:val="76"/>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66"/>
        <w:gridCol w:w="1056"/>
        <w:gridCol w:w="7484"/>
      </w:tblGrid>
      <w:tr w14:paraId="2CD3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noWrap/>
            <w:vAlign w:val="center"/>
          </w:tcPr>
          <w:p w14:paraId="44806550">
            <w:pPr>
              <w:pStyle w:val="109"/>
              <w:rPr>
                <w:color w:val="000000" w:themeColor="text1"/>
                <w14:textFill>
                  <w14:solidFill>
                    <w14:schemeClr w14:val="tx1"/>
                  </w14:solidFill>
                </w14:textFill>
              </w:rPr>
            </w:pPr>
            <w:r>
              <w:rPr>
                <w:color w:val="000000" w:themeColor="text1"/>
                <w14:textFill>
                  <w14:solidFill>
                    <w14:schemeClr w14:val="tx1"/>
                  </w14:solidFill>
                </w14:textFill>
              </w:rPr>
              <w:t>工程类别</w:t>
            </w:r>
          </w:p>
        </w:tc>
        <w:tc>
          <w:tcPr>
            <w:tcW w:w="731" w:type="pct"/>
            <w:gridSpan w:val="2"/>
            <w:noWrap/>
            <w:vAlign w:val="center"/>
          </w:tcPr>
          <w:p w14:paraId="0CBB8761">
            <w:pPr>
              <w:pStyle w:val="109"/>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3849" w:type="pct"/>
            <w:noWrap/>
            <w:vAlign w:val="center"/>
          </w:tcPr>
          <w:p w14:paraId="11455B80">
            <w:pPr>
              <w:pStyle w:val="109"/>
              <w:rPr>
                <w:color w:val="000000" w:themeColor="text1"/>
                <w14:textFill>
                  <w14:solidFill>
                    <w14:schemeClr w14:val="tx1"/>
                  </w14:solidFill>
                </w14:textFill>
              </w:rPr>
            </w:pPr>
            <w:r>
              <w:rPr>
                <w:color w:val="000000" w:themeColor="text1"/>
                <w14:textFill>
                  <w14:solidFill>
                    <w14:schemeClr w14:val="tx1"/>
                  </w14:solidFill>
                </w14:textFill>
              </w:rPr>
              <w:t>建设内容</w:t>
            </w:r>
          </w:p>
        </w:tc>
      </w:tr>
      <w:tr w14:paraId="1A00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restart"/>
            <w:noWrap/>
            <w:vAlign w:val="center"/>
          </w:tcPr>
          <w:p w14:paraId="585229B1">
            <w:pPr>
              <w:pStyle w:val="109"/>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731" w:type="pct"/>
            <w:gridSpan w:val="2"/>
            <w:noWrap/>
            <w:vAlign w:val="center"/>
          </w:tcPr>
          <w:p w14:paraId="63164FB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废盐处置车间</w:t>
            </w:r>
          </w:p>
        </w:tc>
        <w:tc>
          <w:tcPr>
            <w:tcW w:w="3849" w:type="pct"/>
            <w:noWrap/>
            <w:vAlign w:val="center"/>
          </w:tcPr>
          <w:p w14:paraId="69FC9583">
            <w:pPr>
              <w:pStyle w:val="109"/>
              <w:rPr>
                <w:color w:val="000000" w:themeColor="text1"/>
                <w14:textFill>
                  <w14:solidFill>
                    <w14:schemeClr w14:val="tx1"/>
                  </w14:solidFill>
                </w14:textFill>
              </w:rPr>
            </w:pPr>
            <w:r>
              <w:rPr>
                <w:color w:val="000000" w:themeColor="text1"/>
                <w14:textFill>
                  <w14:solidFill>
                    <w14:schemeClr w14:val="tx1"/>
                  </w14:solidFill>
                </w14:textFill>
              </w:rPr>
              <w:t>1座，占地面积约</w:t>
            </w:r>
            <w:r>
              <w:rPr>
                <w:rFonts w:hint="eastAsia"/>
                <w:color w:val="000000" w:themeColor="text1"/>
                <w14:textFill>
                  <w14:solidFill>
                    <w14:schemeClr w14:val="tx1"/>
                  </w14:solidFill>
                </w14:textFill>
              </w:rPr>
              <w:t>1316</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布置废盐处置生产线1条及相关辅助设施。</w:t>
            </w:r>
          </w:p>
        </w:tc>
      </w:tr>
      <w:tr w14:paraId="0B77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noWrap/>
            <w:vAlign w:val="center"/>
          </w:tcPr>
          <w:p w14:paraId="5462F77B">
            <w:pPr>
              <w:pStyle w:val="109"/>
              <w:rPr>
                <w:color w:val="000000" w:themeColor="text1"/>
                <w14:textFill>
                  <w14:solidFill>
                    <w14:schemeClr w14:val="tx1"/>
                  </w14:solidFill>
                </w14:textFill>
              </w:rPr>
            </w:pPr>
          </w:p>
        </w:tc>
        <w:tc>
          <w:tcPr>
            <w:tcW w:w="731" w:type="pct"/>
            <w:gridSpan w:val="2"/>
            <w:noWrap/>
            <w:vAlign w:val="center"/>
          </w:tcPr>
          <w:p w14:paraId="73BD09F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融雪剂车间</w:t>
            </w:r>
          </w:p>
        </w:tc>
        <w:tc>
          <w:tcPr>
            <w:tcW w:w="3849" w:type="pct"/>
            <w:noWrap/>
            <w:vAlign w:val="center"/>
          </w:tcPr>
          <w:p w14:paraId="3634323B">
            <w:pPr>
              <w:pStyle w:val="109"/>
              <w:rPr>
                <w:color w:val="000000" w:themeColor="text1"/>
                <w14:textFill>
                  <w14:solidFill>
                    <w14:schemeClr w14:val="tx1"/>
                  </w14:solidFill>
                </w14:textFill>
              </w:rPr>
            </w:pPr>
            <w:r>
              <w:rPr>
                <w:color w:val="000000" w:themeColor="text1"/>
                <w14:textFill>
                  <w14:solidFill>
                    <w14:schemeClr w14:val="tx1"/>
                  </w14:solidFill>
                </w14:textFill>
              </w:rPr>
              <w:t>1座，占地面积约</w:t>
            </w:r>
            <w:r>
              <w:rPr>
                <w:rFonts w:hint="eastAsia"/>
                <w:color w:val="000000" w:themeColor="text1"/>
                <w14:textFill>
                  <w14:solidFill>
                    <w14:schemeClr w14:val="tx1"/>
                  </w14:solidFill>
                </w14:textFill>
              </w:rPr>
              <w:t>962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布置融雪剂生产线1条。</w:t>
            </w:r>
          </w:p>
        </w:tc>
      </w:tr>
      <w:tr w14:paraId="0BA7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restart"/>
            <w:noWrap/>
            <w:vAlign w:val="center"/>
          </w:tcPr>
          <w:p w14:paraId="07BC33AC">
            <w:pPr>
              <w:pStyle w:val="109"/>
              <w:rPr>
                <w:color w:val="000000" w:themeColor="text1"/>
                <w14:textFill>
                  <w14:solidFill>
                    <w14:schemeClr w14:val="tx1"/>
                  </w14:solidFill>
                </w14:textFill>
              </w:rPr>
            </w:pPr>
            <w:r>
              <w:rPr>
                <w:color w:val="000000" w:themeColor="text1"/>
                <w14:textFill>
                  <w14:solidFill>
                    <w14:schemeClr w14:val="tx1"/>
                  </w14:solidFill>
                </w14:textFill>
              </w:rPr>
              <w:t>辅助工程</w:t>
            </w:r>
          </w:p>
        </w:tc>
        <w:tc>
          <w:tcPr>
            <w:tcW w:w="731" w:type="pct"/>
            <w:gridSpan w:val="2"/>
            <w:noWrap/>
            <w:vAlign w:val="center"/>
          </w:tcPr>
          <w:p w14:paraId="5A16F14D">
            <w:pPr>
              <w:pStyle w:val="109"/>
              <w:rPr>
                <w:color w:val="000000" w:themeColor="text1"/>
                <w14:textFill>
                  <w14:solidFill>
                    <w14:schemeClr w14:val="tx1"/>
                  </w14:solidFill>
                </w14:textFill>
              </w:rPr>
            </w:pPr>
            <w:r>
              <w:rPr>
                <w:color w:val="000000" w:themeColor="text1"/>
                <w14:textFill>
                  <w14:solidFill>
                    <w14:schemeClr w14:val="tx1"/>
                  </w14:solidFill>
                </w14:textFill>
              </w:rPr>
              <w:t>办公区</w:t>
            </w:r>
          </w:p>
        </w:tc>
        <w:tc>
          <w:tcPr>
            <w:tcW w:w="3849" w:type="pct"/>
            <w:noWrap/>
            <w:vAlign w:val="center"/>
          </w:tcPr>
          <w:p w14:paraId="3D33EA1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依托厂区在建项目办公楼，位于厂区东南，</w:t>
            </w:r>
            <w:r>
              <w:rPr>
                <w:rFonts w:ascii="Times New Roman Regular" w:hAnsi="Times New Roman Regular" w:cs="Times New Roman Regular"/>
                <w:color w:val="000000" w:themeColor="text1"/>
                <w:szCs w:val="21"/>
                <w14:textFill>
                  <w14:solidFill>
                    <w14:schemeClr w14:val="tx1"/>
                  </w14:solidFill>
                </w14:textFill>
              </w:rPr>
              <w:t>1栋，占地面积918平方米，4层建筑</w:t>
            </w:r>
            <w:r>
              <w:rPr>
                <w:rFonts w:hint="eastAsia" w:ascii="Times New Roman Regular" w:hAnsi="Times New Roman Regular" w:cs="Times New Roman Regular"/>
                <w:color w:val="000000" w:themeColor="text1"/>
                <w:szCs w:val="21"/>
                <w14:textFill>
                  <w14:solidFill>
                    <w14:schemeClr w14:val="tx1"/>
                  </w14:solidFill>
                </w14:textFill>
              </w:rPr>
              <w:t>，建筑面积约3860平方米</w:t>
            </w:r>
            <w:r>
              <w:rPr>
                <w:rFonts w:ascii="Times New Roman Regular" w:hAnsi="Times New Roman Regular" w:cs="Times New Roman Regular"/>
                <w:color w:val="000000" w:themeColor="text1"/>
                <w:szCs w:val="21"/>
                <w14:textFill>
                  <w14:solidFill>
                    <w14:schemeClr w14:val="tx1"/>
                  </w14:solidFill>
                </w14:textFill>
              </w:rPr>
              <w:t>。</w:t>
            </w:r>
          </w:p>
        </w:tc>
      </w:tr>
      <w:tr w14:paraId="34B7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noWrap/>
            <w:vAlign w:val="center"/>
          </w:tcPr>
          <w:p w14:paraId="32D4F607">
            <w:pPr>
              <w:pStyle w:val="109"/>
              <w:rPr>
                <w:color w:val="000000" w:themeColor="text1"/>
                <w14:textFill>
                  <w14:solidFill>
                    <w14:schemeClr w14:val="tx1"/>
                  </w14:solidFill>
                </w14:textFill>
              </w:rPr>
            </w:pPr>
          </w:p>
        </w:tc>
        <w:tc>
          <w:tcPr>
            <w:tcW w:w="731" w:type="pct"/>
            <w:gridSpan w:val="2"/>
            <w:noWrap/>
            <w:vAlign w:val="center"/>
          </w:tcPr>
          <w:p w14:paraId="2EEF3D6A">
            <w:pPr>
              <w:pStyle w:val="109"/>
              <w:rPr>
                <w:color w:val="000000" w:themeColor="text1"/>
                <w14:textFill>
                  <w14:solidFill>
                    <w14:schemeClr w14:val="tx1"/>
                  </w14:solidFill>
                </w14:textFill>
              </w:rPr>
            </w:pPr>
            <w:r>
              <w:rPr>
                <w:color w:val="000000" w:themeColor="text1"/>
                <w14:textFill>
                  <w14:solidFill>
                    <w14:schemeClr w14:val="tx1"/>
                  </w14:solidFill>
                </w14:textFill>
              </w:rPr>
              <w:t>化验室</w:t>
            </w:r>
          </w:p>
        </w:tc>
        <w:tc>
          <w:tcPr>
            <w:tcW w:w="3849" w:type="pct"/>
            <w:noWrap/>
            <w:vAlign w:val="center"/>
          </w:tcPr>
          <w:p w14:paraId="2B13E14D">
            <w:pPr>
              <w:pStyle w:val="109"/>
              <w:rPr>
                <w:color w:val="000000" w:themeColor="text1"/>
                <w14:textFill>
                  <w14:solidFill>
                    <w14:schemeClr w14:val="tx1"/>
                  </w14:solidFill>
                </w14:textFill>
              </w:rPr>
            </w:pPr>
            <w:r>
              <w:rPr>
                <w:color w:val="000000" w:themeColor="text1"/>
                <w14:textFill>
                  <w14:solidFill>
                    <w14:schemeClr w14:val="tx1"/>
                  </w14:solidFill>
                </w14:textFill>
              </w:rPr>
              <w:t>位于办公区内，从事</w:t>
            </w:r>
            <w:r>
              <w:rPr>
                <w:rFonts w:hint="eastAsia"/>
                <w:color w:val="000000" w:themeColor="text1"/>
                <w14:textFill>
                  <w14:solidFill>
                    <w14:schemeClr w14:val="tx1"/>
                  </w14:solidFill>
                </w14:textFill>
              </w:rPr>
              <w:t>废盐和融雪剂</w:t>
            </w:r>
            <w:r>
              <w:rPr>
                <w:color w:val="000000" w:themeColor="text1"/>
                <w14:textFill>
                  <w14:solidFill>
                    <w14:schemeClr w14:val="tx1"/>
                  </w14:solidFill>
                </w14:textFill>
              </w:rPr>
              <w:t>的鉴定、</w:t>
            </w:r>
            <w:r>
              <w:rPr>
                <w:rFonts w:hint="eastAsia"/>
                <w:color w:val="000000" w:themeColor="text1"/>
                <w14:textFill>
                  <w14:solidFill>
                    <w14:schemeClr w14:val="tx1"/>
                  </w14:solidFill>
                </w14:textFill>
              </w:rPr>
              <w:t>分析</w:t>
            </w:r>
            <w:r>
              <w:rPr>
                <w:color w:val="000000" w:themeColor="text1"/>
                <w14:textFill>
                  <w14:solidFill>
                    <w14:schemeClr w14:val="tx1"/>
                  </w14:solidFill>
                </w14:textFill>
              </w:rPr>
              <w:t>化验工作</w:t>
            </w:r>
          </w:p>
        </w:tc>
      </w:tr>
      <w:tr w14:paraId="67AC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restart"/>
            <w:noWrap/>
            <w:vAlign w:val="center"/>
          </w:tcPr>
          <w:p w14:paraId="25229B44">
            <w:pPr>
              <w:pStyle w:val="109"/>
              <w:rPr>
                <w:color w:val="000000" w:themeColor="text1"/>
                <w14:textFill>
                  <w14:solidFill>
                    <w14:schemeClr w14:val="tx1"/>
                  </w14:solidFill>
                </w14:textFill>
              </w:rPr>
            </w:pPr>
            <w:r>
              <w:rPr>
                <w:color w:val="000000" w:themeColor="text1"/>
                <w14:textFill>
                  <w14:solidFill>
                    <w14:schemeClr w14:val="tx1"/>
                  </w14:solidFill>
                </w14:textFill>
              </w:rPr>
              <w:t>储运工程</w:t>
            </w:r>
          </w:p>
        </w:tc>
        <w:tc>
          <w:tcPr>
            <w:tcW w:w="731" w:type="pct"/>
            <w:gridSpan w:val="2"/>
            <w:noWrap/>
            <w:vAlign w:val="center"/>
          </w:tcPr>
          <w:p w14:paraId="3BAB4F0E">
            <w:pPr>
              <w:pStyle w:val="109"/>
              <w:rPr>
                <w:color w:val="000000" w:themeColor="text1"/>
                <w14:textFill>
                  <w14:solidFill>
                    <w14:schemeClr w14:val="tx1"/>
                  </w14:solidFill>
                </w14:textFill>
              </w:rPr>
            </w:pPr>
            <w:r>
              <w:rPr>
                <w:color w:val="000000" w:themeColor="text1"/>
                <w14:textFill>
                  <w14:solidFill>
                    <w14:schemeClr w14:val="tx1"/>
                  </w14:solidFill>
                </w14:textFill>
              </w:rPr>
              <w:t>废盐仓库</w:t>
            </w:r>
          </w:p>
        </w:tc>
        <w:tc>
          <w:tcPr>
            <w:tcW w:w="3849" w:type="pct"/>
            <w:noWrap/>
            <w:vAlign w:val="center"/>
          </w:tcPr>
          <w:p w14:paraId="36048D46">
            <w:pPr>
              <w:pStyle w:val="109"/>
              <w:rPr>
                <w:color w:val="000000" w:themeColor="text1"/>
                <w14:textFill>
                  <w14:solidFill>
                    <w14:schemeClr w14:val="tx1"/>
                  </w14:solidFill>
                </w14:textFill>
              </w:rPr>
            </w:pPr>
            <w:r>
              <w:rPr>
                <w:color w:val="000000" w:themeColor="text1"/>
                <w14:textFill>
                  <w14:solidFill>
                    <w14:schemeClr w14:val="tx1"/>
                  </w14:solidFill>
                </w14:textFill>
              </w:rPr>
              <w:t>1座，全封闭，位于</w:t>
            </w:r>
            <w:r>
              <w:rPr>
                <w:rFonts w:hint="eastAsia"/>
                <w:color w:val="000000" w:themeColor="text1"/>
                <w14:textFill>
                  <w14:solidFill>
                    <w14:schemeClr w14:val="tx1"/>
                  </w14:solidFill>
                </w14:textFill>
              </w:rPr>
              <w:t>废盐处理车间东南侧</w:t>
            </w:r>
            <w:r>
              <w:rPr>
                <w:color w:val="000000" w:themeColor="text1"/>
                <w14:textFill>
                  <w14:solidFill>
                    <w14:schemeClr w14:val="tx1"/>
                  </w14:solidFill>
                </w14:textFill>
              </w:rPr>
              <w:t>，占地面积约1024m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，用于暂存废盐。</w:t>
            </w:r>
          </w:p>
        </w:tc>
      </w:tr>
      <w:tr w14:paraId="482C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1B8DD994">
            <w:pPr>
              <w:pStyle w:val="109"/>
              <w:rPr>
                <w:color w:val="000000" w:themeColor="text1"/>
                <w14:textFill>
                  <w14:solidFill>
                    <w14:schemeClr w14:val="tx1"/>
                  </w14:solidFill>
                </w14:textFill>
              </w:rPr>
            </w:pPr>
          </w:p>
        </w:tc>
        <w:tc>
          <w:tcPr>
            <w:tcW w:w="731" w:type="pct"/>
            <w:gridSpan w:val="2"/>
            <w:noWrap/>
            <w:vAlign w:val="center"/>
          </w:tcPr>
          <w:p w14:paraId="2BE0BF89">
            <w:pPr>
              <w:pStyle w:val="109"/>
              <w:rPr>
                <w:color w:val="000000" w:themeColor="text1"/>
                <w14:textFill>
                  <w14:solidFill>
                    <w14:schemeClr w14:val="tx1"/>
                  </w14:solidFill>
                </w14:textFill>
              </w:rPr>
            </w:pPr>
            <w:r>
              <w:rPr>
                <w:color w:val="000000" w:themeColor="text1"/>
                <w14:textFill>
                  <w14:solidFill>
                    <w14:schemeClr w14:val="tx1"/>
                  </w14:solidFill>
                </w14:textFill>
              </w:rPr>
              <w:t>成品仓库</w:t>
            </w:r>
          </w:p>
        </w:tc>
        <w:tc>
          <w:tcPr>
            <w:tcW w:w="3849" w:type="pct"/>
            <w:noWrap/>
            <w:vAlign w:val="center"/>
          </w:tcPr>
          <w:p w14:paraId="6820AA2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位于废盐处理车间内东南部</w:t>
            </w:r>
            <w:r>
              <w:rPr>
                <w:color w:val="000000" w:themeColor="text1"/>
                <w14:textFill>
                  <w14:solidFill>
                    <w14:schemeClr w14:val="tx1"/>
                  </w14:solidFill>
                </w14:textFill>
              </w:rPr>
              <w:t>，用于暂存</w:t>
            </w:r>
            <w:r>
              <w:rPr>
                <w:rFonts w:hint="eastAsia"/>
                <w:color w:val="000000" w:themeColor="text1"/>
                <w14:textFill>
                  <w14:solidFill>
                    <w14:schemeClr w14:val="tx1"/>
                  </w14:solidFill>
                </w14:textFill>
              </w:rPr>
              <w:t>融雪剂成品</w:t>
            </w:r>
          </w:p>
        </w:tc>
      </w:tr>
      <w:tr w14:paraId="74E0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227A6ED9">
            <w:pPr>
              <w:pStyle w:val="109"/>
              <w:rPr>
                <w:color w:val="000000" w:themeColor="text1"/>
                <w14:textFill>
                  <w14:solidFill>
                    <w14:schemeClr w14:val="tx1"/>
                  </w14:solidFill>
                </w14:textFill>
              </w:rPr>
            </w:pPr>
          </w:p>
        </w:tc>
        <w:tc>
          <w:tcPr>
            <w:tcW w:w="731" w:type="pct"/>
            <w:gridSpan w:val="2"/>
            <w:noWrap/>
            <w:vAlign w:val="center"/>
          </w:tcPr>
          <w:p w14:paraId="4DFB508D">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危险废物暂存间</w:t>
            </w:r>
          </w:p>
        </w:tc>
        <w:tc>
          <w:tcPr>
            <w:tcW w:w="3849" w:type="pct"/>
            <w:noWrap/>
            <w:vAlign w:val="center"/>
          </w:tcPr>
          <w:p w14:paraId="3D4E0345">
            <w:pPr>
              <w:pStyle w:val="109"/>
              <w:rPr>
                <w:color w:val="000000" w:themeColor="text1"/>
                <w14:textFill>
                  <w14:solidFill>
                    <w14:schemeClr w14:val="tx1"/>
                  </w14:solidFill>
                </w14:textFill>
              </w:rPr>
            </w:pPr>
            <w:r>
              <w:rPr>
                <w:color w:val="000000" w:themeColor="text1"/>
                <w14:textFill>
                  <w14:solidFill>
                    <w14:schemeClr w14:val="tx1"/>
                  </w14:solidFill>
                </w14:textFill>
              </w:rPr>
              <w:t>1座，位于废盐处理车间东北侧，</w:t>
            </w:r>
            <w:r>
              <w:rPr>
                <w:rFonts w:hint="eastAsia"/>
                <w:color w:val="000000" w:themeColor="text1"/>
                <w14:textFill>
                  <w14:solidFill>
                    <w14:schemeClr w14:val="tx1"/>
                  </w14:solidFill>
                </w14:textFill>
              </w:rPr>
              <w:t>建筑面积72㎡，</w:t>
            </w:r>
            <w:r>
              <w:rPr>
                <w:color w:val="000000" w:themeColor="text1"/>
                <w14:textFill>
                  <w14:solidFill>
                    <w14:schemeClr w14:val="tx1"/>
                  </w14:solidFill>
                </w14:textFill>
              </w:rPr>
              <w:t>用于暂存生产过程的次生危险废物</w:t>
            </w:r>
          </w:p>
        </w:tc>
      </w:tr>
      <w:tr w14:paraId="0857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5A9B07CE">
            <w:pPr>
              <w:pStyle w:val="109"/>
              <w:rPr>
                <w:color w:val="000000" w:themeColor="text1"/>
                <w14:textFill>
                  <w14:solidFill>
                    <w14:schemeClr w14:val="tx1"/>
                  </w14:solidFill>
                </w14:textFill>
              </w:rPr>
            </w:pPr>
          </w:p>
        </w:tc>
        <w:tc>
          <w:tcPr>
            <w:tcW w:w="731" w:type="pct"/>
            <w:gridSpan w:val="2"/>
            <w:noWrap/>
            <w:vAlign w:val="center"/>
          </w:tcPr>
          <w:p w14:paraId="08875DE7">
            <w:pPr>
              <w:pStyle w:val="109"/>
              <w:rPr>
                <w:color w:val="000000" w:themeColor="text1"/>
                <w14:textFill>
                  <w14:solidFill>
                    <w14:schemeClr w14:val="tx1"/>
                  </w14:solidFill>
                </w14:textFill>
              </w:rPr>
            </w:pPr>
            <w:r>
              <w:rPr>
                <w:color w:val="000000" w:themeColor="text1"/>
                <w14:textFill>
                  <w14:solidFill>
                    <w14:schemeClr w14:val="tx1"/>
                  </w14:solidFill>
                </w14:textFill>
              </w:rPr>
              <w:t>运输</w:t>
            </w:r>
          </w:p>
        </w:tc>
        <w:tc>
          <w:tcPr>
            <w:tcW w:w="3849" w:type="pct"/>
            <w:noWrap/>
            <w:vAlign w:val="center"/>
          </w:tcPr>
          <w:p w14:paraId="4C2A2841">
            <w:pPr>
              <w:pStyle w:val="109"/>
              <w:rPr>
                <w:color w:val="000000" w:themeColor="text1"/>
                <w14:textFill>
                  <w14:solidFill>
                    <w14:schemeClr w14:val="tx1"/>
                  </w14:solidFill>
                </w14:textFill>
              </w:rPr>
            </w:pPr>
            <w:r>
              <w:rPr>
                <w:color w:val="000000" w:themeColor="text1"/>
                <w14:textFill>
                  <w14:solidFill>
                    <w14:schemeClr w14:val="tx1"/>
                  </w14:solidFill>
                </w14:textFill>
              </w:rPr>
              <w:t>厂外采用汽车运输（其中危险废物委托有资质单位运输），厂内采用叉车转移</w:t>
            </w:r>
          </w:p>
        </w:tc>
      </w:tr>
      <w:tr w14:paraId="3344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restart"/>
            <w:noWrap/>
            <w:vAlign w:val="center"/>
          </w:tcPr>
          <w:p w14:paraId="139D5CF3">
            <w:pPr>
              <w:pStyle w:val="109"/>
              <w:rPr>
                <w:color w:val="000000" w:themeColor="text1"/>
                <w14:textFill>
                  <w14:solidFill>
                    <w14:schemeClr w14:val="tx1"/>
                  </w14:solidFill>
                </w14:textFill>
              </w:rPr>
            </w:pPr>
            <w:r>
              <w:rPr>
                <w:color w:val="000000" w:themeColor="text1"/>
                <w14:textFill>
                  <w14:solidFill>
                    <w14:schemeClr w14:val="tx1"/>
                  </w14:solidFill>
                </w14:textFill>
              </w:rPr>
              <w:t>公用工程</w:t>
            </w:r>
          </w:p>
        </w:tc>
        <w:tc>
          <w:tcPr>
            <w:tcW w:w="731" w:type="pct"/>
            <w:gridSpan w:val="2"/>
            <w:noWrap/>
            <w:vAlign w:val="center"/>
          </w:tcPr>
          <w:p w14:paraId="17039D16">
            <w:pPr>
              <w:pStyle w:val="109"/>
              <w:rPr>
                <w:color w:val="000000" w:themeColor="text1"/>
                <w14:textFill>
                  <w14:solidFill>
                    <w14:schemeClr w14:val="tx1"/>
                  </w14:solidFill>
                </w14:textFill>
              </w:rPr>
            </w:pPr>
            <w:r>
              <w:rPr>
                <w:color w:val="000000" w:themeColor="text1"/>
                <w14:textFill>
                  <w14:solidFill>
                    <w14:schemeClr w14:val="tx1"/>
                  </w14:solidFill>
                </w14:textFill>
              </w:rPr>
              <w:t>给水系统</w:t>
            </w:r>
          </w:p>
        </w:tc>
        <w:tc>
          <w:tcPr>
            <w:tcW w:w="3849" w:type="pct"/>
            <w:noWrap/>
            <w:vAlign w:val="center"/>
          </w:tcPr>
          <w:p w14:paraId="00AE216C">
            <w:pPr>
              <w:pStyle w:val="109"/>
              <w:rPr>
                <w:color w:val="000000" w:themeColor="text1"/>
                <w14:textFill>
                  <w14:solidFill>
                    <w14:schemeClr w14:val="tx1"/>
                  </w14:solidFill>
                </w14:textFill>
              </w:rPr>
            </w:pPr>
            <w:r>
              <w:rPr>
                <w:color w:val="000000" w:themeColor="text1"/>
                <w14:textFill>
                  <w14:solidFill>
                    <w14:schemeClr w14:val="tx1"/>
                  </w14:solidFill>
                </w14:textFill>
              </w:rPr>
              <w:t>供水来源为市政自来水。厂区内部设置环状供水线路。设置循环水站</w:t>
            </w:r>
            <w:r>
              <w:rPr>
                <w:rFonts w:eastAsia="TimesNewRomanPSMT"/>
                <w:color w:val="000000" w:themeColor="text1"/>
                <w14:textFill>
                  <w14:solidFill>
                    <w14:schemeClr w14:val="tx1"/>
                  </w14:solidFill>
                </w14:textFill>
              </w:rPr>
              <w:t>1</w:t>
            </w:r>
            <w:r>
              <w:rPr>
                <w:color w:val="000000" w:themeColor="text1"/>
                <w14:textFill>
                  <w14:solidFill>
                    <w14:schemeClr w14:val="tx1"/>
                  </w14:solidFill>
                </w14:textFill>
              </w:rPr>
              <w:t>座，为生产设备提供间接冷却水，设置机械通风逆流式冷却塔</w:t>
            </w:r>
            <w:r>
              <w:rPr>
                <w:rFonts w:eastAsia="TimesNewRomanPSMT"/>
                <w:color w:val="000000" w:themeColor="text1"/>
                <w14:textFill>
                  <w14:solidFill>
                    <w14:schemeClr w14:val="tx1"/>
                  </w14:solidFill>
                </w14:textFill>
              </w:rPr>
              <w:t>1</w:t>
            </w:r>
            <w:r>
              <w:rPr>
                <w:color w:val="000000" w:themeColor="text1"/>
                <w14:textFill>
                  <w14:solidFill>
                    <w14:schemeClr w14:val="tx1"/>
                  </w14:solidFill>
                </w14:textFill>
              </w:rPr>
              <w:t>座，循环水量</w:t>
            </w:r>
            <w:r>
              <w:rPr>
                <w:rFonts w:hint="eastAsia" w:eastAsia="TimesNewRomanPSMT"/>
                <w:color w:val="000000" w:themeColor="text1"/>
                <w14:textFill>
                  <w14:solidFill>
                    <w14:schemeClr w14:val="tx1"/>
                  </w14:solidFill>
                </w14:textFill>
              </w:rPr>
              <w:t>2</w:t>
            </w:r>
            <w:r>
              <w:rPr>
                <w:rFonts w:eastAsia="TimesNewRomanPSMT"/>
                <w:color w:val="000000" w:themeColor="text1"/>
                <w14:textFill>
                  <w14:solidFill>
                    <w14:schemeClr w14:val="tx1"/>
                  </w14:solidFill>
                </w14:textFill>
              </w:rPr>
              <w:t>00m³/h</w:t>
            </w:r>
          </w:p>
        </w:tc>
      </w:tr>
      <w:tr w14:paraId="5283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75D988AE">
            <w:pPr>
              <w:pStyle w:val="109"/>
              <w:rPr>
                <w:color w:val="000000" w:themeColor="text1"/>
                <w:highlight w:val="yellow"/>
                <w14:textFill>
                  <w14:solidFill>
                    <w14:schemeClr w14:val="tx1"/>
                  </w14:solidFill>
                </w14:textFill>
              </w:rPr>
            </w:pPr>
          </w:p>
        </w:tc>
        <w:tc>
          <w:tcPr>
            <w:tcW w:w="731" w:type="pct"/>
            <w:gridSpan w:val="2"/>
            <w:noWrap/>
            <w:vAlign w:val="center"/>
          </w:tcPr>
          <w:p w14:paraId="355D84F8">
            <w:pPr>
              <w:pStyle w:val="109"/>
              <w:rPr>
                <w:color w:val="000000" w:themeColor="text1"/>
                <w14:textFill>
                  <w14:solidFill>
                    <w14:schemeClr w14:val="tx1"/>
                  </w14:solidFill>
                </w14:textFill>
              </w:rPr>
            </w:pPr>
            <w:r>
              <w:rPr>
                <w:color w:val="000000" w:themeColor="text1"/>
                <w14:textFill>
                  <w14:solidFill>
                    <w14:schemeClr w14:val="tx1"/>
                  </w14:solidFill>
                </w14:textFill>
              </w:rPr>
              <w:t>排水系统</w:t>
            </w:r>
          </w:p>
        </w:tc>
        <w:tc>
          <w:tcPr>
            <w:tcW w:w="3849" w:type="pct"/>
            <w:noWrap/>
            <w:vAlign w:val="center"/>
          </w:tcPr>
          <w:p w14:paraId="5FC2E2CD">
            <w:pPr>
              <w:pStyle w:val="109"/>
              <w:rPr>
                <w:color w:val="000000" w:themeColor="text1"/>
                <w14:textFill>
                  <w14:solidFill>
                    <w14:schemeClr w14:val="tx1"/>
                  </w14:solidFill>
                </w14:textFill>
              </w:rPr>
            </w:pPr>
            <w:r>
              <w:rPr>
                <w:color w:val="000000" w:themeColor="text1"/>
                <w14:textFill>
                  <w14:solidFill>
                    <w14:schemeClr w14:val="tx1"/>
                  </w14:solidFill>
                </w14:textFill>
              </w:rPr>
              <w:t>采用清污分流排水体制。生活污水经化粪池预处理后排入市政污水管网。循环冷却系统排污水、化验室废水、地面冲洗废水</w:t>
            </w:r>
            <w:r>
              <w:rPr>
                <w:rFonts w:hint="eastAsia"/>
                <w:color w:val="000000" w:themeColor="text1"/>
                <w14:textFill>
                  <w14:solidFill>
                    <w14:schemeClr w14:val="tx1"/>
                  </w14:solidFill>
                </w14:textFill>
              </w:rPr>
              <w:t>直接</w:t>
            </w:r>
            <w:r>
              <w:rPr>
                <w:color w:val="000000" w:themeColor="text1"/>
                <w14:textFill>
                  <w14:solidFill>
                    <w14:schemeClr w14:val="tx1"/>
                  </w14:solidFill>
                </w14:textFill>
              </w:rPr>
              <w:t>排入市政污水管网</w:t>
            </w:r>
          </w:p>
        </w:tc>
      </w:tr>
      <w:tr w14:paraId="25BB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23B5055C">
            <w:pPr>
              <w:pStyle w:val="109"/>
              <w:rPr>
                <w:color w:val="000000" w:themeColor="text1"/>
                <w:highlight w:val="yellow"/>
                <w14:textFill>
                  <w14:solidFill>
                    <w14:schemeClr w14:val="tx1"/>
                  </w14:solidFill>
                </w14:textFill>
              </w:rPr>
            </w:pPr>
          </w:p>
        </w:tc>
        <w:tc>
          <w:tcPr>
            <w:tcW w:w="731" w:type="pct"/>
            <w:gridSpan w:val="2"/>
            <w:noWrap/>
            <w:vAlign w:val="center"/>
          </w:tcPr>
          <w:p w14:paraId="729B7216">
            <w:pPr>
              <w:pStyle w:val="109"/>
              <w:rPr>
                <w:color w:val="000000" w:themeColor="text1"/>
                <w14:textFill>
                  <w14:solidFill>
                    <w14:schemeClr w14:val="tx1"/>
                  </w14:solidFill>
                </w14:textFill>
              </w:rPr>
            </w:pPr>
            <w:r>
              <w:rPr>
                <w:color w:val="000000" w:themeColor="text1"/>
                <w14:textFill>
                  <w14:solidFill>
                    <w14:schemeClr w14:val="tx1"/>
                  </w14:solidFill>
                </w14:textFill>
              </w:rPr>
              <w:t>供电工程</w:t>
            </w:r>
          </w:p>
        </w:tc>
        <w:tc>
          <w:tcPr>
            <w:tcW w:w="3849" w:type="pct"/>
            <w:noWrap/>
            <w:vAlign w:val="center"/>
          </w:tcPr>
          <w:p w14:paraId="5074A3C3">
            <w:pPr>
              <w:pStyle w:val="109"/>
              <w:rPr>
                <w:color w:val="000000" w:themeColor="text1"/>
                <w14:textFill>
                  <w14:solidFill>
                    <w14:schemeClr w14:val="tx1"/>
                  </w14:solidFill>
                </w14:textFill>
              </w:rPr>
            </w:pPr>
            <w:r>
              <w:rPr>
                <w:color w:val="000000" w:themeColor="text1"/>
                <w14:textFill>
                  <w14:solidFill>
                    <w14:schemeClr w14:val="tx1"/>
                  </w14:solidFill>
                </w14:textFill>
              </w:rPr>
              <w:t>市政电网接入</w:t>
            </w:r>
          </w:p>
        </w:tc>
      </w:tr>
      <w:tr w14:paraId="0561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5DB1101D">
            <w:pPr>
              <w:pStyle w:val="109"/>
              <w:rPr>
                <w:color w:val="000000" w:themeColor="text1"/>
                <w:highlight w:val="yellow"/>
                <w14:textFill>
                  <w14:solidFill>
                    <w14:schemeClr w14:val="tx1"/>
                  </w14:solidFill>
                </w14:textFill>
              </w:rPr>
            </w:pPr>
          </w:p>
        </w:tc>
        <w:tc>
          <w:tcPr>
            <w:tcW w:w="731" w:type="pct"/>
            <w:gridSpan w:val="2"/>
            <w:noWrap/>
            <w:vAlign w:val="center"/>
          </w:tcPr>
          <w:p w14:paraId="6CC40272">
            <w:pPr>
              <w:pStyle w:val="109"/>
              <w:rPr>
                <w:color w:val="000000" w:themeColor="text1"/>
                <w14:textFill>
                  <w14:solidFill>
                    <w14:schemeClr w14:val="tx1"/>
                  </w14:solidFill>
                </w14:textFill>
              </w:rPr>
            </w:pPr>
            <w:r>
              <w:rPr>
                <w:color w:val="000000" w:themeColor="text1"/>
                <w14:textFill>
                  <w14:solidFill>
                    <w14:schemeClr w14:val="tx1"/>
                  </w14:solidFill>
                </w14:textFill>
              </w:rPr>
              <w:t>供气工程</w:t>
            </w:r>
          </w:p>
        </w:tc>
        <w:tc>
          <w:tcPr>
            <w:tcW w:w="3849" w:type="pct"/>
            <w:noWrap/>
            <w:vAlign w:val="center"/>
          </w:tcPr>
          <w:p w14:paraId="369ECE6B">
            <w:pPr>
              <w:pStyle w:val="109"/>
              <w:rPr>
                <w:color w:val="000000" w:themeColor="text1"/>
                <w14:textFill>
                  <w14:solidFill>
                    <w14:schemeClr w14:val="tx1"/>
                  </w14:solidFill>
                </w14:textFill>
              </w:rPr>
            </w:pPr>
            <w:r>
              <w:rPr>
                <w:color w:val="000000" w:themeColor="text1"/>
                <w14:textFill>
                  <w14:solidFill>
                    <w14:schemeClr w14:val="tx1"/>
                  </w14:solidFill>
                </w14:textFill>
              </w:rPr>
              <w:t>热解焙烧窑、二燃室燃气采用天然气，由园区天然气管网供应，厂区内不建设</w:t>
            </w:r>
            <w:r>
              <w:rPr>
                <w:rFonts w:hint="eastAsia"/>
                <w:color w:val="000000" w:themeColor="text1"/>
                <w14:textFill>
                  <w14:solidFill>
                    <w14:schemeClr w14:val="tx1"/>
                  </w14:solidFill>
                </w14:textFill>
              </w:rPr>
              <w:t>天然气储存设施</w:t>
            </w:r>
          </w:p>
        </w:tc>
      </w:tr>
      <w:tr w14:paraId="4FD9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restart"/>
            <w:noWrap/>
            <w:vAlign w:val="center"/>
          </w:tcPr>
          <w:p w14:paraId="6635EF1C">
            <w:pPr>
              <w:pStyle w:val="109"/>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731" w:type="pct"/>
            <w:gridSpan w:val="2"/>
            <w:noWrap/>
            <w:vAlign w:val="center"/>
          </w:tcPr>
          <w:p w14:paraId="3E22E8C1">
            <w:pPr>
              <w:pStyle w:val="109"/>
              <w:rPr>
                <w:color w:val="000000" w:themeColor="text1"/>
                <w14:textFill>
                  <w14:solidFill>
                    <w14:schemeClr w14:val="tx1"/>
                  </w14:solidFill>
                </w14:textFill>
              </w:rPr>
            </w:pPr>
            <w:r>
              <w:rPr>
                <w:color w:val="000000" w:themeColor="text1"/>
                <w14:textFill>
                  <w14:solidFill>
                    <w14:schemeClr w14:val="tx1"/>
                  </w14:solidFill>
                </w14:textFill>
              </w:rPr>
              <w:t>废水处理</w:t>
            </w:r>
          </w:p>
        </w:tc>
        <w:tc>
          <w:tcPr>
            <w:tcW w:w="3849" w:type="pct"/>
            <w:noWrap/>
            <w:vAlign w:val="center"/>
          </w:tcPr>
          <w:p w14:paraId="5C47F6F3">
            <w:pPr>
              <w:pStyle w:val="109"/>
              <w:rPr>
                <w:color w:val="000000" w:themeColor="text1"/>
                <w14:textFill>
                  <w14:solidFill>
                    <w14:schemeClr w14:val="tx1"/>
                  </w14:solidFill>
                </w14:textFill>
              </w:rPr>
            </w:pPr>
            <w:r>
              <w:rPr>
                <w:color w:val="000000" w:themeColor="text1"/>
                <w14:textFill>
                  <w14:solidFill>
                    <w14:schemeClr w14:val="tx1"/>
                  </w14:solidFill>
                </w14:textFill>
              </w:rPr>
              <w:t>烟气处理系统废水中和后排入多效蒸发器处理</w:t>
            </w:r>
            <w:r>
              <w:rPr>
                <w:rFonts w:hint="eastAsia"/>
                <w:color w:val="000000" w:themeColor="text1"/>
                <w14:textFill>
                  <w14:solidFill>
                    <w14:schemeClr w14:val="tx1"/>
                  </w14:solidFill>
                </w14:textFill>
              </w:rPr>
              <w:t>，冷凝水</w:t>
            </w:r>
            <w:r>
              <w:rPr>
                <w:color w:val="000000" w:themeColor="text1"/>
                <w14:textFill>
                  <w14:solidFill>
                    <w14:schemeClr w14:val="tx1"/>
                  </w14:solidFill>
                </w14:textFill>
              </w:rPr>
              <w:t>作为水洗塔和急冷塔补水使用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生活污水经化粪池预处理后排入市政污水管网。循环冷却系统排污水、化验室废水、地面冲洗废水</w:t>
            </w:r>
            <w:r>
              <w:rPr>
                <w:rFonts w:hint="eastAsia"/>
                <w:color w:val="000000" w:themeColor="text1"/>
                <w14:textFill>
                  <w14:solidFill>
                    <w14:schemeClr w14:val="tx1"/>
                  </w14:solidFill>
                </w14:textFill>
              </w:rPr>
              <w:t>直接</w:t>
            </w:r>
            <w:r>
              <w:rPr>
                <w:color w:val="000000" w:themeColor="text1"/>
                <w14:textFill>
                  <w14:solidFill>
                    <w14:schemeClr w14:val="tx1"/>
                  </w14:solidFill>
                </w14:textFill>
              </w:rPr>
              <w:t>排入市政污水管网</w:t>
            </w:r>
            <w:r>
              <w:rPr>
                <w:rFonts w:hint="eastAsia"/>
                <w:color w:val="000000" w:themeColor="text1"/>
                <w14:textFill>
                  <w14:solidFill>
                    <w14:schemeClr w14:val="tx1"/>
                  </w14:solidFill>
                </w14:textFill>
              </w:rPr>
              <w:t>。</w:t>
            </w:r>
          </w:p>
        </w:tc>
      </w:tr>
      <w:tr w14:paraId="3E5A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6B4FA904">
            <w:pPr>
              <w:pStyle w:val="109"/>
              <w:rPr>
                <w:color w:val="000000" w:themeColor="text1"/>
                <w:highlight w:val="yellow"/>
                <w14:textFill>
                  <w14:solidFill>
                    <w14:schemeClr w14:val="tx1"/>
                  </w14:solidFill>
                </w14:textFill>
              </w:rPr>
            </w:pPr>
          </w:p>
        </w:tc>
        <w:tc>
          <w:tcPr>
            <w:tcW w:w="188" w:type="pct"/>
            <w:vMerge w:val="restart"/>
            <w:noWrap/>
            <w:vAlign w:val="center"/>
          </w:tcPr>
          <w:p w14:paraId="6A13F31D">
            <w:pPr>
              <w:pStyle w:val="109"/>
              <w:rPr>
                <w:color w:val="000000" w:themeColor="text1"/>
                <w14:textFill>
                  <w14:solidFill>
                    <w14:schemeClr w14:val="tx1"/>
                  </w14:solidFill>
                </w14:textFill>
              </w:rPr>
            </w:pPr>
            <w:r>
              <w:rPr>
                <w:color w:val="000000" w:themeColor="text1"/>
                <w14:textFill>
                  <w14:solidFill>
                    <w14:schemeClr w14:val="tx1"/>
                  </w14:solidFill>
                </w14:textFill>
              </w:rPr>
              <w:t>废气治理</w:t>
            </w:r>
          </w:p>
        </w:tc>
        <w:tc>
          <w:tcPr>
            <w:tcW w:w="543" w:type="pct"/>
            <w:vAlign w:val="center"/>
          </w:tcPr>
          <w:p w14:paraId="1A6298B2">
            <w:pPr>
              <w:pStyle w:val="109"/>
              <w:rPr>
                <w:color w:val="000000" w:themeColor="text1"/>
                <w14:textFill>
                  <w14:solidFill>
                    <w14:schemeClr w14:val="tx1"/>
                  </w14:solidFill>
                </w14:textFill>
              </w:rPr>
            </w:pPr>
            <w:r>
              <w:rPr>
                <w:color w:val="000000" w:themeColor="text1"/>
                <w14:textFill>
                  <w14:solidFill>
                    <w14:schemeClr w14:val="tx1"/>
                  </w14:solidFill>
                </w14:textFill>
              </w:rPr>
              <w:t>废盐仓库储存废气</w:t>
            </w:r>
            <w:r>
              <w:rPr>
                <w:rFonts w:hint="eastAsia"/>
                <w:color w:val="000000" w:themeColor="text1"/>
                <w14:textFill>
                  <w14:solidFill>
                    <w14:schemeClr w14:val="tx1"/>
                  </w14:solidFill>
                </w14:textFill>
              </w:rPr>
              <w:t>、配伍废气</w:t>
            </w:r>
          </w:p>
        </w:tc>
        <w:tc>
          <w:tcPr>
            <w:tcW w:w="3849" w:type="pct"/>
            <w:noWrap/>
            <w:vAlign w:val="center"/>
          </w:tcPr>
          <w:p w14:paraId="5388B37D">
            <w:pPr>
              <w:pStyle w:val="109"/>
              <w:rPr>
                <w:color w:val="000000" w:themeColor="text1"/>
                <w14:textFill>
                  <w14:solidFill>
                    <w14:schemeClr w14:val="tx1"/>
                  </w14:solidFill>
                </w14:textFill>
              </w:rPr>
            </w:pPr>
            <w:r>
              <w:rPr>
                <w:color w:val="000000" w:themeColor="text1"/>
                <w14:textFill>
                  <w14:solidFill>
                    <w14:schemeClr w14:val="tx1"/>
                  </w14:solidFill>
                </w14:textFill>
              </w:rPr>
              <w:t>废盐仓库</w:t>
            </w:r>
            <w:r>
              <w:rPr>
                <w:rFonts w:hint="eastAsia"/>
                <w:color w:val="000000" w:themeColor="text1"/>
                <w14:textFill>
                  <w14:solidFill>
                    <w14:schemeClr w14:val="tx1"/>
                  </w14:solidFill>
                </w14:textFill>
              </w:rPr>
              <w:t>为封闭式</w:t>
            </w:r>
            <w:r>
              <w:rPr>
                <w:color w:val="000000" w:themeColor="text1"/>
                <w14:textFill>
                  <w14:solidFill>
                    <w14:schemeClr w14:val="tx1"/>
                  </w14:solidFill>
                </w14:textFill>
              </w:rPr>
              <w:t>，采用负压操作系统收集，经二级活性炭吸附装置净化处理后经高15m的排气筒</w:t>
            </w:r>
            <w:r>
              <w:rPr>
                <w:rFonts w:hint="eastAsia"/>
                <w:color w:val="000000" w:themeColor="text1"/>
                <w14:textFill>
                  <w14:solidFill>
                    <w14:schemeClr w14:val="tx1"/>
                  </w14:solidFill>
                </w14:textFill>
              </w:rPr>
              <w:t>DA001</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车间内</w:t>
            </w:r>
            <w:r>
              <w:rPr>
                <w:color w:val="000000" w:themeColor="text1"/>
                <w14:textFill>
                  <w14:solidFill>
                    <w14:schemeClr w14:val="tx1"/>
                  </w14:solidFill>
                </w14:textFill>
              </w:rPr>
              <w:t>设置单独封闭的配伍间，并进行抽负压设计，配伍过程产生的废气</w:t>
            </w:r>
            <w:r>
              <w:rPr>
                <w:rFonts w:hint="eastAsia"/>
                <w:color w:val="000000" w:themeColor="text1"/>
                <w14:textFill>
                  <w14:solidFill>
                    <w14:schemeClr w14:val="tx1"/>
                  </w14:solidFill>
                </w14:textFill>
              </w:rPr>
              <w:t>与废盐仓库废气共用一套废气处理设施。</w:t>
            </w:r>
          </w:p>
        </w:tc>
      </w:tr>
      <w:tr w14:paraId="4429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566251CC">
            <w:pPr>
              <w:pStyle w:val="109"/>
              <w:rPr>
                <w:color w:val="000000" w:themeColor="text1"/>
                <w:highlight w:val="yellow"/>
                <w14:textFill>
                  <w14:solidFill>
                    <w14:schemeClr w14:val="tx1"/>
                  </w14:solidFill>
                </w14:textFill>
              </w:rPr>
            </w:pPr>
          </w:p>
        </w:tc>
        <w:tc>
          <w:tcPr>
            <w:tcW w:w="188" w:type="pct"/>
            <w:vMerge w:val="continue"/>
            <w:noWrap/>
            <w:vAlign w:val="center"/>
          </w:tcPr>
          <w:p w14:paraId="14E8D295">
            <w:pPr>
              <w:pStyle w:val="109"/>
              <w:rPr>
                <w:color w:val="000000" w:themeColor="text1"/>
                <w:highlight w:val="yellow"/>
                <w14:textFill>
                  <w14:solidFill>
                    <w14:schemeClr w14:val="tx1"/>
                  </w14:solidFill>
                </w14:textFill>
              </w:rPr>
            </w:pPr>
          </w:p>
        </w:tc>
        <w:tc>
          <w:tcPr>
            <w:tcW w:w="543" w:type="pct"/>
            <w:vAlign w:val="center"/>
          </w:tcPr>
          <w:p w14:paraId="42E35EF1">
            <w:pPr>
              <w:pStyle w:val="109"/>
              <w:rPr>
                <w:color w:val="000000" w:themeColor="text1"/>
                <w14:textFill>
                  <w14:solidFill>
                    <w14:schemeClr w14:val="tx1"/>
                  </w14:solidFill>
                </w14:textFill>
              </w:rPr>
            </w:pPr>
            <w:r>
              <w:rPr>
                <w:color w:val="000000" w:themeColor="text1"/>
                <w14:textFill>
                  <w14:solidFill>
                    <w14:schemeClr w14:val="tx1"/>
                  </w14:solidFill>
                </w14:textFill>
              </w:rPr>
              <w:t>热解焙烧窑废气</w:t>
            </w:r>
          </w:p>
        </w:tc>
        <w:tc>
          <w:tcPr>
            <w:tcW w:w="3849" w:type="pct"/>
            <w:noWrap/>
            <w:vAlign w:val="center"/>
          </w:tcPr>
          <w:p w14:paraId="27BE21F6">
            <w:pPr>
              <w:pStyle w:val="109"/>
              <w:rPr>
                <w:color w:val="000000" w:themeColor="text1"/>
                <w14:textFill>
                  <w14:solidFill>
                    <w14:schemeClr w14:val="tx1"/>
                  </w14:solidFill>
                </w14:textFill>
              </w:rPr>
            </w:pPr>
            <w:r>
              <w:rPr>
                <w:color w:val="000000" w:themeColor="text1"/>
                <w14:textFill>
                  <w14:solidFill>
                    <w14:schemeClr w14:val="tx1"/>
                  </w14:solidFill>
                </w14:textFill>
              </w:rPr>
              <w:t>废盐处置废气经过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二燃室（SNCR）+石墨急冷塔+二级碱洗塔+水洗塔+湿电除尘+引风机+活性炭吸附+GGH换热+热风炉（电加热）+SCR</w:t>
            </w:r>
            <w:r>
              <w:rPr>
                <w:rFonts w:hint="eastAsia"/>
                <w:color w:val="000000" w:themeColor="text1"/>
                <w14:textFill>
                  <w14:solidFill>
                    <w14:schemeClr w14:val="tx1"/>
                  </w14:solidFill>
                </w14:textFill>
              </w:rPr>
              <w:t>”处理后</w:t>
            </w:r>
            <w:r>
              <w:rPr>
                <w:color w:val="000000" w:themeColor="text1"/>
                <w14:textFill>
                  <w14:solidFill>
                    <w14:schemeClr w14:val="tx1"/>
                  </w14:solidFill>
                </w14:textFill>
              </w:rPr>
              <w:t>，通过</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m高排气筒</w:t>
            </w:r>
            <w:r>
              <w:rPr>
                <w:rFonts w:hint="eastAsia"/>
                <w:color w:val="000000" w:themeColor="text1"/>
                <w14:textFill>
                  <w14:solidFill>
                    <w14:schemeClr w14:val="tx1"/>
                  </w14:solidFill>
                </w14:textFill>
              </w:rPr>
              <w:t>DA002</w:t>
            </w:r>
            <w:r>
              <w:rPr>
                <w:color w:val="000000" w:themeColor="text1"/>
                <w14:textFill>
                  <w14:solidFill>
                    <w14:schemeClr w14:val="tx1"/>
                  </w14:solidFill>
                </w14:textFill>
              </w:rPr>
              <w:t>达标排放</w:t>
            </w:r>
          </w:p>
        </w:tc>
      </w:tr>
      <w:tr w14:paraId="68A7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07FB886D">
            <w:pPr>
              <w:pStyle w:val="109"/>
              <w:rPr>
                <w:color w:val="000000" w:themeColor="text1"/>
                <w:highlight w:val="yellow"/>
                <w14:textFill>
                  <w14:solidFill>
                    <w14:schemeClr w14:val="tx1"/>
                  </w14:solidFill>
                </w14:textFill>
              </w:rPr>
            </w:pPr>
          </w:p>
        </w:tc>
        <w:tc>
          <w:tcPr>
            <w:tcW w:w="188" w:type="pct"/>
            <w:vMerge w:val="continue"/>
            <w:noWrap/>
            <w:vAlign w:val="center"/>
          </w:tcPr>
          <w:p w14:paraId="57AD812F">
            <w:pPr>
              <w:pStyle w:val="109"/>
              <w:rPr>
                <w:color w:val="000000" w:themeColor="text1"/>
                <w:highlight w:val="yellow"/>
                <w14:textFill>
                  <w14:solidFill>
                    <w14:schemeClr w14:val="tx1"/>
                  </w14:solidFill>
                </w14:textFill>
              </w:rPr>
            </w:pPr>
          </w:p>
        </w:tc>
        <w:tc>
          <w:tcPr>
            <w:tcW w:w="543" w:type="pct"/>
            <w:vAlign w:val="center"/>
          </w:tcPr>
          <w:p w14:paraId="3641BBC5">
            <w:pPr>
              <w:pStyle w:val="109"/>
              <w:rPr>
                <w:color w:val="000000" w:themeColor="text1"/>
                <w14:textFill>
                  <w14:solidFill>
                    <w14:schemeClr w14:val="tx1"/>
                  </w14:solidFill>
                </w14:textFill>
              </w:rPr>
            </w:pPr>
            <w:r>
              <w:rPr>
                <w:color w:val="000000" w:themeColor="text1"/>
                <w14:textFill>
                  <w14:solidFill>
                    <w14:schemeClr w14:val="tx1"/>
                  </w14:solidFill>
                </w14:textFill>
              </w:rPr>
              <w:t>热解焙烧窑</w:t>
            </w:r>
            <w:r>
              <w:rPr>
                <w:rFonts w:hint="eastAsia"/>
                <w:color w:val="000000" w:themeColor="text1"/>
                <w14:textFill>
                  <w14:solidFill>
                    <w14:schemeClr w14:val="tx1"/>
                  </w14:solidFill>
                </w14:textFill>
              </w:rPr>
              <w:t>天然气燃烧废气</w:t>
            </w:r>
          </w:p>
        </w:tc>
        <w:tc>
          <w:tcPr>
            <w:tcW w:w="3849" w:type="pct"/>
            <w:noWrap/>
            <w:vAlign w:val="center"/>
          </w:tcPr>
          <w:p w14:paraId="12CD4A4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采用低氮燃烧器，燃烧烟气经15m高的排气筒DA003排放。</w:t>
            </w:r>
          </w:p>
        </w:tc>
      </w:tr>
      <w:tr w14:paraId="34F1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3671514B">
            <w:pPr>
              <w:pStyle w:val="109"/>
              <w:rPr>
                <w:color w:val="000000" w:themeColor="text1"/>
                <w:highlight w:val="yellow"/>
                <w14:textFill>
                  <w14:solidFill>
                    <w14:schemeClr w14:val="tx1"/>
                  </w14:solidFill>
                </w14:textFill>
              </w:rPr>
            </w:pPr>
          </w:p>
        </w:tc>
        <w:tc>
          <w:tcPr>
            <w:tcW w:w="188" w:type="pct"/>
            <w:vMerge w:val="continue"/>
            <w:noWrap/>
            <w:vAlign w:val="center"/>
          </w:tcPr>
          <w:p w14:paraId="34487746">
            <w:pPr>
              <w:pStyle w:val="109"/>
              <w:rPr>
                <w:color w:val="000000" w:themeColor="text1"/>
                <w:highlight w:val="yellow"/>
                <w14:textFill>
                  <w14:solidFill>
                    <w14:schemeClr w14:val="tx1"/>
                  </w14:solidFill>
                </w14:textFill>
              </w:rPr>
            </w:pPr>
          </w:p>
        </w:tc>
        <w:tc>
          <w:tcPr>
            <w:tcW w:w="543" w:type="pct"/>
            <w:vAlign w:val="center"/>
          </w:tcPr>
          <w:p w14:paraId="5B1487C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氨水罐呼吸废气</w:t>
            </w:r>
          </w:p>
        </w:tc>
        <w:tc>
          <w:tcPr>
            <w:tcW w:w="3849" w:type="pct"/>
            <w:noWrap/>
            <w:vAlign w:val="center"/>
          </w:tcPr>
          <w:p w14:paraId="3DA9C4D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氨水储罐设置呼吸阀，呼吸废气经二级水封吸收处理后无组织排放</w:t>
            </w:r>
          </w:p>
        </w:tc>
      </w:tr>
      <w:tr w14:paraId="722D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2CFD2290">
            <w:pPr>
              <w:pStyle w:val="109"/>
              <w:rPr>
                <w:color w:val="000000" w:themeColor="text1"/>
                <w:highlight w:val="yellow"/>
                <w14:textFill>
                  <w14:solidFill>
                    <w14:schemeClr w14:val="tx1"/>
                  </w14:solidFill>
                </w14:textFill>
              </w:rPr>
            </w:pPr>
          </w:p>
        </w:tc>
        <w:tc>
          <w:tcPr>
            <w:tcW w:w="731" w:type="pct"/>
            <w:gridSpan w:val="2"/>
            <w:noWrap/>
            <w:vAlign w:val="center"/>
          </w:tcPr>
          <w:p w14:paraId="0623B460">
            <w:pPr>
              <w:pStyle w:val="109"/>
              <w:rPr>
                <w:color w:val="000000" w:themeColor="text1"/>
                <w14:textFill>
                  <w14:solidFill>
                    <w14:schemeClr w14:val="tx1"/>
                  </w14:solidFill>
                </w14:textFill>
              </w:rPr>
            </w:pPr>
            <w:r>
              <w:rPr>
                <w:color w:val="000000" w:themeColor="text1"/>
                <w14:textFill>
                  <w14:solidFill>
                    <w14:schemeClr w14:val="tx1"/>
                  </w14:solidFill>
                </w14:textFill>
              </w:rPr>
              <w:t>固废处理处置</w:t>
            </w:r>
          </w:p>
        </w:tc>
        <w:tc>
          <w:tcPr>
            <w:tcW w:w="3849" w:type="pct"/>
            <w:noWrap/>
            <w:vAlign w:val="center"/>
          </w:tcPr>
          <w:p w14:paraId="22CB73FC">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危险废物交有资质单位处置；生活垃圾由环卫部门统一清运。</w:t>
            </w:r>
          </w:p>
        </w:tc>
      </w:tr>
      <w:tr w14:paraId="7ACE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4EB0E6D5">
            <w:pPr>
              <w:pStyle w:val="109"/>
              <w:rPr>
                <w:color w:val="000000" w:themeColor="text1"/>
                <w:highlight w:val="yellow"/>
                <w14:textFill>
                  <w14:solidFill>
                    <w14:schemeClr w14:val="tx1"/>
                  </w14:solidFill>
                </w14:textFill>
              </w:rPr>
            </w:pPr>
          </w:p>
        </w:tc>
        <w:tc>
          <w:tcPr>
            <w:tcW w:w="731" w:type="pct"/>
            <w:gridSpan w:val="2"/>
            <w:noWrap/>
            <w:vAlign w:val="center"/>
          </w:tcPr>
          <w:p w14:paraId="73944E1F">
            <w:pPr>
              <w:pStyle w:val="109"/>
              <w:rPr>
                <w:color w:val="000000" w:themeColor="text1"/>
                <w14:textFill>
                  <w14:solidFill>
                    <w14:schemeClr w14:val="tx1"/>
                  </w14:solidFill>
                </w14:textFill>
              </w:rPr>
            </w:pPr>
            <w:r>
              <w:rPr>
                <w:color w:val="000000" w:themeColor="text1"/>
                <w14:textFill>
                  <w14:solidFill>
                    <w14:schemeClr w14:val="tx1"/>
                  </w14:solidFill>
                </w14:textFill>
              </w:rPr>
              <w:t>噪声防治</w:t>
            </w:r>
          </w:p>
        </w:tc>
        <w:tc>
          <w:tcPr>
            <w:tcW w:w="3849" w:type="pct"/>
            <w:noWrap/>
            <w:vAlign w:val="center"/>
          </w:tcPr>
          <w:p w14:paraId="1B85E5D0">
            <w:pPr>
              <w:pStyle w:val="109"/>
              <w:rPr>
                <w:color w:val="000000" w:themeColor="text1"/>
                <w14:textFill>
                  <w14:solidFill>
                    <w14:schemeClr w14:val="tx1"/>
                  </w14:solidFill>
                </w14:textFill>
              </w:rPr>
            </w:pPr>
            <w:r>
              <w:rPr>
                <w:color w:val="000000" w:themeColor="text1"/>
                <w14:textFill>
                  <w14:solidFill>
                    <w14:schemeClr w14:val="tx1"/>
                  </w14:solidFill>
                </w14:textFill>
              </w:rPr>
              <w:t>购置低噪声设备，合理布局噪声源，基础做减振处理等。</w:t>
            </w:r>
          </w:p>
        </w:tc>
      </w:tr>
      <w:tr w14:paraId="0D50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4FFF0DA6">
            <w:pPr>
              <w:pStyle w:val="109"/>
              <w:rPr>
                <w:color w:val="000000" w:themeColor="text1"/>
                <w:highlight w:val="yellow"/>
                <w14:textFill>
                  <w14:solidFill>
                    <w14:schemeClr w14:val="tx1"/>
                  </w14:solidFill>
                </w14:textFill>
              </w:rPr>
            </w:pPr>
          </w:p>
        </w:tc>
        <w:tc>
          <w:tcPr>
            <w:tcW w:w="731" w:type="pct"/>
            <w:gridSpan w:val="2"/>
            <w:noWrap/>
            <w:vAlign w:val="center"/>
          </w:tcPr>
          <w:p w14:paraId="06BB6643">
            <w:pPr>
              <w:pStyle w:val="109"/>
              <w:rPr>
                <w:color w:val="000000" w:themeColor="text1"/>
                <w14:textFill>
                  <w14:solidFill>
                    <w14:schemeClr w14:val="tx1"/>
                  </w14:solidFill>
                </w14:textFill>
              </w:rPr>
            </w:pPr>
            <w:r>
              <w:rPr>
                <w:color w:val="000000" w:themeColor="text1"/>
                <w14:textFill>
                  <w14:solidFill>
                    <w14:schemeClr w14:val="tx1"/>
                  </w14:solidFill>
                </w14:textFill>
              </w:rPr>
              <w:t>地下水污染防治</w:t>
            </w:r>
          </w:p>
        </w:tc>
        <w:tc>
          <w:tcPr>
            <w:tcW w:w="3849" w:type="pct"/>
            <w:noWrap/>
            <w:vAlign w:val="center"/>
          </w:tcPr>
          <w:p w14:paraId="5E4EBA5B">
            <w:pPr>
              <w:pStyle w:val="109"/>
              <w:rPr>
                <w:color w:val="000000" w:themeColor="text1"/>
                <w14:textFill>
                  <w14:solidFill>
                    <w14:schemeClr w14:val="tx1"/>
                  </w14:solidFill>
                </w14:textFill>
              </w:rPr>
            </w:pPr>
            <w:r>
              <w:rPr>
                <w:color w:val="000000" w:themeColor="text1"/>
                <w14:textFill>
                  <w14:solidFill>
                    <w14:schemeClr w14:val="tx1"/>
                  </w14:solidFill>
                </w14:textFill>
              </w:rPr>
              <w:t>分区防渗，划分为重点防渗区、一般防渗区和简单防渗区，各分区地面防渗满足《危险废物贮存污染控制标准》（GB18597-2023）的有关要求。</w:t>
            </w:r>
          </w:p>
        </w:tc>
      </w:tr>
      <w:tr w14:paraId="3DF7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0" w:type="pct"/>
            <w:vMerge w:val="continue"/>
            <w:vAlign w:val="center"/>
          </w:tcPr>
          <w:p w14:paraId="56048072">
            <w:pPr>
              <w:pStyle w:val="109"/>
              <w:rPr>
                <w:color w:val="000000" w:themeColor="text1"/>
                <w:highlight w:val="yellow"/>
                <w14:textFill>
                  <w14:solidFill>
                    <w14:schemeClr w14:val="tx1"/>
                  </w14:solidFill>
                </w14:textFill>
              </w:rPr>
            </w:pPr>
          </w:p>
        </w:tc>
        <w:tc>
          <w:tcPr>
            <w:tcW w:w="731" w:type="pct"/>
            <w:gridSpan w:val="2"/>
            <w:noWrap/>
            <w:vAlign w:val="center"/>
          </w:tcPr>
          <w:p w14:paraId="05C07F71">
            <w:pPr>
              <w:pStyle w:val="109"/>
              <w:rPr>
                <w:color w:val="000000" w:themeColor="text1"/>
                <w14:textFill>
                  <w14:solidFill>
                    <w14:schemeClr w14:val="tx1"/>
                  </w14:solidFill>
                </w14:textFill>
              </w:rPr>
            </w:pPr>
            <w:r>
              <w:rPr>
                <w:color w:val="000000" w:themeColor="text1"/>
                <w14:textFill>
                  <w14:solidFill>
                    <w14:schemeClr w14:val="tx1"/>
                  </w14:solidFill>
                </w14:textFill>
              </w:rPr>
              <w:t>环境风险</w:t>
            </w:r>
          </w:p>
        </w:tc>
        <w:tc>
          <w:tcPr>
            <w:tcW w:w="3849" w:type="pct"/>
            <w:noWrap/>
            <w:vAlign w:val="center"/>
          </w:tcPr>
          <w:p w14:paraId="44E5C65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依托在建项目</w:t>
            </w:r>
            <w:r>
              <w:rPr>
                <w:color w:val="000000" w:themeColor="text1"/>
                <w14:textFill>
                  <w14:solidFill>
                    <w14:schemeClr w14:val="tx1"/>
                  </w14:solidFill>
                </w14:textFill>
              </w:rPr>
              <w:t>容积为4472m³的事故水池1座</w:t>
            </w:r>
          </w:p>
        </w:tc>
      </w:tr>
    </w:tbl>
    <w:p w14:paraId="101849A6">
      <w:pPr>
        <w:pStyle w:val="3"/>
        <w:rPr>
          <w:rFonts w:ascii="Times New Roman" w:cs="Times New Roman"/>
          <w:color w:val="000000" w:themeColor="text1"/>
          <w14:textFill>
            <w14:solidFill>
              <w14:schemeClr w14:val="tx1"/>
            </w14:solidFill>
          </w14:textFill>
        </w:rPr>
      </w:pPr>
      <w:bookmarkStart w:id="228" w:name="_Toc278649402"/>
      <w:bookmarkStart w:id="229" w:name="_Toc321821706"/>
      <w:bookmarkStart w:id="230" w:name="_Toc280691122"/>
      <w:bookmarkStart w:id="231" w:name="_Toc329793435"/>
      <w:bookmarkStart w:id="232" w:name="_Toc330460759"/>
      <w:bookmarkStart w:id="233" w:name="_Toc225268296"/>
      <w:bookmarkStart w:id="234" w:name="_Toc225867339"/>
      <w:bookmarkStart w:id="235" w:name="_Toc225489008"/>
      <w:r>
        <w:rPr>
          <w:rFonts w:ascii="Times New Roman" w:cs="Times New Roman"/>
          <w:color w:val="000000" w:themeColor="text1"/>
          <w14:textFill>
            <w14:solidFill>
              <w14:schemeClr w14:val="tx1"/>
            </w14:solidFill>
          </w14:textFill>
        </w:rPr>
        <w:t>项目</w:t>
      </w:r>
      <w:bookmarkEnd w:id="228"/>
      <w:bookmarkEnd w:id="229"/>
      <w:bookmarkEnd w:id="230"/>
      <w:r>
        <w:rPr>
          <w:rFonts w:ascii="Times New Roman" w:cs="Times New Roman"/>
          <w:color w:val="000000" w:themeColor="text1"/>
          <w14:textFill>
            <w14:solidFill>
              <w14:schemeClr w14:val="tx1"/>
            </w14:solidFill>
          </w14:textFill>
        </w:rPr>
        <w:t>规模及</w:t>
      </w:r>
      <w:bookmarkEnd w:id="231"/>
      <w:bookmarkEnd w:id="232"/>
      <w:r>
        <w:rPr>
          <w:rFonts w:ascii="Times New Roman" w:cs="Times New Roman"/>
          <w:color w:val="000000" w:themeColor="text1"/>
          <w14:textFill>
            <w14:solidFill>
              <w14:schemeClr w14:val="tx1"/>
            </w14:solidFill>
          </w14:textFill>
        </w:rPr>
        <w:t>产品方案</w:t>
      </w:r>
      <w:bookmarkEnd w:id="233"/>
    </w:p>
    <w:p w14:paraId="0ECE2D3D">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处置规模</w:t>
      </w:r>
    </w:p>
    <w:p w14:paraId="16AA3F06">
      <w:pPr>
        <w:ind w:firstLine="480"/>
        <w:rPr>
          <w:bCs/>
          <w:color w:val="000000" w:themeColor="text1"/>
          <w14:textFill>
            <w14:solidFill>
              <w14:schemeClr w14:val="tx1"/>
            </w14:solidFill>
          </w14:textFill>
        </w:rPr>
      </w:pPr>
      <w:r>
        <w:rPr>
          <w:color w:val="000000" w:themeColor="text1"/>
          <w:szCs w:val="21"/>
          <w14:textFill>
            <w14:solidFill>
              <w14:schemeClr w14:val="tx1"/>
            </w14:solidFill>
          </w14:textFill>
        </w:rPr>
        <w:t>本项目</w:t>
      </w:r>
      <w:r>
        <w:rPr>
          <w:color w:val="000000" w:themeColor="text1"/>
          <w14:textFill>
            <w14:solidFill>
              <w14:schemeClr w14:val="tx1"/>
            </w14:solidFill>
          </w14:textFill>
        </w:rPr>
        <w:t>采用二级热解分段式热解焙烧窑处理工业废盐</w:t>
      </w:r>
      <w:r>
        <w:rPr>
          <w:color w:val="000000" w:themeColor="text1"/>
          <w:szCs w:val="21"/>
          <w14:textFill>
            <w14:solidFill>
              <w14:schemeClr w14:val="tx1"/>
            </w14:solidFill>
          </w14:textFill>
        </w:rPr>
        <w:t>，处理后的废盐用于生产融雪剂，项目年处理废盐50000t，年生产融雪剂46000t。</w:t>
      </w:r>
    </w:p>
    <w:p w14:paraId="1C40960F">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项目处理规模</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8"/>
        <w:gridCol w:w="3206"/>
        <w:gridCol w:w="3208"/>
      </w:tblGrid>
      <w:tr w14:paraId="131E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Align w:val="center"/>
          </w:tcPr>
          <w:p w14:paraId="74C97EDC">
            <w:pPr>
              <w:pStyle w:val="109"/>
              <w:rPr>
                <w:color w:val="000000" w:themeColor="text1"/>
                <w14:textFill>
                  <w14:solidFill>
                    <w14:schemeClr w14:val="tx1"/>
                  </w14:solidFill>
                </w14:textFill>
              </w:rPr>
            </w:pPr>
            <w:r>
              <w:rPr>
                <w:color w:val="000000" w:themeColor="text1"/>
                <w14:textFill>
                  <w14:solidFill>
                    <w14:schemeClr w14:val="tx1"/>
                  </w14:solidFill>
                </w14:textFill>
              </w:rPr>
              <w:t>生产线</w:t>
            </w:r>
          </w:p>
        </w:tc>
        <w:tc>
          <w:tcPr>
            <w:tcW w:w="1666" w:type="pct"/>
            <w:vAlign w:val="center"/>
          </w:tcPr>
          <w:p w14:paraId="7114ADB6">
            <w:pPr>
              <w:pStyle w:val="109"/>
              <w:rPr>
                <w:color w:val="000000" w:themeColor="text1"/>
                <w14:textFill>
                  <w14:solidFill>
                    <w14:schemeClr w14:val="tx1"/>
                  </w14:solidFill>
                </w14:textFill>
              </w:rPr>
            </w:pPr>
            <w:r>
              <w:rPr>
                <w:color w:val="000000" w:themeColor="text1"/>
                <w14:textFill>
                  <w14:solidFill>
                    <w14:schemeClr w14:val="tx1"/>
                  </w14:solidFill>
                </w14:textFill>
              </w:rPr>
              <w:t>废盐处置量（t/a）</w:t>
            </w:r>
          </w:p>
        </w:tc>
        <w:tc>
          <w:tcPr>
            <w:tcW w:w="1667" w:type="pct"/>
            <w:vAlign w:val="center"/>
          </w:tcPr>
          <w:p w14:paraId="41591F9F">
            <w:pPr>
              <w:pStyle w:val="109"/>
              <w:rPr>
                <w:color w:val="000000" w:themeColor="text1"/>
                <w14:textFill>
                  <w14:solidFill>
                    <w14:schemeClr w14:val="tx1"/>
                  </w14:solidFill>
                </w14:textFill>
              </w:rPr>
            </w:pPr>
            <w:r>
              <w:rPr>
                <w:color w:val="000000" w:themeColor="text1"/>
                <w14:textFill>
                  <w14:solidFill>
                    <w14:schemeClr w14:val="tx1"/>
                  </w14:solidFill>
                </w14:textFill>
              </w:rPr>
              <w:t>具体类别</w:t>
            </w:r>
          </w:p>
        </w:tc>
      </w:tr>
      <w:tr w14:paraId="13D4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Align w:val="center"/>
          </w:tcPr>
          <w:p w14:paraId="223835B1">
            <w:pPr>
              <w:pStyle w:val="109"/>
              <w:rPr>
                <w:color w:val="000000" w:themeColor="text1"/>
                <w14:textFill>
                  <w14:solidFill>
                    <w14:schemeClr w14:val="tx1"/>
                  </w14:solidFill>
                </w14:textFill>
              </w:rPr>
            </w:pPr>
            <w:r>
              <w:rPr>
                <w:color w:val="000000" w:themeColor="text1"/>
                <w14:textFill>
                  <w14:solidFill>
                    <w14:schemeClr w14:val="tx1"/>
                  </w14:solidFill>
                </w14:textFill>
              </w:rPr>
              <w:t>废盐处理生产线</w:t>
            </w:r>
          </w:p>
        </w:tc>
        <w:tc>
          <w:tcPr>
            <w:tcW w:w="1666" w:type="pct"/>
            <w:vAlign w:val="center"/>
          </w:tcPr>
          <w:p w14:paraId="617092E7">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1667" w:type="pct"/>
            <w:vAlign w:val="center"/>
          </w:tcPr>
          <w:p w14:paraId="36C08C53">
            <w:pPr>
              <w:pStyle w:val="109"/>
              <w:rPr>
                <w:color w:val="000000" w:themeColor="text1"/>
                <w14:textFill>
                  <w14:solidFill>
                    <w14:schemeClr w14:val="tx1"/>
                  </w14:solidFill>
                </w14:textFill>
              </w:rPr>
            </w:pPr>
            <w:r>
              <w:rPr>
                <w:color w:val="000000" w:themeColor="text1"/>
                <w14:textFill>
                  <w14:solidFill>
                    <w14:schemeClr w14:val="tx1"/>
                  </w14:solidFill>
                </w14:textFill>
              </w:rPr>
              <w:t>颗粒状废盐</w:t>
            </w:r>
          </w:p>
        </w:tc>
      </w:tr>
    </w:tbl>
    <w:p w14:paraId="06EA56BE">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产品方案及技术指标</w:t>
      </w:r>
    </w:p>
    <w:p w14:paraId="670E7836">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产品方案</w:t>
      </w:r>
    </w:p>
    <w:p w14:paraId="16186D7B">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项目产品方案</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8"/>
        <w:gridCol w:w="3206"/>
        <w:gridCol w:w="3208"/>
      </w:tblGrid>
      <w:tr w14:paraId="26B6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Align w:val="center"/>
          </w:tcPr>
          <w:p w14:paraId="422CD4B6">
            <w:pPr>
              <w:pStyle w:val="109"/>
              <w:rPr>
                <w:color w:val="000000" w:themeColor="text1"/>
                <w14:textFill>
                  <w14:solidFill>
                    <w14:schemeClr w14:val="tx1"/>
                  </w14:solidFill>
                </w14:textFill>
              </w:rPr>
            </w:pPr>
            <w:r>
              <w:rPr>
                <w:color w:val="000000" w:themeColor="text1"/>
                <w14:textFill>
                  <w14:solidFill>
                    <w14:schemeClr w14:val="tx1"/>
                  </w14:solidFill>
                </w14:textFill>
              </w:rPr>
              <w:t>生产线</w:t>
            </w:r>
          </w:p>
        </w:tc>
        <w:tc>
          <w:tcPr>
            <w:tcW w:w="1666" w:type="pct"/>
            <w:vAlign w:val="center"/>
          </w:tcPr>
          <w:p w14:paraId="4CE91977">
            <w:pPr>
              <w:pStyle w:val="109"/>
              <w:rPr>
                <w:color w:val="000000" w:themeColor="text1"/>
                <w14:textFill>
                  <w14:solidFill>
                    <w14:schemeClr w14:val="tx1"/>
                  </w14:solidFill>
                </w14:textFill>
              </w:rPr>
            </w:pPr>
            <w:r>
              <w:rPr>
                <w:color w:val="000000" w:themeColor="text1"/>
                <w14:textFill>
                  <w14:solidFill>
                    <w14:schemeClr w14:val="tx1"/>
                  </w14:solidFill>
                </w14:textFill>
              </w:rPr>
              <w:t>产能（t/a）</w:t>
            </w:r>
          </w:p>
        </w:tc>
        <w:tc>
          <w:tcPr>
            <w:tcW w:w="1667" w:type="pct"/>
            <w:vAlign w:val="center"/>
          </w:tcPr>
          <w:p w14:paraId="2582D1C9">
            <w:pPr>
              <w:pStyle w:val="109"/>
              <w:rPr>
                <w:color w:val="000000" w:themeColor="text1"/>
                <w14:textFill>
                  <w14:solidFill>
                    <w14:schemeClr w14:val="tx1"/>
                  </w14:solidFill>
                </w14:textFill>
              </w:rPr>
            </w:pPr>
            <w:r>
              <w:rPr>
                <w:color w:val="000000" w:themeColor="text1"/>
                <w14:textFill>
                  <w14:solidFill>
                    <w14:schemeClr w14:val="tx1"/>
                  </w14:solidFill>
                </w14:textFill>
              </w:rPr>
              <w:t>具体类别</w:t>
            </w:r>
          </w:p>
        </w:tc>
      </w:tr>
      <w:tr w14:paraId="36BE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Align w:val="center"/>
          </w:tcPr>
          <w:p w14:paraId="4C057AFF">
            <w:pPr>
              <w:pStyle w:val="109"/>
              <w:rPr>
                <w:color w:val="000000" w:themeColor="text1"/>
                <w14:textFill>
                  <w14:solidFill>
                    <w14:schemeClr w14:val="tx1"/>
                  </w14:solidFill>
                </w14:textFill>
              </w:rPr>
            </w:pPr>
            <w:r>
              <w:rPr>
                <w:color w:val="000000" w:themeColor="text1"/>
                <w14:textFill>
                  <w14:solidFill>
                    <w14:schemeClr w14:val="tx1"/>
                  </w14:solidFill>
                </w14:textFill>
              </w:rPr>
              <w:t>融雪剂生产线</w:t>
            </w:r>
          </w:p>
        </w:tc>
        <w:tc>
          <w:tcPr>
            <w:tcW w:w="1666" w:type="pct"/>
            <w:vAlign w:val="center"/>
          </w:tcPr>
          <w:p w14:paraId="094C7510">
            <w:pPr>
              <w:pStyle w:val="109"/>
              <w:rPr>
                <w:color w:val="000000" w:themeColor="text1"/>
                <w14:textFill>
                  <w14:solidFill>
                    <w14:schemeClr w14:val="tx1"/>
                  </w14:solidFill>
                </w14:textFill>
              </w:rPr>
            </w:pPr>
            <w:r>
              <w:rPr>
                <w:color w:val="000000" w:themeColor="text1"/>
                <w14:textFill>
                  <w14:solidFill>
                    <w14:schemeClr w14:val="tx1"/>
                  </w14:solidFill>
                </w14:textFill>
              </w:rPr>
              <w:t>46</w:t>
            </w:r>
            <w:r>
              <w:rPr>
                <w:rFonts w:hint="eastAsia"/>
                <w:color w:val="000000" w:themeColor="text1"/>
                <w14:textFill>
                  <w14:solidFill>
                    <w14:schemeClr w14:val="tx1"/>
                  </w14:solidFill>
                </w14:textFill>
              </w:rPr>
              <w:t>000</w:t>
            </w:r>
          </w:p>
        </w:tc>
        <w:tc>
          <w:tcPr>
            <w:tcW w:w="1667" w:type="pct"/>
            <w:vAlign w:val="center"/>
          </w:tcPr>
          <w:p w14:paraId="553393EB">
            <w:pPr>
              <w:pStyle w:val="109"/>
              <w:rPr>
                <w:color w:val="000000" w:themeColor="text1"/>
                <w14:textFill>
                  <w14:solidFill>
                    <w14:schemeClr w14:val="tx1"/>
                  </w14:solidFill>
                </w14:textFill>
              </w:rPr>
            </w:pPr>
            <w:r>
              <w:rPr>
                <w:color w:val="000000" w:themeColor="text1"/>
                <w14:textFill>
                  <w14:solidFill>
                    <w14:schemeClr w14:val="tx1"/>
                  </w14:solidFill>
                </w14:textFill>
              </w:rPr>
              <w:t>颗粒状</w:t>
            </w:r>
          </w:p>
        </w:tc>
      </w:tr>
    </w:tbl>
    <w:p w14:paraId="1CF3BDC8">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技术指标</w:t>
      </w:r>
    </w:p>
    <w:p w14:paraId="5DB84056">
      <w:pPr>
        <w:ind w:firstLine="480"/>
        <w:rPr>
          <w:color w:val="000000" w:themeColor="text1"/>
          <w14:textFill>
            <w14:solidFill>
              <w14:schemeClr w14:val="tx1"/>
            </w14:solidFill>
          </w14:textFill>
        </w:rPr>
      </w:pPr>
      <w:r>
        <w:rPr>
          <w:color w:val="000000" w:themeColor="text1"/>
          <w14:textFill>
            <w14:solidFill>
              <w14:schemeClr w14:val="tx1"/>
            </w14:solidFill>
          </w14:textFill>
        </w:rPr>
        <w:t>处理后的废盐全部生产融雪剂，应符合以下要求：</w:t>
      </w:r>
    </w:p>
    <w:p w14:paraId="09793CBF">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1</w:t>
      </w:r>
      <w:r>
        <w:rPr>
          <w:color w:val="000000" w:themeColor="text1"/>
          <w14:textFill>
            <w14:solidFill>
              <w14:schemeClr w14:val="tx1"/>
            </w14:solidFill>
          </w14:textFill>
        </w:rPr>
        <w:t>）总有机碳</w:t>
      </w:r>
      <w:r>
        <w:rPr>
          <w:rFonts w:eastAsia="TimesNewRomanPSMT"/>
          <w:color w:val="000000" w:themeColor="text1"/>
          <w14:textFill>
            <w14:solidFill>
              <w14:schemeClr w14:val="tx1"/>
            </w14:solidFill>
          </w14:textFill>
        </w:rPr>
        <w:t>TOC</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50mg/kg</w:t>
      </w:r>
      <w:r>
        <w:rPr>
          <w:color w:val="000000" w:themeColor="text1"/>
          <w14:textFill>
            <w14:solidFill>
              <w14:schemeClr w14:val="tx1"/>
            </w14:solidFill>
          </w14:textFill>
        </w:rPr>
        <w:t>。</w:t>
      </w:r>
    </w:p>
    <w:p w14:paraId="5068BB00">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）各产品的有毒有害物质浓度同时满足《危险废物鉴别标准 浸出毒性鉴别》</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GB5085.3-</w:t>
      </w:r>
      <w:r>
        <w:rPr>
          <w:rFonts w:eastAsia="Times New Roman"/>
          <w:color w:val="000000" w:themeColor="text1"/>
          <w14:textFill>
            <w14:solidFill>
              <w14:schemeClr w14:val="tx1"/>
            </w14:solidFill>
          </w14:textFill>
        </w:rPr>
        <w:t>2007</w:t>
      </w:r>
      <w:r>
        <w:rPr>
          <w:color w:val="000000" w:themeColor="text1"/>
          <w14:textFill>
            <w14:solidFill>
              <w14:schemeClr w14:val="tx1"/>
            </w14:solidFill>
          </w14:textFill>
        </w:rPr>
        <w:t>），不超过浸出毒性鉴别标准值。</w:t>
      </w:r>
    </w:p>
    <w:p w14:paraId="00E64966">
      <w:pPr>
        <w:ind w:firstLine="480"/>
        <w:rPr>
          <w:rFonts w:eastAsia="黑体"/>
          <w:color w:val="000000" w:themeColor="text1"/>
          <w14:textFill>
            <w14:solidFill>
              <w14:schemeClr w14:val="tx1"/>
            </w14:solidFill>
          </w14:textFill>
        </w:rPr>
      </w:pPr>
      <w:r>
        <w:rPr>
          <w:color w:val="000000" w:themeColor="text1"/>
          <w14:textFill>
            <w14:solidFill>
              <w14:schemeClr w14:val="tx1"/>
            </w14:solidFill>
          </w14:textFill>
        </w:rPr>
        <w:t>融雪剂产品应符合《融雪剂》（GB/T23851-2017）产品质量标准。</w:t>
      </w:r>
    </w:p>
    <w:p w14:paraId="4544ACFB">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浸出毒性鉴别标准值</w:t>
      </w:r>
    </w:p>
    <w:tbl>
      <w:tblPr>
        <w:tblStyle w:val="76"/>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05"/>
        <w:gridCol w:w="821"/>
        <w:gridCol w:w="3247"/>
        <w:gridCol w:w="566"/>
        <w:gridCol w:w="711"/>
        <w:gridCol w:w="2122"/>
        <w:gridCol w:w="1408"/>
      </w:tblGrid>
      <w:tr w14:paraId="31D7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Align w:val="center"/>
          </w:tcPr>
          <w:p w14:paraId="76ACE1DC">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068" w:type="dxa"/>
            <w:gridSpan w:val="2"/>
            <w:vAlign w:val="center"/>
          </w:tcPr>
          <w:p w14:paraId="6161BC77">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277" w:type="dxa"/>
            <w:gridSpan w:val="2"/>
            <w:vAlign w:val="center"/>
          </w:tcPr>
          <w:p w14:paraId="7D8811B2">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mg/L</w:t>
            </w:r>
            <w:r>
              <w:rPr>
                <w:color w:val="000000" w:themeColor="text1"/>
                <w:lang w:bidi="en-US"/>
                <w14:textFill>
                  <w14:solidFill>
                    <w14:schemeClr w14:val="tx1"/>
                  </w14:solidFill>
                </w14:textFill>
              </w:rPr>
              <w:t>）</w:t>
            </w:r>
          </w:p>
        </w:tc>
        <w:tc>
          <w:tcPr>
            <w:tcW w:w="2122" w:type="dxa"/>
            <w:vAlign w:val="center"/>
          </w:tcPr>
          <w:p w14:paraId="681BCC27">
            <w:pPr>
              <w:pStyle w:val="109"/>
              <w:rPr>
                <w:color w:val="000000" w:themeColor="text1"/>
                <w14:textFill>
                  <w14:solidFill>
                    <w14:schemeClr w14:val="tx1"/>
                  </w14:solidFill>
                </w14:textFill>
              </w:rPr>
            </w:pPr>
            <w:r>
              <w:rPr>
                <w:color w:val="000000" w:themeColor="text1"/>
                <w14:textFill>
                  <w14:solidFill>
                    <w14:schemeClr w14:val="tx1"/>
                  </w14:solidFill>
                </w14:textFill>
              </w:rPr>
              <w:t>分析方法</w:t>
            </w:r>
          </w:p>
        </w:tc>
        <w:tc>
          <w:tcPr>
            <w:tcW w:w="1408" w:type="dxa"/>
            <w:vAlign w:val="center"/>
          </w:tcPr>
          <w:p w14:paraId="0D73E2FE">
            <w:pPr>
              <w:pStyle w:val="109"/>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6030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restart"/>
            <w:vAlign w:val="center"/>
          </w:tcPr>
          <w:p w14:paraId="3F5A97D5">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821" w:type="dxa"/>
            <w:vMerge w:val="restart"/>
            <w:vAlign w:val="center"/>
          </w:tcPr>
          <w:p w14:paraId="141052AA">
            <w:pPr>
              <w:pStyle w:val="109"/>
              <w:rPr>
                <w:color w:val="000000" w:themeColor="text1"/>
                <w14:textFill>
                  <w14:solidFill>
                    <w14:schemeClr w14:val="tx1"/>
                  </w14:solidFill>
                </w14:textFill>
              </w:rPr>
            </w:pPr>
            <w:r>
              <w:rPr>
                <w:color w:val="000000" w:themeColor="text1"/>
                <w14:textFill>
                  <w14:solidFill>
                    <w14:schemeClr w14:val="tx1"/>
                  </w14:solidFill>
                </w14:textFill>
              </w:rPr>
              <w:t>无机元素及化合物</w:t>
            </w:r>
          </w:p>
        </w:tc>
        <w:tc>
          <w:tcPr>
            <w:tcW w:w="3247" w:type="dxa"/>
            <w:vAlign w:val="center"/>
          </w:tcPr>
          <w:p w14:paraId="513FF1B0">
            <w:pPr>
              <w:pStyle w:val="109"/>
              <w:rPr>
                <w:color w:val="000000" w:themeColor="text1"/>
                <w14:textFill>
                  <w14:solidFill>
                    <w14:schemeClr w14:val="tx1"/>
                  </w14:solidFill>
                </w14:textFill>
              </w:rPr>
            </w:pPr>
            <w:r>
              <w:rPr>
                <w:color w:val="000000" w:themeColor="text1"/>
                <w14:textFill>
                  <w14:solidFill>
                    <w14:schemeClr w14:val="tx1"/>
                  </w14:solidFill>
                </w14:textFill>
              </w:rPr>
              <w:t>汞（以总汞计）</w:t>
            </w:r>
          </w:p>
        </w:tc>
        <w:tc>
          <w:tcPr>
            <w:tcW w:w="1277" w:type="dxa"/>
            <w:gridSpan w:val="2"/>
            <w:vAlign w:val="center"/>
          </w:tcPr>
          <w:p w14:paraId="1D27D40B">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0.1</w:t>
            </w:r>
          </w:p>
        </w:tc>
        <w:tc>
          <w:tcPr>
            <w:tcW w:w="2122" w:type="dxa"/>
            <w:vAlign w:val="center"/>
          </w:tcPr>
          <w:p w14:paraId="1BFE5B14">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B</w:t>
            </w:r>
          </w:p>
        </w:tc>
        <w:tc>
          <w:tcPr>
            <w:tcW w:w="1408" w:type="dxa"/>
            <w:vMerge w:val="restart"/>
            <w:vAlign w:val="center"/>
          </w:tcPr>
          <w:p w14:paraId="2CE1741F">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《危险废物鉴别标准 浸出毒性鉴别》</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GB5085.3-</w:t>
            </w:r>
            <w:r>
              <w:rPr>
                <w:rFonts w:eastAsia="Times New Roman"/>
                <w:color w:val="000000" w:themeColor="text1"/>
                <w14:textFill>
                  <w14:solidFill>
                    <w14:schemeClr w14:val="tx1"/>
                  </w14:solidFill>
                </w14:textFill>
              </w:rPr>
              <w:t>2007</w:t>
            </w:r>
            <w:r>
              <w:rPr>
                <w:color w:val="000000" w:themeColor="text1"/>
                <w14:textFill>
                  <w14:solidFill>
                    <w14:schemeClr w14:val="tx1"/>
                  </w14:solidFill>
                </w14:textFill>
              </w:rPr>
              <w:t>）</w:t>
            </w:r>
          </w:p>
        </w:tc>
      </w:tr>
      <w:tr w14:paraId="3F69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4255EBFE">
            <w:pPr>
              <w:pStyle w:val="109"/>
              <w:rPr>
                <w:color w:val="000000" w:themeColor="text1"/>
                <w14:textFill>
                  <w14:solidFill>
                    <w14:schemeClr w14:val="tx1"/>
                  </w14:solidFill>
                </w14:textFill>
              </w:rPr>
            </w:pPr>
          </w:p>
        </w:tc>
        <w:tc>
          <w:tcPr>
            <w:tcW w:w="821" w:type="dxa"/>
            <w:vMerge w:val="continue"/>
            <w:vAlign w:val="center"/>
          </w:tcPr>
          <w:p w14:paraId="754B418B">
            <w:pPr>
              <w:pStyle w:val="109"/>
              <w:rPr>
                <w:color w:val="000000" w:themeColor="text1"/>
                <w14:textFill>
                  <w14:solidFill>
                    <w14:schemeClr w14:val="tx1"/>
                  </w14:solidFill>
                </w14:textFill>
              </w:rPr>
            </w:pPr>
          </w:p>
        </w:tc>
        <w:tc>
          <w:tcPr>
            <w:tcW w:w="3247" w:type="dxa"/>
            <w:vAlign w:val="center"/>
          </w:tcPr>
          <w:p w14:paraId="631E5C44">
            <w:pPr>
              <w:pStyle w:val="109"/>
              <w:rPr>
                <w:color w:val="000000" w:themeColor="text1"/>
                <w14:textFill>
                  <w14:solidFill>
                    <w14:schemeClr w14:val="tx1"/>
                  </w14:solidFill>
                </w14:textFill>
              </w:rPr>
            </w:pPr>
            <w:r>
              <w:rPr>
                <w:color w:val="000000" w:themeColor="text1"/>
                <w14:textFill>
                  <w14:solidFill>
                    <w14:schemeClr w14:val="tx1"/>
                  </w14:solidFill>
                </w14:textFill>
              </w:rPr>
              <w:t>镉（以总镉计）</w:t>
            </w:r>
          </w:p>
        </w:tc>
        <w:tc>
          <w:tcPr>
            <w:tcW w:w="1277" w:type="dxa"/>
            <w:gridSpan w:val="2"/>
            <w:vAlign w:val="center"/>
          </w:tcPr>
          <w:p w14:paraId="1EC696C3">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1</w:t>
            </w:r>
          </w:p>
        </w:tc>
        <w:tc>
          <w:tcPr>
            <w:tcW w:w="2122" w:type="dxa"/>
            <w:vAlign w:val="center"/>
          </w:tcPr>
          <w:p w14:paraId="43928C8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附录 </w:t>
            </w: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B</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D</w:t>
            </w:r>
          </w:p>
        </w:tc>
        <w:tc>
          <w:tcPr>
            <w:tcW w:w="1408" w:type="dxa"/>
            <w:vMerge w:val="continue"/>
            <w:vAlign w:val="center"/>
          </w:tcPr>
          <w:p w14:paraId="68271BFE">
            <w:pPr>
              <w:pStyle w:val="109"/>
              <w:rPr>
                <w:color w:val="000000" w:themeColor="text1"/>
                <w14:textFill>
                  <w14:solidFill>
                    <w14:schemeClr w14:val="tx1"/>
                  </w14:solidFill>
                </w14:textFill>
              </w:rPr>
            </w:pPr>
          </w:p>
        </w:tc>
      </w:tr>
      <w:tr w14:paraId="7657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5B16C3D8">
            <w:pPr>
              <w:pStyle w:val="109"/>
              <w:rPr>
                <w:color w:val="000000" w:themeColor="text1"/>
                <w14:textFill>
                  <w14:solidFill>
                    <w14:schemeClr w14:val="tx1"/>
                  </w14:solidFill>
                </w14:textFill>
              </w:rPr>
            </w:pPr>
          </w:p>
        </w:tc>
        <w:tc>
          <w:tcPr>
            <w:tcW w:w="821" w:type="dxa"/>
            <w:vMerge w:val="continue"/>
            <w:vAlign w:val="center"/>
          </w:tcPr>
          <w:p w14:paraId="13642976">
            <w:pPr>
              <w:pStyle w:val="109"/>
              <w:rPr>
                <w:color w:val="000000" w:themeColor="text1"/>
                <w14:textFill>
                  <w14:solidFill>
                    <w14:schemeClr w14:val="tx1"/>
                  </w14:solidFill>
                </w14:textFill>
              </w:rPr>
            </w:pPr>
          </w:p>
        </w:tc>
        <w:tc>
          <w:tcPr>
            <w:tcW w:w="3247" w:type="dxa"/>
            <w:vAlign w:val="center"/>
          </w:tcPr>
          <w:p w14:paraId="04974E3E">
            <w:pPr>
              <w:pStyle w:val="109"/>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1277" w:type="dxa"/>
            <w:gridSpan w:val="2"/>
            <w:vAlign w:val="center"/>
          </w:tcPr>
          <w:p w14:paraId="3BA140BE">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5</w:t>
            </w:r>
          </w:p>
        </w:tc>
        <w:tc>
          <w:tcPr>
            <w:tcW w:w="2122" w:type="dxa"/>
            <w:vAlign w:val="center"/>
          </w:tcPr>
          <w:p w14:paraId="343D96E9">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 xml:space="preserve">GB/T </w:t>
            </w:r>
            <w:r>
              <w:rPr>
                <w:rFonts w:eastAsia="Times New Roman"/>
                <w:color w:val="000000" w:themeColor="text1"/>
                <w14:textFill>
                  <w14:solidFill>
                    <w14:schemeClr w14:val="tx1"/>
                  </w14:solidFill>
                </w14:textFill>
              </w:rPr>
              <w:t>15555.4-1995</w:t>
            </w:r>
          </w:p>
        </w:tc>
        <w:tc>
          <w:tcPr>
            <w:tcW w:w="1408" w:type="dxa"/>
            <w:vMerge w:val="continue"/>
            <w:vAlign w:val="center"/>
          </w:tcPr>
          <w:p w14:paraId="39D332F9">
            <w:pPr>
              <w:pStyle w:val="109"/>
              <w:rPr>
                <w:color w:val="000000" w:themeColor="text1"/>
                <w14:textFill>
                  <w14:solidFill>
                    <w14:schemeClr w14:val="tx1"/>
                  </w14:solidFill>
                </w14:textFill>
              </w:rPr>
            </w:pPr>
          </w:p>
        </w:tc>
      </w:tr>
      <w:tr w14:paraId="1163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105DACDF">
            <w:pPr>
              <w:pStyle w:val="109"/>
              <w:rPr>
                <w:color w:val="000000" w:themeColor="text1"/>
                <w14:textFill>
                  <w14:solidFill>
                    <w14:schemeClr w14:val="tx1"/>
                  </w14:solidFill>
                </w14:textFill>
              </w:rPr>
            </w:pPr>
          </w:p>
        </w:tc>
        <w:tc>
          <w:tcPr>
            <w:tcW w:w="821" w:type="dxa"/>
            <w:vMerge w:val="continue"/>
            <w:vAlign w:val="center"/>
          </w:tcPr>
          <w:p w14:paraId="74BD8E32">
            <w:pPr>
              <w:pStyle w:val="109"/>
              <w:rPr>
                <w:color w:val="000000" w:themeColor="text1"/>
                <w14:textFill>
                  <w14:solidFill>
                    <w14:schemeClr w14:val="tx1"/>
                  </w14:solidFill>
                </w14:textFill>
              </w:rPr>
            </w:pPr>
          </w:p>
        </w:tc>
        <w:tc>
          <w:tcPr>
            <w:tcW w:w="3247" w:type="dxa"/>
            <w:vAlign w:val="center"/>
          </w:tcPr>
          <w:p w14:paraId="2705144B">
            <w:pPr>
              <w:pStyle w:val="109"/>
              <w:rPr>
                <w:color w:val="000000" w:themeColor="text1"/>
                <w14:textFill>
                  <w14:solidFill>
                    <w14:schemeClr w14:val="tx1"/>
                  </w14:solidFill>
                </w14:textFill>
              </w:rPr>
            </w:pPr>
            <w:r>
              <w:rPr>
                <w:color w:val="000000" w:themeColor="text1"/>
                <w14:textFill>
                  <w14:solidFill>
                    <w14:schemeClr w14:val="tx1"/>
                  </w14:solidFill>
                </w14:textFill>
              </w:rPr>
              <w:t>砷（以总砷计）</w:t>
            </w:r>
          </w:p>
        </w:tc>
        <w:tc>
          <w:tcPr>
            <w:tcW w:w="1277" w:type="dxa"/>
            <w:gridSpan w:val="2"/>
            <w:vAlign w:val="center"/>
          </w:tcPr>
          <w:p w14:paraId="08E84C1A">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5</w:t>
            </w:r>
          </w:p>
        </w:tc>
        <w:tc>
          <w:tcPr>
            <w:tcW w:w="2122" w:type="dxa"/>
            <w:vAlign w:val="center"/>
          </w:tcPr>
          <w:p w14:paraId="52BC4687">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E</w:t>
            </w:r>
          </w:p>
        </w:tc>
        <w:tc>
          <w:tcPr>
            <w:tcW w:w="1408" w:type="dxa"/>
            <w:vMerge w:val="continue"/>
            <w:vAlign w:val="center"/>
          </w:tcPr>
          <w:p w14:paraId="1BEA9504">
            <w:pPr>
              <w:pStyle w:val="109"/>
              <w:rPr>
                <w:color w:val="000000" w:themeColor="text1"/>
                <w14:textFill>
                  <w14:solidFill>
                    <w14:schemeClr w14:val="tx1"/>
                  </w14:solidFill>
                </w14:textFill>
              </w:rPr>
            </w:pPr>
          </w:p>
        </w:tc>
      </w:tr>
      <w:tr w14:paraId="4158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32C443DC">
            <w:pPr>
              <w:pStyle w:val="109"/>
              <w:rPr>
                <w:color w:val="000000" w:themeColor="text1"/>
                <w14:textFill>
                  <w14:solidFill>
                    <w14:schemeClr w14:val="tx1"/>
                  </w14:solidFill>
                </w14:textFill>
              </w:rPr>
            </w:pPr>
          </w:p>
        </w:tc>
        <w:tc>
          <w:tcPr>
            <w:tcW w:w="821" w:type="dxa"/>
            <w:vMerge w:val="continue"/>
            <w:vAlign w:val="center"/>
          </w:tcPr>
          <w:p w14:paraId="2E6C2B16">
            <w:pPr>
              <w:pStyle w:val="109"/>
              <w:rPr>
                <w:color w:val="000000" w:themeColor="text1"/>
                <w14:textFill>
                  <w14:solidFill>
                    <w14:schemeClr w14:val="tx1"/>
                  </w14:solidFill>
                </w14:textFill>
              </w:rPr>
            </w:pPr>
          </w:p>
        </w:tc>
        <w:tc>
          <w:tcPr>
            <w:tcW w:w="3247" w:type="dxa"/>
            <w:vAlign w:val="center"/>
          </w:tcPr>
          <w:p w14:paraId="06BDAE82">
            <w:pPr>
              <w:pStyle w:val="109"/>
              <w:rPr>
                <w:color w:val="000000" w:themeColor="text1"/>
                <w14:textFill>
                  <w14:solidFill>
                    <w14:schemeClr w14:val="tx1"/>
                  </w14:solidFill>
                </w14:textFill>
              </w:rPr>
            </w:pPr>
            <w:r>
              <w:rPr>
                <w:color w:val="000000" w:themeColor="text1"/>
                <w14:textFill>
                  <w14:solidFill>
                    <w14:schemeClr w14:val="tx1"/>
                  </w14:solidFill>
                </w14:textFill>
              </w:rPr>
              <w:t>铅（以总铅计）</w:t>
            </w:r>
          </w:p>
        </w:tc>
        <w:tc>
          <w:tcPr>
            <w:tcW w:w="1277" w:type="dxa"/>
            <w:gridSpan w:val="2"/>
            <w:vAlign w:val="center"/>
          </w:tcPr>
          <w:p w14:paraId="35DC5797">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5</w:t>
            </w:r>
          </w:p>
        </w:tc>
        <w:tc>
          <w:tcPr>
            <w:tcW w:w="2122" w:type="dxa"/>
            <w:vMerge w:val="restart"/>
            <w:vAlign w:val="center"/>
          </w:tcPr>
          <w:p w14:paraId="611915B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附录 </w:t>
            </w: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B</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D</w:t>
            </w:r>
          </w:p>
        </w:tc>
        <w:tc>
          <w:tcPr>
            <w:tcW w:w="1408" w:type="dxa"/>
            <w:vMerge w:val="continue"/>
            <w:vAlign w:val="center"/>
          </w:tcPr>
          <w:p w14:paraId="1A621F57">
            <w:pPr>
              <w:pStyle w:val="109"/>
              <w:rPr>
                <w:color w:val="000000" w:themeColor="text1"/>
                <w14:textFill>
                  <w14:solidFill>
                    <w14:schemeClr w14:val="tx1"/>
                  </w14:solidFill>
                </w14:textFill>
              </w:rPr>
            </w:pPr>
          </w:p>
        </w:tc>
      </w:tr>
      <w:tr w14:paraId="5265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0E53B814">
            <w:pPr>
              <w:pStyle w:val="109"/>
              <w:rPr>
                <w:color w:val="000000" w:themeColor="text1"/>
                <w14:textFill>
                  <w14:solidFill>
                    <w14:schemeClr w14:val="tx1"/>
                  </w14:solidFill>
                </w14:textFill>
              </w:rPr>
            </w:pPr>
          </w:p>
        </w:tc>
        <w:tc>
          <w:tcPr>
            <w:tcW w:w="821" w:type="dxa"/>
            <w:vMerge w:val="continue"/>
            <w:vAlign w:val="center"/>
          </w:tcPr>
          <w:p w14:paraId="3CC9A305">
            <w:pPr>
              <w:pStyle w:val="109"/>
              <w:rPr>
                <w:color w:val="000000" w:themeColor="text1"/>
                <w14:textFill>
                  <w14:solidFill>
                    <w14:schemeClr w14:val="tx1"/>
                  </w14:solidFill>
                </w14:textFill>
              </w:rPr>
            </w:pPr>
          </w:p>
        </w:tc>
        <w:tc>
          <w:tcPr>
            <w:tcW w:w="3247" w:type="dxa"/>
            <w:vAlign w:val="center"/>
          </w:tcPr>
          <w:p w14:paraId="1E7FC2CC">
            <w:pPr>
              <w:pStyle w:val="109"/>
              <w:rPr>
                <w:color w:val="000000" w:themeColor="text1"/>
                <w14:textFill>
                  <w14:solidFill>
                    <w14:schemeClr w14:val="tx1"/>
                  </w14:solidFill>
                </w14:textFill>
              </w:rPr>
            </w:pPr>
            <w:r>
              <w:rPr>
                <w:color w:val="000000" w:themeColor="text1"/>
                <w14:textFill>
                  <w14:solidFill>
                    <w14:schemeClr w14:val="tx1"/>
                  </w14:solidFill>
                </w14:textFill>
              </w:rPr>
              <w:t>镍（以总镍计）</w:t>
            </w:r>
          </w:p>
        </w:tc>
        <w:tc>
          <w:tcPr>
            <w:tcW w:w="1277" w:type="dxa"/>
            <w:gridSpan w:val="2"/>
            <w:vAlign w:val="center"/>
          </w:tcPr>
          <w:p w14:paraId="2660C6A1">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5</w:t>
            </w:r>
          </w:p>
        </w:tc>
        <w:tc>
          <w:tcPr>
            <w:tcW w:w="2122" w:type="dxa"/>
            <w:vMerge w:val="continue"/>
            <w:vAlign w:val="center"/>
          </w:tcPr>
          <w:p w14:paraId="69B0E301">
            <w:pPr>
              <w:pStyle w:val="109"/>
              <w:rPr>
                <w:color w:val="000000" w:themeColor="text1"/>
                <w14:textFill>
                  <w14:solidFill>
                    <w14:schemeClr w14:val="tx1"/>
                  </w14:solidFill>
                </w14:textFill>
              </w:rPr>
            </w:pPr>
          </w:p>
        </w:tc>
        <w:tc>
          <w:tcPr>
            <w:tcW w:w="1408" w:type="dxa"/>
            <w:vMerge w:val="continue"/>
            <w:vAlign w:val="center"/>
          </w:tcPr>
          <w:p w14:paraId="4201995F">
            <w:pPr>
              <w:pStyle w:val="109"/>
              <w:rPr>
                <w:color w:val="000000" w:themeColor="text1"/>
                <w14:textFill>
                  <w14:solidFill>
                    <w14:schemeClr w14:val="tx1"/>
                  </w14:solidFill>
                </w14:textFill>
              </w:rPr>
            </w:pPr>
          </w:p>
        </w:tc>
      </w:tr>
      <w:tr w14:paraId="5017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1F3526D9">
            <w:pPr>
              <w:pStyle w:val="109"/>
              <w:rPr>
                <w:color w:val="000000" w:themeColor="text1"/>
                <w14:textFill>
                  <w14:solidFill>
                    <w14:schemeClr w14:val="tx1"/>
                  </w14:solidFill>
                </w14:textFill>
              </w:rPr>
            </w:pPr>
          </w:p>
        </w:tc>
        <w:tc>
          <w:tcPr>
            <w:tcW w:w="821" w:type="dxa"/>
            <w:vMerge w:val="continue"/>
            <w:vAlign w:val="center"/>
          </w:tcPr>
          <w:p w14:paraId="55200C14">
            <w:pPr>
              <w:pStyle w:val="109"/>
              <w:rPr>
                <w:color w:val="000000" w:themeColor="text1"/>
                <w14:textFill>
                  <w14:solidFill>
                    <w14:schemeClr w14:val="tx1"/>
                  </w14:solidFill>
                </w14:textFill>
              </w:rPr>
            </w:pPr>
          </w:p>
        </w:tc>
        <w:tc>
          <w:tcPr>
            <w:tcW w:w="3247" w:type="dxa"/>
            <w:vAlign w:val="center"/>
          </w:tcPr>
          <w:p w14:paraId="497C2C6A">
            <w:pPr>
              <w:pStyle w:val="109"/>
              <w:rPr>
                <w:color w:val="000000" w:themeColor="text1"/>
                <w14:textFill>
                  <w14:solidFill>
                    <w14:schemeClr w14:val="tx1"/>
                  </w14:solidFill>
                </w14:textFill>
              </w:rPr>
            </w:pPr>
            <w:r>
              <w:rPr>
                <w:color w:val="000000" w:themeColor="text1"/>
                <w14:textFill>
                  <w14:solidFill>
                    <w14:schemeClr w14:val="tx1"/>
                  </w14:solidFill>
                </w14:textFill>
              </w:rPr>
              <w:t>无机氟化物（不包括氟化钙）</w:t>
            </w:r>
          </w:p>
        </w:tc>
        <w:tc>
          <w:tcPr>
            <w:tcW w:w="1277" w:type="dxa"/>
            <w:gridSpan w:val="2"/>
            <w:vAlign w:val="center"/>
          </w:tcPr>
          <w:p w14:paraId="3BC0AD7C">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100</w:t>
            </w:r>
          </w:p>
        </w:tc>
        <w:tc>
          <w:tcPr>
            <w:tcW w:w="2122" w:type="dxa"/>
            <w:vAlign w:val="center"/>
          </w:tcPr>
          <w:p w14:paraId="69CC32C1">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F</w:t>
            </w:r>
          </w:p>
        </w:tc>
        <w:tc>
          <w:tcPr>
            <w:tcW w:w="1408" w:type="dxa"/>
            <w:vMerge w:val="continue"/>
            <w:vAlign w:val="center"/>
          </w:tcPr>
          <w:p w14:paraId="59C4059B">
            <w:pPr>
              <w:pStyle w:val="109"/>
              <w:rPr>
                <w:color w:val="000000" w:themeColor="text1"/>
                <w14:textFill>
                  <w14:solidFill>
                    <w14:schemeClr w14:val="tx1"/>
                  </w14:solidFill>
                </w14:textFill>
              </w:rPr>
            </w:pPr>
          </w:p>
        </w:tc>
      </w:tr>
      <w:tr w14:paraId="2D6D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415CA1DB">
            <w:pPr>
              <w:pStyle w:val="109"/>
              <w:rPr>
                <w:color w:val="000000" w:themeColor="text1"/>
                <w14:textFill>
                  <w14:solidFill>
                    <w14:schemeClr w14:val="tx1"/>
                  </w14:solidFill>
                </w14:textFill>
              </w:rPr>
            </w:pPr>
          </w:p>
        </w:tc>
        <w:tc>
          <w:tcPr>
            <w:tcW w:w="821" w:type="dxa"/>
            <w:vMerge w:val="continue"/>
            <w:vAlign w:val="center"/>
          </w:tcPr>
          <w:p w14:paraId="19BA15F8">
            <w:pPr>
              <w:pStyle w:val="109"/>
              <w:rPr>
                <w:color w:val="000000" w:themeColor="text1"/>
                <w14:textFill>
                  <w14:solidFill>
                    <w14:schemeClr w14:val="tx1"/>
                  </w14:solidFill>
                </w14:textFill>
              </w:rPr>
            </w:pPr>
          </w:p>
        </w:tc>
        <w:tc>
          <w:tcPr>
            <w:tcW w:w="3247" w:type="dxa"/>
            <w:vAlign w:val="center"/>
          </w:tcPr>
          <w:p w14:paraId="12E9828B">
            <w:pPr>
              <w:pStyle w:val="109"/>
              <w:rPr>
                <w:color w:val="000000" w:themeColor="text1"/>
                <w14:textFill>
                  <w14:solidFill>
                    <w14:schemeClr w14:val="tx1"/>
                  </w14:solidFill>
                </w14:textFill>
              </w:rPr>
            </w:pPr>
            <w:r>
              <w:rPr>
                <w:color w:val="000000" w:themeColor="text1"/>
                <w14:textFill>
                  <w14:solidFill>
                    <w14:schemeClr w14:val="tx1"/>
                  </w14:solidFill>
                </w14:textFill>
              </w:rPr>
              <w:t>氰化物（以</w:t>
            </w:r>
            <w:r>
              <w:rPr>
                <w:rFonts w:eastAsia="Times New Roman"/>
                <w:color w:val="000000" w:themeColor="text1"/>
                <w:lang w:bidi="en-US"/>
                <w14:textFill>
                  <w14:solidFill>
                    <w14:schemeClr w14:val="tx1"/>
                  </w14:solidFill>
                </w14:textFill>
              </w:rPr>
              <w:t>CN</w:t>
            </w:r>
            <w:r>
              <w:rPr>
                <w:rFonts w:eastAsia="Times New Roman"/>
                <w:color w:val="000000" w:themeColor="text1"/>
                <w:vertAlign w:val="superscript"/>
                <w:lang w:bidi="en-US"/>
                <w14:textFill>
                  <w14:solidFill>
                    <w14:schemeClr w14:val="tx1"/>
                  </w14:solidFill>
                </w14:textFill>
              </w:rPr>
              <w:t>-</w:t>
            </w:r>
            <w:r>
              <w:rPr>
                <w:color w:val="000000" w:themeColor="text1"/>
                <w14:textFill>
                  <w14:solidFill>
                    <w14:schemeClr w14:val="tx1"/>
                  </w14:solidFill>
                </w14:textFill>
              </w:rPr>
              <w:t>计）</w:t>
            </w:r>
          </w:p>
        </w:tc>
        <w:tc>
          <w:tcPr>
            <w:tcW w:w="1277" w:type="dxa"/>
            <w:gridSpan w:val="2"/>
            <w:vAlign w:val="center"/>
          </w:tcPr>
          <w:p w14:paraId="2341D1DC">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5</w:t>
            </w:r>
          </w:p>
        </w:tc>
        <w:tc>
          <w:tcPr>
            <w:tcW w:w="2122" w:type="dxa"/>
            <w:vAlign w:val="center"/>
          </w:tcPr>
          <w:p w14:paraId="2F1CA3B7">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G</w:t>
            </w:r>
          </w:p>
        </w:tc>
        <w:tc>
          <w:tcPr>
            <w:tcW w:w="1408" w:type="dxa"/>
            <w:vMerge w:val="continue"/>
            <w:vAlign w:val="center"/>
          </w:tcPr>
          <w:p w14:paraId="78C15F32">
            <w:pPr>
              <w:pStyle w:val="109"/>
              <w:rPr>
                <w:color w:val="000000" w:themeColor="text1"/>
                <w14:textFill>
                  <w14:solidFill>
                    <w14:schemeClr w14:val="tx1"/>
                  </w14:solidFill>
                </w14:textFill>
              </w:rPr>
            </w:pPr>
          </w:p>
        </w:tc>
      </w:tr>
      <w:tr w14:paraId="6C5A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6EE13435">
            <w:pPr>
              <w:pStyle w:val="109"/>
              <w:rPr>
                <w:color w:val="000000" w:themeColor="text1"/>
                <w14:textFill>
                  <w14:solidFill>
                    <w14:schemeClr w14:val="tx1"/>
                  </w14:solidFill>
                </w14:textFill>
              </w:rPr>
            </w:pPr>
          </w:p>
        </w:tc>
        <w:tc>
          <w:tcPr>
            <w:tcW w:w="821" w:type="dxa"/>
            <w:vMerge w:val="continue"/>
            <w:vAlign w:val="center"/>
          </w:tcPr>
          <w:p w14:paraId="509CCCB0">
            <w:pPr>
              <w:pStyle w:val="109"/>
              <w:rPr>
                <w:color w:val="000000" w:themeColor="text1"/>
                <w14:textFill>
                  <w14:solidFill>
                    <w14:schemeClr w14:val="tx1"/>
                  </w14:solidFill>
                </w14:textFill>
              </w:rPr>
            </w:pPr>
          </w:p>
        </w:tc>
        <w:tc>
          <w:tcPr>
            <w:tcW w:w="3247" w:type="dxa"/>
            <w:vAlign w:val="center"/>
          </w:tcPr>
          <w:p w14:paraId="2A656A75">
            <w:pPr>
              <w:pStyle w:val="109"/>
              <w:rPr>
                <w:color w:val="000000" w:themeColor="text1"/>
                <w14:textFill>
                  <w14:solidFill>
                    <w14:schemeClr w14:val="tx1"/>
                  </w14:solidFill>
                </w14:textFill>
              </w:rPr>
            </w:pPr>
            <w:r>
              <w:rPr>
                <w:color w:val="000000" w:themeColor="text1"/>
                <w14:textFill>
                  <w14:solidFill>
                    <w14:schemeClr w14:val="tx1"/>
                  </w14:solidFill>
                </w14:textFill>
              </w:rPr>
              <w:t>烷基汞</w:t>
            </w:r>
          </w:p>
        </w:tc>
        <w:tc>
          <w:tcPr>
            <w:tcW w:w="1277" w:type="dxa"/>
            <w:gridSpan w:val="2"/>
            <w:vAlign w:val="center"/>
          </w:tcPr>
          <w:p w14:paraId="0FB1E146">
            <w:pPr>
              <w:pStyle w:val="109"/>
              <w:rPr>
                <w:color w:val="000000" w:themeColor="text1"/>
                <w14:textFill>
                  <w14:solidFill>
                    <w14:schemeClr w14:val="tx1"/>
                  </w14:solidFill>
                </w14:textFill>
              </w:rPr>
            </w:pPr>
            <w:r>
              <w:rPr>
                <w:color w:val="000000" w:themeColor="text1"/>
                <w14:textFill>
                  <w14:solidFill>
                    <w14:schemeClr w14:val="tx1"/>
                  </w14:solidFill>
                </w14:textFill>
              </w:rPr>
              <w:t>不得检出</w:t>
            </w:r>
            <w:r>
              <w:rPr>
                <w:rFonts w:eastAsia="Times New Roman"/>
                <w:color w:val="000000" w:themeColor="text1"/>
                <w14:textFill>
                  <w14:solidFill>
                    <w14:schemeClr w14:val="tx1"/>
                  </w14:solidFill>
                </w14:textFill>
              </w:rPr>
              <w:t>1</w:t>
            </w:r>
          </w:p>
        </w:tc>
        <w:tc>
          <w:tcPr>
            <w:tcW w:w="2122" w:type="dxa"/>
            <w:vAlign w:val="center"/>
          </w:tcPr>
          <w:p w14:paraId="361BFAF2">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 xml:space="preserve">GB/T </w:t>
            </w:r>
            <w:r>
              <w:rPr>
                <w:rFonts w:eastAsia="Times New Roman"/>
                <w:color w:val="000000" w:themeColor="text1"/>
                <w14:textFill>
                  <w14:solidFill>
                    <w14:schemeClr w14:val="tx1"/>
                  </w14:solidFill>
                </w14:textFill>
              </w:rPr>
              <w:t>14204-93</w:t>
            </w:r>
          </w:p>
        </w:tc>
        <w:tc>
          <w:tcPr>
            <w:tcW w:w="1408" w:type="dxa"/>
            <w:vMerge w:val="continue"/>
            <w:vAlign w:val="center"/>
          </w:tcPr>
          <w:p w14:paraId="6A76D873">
            <w:pPr>
              <w:pStyle w:val="109"/>
              <w:rPr>
                <w:color w:val="000000" w:themeColor="text1"/>
                <w14:textFill>
                  <w14:solidFill>
                    <w14:schemeClr w14:val="tx1"/>
                  </w14:solidFill>
                </w14:textFill>
              </w:rPr>
            </w:pPr>
          </w:p>
        </w:tc>
      </w:tr>
      <w:tr w14:paraId="3767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restart"/>
            <w:vAlign w:val="center"/>
          </w:tcPr>
          <w:p w14:paraId="6AACA469">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p>
        </w:tc>
        <w:tc>
          <w:tcPr>
            <w:tcW w:w="821" w:type="dxa"/>
            <w:vMerge w:val="restart"/>
            <w:vAlign w:val="center"/>
          </w:tcPr>
          <w:p w14:paraId="4924CE3F">
            <w:pPr>
              <w:pStyle w:val="109"/>
              <w:rPr>
                <w:color w:val="000000" w:themeColor="text1"/>
                <w14:textFill>
                  <w14:solidFill>
                    <w14:schemeClr w14:val="tx1"/>
                  </w14:solidFill>
                </w14:textFill>
              </w:rPr>
            </w:pPr>
            <w:r>
              <w:rPr>
                <w:color w:val="000000" w:themeColor="text1"/>
                <w14:textFill>
                  <w14:solidFill>
                    <w14:schemeClr w14:val="tx1"/>
                  </w14:solidFill>
                </w14:textFill>
              </w:rPr>
              <w:t>有机农药类</w:t>
            </w:r>
          </w:p>
        </w:tc>
        <w:tc>
          <w:tcPr>
            <w:tcW w:w="3247" w:type="dxa"/>
            <w:vAlign w:val="center"/>
          </w:tcPr>
          <w:p w14:paraId="0FEB3235">
            <w:pPr>
              <w:pStyle w:val="109"/>
              <w:rPr>
                <w:color w:val="000000" w:themeColor="text1"/>
                <w14:textFill>
                  <w14:solidFill>
                    <w14:schemeClr w14:val="tx1"/>
                  </w14:solidFill>
                </w14:textFill>
              </w:rPr>
            </w:pPr>
            <w:r>
              <w:rPr>
                <w:color w:val="000000" w:themeColor="text1"/>
                <w14:textFill>
                  <w14:solidFill>
                    <w14:schemeClr w14:val="tx1"/>
                  </w14:solidFill>
                </w14:textFill>
              </w:rPr>
              <w:t>滴滴滴、六六六、氯丹、六氯苯、毒杀芬、灭蚁灵</w:t>
            </w:r>
          </w:p>
        </w:tc>
        <w:tc>
          <w:tcPr>
            <w:tcW w:w="566" w:type="dxa"/>
            <w:vMerge w:val="restart"/>
            <w:vAlign w:val="center"/>
          </w:tcPr>
          <w:p w14:paraId="4CF1D6AC">
            <w:pPr>
              <w:pStyle w:val="109"/>
              <w:rPr>
                <w:color w:val="000000" w:themeColor="text1"/>
                <w14:textFill>
                  <w14:solidFill>
                    <w14:schemeClr w14:val="tx1"/>
                  </w14:solidFill>
                </w14:textFill>
              </w:rPr>
            </w:pPr>
            <w:r>
              <w:rPr>
                <w:color w:val="000000" w:themeColor="text1"/>
                <w14:textFill>
                  <w14:solidFill>
                    <w14:schemeClr w14:val="tx1"/>
                  </w14:solidFill>
                </w14:textFill>
              </w:rPr>
              <w:t>总量</w:t>
            </w:r>
          </w:p>
        </w:tc>
        <w:tc>
          <w:tcPr>
            <w:tcW w:w="711" w:type="dxa"/>
            <w:vMerge w:val="restart"/>
            <w:vAlign w:val="center"/>
          </w:tcPr>
          <w:p w14:paraId="74C55FE5">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0.1</w:t>
            </w:r>
          </w:p>
        </w:tc>
        <w:tc>
          <w:tcPr>
            <w:tcW w:w="2122" w:type="dxa"/>
            <w:vAlign w:val="center"/>
          </w:tcPr>
          <w:p w14:paraId="52FCC51C">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H</w:t>
            </w:r>
          </w:p>
        </w:tc>
        <w:tc>
          <w:tcPr>
            <w:tcW w:w="1408" w:type="dxa"/>
            <w:vMerge w:val="continue"/>
            <w:vAlign w:val="center"/>
          </w:tcPr>
          <w:p w14:paraId="462292D2">
            <w:pPr>
              <w:pStyle w:val="109"/>
              <w:rPr>
                <w:color w:val="000000" w:themeColor="text1"/>
                <w14:textFill>
                  <w14:solidFill>
                    <w14:schemeClr w14:val="tx1"/>
                  </w14:solidFill>
                </w14:textFill>
              </w:rPr>
            </w:pPr>
          </w:p>
        </w:tc>
      </w:tr>
      <w:tr w14:paraId="0760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13C1CA1A">
            <w:pPr>
              <w:pStyle w:val="109"/>
              <w:rPr>
                <w:color w:val="000000" w:themeColor="text1"/>
                <w14:textFill>
                  <w14:solidFill>
                    <w14:schemeClr w14:val="tx1"/>
                  </w14:solidFill>
                </w14:textFill>
              </w:rPr>
            </w:pPr>
          </w:p>
        </w:tc>
        <w:tc>
          <w:tcPr>
            <w:tcW w:w="821" w:type="dxa"/>
            <w:vMerge w:val="continue"/>
            <w:vAlign w:val="center"/>
          </w:tcPr>
          <w:p w14:paraId="0C730916">
            <w:pPr>
              <w:pStyle w:val="109"/>
              <w:rPr>
                <w:color w:val="000000" w:themeColor="text1"/>
                <w14:textFill>
                  <w14:solidFill>
                    <w14:schemeClr w14:val="tx1"/>
                  </w14:solidFill>
                </w14:textFill>
              </w:rPr>
            </w:pPr>
          </w:p>
        </w:tc>
        <w:tc>
          <w:tcPr>
            <w:tcW w:w="3247" w:type="dxa"/>
            <w:vAlign w:val="center"/>
          </w:tcPr>
          <w:p w14:paraId="3B6BF982">
            <w:pPr>
              <w:pStyle w:val="109"/>
              <w:rPr>
                <w:color w:val="000000" w:themeColor="text1"/>
                <w14:textFill>
                  <w14:solidFill>
                    <w14:schemeClr w14:val="tx1"/>
                  </w14:solidFill>
                </w14:textFill>
              </w:rPr>
            </w:pPr>
            <w:r>
              <w:rPr>
                <w:color w:val="000000" w:themeColor="text1"/>
                <w14:textFill>
                  <w14:solidFill>
                    <w14:schemeClr w14:val="tx1"/>
                  </w14:solidFill>
                </w14:textFill>
              </w:rPr>
              <w:t>乐果、对硫磷、甲基对硫磷、马拉硫磷</w:t>
            </w:r>
          </w:p>
        </w:tc>
        <w:tc>
          <w:tcPr>
            <w:tcW w:w="566" w:type="dxa"/>
            <w:vMerge w:val="continue"/>
            <w:vAlign w:val="center"/>
          </w:tcPr>
          <w:p w14:paraId="384FB888">
            <w:pPr>
              <w:pStyle w:val="109"/>
              <w:rPr>
                <w:color w:val="000000" w:themeColor="text1"/>
                <w14:textFill>
                  <w14:solidFill>
                    <w14:schemeClr w14:val="tx1"/>
                  </w14:solidFill>
                </w14:textFill>
              </w:rPr>
            </w:pPr>
          </w:p>
        </w:tc>
        <w:tc>
          <w:tcPr>
            <w:tcW w:w="711" w:type="dxa"/>
            <w:vMerge w:val="continue"/>
            <w:vAlign w:val="center"/>
          </w:tcPr>
          <w:p w14:paraId="65671E1C">
            <w:pPr>
              <w:pStyle w:val="109"/>
              <w:rPr>
                <w:color w:val="000000" w:themeColor="text1"/>
                <w14:textFill>
                  <w14:solidFill>
                    <w14:schemeClr w14:val="tx1"/>
                  </w14:solidFill>
                </w14:textFill>
              </w:rPr>
            </w:pPr>
          </w:p>
        </w:tc>
        <w:tc>
          <w:tcPr>
            <w:tcW w:w="2122" w:type="dxa"/>
            <w:vAlign w:val="center"/>
          </w:tcPr>
          <w:p w14:paraId="3FFAF6CE">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14:textFill>
                  <w14:solidFill>
                    <w14:schemeClr w14:val="tx1"/>
                  </w14:solidFill>
                </w14:textFill>
              </w:rPr>
              <w:t>I</w:t>
            </w:r>
          </w:p>
        </w:tc>
        <w:tc>
          <w:tcPr>
            <w:tcW w:w="1408" w:type="dxa"/>
            <w:vMerge w:val="continue"/>
            <w:vAlign w:val="center"/>
          </w:tcPr>
          <w:p w14:paraId="19DB267D">
            <w:pPr>
              <w:pStyle w:val="109"/>
              <w:rPr>
                <w:color w:val="000000" w:themeColor="text1"/>
                <w14:textFill>
                  <w14:solidFill>
                    <w14:schemeClr w14:val="tx1"/>
                  </w14:solidFill>
                </w14:textFill>
              </w:rPr>
            </w:pPr>
          </w:p>
        </w:tc>
      </w:tr>
      <w:tr w14:paraId="5F15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restart"/>
            <w:vAlign w:val="center"/>
          </w:tcPr>
          <w:p w14:paraId="12B35AA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3</w:t>
            </w:r>
          </w:p>
        </w:tc>
        <w:tc>
          <w:tcPr>
            <w:tcW w:w="821" w:type="dxa"/>
            <w:vMerge w:val="restart"/>
            <w:vAlign w:val="center"/>
          </w:tcPr>
          <w:p w14:paraId="05A8EFC4">
            <w:pPr>
              <w:pStyle w:val="109"/>
              <w:rPr>
                <w:color w:val="000000" w:themeColor="text1"/>
                <w14:textFill>
                  <w14:solidFill>
                    <w14:schemeClr w14:val="tx1"/>
                  </w14:solidFill>
                </w14:textFill>
              </w:rPr>
            </w:pPr>
            <w:r>
              <w:rPr>
                <w:color w:val="000000" w:themeColor="text1"/>
                <w14:textFill>
                  <w14:solidFill>
                    <w14:schemeClr w14:val="tx1"/>
                  </w14:solidFill>
                </w14:textFill>
              </w:rPr>
              <w:t>非挥发</w:t>
            </w:r>
          </w:p>
          <w:p w14:paraId="3D02EFCB">
            <w:pPr>
              <w:pStyle w:val="109"/>
              <w:rPr>
                <w:color w:val="000000" w:themeColor="text1"/>
                <w14:textFill>
                  <w14:solidFill>
                    <w14:schemeClr w14:val="tx1"/>
                  </w14:solidFill>
                </w14:textFill>
              </w:rPr>
            </w:pPr>
            <w:r>
              <w:rPr>
                <w:color w:val="000000" w:themeColor="text1"/>
                <w14:textFill>
                  <w14:solidFill>
                    <w14:schemeClr w14:val="tx1"/>
                  </w14:solidFill>
                </w14:textFill>
              </w:rPr>
              <w:t>性有机</w:t>
            </w:r>
          </w:p>
          <w:p w14:paraId="34B6246D">
            <w:pPr>
              <w:pStyle w:val="109"/>
              <w:rPr>
                <w:color w:val="000000" w:themeColor="text1"/>
                <w14:textFill>
                  <w14:solidFill>
                    <w14:schemeClr w14:val="tx1"/>
                  </w14:solidFill>
                </w14:textFill>
              </w:rPr>
            </w:pPr>
            <w:r>
              <w:rPr>
                <w:color w:val="000000" w:themeColor="text1"/>
                <w14:textFill>
                  <w14:solidFill>
                    <w14:schemeClr w14:val="tx1"/>
                  </w14:solidFill>
                </w14:textFill>
              </w:rPr>
              <w:t>物</w:t>
            </w:r>
          </w:p>
        </w:tc>
        <w:tc>
          <w:tcPr>
            <w:tcW w:w="3247" w:type="dxa"/>
            <w:vAlign w:val="center"/>
          </w:tcPr>
          <w:p w14:paraId="4AA02FBB">
            <w:pPr>
              <w:pStyle w:val="109"/>
              <w:rPr>
                <w:color w:val="000000" w:themeColor="text1"/>
                <w14:textFill>
                  <w14:solidFill>
                    <w14:schemeClr w14:val="tx1"/>
                  </w14:solidFill>
                </w14:textFill>
              </w:rPr>
            </w:pPr>
            <w:r>
              <w:rPr>
                <w:color w:val="000000" w:themeColor="text1"/>
                <w14:textFill>
                  <w14:solidFill>
                    <w14:schemeClr w14:val="tx1"/>
                  </w14:solidFill>
                </w14:textFill>
              </w:rPr>
              <w:t>硝基苯</w:t>
            </w:r>
          </w:p>
        </w:tc>
        <w:tc>
          <w:tcPr>
            <w:tcW w:w="1277" w:type="dxa"/>
            <w:gridSpan w:val="2"/>
            <w:vAlign w:val="center"/>
          </w:tcPr>
          <w:p w14:paraId="7E53F35E">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20</w:t>
            </w:r>
          </w:p>
        </w:tc>
        <w:tc>
          <w:tcPr>
            <w:tcW w:w="2122" w:type="dxa"/>
            <w:vAlign w:val="center"/>
          </w:tcPr>
          <w:p w14:paraId="75AC6690">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J</w:t>
            </w:r>
          </w:p>
        </w:tc>
        <w:tc>
          <w:tcPr>
            <w:tcW w:w="1408" w:type="dxa"/>
            <w:vMerge w:val="continue"/>
            <w:vAlign w:val="center"/>
          </w:tcPr>
          <w:p w14:paraId="71E7A79B">
            <w:pPr>
              <w:pStyle w:val="109"/>
              <w:rPr>
                <w:color w:val="000000" w:themeColor="text1"/>
                <w14:textFill>
                  <w14:solidFill>
                    <w14:schemeClr w14:val="tx1"/>
                  </w14:solidFill>
                </w14:textFill>
              </w:rPr>
            </w:pPr>
          </w:p>
        </w:tc>
      </w:tr>
      <w:tr w14:paraId="2E1F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66E19B06">
            <w:pPr>
              <w:pStyle w:val="109"/>
              <w:rPr>
                <w:color w:val="000000" w:themeColor="text1"/>
                <w14:textFill>
                  <w14:solidFill>
                    <w14:schemeClr w14:val="tx1"/>
                  </w14:solidFill>
                </w14:textFill>
              </w:rPr>
            </w:pPr>
          </w:p>
        </w:tc>
        <w:tc>
          <w:tcPr>
            <w:tcW w:w="821" w:type="dxa"/>
            <w:vMerge w:val="continue"/>
            <w:vAlign w:val="center"/>
          </w:tcPr>
          <w:p w14:paraId="78051FBA">
            <w:pPr>
              <w:pStyle w:val="109"/>
              <w:rPr>
                <w:color w:val="000000" w:themeColor="text1"/>
                <w14:textFill>
                  <w14:solidFill>
                    <w14:schemeClr w14:val="tx1"/>
                  </w14:solidFill>
                </w14:textFill>
              </w:rPr>
            </w:pPr>
          </w:p>
        </w:tc>
        <w:tc>
          <w:tcPr>
            <w:tcW w:w="3247" w:type="dxa"/>
            <w:vAlign w:val="center"/>
          </w:tcPr>
          <w:p w14:paraId="779F07A5">
            <w:pPr>
              <w:pStyle w:val="109"/>
              <w:rPr>
                <w:color w:val="000000" w:themeColor="text1"/>
                <w14:textFill>
                  <w14:solidFill>
                    <w14:schemeClr w14:val="tx1"/>
                  </w14:solidFill>
                </w14:textFill>
              </w:rPr>
            </w:pPr>
            <w:r>
              <w:rPr>
                <w:color w:val="000000" w:themeColor="text1"/>
                <w14:textFill>
                  <w14:solidFill>
                    <w14:schemeClr w14:val="tx1"/>
                  </w14:solidFill>
                </w14:textFill>
              </w:rPr>
              <w:t>二硝基苯</w:t>
            </w:r>
          </w:p>
        </w:tc>
        <w:tc>
          <w:tcPr>
            <w:tcW w:w="1277" w:type="dxa"/>
            <w:gridSpan w:val="2"/>
            <w:vAlign w:val="center"/>
          </w:tcPr>
          <w:p w14:paraId="2AF5467E">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20</w:t>
            </w:r>
          </w:p>
        </w:tc>
        <w:tc>
          <w:tcPr>
            <w:tcW w:w="2122" w:type="dxa"/>
            <w:vMerge w:val="restart"/>
            <w:vAlign w:val="center"/>
          </w:tcPr>
          <w:p w14:paraId="1E9E2BDD">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K</w:t>
            </w:r>
          </w:p>
        </w:tc>
        <w:tc>
          <w:tcPr>
            <w:tcW w:w="1408" w:type="dxa"/>
            <w:vMerge w:val="continue"/>
            <w:vAlign w:val="center"/>
          </w:tcPr>
          <w:p w14:paraId="350579D4">
            <w:pPr>
              <w:pStyle w:val="109"/>
              <w:rPr>
                <w:color w:val="000000" w:themeColor="text1"/>
                <w14:textFill>
                  <w14:solidFill>
                    <w14:schemeClr w14:val="tx1"/>
                  </w14:solidFill>
                </w14:textFill>
              </w:rPr>
            </w:pPr>
          </w:p>
        </w:tc>
      </w:tr>
      <w:tr w14:paraId="2095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0B1F19C1">
            <w:pPr>
              <w:pStyle w:val="109"/>
              <w:rPr>
                <w:color w:val="000000" w:themeColor="text1"/>
                <w14:textFill>
                  <w14:solidFill>
                    <w14:schemeClr w14:val="tx1"/>
                  </w14:solidFill>
                </w14:textFill>
              </w:rPr>
            </w:pPr>
          </w:p>
        </w:tc>
        <w:tc>
          <w:tcPr>
            <w:tcW w:w="821" w:type="dxa"/>
            <w:vMerge w:val="continue"/>
            <w:vAlign w:val="center"/>
          </w:tcPr>
          <w:p w14:paraId="432BAFF2">
            <w:pPr>
              <w:pStyle w:val="109"/>
              <w:rPr>
                <w:color w:val="000000" w:themeColor="text1"/>
                <w14:textFill>
                  <w14:solidFill>
                    <w14:schemeClr w14:val="tx1"/>
                  </w14:solidFill>
                </w14:textFill>
              </w:rPr>
            </w:pPr>
          </w:p>
        </w:tc>
        <w:tc>
          <w:tcPr>
            <w:tcW w:w="3247" w:type="dxa"/>
            <w:vAlign w:val="center"/>
          </w:tcPr>
          <w:p w14:paraId="7E099E8B">
            <w:pPr>
              <w:pStyle w:val="109"/>
              <w:rPr>
                <w:color w:val="000000" w:themeColor="text1"/>
                <w14:textFill>
                  <w14:solidFill>
                    <w14:schemeClr w14:val="tx1"/>
                  </w14:solidFill>
                </w14:textFill>
              </w:rPr>
            </w:pPr>
            <w:r>
              <w:rPr>
                <w:color w:val="000000" w:themeColor="text1"/>
                <w14:textFill>
                  <w14:solidFill>
                    <w14:schemeClr w14:val="tx1"/>
                  </w14:solidFill>
                </w14:textFill>
              </w:rPr>
              <w:t>苯酚</w:t>
            </w:r>
          </w:p>
        </w:tc>
        <w:tc>
          <w:tcPr>
            <w:tcW w:w="1277" w:type="dxa"/>
            <w:gridSpan w:val="2"/>
            <w:vAlign w:val="center"/>
          </w:tcPr>
          <w:p w14:paraId="52142D36">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3</w:t>
            </w:r>
          </w:p>
        </w:tc>
        <w:tc>
          <w:tcPr>
            <w:tcW w:w="2122" w:type="dxa"/>
            <w:vMerge w:val="continue"/>
            <w:vAlign w:val="center"/>
          </w:tcPr>
          <w:p w14:paraId="6B174E0D">
            <w:pPr>
              <w:pStyle w:val="109"/>
              <w:rPr>
                <w:color w:val="000000" w:themeColor="text1"/>
                <w14:textFill>
                  <w14:solidFill>
                    <w14:schemeClr w14:val="tx1"/>
                  </w14:solidFill>
                </w14:textFill>
              </w:rPr>
            </w:pPr>
          </w:p>
        </w:tc>
        <w:tc>
          <w:tcPr>
            <w:tcW w:w="1408" w:type="dxa"/>
            <w:vMerge w:val="continue"/>
            <w:vAlign w:val="center"/>
          </w:tcPr>
          <w:p w14:paraId="781A35F7">
            <w:pPr>
              <w:pStyle w:val="109"/>
              <w:rPr>
                <w:color w:val="000000" w:themeColor="text1"/>
                <w14:textFill>
                  <w14:solidFill>
                    <w14:schemeClr w14:val="tx1"/>
                  </w14:solidFill>
                </w14:textFill>
              </w:rPr>
            </w:pPr>
          </w:p>
        </w:tc>
      </w:tr>
      <w:tr w14:paraId="2EE4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1890E170">
            <w:pPr>
              <w:pStyle w:val="109"/>
              <w:rPr>
                <w:color w:val="000000" w:themeColor="text1"/>
                <w14:textFill>
                  <w14:solidFill>
                    <w14:schemeClr w14:val="tx1"/>
                  </w14:solidFill>
                </w14:textFill>
              </w:rPr>
            </w:pPr>
          </w:p>
        </w:tc>
        <w:tc>
          <w:tcPr>
            <w:tcW w:w="821" w:type="dxa"/>
            <w:vMerge w:val="continue"/>
            <w:vAlign w:val="center"/>
          </w:tcPr>
          <w:p w14:paraId="09254096">
            <w:pPr>
              <w:pStyle w:val="109"/>
              <w:rPr>
                <w:color w:val="000000" w:themeColor="text1"/>
                <w14:textFill>
                  <w14:solidFill>
                    <w14:schemeClr w14:val="tx1"/>
                  </w14:solidFill>
                </w14:textFill>
              </w:rPr>
            </w:pPr>
          </w:p>
        </w:tc>
        <w:tc>
          <w:tcPr>
            <w:tcW w:w="3247" w:type="dxa"/>
            <w:vAlign w:val="center"/>
          </w:tcPr>
          <w:p w14:paraId="752B652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二氯苯酚</w:t>
            </w:r>
          </w:p>
        </w:tc>
        <w:tc>
          <w:tcPr>
            <w:tcW w:w="1277" w:type="dxa"/>
            <w:gridSpan w:val="2"/>
            <w:vAlign w:val="center"/>
          </w:tcPr>
          <w:p w14:paraId="1CD36407">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6</w:t>
            </w:r>
          </w:p>
        </w:tc>
        <w:tc>
          <w:tcPr>
            <w:tcW w:w="2122" w:type="dxa"/>
            <w:vMerge w:val="continue"/>
            <w:vAlign w:val="center"/>
          </w:tcPr>
          <w:p w14:paraId="74B12D7E">
            <w:pPr>
              <w:pStyle w:val="109"/>
              <w:rPr>
                <w:color w:val="000000" w:themeColor="text1"/>
                <w14:textFill>
                  <w14:solidFill>
                    <w14:schemeClr w14:val="tx1"/>
                  </w14:solidFill>
                </w14:textFill>
              </w:rPr>
            </w:pPr>
          </w:p>
        </w:tc>
        <w:tc>
          <w:tcPr>
            <w:tcW w:w="1408" w:type="dxa"/>
            <w:vMerge w:val="continue"/>
            <w:vAlign w:val="center"/>
          </w:tcPr>
          <w:p w14:paraId="4C2B2984">
            <w:pPr>
              <w:pStyle w:val="109"/>
              <w:rPr>
                <w:color w:val="000000" w:themeColor="text1"/>
                <w14:textFill>
                  <w14:solidFill>
                    <w14:schemeClr w14:val="tx1"/>
                  </w14:solidFill>
                </w14:textFill>
              </w:rPr>
            </w:pPr>
          </w:p>
        </w:tc>
      </w:tr>
      <w:tr w14:paraId="6DC0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12C5CC62">
            <w:pPr>
              <w:pStyle w:val="109"/>
              <w:rPr>
                <w:color w:val="000000" w:themeColor="text1"/>
                <w14:textFill>
                  <w14:solidFill>
                    <w14:schemeClr w14:val="tx1"/>
                  </w14:solidFill>
                </w14:textFill>
              </w:rPr>
            </w:pPr>
          </w:p>
        </w:tc>
        <w:tc>
          <w:tcPr>
            <w:tcW w:w="821" w:type="dxa"/>
            <w:vMerge w:val="continue"/>
            <w:vAlign w:val="center"/>
          </w:tcPr>
          <w:p w14:paraId="493E8705">
            <w:pPr>
              <w:pStyle w:val="109"/>
              <w:rPr>
                <w:color w:val="000000" w:themeColor="text1"/>
                <w14:textFill>
                  <w14:solidFill>
                    <w14:schemeClr w14:val="tx1"/>
                  </w14:solidFill>
                </w14:textFill>
              </w:rPr>
            </w:pPr>
          </w:p>
        </w:tc>
        <w:tc>
          <w:tcPr>
            <w:tcW w:w="3247" w:type="dxa"/>
            <w:vAlign w:val="center"/>
          </w:tcPr>
          <w:p w14:paraId="7ECEA63A">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6-</w:t>
            </w:r>
            <w:r>
              <w:rPr>
                <w:color w:val="000000" w:themeColor="text1"/>
                <w14:textFill>
                  <w14:solidFill>
                    <w14:schemeClr w14:val="tx1"/>
                  </w14:solidFill>
                </w14:textFill>
              </w:rPr>
              <w:t>三氯苯酚</w:t>
            </w:r>
          </w:p>
        </w:tc>
        <w:tc>
          <w:tcPr>
            <w:tcW w:w="1277" w:type="dxa"/>
            <w:gridSpan w:val="2"/>
            <w:vAlign w:val="center"/>
          </w:tcPr>
          <w:p w14:paraId="58CBEFFC">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6</w:t>
            </w:r>
          </w:p>
        </w:tc>
        <w:tc>
          <w:tcPr>
            <w:tcW w:w="2122" w:type="dxa"/>
            <w:vMerge w:val="continue"/>
            <w:vAlign w:val="center"/>
          </w:tcPr>
          <w:p w14:paraId="22C28C90">
            <w:pPr>
              <w:pStyle w:val="109"/>
              <w:rPr>
                <w:color w:val="000000" w:themeColor="text1"/>
                <w14:textFill>
                  <w14:solidFill>
                    <w14:schemeClr w14:val="tx1"/>
                  </w14:solidFill>
                </w14:textFill>
              </w:rPr>
            </w:pPr>
          </w:p>
        </w:tc>
        <w:tc>
          <w:tcPr>
            <w:tcW w:w="1408" w:type="dxa"/>
            <w:vMerge w:val="continue"/>
            <w:vAlign w:val="center"/>
          </w:tcPr>
          <w:p w14:paraId="1C972703">
            <w:pPr>
              <w:pStyle w:val="109"/>
              <w:rPr>
                <w:color w:val="000000" w:themeColor="text1"/>
                <w14:textFill>
                  <w14:solidFill>
                    <w14:schemeClr w14:val="tx1"/>
                  </w14:solidFill>
                </w14:textFill>
              </w:rPr>
            </w:pPr>
          </w:p>
        </w:tc>
      </w:tr>
      <w:tr w14:paraId="74B7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097591C7">
            <w:pPr>
              <w:pStyle w:val="109"/>
              <w:rPr>
                <w:color w:val="000000" w:themeColor="text1"/>
                <w14:textFill>
                  <w14:solidFill>
                    <w14:schemeClr w14:val="tx1"/>
                  </w14:solidFill>
                </w14:textFill>
              </w:rPr>
            </w:pPr>
          </w:p>
        </w:tc>
        <w:tc>
          <w:tcPr>
            <w:tcW w:w="821" w:type="dxa"/>
            <w:vMerge w:val="continue"/>
            <w:vAlign w:val="center"/>
          </w:tcPr>
          <w:p w14:paraId="7E663743">
            <w:pPr>
              <w:pStyle w:val="109"/>
              <w:rPr>
                <w:color w:val="000000" w:themeColor="text1"/>
                <w14:textFill>
                  <w14:solidFill>
                    <w14:schemeClr w14:val="tx1"/>
                  </w14:solidFill>
                </w14:textFill>
              </w:rPr>
            </w:pPr>
          </w:p>
        </w:tc>
        <w:tc>
          <w:tcPr>
            <w:tcW w:w="3247" w:type="dxa"/>
            <w:vAlign w:val="center"/>
          </w:tcPr>
          <w:p w14:paraId="3262F97B">
            <w:pPr>
              <w:pStyle w:val="109"/>
              <w:rPr>
                <w:color w:val="000000" w:themeColor="text1"/>
                <w14:textFill>
                  <w14:solidFill>
                    <w14:schemeClr w14:val="tx1"/>
                  </w14:solidFill>
                </w14:textFill>
              </w:rPr>
            </w:pPr>
            <w:r>
              <w:rPr>
                <w:color w:val="000000" w:themeColor="text1"/>
                <w14:textFill>
                  <w14:solidFill>
                    <w14:schemeClr w14:val="tx1"/>
                  </w14:solidFill>
                </w14:textFill>
              </w:rPr>
              <w:t>邻苯二甲酸二丁酯</w:t>
            </w:r>
          </w:p>
        </w:tc>
        <w:tc>
          <w:tcPr>
            <w:tcW w:w="1277" w:type="dxa"/>
            <w:gridSpan w:val="2"/>
            <w:vAlign w:val="center"/>
          </w:tcPr>
          <w:p w14:paraId="1A09AC24">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2</w:t>
            </w:r>
          </w:p>
        </w:tc>
        <w:tc>
          <w:tcPr>
            <w:tcW w:w="2122" w:type="dxa"/>
            <w:vMerge w:val="continue"/>
            <w:vAlign w:val="center"/>
          </w:tcPr>
          <w:p w14:paraId="001DAD5C">
            <w:pPr>
              <w:pStyle w:val="109"/>
              <w:rPr>
                <w:color w:val="000000" w:themeColor="text1"/>
                <w14:textFill>
                  <w14:solidFill>
                    <w14:schemeClr w14:val="tx1"/>
                  </w14:solidFill>
                </w14:textFill>
              </w:rPr>
            </w:pPr>
          </w:p>
        </w:tc>
        <w:tc>
          <w:tcPr>
            <w:tcW w:w="1408" w:type="dxa"/>
            <w:vMerge w:val="continue"/>
            <w:vAlign w:val="center"/>
          </w:tcPr>
          <w:p w14:paraId="0D905274">
            <w:pPr>
              <w:pStyle w:val="109"/>
              <w:rPr>
                <w:color w:val="000000" w:themeColor="text1"/>
                <w14:textFill>
                  <w14:solidFill>
                    <w14:schemeClr w14:val="tx1"/>
                  </w14:solidFill>
                </w14:textFill>
              </w:rPr>
            </w:pPr>
          </w:p>
        </w:tc>
      </w:tr>
      <w:tr w14:paraId="05BA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4F85D3DB">
            <w:pPr>
              <w:pStyle w:val="109"/>
              <w:rPr>
                <w:color w:val="000000" w:themeColor="text1"/>
                <w14:textFill>
                  <w14:solidFill>
                    <w14:schemeClr w14:val="tx1"/>
                  </w14:solidFill>
                </w14:textFill>
              </w:rPr>
            </w:pPr>
          </w:p>
        </w:tc>
        <w:tc>
          <w:tcPr>
            <w:tcW w:w="821" w:type="dxa"/>
            <w:vMerge w:val="continue"/>
            <w:vAlign w:val="center"/>
          </w:tcPr>
          <w:p w14:paraId="5C1D5EFC">
            <w:pPr>
              <w:pStyle w:val="109"/>
              <w:rPr>
                <w:color w:val="000000" w:themeColor="text1"/>
                <w14:textFill>
                  <w14:solidFill>
                    <w14:schemeClr w14:val="tx1"/>
                  </w14:solidFill>
                </w14:textFill>
              </w:rPr>
            </w:pPr>
          </w:p>
        </w:tc>
        <w:tc>
          <w:tcPr>
            <w:tcW w:w="3247" w:type="dxa"/>
            <w:vAlign w:val="center"/>
          </w:tcPr>
          <w:p w14:paraId="6DD1CEFF">
            <w:pPr>
              <w:pStyle w:val="109"/>
              <w:rPr>
                <w:color w:val="000000" w:themeColor="text1"/>
                <w14:textFill>
                  <w14:solidFill>
                    <w14:schemeClr w14:val="tx1"/>
                  </w14:solidFill>
                </w14:textFill>
              </w:rPr>
            </w:pPr>
            <w:r>
              <w:rPr>
                <w:color w:val="000000" w:themeColor="text1"/>
                <w14:textFill>
                  <w14:solidFill>
                    <w14:schemeClr w14:val="tx1"/>
                  </w14:solidFill>
                </w14:textFill>
              </w:rPr>
              <w:t>对硝基氯苯</w:t>
            </w:r>
          </w:p>
        </w:tc>
        <w:tc>
          <w:tcPr>
            <w:tcW w:w="1277" w:type="dxa"/>
            <w:gridSpan w:val="2"/>
            <w:vAlign w:val="center"/>
          </w:tcPr>
          <w:p w14:paraId="24FF0A98">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5</w:t>
            </w:r>
          </w:p>
        </w:tc>
        <w:tc>
          <w:tcPr>
            <w:tcW w:w="2122" w:type="dxa"/>
            <w:vMerge w:val="restart"/>
            <w:vAlign w:val="center"/>
          </w:tcPr>
          <w:p w14:paraId="674629BB">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L</w:t>
            </w:r>
          </w:p>
        </w:tc>
        <w:tc>
          <w:tcPr>
            <w:tcW w:w="1408" w:type="dxa"/>
            <w:vMerge w:val="continue"/>
            <w:vAlign w:val="center"/>
          </w:tcPr>
          <w:p w14:paraId="09BBD3D6">
            <w:pPr>
              <w:pStyle w:val="109"/>
              <w:rPr>
                <w:color w:val="000000" w:themeColor="text1"/>
                <w14:textFill>
                  <w14:solidFill>
                    <w14:schemeClr w14:val="tx1"/>
                  </w14:solidFill>
                </w14:textFill>
              </w:rPr>
            </w:pPr>
          </w:p>
        </w:tc>
      </w:tr>
      <w:tr w14:paraId="7EEF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5D8B5E5B">
            <w:pPr>
              <w:pStyle w:val="109"/>
              <w:rPr>
                <w:color w:val="000000" w:themeColor="text1"/>
                <w14:textFill>
                  <w14:solidFill>
                    <w14:schemeClr w14:val="tx1"/>
                  </w14:solidFill>
                </w14:textFill>
              </w:rPr>
            </w:pPr>
          </w:p>
        </w:tc>
        <w:tc>
          <w:tcPr>
            <w:tcW w:w="821" w:type="dxa"/>
            <w:vMerge w:val="continue"/>
            <w:vAlign w:val="center"/>
          </w:tcPr>
          <w:p w14:paraId="46AFBC39">
            <w:pPr>
              <w:pStyle w:val="109"/>
              <w:rPr>
                <w:color w:val="000000" w:themeColor="text1"/>
                <w14:textFill>
                  <w14:solidFill>
                    <w14:schemeClr w14:val="tx1"/>
                  </w14:solidFill>
                </w14:textFill>
              </w:rPr>
            </w:pPr>
          </w:p>
        </w:tc>
        <w:tc>
          <w:tcPr>
            <w:tcW w:w="3247" w:type="dxa"/>
            <w:vAlign w:val="center"/>
          </w:tcPr>
          <w:p w14:paraId="5ED4B783">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二硝基氯苯</w:t>
            </w:r>
          </w:p>
        </w:tc>
        <w:tc>
          <w:tcPr>
            <w:tcW w:w="1277" w:type="dxa"/>
            <w:gridSpan w:val="2"/>
            <w:vAlign w:val="center"/>
          </w:tcPr>
          <w:p w14:paraId="21911082">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5</w:t>
            </w:r>
          </w:p>
        </w:tc>
        <w:tc>
          <w:tcPr>
            <w:tcW w:w="2122" w:type="dxa"/>
            <w:vMerge w:val="continue"/>
            <w:vAlign w:val="center"/>
          </w:tcPr>
          <w:p w14:paraId="5532FEA0">
            <w:pPr>
              <w:pStyle w:val="109"/>
              <w:rPr>
                <w:color w:val="000000" w:themeColor="text1"/>
                <w14:textFill>
                  <w14:solidFill>
                    <w14:schemeClr w14:val="tx1"/>
                  </w14:solidFill>
                </w14:textFill>
              </w:rPr>
            </w:pPr>
          </w:p>
        </w:tc>
        <w:tc>
          <w:tcPr>
            <w:tcW w:w="1408" w:type="dxa"/>
            <w:vMerge w:val="continue"/>
            <w:vAlign w:val="center"/>
          </w:tcPr>
          <w:p w14:paraId="205F3132">
            <w:pPr>
              <w:pStyle w:val="109"/>
              <w:rPr>
                <w:color w:val="000000" w:themeColor="text1"/>
                <w14:textFill>
                  <w14:solidFill>
                    <w14:schemeClr w14:val="tx1"/>
                  </w14:solidFill>
                </w14:textFill>
              </w:rPr>
            </w:pPr>
          </w:p>
        </w:tc>
      </w:tr>
      <w:tr w14:paraId="4086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323884EA">
            <w:pPr>
              <w:pStyle w:val="109"/>
              <w:rPr>
                <w:color w:val="000000" w:themeColor="text1"/>
                <w14:textFill>
                  <w14:solidFill>
                    <w14:schemeClr w14:val="tx1"/>
                  </w14:solidFill>
                </w14:textFill>
              </w:rPr>
            </w:pPr>
          </w:p>
        </w:tc>
        <w:tc>
          <w:tcPr>
            <w:tcW w:w="821" w:type="dxa"/>
            <w:vMerge w:val="continue"/>
            <w:vAlign w:val="center"/>
          </w:tcPr>
          <w:p w14:paraId="3D4FD45B">
            <w:pPr>
              <w:pStyle w:val="109"/>
              <w:rPr>
                <w:color w:val="000000" w:themeColor="text1"/>
                <w14:textFill>
                  <w14:solidFill>
                    <w14:schemeClr w14:val="tx1"/>
                  </w14:solidFill>
                </w14:textFill>
              </w:rPr>
            </w:pPr>
          </w:p>
        </w:tc>
        <w:tc>
          <w:tcPr>
            <w:tcW w:w="3247" w:type="dxa"/>
            <w:vAlign w:val="center"/>
          </w:tcPr>
          <w:p w14:paraId="3A928E9C">
            <w:pPr>
              <w:pStyle w:val="109"/>
              <w:rPr>
                <w:color w:val="000000" w:themeColor="text1"/>
                <w14:textFill>
                  <w14:solidFill>
                    <w14:schemeClr w14:val="tx1"/>
                  </w14:solidFill>
                </w14:textFill>
              </w:rPr>
            </w:pPr>
            <w:r>
              <w:rPr>
                <w:color w:val="000000" w:themeColor="text1"/>
                <w14:textFill>
                  <w14:solidFill>
                    <w14:schemeClr w14:val="tx1"/>
                  </w14:solidFill>
                </w14:textFill>
              </w:rPr>
              <w:t>五氯酚及五氯酚钠（以五氯酚计）</w:t>
            </w:r>
          </w:p>
        </w:tc>
        <w:tc>
          <w:tcPr>
            <w:tcW w:w="1277" w:type="dxa"/>
            <w:gridSpan w:val="2"/>
            <w:vAlign w:val="center"/>
          </w:tcPr>
          <w:p w14:paraId="2375D190">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50</w:t>
            </w:r>
          </w:p>
        </w:tc>
        <w:tc>
          <w:tcPr>
            <w:tcW w:w="2122" w:type="dxa"/>
            <w:vMerge w:val="continue"/>
            <w:vAlign w:val="center"/>
          </w:tcPr>
          <w:p w14:paraId="79F54173">
            <w:pPr>
              <w:pStyle w:val="109"/>
              <w:rPr>
                <w:color w:val="000000" w:themeColor="text1"/>
                <w14:textFill>
                  <w14:solidFill>
                    <w14:schemeClr w14:val="tx1"/>
                  </w14:solidFill>
                </w14:textFill>
              </w:rPr>
            </w:pPr>
          </w:p>
        </w:tc>
        <w:tc>
          <w:tcPr>
            <w:tcW w:w="1408" w:type="dxa"/>
            <w:vMerge w:val="continue"/>
            <w:vAlign w:val="center"/>
          </w:tcPr>
          <w:p w14:paraId="50DCC533">
            <w:pPr>
              <w:pStyle w:val="109"/>
              <w:rPr>
                <w:color w:val="000000" w:themeColor="text1"/>
                <w14:textFill>
                  <w14:solidFill>
                    <w14:schemeClr w14:val="tx1"/>
                  </w14:solidFill>
                </w14:textFill>
              </w:rPr>
            </w:pPr>
          </w:p>
        </w:tc>
      </w:tr>
      <w:tr w14:paraId="262C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7116E5AE">
            <w:pPr>
              <w:pStyle w:val="109"/>
              <w:rPr>
                <w:color w:val="000000" w:themeColor="text1"/>
                <w14:textFill>
                  <w14:solidFill>
                    <w14:schemeClr w14:val="tx1"/>
                  </w14:solidFill>
                </w14:textFill>
              </w:rPr>
            </w:pPr>
          </w:p>
        </w:tc>
        <w:tc>
          <w:tcPr>
            <w:tcW w:w="821" w:type="dxa"/>
            <w:vMerge w:val="continue"/>
            <w:vAlign w:val="center"/>
          </w:tcPr>
          <w:p w14:paraId="167644DE">
            <w:pPr>
              <w:pStyle w:val="109"/>
              <w:rPr>
                <w:color w:val="000000" w:themeColor="text1"/>
                <w14:textFill>
                  <w14:solidFill>
                    <w14:schemeClr w14:val="tx1"/>
                  </w14:solidFill>
                </w14:textFill>
              </w:rPr>
            </w:pPr>
          </w:p>
        </w:tc>
        <w:tc>
          <w:tcPr>
            <w:tcW w:w="3247" w:type="dxa"/>
            <w:vAlign w:val="center"/>
          </w:tcPr>
          <w:p w14:paraId="523CA77A">
            <w:pPr>
              <w:pStyle w:val="109"/>
              <w:rPr>
                <w:color w:val="000000" w:themeColor="text1"/>
                <w14:textFill>
                  <w14:solidFill>
                    <w14:schemeClr w14:val="tx1"/>
                  </w14:solidFill>
                </w14:textFill>
              </w:rPr>
            </w:pPr>
            <w:r>
              <w:rPr>
                <w:color w:val="000000" w:themeColor="text1"/>
                <w14:textFill>
                  <w14:solidFill>
                    <w14:schemeClr w14:val="tx1"/>
                  </w14:solidFill>
                </w14:textFill>
              </w:rPr>
              <w:t>邻苯二甲酸二辛酯</w:t>
            </w:r>
          </w:p>
        </w:tc>
        <w:tc>
          <w:tcPr>
            <w:tcW w:w="1277" w:type="dxa"/>
            <w:gridSpan w:val="2"/>
            <w:vAlign w:val="center"/>
          </w:tcPr>
          <w:p w14:paraId="7BF1E150">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3</w:t>
            </w:r>
          </w:p>
        </w:tc>
        <w:tc>
          <w:tcPr>
            <w:tcW w:w="2122" w:type="dxa"/>
            <w:vMerge w:val="continue"/>
            <w:vAlign w:val="center"/>
          </w:tcPr>
          <w:p w14:paraId="095DACC8">
            <w:pPr>
              <w:pStyle w:val="109"/>
              <w:rPr>
                <w:color w:val="000000" w:themeColor="text1"/>
                <w14:textFill>
                  <w14:solidFill>
                    <w14:schemeClr w14:val="tx1"/>
                  </w14:solidFill>
                </w14:textFill>
              </w:rPr>
            </w:pPr>
          </w:p>
        </w:tc>
        <w:tc>
          <w:tcPr>
            <w:tcW w:w="1408" w:type="dxa"/>
            <w:vMerge w:val="continue"/>
            <w:vAlign w:val="center"/>
          </w:tcPr>
          <w:p w14:paraId="69BA2BBA">
            <w:pPr>
              <w:pStyle w:val="109"/>
              <w:rPr>
                <w:color w:val="000000" w:themeColor="text1"/>
                <w14:textFill>
                  <w14:solidFill>
                    <w14:schemeClr w14:val="tx1"/>
                  </w14:solidFill>
                </w14:textFill>
              </w:rPr>
            </w:pPr>
          </w:p>
        </w:tc>
      </w:tr>
      <w:tr w14:paraId="624A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207F9E00">
            <w:pPr>
              <w:pStyle w:val="109"/>
              <w:rPr>
                <w:color w:val="000000" w:themeColor="text1"/>
                <w:sz w:val="10"/>
                <w:szCs w:val="10"/>
                <w14:textFill>
                  <w14:solidFill>
                    <w14:schemeClr w14:val="tx1"/>
                  </w14:solidFill>
                </w14:textFill>
              </w:rPr>
            </w:pPr>
          </w:p>
        </w:tc>
        <w:tc>
          <w:tcPr>
            <w:tcW w:w="821" w:type="dxa"/>
            <w:vMerge w:val="continue"/>
            <w:vAlign w:val="center"/>
          </w:tcPr>
          <w:p w14:paraId="5ADD222B">
            <w:pPr>
              <w:pStyle w:val="109"/>
              <w:rPr>
                <w:color w:val="000000" w:themeColor="text1"/>
                <w:sz w:val="10"/>
                <w:szCs w:val="10"/>
                <w14:textFill>
                  <w14:solidFill>
                    <w14:schemeClr w14:val="tx1"/>
                  </w14:solidFill>
                </w14:textFill>
              </w:rPr>
            </w:pPr>
          </w:p>
        </w:tc>
        <w:tc>
          <w:tcPr>
            <w:tcW w:w="3247" w:type="dxa"/>
            <w:vAlign w:val="center"/>
          </w:tcPr>
          <w:p w14:paraId="70749FFD">
            <w:pPr>
              <w:pStyle w:val="109"/>
              <w:rPr>
                <w:color w:val="000000" w:themeColor="text1"/>
                <w14:textFill>
                  <w14:solidFill>
                    <w14:schemeClr w14:val="tx1"/>
                  </w14:solidFill>
                </w14:textFill>
              </w:rPr>
            </w:pPr>
            <w:r>
              <w:rPr>
                <w:color w:val="000000" w:themeColor="text1"/>
                <w14:textFill>
                  <w14:solidFill>
                    <w14:schemeClr w14:val="tx1"/>
                  </w14:solidFill>
                </w14:textFill>
              </w:rPr>
              <w:t>多氯联苯</w:t>
            </w:r>
          </w:p>
        </w:tc>
        <w:tc>
          <w:tcPr>
            <w:tcW w:w="1277" w:type="dxa"/>
            <w:gridSpan w:val="2"/>
            <w:vAlign w:val="center"/>
          </w:tcPr>
          <w:p w14:paraId="452A9AF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0.002</w:t>
            </w:r>
          </w:p>
        </w:tc>
        <w:tc>
          <w:tcPr>
            <w:tcW w:w="2122" w:type="dxa"/>
            <w:vAlign w:val="center"/>
          </w:tcPr>
          <w:p w14:paraId="0E886295">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N</w:t>
            </w:r>
          </w:p>
        </w:tc>
        <w:tc>
          <w:tcPr>
            <w:tcW w:w="1408" w:type="dxa"/>
            <w:vMerge w:val="continue"/>
            <w:vAlign w:val="center"/>
          </w:tcPr>
          <w:p w14:paraId="213AA7FA">
            <w:pPr>
              <w:pStyle w:val="109"/>
              <w:rPr>
                <w:color w:val="000000" w:themeColor="text1"/>
                <w:sz w:val="10"/>
                <w:szCs w:val="10"/>
                <w14:textFill>
                  <w14:solidFill>
                    <w14:schemeClr w14:val="tx1"/>
                  </w14:solidFill>
                </w14:textFill>
              </w:rPr>
            </w:pPr>
          </w:p>
        </w:tc>
      </w:tr>
      <w:tr w14:paraId="5DA4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6D330747">
            <w:pPr>
              <w:pStyle w:val="109"/>
              <w:rPr>
                <w:color w:val="000000" w:themeColor="text1"/>
                <w14:textFill>
                  <w14:solidFill>
                    <w14:schemeClr w14:val="tx1"/>
                  </w14:solidFill>
                </w14:textFill>
              </w:rPr>
            </w:pPr>
          </w:p>
        </w:tc>
        <w:tc>
          <w:tcPr>
            <w:tcW w:w="821" w:type="dxa"/>
            <w:vMerge w:val="continue"/>
            <w:vAlign w:val="center"/>
          </w:tcPr>
          <w:p w14:paraId="59AB1CDD">
            <w:pPr>
              <w:pStyle w:val="109"/>
              <w:rPr>
                <w:color w:val="000000" w:themeColor="text1"/>
                <w14:textFill>
                  <w14:solidFill>
                    <w14:schemeClr w14:val="tx1"/>
                  </w14:solidFill>
                </w14:textFill>
              </w:rPr>
            </w:pPr>
          </w:p>
        </w:tc>
        <w:tc>
          <w:tcPr>
            <w:tcW w:w="3247" w:type="dxa"/>
            <w:vAlign w:val="center"/>
          </w:tcPr>
          <w:p w14:paraId="147F1DAF">
            <w:pPr>
              <w:pStyle w:val="109"/>
              <w:rPr>
                <w:color w:val="000000" w:themeColor="text1"/>
                <w14:textFill>
                  <w14:solidFill>
                    <w14:schemeClr w14:val="tx1"/>
                  </w14:solidFill>
                </w14:textFill>
              </w:rPr>
            </w:pPr>
            <w:r>
              <w:rPr>
                <w:color w:val="000000" w:themeColor="text1"/>
                <w14:textFill>
                  <w14:solidFill>
                    <w14:schemeClr w14:val="tx1"/>
                  </w14:solidFill>
                </w14:textFill>
              </w:rPr>
              <w:t>苯并</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color w:val="000000" w:themeColor="text1"/>
                <w14:textFill>
                  <w14:solidFill>
                    <w14:schemeClr w14:val="tx1"/>
                  </w14:solidFill>
                </w14:textFill>
              </w:rPr>
              <w:t>芘</w:t>
            </w:r>
          </w:p>
        </w:tc>
        <w:tc>
          <w:tcPr>
            <w:tcW w:w="1277" w:type="dxa"/>
            <w:gridSpan w:val="2"/>
            <w:vAlign w:val="center"/>
          </w:tcPr>
          <w:p w14:paraId="6BA27C6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0.0003</w:t>
            </w:r>
          </w:p>
        </w:tc>
        <w:tc>
          <w:tcPr>
            <w:tcW w:w="2122" w:type="dxa"/>
            <w:vAlign w:val="center"/>
          </w:tcPr>
          <w:p w14:paraId="538BF767">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K</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M</w:t>
            </w:r>
          </w:p>
        </w:tc>
        <w:tc>
          <w:tcPr>
            <w:tcW w:w="1408" w:type="dxa"/>
            <w:vMerge w:val="continue"/>
            <w:vAlign w:val="center"/>
          </w:tcPr>
          <w:p w14:paraId="3B9EFEDD">
            <w:pPr>
              <w:pStyle w:val="109"/>
              <w:rPr>
                <w:color w:val="000000" w:themeColor="text1"/>
                <w14:textFill>
                  <w14:solidFill>
                    <w14:schemeClr w14:val="tx1"/>
                  </w14:solidFill>
                </w14:textFill>
              </w:rPr>
            </w:pPr>
          </w:p>
        </w:tc>
      </w:tr>
      <w:tr w14:paraId="70A5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restart"/>
            <w:vAlign w:val="center"/>
          </w:tcPr>
          <w:p w14:paraId="7F43D690">
            <w:pPr>
              <w:pStyle w:val="109"/>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4</w:t>
            </w:r>
          </w:p>
        </w:tc>
        <w:tc>
          <w:tcPr>
            <w:tcW w:w="821" w:type="dxa"/>
            <w:vMerge w:val="restart"/>
            <w:vAlign w:val="center"/>
          </w:tcPr>
          <w:p w14:paraId="688B524A">
            <w:pPr>
              <w:pStyle w:val="109"/>
              <w:rPr>
                <w:color w:val="000000" w:themeColor="text1"/>
                <w14:textFill>
                  <w14:solidFill>
                    <w14:schemeClr w14:val="tx1"/>
                  </w14:solidFill>
                </w14:textFill>
              </w:rPr>
            </w:pPr>
            <w:r>
              <w:rPr>
                <w:color w:val="000000" w:themeColor="text1"/>
                <w14:textFill>
                  <w14:solidFill>
                    <w14:schemeClr w14:val="tx1"/>
                  </w14:solidFill>
                </w14:textFill>
              </w:rPr>
              <w:t>挥发性</w:t>
            </w:r>
          </w:p>
          <w:p w14:paraId="43E0C403">
            <w:pPr>
              <w:pStyle w:val="109"/>
              <w:rPr>
                <w:color w:val="000000" w:themeColor="text1"/>
                <w14:textFill>
                  <w14:solidFill>
                    <w14:schemeClr w14:val="tx1"/>
                  </w14:solidFill>
                </w14:textFill>
              </w:rPr>
            </w:pPr>
            <w:r>
              <w:rPr>
                <w:color w:val="000000" w:themeColor="text1"/>
                <w14:textFill>
                  <w14:solidFill>
                    <w14:schemeClr w14:val="tx1"/>
                  </w14:solidFill>
                </w14:textFill>
              </w:rPr>
              <w:t>有机化</w:t>
            </w:r>
          </w:p>
          <w:p w14:paraId="20CC8CD8">
            <w:pPr>
              <w:pStyle w:val="109"/>
              <w:rPr>
                <w:color w:val="000000" w:themeColor="text1"/>
                <w14:textFill>
                  <w14:solidFill>
                    <w14:schemeClr w14:val="tx1"/>
                  </w14:solidFill>
                </w14:textFill>
              </w:rPr>
            </w:pPr>
            <w:r>
              <w:rPr>
                <w:color w:val="000000" w:themeColor="text1"/>
                <w14:textFill>
                  <w14:solidFill>
                    <w14:schemeClr w14:val="tx1"/>
                  </w14:solidFill>
                </w14:textFill>
              </w:rPr>
              <w:t>合物</w:t>
            </w:r>
          </w:p>
        </w:tc>
        <w:tc>
          <w:tcPr>
            <w:tcW w:w="3247" w:type="dxa"/>
            <w:vAlign w:val="center"/>
          </w:tcPr>
          <w:p w14:paraId="62440791">
            <w:pPr>
              <w:pStyle w:val="109"/>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1277" w:type="dxa"/>
            <w:gridSpan w:val="2"/>
            <w:vAlign w:val="center"/>
          </w:tcPr>
          <w:p w14:paraId="66E3425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2122" w:type="dxa"/>
            <w:vMerge w:val="restart"/>
            <w:vAlign w:val="center"/>
          </w:tcPr>
          <w:p w14:paraId="3775807D">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heme="minorEastAsia"/>
                <w:color w:val="000000" w:themeColor="text1"/>
                <w14:textFill>
                  <w14:solidFill>
                    <w14:schemeClr w14:val="tx1"/>
                  </w14:solidFill>
                </w14:textFill>
              </w:rPr>
              <w:t>O</w:t>
            </w:r>
            <w:r>
              <w:rPr>
                <w:color w:val="000000" w:themeColor="text1"/>
                <w14:textFill>
                  <w14:solidFill>
                    <w14:schemeClr w14:val="tx1"/>
                  </w14:solidFill>
                </w14:textFill>
              </w:rPr>
              <w:t>、</w:t>
            </w:r>
            <w:r>
              <w:rPr>
                <w:rFonts w:eastAsia="Times New Roman"/>
                <w:color w:val="000000" w:themeColor="text1"/>
                <w:lang w:bidi="en-US"/>
                <w14:textFill>
                  <w14:solidFill>
                    <w14:schemeClr w14:val="tx1"/>
                  </w14:solidFill>
                </w14:textFill>
              </w:rPr>
              <w:t>P</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Q</w:t>
            </w:r>
          </w:p>
        </w:tc>
        <w:tc>
          <w:tcPr>
            <w:tcW w:w="1408" w:type="dxa"/>
            <w:vMerge w:val="continue"/>
            <w:vAlign w:val="center"/>
          </w:tcPr>
          <w:p w14:paraId="31CF16AD">
            <w:pPr>
              <w:pStyle w:val="109"/>
              <w:rPr>
                <w:color w:val="000000" w:themeColor="text1"/>
                <w14:textFill>
                  <w14:solidFill>
                    <w14:schemeClr w14:val="tx1"/>
                  </w14:solidFill>
                </w14:textFill>
              </w:rPr>
            </w:pPr>
          </w:p>
        </w:tc>
      </w:tr>
      <w:tr w14:paraId="6D5A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1E16580C">
            <w:pPr>
              <w:pStyle w:val="109"/>
              <w:rPr>
                <w:color w:val="000000" w:themeColor="text1"/>
                <w14:textFill>
                  <w14:solidFill>
                    <w14:schemeClr w14:val="tx1"/>
                  </w14:solidFill>
                </w14:textFill>
              </w:rPr>
            </w:pPr>
          </w:p>
        </w:tc>
        <w:tc>
          <w:tcPr>
            <w:tcW w:w="821" w:type="dxa"/>
            <w:vMerge w:val="continue"/>
            <w:vAlign w:val="center"/>
          </w:tcPr>
          <w:p w14:paraId="5A3C99B4">
            <w:pPr>
              <w:pStyle w:val="109"/>
              <w:rPr>
                <w:color w:val="000000" w:themeColor="text1"/>
                <w14:textFill>
                  <w14:solidFill>
                    <w14:schemeClr w14:val="tx1"/>
                  </w14:solidFill>
                </w14:textFill>
              </w:rPr>
            </w:pPr>
          </w:p>
        </w:tc>
        <w:tc>
          <w:tcPr>
            <w:tcW w:w="3247" w:type="dxa"/>
            <w:vAlign w:val="center"/>
          </w:tcPr>
          <w:p w14:paraId="61E163F5">
            <w:pPr>
              <w:pStyle w:val="109"/>
              <w:rPr>
                <w:color w:val="000000" w:themeColor="text1"/>
                <w14:textFill>
                  <w14:solidFill>
                    <w14:schemeClr w14:val="tx1"/>
                  </w14:solidFill>
                </w14:textFill>
              </w:rPr>
            </w:pPr>
            <w:r>
              <w:rPr>
                <w:color w:val="000000" w:themeColor="text1"/>
                <w14:textFill>
                  <w14:solidFill>
                    <w14:schemeClr w14:val="tx1"/>
                  </w14:solidFill>
                </w14:textFill>
              </w:rPr>
              <w:t>甲苯</w:t>
            </w:r>
          </w:p>
        </w:tc>
        <w:tc>
          <w:tcPr>
            <w:tcW w:w="1277" w:type="dxa"/>
            <w:gridSpan w:val="2"/>
            <w:vAlign w:val="center"/>
          </w:tcPr>
          <w:p w14:paraId="1EC4987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2122" w:type="dxa"/>
            <w:vMerge w:val="continue"/>
            <w:vAlign w:val="center"/>
          </w:tcPr>
          <w:p w14:paraId="771A5E6D">
            <w:pPr>
              <w:pStyle w:val="109"/>
              <w:rPr>
                <w:color w:val="000000" w:themeColor="text1"/>
                <w14:textFill>
                  <w14:solidFill>
                    <w14:schemeClr w14:val="tx1"/>
                  </w14:solidFill>
                </w14:textFill>
              </w:rPr>
            </w:pPr>
          </w:p>
        </w:tc>
        <w:tc>
          <w:tcPr>
            <w:tcW w:w="1408" w:type="dxa"/>
            <w:vMerge w:val="continue"/>
            <w:vAlign w:val="center"/>
          </w:tcPr>
          <w:p w14:paraId="49A58132">
            <w:pPr>
              <w:pStyle w:val="109"/>
              <w:rPr>
                <w:color w:val="000000" w:themeColor="text1"/>
                <w14:textFill>
                  <w14:solidFill>
                    <w14:schemeClr w14:val="tx1"/>
                  </w14:solidFill>
                </w14:textFill>
              </w:rPr>
            </w:pPr>
          </w:p>
        </w:tc>
      </w:tr>
      <w:tr w14:paraId="72D4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37ECC1D5">
            <w:pPr>
              <w:pStyle w:val="109"/>
              <w:rPr>
                <w:color w:val="000000" w:themeColor="text1"/>
                <w14:textFill>
                  <w14:solidFill>
                    <w14:schemeClr w14:val="tx1"/>
                  </w14:solidFill>
                </w14:textFill>
              </w:rPr>
            </w:pPr>
          </w:p>
        </w:tc>
        <w:tc>
          <w:tcPr>
            <w:tcW w:w="821" w:type="dxa"/>
            <w:vMerge w:val="continue"/>
            <w:vAlign w:val="center"/>
          </w:tcPr>
          <w:p w14:paraId="10D4C73F">
            <w:pPr>
              <w:pStyle w:val="109"/>
              <w:rPr>
                <w:color w:val="000000" w:themeColor="text1"/>
                <w14:textFill>
                  <w14:solidFill>
                    <w14:schemeClr w14:val="tx1"/>
                  </w14:solidFill>
                </w14:textFill>
              </w:rPr>
            </w:pPr>
          </w:p>
        </w:tc>
        <w:tc>
          <w:tcPr>
            <w:tcW w:w="3247" w:type="dxa"/>
            <w:vAlign w:val="center"/>
          </w:tcPr>
          <w:p w14:paraId="4DEC7E93">
            <w:pPr>
              <w:pStyle w:val="109"/>
              <w:rPr>
                <w:color w:val="000000" w:themeColor="text1"/>
                <w14:textFill>
                  <w14:solidFill>
                    <w14:schemeClr w14:val="tx1"/>
                  </w14:solidFill>
                </w14:textFill>
              </w:rPr>
            </w:pPr>
            <w:r>
              <w:rPr>
                <w:color w:val="000000" w:themeColor="text1"/>
                <w14:textFill>
                  <w14:solidFill>
                    <w14:schemeClr w14:val="tx1"/>
                  </w14:solidFill>
                </w14:textFill>
              </w:rPr>
              <w:t>乙苯</w:t>
            </w:r>
          </w:p>
        </w:tc>
        <w:tc>
          <w:tcPr>
            <w:tcW w:w="1277" w:type="dxa"/>
            <w:gridSpan w:val="2"/>
            <w:vAlign w:val="center"/>
          </w:tcPr>
          <w:p w14:paraId="04C09A35">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4</w:t>
            </w:r>
          </w:p>
        </w:tc>
        <w:tc>
          <w:tcPr>
            <w:tcW w:w="2122" w:type="dxa"/>
            <w:vAlign w:val="center"/>
          </w:tcPr>
          <w:p w14:paraId="6BE89DB2">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P</w:t>
            </w:r>
          </w:p>
        </w:tc>
        <w:tc>
          <w:tcPr>
            <w:tcW w:w="1408" w:type="dxa"/>
            <w:vMerge w:val="continue"/>
            <w:vAlign w:val="center"/>
          </w:tcPr>
          <w:p w14:paraId="55F6A994">
            <w:pPr>
              <w:pStyle w:val="109"/>
              <w:rPr>
                <w:color w:val="000000" w:themeColor="text1"/>
                <w14:textFill>
                  <w14:solidFill>
                    <w14:schemeClr w14:val="tx1"/>
                  </w14:solidFill>
                </w14:textFill>
              </w:rPr>
            </w:pPr>
          </w:p>
        </w:tc>
      </w:tr>
      <w:tr w14:paraId="042D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5A5747FB">
            <w:pPr>
              <w:pStyle w:val="109"/>
              <w:rPr>
                <w:color w:val="000000" w:themeColor="text1"/>
                <w14:textFill>
                  <w14:solidFill>
                    <w14:schemeClr w14:val="tx1"/>
                  </w14:solidFill>
                </w14:textFill>
              </w:rPr>
            </w:pPr>
          </w:p>
        </w:tc>
        <w:tc>
          <w:tcPr>
            <w:tcW w:w="821" w:type="dxa"/>
            <w:vMerge w:val="continue"/>
            <w:vAlign w:val="center"/>
          </w:tcPr>
          <w:p w14:paraId="617141B9">
            <w:pPr>
              <w:pStyle w:val="109"/>
              <w:rPr>
                <w:color w:val="000000" w:themeColor="text1"/>
                <w14:textFill>
                  <w14:solidFill>
                    <w14:schemeClr w14:val="tx1"/>
                  </w14:solidFill>
                </w14:textFill>
              </w:rPr>
            </w:pPr>
          </w:p>
        </w:tc>
        <w:tc>
          <w:tcPr>
            <w:tcW w:w="3247" w:type="dxa"/>
            <w:vAlign w:val="center"/>
          </w:tcPr>
          <w:p w14:paraId="50F3325E">
            <w:pPr>
              <w:pStyle w:val="109"/>
              <w:rPr>
                <w:color w:val="000000" w:themeColor="text1"/>
                <w14:textFill>
                  <w14:solidFill>
                    <w14:schemeClr w14:val="tx1"/>
                  </w14:solidFill>
                </w14:textFill>
              </w:rPr>
            </w:pPr>
            <w:r>
              <w:rPr>
                <w:color w:val="000000" w:themeColor="text1"/>
                <w14:textFill>
                  <w14:solidFill>
                    <w14:schemeClr w14:val="tx1"/>
                  </w14:solidFill>
                </w14:textFill>
              </w:rPr>
              <w:t>二甲苯</w:t>
            </w:r>
          </w:p>
        </w:tc>
        <w:tc>
          <w:tcPr>
            <w:tcW w:w="1277" w:type="dxa"/>
            <w:gridSpan w:val="2"/>
            <w:vAlign w:val="center"/>
          </w:tcPr>
          <w:p w14:paraId="1CE02A06">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4</w:t>
            </w:r>
          </w:p>
        </w:tc>
        <w:tc>
          <w:tcPr>
            <w:tcW w:w="2122" w:type="dxa"/>
            <w:vMerge w:val="restart"/>
            <w:vAlign w:val="center"/>
          </w:tcPr>
          <w:p w14:paraId="5EB8F4E8">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heme="minorEastAsia"/>
                <w:color w:val="000000" w:themeColor="text1"/>
                <w14:textFill>
                  <w14:solidFill>
                    <w14:schemeClr w14:val="tx1"/>
                  </w14:solidFill>
                </w14:textFill>
              </w:rPr>
              <w:t>O</w:t>
            </w:r>
            <w:r>
              <w:rPr>
                <w:color w:val="000000" w:themeColor="text1"/>
                <w14:textFill>
                  <w14:solidFill>
                    <w14:schemeClr w14:val="tx1"/>
                  </w14:solidFill>
                </w14:textFill>
              </w:rPr>
              <w:t>、</w:t>
            </w:r>
            <w:r>
              <w:rPr>
                <w:rFonts w:eastAsia="Times New Roman"/>
                <w:color w:val="000000" w:themeColor="text1"/>
                <w:lang w:bidi="en-US"/>
                <w14:textFill>
                  <w14:solidFill>
                    <w14:schemeClr w14:val="tx1"/>
                  </w14:solidFill>
                </w14:textFill>
              </w:rPr>
              <w:t>P</w:t>
            </w:r>
          </w:p>
        </w:tc>
        <w:tc>
          <w:tcPr>
            <w:tcW w:w="1408" w:type="dxa"/>
            <w:vMerge w:val="continue"/>
            <w:vAlign w:val="center"/>
          </w:tcPr>
          <w:p w14:paraId="7898421E">
            <w:pPr>
              <w:pStyle w:val="109"/>
              <w:rPr>
                <w:color w:val="000000" w:themeColor="text1"/>
                <w14:textFill>
                  <w14:solidFill>
                    <w14:schemeClr w14:val="tx1"/>
                  </w14:solidFill>
                </w14:textFill>
              </w:rPr>
            </w:pPr>
          </w:p>
        </w:tc>
      </w:tr>
      <w:tr w14:paraId="7187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5E525A5D">
            <w:pPr>
              <w:pStyle w:val="109"/>
              <w:rPr>
                <w:color w:val="000000" w:themeColor="text1"/>
                <w14:textFill>
                  <w14:solidFill>
                    <w14:schemeClr w14:val="tx1"/>
                  </w14:solidFill>
                </w14:textFill>
              </w:rPr>
            </w:pPr>
          </w:p>
        </w:tc>
        <w:tc>
          <w:tcPr>
            <w:tcW w:w="821" w:type="dxa"/>
            <w:vMerge w:val="continue"/>
            <w:vAlign w:val="center"/>
          </w:tcPr>
          <w:p w14:paraId="18617DF3">
            <w:pPr>
              <w:pStyle w:val="109"/>
              <w:rPr>
                <w:color w:val="000000" w:themeColor="text1"/>
                <w14:textFill>
                  <w14:solidFill>
                    <w14:schemeClr w14:val="tx1"/>
                  </w14:solidFill>
                </w14:textFill>
              </w:rPr>
            </w:pPr>
          </w:p>
        </w:tc>
        <w:tc>
          <w:tcPr>
            <w:tcW w:w="3247" w:type="dxa"/>
            <w:vAlign w:val="center"/>
          </w:tcPr>
          <w:p w14:paraId="6F2996C9">
            <w:pPr>
              <w:pStyle w:val="109"/>
              <w:rPr>
                <w:color w:val="000000" w:themeColor="text1"/>
                <w14:textFill>
                  <w14:solidFill>
                    <w14:schemeClr w14:val="tx1"/>
                  </w14:solidFill>
                </w14:textFill>
              </w:rPr>
            </w:pPr>
            <w:r>
              <w:rPr>
                <w:color w:val="000000" w:themeColor="text1"/>
                <w14:textFill>
                  <w14:solidFill>
                    <w14:schemeClr w14:val="tx1"/>
                  </w14:solidFill>
                </w14:textFill>
              </w:rPr>
              <w:t>氯苯</w:t>
            </w:r>
          </w:p>
        </w:tc>
        <w:tc>
          <w:tcPr>
            <w:tcW w:w="1277" w:type="dxa"/>
            <w:gridSpan w:val="2"/>
            <w:vAlign w:val="center"/>
          </w:tcPr>
          <w:p w14:paraId="298A901C">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p>
        </w:tc>
        <w:tc>
          <w:tcPr>
            <w:tcW w:w="2122" w:type="dxa"/>
            <w:vMerge w:val="continue"/>
            <w:vAlign w:val="center"/>
          </w:tcPr>
          <w:p w14:paraId="43C75C03">
            <w:pPr>
              <w:pStyle w:val="109"/>
              <w:rPr>
                <w:color w:val="000000" w:themeColor="text1"/>
                <w14:textFill>
                  <w14:solidFill>
                    <w14:schemeClr w14:val="tx1"/>
                  </w14:solidFill>
                </w14:textFill>
              </w:rPr>
            </w:pPr>
          </w:p>
        </w:tc>
        <w:tc>
          <w:tcPr>
            <w:tcW w:w="1408" w:type="dxa"/>
            <w:vMerge w:val="continue"/>
            <w:vAlign w:val="center"/>
          </w:tcPr>
          <w:p w14:paraId="5221B0C3">
            <w:pPr>
              <w:pStyle w:val="109"/>
              <w:rPr>
                <w:color w:val="000000" w:themeColor="text1"/>
                <w14:textFill>
                  <w14:solidFill>
                    <w14:schemeClr w14:val="tx1"/>
                  </w14:solidFill>
                </w14:textFill>
              </w:rPr>
            </w:pPr>
          </w:p>
        </w:tc>
      </w:tr>
      <w:tr w14:paraId="4D17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636D5FA8">
            <w:pPr>
              <w:pStyle w:val="109"/>
              <w:rPr>
                <w:color w:val="000000" w:themeColor="text1"/>
                <w14:textFill>
                  <w14:solidFill>
                    <w14:schemeClr w14:val="tx1"/>
                  </w14:solidFill>
                </w14:textFill>
              </w:rPr>
            </w:pPr>
          </w:p>
        </w:tc>
        <w:tc>
          <w:tcPr>
            <w:tcW w:w="821" w:type="dxa"/>
            <w:vMerge w:val="continue"/>
            <w:vAlign w:val="center"/>
          </w:tcPr>
          <w:p w14:paraId="75FBA225">
            <w:pPr>
              <w:pStyle w:val="109"/>
              <w:rPr>
                <w:color w:val="000000" w:themeColor="text1"/>
                <w14:textFill>
                  <w14:solidFill>
                    <w14:schemeClr w14:val="tx1"/>
                  </w14:solidFill>
                </w14:textFill>
              </w:rPr>
            </w:pPr>
          </w:p>
        </w:tc>
        <w:tc>
          <w:tcPr>
            <w:tcW w:w="3247" w:type="dxa"/>
            <w:vAlign w:val="center"/>
          </w:tcPr>
          <w:p w14:paraId="518857C8">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二氯苯</w:t>
            </w:r>
          </w:p>
        </w:tc>
        <w:tc>
          <w:tcPr>
            <w:tcW w:w="1277" w:type="dxa"/>
            <w:gridSpan w:val="2"/>
            <w:vAlign w:val="center"/>
          </w:tcPr>
          <w:p w14:paraId="769C74A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4</w:t>
            </w:r>
          </w:p>
        </w:tc>
        <w:tc>
          <w:tcPr>
            <w:tcW w:w="2122" w:type="dxa"/>
            <w:vMerge w:val="restart"/>
            <w:vAlign w:val="center"/>
          </w:tcPr>
          <w:p w14:paraId="6B35666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附录 </w:t>
            </w:r>
            <w:r>
              <w:rPr>
                <w:rFonts w:eastAsia="Times New Roman"/>
                <w:color w:val="000000" w:themeColor="text1"/>
                <w:lang w:bidi="en-US"/>
                <w14:textFill>
                  <w14:solidFill>
                    <w14:schemeClr w14:val="tx1"/>
                  </w14:solidFill>
                </w14:textFill>
              </w:rPr>
              <w:t>K</w:t>
            </w:r>
            <w:r>
              <w:rPr>
                <w:color w:val="000000" w:themeColor="text1"/>
                <w:lang w:bidi="en-US"/>
                <w14:textFill>
                  <w14:solidFill>
                    <w14:schemeClr w14:val="tx1"/>
                  </w14:solidFill>
                </w14:textFill>
              </w:rPr>
              <w:t>、</w:t>
            </w:r>
            <w:r>
              <w:rPr>
                <w:rFonts w:eastAsiaTheme="minorEastAsia"/>
                <w:color w:val="000000" w:themeColor="text1"/>
                <w14:textFill>
                  <w14:solidFill>
                    <w14:schemeClr w14:val="tx1"/>
                  </w14:solidFill>
                </w14:textFill>
              </w:rPr>
              <w:t>O</w:t>
            </w:r>
            <w:r>
              <w:rPr>
                <w:color w:val="000000" w:themeColor="text1"/>
                <w14:textFill>
                  <w14:solidFill>
                    <w14:schemeClr w14:val="tx1"/>
                  </w14:solidFill>
                </w14:textFill>
              </w:rPr>
              <w:t>、</w:t>
            </w:r>
            <w:r>
              <w:rPr>
                <w:rFonts w:eastAsia="Times New Roman"/>
                <w:color w:val="000000" w:themeColor="text1"/>
                <w:lang w:bidi="en-US"/>
                <w14:textFill>
                  <w14:solidFill>
                    <w14:schemeClr w14:val="tx1"/>
                  </w14:solidFill>
                </w14:textFill>
              </w:rPr>
              <w:t>P</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R</w:t>
            </w:r>
          </w:p>
        </w:tc>
        <w:tc>
          <w:tcPr>
            <w:tcW w:w="1408" w:type="dxa"/>
            <w:vMerge w:val="continue"/>
            <w:vAlign w:val="center"/>
          </w:tcPr>
          <w:p w14:paraId="7AA5FE3D">
            <w:pPr>
              <w:pStyle w:val="109"/>
              <w:rPr>
                <w:color w:val="000000" w:themeColor="text1"/>
                <w14:textFill>
                  <w14:solidFill>
                    <w14:schemeClr w14:val="tx1"/>
                  </w14:solidFill>
                </w14:textFill>
              </w:rPr>
            </w:pPr>
          </w:p>
        </w:tc>
      </w:tr>
      <w:tr w14:paraId="7543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16584389">
            <w:pPr>
              <w:pStyle w:val="109"/>
              <w:rPr>
                <w:color w:val="000000" w:themeColor="text1"/>
                <w14:textFill>
                  <w14:solidFill>
                    <w14:schemeClr w14:val="tx1"/>
                  </w14:solidFill>
                </w14:textFill>
              </w:rPr>
            </w:pPr>
          </w:p>
        </w:tc>
        <w:tc>
          <w:tcPr>
            <w:tcW w:w="821" w:type="dxa"/>
            <w:vMerge w:val="continue"/>
            <w:vAlign w:val="center"/>
          </w:tcPr>
          <w:p w14:paraId="532398C3">
            <w:pPr>
              <w:pStyle w:val="109"/>
              <w:rPr>
                <w:color w:val="000000" w:themeColor="text1"/>
                <w14:textFill>
                  <w14:solidFill>
                    <w14:schemeClr w14:val="tx1"/>
                  </w14:solidFill>
                </w14:textFill>
              </w:rPr>
            </w:pPr>
          </w:p>
        </w:tc>
        <w:tc>
          <w:tcPr>
            <w:tcW w:w="3247" w:type="dxa"/>
            <w:vAlign w:val="center"/>
          </w:tcPr>
          <w:p w14:paraId="17A8614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二氯苯</w:t>
            </w:r>
          </w:p>
        </w:tc>
        <w:tc>
          <w:tcPr>
            <w:tcW w:w="1277" w:type="dxa"/>
            <w:gridSpan w:val="2"/>
            <w:vAlign w:val="center"/>
          </w:tcPr>
          <w:p w14:paraId="31A9DFD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4</w:t>
            </w:r>
          </w:p>
        </w:tc>
        <w:tc>
          <w:tcPr>
            <w:tcW w:w="2122" w:type="dxa"/>
            <w:vMerge w:val="continue"/>
            <w:vAlign w:val="center"/>
          </w:tcPr>
          <w:p w14:paraId="5CFC9078">
            <w:pPr>
              <w:pStyle w:val="109"/>
              <w:rPr>
                <w:color w:val="000000" w:themeColor="text1"/>
                <w14:textFill>
                  <w14:solidFill>
                    <w14:schemeClr w14:val="tx1"/>
                  </w14:solidFill>
                </w14:textFill>
              </w:rPr>
            </w:pPr>
          </w:p>
        </w:tc>
        <w:tc>
          <w:tcPr>
            <w:tcW w:w="1408" w:type="dxa"/>
            <w:vMerge w:val="continue"/>
            <w:vAlign w:val="center"/>
          </w:tcPr>
          <w:p w14:paraId="603F3E3B">
            <w:pPr>
              <w:pStyle w:val="109"/>
              <w:rPr>
                <w:color w:val="000000" w:themeColor="text1"/>
                <w14:textFill>
                  <w14:solidFill>
                    <w14:schemeClr w14:val="tx1"/>
                  </w14:solidFill>
                </w14:textFill>
              </w:rPr>
            </w:pPr>
          </w:p>
        </w:tc>
      </w:tr>
      <w:tr w14:paraId="2051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33E7CDD6">
            <w:pPr>
              <w:pStyle w:val="109"/>
              <w:rPr>
                <w:color w:val="000000" w:themeColor="text1"/>
                <w14:textFill>
                  <w14:solidFill>
                    <w14:schemeClr w14:val="tx1"/>
                  </w14:solidFill>
                </w14:textFill>
              </w:rPr>
            </w:pPr>
          </w:p>
        </w:tc>
        <w:tc>
          <w:tcPr>
            <w:tcW w:w="821" w:type="dxa"/>
            <w:vMerge w:val="continue"/>
            <w:vAlign w:val="center"/>
          </w:tcPr>
          <w:p w14:paraId="5ED061E2">
            <w:pPr>
              <w:pStyle w:val="109"/>
              <w:rPr>
                <w:color w:val="000000" w:themeColor="text1"/>
                <w14:textFill>
                  <w14:solidFill>
                    <w14:schemeClr w14:val="tx1"/>
                  </w14:solidFill>
                </w14:textFill>
              </w:rPr>
            </w:pPr>
          </w:p>
        </w:tc>
        <w:tc>
          <w:tcPr>
            <w:tcW w:w="3247" w:type="dxa"/>
            <w:vAlign w:val="center"/>
          </w:tcPr>
          <w:p w14:paraId="7B47FE74">
            <w:pPr>
              <w:pStyle w:val="109"/>
              <w:rPr>
                <w:color w:val="000000" w:themeColor="text1"/>
                <w14:textFill>
                  <w14:solidFill>
                    <w14:schemeClr w14:val="tx1"/>
                  </w14:solidFill>
                </w14:textFill>
              </w:rPr>
            </w:pPr>
            <w:r>
              <w:rPr>
                <w:color w:val="000000" w:themeColor="text1"/>
                <w14:textFill>
                  <w14:solidFill>
                    <w14:schemeClr w14:val="tx1"/>
                  </w14:solidFill>
                </w14:textFill>
              </w:rPr>
              <w:t>丙烯腈</w:t>
            </w:r>
          </w:p>
        </w:tc>
        <w:tc>
          <w:tcPr>
            <w:tcW w:w="1277" w:type="dxa"/>
            <w:gridSpan w:val="2"/>
            <w:vAlign w:val="center"/>
          </w:tcPr>
          <w:p w14:paraId="13F9A2CD">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20</w:t>
            </w:r>
          </w:p>
        </w:tc>
        <w:tc>
          <w:tcPr>
            <w:tcW w:w="2122" w:type="dxa"/>
            <w:vMerge w:val="restart"/>
            <w:vAlign w:val="center"/>
          </w:tcPr>
          <w:p w14:paraId="6AE75349">
            <w:pPr>
              <w:pStyle w:val="109"/>
              <w:rPr>
                <w:color w:val="000000" w:themeColor="text1"/>
                <w14:textFill>
                  <w14:solidFill>
                    <w14:schemeClr w14:val="tx1"/>
                  </w14:solidFill>
                </w14:textFill>
              </w:rPr>
            </w:pPr>
            <w:r>
              <w:rPr>
                <w:color w:val="000000" w:themeColor="text1"/>
                <w14:textFill>
                  <w14:solidFill>
                    <w14:schemeClr w14:val="tx1"/>
                  </w14:solidFill>
                </w14:textFill>
              </w:rPr>
              <w:t>附录</w:t>
            </w:r>
            <w:r>
              <w:rPr>
                <w:rFonts w:eastAsia="Times New Roman"/>
                <w:color w:val="000000" w:themeColor="text1"/>
                <w:lang w:bidi="en-US"/>
                <w14:textFill>
                  <w14:solidFill>
                    <w14:schemeClr w14:val="tx1"/>
                  </w14:solidFill>
                </w14:textFill>
              </w:rPr>
              <w:t>Q</w:t>
            </w:r>
          </w:p>
        </w:tc>
        <w:tc>
          <w:tcPr>
            <w:tcW w:w="1408" w:type="dxa"/>
            <w:vMerge w:val="continue"/>
            <w:vAlign w:val="center"/>
          </w:tcPr>
          <w:p w14:paraId="4772F5EE">
            <w:pPr>
              <w:pStyle w:val="109"/>
              <w:rPr>
                <w:color w:val="000000" w:themeColor="text1"/>
                <w14:textFill>
                  <w14:solidFill>
                    <w14:schemeClr w14:val="tx1"/>
                  </w14:solidFill>
                </w14:textFill>
              </w:rPr>
            </w:pPr>
          </w:p>
        </w:tc>
      </w:tr>
      <w:tr w14:paraId="3AB9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71B03570">
            <w:pPr>
              <w:pStyle w:val="109"/>
              <w:rPr>
                <w:color w:val="000000" w:themeColor="text1"/>
                <w14:textFill>
                  <w14:solidFill>
                    <w14:schemeClr w14:val="tx1"/>
                  </w14:solidFill>
                </w14:textFill>
              </w:rPr>
            </w:pPr>
          </w:p>
        </w:tc>
        <w:tc>
          <w:tcPr>
            <w:tcW w:w="821" w:type="dxa"/>
            <w:vMerge w:val="continue"/>
            <w:vAlign w:val="center"/>
          </w:tcPr>
          <w:p w14:paraId="0FFEEEC5">
            <w:pPr>
              <w:pStyle w:val="109"/>
              <w:rPr>
                <w:color w:val="000000" w:themeColor="text1"/>
                <w14:textFill>
                  <w14:solidFill>
                    <w14:schemeClr w14:val="tx1"/>
                  </w14:solidFill>
                </w14:textFill>
              </w:rPr>
            </w:pPr>
          </w:p>
        </w:tc>
        <w:tc>
          <w:tcPr>
            <w:tcW w:w="3247" w:type="dxa"/>
            <w:vAlign w:val="center"/>
          </w:tcPr>
          <w:p w14:paraId="421AB064">
            <w:pPr>
              <w:pStyle w:val="109"/>
              <w:rPr>
                <w:color w:val="000000" w:themeColor="text1"/>
                <w14:textFill>
                  <w14:solidFill>
                    <w14:schemeClr w14:val="tx1"/>
                  </w14:solidFill>
                </w14:textFill>
              </w:rPr>
            </w:pPr>
            <w:r>
              <w:rPr>
                <w:color w:val="000000" w:themeColor="text1"/>
                <w14:textFill>
                  <w14:solidFill>
                    <w14:schemeClr w14:val="tx1"/>
                  </w14:solidFill>
                </w14:textFill>
              </w:rPr>
              <w:t>三氯甲烷</w:t>
            </w:r>
          </w:p>
        </w:tc>
        <w:tc>
          <w:tcPr>
            <w:tcW w:w="1277" w:type="dxa"/>
            <w:gridSpan w:val="2"/>
            <w:vAlign w:val="center"/>
          </w:tcPr>
          <w:p w14:paraId="14EDC858">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3</w:t>
            </w:r>
          </w:p>
        </w:tc>
        <w:tc>
          <w:tcPr>
            <w:tcW w:w="2122" w:type="dxa"/>
            <w:vMerge w:val="continue"/>
            <w:vAlign w:val="center"/>
          </w:tcPr>
          <w:p w14:paraId="012B8D8C">
            <w:pPr>
              <w:pStyle w:val="109"/>
              <w:rPr>
                <w:color w:val="000000" w:themeColor="text1"/>
                <w14:textFill>
                  <w14:solidFill>
                    <w14:schemeClr w14:val="tx1"/>
                  </w14:solidFill>
                </w14:textFill>
              </w:rPr>
            </w:pPr>
          </w:p>
        </w:tc>
        <w:tc>
          <w:tcPr>
            <w:tcW w:w="1408" w:type="dxa"/>
            <w:vMerge w:val="continue"/>
            <w:vAlign w:val="center"/>
          </w:tcPr>
          <w:p w14:paraId="7EE1E276">
            <w:pPr>
              <w:pStyle w:val="109"/>
              <w:rPr>
                <w:color w:val="000000" w:themeColor="text1"/>
                <w14:textFill>
                  <w14:solidFill>
                    <w14:schemeClr w14:val="tx1"/>
                  </w14:solidFill>
                </w14:textFill>
              </w:rPr>
            </w:pPr>
          </w:p>
        </w:tc>
      </w:tr>
      <w:tr w14:paraId="022D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0446D61F">
            <w:pPr>
              <w:pStyle w:val="109"/>
              <w:rPr>
                <w:color w:val="000000" w:themeColor="text1"/>
                <w14:textFill>
                  <w14:solidFill>
                    <w14:schemeClr w14:val="tx1"/>
                  </w14:solidFill>
                </w14:textFill>
              </w:rPr>
            </w:pPr>
          </w:p>
        </w:tc>
        <w:tc>
          <w:tcPr>
            <w:tcW w:w="821" w:type="dxa"/>
            <w:vMerge w:val="continue"/>
            <w:vAlign w:val="center"/>
          </w:tcPr>
          <w:p w14:paraId="2C911F0E">
            <w:pPr>
              <w:pStyle w:val="109"/>
              <w:rPr>
                <w:color w:val="000000" w:themeColor="text1"/>
                <w14:textFill>
                  <w14:solidFill>
                    <w14:schemeClr w14:val="tx1"/>
                  </w14:solidFill>
                </w14:textFill>
              </w:rPr>
            </w:pPr>
          </w:p>
        </w:tc>
        <w:tc>
          <w:tcPr>
            <w:tcW w:w="3247" w:type="dxa"/>
            <w:vAlign w:val="center"/>
          </w:tcPr>
          <w:p w14:paraId="566133FA">
            <w:pPr>
              <w:pStyle w:val="109"/>
              <w:rPr>
                <w:color w:val="000000" w:themeColor="text1"/>
                <w14:textFill>
                  <w14:solidFill>
                    <w14:schemeClr w14:val="tx1"/>
                  </w14:solidFill>
                </w14:textFill>
              </w:rPr>
            </w:pPr>
            <w:r>
              <w:rPr>
                <w:color w:val="000000" w:themeColor="text1"/>
                <w14:textFill>
                  <w14:solidFill>
                    <w14:schemeClr w14:val="tx1"/>
                  </w14:solidFill>
                </w14:textFill>
              </w:rPr>
              <w:t>四氯化碳</w:t>
            </w:r>
          </w:p>
        </w:tc>
        <w:tc>
          <w:tcPr>
            <w:tcW w:w="1277" w:type="dxa"/>
            <w:gridSpan w:val="2"/>
            <w:vAlign w:val="center"/>
          </w:tcPr>
          <w:p w14:paraId="6A13DA21">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0.3</w:t>
            </w:r>
          </w:p>
        </w:tc>
        <w:tc>
          <w:tcPr>
            <w:tcW w:w="2122" w:type="dxa"/>
            <w:vMerge w:val="continue"/>
            <w:vAlign w:val="center"/>
          </w:tcPr>
          <w:p w14:paraId="16A41BCD">
            <w:pPr>
              <w:pStyle w:val="109"/>
              <w:rPr>
                <w:color w:val="000000" w:themeColor="text1"/>
                <w14:textFill>
                  <w14:solidFill>
                    <w14:schemeClr w14:val="tx1"/>
                  </w14:solidFill>
                </w14:textFill>
              </w:rPr>
            </w:pPr>
          </w:p>
        </w:tc>
        <w:tc>
          <w:tcPr>
            <w:tcW w:w="1408" w:type="dxa"/>
            <w:vMerge w:val="continue"/>
            <w:vAlign w:val="center"/>
          </w:tcPr>
          <w:p w14:paraId="30CB4BF5">
            <w:pPr>
              <w:pStyle w:val="109"/>
              <w:rPr>
                <w:color w:val="000000" w:themeColor="text1"/>
                <w14:textFill>
                  <w14:solidFill>
                    <w14:schemeClr w14:val="tx1"/>
                  </w14:solidFill>
                </w14:textFill>
              </w:rPr>
            </w:pPr>
          </w:p>
        </w:tc>
      </w:tr>
      <w:tr w14:paraId="13A1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32A821D9">
            <w:pPr>
              <w:pStyle w:val="109"/>
              <w:rPr>
                <w:color w:val="000000" w:themeColor="text1"/>
                <w14:textFill>
                  <w14:solidFill>
                    <w14:schemeClr w14:val="tx1"/>
                  </w14:solidFill>
                </w14:textFill>
              </w:rPr>
            </w:pPr>
          </w:p>
        </w:tc>
        <w:tc>
          <w:tcPr>
            <w:tcW w:w="821" w:type="dxa"/>
            <w:vMerge w:val="continue"/>
            <w:vAlign w:val="center"/>
          </w:tcPr>
          <w:p w14:paraId="77275860">
            <w:pPr>
              <w:pStyle w:val="109"/>
              <w:rPr>
                <w:color w:val="000000" w:themeColor="text1"/>
                <w14:textFill>
                  <w14:solidFill>
                    <w14:schemeClr w14:val="tx1"/>
                  </w14:solidFill>
                </w14:textFill>
              </w:rPr>
            </w:pPr>
          </w:p>
        </w:tc>
        <w:tc>
          <w:tcPr>
            <w:tcW w:w="3247" w:type="dxa"/>
            <w:vAlign w:val="center"/>
          </w:tcPr>
          <w:p w14:paraId="3B7643DA">
            <w:pPr>
              <w:pStyle w:val="109"/>
              <w:rPr>
                <w:color w:val="000000" w:themeColor="text1"/>
                <w14:textFill>
                  <w14:solidFill>
                    <w14:schemeClr w14:val="tx1"/>
                  </w14:solidFill>
                </w14:textFill>
              </w:rPr>
            </w:pPr>
            <w:r>
              <w:rPr>
                <w:color w:val="000000" w:themeColor="text1"/>
                <w14:textFill>
                  <w14:solidFill>
                    <w14:schemeClr w14:val="tx1"/>
                  </w14:solidFill>
                </w14:textFill>
              </w:rPr>
              <w:t>三氯乙烯</w:t>
            </w:r>
          </w:p>
        </w:tc>
        <w:tc>
          <w:tcPr>
            <w:tcW w:w="1277" w:type="dxa"/>
            <w:gridSpan w:val="2"/>
            <w:vAlign w:val="center"/>
          </w:tcPr>
          <w:p w14:paraId="4315C81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3</w:t>
            </w:r>
          </w:p>
        </w:tc>
        <w:tc>
          <w:tcPr>
            <w:tcW w:w="2122" w:type="dxa"/>
            <w:vMerge w:val="continue"/>
            <w:vAlign w:val="center"/>
          </w:tcPr>
          <w:p w14:paraId="35AA7958">
            <w:pPr>
              <w:pStyle w:val="109"/>
              <w:rPr>
                <w:color w:val="000000" w:themeColor="text1"/>
                <w14:textFill>
                  <w14:solidFill>
                    <w14:schemeClr w14:val="tx1"/>
                  </w14:solidFill>
                </w14:textFill>
              </w:rPr>
            </w:pPr>
          </w:p>
        </w:tc>
        <w:tc>
          <w:tcPr>
            <w:tcW w:w="1408" w:type="dxa"/>
            <w:vMerge w:val="continue"/>
            <w:vAlign w:val="center"/>
          </w:tcPr>
          <w:p w14:paraId="67FDEE06">
            <w:pPr>
              <w:pStyle w:val="109"/>
              <w:rPr>
                <w:color w:val="000000" w:themeColor="text1"/>
                <w14:textFill>
                  <w14:solidFill>
                    <w14:schemeClr w14:val="tx1"/>
                  </w14:solidFill>
                </w14:textFill>
              </w:rPr>
            </w:pPr>
          </w:p>
        </w:tc>
      </w:tr>
      <w:tr w14:paraId="7974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05" w:type="dxa"/>
            <w:vMerge w:val="continue"/>
            <w:vAlign w:val="center"/>
          </w:tcPr>
          <w:p w14:paraId="2B34C8E5">
            <w:pPr>
              <w:pStyle w:val="109"/>
              <w:rPr>
                <w:color w:val="000000" w:themeColor="text1"/>
                <w14:textFill>
                  <w14:solidFill>
                    <w14:schemeClr w14:val="tx1"/>
                  </w14:solidFill>
                </w14:textFill>
              </w:rPr>
            </w:pPr>
          </w:p>
        </w:tc>
        <w:tc>
          <w:tcPr>
            <w:tcW w:w="821" w:type="dxa"/>
            <w:vMerge w:val="continue"/>
            <w:vAlign w:val="center"/>
          </w:tcPr>
          <w:p w14:paraId="230BC03A">
            <w:pPr>
              <w:pStyle w:val="109"/>
              <w:rPr>
                <w:color w:val="000000" w:themeColor="text1"/>
                <w14:textFill>
                  <w14:solidFill>
                    <w14:schemeClr w14:val="tx1"/>
                  </w14:solidFill>
                </w14:textFill>
              </w:rPr>
            </w:pPr>
          </w:p>
        </w:tc>
        <w:tc>
          <w:tcPr>
            <w:tcW w:w="3247" w:type="dxa"/>
            <w:vAlign w:val="center"/>
          </w:tcPr>
          <w:p w14:paraId="14DA2C0B">
            <w:pPr>
              <w:pStyle w:val="109"/>
              <w:rPr>
                <w:color w:val="000000" w:themeColor="text1"/>
                <w14:textFill>
                  <w14:solidFill>
                    <w14:schemeClr w14:val="tx1"/>
                  </w14:solidFill>
                </w14:textFill>
              </w:rPr>
            </w:pPr>
            <w:r>
              <w:rPr>
                <w:color w:val="000000" w:themeColor="text1"/>
                <w14:textFill>
                  <w14:solidFill>
                    <w14:schemeClr w14:val="tx1"/>
                  </w14:solidFill>
                </w14:textFill>
              </w:rPr>
              <w:t>四氯乙烯</w:t>
            </w:r>
          </w:p>
        </w:tc>
        <w:tc>
          <w:tcPr>
            <w:tcW w:w="1277" w:type="dxa"/>
            <w:gridSpan w:val="2"/>
            <w:vAlign w:val="center"/>
          </w:tcPr>
          <w:p w14:paraId="10D8539A">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2122" w:type="dxa"/>
            <w:vMerge w:val="continue"/>
            <w:vAlign w:val="center"/>
          </w:tcPr>
          <w:p w14:paraId="560BF7DC">
            <w:pPr>
              <w:pStyle w:val="109"/>
              <w:rPr>
                <w:color w:val="000000" w:themeColor="text1"/>
                <w14:textFill>
                  <w14:solidFill>
                    <w14:schemeClr w14:val="tx1"/>
                  </w14:solidFill>
                </w14:textFill>
              </w:rPr>
            </w:pPr>
          </w:p>
        </w:tc>
        <w:tc>
          <w:tcPr>
            <w:tcW w:w="1408" w:type="dxa"/>
            <w:vMerge w:val="continue"/>
            <w:vAlign w:val="center"/>
          </w:tcPr>
          <w:p w14:paraId="2430A69D">
            <w:pPr>
              <w:pStyle w:val="109"/>
              <w:rPr>
                <w:color w:val="000000" w:themeColor="text1"/>
                <w14:textFill>
                  <w14:solidFill>
                    <w14:schemeClr w14:val="tx1"/>
                  </w14:solidFill>
                </w14:textFill>
              </w:rPr>
            </w:pPr>
          </w:p>
        </w:tc>
      </w:tr>
    </w:tbl>
    <w:p w14:paraId="4AF23562">
      <w:pPr>
        <w:ind w:firstLine="360"/>
        <w:rPr>
          <w:rFonts w:eastAsia="黑体"/>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注：“不得检出”指甲基汞</w:t>
      </w:r>
      <w:r>
        <w:rPr>
          <w:color w:val="000000" w:themeColor="text1"/>
          <w:sz w:val="18"/>
          <w:szCs w:val="18"/>
          <w:lang w:eastAsia="en-US" w:bidi="en-US"/>
          <w14:textFill>
            <w14:solidFill>
              <w14:schemeClr w14:val="tx1"/>
            </w14:solidFill>
          </w14:textFill>
        </w:rPr>
        <w:t>＜</w:t>
      </w:r>
      <w:r>
        <w:rPr>
          <w:rFonts w:eastAsia="Times New Roman"/>
          <w:color w:val="000000" w:themeColor="text1"/>
          <w:sz w:val="18"/>
          <w:szCs w:val="18"/>
          <w:lang w:eastAsia="en-US" w:bidi="en-US"/>
          <w14:textFill>
            <w14:solidFill>
              <w14:schemeClr w14:val="tx1"/>
            </w14:solidFill>
          </w14:textFill>
        </w:rPr>
        <w:t>10mgL</w:t>
      </w:r>
      <w:r>
        <w:rPr>
          <w:color w:val="000000" w:themeColor="text1"/>
          <w:sz w:val="18"/>
          <w:szCs w:val="18"/>
          <w:lang w:eastAsia="en-US" w:bidi="en-US"/>
          <w14:textFill>
            <w14:solidFill>
              <w14:schemeClr w14:val="tx1"/>
            </w14:solidFill>
          </w14:textFill>
        </w:rPr>
        <w:t>，</w:t>
      </w:r>
      <w:r>
        <w:rPr>
          <w:color w:val="000000" w:themeColor="text1"/>
          <w:sz w:val="18"/>
          <w:szCs w:val="18"/>
          <w14:textFill>
            <w14:solidFill>
              <w14:schemeClr w14:val="tx1"/>
            </w14:solidFill>
          </w14:textFill>
        </w:rPr>
        <w:t>乙基汞</w:t>
      </w:r>
      <w:r>
        <w:rPr>
          <w:color w:val="000000" w:themeColor="text1"/>
          <w:sz w:val="18"/>
          <w:szCs w:val="18"/>
          <w:lang w:eastAsia="en-US" w:bidi="en-US"/>
          <w14:textFill>
            <w14:solidFill>
              <w14:schemeClr w14:val="tx1"/>
            </w14:solidFill>
          </w14:textFill>
        </w:rPr>
        <w:t>＜</w:t>
      </w:r>
      <w:r>
        <w:rPr>
          <w:rFonts w:eastAsia="Times New Roman"/>
          <w:color w:val="000000" w:themeColor="text1"/>
          <w:sz w:val="18"/>
          <w:szCs w:val="18"/>
          <w:lang w:eastAsia="en-US" w:bidi="en-US"/>
          <w14:textFill>
            <w14:solidFill>
              <w14:schemeClr w14:val="tx1"/>
            </w14:solidFill>
          </w14:textFill>
        </w:rPr>
        <w:t>20mg/L</w:t>
      </w:r>
      <w:r>
        <w:rPr>
          <w:color w:val="000000" w:themeColor="text1"/>
          <w:sz w:val="18"/>
          <w:szCs w:val="18"/>
          <w:lang w:eastAsia="en-US" w:bidi="en-US"/>
          <w14:textFill>
            <w14:solidFill>
              <w14:schemeClr w14:val="tx1"/>
            </w14:solidFill>
          </w14:textFill>
        </w:rPr>
        <w:t>。</w:t>
      </w:r>
    </w:p>
    <w:p w14:paraId="1CDFF531">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本项目处理后的废盐如果根据《危险废物鉴别标准 浸出毒性鉴别》</w:t>
      </w:r>
      <w:r>
        <w:rPr>
          <w:rFonts w:ascii="Times New Roman" w:hAnsi="Times New Roman"/>
          <w:color w:val="000000" w:themeColor="text1"/>
          <w:lang w:bidi="en-US"/>
          <w14:textFill>
            <w14:solidFill>
              <w14:schemeClr w14:val="tx1"/>
            </w14:solidFill>
          </w14:textFill>
        </w:rPr>
        <w:t>（</w:t>
      </w:r>
      <w:r>
        <w:rPr>
          <w:rFonts w:ascii="Times New Roman" w:hAnsi="Times New Roman" w:eastAsia="Times New Roman"/>
          <w:color w:val="000000" w:themeColor="text1"/>
          <w:lang w:bidi="en-US"/>
          <w14:textFill>
            <w14:solidFill>
              <w14:schemeClr w14:val="tx1"/>
            </w14:solidFill>
          </w14:textFill>
        </w:rPr>
        <w:t>GB5085.3-</w:t>
      </w:r>
      <w:r>
        <w:rPr>
          <w:rFonts w:ascii="Times New Roman" w:hAnsi="Times New Roman" w:eastAsia="Times New Roman"/>
          <w:color w:val="000000" w:themeColor="text1"/>
          <w14:textFill>
            <w14:solidFill>
              <w14:schemeClr w14:val="tx1"/>
            </w14:solidFill>
          </w14:textFill>
        </w:rPr>
        <w:t>2007</w:t>
      </w:r>
      <w:r>
        <w:rPr>
          <w:rFonts w:ascii="Times New Roman" w:hAnsi="Times New Roman"/>
          <w:color w:val="000000" w:themeColor="text1"/>
          <w14:textFill>
            <w14:solidFill>
              <w14:schemeClr w14:val="tx1"/>
            </w14:solidFill>
          </w14:textFill>
        </w:rPr>
        <w:t>）鉴别不属于危险废物，废盐中的氯化钠需满足《再生工业盐氯化钠》（</w:t>
      </w:r>
      <w:r>
        <w:rPr>
          <w:rFonts w:ascii="Times New Roman" w:hAnsi="Times New Roman" w:eastAsia="TimesNewRomanPSMT"/>
          <w:color w:val="000000" w:themeColor="text1"/>
          <w14:textFill>
            <w14:solidFill>
              <w14:schemeClr w14:val="tx1"/>
            </w14:solidFill>
          </w14:textFill>
        </w:rPr>
        <w:t>T/ZGZS 0302-2023</w:t>
      </w:r>
      <w:r>
        <w:rPr>
          <w:rFonts w:ascii="Times New Roman" w:hAnsi="Times New Roman"/>
          <w:color w:val="000000" w:themeColor="text1"/>
          <w14:textFill>
            <w14:solidFill>
              <w14:schemeClr w14:val="tx1"/>
            </w14:solidFill>
          </w14:textFill>
        </w:rPr>
        <w:t>）中工业干盐标准要求；硫酸钠需满足《再生工业盐硫酸钠》（</w:t>
      </w:r>
      <w:r>
        <w:rPr>
          <w:rFonts w:ascii="Times New Roman" w:hAnsi="Times New Roman" w:eastAsia="TimesNewRomanPSMT"/>
          <w:color w:val="000000" w:themeColor="text1"/>
          <w14:textFill>
            <w14:solidFill>
              <w14:schemeClr w14:val="tx1"/>
            </w14:solidFill>
          </w14:textFill>
        </w:rPr>
        <w:t>T/ZGZS 0303-2023</w:t>
      </w:r>
      <w:r>
        <w:rPr>
          <w:rFonts w:ascii="Times New Roman" w:hAnsi="Times New Roman"/>
          <w:color w:val="000000" w:themeColor="text1"/>
          <w14:textFill>
            <w14:solidFill>
              <w14:schemeClr w14:val="tx1"/>
            </w14:solidFill>
          </w14:textFill>
        </w:rPr>
        <w:t>）中工业硫酸钠标准要求后再作为融雪剂原料使用。</w:t>
      </w:r>
    </w:p>
    <w:p w14:paraId="56CE21DB">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再生氯化钠产品质量控制项目限值</w:t>
      </w:r>
    </w:p>
    <w:tbl>
      <w:tblPr>
        <w:tblStyle w:val="76"/>
        <w:tblW w:w="9457" w:type="dxa"/>
        <w:tblInd w:w="0" w:type="dxa"/>
        <w:tblLayout w:type="autofit"/>
        <w:tblCellMar>
          <w:top w:w="0" w:type="dxa"/>
          <w:left w:w="108" w:type="dxa"/>
          <w:bottom w:w="0" w:type="dxa"/>
          <w:right w:w="108" w:type="dxa"/>
        </w:tblCellMar>
      </w:tblPr>
      <w:tblGrid>
        <w:gridCol w:w="2972"/>
        <w:gridCol w:w="645"/>
        <w:gridCol w:w="14"/>
        <w:gridCol w:w="1184"/>
        <w:gridCol w:w="1739"/>
        <w:gridCol w:w="1096"/>
        <w:gridCol w:w="1807"/>
      </w:tblGrid>
      <w:tr w14:paraId="2ECF2FEF">
        <w:tblPrEx>
          <w:tblCellMar>
            <w:top w:w="0" w:type="dxa"/>
            <w:left w:w="108" w:type="dxa"/>
            <w:bottom w:w="0" w:type="dxa"/>
            <w:right w:w="108" w:type="dxa"/>
          </w:tblCellMar>
        </w:tblPrEx>
        <w:trPr>
          <w:trHeight w:val="276" w:hRule="atLeast"/>
        </w:trPr>
        <w:tc>
          <w:tcPr>
            <w:tcW w:w="3631" w:type="dxa"/>
            <w:gridSpan w:val="3"/>
            <w:vMerge w:val="restart"/>
            <w:tcBorders>
              <w:top w:val="single" w:color="auto" w:sz="4" w:space="0"/>
              <w:left w:val="single" w:color="auto" w:sz="4" w:space="0"/>
              <w:bottom w:val="single" w:color="auto" w:sz="4" w:space="0"/>
              <w:right w:val="single" w:color="auto" w:sz="4" w:space="0"/>
            </w:tcBorders>
            <w:noWrap/>
            <w:vAlign w:val="center"/>
          </w:tcPr>
          <w:p w14:paraId="3CF5AC38">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4019" w:type="dxa"/>
            <w:gridSpan w:val="3"/>
            <w:tcBorders>
              <w:top w:val="single" w:color="auto" w:sz="4" w:space="0"/>
              <w:left w:val="nil"/>
              <w:bottom w:val="single" w:color="auto" w:sz="4" w:space="0"/>
              <w:right w:val="single" w:color="auto" w:sz="4" w:space="0"/>
            </w:tcBorders>
            <w:noWrap/>
            <w:vAlign w:val="center"/>
          </w:tcPr>
          <w:p w14:paraId="37DCBC22">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1807" w:type="dxa"/>
            <w:vMerge w:val="restart"/>
            <w:tcBorders>
              <w:top w:val="single" w:color="auto" w:sz="4" w:space="0"/>
              <w:left w:val="single" w:color="auto" w:sz="4" w:space="0"/>
              <w:right w:val="single" w:color="auto" w:sz="4" w:space="0"/>
            </w:tcBorders>
            <w:noWrap/>
            <w:vAlign w:val="center"/>
          </w:tcPr>
          <w:p w14:paraId="2A2A2B63">
            <w:pPr>
              <w:pStyle w:val="109"/>
              <w:rPr>
                <w:color w:val="000000" w:themeColor="text1"/>
                <w14:textFill>
                  <w14:solidFill>
                    <w14:schemeClr w14:val="tx1"/>
                  </w14:solidFill>
                </w14:textFill>
              </w:rPr>
            </w:pPr>
            <w:r>
              <w:rPr>
                <w:color w:val="000000" w:themeColor="text1"/>
                <w14:textFill>
                  <w14:solidFill>
                    <w14:schemeClr w14:val="tx1"/>
                  </w14:solidFill>
                </w14:textFill>
              </w:rPr>
              <w:t>来源</w:t>
            </w:r>
          </w:p>
        </w:tc>
      </w:tr>
      <w:tr w14:paraId="31B9F1BB">
        <w:tblPrEx>
          <w:tblCellMar>
            <w:top w:w="0" w:type="dxa"/>
            <w:left w:w="108" w:type="dxa"/>
            <w:bottom w:w="0" w:type="dxa"/>
            <w:right w:w="108" w:type="dxa"/>
          </w:tblCellMar>
        </w:tblPrEx>
        <w:trPr>
          <w:trHeight w:val="276" w:hRule="atLeast"/>
        </w:trPr>
        <w:tc>
          <w:tcPr>
            <w:tcW w:w="3631" w:type="dxa"/>
            <w:gridSpan w:val="3"/>
            <w:vMerge w:val="continue"/>
            <w:tcBorders>
              <w:top w:val="single" w:color="auto" w:sz="4" w:space="0"/>
              <w:left w:val="single" w:color="auto" w:sz="4" w:space="0"/>
              <w:bottom w:val="single" w:color="auto" w:sz="4" w:space="0"/>
              <w:right w:val="single" w:color="auto" w:sz="4" w:space="0"/>
            </w:tcBorders>
            <w:vAlign w:val="center"/>
          </w:tcPr>
          <w:p w14:paraId="5D6EBBCA">
            <w:pPr>
              <w:pStyle w:val="109"/>
              <w:rPr>
                <w:color w:val="000000" w:themeColor="text1"/>
                <w14:textFill>
                  <w14:solidFill>
                    <w14:schemeClr w14:val="tx1"/>
                  </w14:solidFill>
                </w14:textFill>
              </w:rPr>
            </w:pPr>
          </w:p>
        </w:tc>
        <w:tc>
          <w:tcPr>
            <w:tcW w:w="1184" w:type="dxa"/>
            <w:tcBorders>
              <w:top w:val="nil"/>
              <w:left w:val="nil"/>
              <w:bottom w:val="single" w:color="auto" w:sz="4" w:space="0"/>
              <w:right w:val="single" w:color="auto" w:sz="4" w:space="0"/>
            </w:tcBorders>
            <w:noWrap/>
            <w:vAlign w:val="center"/>
          </w:tcPr>
          <w:p w14:paraId="7C2717A9">
            <w:pPr>
              <w:pStyle w:val="109"/>
              <w:rPr>
                <w:color w:val="000000" w:themeColor="text1"/>
                <w14:textFill>
                  <w14:solidFill>
                    <w14:schemeClr w14:val="tx1"/>
                  </w14:solidFill>
                </w14:textFill>
              </w:rPr>
            </w:pPr>
            <w:r>
              <w:rPr>
                <w:color w:val="000000" w:themeColor="text1"/>
                <w14:textFill>
                  <w14:solidFill>
                    <w14:schemeClr w14:val="tx1"/>
                  </w14:solidFill>
                </w14:textFill>
              </w:rPr>
              <w:t>工业干盐</w:t>
            </w:r>
          </w:p>
        </w:tc>
        <w:tc>
          <w:tcPr>
            <w:tcW w:w="1739" w:type="dxa"/>
            <w:tcBorders>
              <w:top w:val="nil"/>
              <w:left w:val="nil"/>
              <w:bottom w:val="single" w:color="auto" w:sz="4" w:space="0"/>
              <w:right w:val="single" w:color="auto" w:sz="4" w:space="0"/>
            </w:tcBorders>
            <w:noWrap/>
            <w:vAlign w:val="center"/>
          </w:tcPr>
          <w:p w14:paraId="02C3A216">
            <w:pPr>
              <w:pStyle w:val="109"/>
              <w:rPr>
                <w:color w:val="000000" w:themeColor="text1"/>
                <w14:textFill>
                  <w14:solidFill>
                    <w14:schemeClr w14:val="tx1"/>
                  </w14:solidFill>
                </w14:textFill>
              </w:rPr>
            </w:pPr>
            <w:r>
              <w:rPr>
                <w:color w:val="000000" w:themeColor="text1"/>
                <w14:textFill>
                  <w14:solidFill>
                    <w14:schemeClr w14:val="tx1"/>
                  </w14:solidFill>
                </w14:textFill>
              </w:rPr>
              <w:t>离子膜烧碱用盐</w:t>
            </w:r>
          </w:p>
        </w:tc>
        <w:tc>
          <w:tcPr>
            <w:tcW w:w="1096" w:type="dxa"/>
            <w:tcBorders>
              <w:top w:val="nil"/>
              <w:left w:val="nil"/>
              <w:bottom w:val="single" w:color="auto" w:sz="4" w:space="0"/>
              <w:right w:val="single" w:color="auto" w:sz="4" w:space="0"/>
            </w:tcBorders>
            <w:noWrap/>
            <w:vAlign w:val="center"/>
          </w:tcPr>
          <w:p w14:paraId="262DEADA">
            <w:pPr>
              <w:pStyle w:val="109"/>
              <w:rPr>
                <w:color w:val="000000" w:themeColor="text1"/>
                <w14:textFill>
                  <w14:solidFill>
                    <w14:schemeClr w14:val="tx1"/>
                  </w14:solidFill>
                </w14:textFill>
              </w:rPr>
            </w:pPr>
            <w:r>
              <w:rPr>
                <w:color w:val="000000" w:themeColor="text1"/>
                <w14:textFill>
                  <w14:solidFill>
                    <w14:schemeClr w14:val="tx1"/>
                  </w14:solidFill>
                </w14:textFill>
              </w:rPr>
              <w:t>印染用盐</w:t>
            </w:r>
          </w:p>
        </w:tc>
        <w:tc>
          <w:tcPr>
            <w:tcW w:w="1807" w:type="dxa"/>
            <w:vMerge w:val="continue"/>
            <w:tcBorders>
              <w:left w:val="single" w:color="auto" w:sz="4" w:space="0"/>
              <w:bottom w:val="single" w:color="auto" w:sz="4" w:space="0"/>
              <w:right w:val="single" w:color="auto" w:sz="4" w:space="0"/>
            </w:tcBorders>
            <w:vAlign w:val="center"/>
          </w:tcPr>
          <w:p w14:paraId="4A978444">
            <w:pPr>
              <w:pStyle w:val="109"/>
              <w:rPr>
                <w:color w:val="000000" w:themeColor="text1"/>
                <w14:textFill>
                  <w14:solidFill>
                    <w14:schemeClr w14:val="tx1"/>
                  </w14:solidFill>
                </w14:textFill>
              </w:rPr>
            </w:pPr>
          </w:p>
        </w:tc>
      </w:tr>
      <w:tr w14:paraId="38C6721C">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457B624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氯化钠 /（g/100g） </w:t>
            </w:r>
          </w:p>
        </w:tc>
        <w:tc>
          <w:tcPr>
            <w:tcW w:w="645" w:type="dxa"/>
            <w:tcBorders>
              <w:top w:val="nil"/>
              <w:left w:val="nil"/>
              <w:bottom w:val="single" w:color="auto" w:sz="4" w:space="0"/>
              <w:right w:val="single" w:color="auto" w:sz="4" w:space="0"/>
            </w:tcBorders>
            <w:noWrap/>
            <w:vAlign w:val="center"/>
          </w:tcPr>
          <w:p w14:paraId="29764BB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3A4339A5">
            <w:pPr>
              <w:pStyle w:val="109"/>
              <w:rPr>
                <w:color w:val="000000" w:themeColor="text1"/>
                <w14:textFill>
                  <w14:solidFill>
                    <w14:schemeClr w14:val="tx1"/>
                  </w14:solidFill>
                </w14:textFill>
              </w:rPr>
            </w:pPr>
            <w:r>
              <w:rPr>
                <w:color w:val="000000" w:themeColor="text1"/>
                <w14:textFill>
                  <w14:solidFill>
                    <w14:schemeClr w14:val="tx1"/>
                  </w14:solidFill>
                </w14:textFill>
              </w:rPr>
              <w:t>97.5</w:t>
            </w:r>
          </w:p>
        </w:tc>
        <w:tc>
          <w:tcPr>
            <w:tcW w:w="1739" w:type="dxa"/>
            <w:tcBorders>
              <w:top w:val="nil"/>
              <w:left w:val="nil"/>
              <w:bottom w:val="single" w:color="auto" w:sz="4" w:space="0"/>
              <w:right w:val="single" w:color="auto" w:sz="4" w:space="0"/>
            </w:tcBorders>
            <w:noWrap/>
            <w:vAlign w:val="center"/>
          </w:tcPr>
          <w:p w14:paraId="40072F15">
            <w:pPr>
              <w:pStyle w:val="109"/>
              <w:rPr>
                <w:color w:val="000000" w:themeColor="text1"/>
                <w14:textFill>
                  <w14:solidFill>
                    <w14:schemeClr w14:val="tx1"/>
                  </w14:solidFill>
                </w14:textFill>
              </w:rPr>
            </w:pPr>
            <w:r>
              <w:rPr>
                <w:color w:val="000000" w:themeColor="text1"/>
                <w14:textFill>
                  <w14:solidFill>
                    <w14:schemeClr w14:val="tx1"/>
                  </w14:solidFill>
                </w14:textFill>
              </w:rPr>
              <w:t>98.5</w:t>
            </w:r>
          </w:p>
        </w:tc>
        <w:tc>
          <w:tcPr>
            <w:tcW w:w="1096" w:type="dxa"/>
            <w:tcBorders>
              <w:top w:val="nil"/>
              <w:left w:val="nil"/>
              <w:bottom w:val="single" w:color="auto" w:sz="4" w:space="0"/>
              <w:right w:val="single" w:color="auto" w:sz="4" w:space="0"/>
            </w:tcBorders>
            <w:noWrap/>
            <w:vAlign w:val="center"/>
          </w:tcPr>
          <w:p w14:paraId="6EA5FEAF">
            <w:pPr>
              <w:pStyle w:val="109"/>
              <w:rPr>
                <w:color w:val="000000" w:themeColor="text1"/>
                <w14:textFill>
                  <w14:solidFill>
                    <w14:schemeClr w14:val="tx1"/>
                  </w14:solidFill>
                </w14:textFill>
              </w:rPr>
            </w:pPr>
            <w:r>
              <w:rPr>
                <w:color w:val="000000" w:themeColor="text1"/>
                <w14:textFill>
                  <w14:solidFill>
                    <w14:schemeClr w14:val="tx1"/>
                  </w14:solidFill>
                </w14:textFill>
              </w:rPr>
              <w:t>98*</w:t>
            </w:r>
          </w:p>
        </w:tc>
        <w:tc>
          <w:tcPr>
            <w:tcW w:w="1807" w:type="dxa"/>
            <w:vMerge w:val="restart"/>
            <w:tcBorders>
              <w:top w:val="nil"/>
              <w:left w:val="single" w:color="auto" w:sz="4" w:space="0"/>
              <w:bottom w:val="single" w:color="auto" w:sz="4" w:space="0"/>
              <w:right w:val="single" w:color="auto" w:sz="4" w:space="0"/>
            </w:tcBorders>
            <w:noWrap/>
            <w:vAlign w:val="center"/>
          </w:tcPr>
          <w:p w14:paraId="71287968">
            <w:pPr>
              <w:pStyle w:val="109"/>
              <w:rPr>
                <w:color w:val="000000" w:themeColor="text1"/>
                <w14:textFill>
                  <w14:solidFill>
                    <w14:schemeClr w14:val="tx1"/>
                  </w14:solidFill>
                </w14:textFill>
              </w:rPr>
            </w:pPr>
            <w:r>
              <w:rPr>
                <w:color w:val="000000" w:themeColor="text1"/>
                <w14:textFill>
                  <w14:solidFill>
                    <w14:schemeClr w14:val="tx1"/>
                  </w14:solidFill>
                </w14:textFill>
              </w:rPr>
              <w:t>《再生工业盐氯化钠》（ T/ZGZS 0302-2023）</w:t>
            </w:r>
          </w:p>
        </w:tc>
      </w:tr>
      <w:tr w14:paraId="43DDD5C3">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3014623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水分 /（g/100g） </w:t>
            </w:r>
          </w:p>
        </w:tc>
        <w:tc>
          <w:tcPr>
            <w:tcW w:w="645" w:type="dxa"/>
            <w:tcBorders>
              <w:top w:val="nil"/>
              <w:left w:val="nil"/>
              <w:bottom w:val="single" w:color="auto" w:sz="4" w:space="0"/>
              <w:right w:val="single" w:color="auto" w:sz="4" w:space="0"/>
            </w:tcBorders>
            <w:noWrap/>
            <w:vAlign w:val="center"/>
          </w:tcPr>
          <w:p w14:paraId="190944E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13A53919">
            <w:pPr>
              <w:pStyle w:val="109"/>
              <w:rPr>
                <w:color w:val="000000" w:themeColor="text1"/>
                <w14:textFill>
                  <w14:solidFill>
                    <w14:schemeClr w14:val="tx1"/>
                  </w14:solidFill>
                </w14:textFill>
              </w:rPr>
            </w:pPr>
            <w:r>
              <w:rPr>
                <w:color w:val="000000" w:themeColor="text1"/>
                <w14:textFill>
                  <w14:solidFill>
                    <w14:schemeClr w14:val="tx1"/>
                  </w14:solidFill>
                </w14:textFill>
              </w:rPr>
              <w:t>0.8</w:t>
            </w:r>
          </w:p>
        </w:tc>
        <w:tc>
          <w:tcPr>
            <w:tcW w:w="1739" w:type="dxa"/>
            <w:tcBorders>
              <w:top w:val="nil"/>
              <w:left w:val="nil"/>
              <w:bottom w:val="single" w:color="auto" w:sz="4" w:space="0"/>
              <w:right w:val="single" w:color="auto" w:sz="4" w:space="0"/>
            </w:tcBorders>
            <w:noWrap/>
            <w:vAlign w:val="center"/>
          </w:tcPr>
          <w:p w14:paraId="448C2C21">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096" w:type="dxa"/>
            <w:tcBorders>
              <w:top w:val="nil"/>
              <w:left w:val="nil"/>
              <w:bottom w:val="single" w:color="auto" w:sz="4" w:space="0"/>
              <w:right w:val="single" w:color="auto" w:sz="4" w:space="0"/>
            </w:tcBorders>
            <w:noWrap/>
            <w:vAlign w:val="center"/>
          </w:tcPr>
          <w:p w14:paraId="5085C2BB">
            <w:pPr>
              <w:pStyle w:val="109"/>
              <w:rPr>
                <w:color w:val="000000" w:themeColor="text1"/>
                <w14:textFill>
                  <w14:solidFill>
                    <w14:schemeClr w14:val="tx1"/>
                  </w14:solidFill>
                </w14:textFill>
              </w:rPr>
            </w:pPr>
            <w:r>
              <w:rPr>
                <w:color w:val="000000" w:themeColor="text1"/>
                <w14:textFill>
                  <w14:solidFill>
                    <w14:schemeClr w14:val="tx1"/>
                  </w14:solidFill>
                </w14:textFill>
              </w:rPr>
              <w:t>0.8</w:t>
            </w:r>
          </w:p>
        </w:tc>
        <w:tc>
          <w:tcPr>
            <w:tcW w:w="1807" w:type="dxa"/>
            <w:vMerge w:val="continue"/>
            <w:tcBorders>
              <w:top w:val="nil"/>
              <w:left w:val="single" w:color="auto" w:sz="4" w:space="0"/>
              <w:bottom w:val="single" w:color="auto" w:sz="4" w:space="0"/>
              <w:right w:val="single" w:color="auto" w:sz="4" w:space="0"/>
            </w:tcBorders>
            <w:vAlign w:val="center"/>
          </w:tcPr>
          <w:p w14:paraId="368C6A7C">
            <w:pPr>
              <w:pStyle w:val="109"/>
              <w:rPr>
                <w:color w:val="000000" w:themeColor="text1"/>
                <w14:textFill>
                  <w14:solidFill>
                    <w14:schemeClr w14:val="tx1"/>
                  </w14:solidFill>
                </w14:textFill>
              </w:rPr>
            </w:pPr>
          </w:p>
        </w:tc>
      </w:tr>
      <w:tr w14:paraId="10D076DE">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305E74F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水不溶物 /（g/100g） </w:t>
            </w:r>
          </w:p>
        </w:tc>
        <w:tc>
          <w:tcPr>
            <w:tcW w:w="645" w:type="dxa"/>
            <w:tcBorders>
              <w:top w:val="nil"/>
              <w:left w:val="nil"/>
              <w:bottom w:val="single" w:color="auto" w:sz="4" w:space="0"/>
              <w:right w:val="single" w:color="auto" w:sz="4" w:space="0"/>
            </w:tcBorders>
            <w:noWrap/>
            <w:vAlign w:val="center"/>
          </w:tcPr>
          <w:p w14:paraId="32B989A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12E3DEA3">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739" w:type="dxa"/>
            <w:tcBorders>
              <w:top w:val="nil"/>
              <w:left w:val="nil"/>
              <w:bottom w:val="single" w:color="auto" w:sz="4" w:space="0"/>
              <w:right w:val="single" w:color="auto" w:sz="4" w:space="0"/>
            </w:tcBorders>
            <w:noWrap/>
            <w:vAlign w:val="center"/>
          </w:tcPr>
          <w:p w14:paraId="4AE0C172">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096" w:type="dxa"/>
            <w:tcBorders>
              <w:top w:val="nil"/>
              <w:left w:val="nil"/>
              <w:bottom w:val="single" w:color="auto" w:sz="4" w:space="0"/>
              <w:right w:val="single" w:color="auto" w:sz="4" w:space="0"/>
            </w:tcBorders>
            <w:noWrap/>
            <w:vAlign w:val="center"/>
          </w:tcPr>
          <w:p w14:paraId="2B6A0F07">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807" w:type="dxa"/>
            <w:vMerge w:val="continue"/>
            <w:tcBorders>
              <w:top w:val="nil"/>
              <w:left w:val="single" w:color="auto" w:sz="4" w:space="0"/>
              <w:bottom w:val="single" w:color="auto" w:sz="4" w:space="0"/>
              <w:right w:val="single" w:color="auto" w:sz="4" w:space="0"/>
            </w:tcBorders>
            <w:vAlign w:val="center"/>
          </w:tcPr>
          <w:p w14:paraId="1ECF4681">
            <w:pPr>
              <w:pStyle w:val="109"/>
              <w:rPr>
                <w:color w:val="000000" w:themeColor="text1"/>
                <w14:textFill>
                  <w14:solidFill>
                    <w14:schemeClr w14:val="tx1"/>
                  </w14:solidFill>
                </w14:textFill>
              </w:rPr>
            </w:pPr>
          </w:p>
        </w:tc>
      </w:tr>
      <w:tr w14:paraId="3AC8C635">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286CD86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钙镁离子总量 /（g/100g） </w:t>
            </w:r>
          </w:p>
        </w:tc>
        <w:tc>
          <w:tcPr>
            <w:tcW w:w="645" w:type="dxa"/>
            <w:tcBorders>
              <w:top w:val="nil"/>
              <w:left w:val="nil"/>
              <w:bottom w:val="single" w:color="auto" w:sz="4" w:space="0"/>
              <w:right w:val="single" w:color="auto" w:sz="4" w:space="0"/>
            </w:tcBorders>
            <w:noWrap/>
            <w:vAlign w:val="center"/>
          </w:tcPr>
          <w:p w14:paraId="72B5976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3B7EB4B8">
            <w:pPr>
              <w:pStyle w:val="109"/>
              <w:rPr>
                <w:color w:val="000000" w:themeColor="text1"/>
                <w14:textFill>
                  <w14:solidFill>
                    <w14:schemeClr w14:val="tx1"/>
                  </w14:solidFill>
                </w14:textFill>
              </w:rPr>
            </w:pPr>
            <w:r>
              <w:rPr>
                <w:color w:val="000000" w:themeColor="text1"/>
                <w14:textFill>
                  <w14:solidFill>
                    <w14:schemeClr w14:val="tx1"/>
                  </w14:solidFill>
                </w14:textFill>
              </w:rPr>
              <w:t>0.6</w:t>
            </w:r>
          </w:p>
        </w:tc>
        <w:tc>
          <w:tcPr>
            <w:tcW w:w="1739" w:type="dxa"/>
            <w:tcBorders>
              <w:top w:val="nil"/>
              <w:left w:val="nil"/>
              <w:bottom w:val="single" w:color="auto" w:sz="4" w:space="0"/>
              <w:right w:val="single" w:color="auto" w:sz="4" w:space="0"/>
            </w:tcBorders>
            <w:noWrap/>
            <w:vAlign w:val="center"/>
          </w:tcPr>
          <w:p w14:paraId="06E7D06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96" w:type="dxa"/>
            <w:tcBorders>
              <w:top w:val="nil"/>
              <w:left w:val="nil"/>
              <w:bottom w:val="single" w:color="auto" w:sz="4" w:space="0"/>
              <w:right w:val="single" w:color="auto" w:sz="4" w:space="0"/>
            </w:tcBorders>
            <w:noWrap/>
            <w:vAlign w:val="center"/>
          </w:tcPr>
          <w:p w14:paraId="06321BC4">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807" w:type="dxa"/>
            <w:vMerge w:val="continue"/>
            <w:tcBorders>
              <w:top w:val="nil"/>
              <w:left w:val="single" w:color="auto" w:sz="4" w:space="0"/>
              <w:bottom w:val="single" w:color="auto" w:sz="4" w:space="0"/>
              <w:right w:val="single" w:color="auto" w:sz="4" w:space="0"/>
            </w:tcBorders>
            <w:vAlign w:val="center"/>
          </w:tcPr>
          <w:p w14:paraId="4B5FF1B7">
            <w:pPr>
              <w:pStyle w:val="109"/>
              <w:rPr>
                <w:color w:val="000000" w:themeColor="text1"/>
                <w14:textFill>
                  <w14:solidFill>
                    <w14:schemeClr w14:val="tx1"/>
                  </w14:solidFill>
                </w14:textFill>
              </w:rPr>
            </w:pPr>
          </w:p>
        </w:tc>
      </w:tr>
      <w:tr w14:paraId="20E89B97">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4368B91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钙（以 Ca计） /（g/100g） </w:t>
            </w:r>
          </w:p>
        </w:tc>
        <w:tc>
          <w:tcPr>
            <w:tcW w:w="645" w:type="dxa"/>
            <w:tcBorders>
              <w:top w:val="nil"/>
              <w:left w:val="nil"/>
              <w:bottom w:val="single" w:color="auto" w:sz="4" w:space="0"/>
              <w:right w:val="single" w:color="auto" w:sz="4" w:space="0"/>
            </w:tcBorders>
            <w:noWrap/>
            <w:vAlign w:val="center"/>
          </w:tcPr>
          <w:p w14:paraId="23919F6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249C98B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39" w:type="dxa"/>
            <w:tcBorders>
              <w:top w:val="nil"/>
              <w:left w:val="nil"/>
              <w:bottom w:val="single" w:color="auto" w:sz="4" w:space="0"/>
              <w:right w:val="single" w:color="auto" w:sz="4" w:space="0"/>
            </w:tcBorders>
            <w:noWrap/>
            <w:vAlign w:val="center"/>
          </w:tcPr>
          <w:p w14:paraId="269B9912">
            <w:pPr>
              <w:pStyle w:val="109"/>
              <w:rPr>
                <w:color w:val="000000" w:themeColor="text1"/>
                <w14:textFill>
                  <w14:solidFill>
                    <w14:schemeClr w14:val="tx1"/>
                  </w14:solidFill>
                </w14:textFill>
              </w:rPr>
            </w:pPr>
            <w:r>
              <w:rPr>
                <w:color w:val="000000" w:themeColor="text1"/>
                <w14:textFill>
                  <w14:solidFill>
                    <w14:schemeClr w14:val="tx1"/>
                  </w14:solidFill>
                </w14:textFill>
              </w:rPr>
              <w:t>0.15</w:t>
            </w:r>
          </w:p>
        </w:tc>
        <w:tc>
          <w:tcPr>
            <w:tcW w:w="1096" w:type="dxa"/>
            <w:tcBorders>
              <w:top w:val="nil"/>
              <w:left w:val="nil"/>
              <w:bottom w:val="single" w:color="auto" w:sz="4" w:space="0"/>
              <w:right w:val="single" w:color="auto" w:sz="4" w:space="0"/>
            </w:tcBorders>
            <w:noWrap/>
            <w:vAlign w:val="center"/>
          </w:tcPr>
          <w:p w14:paraId="3A4C134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7" w:type="dxa"/>
            <w:vMerge w:val="continue"/>
            <w:tcBorders>
              <w:top w:val="nil"/>
              <w:left w:val="single" w:color="auto" w:sz="4" w:space="0"/>
              <w:bottom w:val="single" w:color="auto" w:sz="4" w:space="0"/>
              <w:right w:val="single" w:color="auto" w:sz="4" w:space="0"/>
            </w:tcBorders>
            <w:vAlign w:val="center"/>
          </w:tcPr>
          <w:p w14:paraId="138CF03A">
            <w:pPr>
              <w:pStyle w:val="109"/>
              <w:rPr>
                <w:color w:val="000000" w:themeColor="text1"/>
                <w14:textFill>
                  <w14:solidFill>
                    <w14:schemeClr w14:val="tx1"/>
                  </w14:solidFill>
                </w14:textFill>
              </w:rPr>
            </w:pPr>
          </w:p>
        </w:tc>
      </w:tr>
      <w:tr w14:paraId="1B3B6FD0">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16A5C46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镁（以 Mg计） /（g/100g） </w:t>
            </w:r>
          </w:p>
        </w:tc>
        <w:tc>
          <w:tcPr>
            <w:tcW w:w="645" w:type="dxa"/>
            <w:tcBorders>
              <w:top w:val="nil"/>
              <w:left w:val="nil"/>
              <w:bottom w:val="single" w:color="auto" w:sz="4" w:space="0"/>
              <w:right w:val="single" w:color="auto" w:sz="4" w:space="0"/>
            </w:tcBorders>
            <w:noWrap/>
            <w:vAlign w:val="center"/>
          </w:tcPr>
          <w:p w14:paraId="706B6C8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642EF56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39" w:type="dxa"/>
            <w:tcBorders>
              <w:top w:val="nil"/>
              <w:left w:val="nil"/>
              <w:bottom w:val="single" w:color="auto" w:sz="4" w:space="0"/>
              <w:right w:val="single" w:color="auto" w:sz="4" w:space="0"/>
            </w:tcBorders>
            <w:noWrap/>
            <w:vAlign w:val="center"/>
          </w:tcPr>
          <w:p w14:paraId="7888FDD4">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096" w:type="dxa"/>
            <w:tcBorders>
              <w:top w:val="nil"/>
              <w:left w:val="nil"/>
              <w:bottom w:val="single" w:color="auto" w:sz="4" w:space="0"/>
              <w:right w:val="single" w:color="auto" w:sz="4" w:space="0"/>
            </w:tcBorders>
            <w:noWrap/>
            <w:vAlign w:val="center"/>
          </w:tcPr>
          <w:p w14:paraId="3A7E9B9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7" w:type="dxa"/>
            <w:vMerge w:val="continue"/>
            <w:tcBorders>
              <w:top w:val="nil"/>
              <w:left w:val="single" w:color="auto" w:sz="4" w:space="0"/>
              <w:bottom w:val="single" w:color="auto" w:sz="4" w:space="0"/>
              <w:right w:val="single" w:color="auto" w:sz="4" w:space="0"/>
            </w:tcBorders>
            <w:vAlign w:val="center"/>
          </w:tcPr>
          <w:p w14:paraId="2622AC5F">
            <w:pPr>
              <w:pStyle w:val="109"/>
              <w:rPr>
                <w:color w:val="000000" w:themeColor="text1"/>
                <w14:textFill>
                  <w14:solidFill>
                    <w14:schemeClr w14:val="tx1"/>
                  </w14:solidFill>
                </w14:textFill>
              </w:rPr>
            </w:pPr>
          </w:p>
        </w:tc>
      </w:tr>
      <w:tr w14:paraId="63C28F3C">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523D33F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硫酸根离子 /（g/100g） </w:t>
            </w:r>
          </w:p>
        </w:tc>
        <w:tc>
          <w:tcPr>
            <w:tcW w:w="645" w:type="dxa"/>
            <w:tcBorders>
              <w:top w:val="nil"/>
              <w:left w:val="nil"/>
              <w:bottom w:val="single" w:color="auto" w:sz="4" w:space="0"/>
              <w:right w:val="single" w:color="auto" w:sz="4" w:space="0"/>
            </w:tcBorders>
            <w:noWrap/>
            <w:vAlign w:val="center"/>
          </w:tcPr>
          <w:p w14:paraId="110037F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506EF9E2">
            <w:pPr>
              <w:pStyle w:val="109"/>
              <w:rPr>
                <w:color w:val="000000" w:themeColor="text1"/>
                <w14:textFill>
                  <w14:solidFill>
                    <w14:schemeClr w14:val="tx1"/>
                  </w14:solidFill>
                </w14:textFill>
              </w:rPr>
            </w:pPr>
            <w:r>
              <w:rPr>
                <w:color w:val="000000" w:themeColor="text1"/>
                <w14:textFill>
                  <w14:solidFill>
                    <w14:schemeClr w14:val="tx1"/>
                  </w14:solidFill>
                </w14:textFill>
              </w:rPr>
              <w:t>0.9</w:t>
            </w:r>
          </w:p>
        </w:tc>
        <w:tc>
          <w:tcPr>
            <w:tcW w:w="1739" w:type="dxa"/>
            <w:tcBorders>
              <w:top w:val="nil"/>
              <w:left w:val="nil"/>
              <w:bottom w:val="single" w:color="auto" w:sz="4" w:space="0"/>
              <w:right w:val="single" w:color="auto" w:sz="4" w:space="0"/>
            </w:tcBorders>
            <w:noWrap/>
            <w:vAlign w:val="center"/>
          </w:tcPr>
          <w:p w14:paraId="4C752B11">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096" w:type="dxa"/>
            <w:tcBorders>
              <w:top w:val="nil"/>
              <w:left w:val="nil"/>
              <w:bottom w:val="single" w:color="auto" w:sz="4" w:space="0"/>
              <w:right w:val="single" w:color="auto" w:sz="4" w:space="0"/>
            </w:tcBorders>
            <w:noWrap/>
            <w:vAlign w:val="center"/>
          </w:tcPr>
          <w:p w14:paraId="46020E7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7" w:type="dxa"/>
            <w:vMerge w:val="continue"/>
            <w:tcBorders>
              <w:top w:val="nil"/>
              <w:left w:val="single" w:color="auto" w:sz="4" w:space="0"/>
              <w:bottom w:val="single" w:color="auto" w:sz="4" w:space="0"/>
              <w:right w:val="single" w:color="auto" w:sz="4" w:space="0"/>
            </w:tcBorders>
            <w:vAlign w:val="center"/>
          </w:tcPr>
          <w:p w14:paraId="57F16BD4">
            <w:pPr>
              <w:pStyle w:val="109"/>
              <w:rPr>
                <w:color w:val="000000" w:themeColor="text1"/>
                <w14:textFill>
                  <w14:solidFill>
                    <w14:schemeClr w14:val="tx1"/>
                  </w14:solidFill>
                </w14:textFill>
              </w:rPr>
            </w:pPr>
          </w:p>
        </w:tc>
      </w:tr>
      <w:tr w14:paraId="146FCB89">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39FDEE3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碘（以 I计） /（mg/kg） </w:t>
            </w:r>
          </w:p>
        </w:tc>
        <w:tc>
          <w:tcPr>
            <w:tcW w:w="645" w:type="dxa"/>
            <w:tcBorders>
              <w:top w:val="nil"/>
              <w:left w:val="nil"/>
              <w:bottom w:val="single" w:color="auto" w:sz="4" w:space="0"/>
              <w:right w:val="single" w:color="auto" w:sz="4" w:space="0"/>
            </w:tcBorders>
            <w:noWrap/>
            <w:vAlign w:val="center"/>
          </w:tcPr>
          <w:p w14:paraId="5DA9037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37F677E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39" w:type="dxa"/>
            <w:tcBorders>
              <w:top w:val="nil"/>
              <w:left w:val="nil"/>
              <w:bottom w:val="single" w:color="auto" w:sz="4" w:space="0"/>
              <w:right w:val="single" w:color="auto" w:sz="4" w:space="0"/>
            </w:tcBorders>
            <w:noWrap/>
            <w:vAlign w:val="center"/>
          </w:tcPr>
          <w:p w14:paraId="0563591A">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096" w:type="dxa"/>
            <w:tcBorders>
              <w:top w:val="nil"/>
              <w:left w:val="nil"/>
              <w:bottom w:val="single" w:color="auto" w:sz="4" w:space="0"/>
              <w:right w:val="single" w:color="auto" w:sz="4" w:space="0"/>
            </w:tcBorders>
            <w:noWrap/>
            <w:vAlign w:val="center"/>
          </w:tcPr>
          <w:p w14:paraId="4F5DEF0B">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807" w:type="dxa"/>
            <w:vMerge w:val="continue"/>
            <w:tcBorders>
              <w:top w:val="nil"/>
              <w:left w:val="single" w:color="auto" w:sz="4" w:space="0"/>
              <w:bottom w:val="single" w:color="auto" w:sz="4" w:space="0"/>
              <w:right w:val="single" w:color="auto" w:sz="4" w:space="0"/>
            </w:tcBorders>
            <w:vAlign w:val="center"/>
          </w:tcPr>
          <w:p w14:paraId="61A86677">
            <w:pPr>
              <w:pStyle w:val="109"/>
              <w:rPr>
                <w:color w:val="000000" w:themeColor="text1"/>
                <w14:textFill>
                  <w14:solidFill>
                    <w14:schemeClr w14:val="tx1"/>
                  </w14:solidFill>
                </w14:textFill>
              </w:rPr>
            </w:pPr>
          </w:p>
        </w:tc>
      </w:tr>
      <w:tr w14:paraId="0790EC40">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1FDFF44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钡（以 Ba计） /（mg/kg） </w:t>
            </w:r>
          </w:p>
        </w:tc>
        <w:tc>
          <w:tcPr>
            <w:tcW w:w="645" w:type="dxa"/>
            <w:tcBorders>
              <w:top w:val="nil"/>
              <w:left w:val="nil"/>
              <w:bottom w:val="single" w:color="auto" w:sz="4" w:space="0"/>
              <w:right w:val="single" w:color="auto" w:sz="4" w:space="0"/>
            </w:tcBorders>
            <w:noWrap/>
            <w:vAlign w:val="center"/>
          </w:tcPr>
          <w:p w14:paraId="6DAA1EE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3270741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39" w:type="dxa"/>
            <w:tcBorders>
              <w:top w:val="nil"/>
              <w:left w:val="nil"/>
              <w:bottom w:val="single" w:color="auto" w:sz="4" w:space="0"/>
              <w:right w:val="single" w:color="auto" w:sz="4" w:space="0"/>
            </w:tcBorders>
            <w:noWrap/>
            <w:vAlign w:val="center"/>
          </w:tcPr>
          <w:p w14:paraId="1F2246B0">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096" w:type="dxa"/>
            <w:tcBorders>
              <w:top w:val="nil"/>
              <w:left w:val="nil"/>
              <w:bottom w:val="single" w:color="auto" w:sz="4" w:space="0"/>
              <w:right w:val="single" w:color="auto" w:sz="4" w:space="0"/>
            </w:tcBorders>
            <w:noWrap/>
            <w:vAlign w:val="center"/>
          </w:tcPr>
          <w:p w14:paraId="00FE877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7" w:type="dxa"/>
            <w:vMerge w:val="continue"/>
            <w:tcBorders>
              <w:top w:val="nil"/>
              <w:left w:val="single" w:color="auto" w:sz="4" w:space="0"/>
              <w:bottom w:val="single" w:color="auto" w:sz="4" w:space="0"/>
              <w:right w:val="single" w:color="auto" w:sz="4" w:space="0"/>
            </w:tcBorders>
            <w:vAlign w:val="center"/>
          </w:tcPr>
          <w:p w14:paraId="3FA066B4">
            <w:pPr>
              <w:pStyle w:val="109"/>
              <w:rPr>
                <w:color w:val="000000" w:themeColor="text1"/>
                <w14:textFill>
                  <w14:solidFill>
                    <w14:schemeClr w14:val="tx1"/>
                  </w14:solidFill>
                </w14:textFill>
              </w:rPr>
            </w:pPr>
          </w:p>
        </w:tc>
      </w:tr>
      <w:tr w14:paraId="683AFF92">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5DC3FE8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铁（以 Fe计） /（mg/kg） </w:t>
            </w:r>
          </w:p>
        </w:tc>
        <w:tc>
          <w:tcPr>
            <w:tcW w:w="645" w:type="dxa"/>
            <w:tcBorders>
              <w:top w:val="nil"/>
              <w:left w:val="nil"/>
              <w:bottom w:val="single" w:color="auto" w:sz="4" w:space="0"/>
              <w:right w:val="single" w:color="auto" w:sz="4" w:space="0"/>
            </w:tcBorders>
            <w:noWrap/>
            <w:vAlign w:val="center"/>
          </w:tcPr>
          <w:p w14:paraId="43098D5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608010D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39" w:type="dxa"/>
            <w:tcBorders>
              <w:top w:val="nil"/>
              <w:left w:val="nil"/>
              <w:bottom w:val="single" w:color="auto" w:sz="4" w:space="0"/>
              <w:right w:val="single" w:color="auto" w:sz="4" w:space="0"/>
            </w:tcBorders>
            <w:noWrap/>
            <w:vAlign w:val="center"/>
          </w:tcPr>
          <w:p w14:paraId="2C128722">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096" w:type="dxa"/>
            <w:tcBorders>
              <w:top w:val="nil"/>
              <w:left w:val="nil"/>
              <w:bottom w:val="single" w:color="auto" w:sz="4" w:space="0"/>
              <w:right w:val="single" w:color="auto" w:sz="4" w:space="0"/>
            </w:tcBorders>
            <w:noWrap/>
            <w:vAlign w:val="center"/>
          </w:tcPr>
          <w:p w14:paraId="5DD6EF54">
            <w:pPr>
              <w:pStyle w:val="109"/>
              <w:rPr>
                <w:color w:val="000000" w:themeColor="text1"/>
                <w14:textFill>
                  <w14:solidFill>
                    <w14:schemeClr w14:val="tx1"/>
                  </w14:solidFill>
                </w14:textFill>
              </w:rPr>
            </w:pPr>
            <w:r>
              <w:rPr>
                <w:color w:val="000000" w:themeColor="text1"/>
                <w14:textFill>
                  <w14:solidFill>
                    <w14:schemeClr w14:val="tx1"/>
                  </w14:solidFill>
                </w14:textFill>
              </w:rPr>
              <w:t>50</w:t>
            </w:r>
          </w:p>
        </w:tc>
        <w:tc>
          <w:tcPr>
            <w:tcW w:w="1807" w:type="dxa"/>
            <w:vMerge w:val="continue"/>
            <w:tcBorders>
              <w:top w:val="nil"/>
              <w:left w:val="single" w:color="auto" w:sz="4" w:space="0"/>
              <w:bottom w:val="single" w:color="auto" w:sz="4" w:space="0"/>
              <w:right w:val="single" w:color="auto" w:sz="4" w:space="0"/>
            </w:tcBorders>
            <w:vAlign w:val="center"/>
          </w:tcPr>
          <w:p w14:paraId="19A84A67">
            <w:pPr>
              <w:pStyle w:val="109"/>
              <w:rPr>
                <w:color w:val="000000" w:themeColor="text1"/>
                <w14:textFill>
                  <w14:solidFill>
                    <w14:schemeClr w14:val="tx1"/>
                  </w14:solidFill>
                </w14:textFill>
              </w:rPr>
            </w:pPr>
          </w:p>
        </w:tc>
      </w:tr>
      <w:tr w14:paraId="6B7149A6">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3A6B800C">
            <w:pPr>
              <w:pStyle w:val="109"/>
              <w:rPr>
                <w:color w:val="000000" w:themeColor="text1"/>
                <w14:textFill>
                  <w14:solidFill>
                    <w14:schemeClr w14:val="tx1"/>
                  </w14:solidFill>
                </w14:textFill>
              </w:rPr>
            </w:pPr>
            <w:r>
              <w:rPr>
                <w:color w:val="000000" w:themeColor="text1"/>
                <w14:textFill>
                  <w14:solidFill>
                    <w14:schemeClr w14:val="tx1"/>
                  </w14:solidFill>
                </w14:textFill>
              </w:rPr>
              <w:t>铵（以 NH</w:t>
            </w:r>
            <w:r>
              <w:rPr>
                <w:color w:val="000000" w:themeColor="text1"/>
                <w:vertAlign w:val="subscript"/>
                <w14:textFill>
                  <w14:solidFill>
                    <w14:schemeClr w14:val="tx1"/>
                  </w14:solidFill>
                </w14:textFill>
              </w:rPr>
              <w:t>4</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计） /（mg/kg） </w:t>
            </w:r>
          </w:p>
        </w:tc>
        <w:tc>
          <w:tcPr>
            <w:tcW w:w="645" w:type="dxa"/>
            <w:tcBorders>
              <w:top w:val="nil"/>
              <w:left w:val="nil"/>
              <w:bottom w:val="single" w:color="auto" w:sz="4" w:space="0"/>
              <w:right w:val="single" w:color="auto" w:sz="4" w:space="0"/>
            </w:tcBorders>
            <w:noWrap/>
            <w:vAlign w:val="center"/>
          </w:tcPr>
          <w:p w14:paraId="491C177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55BBFDA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39" w:type="dxa"/>
            <w:tcBorders>
              <w:top w:val="nil"/>
              <w:left w:val="nil"/>
              <w:bottom w:val="single" w:color="auto" w:sz="4" w:space="0"/>
              <w:right w:val="single" w:color="auto" w:sz="4" w:space="0"/>
            </w:tcBorders>
            <w:noWrap/>
            <w:vAlign w:val="center"/>
          </w:tcPr>
          <w:p w14:paraId="27FFB575">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096" w:type="dxa"/>
            <w:tcBorders>
              <w:top w:val="nil"/>
              <w:left w:val="nil"/>
              <w:bottom w:val="single" w:color="auto" w:sz="4" w:space="0"/>
              <w:right w:val="single" w:color="auto" w:sz="4" w:space="0"/>
            </w:tcBorders>
            <w:noWrap/>
            <w:vAlign w:val="center"/>
          </w:tcPr>
          <w:p w14:paraId="17E11AA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7" w:type="dxa"/>
            <w:vMerge w:val="continue"/>
            <w:tcBorders>
              <w:top w:val="nil"/>
              <w:left w:val="single" w:color="auto" w:sz="4" w:space="0"/>
              <w:bottom w:val="single" w:color="auto" w:sz="4" w:space="0"/>
              <w:right w:val="single" w:color="auto" w:sz="4" w:space="0"/>
            </w:tcBorders>
            <w:vAlign w:val="center"/>
          </w:tcPr>
          <w:p w14:paraId="31C847A5">
            <w:pPr>
              <w:pStyle w:val="109"/>
              <w:rPr>
                <w:color w:val="000000" w:themeColor="text1"/>
                <w14:textFill>
                  <w14:solidFill>
                    <w14:schemeClr w14:val="tx1"/>
                  </w14:solidFill>
                </w14:textFill>
              </w:rPr>
            </w:pPr>
          </w:p>
        </w:tc>
      </w:tr>
      <w:tr w14:paraId="69D906DD">
        <w:tblPrEx>
          <w:tblCellMar>
            <w:top w:w="0" w:type="dxa"/>
            <w:left w:w="108" w:type="dxa"/>
            <w:bottom w:w="0" w:type="dxa"/>
            <w:right w:w="108" w:type="dxa"/>
          </w:tblCellMar>
        </w:tblPrEx>
        <w:trPr>
          <w:trHeight w:val="276" w:hRule="atLeast"/>
        </w:trPr>
        <w:tc>
          <w:tcPr>
            <w:tcW w:w="2972" w:type="dxa"/>
            <w:tcBorders>
              <w:top w:val="nil"/>
              <w:left w:val="single" w:color="auto" w:sz="4" w:space="0"/>
              <w:bottom w:val="single" w:color="auto" w:sz="4" w:space="0"/>
              <w:right w:val="single" w:color="auto" w:sz="4" w:space="0"/>
            </w:tcBorders>
            <w:noWrap/>
            <w:vAlign w:val="center"/>
          </w:tcPr>
          <w:p w14:paraId="742354CC">
            <w:pPr>
              <w:pStyle w:val="109"/>
              <w:rPr>
                <w:color w:val="000000" w:themeColor="text1"/>
                <w14:textFill>
                  <w14:solidFill>
                    <w14:schemeClr w14:val="tx1"/>
                  </w14:solidFill>
                </w14:textFill>
              </w:rPr>
            </w:pPr>
            <w:r>
              <w:rPr>
                <w:color w:val="000000" w:themeColor="text1"/>
                <w14:textFill>
                  <w14:solidFill>
                    <w14:schemeClr w14:val="tx1"/>
                  </w14:solidFill>
                </w14:textFill>
              </w:rPr>
              <w:t>亚铁氰化钾（以 [Fe(CN)</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 xml:space="preserve">计） /（mg/kg） </w:t>
            </w:r>
          </w:p>
        </w:tc>
        <w:tc>
          <w:tcPr>
            <w:tcW w:w="645" w:type="dxa"/>
            <w:tcBorders>
              <w:top w:val="nil"/>
              <w:left w:val="nil"/>
              <w:bottom w:val="single" w:color="auto" w:sz="4" w:space="0"/>
              <w:right w:val="single" w:color="auto" w:sz="4" w:space="0"/>
            </w:tcBorders>
            <w:noWrap/>
            <w:vAlign w:val="center"/>
          </w:tcPr>
          <w:p w14:paraId="0A78FAB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198" w:type="dxa"/>
            <w:gridSpan w:val="2"/>
            <w:tcBorders>
              <w:top w:val="nil"/>
              <w:left w:val="nil"/>
              <w:bottom w:val="single" w:color="auto" w:sz="4" w:space="0"/>
              <w:right w:val="single" w:color="auto" w:sz="4" w:space="0"/>
            </w:tcBorders>
            <w:noWrap/>
            <w:vAlign w:val="center"/>
          </w:tcPr>
          <w:p w14:paraId="5E37FC6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39" w:type="dxa"/>
            <w:tcBorders>
              <w:top w:val="nil"/>
              <w:left w:val="nil"/>
              <w:bottom w:val="single" w:color="auto" w:sz="4" w:space="0"/>
              <w:right w:val="single" w:color="auto" w:sz="4" w:space="0"/>
            </w:tcBorders>
            <w:noWrap/>
            <w:vAlign w:val="center"/>
          </w:tcPr>
          <w:p w14:paraId="24DAC9CC">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096" w:type="dxa"/>
            <w:tcBorders>
              <w:top w:val="nil"/>
              <w:left w:val="nil"/>
              <w:bottom w:val="single" w:color="auto" w:sz="4" w:space="0"/>
              <w:right w:val="single" w:color="auto" w:sz="4" w:space="0"/>
            </w:tcBorders>
            <w:noWrap/>
            <w:vAlign w:val="center"/>
          </w:tcPr>
          <w:p w14:paraId="787C4A6F">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807" w:type="dxa"/>
            <w:vMerge w:val="continue"/>
            <w:tcBorders>
              <w:top w:val="nil"/>
              <w:left w:val="single" w:color="auto" w:sz="4" w:space="0"/>
              <w:bottom w:val="single" w:color="auto" w:sz="4" w:space="0"/>
              <w:right w:val="single" w:color="auto" w:sz="4" w:space="0"/>
            </w:tcBorders>
            <w:vAlign w:val="center"/>
          </w:tcPr>
          <w:p w14:paraId="53406E6C">
            <w:pPr>
              <w:pStyle w:val="109"/>
              <w:rPr>
                <w:color w:val="000000" w:themeColor="text1"/>
                <w14:textFill>
                  <w14:solidFill>
                    <w14:schemeClr w14:val="tx1"/>
                  </w14:solidFill>
                </w14:textFill>
              </w:rPr>
            </w:pPr>
          </w:p>
        </w:tc>
      </w:tr>
      <w:tr w14:paraId="204DDE6C">
        <w:tblPrEx>
          <w:tblCellMar>
            <w:top w:w="0" w:type="dxa"/>
            <w:left w:w="108" w:type="dxa"/>
            <w:bottom w:w="0" w:type="dxa"/>
            <w:right w:w="108" w:type="dxa"/>
          </w:tblCellMar>
        </w:tblPrEx>
        <w:trPr>
          <w:trHeight w:val="276" w:hRule="atLeast"/>
        </w:trPr>
        <w:tc>
          <w:tcPr>
            <w:tcW w:w="9457" w:type="dxa"/>
            <w:gridSpan w:val="7"/>
            <w:tcBorders>
              <w:top w:val="single" w:color="auto" w:sz="4" w:space="0"/>
              <w:left w:val="single" w:color="auto" w:sz="4" w:space="0"/>
              <w:bottom w:val="single" w:color="auto" w:sz="4" w:space="0"/>
              <w:right w:val="single" w:color="auto" w:sz="4" w:space="0"/>
            </w:tcBorders>
            <w:noWrap/>
            <w:vAlign w:val="center"/>
          </w:tcPr>
          <w:p w14:paraId="45E94020">
            <w:pPr>
              <w:pStyle w:val="109"/>
              <w:rPr>
                <w:color w:val="000000" w:themeColor="text1"/>
                <w14:textFill>
                  <w14:solidFill>
                    <w14:schemeClr w14:val="tx1"/>
                  </w14:solidFill>
                </w14:textFill>
              </w:rPr>
            </w:pPr>
            <w:r>
              <w:rPr>
                <w:color w:val="000000" w:themeColor="text1"/>
                <w14:textFill>
                  <w14:solidFill>
                    <w14:schemeClr w14:val="tx1"/>
                  </w14:solidFill>
                </w14:textFill>
              </w:rPr>
              <w:t>注： *指每 100g再生工业盐中氯化钠和硫酸钠加和后的含量。</w:t>
            </w:r>
          </w:p>
        </w:tc>
      </w:tr>
    </w:tbl>
    <w:p w14:paraId="7EB926C9">
      <w:pPr>
        <w:ind w:firstLine="480"/>
        <w:rPr>
          <w:color w:val="000000" w:themeColor="text1"/>
          <w14:textFill>
            <w14:solidFill>
              <w14:schemeClr w14:val="tx1"/>
            </w14:solidFill>
          </w14:textFill>
        </w:rPr>
      </w:pPr>
    </w:p>
    <w:p w14:paraId="665AA40F">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再生氯化钠有毒有害物质基本项目限值  单位：mg/L</w:t>
      </w:r>
    </w:p>
    <w:tbl>
      <w:tblPr>
        <w:tblStyle w:val="76"/>
        <w:tblW w:w="5000" w:type="pct"/>
        <w:tblInd w:w="0" w:type="dxa"/>
        <w:tblLayout w:type="autofit"/>
        <w:tblCellMar>
          <w:top w:w="0" w:type="dxa"/>
          <w:left w:w="108" w:type="dxa"/>
          <w:bottom w:w="0" w:type="dxa"/>
          <w:right w:w="108" w:type="dxa"/>
        </w:tblCellMar>
      </w:tblPr>
      <w:tblGrid>
        <w:gridCol w:w="636"/>
        <w:gridCol w:w="2249"/>
        <w:gridCol w:w="673"/>
        <w:gridCol w:w="1600"/>
        <w:gridCol w:w="4464"/>
      </w:tblGrid>
      <w:tr w14:paraId="77139258">
        <w:tblPrEx>
          <w:tblCellMar>
            <w:top w:w="0" w:type="dxa"/>
            <w:left w:w="108" w:type="dxa"/>
            <w:bottom w:w="0" w:type="dxa"/>
            <w:right w:w="108" w:type="dxa"/>
          </w:tblCellMar>
        </w:tblPrEx>
        <w:trPr>
          <w:trHeight w:val="276" w:hRule="atLeast"/>
        </w:trPr>
        <w:tc>
          <w:tcPr>
            <w:tcW w:w="533" w:type="pct"/>
            <w:tcBorders>
              <w:top w:val="single" w:color="auto" w:sz="4" w:space="0"/>
              <w:left w:val="single" w:color="auto" w:sz="4" w:space="0"/>
              <w:bottom w:val="single" w:color="auto" w:sz="4" w:space="0"/>
              <w:right w:val="single" w:color="auto" w:sz="4" w:space="0"/>
            </w:tcBorders>
            <w:noWrap/>
            <w:vAlign w:val="center"/>
          </w:tcPr>
          <w:p w14:paraId="3E54B096">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954" w:type="pct"/>
            <w:gridSpan w:val="2"/>
            <w:tcBorders>
              <w:top w:val="single" w:color="auto" w:sz="4" w:space="0"/>
              <w:left w:val="nil"/>
              <w:bottom w:val="single" w:color="auto" w:sz="4" w:space="0"/>
              <w:right w:val="single" w:color="auto" w:sz="4" w:space="0"/>
            </w:tcBorders>
            <w:noWrap/>
            <w:vAlign w:val="center"/>
          </w:tcPr>
          <w:p w14:paraId="52073BDD">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044" w:type="pct"/>
            <w:tcBorders>
              <w:top w:val="single" w:color="auto" w:sz="4" w:space="0"/>
              <w:left w:val="nil"/>
              <w:bottom w:val="single" w:color="auto" w:sz="4" w:space="0"/>
              <w:right w:val="single" w:color="auto" w:sz="4" w:space="0"/>
            </w:tcBorders>
            <w:noWrap/>
            <w:vAlign w:val="center"/>
          </w:tcPr>
          <w:p w14:paraId="7A907129">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1469" w:type="pct"/>
            <w:tcBorders>
              <w:top w:val="single" w:color="auto" w:sz="4" w:space="0"/>
              <w:left w:val="nil"/>
              <w:bottom w:val="single" w:color="auto" w:sz="4" w:space="0"/>
              <w:right w:val="single" w:color="auto" w:sz="4" w:space="0"/>
            </w:tcBorders>
            <w:noWrap/>
            <w:vAlign w:val="center"/>
          </w:tcPr>
          <w:p w14:paraId="125236F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来源 </w:t>
            </w:r>
          </w:p>
        </w:tc>
      </w:tr>
      <w:tr w14:paraId="7868A734">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44E23A65">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954" w:type="pct"/>
            <w:gridSpan w:val="2"/>
            <w:tcBorders>
              <w:top w:val="nil"/>
              <w:left w:val="nil"/>
              <w:bottom w:val="single" w:color="auto" w:sz="4" w:space="0"/>
              <w:right w:val="single" w:color="auto" w:sz="4" w:space="0"/>
            </w:tcBorders>
            <w:noWrap/>
            <w:vAlign w:val="center"/>
          </w:tcPr>
          <w:p w14:paraId="35E71B6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pH值 </w:t>
            </w:r>
          </w:p>
        </w:tc>
        <w:tc>
          <w:tcPr>
            <w:tcW w:w="1044" w:type="pct"/>
            <w:tcBorders>
              <w:top w:val="nil"/>
              <w:left w:val="nil"/>
              <w:bottom w:val="single" w:color="auto" w:sz="4" w:space="0"/>
              <w:right w:val="single" w:color="auto" w:sz="4" w:space="0"/>
            </w:tcBorders>
            <w:noWrap/>
            <w:vAlign w:val="center"/>
          </w:tcPr>
          <w:p w14:paraId="7E13B2D5">
            <w:pPr>
              <w:pStyle w:val="109"/>
              <w:rPr>
                <w:color w:val="000000" w:themeColor="text1"/>
                <w14:textFill>
                  <w14:solidFill>
                    <w14:schemeClr w14:val="tx1"/>
                  </w14:solidFill>
                </w14:textFill>
              </w:rPr>
            </w:pPr>
            <w:r>
              <w:rPr>
                <w:color w:val="000000" w:themeColor="text1"/>
                <w14:textFill>
                  <w14:solidFill>
                    <w14:schemeClr w14:val="tx1"/>
                  </w14:solidFill>
                </w14:textFill>
              </w:rPr>
              <w:t>6~9</w:t>
            </w:r>
          </w:p>
        </w:tc>
        <w:tc>
          <w:tcPr>
            <w:tcW w:w="1469" w:type="pct"/>
            <w:vMerge w:val="restart"/>
            <w:tcBorders>
              <w:top w:val="nil"/>
              <w:left w:val="single" w:color="auto" w:sz="4" w:space="0"/>
              <w:bottom w:val="single" w:color="auto" w:sz="4" w:space="0"/>
              <w:right w:val="single" w:color="auto" w:sz="4" w:space="0"/>
            </w:tcBorders>
            <w:noWrap/>
            <w:vAlign w:val="center"/>
          </w:tcPr>
          <w:p w14:paraId="54C082D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《再生工业盐氯化钠》（ T/ZGZS 0302-2023） </w:t>
            </w:r>
          </w:p>
        </w:tc>
      </w:tr>
      <w:tr w14:paraId="6DB822C9">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61E37711">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92" w:type="pct"/>
            <w:tcBorders>
              <w:top w:val="nil"/>
              <w:left w:val="nil"/>
              <w:bottom w:val="single" w:color="auto" w:sz="4" w:space="0"/>
              <w:right w:val="single" w:color="auto" w:sz="4" w:space="0"/>
            </w:tcBorders>
            <w:noWrap/>
            <w:vAlign w:val="center"/>
          </w:tcPr>
          <w:p w14:paraId="6E5BA6B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TOC </w:t>
            </w:r>
          </w:p>
        </w:tc>
        <w:tc>
          <w:tcPr>
            <w:tcW w:w="563" w:type="pct"/>
            <w:tcBorders>
              <w:top w:val="nil"/>
              <w:left w:val="nil"/>
              <w:bottom w:val="single" w:color="auto" w:sz="4" w:space="0"/>
              <w:right w:val="single" w:color="auto" w:sz="4" w:space="0"/>
            </w:tcBorders>
            <w:noWrap/>
            <w:vAlign w:val="center"/>
          </w:tcPr>
          <w:p w14:paraId="4D175E4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14895CDC">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1469" w:type="pct"/>
            <w:vMerge w:val="continue"/>
            <w:tcBorders>
              <w:top w:val="nil"/>
              <w:left w:val="single" w:color="auto" w:sz="4" w:space="0"/>
              <w:bottom w:val="single" w:color="auto" w:sz="4" w:space="0"/>
              <w:right w:val="single" w:color="auto" w:sz="4" w:space="0"/>
            </w:tcBorders>
            <w:vAlign w:val="center"/>
          </w:tcPr>
          <w:p w14:paraId="74BC0FD4">
            <w:pPr>
              <w:pStyle w:val="109"/>
              <w:rPr>
                <w:color w:val="000000" w:themeColor="text1"/>
                <w14:textFill>
                  <w14:solidFill>
                    <w14:schemeClr w14:val="tx1"/>
                  </w14:solidFill>
                </w14:textFill>
              </w:rPr>
            </w:pPr>
          </w:p>
        </w:tc>
      </w:tr>
      <w:tr w14:paraId="336E73D1">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4C1B7314">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92" w:type="pct"/>
            <w:tcBorders>
              <w:top w:val="nil"/>
              <w:left w:val="nil"/>
              <w:bottom w:val="single" w:color="auto" w:sz="4" w:space="0"/>
              <w:right w:val="single" w:color="auto" w:sz="4" w:space="0"/>
            </w:tcBorders>
            <w:noWrap/>
            <w:vAlign w:val="center"/>
          </w:tcPr>
          <w:p w14:paraId="541A9C0F">
            <w:pPr>
              <w:pStyle w:val="109"/>
              <w:rPr>
                <w:color w:val="000000" w:themeColor="text1"/>
                <w14:textFill>
                  <w14:solidFill>
                    <w14:schemeClr w14:val="tx1"/>
                  </w14:solidFill>
                </w14:textFill>
              </w:rPr>
            </w:pPr>
            <w:r>
              <w:rPr>
                <w:color w:val="000000" w:themeColor="text1"/>
                <w14:textFill>
                  <w14:solidFill>
                    <w14:schemeClr w14:val="tx1"/>
                  </w14:solidFill>
                </w14:textFill>
              </w:rPr>
              <w:t>氨氮（ 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-N） </w:t>
            </w:r>
          </w:p>
        </w:tc>
        <w:tc>
          <w:tcPr>
            <w:tcW w:w="563" w:type="pct"/>
            <w:tcBorders>
              <w:top w:val="nil"/>
              <w:left w:val="nil"/>
              <w:bottom w:val="single" w:color="auto" w:sz="4" w:space="0"/>
              <w:right w:val="single" w:color="auto" w:sz="4" w:space="0"/>
            </w:tcBorders>
            <w:noWrap/>
            <w:vAlign w:val="center"/>
          </w:tcPr>
          <w:p w14:paraId="1BE1C47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3F3ADAFA">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69" w:type="pct"/>
            <w:vMerge w:val="continue"/>
            <w:tcBorders>
              <w:top w:val="nil"/>
              <w:left w:val="single" w:color="auto" w:sz="4" w:space="0"/>
              <w:bottom w:val="single" w:color="auto" w:sz="4" w:space="0"/>
              <w:right w:val="single" w:color="auto" w:sz="4" w:space="0"/>
            </w:tcBorders>
            <w:vAlign w:val="center"/>
          </w:tcPr>
          <w:p w14:paraId="4FEF892D">
            <w:pPr>
              <w:pStyle w:val="109"/>
              <w:rPr>
                <w:color w:val="000000" w:themeColor="text1"/>
                <w14:textFill>
                  <w14:solidFill>
                    <w14:schemeClr w14:val="tx1"/>
                  </w14:solidFill>
                </w14:textFill>
              </w:rPr>
            </w:pPr>
          </w:p>
        </w:tc>
      </w:tr>
      <w:tr w14:paraId="39BBE795">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2F5DE50E">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392" w:type="pct"/>
            <w:tcBorders>
              <w:top w:val="nil"/>
              <w:left w:val="nil"/>
              <w:bottom w:val="single" w:color="auto" w:sz="4" w:space="0"/>
              <w:right w:val="single" w:color="auto" w:sz="4" w:space="0"/>
            </w:tcBorders>
            <w:noWrap/>
            <w:vAlign w:val="center"/>
          </w:tcPr>
          <w:p w14:paraId="4029128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总磷（以 P计） </w:t>
            </w:r>
          </w:p>
        </w:tc>
        <w:tc>
          <w:tcPr>
            <w:tcW w:w="563" w:type="pct"/>
            <w:tcBorders>
              <w:top w:val="nil"/>
              <w:left w:val="nil"/>
              <w:bottom w:val="single" w:color="auto" w:sz="4" w:space="0"/>
              <w:right w:val="single" w:color="auto" w:sz="4" w:space="0"/>
            </w:tcBorders>
            <w:noWrap/>
            <w:vAlign w:val="center"/>
          </w:tcPr>
          <w:p w14:paraId="02B92AC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14AAC453">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469" w:type="pct"/>
            <w:vMerge w:val="continue"/>
            <w:tcBorders>
              <w:top w:val="nil"/>
              <w:left w:val="single" w:color="auto" w:sz="4" w:space="0"/>
              <w:bottom w:val="single" w:color="auto" w:sz="4" w:space="0"/>
              <w:right w:val="single" w:color="auto" w:sz="4" w:space="0"/>
            </w:tcBorders>
            <w:vAlign w:val="center"/>
          </w:tcPr>
          <w:p w14:paraId="763A6830">
            <w:pPr>
              <w:pStyle w:val="109"/>
              <w:rPr>
                <w:color w:val="000000" w:themeColor="text1"/>
                <w14:textFill>
                  <w14:solidFill>
                    <w14:schemeClr w14:val="tx1"/>
                  </w14:solidFill>
                </w14:textFill>
              </w:rPr>
            </w:pPr>
          </w:p>
        </w:tc>
      </w:tr>
      <w:tr w14:paraId="2513EA42">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78B01990">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392" w:type="pct"/>
            <w:tcBorders>
              <w:top w:val="nil"/>
              <w:left w:val="nil"/>
              <w:bottom w:val="single" w:color="auto" w:sz="4" w:space="0"/>
              <w:right w:val="single" w:color="auto" w:sz="4" w:space="0"/>
            </w:tcBorders>
            <w:noWrap/>
            <w:vAlign w:val="center"/>
          </w:tcPr>
          <w:p w14:paraId="16D1B2BC">
            <w:pPr>
              <w:pStyle w:val="109"/>
              <w:rPr>
                <w:color w:val="000000" w:themeColor="text1"/>
                <w14:textFill>
                  <w14:solidFill>
                    <w14:schemeClr w14:val="tx1"/>
                  </w14:solidFill>
                </w14:textFill>
              </w:rPr>
            </w:pPr>
            <w:r>
              <w:rPr>
                <w:color w:val="000000" w:themeColor="text1"/>
                <w14:textFill>
                  <w14:solidFill>
                    <w14:schemeClr w14:val="tx1"/>
                  </w14:solidFill>
                </w14:textFill>
              </w:rPr>
              <w:t>氟化物（以 F</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计） </w:t>
            </w:r>
          </w:p>
        </w:tc>
        <w:tc>
          <w:tcPr>
            <w:tcW w:w="563" w:type="pct"/>
            <w:tcBorders>
              <w:top w:val="nil"/>
              <w:left w:val="nil"/>
              <w:bottom w:val="single" w:color="auto" w:sz="4" w:space="0"/>
              <w:right w:val="single" w:color="auto" w:sz="4" w:space="0"/>
            </w:tcBorders>
            <w:noWrap/>
            <w:vAlign w:val="center"/>
          </w:tcPr>
          <w:p w14:paraId="05C28ED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13EFB9CF">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69" w:type="pct"/>
            <w:vMerge w:val="continue"/>
            <w:tcBorders>
              <w:top w:val="nil"/>
              <w:left w:val="single" w:color="auto" w:sz="4" w:space="0"/>
              <w:bottom w:val="single" w:color="auto" w:sz="4" w:space="0"/>
              <w:right w:val="single" w:color="auto" w:sz="4" w:space="0"/>
            </w:tcBorders>
            <w:vAlign w:val="center"/>
          </w:tcPr>
          <w:p w14:paraId="6EB807E6">
            <w:pPr>
              <w:pStyle w:val="109"/>
              <w:rPr>
                <w:color w:val="000000" w:themeColor="text1"/>
                <w14:textFill>
                  <w14:solidFill>
                    <w14:schemeClr w14:val="tx1"/>
                  </w14:solidFill>
                </w14:textFill>
              </w:rPr>
            </w:pPr>
          </w:p>
        </w:tc>
      </w:tr>
      <w:tr w14:paraId="5C4D7AAF">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080EA871">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392" w:type="pct"/>
            <w:tcBorders>
              <w:top w:val="nil"/>
              <w:left w:val="nil"/>
              <w:bottom w:val="single" w:color="auto" w:sz="4" w:space="0"/>
              <w:right w:val="single" w:color="auto" w:sz="4" w:space="0"/>
            </w:tcBorders>
            <w:noWrap/>
            <w:vAlign w:val="center"/>
          </w:tcPr>
          <w:p w14:paraId="3560AEF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氰化物 </w:t>
            </w:r>
          </w:p>
        </w:tc>
        <w:tc>
          <w:tcPr>
            <w:tcW w:w="563" w:type="pct"/>
            <w:tcBorders>
              <w:top w:val="nil"/>
              <w:left w:val="nil"/>
              <w:bottom w:val="single" w:color="auto" w:sz="4" w:space="0"/>
              <w:right w:val="single" w:color="auto" w:sz="4" w:space="0"/>
            </w:tcBorders>
            <w:noWrap/>
            <w:vAlign w:val="center"/>
          </w:tcPr>
          <w:p w14:paraId="5924671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6493836B">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469" w:type="pct"/>
            <w:vMerge w:val="continue"/>
            <w:tcBorders>
              <w:top w:val="nil"/>
              <w:left w:val="single" w:color="auto" w:sz="4" w:space="0"/>
              <w:bottom w:val="single" w:color="auto" w:sz="4" w:space="0"/>
              <w:right w:val="single" w:color="auto" w:sz="4" w:space="0"/>
            </w:tcBorders>
            <w:vAlign w:val="center"/>
          </w:tcPr>
          <w:p w14:paraId="0A258434">
            <w:pPr>
              <w:pStyle w:val="109"/>
              <w:rPr>
                <w:color w:val="000000" w:themeColor="text1"/>
                <w14:textFill>
                  <w14:solidFill>
                    <w14:schemeClr w14:val="tx1"/>
                  </w14:solidFill>
                </w14:textFill>
              </w:rPr>
            </w:pPr>
          </w:p>
        </w:tc>
      </w:tr>
      <w:tr w14:paraId="3B6B4E76">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23686378">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392" w:type="pct"/>
            <w:tcBorders>
              <w:top w:val="nil"/>
              <w:left w:val="nil"/>
              <w:bottom w:val="single" w:color="auto" w:sz="4" w:space="0"/>
              <w:right w:val="single" w:color="auto" w:sz="4" w:space="0"/>
            </w:tcBorders>
            <w:noWrap/>
            <w:vAlign w:val="center"/>
          </w:tcPr>
          <w:p w14:paraId="76BCA88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挥发酚 </w:t>
            </w:r>
          </w:p>
        </w:tc>
        <w:tc>
          <w:tcPr>
            <w:tcW w:w="563" w:type="pct"/>
            <w:tcBorders>
              <w:top w:val="nil"/>
              <w:left w:val="nil"/>
              <w:bottom w:val="single" w:color="auto" w:sz="4" w:space="0"/>
              <w:right w:val="single" w:color="auto" w:sz="4" w:space="0"/>
            </w:tcBorders>
            <w:noWrap/>
            <w:vAlign w:val="center"/>
          </w:tcPr>
          <w:p w14:paraId="3E9AADF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4F0FE179">
            <w:pPr>
              <w:pStyle w:val="109"/>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69" w:type="pct"/>
            <w:vMerge w:val="continue"/>
            <w:tcBorders>
              <w:top w:val="nil"/>
              <w:left w:val="single" w:color="auto" w:sz="4" w:space="0"/>
              <w:bottom w:val="single" w:color="auto" w:sz="4" w:space="0"/>
              <w:right w:val="single" w:color="auto" w:sz="4" w:space="0"/>
            </w:tcBorders>
            <w:vAlign w:val="center"/>
          </w:tcPr>
          <w:p w14:paraId="2F49C084">
            <w:pPr>
              <w:pStyle w:val="109"/>
              <w:rPr>
                <w:color w:val="000000" w:themeColor="text1"/>
                <w14:textFill>
                  <w14:solidFill>
                    <w14:schemeClr w14:val="tx1"/>
                  </w14:solidFill>
                </w14:textFill>
              </w:rPr>
            </w:pPr>
          </w:p>
        </w:tc>
      </w:tr>
      <w:tr w14:paraId="4051DD38">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1EADDBC9">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1392" w:type="pct"/>
            <w:tcBorders>
              <w:top w:val="nil"/>
              <w:left w:val="nil"/>
              <w:bottom w:val="single" w:color="auto" w:sz="4" w:space="0"/>
              <w:right w:val="single" w:color="auto" w:sz="4" w:space="0"/>
            </w:tcBorders>
            <w:noWrap/>
            <w:vAlign w:val="center"/>
          </w:tcPr>
          <w:p w14:paraId="0ED57C7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石油类 </w:t>
            </w:r>
          </w:p>
        </w:tc>
        <w:tc>
          <w:tcPr>
            <w:tcW w:w="563" w:type="pct"/>
            <w:tcBorders>
              <w:top w:val="nil"/>
              <w:left w:val="nil"/>
              <w:bottom w:val="single" w:color="auto" w:sz="4" w:space="0"/>
              <w:right w:val="single" w:color="auto" w:sz="4" w:space="0"/>
            </w:tcBorders>
            <w:noWrap/>
            <w:vAlign w:val="center"/>
          </w:tcPr>
          <w:p w14:paraId="2F14E84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501EC53A">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469" w:type="pct"/>
            <w:vMerge w:val="continue"/>
            <w:tcBorders>
              <w:top w:val="nil"/>
              <w:left w:val="single" w:color="auto" w:sz="4" w:space="0"/>
              <w:bottom w:val="single" w:color="auto" w:sz="4" w:space="0"/>
              <w:right w:val="single" w:color="auto" w:sz="4" w:space="0"/>
            </w:tcBorders>
            <w:vAlign w:val="center"/>
          </w:tcPr>
          <w:p w14:paraId="47812414">
            <w:pPr>
              <w:pStyle w:val="109"/>
              <w:rPr>
                <w:color w:val="000000" w:themeColor="text1"/>
                <w14:textFill>
                  <w14:solidFill>
                    <w14:schemeClr w14:val="tx1"/>
                  </w14:solidFill>
                </w14:textFill>
              </w:rPr>
            </w:pPr>
          </w:p>
        </w:tc>
      </w:tr>
      <w:tr w14:paraId="4A50FF23">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1FA091E6">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1392" w:type="pct"/>
            <w:tcBorders>
              <w:top w:val="nil"/>
              <w:left w:val="nil"/>
              <w:bottom w:val="single" w:color="auto" w:sz="4" w:space="0"/>
              <w:right w:val="single" w:color="auto" w:sz="4" w:space="0"/>
            </w:tcBorders>
            <w:noWrap/>
            <w:vAlign w:val="center"/>
          </w:tcPr>
          <w:p w14:paraId="6E09F54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阴离子表面活性剂 </w:t>
            </w:r>
          </w:p>
        </w:tc>
        <w:tc>
          <w:tcPr>
            <w:tcW w:w="563" w:type="pct"/>
            <w:tcBorders>
              <w:top w:val="nil"/>
              <w:left w:val="nil"/>
              <w:bottom w:val="single" w:color="auto" w:sz="4" w:space="0"/>
              <w:right w:val="single" w:color="auto" w:sz="4" w:space="0"/>
            </w:tcBorders>
            <w:noWrap/>
            <w:vAlign w:val="center"/>
          </w:tcPr>
          <w:p w14:paraId="0F128A2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554A6483">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469" w:type="pct"/>
            <w:vMerge w:val="continue"/>
            <w:tcBorders>
              <w:top w:val="nil"/>
              <w:left w:val="single" w:color="auto" w:sz="4" w:space="0"/>
              <w:bottom w:val="single" w:color="auto" w:sz="4" w:space="0"/>
              <w:right w:val="single" w:color="auto" w:sz="4" w:space="0"/>
            </w:tcBorders>
            <w:vAlign w:val="center"/>
          </w:tcPr>
          <w:p w14:paraId="21FEE2D6">
            <w:pPr>
              <w:pStyle w:val="109"/>
              <w:rPr>
                <w:color w:val="000000" w:themeColor="text1"/>
                <w14:textFill>
                  <w14:solidFill>
                    <w14:schemeClr w14:val="tx1"/>
                  </w14:solidFill>
                </w14:textFill>
              </w:rPr>
            </w:pPr>
          </w:p>
        </w:tc>
      </w:tr>
      <w:tr w14:paraId="0BB61684">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2058C1ED">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392" w:type="pct"/>
            <w:tcBorders>
              <w:top w:val="nil"/>
              <w:left w:val="nil"/>
              <w:bottom w:val="single" w:color="auto" w:sz="4" w:space="0"/>
              <w:right w:val="single" w:color="auto" w:sz="4" w:space="0"/>
            </w:tcBorders>
            <w:noWrap/>
            <w:vAlign w:val="center"/>
          </w:tcPr>
          <w:p w14:paraId="08145D4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硫化物 </w:t>
            </w:r>
          </w:p>
        </w:tc>
        <w:tc>
          <w:tcPr>
            <w:tcW w:w="563" w:type="pct"/>
            <w:tcBorders>
              <w:top w:val="nil"/>
              <w:left w:val="nil"/>
              <w:bottom w:val="single" w:color="auto" w:sz="4" w:space="0"/>
              <w:right w:val="single" w:color="auto" w:sz="4" w:space="0"/>
            </w:tcBorders>
            <w:noWrap/>
            <w:vAlign w:val="center"/>
          </w:tcPr>
          <w:p w14:paraId="104ACE1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20D0769C">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469" w:type="pct"/>
            <w:vMerge w:val="continue"/>
            <w:tcBorders>
              <w:top w:val="nil"/>
              <w:left w:val="single" w:color="auto" w:sz="4" w:space="0"/>
              <w:bottom w:val="single" w:color="auto" w:sz="4" w:space="0"/>
              <w:right w:val="single" w:color="auto" w:sz="4" w:space="0"/>
            </w:tcBorders>
            <w:vAlign w:val="center"/>
          </w:tcPr>
          <w:p w14:paraId="786311FD">
            <w:pPr>
              <w:pStyle w:val="109"/>
              <w:rPr>
                <w:color w:val="000000" w:themeColor="text1"/>
                <w14:textFill>
                  <w14:solidFill>
                    <w14:schemeClr w14:val="tx1"/>
                  </w14:solidFill>
                </w14:textFill>
              </w:rPr>
            </w:pPr>
          </w:p>
        </w:tc>
      </w:tr>
      <w:tr w14:paraId="51341BD3">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638A8651">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392" w:type="pct"/>
            <w:tcBorders>
              <w:top w:val="nil"/>
              <w:left w:val="nil"/>
              <w:bottom w:val="single" w:color="auto" w:sz="4" w:space="0"/>
              <w:right w:val="single" w:color="auto" w:sz="4" w:space="0"/>
            </w:tcBorders>
            <w:noWrap/>
            <w:vAlign w:val="center"/>
          </w:tcPr>
          <w:p w14:paraId="544FAC6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铜 </w:t>
            </w:r>
          </w:p>
        </w:tc>
        <w:tc>
          <w:tcPr>
            <w:tcW w:w="563" w:type="pct"/>
            <w:tcBorders>
              <w:top w:val="nil"/>
              <w:left w:val="nil"/>
              <w:bottom w:val="single" w:color="auto" w:sz="4" w:space="0"/>
              <w:right w:val="single" w:color="auto" w:sz="4" w:space="0"/>
            </w:tcBorders>
            <w:noWrap/>
            <w:vAlign w:val="center"/>
          </w:tcPr>
          <w:p w14:paraId="0F953F7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6BAF6D9F">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69" w:type="pct"/>
            <w:vMerge w:val="continue"/>
            <w:tcBorders>
              <w:top w:val="nil"/>
              <w:left w:val="single" w:color="auto" w:sz="4" w:space="0"/>
              <w:bottom w:val="single" w:color="auto" w:sz="4" w:space="0"/>
              <w:right w:val="single" w:color="auto" w:sz="4" w:space="0"/>
            </w:tcBorders>
            <w:vAlign w:val="center"/>
          </w:tcPr>
          <w:p w14:paraId="440D66F8">
            <w:pPr>
              <w:pStyle w:val="109"/>
              <w:rPr>
                <w:color w:val="000000" w:themeColor="text1"/>
                <w14:textFill>
                  <w14:solidFill>
                    <w14:schemeClr w14:val="tx1"/>
                  </w14:solidFill>
                </w14:textFill>
              </w:rPr>
            </w:pPr>
          </w:p>
        </w:tc>
      </w:tr>
      <w:tr w14:paraId="24590CFA">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571C3E6D">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392" w:type="pct"/>
            <w:tcBorders>
              <w:top w:val="nil"/>
              <w:left w:val="nil"/>
              <w:bottom w:val="single" w:color="auto" w:sz="4" w:space="0"/>
              <w:right w:val="single" w:color="auto" w:sz="4" w:space="0"/>
            </w:tcBorders>
            <w:noWrap/>
            <w:vAlign w:val="center"/>
          </w:tcPr>
          <w:p w14:paraId="7193AE1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锌 </w:t>
            </w:r>
          </w:p>
        </w:tc>
        <w:tc>
          <w:tcPr>
            <w:tcW w:w="563" w:type="pct"/>
            <w:tcBorders>
              <w:top w:val="nil"/>
              <w:left w:val="nil"/>
              <w:bottom w:val="single" w:color="auto" w:sz="4" w:space="0"/>
              <w:right w:val="single" w:color="auto" w:sz="4" w:space="0"/>
            </w:tcBorders>
            <w:noWrap/>
            <w:vAlign w:val="center"/>
          </w:tcPr>
          <w:p w14:paraId="498AA80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675D2886">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69" w:type="pct"/>
            <w:vMerge w:val="continue"/>
            <w:tcBorders>
              <w:top w:val="nil"/>
              <w:left w:val="single" w:color="auto" w:sz="4" w:space="0"/>
              <w:bottom w:val="single" w:color="auto" w:sz="4" w:space="0"/>
              <w:right w:val="single" w:color="auto" w:sz="4" w:space="0"/>
            </w:tcBorders>
            <w:vAlign w:val="center"/>
          </w:tcPr>
          <w:p w14:paraId="7BE892EA">
            <w:pPr>
              <w:pStyle w:val="109"/>
              <w:rPr>
                <w:color w:val="000000" w:themeColor="text1"/>
                <w14:textFill>
                  <w14:solidFill>
                    <w14:schemeClr w14:val="tx1"/>
                  </w14:solidFill>
                </w14:textFill>
              </w:rPr>
            </w:pPr>
          </w:p>
        </w:tc>
      </w:tr>
      <w:tr w14:paraId="38B03614">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075390F1">
            <w:pPr>
              <w:pStyle w:val="10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1392" w:type="pct"/>
            <w:tcBorders>
              <w:top w:val="nil"/>
              <w:left w:val="nil"/>
              <w:bottom w:val="single" w:color="auto" w:sz="4" w:space="0"/>
              <w:right w:val="single" w:color="auto" w:sz="4" w:space="0"/>
            </w:tcBorders>
            <w:noWrap/>
            <w:vAlign w:val="center"/>
          </w:tcPr>
          <w:p w14:paraId="2BEC10E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硒 </w:t>
            </w:r>
          </w:p>
        </w:tc>
        <w:tc>
          <w:tcPr>
            <w:tcW w:w="563" w:type="pct"/>
            <w:tcBorders>
              <w:top w:val="nil"/>
              <w:left w:val="nil"/>
              <w:bottom w:val="single" w:color="auto" w:sz="4" w:space="0"/>
              <w:right w:val="single" w:color="auto" w:sz="4" w:space="0"/>
            </w:tcBorders>
            <w:noWrap/>
            <w:vAlign w:val="center"/>
          </w:tcPr>
          <w:p w14:paraId="1A51D70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50B2B7E0">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469" w:type="pct"/>
            <w:vMerge w:val="continue"/>
            <w:tcBorders>
              <w:top w:val="nil"/>
              <w:left w:val="single" w:color="auto" w:sz="4" w:space="0"/>
              <w:bottom w:val="single" w:color="auto" w:sz="4" w:space="0"/>
              <w:right w:val="single" w:color="auto" w:sz="4" w:space="0"/>
            </w:tcBorders>
            <w:vAlign w:val="center"/>
          </w:tcPr>
          <w:p w14:paraId="7344FD24">
            <w:pPr>
              <w:pStyle w:val="109"/>
              <w:rPr>
                <w:color w:val="000000" w:themeColor="text1"/>
                <w14:textFill>
                  <w14:solidFill>
                    <w14:schemeClr w14:val="tx1"/>
                  </w14:solidFill>
                </w14:textFill>
              </w:rPr>
            </w:pPr>
          </w:p>
        </w:tc>
      </w:tr>
      <w:tr w14:paraId="34DEBB63">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5B177B99">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1392" w:type="pct"/>
            <w:tcBorders>
              <w:top w:val="nil"/>
              <w:left w:val="nil"/>
              <w:bottom w:val="single" w:color="auto" w:sz="4" w:space="0"/>
              <w:right w:val="single" w:color="auto" w:sz="4" w:space="0"/>
            </w:tcBorders>
            <w:noWrap/>
            <w:vAlign w:val="center"/>
          </w:tcPr>
          <w:p w14:paraId="2EED90B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砷 </w:t>
            </w:r>
          </w:p>
        </w:tc>
        <w:tc>
          <w:tcPr>
            <w:tcW w:w="563" w:type="pct"/>
            <w:tcBorders>
              <w:top w:val="nil"/>
              <w:left w:val="nil"/>
              <w:bottom w:val="single" w:color="auto" w:sz="4" w:space="0"/>
              <w:right w:val="single" w:color="auto" w:sz="4" w:space="0"/>
            </w:tcBorders>
            <w:noWrap/>
            <w:vAlign w:val="center"/>
          </w:tcPr>
          <w:p w14:paraId="6AD5D18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27D3734C">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469" w:type="pct"/>
            <w:vMerge w:val="continue"/>
            <w:tcBorders>
              <w:top w:val="nil"/>
              <w:left w:val="single" w:color="auto" w:sz="4" w:space="0"/>
              <w:bottom w:val="single" w:color="auto" w:sz="4" w:space="0"/>
              <w:right w:val="single" w:color="auto" w:sz="4" w:space="0"/>
            </w:tcBorders>
            <w:vAlign w:val="center"/>
          </w:tcPr>
          <w:p w14:paraId="75FAE2E1">
            <w:pPr>
              <w:pStyle w:val="109"/>
              <w:rPr>
                <w:color w:val="000000" w:themeColor="text1"/>
                <w14:textFill>
                  <w14:solidFill>
                    <w14:schemeClr w14:val="tx1"/>
                  </w14:solidFill>
                </w14:textFill>
              </w:rPr>
            </w:pPr>
          </w:p>
        </w:tc>
      </w:tr>
      <w:tr w14:paraId="57C4F02D">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5FC7A34C">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392" w:type="pct"/>
            <w:tcBorders>
              <w:top w:val="nil"/>
              <w:left w:val="nil"/>
              <w:bottom w:val="single" w:color="auto" w:sz="4" w:space="0"/>
              <w:right w:val="single" w:color="auto" w:sz="4" w:space="0"/>
            </w:tcBorders>
            <w:noWrap/>
            <w:vAlign w:val="center"/>
          </w:tcPr>
          <w:p w14:paraId="08D08EC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汞 </w:t>
            </w:r>
          </w:p>
        </w:tc>
        <w:tc>
          <w:tcPr>
            <w:tcW w:w="563" w:type="pct"/>
            <w:tcBorders>
              <w:top w:val="nil"/>
              <w:left w:val="nil"/>
              <w:bottom w:val="single" w:color="auto" w:sz="4" w:space="0"/>
              <w:right w:val="single" w:color="auto" w:sz="4" w:space="0"/>
            </w:tcBorders>
            <w:noWrap/>
            <w:vAlign w:val="center"/>
          </w:tcPr>
          <w:p w14:paraId="4401240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7AD111C9">
            <w:pPr>
              <w:pStyle w:val="109"/>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469" w:type="pct"/>
            <w:vMerge w:val="continue"/>
            <w:tcBorders>
              <w:top w:val="nil"/>
              <w:left w:val="single" w:color="auto" w:sz="4" w:space="0"/>
              <w:bottom w:val="single" w:color="auto" w:sz="4" w:space="0"/>
              <w:right w:val="single" w:color="auto" w:sz="4" w:space="0"/>
            </w:tcBorders>
            <w:vAlign w:val="center"/>
          </w:tcPr>
          <w:p w14:paraId="41A45104">
            <w:pPr>
              <w:pStyle w:val="109"/>
              <w:rPr>
                <w:color w:val="000000" w:themeColor="text1"/>
                <w14:textFill>
                  <w14:solidFill>
                    <w14:schemeClr w14:val="tx1"/>
                  </w14:solidFill>
                </w14:textFill>
              </w:rPr>
            </w:pPr>
          </w:p>
        </w:tc>
      </w:tr>
      <w:tr w14:paraId="6C72E02F">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393ED380">
            <w:pPr>
              <w:pStyle w:val="109"/>
              <w:rPr>
                <w:color w:val="000000" w:themeColor="text1"/>
                <w14:textFill>
                  <w14:solidFill>
                    <w14:schemeClr w14:val="tx1"/>
                  </w14:solidFill>
                </w14:textFill>
              </w:rPr>
            </w:pPr>
            <w:r>
              <w:rPr>
                <w:color w:val="000000" w:themeColor="text1"/>
                <w14:textFill>
                  <w14:solidFill>
                    <w14:schemeClr w14:val="tx1"/>
                  </w14:solidFill>
                </w14:textFill>
              </w:rPr>
              <w:t>16</w:t>
            </w:r>
          </w:p>
        </w:tc>
        <w:tc>
          <w:tcPr>
            <w:tcW w:w="1392" w:type="pct"/>
            <w:tcBorders>
              <w:top w:val="nil"/>
              <w:left w:val="nil"/>
              <w:bottom w:val="single" w:color="auto" w:sz="4" w:space="0"/>
              <w:right w:val="single" w:color="auto" w:sz="4" w:space="0"/>
            </w:tcBorders>
            <w:noWrap/>
            <w:vAlign w:val="center"/>
          </w:tcPr>
          <w:p w14:paraId="3A44B79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镉 </w:t>
            </w:r>
          </w:p>
        </w:tc>
        <w:tc>
          <w:tcPr>
            <w:tcW w:w="563" w:type="pct"/>
            <w:tcBorders>
              <w:top w:val="nil"/>
              <w:left w:val="nil"/>
              <w:bottom w:val="single" w:color="auto" w:sz="4" w:space="0"/>
              <w:right w:val="single" w:color="auto" w:sz="4" w:space="0"/>
            </w:tcBorders>
            <w:noWrap/>
            <w:vAlign w:val="center"/>
          </w:tcPr>
          <w:p w14:paraId="7943A00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325FF328">
            <w:pPr>
              <w:pStyle w:val="109"/>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69" w:type="pct"/>
            <w:vMerge w:val="continue"/>
            <w:tcBorders>
              <w:top w:val="nil"/>
              <w:left w:val="single" w:color="auto" w:sz="4" w:space="0"/>
              <w:bottom w:val="single" w:color="auto" w:sz="4" w:space="0"/>
              <w:right w:val="single" w:color="auto" w:sz="4" w:space="0"/>
            </w:tcBorders>
            <w:vAlign w:val="center"/>
          </w:tcPr>
          <w:p w14:paraId="260016AE">
            <w:pPr>
              <w:pStyle w:val="109"/>
              <w:rPr>
                <w:color w:val="000000" w:themeColor="text1"/>
                <w14:textFill>
                  <w14:solidFill>
                    <w14:schemeClr w14:val="tx1"/>
                  </w14:solidFill>
                </w14:textFill>
              </w:rPr>
            </w:pPr>
          </w:p>
        </w:tc>
      </w:tr>
      <w:tr w14:paraId="6BA78D7C">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0E0F5626">
            <w:pPr>
              <w:pStyle w:val="109"/>
              <w:rPr>
                <w:color w:val="000000" w:themeColor="text1"/>
                <w14:textFill>
                  <w14:solidFill>
                    <w14:schemeClr w14:val="tx1"/>
                  </w14:solidFill>
                </w14:textFill>
              </w:rPr>
            </w:pPr>
            <w:r>
              <w:rPr>
                <w:color w:val="000000" w:themeColor="text1"/>
                <w14:textFill>
                  <w14:solidFill>
                    <w14:schemeClr w14:val="tx1"/>
                  </w14:solidFill>
                </w14:textFill>
              </w:rPr>
              <w:t>17</w:t>
            </w:r>
          </w:p>
        </w:tc>
        <w:tc>
          <w:tcPr>
            <w:tcW w:w="1392" w:type="pct"/>
            <w:tcBorders>
              <w:top w:val="nil"/>
              <w:left w:val="nil"/>
              <w:bottom w:val="single" w:color="auto" w:sz="4" w:space="0"/>
              <w:right w:val="single" w:color="auto" w:sz="4" w:space="0"/>
            </w:tcBorders>
            <w:noWrap/>
            <w:vAlign w:val="center"/>
          </w:tcPr>
          <w:p w14:paraId="7D68B90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铬（六价） </w:t>
            </w:r>
          </w:p>
        </w:tc>
        <w:tc>
          <w:tcPr>
            <w:tcW w:w="563" w:type="pct"/>
            <w:tcBorders>
              <w:top w:val="nil"/>
              <w:left w:val="nil"/>
              <w:bottom w:val="single" w:color="auto" w:sz="4" w:space="0"/>
              <w:right w:val="single" w:color="auto" w:sz="4" w:space="0"/>
            </w:tcBorders>
            <w:noWrap/>
            <w:vAlign w:val="center"/>
          </w:tcPr>
          <w:p w14:paraId="358E6D5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3404DCB3">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469" w:type="pct"/>
            <w:vMerge w:val="continue"/>
            <w:tcBorders>
              <w:top w:val="nil"/>
              <w:left w:val="single" w:color="auto" w:sz="4" w:space="0"/>
              <w:bottom w:val="single" w:color="auto" w:sz="4" w:space="0"/>
              <w:right w:val="single" w:color="auto" w:sz="4" w:space="0"/>
            </w:tcBorders>
            <w:vAlign w:val="center"/>
          </w:tcPr>
          <w:p w14:paraId="399386CF">
            <w:pPr>
              <w:pStyle w:val="109"/>
              <w:rPr>
                <w:color w:val="000000" w:themeColor="text1"/>
                <w14:textFill>
                  <w14:solidFill>
                    <w14:schemeClr w14:val="tx1"/>
                  </w14:solidFill>
                </w14:textFill>
              </w:rPr>
            </w:pPr>
          </w:p>
        </w:tc>
      </w:tr>
      <w:tr w14:paraId="72766F25">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15EBC988">
            <w:pPr>
              <w:pStyle w:val="10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392" w:type="pct"/>
            <w:tcBorders>
              <w:top w:val="nil"/>
              <w:left w:val="nil"/>
              <w:bottom w:val="single" w:color="auto" w:sz="4" w:space="0"/>
              <w:right w:val="single" w:color="auto" w:sz="4" w:space="0"/>
            </w:tcBorders>
            <w:noWrap/>
            <w:vAlign w:val="center"/>
          </w:tcPr>
          <w:p w14:paraId="119F271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铅 </w:t>
            </w:r>
          </w:p>
        </w:tc>
        <w:tc>
          <w:tcPr>
            <w:tcW w:w="563" w:type="pct"/>
            <w:tcBorders>
              <w:top w:val="nil"/>
              <w:left w:val="nil"/>
              <w:bottom w:val="single" w:color="auto" w:sz="4" w:space="0"/>
              <w:right w:val="single" w:color="auto" w:sz="4" w:space="0"/>
            </w:tcBorders>
            <w:noWrap/>
            <w:vAlign w:val="center"/>
          </w:tcPr>
          <w:p w14:paraId="21AAAE0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2BE28614">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469" w:type="pct"/>
            <w:vMerge w:val="continue"/>
            <w:tcBorders>
              <w:top w:val="nil"/>
              <w:left w:val="single" w:color="auto" w:sz="4" w:space="0"/>
              <w:bottom w:val="single" w:color="auto" w:sz="4" w:space="0"/>
              <w:right w:val="single" w:color="auto" w:sz="4" w:space="0"/>
            </w:tcBorders>
            <w:vAlign w:val="center"/>
          </w:tcPr>
          <w:p w14:paraId="2C3E70B4">
            <w:pPr>
              <w:pStyle w:val="109"/>
              <w:rPr>
                <w:color w:val="000000" w:themeColor="text1"/>
                <w14:textFill>
                  <w14:solidFill>
                    <w14:schemeClr w14:val="tx1"/>
                  </w14:solidFill>
                </w14:textFill>
              </w:rPr>
            </w:pPr>
          </w:p>
        </w:tc>
      </w:tr>
      <w:tr w14:paraId="09354E5B">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4492E2C4">
            <w:pPr>
              <w:pStyle w:val="109"/>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392" w:type="pct"/>
            <w:tcBorders>
              <w:top w:val="nil"/>
              <w:left w:val="nil"/>
              <w:bottom w:val="single" w:color="auto" w:sz="4" w:space="0"/>
              <w:right w:val="single" w:color="auto" w:sz="4" w:space="0"/>
            </w:tcBorders>
            <w:noWrap/>
            <w:vAlign w:val="center"/>
          </w:tcPr>
          <w:p w14:paraId="52124AA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四氯化碳 </w:t>
            </w:r>
          </w:p>
        </w:tc>
        <w:tc>
          <w:tcPr>
            <w:tcW w:w="563" w:type="pct"/>
            <w:tcBorders>
              <w:top w:val="nil"/>
              <w:left w:val="nil"/>
              <w:bottom w:val="single" w:color="auto" w:sz="4" w:space="0"/>
              <w:right w:val="single" w:color="auto" w:sz="4" w:space="0"/>
            </w:tcBorders>
            <w:noWrap/>
            <w:vAlign w:val="center"/>
          </w:tcPr>
          <w:p w14:paraId="22C6AD2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3AED8BC2">
            <w:pPr>
              <w:pStyle w:val="109"/>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469" w:type="pct"/>
            <w:vMerge w:val="continue"/>
            <w:tcBorders>
              <w:top w:val="nil"/>
              <w:left w:val="single" w:color="auto" w:sz="4" w:space="0"/>
              <w:bottom w:val="single" w:color="auto" w:sz="4" w:space="0"/>
              <w:right w:val="single" w:color="auto" w:sz="4" w:space="0"/>
            </w:tcBorders>
            <w:vAlign w:val="center"/>
          </w:tcPr>
          <w:p w14:paraId="46175C1B">
            <w:pPr>
              <w:pStyle w:val="109"/>
              <w:rPr>
                <w:color w:val="000000" w:themeColor="text1"/>
                <w14:textFill>
                  <w14:solidFill>
                    <w14:schemeClr w14:val="tx1"/>
                  </w14:solidFill>
                </w14:textFill>
              </w:rPr>
            </w:pPr>
          </w:p>
        </w:tc>
      </w:tr>
      <w:tr w14:paraId="700BDAA8">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5D0BA4AA">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392" w:type="pct"/>
            <w:tcBorders>
              <w:top w:val="nil"/>
              <w:left w:val="nil"/>
              <w:bottom w:val="single" w:color="auto" w:sz="4" w:space="0"/>
              <w:right w:val="single" w:color="auto" w:sz="4" w:space="0"/>
            </w:tcBorders>
            <w:noWrap/>
            <w:vAlign w:val="center"/>
          </w:tcPr>
          <w:p w14:paraId="22B9030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环氧氯丙烷 </w:t>
            </w:r>
          </w:p>
        </w:tc>
        <w:tc>
          <w:tcPr>
            <w:tcW w:w="563" w:type="pct"/>
            <w:tcBorders>
              <w:top w:val="nil"/>
              <w:left w:val="nil"/>
              <w:bottom w:val="single" w:color="auto" w:sz="4" w:space="0"/>
              <w:right w:val="single" w:color="auto" w:sz="4" w:space="0"/>
            </w:tcBorders>
            <w:noWrap/>
            <w:vAlign w:val="center"/>
          </w:tcPr>
          <w:p w14:paraId="2EB5BAE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0CD0BCFD">
            <w:pPr>
              <w:pStyle w:val="109"/>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69" w:type="pct"/>
            <w:vMerge w:val="continue"/>
            <w:tcBorders>
              <w:top w:val="nil"/>
              <w:left w:val="single" w:color="auto" w:sz="4" w:space="0"/>
              <w:bottom w:val="single" w:color="auto" w:sz="4" w:space="0"/>
              <w:right w:val="single" w:color="auto" w:sz="4" w:space="0"/>
            </w:tcBorders>
            <w:vAlign w:val="center"/>
          </w:tcPr>
          <w:p w14:paraId="3EEEF3CD">
            <w:pPr>
              <w:pStyle w:val="109"/>
              <w:rPr>
                <w:color w:val="000000" w:themeColor="text1"/>
                <w14:textFill>
                  <w14:solidFill>
                    <w14:schemeClr w14:val="tx1"/>
                  </w14:solidFill>
                </w14:textFill>
              </w:rPr>
            </w:pPr>
          </w:p>
        </w:tc>
      </w:tr>
      <w:tr w14:paraId="0F043C23">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11D06169">
            <w:pPr>
              <w:pStyle w:val="109"/>
              <w:rPr>
                <w:color w:val="000000" w:themeColor="text1"/>
                <w14:textFill>
                  <w14:solidFill>
                    <w14:schemeClr w14:val="tx1"/>
                  </w14:solidFill>
                </w14:textFill>
              </w:rPr>
            </w:pPr>
            <w:r>
              <w:rPr>
                <w:color w:val="000000" w:themeColor="text1"/>
                <w14:textFill>
                  <w14:solidFill>
                    <w14:schemeClr w14:val="tx1"/>
                  </w14:solidFill>
                </w14:textFill>
              </w:rPr>
              <w:t>21</w:t>
            </w:r>
          </w:p>
        </w:tc>
        <w:tc>
          <w:tcPr>
            <w:tcW w:w="1392" w:type="pct"/>
            <w:tcBorders>
              <w:top w:val="nil"/>
              <w:left w:val="nil"/>
              <w:bottom w:val="single" w:color="auto" w:sz="4" w:space="0"/>
              <w:right w:val="single" w:color="auto" w:sz="4" w:space="0"/>
            </w:tcBorders>
            <w:noWrap/>
            <w:vAlign w:val="center"/>
          </w:tcPr>
          <w:p w14:paraId="0235AEB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苯 </w:t>
            </w:r>
          </w:p>
        </w:tc>
        <w:tc>
          <w:tcPr>
            <w:tcW w:w="563" w:type="pct"/>
            <w:tcBorders>
              <w:top w:val="nil"/>
              <w:left w:val="nil"/>
              <w:bottom w:val="single" w:color="auto" w:sz="4" w:space="0"/>
              <w:right w:val="single" w:color="auto" w:sz="4" w:space="0"/>
            </w:tcBorders>
            <w:noWrap/>
            <w:vAlign w:val="center"/>
          </w:tcPr>
          <w:p w14:paraId="607C9DD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27BF0DA8">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469" w:type="pct"/>
            <w:vMerge w:val="continue"/>
            <w:tcBorders>
              <w:top w:val="nil"/>
              <w:left w:val="single" w:color="auto" w:sz="4" w:space="0"/>
              <w:bottom w:val="single" w:color="auto" w:sz="4" w:space="0"/>
              <w:right w:val="single" w:color="auto" w:sz="4" w:space="0"/>
            </w:tcBorders>
            <w:vAlign w:val="center"/>
          </w:tcPr>
          <w:p w14:paraId="677BAF62">
            <w:pPr>
              <w:pStyle w:val="109"/>
              <w:rPr>
                <w:color w:val="000000" w:themeColor="text1"/>
                <w14:textFill>
                  <w14:solidFill>
                    <w14:schemeClr w14:val="tx1"/>
                  </w14:solidFill>
                </w14:textFill>
              </w:rPr>
            </w:pPr>
          </w:p>
        </w:tc>
      </w:tr>
      <w:tr w14:paraId="2C54209E">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3083D605">
            <w:pPr>
              <w:pStyle w:val="109"/>
              <w:rPr>
                <w:color w:val="000000" w:themeColor="text1"/>
                <w14:textFill>
                  <w14:solidFill>
                    <w14:schemeClr w14:val="tx1"/>
                  </w14:solidFill>
                </w14:textFill>
              </w:rPr>
            </w:pPr>
            <w:r>
              <w:rPr>
                <w:color w:val="000000" w:themeColor="text1"/>
                <w14:textFill>
                  <w14:solidFill>
                    <w14:schemeClr w14:val="tx1"/>
                  </w14:solidFill>
                </w14:textFill>
              </w:rPr>
              <w:t>22</w:t>
            </w:r>
          </w:p>
        </w:tc>
        <w:tc>
          <w:tcPr>
            <w:tcW w:w="1392" w:type="pct"/>
            <w:tcBorders>
              <w:top w:val="nil"/>
              <w:left w:val="nil"/>
              <w:bottom w:val="single" w:color="auto" w:sz="4" w:space="0"/>
              <w:right w:val="single" w:color="auto" w:sz="4" w:space="0"/>
            </w:tcBorders>
            <w:noWrap/>
            <w:vAlign w:val="center"/>
          </w:tcPr>
          <w:p w14:paraId="4CB6465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甲苯 </w:t>
            </w:r>
          </w:p>
        </w:tc>
        <w:tc>
          <w:tcPr>
            <w:tcW w:w="563" w:type="pct"/>
            <w:tcBorders>
              <w:top w:val="nil"/>
              <w:left w:val="nil"/>
              <w:bottom w:val="single" w:color="auto" w:sz="4" w:space="0"/>
              <w:right w:val="single" w:color="auto" w:sz="4" w:space="0"/>
            </w:tcBorders>
            <w:noWrap/>
            <w:vAlign w:val="center"/>
          </w:tcPr>
          <w:p w14:paraId="07B5979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5C84DB09">
            <w:pPr>
              <w:pStyle w:val="109"/>
              <w:rPr>
                <w:color w:val="000000" w:themeColor="text1"/>
                <w14:textFill>
                  <w14:solidFill>
                    <w14:schemeClr w14:val="tx1"/>
                  </w14:solidFill>
                </w14:textFill>
              </w:rPr>
            </w:pPr>
            <w:r>
              <w:rPr>
                <w:color w:val="000000" w:themeColor="text1"/>
                <w14:textFill>
                  <w14:solidFill>
                    <w14:schemeClr w14:val="tx1"/>
                  </w14:solidFill>
                </w14:textFill>
              </w:rPr>
              <w:t>0.7</w:t>
            </w:r>
          </w:p>
        </w:tc>
        <w:tc>
          <w:tcPr>
            <w:tcW w:w="1469" w:type="pct"/>
            <w:vMerge w:val="continue"/>
            <w:tcBorders>
              <w:top w:val="nil"/>
              <w:left w:val="single" w:color="auto" w:sz="4" w:space="0"/>
              <w:bottom w:val="single" w:color="auto" w:sz="4" w:space="0"/>
              <w:right w:val="single" w:color="auto" w:sz="4" w:space="0"/>
            </w:tcBorders>
            <w:vAlign w:val="center"/>
          </w:tcPr>
          <w:p w14:paraId="6FD3D30A">
            <w:pPr>
              <w:pStyle w:val="109"/>
              <w:rPr>
                <w:color w:val="000000" w:themeColor="text1"/>
                <w14:textFill>
                  <w14:solidFill>
                    <w14:schemeClr w14:val="tx1"/>
                  </w14:solidFill>
                </w14:textFill>
              </w:rPr>
            </w:pPr>
          </w:p>
        </w:tc>
      </w:tr>
      <w:tr w14:paraId="2D0C6653">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32741C26">
            <w:pPr>
              <w:pStyle w:val="109"/>
              <w:rPr>
                <w:color w:val="000000" w:themeColor="text1"/>
                <w14:textFill>
                  <w14:solidFill>
                    <w14:schemeClr w14:val="tx1"/>
                  </w14:solidFill>
                </w14:textFill>
              </w:rPr>
            </w:pPr>
            <w:r>
              <w:rPr>
                <w:color w:val="000000" w:themeColor="text1"/>
                <w14:textFill>
                  <w14:solidFill>
                    <w14:schemeClr w14:val="tx1"/>
                  </w14:solidFill>
                </w14:textFill>
              </w:rPr>
              <w:t>23</w:t>
            </w:r>
          </w:p>
        </w:tc>
        <w:tc>
          <w:tcPr>
            <w:tcW w:w="1392" w:type="pct"/>
            <w:tcBorders>
              <w:top w:val="nil"/>
              <w:left w:val="nil"/>
              <w:bottom w:val="single" w:color="auto" w:sz="4" w:space="0"/>
              <w:right w:val="single" w:color="auto" w:sz="4" w:space="0"/>
            </w:tcBorders>
            <w:noWrap/>
            <w:vAlign w:val="center"/>
          </w:tcPr>
          <w:p w14:paraId="2B68B3F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乙苯 </w:t>
            </w:r>
          </w:p>
        </w:tc>
        <w:tc>
          <w:tcPr>
            <w:tcW w:w="563" w:type="pct"/>
            <w:tcBorders>
              <w:top w:val="nil"/>
              <w:left w:val="nil"/>
              <w:bottom w:val="single" w:color="auto" w:sz="4" w:space="0"/>
              <w:right w:val="single" w:color="auto" w:sz="4" w:space="0"/>
            </w:tcBorders>
            <w:noWrap/>
            <w:vAlign w:val="center"/>
          </w:tcPr>
          <w:p w14:paraId="6ACD2CF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5C4249C8">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469" w:type="pct"/>
            <w:vMerge w:val="continue"/>
            <w:tcBorders>
              <w:top w:val="nil"/>
              <w:left w:val="single" w:color="auto" w:sz="4" w:space="0"/>
              <w:bottom w:val="single" w:color="auto" w:sz="4" w:space="0"/>
              <w:right w:val="single" w:color="auto" w:sz="4" w:space="0"/>
            </w:tcBorders>
            <w:vAlign w:val="center"/>
          </w:tcPr>
          <w:p w14:paraId="76155FE2">
            <w:pPr>
              <w:pStyle w:val="109"/>
              <w:rPr>
                <w:color w:val="000000" w:themeColor="text1"/>
                <w14:textFill>
                  <w14:solidFill>
                    <w14:schemeClr w14:val="tx1"/>
                  </w14:solidFill>
                </w14:textFill>
              </w:rPr>
            </w:pPr>
          </w:p>
        </w:tc>
      </w:tr>
      <w:tr w14:paraId="1DD8B907">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4FBE567E">
            <w:pPr>
              <w:pStyle w:val="109"/>
              <w:rPr>
                <w:color w:val="000000" w:themeColor="text1"/>
                <w14:textFill>
                  <w14:solidFill>
                    <w14:schemeClr w14:val="tx1"/>
                  </w14:solidFill>
                </w14:textFill>
              </w:rPr>
            </w:pPr>
            <w:r>
              <w:rPr>
                <w:color w:val="000000" w:themeColor="text1"/>
                <w14:textFill>
                  <w14:solidFill>
                    <w14:schemeClr w14:val="tx1"/>
                  </w14:solidFill>
                </w14:textFill>
              </w:rPr>
              <w:t>24</w:t>
            </w:r>
          </w:p>
        </w:tc>
        <w:tc>
          <w:tcPr>
            <w:tcW w:w="1392" w:type="pct"/>
            <w:tcBorders>
              <w:top w:val="nil"/>
              <w:left w:val="nil"/>
              <w:bottom w:val="single" w:color="auto" w:sz="4" w:space="0"/>
              <w:right w:val="single" w:color="auto" w:sz="4" w:space="0"/>
            </w:tcBorders>
            <w:noWrap/>
            <w:vAlign w:val="center"/>
          </w:tcPr>
          <w:p w14:paraId="5408FF8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二甲苯 </w:t>
            </w:r>
          </w:p>
        </w:tc>
        <w:tc>
          <w:tcPr>
            <w:tcW w:w="563" w:type="pct"/>
            <w:tcBorders>
              <w:top w:val="nil"/>
              <w:left w:val="nil"/>
              <w:bottom w:val="single" w:color="auto" w:sz="4" w:space="0"/>
              <w:right w:val="single" w:color="auto" w:sz="4" w:space="0"/>
            </w:tcBorders>
            <w:noWrap/>
            <w:vAlign w:val="center"/>
          </w:tcPr>
          <w:p w14:paraId="783FE37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46071F81">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469" w:type="pct"/>
            <w:vMerge w:val="continue"/>
            <w:tcBorders>
              <w:top w:val="nil"/>
              <w:left w:val="single" w:color="auto" w:sz="4" w:space="0"/>
              <w:bottom w:val="single" w:color="auto" w:sz="4" w:space="0"/>
              <w:right w:val="single" w:color="auto" w:sz="4" w:space="0"/>
            </w:tcBorders>
            <w:vAlign w:val="center"/>
          </w:tcPr>
          <w:p w14:paraId="1A5083B0">
            <w:pPr>
              <w:pStyle w:val="109"/>
              <w:rPr>
                <w:color w:val="000000" w:themeColor="text1"/>
                <w14:textFill>
                  <w14:solidFill>
                    <w14:schemeClr w14:val="tx1"/>
                  </w14:solidFill>
                </w14:textFill>
              </w:rPr>
            </w:pPr>
          </w:p>
        </w:tc>
      </w:tr>
      <w:tr w14:paraId="5098949B">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1E3EFCF7">
            <w:pPr>
              <w:pStyle w:val="109"/>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392" w:type="pct"/>
            <w:tcBorders>
              <w:top w:val="nil"/>
              <w:left w:val="nil"/>
              <w:bottom w:val="single" w:color="auto" w:sz="4" w:space="0"/>
              <w:right w:val="single" w:color="auto" w:sz="4" w:space="0"/>
            </w:tcBorders>
            <w:noWrap/>
            <w:vAlign w:val="center"/>
          </w:tcPr>
          <w:p w14:paraId="717B44C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异丙苯 </w:t>
            </w:r>
          </w:p>
        </w:tc>
        <w:tc>
          <w:tcPr>
            <w:tcW w:w="563" w:type="pct"/>
            <w:tcBorders>
              <w:top w:val="nil"/>
              <w:left w:val="nil"/>
              <w:bottom w:val="single" w:color="auto" w:sz="4" w:space="0"/>
              <w:right w:val="single" w:color="auto" w:sz="4" w:space="0"/>
            </w:tcBorders>
            <w:noWrap/>
            <w:vAlign w:val="center"/>
          </w:tcPr>
          <w:p w14:paraId="210A773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298C2245">
            <w:pPr>
              <w:pStyle w:val="109"/>
              <w:rPr>
                <w:color w:val="000000" w:themeColor="text1"/>
                <w14:textFill>
                  <w14:solidFill>
                    <w14:schemeClr w14:val="tx1"/>
                  </w14:solidFill>
                </w14:textFill>
              </w:rPr>
            </w:pPr>
            <w:r>
              <w:rPr>
                <w:color w:val="000000" w:themeColor="text1"/>
                <w14:textFill>
                  <w14:solidFill>
                    <w14:schemeClr w14:val="tx1"/>
                  </w14:solidFill>
                </w14:textFill>
              </w:rPr>
              <w:t>0.25</w:t>
            </w:r>
          </w:p>
        </w:tc>
        <w:tc>
          <w:tcPr>
            <w:tcW w:w="1469" w:type="pct"/>
            <w:vMerge w:val="continue"/>
            <w:tcBorders>
              <w:top w:val="nil"/>
              <w:left w:val="single" w:color="auto" w:sz="4" w:space="0"/>
              <w:bottom w:val="single" w:color="auto" w:sz="4" w:space="0"/>
              <w:right w:val="single" w:color="auto" w:sz="4" w:space="0"/>
            </w:tcBorders>
            <w:vAlign w:val="center"/>
          </w:tcPr>
          <w:p w14:paraId="000B67C5">
            <w:pPr>
              <w:pStyle w:val="109"/>
              <w:rPr>
                <w:color w:val="000000" w:themeColor="text1"/>
                <w14:textFill>
                  <w14:solidFill>
                    <w14:schemeClr w14:val="tx1"/>
                  </w14:solidFill>
                </w14:textFill>
              </w:rPr>
            </w:pPr>
          </w:p>
        </w:tc>
      </w:tr>
      <w:tr w14:paraId="39617ACF">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0889E650">
            <w:pPr>
              <w:pStyle w:val="109"/>
              <w:rPr>
                <w:color w:val="000000" w:themeColor="text1"/>
                <w14:textFill>
                  <w14:solidFill>
                    <w14:schemeClr w14:val="tx1"/>
                  </w14:solidFill>
                </w14:textFill>
              </w:rPr>
            </w:pPr>
            <w:r>
              <w:rPr>
                <w:color w:val="000000" w:themeColor="text1"/>
                <w14:textFill>
                  <w14:solidFill>
                    <w14:schemeClr w14:val="tx1"/>
                  </w14:solidFill>
                </w14:textFill>
              </w:rPr>
              <w:t>26</w:t>
            </w:r>
          </w:p>
        </w:tc>
        <w:tc>
          <w:tcPr>
            <w:tcW w:w="1392" w:type="pct"/>
            <w:tcBorders>
              <w:top w:val="nil"/>
              <w:left w:val="nil"/>
              <w:bottom w:val="single" w:color="auto" w:sz="4" w:space="0"/>
              <w:right w:val="single" w:color="auto" w:sz="4" w:space="0"/>
            </w:tcBorders>
            <w:noWrap/>
            <w:vAlign w:val="center"/>
          </w:tcPr>
          <w:p w14:paraId="2D5550A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氯苯 </w:t>
            </w:r>
          </w:p>
        </w:tc>
        <w:tc>
          <w:tcPr>
            <w:tcW w:w="563" w:type="pct"/>
            <w:tcBorders>
              <w:top w:val="nil"/>
              <w:left w:val="nil"/>
              <w:bottom w:val="single" w:color="auto" w:sz="4" w:space="0"/>
              <w:right w:val="single" w:color="auto" w:sz="4" w:space="0"/>
            </w:tcBorders>
            <w:noWrap/>
            <w:vAlign w:val="center"/>
          </w:tcPr>
          <w:p w14:paraId="3D04A68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7674A2C3">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469" w:type="pct"/>
            <w:vMerge w:val="continue"/>
            <w:tcBorders>
              <w:top w:val="nil"/>
              <w:left w:val="single" w:color="auto" w:sz="4" w:space="0"/>
              <w:bottom w:val="single" w:color="auto" w:sz="4" w:space="0"/>
              <w:right w:val="single" w:color="auto" w:sz="4" w:space="0"/>
            </w:tcBorders>
            <w:vAlign w:val="center"/>
          </w:tcPr>
          <w:p w14:paraId="7395155D">
            <w:pPr>
              <w:pStyle w:val="109"/>
              <w:rPr>
                <w:color w:val="000000" w:themeColor="text1"/>
                <w14:textFill>
                  <w14:solidFill>
                    <w14:schemeClr w14:val="tx1"/>
                  </w14:solidFill>
                </w14:textFill>
              </w:rPr>
            </w:pPr>
          </w:p>
        </w:tc>
      </w:tr>
      <w:tr w14:paraId="7A99768B">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6BB131EF">
            <w:pPr>
              <w:pStyle w:val="109"/>
              <w:rPr>
                <w:color w:val="000000" w:themeColor="text1"/>
                <w14:textFill>
                  <w14:solidFill>
                    <w14:schemeClr w14:val="tx1"/>
                  </w14:solidFill>
                </w14:textFill>
              </w:rPr>
            </w:pPr>
            <w:r>
              <w:rPr>
                <w:color w:val="000000" w:themeColor="text1"/>
                <w14:textFill>
                  <w14:solidFill>
                    <w14:schemeClr w14:val="tx1"/>
                  </w14:solidFill>
                </w14:textFill>
              </w:rPr>
              <w:t>27</w:t>
            </w:r>
          </w:p>
        </w:tc>
        <w:tc>
          <w:tcPr>
            <w:tcW w:w="1392" w:type="pct"/>
            <w:tcBorders>
              <w:top w:val="nil"/>
              <w:left w:val="nil"/>
              <w:bottom w:val="single" w:color="auto" w:sz="4" w:space="0"/>
              <w:right w:val="single" w:color="auto" w:sz="4" w:space="0"/>
            </w:tcBorders>
            <w:noWrap/>
            <w:vAlign w:val="center"/>
          </w:tcPr>
          <w:p w14:paraId="07D59CC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苯胺 </w:t>
            </w:r>
          </w:p>
        </w:tc>
        <w:tc>
          <w:tcPr>
            <w:tcW w:w="563" w:type="pct"/>
            <w:tcBorders>
              <w:top w:val="nil"/>
              <w:left w:val="nil"/>
              <w:bottom w:val="single" w:color="auto" w:sz="4" w:space="0"/>
              <w:right w:val="single" w:color="auto" w:sz="4" w:space="0"/>
            </w:tcBorders>
            <w:noWrap/>
            <w:vAlign w:val="center"/>
          </w:tcPr>
          <w:p w14:paraId="28EB669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69CA82F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469" w:type="pct"/>
            <w:vMerge w:val="continue"/>
            <w:tcBorders>
              <w:top w:val="nil"/>
              <w:left w:val="single" w:color="auto" w:sz="4" w:space="0"/>
              <w:bottom w:val="single" w:color="auto" w:sz="4" w:space="0"/>
              <w:right w:val="single" w:color="auto" w:sz="4" w:space="0"/>
            </w:tcBorders>
            <w:vAlign w:val="center"/>
          </w:tcPr>
          <w:p w14:paraId="190F4A13">
            <w:pPr>
              <w:pStyle w:val="109"/>
              <w:rPr>
                <w:color w:val="000000" w:themeColor="text1"/>
                <w14:textFill>
                  <w14:solidFill>
                    <w14:schemeClr w14:val="tx1"/>
                  </w14:solidFill>
                </w14:textFill>
              </w:rPr>
            </w:pPr>
          </w:p>
        </w:tc>
      </w:tr>
      <w:tr w14:paraId="64A59820">
        <w:tblPrEx>
          <w:tblCellMar>
            <w:top w:w="0" w:type="dxa"/>
            <w:left w:w="108" w:type="dxa"/>
            <w:bottom w:w="0" w:type="dxa"/>
            <w:right w:w="108" w:type="dxa"/>
          </w:tblCellMar>
        </w:tblPrEx>
        <w:trPr>
          <w:trHeight w:val="276" w:hRule="atLeast"/>
        </w:trPr>
        <w:tc>
          <w:tcPr>
            <w:tcW w:w="533" w:type="pct"/>
            <w:tcBorders>
              <w:top w:val="nil"/>
              <w:left w:val="single" w:color="auto" w:sz="4" w:space="0"/>
              <w:bottom w:val="single" w:color="auto" w:sz="4" w:space="0"/>
              <w:right w:val="single" w:color="auto" w:sz="4" w:space="0"/>
            </w:tcBorders>
            <w:noWrap/>
            <w:vAlign w:val="center"/>
          </w:tcPr>
          <w:p w14:paraId="6C65A2D0">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392" w:type="pct"/>
            <w:tcBorders>
              <w:top w:val="nil"/>
              <w:left w:val="nil"/>
              <w:bottom w:val="single" w:color="auto" w:sz="4" w:space="0"/>
              <w:right w:val="single" w:color="auto" w:sz="4" w:space="0"/>
            </w:tcBorders>
            <w:noWrap/>
            <w:vAlign w:val="center"/>
          </w:tcPr>
          <w:p w14:paraId="1223EA3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吡啶 </w:t>
            </w:r>
          </w:p>
        </w:tc>
        <w:tc>
          <w:tcPr>
            <w:tcW w:w="563" w:type="pct"/>
            <w:tcBorders>
              <w:top w:val="nil"/>
              <w:left w:val="nil"/>
              <w:bottom w:val="single" w:color="auto" w:sz="4" w:space="0"/>
              <w:right w:val="single" w:color="auto" w:sz="4" w:space="0"/>
            </w:tcBorders>
            <w:noWrap/>
            <w:vAlign w:val="center"/>
          </w:tcPr>
          <w:p w14:paraId="06DC318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044" w:type="pct"/>
            <w:tcBorders>
              <w:top w:val="nil"/>
              <w:left w:val="nil"/>
              <w:bottom w:val="single" w:color="auto" w:sz="4" w:space="0"/>
              <w:right w:val="single" w:color="auto" w:sz="4" w:space="0"/>
            </w:tcBorders>
            <w:noWrap/>
            <w:vAlign w:val="center"/>
          </w:tcPr>
          <w:p w14:paraId="48656FDF">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469" w:type="pct"/>
            <w:vMerge w:val="continue"/>
            <w:tcBorders>
              <w:top w:val="nil"/>
              <w:left w:val="single" w:color="auto" w:sz="4" w:space="0"/>
              <w:bottom w:val="single" w:color="auto" w:sz="4" w:space="0"/>
              <w:right w:val="single" w:color="auto" w:sz="4" w:space="0"/>
            </w:tcBorders>
            <w:vAlign w:val="center"/>
          </w:tcPr>
          <w:p w14:paraId="768197B3">
            <w:pPr>
              <w:pStyle w:val="109"/>
              <w:rPr>
                <w:color w:val="000000" w:themeColor="text1"/>
                <w14:textFill>
                  <w14:solidFill>
                    <w14:schemeClr w14:val="tx1"/>
                  </w14:solidFill>
                </w14:textFill>
              </w:rPr>
            </w:pPr>
          </w:p>
        </w:tc>
      </w:tr>
      <w:tr w14:paraId="3F6CE274">
        <w:tblPrEx>
          <w:tblCellMar>
            <w:top w:w="0" w:type="dxa"/>
            <w:left w:w="108" w:type="dxa"/>
            <w:bottom w:w="0" w:type="dxa"/>
            <w:right w:w="108" w:type="dxa"/>
          </w:tblCellMar>
        </w:tblPrEx>
        <w:trPr>
          <w:trHeight w:val="276" w:hRule="atLeast"/>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3FC9E542">
            <w:pPr>
              <w:pStyle w:val="109"/>
              <w:rPr>
                <w:color w:val="000000" w:themeColor="text1"/>
                <w14:textFill>
                  <w14:solidFill>
                    <w14:schemeClr w14:val="tx1"/>
                  </w14:solidFill>
                </w14:textFill>
              </w:rPr>
            </w:pPr>
            <w:r>
              <w:rPr>
                <w:color w:val="000000" w:themeColor="text1"/>
                <w14:textFill>
                  <w14:solidFill>
                    <w14:schemeClr w14:val="tx1"/>
                  </w14:solidFill>
                </w14:textFill>
              </w:rPr>
              <w:t>注：该限值为 100g待测盐样品溶解于 1L水中的监测数据。</w:t>
            </w:r>
          </w:p>
        </w:tc>
      </w:tr>
    </w:tbl>
    <w:p w14:paraId="163015C7">
      <w:pPr>
        <w:ind w:firstLine="480"/>
        <w:rPr>
          <w:color w:val="000000" w:themeColor="text1"/>
          <w14:textFill>
            <w14:solidFill>
              <w14:schemeClr w14:val="tx1"/>
            </w14:solidFill>
          </w14:textFill>
        </w:rPr>
      </w:pPr>
    </w:p>
    <w:p w14:paraId="4F384EF0">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再生硫酸钠产品质量控制项目限值</w:t>
      </w:r>
    </w:p>
    <w:tbl>
      <w:tblPr>
        <w:tblStyle w:val="76"/>
        <w:tblW w:w="9336" w:type="dxa"/>
        <w:tblInd w:w="0" w:type="dxa"/>
        <w:tblLayout w:type="autofit"/>
        <w:tblCellMar>
          <w:top w:w="0" w:type="dxa"/>
          <w:left w:w="108" w:type="dxa"/>
          <w:bottom w:w="0" w:type="dxa"/>
          <w:right w:w="108" w:type="dxa"/>
        </w:tblCellMar>
      </w:tblPr>
      <w:tblGrid>
        <w:gridCol w:w="3681"/>
        <w:gridCol w:w="708"/>
        <w:gridCol w:w="8"/>
        <w:gridCol w:w="1268"/>
        <w:gridCol w:w="8"/>
        <w:gridCol w:w="1268"/>
        <w:gridCol w:w="8"/>
        <w:gridCol w:w="2379"/>
        <w:gridCol w:w="8"/>
      </w:tblGrid>
      <w:tr w14:paraId="4DBB68EE">
        <w:tblPrEx>
          <w:tblCellMar>
            <w:top w:w="0" w:type="dxa"/>
            <w:left w:w="108" w:type="dxa"/>
            <w:bottom w:w="0" w:type="dxa"/>
            <w:right w:w="108" w:type="dxa"/>
          </w:tblCellMar>
        </w:tblPrEx>
        <w:trPr>
          <w:trHeight w:val="276" w:hRule="atLeast"/>
        </w:trPr>
        <w:tc>
          <w:tcPr>
            <w:tcW w:w="4397" w:type="dxa"/>
            <w:gridSpan w:val="3"/>
            <w:vMerge w:val="restart"/>
            <w:tcBorders>
              <w:top w:val="single" w:color="auto" w:sz="4" w:space="0"/>
              <w:left w:val="single" w:color="auto" w:sz="4" w:space="0"/>
              <w:bottom w:val="single" w:color="auto" w:sz="4" w:space="0"/>
              <w:right w:val="single" w:color="auto" w:sz="4" w:space="0"/>
            </w:tcBorders>
            <w:noWrap/>
            <w:vAlign w:val="center"/>
          </w:tcPr>
          <w:p w14:paraId="3E391C03">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2552" w:type="dxa"/>
            <w:gridSpan w:val="4"/>
            <w:tcBorders>
              <w:top w:val="single" w:color="auto" w:sz="4" w:space="0"/>
              <w:left w:val="nil"/>
              <w:bottom w:val="single" w:color="auto" w:sz="4" w:space="0"/>
              <w:right w:val="single" w:color="auto" w:sz="4" w:space="0"/>
            </w:tcBorders>
            <w:noWrap/>
            <w:vAlign w:val="center"/>
          </w:tcPr>
          <w:p w14:paraId="2FF47C3A">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2387" w:type="dxa"/>
            <w:gridSpan w:val="2"/>
            <w:vMerge w:val="restart"/>
            <w:tcBorders>
              <w:top w:val="single" w:color="auto" w:sz="4" w:space="0"/>
              <w:left w:val="single" w:color="auto" w:sz="4" w:space="0"/>
              <w:bottom w:val="single" w:color="auto" w:sz="4" w:space="0"/>
              <w:right w:val="single" w:color="auto" w:sz="4" w:space="0"/>
            </w:tcBorders>
            <w:noWrap/>
            <w:vAlign w:val="center"/>
          </w:tcPr>
          <w:p w14:paraId="514E8E71">
            <w:pPr>
              <w:pStyle w:val="109"/>
              <w:rPr>
                <w:color w:val="000000" w:themeColor="text1"/>
                <w14:textFill>
                  <w14:solidFill>
                    <w14:schemeClr w14:val="tx1"/>
                  </w14:solidFill>
                </w14:textFill>
              </w:rPr>
            </w:pPr>
            <w:r>
              <w:rPr>
                <w:color w:val="000000" w:themeColor="text1"/>
                <w14:textFill>
                  <w14:solidFill>
                    <w14:schemeClr w14:val="tx1"/>
                  </w14:solidFill>
                </w14:textFill>
              </w:rPr>
              <w:t>来源</w:t>
            </w:r>
          </w:p>
        </w:tc>
      </w:tr>
      <w:tr w14:paraId="3601438C">
        <w:tblPrEx>
          <w:tblCellMar>
            <w:top w:w="0" w:type="dxa"/>
            <w:left w:w="108" w:type="dxa"/>
            <w:bottom w:w="0" w:type="dxa"/>
            <w:right w:w="108" w:type="dxa"/>
          </w:tblCellMar>
        </w:tblPrEx>
        <w:trPr>
          <w:trHeight w:val="276" w:hRule="atLeast"/>
        </w:trPr>
        <w:tc>
          <w:tcPr>
            <w:tcW w:w="4397" w:type="dxa"/>
            <w:gridSpan w:val="3"/>
            <w:vMerge w:val="continue"/>
            <w:tcBorders>
              <w:top w:val="single" w:color="auto" w:sz="4" w:space="0"/>
              <w:left w:val="single" w:color="auto" w:sz="4" w:space="0"/>
              <w:bottom w:val="single" w:color="auto" w:sz="4" w:space="0"/>
              <w:right w:val="single" w:color="auto" w:sz="4" w:space="0"/>
            </w:tcBorders>
            <w:vAlign w:val="center"/>
          </w:tcPr>
          <w:p w14:paraId="29B5512C">
            <w:pPr>
              <w:pStyle w:val="109"/>
              <w:rPr>
                <w:color w:val="000000" w:themeColor="text1"/>
                <w14:textFill>
                  <w14:solidFill>
                    <w14:schemeClr w14:val="tx1"/>
                  </w14:solidFill>
                </w14:textFill>
              </w:rPr>
            </w:pPr>
          </w:p>
        </w:tc>
        <w:tc>
          <w:tcPr>
            <w:tcW w:w="1276" w:type="dxa"/>
            <w:gridSpan w:val="2"/>
            <w:tcBorders>
              <w:top w:val="nil"/>
              <w:left w:val="nil"/>
              <w:bottom w:val="single" w:color="auto" w:sz="4" w:space="0"/>
              <w:right w:val="single" w:color="auto" w:sz="4" w:space="0"/>
            </w:tcBorders>
            <w:noWrap/>
            <w:vAlign w:val="center"/>
          </w:tcPr>
          <w:p w14:paraId="2BF7CF3D">
            <w:pPr>
              <w:pStyle w:val="109"/>
              <w:rPr>
                <w:color w:val="000000" w:themeColor="text1"/>
                <w14:textFill>
                  <w14:solidFill>
                    <w14:schemeClr w14:val="tx1"/>
                  </w14:solidFill>
                </w14:textFill>
              </w:rPr>
            </w:pPr>
            <w:r>
              <w:rPr>
                <w:color w:val="000000" w:themeColor="text1"/>
                <w14:textFill>
                  <w14:solidFill>
                    <w14:schemeClr w14:val="tx1"/>
                  </w14:solidFill>
                </w14:textFill>
              </w:rPr>
              <w:t>工业硫酸钠</w:t>
            </w:r>
          </w:p>
        </w:tc>
        <w:tc>
          <w:tcPr>
            <w:tcW w:w="1276" w:type="dxa"/>
            <w:gridSpan w:val="2"/>
            <w:tcBorders>
              <w:top w:val="nil"/>
              <w:left w:val="nil"/>
              <w:bottom w:val="single" w:color="auto" w:sz="4" w:space="0"/>
              <w:right w:val="single" w:color="auto" w:sz="4" w:space="0"/>
            </w:tcBorders>
            <w:noWrap/>
            <w:vAlign w:val="center"/>
          </w:tcPr>
          <w:p w14:paraId="5CD63139">
            <w:pPr>
              <w:pStyle w:val="109"/>
              <w:rPr>
                <w:color w:val="000000" w:themeColor="text1"/>
                <w14:textFill>
                  <w14:solidFill>
                    <w14:schemeClr w14:val="tx1"/>
                  </w14:solidFill>
                </w14:textFill>
              </w:rPr>
            </w:pPr>
            <w:r>
              <w:rPr>
                <w:color w:val="000000" w:themeColor="text1"/>
                <w14:textFill>
                  <w14:solidFill>
                    <w14:schemeClr w14:val="tx1"/>
                  </w14:solidFill>
                </w14:textFill>
              </w:rPr>
              <w:t>印染用盐</w:t>
            </w:r>
          </w:p>
        </w:tc>
        <w:tc>
          <w:tcPr>
            <w:tcW w:w="2387" w:type="dxa"/>
            <w:gridSpan w:val="2"/>
            <w:vMerge w:val="continue"/>
            <w:tcBorders>
              <w:top w:val="single" w:color="auto" w:sz="4" w:space="0"/>
              <w:left w:val="single" w:color="auto" w:sz="4" w:space="0"/>
              <w:bottom w:val="single" w:color="auto" w:sz="4" w:space="0"/>
              <w:right w:val="single" w:color="auto" w:sz="4" w:space="0"/>
            </w:tcBorders>
            <w:vAlign w:val="center"/>
          </w:tcPr>
          <w:p w14:paraId="202B3E49">
            <w:pPr>
              <w:pStyle w:val="109"/>
              <w:rPr>
                <w:color w:val="000000" w:themeColor="text1"/>
                <w14:textFill>
                  <w14:solidFill>
                    <w14:schemeClr w14:val="tx1"/>
                  </w14:solidFill>
                </w14:textFill>
              </w:rPr>
            </w:pPr>
          </w:p>
        </w:tc>
      </w:tr>
      <w:tr w14:paraId="5C2E46D1">
        <w:tblPrEx>
          <w:tblCellMar>
            <w:top w:w="0" w:type="dxa"/>
            <w:left w:w="108" w:type="dxa"/>
            <w:bottom w:w="0" w:type="dxa"/>
            <w:right w:w="108" w:type="dxa"/>
          </w:tblCellMar>
        </w:tblPrEx>
        <w:trPr>
          <w:gridAfter w:val="1"/>
          <w:wAfter w:w="8" w:type="dxa"/>
          <w:trHeight w:val="276" w:hRule="atLeast"/>
        </w:trPr>
        <w:tc>
          <w:tcPr>
            <w:tcW w:w="3681" w:type="dxa"/>
            <w:tcBorders>
              <w:top w:val="nil"/>
              <w:left w:val="single" w:color="auto" w:sz="4" w:space="0"/>
              <w:bottom w:val="single" w:color="auto" w:sz="4" w:space="0"/>
              <w:right w:val="single" w:color="auto" w:sz="4" w:space="0"/>
            </w:tcBorders>
            <w:noWrap/>
            <w:vAlign w:val="center"/>
          </w:tcPr>
          <w:p w14:paraId="6989213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硫酸钠 w/% </w:t>
            </w:r>
          </w:p>
        </w:tc>
        <w:tc>
          <w:tcPr>
            <w:tcW w:w="708" w:type="dxa"/>
            <w:tcBorders>
              <w:top w:val="nil"/>
              <w:left w:val="nil"/>
              <w:bottom w:val="single" w:color="auto" w:sz="4" w:space="0"/>
              <w:right w:val="single" w:color="auto" w:sz="4" w:space="0"/>
            </w:tcBorders>
            <w:noWrap/>
            <w:vAlign w:val="center"/>
          </w:tcPr>
          <w:p w14:paraId="4CCBD5C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42D61AB9">
            <w:pPr>
              <w:pStyle w:val="109"/>
              <w:rPr>
                <w:color w:val="000000" w:themeColor="text1"/>
                <w14:textFill>
                  <w14:solidFill>
                    <w14:schemeClr w14:val="tx1"/>
                  </w14:solidFill>
                </w14:textFill>
              </w:rPr>
            </w:pPr>
            <w:r>
              <w:rPr>
                <w:color w:val="000000" w:themeColor="text1"/>
                <w14:textFill>
                  <w14:solidFill>
                    <w14:schemeClr w14:val="tx1"/>
                  </w14:solidFill>
                </w14:textFill>
              </w:rPr>
              <w:t>98</w:t>
            </w:r>
          </w:p>
        </w:tc>
        <w:tc>
          <w:tcPr>
            <w:tcW w:w="1276" w:type="dxa"/>
            <w:gridSpan w:val="2"/>
            <w:tcBorders>
              <w:top w:val="nil"/>
              <w:left w:val="nil"/>
              <w:bottom w:val="single" w:color="auto" w:sz="4" w:space="0"/>
              <w:right w:val="single" w:color="auto" w:sz="4" w:space="0"/>
            </w:tcBorders>
            <w:noWrap/>
            <w:vAlign w:val="center"/>
          </w:tcPr>
          <w:p w14:paraId="2ACC11B6">
            <w:pPr>
              <w:pStyle w:val="109"/>
              <w:rPr>
                <w:color w:val="000000" w:themeColor="text1"/>
                <w14:textFill>
                  <w14:solidFill>
                    <w14:schemeClr w14:val="tx1"/>
                  </w14:solidFill>
                </w14:textFill>
              </w:rPr>
            </w:pPr>
            <w:r>
              <w:rPr>
                <w:color w:val="000000" w:themeColor="text1"/>
                <w14:textFill>
                  <w14:solidFill>
                    <w14:schemeClr w14:val="tx1"/>
                  </w14:solidFill>
                </w14:textFill>
              </w:rPr>
              <w:t>98*</w:t>
            </w:r>
          </w:p>
        </w:tc>
        <w:tc>
          <w:tcPr>
            <w:tcW w:w="2387" w:type="dxa"/>
            <w:gridSpan w:val="2"/>
            <w:vMerge w:val="restart"/>
            <w:tcBorders>
              <w:top w:val="nil"/>
              <w:left w:val="single" w:color="auto" w:sz="4" w:space="0"/>
              <w:bottom w:val="single" w:color="auto" w:sz="4" w:space="0"/>
              <w:right w:val="single" w:color="auto" w:sz="4" w:space="0"/>
            </w:tcBorders>
            <w:noWrap/>
            <w:vAlign w:val="center"/>
          </w:tcPr>
          <w:p w14:paraId="71D0392C">
            <w:pPr>
              <w:pStyle w:val="109"/>
              <w:rPr>
                <w:color w:val="000000" w:themeColor="text1"/>
                <w14:textFill>
                  <w14:solidFill>
                    <w14:schemeClr w14:val="tx1"/>
                  </w14:solidFill>
                </w14:textFill>
              </w:rPr>
            </w:pPr>
            <w:r>
              <w:rPr>
                <w:color w:val="000000" w:themeColor="text1"/>
                <w14:textFill>
                  <w14:solidFill>
                    <w14:schemeClr w14:val="tx1"/>
                  </w14:solidFill>
                </w14:textFill>
              </w:rPr>
              <w:t>《再生工业盐硫酸钠》（ T/ZGZS 0303-2023）</w:t>
            </w:r>
          </w:p>
        </w:tc>
      </w:tr>
      <w:tr w14:paraId="5E86AAC3">
        <w:tblPrEx>
          <w:tblCellMar>
            <w:top w:w="0" w:type="dxa"/>
            <w:left w:w="108" w:type="dxa"/>
            <w:bottom w:w="0" w:type="dxa"/>
            <w:right w:w="108" w:type="dxa"/>
          </w:tblCellMar>
        </w:tblPrEx>
        <w:trPr>
          <w:gridAfter w:val="1"/>
          <w:wAfter w:w="8" w:type="dxa"/>
          <w:trHeight w:val="276" w:hRule="atLeast"/>
        </w:trPr>
        <w:tc>
          <w:tcPr>
            <w:tcW w:w="3681" w:type="dxa"/>
            <w:tcBorders>
              <w:top w:val="nil"/>
              <w:left w:val="single" w:color="auto" w:sz="4" w:space="0"/>
              <w:bottom w:val="single" w:color="auto" w:sz="4" w:space="0"/>
              <w:right w:val="single" w:color="auto" w:sz="4" w:space="0"/>
            </w:tcBorders>
            <w:noWrap/>
            <w:vAlign w:val="center"/>
          </w:tcPr>
          <w:p w14:paraId="765FA74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水不溶物 w/% </w:t>
            </w:r>
          </w:p>
        </w:tc>
        <w:tc>
          <w:tcPr>
            <w:tcW w:w="708" w:type="dxa"/>
            <w:tcBorders>
              <w:top w:val="nil"/>
              <w:left w:val="nil"/>
              <w:bottom w:val="single" w:color="auto" w:sz="4" w:space="0"/>
              <w:right w:val="single" w:color="auto" w:sz="4" w:space="0"/>
            </w:tcBorders>
            <w:noWrap/>
            <w:vAlign w:val="center"/>
          </w:tcPr>
          <w:p w14:paraId="4EA02E9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7228703B">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76" w:type="dxa"/>
            <w:gridSpan w:val="2"/>
            <w:tcBorders>
              <w:top w:val="nil"/>
              <w:left w:val="nil"/>
              <w:bottom w:val="single" w:color="auto" w:sz="4" w:space="0"/>
              <w:right w:val="single" w:color="auto" w:sz="4" w:space="0"/>
            </w:tcBorders>
            <w:noWrap/>
            <w:vAlign w:val="center"/>
          </w:tcPr>
          <w:p w14:paraId="146680AC">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2387" w:type="dxa"/>
            <w:gridSpan w:val="2"/>
            <w:vMerge w:val="continue"/>
            <w:tcBorders>
              <w:top w:val="nil"/>
              <w:left w:val="single" w:color="auto" w:sz="4" w:space="0"/>
              <w:bottom w:val="single" w:color="auto" w:sz="4" w:space="0"/>
              <w:right w:val="single" w:color="auto" w:sz="4" w:space="0"/>
            </w:tcBorders>
            <w:vAlign w:val="center"/>
          </w:tcPr>
          <w:p w14:paraId="3B62F610">
            <w:pPr>
              <w:pStyle w:val="109"/>
              <w:rPr>
                <w:color w:val="000000" w:themeColor="text1"/>
                <w14:textFill>
                  <w14:solidFill>
                    <w14:schemeClr w14:val="tx1"/>
                  </w14:solidFill>
                </w14:textFill>
              </w:rPr>
            </w:pPr>
          </w:p>
        </w:tc>
      </w:tr>
      <w:tr w14:paraId="66027895">
        <w:tblPrEx>
          <w:tblCellMar>
            <w:top w:w="0" w:type="dxa"/>
            <w:left w:w="108" w:type="dxa"/>
            <w:bottom w:w="0" w:type="dxa"/>
            <w:right w:w="108" w:type="dxa"/>
          </w:tblCellMar>
        </w:tblPrEx>
        <w:trPr>
          <w:gridAfter w:val="1"/>
          <w:wAfter w:w="8" w:type="dxa"/>
          <w:trHeight w:val="276" w:hRule="atLeast"/>
        </w:trPr>
        <w:tc>
          <w:tcPr>
            <w:tcW w:w="3681" w:type="dxa"/>
            <w:tcBorders>
              <w:top w:val="nil"/>
              <w:left w:val="single" w:color="auto" w:sz="4" w:space="0"/>
              <w:bottom w:val="single" w:color="auto" w:sz="4" w:space="0"/>
              <w:right w:val="single" w:color="auto" w:sz="4" w:space="0"/>
            </w:tcBorders>
            <w:noWrap/>
            <w:vAlign w:val="center"/>
          </w:tcPr>
          <w:p w14:paraId="6F51EAB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钙和镁 w/% </w:t>
            </w:r>
          </w:p>
        </w:tc>
        <w:tc>
          <w:tcPr>
            <w:tcW w:w="708" w:type="dxa"/>
            <w:tcBorders>
              <w:top w:val="nil"/>
              <w:left w:val="nil"/>
              <w:bottom w:val="single" w:color="auto" w:sz="4" w:space="0"/>
              <w:right w:val="single" w:color="auto" w:sz="4" w:space="0"/>
            </w:tcBorders>
            <w:noWrap/>
            <w:vAlign w:val="center"/>
          </w:tcPr>
          <w:p w14:paraId="34A602D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5FC89B58">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276" w:type="dxa"/>
            <w:gridSpan w:val="2"/>
            <w:tcBorders>
              <w:top w:val="nil"/>
              <w:left w:val="nil"/>
              <w:bottom w:val="single" w:color="auto" w:sz="4" w:space="0"/>
              <w:right w:val="single" w:color="auto" w:sz="4" w:space="0"/>
            </w:tcBorders>
            <w:noWrap/>
            <w:vAlign w:val="center"/>
          </w:tcPr>
          <w:p w14:paraId="2DFC6E9D">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2387" w:type="dxa"/>
            <w:gridSpan w:val="2"/>
            <w:vMerge w:val="continue"/>
            <w:tcBorders>
              <w:top w:val="nil"/>
              <w:left w:val="single" w:color="auto" w:sz="4" w:space="0"/>
              <w:bottom w:val="single" w:color="auto" w:sz="4" w:space="0"/>
              <w:right w:val="single" w:color="auto" w:sz="4" w:space="0"/>
            </w:tcBorders>
            <w:vAlign w:val="center"/>
          </w:tcPr>
          <w:p w14:paraId="482C493D">
            <w:pPr>
              <w:pStyle w:val="109"/>
              <w:rPr>
                <w:color w:val="000000" w:themeColor="text1"/>
                <w14:textFill>
                  <w14:solidFill>
                    <w14:schemeClr w14:val="tx1"/>
                  </w14:solidFill>
                </w14:textFill>
              </w:rPr>
            </w:pPr>
          </w:p>
        </w:tc>
      </w:tr>
      <w:tr w14:paraId="673D7DC6">
        <w:tblPrEx>
          <w:tblCellMar>
            <w:top w:w="0" w:type="dxa"/>
            <w:left w:w="108" w:type="dxa"/>
            <w:bottom w:w="0" w:type="dxa"/>
            <w:right w:w="108" w:type="dxa"/>
          </w:tblCellMar>
        </w:tblPrEx>
        <w:trPr>
          <w:gridAfter w:val="1"/>
          <w:wAfter w:w="8" w:type="dxa"/>
          <w:trHeight w:val="276" w:hRule="atLeast"/>
        </w:trPr>
        <w:tc>
          <w:tcPr>
            <w:tcW w:w="3681" w:type="dxa"/>
            <w:tcBorders>
              <w:top w:val="nil"/>
              <w:left w:val="single" w:color="auto" w:sz="4" w:space="0"/>
              <w:bottom w:val="single" w:color="auto" w:sz="4" w:space="0"/>
              <w:right w:val="single" w:color="auto" w:sz="4" w:space="0"/>
            </w:tcBorders>
            <w:noWrap/>
            <w:vAlign w:val="center"/>
          </w:tcPr>
          <w:p w14:paraId="07D8DAA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氯化物 w/% </w:t>
            </w:r>
          </w:p>
        </w:tc>
        <w:tc>
          <w:tcPr>
            <w:tcW w:w="708" w:type="dxa"/>
            <w:tcBorders>
              <w:top w:val="nil"/>
              <w:left w:val="nil"/>
              <w:bottom w:val="single" w:color="auto" w:sz="4" w:space="0"/>
              <w:right w:val="single" w:color="auto" w:sz="4" w:space="0"/>
            </w:tcBorders>
            <w:noWrap/>
            <w:vAlign w:val="center"/>
          </w:tcPr>
          <w:p w14:paraId="2548E91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79223E6A">
            <w:pPr>
              <w:pStyle w:val="109"/>
              <w:rPr>
                <w:color w:val="000000" w:themeColor="text1"/>
                <w14:textFill>
                  <w14:solidFill>
                    <w14:schemeClr w14:val="tx1"/>
                  </w14:solidFill>
                </w14:textFill>
              </w:rPr>
            </w:pPr>
            <w:r>
              <w:rPr>
                <w:color w:val="000000" w:themeColor="text1"/>
                <w14:textFill>
                  <w14:solidFill>
                    <w14:schemeClr w14:val="tx1"/>
                  </w14:solidFill>
                </w14:textFill>
              </w:rPr>
              <w:t>0.7</w:t>
            </w:r>
          </w:p>
        </w:tc>
        <w:tc>
          <w:tcPr>
            <w:tcW w:w="1276" w:type="dxa"/>
            <w:gridSpan w:val="2"/>
            <w:tcBorders>
              <w:top w:val="nil"/>
              <w:left w:val="nil"/>
              <w:bottom w:val="single" w:color="auto" w:sz="4" w:space="0"/>
              <w:right w:val="single" w:color="auto" w:sz="4" w:space="0"/>
            </w:tcBorders>
            <w:noWrap/>
            <w:vAlign w:val="center"/>
          </w:tcPr>
          <w:p w14:paraId="31C1516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387" w:type="dxa"/>
            <w:gridSpan w:val="2"/>
            <w:vMerge w:val="continue"/>
            <w:tcBorders>
              <w:top w:val="nil"/>
              <w:left w:val="single" w:color="auto" w:sz="4" w:space="0"/>
              <w:bottom w:val="single" w:color="auto" w:sz="4" w:space="0"/>
              <w:right w:val="single" w:color="auto" w:sz="4" w:space="0"/>
            </w:tcBorders>
            <w:vAlign w:val="center"/>
          </w:tcPr>
          <w:p w14:paraId="605CE802">
            <w:pPr>
              <w:pStyle w:val="109"/>
              <w:rPr>
                <w:color w:val="000000" w:themeColor="text1"/>
                <w14:textFill>
                  <w14:solidFill>
                    <w14:schemeClr w14:val="tx1"/>
                  </w14:solidFill>
                </w14:textFill>
              </w:rPr>
            </w:pPr>
          </w:p>
        </w:tc>
      </w:tr>
      <w:tr w14:paraId="417203C3">
        <w:tblPrEx>
          <w:tblCellMar>
            <w:top w:w="0" w:type="dxa"/>
            <w:left w:w="108" w:type="dxa"/>
            <w:bottom w:w="0" w:type="dxa"/>
            <w:right w:w="108" w:type="dxa"/>
          </w:tblCellMar>
        </w:tblPrEx>
        <w:trPr>
          <w:gridAfter w:val="1"/>
          <w:wAfter w:w="8" w:type="dxa"/>
          <w:trHeight w:val="276" w:hRule="atLeast"/>
        </w:trPr>
        <w:tc>
          <w:tcPr>
            <w:tcW w:w="3681" w:type="dxa"/>
            <w:tcBorders>
              <w:top w:val="nil"/>
              <w:left w:val="single" w:color="auto" w:sz="4" w:space="0"/>
              <w:bottom w:val="single" w:color="auto" w:sz="4" w:space="0"/>
              <w:right w:val="single" w:color="auto" w:sz="4" w:space="0"/>
            </w:tcBorders>
            <w:noWrap/>
            <w:vAlign w:val="center"/>
          </w:tcPr>
          <w:p w14:paraId="3D0F081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铁（以 Fe计） w/% </w:t>
            </w:r>
          </w:p>
        </w:tc>
        <w:tc>
          <w:tcPr>
            <w:tcW w:w="708" w:type="dxa"/>
            <w:tcBorders>
              <w:top w:val="nil"/>
              <w:left w:val="nil"/>
              <w:bottom w:val="single" w:color="auto" w:sz="4" w:space="0"/>
              <w:right w:val="single" w:color="auto" w:sz="4" w:space="0"/>
            </w:tcBorders>
            <w:noWrap/>
            <w:vAlign w:val="center"/>
          </w:tcPr>
          <w:p w14:paraId="04B6618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63C84598">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76" w:type="dxa"/>
            <w:gridSpan w:val="2"/>
            <w:tcBorders>
              <w:top w:val="nil"/>
              <w:left w:val="nil"/>
              <w:bottom w:val="single" w:color="auto" w:sz="4" w:space="0"/>
              <w:right w:val="single" w:color="auto" w:sz="4" w:space="0"/>
            </w:tcBorders>
            <w:noWrap/>
            <w:vAlign w:val="center"/>
          </w:tcPr>
          <w:p w14:paraId="1522B1FC">
            <w:pPr>
              <w:pStyle w:val="109"/>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2387" w:type="dxa"/>
            <w:gridSpan w:val="2"/>
            <w:vMerge w:val="continue"/>
            <w:tcBorders>
              <w:top w:val="nil"/>
              <w:left w:val="single" w:color="auto" w:sz="4" w:space="0"/>
              <w:bottom w:val="single" w:color="auto" w:sz="4" w:space="0"/>
              <w:right w:val="single" w:color="auto" w:sz="4" w:space="0"/>
            </w:tcBorders>
            <w:vAlign w:val="center"/>
          </w:tcPr>
          <w:p w14:paraId="6F12DB3F">
            <w:pPr>
              <w:pStyle w:val="109"/>
              <w:rPr>
                <w:color w:val="000000" w:themeColor="text1"/>
                <w14:textFill>
                  <w14:solidFill>
                    <w14:schemeClr w14:val="tx1"/>
                  </w14:solidFill>
                </w14:textFill>
              </w:rPr>
            </w:pPr>
          </w:p>
        </w:tc>
      </w:tr>
      <w:tr w14:paraId="2268DA3B">
        <w:tblPrEx>
          <w:tblCellMar>
            <w:top w:w="0" w:type="dxa"/>
            <w:left w:w="108" w:type="dxa"/>
            <w:bottom w:w="0" w:type="dxa"/>
            <w:right w:w="108" w:type="dxa"/>
          </w:tblCellMar>
        </w:tblPrEx>
        <w:trPr>
          <w:gridAfter w:val="1"/>
          <w:wAfter w:w="8" w:type="dxa"/>
          <w:trHeight w:val="276" w:hRule="atLeast"/>
        </w:trPr>
        <w:tc>
          <w:tcPr>
            <w:tcW w:w="3681" w:type="dxa"/>
            <w:tcBorders>
              <w:top w:val="nil"/>
              <w:left w:val="single" w:color="auto" w:sz="4" w:space="0"/>
              <w:bottom w:val="single" w:color="auto" w:sz="4" w:space="0"/>
              <w:right w:val="single" w:color="auto" w:sz="4" w:space="0"/>
            </w:tcBorders>
            <w:noWrap/>
            <w:vAlign w:val="center"/>
          </w:tcPr>
          <w:p w14:paraId="4E071DB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水分 w/% </w:t>
            </w:r>
          </w:p>
        </w:tc>
        <w:tc>
          <w:tcPr>
            <w:tcW w:w="708" w:type="dxa"/>
            <w:tcBorders>
              <w:top w:val="nil"/>
              <w:left w:val="nil"/>
              <w:bottom w:val="single" w:color="auto" w:sz="4" w:space="0"/>
              <w:right w:val="single" w:color="auto" w:sz="4" w:space="0"/>
            </w:tcBorders>
            <w:noWrap/>
            <w:vAlign w:val="center"/>
          </w:tcPr>
          <w:p w14:paraId="020ADE9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76098DFB">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76" w:type="dxa"/>
            <w:gridSpan w:val="2"/>
            <w:tcBorders>
              <w:top w:val="nil"/>
              <w:left w:val="nil"/>
              <w:bottom w:val="single" w:color="auto" w:sz="4" w:space="0"/>
              <w:right w:val="single" w:color="auto" w:sz="4" w:space="0"/>
            </w:tcBorders>
            <w:noWrap/>
            <w:vAlign w:val="center"/>
          </w:tcPr>
          <w:p w14:paraId="6798DB8E">
            <w:pPr>
              <w:pStyle w:val="109"/>
              <w:rPr>
                <w:color w:val="000000" w:themeColor="text1"/>
                <w14:textFill>
                  <w14:solidFill>
                    <w14:schemeClr w14:val="tx1"/>
                  </w14:solidFill>
                </w14:textFill>
              </w:rPr>
            </w:pPr>
            <w:r>
              <w:rPr>
                <w:color w:val="000000" w:themeColor="text1"/>
                <w14:textFill>
                  <w14:solidFill>
                    <w14:schemeClr w14:val="tx1"/>
                  </w14:solidFill>
                </w14:textFill>
              </w:rPr>
              <w:t>0.8</w:t>
            </w:r>
          </w:p>
        </w:tc>
        <w:tc>
          <w:tcPr>
            <w:tcW w:w="2387" w:type="dxa"/>
            <w:gridSpan w:val="2"/>
            <w:vMerge w:val="continue"/>
            <w:tcBorders>
              <w:top w:val="nil"/>
              <w:left w:val="single" w:color="auto" w:sz="4" w:space="0"/>
              <w:bottom w:val="single" w:color="auto" w:sz="4" w:space="0"/>
              <w:right w:val="single" w:color="auto" w:sz="4" w:space="0"/>
            </w:tcBorders>
            <w:vAlign w:val="center"/>
          </w:tcPr>
          <w:p w14:paraId="6E2BD3CA">
            <w:pPr>
              <w:pStyle w:val="109"/>
              <w:rPr>
                <w:color w:val="000000" w:themeColor="text1"/>
                <w14:textFill>
                  <w14:solidFill>
                    <w14:schemeClr w14:val="tx1"/>
                  </w14:solidFill>
                </w14:textFill>
              </w:rPr>
            </w:pPr>
          </w:p>
        </w:tc>
      </w:tr>
      <w:tr w14:paraId="002AA2DE">
        <w:tblPrEx>
          <w:tblCellMar>
            <w:top w:w="0" w:type="dxa"/>
            <w:left w:w="108" w:type="dxa"/>
            <w:bottom w:w="0" w:type="dxa"/>
            <w:right w:w="108" w:type="dxa"/>
          </w:tblCellMar>
        </w:tblPrEx>
        <w:trPr>
          <w:gridAfter w:val="1"/>
          <w:wAfter w:w="8" w:type="dxa"/>
          <w:trHeight w:val="276" w:hRule="atLeast"/>
        </w:trPr>
        <w:tc>
          <w:tcPr>
            <w:tcW w:w="3681" w:type="dxa"/>
            <w:tcBorders>
              <w:top w:val="nil"/>
              <w:left w:val="single" w:color="auto" w:sz="4" w:space="0"/>
              <w:bottom w:val="single" w:color="auto" w:sz="4" w:space="0"/>
              <w:right w:val="single" w:color="auto" w:sz="4" w:space="0"/>
            </w:tcBorders>
            <w:noWrap/>
            <w:vAlign w:val="center"/>
          </w:tcPr>
          <w:p w14:paraId="2B88C80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白度（ R457）w/% </w:t>
            </w:r>
          </w:p>
        </w:tc>
        <w:tc>
          <w:tcPr>
            <w:tcW w:w="708" w:type="dxa"/>
            <w:tcBorders>
              <w:top w:val="nil"/>
              <w:left w:val="nil"/>
              <w:bottom w:val="single" w:color="auto" w:sz="4" w:space="0"/>
              <w:right w:val="single" w:color="auto" w:sz="4" w:space="0"/>
            </w:tcBorders>
            <w:noWrap/>
            <w:vAlign w:val="center"/>
          </w:tcPr>
          <w:p w14:paraId="396D752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37351CA2">
            <w:pPr>
              <w:pStyle w:val="109"/>
              <w:rPr>
                <w:color w:val="000000" w:themeColor="text1"/>
                <w14:textFill>
                  <w14:solidFill>
                    <w14:schemeClr w14:val="tx1"/>
                  </w14:solidFill>
                </w14:textFill>
              </w:rPr>
            </w:pPr>
            <w:r>
              <w:rPr>
                <w:color w:val="000000" w:themeColor="text1"/>
                <w14:textFill>
                  <w14:solidFill>
                    <w14:schemeClr w14:val="tx1"/>
                  </w14:solidFill>
                </w14:textFill>
              </w:rPr>
              <w:t>82</w:t>
            </w:r>
          </w:p>
        </w:tc>
        <w:tc>
          <w:tcPr>
            <w:tcW w:w="1276" w:type="dxa"/>
            <w:gridSpan w:val="2"/>
            <w:tcBorders>
              <w:top w:val="nil"/>
              <w:left w:val="nil"/>
              <w:bottom w:val="single" w:color="auto" w:sz="4" w:space="0"/>
              <w:right w:val="single" w:color="auto" w:sz="4" w:space="0"/>
            </w:tcBorders>
            <w:noWrap/>
            <w:vAlign w:val="center"/>
          </w:tcPr>
          <w:p w14:paraId="0B98522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387" w:type="dxa"/>
            <w:gridSpan w:val="2"/>
            <w:vMerge w:val="continue"/>
            <w:tcBorders>
              <w:top w:val="nil"/>
              <w:left w:val="single" w:color="auto" w:sz="4" w:space="0"/>
              <w:bottom w:val="single" w:color="auto" w:sz="4" w:space="0"/>
              <w:right w:val="single" w:color="auto" w:sz="4" w:space="0"/>
            </w:tcBorders>
            <w:vAlign w:val="center"/>
          </w:tcPr>
          <w:p w14:paraId="6D94CA88">
            <w:pPr>
              <w:pStyle w:val="109"/>
              <w:rPr>
                <w:color w:val="000000" w:themeColor="text1"/>
                <w14:textFill>
                  <w14:solidFill>
                    <w14:schemeClr w14:val="tx1"/>
                  </w14:solidFill>
                </w14:textFill>
              </w:rPr>
            </w:pPr>
          </w:p>
        </w:tc>
      </w:tr>
      <w:tr w14:paraId="4E978BBA">
        <w:tblPrEx>
          <w:tblCellMar>
            <w:top w:w="0" w:type="dxa"/>
            <w:left w:w="108" w:type="dxa"/>
            <w:bottom w:w="0" w:type="dxa"/>
            <w:right w:w="108" w:type="dxa"/>
          </w:tblCellMar>
        </w:tblPrEx>
        <w:trPr>
          <w:gridAfter w:val="1"/>
          <w:wAfter w:w="8" w:type="dxa"/>
          <w:trHeight w:val="276" w:hRule="atLeast"/>
        </w:trPr>
        <w:tc>
          <w:tcPr>
            <w:tcW w:w="3681" w:type="dxa"/>
            <w:tcBorders>
              <w:top w:val="nil"/>
              <w:left w:val="single" w:color="auto" w:sz="4" w:space="0"/>
              <w:bottom w:val="single" w:color="auto" w:sz="4" w:space="0"/>
              <w:right w:val="single" w:color="auto" w:sz="4" w:space="0"/>
            </w:tcBorders>
            <w:noWrap/>
            <w:vAlign w:val="center"/>
          </w:tcPr>
          <w:p w14:paraId="7EB6E20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碘（以 I计） /（mg/kg） </w:t>
            </w:r>
          </w:p>
        </w:tc>
        <w:tc>
          <w:tcPr>
            <w:tcW w:w="708" w:type="dxa"/>
            <w:tcBorders>
              <w:top w:val="nil"/>
              <w:left w:val="nil"/>
              <w:bottom w:val="single" w:color="auto" w:sz="4" w:space="0"/>
              <w:right w:val="single" w:color="auto" w:sz="4" w:space="0"/>
            </w:tcBorders>
            <w:noWrap/>
            <w:vAlign w:val="center"/>
          </w:tcPr>
          <w:p w14:paraId="49094BE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04B0E73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11A2A862">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2387" w:type="dxa"/>
            <w:gridSpan w:val="2"/>
            <w:vMerge w:val="continue"/>
            <w:tcBorders>
              <w:top w:val="nil"/>
              <w:left w:val="single" w:color="auto" w:sz="4" w:space="0"/>
              <w:bottom w:val="single" w:color="auto" w:sz="4" w:space="0"/>
              <w:right w:val="single" w:color="auto" w:sz="4" w:space="0"/>
            </w:tcBorders>
            <w:vAlign w:val="center"/>
          </w:tcPr>
          <w:p w14:paraId="2822800F">
            <w:pPr>
              <w:pStyle w:val="109"/>
              <w:rPr>
                <w:color w:val="000000" w:themeColor="text1"/>
                <w14:textFill>
                  <w14:solidFill>
                    <w14:schemeClr w14:val="tx1"/>
                  </w14:solidFill>
                </w14:textFill>
              </w:rPr>
            </w:pPr>
          </w:p>
        </w:tc>
      </w:tr>
      <w:tr w14:paraId="1AF34485">
        <w:tblPrEx>
          <w:tblCellMar>
            <w:top w:w="0" w:type="dxa"/>
            <w:left w:w="108" w:type="dxa"/>
            <w:bottom w:w="0" w:type="dxa"/>
            <w:right w:w="108" w:type="dxa"/>
          </w:tblCellMar>
        </w:tblPrEx>
        <w:trPr>
          <w:gridAfter w:val="1"/>
          <w:wAfter w:w="8" w:type="dxa"/>
          <w:trHeight w:val="276" w:hRule="atLeast"/>
        </w:trPr>
        <w:tc>
          <w:tcPr>
            <w:tcW w:w="3681" w:type="dxa"/>
            <w:tcBorders>
              <w:top w:val="nil"/>
              <w:left w:val="single" w:color="auto" w:sz="4" w:space="0"/>
              <w:bottom w:val="single" w:color="auto" w:sz="4" w:space="0"/>
              <w:right w:val="single" w:color="auto" w:sz="4" w:space="0"/>
            </w:tcBorders>
            <w:noWrap/>
            <w:vAlign w:val="center"/>
          </w:tcPr>
          <w:p w14:paraId="26D834F7">
            <w:pPr>
              <w:pStyle w:val="109"/>
              <w:rPr>
                <w:color w:val="000000" w:themeColor="text1"/>
                <w14:textFill>
                  <w14:solidFill>
                    <w14:schemeClr w14:val="tx1"/>
                  </w14:solidFill>
                </w14:textFill>
              </w:rPr>
            </w:pPr>
            <w:r>
              <w:rPr>
                <w:color w:val="000000" w:themeColor="text1"/>
                <w14:textFill>
                  <w14:solidFill>
                    <w14:schemeClr w14:val="tx1"/>
                  </w14:solidFill>
                </w14:textFill>
              </w:rPr>
              <w:t>亚铁氰化钾（以 [Fe(CN)</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 xml:space="preserve">计） /（mg/kg） </w:t>
            </w:r>
          </w:p>
        </w:tc>
        <w:tc>
          <w:tcPr>
            <w:tcW w:w="708" w:type="dxa"/>
            <w:tcBorders>
              <w:top w:val="nil"/>
              <w:left w:val="nil"/>
              <w:bottom w:val="single" w:color="auto" w:sz="4" w:space="0"/>
              <w:right w:val="single" w:color="auto" w:sz="4" w:space="0"/>
            </w:tcBorders>
            <w:noWrap/>
            <w:vAlign w:val="center"/>
          </w:tcPr>
          <w:p w14:paraId="4F74ABC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49EE555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276" w:type="dxa"/>
            <w:gridSpan w:val="2"/>
            <w:tcBorders>
              <w:top w:val="nil"/>
              <w:left w:val="nil"/>
              <w:bottom w:val="single" w:color="auto" w:sz="4" w:space="0"/>
              <w:right w:val="single" w:color="auto" w:sz="4" w:space="0"/>
            </w:tcBorders>
            <w:noWrap/>
            <w:vAlign w:val="center"/>
          </w:tcPr>
          <w:p w14:paraId="574CF453">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387" w:type="dxa"/>
            <w:gridSpan w:val="2"/>
            <w:vMerge w:val="continue"/>
            <w:tcBorders>
              <w:top w:val="nil"/>
              <w:left w:val="single" w:color="auto" w:sz="4" w:space="0"/>
              <w:bottom w:val="single" w:color="auto" w:sz="4" w:space="0"/>
              <w:right w:val="single" w:color="auto" w:sz="4" w:space="0"/>
            </w:tcBorders>
            <w:vAlign w:val="center"/>
          </w:tcPr>
          <w:p w14:paraId="3E45E872">
            <w:pPr>
              <w:pStyle w:val="109"/>
              <w:rPr>
                <w:color w:val="000000" w:themeColor="text1"/>
                <w14:textFill>
                  <w14:solidFill>
                    <w14:schemeClr w14:val="tx1"/>
                  </w14:solidFill>
                </w14:textFill>
              </w:rPr>
            </w:pPr>
          </w:p>
        </w:tc>
      </w:tr>
      <w:tr w14:paraId="4BC4228E">
        <w:tblPrEx>
          <w:tblCellMar>
            <w:top w:w="0" w:type="dxa"/>
            <w:left w:w="108" w:type="dxa"/>
            <w:bottom w:w="0" w:type="dxa"/>
            <w:right w:w="108" w:type="dxa"/>
          </w:tblCellMar>
        </w:tblPrEx>
        <w:trPr>
          <w:trHeight w:val="276" w:hRule="atLeast"/>
        </w:trPr>
        <w:tc>
          <w:tcPr>
            <w:tcW w:w="9336" w:type="dxa"/>
            <w:gridSpan w:val="9"/>
            <w:tcBorders>
              <w:top w:val="single" w:color="auto" w:sz="4" w:space="0"/>
              <w:left w:val="single" w:color="auto" w:sz="4" w:space="0"/>
              <w:bottom w:val="single" w:color="auto" w:sz="4" w:space="0"/>
              <w:right w:val="single" w:color="auto" w:sz="4" w:space="0"/>
            </w:tcBorders>
            <w:noWrap/>
            <w:vAlign w:val="center"/>
          </w:tcPr>
          <w:p w14:paraId="01985366">
            <w:pPr>
              <w:pStyle w:val="109"/>
              <w:rPr>
                <w:color w:val="000000" w:themeColor="text1"/>
                <w14:textFill>
                  <w14:solidFill>
                    <w14:schemeClr w14:val="tx1"/>
                  </w14:solidFill>
                </w14:textFill>
              </w:rPr>
            </w:pPr>
            <w:r>
              <w:rPr>
                <w:color w:val="000000" w:themeColor="text1"/>
                <w14:textFill>
                  <w14:solidFill>
                    <w14:schemeClr w14:val="tx1"/>
                  </w14:solidFill>
                </w14:textFill>
              </w:rPr>
              <w:t>注： *指每 100g再生工业盐中氯化钠和硫酸钠加和后的含量。</w:t>
            </w:r>
          </w:p>
        </w:tc>
      </w:tr>
    </w:tbl>
    <w:p w14:paraId="658063F0">
      <w:pPr>
        <w:ind w:firstLine="480"/>
        <w:rPr>
          <w:color w:val="000000" w:themeColor="text1"/>
          <w14:textFill>
            <w14:solidFill>
              <w14:schemeClr w14:val="tx1"/>
            </w14:solidFill>
          </w14:textFill>
        </w:rPr>
      </w:pPr>
    </w:p>
    <w:p w14:paraId="3E6E8BC3">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再生硫酸钠有毒有害物质基本项目限值  单位：mg/L</w:t>
      </w:r>
    </w:p>
    <w:tbl>
      <w:tblPr>
        <w:tblStyle w:val="76"/>
        <w:tblW w:w="9338" w:type="dxa"/>
        <w:tblInd w:w="0" w:type="dxa"/>
        <w:tblLayout w:type="autofit"/>
        <w:tblCellMar>
          <w:top w:w="0" w:type="dxa"/>
          <w:left w:w="108" w:type="dxa"/>
          <w:bottom w:w="0" w:type="dxa"/>
          <w:right w:w="108" w:type="dxa"/>
        </w:tblCellMar>
      </w:tblPr>
      <w:tblGrid>
        <w:gridCol w:w="978"/>
        <w:gridCol w:w="3128"/>
        <w:gridCol w:w="993"/>
        <w:gridCol w:w="1700"/>
        <w:gridCol w:w="2539"/>
      </w:tblGrid>
      <w:tr w14:paraId="7A93F61F">
        <w:tblPrEx>
          <w:tblCellMar>
            <w:top w:w="0" w:type="dxa"/>
            <w:left w:w="108" w:type="dxa"/>
            <w:bottom w:w="0" w:type="dxa"/>
            <w:right w:w="108" w:type="dxa"/>
          </w:tblCellMar>
        </w:tblPrEx>
        <w:trPr>
          <w:trHeight w:val="276" w:hRule="atLeast"/>
        </w:trPr>
        <w:tc>
          <w:tcPr>
            <w:tcW w:w="978" w:type="dxa"/>
            <w:tcBorders>
              <w:top w:val="single" w:color="auto" w:sz="4" w:space="0"/>
              <w:left w:val="single" w:color="auto" w:sz="4" w:space="0"/>
              <w:bottom w:val="single" w:color="auto" w:sz="4" w:space="0"/>
              <w:right w:val="single" w:color="auto" w:sz="4" w:space="0"/>
            </w:tcBorders>
            <w:noWrap/>
            <w:vAlign w:val="center"/>
          </w:tcPr>
          <w:p w14:paraId="31F4858B">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121" w:type="dxa"/>
            <w:gridSpan w:val="2"/>
            <w:tcBorders>
              <w:top w:val="single" w:color="auto" w:sz="4" w:space="0"/>
              <w:left w:val="nil"/>
              <w:bottom w:val="single" w:color="auto" w:sz="4" w:space="0"/>
              <w:right w:val="single" w:color="auto" w:sz="4" w:space="0"/>
            </w:tcBorders>
            <w:noWrap/>
            <w:vAlign w:val="center"/>
          </w:tcPr>
          <w:p w14:paraId="0CB3E6D6">
            <w:pPr>
              <w:pStyle w:val="109"/>
              <w:rPr>
                <w:color w:val="000000" w:themeColor="text1"/>
                <w14:textFill>
                  <w14:solidFill>
                    <w14:schemeClr w14:val="tx1"/>
                  </w14:solidFill>
                </w14:textFill>
              </w:rPr>
            </w:pPr>
            <w:r>
              <w:rPr>
                <w:color w:val="000000" w:themeColor="text1"/>
                <w14:textFill>
                  <w14:solidFill>
                    <w14:schemeClr w14:val="tx1"/>
                  </w14:solidFill>
                </w14:textFill>
              </w:rPr>
              <w:t>项目　</w:t>
            </w:r>
          </w:p>
        </w:tc>
        <w:tc>
          <w:tcPr>
            <w:tcW w:w="1700" w:type="dxa"/>
            <w:tcBorders>
              <w:top w:val="single" w:color="auto" w:sz="4" w:space="0"/>
              <w:left w:val="nil"/>
              <w:bottom w:val="single" w:color="auto" w:sz="4" w:space="0"/>
              <w:right w:val="single" w:color="auto" w:sz="4" w:space="0"/>
            </w:tcBorders>
            <w:noWrap/>
            <w:vAlign w:val="center"/>
          </w:tcPr>
          <w:p w14:paraId="6CAB6234">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2539" w:type="dxa"/>
            <w:tcBorders>
              <w:top w:val="single" w:color="auto" w:sz="4" w:space="0"/>
              <w:left w:val="nil"/>
              <w:bottom w:val="single" w:color="auto" w:sz="4" w:space="0"/>
              <w:right w:val="single" w:color="auto" w:sz="4" w:space="0"/>
            </w:tcBorders>
            <w:noWrap/>
            <w:vAlign w:val="center"/>
          </w:tcPr>
          <w:p w14:paraId="05E3432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来源 </w:t>
            </w:r>
          </w:p>
        </w:tc>
      </w:tr>
      <w:tr w14:paraId="725087D6">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195603FE">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121" w:type="dxa"/>
            <w:gridSpan w:val="2"/>
            <w:tcBorders>
              <w:top w:val="single" w:color="auto" w:sz="4" w:space="0"/>
              <w:left w:val="nil"/>
              <w:bottom w:val="single" w:color="auto" w:sz="4" w:space="0"/>
              <w:right w:val="single" w:color="auto" w:sz="4" w:space="0"/>
            </w:tcBorders>
            <w:noWrap/>
            <w:vAlign w:val="center"/>
          </w:tcPr>
          <w:p w14:paraId="13E3DD2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pH值 </w:t>
            </w:r>
          </w:p>
        </w:tc>
        <w:tc>
          <w:tcPr>
            <w:tcW w:w="1700" w:type="dxa"/>
            <w:tcBorders>
              <w:top w:val="nil"/>
              <w:left w:val="nil"/>
              <w:bottom w:val="single" w:color="auto" w:sz="4" w:space="0"/>
              <w:right w:val="single" w:color="auto" w:sz="4" w:space="0"/>
            </w:tcBorders>
            <w:noWrap/>
            <w:vAlign w:val="center"/>
          </w:tcPr>
          <w:p w14:paraId="27A7C549">
            <w:pPr>
              <w:pStyle w:val="109"/>
              <w:rPr>
                <w:color w:val="000000" w:themeColor="text1"/>
                <w14:textFill>
                  <w14:solidFill>
                    <w14:schemeClr w14:val="tx1"/>
                  </w14:solidFill>
                </w14:textFill>
              </w:rPr>
            </w:pPr>
            <w:r>
              <w:rPr>
                <w:color w:val="000000" w:themeColor="text1"/>
                <w14:textFill>
                  <w14:solidFill>
                    <w14:schemeClr w14:val="tx1"/>
                  </w14:solidFill>
                </w14:textFill>
              </w:rPr>
              <w:t>6~9</w:t>
            </w:r>
          </w:p>
        </w:tc>
        <w:tc>
          <w:tcPr>
            <w:tcW w:w="2539" w:type="dxa"/>
            <w:vMerge w:val="restart"/>
            <w:tcBorders>
              <w:top w:val="nil"/>
              <w:left w:val="single" w:color="auto" w:sz="4" w:space="0"/>
              <w:bottom w:val="single" w:color="auto" w:sz="4" w:space="0"/>
              <w:right w:val="single" w:color="auto" w:sz="4" w:space="0"/>
            </w:tcBorders>
            <w:noWrap/>
            <w:vAlign w:val="center"/>
          </w:tcPr>
          <w:p w14:paraId="6A484A1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《再生工业盐硫酸钠》（ T/ZGZS 0303-2023） </w:t>
            </w:r>
          </w:p>
        </w:tc>
      </w:tr>
      <w:tr w14:paraId="669C8B02">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16781142">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3128" w:type="dxa"/>
            <w:tcBorders>
              <w:top w:val="nil"/>
              <w:left w:val="nil"/>
              <w:bottom w:val="single" w:color="auto" w:sz="4" w:space="0"/>
              <w:right w:val="single" w:color="auto" w:sz="4" w:space="0"/>
            </w:tcBorders>
            <w:noWrap/>
            <w:vAlign w:val="center"/>
          </w:tcPr>
          <w:p w14:paraId="173AD5D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TOC </w:t>
            </w:r>
          </w:p>
        </w:tc>
        <w:tc>
          <w:tcPr>
            <w:tcW w:w="993" w:type="dxa"/>
            <w:tcBorders>
              <w:top w:val="nil"/>
              <w:left w:val="nil"/>
              <w:bottom w:val="single" w:color="auto" w:sz="4" w:space="0"/>
              <w:right w:val="single" w:color="auto" w:sz="4" w:space="0"/>
            </w:tcBorders>
            <w:noWrap/>
            <w:vAlign w:val="center"/>
          </w:tcPr>
          <w:p w14:paraId="472A49C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3C5E6696">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2539" w:type="dxa"/>
            <w:vMerge w:val="continue"/>
            <w:tcBorders>
              <w:top w:val="nil"/>
              <w:left w:val="single" w:color="auto" w:sz="4" w:space="0"/>
              <w:bottom w:val="single" w:color="auto" w:sz="4" w:space="0"/>
              <w:right w:val="single" w:color="auto" w:sz="4" w:space="0"/>
            </w:tcBorders>
            <w:vAlign w:val="center"/>
          </w:tcPr>
          <w:p w14:paraId="0C9260E9">
            <w:pPr>
              <w:pStyle w:val="109"/>
              <w:rPr>
                <w:color w:val="000000" w:themeColor="text1"/>
                <w14:textFill>
                  <w14:solidFill>
                    <w14:schemeClr w14:val="tx1"/>
                  </w14:solidFill>
                </w14:textFill>
              </w:rPr>
            </w:pPr>
          </w:p>
        </w:tc>
      </w:tr>
      <w:tr w14:paraId="43A0A3D7">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1E8DA6B1">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3128" w:type="dxa"/>
            <w:tcBorders>
              <w:top w:val="nil"/>
              <w:left w:val="nil"/>
              <w:bottom w:val="single" w:color="auto" w:sz="4" w:space="0"/>
              <w:right w:val="single" w:color="auto" w:sz="4" w:space="0"/>
            </w:tcBorders>
            <w:noWrap/>
            <w:vAlign w:val="center"/>
          </w:tcPr>
          <w:p w14:paraId="3B409B69">
            <w:pPr>
              <w:pStyle w:val="109"/>
              <w:rPr>
                <w:color w:val="000000" w:themeColor="text1"/>
                <w14:textFill>
                  <w14:solidFill>
                    <w14:schemeClr w14:val="tx1"/>
                  </w14:solidFill>
                </w14:textFill>
              </w:rPr>
            </w:pPr>
            <w:r>
              <w:rPr>
                <w:color w:val="000000" w:themeColor="text1"/>
                <w14:textFill>
                  <w14:solidFill>
                    <w14:schemeClr w14:val="tx1"/>
                  </w14:solidFill>
                </w14:textFill>
              </w:rPr>
              <w:t>氨氮（ 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-N） </w:t>
            </w:r>
          </w:p>
        </w:tc>
        <w:tc>
          <w:tcPr>
            <w:tcW w:w="993" w:type="dxa"/>
            <w:tcBorders>
              <w:top w:val="nil"/>
              <w:left w:val="nil"/>
              <w:bottom w:val="single" w:color="auto" w:sz="4" w:space="0"/>
              <w:right w:val="single" w:color="auto" w:sz="4" w:space="0"/>
            </w:tcBorders>
            <w:noWrap/>
            <w:vAlign w:val="center"/>
          </w:tcPr>
          <w:p w14:paraId="3896CD1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0C46727A">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39" w:type="dxa"/>
            <w:vMerge w:val="continue"/>
            <w:tcBorders>
              <w:top w:val="nil"/>
              <w:left w:val="single" w:color="auto" w:sz="4" w:space="0"/>
              <w:bottom w:val="single" w:color="auto" w:sz="4" w:space="0"/>
              <w:right w:val="single" w:color="auto" w:sz="4" w:space="0"/>
            </w:tcBorders>
            <w:vAlign w:val="center"/>
          </w:tcPr>
          <w:p w14:paraId="05A26F9E">
            <w:pPr>
              <w:pStyle w:val="109"/>
              <w:rPr>
                <w:color w:val="000000" w:themeColor="text1"/>
                <w14:textFill>
                  <w14:solidFill>
                    <w14:schemeClr w14:val="tx1"/>
                  </w14:solidFill>
                </w14:textFill>
              </w:rPr>
            </w:pPr>
          </w:p>
        </w:tc>
      </w:tr>
      <w:tr w14:paraId="453ECBD9">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04BA45BA">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3128" w:type="dxa"/>
            <w:tcBorders>
              <w:top w:val="nil"/>
              <w:left w:val="nil"/>
              <w:bottom w:val="single" w:color="auto" w:sz="4" w:space="0"/>
              <w:right w:val="single" w:color="auto" w:sz="4" w:space="0"/>
            </w:tcBorders>
            <w:noWrap/>
            <w:vAlign w:val="center"/>
          </w:tcPr>
          <w:p w14:paraId="7911A32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总磷（以 P计） </w:t>
            </w:r>
          </w:p>
        </w:tc>
        <w:tc>
          <w:tcPr>
            <w:tcW w:w="993" w:type="dxa"/>
            <w:tcBorders>
              <w:top w:val="nil"/>
              <w:left w:val="nil"/>
              <w:bottom w:val="single" w:color="auto" w:sz="4" w:space="0"/>
              <w:right w:val="single" w:color="auto" w:sz="4" w:space="0"/>
            </w:tcBorders>
            <w:noWrap/>
            <w:vAlign w:val="center"/>
          </w:tcPr>
          <w:p w14:paraId="34ACB39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60723FC2">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2539" w:type="dxa"/>
            <w:vMerge w:val="continue"/>
            <w:tcBorders>
              <w:top w:val="nil"/>
              <w:left w:val="single" w:color="auto" w:sz="4" w:space="0"/>
              <w:bottom w:val="single" w:color="auto" w:sz="4" w:space="0"/>
              <w:right w:val="single" w:color="auto" w:sz="4" w:space="0"/>
            </w:tcBorders>
            <w:vAlign w:val="center"/>
          </w:tcPr>
          <w:p w14:paraId="1A04CD25">
            <w:pPr>
              <w:pStyle w:val="109"/>
              <w:rPr>
                <w:color w:val="000000" w:themeColor="text1"/>
                <w14:textFill>
                  <w14:solidFill>
                    <w14:schemeClr w14:val="tx1"/>
                  </w14:solidFill>
                </w14:textFill>
              </w:rPr>
            </w:pPr>
          </w:p>
        </w:tc>
      </w:tr>
      <w:tr w14:paraId="19089748">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151F21A5">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3128" w:type="dxa"/>
            <w:tcBorders>
              <w:top w:val="nil"/>
              <w:left w:val="nil"/>
              <w:bottom w:val="single" w:color="auto" w:sz="4" w:space="0"/>
              <w:right w:val="single" w:color="auto" w:sz="4" w:space="0"/>
            </w:tcBorders>
            <w:noWrap/>
            <w:vAlign w:val="center"/>
          </w:tcPr>
          <w:p w14:paraId="665A7A4D">
            <w:pPr>
              <w:pStyle w:val="109"/>
              <w:rPr>
                <w:color w:val="000000" w:themeColor="text1"/>
                <w14:textFill>
                  <w14:solidFill>
                    <w14:schemeClr w14:val="tx1"/>
                  </w14:solidFill>
                </w14:textFill>
              </w:rPr>
            </w:pPr>
            <w:r>
              <w:rPr>
                <w:color w:val="000000" w:themeColor="text1"/>
                <w14:textFill>
                  <w14:solidFill>
                    <w14:schemeClr w14:val="tx1"/>
                  </w14:solidFill>
                </w14:textFill>
              </w:rPr>
              <w:t>氟化物（以 F</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计） </w:t>
            </w:r>
          </w:p>
        </w:tc>
        <w:tc>
          <w:tcPr>
            <w:tcW w:w="993" w:type="dxa"/>
            <w:tcBorders>
              <w:top w:val="nil"/>
              <w:left w:val="nil"/>
              <w:bottom w:val="single" w:color="auto" w:sz="4" w:space="0"/>
              <w:right w:val="single" w:color="auto" w:sz="4" w:space="0"/>
            </w:tcBorders>
            <w:noWrap/>
            <w:vAlign w:val="center"/>
          </w:tcPr>
          <w:p w14:paraId="3812C12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4287CAB5">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39" w:type="dxa"/>
            <w:vMerge w:val="continue"/>
            <w:tcBorders>
              <w:top w:val="nil"/>
              <w:left w:val="single" w:color="auto" w:sz="4" w:space="0"/>
              <w:bottom w:val="single" w:color="auto" w:sz="4" w:space="0"/>
              <w:right w:val="single" w:color="auto" w:sz="4" w:space="0"/>
            </w:tcBorders>
            <w:vAlign w:val="center"/>
          </w:tcPr>
          <w:p w14:paraId="6E7852AD">
            <w:pPr>
              <w:pStyle w:val="109"/>
              <w:rPr>
                <w:color w:val="000000" w:themeColor="text1"/>
                <w14:textFill>
                  <w14:solidFill>
                    <w14:schemeClr w14:val="tx1"/>
                  </w14:solidFill>
                </w14:textFill>
              </w:rPr>
            </w:pPr>
          </w:p>
        </w:tc>
      </w:tr>
      <w:tr w14:paraId="1CC91A57">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79A0764D">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3128" w:type="dxa"/>
            <w:tcBorders>
              <w:top w:val="nil"/>
              <w:left w:val="nil"/>
              <w:bottom w:val="single" w:color="auto" w:sz="4" w:space="0"/>
              <w:right w:val="single" w:color="auto" w:sz="4" w:space="0"/>
            </w:tcBorders>
            <w:noWrap/>
            <w:vAlign w:val="center"/>
          </w:tcPr>
          <w:p w14:paraId="1BE75D5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氰化物 </w:t>
            </w:r>
          </w:p>
        </w:tc>
        <w:tc>
          <w:tcPr>
            <w:tcW w:w="993" w:type="dxa"/>
            <w:tcBorders>
              <w:top w:val="nil"/>
              <w:left w:val="nil"/>
              <w:bottom w:val="single" w:color="auto" w:sz="4" w:space="0"/>
              <w:right w:val="single" w:color="auto" w:sz="4" w:space="0"/>
            </w:tcBorders>
            <w:noWrap/>
            <w:vAlign w:val="center"/>
          </w:tcPr>
          <w:p w14:paraId="15F38AE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3B2556CD">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2539" w:type="dxa"/>
            <w:vMerge w:val="continue"/>
            <w:tcBorders>
              <w:top w:val="nil"/>
              <w:left w:val="single" w:color="auto" w:sz="4" w:space="0"/>
              <w:bottom w:val="single" w:color="auto" w:sz="4" w:space="0"/>
              <w:right w:val="single" w:color="auto" w:sz="4" w:space="0"/>
            </w:tcBorders>
            <w:vAlign w:val="center"/>
          </w:tcPr>
          <w:p w14:paraId="227FD2DD">
            <w:pPr>
              <w:pStyle w:val="109"/>
              <w:rPr>
                <w:color w:val="000000" w:themeColor="text1"/>
                <w14:textFill>
                  <w14:solidFill>
                    <w14:schemeClr w14:val="tx1"/>
                  </w14:solidFill>
                </w14:textFill>
              </w:rPr>
            </w:pPr>
          </w:p>
        </w:tc>
      </w:tr>
      <w:tr w14:paraId="0FC9EB5B">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6A043BF7">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3128" w:type="dxa"/>
            <w:tcBorders>
              <w:top w:val="nil"/>
              <w:left w:val="nil"/>
              <w:bottom w:val="single" w:color="auto" w:sz="4" w:space="0"/>
              <w:right w:val="single" w:color="auto" w:sz="4" w:space="0"/>
            </w:tcBorders>
            <w:noWrap/>
            <w:vAlign w:val="center"/>
          </w:tcPr>
          <w:p w14:paraId="3F7D740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挥发酚 </w:t>
            </w:r>
          </w:p>
        </w:tc>
        <w:tc>
          <w:tcPr>
            <w:tcW w:w="993" w:type="dxa"/>
            <w:tcBorders>
              <w:top w:val="nil"/>
              <w:left w:val="nil"/>
              <w:bottom w:val="single" w:color="auto" w:sz="4" w:space="0"/>
              <w:right w:val="single" w:color="auto" w:sz="4" w:space="0"/>
            </w:tcBorders>
            <w:noWrap/>
            <w:vAlign w:val="center"/>
          </w:tcPr>
          <w:p w14:paraId="4ADA2A8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2E9F71E3">
            <w:pPr>
              <w:pStyle w:val="109"/>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2539" w:type="dxa"/>
            <w:vMerge w:val="continue"/>
            <w:tcBorders>
              <w:top w:val="nil"/>
              <w:left w:val="single" w:color="auto" w:sz="4" w:space="0"/>
              <w:bottom w:val="single" w:color="auto" w:sz="4" w:space="0"/>
              <w:right w:val="single" w:color="auto" w:sz="4" w:space="0"/>
            </w:tcBorders>
            <w:vAlign w:val="center"/>
          </w:tcPr>
          <w:p w14:paraId="35E0E54F">
            <w:pPr>
              <w:pStyle w:val="109"/>
              <w:rPr>
                <w:color w:val="000000" w:themeColor="text1"/>
                <w14:textFill>
                  <w14:solidFill>
                    <w14:schemeClr w14:val="tx1"/>
                  </w14:solidFill>
                </w14:textFill>
              </w:rPr>
            </w:pPr>
          </w:p>
        </w:tc>
      </w:tr>
      <w:tr w14:paraId="5E1A82F4">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5056CBDD">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3128" w:type="dxa"/>
            <w:tcBorders>
              <w:top w:val="nil"/>
              <w:left w:val="nil"/>
              <w:bottom w:val="single" w:color="auto" w:sz="4" w:space="0"/>
              <w:right w:val="single" w:color="auto" w:sz="4" w:space="0"/>
            </w:tcBorders>
            <w:noWrap/>
            <w:vAlign w:val="center"/>
          </w:tcPr>
          <w:p w14:paraId="2CD7B3E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石油类 </w:t>
            </w:r>
          </w:p>
        </w:tc>
        <w:tc>
          <w:tcPr>
            <w:tcW w:w="993" w:type="dxa"/>
            <w:tcBorders>
              <w:top w:val="nil"/>
              <w:left w:val="nil"/>
              <w:bottom w:val="single" w:color="auto" w:sz="4" w:space="0"/>
              <w:right w:val="single" w:color="auto" w:sz="4" w:space="0"/>
            </w:tcBorders>
            <w:noWrap/>
            <w:vAlign w:val="center"/>
          </w:tcPr>
          <w:p w14:paraId="6A1D7DD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08722BB4">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2539" w:type="dxa"/>
            <w:vMerge w:val="continue"/>
            <w:tcBorders>
              <w:top w:val="nil"/>
              <w:left w:val="single" w:color="auto" w:sz="4" w:space="0"/>
              <w:bottom w:val="single" w:color="auto" w:sz="4" w:space="0"/>
              <w:right w:val="single" w:color="auto" w:sz="4" w:space="0"/>
            </w:tcBorders>
            <w:vAlign w:val="center"/>
          </w:tcPr>
          <w:p w14:paraId="1F035682">
            <w:pPr>
              <w:pStyle w:val="109"/>
              <w:rPr>
                <w:color w:val="000000" w:themeColor="text1"/>
                <w14:textFill>
                  <w14:solidFill>
                    <w14:schemeClr w14:val="tx1"/>
                  </w14:solidFill>
                </w14:textFill>
              </w:rPr>
            </w:pPr>
          </w:p>
        </w:tc>
      </w:tr>
      <w:tr w14:paraId="0950D3B3">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3A1EC0A7">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3128" w:type="dxa"/>
            <w:tcBorders>
              <w:top w:val="nil"/>
              <w:left w:val="nil"/>
              <w:bottom w:val="single" w:color="auto" w:sz="4" w:space="0"/>
              <w:right w:val="single" w:color="auto" w:sz="4" w:space="0"/>
            </w:tcBorders>
            <w:noWrap/>
            <w:vAlign w:val="center"/>
          </w:tcPr>
          <w:p w14:paraId="48D1A3B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阴离子表面活性剂 </w:t>
            </w:r>
          </w:p>
        </w:tc>
        <w:tc>
          <w:tcPr>
            <w:tcW w:w="993" w:type="dxa"/>
            <w:tcBorders>
              <w:top w:val="nil"/>
              <w:left w:val="nil"/>
              <w:bottom w:val="single" w:color="auto" w:sz="4" w:space="0"/>
              <w:right w:val="single" w:color="auto" w:sz="4" w:space="0"/>
            </w:tcBorders>
            <w:noWrap/>
            <w:vAlign w:val="center"/>
          </w:tcPr>
          <w:p w14:paraId="2D83075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16BD563F">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2539" w:type="dxa"/>
            <w:vMerge w:val="continue"/>
            <w:tcBorders>
              <w:top w:val="nil"/>
              <w:left w:val="single" w:color="auto" w:sz="4" w:space="0"/>
              <w:bottom w:val="single" w:color="auto" w:sz="4" w:space="0"/>
              <w:right w:val="single" w:color="auto" w:sz="4" w:space="0"/>
            </w:tcBorders>
            <w:vAlign w:val="center"/>
          </w:tcPr>
          <w:p w14:paraId="78A266DB">
            <w:pPr>
              <w:pStyle w:val="109"/>
              <w:rPr>
                <w:color w:val="000000" w:themeColor="text1"/>
                <w14:textFill>
                  <w14:solidFill>
                    <w14:schemeClr w14:val="tx1"/>
                  </w14:solidFill>
                </w14:textFill>
              </w:rPr>
            </w:pPr>
          </w:p>
        </w:tc>
      </w:tr>
      <w:tr w14:paraId="1E2E9FA4">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7CD6427B">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3128" w:type="dxa"/>
            <w:tcBorders>
              <w:top w:val="nil"/>
              <w:left w:val="nil"/>
              <w:bottom w:val="single" w:color="auto" w:sz="4" w:space="0"/>
              <w:right w:val="single" w:color="auto" w:sz="4" w:space="0"/>
            </w:tcBorders>
            <w:noWrap/>
            <w:vAlign w:val="center"/>
          </w:tcPr>
          <w:p w14:paraId="42C15B5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硫化物 </w:t>
            </w:r>
          </w:p>
        </w:tc>
        <w:tc>
          <w:tcPr>
            <w:tcW w:w="993" w:type="dxa"/>
            <w:tcBorders>
              <w:top w:val="nil"/>
              <w:left w:val="nil"/>
              <w:bottom w:val="single" w:color="auto" w:sz="4" w:space="0"/>
              <w:right w:val="single" w:color="auto" w:sz="4" w:space="0"/>
            </w:tcBorders>
            <w:noWrap/>
            <w:vAlign w:val="center"/>
          </w:tcPr>
          <w:p w14:paraId="0ED955B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42B95FA3">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2539" w:type="dxa"/>
            <w:vMerge w:val="continue"/>
            <w:tcBorders>
              <w:top w:val="nil"/>
              <w:left w:val="single" w:color="auto" w:sz="4" w:space="0"/>
              <w:bottom w:val="single" w:color="auto" w:sz="4" w:space="0"/>
              <w:right w:val="single" w:color="auto" w:sz="4" w:space="0"/>
            </w:tcBorders>
            <w:vAlign w:val="center"/>
          </w:tcPr>
          <w:p w14:paraId="5C96BF1D">
            <w:pPr>
              <w:pStyle w:val="109"/>
              <w:rPr>
                <w:color w:val="000000" w:themeColor="text1"/>
                <w14:textFill>
                  <w14:solidFill>
                    <w14:schemeClr w14:val="tx1"/>
                  </w14:solidFill>
                </w14:textFill>
              </w:rPr>
            </w:pPr>
          </w:p>
        </w:tc>
      </w:tr>
      <w:tr w14:paraId="7751142F">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7DAF23D3">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3128" w:type="dxa"/>
            <w:tcBorders>
              <w:top w:val="nil"/>
              <w:left w:val="nil"/>
              <w:bottom w:val="single" w:color="auto" w:sz="4" w:space="0"/>
              <w:right w:val="single" w:color="auto" w:sz="4" w:space="0"/>
            </w:tcBorders>
            <w:noWrap/>
            <w:vAlign w:val="center"/>
          </w:tcPr>
          <w:p w14:paraId="42FE604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铜 </w:t>
            </w:r>
          </w:p>
        </w:tc>
        <w:tc>
          <w:tcPr>
            <w:tcW w:w="993" w:type="dxa"/>
            <w:tcBorders>
              <w:top w:val="nil"/>
              <w:left w:val="nil"/>
              <w:bottom w:val="single" w:color="auto" w:sz="4" w:space="0"/>
              <w:right w:val="single" w:color="auto" w:sz="4" w:space="0"/>
            </w:tcBorders>
            <w:noWrap/>
            <w:vAlign w:val="center"/>
          </w:tcPr>
          <w:p w14:paraId="33C0126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6A8EE35D">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39" w:type="dxa"/>
            <w:vMerge w:val="continue"/>
            <w:tcBorders>
              <w:top w:val="nil"/>
              <w:left w:val="single" w:color="auto" w:sz="4" w:space="0"/>
              <w:bottom w:val="single" w:color="auto" w:sz="4" w:space="0"/>
              <w:right w:val="single" w:color="auto" w:sz="4" w:space="0"/>
            </w:tcBorders>
            <w:vAlign w:val="center"/>
          </w:tcPr>
          <w:p w14:paraId="06B560D9">
            <w:pPr>
              <w:pStyle w:val="109"/>
              <w:rPr>
                <w:color w:val="000000" w:themeColor="text1"/>
                <w14:textFill>
                  <w14:solidFill>
                    <w14:schemeClr w14:val="tx1"/>
                  </w14:solidFill>
                </w14:textFill>
              </w:rPr>
            </w:pPr>
          </w:p>
        </w:tc>
      </w:tr>
      <w:tr w14:paraId="64017709">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7C80477B">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3128" w:type="dxa"/>
            <w:tcBorders>
              <w:top w:val="nil"/>
              <w:left w:val="nil"/>
              <w:bottom w:val="single" w:color="auto" w:sz="4" w:space="0"/>
              <w:right w:val="single" w:color="auto" w:sz="4" w:space="0"/>
            </w:tcBorders>
            <w:noWrap/>
            <w:vAlign w:val="center"/>
          </w:tcPr>
          <w:p w14:paraId="604335F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锌 </w:t>
            </w:r>
          </w:p>
        </w:tc>
        <w:tc>
          <w:tcPr>
            <w:tcW w:w="993" w:type="dxa"/>
            <w:tcBorders>
              <w:top w:val="nil"/>
              <w:left w:val="nil"/>
              <w:bottom w:val="single" w:color="auto" w:sz="4" w:space="0"/>
              <w:right w:val="single" w:color="auto" w:sz="4" w:space="0"/>
            </w:tcBorders>
            <w:noWrap/>
            <w:vAlign w:val="center"/>
          </w:tcPr>
          <w:p w14:paraId="0D7B11F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456BF4A9">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39" w:type="dxa"/>
            <w:vMerge w:val="continue"/>
            <w:tcBorders>
              <w:top w:val="nil"/>
              <w:left w:val="single" w:color="auto" w:sz="4" w:space="0"/>
              <w:bottom w:val="single" w:color="auto" w:sz="4" w:space="0"/>
              <w:right w:val="single" w:color="auto" w:sz="4" w:space="0"/>
            </w:tcBorders>
            <w:vAlign w:val="center"/>
          </w:tcPr>
          <w:p w14:paraId="5995D461">
            <w:pPr>
              <w:pStyle w:val="109"/>
              <w:rPr>
                <w:color w:val="000000" w:themeColor="text1"/>
                <w14:textFill>
                  <w14:solidFill>
                    <w14:schemeClr w14:val="tx1"/>
                  </w14:solidFill>
                </w14:textFill>
              </w:rPr>
            </w:pPr>
          </w:p>
        </w:tc>
      </w:tr>
      <w:tr w14:paraId="67A4A3FD">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27408065">
            <w:pPr>
              <w:pStyle w:val="10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3128" w:type="dxa"/>
            <w:tcBorders>
              <w:top w:val="nil"/>
              <w:left w:val="nil"/>
              <w:bottom w:val="single" w:color="auto" w:sz="4" w:space="0"/>
              <w:right w:val="single" w:color="auto" w:sz="4" w:space="0"/>
            </w:tcBorders>
            <w:noWrap/>
            <w:vAlign w:val="center"/>
          </w:tcPr>
          <w:p w14:paraId="708A5A4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硒 </w:t>
            </w:r>
          </w:p>
        </w:tc>
        <w:tc>
          <w:tcPr>
            <w:tcW w:w="993" w:type="dxa"/>
            <w:tcBorders>
              <w:top w:val="nil"/>
              <w:left w:val="nil"/>
              <w:bottom w:val="single" w:color="auto" w:sz="4" w:space="0"/>
              <w:right w:val="single" w:color="auto" w:sz="4" w:space="0"/>
            </w:tcBorders>
            <w:noWrap/>
            <w:vAlign w:val="center"/>
          </w:tcPr>
          <w:p w14:paraId="06B69A2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2645B3B3">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2539" w:type="dxa"/>
            <w:vMerge w:val="continue"/>
            <w:tcBorders>
              <w:top w:val="nil"/>
              <w:left w:val="single" w:color="auto" w:sz="4" w:space="0"/>
              <w:bottom w:val="single" w:color="auto" w:sz="4" w:space="0"/>
              <w:right w:val="single" w:color="auto" w:sz="4" w:space="0"/>
            </w:tcBorders>
            <w:vAlign w:val="center"/>
          </w:tcPr>
          <w:p w14:paraId="5B0B9D76">
            <w:pPr>
              <w:pStyle w:val="109"/>
              <w:rPr>
                <w:color w:val="000000" w:themeColor="text1"/>
                <w14:textFill>
                  <w14:solidFill>
                    <w14:schemeClr w14:val="tx1"/>
                  </w14:solidFill>
                </w14:textFill>
              </w:rPr>
            </w:pPr>
          </w:p>
        </w:tc>
      </w:tr>
      <w:tr w14:paraId="4018789C">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3233FEDF">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3128" w:type="dxa"/>
            <w:tcBorders>
              <w:top w:val="nil"/>
              <w:left w:val="nil"/>
              <w:bottom w:val="single" w:color="auto" w:sz="4" w:space="0"/>
              <w:right w:val="single" w:color="auto" w:sz="4" w:space="0"/>
            </w:tcBorders>
            <w:noWrap/>
            <w:vAlign w:val="center"/>
          </w:tcPr>
          <w:p w14:paraId="0FC5825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砷 </w:t>
            </w:r>
          </w:p>
        </w:tc>
        <w:tc>
          <w:tcPr>
            <w:tcW w:w="993" w:type="dxa"/>
            <w:tcBorders>
              <w:top w:val="nil"/>
              <w:left w:val="nil"/>
              <w:bottom w:val="single" w:color="auto" w:sz="4" w:space="0"/>
              <w:right w:val="single" w:color="auto" w:sz="4" w:space="0"/>
            </w:tcBorders>
            <w:noWrap/>
            <w:vAlign w:val="center"/>
          </w:tcPr>
          <w:p w14:paraId="2724ED9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4EBC5C80">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2539" w:type="dxa"/>
            <w:vMerge w:val="continue"/>
            <w:tcBorders>
              <w:top w:val="nil"/>
              <w:left w:val="single" w:color="auto" w:sz="4" w:space="0"/>
              <w:bottom w:val="single" w:color="auto" w:sz="4" w:space="0"/>
              <w:right w:val="single" w:color="auto" w:sz="4" w:space="0"/>
            </w:tcBorders>
            <w:vAlign w:val="center"/>
          </w:tcPr>
          <w:p w14:paraId="2B358ABF">
            <w:pPr>
              <w:pStyle w:val="109"/>
              <w:rPr>
                <w:color w:val="000000" w:themeColor="text1"/>
                <w14:textFill>
                  <w14:solidFill>
                    <w14:schemeClr w14:val="tx1"/>
                  </w14:solidFill>
                </w14:textFill>
              </w:rPr>
            </w:pPr>
          </w:p>
        </w:tc>
      </w:tr>
      <w:tr w14:paraId="2A08898D">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05D7CD7F">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3128" w:type="dxa"/>
            <w:tcBorders>
              <w:top w:val="nil"/>
              <w:left w:val="nil"/>
              <w:bottom w:val="single" w:color="auto" w:sz="4" w:space="0"/>
              <w:right w:val="single" w:color="auto" w:sz="4" w:space="0"/>
            </w:tcBorders>
            <w:noWrap/>
            <w:vAlign w:val="center"/>
          </w:tcPr>
          <w:p w14:paraId="42F325E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汞 </w:t>
            </w:r>
          </w:p>
        </w:tc>
        <w:tc>
          <w:tcPr>
            <w:tcW w:w="993" w:type="dxa"/>
            <w:tcBorders>
              <w:top w:val="nil"/>
              <w:left w:val="nil"/>
              <w:bottom w:val="single" w:color="auto" w:sz="4" w:space="0"/>
              <w:right w:val="single" w:color="auto" w:sz="4" w:space="0"/>
            </w:tcBorders>
            <w:noWrap/>
            <w:vAlign w:val="center"/>
          </w:tcPr>
          <w:p w14:paraId="0502D60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58DAB292">
            <w:pPr>
              <w:pStyle w:val="109"/>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2539" w:type="dxa"/>
            <w:vMerge w:val="continue"/>
            <w:tcBorders>
              <w:top w:val="nil"/>
              <w:left w:val="single" w:color="auto" w:sz="4" w:space="0"/>
              <w:bottom w:val="single" w:color="auto" w:sz="4" w:space="0"/>
              <w:right w:val="single" w:color="auto" w:sz="4" w:space="0"/>
            </w:tcBorders>
            <w:vAlign w:val="center"/>
          </w:tcPr>
          <w:p w14:paraId="590182EC">
            <w:pPr>
              <w:pStyle w:val="109"/>
              <w:rPr>
                <w:color w:val="000000" w:themeColor="text1"/>
                <w14:textFill>
                  <w14:solidFill>
                    <w14:schemeClr w14:val="tx1"/>
                  </w14:solidFill>
                </w14:textFill>
              </w:rPr>
            </w:pPr>
          </w:p>
        </w:tc>
      </w:tr>
      <w:tr w14:paraId="223CC108">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2491BCB1">
            <w:pPr>
              <w:pStyle w:val="109"/>
              <w:rPr>
                <w:color w:val="000000" w:themeColor="text1"/>
                <w14:textFill>
                  <w14:solidFill>
                    <w14:schemeClr w14:val="tx1"/>
                  </w14:solidFill>
                </w14:textFill>
              </w:rPr>
            </w:pPr>
            <w:r>
              <w:rPr>
                <w:color w:val="000000" w:themeColor="text1"/>
                <w14:textFill>
                  <w14:solidFill>
                    <w14:schemeClr w14:val="tx1"/>
                  </w14:solidFill>
                </w14:textFill>
              </w:rPr>
              <w:t>16</w:t>
            </w:r>
          </w:p>
        </w:tc>
        <w:tc>
          <w:tcPr>
            <w:tcW w:w="3128" w:type="dxa"/>
            <w:tcBorders>
              <w:top w:val="nil"/>
              <w:left w:val="nil"/>
              <w:bottom w:val="single" w:color="auto" w:sz="4" w:space="0"/>
              <w:right w:val="single" w:color="auto" w:sz="4" w:space="0"/>
            </w:tcBorders>
            <w:noWrap/>
            <w:vAlign w:val="center"/>
          </w:tcPr>
          <w:p w14:paraId="06009D4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镉 </w:t>
            </w:r>
          </w:p>
        </w:tc>
        <w:tc>
          <w:tcPr>
            <w:tcW w:w="993" w:type="dxa"/>
            <w:tcBorders>
              <w:top w:val="nil"/>
              <w:left w:val="nil"/>
              <w:bottom w:val="single" w:color="auto" w:sz="4" w:space="0"/>
              <w:right w:val="single" w:color="auto" w:sz="4" w:space="0"/>
            </w:tcBorders>
            <w:noWrap/>
            <w:vAlign w:val="center"/>
          </w:tcPr>
          <w:p w14:paraId="609F8C5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63D862C9">
            <w:pPr>
              <w:pStyle w:val="109"/>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2539" w:type="dxa"/>
            <w:vMerge w:val="continue"/>
            <w:tcBorders>
              <w:top w:val="nil"/>
              <w:left w:val="single" w:color="auto" w:sz="4" w:space="0"/>
              <w:bottom w:val="single" w:color="auto" w:sz="4" w:space="0"/>
              <w:right w:val="single" w:color="auto" w:sz="4" w:space="0"/>
            </w:tcBorders>
            <w:vAlign w:val="center"/>
          </w:tcPr>
          <w:p w14:paraId="7F52B027">
            <w:pPr>
              <w:pStyle w:val="109"/>
              <w:rPr>
                <w:color w:val="000000" w:themeColor="text1"/>
                <w14:textFill>
                  <w14:solidFill>
                    <w14:schemeClr w14:val="tx1"/>
                  </w14:solidFill>
                </w14:textFill>
              </w:rPr>
            </w:pPr>
          </w:p>
        </w:tc>
      </w:tr>
      <w:tr w14:paraId="5E5F7D4B">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0FC602F0">
            <w:pPr>
              <w:pStyle w:val="109"/>
              <w:rPr>
                <w:color w:val="000000" w:themeColor="text1"/>
                <w14:textFill>
                  <w14:solidFill>
                    <w14:schemeClr w14:val="tx1"/>
                  </w14:solidFill>
                </w14:textFill>
              </w:rPr>
            </w:pPr>
            <w:r>
              <w:rPr>
                <w:color w:val="000000" w:themeColor="text1"/>
                <w14:textFill>
                  <w14:solidFill>
                    <w14:schemeClr w14:val="tx1"/>
                  </w14:solidFill>
                </w14:textFill>
              </w:rPr>
              <w:t>17</w:t>
            </w:r>
          </w:p>
        </w:tc>
        <w:tc>
          <w:tcPr>
            <w:tcW w:w="3128" w:type="dxa"/>
            <w:tcBorders>
              <w:top w:val="nil"/>
              <w:left w:val="nil"/>
              <w:bottom w:val="single" w:color="auto" w:sz="4" w:space="0"/>
              <w:right w:val="single" w:color="auto" w:sz="4" w:space="0"/>
            </w:tcBorders>
            <w:noWrap/>
            <w:vAlign w:val="center"/>
          </w:tcPr>
          <w:p w14:paraId="3A6B590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铬（六价） </w:t>
            </w:r>
          </w:p>
        </w:tc>
        <w:tc>
          <w:tcPr>
            <w:tcW w:w="993" w:type="dxa"/>
            <w:tcBorders>
              <w:top w:val="nil"/>
              <w:left w:val="nil"/>
              <w:bottom w:val="single" w:color="auto" w:sz="4" w:space="0"/>
              <w:right w:val="single" w:color="auto" w:sz="4" w:space="0"/>
            </w:tcBorders>
            <w:noWrap/>
            <w:vAlign w:val="center"/>
          </w:tcPr>
          <w:p w14:paraId="4344137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25ABFB4D">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2539" w:type="dxa"/>
            <w:vMerge w:val="continue"/>
            <w:tcBorders>
              <w:top w:val="nil"/>
              <w:left w:val="single" w:color="auto" w:sz="4" w:space="0"/>
              <w:bottom w:val="single" w:color="auto" w:sz="4" w:space="0"/>
              <w:right w:val="single" w:color="auto" w:sz="4" w:space="0"/>
            </w:tcBorders>
            <w:vAlign w:val="center"/>
          </w:tcPr>
          <w:p w14:paraId="51D4737E">
            <w:pPr>
              <w:pStyle w:val="109"/>
              <w:rPr>
                <w:color w:val="000000" w:themeColor="text1"/>
                <w14:textFill>
                  <w14:solidFill>
                    <w14:schemeClr w14:val="tx1"/>
                  </w14:solidFill>
                </w14:textFill>
              </w:rPr>
            </w:pPr>
          </w:p>
        </w:tc>
      </w:tr>
      <w:tr w14:paraId="52160E9C">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10567BE4">
            <w:pPr>
              <w:pStyle w:val="10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3128" w:type="dxa"/>
            <w:tcBorders>
              <w:top w:val="nil"/>
              <w:left w:val="nil"/>
              <w:bottom w:val="single" w:color="auto" w:sz="4" w:space="0"/>
              <w:right w:val="single" w:color="auto" w:sz="4" w:space="0"/>
            </w:tcBorders>
            <w:noWrap/>
            <w:vAlign w:val="center"/>
          </w:tcPr>
          <w:p w14:paraId="60DBA4E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铅 </w:t>
            </w:r>
          </w:p>
        </w:tc>
        <w:tc>
          <w:tcPr>
            <w:tcW w:w="993" w:type="dxa"/>
            <w:tcBorders>
              <w:top w:val="nil"/>
              <w:left w:val="nil"/>
              <w:bottom w:val="single" w:color="auto" w:sz="4" w:space="0"/>
              <w:right w:val="single" w:color="auto" w:sz="4" w:space="0"/>
            </w:tcBorders>
            <w:noWrap/>
            <w:vAlign w:val="center"/>
          </w:tcPr>
          <w:p w14:paraId="6552324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1D5F60AD">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2539" w:type="dxa"/>
            <w:vMerge w:val="continue"/>
            <w:tcBorders>
              <w:top w:val="nil"/>
              <w:left w:val="single" w:color="auto" w:sz="4" w:space="0"/>
              <w:bottom w:val="single" w:color="auto" w:sz="4" w:space="0"/>
              <w:right w:val="single" w:color="auto" w:sz="4" w:space="0"/>
            </w:tcBorders>
            <w:vAlign w:val="center"/>
          </w:tcPr>
          <w:p w14:paraId="6F0C9DFE">
            <w:pPr>
              <w:pStyle w:val="109"/>
              <w:rPr>
                <w:color w:val="000000" w:themeColor="text1"/>
                <w14:textFill>
                  <w14:solidFill>
                    <w14:schemeClr w14:val="tx1"/>
                  </w14:solidFill>
                </w14:textFill>
              </w:rPr>
            </w:pPr>
          </w:p>
        </w:tc>
      </w:tr>
      <w:tr w14:paraId="731C5493">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333B61E5">
            <w:pPr>
              <w:pStyle w:val="109"/>
              <w:rPr>
                <w:color w:val="000000" w:themeColor="text1"/>
                <w14:textFill>
                  <w14:solidFill>
                    <w14:schemeClr w14:val="tx1"/>
                  </w14:solidFill>
                </w14:textFill>
              </w:rPr>
            </w:pPr>
            <w:r>
              <w:rPr>
                <w:color w:val="000000" w:themeColor="text1"/>
                <w14:textFill>
                  <w14:solidFill>
                    <w14:schemeClr w14:val="tx1"/>
                  </w14:solidFill>
                </w14:textFill>
              </w:rPr>
              <w:t>19</w:t>
            </w:r>
          </w:p>
        </w:tc>
        <w:tc>
          <w:tcPr>
            <w:tcW w:w="3128" w:type="dxa"/>
            <w:tcBorders>
              <w:top w:val="nil"/>
              <w:left w:val="nil"/>
              <w:bottom w:val="single" w:color="auto" w:sz="4" w:space="0"/>
              <w:right w:val="single" w:color="auto" w:sz="4" w:space="0"/>
            </w:tcBorders>
            <w:noWrap/>
            <w:vAlign w:val="center"/>
          </w:tcPr>
          <w:p w14:paraId="0827654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四氯化碳 </w:t>
            </w:r>
          </w:p>
        </w:tc>
        <w:tc>
          <w:tcPr>
            <w:tcW w:w="993" w:type="dxa"/>
            <w:tcBorders>
              <w:top w:val="nil"/>
              <w:left w:val="nil"/>
              <w:bottom w:val="single" w:color="auto" w:sz="4" w:space="0"/>
              <w:right w:val="single" w:color="auto" w:sz="4" w:space="0"/>
            </w:tcBorders>
            <w:noWrap/>
            <w:vAlign w:val="center"/>
          </w:tcPr>
          <w:p w14:paraId="6A64715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2A5DD534">
            <w:pPr>
              <w:pStyle w:val="109"/>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2539" w:type="dxa"/>
            <w:vMerge w:val="continue"/>
            <w:tcBorders>
              <w:top w:val="nil"/>
              <w:left w:val="single" w:color="auto" w:sz="4" w:space="0"/>
              <w:bottom w:val="single" w:color="auto" w:sz="4" w:space="0"/>
              <w:right w:val="single" w:color="auto" w:sz="4" w:space="0"/>
            </w:tcBorders>
            <w:vAlign w:val="center"/>
          </w:tcPr>
          <w:p w14:paraId="6CC8EC40">
            <w:pPr>
              <w:pStyle w:val="109"/>
              <w:rPr>
                <w:color w:val="000000" w:themeColor="text1"/>
                <w14:textFill>
                  <w14:solidFill>
                    <w14:schemeClr w14:val="tx1"/>
                  </w14:solidFill>
                </w14:textFill>
              </w:rPr>
            </w:pPr>
          </w:p>
        </w:tc>
      </w:tr>
      <w:tr w14:paraId="0650EDF2">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20E57906">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3128" w:type="dxa"/>
            <w:tcBorders>
              <w:top w:val="nil"/>
              <w:left w:val="nil"/>
              <w:bottom w:val="single" w:color="auto" w:sz="4" w:space="0"/>
              <w:right w:val="single" w:color="auto" w:sz="4" w:space="0"/>
            </w:tcBorders>
            <w:noWrap/>
            <w:vAlign w:val="center"/>
          </w:tcPr>
          <w:p w14:paraId="1E60AB2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环氧氯丙烷 </w:t>
            </w:r>
          </w:p>
        </w:tc>
        <w:tc>
          <w:tcPr>
            <w:tcW w:w="993" w:type="dxa"/>
            <w:tcBorders>
              <w:top w:val="nil"/>
              <w:left w:val="nil"/>
              <w:bottom w:val="single" w:color="auto" w:sz="4" w:space="0"/>
              <w:right w:val="single" w:color="auto" w:sz="4" w:space="0"/>
            </w:tcBorders>
            <w:noWrap/>
            <w:vAlign w:val="center"/>
          </w:tcPr>
          <w:p w14:paraId="7D91E38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60D3C53B">
            <w:pPr>
              <w:pStyle w:val="109"/>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2539" w:type="dxa"/>
            <w:vMerge w:val="continue"/>
            <w:tcBorders>
              <w:top w:val="nil"/>
              <w:left w:val="single" w:color="auto" w:sz="4" w:space="0"/>
              <w:bottom w:val="single" w:color="auto" w:sz="4" w:space="0"/>
              <w:right w:val="single" w:color="auto" w:sz="4" w:space="0"/>
            </w:tcBorders>
            <w:vAlign w:val="center"/>
          </w:tcPr>
          <w:p w14:paraId="37425202">
            <w:pPr>
              <w:pStyle w:val="109"/>
              <w:rPr>
                <w:color w:val="000000" w:themeColor="text1"/>
                <w14:textFill>
                  <w14:solidFill>
                    <w14:schemeClr w14:val="tx1"/>
                  </w14:solidFill>
                </w14:textFill>
              </w:rPr>
            </w:pPr>
          </w:p>
        </w:tc>
      </w:tr>
      <w:tr w14:paraId="40AF1100">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69C520DF">
            <w:pPr>
              <w:pStyle w:val="109"/>
              <w:rPr>
                <w:color w:val="000000" w:themeColor="text1"/>
                <w14:textFill>
                  <w14:solidFill>
                    <w14:schemeClr w14:val="tx1"/>
                  </w14:solidFill>
                </w14:textFill>
              </w:rPr>
            </w:pPr>
            <w:r>
              <w:rPr>
                <w:color w:val="000000" w:themeColor="text1"/>
                <w14:textFill>
                  <w14:solidFill>
                    <w14:schemeClr w14:val="tx1"/>
                  </w14:solidFill>
                </w14:textFill>
              </w:rPr>
              <w:t>21</w:t>
            </w:r>
          </w:p>
        </w:tc>
        <w:tc>
          <w:tcPr>
            <w:tcW w:w="3128" w:type="dxa"/>
            <w:tcBorders>
              <w:top w:val="nil"/>
              <w:left w:val="nil"/>
              <w:bottom w:val="single" w:color="auto" w:sz="4" w:space="0"/>
              <w:right w:val="single" w:color="auto" w:sz="4" w:space="0"/>
            </w:tcBorders>
            <w:noWrap/>
            <w:vAlign w:val="center"/>
          </w:tcPr>
          <w:p w14:paraId="4A8B018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苯 </w:t>
            </w:r>
          </w:p>
        </w:tc>
        <w:tc>
          <w:tcPr>
            <w:tcW w:w="993" w:type="dxa"/>
            <w:tcBorders>
              <w:top w:val="nil"/>
              <w:left w:val="nil"/>
              <w:bottom w:val="single" w:color="auto" w:sz="4" w:space="0"/>
              <w:right w:val="single" w:color="auto" w:sz="4" w:space="0"/>
            </w:tcBorders>
            <w:noWrap/>
            <w:vAlign w:val="center"/>
          </w:tcPr>
          <w:p w14:paraId="51C73F5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63D59A29">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2539" w:type="dxa"/>
            <w:vMerge w:val="continue"/>
            <w:tcBorders>
              <w:top w:val="nil"/>
              <w:left w:val="single" w:color="auto" w:sz="4" w:space="0"/>
              <w:bottom w:val="single" w:color="auto" w:sz="4" w:space="0"/>
              <w:right w:val="single" w:color="auto" w:sz="4" w:space="0"/>
            </w:tcBorders>
            <w:vAlign w:val="center"/>
          </w:tcPr>
          <w:p w14:paraId="14880185">
            <w:pPr>
              <w:pStyle w:val="109"/>
              <w:rPr>
                <w:color w:val="000000" w:themeColor="text1"/>
                <w14:textFill>
                  <w14:solidFill>
                    <w14:schemeClr w14:val="tx1"/>
                  </w14:solidFill>
                </w14:textFill>
              </w:rPr>
            </w:pPr>
          </w:p>
        </w:tc>
      </w:tr>
      <w:tr w14:paraId="241DFF59">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172C03FF">
            <w:pPr>
              <w:pStyle w:val="109"/>
              <w:rPr>
                <w:color w:val="000000" w:themeColor="text1"/>
                <w14:textFill>
                  <w14:solidFill>
                    <w14:schemeClr w14:val="tx1"/>
                  </w14:solidFill>
                </w14:textFill>
              </w:rPr>
            </w:pPr>
            <w:r>
              <w:rPr>
                <w:color w:val="000000" w:themeColor="text1"/>
                <w14:textFill>
                  <w14:solidFill>
                    <w14:schemeClr w14:val="tx1"/>
                  </w14:solidFill>
                </w14:textFill>
              </w:rPr>
              <w:t>22</w:t>
            </w:r>
          </w:p>
        </w:tc>
        <w:tc>
          <w:tcPr>
            <w:tcW w:w="3128" w:type="dxa"/>
            <w:tcBorders>
              <w:top w:val="nil"/>
              <w:left w:val="nil"/>
              <w:bottom w:val="single" w:color="auto" w:sz="4" w:space="0"/>
              <w:right w:val="single" w:color="auto" w:sz="4" w:space="0"/>
            </w:tcBorders>
            <w:noWrap/>
            <w:vAlign w:val="center"/>
          </w:tcPr>
          <w:p w14:paraId="0EA1FCB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甲苯 </w:t>
            </w:r>
          </w:p>
        </w:tc>
        <w:tc>
          <w:tcPr>
            <w:tcW w:w="993" w:type="dxa"/>
            <w:tcBorders>
              <w:top w:val="nil"/>
              <w:left w:val="nil"/>
              <w:bottom w:val="single" w:color="auto" w:sz="4" w:space="0"/>
              <w:right w:val="single" w:color="auto" w:sz="4" w:space="0"/>
            </w:tcBorders>
            <w:noWrap/>
            <w:vAlign w:val="center"/>
          </w:tcPr>
          <w:p w14:paraId="7767EED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69426E18">
            <w:pPr>
              <w:pStyle w:val="109"/>
              <w:rPr>
                <w:color w:val="000000" w:themeColor="text1"/>
                <w14:textFill>
                  <w14:solidFill>
                    <w14:schemeClr w14:val="tx1"/>
                  </w14:solidFill>
                </w14:textFill>
              </w:rPr>
            </w:pPr>
            <w:r>
              <w:rPr>
                <w:color w:val="000000" w:themeColor="text1"/>
                <w14:textFill>
                  <w14:solidFill>
                    <w14:schemeClr w14:val="tx1"/>
                  </w14:solidFill>
                </w14:textFill>
              </w:rPr>
              <w:t>0.7</w:t>
            </w:r>
          </w:p>
        </w:tc>
        <w:tc>
          <w:tcPr>
            <w:tcW w:w="2539" w:type="dxa"/>
            <w:vMerge w:val="continue"/>
            <w:tcBorders>
              <w:top w:val="nil"/>
              <w:left w:val="single" w:color="auto" w:sz="4" w:space="0"/>
              <w:bottom w:val="single" w:color="auto" w:sz="4" w:space="0"/>
              <w:right w:val="single" w:color="auto" w:sz="4" w:space="0"/>
            </w:tcBorders>
            <w:vAlign w:val="center"/>
          </w:tcPr>
          <w:p w14:paraId="34866D5B">
            <w:pPr>
              <w:pStyle w:val="109"/>
              <w:rPr>
                <w:color w:val="000000" w:themeColor="text1"/>
                <w14:textFill>
                  <w14:solidFill>
                    <w14:schemeClr w14:val="tx1"/>
                  </w14:solidFill>
                </w14:textFill>
              </w:rPr>
            </w:pPr>
          </w:p>
        </w:tc>
      </w:tr>
      <w:tr w14:paraId="15ABDCF6">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2DD9B128">
            <w:pPr>
              <w:pStyle w:val="109"/>
              <w:rPr>
                <w:color w:val="000000" w:themeColor="text1"/>
                <w14:textFill>
                  <w14:solidFill>
                    <w14:schemeClr w14:val="tx1"/>
                  </w14:solidFill>
                </w14:textFill>
              </w:rPr>
            </w:pPr>
            <w:r>
              <w:rPr>
                <w:color w:val="000000" w:themeColor="text1"/>
                <w14:textFill>
                  <w14:solidFill>
                    <w14:schemeClr w14:val="tx1"/>
                  </w14:solidFill>
                </w14:textFill>
              </w:rPr>
              <w:t>23</w:t>
            </w:r>
          </w:p>
        </w:tc>
        <w:tc>
          <w:tcPr>
            <w:tcW w:w="3128" w:type="dxa"/>
            <w:tcBorders>
              <w:top w:val="nil"/>
              <w:left w:val="nil"/>
              <w:bottom w:val="single" w:color="auto" w:sz="4" w:space="0"/>
              <w:right w:val="single" w:color="auto" w:sz="4" w:space="0"/>
            </w:tcBorders>
            <w:noWrap/>
            <w:vAlign w:val="center"/>
          </w:tcPr>
          <w:p w14:paraId="136E0B6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乙苯 </w:t>
            </w:r>
          </w:p>
        </w:tc>
        <w:tc>
          <w:tcPr>
            <w:tcW w:w="993" w:type="dxa"/>
            <w:tcBorders>
              <w:top w:val="nil"/>
              <w:left w:val="nil"/>
              <w:bottom w:val="single" w:color="auto" w:sz="4" w:space="0"/>
              <w:right w:val="single" w:color="auto" w:sz="4" w:space="0"/>
            </w:tcBorders>
            <w:noWrap/>
            <w:vAlign w:val="center"/>
          </w:tcPr>
          <w:p w14:paraId="7FB70C0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2C567F68">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2539" w:type="dxa"/>
            <w:vMerge w:val="continue"/>
            <w:tcBorders>
              <w:top w:val="nil"/>
              <w:left w:val="single" w:color="auto" w:sz="4" w:space="0"/>
              <w:bottom w:val="single" w:color="auto" w:sz="4" w:space="0"/>
              <w:right w:val="single" w:color="auto" w:sz="4" w:space="0"/>
            </w:tcBorders>
            <w:vAlign w:val="center"/>
          </w:tcPr>
          <w:p w14:paraId="0D627840">
            <w:pPr>
              <w:pStyle w:val="109"/>
              <w:rPr>
                <w:color w:val="000000" w:themeColor="text1"/>
                <w14:textFill>
                  <w14:solidFill>
                    <w14:schemeClr w14:val="tx1"/>
                  </w14:solidFill>
                </w14:textFill>
              </w:rPr>
            </w:pPr>
          </w:p>
        </w:tc>
      </w:tr>
      <w:tr w14:paraId="6F378084">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7D487532">
            <w:pPr>
              <w:pStyle w:val="109"/>
              <w:rPr>
                <w:color w:val="000000" w:themeColor="text1"/>
                <w14:textFill>
                  <w14:solidFill>
                    <w14:schemeClr w14:val="tx1"/>
                  </w14:solidFill>
                </w14:textFill>
              </w:rPr>
            </w:pPr>
            <w:r>
              <w:rPr>
                <w:color w:val="000000" w:themeColor="text1"/>
                <w14:textFill>
                  <w14:solidFill>
                    <w14:schemeClr w14:val="tx1"/>
                  </w14:solidFill>
                </w14:textFill>
              </w:rPr>
              <w:t>24</w:t>
            </w:r>
          </w:p>
        </w:tc>
        <w:tc>
          <w:tcPr>
            <w:tcW w:w="3128" w:type="dxa"/>
            <w:tcBorders>
              <w:top w:val="nil"/>
              <w:left w:val="nil"/>
              <w:bottom w:val="single" w:color="auto" w:sz="4" w:space="0"/>
              <w:right w:val="single" w:color="auto" w:sz="4" w:space="0"/>
            </w:tcBorders>
            <w:noWrap/>
            <w:vAlign w:val="center"/>
          </w:tcPr>
          <w:p w14:paraId="5FC5095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二甲苯 </w:t>
            </w:r>
          </w:p>
        </w:tc>
        <w:tc>
          <w:tcPr>
            <w:tcW w:w="993" w:type="dxa"/>
            <w:tcBorders>
              <w:top w:val="nil"/>
              <w:left w:val="nil"/>
              <w:bottom w:val="single" w:color="auto" w:sz="4" w:space="0"/>
              <w:right w:val="single" w:color="auto" w:sz="4" w:space="0"/>
            </w:tcBorders>
            <w:noWrap/>
            <w:vAlign w:val="center"/>
          </w:tcPr>
          <w:p w14:paraId="2503D99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1FC07724">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2539" w:type="dxa"/>
            <w:vMerge w:val="continue"/>
            <w:tcBorders>
              <w:top w:val="nil"/>
              <w:left w:val="single" w:color="auto" w:sz="4" w:space="0"/>
              <w:bottom w:val="single" w:color="auto" w:sz="4" w:space="0"/>
              <w:right w:val="single" w:color="auto" w:sz="4" w:space="0"/>
            </w:tcBorders>
            <w:vAlign w:val="center"/>
          </w:tcPr>
          <w:p w14:paraId="35A75368">
            <w:pPr>
              <w:pStyle w:val="109"/>
              <w:rPr>
                <w:color w:val="000000" w:themeColor="text1"/>
                <w14:textFill>
                  <w14:solidFill>
                    <w14:schemeClr w14:val="tx1"/>
                  </w14:solidFill>
                </w14:textFill>
              </w:rPr>
            </w:pPr>
          </w:p>
        </w:tc>
      </w:tr>
      <w:tr w14:paraId="58F45793">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3F4A2996">
            <w:pPr>
              <w:pStyle w:val="109"/>
              <w:rPr>
                <w:color w:val="000000" w:themeColor="text1"/>
                <w14:textFill>
                  <w14:solidFill>
                    <w14:schemeClr w14:val="tx1"/>
                  </w14:solidFill>
                </w14:textFill>
              </w:rPr>
            </w:pPr>
            <w:r>
              <w:rPr>
                <w:color w:val="000000" w:themeColor="text1"/>
                <w14:textFill>
                  <w14:solidFill>
                    <w14:schemeClr w14:val="tx1"/>
                  </w14:solidFill>
                </w14:textFill>
              </w:rPr>
              <w:t>25</w:t>
            </w:r>
          </w:p>
        </w:tc>
        <w:tc>
          <w:tcPr>
            <w:tcW w:w="3128" w:type="dxa"/>
            <w:tcBorders>
              <w:top w:val="nil"/>
              <w:left w:val="nil"/>
              <w:bottom w:val="single" w:color="auto" w:sz="4" w:space="0"/>
              <w:right w:val="single" w:color="auto" w:sz="4" w:space="0"/>
            </w:tcBorders>
            <w:noWrap/>
            <w:vAlign w:val="center"/>
          </w:tcPr>
          <w:p w14:paraId="1B2A2D0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异丙苯 </w:t>
            </w:r>
          </w:p>
        </w:tc>
        <w:tc>
          <w:tcPr>
            <w:tcW w:w="993" w:type="dxa"/>
            <w:tcBorders>
              <w:top w:val="nil"/>
              <w:left w:val="nil"/>
              <w:bottom w:val="single" w:color="auto" w:sz="4" w:space="0"/>
              <w:right w:val="single" w:color="auto" w:sz="4" w:space="0"/>
            </w:tcBorders>
            <w:noWrap/>
            <w:vAlign w:val="center"/>
          </w:tcPr>
          <w:p w14:paraId="3C0ED8C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209E7B8C">
            <w:pPr>
              <w:pStyle w:val="109"/>
              <w:rPr>
                <w:color w:val="000000" w:themeColor="text1"/>
                <w14:textFill>
                  <w14:solidFill>
                    <w14:schemeClr w14:val="tx1"/>
                  </w14:solidFill>
                </w14:textFill>
              </w:rPr>
            </w:pPr>
            <w:r>
              <w:rPr>
                <w:color w:val="000000" w:themeColor="text1"/>
                <w14:textFill>
                  <w14:solidFill>
                    <w14:schemeClr w14:val="tx1"/>
                  </w14:solidFill>
                </w14:textFill>
              </w:rPr>
              <w:t>0.25</w:t>
            </w:r>
          </w:p>
        </w:tc>
        <w:tc>
          <w:tcPr>
            <w:tcW w:w="2539" w:type="dxa"/>
            <w:vMerge w:val="continue"/>
            <w:tcBorders>
              <w:top w:val="nil"/>
              <w:left w:val="single" w:color="auto" w:sz="4" w:space="0"/>
              <w:bottom w:val="single" w:color="auto" w:sz="4" w:space="0"/>
              <w:right w:val="single" w:color="auto" w:sz="4" w:space="0"/>
            </w:tcBorders>
            <w:vAlign w:val="center"/>
          </w:tcPr>
          <w:p w14:paraId="7AF66101">
            <w:pPr>
              <w:pStyle w:val="109"/>
              <w:rPr>
                <w:color w:val="000000" w:themeColor="text1"/>
                <w14:textFill>
                  <w14:solidFill>
                    <w14:schemeClr w14:val="tx1"/>
                  </w14:solidFill>
                </w14:textFill>
              </w:rPr>
            </w:pPr>
          </w:p>
        </w:tc>
      </w:tr>
      <w:tr w14:paraId="0E59BB9A">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30D0981E">
            <w:pPr>
              <w:pStyle w:val="109"/>
              <w:rPr>
                <w:color w:val="000000" w:themeColor="text1"/>
                <w14:textFill>
                  <w14:solidFill>
                    <w14:schemeClr w14:val="tx1"/>
                  </w14:solidFill>
                </w14:textFill>
              </w:rPr>
            </w:pPr>
            <w:r>
              <w:rPr>
                <w:color w:val="000000" w:themeColor="text1"/>
                <w14:textFill>
                  <w14:solidFill>
                    <w14:schemeClr w14:val="tx1"/>
                  </w14:solidFill>
                </w14:textFill>
              </w:rPr>
              <w:t>26</w:t>
            </w:r>
          </w:p>
        </w:tc>
        <w:tc>
          <w:tcPr>
            <w:tcW w:w="3128" w:type="dxa"/>
            <w:tcBorders>
              <w:top w:val="nil"/>
              <w:left w:val="nil"/>
              <w:bottom w:val="single" w:color="auto" w:sz="4" w:space="0"/>
              <w:right w:val="single" w:color="auto" w:sz="4" w:space="0"/>
            </w:tcBorders>
            <w:noWrap/>
            <w:vAlign w:val="center"/>
          </w:tcPr>
          <w:p w14:paraId="4D68781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氯苯 </w:t>
            </w:r>
          </w:p>
        </w:tc>
        <w:tc>
          <w:tcPr>
            <w:tcW w:w="993" w:type="dxa"/>
            <w:tcBorders>
              <w:top w:val="nil"/>
              <w:left w:val="nil"/>
              <w:bottom w:val="single" w:color="auto" w:sz="4" w:space="0"/>
              <w:right w:val="single" w:color="auto" w:sz="4" w:space="0"/>
            </w:tcBorders>
            <w:noWrap/>
            <w:vAlign w:val="center"/>
          </w:tcPr>
          <w:p w14:paraId="3BD3BEE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454EA43D">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2539" w:type="dxa"/>
            <w:vMerge w:val="continue"/>
            <w:tcBorders>
              <w:top w:val="nil"/>
              <w:left w:val="single" w:color="auto" w:sz="4" w:space="0"/>
              <w:bottom w:val="single" w:color="auto" w:sz="4" w:space="0"/>
              <w:right w:val="single" w:color="auto" w:sz="4" w:space="0"/>
            </w:tcBorders>
            <w:vAlign w:val="center"/>
          </w:tcPr>
          <w:p w14:paraId="74FFA494">
            <w:pPr>
              <w:pStyle w:val="109"/>
              <w:rPr>
                <w:color w:val="000000" w:themeColor="text1"/>
                <w14:textFill>
                  <w14:solidFill>
                    <w14:schemeClr w14:val="tx1"/>
                  </w14:solidFill>
                </w14:textFill>
              </w:rPr>
            </w:pPr>
          </w:p>
        </w:tc>
      </w:tr>
      <w:tr w14:paraId="18F13D9D">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237EC3E9">
            <w:pPr>
              <w:pStyle w:val="109"/>
              <w:rPr>
                <w:color w:val="000000" w:themeColor="text1"/>
                <w14:textFill>
                  <w14:solidFill>
                    <w14:schemeClr w14:val="tx1"/>
                  </w14:solidFill>
                </w14:textFill>
              </w:rPr>
            </w:pPr>
            <w:r>
              <w:rPr>
                <w:color w:val="000000" w:themeColor="text1"/>
                <w14:textFill>
                  <w14:solidFill>
                    <w14:schemeClr w14:val="tx1"/>
                  </w14:solidFill>
                </w14:textFill>
              </w:rPr>
              <w:t>27</w:t>
            </w:r>
          </w:p>
        </w:tc>
        <w:tc>
          <w:tcPr>
            <w:tcW w:w="3128" w:type="dxa"/>
            <w:tcBorders>
              <w:top w:val="nil"/>
              <w:left w:val="nil"/>
              <w:bottom w:val="single" w:color="auto" w:sz="4" w:space="0"/>
              <w:right w:val="single" w:color="auto" w:sz="4" w:space="0"/>
            </w:tcBorders>
            <w:noWrap/>
            <w:vAlign w:val="center"/>
          </w:tcPr>
          <w:p w14:paraId="512E87A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苯胺 </w:t>
            </w:r>
          </w:p>
        </w:tc>
        <w:tc>
          <w:tcPr>
            <w:tcW w:w="993" w:type="dxa"/>
            <w:tcBorders>
              <w:top w:val="nil"/>
              <w:left w:val="nil"/>
              <w:bottom w:val="single" w:color="auto" w:sz="4" w:space="0"/>
              <w:right w:val="single" w:color="auto" w:sz="4" w:space="0"/>
            </w:tcBorders>
            <w:noWrap/>
            <w:vAlign w:val="center"/>
          </w:tcPr>
          <w:p w14:paraId="0115F7F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42D79035">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2539" w:type="dxa"/>
            <w:vMerge w:val="continue"/>
            <w:tcBorders>
              <w:top w:val="nil"/>
              <w:left w:val="single" w:color="auto" w:sz="4" w:space="0"/>
              <w:bottom w:val="single" w:color="auto" w:sz="4" w:space="0"/>
              <w:right w:val="single" w:color="auto" w:sz="4" w:space="0"/>
            </w:tcBorders>
            <w:vAlign w:val="center"/>
          </w:tcPr>
          <w:p w14:paraId="62C41F4A">
            <w:pPr>
              <w:pStyle w:val="109"/>
              <w:rPr>
                <w:color w:val="000000" w:themeColor="text1"/>
                <w14:textFill>
                  <w14:solidFill>
                    <w14:schemeClr w14:val="tx1"/>
                  </w14:solidFill>
                </w14:textFill>
              </w:rPr>
            </w:pPr>
          </w:p>
        </w:tc>
      </w:tr>
      <w:tr w14:paraId="5A83C9E7">
        <w:tblPrEx>
          <w:tblCellMar>
            <w:top w:w="0" w:type="dxa"/>
            <w:left w:w="108" w:type="dxa"/>
            <w:bottom w:w="0" w:type="dxa"/>
            <w:right w:w="108" w:type="dxa"/>
          </w:tblCellMar>
        </w:tblPrEx>
        <w:trPr>
          <w:trHeight w:val="276" w:hRule="atLeast"/>
        </w:trPr>
        <w:tc>
          <w:tcPr>
            <w:tcW w:w="978" w:type="dxa"/>
            <w:tcBorders>
              <w:top w:val="nil"/>
              <w:left w:val="single" w:color="auto" w:sz="4" w:space="0"/>
              <w:bottom w:val="single" w:color="auto" w:sz="4" w:space="0"/>
              <w:right w:val="single" w:color="auto" w:sz="4" w:space="0"/>
            </w:tcBorders>
            <w:noWrap/>
            <w:vAlign w:val="center"/>
          </w:tcPr>
          <w:p w14:paraId="79D580CE">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c>
          <w:tcPr>
            <w:tcW w:w="3128" w:type="dxa"/>
            <w:tcBorders>
              <w:top w:val="nil"/>
              <w:left w:val="nil"/>
              <w:bottom w:val="single" w:color="auto" w:sz="4" w:space="0"/>
              <w:right w:val="single" w:color="auto" w:sz="4" w:space="0"/>
            </w:tcBorders>
            <w:noWrap/>
            <w:vAlign w:val="center"/>
          </w:tcPr>
          <w:p w14:paraId="0EBB57B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吡啶 </w:t>
            </w:r>
          </w:p>
        </w:tc>
        <w:tc>
          <w:tcPr>
            <w:tcW w:w="993" w:type="dxa"/>
            <w:tcBorders>
              <w:top w:val="nil"/>
              <w:left w:val="nil"/>
              <w:bottom w:val="single" w:color="auto" w:sz="4" w:space="0"/>
              <w:right w:val="single" w:color="auto" w:sz="4" w:space="0"/>
            </w:tcBorders>
            <w:noWrap/>
            <w:vAlign w:val="center"/>
          </w:tcPr>
          <w:p w14:paraId="4420210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c>
          <w:tcPr>
            <w:tcW w:w="1700" w:type="dxa"/>
            <w:tcBorders>
              <w:top w:val="nil"/>
              <w:left w:val="nil"/>
              <w:bottom w:val="single" w:color="auto" w:sz="4" w:space="0"/>
              <w:right w:val="single" w:color="auto" w:sz="4" w:space="0"/>
            </w:tcBorders>
            <w:noWrap/>
            <w:vAlign w:val="center"/>
          </w:tcPr>
          <w:p w14:paraId="1FA0E450">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2539" w:type="dxa"/>
            <w:vMerge w:val="continue"/>
            <w:tcBorders>
              <w:top w:val="nil"/>
              <w:left w:val="single" w:color="auto" w:sz="4" w:space="0"/>
              <w:bottom w:val="single" w:color="auto" w:sz="4" w:space="0"/>
              <w:right w:val="single" w:color="auto" w:sz="4" w:space="0"/>
            </w:tcBorders>
            <w:vAlign w:val="center"/>
          </w:tcPr>
          <w:p w14:paraId="7A639CD0">
            <w:pPr>
              <w:pStyle w:val="109"/>
              <w:rPr>
                <w:color w:val="000000" w:themeColor="text1"/>
                <w14:textFill>
                  <w14:solidFill>
                    <w14:schemeClr w14:val="tx1"/>
                  </w14:solidFill>
                </w14:textFill>
              </w:rPr>
            </w:pPr>
          </w:p>
        </w:tc>
      </w:tr>
      <w:tr w14:paraId="1C4470B3">
        <w:tblPrEx>
          <w:tblCellMar>
            <w:top w:w="0" w:type="dxa"/>
            <w:left w:w="108" w:type="dxa"/>
            <w:bottom w:w="0" w:type="dxa"/>
            <w:right w:w="108" w:type="dxa"/>
          </w:tblCellMar>
        </w:tblPrEx>
        <w:trPr>
          <w:trHeight w:val="276" w:hRule="atLeast"/>
        </w:trPr>
        <w:tc>
          <w:tcPr>
            <w:tcW w:w="6799" w:type="dxa"/>
            <w:gridSpan w:val="4"/>
            <w:tcBorders>
              <w:top w:val="single" w:color="auto" w:sz="4" w:space="0"/>
              <w:left w:val="single" w:color="auto" w:sz="4" w:space="0"/>
              <w:bottom w:val="single" w:color="auto" w:sz="4" w:space="0"/>
              <w:right w:val="single" w:color="auto" w:sz="4" w:space="0"/>
            </w:tcBorders>
            <w:noWrap/>
            <w:vAlign w:val="center"/>
          </w:tcPr>
          <w:p w14:paraId="0CE583F4">
            <w:pPr>
              <w:pStyle w:val="109"/>
              <w:rPr>
                <w:color w:val="000000" w:themeColor="text1"/>
                <w14:textFill>
                  <w14:solidFill>
                    <w14:schemeClr w14:val="tx1"/>
                  </w14:solidFill>
                </w14:textFill>
              </w:rPr>
            </w:pPr>
            <w:r>
              <w:rPr>
                <w:color w:val="000000" w:themeColor="text1"/>
                <w14:textFill>
                  <w14:solidFill>
                    <w14:schemeClr w14:val="tx1"/>
                  </w14:solidFill>
                </w14:textFill>
              </w:rPr>
              <w:t>注：该限值为100g 待测盐样品溶解于1L 水中的监测数据。</w:t>
            </w:r>
          </w:p>
        </w:tc>
        <w:tc>
          <w:tcPr>
            <w:tcW w:w="2539" w:type="dxa"/>
            <w:vMerge w:val="continue"/>
            <w:tcBorders>
              <w:top w:val="nil"/>
              <w:left w:val="single" w:color="auto" w:sz="4" w:space="0"/>
              <w:bottom w:val="single" w:color="auto" w:sz="4" w:space="0"/>
              <w:right w:val="single" w:color="auto" w:sz="4" w:space="0"/>
            </w:tcBorders>
            <w:vAlign w:val="center"/>
          </w:tcPr>
          <w:p w14:paraId="5C03E3BB">
            <w:pPr>
              <w:pStyle w:val="109"/>
              <w:rPr>
                <w:color w:val="000000" w:themeColor="text1"/>
                <w14:textFill>
                  <w14:solidFill>
                    <w14:schemeClr w14:val="tx1"/>
                  </w14:solidFill>
                </w14:textFill>
              </w:rPr>
            </w:pPr>
          </w:p>
        </w:tc>
      </w:tr>
    </w:tbl>
    <w:p w14:paraId="65D7A4F3">
      <w:pPr>
        <w:ind w:firstLine="480"/>
        <w:jc w:val="center"/>
        <w:rPr>
          <w:color w:val="000000" w:themeColor="text1"/>
          <w14:textFill>
            <w14:solidFill>
              <w14:schemeClr w14:val="tx1"/>
            </w14:solidFill>
          </w14:textFill>
        </w:rPr>
      </w:pPr>
    </w:p>
    <w:p w14:paraId="219ABABF">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《融雪剂》（GB/T23851-2017）产品质量标准</w:t>
      </w:r>
    </w:p>
    <w:p w14:paraId="7F55E203">
      <w:pPr>
        <w:ind w:firstLine="0" w:firstLineChars="0"/>
        <w:jc w:val="center"/>
        <w:rPr>
          <w:rFonts w:eastAsia="黑体"/>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34710" cy="3878580"/>
            <wp:effectExtent l="0" t="0" r="8890" b="7620"/>
            <wp:docPr id="29438881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88814" name="图片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40145" cy="3881890"/>
                    </a:xfrm>
                    <a:prstGeom prst="rect">
                      <a:avLst/>
                    </a:prstGeom>
                    <a:noFill/>
                    <a:ln>
                      <a:noFill/>
                    </a:ln>
                  </pic:spPr>
                </pic:pic>
              </a:graphicData>
            </a:graphic>
          </wp:inline>
        </w:drawing>
      </w:r>
    </w:p>
    <w:p w14:paraId="1F66BDCC">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产品界定依据</w:t>
      </w:r>
    </w:p>
    <w:p w14:paraId="44058C30">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一、《固体废物鉴别标准通则》</w:t>
      </w:r>
      <w:r>
        <w:rPr>
          <w:b/>
          <w:bCs/>
          <w:color w:val="000000" w:themeColor="text1"/>
          <w:lang w:bidi="en-US"/>
          <w14:textFill>
            <w14:solidFill>
              <w14:schemeClr w14:val="tx1"/>
            </w14:solidFill>
          </w14:textFill>
        </w:rPr>
        <w:t>（</w:t>
      </w:r>
      <w:r>
        <w:rPr>
          <w:rFonts w:eastAsia="Times New Roman"/>
          <w:b/>
          <w:bCs/>
          <w:color w:val="000000" w:themeColor="text1"/>
          <w:lang w:bidi="en-US"/>
          <w14:textFill>
            <w14:solidFill>
              <w14:schemeClr w14:val="tx1"/>
            </w14:solidFill>
          </w14:textFill>
        </w:rPr>
        <w:t>GB34330-2025</w:t>
      </w:r>
      <w:r>
        <w:rPr>
          <w:b/>
          <w:bCs/>
          <w:color w:val="000000" w:themeColor="text1"/>
          <w:lang w:bidi="en-US"/>
          <w14:textFill>
            <w14:solidFill>
              <w14:schemeClr w14:val="tx1"/>
            </w14:solidFill>
          </w14:textFill>
        </w:rPr>
        <w:t>）相关内容</w:t>
      </w:r>
    </w:p>
    <w:p w14:paraId="02D6A275">
      <w:pPr>
        <w:ind w:firstLine="480"/>
        <w:rPr>
          <w:color w:val="000000" w:themeColor="text1"/>
          <w14:textFill>
            <w14:solidFill>
              <w14:schemeClr w14:val="tx1"/>
            </w14:solidFill>
          </w14:textFill>
        </w:rPr>
      </w:pPr>
      <w:r>
        <w:rPr>
          <w:color w:val="000000" w:themeColor="text1"/>
          <w14:textFill>
            <w14:solidFill>
              <w14:schemeClr w14:val="tx1"/>
            </w14:solidFill>
          </w14:textFill>
        </w:rPr>
        <w:t>根据《固体废物鉴别标准通则》</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GB34330-2025</w:t>
      </w:r>
      <w:r>
        <w:rPr>
          <w:color w:val="000000" w:themeColor="text1"/>
          <w:lang w:bidi="en-US"/>
          <w14:textFill>
            <w14:solidFill>
              <w14:schemeClr w14:val="tx1"/>
            </w14:solidFill>
          </w14:textFill>
        </w:rPr>
        <w:t>）</w:t>
      </w:r>
      <w:r>
        <w:rPr>
          <w:color w:val="000000" w:themeColor="text1"/>
          <w14:textFill>
            <w14:solidFill>
              <w14:schemeClr w14:val="tx1"/>
            </w14:solidFill>
          </w14:textFill>
        </w:rPr>
        <w:t>中第</w:t>
      </w:r>
      <w:r>
        <w:rPr>
          <w:rFonts w:hint="eastAsia" w:eastAsiaTheme="minorEastAsia"/>
          <w:color w:val="000000" w:themeColor="text1"/>
          <w:lang w:bidi="en-US"/>
          <w14:textFill>
            <w14:solidFill>
              <w14:schemeClr w14:val="tx1"/>
            </w14:solidFill>
          </w14:textFill>
        </w:rPr>
        <w:t>6.1</w:t>
      </w:r>
      <w:r>
        <w:rPr>
          <w:color w:val="000000" w:themeColor="text1"/>
          <w14:textFill>
            <w14:solidFill>
              <w14:schemeClr w14:val="tx1"/>
            </w14:solidFill>
          </w14:textFill>
        </w:rPr>
        <w:t>条内容：</w:t>
      </w:r>
      <w:r>
        <w:rPr>
          <w:rFonts w:hint="eastAsia"/>
          <w:color w:val="000000" w:themeColor="text1"/>
          <w14:textFill>
            <w14:solidFill>
              <w14:schemeClr w14:val="tx1"/>
            </w14:solidFill>
          </w14:textFill>
        </w:rPr>
        <w:t>市场上存在使用正常原料生产的同类物质，并同时满足以下条件时，不属于固体废物，否则均属于固体废物：</w:t>
      </w:r>
    </w:p>
    <w:p w14:paraId="025C555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物质组成（有效成分含量和杂质限量）及性能指标符合以下任一国家或行业通行的标准，并按标准规定的用途使用：</w:t>
      </w:r>
    </w:p>
    <w:p w14:paraId="4478735E">
      <w:pPr>
        <w:ind w:firstLine="96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1） 针对固体废物利用工艺制定的产品质量标准；</w:t>
      </w:r>
    </w:p>
    <w:p w14:paraId="726FDCBD">
      <w:pPr>
        <w:ind w:firstLine="96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2） 市场上使用正常原料生产的同类物质的质量标准。</w:t>
      </w:r>
    </w:p>
    <w:p w14:paraId="2ECD53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除正常物质组成之外，其他对人体健康或生态环境有害的物质，符合相关国家污染控制标准所规定的含量限值［含量限值包含6.1a）规定的所有使用情形］，或技术规范所规定的技术要求。当没有国家污染控制标准或技术规范时，与被替代物质相比，满足以下任意条件：</w:t>
      </w:r>
    </w:p>
    <w:p w14:paraId="75C7715C">
      <w:pPr>
        <w:ind w:firstLine="96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1） 产物中环境有害成分含量［6.1a）标准规定除外］不得高于被替代物质；或所含有害成分</w:t>
      </w:r>
    </w:p>
    <w:p w14:paraId="7524E502">
      <w:pPr>
        <w:ind w:firstLine="96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2） 如该产物替代工业原料使用时，生产的产品所含有害成分含量符合6.1a）和6.1b）1）在被替代物质任何使用过程中均不足以对人体健康或生态环境造成不利的影响；规定的要求，且生产过程排放到环境中的污染物应不高于污染控制标准所规定的排放要求。当特征污染物缺乏相应的排放控制限值时，污染物排放应不高于使用被替代原料的情形，或不足以对人体健康或生态环境造成不利的影响；</w:t>
      </w:r>
    </w:p>
    <w:p w14:paraId="4AC759FF">
      <w:pPr>
        <w:ind w:firstLine="96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3） 如该产物替代燃料使用时，排放到环境中的污染物应不高于该燃烧设施污染控制标准所规定的污染物排放要求。当该特征污染物缺乏相应的排放限值时，污染物排放应不高于使用被替代燃料的情形，或不足以对人体健康或生态环境造成不利的影响。</w:t>
      </w:r>
    </w:p>
    <w:p w14:paraId="216DE26D">
      <w:pPr>
        <w:ind w:firstLine="480"/>
        <w:rPr>
          <w:color w:val="000000" w:themeColor="text1"/>
          <w14:textFill>
            <w14:solidFill>
              <w14:schemeClr w14:val="tx1"/>
            </w14:solidFill>
          </w14:textFill>
        </w:rPr>
      </w:pPr>
      <w:r>
        <w:rPr>
          <w:color w:val="000000" w:themeColor="text1"/>
          <w14:textFill>
            <w14:solidFill>
              <w14:schemeClr w14:val="tx1"/>
            </w14:solidFill>
          </w14:textFill>
        </w:rPr>
        <w:t>第</w:t>
      </w:r>
      <w:r>
        <w:rPr>
          <w:rFonts w:hint="eastAsia" w:eastAsiaTheme="minorEastAsia"/>
          <w:color w:val="000000" w:themeColor="text1"/>
          <w:lang w:bidi="en-US"/>
          <w14:textFill>
            <w14:solidFill>
              <w14:schemeClr w14:val="tx1"/>
            </w14:solidFill>
          </w14:textFill>
        </w:rPr>
        <w:t>7.1</w:t>
      </w:r>
      <w:r>
        <w:rPr>
          <w:color w:val="000000" w:themeColor="text1"/>
          <w14:textFill>
            <w14:solidFill>
              <w14:schemeClr w14:val="tx1"/>
            </w14:solidFill>
          </w14:textFill>
        </w:rPr>
        <w:t>条内容：</w:t>
      </w:r>
      <w:r>
        <w:rPr>
          <w:rFonts w:hint="eastAsia"/>
          <w:color w:val="000000" w:themeColor="text1"/>
          <w14:textFill>
            <w14:solidFill>
              <w14:schemeClr w14:val="tx1"/>
            </w14:solidFill>
          </w14:textFill>
        </w:rPr>
        <w:t>任何物质（包括本标准其他条款规定的鉴别不属于固体废物的物质）按照（包括计划按照，以及依据相关法规必须按照）以下任意一种方式进行利用或处置的，均属于固体废物：</w:t>
      </w:r>
    </w:p>
    <w:p w14:paraId="424BB37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倾倒和非法处置。</w:t>
      </w:r>
    </w:p>
    <w:p w14:paraId="139FE9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填埋。</w:t>
      </w:r>
    </w:p>
    <w:p w14:paraId="10B9BE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焚烧。采用直接燃烧或气化燃烧等高温过程分解有机物，达到减量化或减除污染物的主要目的。包括在受控焚烧设施中焚烧，以及不受控的露天焚烧。</w:t>
      </w:r>
    </w:p>
    <w:p w14:paraId="5338F9D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 以回收热能或兼顾回收热能的燃烧。不包括下列燃料的燃烧，但包括在下列燃烧中添加燃料中不应含有的物质：</w:t>
      </w:r>
    </w:p>
    <w:p w14:paraId="7B2281EF">
      <w:pPr>
        <w:ind w:firstLine="96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1） 传统化石燃料（煤、石油炼制油和煤制油、天然气、煤气、焦炭），生物质气化、碳化、醇化、酯化、氢化燃料，以及上述燃料混配产物的燃烧；</w:t>
      </w:r>
    </w:p>
    <w:p w14:paraId="1F2A2B0E">
      <w:pPr>
        <w:ind w:firstLine="96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2） 在设计使用的设施和炉具中直接燃烧未添加其他任何化学物质的生物质燃料（包括生物质成型燃料）；</w:t>
      </w:r>
    </w:p>
    <w:p w14:paraId="6562DBC9">
      <w:pPr>
        <w:ind w:firstLine="96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3） 其他满足5.4和第6章规定的鉴别条件的燃料的燃烧。</w:t>
      </w:r>
    </w:p>
    <w:p w14:paraId="56540FA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 将原始用途不作为农药、肥料和土壤调理剂的物质（不包括土壤），以土壤改良、地块改造、地块修复和其他土地利用方式直接施用于土地。</w:t>
      </w:r>
    </w:p>
    <w:p w14:paraId="46E9AA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 将原始用途不是用于建筑或筑路的材料，直接作为建筑地基或筑路材料使用。</w:t>
      </w:r>
    </w:p>
    <w:p w14:paraId="21184D6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g） 将不具有实际功能的物质作为原料或原料的替代品。</w:t>
      </w:r>
    </w:p>
    <w:p w14:paraId="002D71EF">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二、《固体废物再生利用污染防治技术导则》</w:t>
      </w:r>
      <w:r>
        <w:rPr>
          <w:b/>
          <w:bCs/>
          <w:color w:val="000000" w:themeColor="text1"/>
          <w:lang w:bidi="en-US"/>
          <w14:textFill>
            <w14:solidFill>
              <w14:schemeClr w14:val="tx1"/>
            </w14:solidFill>
          </w14:textFill>
        </w:rPr>
        <w:t>（</w:t>
      </w:r>
      <w:r>
        <w:rPr>
          <w:rFonts w:eastAsia="Times New Roman"/>
          <w:b/>
          <w:bCs/>
          <w:color w:val="000000" w:themeColor="text1"/>
          <w:lang w:bidi="en-US"/>
          <w14:textFill>
            <w14:solidFill>
              <w14:schemeClr w14:val="tx1"/>
            </w14:solidFill>
          </w14:textFill>
        </w:rPr>
        <w:t>HJ1091-2020</w:t>
      </w:r>
      <w:r>
        <w:rPr>
          <w:b/>
          <w:bCs/>
          <w:color w:val="000000" w:themeColor="text1"/>
          <w:lang w:bidi="en-US"/>
          <w14:textFill>
            <w14:solidFill>
              <w14:schemeClr w14:val="tx1"/>
            </w14:solidFill>
          </w14:textFill>
        </w:rPr>
        <w:t>）相关内容</w:t>
      </w:r>
    </w:p>
    <w:p w14:paraId="5CD455BD">
      <w:pPr>
        <w:ind w:firstLine="480"/>
        <w:rPr>
          <w:color w:val="000000" w:themeColor="text1"/>
          <w14:textFill>
            <w14:solidFill>
              <w14:schemeClr w14:val="tx1"/>
            </w14:solidFill>
          </w14:textFill>
        </w:rPr>
      </w:pPr>
      <w:r>
        <w:rPr>
          <w:color w:val="000000" w:themeColor="text1"/>
          <w14:textFill>
            <w14:solidFill>
              <w14:schemeClr w14:val="tx1"/>
            </w14:solidFill>
          </w14:textFill>
        </w:rPr>
        <w:t>根据《固体废物再生利用污染防治技术导则》</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HJ1091-2020</w:t>
      </w:r>
      <w:r>
        <w:rPr>
          <w:color w:val="000000" w:themeColor="text1"/>
          <w:lang w:bidi="en-US"/>
          <w14:textFill>
            <w14:solidFill>
              <w14:schemeClr w14:val="tx1"/>
            </w14:solidFill>
          </w14:textFill>
        </w:rPr>
        <w:t>），</w:t>
      </w: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固体废物再生利用过程产生的各种污染物的排放应满足国家和地方的污染物排放（控制）标准与排污许可要求。</w:t>
      </w: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固体废物再生利用产物作为产品的，应符合</w:t>
      </w:r>
      <w:r>
        <w:rPr>
          <w:rFonts w:eastAsia="Times New Roman"/>
          <w:color w:val="000000" w:themeColor="text1"/>
          <w:lang w:bidi="en-US"/>
          <w14:textFill>
            <w14:solidFill>
              <w14:schemeClr w14:val="tx1"/>
            </w14:solidFill>
          </w14:textFill>
        </w:rPr>
        <w:t>GB34330</w:t>
      </w:r>
      <w:r>
        <w:rPr>
          <w:color w:val="000000" w:themeColor="text1"/>
          <w14:textFill>
            <w14:solidFill>
              <w14:schemeClr w14:val="tx1"/>
            </w14:solidFill>
          </w14:textFill>
        </w:rPr>
        <w:t>中要求的国家、地方制定或行业通行的产品质量标准，与国家相关污染控制标准或技术规范要求，包括该产物生产过程中排放到环境中的特征污染物含量标准和该产物中特征污染物的含量标准。</w:t>
      </w:r>
    </w:p>
    <w:p w14:paraId="2B052D07">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三、拟建项目对应的内容分析</w:t>
      </w:r>
    </w:p>
    <w:p w14:paraId="58EA2626">
      <w:pPr>
        <w:ind w:firstLine="480"/>
        <w:rPr>
          <w:color w:val="000000" w:themeColor="text1"/>
          <w14:textFill>
            <w14:solidFill>
              <w14:schemeClr w14:val="tx1"/>
            </w14:solidFill>
          </w14:textFill>
        </w:rPr>
      </w:pPr>
      <w:r>
        <w:rPr>
          <w:color w:val="000000" w:themeColor="text1"/>
          <w14:textFill>
            <w14:solidFill>
              <w14:schemeClr w14:val="tx1"/>
            </w14:solidFill>
          </w14:textFill>
        </w:rPr>
        <w:t>根据上述《固体废物再生利用污染防治技术导则》及《固体废物鉴别标准通则》</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GB34330-2025</w:t>
      </w:r>
      <w:r>
        <w:rPr>
          <w:color w:val="000000" w:themeColor="text1"/>
          <w:lang w:bidi="en-US"/>
          <w14:textFill>
            <w14:solidFill>
              <w14:schemeClr w14:val="tx1"/>
            </w14:solidFill>
          </w14:textFill>
        </w:rPr>
        <w:t>）</w:t>
      </w:r>
      <w:r>
        <w:rPr>
          <w:color w:val="000000" w:themeColor="text1"/>
          <w14:textFill>
            <w14:solidFill>
              <w14:schemeClr w14:val="tx1"/>
            </w14:solidFill>
          </w14:textFill>
        </w:rPr>
        <w:t>中要求，拟建项目对应的相关条款如下：</w:t>
      </w:r>
    </w:p>
    <w:p w14:paraId="4B5E7464">
      <w:pPr>
        <w:ind w:firstLine="480"/>
        <w:rPr>
          <w:color w:val="000000" w:themeColor="text1"/>
          <w14:textFill>
            <w14:solidFill>
              <w14:schemeClr w14:val="tx1"/>
            </w14:solidFill>
          </w14:textFill>
        </w:rPr>
      </w:pPr>
      <w:r>
        <w:rPr>
          <w:rFonts w:eastAsiaTheme="minorEastAsia"/>
          <w:color w:val="000000" w:themeColor="text1"/>
          <w14:textFill>
            <w14:solidFill>
              <w14:schemeClr w14:val="tx1"/>
            </w14:solidFill>
          </w14:textFill>
        </w:rPr>
        <w:t>1</w:t>
      </w:r>
      <w:r>
        <w:rPr>
          <w:color w:val="000000" w:themeColor="text1"/>
          <w14:textFill>
            <w14:solidFill>
              <w14:schemeClr w14:val="tx1"/>
            </w14:solidFill>
          </w14:textFill>
        </w:rPr>
        <w:t>、拟建项目中，化工废盐通过</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热解焙烧窑热解</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技术进行处理，将废盐中所含的有机及有毒有害物质去除，并按照相应标准对处理后的废盐中有机物等污染指标进行检测，需满足以下要求：</w:t>
      </w:r>
    </w:p>
    <w:p w14:paraId="5DF7EC0D">
      <w:pPr>
        <w:ind w:firstLine="480"/>
        <w:rPr>
          <w:rFonts w:eastAsia="TimesNewRomanPSMT"/>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）总有机碳</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TOC</w:t>
      </w:r>
      <w:r>
        <w:rPr>
          <w:color w:val="000000" w:themeColor="text1"/>
          <w:lang w:bidi="en-US"/>
          <w14:textFill>
            <w14:solidFill>
              <w14:schemeClr w14:val="tx1"/>
            </w14:solidFill>
          </w14:textFill>
        </w:rPr>
        <w:t>）</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50mg/kg</w:t>
      </w:r>
      <w:r>
        <w:rPr>
          <w:rFonts w:hint="eastAsia" w:eastAsia="TimesNewRomanPSMT"/>
          <w:color w:val="000000" w:themeColor="text1"/>
          <w14:textFill>
            <w14:solidFill>
              <w14:schemeClr w14:val="tx1"/>
            </w14:solidFill>
          </w14:textFill>
        </w:rPr>
        <w:t>。</w:t>
      </w:r>
    </w:p>
    <w:p w14:paraId="06A79E59">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）各产品中有毒有害物质浓度满足《危险废物鉴别标准浸出毒性鉴别》</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GB5085.3-</w:t>
      </w:r>
      <w:r>
        <w:rPr>
          <w:rFonts w:eastAsia="Times New Roman"/>
          <w:color w:val="000000" w:themeColor="text1"/>
          <w14:textFill>
            <w14:solidFill>
              <w14:schemeClr w14:val="tx1"/>
            </w14:solidFill>
          </w14:textFill>
        </w:rPr>
        <w:t>2007</w:t>
      </w:r>
      <w:r>
        <w:rPr>
          <w:color w:val="000000" w:themeColor="text1"/>
          <w14:textFill>
            <w14:solidFill>
              <w14:schemeClr w14:val="tx1"/>
            </w14:solidFill>
          </w14:textFill>
        </w:rPr>
        <w:t>），不超过浸出毒性鉴别标准值。</w:t>
      </w:r>
    </w:p>
    <w:p w14:paraId="1AE716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废盐中的氯化钠需满足《再生工业盐氯化钠》（</w:t>
      </w:r>
      <w:r>
        <w:rPr>
          <w:rFonts w:eastAsia="TimesNewRomanPSMT"/>
          <w:color w:val="000000" w:themeColor="text1"/>
          <w14:textFill>
            <w14:solidFill>
              <w14:schemeClr w14:val="tx1"/>
            </w14:solidFill>
          </w14:textFill>
        </w:rPr>
        <w:t>T/ZGZS 0302-2023</w:t>
      </w:r>
      <w:r>
        <w:rPr>
          <w:color w:val="000000" w:themeColor="text1"/>
          <w14:textFill>
            <w14:solidFill>
              <w14:schemeClr w14:val="tx1"/>
            </w14:solidFill>
          </w14:textFill>
        </w:rPr>
        <w:t>）中工业干盐标准要求；硫酸钠需满足《再生工业盐硫酸钠》（</w:t>
      </w:r>
      <w:r>
        <w:rPr>
          <w:rFonts w:eastAsia="TimesNewRomanPSMT"/>
          <w:color w:val="000000" w:themeColor="text1"/>
          <w14:textFill>
            <w14:solidFill>
              <w14:schemeClr w14:val="tx1"/>
            </w14:solidFill>
          </w14:textFill>
        </w:rPr>
        <w:t>T/ZGZS 0303-2023</w:t>
      </w:r>
      <w:r>
        <w:rPr>
          <w:color w:val="000000" w:themeColor="text1"/>
          <w14:textFill>
            <w14:solidFill>
              <w14:schemeClr w14:val="tx1"/>
            </w14:solidFill>
          </w14:textFill>
        </w:rPr>
        <w:t>）中工业硫酸钠标准要求后再作为融雪剂原料使用。</w:t>
      </w:r>
    </w:p>
    <w:p w14:paraId="29C66E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融雪剂执行《融雪剂》（GB/T23851-2017）产品质量标准。</w:t>
      </w:r>
    </w:p>
    <w:p w14:paraId="489AF62B">
      <w:pPr>
        <w:ind w:firstLine="480"/>
        <w:rPr>
          <w:color w:val="000000" w:themeColor="text1"/>
          <w14:textFill>
            <w14:solidFill>
              <w14:schemeClr w14:val="tx1"/>
            </w14:solidFill>
          </w14:textFill>
        </w:rPr>
      </w:pPr>
      <w:r>
        <w:rPr>
          <w:color w:val="000000" w:themeColor="text1"/>
          <w14:textFill>
            <w14:solidFill>
              <w14:schemeClr w14:val="tx1"/>
            </w14:solidFill>
          </w14:textFill>
        </w:rPr>
        <w:t>2、待企业正式投产后，应按照《固体废物再生利用污染防治技术导则》</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HJ1091-2020</w:t>
      </w:r>
      <w:r>
        <w:rPr>
          <w:color w:val="000000" w:themeColor="text1"/>
          <w:lang w:bidi="en-US"/>
          <w14:textFill>
            <w14:solidFill>
              <w14:schemeClr w14:val="tx1"/>
            </w14:solidFill>
          </w14:textFill>
        </w:rPr>
        <w:t>）</w:t>
      </w:r>
      <w:r>
        <w:rPr>
          <w:color w:val="000000" w:themeColor="text1"/>
          <w14:textFill>
            <w14:solidFill>
              <w14:schemeClr w14:val="tx1"/>
            </w14:solidFill>
          </w14:textFill>
        </w:rPr>
        <w:t>中相关要求对产品进行检测和评估：</w:t>
      </w:r>
    </w:p>
    <w:p w14:paraId="578C9C99">
      <w:pPr>
        <w:ind w:firstLine="480"/>
        <w:rPr>
          <w:color w:val="000000" w:themeColor="text1"/>
          <w14:textFill>
            <w14:solidFill>
              <w14:schemeClr w14:val="tx1"/>
            </w14:solidFill>
          </w14:textFill>
        </w:rPr>
      </w:pPr>
      <w:r>
        <w:rPr>
          <w:color w:val="000000" w:themeColor="text1"/>
          <w14:textFill>
            <w14:solidFill>
              <w14:schemeClr w14:val="tx1"/>
            </w14:solidFill>
          </w14:textFill>
        </w:rPr>
        <w:t>（1）固体废物再生利用企业应定期对固体废物再生利用产品进行采样监测，监测频次应满足以下要求：</w:t>
      </w:r>
    </w:p>
    <w:p w14:paraId="486070B9">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当首次再生利用某种危险废物时，针对再生利用产品中的特征污染物监测频次不低于每天</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次；连续一周监测结果均不超出环境风险评价结果时，在该危险废物来源及投加量稳定的前提下，频次可减为每周</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次；连续两个月监测结果均不超出环境风险评价结果时，频次可减为每月</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次；若在此期间监测结果出现异常或危险废物来源发生变化或再生利用中断超过半年以上，则监测频次重新调整为每天</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次，依次重复。</w:t>
      </w:r>
    </w:p>
    <w:p w14:paraId="36D14C90">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当首次再生利用除危险废物外的某种固体废物时，针对再生利用产品中的特征污染物监测频次不低于每周</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次；连续二周监测结果均不超出环境风险评价结果时，在该废物来源及投加量稳定的前提下，频次可减为每月</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次；连续三个月监测结果均不超出环境风险评价结果时，频次可减为每年</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次；若在此期间监测结果出现异常或固体废物来源发生变化或再生利用中断超过半年以上，则监测频次重新调整为不低于每周</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次，依次重复。</w:t>
      </w:r>
    </w:p>
    <w:p w14:paraId="1673049C">
      <w:pPr>
        <w:ind w:firstLine="480"/>
        <w:rPr>
          <w:color w:val="000000" w:themeColor="text1"/>
          <w14:textFill>
            <w14:solidFill>
              <w14:schemeClr w14:val="tx1"/>
            </w14:solidFill>
          </w14:textFill>
        </w:rPr>
      </w:pPr>
      <w:r>
        <w:rPr>
          <w:color w:val="000000" w:themeColor="text1"/>
          <w14:textFill>
            <w14:solidFill>
              <w14:schemeClr w14:val="tx1"/>
            </w14:solidFill>
          </w14:textFill>
        </w:rPr>
        <w:t>（2）固体废物再生利用企业应在固体废物再生利用过程中，按照相关要求，定期对场所和设施周边的大气、土壤、地表水和地下水等进行采样监测，以判断固体废物再生利用过程是否对大气、土壤、地表水和地下水造成二次污染。</w:t>
      </w:r>
    </w:p>
    <w:p w14:paraId="526E92B9">
      <w:pPr>
        <w:ind w:firstLine="480"/>
        <w:rPr>
          <w:color w:val="000000" w:themeColor="text1"/>
          <w14:textFill>
            <w14:solidFill>
              <w14:schemeClr w14:val="tx1"/>
            </w14:solidFill>
          </w14:textFill>
        </w:rPr>
      </w:pPr>
      <w:r>
        <w:rPr>
          <w:color w:val="000000" w:themeColor="text1"/>
          <w14:textFill>
            <w14:solidFill>
              <w14:schemeClr w14:val="tx1"/>
            </w14:solidFill>
          </w14:textFill>
        </w:rPr>
        <w:t>（3）按照《融雪剂》（GB/T23851-2017）中控制项目为出厂检验项目，应逐批检验（一批：同一企业、同一种类废盐）。</w:t>
      </w:r>
    </w:p>
    <w:p w14:paraId="49B10A94">
      <w:pPr>
        <w:ind w:firstLine="480"/>
        <w:rPr>
          <w:color w:val="000000" w:themeColor="text1"/>
          <w14:textFill>
            <w14:solidFill>
              <w14:schemeClr w14:val="tx1"/>
            </w14:solidFill>
          </w14:textFill>
        </w:rPr>
      </w:pPr>
      <w:r>
        <w:rPr>
          <w:color w:val="000000" w:themeColor="text1"/>
          <w14:textFill>
            <w14:solidFill>
              <w14:schemeClr w14:val="tx1"/>
            </w14:solidFill>
          </w14:textFill>
        </w:rPr>
        <w:t>融雪剂产品必须包装出厂，在产品外包装的明显部位标明：产品名称、规格型号、批号、生产日期、安全标志、净含量、生产厂名、厂址、保质期等，标注“不得直接或间接用作食用盐，不得直接用于食用、饲料、水产品、药品等领域”。不带包装产品应贮存于仓库内，并设置标志牌。</w:t>
      </w:r>
    </w:p>
    <w:p w14:paraId="3BC54B7F">
      <w:pPr>
        <w:ind w:firstLine="480"/>
        <w:rPr>
          <w:color w:val="000000" w:themeColor="text1"/>
          <w14:textFill>
            <w14:solidFill>
              <w14:schemeClr w14:val="tx1"/>
            </w14:solidFill>
          </w14:textFill>
        </w:rPr>
      </w:pPr>
      <w:r>
        <w:rPr>
          <w:rFonts w:eastAsiaTheme="minorEastAsia"/>
          <w:color w:val="000000" w:themeColor="text1"/>
          <w14:textFill>
            <w14:solidFill>
              <w14:schemeClr w14:val="tx1"/>
            </w14:solidFill>
          </w14:textFill>
        </w:rPr>
        <w:t>3、</w:t>
      </w:r>
      <w:r>
        <w:rPr>
          <w:color w:val="000000" w:themeColor="text1"/>
          <w14:textFill>
            <w14:solidFill>
              <w14:schemeClr w14:val="tx1"/>
            </w14:solidFill>
          </w14:textFill>
        </w:rPr>
        <w:t>拟建项目</w:t>
      </w:r>
      <w:r>
        <w:rPr>
          <w:rFonts w:hint="eastAsia"/>
          <w:color w:val="000000" w:themeColor="text1"/>
          <w14:textFill>
            <w14:solidFill>
              <w14:schemeClr w14:val="tx1"/>
            </w14:solidFill>
          </w14:textFill>
        </w:rPr>
        <w:t>废盐</w:t>
      </w:r>
      <w:r>
        <w:rPr>
          <w:color w:val="000000" w:themeColor="text1"/>
          <w14:textFill>
            <w14:solidFill>
              <w14:schemeClr w14:val="tx1"/>
            </w14:solidFill>
          </w14:textFill>
        </w:rPr>
        <w:t>仓库废气采用：</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负压收集</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二级活性炭吸附</w:t>
      </w:r>
      <w:r>
        <w:rPr>
          <w:rFonts w:eastAsia="Times New Roman"/>
          <w:color w:val="000000" w:themeColor="text1"/>
          <w14:textFill>
            <w14:solidFill>
              <w14:schemeClr w14:val="tx1"/>
            </w14:solidFill>
          </w14:textFill>
        </w:rPr>
        <w:t>+15</w:t>
      </w:r>
      <w:r>
        <w:rPr>
          <w:color w:val="000000" w:themeColor="text1"/>
          <w14:textFill>
            <w14:solidFill>
              <w14:schemeClr w14:val="tx1"/>
            </w14:solidFill>
          </w14:textFill>
        </w:rPr>
        <w:t>米高排气筒</w:t>
      </w:r>
      <w:r>
        <w:rPr>
          <w:rFonts w:eastAsia="Times New Roman"/>
          <w:color w:val="000000" w:themeColor="text1"/>
          <w:lang w:bidi="en-US"/>
          <w14:textFill>
            <w14:solidFill>
              <w14:schemeClr w14:val="tx1"/>
            </w14:solidFill>
          </w14:textFill>
        </w:rPr>
        <w:t>DA001”</w:t>
      </w:r>
      <w:r>
        <w:rPr>
          <w:color w:val="000000" w:themeColor="text1"/>
          <w14:textFill>
            <w14:solidFill>
              <w14:schemeClr w14:val="tx1"/>
            </w14:solidFill>
          </w14:textFill>
        </w:rPr>
        <w:t>工艺废气处理后满足《大气污染物综合排放标准》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GB16297-1996</w:t>
      </w:r>
      <w:r>
        <w:rPr>
          <w:color w:val="000000" w:themeColor="text1"/>
          <w:lang w:bidi="en-US"/>
          <w14:textFill>
            <w14:solidFill>
              <w14:schemeClr w14:val="tx1"/>
            </w14:solidFill>
          </w14:textFill>
        </w:rPr>
        <w:t>)</w:t>
      </w:r>
      <w:r>
        <w:rPr>
          <w:rFonts w:hint="eastAsia"/>
          <w:color w:val="000000" w:themeColor="text1"/>
          <w:lang w:bidi="en-US"/>
          <w14:textFill>
            <w14:solidFill>
              <w14:schemeClr w14:val="tx1"/>
            </w14:solidFill>
          </w14:textFill>
        </w:rPr>
        <w:t>表2</w:t>
      </w:r>
      <w:r>
        <w:rPr>
          <w:color w:val="000000" w:themeColor="text1"/>
          <w14:textFill>
            <w14:solidFill>
              <w14:schemeClr w14:val="tx1"/>
            </w14:solidFill>
          </w14:textFill>
        </w:rPr>
        <w:t>标准要求；热解焙烧窑热解烟气进入二燃室进行二次高温焚烧；焚烧产生的烟气进入石墨急冷塔将烟气温度急冷到降至80℃；再通过二级碱洗塔去除烟气中的酸性气体，烟气温度降到55℃左右，随后烟气经水洗净化、湿电捕集烟气中的细微粉尘和液滴、酸雨等，之后烟气经活性炭吸附床进行二噁英及重金属等吸附；最后满足排放要求后经50m高的排气筒排入大气，满足《危险废物焚烧污染控制标准》要求。</w:t>
      </w:r>
    </w:p>
    <w:p w14:paraId="691394A7">
      <w:pPr>
        <w:ind w:firstLine="480"/>
        <w:rPr>
          <w:color w:val="000000" w:themeColor="text1"/>
          <w14:textFill>
            <w14:solidFill>
              <w14:schemeClr w14:val="tx1"/>
            </w14:solidFill>
          </w14:textFill>
        </w:rPr>
      </w:pPr>
      <w:r>
        <w:rPr>
          <w:color w:val="000000" w:themeColor="text1"/>
          <w14:textFill>
            <w14:solidFill>
              <w14:schemeClr w14:val="tx1"/>
            </w14:solidFill>
          </w14:textFill>
        </w:rPr>
        <w:t>烟气处理系统废水中和后排入多效蒸发器处理</w:t>
      </w:r>
      <w:r>
        <w:rPr>
          <w:rFonts w:hint="eastAsia"/>
          <w:color w:val="000000" w:themeColor="text1"/>
          <w14:textFill>
            <w14:solidFill>
              <w14:schemeClr w14:val="tx1"/>
            </w14:solidFill>
          </w14:textFill>
        </w:rPr>
        <w:t>，冷凝水</w:t>
      </w:r>
      <w:r>
        <w:rPr>
          <w:color w:val="000000" w:themeColor="text1"/>
          <w14:textFill>
            <w14:solidFill>
              <w14:schemeClr w14:val="tx1"/>
            </w14:solidFill>
          </w14:textFill>
        </w:rPr>
        <w:t>作为水洗塔和急冷塔补水使用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生活污水经化粪池预处理后排入市政污水管网。循环冷却系统排污水、化验室废水、地面冲洗废水</w:t>
      </w:r>
      <w:r>
        <w:rPr>
          <w:rFonts w:hint="eastAsia"/>
          <w:color w:val="000000" w:themeColor="text1"/>
          <w14:textFill>
            <w14:solidFill>
              <w14:schemeClr w14:val="tx1"/>
            </w14:solidFill>
          </w14:textFill>
        </w:rPr>
        <w:t>直接</w:t>
      </w:r>
      <w:r>
        <w:rPr>
          <w:color w:val="000000" w:themeColor="text1"/>
          <w14:textFill>
            <w14:solidFill>
              <w14:schemeClr w14:val="tx1"/>
            </w14:solidFill>
          </w14:textFill>
        </w:rPr>
        <w:t>排入市政污水管网</w:t>
      </w:r>
      <w:r>
        <w:rPr>
          <w:rFonts w:hint="eastAsia"/>
          <w:color w:val="000000" w:themeColor="text1"/>
          <w14:textFill>
            <w14:solidFill>
              <w14:schemeClr w14:val="tx1"/>
            </w14:solidFill>
          </w14:textFill>
        </w:rPr>
        <w:t>。</w:t>
      </w:r>
    </w:p>
    <w:p w14:paraId="6533AE11">
      <w:pPr>
        <w:ind w:firstLine="480"/>
        <w:rPr>
          <w:color w:val="000000" w:themeColor="text1"/>
          <w14:textFill>
            <w14:solidFill>
              <w14:schemeClr w14:val="tx1"/>
            </w14:solidFill>
          </w14:textFill>
        </w:rPr>
      </w:pPr>
      <w:r>
        <w:rPr>
          <w:color w:val="000000" w:themeColor="text1"/>
          <w14:textFill>
            <w14:solidFill>
              <w14:schemeClr w14:val="tx1"/>
            </w14:solidFill>
          </w14:textFill>
        </w:rPr>
        <w:t>生产过程产生的废活性炭、多效蒸发废盐；废气处理设施沉淀池泥渣；废脱硝催化剂；废盐包装袋；化验残渣、化验废液、破损的化验容器；废润滑油及废油桶</w:t>
      </w:r>
      <w:r>
        <w:rPr>
          <w:rFonts w:hint="eastAsia"/>
          <w:color w:val="000000" w:themeColor="text1"/>
          <w14:textFill>
            <w14:solidFill>
              <w14:schemeClr w14:val="tx1"/>
            </w14:solidFill>
          </w14:textFill>
        </w:rPr>
        <w:t>等危险废物</w:t>
      </w:r>
      <w:r>
        <w:rPr>
          <w:color w:val="000000" w:themeColor="text1"/>
          <w14:textFill>
            <w14:solidFill>
              <w14:schemeClr w14:val="tx1"/>
            </w14:solidFill>
          </w14:textFill>
        </w:rPr>
        <w:t>委托有资质单位处置；生活垃圾由环卫清运处理。</w:t>
      </w:r>
    </w:p>
    <w:p w14:paraId="43ED8B3D">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不达标产品的处理</w:t>
      </w:r>
    </w:p>
    <w:p w14:paraId="0B037D9A">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为保证产品融雪剂的质量，每批次原料及产品，先进行检验分析，必要时对工艺系统进行参数调整，以保证产品的稳定性及质量达标；加强自检，建立企业产品质量标准；同时接受利用单位的监督检查。</w:t>
      </w:r>
    </w:p>
    <w:p w14:paraId="1FF639A4">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对于存在可能不达标的产品，采取如下措施：</w:t>
      </w:r>
    </w:p>
    <w:p w14:paraId="440E0100">
      <w:pPr>
        <w:pStyle w:val="197"/>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针对配伍、热解焙烧窑热解各系统设置工艺控制指标，不符合指标要求返回重新处理；</w:t>
      </w:r>
    </w:p>
    <w:p w14:paraId="2DB1191B">
      <w:pPr>
        <w:pStyle w:val="197"/>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对于极端情况下，出现的不符合质量要求的产品，将根据指标情况，返回系统重新处理；如有机物超标，返回热解焙烧窑热解。</w:t>
      </w:r>
    </w:p>
    <w:p w14:paraId="325B5930">
      <w:pPr>
        <w:pStyle w:val="197"/>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热解焙烧窑热解产生的废盐如经鉴定属于危险废物，应按危险废物进行管理并委托有资质单位处理，经鉴别不具有《危险废物鉴别标准》(GB5085.1-7)规定的危险特性，可按一般工业固体废物管理，在满足《融雪剂》（GB/T23851-2017）产品质量相关标准要求后，在厂区内作为融雪剂的原料生产融雪剂。</w:t>
      </w:r>
    </w:p>
    <w:p w14:paraId="02A3E44A">
      <w:pPr>
        <w:ind w:firstLine="480"/>
        <w:rPr>
          <w:color w:val="000000" w:themeColor="text1"/>
          <w14:textFill>
            <w14:solidFill>
              <w14:schemeClr w14:val="tx1"/>
            </w14:solidFill>
          </w14:textFill>
        </w:rPr>
      </w:pPr>
      <w:r>
        <w:rPr>
          <w:color w:val="000000" w:themeColor="text1"/>
          <w14:textFill>
            <w14:solidFill>
              <w14:schemeClr w14:val="tx1"/>
            </w14:solidFill>
          </w14:textFill>
        </w:rPr>
        <w:t>同时公司定期对已售产品进行监督和监测。根据《固体废物鉴别标准通则》</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GB34330-2025</w:t>
      </w:r>
      <w:r>
        <w:rPr>
          <w:color w:val="000000" w:themeColor="text1"/>
          <w:lang w:bidi="en-US"/>
          <w14:textFill>
            <w14:solidFill>
              <w14:schemeClr w14:val="tx1"/>
            </w14:solidFill>
          </w14:textFill>
        </w:rPr>
        <w:t>）、</w:t>
      </w:r>
      <w:r>
        <w:rPr>
          <w:color w:val="000000" w:themeColor="text1"/>
          <w14:textFill>
            <w14:solidFill>
              <w14:schemeClr w14:val="tx1"/>
            </w14:solidFill>
          </w14:textFill>
        </w:rPr>
        <w:t>《固体废物再生利用污染防治技术导则》</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HJ1091-2020</w:t>
      </w:r>
      <w:r>
        <w:rPr>
          <w:color w:val="000000" w:themeColor="text1"/>
          <w:lang w:bidi="en-US"/>
          <w14:textFill>
            <w14:solidFill>
              <w14:schemeClr w14:val="tx1"/>
            </w14:solidFill>
          </w14:textFill>
        </w:rPr>
        <w:t>），</w:t>
      </w:r>
      <w:r>
        <w:rPr>
          <w:color w:val="000000" w:themeColor="text1"/>
          <w14:textFill>
            <w14:solidFill>
              <w14:schemeClr w14:val="tx1"/>
            </w14:solidFill>
          </w14:textFill>
        </w:rPr>
        <w:t>本评价建议对再生利用产物日常管理要求如下：</w:t>
      </w:r>
    </w:p>
    <w:p w14:paraId="29B9F5B8">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在实际生产中，再生利用产物应满足《固体废物鉴别标准通则》</w:t>
      </w:r>
      <w:r>
        <w:rPr>
          <w:color w:val="000000" w:themeColor="text1"/>
          <w:lang w:bidi="en-US"/>
          <w14:textFill>
            <w14:solidFill>
              <w14:schemeClr w14:val="tx1"/>
            </w14:solidFill>
          </w14:textFill>
        </w:rPr>
        <w:t>（GB34330-2025）</w:t>
      </w:r>
      <w:r>
        <w:rPr>
          <w:rFonts w:hint="eastAsia"/>
          <w:color w:val="000000" w:themeColor="text1"/>
          <w:lang w:bidi="en-US"/>
          <w14:textFill>
            <w14:solidFill>
              <w14:schemeClr w14:val="tx1"/>
            </w14:solidFill>
          </w14:textFill>
        </w:rPr>
        <w:t>6.1</w:t>
      </w:r>
      <w:r>
        <w:rPr>
          <w:color w:val="000000" w:themeColor="text1"/>
          <w14:textFill>
            <w14:solidFill>
              <w14:schemeClr w14:val="tx1"/>
            </w14:solidFill>
          </w14:textFill>
        </w:rPr>
        <w:t>相应要求，并且在产生后进行危险废物特性鉴别，在鉴别前应以危废进行管理。</w:t>
      </w:r>
    </w:p>
    <w:p w14:paraId="5E144C7D">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建设单位应确保再生利用产物满足对应的产品质量标准，在本项目试生产后需按相应规范委托有资质单位进行产品检测并征得质管部门准许后，定点外售并跟踪管理（从产生、运输、接收到用于生产的追踪记录，建立准确完整的管理台账，做到全流程可追溯）。</w:t>
      </w:r>
    </w:p>
    <w:p w14:paraId="4BC73D89">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建议后期实际销售前供需双方应按规范签订销售合同，合同中应包含明确双方有关环保权责划分的条款，例如需明确购买方应将所购产品，不得转卖、不得随意倾倒、弃置；明确责任单位，对因产品质量问题导致的污染事件责任方等。</w:t>
      </w:r>
    </w:p>
    <w:p w14:paraId="3590A0B7">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color w:val="000000" w:themeColor="text1"/>
          <w14:textFill>
            <w14:solidFill>
              <w14:schemeClr w14:val="tx1"/>
            </w14:solidFill>
          </w14:textFill>
        </w:rPr>
        <w:t>产生单位（建设单位）对本单位产生的再生利用产物承担处理处置责任，应对再生利用产物的产生、收集、贮存、运输和处理处置实施全过程管理，产生单位法定代表人或主要责任人是污染防治第一责任人。</w:t>
      </w:r>
    </w:p>
    <w:p w14:paraId="08724E32">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⑤</w:t>
      </w:r>
      <w:r>
        <w:rPr>
          <w:color w:val="000000" w:themeColor="text1"/>
          <w14:textFill>
            <w14:solidFill>
              <w14:schemeClr w14:val="tx1"/>
            </w14:solidFill>
          </w14:textFill>
        </w:rPr>
        <w:t>企业应建立健全管理台账，详细记录再生利用产物产生及去向情况，禁止非法倾倒。</w:t>
      </w:r>
    </w:p>
    <w:p w14:paraId="242E931B">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⑥</w:t>
      </w:r>
      <w:r>
        <w:rPr>
          <w:color w:val="000000" w:themeColor="text1"/>
          <w14:textFill>
            <w14:solidFill>
              <w14:schemeClr w14:val="tx1"/>
            </w14:solidFill>
          </w14:textFill>
        </w:rPr>
        <w:t>建议相关质监部门对再生利用产物定期开展质量监测，经检验合格后并经准许后方可作为融雪剂原料利用。</w:t>
      </w:r>
    </w:p>
    <w:p w14:paraId="29CE3C77">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⑦</w:t>
      </w:r>
      <w:r>
        <w:rPr>
          <w:color w:val="000000" w:themeColor="text1"/>
          <w14:textFill>
            <w14:solidFill>
              <w14:schemeClr w14:val="tx1"/>
            </w14:solidFill>
          </w14:textFill>
        </w:rPr>
        <w:t>相关环保部门要切实履行属地管理职责，对辖区内企业产生的再生利用产物实施严格的日常监管。</w:t>
      </w:r>
    </w:p>
    <w:p w14:paraId="70800EF5">
      <w:pPr>
        <w:ind w:firstLine="480"/>
        <w:rPr>
          <w:rFonts w:eastAsia="黑体"/>
          <w:color w:val="000000" w:themeColor="text1"/>
          <w14:textFill>
            <w14:solidFill>
              <w14:schemeClr w14:val="tx1"/>
            </w14:solidFill>
          </w14:textFill>
        </w:rPr>
      </w:pPr>
      <w:r>
        <w:rPr>
          <w:color w:val="000000" w:themeColor="text1"/>
          <w14:textFill>
            <w14:solidFill>
              <w14:schemeClr w14:val="tx1"/>
            </w14:solidFill>
          </w14:textFill>
        </w:rPr>
        <w:t>综上分析可知，拟建项目工业渣盐综合利用的产物满足相应产品的管理要求。</w:t>
      </w:r>
    </w:p>
    <w:p w14:paraId="2B0A0D9A">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处置类别、服务范围、处置方案、产品去向</w:t>
      </w:r>
    </w:p>
    <w:p w14:paraId="00B27976">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处置类别</w:t>
      </w:r>
    </w:p>
    <w:p w14:paraId="357043DE">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本项目拟接收的废盐包括</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个类别的废盐，主要包括：医药废物HW02、</w:t>
      </w:r>
      <w:r>
        <w:rPr>
          <w:rFonts w:hint="eastAsia"/>
          <w:color w:val="000000" w:themeColor="text1"/>
          <w14:textFill>
            <w14:solidFill>
              <w14:schemeClr w14:val="tx1"/>
            </w14:solidFill>
          </w14:textFill>
        </w:rPr>
        <w:t>农药废物HW04、</w:t>
      </w:r>
      <w:r>
        <w:rPr>
          <w:color w:val="000000" w:themeColor="text1"/>
          <w14:textFill>
            <w14:solidFill>
              <w14:schemeClr w14:val="tx1"/>
            </w14:solidFill>
          </w14:textFill>
        </w:rPr>
        <w:t>精（蒸）馏残渣HW11、</w:t>
      </w:r>
      <w:r>
        <w:rPr>
          <w:rFonts w:hint="eastAsia"/>
          <w:color w:val="000000" w:themeColor="text1"/>
          <w14:textFill>
            <w14:solidFill>
              <w14:schemeClr w14:val="tx1"/>
            </w14:solidFill>
          </w14:textFill>
        </w:rPr>
        <w:t>染料、涂料废物HW12、</w:t>
      </w:r>
      <w:r>
        <w:rPr>
          <w:color w:val="000000" w:themeColor="text1"/>
          <w14:textFill>
            <w14:solidFill>
              <w14:schemeClr w14:val="tx1"/>
            </w14:solidFill>
          </w14:textFill>
        </w:rPr>
        <w:t>有机氰化物废物HW38、其他废物HW49。具体见下表。</w:t>
      </w:r>
    </w:p>
    <w:p w14:paraId="2EE85A11">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处置类别一览表</w:t>
      </w:r>
    </w:p>
    <w:tbl>
      <w:tblPr>
        <w:tblStyle w:val="77"/>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552"/>
        <w:gridCol w:w="3969"/>
        <w:gridCol w:w="1276"/>
      </w:tblGrid>
      <w:tr w14:paraId="0C5F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3CA00A4A">
            <w:pPr>
              <w:pStyle w:val="109"/>
              <w:rPr>
                <w:color w:val="000000" w:themeColor="text1"/>
                <w14:textFill>
                  <w14:solidFill>
                    <w14:schemeClr w14:val="tx1"/>
                  </w14:solidFill>
                </w14:textFill>
              </w:rPr>
            </w:pPr>
            <w:r>
              <w:rPr>
                <w:color w:val="000000" w:themeColor="text1"/>
                <w14:textFill>
                  <w14:solidFill>
                    <w14:schemeClr w14:val="tx1"/>
                  </w14:solidFill>
                </w14:textFill>
              </w:rPr>
              <w:t>废物类别</w:t>
            </w:r>
          </w:p>
        </w:tc>
        <w:tc>
          <w:tcPr>
            <w:tcW w:w="2552" w:type="dxa"/>
            <w:tcBorders>
              <w:top w:val="single" w:color="auto" w:sz="4" w:space="0"/>
              <w:left w:val="single" w:color="auto" w:sz="4" w:space="0"/>
              <w:bottom w:val="single" w:color="auto" w:sz="4" w:space="0"/>
              <w:right w:val="single" w:color="auto" w:sz="4" w:space="0"/>
            </w:tcBorders>
            <w:vAlign w:val="center"/>
          </w:tcPr>
          <w:p w14:paraId="62B77AD1">
            <w:pPr>
              <w:pStyle w:val="109"/>
              <w:rPr>
                <w:color w:val="000000" w:themeColor="text1"/>
                <w14:textFill>
                  <w14:solidFill>
                    <w14:schemeClr w14:val="tx1"/>
                  </w14:solidFill>
                </w14:textFill>
              </w:rPr>
            </w:pPr>
            <w:r>
              <w:rPr>
                <w:color w:val="000000" w:themeColor="text1"/>
                <w14:textFill>
                  <w14:solidFill>
                    <w14:schemeClr w14:val="tx1"/>
                  </w14:solidFill>
                </w14:textFill>
              </w:rPr>
              <w:t>行业来源</w:t>
            </w:r>
          </w:p>
        </w:tc>
        <w:tc>
          <w:tcPr>
            <w:tcW w:w="3969" w:type="dxa"/>
            <w:tcBorders>
              <w:top w:val="single" w:color="auto" w:sz="4" w:space="0"/>
              <w:left w:val="single" w:color="auto" w:sz="4" w:space="0"/>
              <w:bottom w:val="single" w:color="auto" w:sz="4" w:space="0"/>
              <w:right w:val="single" w:color="auto" w:sz="4" w:space="0"/>
            </w:tcBorders>
            <w:vAlign w:val="center"/>
          </w:tcPr>
          <w:p w14:paraId="33EF9E23">
            <w:pPr>
              <w:pStyle w:val="109"/>
              <w:rPr>
                <w:color w:val="000000" w:themeColor="text1"/>
                <w14:textFill>
                  <w14:solidFill>
                    <w14:schemeClr w14:val="tx1"/>
                  </w14:solidFill>
                </w14:textFill>
              </w:rPr>
            </w:pPr>
            <w:r>
              <w:rPr>
                <w:color w:val="000000" w:themeColor="text1"/>
                <w14:textFill>
                  <w14:solidFill>
                    <w14:schemeClr w14:val="tx1"/>
                  </w14:solidFill>
                </w14:textFill>
              </w:rPr>
              <w:t>废物代码</w:t>
            </w:r>
          </w:p>
        </w:tc>
        <w:tc>
          <w:tcPr>
            <w:tcW w:w="1276" w:type="dxa"/>
            <w:tcBorders>
              <w:top w:val="single" w:color="auto" w:sz="4" w:space="0"/>
              <w:left w:val="single" w:color="auto" w:sz="4" w:space="0"/>
              <w:bottom w:val="single" w:color="auto" w:sz="4" w:space="0"/>
              <w:right w:val="single" w:color="auto" w:sz="4" w:space="0"/>
            </w:tcBorders>
            <w:vAlign w:val="center"/>
          </w:tcPr>
          <w:p w14:paraId="2CC6B088">
            <w:pPr>
              <w:pStyle w:val="109"/>
              <w:rPr>
                <w:color w:val="000000" w:themeColor="text1"/>
                <w14:textFill>
                  <w14:solidFill>
                    <w14:schemeClr w14:val="tx1"/>
                  </w14:solidFill>
                </w14:textFill>
              </w:rPr>
            </w:pPr>
            <w:r>
              <w:rPr>
                <w:color w:val="000000" w:themeColor="text1"/>
                <w14:textFill>
                  <w14:solidFill>
                    <w14:schemeClr w14:val="tx1"/>
                  </w14:solidFill>
                </w14:textFill>
              </w:rPr>
              <w:t>危险特性</w:t>
            </w:r>
          </w:p>
        </w:tc>
      </w:tr>
      <w:tr w14:paraId="7E04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3E383B0A">
            <w:pPr>
              <w:pStyle w:val="109"/>
              <w:rPr>
                <w:color w:val="000000" w:themeColor="text1"/>
                <w14:textFill>
                  <w14:solidFill>
                    <w14:schemeClr w14:val="tx1"/>
                  </w14:solidFill>
                </w14:textFill>
              </w:rPr>
            </w:pPr>
            <w:r>
              <w:rPr>
                <w:color w:val="000000" w:themeColor="text1"/>
                <w14:textFill>
                  <w14:solidFill>
                    <w14:schemeClr w14:val="tx1"/>
                  </w14:solidFill>
                </w14:textFill>
              </w:rPr>
              <w:t>医药废物HW02</w:t>
            </w:r>
          </w:p>
        </w:tc>
        <w:tc>
          <w:tcPr>
            <w:tcW w:w="2552" w:type="dxa"/>
            <w:tcBorders>
              <w:top w:val="single" w:color="auto" w:sz="4" w:space="0"/>
              <w:left w:val="single" w:color="auto" w:sz="4" w:space="0"/>
              <w:bottom w:val="single" w:color="auto" w:sz="4" w:space="0"/>
              <w:right w:val="single" w:color="auto" w:sz="4" w:space="0"/>
            </w:tcBorders>
            <w:vAlign w:val="center"/>
          </w:tcPr>
          <w:p w14:paraId="0E3DD31D">
            <w:pPr>
              <w:pStyle w:val="109"/>
              <w:rPr>
                <w:color w:val="000000" w:themeColor="text1"/>
                <w14:textFill>
                  <w14:solidFill>
                    <w14:schemeClr w14:val="tx1"/>
                  </w14:solidFill>
                </w14:textFill>
              </w:rPr>
            </w:pPr>
            <w:r>
              <w:rPr>
                <w:color w:val="000000" w:themeColor="text1"/>
                <w14:textFill>
                  <w14:solidFill>
                    <w14:schemeClr w14:val="tx1"/>
                  </w14:solidFill>
                </w14:textFill>
              </w:rPr>
              <w:t>化学药品原料药制造；化学药品制剂制造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兽用药品制造；生物药品制造</w:t>
            </w:r>
          </w:p>
        </w:tc>
        <w:tc>
          <w:tcPr>
            <w:tcW w:w="3969" w:type="dxa"/>
            <w:tcBorders>
              <w:top w:val="single" w:color="auto" w:sz="4" w:space="0"/>
              <w:left w:val="single" w:color="auto" w:sz="4" w:space="0"/>
              <w:bottom w:val="single" w:color="auto" w:sz="4" w:space="0"/>
              <w:right w:val="single" w:color="auto" w:sz="4" w:space="0"/>
            </w:tcBorders>
            <w:vAlign w:val="center"/>
          </w:tcPr>
          <w:p w14:paraId="74D8C943">
            <w:pPr>
              <w:pStyle w:val="109"/>
              <w:rPr>
                <w:color w:val="000000" w:themeColor="text1"/>
                <w14:textFill>
                  <w14:solidFill>
                    <w14:schemeClr w14:val="tx1"/>
                  </w14:solidFill>
                </w14:textFill>
              </w:rPr>
            </w:pPr>
            <w:r>
              <w:rPr>
                <w:color w:val="000000" w:themeColor="text1"/>
                <w14:textFill>
                  <w14:solidFill>
                    <w14:schemeClr w14:val="tx1"/>
                  </w14:solidFill>
                </w14:textFill>
              </w:rPr>
              <w:t>271-001-02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271-002-02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271-005-02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272-001-02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275-002-02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275-004-02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276-001-02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276-002-02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276-005-02</w:t>
            </w:r>
          </w:p>
        </w:tc>
        <w:tc>
          <w:tcPr>
            <w:tcW w:w="1276" w:type="dxa"/>
            <w:tcBorders>
              <w:top w:val="single" w:color="auto" w:sz="4" w:space="0"/>
              <w:left w:val="single" w:color="auto" w:sz="4" w:space="0"/>
              <w:bottom w:val="single" w:color="auto" w:sz="4" w:space="0"/>
              <w:right w:val="single" w:color="auto" w:sz="4" w:space="0"/>
            </w:tcBorders>
            <w:vAlign w:val="center"/>
          </w:tcPr>
          <w:p w14:paraId="1E102AD5">
            <w:pPr>
              <w:pStyle w:val="109"/>
              <w:rPr>
                <w:color w:val="000000" w:themeColor="text1"/>
                <w14:textFill>
                  <w14:solidFill>
                    <w14:schemeClr w14:val="tx1"/>
                  </w14:solidFill>
                </w14:textFill>
              </w:rPr>
            </w:pPr>
            <w:r>
              <w:rPr>
                <w:color w:val="000000" w:themeColor="text1"/>
                <w14:textFill>
                  <w14:solidFill>
                    <w14:schemeClr w14:val="tx1"/>
                  </w14:solidFill>
                </w14:textFill>
              </w:rPr>
              <w:t>T</w:t>
            </w:r>
          </w:p>
        </w:tc>
      </w:tr>
      <w:tr w14:paraId="50B8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75AFDD0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农药废物HW04</w:t>
            </w:r>
          </w:p>
        </w:tc>
        <w:tc>
          <w:tcPr>
            <w:tcW w:w="2552" w:type="dxa"/>
            <w:tcBorders>
              <w:top w:val="single" w:color="auto" w:sz="4" w:space="0"/>
              <w:left w:val="single" w:color="auto" w:sz="4" w:space="0"/>
              <w:bottom w:val="single" w:color="auto" w:sz="4" w:space="0"/>
              <w:right w:val="single" w:color="auto" w:sz="4" w:space="0"/>
            </w:tcBorders>
            <w:vAlign w:val="center"/>
          </w:tcPr>
          <w:p w14:paraId="76BFF02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农药制造；非特定行业</w:t>
            </w:r>
          </w:p>
        </w:tc>
        <w:tc>
          <w:tcPr>
            <w:tcW w:w="3969" w:type="dxa"/>
            <w:tcBorders>
              <w:top w:val="single" w:color="auto" w:sz="4" w:space="0"/>
              <w:left w:val="single" w:color="auto" w:sz="4" w:space="0"/>
              <w:bottom w:val="single" w:color="auto" w:sz="4" w:space="0"/>
              <w:right w:val="single" w:color="auto" w:sz="4" w:space="0"/>
            </w:tcBorders>
            <w:vAlign w:val="center"/>
          </w:tcPr>
          <w:p w14:paraId="3C6DA785">
            <w:pPr>
              <w:pStyle w:val="109"/>
              <w:rPr>
                <w:color w:val="000000" w:themeColor="text1"/>
                <w14:textFill>
                  <w14:solidFill>
                    <w14:schemeClr w14:val="tx1"/>
                  </w14:solidFill>
                </w14:textFill>
              </w:rPr>
            </w:pPr>
            <w:r>
              <w:rPr>
                <w:color w:val="000000" w:themeColor="text1"/>
                <w14:textFill>
                  <w14:solidFill>
                    <w14:schemeClr w14:val="tx1"/>
                  </w14:solidFill>
                </w14:textFill>
              </w:rPr>
              <w:t>263-001-04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263-004-04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263-005-04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263-007-04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263-011-04</w:t>
            </w:r>
          </w:p>
        </w:tc>
        <w:tc>
          <w:tcPr>
            <w:tcW w:w="1276" w:type="dxa"/>
            <w:tcBorders>
              <w:top w:val="single" w:color="auto" w:sz="4" w:space="0"/>
              <w:left w:val="single" w:color="auto" w:sz="4" w:space="0"/>
              <w:bottom w:val="single" w:color="auto" w:sz="4" w:space="0"/>
              <w:right w:val="single" w:color="auto" w:sz="4" w:space="0"/>
            </w:tcBorders>
            <w:vAlign w:val="center"/>
          </w:tcPr>
          <w:p w14:paraId="55C06392">
            <w:pPr>
              <w:pStyle w:val="109"/>
              <w:rPr>
                <w:color w:val="000000" w:themeColor="text1"/>
                <w14:textFill>
                  <w14:solidFill>
                    <w14:schemeClr w14:val="tx1"/>
                  </w14:solidFill>
                </w14:textFill>
              </w:rPr>
            </w:pPr>
            <w:r>
              <w:rPr>
                <w:color w:val="000000" w:themeColor="text1"/>
                <w14:textFill>
                  <w14:solidFill>
                    <w14:schemeClr w14:val="tx1"/>
                  </w14:solidFill>
                </w14:textFill>
              </w:rPr>
              <w:t>T</w:t>
            </w:r>
          </w:p>
        </w:tc>
      </w:tr>
      <w:tr w14:paraId="3B60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4A05E3D4">
            <w:pPr>
              <w:pStyle w:val="109"/>
              <w:rPr>
                <w:color w:val="000000" w:themeColor="text1"/>
                <w14:textFill>
                  <w14:solidFill>
                    <w14:schemeClr w14:val="tx1"/>
                  </w14:solidFill>
                </w14:textFill>
              </w:rPr>
            </w:pPr>
            <w:r>
              <w:rPr>
                <w:color w:val="000000" w:themeColor="text1"/>
                <w14:textFill>
                  <w14:solidFill>
                    <w14:schemeClr w14:val="tx1"/>
                  </w14:solidFill>
                </w14:textFill>
              </w:rPr>
              <w:t>精（蒸）馏残渣</w:t>
            </w:r>
          </w:p>
          <w:p w14:paraId="1E69D246">
            <w:pPr>
              <w:pStyle w:val="109"/>
              <w:rPr>
                <w:color w:val="000000" w:themeColor="text1"/>
                <w14:textFill>
                  <w14:solidFill>
                    <w14:schemeClr w14:val="tx1"/>
                  </w14:solidFill>
                </w14:textFill>
              </w:rPr>
            </w:pPr>
            <w:r>
              <w:rPr>
                <w:color w:val="000000" w:themeColor="text1"/>
                <w14:textFill>
                  <w14:solidFill>
                    <w14:schemeClr w14:val="tx1"/>
                  </w14:solidFill>
                </w14:textFill>
              </w:rPr>
              <w:t>HW11</w:t>
            </w:r>
          </w:p>
        </w:tc>
        <w:tc>
          <w:tcPr>
            <w:tcW w:w="2552" w:type="dxa"/>
            <w:tcBorders>
              <w:top w:val="single" w:color="auto" w:sz="4" w:space="0"/>
              <w:left w:val="single" w:color="auto" w:sz="4" w:space="0"/>
              <w:bottom w:val="single" w:color="auto" w:sz="4" w:space="0"/>
              <w:right w:val="single" w:color="auto" w:sz="4" w:space="0"/>
            </w:tcBorders>
            <w:vAlign w:val="center"/>
          </w:tcPr>
          <w:p w14:paraId="5CB498BA">
            <w:pPr>
              <w:pStyle w:val="109"/>
              <w:rPr>
                <w:color w:val="000000" w:themeColor="text1"/>
                <w14:textFill>
                  <w14:solidFill>
                    <w14:schemeClr w14:val="tx1"/>
                  </w14:solidFill>
                </w14:textFill>
              </w:rPr>
            </w:pPr>
            <w:r>
              <w:rPr>
                <w:color w:val="000000" w:themeColor="text1"/>
                <w14:textFill>
                  <w14:solidFill>
                    <w14:schemeClr w14:val="tx1"/>
                  </w14:solidFill>
                </w14:textFill>
              </w:rPr>
              <w:t>煤炭加工；燃气生产和供应业；基础化学原料制造；非特定行业</w:t>
            </w:r>
          </w:p>
        </w:tc>
        <w:tc>
          <w:tcPr>
            <w:tcW w:w="3969" w:type="dxa"/>
            <w:tcBorders>
              <w:top w:val="single" w:color="auto" w:sz="4" w:space="0"/>
              <w:left w:val="single" w:color="auto" w:sz="4" w:space="0"/>
              <w:bottom w:val="single" w:color="auto" w:sz="4" w:space="0"/>
              <w:right w:val="single" w:color="auto" w:sz="4" w:space="0"/>
            </w:tcBorders>
            <w:vAlign w:val="center"/>
          </w:tcPr>
          <w:p w14:paraId="1753F47C">
            <w:pPr>
              <w:pStyle w:val="109"/>
              <w:rPr>
                <w:color w:val="000000" w:themeColor="text1"/>
                <w14:textFill>
                  <w14:solidFill>
                    <w14:schemeClr w14:val="tx1"/>
                  </w14:solidFill>
                </w14:textFill>
              </w:rPr>
            </w:pPr>
            <w:r>
              <w:rPr>
                <w:color w:val="000000" w:themeColor="text1"/>
                <w14:textFill>
                  <w14:solidFill>
                    <w14:schemeClr w14:val="tx1"/>
                  </w14:solidFill>
                </w14:textFill>
              </w:rPr>
              <w:t>252~003-11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252-007-11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252-009-11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252-010-11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252-012-11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451-002-11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261-007-11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261-009-11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261-011-11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261-013-11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261-015-11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261-018-11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261-019-11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261-026-11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261-027-11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261-029-11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261-033-11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261-131-11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261-134-11</w:t>
            </w:r>
            <w:r>
              <w:rPr>
                <w:rFonts w:hint="eastAsia"/>
                <w:color w:val="000000" w:themeColor="text1"/>
                <w14:textFill>
                  <w14:solidFill>
                    <w14:schemeClr w14:val="tx1"/>
                  </w14:solidFill>
                </w14:textFill>
              </w:rPr>
              <w:t>、900-013-11</w:t>
            </w:r>
          </w:p>
        </w:tc>
        <w:tc>
          <w:tcPr>
            <w:tcW w:w="1276" w:type="dxa"/>
            <w:tcBorders>
              <w:top w:val="single" w:color="auto" w:sz="4" w:space="0"/>
              <w:left w:val="single" w:color="auto" w:sz="4" w:space="0"/>
              <w:bottom w:val="single" w:color="auto" w:sz="4" w:space="0"/>
              <w:right w:val="single" w:color="auto" w:sz="4" w:space="0"/>
            </w:tcBorders>
            <w:vAlign w:val="center"/>
          </w:tcPr>
          <w:p w14:paraId="739592D4">
            <w:pPr>
              <w:pStyle w:val="109"/>
              <w:rPr>
                <w:color w:val="000000" w:themeColor="text1"/>
                <w14:textFill>
                  <w14:solidFill>
                    <w14:schemeClr w14:val="tx1"/>
                  </w14:solidFill>
                </w14:textFill>
              </w:rPr>
            </w:pPr>
            <w:r>
              <w:rPr>
                <w:color w:val="000000" w:themeColor="text1"/>
                <w14:textFill>
                  <w14:solidFill>
                    <w14:schemeClr w14:val="tx1"/>
                  </w14:solidFill>
                </w14:textFill>
              </w:rPr>
              <w:t>T</w:t>
            </w:r>
          </w:p>
        </w:tc>
      </w:tr>
      <w:tr w14:paraId="104B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1C4F6FE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染料、涂料废物HW12</w:t>
            </w:r>
          </w:p>
        </w:tc>
        <w:tc>
          <w:tcPr>
            <w:tcW w:w="2552" w:type="dxa"/>
            <w:tcBorders>
              <w:top w:val="single" w:color="auto" w:sz="4" w:space="0"/>
              <w:left w:val="single" w:color="auto" w:sz="4" w:space="0"/>
              <w:bottom w:val="single" w:color="auto" w:sz="4" w:space="0"/>
              <w:right w:val="single" w:color="auto" w:sz="4" w:space="0"/>
            </w:tcBorders>
            <w:vAlign w:val="center"/>
          </w:tcPr>
          <w:p w14:paraId="2E839E7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涂料、油墨、颜料及类似产品制造；</w:t>
            </w:r>
          </w:p>
        </w:tc>
        <w:tc>
          <w:tcPr>
            <w:tcW w:w="3969" w:type="dxa"/>
            <w:tcBorders>
              <w:top w:val="single" w:color="auto" w:sz="4" w:space="0"/>
              <w:left w:val="single" w:color="auto" w:sz="4" w:space="0"/>
              <w:bottom w:val="single" w:color="auto" w:sz="4" w:space="0"/>
              <w:right w:val="single" w:color="auto" w:sz="4" w:space="0"/>
            </w:tcBorders>
            <w:vAlign w:val="center"/>
          </w:tcPr>
          <w:p w14:paraId="0A624C7D">
            <w:pPr>
              <w:pStyle w:val="109"/>
              <w:rPr>
                <w:color w:val="000000" w:themeColor="text1"/>
                <w14:textFill>
                  <w14:solidFill>
                    <w14:schemeClr w14:val="tx1"/>
                  </w14:solidFill>
                </w14:textFill>
              </w:rPr>
            </w:pPr>
            <w:r>
              <w:rPr>
                <w:color w:val="000000" w:themeColor="text1"/>
                <w14:textFill>
                  <w14:solidFill>
                    <w14:schemeClr w14:val="tx1"/>
                  </w14:solidFill>
                </w14:textFill>
              </w:rPr>
              <w:t>264-002-12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264-003-12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264-004-12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264-005-12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264-006-12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264-008-1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264-011-12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264-012-12</w:t>
            </w:r>
          </w:p>
        </w:tc>
        <w:tc>
          <w:tcPr>
            <w:tcW w:w="1276" w:type="dxa"/>
            <w:tcBorders>
              <w:top w:val="single" w:color="auto" w:sz="4" w:space="0"/>
              <w:left w:val="single" w:color="auto" w:sz="4" w:space="0"/>
              <w:bottom w:val="single" w:color="auto" w:sz="4" w:space="0"/>
              <w:right w:val="single" w:color="auto" w:sz="4" w:space="0"/>
            </w:tcBorders>
            <w:vAlign w:val="center"/>
          </w:tcPr>
          <w:p w14:paraId="781D1F6A">
            <w:pPr>
              <w:pStyle w:val="109"/>
              <w:rPr>
                <w:color w:val="000000" w:themeColor="text1"/>
                <w14:textFill>
                  <w14:solidFill>
                    <w14:schemeClr w14:val="tx1"/>
                  </w14:solidFill>
                </w14:textFill>
              </w:rPr>
            </w:pPr>
            <w:r>
              <w:rPr>
                <w:color w:val="000000" w:themeColor="text1"/>
                <w14:textFill>
                  <w14:solidFill>
                    <w14:schemeClr w14:val="tx1"/>
                  </w14:solidFill>
                </w14:textFill>
              </w:rPr>
              <w:t>T</w:t>
            </w:r>
          </w:p>
        </w:tc>
      </w:tr>
      <w:tr w14:paraId="54F2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03C37022">
            <w:pPr>
              <w:pStyle w:val="109"/>
              <w:rPr>
                <w:color w:val="000000" w:themeColor="text1"/>
                <w14:textFill>
                  <w14:solidFill>
                    <w14:schemeClr w14:val="tx1"/>
                  </w14:solidFill>
                </w14:textFill>
              </w:rPr>
            </w:pPr>
            <w:r>
              <w:rPr>
                <w:color w:val="000000" w:themeColor="text1"/>
                <w14:textFill>
                  <w14:solidFill>
                    <w14:schemeClr w14:val="tx1"/>
                  </w14:solidFill>
                </w14:textFill>
              </w:rPr>
              <w:t>有机氰化物废物</w:t>
            </w:r>
          </w:p>
          <w:p w14:paraId="4212D163">
            <w:pPr>
              <w:pStyle w:val="109"/>
              <w:rPr>
                <w:color w:val="000000" w:themeColor="text1"/>
                <w14:textFill>
                  <w14:solidFill>
                    <w14:schemeClr w14:val="tx1"/>
                  </w14:solidFill>
                </w14:textFill>
              </w:rPr>
            </w:pPr>
            <w:r>
              <w:rPr>
                <w:color w:val="000000" w:themeColor="text1"/>
                <w14:textFill>
                  <w14:solidFill>
                    <w14:schemeClr w14:val="tx1"/>
                  </w14:solidFill>
                </w14:textFill>
              </w:rPr>
              <w:t>HW38</w:t>
            </w:r>
          </w:p>
        </w:tc>
        <w:tc>
          <w:tcPr>
            <w:tcW w:w="2552" w:type="dxa"/>
            <w:tcBorders>
              <w:top w:val="single" w:color="auto" w:sz="4" w:space="0"/>
              <w:left w:val="single" w:color="auto" w:sz="4" w:space="0"/>
              <w:bottom w:val="single" w:color="auto" w:sz="4" w:space="0"/>
              <w:right w:val="single" w:color="auto" w:sz="4" w:space="0"/>
            </w:tcBorders>
            <w:vAlign w:val="center"/>
          </w:tcPr>
          <w:p w14:paraId="66F79EE6">
            <w:pPr>
              <w:pStyle w:val="109"/>
              <w:rPr>
                <w:color w:val="000000" w:themeColor="text1"/>
                <w14:textFill>
                  <w14:solidFill>
                    <w14:schemeClr w14:val="tx1"/>
                  </w14:solidFill>
                </w14:textFill>
              </w:rPr>
            </w:pPr>
            <w:r>
              <w:rPr>
                <w:color w:val="000000" w:themeColor="text1"/>
                <w14:textFill>
                  <w14:solidFill>
                    <w14:schemeClr w14:val="tx1"/>
                  </w14:solidFill>
                </w14:textFill>
              </w:rPr>
              <w:t>基础化学原料制造</w:t>
            </w:r>
          </w:p>
        </w:tc>
        <w:tc>
          <w:tcPr>
            <w:tcW w:w="3969" w:type="dxa"/>
            <w:tcBorders>
              <w:top w:val="single" w:color="auto" w:sz="4" w:space="0"/>
              <w:left w:val="single" w:color="auto" w:sz="4" w:space="0"/>
              <w:bottom w:val="single" w:color="auto" w:sz="4" w:space="0"/>
              <w:right w:val="single" w:color="auto" w:sz="4" w:space="0"/>
            </w:tcBorders>
            <w:vAlign w:val="center"/>
          </w:tcPr>
          <w:p w14:paraId="4497D8E3">
            <w:pPr>
              <w:pStyle w:val="109"/>
              <w:rPr>
                <w:color w:val="000000" w:themeColor="text1"/>
                <w14:textFill>
                  <w14:solidFill>
                    <w14:schemeClr w14:val="tx1"/>
                  </w14:solidFill>
                </w14:textFill>
              </w:rPr>
            </w:pPr>
            <w:r>
              <w:rPr>
                <w:color w:val="000000" w:themeColor="text1"/>
                <w14:textFill>
                  <w14:solidFill>
                    <w14:schemeClr w14:val="tx1"/>
                  </w14:solidFill>
                </w14:textFill>
              </w:rPr>
              <w:t>261-064-38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261-069-38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261-140-38</w:t>
            </w:r>
            <w:r>
              <w:rPr>
                <w:rFonts w:hint="eastAsia"/>
                <w:color w:val="000000" w:themeColor="text1"/>
                <w14:textFill>
                  <w14:solidFill>
                    <w14:schemeClr w14:val="tx1"/>
                  </w14:solidFill>
                </w14:textFill>
              </w:rPr>
              <w:t>、261-067-38</w:t>
            </w:r>
          </w:p>
        </w:tc>
        <w:tc>
          <w:tcPr>
            <w:tcW w:w="1276" w:type="dxa"/>
            <w:tcBorders>
              <w:top w:val="single" w:color="auto" w:sz="4" w:space="0"/>
              <w:left w:val="single" w:color="auto" w:sz="4" w:space="0"/>
              <w:bottom w:val="single" w:color="auto" w:sz="4" w:space="0"/>
              <w:right w:val="single" w:color="auto" w:sz="4" w:space="0"/>
            </w:tcBorders>
            <w:vAlign w:val="center"/>
          </w:tcPr>
          <w:p w14:paraId="0DA7014E">
            <w:pPr>
              <w:pStyle w:val="109"/>
              <w:rPr>
                <w:color w:val="000000" w:themeColor="text1"/>
                <w14:textFill>
                  <w14:solidFill>
                    <w14:schemeClr w14:val="tx1"/>
                  </w14:solidFill>
                </w14:textFill>
              </w:rPr>
            </w:pPr>
            <w:r>
              <w:rPr>
                <w:color w:val="000000" w:themeColor="text1"/>
                <w14:textFill>
                  <w14:solidFill>
                    <w14:schemeClr w14:val="tx1"/>
                  </w14:solidFill>
                </w14:textFill>
              </w:rPr>
              <w:t>T， R</w:t>
            </w:r>
          </w:p>
        </w:tc>
      </w:tr>
      <w:tr w14:paraId="16AB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vAlign w:val="center"/>
          </w:tcPr>
          <w:p w14:paraId="0D268974">
            <w:pPr>
              <w:pStyle w:val="109"/>
              <w:rPr>
                <w:color w:val="000000" w:themeColor="text1"/>
                <w14:textFill>
                  <w14:solidFill>
                    <w14:schemeClr w14:val="tx1"/>
                  </w14:solidFill>
                </w14:textFill>
              </w:rPr>
            </w:pPr>
            <w:r>
              <w:rPr>
                <w:color w:val="000000" w:themeColor="text1"/>
                <w14:textFill>
                  <w14:solidFill>
                    <w14:schemeClr w14:val="tx1"/>
                  </w14:solidFill>
                </w14:textFill>
              </w:rPr>
              <w:t>其他废物HW49</w:t>
            </w:r>
          </w:p>
        </w:tc>
        <w:tc>
          <w:tcPr>
            <w:tcW w:w="2552" w:type="dxa"/>
            <w:tcBorders>
              <w:top w:val="single" w:color="auto" w:sz="4" w:space="0"/>
              <w:left w:val="single" w:color="auto" w:sz="4" w:space="0"/>
              <w:bottom w:val="single" w:color="auto" w:sz="4" w:space="0"/>
              <w:right w:val="single" w:color="auto" w:sz="4" w:space="0"/>
            </w:tcBorders>
            <w:vAlign w:val="center"/>
          </w:tcPr>
          <w:p w14:paraId="1A73F05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环境治理；</w:t>
            </w:r>
            <w:r>
              <w:rPr>
                <w:color w:val="000000" w:themeColor="text1"/>
                <w14:textFill>
                  <w14:solidFill>
                    <w14:schemeClr w14:val="tx1"/>
                  </w14:solidFill>
                </w14:textFill>
              </w:rPr>
              <w:t>非特定行业</w:t>
            </w:r>
          </w:p>
        </w:tc>
        <w:tc>
          <w:tcPr>
            <w:tcW w:w="3969" w:type="dxa"/>
            <w:tcBorders>
              <w:top w:val="single" w:color="auto" w:sz="4" w:space="0"/>
              <w:left w:val="single" w:color="auto" w:sz="4" w:space="0"/>
              <w:bottom w:val="single" w:color="auto" w:sz="4" w:space="0"/>
              <w:right w:val="single" w:color="auto" w:sz="4" w:space="0"/>
            </w:tcBorders>
            <w:vAlign w:val="center"/>
          </w:tcPr>
          <w:p w14:paraId="6CD84B9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772-006-49、</w:t>
            </w:r>
            <w:r>
              <w:rPr>
                <w:color w:val="000000" w:themeColor="text1"/>
                <w14:textFill>
                  <w14:solidFill>
                    <w14:schemeClr w14:val="tx1"/>
                  </w14:solidFill>
                </w14:textFill>
              </w:rPr>
              <w:t>900-046-49</w:t>
            </w:r>
          </w:p>
        </w:tc>
        <w:tc>
          <w:tcPr>
            <w:tcW w:w="1276" w:type="dxa"/>
            <w:tcBorders>
              <w:top w:val="single" w:color="auto" w:sz="4" w:space="0"/>
              <w:left w:val="single" w:color="auto" w:sz="4" w:space="0"/>
              <w:bottom w:val="single" w:color="auto" w:sz="4" w:space="0"/>
              <w:right w:val="single" w:color="auto" w:sz="4" w:space="0"/>
            </w:tcBorders>
            <w:vAlign w:val="center"/>
          </w:tcPr>
          <w:p w14:paraId="31E8CB90">
            <w:pPr>
              <w:pStyle w:val="109"/>
              <w:rPr>
                <w:color w:val="000000" w:themeColor="text1"/>
                <w14:textFill>
                  <w14:solidFill>
                    <w14:schemeClr w14:val="tx1"/>
                  </w14:solidFill>
                </w14:textFill>
              </w:rPr>
            </w:pPr>
            <w:r>
              <w:rPr>
                <w:color w:val="000000" w:themeColor="text1"/>
                <w14:textFill>
                  <w14:solidFill>
                    <w14:schemeClr w14:val="tx1"/>
                  </w14:solidFill>
                </w14:textFill>
              </w:rPr>
              <w:t>T</w:t>
            </w:r>
          </w:p>
        </w:tc>
      </w:tr>
    </w:tbl>
    <w:p w14:paraId="2AFDBBEB">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建设单位配备有化验室，对进场每一批次</w:t>
      </w:r>
      <w:r>
        <w:rPr>
          <w:rFonts w:hint="eastAsia"/>
          <w:color w:val="000000" w:themeColor="text1"/>
          <w14:textFill>
            <w14:solidFill>
              <w14:schemeClr w14:val="tx1"/>
            </w14:solidFill>
          </w14:textFill>
        </w:rPr>
        <w:t>废盐</w:t>
      </w:r>
      <w:r>
        <w:rPr>
          <w:color w:val="000000" w:themeColor="text1"/>
          <w14:textFill>
            <w14:solidFill>
              <w14:schemeClr w14:val="tx1"/>
            </w14:solidFill>
          </w14:textFill>
        </w:rPr>
        <w:t>进行样品检测分析，样品监测数据应存档备查，并定期与计量认证实验室进行比对检测，复核实验检测的准确性。通过样品检测，明确对可接受处理危险废物品种的限制要求为：</w:t>
      </w:r>
    </w:p>
    <w:p w14:paraId="631EE96E">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易爆和放射性的危险废物不予接受；</w:t>
      </w:r>
    </w:p>
    <w:p w14:paraId="33EE109B">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不接受本企业拟经营范围以外的危险废物品种；</w:t>
      </w:r>
    </w:p>
    <w:p w14:paraId="4EFFD683">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各级环保部门及固体废物监督管理中心认定不予接收的危险废物；</w:t>
      </w:r>
    </w:p>
    <w:p w14:paraId="47D52F04">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color w:val="000000" w:themeColor="text1"/>
          <w14:textFill>
            <w14:solidFill>
              <w14:schemeClr w14:val="tx1"/>
            </w14:solidFill>
          </w14:textFill>
        </w:rPr>
        <w:t>不符合本项目接收要求的废盐不予接收。</w:t>
      </w:r>
    </w:p>
    <w:p w14:paraId="292E1DDD">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服务范围</w:t>
      </w:r>
    </w:p>
    <w:p w14:paraId="6FBE77A0">
      <w:pPr>
        <w:ind w:firstLine="480"/>
        <w:rPr>
          <w:color w:val="000000" w:themeColor="text1"/>
          <w14:textFill>
            <w14:solidFill>
              <w14:schemeClr w14:val="tx1"/>
            </w14:solidFill>
          </w14:textFill>
        </w:rPr>
      </w:pPr>
      <w:r>
        <w:rPr>
          <w:color w:val="000000" w:themeColor="text1"/>
          <w14:textFill>
            <w14:solidFill>
              <w14:schemeClr w14:val="tx1"/>
            </w14:solidFill>
          </w14:textFill>
        </w:rPr>
        <w:t>项目服务范围主要为乌鲁木齐甘泉堡经济技术开发区内企业，并辐射周边企业及园区(以处理乌鲁木齐市辖区内废盐为主)，主要来自煤化工、石油化工、精细化工、</w:t>
      </w:r>
      <w:r>
        <w:rPr>
          <w:rFonts w:hint="eastAsia"/>
          <w:color w:val="000000" w:themeColor="text1"/>
          <w14:textFill>
            <w14:solidFill>
              <w14:schemeClr w14:val="tx1"/>
            </w14:solidFill>
          </w14:textFill>
        </w:rPr>
        <w:t>染料、涂料、医药、农药、</w:t>
      </w:r>
      <w:r>
        <w:rPr>
          <w:color w:val="000000" w:themeColor="text1"/>
          <w14:textFill>
            <w14:solidFill>
              <w14:schemeClr w14:val="tx1"/>
            </w14:solidFill>
          </w14:textFill>
        </w:rPr>
        <w:t>电池新能源等行业产生的危险废物和一般固废废盐。主要来源于：中国神华煤制油化工有限公司、新疆德润中建水资源开发有限公司、国能新疆化工有限公司等企业的氯化钠和硫酸钠混盐。本项目可服务的行业来源及危废种类</w:t>
      </w:r>
      <w:r>
        <w:rPr>
          <w:rFonts w:hint="eastAsia"/>
          <w:color w:val="000000" w:themeColor="text1"/>
          <w14:textFill>
            <w14:solidFill>
              <w14:schemeClr w14:val="tx1"/>
            </w14:solidFill>
          </w14:textFill>
        </w:rPr>
        <w:t>如下</w:t>
      </w:r>
      <w:r>
        <w:rPr>
          <w:color w:val="000000" w:themeColor="text1"/>
          <w14:textFill>
            <w14:solidFill>
              <w14:schemeClr w14:val="tx1"/>
            </w14:solidFill>
          </w14:textFill>
        </w:rPr>
        <w:t>。</w:t>
      </w:r>
    </w:p>
    <w:p w14:paraId="7900255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项目可服务的行业来源及危废种类</w:t>
      </w:r>
    </w:p>
    <w:p w14:paraId="01EEDF56">
      <w:pPr>
        <w:spacing w:after="79" w:line="1" w:lineRule="exact"/>
        <w:ind w:firstLine="480"/>
        <w:rPr>
          <w:color w:val="000000" w:themeColor="text1"/>
          <w:highlight w:val="yellow"/>
          <w14:textFill>
            <w14:solidFill>
              <w14:schemeClr w14:val="tx1"/>
            </w14:solidFill>
          </w14:textFill>
        </w:rPr>
      </w:pPr>
    </w:p>
    <w:p w14:paraId="5D932C8C">
      <w:pPr>
        <w:spacing w:after="79" w:line="1" w:lineRule="exact"/>
        <w:ind w:firstLine="480"/>
        <w:rPr>
          <w:color w:val="000000" w:themeColor="text1"/>
          <w:highlight w:val="yellow"/>
          <w14:textFill>
            <w14:solidFill>
              <w14:schemeClr w14:val="tx1"/>
            </w14:solidFill>
          </w14:textFill>
        </w:rPr>
      </w:pPr>
    </w:p>
    <w:tbl>
      <w:tblPr>
        <w:tblStyle w:val="76"/>
        <w:tblW w:w="0" w:type="auto"/>
        <w:tblInd w:w="0" w:type="dxa"/>
        <w:tblLayout w:type="fixed"/>
        <w:tblCellMar>
          <w:top w:w="0" w:type="dxa"/>
          <w:left w:w="108" w:type="dxa"/>
          <w:bottom w:w="0" w:type="dxa"/>
          <w:right w:w="108" w:type="dxa"/>
        </w:tblCellMar>
      </w:tblPr>
      <w:tblGrid>
        <w:gridCol w:w="636"/>
        <w:gridCol w:w="1486"/>
        <w:gridCol w:w="2126"/>
        <w:gridCol w:w="1056"/>
        <w:gridCol w:w="1089"/>
        <w:gridCol w:w="1595"/>
        <w:gridCol w:w="1234"/>
      </w:tblGrid>
      <w:tr w14:paraId="0F9F315F">
        <w:tblPrEx>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ign w:val="center"/>
          </w:tcPr>
          <w:p w14:paraId="0FB4ABE4">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86" w:type="dxa"/>
            <w:tcBorders>
              <w:top w:val="single" w:color="auto" w:sz="4" w:space="0"/>
              <w:left w:val="nil"/>
              <w:bottom w:val="single" w:color="auto" w:sz="4" w:space="0"/>
              <w:right w:val="single" w:color="auto" w:sz="4" w:space="0"/>
            </w:tcBorders>
            <w:vAlign w:val="center"/>
          </w:tcPr>
          <w:p w14:paraId="2133034D">
            <w:pPr>
              <w:pStyle w:val="109"/>
              <w:rPr>
                <w:color w:val="000000" w:themeColor="text1"/>
                <w14:textFill>
                  <w14:solidFill>
                    <w14:schemeClr w14:val="tx1"/>
                  </w14:solidFill>
                </w14:textFill>
              </w:rPr>
            </w:pPr>
            <w:r>
              <w:rPr>
                <w:color w:val="000000" w:themeColor="text1"/>
                <w14:textFill>
                  <w14:solidFill>
                    <w14:schemeClr w14:val="tx1"/>
                  </w14:solidFill>
                </w14:textFill>
              </w:rPr>
              <w:t>地区</w:t>
            </w:r>
          </w:p>
        </w:tc>
        <w:tc>
          <w:tcPr>
            <w:tcW w:w="2126" w:type="dxa"/>
            <w:tcBorders>
              <w:top w:val="single" w:color="auto" w:sz="4" w:space="0"/>
              <w:left w:val="single" w:color="auto" w:sz="4" w:space="0"/>
              <w:bottom w:val="single" w:color="auto" w:sz="4" w:space="0"/>
              <w:right w:val="single" w:color="auto" w:sz="4" w:space="0"/>
            </w:tcBorders>
            <w:noWrap/>
            <w:vAlign w:val="center"/>
          </w:tcPr>
          <w:p w14:paraId="3D1260AA">
            <w:pPr>
              <w:pStyle w:val="109"/>
              <w:rPr>
                <w:color w:val="000000" w:themeColor="text1"/>
                <w14:textFill>
                  <w14:solidFill>
                    <w14:schemeClr w14:val="tx1"/>
                  </w14:solidFill>
                </w14:textFill>
              </w:rPr>
            </w:pPr>
            <w:r>
              <w:rPr>
                <w:color w:val="000000" w:themeColor="text1"/>
                <w14:textFill>
                  <w14:solidFill>
                    <w14:schemeClr w14:val="tx1"/>
                  </w14:solidFill>
                </w14:textFill>
              </w:rPr>
              <w:t>公司名称</w:t>
            </w:r>
          </w:p>
        </w:tc>
        <w:tc>
          <w:tcPr>
            <w:tcW w:w="1056" w:type="dxa"/>
            <w:tcBorders>
              <w:top w:val="single" w:color="auto" w:sz="4" w:space="0"/>
              <w:left w:val="nil"/>
              <w:bottom w:val="single" w:color="auto" w:sz="4" w:space="0"/>
              <w:right w:val="single" w:color="auto" w:sz="4" w:space="0"/>
            </w:tcBorders>
            <w:noWrap/>
            <w:vAlign w:val="center"/>
          </w:tcPr>
          <w:p w14:paraId="05131C5F">
            <w:pPr>
              <w:pStyle w:val="109"/>
              <w:rPr>
                <w:color w:val="000000" w:themeColor="text1"/>
                <w14:textFill>
                  <w14:solidFill>
                    <w14:schemeClr w14:val="tx1"/>
                  </w14:solidFill>
                </w14:textFill>
              </w:rPr>
            </w:pPr>
            <w:r>
              <w:rPr>
                <w:color w:val="000000" w:themeColor="text1"/>
                <w14:textFill>
                  <w14:solidFill>
                    <w14:schemeClr w14:val="tx1"/>
                  </w14:solidFill>
                </w14:textFill>
              </w:rPr>
              <w:t>固废名称</w:t>
            </w:r>
          </w:p>
        </w:tc>
        <w:tc>
          <w:tcPr>
            <w:tcW w:w="1089" w:type="dxa"/>
            <w:tcBorders>
              <w:top w:val="single" w:color="auto" w:sz="4" w:space="0"/>
              <w:left w:val="nil"/>
              <w:bottom w:val="single" w:color="auto" w:sz="4" w:space="0"/>
              <w:right w:val="single" w:color="auto" w:sz="4" w:space="0"/>
            </w:tcBorders>
            <w:noWrap/>
            <w:vAlign w:val="center"/>
          </w:tcPr>
          <w:p w14:paraId="49342E58">
            <w:pPr>
              <w:pStyle w:val="109"/>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1595" w:type="dxa"/>
            <w:tcBorders>
              <w:top w:val="single" w:color="auto" w:sz="4" w:space="0"/>
              <w:left w:val="nil"/>
              <w:bottom w:val="single" w:color="auto" w:sz="4" w:space="0"/>
              <w:right w:val="single" w:color="auto" w:sz="4" w:space="0"/>
            </w:tcBorders>
            <w:noWrap/>
            <w:vAlign w:val="center"/>
          </w:tcPr>
          <w:p w14:paraId="71E2CAE5">
            <w:pPr>
              <w:pStyle w:val="109"/>
              <w:rPr>
                <w:color w:val="000000" w:themeColor="text1"/>
                <w14:textFill>
                  <w14:solidFill>
                    <w14:schemeClr w14:val="tx1"/>
                  </w14:solidFill>
                </w14:textFill>
              </w:rPr>
            </w:pPr>
            <w:r>
              <w:rPr>
                <w:color w:val="000000" w:themeColor="text1"/>
                <w14:textFill>
                  <w14:solidFill>
                    <w14:schemeClr w14:val="tx1"/>
                  </w14:solidFill>
                </w14:textFill>
              </w:rPr>
              <w:t>废盐种类</w:t>
            </w:r>
          </w:p>
        </w:tc>
        <w:tc>
          <w:tcPr>
            <w:tcW w:w="1234" w:type="dxa"/>
            <w:tcBorders>
              <w:top w:val="single" w:color="auto" w:sz="4" w:space="0"/>
              <w:left w:val="nil"/>
              <w:bottom w:val="single" w:color="auto" w:sz="4" w:space="0"/>
              <w:right w:val="single" w:color="auto" w:sz="4" w:space="0"/>
            </w:tcBorders>
            <w:noWrap/>
            <w:vAlign w:val="center"/>
          </w:tcPr>
          <w:p w14:paraId="248EA6BC">
            <w:pPr>
              <w:pStyle w:val="109"/>
              <w:rPr>
                <w:color w:val="000000" w:themeColor="text1"/>
                <w14:textFill>
                  <w14:solidFill>
                    <w14:schemeClr w14:val="tx1"/>
                  </w14:solidFill>
                </w14:textFill>
              </w:rPr>
            </w:pPr>
            <w:r>
              <w:rPr>
                <w:color w:val="000000" w:themeColor="text1"/>
                <w14:textFill>
                  <w14:solidFill>
                    <w14:schemeClr w14:val="tx1"/>
                  </w14:solidFill>
                </w14:textFill>
              </w:rPr>
              <w:t>产生量</w:t>
            </w:r>
          </w:p>
        </w:tc>
      </w:tr>
      <w:tr w14:paraId="0506B43F">
        <w:tblPrEx>
          <w:tblCellMar>
            <w:top w:w="0" w:type="dxa"/>
            <w:left w:w="108" w:type="dxa"/>
            <w:bottom w:w="0" w:type="dxa"/>
            <w:right w:w="108" w:type="dxa"/>
          </w:tblCellMar>
        </w:tblPrEx>
        <w:tc>
          <w:tcPr>
            <w:tcW w:w="636" w:type="dxa"/>
            <w:tcBorders>
              <w:top w:val="nil"/>
              <w:left w:val="single" w:color="auto" w:sz="4" w:space="0"/>
              <w:bottom w:val="single" w:color="auto" w:sz="4" w:space="0"/>
              <w:right w:val="single" w:color="auto" w:sz="4" w:space="0"/>
            </w:tcBorders>
            <w:noWrap/>
            <w:vAlign w:val="center"/>
          </w:tcPr>
          <w:p w14:paraId="6935D064">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486" w:type="dxa"/>
            <w:vMerge w:val="restart"/>
            <w:tcBorders>
              <w:top w:val="single" w:color="auto" w:sz="4" w:space="0"/>
              <w:left w:val="nil"/>
              <w:bottom w:val="single" w:color="auto" w:sz="4" w:space="0"/>
              <w:right w:val="single" w:color="auto" w:sz="4" w:space="0"/>
            </w:tcBorders>
            <w:vAlign w:val="center"/>
          </w:tcPr>
          <w:p w14:paraId="50888616">
            <w:pPr>
              <w:pStyle w:val="109"/>
              <w:rPr>
                <w:color w:val="000000" w:themeColor="text1"/>
                <w14:textFill>
                  <w14:solidFill>
                    <w14:schemeClr w14:val="tx1"/>
                  </w14:solidFill>
                </w14:textFill>
              </w:rPr>
            </w:pPr>
            <w:r>
              <w:rPr>
                <w:color w:val="000000" w:themeColor="text1"/>
                <w14:textFill>
                  <w14:solidFill>
                    <w14:schemeClr w14:val="tx1"/>
                  </w14:solidFill>
                </w14:textFill>
              </w:rPr>
              <w:t>乌鲁木齐市甘泉堡经开区</w:t>
            </w:r>
          </w:p>
        </w:tc>
        <w:tc>
          <w:tcPr>
            <w:tcW w:w="2126" w:type="dxa"/>
            <w:tcBorders>
              <w:top w:val="nil"/>
              <w:left w:val="single" w:color="auto" w:sz="4" w:space="0"/>
              <w:bottom w:val="single" w:color="auto" w:sz="4" w:space="0"/>
              <w:right w:val="single" w:color="auto" w:sz="4" w:space="0"/>
            </w:tcBorders>
            <w:noWrap/>
            <w:vAlign w:val="center"/>
          </w:tcPr>
          <w:p w14:paraId="208CDA34">
            <w:pPr>
              <w:pStyle w:val="109"/>
              <w:rPr>
                <w:color w:val="000000" w:themeColor="text1"/>
                <w14:textFill>
                  <w14:solidFill>
                    <w14:schemeClr w14:val="tx1"/>
                  </w14:solidFill>
                </w14:textFill>
              </w:rPr>
            </w:pPr>
            <w:r>
              <w:rPr>
                <w:color w:val="000000" w:themeColor="text1"/>
                <w14:textFill>
                  <w14:solidFill>
                    <w14:schemeClr w14:val="tx1"/>
                  </w14:solidFill>
                </w14:textFill>
              </w:rPr>
              <w:t>国能新疆化工公司</w:t>
            </w:r>
          </w:p>
        </w:tc>
        <w:tc>
          <w:tcPr>
            <w:tcW w:w="1056" w:type="dxa"/>
            <w:tcBorders>
              <w:top w:val="nil"/>
              <w:left w:val="nil"/>
              <w:bottom w:val="single" w:color="auto" w:sz="4" w:space="0"/>
              <w:right w:val="single" w:color="auto" w:sz="4" w:space="0"/>
            </w:tcBorders>
            <w:noWrap/>
            <w:vAlign w:val="center"/>
          </w:tcPr>
          <w:p w14:paraId="569BB90F">
            <w:pPr>
              <w:pStyle w:val="109"/>
              <w:rPr>
                <w:color w:val="000000" w:themeColor="text1"/>
                <w14:textFill>
                  <w14:solidFill>
                    <w14:schemeClr w14:val="tx1"/>
                  </w14:solidFill>
                </w14:textFill>
              </w:rPr>
            </w:pPr>
            <w:r>
              <w:rPr>
                <w:color w:val="000000" w:themeColor="text1"/>
                <w14:textFill>
                  <w14:solidFill>
                    <w14:schemeClr w14:val="tx1"/>
                  </w14:solidFill>
                </w14:textFill>
              </w:rPr>
              <w:t>工业杂盐</w:t>
            </w:r>
          </w:p>
        </w:tc>
        <w:tc>
          <w:tcPr>
            <w:tcW w:w="1089" w:type="dxa"/>
            <w:tcBorders>
              <w:top w:val="nil"/>
              <w:left w:val="nil"/>
              <w:bottom w:val="single" w:color="auto" w:sz="4" w:space="0"/>
              <w:right w:val="single" w:color="auto" w:sz="4" w:space="0"/>
            </w:tcBorders>
            <w:noWrap/>
            <w:vAlign w:val="center"/>
          </w:tcPr>
          <w:p w14:paraId="2F1748D2">
            <w:pPr>
              <w:pStyle w:val="109"/>
              <w:rPr>
                <w:color w:val="000000" w:themeColor="text1"/>
                <w14:textFill>
                  <w14:solidFill>
                    <w14:schemeClr w14:val="tx1"/>
                  </w14:solidFill>
                </w14:textFill>
              </w:rPr>
            </w:pPr>
            <w:r>
              <w:rPr>
                <w:color w:val="000000" w:themeColor="text1"/>
                <w14:textFill>
                  <w14:solidFill>
                    <w14:schemeClr w14:val="tx1"/>
                  </w14:solidFill>
                </w14:textFill>
              </w:rPr>
              <w:t>煤化工</w:t>
            </w:r>
          </w:p>
        </w:tc>
        <w:tc>
          <w:tcPr>
            <w:tcW w:w="1595" w:type="dxa"/>
            <w:tcBorders>
              <w:top w:val="nil"/>
              <w:left w:val="nil"/>
              <w:bottom w:val="single" w:color="auto" w:sz="4" w:space="0"/>
              <w:right w:val="single" w:color="auto" w:sz="4" w:space="0"/>
            </w:tcBorders>
            <w:noWrap/>
            <w:vAlign w:val="center"/>
          </w:tcPr>
          <w:p w14:paraId="2B5167FF">
            <w:pPr>
              <w:pStyle w:val="109"/>
              <w:rPr>
                <w:color w:val="000000" w:themeColor="text1"/>
                <w14:textFill>
                  <w14:solidFill>
                    <w14:schemeClr w14:val="tx1"/>
                  </w14:solidFill>
                </w14:textFill>
              </w:rPr>
            </w:pPr>
            <w:r>
              <w:rPr>
                <w:color w:val="000000" w:themeColor="text1"/>
                <w14:textFill>
                  <w14:solidFill>
                    <w14:schemeClr w14:val="tx1"/>
                  </w14:solidFill>
                </w14:textFill>
              </w:rPr>
              <w:t>氯化钠+硫酸钠</w:t>
            </w:r>
          </w:p>
        </w:tc>
        <w:tc>
          <w:tcPr>
            <w:tcW w:w="1234" w:type="dxa"/>
            <w:tcBorders>
              <w:top w:val="nil"/>
              <w:left w:val="nil"/>
              <w:bottom w:val="single" w:color="auto" w:sz="4" w:space="0"/>
              <w:right w:val="single" w:color="auto" w:sz="4" w:space="0"/>
            </w:tcBorders>
            <w:noWrap/>
            <w:vAlign w:val="center"/>
          </w:tcPr>
          <w:p w14:paraId="6D0F74F4">
            <w:pPr>
              <w:pStyle w:val="109"/>
              <w:rPr>
                <w:color w:val="000000" w:themeColor="text1"/>
                <w14:textFill>
                  <w14:solidFill>
                    <w14:schemeClr w14:val="tx1"/>
                  </w14:solidFill>
                </w14:textFill>
              </w:rPr>
            </w:pPr>
            <w:r>
              <w:rPr>
                <w:color w:val="000000" w:themeColor="text1"/>
                <w14:textFill>
                  <w14:solidFill>
                    <w14:schemeClr w14:val="tx1"/>
                  </w14:solidFill>
                </w14:textFill>
              </w:rPr>
              <w:t>2万吨/年</w:t>
            </w:r>
          </w:p>
        </w:tc>
      </w:tr>
      <w:tr w14:paraId="69F91449">
        <w:tblPrEx>
          <w:tblCellMar>
            <w:top w:w="0" w:type="dxa"/>
            <w:left w:w="108" w:type="dxa"/>
            <w:bottom w:w="0" w:type="dxa"/>
            <w:right w:w="108" w:type="dxa"/>
          </w:tblCellMar>
        </w:tblPrEx>
        <w:tc>
          <w:tcPr>
            <w:tcW w:w="636" w:type="dxa"/>
            <w:tcBorders>
              <w:top w:val="nil"/>
              <w:left w:val="single" w:color="auto" w:sz="4" w:space="0"/>
              <w:bottom w:val="single" w:color="auto" w:sz="4" w:space="0"/>
              <w:right w:val="single" w:color="auto" w:sz="4" w:space="0"/>
            </w:tcBorders>
            <w:noWrap/>
            <w:vAlign w:val="center"/>
          </w:tcPr>
          <w:p w14:paraId="6D3D953F">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486" w:type="dxa"/>
            <w:vMerge w:val="continue"/>
            <w:tcBorders>
              <w:top w:val="single" w:color="auto" w:sz="4" w:space="0"/>
              <w:left w:val="nil"/>
              <w:bottom w:val="single" w:color="auto" w:sz="4" w:space="0"/>
              <w:right w:val="single" w:color="auto" w:sz="4" w:space="0"/>
            </w:tcBorders>
            <w:vAlign w:val="center"/>
          </w:tcPr>
          <w:p w14:paraId="6E939336">
            <w:pPr>
              <w:pStyle w:val="109"/>
              <w:rPr>
                <w:color w:val="000000" w:themeColor="text1"/>
                <w:kern w:val="2"/>
                <w14:textFill>
                  <w14:solidFill>
                    <w14:schemeClr w14:val="tx1"/>
                  </w14:solidFill>
                </w14:textFill>
              </w:rPr>
            </w:pPr>
          </w:p>
        </w:tc>
        <w:tc>
          <w:tcPr>
            <w:tcW w:w="2126" w:type="dxa"/>
            <w:tcBorders>
              <w:top w:val="nil"/>
              <w:left w:val="single" w:color="auto" w:sz="4" w:space="0"/>
              <w:bottom w:val="single" w:color="auto" w:sz="4" w:space="0"/>
              <w:right w:val="single" w:color="auto" w:sz="4" w:space="0"/>
            </w:tcBorders>
            <w:noWrap/>
            <w:vAlign w:val="center"/>
          </w:tcPr>
          <w:p w14:paraId="2E836C3D">
            <w:pPr>
              <w:pStyle w:val="109"/>
              <w:rPr>
                <w:color w:val="000000" w:themeColor="text1"/>
                <w14:textFill>
                  <w14:solidFill>
                    <w14:schemeClr w14:val="tx1"/>
                  </w14:solidFill>
                </w14:textFill>
              </w:rPr>
            </w:pPr>
            <w:r>
              <w:rPr>
                <w:color w:val="000000" w:themeColor="text1"/>
                <w14:textFill>
                  <w14:solidFill>
                    <w14:schemeClr w14:val="tx1"/>
                  </w14:solidFill>
                </w14:textFill>
              </w:rPr>
              <w:t>新疆德润中建水资源开发有限公司</w:t>
            </w:r>
          </w:p>
        </w:tc>
        <w:tc>
          <w:tcPr>
            <w:tcW w:w="1056" w:type="dxa"/>
            <w:tcBorders>
              <w:top w:val="nil"/>
              <w:left w:val="nil"/>
              <w:bottom w:val="single" w:color="auto" w:sz="4" w:space="0"/>
              <w:right w:val="single" w:color="auto" w:sz="4" w:space="0"/>
            </w:tcBorders>
            <w:noWrap/>
            <w:vAlign w:val="center"/>
          </w:tcPr>
          <w:p w14:paraId="02DC301D">
            <w:pPr>
              <w:pStyle w:val="109"/>
              <w:rPr>
                <w:color w:val="000000" w:themeColor="text1"/>
                <w14:textFill>
                  <w14:solidFill>
                    <w14:schemeClr w14:val="tx1"/>
                  </w14:solidFill>
                </w14:textFill>
              </w:rPr>
            </w:pPr>
            <w:r>
              <w:rPr>
                <w:color w:val="000000" w:themeColor="text1"/>
                <w14:textFill>
                  <w14:solidFill>
                    <w14:schemeClr w14:val="tx1"/>
                  </w14:solidFill>
                </w14:textFill>
              </w:rPr>
              <w:t>混盐</w:t>
            </w:r>
          </w:p>
        </w:tc>
        <w:tc>
          <w:tcPr>
            <w:tcW w:w="1089" w:type="dxa"/>
            <w:tcBorders>
              <w:top w:val="nil"/>
              <w:left w:val="nil"/>
              <w:bottom w:val="single" w:color="auto" w:sz="4" w:space="0"/>
              <w:right w:val="single" w:color="auto" w:sz="4" w:space="0"/>
            </w:tcBorders>
            <w:noWrap/>
            <w:vAlign w:val="center"/>
          </w:tcPr>
          <w:p w14:paraId="542E74BE">
            <w:pPr>
              <w:pStyle w:val="109"/>
              <w:rPr>
                <w:color w:val="000000" w:themeColor="text1"/>
                <w14:textFill>
                  <w14:solidFill>
                    <w14:schemeClr w14:val="tx1"/>
                  </w14:solidFill>
                </w14:textFill>
              </w:rPr>
            </w:pPr>
            <w:r>
              <w:rPr>
                <w:color w:val="000000" w:themeColor="text1"/>
                <w14:textFill>
                  <w14:solidFill>
                    <w14:schemeClr w14:val="tx1"/>
                  </w14:solidFill>
                </w14:textFill>
              </w:rPr>
              <w:t>污水处理</w:t>
            </w:r>
          </w:p>
        </w:tc>
        <w:tc>
          <w:tcPr>
            <w:tcW w:w="1595" w:type="dxa"/>
            <w:tcBorders>
              <w:top w:val="nil"/>
              <w:left w:val="nil"/>
              <w:bottom w:val="single" w:color="auto" w:sz="4" w:space="0"/>
              <w:right w:val="single" w:color="auto" w:sz="4" w:space="0"/>
            </w:tcBorders>
            <w:noWrap/>
            <w:vAlign w:val="center"/>
          </w:tcPr>
          <w:p w14:paraId="15417D50">
            <w:pPr>
              <w:pStyle w:val="109"/>
              <w:rPr>
                <w:color w:val="000000" w:themeColor="text1"/>
                <w14:textFill>
                  <w14:solidFill>
                    <w14:schemeClr w14:val="tx1"/>
                  </w14:solidFill>
                </w14:textFill>
              </w:rPr>
            </w:pPr>
            <w:r>
              <w:rPr>
                <w:color w:val="000000" w:themeColor="text1"/>
                <w14:textFill>
                  <w14:solidFill>
                    <w14:schemeClr w14:val="tx1"/>
                  </w14:solidFill>
                </w14:textFill>
              </w:rPr>
              <w:t>氯化钠+硫酸钠</w:t>
            </w:r>
          </w:p>
        </w:tc>
        <w:tc>
          <w:tcPr>
            <w:tcW w:w="1234" w:type="dxa"/>
            <w:tcBorders>
              <w:top w:val="nil"/>
              <w:left w:val="nil"/>
              <w:bottom w:val="single" w:color="auto" w:sz="4" w:space="0"/>
              <w:right w:val="single" w:color="auto" w:sz="4" w:space="0"/>
            </w:tcBorders>
            <w:noWrap/>
            <w:vAlign w:val="center"/>
          </w:tcPr>
          <w:p w14:paraId="0C7119D7">
            <w:pPr>
              <w:pStyle w:val="109"/>
              <w:rPr>
                <w:color w:val="000000" w:themeColor="text1"/>
                <w14:textFill>
                  <w14:solidFill>
                    <w14:schemeClr w14:val="tx1"/>
                  </w14:solidFill>
                </w14:textFill>
              </w:rPr>
            </w:pPr>
            <w:r>
              <w:rPr>
                <w:color w:val="000000" w:themeColor="text1"/>
                <w14:textFill>
                  <w14:solidFill>
                    <w14:schemeClr w14:val="tx1"/>
                  </w14:solidFill>
                </w14:textFill>
              </w:rPr>
              <w:t>1万吨/年</w:t>
            </w:r>
          </w:p>
        </w:tc>
      </w:tr>
      <w:tr w14:paraId="66E5FD14">
        <w:tblPrEx>
          <w:tblCellMar>
            <w:top w:w="0" w:type="dxa"/>
            <w:left w:w="108" w:type="dxa"/>
            <w:bottom w:w="0" w:type="dxa"/>
            <w:right w:w="108" w:type="dxa"/>
          </w:tblCellMar>
        </w:tblPrEx>
        <w:tc>
          <w:tcPr>
            <w:tcW w:w="636" w:type="dxa"/>
            <w:tcBorders>
              <w:top w:val="nil"/>
              <w:left w:val="single" w:color="auto" w:sz="4" w:space="0"/>
              <w:bottom w:val="single" w:color="auto" w:sz="4" w:space="0"/>
              <w:right w:val="single" w:color="auto" w:sz="4" w:space="0"/>
            </w:tcBorders>
            <w:noWrap/>
            <w:vAlign w:val="center"/>
          </w:tcPr>
          <w:p w14:paraId="138C23CB">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486" w:type="dxa"/>
            <w:vMerge w:val="continue"/>
            <w:tcBorders>
              <w:top w:val="single" w:color="auto" w:sz="4" w:space="0"/>
              <w:left w:val="nil"/>
              <w:bottom w:val="single" w:color="auto" w:sz="4" w:space="0"/>
              <w:right w:val="single" w:color="auto" w:sz="4" w:space="0"/>
            </w:tcBorders>
            <w:vAlign w:val="center"/>
          </w:tcPr>
          <w:p w14:paraId="0245CC1C">
            <w:pPr>
              <w:pStyle w:val="109"/>
              <w:rPr>
                <w:color w:val="000000" w:themeColor="text1"/>
                <w:kern w:val="2"/>
                <w14:textFill>
                  <w14:solidFill>
                    <w14:schemeClr w14:val="tx1"/>
                  </w14:solidFill>
                </w14:textFill>
              </w:rPr>
            </w:pPr>
          </w:p>
        </w:tc>
        <w:tc>
          <w:tcPr>
            <w:tcW w:w="2126" w:type="dxa"/>
            <w:tcBorders>
              <w:top w:val="nil"/>
              <w:left w:val="single" w:color="auto" w:sz="4" w:space="0"/>
              <w:bottom w:val="single" w:color="auto" w:sz="4" w:space="0"/>
              <w:right w:val="single" w:color="auto" w:sz="4" w:space="0"/>
            </w:tcBorders>
            <w:noWrap/>
            <w:vAlign w:val="center"/>
          </w:tcPr>
          <w:p w14:paraId="4AB40BD6">
            <w:pPr>
              <w:pStyle w:val="109"/>
              <w:rPr>
                <w:color w:val="000000" w:themeColor="text1"/>
                <w14:textFill>
                  <w14:solidFill>
                    <w14:schemeClr w14:val="tx1"/>
                  </w14:solidFill>
                </w14:textFill>
              </w:rPr>
            </w:pPr>
            <w:r>
              <w:rPr>
                <w:color w:val="000000" w:themeColor="text1"/>
                <w14:textFill>
                  <w14:solidFill>
                    <w14:schemeClr w14:val="tx1"/>
                  </w14:solidFill>
                </w14:textFill>
              </w:rPr>
              <w:t>中国神华煤制油化工有限公司</w:t>
            </w:r>
          </w:p>
        </w:tc>
        <w:tc>
          <w:tcPr>
            <w:tcW w:w="1056" w:type="dxa"/>
            <w:tcBorders>
              <w:top w:val="nil"/>
              <w:left w:val="nil"/>
              <w:bottom w:val="single" w:color="auto" w:sz="4" w:space="0"/>
              <w:right w:val="single" w:color="auto" w:sz="4" w:space="0"/>
            </w:tcBorders>
            <w:noWrap/>
            <w:vAlign w:val="center"/>
          </w:tcPr>
          <w:p w14:paraId="7836FD63">
            <w:pPr>
              <w:pStyle w:val="109"/>
              <w:rPr>
                <w:color w:val="000000" w:themeColor="text1"/>
                <w14:textFill>
                  <w14:solidFill>
                    <w14:schemeClr w14:val="tx1"/>
                  </w14:solidFill>
                </w14:textFill>
              </w:rPr>
            </w:pPr>
            <w:r>
              <w:rPr>
                <w:color w:val="000000" w:themeColor="text1"/>
                <w14:textFill>
                  <w14:solidFill>
                    <w14:schemeClr w14:val="tx1"/>
                  </w14:solidFill>
                </w14:textFill>
              </w:rPr>
              <w:t>混盐</w:t>
            </w:r>
          </w:p>
        </w:tc>
        <w:tc>
          <w:tcPr>
            <w:tcW w:w="1089" w:type="dxa"/>
            <w:tcBorders>
              <w:top w:val="nil"/>
              <w:left w:val="nil"/>
              <w:bottom w:val="single" w:color="auto" w:sz="4" w:space="0"/>
              <w:right w:val="single" w:color="auto" w:sz="4" w:space="0"/>
            </w:tcBorders>
            <w:noWrap/>
            <w:vAlign w:val="center"/>
          </w:tcPr>
          <w:p w14:paraId="70A3BE57">
            <w:pPr>
              <w:pStyle w:val="109"/>
              <w:rPr>
                <w:color w:val="000000" w:themeColor="text1"/>
                <w14:textFill>
                  <w14:solidFill>
                    <w14:schemeClr w14:val="tx1"/>
                  </w14:solidFill>
                </w14:textFill>
              </w:rPr>
            </w:pPr>
            <w:r>
              <w:rPr>
                <w:color w:val="000000" w:themeColor="text1"/>
                <w14:textFill>
                  <w14:solidFill>
                    <w14:schemeClr w14:val="tx1"/>
                  </w14:solidFill>
                </w14:textFill>
              </w:rPr>
              <w:t>污水处理</w:t>
            </w:r>
          </w:p>
        </w:tc>
        <w:tc>
          <w:tcPr>
            <w:tcW w:w="1595" w:type="dxa"/>
            <w:tcBorders>
              <w:top w:val="nil"/>
              <w:left w:val="nil"/>
              <w:bottom w:val="single" w:color="auto" w:sz="4" w:space="0"/>
              <w:right w:val="single" w:color="auto" w:sz="4" w:space="0"/>
            </w:tcBorders>
            <w:noWrap/>
            <w:vAlign w:val="center"/>
          </w:tcPr>
          <w:p w14:paraId="54CA07B7">
            <w:pPr>
              <w:pStyle w:val="109"/>
              <w:rPr>
                <w:color w:val="000000" w:themeColor="text1"/>
                <w14:textFill>
                  <w14:solidFill>
                    <w14:schemeClr w14:val="tx1"/>
                  </w14:solidFill>
                </w14:textFill>
              </w:rPr>
            </w:pPr>
            <w:r>
              <w:rPr>
                <w:color w:val="000000" w:themeColor="text1"/>
                <w14:textFill>
                  <w14:solidFill>
                    <w14:schemeClr w14:val="tx1"/>
                  </w14:solidFill>
                </w14:textFill>
              </w:rPr>
              <w:t>氯化钠+硫酸钠</w:t>
            </w:r>
          </w:p>
        </w:tc>
        <w:tc>
          <w:tcPr>
            <w:tcW w:w="1234" w:type="dxa"/>
            <w:tcBorders>
              <w:top w:val="nil"/>
              <w:left w:val="nil"/>
              <w:bottom w:val="single" w:color="auto" w:sz="4" w:space="0"/>
              <w:right w:val="single" w:color="auto" w:sz="4" w:space="0"/>
            </w:tcBorders>
            <w:noWrap/>
            <w:vAlign w:val="center"/>
          </w:tcPr>
          <w:p w14:paraId="6596D7E9">
            <w:pPr>
              <w:pStyle w:val="109"/>
              <w:rPr>
                <w:color w:val="000000" w:themeColor="text1"/>
                <w14:textFill>
                  <w14:solidFill>
                    <w14:schemeClr w14:val="tx1"/>
                  </w14:solidFill>
                </w14:textFill>
              </w:rPr>
            </w:pPr>
            <w:r>
              <w:rPr>
                <w:color w:val="000000" w:themeColor="text1"/>
                <w14:textFill>
                  <w14:solidFill>
                    <w14:schemeClr w14:val="tx1"/>
                  </w14:solidFill>
                </w14:textFill>
              </w:rPr>
              <w:t>0.5万吨/年</w:t>
            </w:r>
          </w:p>
        </w:tc>
      </w:tr>
    </w:tbl>
    <w:p w14:paraId="43FA8F9A">
      <w:pPr>
        <w:ind w:firstLine="480"/>
        <w:rPr>
          <w:color w:val="000000" w:themeColor="text1"/>
          <w14:textFill>
            <w14:solidFill>
              <w14:schemeClr w14:val="tx1"/>
            </w14:solidFill>
          </w14:textFill>
        </w:rPr>
      </w:pPr>
      <w:r>
        <w:rPr>
          <w:color w:val="000000" w:themeColor="text1"/>
          <w14:textFill>
            <w14:solidFill>
              <w14:schemeClr w14:val="tx1"/>
            </w14:solidFill>
          </w14:textFill>
        </w:rPr>
        <w:t>由上表可知，目前可以服务企业的危险废物产生量约</w:t>
      </w:r>
      <w:r>
        <w:rPr>
          <w:rFonts w:eastAsiaTheme="minorEastAsia"/>
          <w:color w:val="000000" w:themeColor="text1"/>
          <w:lang w:bidi="en-US"/>
          <w14:textFill>
            <w14:solidFill>
              <w14:schemeClr w14:val="tx1"/>
            </w14:solidFill>
          </w14:textFill>
        </w:rPr>
        <w:t>3.5万</w:t>
      </w:r>
      <w:r>
        <w:rPr>
          <w:rFonts w:eastAsia="Times New Roman"/>
          <w:color w:val="000000" w:themeColor="text1"/>
          <w:lang w:bidi="en-US"/>
          <w14:textFill>
            <w14:solidFill>
              <w14:schemeClr w14:val="tx1"/>
            </w14:solidFill>
          </w14:textFill>
        </w:rPr>
        <w:t>t/a</w:t>
      </w:r>
      <w:r>
        <w:rPr>
          <w:color w:val="000000" w:themeColor="text1"/>
          <w:lang w:bidi="en-US"/>
          <w14:textFill>
            <w14:solidFill>
              <w14:schemeClr w14:val="tx1"/>
            </w14:solidFill>
          </w14:textFill>
        </w:rPr>
        <w:t>。企业周边建有</w:t>
      </w:r>
      <w:r>
        <w:rPr>
          <w:color w:val="000000" w:themeColor="text1"/>
          <w14:textFill>
            <w14:solidFill>
              <w14:schemeClr w14:val="tx1"/>
            </w14:solidFill>
          </w14:textFill>
        </w:rPr>
        <w:t>新疆准东经济技术开发区煤化工基地，入驻企业多与国能新疆化工公司、中国神华煤制油化工有限公司属于同类企业，因此后期投产运行过程中，会产生类似废盐。</w:t>
      </w:r>
    </w:p>
    <w:p w14:paraId="5A3A561B">
      <w:pPr>
        <w:ind w:firstLine="480"/>
        <w:rPr>
          <w:color w:val="000000" w:themeColor="text1"/>
          <w14:textFill>
            <w14:solidFill>
              <w14:schemeClr w14:val="tx1"/>
            </w14:solidFill>
          </w14:textFill>
        </w:rPr>
      </w:pPr>
      <w:r>
        <w:rPr>
          <w:color w:val="000000" w:themeColor="text1"/>
          <w14:textFill>
            <w14:solidFill>
              <w14:schemeClr w14:val="tx1"/>
            </w14:solidFill>
          </w14:textFill>
        </w:rPr>
        <w:t>随着周边煤化工企业的不断发展，危险废物的产生量也将持续增长。与此同时，随着乌鲁木齐市危险废物核查工作的推进，环保执法力度的不断加强，危险固废申报制度的不断完善，各种漏报、瞒报和少报等现象将得到有力扼制，危险废 物收集率将不断提高，危险废物的处置量在一段时间内将得到梯度增长。因此，服务范围内实际将在未来产生的危废量大于上述统计数据。</w:t>
      </w:r>
    </w:p>
    <w:p w14:paraId="0B062932">
      <w:pPr>
        <w:ind w:firstLine="480"/>
        <w:rPr>
          <w:color w:val="000000" w:themeColor="text1"/>
          <w14:textFill>
            <w14:solidFill>
              <w14:schemeClr w14:val="tx1"/>
            </w14:solidFill>
          </w14:textFill>
        </w:rPr>
      </w:pPr>
      <w:r>
        <w:rPr>
          <w:color w:val="000000" w:themeColor="text1"/>
          <w14:textFill>
            <w14:solidFill>
              <w14:schemeClr w14:val="tx1"/>
            </w14:solidFill>
          </w14:textFill>
        </w:rPr>
        <w:t>综合上述因素，同时考虑一定的余量，确定本项目危险废物处置规模</w:t>
      </w:r>
      <w:r>
        <w:rPr>
          <w:rFonts w:eastAsiaTheme="minorEastAsia"/>
          <w:color w:val="000000" w:themeColor="text1"/>
          <w:lang w:bidi="en-US"/>
          <w14:textFill>
            <w14:solidFill>
              <w14:schemeClr w14:val="tx1"/>
            </w14:solidFill>
          </w14:textFill>
        </w:rPr>
        <w:t>5</w:t>
      </w:r>
      <w:r>
        <w:rPr>
          <w:rFonts w:eastAsia="Times New Roman"/>
          <w:color w:val="000000" w:themeColor="text1"/>
          <w:lang w:bidi="en-US"/>
          <w14:textFill>
            <w14:solidFill>
              <w14:schemeClr w14:val="tx1"/>
            </w14:solidFill>
          </w14:textFill>
        </w:rPr>
        <w:t>0000t/a</w:t>
      </w:r>
      <w:r>
        <w:rPr>
          <w:color w:val="000000" w:themeColor="text1"/>
          <w:lang w:bidi="en-US"/>
          <w14:textFill>
            <w14:solidFill>
              <w14:schemeClr w14:val="tx1"/>
            </w14:solidFill>
          </w14:textFill>
        </w:rPr>
        <w:t>。</w:t>
      </w:r>
    </w:p>
    <w:p w14:paraId="7706CCD8">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处置方案及去向</w:t>
      </w:r>
    </w:p>
    <w:p w14:paraId="6B5EEBB5">
      <w:pPr>
        <w:ind w:firstLine="480"/>
        <w:rPr>
          <w:color w:val="000000" w:themeColor="text1"/>
          <w:szCs w:val="21"/>
          <w14:textFill>
            <w14:solidFill>
              <w14:schemeClr w14:val="tx1"/>
            </w14:solidFill>
          </w14:textFill>
        </w:rPr>
      </w:pPr>
      <w:r>
        <w:rPr>
          <w:color w:val="000000" w:themeColor="text1"/>
          <w14:textFill>
            <w14:solidFill>
              <w14:schemeClr w14:val="tx1"/>
            </w14:solidFill>
          </w14:textFill>
        </w:rPr>
        <w:t>本项目采用二级热解分段式热解焙烧窑处理工业废盐中的有机杂质，工艺流程主要包括包含进料系统、盐渣热解系统、焚烧系统、烟气净化处理系统。</w:t>
      </w:r>
      <w:r>
        <w:rPr>
          <w:color w:val="000000" w:themeColor="text1"/>
          <w:szCs w:val="21"/>
          <w14:textFill>
            <w14:solidFill>
              <w14:schemeClr w14:val="tx1"/>
            </w14:solidFill>
          </w14:textFill>
        </w:rPr>
        <w:t>处理后的废盐用于生产融雪剂。</w:t>
      </w:r>
    </w:p>
    <w:p w14:paraId="57FD8F20">
      <w:pPr>
        <w:ind w:firstLine="48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本项目处置后的废盐在满足相关标准要求后，在厂区内用于生产融雪剂。</w:t>
      </w:r>
    </w:p>
    <w:bookmarkEnd w:id="234"/>
    <w:bookmarkEnd w:id="235"/>
    <w:p w14:paraId="347CA606">
      <w:pPr>
        <w:pStyle w:val="3"/>
        <w:rPr>
          <w:rFonts w:ascii="Times New Roman" w:cs="Times New Roman"/>
          <w:color w:val="000000" w:themeColor="text1"/>
          <w14:textFill>
            <w14:solidFill>
              <w14:schemeClr w14:val="tx1"/>
            </w14:solidFill>
          </w14:textFill>
        </w:rPr>
      </w:pPr>
      <w:bookmarkStart w:id="236" w:name="_Toc225268297"/>
      <w:r>
        <w:rPr>
          <w:rFonts w:ascii="Times New Roman" w:cs="Times New Roman"/>
          <w:color w:val="000000" w:themeColor="text1"/>
          <w14:textFill>
            <w14:solidFill>
              <w14:schemeClr w14:val="tx1"/>
            </w14:solidFill>
          </w14:textFill>
        </w:rPr>
        <w:t>项目占地及总图布置</w:t>
      </w:r>
      <w:bookmarkEnd w:id="236"/>
    </w:p>
    <w:p w14:paraId="6909D96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w:t>
      </w:r>
      <w:r>
        <w:rPr>
          <w:b/>
          <w:bCs/>
          <w:color w:val="000000" w:themeColor="text1"/>
          <w14:textFill>
            <w14:solidFill>
              <w14:schemeClr w14:val="tx1"/>
            </w14:solidFill>
          </w14:textFill>
        </w:rPr>
        <w:t>总平面图布置</w:t>
      </w:r>
    </w:p>
    <w:p w14:paraId="67F3BB4E">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本项目在</w:t>
      </w:r>
      <w:r>
        <w:rPr>
          <w:rFonts w:hint="eastAsia"/>
          <w:color w:val="000000" w:themeColor="text1"/>
          <w14:textFill>
            <w14:solidFill>
              <w14:schemeClr w14:val="tx1"/>
            </w14:solidFill>
          </w14:textFill>
        </w:rPr>
        <w:t>现有厂区</w:t>
      </w:r>
      <w:r>
        <w:rPr>
          <w:color w:val="000000" w:themeColor="text1"/>
          <w14:textFill>
            <w14:solidFill>
              <w14:schemeClr w14:val="tx1"/>
            </w14:solidFill>
          </w14:textFill>
        </w:rPr>
        <w:t>内建设，</w:t>
      </w:r>
      <w:r>
        <w:rPr>
          <w:rFonts w:hint="eastAsia"/>
          <w:color w:val="000000" w:themeColor="text1"/>
          <w14:textFill>
            <w14:solidFill>
              <w14:schemeClr w14:val="tx1"/>
            </w14:solidFill>
          </w14:textFill>
        </w:rPr>
        <w:t>本项目废盐处置车间和废盐仓库位于厂区南部，废盐仓库位于废盐处置车间东南侧，融雪剂车间位于废盐仓库北侧</w:t>
      </w:r>
      <w:r>
        <w:rPr>
          <w:color w:val="000000" w:themeColor="text1"/>
          <w14:textFill>
            <w14:solidFill>
              <w14:schemeClr w14:val="tx1"/>
            </w14:solidFill>
          </w14:textFill>
        </w:rPr>
        <w:t>。</w:t>
      </w:r>
    </w:p>
    <w:p w14:paraId="0C659BDF">
      <w:pPr>
        <w:ind w:firstLine="480"/>
        <w:rPr>
          <w:color w:val="000000" w:themeColor="text1"/>
          <w14:textFill>
            <w14:solidFill>
              <w14:schemeClr w14:val="tx1"/>
            </w14:solidFill>
          </w14:textFill>
        </w:rPr>
      </w:pPr>
      <w:r>
        <w:rPr>
          <w:color w:val="000000" w:themeColor="text1"/>
          <w14:textFill>
            <w14:solidFill>
              <w14:schemeClr w14:val="tx1"/>
            </w14:solidFill>
          </w14:textFill>
        </w:rPr>
        <w:t>物料运输平顺、短捷。配电、循环水等在生产车间附近布置。配伍主要在废盐</w:t>
      </w:r>
      <w:r>
        <w:rPr>
          <w:rFonts w:hint="eastAsia"/>
          <w:color w:val="000000" w:themeColor="text1"/>
          <w14:textFill>
            <w14:solidFill>
              <w14:schemeClr w14:val="tx1"/>
            </w14:solidFill>
          </w14:textFill>
        </w:rPr>
        <w:t>处置车间</w:t>
      </w:r>
      <w:r>
        <w:rPr>
          <w:color w:val="000000" w:themeColor="text1"/>
          <w14:textFill>
            <w14:solidFill>
              <w14:schemeClr w14:val="tx1"/>
            </w14:solidFill>
          </w14:textFill>
        </w:rPr>
        <w:t>中进行。</w:t>
      </w:r>
    </w:p>
    <w:p w14:paraId="36E36D9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二、</w:t>
      </w:r>
      <w:r>
        <w:rPr>
          <w:b/>
          <w:bCs/>
          <w:color w:val="000000" w:themeColor="text1"/>
          <w14:textFill>
            <w14:solidFill>
              <w14:schemeClr w14:val="tx1"/>
            </w14:solidFill>
          </w14:textFill>
        </w:rPr>
        <w:t>厂内道路</w:t>
      </w:r>
    </w:p>
    <w:p w14:paraId="4DEFCF5C">
      <w:pPr>
        <w:ind w:firstLine="480"/>
        <w:rPr>
          <w:color w:val="000000" w:themeColor="text1"/>
          <w14:textFill>
            <w14:solidFill>
              <w14:schemeClr w14:val="tx1"/>
            </w14:solidFill>
          </w14:textFill>
        </w:rPr>
      </w:pPr>
      <w:r>
        <w:rPr>
          <w:color w:val="000000" w:themeColor="text1"/>
          <w14:textFill>
            <w14:solidFill>
              <w14:schemeClr w14:val="tx1"/>
            </w14:solidFill>
          </w14:textFill>
        </w:rPr>
        <w:t>工业园区道路网已基本形成，交通发达，公路交通，铁路运输极为便利。新建道路采用城市型道路，装置区和储运区的道路设置可同时满足运输、检修和消防要求。道路采用水稳层加混凝土面层形式。</w:t>
      </w:r>
    </w:p>
    <w:p w14:paraId="2AD47E4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三、</w:t>
      </w:r>
      <w:r>
        <w:rPr>
          <w:b/>
          <w:bCs/>
          <w:color w:val="000000" w:themeColor="text1"/>
          <w14:textFill>
            <w14:solidFill>
              <w14:schemeClr w14:val="tx1"/>
            </w14:solidFill>
          </w14:textFill>
        </w:rPr>
        <w:t>平面布置合理性分析</w:t>
      </w:r>
    </w:p>
    <w:p w14:paraId="34FDA7B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本项目平面布置从方便营运、安全管理和保护环境等方面进行综合考虑，布置基本合理，具体分析如下：</w:t>
      </w:r>
    </w:p>
    <w:p w14:paraId="0218C2C0">
      <w:pPr>
        <w:ind w:firstLine="480"/>
        <w:rPr>
          <w:color w:val="000000" w:themeColor="text1"/>
          <w14:textFill>
            <w14:solidFill>
              <w14:schemeClr w14:val="tx1"/>
            </w14:solidFill>
          </w14:textFill>
        </w:rPr>
      </w:pPr>
      <w:r>
        <w:rPr>
          <w:color w:val="000000" w:themeColor="text1"/>
          <w14:textFill>
            <w14:solidFill>
              <w14:schemeClr w14:val="tx1"/>
            </w14:solidFill>
          </w14:textFill>
        </w:rPr>
        <w:t>1、本项目人物分流，减少废物运输队职工的影响，方便管理和安全，又方便生产，便于保护厂区内有序的生产环境；物流入口直接连接主干道，方便车辆进出，在物流入口设置地磅房的机修设施。</w:t>
      </w:r>
    </w:p>
    <w:p w14:paraId="0AF3DF00">
      <w:pPr>
        <w:ind w:firstLine="480"/>
        <w:rPr>
          <w:color w:val="000000" w:themeColor="text1"/>
          <w14:textFill>
            <w14:solidFill>
              <w14:schemeClr w14:val="tx1"/>
            </w14:solidFill>
          </w14:textFill>
        </w:rPr>
      </w:pPr>
      <w:r>
        <w:rPr>
          <w:color w:val="000000" w:themeColor="text1"/>
          <w14:textFill>
            <w14:solidFill>
              <w14:schemeClr w14:val="tx1"/>
            </w14:solidFill>
          </w14:textFill>
        </w:rPr>
        <w:t>2、废盐仓库与生产区相邻，设置专用道路连接，各生产环节连接紧凑，物料输送距离短，便于节能降耗，减少物料流失，提高生产效率。废盐仓库配套叉车用于废物的转运，可以满足处理工艺流程和物流流向的要求。</w:t>
      </w:r>
    </w:p>
    <w:p w14:paraId="55F2BFED">
      <w:pPr>
        <w:ind w:firstLine="480"/>
        <w:rPr>
          <w:color w:val="000000" w:themeColor="text1"/>
          <w14:textFill>
            <w14:solidFill>
              <w14:schemeClr w14:val="tx1"/>
            </w14:solidFill>
          </w14:textFill>
        </w:rPr>
      </w:pPr>
      <w:r>
        <w:rPr>
          <w:color w:val="000000" w:themeColor="text1"/>
          <w14:textFill>
            <w14:solidFill>
              <w14:schemeClr w14:val="tx1"/>
            </w14:solidFill>
          </w14:textFill>
        </w:rPr>
        <w:t>3、厂内主要噪声源集中在车间中部，可以减少设备运行噪声对厂外敏感目标的影响。</w:t>
      </w:r>
    </w:p>
    <w:p w14:paraId="1922B905">
      <w:pPr>
        <w:ind w:firstLine="480"/>
        <w:rPr>
          <w:color w:val="000000" w:themeColor="text1"/>
          <w14:textFill>
            <w14:solidFill>
              <w14:schemeClr w14:val="tx1"/>
            </w14:solidFill>
          </w14:textFill>
        </w:rPr>
      </w:pPr>
      <w:r>
        <w:rPr>
          <w:color w:val="000000" w:themeColor="text1"/>
          <w14:textFill>
            <w14:solidFill>
              <w14:schemeClr w14:val="tx1"/>
            </w14:solidFill>
          </w14:textFill>
        </w:rPr>
        <w:t>综上，全厂总图设计时综合考虑了厂址所在的自然条件，结合生产、运输要求，基本做到分区明确，从环保角度认为，拟建项目的总平面布置在营运、安全管理和保护环境等方面是较合理的。</w:t>
      </w:r>
    </w:p>
    <w:p w14:paraId="2354889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本项目总平面布置见图</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.4-1。</w:t>
      </w:r>
    </w:p>
    <w:p w14:paraId="581EA1A5">
      <w:pPr>
        <w:widowControl/>
        <w:autoSpaceDE/>
        <w:autoSpaceDN/>
        <w:spacing w:line="240" w:lineRule="auto"/>
        <w:ind w:firstLine="0" w:firstLineChars="0"/>
        <w:rPr>
          <w:rFonts w:ascii="黑体" w:eastAsia="黑体" w:cs="黑体"/>
          <w:color w:val="000000" w:themeColor="text1"/>
          <w:sz w:val="30"/>
          <w:szCs w:val="30"/>
          <w14:textFill>
            <w14:solidFill>
              <w14:schemeClr w14:val="tx1"/>
            </w14:solidFill>
          </w14:textFill>
        </w:rPr>
      </w:pPr>
      <w:bookmarkStart w:id="237" w:name="_Toc225268298"/>
      <w:r>
        <w:rPr>
          <w:color w:val="000000" w:themeColor="text1"/>
          <w14:textFill>
            <w14:solidFill>
              <w14:schemeClr w14:val="tx1"/>
            </w14:solidFill>
          </w14:textFill>
        </w:rPr>
        <w:br w:type="page"/>
      </w:r>
    </w:p>
    <w:p w14:paraId="38452F13">
      <w:pPr>
        <w:widowControl/>
        <w:autoSpaceDE/>
        <w:autoSpaceDN/>
        <w:spacing w:line="240" w:lineRule="auto"/>
        <w:ind w:firstLine="0" w:firstLineChars="0"/>
        <w:rPr>
          <w:color w:val="000000" w:themeColor="text1"/>
          <w14:textFill>
            <w14:solidFill>
              <w14:schemeClr w14:val="tx1"/>
            </w14:solidFill>
          </w14:textFill>
        </w:rPr>
        <w:sectPr>
          <w:type w:val="nextColumn"/>
          <w:pgSz w:w="11900" w:h="16840"/>
          <w:pgMar w:top="1418" w:right="1247" w:bottom="1418" w:left="1247" w:header="851" w:footer="851" w:gutter="0"/>
          <w:cols w:space="720" w:num="1"/>
          <w:docGrid w:linePitch="360" w:charSpace="0"/>
        </w:sectPr>
      </w:pPr>
    </w:p>
    <w:p w14:paraId="15E25B03">
      <w:pPr>
        <w:widowControl/>
        <w:autoSpaceDE/>
        <w:autoSpaceDN/>
        <w:spacing w:line="240" w:lineRule="auto"/>
        <w:ind w:firstLine="0" w:firstLineChars="0"/>
        <w:jc w:val="center"/>
        <w:rPr>
          <w:color w:val="000000" w:themeColor="text1"/>
          <w14:textFill>
            <w14:solidFill>
              <w14:schemeClr w14:val="tx1"/>
            </w14:solidFill>
          </w14:textFill>
        </w:rPr>
      </w:pPr>
    </w:p>
    <w:p w14:paraId="43461F5D">
      <w:pPr>
        <w:pStyle w:val="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厂区平面布置图</w:t>
      </w:r>
    </w:p>
    <w:p w14:paraId="26AF9BE7">
      <w:pPr>
        <w:widowControl/>
        <w:autoSpaceDE/>
        <w:autoSpaceDN/>
        <w:spacing w:line="240" w:lineRule="auto"/>
        <w:ind w:firstLine="0" w:firstLineChars="0"/>
        <w:jc w:val="center"/>
        <w:rPr>
          <w:color w:val="000000" w:themeColor="text1"/>
          <w14:textFill>
            <w14:solidFill>
              <w14:schemeClr w14:val="tx1"/>
            </w14:solidFill>
          </w14:textFill>
        </w:rPr>
      </w:pPr>
    </w:p>
    <w:p w14:paraId="7BB9EA37">
      <w:pPr>
        <w:pStyle w:val="7"/>
        <w:rPr>
          <w:rFonts w:hint="eastAsia" w:ascii="黑体" w:cs="黑体"/>
          <w:color w:val="000000" w:themeColor="text1"/>
          <w:sz w:val="30"/>
          <w:szCs w:val="30"/>
          <w14:textFill>
            <w14:solidFill>
              <w14:schemeClr w14:val="tx1"/>
            </w14:solidFill>
          </w14:textFill>
        </w:rPr>
      </w:pPr>
      <w:r>
        <w:rPr>
          <w:rFonts w:hint="eastAsia"/>
          <w:color w:val="000000" w:themeColor="text1"/>
          <w14:textFill>
            <w14:solidFill>
              <w14:schemeClr w14:val="tx1"/>
            </w14:solidFill>
          </w14:textFill>
        </w:rPr>
        <w:t>车间平面布置图</w:t>
      </w:r>
      <w:r>
        <w:rPr>
          <w:color w:val="000000" w:themeColor="text1"/>
          <w14:textFill>
            <w14:solidFill>
              <w14:schemeClr w14:val="tx1"/>
            </w14:solidFill>
          </w14:textFill>
        </w:rPr>
        <w:br w:type="page"/>
      </w:r>
    </w:p>
    <w:p w14:paraId="512BB6AE">
      <w:pPr>
        <w:pStyle w:val="3"/>
        <w:rPr>
          <w:color w:val="000000" w:themeColor="text1"/>
          <w14:textFill>
            <w14:solidFill>
              <w14:schemeClr w14:val="tx1"/>
            </w14:solidFill>
          </w14:textFill>
        </w:rPr>
        <w:sectPr>
          <w:type w:val="nextColumn"/>
          <w:pgSz w:w="16840" w:h="11900" w:orient="landscape"/>
          <w:pgMar w:top="1247" w:right="1418" w:bottom="1247" w:left="1418" w:header="851" w:footer="851" w:gutter="0"/>
          <w:cols w:space="720" w:num="1"/>
          <w:docGrid w:linePitch="360" w:charSpace="0"/>
        </w:sectPr>
      </w:pPr>
    </w:p>
    <w:p w14:paraId="1B105255">
      <w:pPr>
        <w:pStyle w:val="3"/>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10822940</wp:posOffset>
                </wp:positionH>
                <wp:positionV relativeFrom="paragraph">
                  <wp:posOffset>1647825</wp:posOffset>
                </wp:positionV>
                <wp:extent cx="375285" cy="116205"/>
                <wp:effectExtent l="0" t="0" r="6350" b="0"/>
                <wp:wrapNone/>
                <wp:docPr id="115" name="矩形 115"/>
                <wp:cNvGraphicFramePr/>
                <a:graphic xmlns:a="http://schemas.openxmlformats.org/drawingml/2006/main">
                  <a:graphicData uri="http://schemas.microsoft.com/office/word/2010/wordprocessingShape">
                    <wps:wsp>
                      <wps:cNvSpPr/>
                      <wps:spPr>
                        <a:xfrm>
                          <a:off x="0" y="0"/>
                          <a:ext cx="375274" cy="1162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2.2pt;margin-top:129.75pt;height:9.15pt;width:29.55pt;z-index:251661312;v-text-anchor:middle;mso-width-relative:page;mso-height-relative:page;" fillcolor="#FFFFFF [3212]" filled="t" stroked="f" coordsize="21600,21600" o:gfxdata="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FvqE9wAAAANAQAADwAAAAAAAAABACAAAAAiAAAAZHJzL2Rvd25y&#10;ZXYueG1sUEsBAhQAFAAAAAgAh07iQMqP/RVsAgAAzgQAAA4AAAAAAAAAAQAgAAAAKwEAAGRycy9l&#10;Mm9Eb2MueG1sUEsFBgAAAAAGAAYAWQEAAAkGAAAAAA==&#10;">
                <v:fill on="t" focussize="0,0"/>
                <v:stroke on="f" weight="1pt" miterlimit="8" joinstyle="miter"/>
                <v:imagedata o:title=""/>
                <o:lock v:ext="edit" aspectratio="f"/>
              </v:rect>
            </w:pict>
          </mc:Fallback>
        </mc:AlternateContent>
      </w:r>
      <w:r>
        <w:rPr>
          <w:color w:val="000000" w:themeColor="text1"/>
          <w14:textFill>
            <w14:solidFill>
              <w14:schemeClr w14:val="tx1"/>
            </w14:solidFill>
          </w14:textFill>
        </w:rPr>
        <w:t>主要设备选型及产能匹配性</w:t>
      </w:r>
      <w:bookmarkEnd w:id="237"/>
    </w:p>
    <w:p w14:paraId="5C334B7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主要生产设备</w:t>
      </w:r>
    </w:p>
    <w:p w14:paraId="36E1E93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本项目生产装置的主要设备见下表。</w:t>
      </w:r>
    </w:p>
    <w:p w14:paraId="13BDDC6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项目主要生产设备汇总表</w:t>
      </w:r>
    </w:p>
    <w:tbl>
      <w:tblPr>
        <w:tblStyle w:val="76"/>
        <w:tblW w:w="5092" w:type="pct"/>
        <w:tblInd w:w="0" w:type="dxa"/>
        <w:tblLayout w:type="fixed"/>
        <w:tblCellMar>
          <w:top w:w="0" w:type="dxa"/>
          <w:left w:w="108" w:type="dxa"/>
          <w:bottom w:w="0" w:type="dxa"/>
          <w:right w:w="108" w:type="dxa"/>
        </w:tblCellMar>
      </w:tblPr>
      <w:tblGrid>
        <w:gridCol w:w="574"/>
        <w:gridCol w:w="2763"/>
        <w:gridCol w:w="5080"/>
        <w:gridCol w:w="723"/>
        <w:gridCol w:w="648"/>
        <w:gridCol w:w="10"/>
      </w:tblGrid>
      <w:tr w14:paraId="1A972FCC">
        <w:tblPrEx>
          <w:tblCellMar>
            <w:top w:w="0" w:type="dxa"/>
            <w:left w:w="108" w:type="dxa"/>
            <w:bottom w:w="0" w:type="dxa"/>
            <w:right w:w="108" w:type="dxa"/>
          </w:tblCellMar>
        </w:tblPrEx>
        <w:trPr>
          <w:trHeight w:val="360" w:hRule="atLeast"/>
        </w:trPr>
        <w:tc>
          <w:tcPr>
            <w:tcW w:w="293" w:type="pct"/>
            <w:vMerge w:val="restart"/>
            <w:tcBorders>
              <w:top w:val="single" w:color="auto" w:sz="4" w:space="0"/>
              <w:left w:val="single" w:color="auto" w:sz="4" w:space="0"/>
              <w:bottom w:val="single" w:color="auto" w:sz="4" w:space="0"/>
              <w:right w:val="single" w:color="auto" w:sz="4" w:space="0"/>
            </w:tcBorders>
            <w:vAlign w:val="center"/>
          </w:tcPr>
          <w:p w14:paraId="146B6448">
            <w:pPr>
              <w:pStyle w:val="109"/>
              <w:ind w:left="-120" w:leftChars="-50" w:right="-103" w:rightChars="-43"/>
              <w:rPr>
                <w:color w:val="000000" w:themeColor="text1"/>
                <w14:textFill>
                  <w14:solidFill>
                    <w14:schemeClr w14:val="tx1"/>
                  </w14:solidFill>
                </w14:textFill>
              </w:rPr>
            </w:pPr>
            <w:r>
              <w:rPr>
                <w:color w:val="000000" w:themeColor="text1"/>
                <w14:textFill>
                  <w14:solidFill>
                    <w14:schemeClr w14:val="tx1"/>
                  </w14:solidFill>
                </w14:textFill>
              </w:rPr>
              <w:t xml:space="preserve">序号 </w:t>
            </w:r>
          </w:p>
        </w:tc>
        <w:tc>
          <w:tcPr>
            <w:tcW w:w="1410" w:type="pct"/>
            <w:vMerge w:val="restart"/>
            <w:tcBorders>
              <w:top w:val="single" w:color="auto" w:sz="4" w:space="0"/>
              <w:left w:val="single" w:color="auto" w:sz="4" w:space="0"/>
              <w:bottom w:val="single" w:color="auto" w:sz="4" w:space="0"/>
              <w:right w:val="single" w:color="auto" w:sz="4" w:space="0"/>
            </w:tcBorders>
            <w:vAlign w:val="center"/>
          </w:tcPr>
          <w:p w14:paraId="76F2CA4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设备名称 </w:t>
            </w:r>
          </w:p>
        </w:tc>
        <w:tc>
          <w:tcPr>
            <w:tcW w:w="2592" w:type="pct"/>
            <w:vMerge w:val="restart"/>
            <w:tcBorders>
              <w:top w:val="single" w:color="auto" w:sz="4" w:space="0"/>
              <w:left w:val="single" w:color="auto" w:sz="4" w:space="0"/>
              <w:bottom w:val="single" w:color="auto" w:sz="4" w:space="0"/>
              <w:right w:val="single" w:color="auto" w:sz="4" w:space="0"/>
            </w:tcBorders>
            <w:vAlign w:val="center"/>
          </w:tcPr>
          <w:p w14:paraId="5B47523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规格型号 </w:t>
            </w:r>
          </w:p>
        </w:tc>
        <w:tc>
          <w:tcPr>
            <w:tcW w:w="369" w:type="pct"/>
            <w:vMerge w:val="restart"/>
            <w:tcBorders>
              <w:top w:val="single" w:color="auto" w:sz="4" w:space="0"/>
              <w:left w:val="single" w:color="auto" w:sz="4" w:space="0"/>
              <w:bottom w:val="single" w:color="auto" w:sz="4" w:space="0"/>
              <w:right w:val="single" w:color="auto" w:sz="4" w:space="0"/>
            </w:tcBorders>
            <w:vAlign w:val="center"/>
          </w:tcPr>
          <w:p w14:paraId="5A2935C8">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336" w:type="pct"/>
            <w:gridSpan w:val="2"/>
            <w:vMerge w:val="restart"/>
            <w:tcBorders>
              <w:top w:val="single" w:color="auto" w:sz="4" w:space="0"/>
              <w:left w:val="single" w:color="auto" w:sz="4" w:space="0"/>
              <w:bottom w:val="single" w:color="auto" w:sz="4" w:space="0"/>
              <w:right w:val="single" w:color="auto" w:sz="4" w:space="0"/>
            </w:tcBorders>
            <w:vAlign w:val="center"/>
          </w:tcPr>
          <w:p w14:paraId="7A012FE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数量 </w:t>
            </w:r>
          </w:p>
        </w:tc>
      </w:tr>
      <w:tr w14:paraId="1E6F865A">
        <w:tblPrEx>
          <w:tblCellMar>
            <w:top w:w="0" w:type="dxa"/>
            <w:left w:w="108" w:type="dxa"/>
            <w:bottom w:w="0" w:type="dxa"/>
            <w:right w:w="108" w:type="dxa"/>
          </w:tblCellMar>
        </w:tblPrEx>
        <w:trPr>
          <w:trHeight w:val="360" w:hRule="atLeast"/>
        </w:trPr>
        <w:tc>
          <w:tcPr>
            <w:tcW w:w="293" w:type="pct"/>
            <w:vMerge w:val="continue"/>
            <w:tcBorders>
              <w:top w:val="single" w:color="auto" w:sz="4" w:space="0"/>
              <w:left w:val="single" w:color="auto" w:sz="4" w:space="0"/>
              <w:bottom w:val="single" w:color="auto" w:sz="4" w:space="0"/>
              <w:right w:val="single" w:color="auto" w:sz="4" w:space="0"/>
            </w:tcBorders>
            <w:vAlign w:val="center"/>
          </w:tcPr>
          <w:p w14:paraId="3511633A">
            <w:pPr>
              <w:pStyle w:val="109"/>
              <w:rPr>
                <w:color w:val="000000" w:themeColor="text1"/>
                <w14:textFill>
                  <w14:solidFill>
                    <w14:schemeClr w14:val="tx1"/>
                  </w14:solidFill>
                </w14:textFill>
              </w:rPr>
            </w:pPr>
          </w:p>
        </w:tc>
        <w:tc>
          <w:tcPr>
            <w:tcW w:w="1410" w:type="pct"/>
            <w:vMerge w:val="continue"/>
            <w:tcBorders>
              <w:top w:val="single" w:color="auto" w:sz="4" w:space="0"/>
              <w:left w:val="single" w:color="auto" w:sz="4" w:space="0"/>
              <w:bottom w:val="single" w:color="auto" w:sz="4" w:space="0"/>
              <w:right w:val="single" w:color="auto" w:sz="4" w:space="0"/>
            </w:tcBorders>
            <w:vAlign w:val="center"/>
          </w:tcPr>
          <w:p w14:paraId="771871CC">
            <w:pPr>
              <w:pStyle w:val="109"/>
              <w:rPr>
                <w:color w:val="000000" w:themeColor="text1"/>
                <w14:textFill>
                  <w14:solidFill>
                    <w14:schemeClr w14:val="tx1"/>
                  </w14:solidFill>
                </w14:textFill>
              </w:rPr>
            </w:pPr>
          </w:p>
        </w:tc>
        <w:tc>
          <w:tcPr>
            <w:tcW w:w="2592" w:type="pct"/>
            <w:vMerge w:val="continue"/>
            <w:tcBorders>
              <w:top w:val="single" w:color="auto" w:sz="4" w:space="0"/>
              <w:left w:val="single" w:color="auto" w:sz="4" w:space="0"/>
              <w:bottom w:val="single" w:color="auto" w:sz="4" w:space="0"/>
              <w:right w:val="single" w:color="auto" w:sz="4" w:space="0"/>
            </w:tcBorders>
            <w:vAlign w:val="center"/>
          </w:tcPr>
          <w:p w14:paraId="7FD2951E">
            <w:pPr>
              <w:pStyle w:val="109"/>
              <w:rPr>
                <w:color w:val="000000" w:themeColor="text1"/>
                <w14:textFill>
                  <w14:solidFill>
                    <w14:schemeClr w14:val="tx1"/>
                  </w14:solidFill>
                </w14:textFill>
              </w:rPr>
            </w:pPr>
          </w:p>
        </w:tc>
        <w:tc>
          <w:tcPr>
            <w:tcW w:w="369" w:type="pct"/>
            <w:vMerge w:val="continue"/>
            <w:tcBorders>
              <w:top w:val="single" w:color="auto" w:sz="4" w:space="0"/>
              <w:left w:val="single" w:color="auto" w:sz="4" w:space="0"/>
              <w:bottom w:val="single" w:color="auto" w:sz="4" w:space="0"/>
              <w:right w:val="single" w:color="auto" w:sz="4" w:space="0"/>
            </w:tcBorders>
            <w:vAlign w:val="center"/>
          </w:tcPr>
          <w:p w14:paraId="4CAFA366">
            <w:pPr>
              <w:pStyle w:val="109"/>
              <w:rPr>
                <w:color w:val="000000" w:themeColor="text1"/>
                <w14:textFill>
                  <w14:solidFill>
                    <w14:schemeClr w14:val="tx1"/>
                  </w14:solidFill>
                </w14:textFill>
              </w:rPr>
            </w:pPr>
          </w:p>
        </w:tc>
        <w:tc>
          <w:tcPr>
            <w:tcW w:w="336" w:type="pct"/>
            <w:gridSpan w:val="2"/>
            <w:vMerge w:val="continue"/>
            <w:tcBorders>
              <w:top w:val="single" w:color="auto" w:sz="4" w:space="0"/>
              <w:left w:val="single" w:color="auto" w:sz="4" w:space="0"/>
              <w:bottom w:val="single" w:color="auto" w:sz="4" w:space="0"/>
              <w:right w:val="single" w:color="auto" w:sz="4" w:space="0"/>
            </w:tcBorders>
            <w:vAlign w:val="center"/>
          </w:tcPr>
          <w:p w14:paraId="091C5181">
            <w:pPr>
              <w:pStyle w:val="109"/>
              <w:rPr>
                <w:color w:val="000000" w:themeColor="text1"/>
                <w14:textFill>
                  <w14:solidFill>
                    <w14:schemeClr w14:val="tx1"/>
                  </w14:solidFill>
                </w14:textFill>
              </w:rPr>
            </w:pPr>
          </w:p>
        </w:tc>
      </w:tr>
      <w:tr w14:paraId="21A590CE">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D9D9D9"/>
            <w:vAlign w:val="center"/>
          </w:tcPr>
          <w:p w14:paraId="3781DEE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一 </w:t>
            </w:r>
          </w:p>
        </w:tc>
        <w:tc>
          <w:tcPr>
            <w:tcW w:w="1410" w:type="pct"/>
            <w:tcBorders>
              <w:top w:val="nil"/>
              <w:left w:val="nil"/>
              <w:bottom w:val="single" w:color="auto" w:sz="4" w:space="0"/>
              <w:right w:val="single" w:color="auto" w:sz="4" w:space="0"/>
            </w:tcBorders>
            <w:shd w:val="clear" w:color="auto" w:fill="D9D9D9"/>
            <w:vAlign w:val="center"/>
          </w:tcPr>
          <w:p w14:paraId="0C51CE5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进料系统 </w:t>
            </w:r>
          </w:p>
        </w:tc>
        <w:tc>
          <w:tcPr>
            <w:tcW w:w="2592" w:type="pct"/>
            <w:tcBorders>
              <w:top w:val="nil"/>
              <w:left w:val="nil"/>
              <w:bottom w:val="single" w:color="auto" w:sz="4" w:space="0"/>
              <w:right w:val="single" w:color="auto" w:sz="4" w:space="0"/>
            </w:tcBorders>
            <w:shd w:val="clear" w:color="auto" w:fill="D9D9D9"/>
            <w:vAlign w:val="center"/>
          </w:tcPr>
          <w:p w14:paraId="39669C54">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69" w:type="pct"/>
            <w:tcBorders>
              <w:top w:val="nil"/>
              <w:left w:val="nil"/>
              <w:bottom w:val="single" w:color="auto" w:sz="4" w:space="0"/>
              <w:right w:val="single" w:color="auto" w:sz="4" w:space="0"/>
            </w:tcBorders>
            <w:shd w:val="clear" w:color="auto" w:fill="D9D9D9"/>
            <w:vAlign w:val="center"/>
          </w:tcPr>
          <w:p w14:paraId="3088147D">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36" w:type="pct"/>
            <w:gridSpan w:val="2"/>
            <w:tcBorders>
              <w:top w:val="nil"/>
              <w:left w:val="nil"/>
              <w:bottom w:val="single" w:color="auto" w:sz="4" w:space="0"/>
              <w:right w:val="single" w:color="auto" w:sz="4" w:space="0"/>
            </w:tcBorders>
            <w:shd w:val="clear" w:color="auto" w:fill="D9D9D9"/>
            <w:vAlign w:val="center"/>
          </w:tcPr>
          <w:p w14:paraId="6F86CE4F">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2E1A20E2">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67B0FC16">
            <w:pPr>
              <w:pStyle w:val="109"/>
              <w:rPr>
                <w:color w:val="000000" w:themeColor="text1"/>
                <w14:textFill>
                  <w14:solidFill>
                    <w14:schemeClr w14:val="tx1"/>
                  </w14:solidFill>
                </w14:textFill>
              </w:rPr>
            </w:pPr>
          </w:p>
        </w:tc>
        <w:tc>
          <w:tcPr>
            <w:tcW w:w="1410" w:type="pct"/>
            <w:tcBorders>
              <w:top w:val="nil"/>
              <w:left w:val="nil"/>
              <w:bottom w:val="single" w:color="auto" w:sz="4" w:space="0"/>
              <w:right w:val="single" w:color="auto" w:sz="4" w:space="0"/>
            </w:tcBorders>
            <w:vAlign w:val="center"/>
          </w:tcPr>
          <w:p w14:paraId="0BC3BC4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低位料仓（吨袋送入）</w:t>
            </w:r>
          </w:p>
        </w:tc>
        <w:tc>
          <w:tcPr>
            <w:tcW w:w="2592" w:type="pct"/>
            <w:tcBorders>
              <w:top w:val="nil"/>
              <w:left w:val="nil"/>
              <w:bottom w:val="single" w:color="auto" w:sz="4" w:space="0"/>
              <w:right w:val="single" w:color="auto" w:sz="4" w:space="0"/>
            </w:tcBorders>
            <w:vAlign w:val="center"/>
          </w:tcPr>
          <w:p w14:paraId="6F19981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含卸料平台，仓底螺旋给料，破拱装置</w:t>
            </w:r>
          </w:p>
        </w:tc>
        <w:tc>
          <w:tcPr>
            <w:tcW w:w="369" w:type="pct"/>
            <w:tcBorders>
              <w:top w:val="nil"/>
              <w:left w:val="nil"/>
              <w:bottom w:val="single" w:color="auto" w:sz="4" w:space="0"/>
              <w:right w:val="single" w:color="auto" w:sz="4" w:space="0"/>
            </w:tcBorders>
            <w:vAlign w:val="center"/>
          </w:tcPr>
          <w:p w14:paraId="43EBEC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4CECA8F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14137DCC">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3B6C5731">
            <w:pPr>
              <w:pStyle w:val="109"/>
              <w:rPr>
                <w:color w:val="000000" w:themeColor="text1"/>
                <w14:textFill>
                  <w14:solidFill>
                    <w14:schemeClr w14:val="tx1"/>
                  </w14:solidFill>
                </w14:textFill>
              </w:rPr>
            </w:pPr>
          </w:p>
        </w:tc>
        <w:tc>
          <w:tcPr>
            <w:tcW w:w="1410" w:type="pct"/>
            <w:tcBorders>
              <w:top w:val="nil"/>
              <w:left w:val="nil"/>
              <w:bottom w:val="single" w:color="auto" w:sz="4" w:space="0"/>
              <w:right w:val="single" w:color="auto" w:sz="4" w:space="0"/>
            </w:tcBorders>
            <w:vAlign w:val="center"/>
          </w:tcPr>
          <w:p w14:paraId="4659CB8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刮板输送机（低位进料）</w:t>
            </w:r>
          </w:p>
        </w:tc>
        <w:tc>
          <w:tcPr>
            <w:tcW w:w="2592" w:type="pct"/>
            <w:tcBorders>
              <w:top w:val="nil"/>
              <w:left w:val="nil"/>
              <w:bottom w:val="single" w:color="auto" w:sz="4" w:space="0"/>
              <w:right w:val="single" w:color="auto" w:sz="4" w:space="0"/>
            </w:tcBorders>
            <w:vAlign w:val="center"/>
          </w:tcPr>
          <w:p w14:paraId="7DE1633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进料能力~7吨/小时</w:t>
            </w:r>
          </w:p>
        </w:tc>
        <w:tc>
          <w:tcPr>
            <w:tcW w:w="369" w:type="pct"/>
            <w:tcBorders>
              <w:top w:val="nil"/>
              <w:left w:val="nil"/>
              <w:bottom w:val="single" w:color="auto" w:sz="4" w:space="0"/>
              <w:right w:val="single" w:color="auto" w:sz="4" w:space="0"/>
            </w:tcBorders>
            <w:vAlign w:val="center"/>
          </w:tcPr>
          <w:p w14:paraId="4AA7194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0781A7EA">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7C3508DA">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4ACDC104">
            <w:pPr>
              <w:pStyle w:val="109"/>
              <w:rPr>
                <w:color w:val="000000" w:themeColor="text1"/>
                <w14:textFill>
                  <w14:solidFill>
                    <w14:schemeClr w14:val="tx1"/>
                  </w14:solidFill>
                </w14:textFill>
              </w:rPr>
            </w:pPr>
          </w:p>
        </w:tc>
        <w:tc>
          <w:tcPr>
            <w:tcW w:w="1410" w:type="pct"/>
            <w:tcBorders>
              <w:top w:val="nil"/>
              <w:left w:val="nil"/>
              <w:bottom w:val="single" w:color="auto" w:sz="4" w:space="0"/>
              <w:right w:val="single" w:color="auto" w:sz="4" w:space="0"/>
            </w:tcBorders>
            <w:vAlign w:val="center"/>
          </w:tcPr>
          <w:p w14:paraId="5272A25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混料斗</w:t>
            </w:r>
          </w:p>
        </w:tc>
        <w:tc>
          <w:tcPr>
            <w:tcW w:w="2592" w:type="pct"/>
            <w:tcBorders>
              <w:top w:val="nil"/>
              <w:left w:val="nil"/>
              <w:bottom w:val="single" w:color="auto" w:sz="4" w:space="0"/>
              <w:right w:val="single" w:color="auto" w:sz="4" w:space="0"/>
            </w:tcBorders>
            <w:vAlign w:val="center"/>
          </w:tcPr>
          <w:p w14:paraId="12CB1FC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带均匀拌料装置</w:t>
            </w:r>
          </w:p>
        </w:tc>
        <w:tc>
          <w:tcPr>
            <w:tcW w:w="369" w:type="pct"/>
            <w:tcBorders>
              <w:top w:val="nil"/>
              <w:left w:val="nil"/>
              <w:bottom w:val="single" w:color="auto" w:sz="4" w:space="0"/>
              <w:right w:val="single" w:color="auto" w:sz="4" w:space="0"/>
            </w:tcBorders>
            <w:vAlign w:val="center"/>
          </w:tcPr>
          <w:p w14:paraId="158DE66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7FCD25EE">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24174C73">
        <w:tblPrEx>
          <w:tblCellMar>
            <w:top w:w="0" w:type="dxa"/>
            <w:left w:w="108" w:type="dxa"/>
            <w:bottom w:w="0" w:type="dxa"/>
            <w:right w:w="108" w:type="dxa"/>
          </w:tblCellMar>
        </w:tblPrEx>
        <w:trPr>
          <w:trHeight w:val="385" w:hRule="atLeast"/>
        </w:trPr>
        <w:tc>
          <w:tcPr>
            <w:tcW w:w="293" w:type="pct"/>
            <w:tcBorders>
              <w:top w:val="nil"/>
              <w:left w:val="single" w:color="auto" w:sz="4" w:space="0"/>
              <w:bottom w:val="single" w:color="auto" w:sz="4" w:space="0"/>
              <w:right w:val="single" w:color="auto" w:sz="4" w:space="0"/>
            </w:tcBorders>
            <w:noWrap/>
            <w:vAlign w:val="center"/>
          </w:tcPr>
          <w:p w14:paraId="19A19AE5">
            <w:pPr>
              <w:pStyle w:val="109"/>
              <w:rPr>
                <w:color w:val="000000" w:themeColor="text1"/>
                <w14:textFill>
                  <w14:solidFill>
                    <w14:schemeClr w14:val="tx1"/>
                  </w14:solidFill>
                </w14:textFill>
              </w:rPr>
            </w:pPr>
          </w:p>
        </w:tc>
        <w:tc>
          <w:tcPr>
            <w:tcW w:w="1410" w:type="pct"/>
            <w:tcBorders>
              <w:top w:val="nil"/>
              <w:left w:val="nil"/>
              <w:bottom w:val="single" w:color="auto" w:sz="4" w:space="0"/>
              <w:right w:val="single" w:color="auto" w:sz="4" w:space="0"/>
            </w:tcBorders>
            <w:vAlign w:val="center"/>
          </w:tcPr>
          <w:p w14:paraId="67BFF4D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进料双螺旋</w:t>
            </w:r>
          </w:p>
        </w:tc>
        <w:tc>
          <w:tcPr>
            <w:tcW w:w="2592" w:type="pct"/>
            <w:tcBorders>
              <w:top w:val="nil"/>
              <w:left w:val="nil"/>
              <w:bottom w:val="single" w:color="auto" w:sz="4" w:space="0"/>
              <w:right w:val="single" w:color="auto" w:sz="4" w:space="0"/>
            </w:tcBorders>
            <w:vAlign w:val="center"/>
          </w:tcPr>
          <w:p w14:paraId="4A21D2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进料能力~7吨/小时</w:t>
            </w:r>
          </w:p>
        </w:tc>
        <w:tc>
          <w:tcPr>
            <w:tcW w:w="369" w:type="pct"/>
            <w:tcBorders>
              <w:top w:val="nil"/>
              <w:left w:val="nil"/>
              <w:bottom w:val="single" w:color="auto" w:sz="4" w:space="0"/>
              <w:right w:val="single" w:color="auto" w:sz="4" w:space="0"/>
            </w:tcBorders>
            <w:vAlign w:val="center"/>
          </w:tcPr>
          <w:p w14:paraId="0EA48AC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596C2013">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273B6FD4">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D9D9D9"/>
            <w:vAlign w:val="center"/>
          </w:tcPr>
          <w:p w14:paraId="2CDC9F8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二 </w:t>
            </w:r>
          </w:p>
        </w:tc>
        <w:tc>
          <w:tcPr>
            <w:tcW w:w="1410" w:type="pct"/>
            <w:tcBorders>
              <w:top w:val="nil"/>
              <w:left w:val="nil"/>
              <w:bottom w:val="single" w:color="auto" w:sz="4" w:space="0"/>
              <w:right w:val="single" w:color="auto" w:sz="4" w:space="0"/>
            </w:tcBorders>
            <w:shd w:val="clear" w:color="auto" w:fill="D9D9D9"/>
            <w:vAlign w:val="center"/>
          </w:tcPr>
          <w:p w14:paraId="26E20B3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回转焙烧</w:t>
            </w:r>
            <w:r>
              <w:rPr>
                <w:color w:val="000000" w:themeColor="text1"/>
                <w14:textFill>
                  <w14:solidFill>
                    <w14:schemeClr w14:val="tx1"/>
                  </w14:solidFill>
                </w14:textFill>
              </w:rPr>
              <w:t xml:space="preserve">系统 </w:t>
            </w:r>
          </w:p>
        </w:tc>
        <w:tc>
          <w:tcPr>
            <w:tcW w:w="2592" w:type="pct"/>
            <w:tcBorders>
              <w:top w:val="nil"/>
              <w:left w:val="nil"/>
              <w:bottom w:val="single" w:color="auto" w:sz="4" w:space="0"/>
              <w:right w:val="single" w:color="auto" w:sz="4" w:space="0"/>
            </w:tcBorders>
            <w:shd w:val="clear" w:color="auto" w:fill="D9D9D9"/>
            <w:vAlign w:val="center"/>
          </w:tcPr>
          <w:p w14:paraId="48D5F84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69" w:type="pct"/>
            <w:tcBorders>
              <w:top w:val="nil"/>
              <w:left w:val="nil"/>
              <w:bottom w:val="single" w:color="auto" w:sz="4" w:space="0"/>
              <w:right w:val="single" w:color="auto" w:sz="4" w:space="0"/>
            </w:tcBorders>
            <w:shd w:val="clear" w:color="auto" w:fill="D9D9D9"/>
            <w:vAlign w:val="center"/>
          </w:tcPr>
          <w:p w14:paraId="53A2A2D2">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36" w:type="pct"/>
            <w:gridSpan w:val="2"/>
            <w:tcBorders>
              <w:top w:val="nil"/>
              <w:left w:val="nil"/>
              <w:bottom w:val="single" w:color="auto" w:sz="4" w:space="0"/>
              <w:right w:val="single" w:color="auto" w:sz="4" w:space="0"/>
            </w:tcBorders>
            <w:shd w:val="clear" w:color="auto" w:fill="D9D9D9"/>
            <w:vAlign w:val="center"/>
          </w:tcPr>
          <w:p w14:paraId="214D22C4">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55635F1A">
        <w:tblPrEx>
          <w:tblCellMar>
            <w:top w:w="0" w:type="dxa"/>
            <w:left w:w="108" w:type="dxa"/>
            <w:bottom w:w="0" w:type="dxa"/>
            <w:right w:w="108" w:type="dxa"/>
          </w:tblCellMar>
        </w:tblPrEx>
        <w:trPr>
          <w:trHeight w:val="330" w:hRule="atLeast"/>
        </w:trPr>
        <w:tc>
          <w:tcPr>
            <w:tcW w:w="293" w:type="pct"/>
            <w:tcBorders>
              <w:top w:val="nil"/>
              <w:left w:val="single" w:color="auto" w:sz="4" w:space="0"/>
              <w:bottom w:val="single" w:color="auto" w:sz="4" w:space="0"/>
              <w:right w:val="single" w:color="auto" w:sz="4" w:space="0"/>
            </w:tcBorders>
            <w:noWrap/>
            <w:vAlign w:val="center"/>
          </w:tcPr>
          <w:p w14:paraId="2E3DDB74">
            <w:pPr>
              <w:pStyle w:val="109"/>
              <w:rPr>
                <w:color w:val="000000" w:themeColor="text1"/>
                <w14:textFill>
                  <w14:solidFill>
                    <w14:schemeClr w14:val="tx1"/>
                  </w14:solidFill>
                </w14:textFill>
              </w:rPr>
            </w:pPr>
          </w:p>
        </w:tc>
        <w:tc>
          <w:tcPr>
            <w:tcW w:w="1410" w:type="pct"/>
            <w:tcBorders>
              <w:top w:val="nil"/>
              <w:left w:val="nil"/>
              <w:bottom w:val="single" w:color="auto" w:sz="4" w:space="0"/>
              <w:right w:val="single" w:color="auto" w:sz="4" w:space="0"/>
            </w:tcBorders>
            <w:vAlign w:val="center"/>
          </w:tcPr>
          <w:p w14:paraId="1618B6E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回转焙烧窑 </w:t>
            </w:r>
          </w:p>
        </w:tc>
        <w:tc>
          <w:tcPr>
            <w:tcW w:w="2592" w:type="pct"/>
            <w:tcBorders>
              <w:top w:val="nil"/>
              <w:left w:val="nil"/>
              <w:bottom w:val="single" w:color="auto" w:sz="4" w:space="0"/>
              <w:right w:val="single" w:color="auto" w:sz="4" w:space="0"/>
            </w:tcBorders>
            <w:vAlign w:val="center"/>
          </w:tcPr>
          <w:p w14:paraId="4D2D7384">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前6m</w:t>
            </w:r>
            <w:r>
              <w:rPr>
                <w:color w:val="000000" w:themeColor="text1"/>
                <w14:textFill>
                  <w14:solidFill>
                    <w14:schemeClr w14:val="tx1"/>
                  </w14:solidFill>
                </w14:textFill>
              </w:rPr>
              <w:t>筒体材质为：</w:t>
            </w:r>
            <w:r>
              <w:rPr>
                <w:rFonts w:hint="eastAsia"/>
                <w:color w:val="000000" w:themeColor="text1"/>
                <w14:textFill>
                  <w14:solidFill>
                    <w14:schemeClr w14:val="tx1"/>
                  </w14:solidFill>
                </w14:textFill>
              </w:rPr>
              <w:t>16Mn+</w:t>
            </w:r>
            <w:r>
              <w:rPr>
                <w:color w:val="000000" w:themeColor="text1"/>
                <w14:textFill>
                  <w14:solidFill>
                    <w14:schemeClr w14:val="tx1"/>
                  </w14:solidFill>
                </w14:textFill>
              </w:rPr>
              <w:t>HC276</w:t>
            </w:r>
            <w:r>
              <w:rPr>
                <w:rFonts w:hint="eastAsia"/>
                <w:color w:val="000000" w:themeColor="text1"/>
                <w14:textFill>
                  <w14:solidFill>
                    <w14:schemeClr w14:val="tx1"/>
                  </w14:solidFill>
                </w14:textFill>
              </w:rPr>
              <w:t>复合板，后筒体材质为：310S</w:t>
            </w:r>
          </w:p>
          <w:p w14:paraId="63B56040">
            <w:pPr>
              <w:pStyle w:val="109"/>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冷却窑筒体材质为：304</w:t>
            </w:r>
          </w:p>
          <w:p w14:paraId="403A5429">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2、处理量：1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0t/d</w:t>
            </w:r>
          </w:p>
          <w:p w14:paraId="18BB8BB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3、进料螺旋给料机规格：Ø</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00×1700mm；</w:t>
            </w:r>
          </w:p>
          <w:p w14:paraId="6DEC287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4、回转焙烧窑规格：Φ2.</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28</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，外形尺寸：φ3.6*28m；</w:t>
            </w:r>
            <w:r>
              <w:rPr>
                <w:color w:val="000000" w:themeColor="text1"/>
                <w14:textFill>
                  <w14:solidFill>
                    <w14:schemeClr w14:val="tx1"/>
                  </w14:solidFill>
                </w14:textFill>
              </w:rPr>
              <w:t xml:space="preserve"> </w:t>
            </w:r>
          </w:p>
          <w:p w14:paraId="17D8A15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5、热解焙烧窑变频调速，转速：0.117-1.18r/min；</w:t>
            </w:r>
          </w:p>
          <w:p w14:paraId="6CB341AD">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6、传动方式：齿轮、单边传动；</w:t>
            </w:r>
          </w:p>
          <w:p w14:paraId="33EB8255">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7、驱动方式：电机减速机驱动，功率：</w:t>
            </w:r>
            <w:r>
              <w:rPr>
                <w:rFonts w:hint="eastAsia"/>
                <w:color w:val="000000" w:themeColor="text1"/>
                <w14:textFill>
                  <w14:solidFill>
                    <w14:schemeClr w14:val="tx1"/>
                  </w14:solidFill>
                </w14:textFill>
              </w:rPr>
              <w:t>45</w:t>
            </w:r>
            <w:r>
              <w:rPr>
                <w:color w:val="000000" w:themeColor="text1"/>
                <w14:textFill>
                  <w14:solidFill>
                    <w14:schemeClr w14:val="tx1"/>
                  </w14:solidFill>
                </w14:textFill>
              </w:rPr>
              <w:t>kW，变频调速；</w:t>
            </w:r>
          </w:p>
          <w:p w14:paraId="6CF3D3B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8、冷却窑段规格：Φ1.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x1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m </w:t>
            </w:r>
          </w:p>
          <w:p w14:paraId="610DEF5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9、冷却窑变频调速，转速：0.18-1.8r/min；</w:t>
            </w:r>
          </w:p>
          <w:p w14:paraId="6EA3D11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10、传动方式：齿轮、单边传动；</w:t>
            </w:r>
          </w:p>
          <w:p w14:paraId="1D9A570C">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11、驱动方式：电机减速机驱动，功率：</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kW，变频调速；</w:t>
            </w:r>
          </w:p>
          <w:p w14:paraId="450A379C">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12、铸件：小齿轮为锻 45，其余均为 ZG310~570</w:t>
            </w:r>
          </w:p>
          <w:p w14:paraId="340423C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13、整套燃烧系统 </w:t>
            </w:r>
          </w:p>
        </w:tc>
        <w:tc>
          <w:tcPr>
            <w:tcW w:w="369" w:type="pct"/>
            <w:tcBorders>
              <w:top w:val="nil"/>
              <w:left w:val="nil"/>
              <w:bottom w:val="single" w:color="auto" w:sz="4" w:space="0"/>
              <w:right w:val="single" w:color="auto" w:sz="4" w:space="0"/>
            </w:tcBorders>
            <w:vAlign w:val="center"/>
          </w:tcPr>
          <w:p w14:paraId="1DDC72EA">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2D313FA5">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7B56F0F7">
        <w:tblPrEx>
          <w:tblCellMar>
            <w:top w:w="0" w:type="dxa"/>
            <w:left w:w="108" w:type="dxa"/>
            <w:bottom w:w="0" w:type="dxa"/>
            <w:right w:w="108" w:type="dxa"/>
          </w:tblCellMar>
        </w:tblPrEx>
        <w:trPr>
          <w:trHeight w:val="330" w:hRule="atLeast"/>
        </w:trPr>
        <w:tc>
          <w:tcPr>
            <w:tcW w:w="293" w:type="pct"/>
            <w:tcBorders>
              <w:top w:val="nil"/>
              <w:left w:val="single" w:color="auto" w:sz="4" w:space="0"/>
              <w:bottom w:val="single" w:color="auto" w:sz="4" w:space="0"/>
              <w:right w:val="single" w:color="auto" w:sz="4" w:space="0"/>
            </w:tcBorders>
            <w:noWrap/>
            <w:vAlign w:val="center"/>
          </w:tcPr>
          <w:p w14:paraId="60445132">
            <w:pPr>
              <w:pStyle w:val="109"/>
              <w:rPr>
                <w:color w:val="000000" w:themeColor="text1"/>
                <w14:textFill>
                  <w14:solidFill>
                    <w14:schemeClr w14:val="tx1"/>
                  </w14:solidFill>
                </w14:textFill>
              </w:rPr>
            </w:pPr>
          </w:p>
        </w:tc>
        <w:tc>
          <w:tcPr>
            <w:tcW w:w="1410" w:type="pct"/>
            <w:tcBorders>
              <w:top w:val="nil"/>
              <w:left w:val="nil"/>
              <w:bottom w:val="single" w:color="auto" w:sz="4" w:space="0"/>
              <w:right w:val="single" w:color="auto" w:sz="4" w:space="0"/>
            </w:tcBorders>
            <w:vAlign w:val="center"/>
          </w:tcPr>
          <w:p w14:paraId="37EBC27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板式换热器</w:t>
            </w:r>
          </w:p>
        </w:tc>
        <w:tc>
          <w:tcPr>
            <w:tcW w:w="2592" w:type="pct"/>
            <w:tcBorders>
              <w:top w:val="nil"/>
              <w:left w:val="nil"/>
              <w:bottom w:val="single" w:color="auto" w:sz="4" w:space="0"/>
              <w:right w:val="single" w:color="auto" w:sz="4" w:space="0"/>
            </w:tcBorders>
            <w:vAlign w:val="center"/>
          </w:tcPr>
          <w:p w14:paraId="6A8FCD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用于燃烧机助燃空气加热</w:t>
            </w:r>
          </w:p>
        </w:tc>
        <w:tc>
          <w:tcPr>
            <w:tcW w:w="369" w:type="pct"/>
            <w:tcBorders>
              <w:top w:val="nil"/>
              <w:left w:val="nil"/>
              <w:bottom w:val="single" w:color="auto" w:sz="4" w:space="0"/>
              <w:right w:val="single" w:color="auto" w:sz="4" w:space="0"/>
            </w:tcBorders>
            <w:vAlign w:val="center"/>
          </w:tcPr>
          <w:p w14:paraId="29C8E76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1B6135B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FC4FA4E">
        <w:tblPrEx>
          <w:tblCellMar>
            <w:top w:w="0" w:type="dxa"/>
            <w:left w:w="108" w:type="dxa"/>
            <w:bottom w:w="0" w:type="dxa"/>
            <w:right w:w="108" w:type="dxa"/>
          </w:tblCellMar>
        </w:tblPrEx>
        <w:trPr>
          <w:trHeight w:val="263" w:hRule="atLeast"/>
        </w:trPr>
        <w:tc>
          <w:tcPr>
            <w:tcW w:w="293" w:type="pct"/>
            <w:tcBorders>
              <w:top w:val="nil"/>
              <w:left w:val="single" w:color="auto" w:sz="4" w:space="0"/>
              <w:bottom w:val="single" w:color="auto" w:sz="4" w:space="0"/>
              <w:right w:val="single" w:color="auto" w:sz="4" w:space="0"/>
            </w:tcBorders>
            <w:noWrap/>
            <w:vAlign w:val="center"/>
          </w:tcPr>
          <w:p w14:paraId="5167301C">
            <w:pPr>
              <w:pStyle w:val="109"/>
              <w:rPr>
                <w:color w:val="000000" w:themeColor="text1"/>
                <w14:textFill>
                  <w14:solidFill>
                    <w14:schemeClr w14:val="tx1"/>
                  </w14:solidFill>
                </w14:textFill>
              </w:rPr>
            </w:pPr>
          </w:p>
        </w:tc>
        <w:tc>
          <w:tcPr>
            <w:tcW w:w="1410" w:type="pct"/>
            <w:tcBorders>
              <w:top w:val="nil"/>
              <w:left w:val="nil"/>
              <w:bottom w:val="single" w:color="auto" w:sz="4" w:space="0"/>
              <w:right w:val="single" w:color="auto" w:sz="4" w:space="0"/>
            </w:tcBorders>
            <w:vAlign w:val="center"/>
          </w:tcPr>
          <w:p w14:paraId="7EAD901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窑燃烧机风机</w:t>
            </w:r>
          </w:p>
        </w:tc>
        <w:tc>
          <w:tcPr>
            <w:tcW w:w="2592" w:type="pct"/>
            <w:tcBorders>
              <w:top w:val="nil"/>
              <w:left w:val="nil"/>
              <w:bottom w:val="single" w:color="auto" w:sz="4" w:space="0"/>
              <w:right w:val="single" w:color="auto" w:sz="4" w:space="0"/>
            </w:tcBorders>
            <w:vAlign w:val="center"/>
          </w:tcPr>
          <w:p w14:paraId="637DAE1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1、功率：</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 xml:space="preserve">KW； </w:t>
            </w:r>
          </w:p>
          <w:p w14:paraId="678CFD13">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2、风压：</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 xml:space="preserve">00Pa； </w:t>
            </w:r>
          </w:p>
          <w:p w14:paraId="26D5B5B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3、风量：</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 xml:space="preserve">00m³/h； </w:t>
            </w:r>
          </w:p>
          <w:p w14:paraId="6FAA0CD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4、转速：2900r/min </w:t>
            </w:r>
          </w:p>
          <w:p w14:paraId="69BAA31D">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5、轴承：SKF </w:t>
            </w:r>
          </w:p>
          <w:p w14:paraId="38106CAC">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6、防护等级:IP56 </w:t>
            </w:r>
          </w:p>
          <w:p w14:paraId="6925D3DB">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7、绝缘等级：F</w:t>
            </w:r>
          </w:p>
        </w:tc>
        <w:tc>
          <w:tcPr>
            <w:tcW w:w="369" w:type="pct"/>
            <w:tcBorders>
              <w:top w:val="nil"/>
              <w:left w:val="nil"/>
              <w:bottom w:val="single" w:color="auto" w:sz="4" w:space="0"/>
              <w:right w:val="single" w:color="auto" w:sz="4" w:space="0"/>
            </w:tcBorders>
            <w:vAlign w:val="center"/>
          </w:tcPr>
          <w:p w14:paraId="6B3D5C7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2C101366">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60476242">
        <w:tblPrEx>
          <w:tblCellMar>
            <w:top w:w="0" w:type="dxa"/>
            <w:left w:w="108" w:type="dxa"/>
            <w:bottom w:w="0" w:type="dxa"/>
            <w:right w:w="108" w:type="dxa"/>
          </w:tblCellMar>
        </w:tblPrEx>
        <w:trPr>
          <w:trHeight w:val="263" w:hRule="atLeast"/>
        </w:trPr>
        <w:tc>
          <w:tcPr>
            <w:tcW w:w="293" w:type="pct"/>
            <w:tcBorders>
              <w:top w:val="nil"/>
              <w:left w:val="single" w:color="auto" w:sz="4" w:space="0"/>
              <w:bottom w:val="single" w:color="auto" w:sz="4" w:space="0"/>
              <w:right w:val="single" w:color="auto" w:sz="4" w:space="0"/>
            </w:tcBorders>
            <w:noWrap/>
            <w:vAlign w:val="center"/>
          </w:tcPr>
          <w:p w14:paraId="42C382C3">
            <w:pPr>
              <w:pStyle w:val="109"/>
              <w:rPr>
                <w:color w:val="000000" w:themeColor="text1"/>
                <w14:textFill>
                  <w14:solidFill>
                    <w14:schemeClr w14:val="tx1"/>
                  </w14:solidFill>
                </w14:textFill>
              </w:rPr>
            </w:pPr>
          </w:p>
        </w:tc>
        <w:tc>
          <w:tcPr>
            <w:tcW w:w="1410" w:type="pct"/>
            <w:tcBorders>
              <w:top w:val="nil"/>
              <w:left w:val="nil"/>
              <w:bottom w:val="single" w:color="auto" w:sz="4" w:space="0"/>
              <w:right w:val="single" w:color="auto" w:sz="4" w:space="0"/>
            </w:tcBorders>
            <w:vAlign w:val="center"/>
          </w:tcPr>
          <w:p w14:paraId="617C599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燃气烟气引风机</w:t>
            </w:r>
          </w:p>
        </w:tc>
        <w:tc>
          <w:tcPr>
            <w:tcW w:w="2592" w:type="pct"/>
            <w:tcBorders>
              <w:top w:val="nil"/>
              <w:left w:val="nil"/>
              <w:bottom w:val="single" w:color="auto" w:sz="4" w:space="0"/>
              <w:right w:val="single" w:color="auto" w:sz="4" w:space="0"/>
            </w:tcBorders>
            <w:vAlign w:val="center"/>
          </w:tcPr>
          <w:p w14:paraId="7A84EAA3">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1、功率：</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KW</w:t>
            </w:r>
            <w:r>
              <w:rPr>
                <w:rFonts w:hint="eastAsia"/>
                <w:color w:val="000000" w:themeColor="text1"/>
                <w14:textFill>
                  <w14:solidFill>
                    <w14:schemeClr w14:val="tx1"/>
                  </w14:solidFill>
                </w14:textFill>
              </w:rPr>
              <w:t>，变频控制</w:t>
            </w:r>
            <w:r>
              <w:rPr>
                <w:color w:val="000000" w:themeColor="text1"/>
                <w14:textFill>
                  <w14:solidFill>
                    <w14:schemeClr w14:val="tx1"/>
                  </w14:solidFill>
                </w14:textFill>
              </w:rPr>
              <w:t xml:space="preserve">； </w:t>
            </w:r>
          </w:p>
          <w:p w14:paraId="582A5CAF">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2、风压：</w:t>
            </w:r>
            <w:r>
              <w:rPr>
                <w:rFonts w:hint="eastAsia"/>
                <w:color w:val="000000" w:themeColor="text1"/>
                <w14:textFill>
                  <w14:solidFill>
                    <w14:schemeClr w14:val="tx1"/>
                  </w14:solidFill>
                </w14:textFill>
              </w:rPr>
              <w:t>30</w:t>
            </w:r>
            <w:r>
              <w:rPr>
                <w:color w:val="000000" w:themeColor="text1"/>
                <w14:textFill>
                  <w14:solidFill>
                    <w14:schemeClr w14:val="tx1"/>
                  </w14:solidFill>
                </w14:textFill>
              </w:rPr>
              <w:t xml:space="preserve">00Pa； </w:t>
            </w:r>
          </w:p>
          <w:p w14:paraId="6C328DF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3、风量：</w:t>
            </w:r>
            <w:r>
              <w:rPr>
                <w:rFonts w:hint="eastAsia"/>
                <w:color w:val="000000" w:themeColor="text1"/>
                <w14:textFill>
                  <w14:solidFill>
                    <w14:schemeClr w14:val="tx1"/>
                  </w14:solidFill>
                </w14:textFill>
              </w:rPr>
              <w:t>60</w:t>
            </w:r>
            <w:r>
              <w:rPr>
                <w:color w:val="000000" w:themeColor="text1"/>
                <w14:textFill>
                  <w14:solidFill>
                    <w14:schemeClr w14:val="tx1"/>
                  </w14:solidFill>
                </w14:textFill>
              </w:rPr>
              <w:t xml:space="preserve">00m³/h； </w:t>
            </w:r>
          </w:p>
          <w:p w14:paraId="6A7C7E1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4、转速：2900r/min </w:t>
            </w:r>
          </w:p>
          <w:p w14:paraId="44FE17E4">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5、轴承：SKF </w:t>
            </w:r>
          </w:p>
          <w:p w14:paraId="62E7500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6、防护等级:IP56 </w:t>
            </w:r>
          </w:p>
          <w:p w14:paraId="5EF52FD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7、绝缘等级：F</w:t>
            </w:r>
          </w:p>
        </w:tc>
        <w:tc>
          <w:tcPr>
            <w:tcW w:w="369" w:type="pct"/>
            <w:tcBorders>
              <w:top w:val="nil"/>
              <w:left w:val="nil"/>
              <w:bottom w:val="single" w:color="auto" w:sz="4" w:space="0"/>
              <w:right w:val="single" w:color="auto" w:sz="4" w:space="0"/>
            </w:tcBorders>
            <w:vAlign w:val="center"/>
          </w:tcPr>
          <w:p w14:paraId="7F3875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34133790">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1209EEFF">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D9D9D9"/>
            <w:vAlign w:val="center"/>
          </w:tcPr>
          <w:p w14:paraId="2D915AB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三 </w:t>
            </w:r>
          </w:p>
        </w:tc>
        <w:tc>
          <w:tcPr>
            <w:tcW w:w="1410" w:type="pct"/>
            <w:tcBorders>
              <w:top w:val="nil"/>
              <w:left w:val="nil"/>
              <w:bottom w:val="single" w:color="auto" w:sz="4" w:space="0"/>
              <w:right w:val="single" w:color="auto" w:sz="4" w:space="0"/>
            </w:tcBorders>
            <w:shd w:val="clear" w:color="auto" w:fill="D9D9D9"/>
            <w:vAlign w:val="center"/>
          </w:tcPr>
          <w:p w14:paraId="3C52D98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二次燃烧及</w:t>
            </w:r>
            <w:r>
              <w:rPr>
                <w:color w:val="000000" w:themeColor="text1"/>
                <w14:textFill>
                  <w14:solidFill>
                    <w14:schemeClr w14:val="tx1"/>
                  </w14:solidFill>
                </w14:textFill>
              </w:rPr>
              <w:t xml:space="preserve">助燃系统 </w:t>
            </w:r>
          </w:p>
        </w:tc>
        <w:tc>
          <w:tcPr>
            <w:tcW w:w="2592" w:type="pct"/>
            <w:tcBorders>
              <w:top w:val="nil"/>
              <w:left w:val="nil"/>
              <w:bottom w:val="single" w:color="auto" w:sz="4" w:space="0"/>
              <w:right w:val="single" w:color="auto" w:sz="4" w:space="0"/>
            </w:tcBorders>
            <w:shd w:val="clear" w:color="auto" w:fill="D9D9D9"/>
            <w:vAlign w:val="center"/>
          </w:tcPr>
          <w:p w14:paraId="5170EEB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69" w:type="pct"/>
            <w:tcBorders>
              <w:top w:val="nil"/>
              <w:left w:val="nil"/>
              <w:bottom w:val="single" w:color="auto" w:sz="4" w:space="0"/>
              <w:right w:val="single" w:color="auto" w:sz="4" w:space="0"/>
            </w:tcBorders>
            <w:shd w:val="clear" w:color="auto" w:fill="D9D9D9"/>
            <w:vAlign w:val="center"/>
          </w:tcPr>
          <w:p w14:paraId="7482729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36" w:type="pct"/>
            <w:gridSpan w:val="2"/>
            <w:tcBorders>
              <w:top w:val="nil"/>
              <w:left w:val="nil"/>
              <w:bottom w:val="single" w:color="auto" w:sz="4" w:space="0"/>
              <w:right w:val="single" w:color="auto" w:sz="4" w:space="0"/>
            </w:tcBorders>
            <w:shd w:val="clear" w:color="auto" w:fill="D9D9D9"/>
            <w:vAlign w:val="center"/>
          </w:tcPr>
          <w:p w14:paraId="4B72E6B8">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31100C06">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2222716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0" w:type="pct"/>
            <w:tcBorders>
              <w:top w:val="nil"/>
              <w:left w:val="nil"/>
              <w:bottom w:val="single" w:color="auto" w:sz="4" w:space="0"/>
              <w:right w:val="single" w:color="auto" w:sz="4" w:space="0"/>
            </w:tcBorders>
            <w:vAlign w:val="center"/>
          </w:tcPr>
          <w:p w14:paraId="1E660C5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二燃室燃烧器 </w:t>
            </w:r>
          </w:p>
        </w:tc>
        <w:tc>
          <w:tcPr>
            <w:tcW w:w="2592" w:type="pct"/>
            <w:tcBorders>
              <w:top w:val="nil"/>
              <w:left w:val="nil"/>
              <w:bottom w:val="single" w:color="auto" w:sz="4" w:space="0"/>
              <w:right w:val="single" w:color="auto" w:sz="4" w:space="0"/>
            </w:tcBorders>
            <w:vAlign w:val="center"/>
          </w:tcPr>
          <w:p w14:paraId="4BF3F963">
            <w:pPr>
              <w:pStyle w:val="109"/>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1、燃烧器输出能力20</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万大卡/小时</w:t>
            </w:r>
          </w:p>
          <w:p w14:paraId="69B32301">
            <w:pPr>
              <w:pStyle w:val="109"/>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2、燃料：天然气</w:t>
            </w:r>
          </w:p>
          <w:p w14:paraId="1852C79D">
            <w:pPr>
              <w:pStyle w:val="109"/>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3、比例调节</w:t>
            </w:r>
          </w:p>
        </w:tc>
        <w:tc>
          <w:tcPr>
            <w:tcW w:w="369" w:type="pct"/>
            <w:tcBorders>
              <w:top w:val="nil"/>
              <w:left w:val="nil"/>
              <w:bottom w:val="single" w:color="auto" w:sz="4" w:space="0"/>
              <w:right w:val="single" w:color="auto" w:sz="4" w:space="0"/>
            </w:tcBorders>
            <w:vAlign w:val="center"/>
          </w:tcPr>
          <w:p w14:paraId="3AC09B3E">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0A105EC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E4C017C">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4FAA09F6">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410" w:type="pct"/>
            <w:tcBorders>
              <w:top w:val="nil"/>
              <w:left w:val="nil"/>
              <w:bottom w:val="single" w:color="auto" w:sz="4" w:space="0"/>
              <w:right w:val="single" w:color="auto" w:sz="4" w:space="0"/>
            </w:tcBorders>
            <w:vAlign w:val="center"/>
          </w:tcPr>
          <w:p w14:paraId="494CFCA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燃烧器风机</w:t>
            </w:r>
          </w:p>
        </w:tc>
        <w:tc>
          <w:tcPr>
            <w:tcW w:w="2592" w:type="pct"/>
            <w:tcBorders>
              <w:top w:val="nil"/>
              <w:left w:val="nil"/>
              <w:bottom w:val="single" w:color="auto" w:sz="4" w:space="0"/>
              <w:right w:val="single" w:color="auto" w:sz="4" w:space="0"/>
            </w:tcBorders>
            <w:vAlign w:val="center"/>
          </w:tcPr>
          <w:p w14:paraId="29858E2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1、功率：</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 xml:space="preserve">KW； </w:t>
            </w:r>
          </w:p>
          <w:p w14:paraId="03AB2ED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2、风压：</w:t>
            </w:r>
            <w:r>
              <w:rPr>
                <w:rFonts w:hint="eastAsia"/>
                <w:color w:val="000000" w:themeColor="text1"/>
                <w14:textFill>
                  <w14:solidFill>
                    <w14:schemeClr w14:val="tx1"/>
                  </w14:solidFill>
                </w14:textFill>
              </w:rPr>
              <w:t>60</w:t>
            </w:r>
            <w:r>
              <w:rPr>
                <w:color w:val="000000" w:themeColor="text1"/>
                <w14:textFill>
                  <w14:solidFill>
                    <w14:schemeClr w14:val="tx1"/>
                  </w14:solidFill>
                </w14:textFill>
              </w:rPr>
              <w:t xml:space="preserve">00Pa； </w:t>
            </w:r>
          </w:p>
          <w:p w14:paraId="593071D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3、风量：</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 xml:space="preserve">00m³/h； </w:t>
            </w:r>
          </w:p>
          <w:p w14:paraId="328C952F">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4、转速：2900r/min </w:t>
            </w:r>
          </w:p>
          <w:p w14:paraId="5643EF8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5、轴承：SKF </w:t>
            </w:r>
          </w:p>
          <w:p w14:paraId="07483A5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6、防护等级:IP56 </w:t>
            </w:r>
          </w:p>
          <w:p w14:paraId="78F3464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7、绝缘等级：F</w:t>
            </w:r>
          </w:p>
        </w:tc>
        <w:tc>
          <w:tcPr>
            <w:tcW w:w="369" w:type="pct"/>
            <w:tcBorders>
              <w:top w:val="nil"/>
              <w:left w:val="nil"/>
              <w:bottom w:val="single" w:color="auto" w:sz="4" w:space="0"/>
              <w:right w:val="single" w:color="auto" w:sz="4" w:space="0"/>
            </w:tcBorders>
            <w:vAlign w:val="center"/>
          </w:tcPr>
          <w:p w14:paraId="27DC7C8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50A2BD7B">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2E068A5F">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14E1B7CF">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10" w:type="pct"/>
            <w:tcBorders>
              <w:top w:val="nil"/>
              <w:left w:val="nil"/>
              <w:bottom w:val="single" w:color="auto" w:sz="4" w:space="0"/>
              <w:right w:val="single" w:color="auto" w:sz="4" w:space="0"/>
            </w:tcBorders>
            <w:vAlign w:val="center"/>
          </w:tcPr>
          <w:p w14:paraId="325537C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二燃室补氧风机 </w:t>
            </w:r>
          </w:p>
        </w:tc>
        <w:tc>
          <w:tcPr>
            <w:tcW w:w="2592" w:type="pct"/>
            <w:tcBorders>
              <w:top w:val="nil"/>
              <w:left w:val="nil"/>
              <w:bottom w:val="single" w:color="auto" w:sz="4" w:space="0"/>
              <w:right w:val="single" w:color="auto" w:sz="4" w:space="0"/>
            </w:tcBorders>
            <w:vAlign w:val="center"/>
          </w:tcPr>
          <w:p w14:paraId="0A4A5E69">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1、功率：5.5KW</w:t>
            </w:r>
            <w:r>
              <w:rPr>
                <w:rFonts w:hint="eastAsia"/>
                <w:color w:val="000000" w:themeColor="text1"/>
                <w14:textFill>
                  <w14:solidFill>
                    <w14:schemeClr w14:val="tx1"/>
                  </w14:solidFill>
                </w14:textFill>
              </w:rPr>
              <w:t>，变频控制</w:t>
            </w:r>
            <w:r>
              <w:rPr>
                <w:color w:val="000000" w:themeColor="text1"/>
                <w14:textFill>
                  <w14:solidFill>
                    <w14:schemeClr w14:val="tx1"/>
                  </w14:solidFill>
                </w14:textFill>
              </w:rPr>
              <w:t xml:space="preserve">； </w:t>
            </w:r>
          </w:p>
          <w:p w14:paraId="621498B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2、风压：</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 xml:space="preserve">00Pa； </w:t>
            </w:r>
          </w:p>
          <w:p w14:paraId="4B32A12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3、风量：</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 xml:space="preserve">00m³/h； </w:t>
            </w:r>
          </w:p>
          <w:p w14:paraId="705C5F3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4、转速：2900r/min </w:t>
            </w:r>
          </w:p>
          <w:p w14:paraId="22BE3805">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5、轴承：SKF </w:t>
            </w:r>
          </w:p>
          <w:p w14:paraId="7677ECB5">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6、防护等级:IP56 </w:t>
            </w:r>
          </w:p>
          <w:p w14:paraId="71C0D43C">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7、绝缘等级：F </w:t>
            </w:r>
          </w:p>
        </w:tc>
        <w:tc>
          <w:tcPr>
            <w:tcW w:w="369" w:type="pct"/>
            <w:tcBorders>
              <w:top w:val="nil"/>
              <w:left w:val="nil"/>
              <w:bottom w:val="single" w:color="auto" w:sz="4" w:space="0"/>
              <w:right w:val="single" w:color="auto" w:sz="4" w:space="0"/>
            </w:tcBorders>
            <w:vAlign w:val="center"/>
          </w:tcPr>
          <w:p w14:paraId="0D9B0500">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0F1B8694">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11D05B14">
        <w:tblPrEx>
          <w:tblCellMar>
            <w:top w:w="0" w:type="dxa"/>
            <w:left w:w="108" w:type="dxa"/>
            <w:bottom w:w="0" w:type="dxa"/>
            <w:right w:w="108" w:type="dxa"/>
          </w:tblCellMar>
        </w:tblPrEx>
        <w:trPr>
          <w:trHeight w:val="1140" w:hRule="atLeast"/>
        </w:trPr>
        <w:tc>
          <w:tcPr>
            <w:tcW w:w="293" w:type="pct"/>
            <w:tcBorders>
              <w:top w:val="nil"/>
              <w:left w:val="single" w:color="auto" w:sz="4" w:space="0"/>
              <w:bottom w:val="single" w:color="auto" w:sz="4" w:space="0"/>
              <w:right w:val="single" w:color="auto" w:sz="4" w:space="0"/>
            </w:tcBorders>
            <w:noWrap/>
            <w:vAlign w:val="center"/>
          </w:tcPr>
          <w:p w14:paraId="4BF7379A">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10" w:type="pct"/>
            <w:tcBorders>
              <w:top w:val="nil"/>
              <w:left w:val="nil"/>
              <w:bottom w:val="single" w:color="auto" w:sz="4" w:space="0"/>
              <w:right w:val="single" w:color="auto" w:sz="4" w:space="0"/>
            </w:tcBorders>
            <w:vAlign w:val="center"/>
          </w:tcPr>
          <w:p w14:paraId="661CE7A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二燃室 </w:t>
            </w:r>
          </w:p>
        </w:tc>
        <w:tc>
          <w:tcPr>
            <w:tcW w:w="2592" w:type="pct"/>
            <w:tcBorders>
              <w:top w:val="nil"/>
              <w:left w:val="nil"/>
              <w:bottom w:val="single" w:color="auto" w:sz="4" w:space="0"/>
              <w:right w:val="single" w:color="auto" w:sz="4" w:space="0"/>
            </w:tcBorders>
            <w:vAlign w:val="center"/>
          </w:tcPr>
          <w:p w14:paraId="7DF01AA1">
            <w:pPr>
              <w:pStyle w:val="109"/>
              <w:rPr>
                <w:color w:val="000000" w:themeColor="text1"/>
                <w14:textFill>
                  <w14:solidFill>
                    <w14:schemeClr w14:val="tx1"/>
                  </w14:solidFill>
                </w14:textFill>
              </w:rPr>
            </w:pPr>
            <w:r>
              <w:rPr>
                <w:color w:val="000000" w:themeColor="text1"/>
                <w14:textFill>
                  <w14:solidFill>
                    <w14:schemeClr w14:val="tx1"/>
                  </w14:solidFill>
                </w14:textFill>
              </w:rPr>
              <w:t>总容积：</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m³；外形尺寸：￠ 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00mm，保证烟气在≥1100℃以上的温度下滞留时间＞2.5S，厚度≥12mm，膨胀节膨胀量≥±30mm 耐火材料厚度≥ 400mm，高铝砖 170mm+轻质砖 180mm+铝硅酸棉 50mm，其中高铝砖 Al</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＞85％ </w:t>
            </w:r>
          </w:p>
        </w:tc>
        <w:tc>
          <w:tcPr>
            <w:tcW w:w="369" w:type="pct"/>
            <w:tcBorders>
              <w:top w:val="nil"/>
              <w:left w:val="nil"/>
              <w:bottom w:val="single" w:color="auto" w:sz="4" w:space="0"/>
              <w:right w:val="single" w:color="auto" w:sz="4" w:space="0"/>
            </w:tcBorders>
            <w:vAlign w:val="center"/>
          </w:tcPr>
          <w:p w14:paraId="7F3A8354">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02CD1CA3">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1283D686">
        <w:tblPrEx>
          <w:tblCellMar>
            <w:top w:w="0" w:type="dxa"/>
            <w:left w:w="108" w:type="dxa"/>
            <w:bottom w:w="0" w:type="dxa"/>
            <w:right w:w="108" w:type="dxa"/>
          </w:tblCellMar>
        </w:tblPrEx>
        <w:trPr>
          <w:trHeight w:val="278" w:hRule="atLeast"/>
        </w:trPr>
        <w:tc>
          <w:tcPr>
            <w:tcW w:w="293" w:type="pct"/>
            <w:tcBorders>
              <w:top w:val="nil"/>
              <w:left w:val="single" w:color="auto" w:sz="4" w:space="0"/>
              <w:bottom w:val="single" w:color="auto" w:sz="4" w:space="0"/>
              <w:right w:val="single" w:color="auto" w:sz="4" w:space="0"/>
            </w:tcBorders>
            <w:noWrap/>
            <w:vAlign w:val="center"/>
          </w:tcPr>
          <w:p w14:paraId="0142DB2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410" w:type="pct"/>
            <w:tcBorders>
              <w:top w:val="nil"/>
              <w:left w:val="nil"/>
              <w:bottom w:val="single" w:color="auto" w:sz="4" w:space="0"/>
              <w:right w:val="single" w:color="auto" w:sz="4" w:space="0"/>
            </w:tcBorders>
            <w:vAlign w:val="center"/>
          </w:tcPr>
          <w:p w14:paraId="7CDDF2D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急排排放烟囱 </w:t>
            </w:r>
          </w:p>
        </w:tc>
        <w:tc>
          <w:tcPr>
            <w:tcW w:w="2592" w:type="pct"/>
            <w:tcBorders>
              <w:top w:val="nil"/>
              <w:left w:val="nil"/>
              <w:bottom w:val="single" w:color="auto" w:sz="4" w:space="0"/>
              <w:right w:val="single" w:color="auto" w:sz="4" w:space="0"/>
            </w:tcBorders>
            <w:vAlign w:val="center"/>
          </w:tcPr>
          <w:p w14:paraId="69BAA24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Φ500，耐材厚度 150mm </w:t>
            </w:r>
          </w:p>
        </w:tc>
        <w:tc>
          <w:tcPr>
            <w:tcW w:w="369" w:type="pct"/>
            <w:tcBorders>
              <w:top w:val="nil"/>
              <w:left w:val="nil"/>
              <w:bottom w:val="single" w:color="auto" w:sz="4" w:space="0"/>
              <w:right w:val="single" w:color="auto" w:sz="4" w:space="0"/>
            </w:tcBorders>
            <w:vAlign w:val="center"/>
          </w:tcPr>
          <w:p w14:paraId="37F0B119">
            <w:pPr>
              <w:pStyle w:val="109"/>
              <w:rPr>
                <w:color w:val="000000" w:themeColor="text1"/>
                <w14:textFill>
                  <w14:solidFill>
                    <w14:schemeClr w14:val="tx1"/>
                  </w14:solidFill>
                </w14:textFill>
              </w:rPr>
            </w:pPr>
            <w:r>
              <w:rPr>
                <w:color w:val="000000" w:themeColor="text1"/>
                <w14:textFill>
                  <w14:solidFill>
                    <w14:schemeClr w14:val="tx1"/>
                  </w14:solidFill>
                </w14:textFill>
              </w:rPr>
              <w:t>座</w:t>
            </w:r>
          </w:p>
        </w:tc>
        <w:tc>
          <w:tcPr>
            <w:tcW w:w="336" w:type="pct"/>
            <w:gridSpan w:val="2"/>
            <w:tcBorders>
              <w:top w:val="nil"/>
              <w:left w:val="nil"/>
              <w:bottom w:val="single" w:color="auto" w:sz="4" w:space="0"/>
              <w:right w:val="single" w:color="auto" w:sz="4" w:space="0"/>
            </w:tcBorders>
            <w:noWrap/>
            <w:vAlign w:val="center"/>
          </w:tcPr>
          <w:p w14:paraId="27C6D91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1CBC5BEB">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D9D9D9"/>
            <w:vAlign w:val="center"/>
          </w:tcPr>
          <w:p w14:paraId="66C993D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color w:val="000000" w:themeColor="text1"/>
                <w14:textFill>
                  <w14:solidFill>
                    <w14:schemeClr w14:val="tx1"/>
                  </w14:solidFill>
                </w14:textFill>
              </w:rPr>
              <w:t xml:space="preserve"> </w:t>
            </w:r>
          </w:p>
        </w:tc>
        <w:tc>
          <w:tcPr>
            <w:tcW w:w="1410" w:type="pct"/>
            <w:tcBorders>
              <w:top w:val="nil"/>
              <w:left w:val="nil"/>
              <w:bottom w:val="single" w:color="auto" w:sz="4" w:space="0"/>
              <w:right w:val="single" w:color="auto" w:sz="4" w:space="0"/>
            </w:tcBorders>
            <w:shd w:val="clear" w:color="auto" w:fill="D9D9D9"/>
            <w:vAlign w:val="center"/>
          </w:tcPr>
          <w:p w14:paraId="5E3A868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石墨急冷系统</w:t>
            </w:r>
          </w:p>
        </w:tc>
        <w:tc>
          <w:tcPr>
            <w:tcW w:w="2592" w:type="pct"/>
            <w:tcBorders>
              <w:top w:val="nil"/>
              <w:left w:val="nil"/>
              <w:bottom w:val="single" w:color="auto" w:sz="4" w:space="0"/>
              <w:right w:val="single" w:color="auto" w:sz="4" w:space="0"/>
            </w:tcBorders>
            <w:shd w:val="clear" w:color="auto" w:fill="D9D9D9"/>
            <w:vAlign w:val="center"/>
          </w:tcPr>
          <w:p w14:paraId="06481C4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69" w:type="pct"/>
            <w:tcBorders>
              <w:top w:val="nil"/>
              <w:left w:val="nil"/>
              <w:bottom w:val="single" w:color="auto" w:sz="4" w:space="0"/>
              <w:right w:val="single" w:color="auto" w:sz="4" w:space="0"/>
            </w:tcBorders>
            <w:shd w:val="clear" w:color="auto" w:fill="D9D9D9"/>
            <w:vAlign w:val="center"/>
          </w:tcPr>
          <w:p w14:paraId="17716F7E">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36" w:type="pct"/>
            <w:gridSpan w:val="2"/>
            <w:tcBorders>
              <w:top w:val="nil"/>
              <w:left w:val="nil"/>
              <w:bottom w:val="single" w:color="auto" w:sz="4" w:space="0"/>
              <w:right w:val="single" w:color="auto" w:sz="4" w:space="0"/>
            </w:tcBorders>
            <w:shd w:val="clear" w:color="auto" w:fill="D9D9D9"/>
            <w:vAlign w:val="center"/>
          </w:tcPr>
          <w:p w14:paraId="75CEE1E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35ADC183">
        <w:tblPrEx>
          <w:tblCellMar>
            <w:top w:w="0" w:type="dxa"/>
            <w:left w:w="108" w:type="dxa"/>
            <w:bottom w:w="0" w:type="dxa"/>
            <w:right w:w="108" w:type="dxa"/>
          </w:tblCellMar>
        </w:tblPrEx>
        <w:trPr>
          <w:trHeight w:val="570" w:hRule="atLeast"/>
        </w:trPr>
        <w:tc>
          <w:tcPr>
            <w:tcW w:w="293" w:type="pct"/>
            <w:tcBorders>
              <w:top w:val="nil"/>
              <w:left w:val="single" w:color="auto" w:sz="4" w:space="0"/>
              <w:bottom w:val="single" w:color="auto" w:sz="4" w:space="0"/>
              <w:right w:val="single" w:color="auto" w:sz="4" w:space="0"/>
            </w:tcBorders>
            <w:noWrap/>
            <w:vAlign w:val="center"/>
          </w:tcPr>
          <w:p w14:paraId="011EFE7F">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0" w:type="pct"/>
            <w:tcBorders>
              <w:top w:val="nil"/>
              <w:left w:val="nil"/>
              <w:bottom w:val="single" w:color="auto" w:sz="4" w:space="0"/>
              <w:right w:val="single" w:color="auto" w:sz="4" w:space="0"/>
            </w:tcBorders>
            <w:vAlign w:val="center"/>
          </w:tcPr>
          <w:p w14:paraId="1D16037D">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石墨急冷塔</w:t>
            </w:r>
          </w:p>
        </w:tc>
        <w:tc>
          <w:tcPr>
            <w:tcW w:w="2592" w:type="pct"/>
            <w:tcBorders>
              <w:top w:val="nil"/>
              <w:left w:val="nil"/>
              <w:bottom w:val="single" w:color="auto" w:sz="4" w:space="0"/>
              <w:right w:val="single" w:color="auto" w:sz="4" w:space="0"/>
            </w:tcBorders>
            <w:vAlign w:val="center"/>
          </w:tcPr>
          <w:p w14:paraId="70909279">
            <w:pPr>
              <w:pStyle w:val="109"/>
              <w:rPr>
                <w:color w:val="000000" w:themeColor="text1"/>
                <w14:textFill>
                  <w14:solidFill>
                    <w14:schemeClr w14:val="tx1"/>
                  </w14:solidFill>
                </w14:textFill>
              </w:rPr>
            </w:pPr>
            <w:r>
              <w:rPr>
                <w:color w:val="000000" w:themeColor="text1"/>
                <w14:textFill>
                  <w14:solidFill>
                    <w14:schemeClr w14:val="tx1"/>
                  </w14:solidFill>
                </w14:textFill>
              </w:rPr>
              <w:t>外形尺寸：￠</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48</w:t>
            </w:r>
            <w:r>
              <w:rPr>
                <w:color w:val="000000" w:themeColor="text1"/>
                <w14:textFill>
                  <w14:solidFill>
                    <w14:schemeClr w14:val="tx1"/>
                  </w14:solidFill>
                </w14:textFill>
              </w:rPr>
              <w:t>00mm，</w:t>
            </w:r>
          </w:p>
          <w:p w14:paraId="75501C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进口温度：~1000℃</w:t>
            </w:r>
          </w:p>
          <w:p w14:paraId="1D71FCE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出口温度：80℃</w:t>
            </w:r>
          </w:p>
          <w:p w14:paraId="3900C15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水消耗：~200kg/h</w:t>
            </w:r>
          </w:p>
          <w:p w14:paraId="6D0573F4">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循环水量：80~100t/h</w:t>
            </w:r>
          </w:p>
        </w:tc>
        <w:tc>
          <w:tcPr>
            <w:tcW w:w="369" w:type="pct"/>
            <w:tcBorders>
              <w:top w:val="nil"/>
              <w:left w:val="nil"/>
              <w:bottom w:val="single" w:color="auto" w:sz="4" w:space="0"/>
              <w:right w:val="single" w:color="auto" w:sz="4" w:space="0"/>
            </w:tcBorders>
            <w:vAlign w:val="center"/>
          </w:tcPr>
          <w:p w14:paraId="053E3993">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座</w:t>
            </w:r>
          </w:p>
        </w:tc>
        <w:tc>
          <w:tcPr>
            <w:tcW w:w="336" w:type="pct"/>
            <w:gridSpan w:val="2"/>
            <w:tcBorders>
              <w:top w:val="nil"/>
              <w:left w:val="nil"/>
              <w:bottom w:val="single" w:color="auto" w:sz="4" w:space="0"/>
              <w:right w:val="single" w:color="auto" w:sz="4" w:space="0"/>
            </w:tcBorders>
            <w:noWrap/>
            <w:vAlign w:val="center"/>
          </w:tcPr>
          <w:p w14:paraId="3F337F77">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w:t>
            </w:r>
          </w:p>
        </w:tc>
      </w:tr>
      <w:tr w14:paraId="5EEB49DE">
        <w:tblPrEx>
          <w:tblCellMar>
            <w:top w:w="0" w:type="dxa"/>
            <w:left w:w="108" w:type="dxa"/>
            <w:bottom w:w="0" w:type="dxa"/>
            <w:right w:w="108" w:type="dxa"/>
          </w:tblCellMar>
        </w:tblPrEx>
        <w:trPr>
          <w:trHeight w:val="570" w:hRule="atLeast"/>
        </w:trPr>
        <w:tc>
          <w:tcPr>
            <w:tcW w:w="293" w:type="pct"/>
            <w:tcBorders>
              <w:top w:val="nil"/>
              <w:left w:val="single" w:color="auto" w:sz="4" w:space="0"/>
              <w:bottom w:val="single" w:color="auto" w:sz="4" w:space="0"/>
              <w:right w:val="single" w:color="auto" w:sz="4" w:space="0"/>
            </w:tcBorders>
            <w:noWrap/>
            <w:vAlign w:val="center"/>
          </w:tcPr>
          <w:p w14:paraId="65E58ACA">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w:t>
            </w:r>
          </w:p>
        </w:tc>
        <w:tc>
          <w:tcPr>
            <w:tcW w:w="1410" w:type="pct"/>
            <w:tcBorders>
              <w:top w:val="nil"/>
              <w:left w:val="nil"/>
              <w:bottom w:val="single" w:color="auto" w:sz="4" w:space="0"/>
              <w:right w:val="single" w:color="auto" w:sz="4" w:space="0"/>
            </w:tcBorders>
            <w:vAlign w:val="center"/>
          </w:tcPr>
          <w:p w14:paraId="320A5D2C">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石墨换热器</w:t>
            </w:r>
          </w:p>
        </w:tc>
        <w:tc>
          <w:tcPr>
            <w:tcW w:w="2592" w:type="pct"/>
            <w:tcBorders>
              <w:top w:val="nil"/>
              <w:left w:val="nil"/>
              <w:bottom w:val="single" w:color="auto" w:sz="4" w:space="0"/>
              <w:right w:val="single" w:color="auto" w:sz="4" w:space="0"/>
            </w:tcBorders>
            <w:vAlign w:val="center"/>
          </w:tcPr>
          <w:p w14:paraId="52A52924">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换热面积：150m</w:t>
            </w:r>
            <w:r>
              <w:rPr>
                <w:rFonts w:hint="eastAsia"/>
                <w:color w:val="000000" w:themeColor="text1"/>
                <w:vertAlign w:val="superscript"/>
                <w14:textFill>
                  <w14:solidFill>
                    <w14:schemeClr w14:val="tx1"/>
                  </w14:solidFill>
                </w14:textFill>
              </w:rPr>
              <w:t>2</w:t>
            </w:r>
          </w:p>
        </w:tc>
        <w:tc>
          <w:tcPr>
            <w:tcW w:w="369" w:type="pct"/>
            <w:tcBorders>
              <w:top w:val="nil"/>
              <w:left w:val="nil"/>
              <w:bottom w:val="single" w:color="auto" w:sz="4" w:space="0"/>
              <w:right w:val="single" w:color="auto" w:sz="4" w:space="0"/>
            </w:tcBorders>
            <w:vAlign w:val="center"/>
          </w:tcPr>
          <w:p w14:paraId="252820D9">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座</w:t>
            </w:r>
          </w:p>
        </w:tc>
        <w:tc>
          <w:tcPr>
            <w:tcW w:w="336" w:type="pct"/>
            <w:gridSpan w:val="2"/>
            <w:tcBorders>
              <w:top w:val="nil"/>
              <w:left w:val="nil"/>
              <w:bottom w:val="single" w:color="auto" w:sz="4" w:space="0"/>
              <w:right w:val="single" w:color="auto" w:sz="4" w:space="0"/>
            </w:tcBorders>
            <w:noWrap/>
            <w:vAlign w:val="center"/>
          </w:tcPr>
          <w:p w14:paraId="0F80E559">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w:t>
            </w:r>
          </w:p>
        </w:tc>
      </w:tr>
      <w:tr w14:paraId="3569D582">
        <w:tblPrEx>
          <w:tblCellMar>
            <w:top w:w="0" w:type="dxa"/>
            <w:left w:w="108" w:type="dxa"/>
            <w:bottom w:w="0" w:type="dxa"/>
            <w:right w:w="108" w:type="dxa"/>
          </w:tblCellMar>
        </w:tblPrEx>
        <w:trPr>
          <w:trHeight w:val="570" w:hRule="atLeast"/>
        </w:trPr>
        <w:tc>
          <w:tcPr>
            <w:tcW w:w="293" w:type="pct"/>
            <w:tcBorders>
              <w:top w:val="nil"/>
              <w:left w:val="single" w:color="auto" w:sz="4" w:space="0"/>
              <w:bottom w:val="single" w:color="auto" w:sz="4" w:space="0"/>
              <w:right w:val="single" w:color="auto" w:sz="4" w:space="0"/>
            </w:tcBorders>
            <w:noWrap/>
            <w:vAlign w:val="center"/>
          </w:tcPr>
          <w:p w14:paraId="037DAEE1">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w:t>
            </w:r>
          </w:p>
        </w:tc>
        <w:tc>
          <w:tcPr>
            <w:tcW w:w="1410" w:type="pct"/>
            <w:tcBorders>
              <w:top w:val="nil"/>
              <w:left w:val="nil"/>
              <w:bottom w:val="single" w:color="auto" w:sz="4" w:space="0"/>
              <w:right w:val="single" w:color="auto" w:sz="4" w:space="0"/>
            </w:tcBorders>
            <w:vAlign w:val="center"/>
          </w:tcPr>
          <w:p w14:paraId="07AAB06E">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急冷循环水罐</w:t>
            </w:r>
          </w:p>
        </w:tc>
        <w:tc>
          <w:tcPr>
            <w:tcW w:w="2592" w:type="pct"/>
            <w:tcBorders>
              <w:top w:val="nil"/>
              <w:left w:val="nil"/>
              <w:bottom w:val="single" w:color="auto" w:sz="4" w:space="0"/>
              <w:right w:val="single" w:color="auto" w:sz="4" w:space="0"/>
            </w:tcBorders>
            <w:vAlign w:val="center"/>
          </w:tcPr>
          <w:p w14:paraId="3A3F1266">
            <w:pPr>
              <w:pStyle w:val="109"/>
              <w:rPr>
                <w:rFonts w:ascii="Arial" w:hAnsi="Arial" w:cs="Arial"/>
                <w:color w:val="000000" w:themeColor="text1"/>
                <w:kern w:val="2"/>
                <w:szCs w:val="21"/>
                <w14:textFill>
                  <w14:solidFill>
                    <w14:schemeClr w14:val="tx1"/>
                  </w14:solidFill>
                </w14:textFill>
              </w:rPr>
            </w:pPr>
            <w:r>
              <w:rPr>
                <w:color w:val="000000" w:themeColor="text1"/>
                <w14:textFill>
                  <w14:solidFill>
                    <w14:schemeClr w14:val="tx1"/>
                  </w14:solidFill>
                </w14:textFill>
              </w:rPr>
              <w:t>外形尺寸：￠</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00mm</w:t>
            </w:r>
          </w:p>
        </w:tc>
        <w:tc>
          <w:tcPr>
            <w:tcW w:w="369" w:type="pct"/>
            <w:tcBorders>
              <w:top w:val="nil"/>
              <w:left w:val="nil"/>
              <w:bottom w:val="single" w:color="auto" w:sz="4" w:space="0"/>
              <w:right w:val="single" w:color="auto" w:sz="4" w:space="0"/>
            </w:tcBorders>
            <w:vAlign w:val="center"/>
          </w:tcPr>
          <w:p w14:paraId="20B1B3DD">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座</w:t>
            </w:r>
          </w:p>
        </w:tc>
        <w:tc>
          <w:tcPr>
            <w:tcW w:w="336" w:type="pct"/>
            <w:gridSpan w:val="2"/>
            <w:tcBorders>
              <w:top w:val="nil"/>
              <w:left w:val="nil"/>
              <w:bottom w:val="single" w:color="auto" w:sz="4" w:space="0"/>
              <w:right w:val="single" w:color="auto" w:sz="4" w:space="0"/>
            </w:tcBorders>
            <w:noWrap/>
            <w:vAlign w:val="center"/>
          </w:tcPr>
          <w:p w14:paraId="5C4DF2D6">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w:t>
            </w:r>
          </w:p>
        </w:tc>
      </w:tr>
      <w:tr w14:paraId="180633A5">
        <w:tblPrEx>
          <w:tblCellMar>
            <w:top w:w="0" w:type="dxa"/>
            <w:left w:w="108" w:type="dxa"/>
            <w:bottom w:w="0" w:type="dxa"/>
            <w:right w:w="108" w:type="dxa"/>
          </w:tblCellMar>
        </w:tblPrEx>
        <w:trPr>
          <w:trHeight w:val="570" w:hRule="atLeast"/>
        </w:trPr>
        <w:tc>
          <w:tcPr>
            <w:tcW w:w="293" w:type="pct"/>
            <w:tcBorders>
              <w:top w:val="nil"/>
              <w:left w:val="single" w:color="auto" w:sz="4" w:space="0"/>
              <w:bottom w:val="single" w:color="auto" w:sz="4" w:space="0"/>
              <w:right w:val="single" w:color="auto" w:sz="4" w:space="0"/>
            </w:tcBorders>
            <w:noWrap/>
            <w:vAlign w:val="center"/>
          </w:tcPr>
          <w:p w14:paraId="3830A6EE">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w:t>
            </w:r>
          </w:p>
        </w:tc>
        <w:tc>
          <w:tcPr>
            <w:tcW w:w="1410" w:type="pct"/>
            <w:tcBorders>
              <w:top w:val="nil"/>
              <w:left w:val="nil"/>
              <w:bottom w:val="single" w:color="auto" w:sz="4" w:space="0"/>
              <w:right w:val="single" w:color="auto" w:sz="4" w:space="0"/>
            </w:tcBorders>
            <w:vAlign w:val="center"/>
          </w:tcPr>
          <w:p w14:paraId="3D80D5F9">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急冷循环泵</w:t>
            </w:r>
          </w:p>
        </w:tc>
        <w:tc>
          <w:tcPr>
            <w:tcW w:w="2592" w:type="pct"/>
            <w:tcBorders>
              <w:top w:val="nil"/>
              <w:left w:val="nil"/>
              <w:bottom w:val="single" w:color="auto" w:sz="4" w:space="0"/>
              <w:right w:val="single" w:color="auto" w:sz="4" w:space="0"/>
            </w:tcBorders>
            <w:vAlign w:val="center"/>
          </w:tcPr>
          <w:p w14:paraId="129D7F50">
            <w:pPr>
              <w:pStyle w:val="109"/>
              <w:rPr>
                <w:rFonts w:ascii="Arial" w:hAnsi="Arial" w:cs="Arial"/>
                <w:color w:val="000000" w:themeColor="text1"/>
                <w:kern w:val="2"/>
                <w:szCs w:val="21"/>
                <w14:textFill>
                  <w14:solidFill>
                    <w14:schemeClr w14:val="tx1"/>
                  </w14:solidFill>
                </w14:textFill>
              </w:rPr>
            </w:pPr>
            <w:r>
              <w:rPr>
                <w:color w:val="000000" w:themeColor="text1"/>
                <w:sz w:val="22"/>
                <w:szCs w:val="22"/>
                <w14:textFill>
                  <w14:solidFill>
                    <w14:schemeClr w14:val="tx1"/>
                  </w14:solidFill>
                </w14:textFill>
              </w:rPr>
              <w:t>流量：</w:t>
            </w:r>
            <w:r>
              <w:rPr>
                <w:rFonts w:hint="eastAsia"/>
                <w:color w:val="000000" w:themeColor="text1"/>
                <w:sz w:val="22"/>
                <w:szCs w:val="22"/>
                <w14:textFill>
                  <w14:solidFill>
                    <w14:schemeClr w14:val="tx1"/>
                  </w14:solidFill>
                </w14:textFill>
              </w:rPr>
              <w:t>100</w:t>
            </w:r>
            <w:r>
              <w:rPr>
                <w:color w:val="000000" w:themeColor="text1"/>
                <w:sz w:val="22"/>
                <w:szCs w:val="22"/>
                <w14:textFill>
                  <w14:solidFill>
                    <w14:schemeClr w14:val="tx1"/>
                  </w14:solidFill>
                </w14:textFill>
              </w:rPr>
              <w:t>m³/h；扬程：</w:t>
            </w:r>
            <w:r>
              <w:rPr>
                <w:rFonts w:hint="eastAsia"/>
                <w:color w:val="000000" w:themeColor="text1"/>
                <w:sz w:val="22"/>
                <w:szCs w:val="22"/>
                <w14:textFill>
                  <w14:solidFill>
                    <w14:schemeClr w14:val="tx1"/>
                  </w14:solidFill>
                </w14:textFill>
              </w:rPr>
              <w:t>32</w:t>
            </w:r>
            <w:r>
              <w:rPr>
                <w:color w:val="000000" w:themeColor="text1"/>
                <w:sz w:val="22"/>
                <w:szCs w:val="22"/>
                <w14:textFill>
                  <w14:solidFill>
                    <w14:schemeClr w14:val="tx1"/>
                  </w14:solidFill>
                </w14:textFill>
              </w:rPr>
              <w:t>m；</w:t>
            </w:r>
            <w:r>
              <w:rPr>
                <w:rFonts w:hint="eastAsia"/>
                <w:color w:val="000000" w:themeColor="text1"/>
                <w:sz w:val="22"/>
                <w:szCs w:val="22"/>
                <w14:textFill>
                  <w14:solidFill>
                    <w14:schemeClr w14:val="tx1"/>
                  </w14:solidFill>
                </w14:textFill>
              </w:rPr>
              <w:t xml:space="preserve"> P=22KW</w:t>
            </w:r>
          </w:p>
        </w:tc>
        <w:tc>
          <w:tcPr>
            <w:tcW w:w="369" w:type="pct"/>
            <w:tcBorders>
              <w:top w:val="nil"/>
              <w:left w:val="nil"/>
              <w:bottom w:val="single" w:color="auto" w:sz="4" w:space="0"/>
              <w:right w:val="single" w:color="auto" w:sz="4" w:space="0"/>
            </w:tcBorders>
            <w:vAlign w:val="center"/>
          </w:tcPr>
          <w:p w14:paraId="3F29C8F9">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410FD90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w:t>
            </w:r>
          </w:p>
        </w:tc>
      </w:tr>
      <w:tr w14:paraId="47A4ACB8">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D9D9D9"/>
            <w:vAlign w:val="center"/>
          </w:tcPr>
          <w:p w14:paraId="40F800B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五</w:t>
            </w:r>
            <w:r>
              <w:rPr>
                <w:color w:val="000000" w:themeColor="text1"/>
                <w14:textFill>
                  <w14:solidFill>
                    <w14:schemeClr w14:val="tx1"/>
                  </w14:solidFill>
                </w14:textFill>
              </w:rPr>
              <w:t xml:space="preserve"> </w:t>
            </w:r>
          </w:p>
        </w:tc>
        <w:tc>
          <w:tcPr>
            <w:tcW w:w="1410" w:type="pct"/>
            <w:tcBorders>
              <w:top w:val="nil"/>
              <w:left w:val="nil"/>
              <w:bottom w:val="single" w:color="auto" w:sz="4" w:space="0"/>
              <w:right w:val="single" w:color="auto" w:sz="4" w:space="0"/>
            </w:tcBorders>
            <w:shd w:val="clear" w:color="auto" w:fill="D9D9D9"/>
            <w:vAlign w:val="center"/>
          </w:tcPr>
          <w:p w14:paraId="053FE95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r>
              <w:rPr>
                <w:color w:val="000000" w:themeColor="text1"/>
                <w14:textFill>
                  <w14:solidFill>
                    <w14:schemeClr w14:val="tx1"/>
                  </w14:solidFill>
                </w14:textFill>
              </w:rPr>
              <w:t>湿法脱酸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一级水洗系统 </w:t>
            </w:r>
          </w:p>
        </w:tc>
        <w:tc>
          <w:tcPr>
            <w:tcW w:w="2592" w:type="pct"/>
            <w:tcBorders>
              <w:top w:val="nil"/>
              <w:left w:val="nil"/>
              <w:bottom w:val="single" w:color="auto" w:sz="4" w:space="0"/>
              <w:right w:val="single" w:color="auto" w:sz="4" w:space="0"/>
            </w:tcBorders>
            <w:shd w:val="clear" w:color="auto" w:fill="D9D9D9"/>
            <w:vAlign w:val="center"/>
          </w:tcPr>
          <w:p w14:paraId="7FE749F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69" w:type="pct"/>
            <w:tcBorders>
              <w:top w:val="nil"/>
              <w:left w:val="nil"/>
              <w:bottom w:val="single" w:color="auto" w:sz="4" w:space="0"/>
              <w:right w:val="single" w:color="auto" w:sz="4" w:space="0"/>
            </w:tcBorders>
            <w:shd w:val="clear" w:color="auto" w:fill="D9D9D9"/>
            <w:vAlign w:val="center"/>
          </w:tcPr>
          <w:p w14:paraId="670CFAF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36" w:type="pct"/>
            <w:gridSpan w:val="2"/>
            <w:tcBorders>
              <w:top w:val="nil"/>
              <w:left w:val="nil"/>
              <w:bottom w:val="single" w:color="auto" w:sz="4" w:space="0"/>
              <w:right w:val="single" w:color="auto" w:sz="4" w:space="0"/>
            </w:tcBorders>
            <w:shd w:val="clear" w:color="auto" w:fill="D9D9D9"/>
            <w:vAlign w:val="center"/>
          </w:tcPr>
          <w:p w14:paraId="7803DF9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6E5205A8">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1382F02E">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0" w:type="pct"/>
            <w:tcBorders>
              <w:top w:val="nil"/>
              <w:left w:val="nil"/>
              <w:bottom w:val="single" w:color="auto" w:sz="4" w:space="0"/>
              <w:right w:val="single" w:color="auto" w:sz="4" w:space="0"/>
            </w:tcBorders>
            <w:vAlign w:val="center"/>
          </w:tcPr>
          <w:p w14:paraId="2144C65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一级洗涤塔 </w:t>
            </w:r>
          </w:p>
        </w:tc>
        <w:tc>
          <w:tcPr>
            <w:tcW w:w="2592" w:type="pct"/>
            <w:tcBorders>
              <w:top w:val="nil"/>
              <w:left w:val="nil"/>
              <w:bottom w:val="single" w:color="auto" w:sz="4" w:space="0"/>
              <w:right w:val="single" w:color="auto" w:sz="4" w:space="0"/>
            </w:tcBorders>
            <w:vAlign w:val="center"/>
          </w:tcPr>
          <w:p w14:paraId="6678CE57">
            <w:pPr>
              <w:pStyle w:val="109"/>
              <w:rPr>
                <w:color w:val="000000" w:themeColor="text1"/>
                <w14:textFill>
                  <w14:solidFill>
                    <w14:schemeClr w14:val="tx1"/>
                  </w14:solidFill>
                </w14:textFill>
              </w:rPr>
            </w:pPr>
            <w:r>
              <w:rPr>
                <w:color w:val="000000" w:themeColor="text1"/>
                <w14:textFill>
                  <w14:solidFill>
                    <w14:schemeClr w14:val="tx1"/>
                  </w14:solidFill>
                </w14:textFill>
              </w:rPr>
              <w:t>Φ1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000mm，厚度不低于 13mm，一级塔耐温≥180℃ </w:t>
            </w:r>
          </w:p>
        </w:tc>
        <w:tc>
          <w:tcPr>
            <w:tcW w:w="369" w:type="pct"/>
            <w:tcBorders>
              <w:top w:val="nil"/>
              <w:left w:val="nil"/>
              <w:bottom w:val="single" w:color="auto" w:sz="4" w:space="0"/>
              <w:right w:val="single" w:color="auto" w:sz="4" w:space="0"/>
            </w:tcBorders>
            <w:vAlign w:val="center"/>
          </w:tcPr>
          <w:p w14:paraId="4390D34B">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2606CF78">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2AFC1CBE">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5BB000C8">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410" w:type="pct"/>
            <w:tcBorders>
              <w:top w:val="nil"/>
              <w:left w:val="nil"/>
              <w:bottom w:val="single" w:color="auto" w:sz="4" w:space="0"/>
              <w:right w:val="single" w:color="auto" w:sz="4" w:space="0"/>
            </w:tcBorders>
            <w:vAlign w:val="center"/>
          </w:tcPr>
          <w:p w14:paraId="0A1AD12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一级循环泵 </w:t>
            </w:r>
          </w:p>
        </w:tc>
        <w:tc>
          <w:tcPr>
            <w:tcW w:w="2592" w:type="pct"/>
            <w:tcBorders>
              <w:top w:val="nil"/>
              <w:left w:val="nil"/>
              <w:bottom w:val="single" w:color="auto" w:sz="4" w:space="0"/>
              <w:right w:val="single" w:color="auto" w:sz="4" w:space="0"/>
            </w:tcBorders>
            <w:vAlign w:val="center"/>
          </w:tcPr>
          <w:p w14:paraId="41D66623">
            <w:pPr>
              <w:pStyle w:val="109"/>
              <w:rPr>
                <w:color w:val="000000" w:themeColor="text1"/>
                <w14:textFill>
                  <w14:solidFill>
                    <w14:schemeClr w14:val="tx1"/>
                  </w14:solidFill>
                </w14:textFill>
              </w:rPr>
            </w:pPr>
            <w:r>
              <w:rPr>
                <w:color w:val="000000" w:themeColor="text1"/>
                <w14:textFill>
                  <w14:solidFill>
                    <w14:schemeClr w14:val="tx1"/>
                  </w14:solidFill>
                </w14:textFill>
              </w:rPr>
              <w:t>功率：</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KW  流量：</w:t>
            </w:r>
            <w:r>
              <w:rPr>
                <w:rFonts w:hint="eastAsia"/>
                <w:color w:val="000000" w:themeColor="text1"/>
                <w14:textFill>
                  <w14:solidFill>
                    <w14:schemeClr w14:val="tx1"/>
                  </w14:solidFill>
                </w14:textFill>
              </w:rPr>
              <w:t>30</w:t>
            </w:r>
            <w:r>
              <w:rPr>
                <w:color w:val="000000" w:themeColor="text1"/>
                <w14:textFill>
                  <w14:solidFill>
                    <w14:schemeClr w14:val="tx1"/>
                  </w14:solidFill>
                </w14:textFill>
              </w:rPr>
              <w:t>m³/h，扬程 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m </w:t>
            </w:r>
          </w:p>
        </w:tc>
        <w:tc>
          <w:tcPr>
            <w:tcW w:w="369" w:type="pct"/>
            <w:tcBorders>
              <w:top w:val="nil"/>
              <w:left w:val="nil"/>
              <w:bottom w:val="single" w:color="auto" w:sz="4" w:space="0"/>
              <w:right w:val="single" w:color="auto" w:sz="4" w:space="0"/>
            </w:tcBorders>
            <w:vAlign w:val="center"/>
          </w:tcPr>
          <w:p w14:paraId="5919238E">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3475EC6F">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r>
      <w:tr w14:paraId="7A3DEBD0">
        <w:tblPrEx>
          <w:tblCellMar>
            <w:top w:w="0" w:type="dxa"/>
            <w:left w:w="108" w:type="dxa"/>
            <w:bottom w:w="0" w:type="dxa"/>
            <w:right w:w="108" w:type="dxa"/>
          </w:tblCellMar>
        </w:tblPrEx>
        <w:trPr>
          <w:trHeight w:val="570" w:hRule="atLeast"/>
        </w:trPr>
        <w:tc>
          <w:tcPr>
            <w:tcW w:w="293" w:type="pct"/>
            <w:tcBorders>
              <w:top w:val="nil"/>
              <w:left w:val="single" w:color="auto" w:sz="4" w:space="0"/>
              <w:bottom w:val="single" w:color="auto" w:sz="4" w:space="0"/>
              <w:right w:val="single" w:color="auto" w:sz="4" w:space="0"/>
            </w:tcBorders>
            <w:noWrap/>
            <w:vAlign w:val="center"/>
          </w:tcPr>
          <w:p w14:paraId="24E76444">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10" w:type="pct"/>
            <w:tcBorders>
              <w:top w:val="nil"/>
              <w:left w:val="nil"/>
              <w:bottom w:val="single" w:color="auto" w:sz="4" w:space="0"/>
              <w:right w:val="single" w:color="auto" w:sz="4" w:space="0"/>
            </w:tcBorders>
            <w:vAlign w:val="center"/>
          </w:tcPr>
          <w:p w14:paraId="5BFE43D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二级洗涤塔 </w:t>
            </w:r>
          </w:p>
        </w:tc>
        <w:tc>
          <w:tcPr>
            <w:tcW w:w="2592" w:type="pct"/>
            <w:tcBorders>
              <w:top w:val="nil"/>
              <w:left w:val="nil"/>
              <w:bottom w:val="single" w:color="auto" w:sz="4" w:space="0"/>
              <w:right w:val="single" w:color="auto" w:sz="4" w:space="0"/>
            </w:tcBorders>
            <w:vAlign w:val="center"/>
          </w:tcPr>
          <w:p w14:paraId="447E7A35">
            <w:pPr>
              <w:pStyle w:val="109"/>
              <w:rPr>
                <w:color w:val="000000" w:themeColor="text1"/>
                <w14:textFill>
                  <w14:solidFill>
                    <w14:schemeClr w14:val="tx1"/>
                  </w14:solidFill>
                </w14:textFill>
              </w:rPr>
            </w:pPr>
            <w:r>
              <w:rPr>
                <w:color w:val="000000" w:themeColor="text1"/>
                <w14:textFill>
                  <w14:solidFill>
                    <w14:schemeClr w14:val="tx1"/>
                  </w14:solidFill>
                </w14:textFill>
              </w:rPr>
              <w:t>Φ1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000mm，二级塔耐温≥120℃，填料材质采用 PPH 鲍尔环，厚度不低于 13mm </w:t>
            </w:r>
          </w:p>
        </w:tc>
        <w:tc>
          <w:tcPr>
            <w:tcW w:w="369" w:type="pct"/>
            <w:tcBorders>
              <w:top w:val="nil"/>
              <w:left w:val="nil"/>
              <w:bottom w:val="single" w:color="auto" w:sz="4" w:space="0"/>
              <w:right w:val="single" w:color="auto" w:sz="4" w:space="0"/>
            </w:tcBorders>
            <w:vAlign w:val="center"/>
          </w:tcPr>
          <w:p w14:paraId="432325EF">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3673242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1517EB67">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348C84FF">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10" w:type="pct"/>
            <w:tcBorders>
              <w:top w:val="nil"/>
              <w:left w:val="nil"/>
              <w:bottom w:val="single" w:color="auto" w:sz="4" w:space="0"/>
              <w:right w:val="single" w:color="auto" w:sz="4" w:space="0"/>
            </w:tcBorders>
            <w:vAlign w:val="center"/>
          </w:tcPr>
          <w:p w14:paraId="0DD6FCF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二级循环泵 </w:t>
            </w:r>
          </w:p>
        </w:tc>
        <w:tc>
          <w:tcPr>
            <w:tcW w:w="2592" w:type="pct"/>
            <w:tcBorders>
              <w:top w:val="nil"/>
              <w:left w:val="nil"/>
              <w:bottom w:val="single" w:color="auto" w:sz="4" w:space="0"/>
              <w:right w:val="single" w:color="auto" w:sz="4" w:space="0"/>
            </w:tcBorders>
            <w:vAlign w:val="center"/>
          </w:tcPr>
          <w:p w14:paraId="0BB41AEE">
            <w:pPr>
              <w:pStyle w:val="109"/>
              <w:rPr>
                <w:color w:val="000000" w:themeColor="text1"/>
                <w14:textFill>
                  <w14:solidFill>
                    <w14:schemeClr w14:val="tx1"/>
                  </w14:solidFill>
                </w14:textFill>
              </w:rPr>
            </w:pPr>
            <w:r>
              <w:rPr>
                <w:color w:val="000000" w:themeColor="text1"/>
                <w14:textFill>
                  <w14:solidFill>
                    <w14:schemeClr w14:val="tx1"/>
                  </w14:solidFill>
                </w14:textFill>
              </w:rPr>
              <w:t>功率：</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KW  流量：</w:t>
            </w:r>
            <w:r>
              <w:rPr>
                <w:rFonts w:hint="eastAsia"/>
                <w:color w:val="000000" w:themeColor="text1"/>
                <w14:textFill>
                  <w14:solidFill>
                    <w14:schemeClr w14:val="tx1"/>
                  </w14:solidFill>
                </w14:textFill>
              </w:rPr>
              <w:t>30</w:t>
            </w:r>
            <w:r>
              <w:rPr>
                <w:color w:val="000000" w:themeColor="text1"/>
                <w14:textFill>
                  <w14:solidFill>
                    <w14:schemeClr w14:val="tx1"/>
                  </w14:solidFill>
                </w14:textFill>
              </w:rPr>
              <w:t>m³/h，扬程 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m </w:t>
            </w:r>
          </w:p>
        </w:tc>
        <w:tc>
          <w:tcPr>
            <w:tcW w:w="369" w:type="pct"/>
            <w:tcBorders>
              <w:top w:val="nil"/>
              <w:left w:val="nil"/>
              <w:bottom w:val="single" w:color="auto" w:sz="4" w:space="0"/>
              <w:right w:val="single" w:color="auto" w:sz="4" w:space="0"/>
            </w:tcBorders>
            <w:vAlign w:val="center"/>
          </w:tcPr>
          <w:p w14:paraId="1779C599">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359E4DB5">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r>
      <w:tr w14:paraId="31752A43">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51AE8F4E">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410" w:type="pct"/>
            <w:tcBorders>
              <w:top w:val="nil"/>
              <w:left w:val="nil"/>
              <w:bottom w:val="single" w:color="auto" w:sz="4" w:space="0"/>
              <w:right w:val="single" w:color="auto" w:sz="4" w:space="0"/>
            </w:tcBorders>
            <w:vAlign w:val="center"/>
          </w:tcPr>
          <w:p w14:paraId="30BC88B7">
            <w:pPr>
              <w:pStyle w:val="109"/>
              <w:rPr>
                <w:color w:val="000000" w:themeColor="text1"/>
                <w14:textFill>
                  <w14:solidFill>
                    <w14:schemeClr w14:val="tx1"/>
                  </w14:solidFill>
                </w14:textFill>
              </w:rPr>
            </w:pPr>
            <w:r>
              <w:rPr>
                <w:color w:val="000000" w:themeColor="text1"/>
                <w14:textFill>
                  <w14:solidFill>
                    <w14:schemeClr w14:val="tx1"/>
                  </w14:solidFill>
                </w14:textFill>
              </w:rPr>
              <w:t>洗涤循环水箱</w:t>
            </w:r>
          </w:p>
        </w:tc>
        <w:tc>
          <w:tcPr>
            <w:tcW w:w="2592" w:type="pct"/>
            <w:tcBorders>
              <w:top w:val="nil"/>
              <w:left w:val="nil"/>
              <w:bottom w:val="single" w:color="auto" w:sz="4" w:space="0"/>
              <w:right w:val="single" w:color="auto" w:sz="4" w:space="0"/>
            </w:tcBorders>
            <w:vAlign w:val="center"/>
          </w:tcPr>
          <w:p w14:paraId="4BD5A51A">
            <w:pPr>
              <w:pStyle w:val="109"/>
              <w:rPr>
                <w:color w:val="000000" w:themeColor="text1"/>
                <w14:textFill>
                  <w14:solidFill>
                    <w14:schemeClr w14:val="tx1"/>
                  </w14:solidFill>
                </w14:textFill>
              </w:rPr>
            </w:pPr>
            <w:r>
              <w:rPr>
                <w:color w:val="000000" w:themeColor="text1"/>
                <w14:textFill>
                  <w14:solidFill>
                    <w14:schemeClr w14:val="tx1"/>
                  </w14:solidFill>
                </w14:textFill>
              </w:rPr>
              <w:t>Φ</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00mm</w:t>
            </w:r>
          </w:p>
        </w:tc>
        <w:tc>
          <w:tcPr>
            <w:tcW w:w="369" w:type="pct"/>
            <w:tcBorders>
              <w:top w:val="nil"/>
              <w:left w:val="nil"/>
              <w:bottom w:val="single" w:color="auto" w:sz="4" w:space="0"/>
              <w:right w:val="single" w:color="auto" w:sz="4" w:space="0"/>
            </w:tcBorders>
            <w:vAlign w:val="center"/>
          </w:tcPr>
          <w:p w14:paraId="5E2BC15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件</w:t>
            </w:r>
          </w:p>
        </w:tc>
        <w:tc>
          <w:tcPr>
            <w:tcW w:w="336" w:type="pct"/>
            <w:gridSpan w:val="2"/>
            <w:tcBorders>
              <w:top w:val="nil"/>
              <w:left w:val="nil"/>
              <w:bottom w:val="single" w:color="auto" w:sz="4" w:space="0"/>
              <w:right w:val="single" w:color="auto" w:sz="4" w:space="0"/>
            </w:tcBorders>
            <w:noWrap/>
            <w:vAlign w:val="center"/>
          </w:tcPr>
          <w:p w14:paraId="4FA614B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r>
      <w:tr w14:paraId="5E218C9C">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76E32341">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410" w:type="pct"/>
            <w:tcBorders>
              <w:top w:val="nil"/>
              <w:left w:val="nil"/>
              <w:bottom w:val="single" w:color="auto" w:sz="4" w:space="0"/>
              <w:right w:val="single" w:color="auto" w:sz="4" w:space="0"/>
            </w:tcBorders>
            <w:vAlign w:val="center"/>
          </w:tcPr>
          <w:p w14:paraId="02CC696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洗涤塔喷淋、除雾系统 </w:t>
            </w:r>
          </w:p>
        </w:tc>
        <w:tc>
          <w:tcPr>
            <w:tcW w:w="2592" w:type="pct"/>
            <w:tcBorders>
              <w:top w:val="nil"/>
              <w:left w:val="nil"/>
              <w:bottom w:val="single" w:color="auto" w:sz="4" w:space="0"/>
              <w:right w:val="single" w:color="auto" w:sz="4" w:space="0"/>
            </w:tcBorders>
            <w:vAlign w:val="center"/>
          </w:tcPr>
          <w:p w14:paraId="76F55B5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含填料、填料架、格栅板、除雾器、喷枪、螺旋喷头等 </w:t>
            </w:r>
          </w:p>
        </w:tc>
        <w:tc>
          <w:tcPr>
            <w:tcW w:w="369" w:type="pct"/>
            <w:tcBorders>
              <w:top w:val="nil"/>
              <w:left w:val="nil"/>
              <w:bottom w:val="single" w:color="auto" w:sz="4" w:space="0"/>
              <w:right w:val="single" w:color="auto" w:sz="4" w:space="0"/>
            </w:tcBorders>
            <w:vAlign w:val="center"/>
          </w:tcPr>
          <w:p w14:paraId="3DBD927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2CA8ADD5">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72FDE12D">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481C1A68">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410" w:type="pct"/>
            <w:tcBorders>
              <w:top w:val="nil"/>
              <w:left w:val="nil"/>
              <w:bottom w:val="single" w:color="auto" w:sz="4" w:space="0"/>
              <w:right w:val="single" w:color="auto" w:sz="4" w:space="0"/>
            </w:tcBorders>
            <w:vAlign w:val="center"/>
          </w:tcPr>
          <w:p w14:paraId="792DEA8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碱液罐 </w:t>
            </w:r>
          </w:p>
        </w:tc>
        <w:tc>
          <w:tcPr>
            <w:tcW w:w="2592" w:type="pct"/>
            <w:tcBorders>
              <w:top w:val="nil"/>
              <w:left w:val="nil"/>
              <w:bottom w:val="single" w:color="auto" w:sz="4" w:space="0"/>
              <w:right w:val="single" w:color="auto" w:sz="4" w:space="0"/>
            </w:tcBorders>
            <w:vAlign w:val="center"/>
          </w:tcPr>
          <w:p w14:paraId="718B730B">
            <w:pPr>
              <w:pStyle w:val="109"/>
              <w:rPr>
                <w:color w:val="000000" w:themeColor="text1"/>
                <w14:textFill>
                  <w14:solidFill>
                    <w14:schemeClr w14:val="tx1"/>
                  </w14:solidFill>
                </w14:textFill>
              </w:rPr>
            </w:pPr>
            <w:r>
              <w:rPr>
                <w:color w:val="000000" w:themeColor="text1"/>
                <w14:textFill>
                  <w14:solidFill>
                    <w14:schemeClr w14:val="tx1"/>
                  </w14:solidFill>
                </w14:textFill>
              </w:rPr>
              <w:t>容积</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 xml:space="preserve">m³ </w:t>
            </w:r>
          </w:p>
        </w:tc>
        <w:tc>
          <w:tcPr>
            <w:tcW w:w="369" w:type="pct"/>
            <w:tcBorders>
              <w:top w:val="nil"/>
              <w:left w:val="nil"/>
              <w:bottom w:val="single" w:color="auto" w:sz="4" w:space="0"/>
              <w:right w:val="single" w:color="auto" w:sz="4" w:space="0"/>
            </w:tcBorders>
            <w:vAlign w:val="center"/>
          </w:tcPr>
          <w:p w14:paraId="0DC94EC8">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7EE003C7">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3C823F86">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10B46D2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410" w:type="pct"/>
            <w:tcBorders>
              <w:top w:val="nil"/>
              <w:left w:val="nil"/>
              <w:bottom w:val="single" w:color="auto" w:sz="4" w:space="0"/>
              <w:right w:val="single" w:color="auto" w:sz="4" w:space="0"/>
            </w:tcBorders>
            <w:vAlign w:val="center"/>
          </w:tcPr>
          <w:p w14:paraId="74CCBAC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含盐废水罐</w:t>
            </w:r>
          </w:p>
        </w:tc>
        <w:tc>
          <w:tcPr>
            <w:tcW w:w="2592" w:type="pct"/>
            <w:tcBorders>
              <w:top w:val="nil"/>
              <w:left w:val="nil"/>
              <w:bottom w:val="single" w:color="auto" w:sz="4" w:space="0"/>
              <w:right w:val="single" w:color="auto" w:sz="4" w:space="0"/>
            </w:tcBorders>
            <w:vAlign w:val="center"/>
          </w:tcPr>
          <w:p w14:paraId="6D271C7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容积50m³</w:t>
            </w:r>
          </w:p>
        </w:tc>
        <w:tc>
          <w:tcPr>
            <w:tcW w:w="369" w:type="pct"/>
            <w:tcBorders>
              <w:top w:val="nil"/>
              <w:left w:val="nil"/>
              <w:bottom w:val="single" w:color="auto" w:sz="4" w:space="0"/>
              <w:right w:val="single" w:color="auto" w:sz="4" w:space="0"/>
            </w:tcBorders>
            <w:vAlign w:val="center"/>
          </w:tcPr>
          <w:p w14:paraId="107B1077">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5C3370FB">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19DD2A57">
        <w:tblPrEx>
          <w:tblCellMar>
            <w:top w:w="0" w:type="dxa"/>
            <w:left w:w="108" w:type="dxa"/>
            <w:bottom w:w="0" w:type="dxa"/>
            <w:right w:w="108" w:type="dxa"/>
          </w:tblCellMar>
        </w:tblPrEx>
        <w:trPr>
          <w:trHeight w:val="600" w:hRule="atLeast"/>
        </w:trPr>
        <w:tc>
          <w:tcPr>
            <w:tcW w:w="293" w:type="pct"/>
            <w:tcBorders>
              <w:top w:val="nil"/>
              <w:left w:val="single" w:color="auto" w:sz="4" w:space="0"/>
              <w:bottom w:val="single" w:color="auto" w:sz="4" w:space="0"/>
              <w:right w:val="single" w:color="auto" w:sz="4" w:space="0"/>
            </w:tcBorders>
            <w:noWrap/>
            <w:vAlign w:val="center"/>
          </w:tcPr>
          <w:p w14:paraId="6BCBD88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410" w:type="pct"/>
            <w:tcBorders>
              <w:top w:val="nil"/>
              <w:left w:val="nil"/>
              <w:bottom w:val="single" w:color="auto" w:sz="4" w:space="0"/>
              <w:right w:val="single" w:color="auto" w:sz="4" w:space="0"/>
            </w:tcBorders>
            <w:vAlign w:val="center"/>
          </w:tcPr>
          <w:p w14:paraId="063FE0D6">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水洗</w:t>
            </w:r>
            <w:r>
              <w:rPr>
                <w:color w:val="000000" w:themeColor="text1"/>
                <w14:textFill>
                  <w14:solidFill>
                    <w14:schemeClr w14:val="tx1"/>
                  </w14:solidFill>
                </w14:textFill>
              </w:rPr>
              <w:t xml:space="preserve">塔 </w:t>
            </w:r>
          </w:p>
        </w:tc>
        <w:tc>
          <w:tcPr>
            <w:tcW w:w="2592" w:type="pct"/>
            <w:tcBorders>
              <w:top w:val="nil"/>
              <w:left w:val="nil"/>
              <w:bottom w:val="single" w:color="auto" w:sz="4" w:space="0"/>
              <w:right w:val="single" w:color="auto" w:sz="4" w:space="0"/>
            </w:tcBorders>
            <w:vAlign w:val="center"/>
          </w:tcPr>
          <w:p w14:paraId="5BA12105">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Φ1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000mm，二级塔耐温≥120℃，填料材质采用 PPH 鲍尔环，厚度不低于 13mm</w:t>
            </w:r>
          </w:p>
        </w:tc>
        <w:tc>
          <w:tcPr>
            <w:tcW w:w="369" w:type="pct"/>
            <w:tcBorders>
              <w:top w:val="nil"/>
              <w:left w:val="nil"/>
              <w:bottom w:val="single" w:color="auto" w:sz="4" w:space="0"/>
              <w:right w:val="single" w:color="auto" w:sz="4" w:space="0"/>
            </w:tcBorders>
            <w:vAlign w:val="center"/>
          </w:tcPr>
          <w:p w14:paraId="4F7CAE42">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7D35F3F6">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w:t>
            </w:r>
          </w:p>
        </w:tc>
      </w:tr>
      <w:tr w14:paraId="3D3A0666">
        <w:tblPrEx>
          <w:tblCellMar>
            <w:top w:w="0" w:type="dxa"/>
            <w:left w:w="108" w:type="dxa"/>
            <w:bottom w:w="0" w:type="dxa"/>
            <w:right w:w="108" w:type="dxa"/>
          </w:tblCellMar>
        </w:tblPrEx>
        <w:trPr>
          <w:trHeight w:val="600" w:hRule="atLeast"/>
        </w:trPr>
        <w:tc>
          <w:tcPr>
            <w:tcW w:w="293" w:type="pct"/>
            <w:tcBorders>
              <w:top w:val="nil"/>
              <w:left w:val="single" w:color="auto" w:sz="4" w:space="0"/>
              <w:bottom w:val="single" w:color="auto" w:sz="4" w:space="0"/>
              <w:right w:val="single" w:color="auto" w:sz="4" w:space="0"/>
            </w:tcBorders>
            <w:noWrap/>
            <w:vAlign w:val="center"/>
          </w:tcPr>
          <w:p w14:paraId="54AE1CC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410" w:type="pct"/>
            <w:tcBorders>
              <w:top w:val="nil"/>
              <w:left w:val="nil"/>
              <w:bottom w:val="single" w:color="auto" w:sz="4" w:space="0"/>
              <w:right w:val="single" w:color="auto" w:sz="4" w:space="0"/>
            </w:tcBorders>
            <w:vAlign w:val="center"/>
          </w:tcPr>
          <w:p w14:paraId="3691E717">
            <w:pPr>
              <w:pStyle w:val="10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水洗循</w:t>
            </w:r>
            <w:r>
              <w:rPr>
                <w:color w:val="000000" w:themeColor="text1"/>
                <w14:textFill>
                  <w14:solidFill>
                    <w14:schemeClr w14:val="tx1"/>
                  </w14:solidFill>
                </w14:textFill>
              </w:rPr>
              <w:t xml:space="preserve">环泵 </w:t>
            </w:r>
          </w:p>
        </w:tc>
        <w:tc>
          <w:tcPr>
            <w:tcW w:w="2592" w:type="pct"/>
            <w:tcBorders>
              <w:top w:val="nil"/>
              <w:left w:val="nil"/>
              <w:bottom w:val="single" w:color="auto" w:sz="4" w:space="0"/>
              <w:right w:val="single" w:color="auto" w:sz="4" w:space="0"/>
            </w:tcBorders>
            <w:vAlign w:val="center"/>
          </w:tcPr>
          <w:p w14:paraId="165B221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功率：</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KW  流量：</w:t>
            </w:r>
            <w:r>
              <w:rPr>
                <w:rFonts w:hint="eastAsia"/>
                <w:color w:val="000000" w:themeColor="text1"/>
                <w14:textFill>
                  <w14:solidFill>
                    <w14:schemeClr w14:val="tx1"/>
                  </w14:solidFill>
                </w14:textFill>
              </w:rPr>
              <w:t>30</w:t>
            </w:r>
            <w:r>
              <w:rPr>
                <w:color w:val="000000" w:themeColor="text1"/>
                <w14:textFill>
                  <w14:solidFill>
                    <w14:schemeClr w14:val="tx1"/>
                  </w14:solidFill>
                </w14:textFill>
              </w:rPr>
              <w:t>m³/h，扬程 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m </w:t>
            </w:r>
          </w:p>
        </w:tc>
        <w:tc>
          <w:tcPr>
            <w:tcW w:w="369" w:type="pct"/>
            <w:tcBorders>
              <w:top w:val="nil"/>
              <w:left w:val="nil"/>
              <w:bottom w:val="single" w:color="auto" w:sz="4" w:space="0"/>
              <w:right w:val="single" w:color="auto" w:sz="4" w:space="0"/>
            </w:tcBorders>
            <w:vAlign w:val="center"/>
          </w:tcPr>
          <w:p w14:paraId="4136AF4E">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69F027F6">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w:t>
            </w:r>
          </w:p>
        </w:tc>
      </w:tr>
      <w:tr w14:paraId="14C5B2DB">
        <w:tblPrEx>
          <w:tblCellMar>
            <w:top w:w="0" w:type="dxa"/>
            <w:left w:w="108" w:type="dxa"/>
            <w:bottom w:w="0" w:type="dxa"/>
            <w:right w:w="108" w:type="dxa"/>
          </w:tblCellMar>
        </w:tblPrEx>
        <w:trPr>
          <w:trHeight w:val="600" w:hRule="atLeast"/>
        </w:trPr>
        <w:tc>
          <w:tcPr>
            <w:tcW w:w="293" w:type="pct"/>
            <w:tcBorders>
              <w:top w:val="nil"/>
              <w:left w:val="single" w:color="auto" w:sz="4" w:space="0"/>
              <w:bottom w:val="single" w:color="auto" w:sz="4" w:space="0"/>
              <w:right w:val="single" w:color="auto" w:sz="4" w:space="0"/>
            </w:tcBorders>
            <w:noWrap/>
            <w:vAlign w:val="center"/>
          </w:tcPr>
          <w:p w14:paraId="72C9121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六</w:t>
            </w:r>
          </w:p>
        </w:tc>
        <w:tc>
          <w:tcPr>
            <w:tcW w:w="1410" w:type="pct"/>
            <w:tcBorders>
              <w:top w:val="nil"/>
              <w:left w:val="nil"/>
              <w:bottom w:val="single" w:color="auto" w:sz="4" w:space="0"/>
              <w:right w:val="single" w:color="auto" w:sz="4" w:space="0"/>
            </w:tcBorders>
            <w:vAlign w:val="center"/>
          </w:tcPr>
          <w:p w14:paraId="26C8990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除尘系统</w:t>
            </w:r>
          </w:p>
        </w:tc>
        <w:tc>
          <w:tcPr>
            <w:tcW w:w="2592" w:type="pct"/>
            <w:tcBorders>
              <w:top w:val="nil"/>
              <w:left w:val="nil"/>
              <w:bottom w:val="single" w:color="auto" w:sz="4" w:space="0"/>
              <w:right w:val="single" w:color="auto" w:sz="4" w:space="0"/>
            </w:tcBorders>
            <w:vAlign w:val="center"/>
          </w:tcPr>
          <w:p w14:paraId="78A2BDA9">
            <w:pPr>
              <w:pStyle w:val="109"/>
              <w:rPr>
                <w:color w:val="000000" w:themeColor="text1"/>
                <w14:textFill>
                  <w14:solidFill>
                    <w14:schemeClr w14:val="tx1"/>
                  </w14:solidFill>
                </w14:textFill>
              </w:rPr>
            </w:pPr>
          </w:p>
        </w:tc>
        <w:tc>
          <w:tcPr>
            <w:tcW w:w="369" w:type="pct"/>
            <w:tcBorders>
              <w:top w:val="nil"/>
              <w:left w:val="nil"/>
              <w:bottom w:val="single" w:color="auto" w:sz="4" w:space="0"/>
              <w:right w:val="single" w:color="auto" w:sz="4" w:space="0"/>
            </w:tcBorders>
            <w:vAlign w:val="center"/>
          </w:tcPr>
          <w:p w14:paraId="1652F7BB">
            <w:pPr>
              <w:pStyle w:val="109"/>
              <w:rPr>
                <w:color w:val="000000" w:themeColor="text1"/>
                <w14:textFill>
                  <w14:solidFill>
                    <w14:schemeClr w14:val="tx1"/>
                  </w14:solidFill>
                </w14:textFill>
              </w:rPr>
            </w:pPr>
          </w:p>
        </w:tc>
        <w:tc>
          <w:tcPr>
            <w:tcW w:w="336" w:type="pct"/>
            <w:gridSpan w:val="2"/>
            <w:tcBorders>
              <w:top w:val="nil"/>
              <w:left w:val="nil"/>
              <w:bottom w:val="single" w:color="auto" w:sz="4" w:space="0"/>
              <w:right w:val="single" w:color="auto" w:sz="4" w:space="0"/>
            </w:tcBorders>
            <w:noWrap/>
            <w:vAlign w:val="center"/>
          </w:tcPr>
          <w:p w14:paraId="07F673D0">
            <w:pPr>
              <w:pStyle w:val="109"/>
              <w:rPr>
                <w:color w:val="000000" w:themeColor="text1"/>
                <w14:textFill>
                  <w14:solidFill>
                    <w14:schemeClr w14:val="tx1"/>
                  </w14:solidFill>
                </w14:textFill>
              </w:rPr>
            </w:pPr>
          </w:p>
        </w:tc>
      </w:tr>
      <w:tr w14:paraId="41857E5B">
        <w:tblPrEx>
          <w:tblCellMar>
            <w:top w:w="0" w:type="dxa"/>
            <w:left w:w="108" w:type="dxa"/>
            <w:bottom w:w="0" w:type="dxa"/>
            <w:right w:w="108" w:type="dxa"/>
          </w:tblCellMar>
        </w:tblPrEx>
        <w:trPr>
          <w:trHeight w:val="570" w:hRule="atLeast"/>
        </w:trPr>
        <w:tc>
          <w:tcPr>
            <w:tcW w:w="293" w:type="pct"/>
            <w:tcBorders>
              <w:top w:val="nil"/>
              <w:left w:val="single" w:color="auto" w:sz="4" w:space="0"/>
              <w:bottom w:val="single" w:color="000000" w:sz="4" w:space="0"/>
              <w:right w:val="single" w:color="auto" w:sz="4" w:space="0"/>
            </w:tcBorders>
            <w:noWrap/>
            <w:vAlign w:val="center"/>
          </w:tcPr>
          <w:p w14:paraId="67B2609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0" w:type="pct"/>
            <w:tcBorders>
              <w:top w:val="nil"/>
              <w:left w:val="nil"/>
              <w:bottom w:val="single" w:color="auto" w:sz="4" w:space="0"/>
              <w:right w:val="single" w:color="auto" w:sz="4" w:space="0"/>
            </w:tcBorders>
            <w:vAlign w:val="center"/>
          </w:tcPr>
          <w:p w14:paraId="412FA63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湿电除尘器 </w:t>
            </w:r>
          </w:p>
        </w:tc>
        <w:tc>
          <w:tcPr>
            <w:tcW w:w="2592" w:type="pct"/>
            <w:tcBorders>
              <w:top w:val="nil"/>
              <w:left w:val="nil"/>
              <w:bottom w:val="single" w:color="auto" w:sz="4" w:space="0"/>
              <w:right w:val="single" w:color="auto" w:sz="4" w:space="0"/>
            </w:tcBorders>
            <w:vAlign w:val="center"/>
          </w:tcPr>
          <w:p w14:paraId="5C079EE2">
            <w:pPr>
              <w:pStyle w:val="109"/>
              <w:rPr>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烟气量：~4000Nm³/h，20</w:t>
            </w:r>
            <w:r>
              <w:rPr>
                <w:color w:val="000000" w:themeColor="text1"/>
                <w:sz w:val="22"/>
                <w:szCs w:val="22"/>
                <w14:textFill>
                  <w14:solidFill>
                    <w14:schemeClr w14:val="tx1"/>
                  </w14:solidFill>
                </w14:textFill>
              </w:rPr>
              <w:t>管湿式静电除雾器，全玻璃钢结构，耐温100</w:t>
            </w:r>
            <w:r>
              <w:rPr>
                <w:rFonts w:hint="eastAsia" w:ascii="宋体" w:hAnsi="宋体" w:cs="宋体"/>
                <w:color w:val="000000" w:themeColor="text1"/>
                <w:sz w:val="22"/>
                <w:szCs w:val="22"/>
                <w14:textFill>
                  <w14:solidFill>
                    <w14:schemeClr w14:val="tx1"/>
                  </w14:solidFill>
                </w14:textFill>
              </w:rPr>
              <w:t>℃</w:t>
            </w:r>
            <w:r>
              <w:rPr>
                <w:color w:val="000000" w:themeColor="text1"/>
                <w14:textFill>
                  <w14:solidFill>
                    <w14:schemeClr w14:val="tx1"/>
                  </w14:solidFill>
                </w14:textFill>
              </w:rPr>
              <w:t xml:space="preserve">湿电除尘器，材质：壳体材质 FRP。烟气均布板为耐腐玻璃钢材质玻璃钢格栅。含配套电气设备。 </w:t>
            </w:r>
          </w:p>
        </w:tc>
        <w:tc>
          <w:tcPr>
            <w:tcW w:w="369" w:type="pct"/>
            <w:tcBorders>
              <w:top w:val="nil"/>
              <w:left w:val="nil"/>
              <w:bottom w:val="single" w:color="auto" w:sz="4" w:space="0"/>
              <w:right w:val="single" w:color="auto" w:sz="4" w:space="0"/>
            </w:tcBorders>
            <w:vAlign w:val="center"/>
          </w:tcPr>
          <w:p w14:paraId="2B673253">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3102550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35A51A00">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394D5076">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410" w:type="pct"/>
            <w:tcBorders>
              <w:top w:val="nil"/>
              <w:left w:val="nil"/>
              <w:bottom w:val="single" w:color="auto" w:sz="4" w:space="0"/>
              <w:right w:val="single" w:color="auto" w:sz="4" w:space="0"/>
            </w:tcBorders>
            <w:vAlign w:val="center"/>
          </w:tcPr>
          <w:p w14:paraId="66148BD1">
            <w:pPr>
              <w:pStyle w:val="109"/>
              <w:rPr>
                <w:color w:val="000000" w:themeColor="text1"/>
                <w14:textFill>
                  <w14:solidFill>
                    <w14:schemeClr w14:val="tx1"/>
                  </w14:solidFill>
                </w14:textFill>
              </w:rPr>
            </w:pPr>
            <w:r>
              <w:rPr>
                <w:color w:val="000000" w:themeColor="text1"/>
                <w14:textFill>
                  <w14:solidFill>
                    <w14:schemeClr w14:val="tx1"/>
                  </w14:solidFill>
                </w14:textFill>
              </w:rPr>
              <w:t>冲洗水箱</w:t>
            </w:r>
          </w:p>
        </w:tc>
        <w:tc>
          <w:tcPr>
            <w:tcW w:w="2592" w:type="pct"/>
            <w:tcBorders>
              <w:top w:val="nil"/>
              <w:left w:val="nil"/>
              <w:bottom w:val="single" w:color="auto" w:sz="4" w:space="0"/>
              <w:right w:val="single" w:color="auto" w:sz="4" w:space="0"/>
            </w:tcBorders>
            <w:vAlign w:val="center"/>
          </w:tcPr>
          <w:p w14:paraId="3D44BFA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2m³ </w:t>
            </w:r>
          </w:p>
        </w:tc>
        <w:tc>
          <w:tcPr>
            <w:tcW w:w="369" w:type="pct"/>
            <w:tcBorders>
              <w:top w:val="nil"/>
              <w:left w:val="nil"/>
              <w:bottom w:val="single" w:color="auto" w:sz="4" w:space="0"/>
              <w:right w:val="single" w:color="auto" w:sz="4" w:space="0"/>
            </w:tcBorders>
            <w:vAlign w:val="center"/>
          </w:tcPr>
          <w:p w14:paraId="1179EECC">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0DCABC43">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0004CEE5">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19E34CAA">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10" w:type="pct"/>
            <w:tcBorders>
              <w:top w:val="nil"/>
              <w:left w:val="nil"/>
              <w:bottom w:val="single" w:color="auto" w:sz="4" w:space="0"/>
              <w:right w:val="single" w:color="auto" w:sz="4" w:space="0"/>
            </w:tcBorders>
            <w:vAlign w:val="center"/>
          </w:tcPr>
          <w:p w14:paraId="4000E75B">
            <w:pPr>
              <w:pStyle w:val="109"/>
              <w:rPr>
                <w:color w:val="000000" w:themeColor="text1"/>
                <w14:textFill>
                  <w14:solidFill>
                    <w14:schemeClr w14:val="tx1"/>
                  </w14:solidFill>
                </w14:textFill>
              </w:rPr>
            </w:pPr>
            <w:r>
              <w:rPr>
                <w:color w:val="000000" w:themeColor="text1"/>
                <w14:textFill>
                  <w14:solidFill>
                    <w14:schemeClr w14:val="tx1"/>
                  </w14:solidFill>
                </w14:textFill>
              </w:rPr>
              <w:t>冲洗泵</w:t>
            </w:r>
          </w:p>
        </w:tc>
        <w:tc>
          <w:tcPr>
            <w:tcW w:w="2592" w:type="pct"/>
            <w:tcBorders>
              <w:top w:val="nil"/>
              <w:left w:val="nil"/>
              <w:bottom w:val="single" w:color="auto" w:sz="4" w:space="0"/>
              <w:right w:val="single" w:color="auto" w:sz="4" w:space="0"/>
            </w:tcBorders>
            <w:vAlign w:val="center"/>
          </w:tcPr>
          <w:p w14:paraId="7DB8607A">
            <w:pPr>
              <w:pStyle w:val="109"/>
              <w:rPr>
                <w:color w:val="000000" w:themeColor="text1"/>
                <w14:textFill>
                  <w14:solidFill>
                    <w14:schemeClr w14:val="tx1"/>
                  </w14:solidFill>
                </w14:textFill>
              </w:rPr>
            </w:pPr>
            <w:r>
              <w:rPr>
                <w:color w:val="000000" w:themeColor="text1"/>
                <w14:textFill>
                  <w14:solidFill>
                    <w14:schemeClr w14:val="tx1"/>
                  </w14:solidFill>
                </w14:textFill>
              </w:rPr>
              <w:t>流量：12m³/h，扬程50m</w:t>
            </w:r>
          </w:p>
        </w:tc>
        <w:tc>
          <w:tcPr>
            <w:tcW w:w="369" w:type="pct"/>
            <w:tcBorders>
              <w:top w:val="nil"/>
              <w:left w:val="nil"/>
              <w:bottom w:val="single" w:color="auto" w:sz="4" w:space="0"/>
              <w:right w:val="single" w:color="auto" w:sz="4" w:space="0"/>
            </w:tcBorders>
            <w:vAlign w:val="center"/>
          </w:tcPr>
          <w:p w14:paraId="255A2108">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0DB1FB5D">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r>
      <w:tr w14:paraId="77740F38">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D9D9D9"/>
            <w:vAlign w:val="center"/>
          </w:tcPr>
          <w:p w14:paraId="5381CBD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八</w:t>
            </w:r>
          </w:p>
        </w:tc>
        <w:tc>
          <w:tcPr>
            <w:tcW w:w="1410" w:type="pct"/>
            <w:tcBorders>
              <w:top w:val="nil"/>
              <w:left w:val="nil"/>
              <w:bottom w:val="single" w:color="auto" w:sz="4" w:space="0"/>
              <w:right w:val="single" w:color="auto" w:sz="4" w:space="0"/>
            </w:tcBorders>
            <w:shd w:val="clear" w:color="auto" w:fill="D9D9D9"/>
            <w:vAlign w:val="center"/>
          </w:tcPr>
          <w:p w14:paraId="35757D67">
            <w:pPr>
              <w:pStyle w:val="109"/>
              <w:rPr>
                <w:color w:val="000000" w:themeColor="text1"/>
                <w14:textFill>
                  <w14:solidFill>
                    <w14:schemeClr w14:val="tx1"/>
                  </w14:solidFill>
                </w14:textFill>
              </w:rPr>
            </w:pPr>
            <w:r>
              <w:rPr>
                <w:color w:val="000000" w:themeColor="text1"/>
                <w14:textFill>
                  <w14:solidFill>
                    <w14:schemeClr w14:val="tx1"/>
                  </w14:solidFill>
                </w14:textFill>
              </w:rPr>
              <w:t>活性炭吸附床</w:t>
            </w:r>
          </w:p>
        </w:tc>
        <w:tc>
          <w:tcPr>
            <w:tcW w:w="2592" w:type="pct"/>
            <w:tcBorders>
              <w:top w:val="nil"/>
              <w:left w:val="nil"/>
              <w:bottom w:val="single" w:color="auto" w:sz="4" w:space="0"/>
              <w:right w:val="single" w:color="auto" w:sz="4" w:space="0"/>
            </w:tcBorders>
            <w:shd w:val="clear" w:color="auto" w:fill="D9D9D9"/>
            <w:vAlign w:val="center"/>
          </w:tcPr>
          <w:p w14:paraId="7758A3A5">
            <w:pPr>
              <w:pStyle w:val="109"/>
              <w:rPr>
                <w:color w:val="000000" w:themeColor="text1"/>
                <w14:textFill>
                  <w14:solidFill>
                    <w14:schemeClr w14:val="tx1"/>
                  </w14:solidFill>
                </w14:textFill>
              </w:rPr>
            </w:pPr>
          </w:p>
        </w:tc>
        <w:tc>
          <w:tcPr>
            <w:tcW w:w="369" w:type="pct"/>
            <w:tcBorders>
              <w:top w:val="nil"/>
              <w:left w:val="nil"/>
              <w:bottom w:val="single" w:color="auto" w:sz="4" w:space="0"/>
              <w:right w:val="single" w:color="auto" w:sz="4" w:space="0"/>
            </w:tcBorders>
            <w:shd w:val="clear" w:color="auto" w:fill="D9D9D9"/>
            <w:vAlign w:val="center"/>
          </w:tcPr>
          <w:p w14:paraId="1E8AD8DF">
            <w:pPr>
              <w:pStyle w:val="109"/>
              <w:rPr>
                <w:color w:val="000000" w:themeColor="text1"/>
                <w14:textFill>
                  <w14:solidFill>
                    <w14:schemeClr w14:val="tx1"/>
                  </w14:solidFill>
                </w14:textFill>
              </w:rPr>
            </w:pPr>
          </w:p>
        </w:tc>
        <w:tc>
          <w:tcPr>
            <w:tcW w:w="336" w:type="pct"/>
            <w:gridSpan w:val="2"/>
            <w:tcBorders>
              <w:top w:val="nil"/>
              <w:left w:val="nil"/>
              <w:bottom w:val="single" w:color="auto" w:sz="4" w:space="0"/>
              <w:right w:val="single" w:color="auto" w:sz="4" w:space="0"/>
            </w:tcBorders>
            <w:shd w:val="clear" w:color="auto" w:fill="D9D9D9"/>
            <w:vAlign w:val="center"/>
          </w:tcPr>
          <w:p w14:paraId="4FAE9417">
            <w:pPr>
              <w:pStyle w:val="109"/>
              <w:rPr>
                <w:color w:val="000000" w:themeColor="text1"/>
                <w14:textFill>
                  <w14:solidFill>
                    <w14:schemeClr w14:val="tx1"/>
                  </w14:solidFill>
                </w14:textFill>
              </w:rPr>
            </w:pPr>
          </w:p>
        </w:tc>
      </w:tr>
      <w:tr w14:paraId="2BDE527E">
        <w:tblPrEx>
          <w:tblCellMar>
            <w:top w:w="0" w:type="dxa"/>
            <w:left w:w="108" w:type="dxa"/>
            <w:bottom w:w="0" w:type="dxa"/>
            <w:right w:w="108" w:type="dxa"/>
          </w:tblCellMar>
        </w:tblPrEx>
        <w:trPr>
          <w:trHeight w:val="330" w:hRule="atLeast"/>
        </w:trPr>
        <w:tc>
          <w:tcPr>
            <w:tcW w:w="293" w:type="pct"/>
            <w:tcBorders>
              <w:top w:val="nil"/>
              <w:left w:val="single" w:color="auto" w:sz="4" w:space="0"/>
              <w:bottom w:val="single" w:color="auto" w:sz="4" w:space="0"/>
              <w:right w:val="single" w:color="auto" w:sz="4" w:space="0"/>
            </w:tcBorders>
            <w:noWrap/>
            <w:vAlign w:val="center"/>
          </w:tcPr>
          <w:p w14:paraId="3A78C18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410" w:type="pct"/>
            <w:tcBorders>
              <w:top w:val="nil"/>
              <w:left w:val="nil"/>
              <w:bottom w:val="single" w:color="auto" w:sz="4" w:space="0"/>
              <w:right w:val="single" w:color="auto" w:sz="4" w:space="0"/>
            </w:tcBorders>
            <w:vAlign w:val="center"/>
          </w:tcPr>
          <w:p w14:paraId="45A4CDA1">
            <w:pPr>
              <w:pStyle w:val="109"/>
              <w:rPr>
                <w:color w:val="000000" w:themeColor="text1"/>
                <w14:textFill>
                  <w14:solidFill>
                    <w14:schemeClr w14:val="tx1"/>
                  </w14:solidFill>
                </w14:textFill>
              </w:rPr>
            </w:pPr>
            <w:r>
              <w:rPr>
                <w:color w:val="000000" w:themeColor="text1"/>
                <w14:textFill>
                  <w14:solidFill>
                    <w14:schemeClr w14:val="tx1"/>
                  </w14:solidFill>
                </w14:textFill>
              </w:rPr>
              <w:t>活性炭吸附箱</w:t>
            </w:r>
          </w:p>
        </w:tc>
        <w:tc>
          <w:tcPr>
            <w:tcW w:w="2592" w:type="pct"/>
            <w:tcBorders>
              <w:top w:val="nil"/>
              <w:left w:val="nil"/>
              <w:bottom w:val="single" w:color="auto" w:sz="4" w:space="0"/>
              <w:right w:val="single" w:color="auto" w:sz="4" w:space="0"/>
            </w:tcBorders>
            <w:vAlign w:val="center"/>
          </w:tcPr>
          <w:p w14:paraId="5E7169CF">
            <w:pPr>
              <w:pStyle w:val="109"/>
              <w:rPr>
                <w:color w:val="000000" w:themeColor="text1"/>
                <w14:textFill>
                  <w14:solidFill>
                    <w14:schemeClr w14:val="tx1"/>
                  </w14:solidFill>
                </w14:textFill>
              </w:rPr>
            </w:pPr>
            <w:r>
              <w:rPr>
                <w:color w:val="000000" w:themeColor="text1"/>
                <w:sz w:val="22"/>
                <w:szCs w:val="22"/>
                <w14:textFill>
                  <w14:solidFill>
                    <w14:schemeClr w14:val="tx1"/>
                  </w14:solidFill>
                </w14:textFill>
              </w:rPr>
              <w:t>外形尺寸：</w:t>
            </w:r>
            <w:r>
              <w:rPr>
                <w:rFonts w:hint="eastAsia"/>
                <w:color w:val="000000" w:themeColor="text1"/>
                <w:sz w:val="22"/>
                <w:szCs w:val="22"/>
                <w14:textFill>
                  <w14:solidFill>
                    <w14:schemeClr w14:val="tx1"/>
                  </w14:solidFill>
                </w14:textFill>
              </w:rPr>
              <w:t>20</w:t>
            </w:r>
            <w:r>
              <w:rPr>
                <w:color w:val="000000" w:themeColor="text1"/>
                <w:sz w:val="22"/>
                <w:szCs w:val="22"/>
                <w14:textFill>
                  <w14:solidFill>
                    <w14:schemeClr w14:val="tx1"/>
                  </w14:solidFill>
                </w14:textFill>
              </w:rPr>
              <w:t>00×</w:t>
            </w:r>
            <w:r>
              <w:rPr>
                <w:rFonts w:hint="eastAsia"/>
                <w:color w:val="000000" w:themeColor="text1"/>
                <w:sz w:val="22"/>
                <w:szCs w:val="22"/>
                <w14:textFill>
                  <w14:solidFill>
                    <w14:schemeClr w14:val="tx1"/>
                  </w14:solidFill>
                </w14:textFill>
              </w:rPr>
              <w:t>20</w:t>
            </w:r>
            <w:r>
              <w:rPr>
                <w:color w:val="000000" w:themeColor="text1"/>
                <w:sz w:val="22"/>
                <w:szCs w:val="22"/>
                <w14:textFill>
                  <w14:solidFill>
                    <w14:schemeClr w14:val="tx1"/>
                  </w14:solidFill>
                </w14:textFill>
              </w:rPr>
              <w:t>00×2</w:t>
            </w:r>
            <w:r>
              <w:rPr>
                <w:rFonts w:hint="eastAsia"/>
                <w:color w:val="000000" w:themeColor="text1"/>
                <w:sz w:val="22"/>
                <w:szCs w:val="22"/>
                <w14:textFill>
                  <w14:solidFill>
                    <w14:schemeClr w14:val="tx1"/>
                  </w14:solidFill>
                </w14:textFill>
              </w:rPr>
              <w:t>5</w:t>
            </w:r>
            <w:r>
              <w:rPr>
                <w:color w:val="000000" w:themeColor="text1"/>
                <w:sz w:val="22"/>
                <w:szCs w:val="22"/>
                <w14:textFill>
                  <w14:solidFill>
                    <w14:schemeClr w14:val="tx1"/>
                  </w14:solidFill>
                </w14:textFill>
              </w:rPr>
              <w:t>00mm；</w:t>
            </w:r>
          </w:p>
        </w:tc>
        <w:tc>
          <w:tcPr>
            <w:tcW w:w="369" w:type="pct"/>
            <w:tcBorders>
              <w:top w:val="nil"/>
              <w:left w:val="nil"/>
              <w:bottom w:val="single" w:color="auto" w:sz="4" w:space="0"/>
              <w:right w:val="single" w:color="auto" w:sz="4" w:space="0"/>
            </w:tcBorders>
            <w:vAlign w:val="center"/>
          </w:tcPr>
          <w:p w14:paraId="3FF51F9D">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39CA95B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58F1451">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0B0F6A6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410" w:type="pct"/>
            <w:tcBorders>
              <w:top w:val="nil"/>
              <w:left w:val="nil"/>
              <w:bottom w:val="single" w:color="auto" w:sz="4" w:space="0"/>
              <w:right w:val="single" w:color="auto" w:sz="4" w:space="0"/>
            </w:tcBorders>
            <w:vAlign w:val="center"/>
          </w:tcPr>
          <w:p w14:paraId="697238A6">
            <w:pPr>
              <w:pStyle w:val="109"/>
              <w:rPr>
                <w:color w:val="000000" w:themeColor="text1"/>
                <w14:textFill>
                  <w14:solidFill>
                    <w14:schemeClr w14:val="tx1"/>
                  </w14:solidFill>
                </w14:textFill>
              </w:rPr>
            </w:pPr>
            <w:r>
              <w:rPr>
                <w:color w:val="000000" w:themeColor="text1"/>
                <w14:textFill>
                  <w14:solidFill>
                    <w14:schemeClr w14:val="tx1"/>
                  </w14:solidFill>
                </w14:textFill>
              </w:rPr>
              <w:t>蜂窝活性炭</w:t>
            </w:r>
          </w:p>
        </w:tc>
        <w:tc>
          <w:tcPr>
            <w:tcW w:w="2592" w:type="pct"/>
            <w:tcBorders>
              <w:top w:val="nil"/>
              <w:left w:val="nil"/>
              <w:bottom w:val="single" w:color="auto" w:sz="4" w:space="0"/>
              <w:right w:val="single" w:color="auto" w:sz="4" w:space="0"/>
            </w:tcBorders>
            <w:vAlign w:val="center"/>
          </w:tcPr>
          <w:p w14:paraId="5DF437D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规格：100*100*100mm   体积3m³</w:t>
            </w:r>
          </w:p>
        </w:tc>
        <w:tc>
          <w:tcPr>
            <w:tcW w:w="369" w:type="pct"/>
            <w:tcBorders>
              <w:top w:val="nil"/>
              <w:left w:val="nil"/>
              <w:bottom w:val="single" w:color="auto" w:sz="4" w:space="0"/>
              <w:right w:val="single" w:color="auto" w:sz="4" w:space="0"/>
            </w:tcBorders>
            <w:vAlign w:val="center"/>
          </w:tcPr>
          <w:p w14:paraId="7D0EC60F">
            <w:pPr>
              <w:pStyle w:val="109"/>
              <w:rPr>
                <w:color w:val="000000" w:themeColor="text1"/>
                <w14:textFill>
                  <w14:solidFill>
                    <w14:schemeClr w14:val="tx1"/>
                  </w14:solidFill>
                </w14:textFill>
              </w:rPr>
            </w:pPr>
            <w:r>
              <w:rPr>
                <w:color w:val="000000" w:themeColor="text1"/>
                <w14:textFill>
                  <w14:solidFill>
                    <w14:schemeClr w14:val="tx1"/>
                  </w14:solidFill>
                </w14:textFill>
              </w:rPr>
              <w:t>批</w:t>
            </w:r>
          </w:p>
        </w:tc>
        <w:tc>
          <w:tcPr>
            <w:tcW w:w="336" w:type="pct"/>
            <w:gridSpan w:val="2"/>
            <w:tcBorders>
              <w:top w:val="nil"/>
              <w:left w:val="nil"/>
              <w:bottom w:val="single" w:color="auto" w:sz="4" w:space="0"/>
              <w:right w:val="single" w:color="auto" w:sz="4" w:space="0"/>
            </w:tcBorders>
            <w:noWrap/>
            <w:vAlign w:val="center"/>
          </w:tcPr>
          <w:p w14:paraId="3AD12BE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0E46EBE1">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D9D9D9"/>
            <w:noWrap/>
            <w:vAlign w:val="center"/>
          </w:tcPr>
          <w:p w14:paraId="5D0B2C8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九</w:t>
            </w:r>
            <w:r>
              <w:rPr>
                <w:color w:val="000000" w:themeColor="text1"/>
                <w14:textFill>
                  <w14:solidFill>
                    <w14:schemeClr w14:val="tx1"/>
                  </w14:solidFill>
                </w14:textFill>
              </w:rPr>
              <w:t xml:space="preserve"> </w:t>
            </w:r>
          </w:p>
        </w:tc>
        <w:tc>
          <w:tcPr>
            <w:tcW w:w="1410" w:type="pct"/>
            <w:tcBorders>
              <w:top w:val="nil"/>
              <w:left w:val="nil"/>
              <w:bottom w:val="single" w:color="auto" w:sz="4" w:space="0"/>
              <w:right w:val="single" w:color="auto" w:sz="4" w:space="0"/>
            </w:tcBorders>
            <w:shd w:val="clear" w:color="auto" w:fill="D9D9D9"/>
            <w:vAlign w:val="center"/>
          </w:tcPr>
          <w:p w14:paraId="10B7633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SNCR 脱硝系统 </w:t>
            </w:r>
          </w:p>
        </w:tc>
        <w:tc>
          <w:tcPr>
            <w:tcW w:w="2592" w:type="pct"/>
            <w:tcBorders>
              <w:top w:val="nil"/>
              <w:left w:val="nil"/>
              <w:bottom w:val="single" w:color="auto" w:sz="4" w:space="0"/>
              <w:right w:val="single" w:color="auto" w:sz="4" w:space="0"/>
            </w:tcBorders>
            <w:shd w:val="clear" w:color="auto" w:fill="D9D9D9"/>
            <w:vAlign w:val="center"/>
          </w:tcPr>
          <w:p w14:paraId="66656B8C">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69" w:type="pct"/>
            <w:tcBorders>
              <w:top w:val="nil"/>
              <w:left w:val="nil"/>
              <w:bottom w:val="single" w:color="auto" w:sz="4" w:space="0"/>
              <w:right w:val="single" w:color="auto" w:sz="4" w:space="0"/>
            </w:tcBorders>
            <w:shd w:val="clear" w:color="auto" w:fill="D9D9D9"/>
            <w:vAlign w:val="center"/>
          </w:tcPr>
          <w:p w14:paraId="5BDBD9C3">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36" w:type="pct"/>
            <w:gridSpan w:val="2"/>
            <w:tcBorders>
              <w:top w:val="nil"/>
              <w:left w:val="nil"/>
              <w:bottom w:val="single" w:color="auto" w:sz="4" w:space="0"/>
              <w:right w:val="single" w:color="auto" w:sz="4" w:space="0"/>
            </w:tcBorders>
            <w:shd w:val="clear" w:color="auto" w:fill="D9D9D9"/>
            <w:noWrap/>
            <w:vAlign w:val="center"/>
          </w:tcPr>
          <w:p w14:paraId="1C3DEA01">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1168DCC3">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51D3BD1A">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0" w:type="pct"/>
            <w:tcBorders>
              <w:top w:val="nil"/>
              <w:left w:val="nil"/>
              <w:bottom w:val="single" w:color="auto" w:sz="4" w:space="0"/>
              <w:right w:val="single" w:color="auto" w:sz="4" w:space="0"/>
            </w:tcBorders>
            <w:vAlign w:val="center"/>
          </w:tcPr>
          <w:p w14:paraId="430A684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氨水中间罐</w:t>
            </w:r>
          </w:p>
        </w:tc>
        <w:tc>
          <w:tcPr>
            <w:tcW w:w="2592" w:type="pct"/>
            <w:tcBorders>
              <w:top w:val="nil"/>
              <w:left w:val="nil"/>
              <w:bottom w:val="single" w:color="auto" w:sz="4" w:space="0"/>
              <w:right w:val="single" w:color="auto" w:sz="4" w:space="0"/>
            </w:tcBorders>
            <w:vAlign w:val="center"/>
          </w:tcPr>
          <w:p w14:paraId="014F8A3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容积：3m³</w:t>
            </w:r>
          </w:p>
        </w:tc>
        <w:tc>
          <w:tcPr>
            <w:tcW w:w="369" w:type="pct"/>
            <w:tcBorders>
              <w:top w:val="nil"/>
              <w:left w:val="nil"/>
              <w:bottom w:val="single" w:color="auto" w:sz="4" w:space="0"/>
              <w:right w:val="single" w:color="auto" w:sz="4" w:space="0"/>
            </w:tcBorders>
            <w:vAlign w:val="center"/>
          </w:tcPr>
          <w:p w14:paraId="63755330">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27054D07">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5B833DDB">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7EE9E8CC">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410" w:type="pct"/>
            <w:tcBorders>
              <w:top w:val="nil"/>
              <w:left w:val="nil"/>
              <w:bottom w:val="single" w:color="auto" w:sz="4" w:space="0"/>
              <w:right w:val="single" w:color="auto" w:sz="4" w:space="0"/>
            </w:tcBorders>
            <w:vAlign w:val="center"/>
          </w:tcPr>
          <w:p w14:paraId="6E94D0A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氨水罐</w:t>
            </w:r>
          </w:p>
        </w:tc>
        <w:tc>
          <w:tcPr>
            <w:tcW w:w="2592" w:type="pct"/>
            <w:tcBorders>
              <w:top w:val="nil"/>
              <w:left w:val="nil"/>
              <w:bottom w:val="single" w:color="auto" w:sz="4" w:space="0"/>
              <w:right w:val="single" w:color="auto" w:sz="4" w:space="0"/>
            </w:tcBorders>
            <w:vAlign w:val="center"/>
          </w:tcPr>
          <w:p w14:paraId="5E15319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容积：30m³</w:t>
            </w:r>
          </w:p>
        </w:tc>
        <w:tc>
          <w:tcPr>
            <w:tcW w:w="369" w:type="pct"/>
            <w:tcBorders>
              <w:top w:val="nil"/>
              <w:left w:val="nil"/>
              <w:bottom w:val="single" w:color="auto" w:sz="4" w:space="0"/>
              <w:right w:val="single" w:color="auto" w:sz="4" w:space="0"/>
            </w:tcBorders>
            <w:vAlign w:val="center"/>
          </w:tcPr>
          <w:p w14:paraId="6E1B699B">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2CAF48A9">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67C8EB10">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54E8D8D1">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10" w:type="pct"/>
            <w:tcBorders>
              <w:top w:val="nil"/>
              <w:left w:val="nil"/>
              <w:bottom w:val="single" w:color="auto" w:sz="4" w:space="0"/>
              <w:right w:val="single" w:color="auto" w:sz="4" w:space="0"/>
            </w:tcBorders>
            <w:vAlign w:val="center"/>
          </w:tcPr>
          <w:p w14:paraId="03D2B71A">
            <w:pPr>
              <w:pStyle w:val="109"/>
              <w:rPr>
                <w:color w:val="000000" w:themeColor="text1"/>
                <w14:textFill>
                  <w14:solidFill>
                    <w14:schemeClr w14:val="tx1"/>
                  </w14:solidFill>
                </w14:textFill>
              </w:rPr>
            </w:pPr>
            <w:r>
              <w:rPr>
                <w:color w:val="000000" w:themeColor="text1"/>
                <w14:textFill>
                  <w14:solidFill>
                    <w14:schemeClr w14:val="tx1"/>
                  </w14:solidFill>
                </w14:textFill>
              </w:rPr>
              <w:t>SNCR</w:t>
            </w:r>
            <w:r>
              <w:rPr>
                <w:rFonts w:hint="eastAsia"/>
                <w:color w:val="000000" w:themeColor="text1"/>
                <w14:textFill>
                  <w14:solidFill>
                    <w14:schemeClr w14:val="tx1"/>
                  </w14:solidFill>
                </w14:textFill>
              </w:rPr>
              <w:t>/SCR</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氨水</w:t>
            </w:r>
            <w:r>
              <w:rPr>
                <w:color w:val="000000" w:themeColor="text1"/>
                <w14:textFill>
                  <w14:solidFill>
                    <w14:schemeClr w14:val="tx1"/>
                  </w14:solidFill>
                </w14:textFill>
              </w:rPr>
              <w:t xml:space="preserve">泵 </w:t>
            </w:r>
          </w:p>
        </w:tc>
        <w:tc>
          <w:tcPr>
            <w:tcW w:w="2592" w:type="pct"/>
            <w:tcBorders>
              <w:top w:val="nil"/>
              <w:left w:val="nil"/>
              <w:bottom w:val="single" w:color="auto" w:sz="4" w:space="0"/>
              <w:right w:val="single" w:color="auto" w:sz="4" w:space="0"/>
            </w:tcBorders>
            <w:vAlign w:val="center"/>
          </w:tcPr>
          <w:p w14:paraId="45C7068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计量泵，流量 </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0LPH@PMAX，PMAX(BAR)7 ，功率0.25KW</w:t>
            </w:r>
          </w:p>
        </w:tc>
        <w:tc>
          <w:tcPr>
            <w:tcW w:w="369" w:type="pct"/>
            <w:tcBorders>
              <w:top w:val="nil"/>
              <w:left w:val="nil"/>
              <w:bottom w:val="single" w:color="auto" w:sz="4" w:space="0"/>
              <w:right w:val="single" w:color="auto" w:sz="4" w:space="0"/>
            </w:tcBorders>
            <w:vAlign w:val="center"/>
          </w:tcPr>
          <w:p w14:paraId="7F518D8D">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76B062B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tr w14:paraId="782AF906">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21EEAF23">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10" w:type="pct"/>
            <w:tcBorders>
              <w:top w:val="nil"/>
              <w:left w:val="nil"/>
              <w:bottom w:val="single" w:color="auto" w:sz="4" w:space="0"/>
              <w:right w:val="single" w:color="auto" w:sz="4" w:space="0"/>
            </w:tcBorders>
            <w:shd w:val="clear" w:color="auto" w:fill="FFFFFF"/>
            <w:vAlign w:val="center"/>
          </w:tcPr>
          <w:p w14:paraId="5CC1A1E3">
            <w:pPr>
              <w:pStyle w:val="109"/>
              <w:rPr>
                <w:color w:val="000000" w:themeColor="text1"/>
                <w14:textFill>
                  <w14:solidFill>
                    <w14:schemeClr w14:val="tx1"/>
                  </w14:solidFill>
                </w14:textFill>
              </w:rPr>
            </w:pPr>
            <w:r>
              <w:rPr>
                <w:color w:val="000000" w:themeColor="text1"/>
                <w14:textFill>
                  <w14:solidFill>
                    <w14:schemeClr w14:val="tx1"/>
                  </w14:solidFill>
                </w14:textFill>
              </w:rPr>
              <w:t>SNCR</w:t>
            </w:r>
            <w:r>
              <w:rPr>
                <w:rFonts w:hint="eastAsia"/>
                <w:color w:val="000000" w:themeColor="text1"/>
                <w14:textFill>
                  <w14:solidFill>
                    <w14:schemeClr w14:val="tx1"/>
                  </w14:solidFill>
                </w14:textFill>
              </w:rPr>
              <w:t>/SCR</w:t>
            </w:r>
            <w:r>
              <w:rPr>
                <w:color w:val="000000" w:themeColor="text1"/>
                <w14:textFill>
                  <w14:solidFill>
                    <w14:schemeClr w14:val="tx1"/>
                  </w14:solidFill>
                </w14:textFill>
              </w:rPr>
              <w:t xml:space="preserve"> 脱硝喷枪 </w:t>
            </w:r>
          </w:p>
        </w:tc>
        <w:tc>
          <w:tcPr>
            <w:tcW w:w="2592" w:type="pct"/>
            <w:tcBorders>
              <w:top w:val="nil"/>
              <w:left w:val="nil"/>
              <w:bottom w:val="single" w:color="auto" w:sz="4" w:space="0"/>
              <w:right w:val="single" w:color="auto" w:sz="4" w:space="0"/>
            </w:tcBorders>
            <w:shd w:val="clear" w:color="auto" w:fill="FFFFFF"/>
            <w:vAlign w:val="center"/>
          </w:tcPr>
          <w:p w14:paraId="0B6C68F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20kg/h </w:t>
            </w:r>
          </w:p>
        </w:tc>
        <w:tc>
          <w:tcPr>
            <w:tcW w:w="369" w:type="pct"/>
            <w:tcBorders>
              <w:top w:val="nil"/>
              <w:left w:val="nil"/>
              <w:bottom w:val="single" w:color="auto" w:sz="4" w:space="0"/>
              <w:right w:val="single" w:color="auto" w:sz="4" w:space="0"/>
            </w:tcBorders>
            <w:shd w:val="clear" w:color="auto" w:fill="FFFFFF"/>
            <w:vAlign w:val="center"/>
          </w:tcPr>
          <w:p w14:paraId="5902B978">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shd w:val="clear" w:color="auto" w:fill="FFFFFF"/>
            <w:noWrap/>
            <w:vAlign w:val="center"/>
          </w:tcPr>
          <w:p w14:paraId="58921B37">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r>
      <w:tr w14:paraId="61FE4F86">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FFFFFF"/>
            <w:noWrap/>
            <w:vAlign w:val="center"/>
          </w:tcPr>
          <w:p w14:paraId="23A05889">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410" w:type="pct"/>
            <w:tcBorders>
              <w:top w:val="nil"/>
              <w:left w:val="nil"/>
              <w:bottom w:val="single" w:color="auto" w:sz="4" w:space="0"/>
              <w:right w:val="single" w:color="auto" w:sz="4" w:space="0"/>
            </w:tcBorders>
            <w:shd w:val="clear" w:color="auto" w:fill="FFFFFF"/>
            <w:vAlign w:val="center"/>
          </w:tcPr>
          <w:p w14:paraId="5971554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降温喷枪</w:t>
            </w:r>
          </w:p>
        </w:tc>
        <w:tc>
          <w:tcPr>
            <w:tcW w:w="2592" w:type="pct"/>
            <w:tcBorders>
              <w:top w:val="nil"/>
              <w:left w:val="nil"/>
              <w:bottom w:val="single" w:color="auto" w:sz="4" w:space="0"/>
              <w:right w:val="single" w:color="auto" w:sz="4" w:space="0"/>
            </w:tcBorders>
            <w:shd w:val="clear" w:color="auto" w:fill="FFFFFF"/>
            <w:vAlign w:val="center"/>
          </w:tcPr>
          <w:p w14:paraId="6BE0CED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80kg/h</w:t>
            </w:r>
          </w:p>
        </w:tc>
        <w:tc>
          <w:tcPr>
            <w:tcW w:w="369" w:type="pct"/>
            <w:tcBorders>
              <w:top w:val="nil"/>
              <w:left w:val="nil"/>
              <w:bottom w:val="single" w:color="auto" w:sz="4" w:space="0"/>
              <w:right w:val="single" w:color="auto" w:sz="4" w:space="0"/>
            </w:tcBorders>
            <w:shd w:val="clear" w:color="auto" w:fill="FFFFFF"/>
            <w:vAlign w:val="center"/>
          </w:tcPr>
          <w:p w14:paraId="2A6C16B4">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shd w:val="clear" w:color="auto" w:fill="FFFFFF"/>
            <w:noWrap/>
            <w:vAlign w:val="center"/>
          </w:tcPr>
          <w:p w14:paraId="0FAFAFF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w:t>
            </w:r>
          </w:p>
        </w:tc>
      </w:tr>
      <w:tr w14:paraId="695BD895">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FFFFFF"/>
            <w:vAlign w:val="center"/>
          </w:tcPr>
          <w:p w14:paraId="743DBBB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410" w:type="pct"/>
            <w:tcBorders>
              <w:top w:val="nil"/>
              <w:left w:val="nil"/>
              <w:bottom w:val="single" w:color="auto" w:sz="4" w:space="0"/>
              <w:right w:val="single" w:color="auto" w:sz="4" w:space="0"/>
            </w:tcBorders>
            <w:shd w:val="clear" w:color="auto" w:fill="FFFFFF"/>
            <w:vAlign w:val="center"/>
          </w:tcPr>
          <w:p w14:paraId="7F584FB8">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SCR本体</w:t>
            </w:r>
          </w:p>
        </w:tc>
        <w:tc>
          <w:tcPr>
            <w:tcW w:w="2592" w:type="pct"/>
            <w:tcBorders>
              <w:top w:val="nil"/>
              <w:left w:val="nil"/>
              <w:bottom w:val="single" w:color="auto" w:sz="4" w:space="0"/>
              <w:right w:val="single" w:color="auto" w:sz="4" w:space="0"/>
            </w:tcBorders>
            <w:shd w:val="clear" w:color="auto" w:fill="FFFFFF"/>
            <w:vAlign w:val="center"/>
          </w:tcPr>
          <w:p w14:paraId="79F75507">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脱硝2+1层设计，</w:t>
            </w:r>
          </w:p>
          <w:p w14:paraId="2085F23E">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外形尺寸：1.1*1.1*6.5m，</w:t>
            </w:r>
          </w:p>
          <w:p w14:paraId="4DAB0260">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壳体壁厚5mm；</w:t>
            </w:r>
          </w:p>
          <w:p w14:paraId="3486EC26">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催化剂用量：2m³</w:t>
            </w:r>
          </w:p>
        </w:tc>
        <w:tc>
          <w:tcPr>
            <w:tcW w:w="369" w:type="pct"/>
            <w:tcBorders>
              <w:top w:val="nil"/>
              <w:left w:val="nil"/>
              <w:bottom w:val="single" w:color="auto" w:sz="4" w:space="0"/>
              <w:right w:val="single" w:color="auto" w:sz="4" w:space="0"/>
            </w:tcBorders>
            <w:shd w:val="clear" w:color="auto" w:fill="FFFFFF"/>
            <w:vAlign w:val="center"/>
          </w:tcPr>
          <w:p w14:paraId="371E4E63">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座</w:t>
            </w:r>
          </w:p>
        </w:tc>
        <w:tc>
          <w:tcPr>
            <w:tcW w:w="336" w:type="pct"/>
            <w:gridSpan w:val="2"/>
            <w:tcBorders>
              <w:top w:val="nil"/>
              <w:left w:val="nil"/>
              <w:bottom w:val="single" w:color="auto" w:sz="4" w:space="0"/>
              <w:right w:val="single" w:color="auto" w:sz="4" w:space="0"/>
            </w:tcBorders>
            <w:shd w:val="clear" w:color="auto" w:fill="FFFFFF"/>
            <w:vAlign w:val="center"/>
          </w:tcPr>
          <w:p w14:paraId="20B20AFA">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1</w:t>
            </w:r>
          </w:p>
        </w:tc>
      </w:tr>
      <w:tr w14:paraId="188ED500">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FFFFFF"/>
            <w:vAlign w:val="center"/>
          </w:tcPr>
          <w:p w14:paraId="0390BC1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410" w:type="pct"/>
            <w:tcBorders>
              <w:top w:val="nil"/>
              <w:left w:val="nil"/>
              <w:bottom w:val="single" w:color="auto" w:sz="4" w:space="0"/>
              <w:right w:val="single" w:color="auto" w:sz="4" w:space="0"/>
            </w:tcBorders>
            <w:shd w:val="clear" w:color="auto" w:fill="FFFFFF"/>
            <w:vAlign w:val="center"/>
          </w:tcPr>
          <w:p w14:paraId="628BE69D">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GGH</w:t>
            </w:r>
          </w:p>
        </w:tc>
        <w:tc>
          <w:tcPr>
            <w:tcW w:w="2592" w:type="pct"/>
            <w:tcBorders>
              <w:top w:val="nil"/>
              <w:left w:val="nil"/>
              <w:bottom w:val="single" w:color="auto" w:sz="4" w:space="0"/>
              <w:right w:val="single" w:color="auto" w:sz="4" w:space="0"/>
            </w:tcBorders>
            <w:shd w:val="clear" w:color="auto" w:fill="FFFFFF"/>
            <w:vAlign w:val="center"/>
          </w:tcPr>
          <w:p w14:paraId="2C1AFA57">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材质：304/2205</w:t>
            </w:r>
          </w:p>
        </w:tc>
        <w:tc>
          <w:tcPr>
            <w:tcW w:w="369" w:type="pct"/>
            <w:tcBorders>
              <w:top w:val="nil"/>
              <w:left w:val="nil"/>
              <w:bottom w:val="single" w:color="auto" w:sz="4" w:space="0"/>
              <w:right w:val="single" w:color="auto" w:sz="4" w:space="0"/>
            </w:tcBorders>
            <w:shd w:val="clear" w:color="auto" w:fill="FFFFFF"/>
            <w:vAlign w:val="center"/>
          </w:tcPr>
          <w:p w14:paraId="2202A543">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座</w:t>
            </w:r>
          </w:p>
        </w:tc>
        <w:tc>
          <w:tcPr>
            <w:tcW w:w="336" w:type="pct"/>
            <w:gridSpan w:val="2"/>
            <w:tcBorders>
              <w:top w:val="nil"/>
              <w:left w:val="nil"/>
              <w:bottom w:val="single" w:color="auto" w:sz="4" w:space="0"/>
              <w:right w:val="single" w:color="auto" w:sz="4" w:space="0"/>
            </w:tcBorders>
            <w:shd w:val="clear" w:color="auto" w:fill="FFFFFF"/>
            <w:vAlign w:val="center"/>
          </w:tcPr>
          <w:p w14:paraId="5A8AC405">
            <w:pPr>
              <w:pStyle w:val="109"/>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1</w:t>
            </w:r>
          </w:p>
        </w:tc>
      </w:tr>
      <w:tr w14:paraId="4BA400B8">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FFFFFF"/>
            <w:vAlign w:val="center"/>
          </w:tcPr>
          <w:p w14:paraId="3A8E2B0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410" w:type="pct"/>
            <w:tcBorders>
              <w:top w:val="nil"/>
              <w:left w:val="nil"/>
              <w:bottom w:val="single" w:color="auto" w:sz="4" w:space="0"/>
              <w:right w:val="single" w:color="auto" w:sz="4" w:space="0"/>
            </w:tcBorders>
            <w:shd w:val="clear" w:color="auto" w:fill="FFFFFF"/>
            <w:vAlign w:val="center"/>
          </w:tcPr>
          <w:p w14:paraId="7B15971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烟气加热器（电热）</w:t>
            </w:r>
          </w:p>
        </w:tc>
        <w:tc>
          <w:tcPr>
            <w:tcW w:w="2592" w:type="pct"/>
            <w:tcBorders>
              <w:top w:val="nil"/>
              <w:left w:val="nil"/>
              <w:bottom w:val="single" w:color="auto" w:sz="4" w:space="0"/>
              <w:right w:val="single" w:color="auto" w:sz="4" w:space="0"/>
            </w:tcBorders>
            <w:shd w:val="clear" w:color="auto" w:fill="FFFFFF"/>
            <w:vAlign w:val="center"/>
          </w:tcPr>
          <w:p w14:paraId="065133C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烟气温升：120→200℃，加热功率150KW</w:t>
            </w:r>
          </w:p>
        </w:tc>
        <w:tc>
          <w:tcPr>
            <w:tcW w:w="369" w:type="pct"/>
            <w:tcBorders>
              <w:top w:val="nil"/>
              <w:left w:val="nil"/>
              <w:bottom w:val="single" w:color="auto" w:sz="4" w:space="0"/>
              <w:right w:val="single" w:color="auto" w:sz="4" w:space="0"/>
            </w:tcBorders>
            <w:shd w:val="clear" w:color="auto" w:fill="FFFFFF"/>
            <w:vAlign w:val="center"/>
          </w:tcPr>
          <w:p w14:paraId="743B3F2A">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台</w:t>
            </w:r>
          </w:p>
        </w:tc>
        <w:tc>
          <w:tcPr>
            <w:tcW w:w="336" w:type="pct"/>
            <w:gridSpan w:val="2"/>
            <w:tcBorders>
              <w:top w:val="nil"/>
              <w:left w:val="nil"/>
              <w:bottom w:val="single" w:color="auto" w:sz="4" w:space="0"/>
              <w:right w:val="single" w:color="auto" w:sz="4" w:space="0"/>
            </w:tcBorders>
            <w:shd w:val="clear" w:color="auto" w:fill="FFFFFF"/>
            <w:vAlign w:val="center"/>
          </w:tcPr>
          <w:p w14:paraId="1FF3161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420F197B">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shd w:val="clear" w:color="auto" w:fill="D9D9D9"/>
            <w:vAlign w:val="center"/>
          </w:tcPr>
          <w:p w14:paraId="6DBC76CC">
            <w:pPr>
              <w:pStyle w:val="109"/>
              <w:rPr>
                <w:color w:val="000000" w:themeColor="text1"/>
                <w14:textFill>
                  <w14:solidFill>
                    <w14:schemeClr w14:val="tx1"/>
                  </w14:solidFill>
                </w14:textFill>
              </w:rPr>
            </w:pPr>
            <w:r>
              <w:rPr>
                <w:color w:val="000000" w:themeColor="text1"/>
                <w14:textFill>
                  <w14:solidFill>
                    <w14:schemeClr w14:val="tx1"/>
                  </w14:solidFill>
                </w14:textFill>
              </w:rPr>
              <w:t>十</w:t>
            </w:r>
          </w:p>
        </w:tc>
        <w:tc>
          <w:tcPr>
            <w:tcW w:w="1410" w:type="pct"/>
            <w:tcBorders>
              <w:top w:val="nil"/>
              <w:left w:val="nil"/>
              <w:bottom w:val="single" w:color="auto" w:sz="4" w:space="0"/>
              <w:right w:val="single" w:color="auto" w:sz="4" w:space="0"/>
            </w:tcBorders>
            <w:shd w:val="clear" w:color="auto" w:fill="D9D9D9"/>
            <w:vAlign w:val="center"/>
          </w:tcPr>
          <w:p w14:paraId="722655C9">
            <w:pPr>
              <w:pStyle w:val="109"/>
              <w:rPr>
                <w:color w:val="000000" w:themeColor="text1"/>
                <w14:textFill>
                  <w14:solidFill>
                    <w14:schemeClr w14:val="tx1"/>
                  </w14:solidFill>
                </w14:textFill>
              </w:rPr>
            </w:pPr>
            <w:r>
              <w:rPr>
                <w:color w:val="000000" w:themeColor="text1"/>
                <w14:textFill>
                  <w14:solidFill>
                    <w14:schemeClr w14:val="tx1"/>
                  </w14:solidFill>
                </w14:textFill>
              </w:rPr>
              <w:t>烟道及排烟系统</w:t>
            </w:r>
          </w:p>
        </w:tc>
        <w:tc>
          <w:tcPr>
            <w:tcW w:w="2592" w:type="pct"/>
            <w:tcBorders>
              <w:top w:val="nil"/>
              <w:left w:val="nil"/>
              <w:bottom w:val="single" w:color="auto" w:sz="4" w:space="0"/>
              <w:right w:val="single" w:color="auto" w:sz="4" w:space="0"/>
            </w:tcBorders>
            <w:shd w:val="clear" w:color="auto" w:fill="D9D9D9"/>
            <w:vAlign w:val="center"/>
          </w:tcPr>
          <w:p w14:paraId="43B5EC97">
            <w:pPr>
              <w:pStyle w:val="109"/>
              <w:rPr>
                <w:color w:val="000000" w:themeColor="text1"/>
                <w14:textFill>
                  <w14:solidFill>
                    <w14:schemeClr w14:val="tx1"/>
                  </w14:solidFill>
                </w14:textFill>
              </w:rPr>
            </w:pPr>
          </w:p>
        </w:tc>
        <w:tc>
          <w:tcPr>
            <w:tcW w:w="369" w:type="pct"/>
            <w:tcBorders>
              <w:top w:val="nil"/>
              <w:left w:val="nil"/>
              <w:bottom w:val="single" w:color="auto" w:sz="4" w:space="0"/>
              <w:right w:val="single" w:color="auto" w:sz="4" w:space="0"/>
            </w:tcBorders>
            <w:shd w:val="clear" w:color="auto" w:fill="D9D9D9"/>
            <w:vAlign w:val="center"/>
          </w:tcPr>
          <w:p w14:paraId="35423E57">
            <w:pPr>
              <w:pStyle w:val="109"/>
              <w:rPr>
                <w:color w:val="000000" w:themeColor="text1"/>
                <w14:textFill>
                  <w14:solidFill>
                    <w14:schemeClr w14:val="tx1"/>
                  </w14:solidFill>
                </w14:textFill>
              </w:rPr>
            </w:pPr>
          </w:p>
        </w:tc>
        <w:tc>
          <w:tcPr>
            <w:tcW w:w="336" w:type="pct"/>
            <w:gridSpan w:val="2"/>
            <w:tcBorders>
              <w:top w:val="nil"/>
              <w:left w:val="nil"/>
              <w:bottom w:val="single" w:color="auto" w:sz="4" w:space="0"/>
              <w:right w:val="single" w:color="auto" w:sz="4" w:space="0"/>
            </w:tcBorders>
            <w:shd w:val="clear" w:color="auto" w:fill="D9D9D9"/>
            <w:vAlign w:val="center"/>
          </w:tcPr>
          <w:p w14:paraId="495E4F25">
            <w:pPr>
              <w:pStyle w:val="109"/>
              <w:rPr>
                <w:color w:val="000000" w:themeColor="text1"/>
                <w14:textFill>
                  <w14:solidFill>
                    <w14:schemeClr w14:val="tx1"/>
                  </w14:solidFill>
                </w14:textFill>
              </w:rPr>
            </w:pPr>
          </w:p>
        </w:tc>
      </w:tr>
      <w:tr w14:paraId="11BAE9E7">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585151C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0" w:type="pct"/>
            <w:tcBorders>
              <w:top w:val="nil"/>
              <w:left w:val="nil"/>
              <w:bottom w:val="single" w:color="auto" w:sz="4" w:space="0"/>
              <w:right w:val="single" w:color="auto" w:sz="4" w:space="0"/>
            </w:tcBorders>
            <w:noWrap/>
            <w:vAlign w:val="center"/>
          </w:tcPr>
          <w:p w14:paraId="42BA63A8">
            <w:pPr>
              <w:pStyle w:val="109"/>
              <w:rPr>
                <w:color w:val="000000" w:themeColor="text1"/>
                <w14:textFill>
                  <w14:solidFill>
                    <w14:schemeClr w14:val="tx1"/>
                  </w14:solidFill>
                </w14:textFill>
              </w:rPr>
            </w:pPr>
            <w:r>
              <w:rPr>
                <w:color w:val="000000" w:themeColor="text1"/>
                <w14:textFill>
                  <w14:solidFill>
                    <w14:schemeClr w14:val="tx1"/>
                  </w14:solidFill>
                </w14:textFill>
              </w:rPr>
              <w:t>焙烧窑至二燃室烟气管道</w:t>
            </w:r>
          </w:p>
        </w:tc>
        <w:tc>
          <w:tcPr>
            <w:tcW w:w="2592" w:type="pct"/>
            <w:tcBorders>
              <w:top w:val="nil"/>
              <w:left w:val="nil"/>
              <w:bottom w:val="single" w:color="auto" w:sz="4" w:space="0"/>
              <w:right w:val="single" w:color="auto" w:sz="4" w:space="0"/>
            </w:tcBorders>
            <w:noWrap/>
            <w:vAlign w:val="center"/>
          </w:tcPr>
          <w:p w14:paraId="038DF841">
            <w:pPr>
              <w:pStyle w:val="109"/>
              <w:rPr>
                <w:color w:val="000000" w:themeColor="text1"/>
                <w14:textFill>
                  <w14:solidFill>
                    <w14:schemeClr w14:val="tx1"/>
                  </w14:solidFill>
                </w14:textFill>
              </w:rPr>
            </w:pPr>
            <w:r>
              <w:rPr>
                <w:color w:val="000000" w:themeColor="text1"/>
                <w14:textFill>
                  <w14:solidFill>
                    <w14:schemeClr w14:val="tx1"/>
                  </w14:solidFill>
                </w14:textFill>
              </w:rPr>
              <w:t>DN400</w:t>
            </w:r>
            <w:r>
              <w:rPr>
                <w:rFonts w:hint="eastAsia"/>
                <w:color w:val="000000" w:themeColor="text1"/>
                <w14:textFill>
                  <w14:solidFill>
                    <w14:schemeClr w14:val="tx1"/>
                  </w14:solidFill>
                </w14:textFill>
              </w:rPr>
              <w:t>，防积灰设计</w:t>
            </w:r>
          </w:p>
        </w:tc>
        <w:tc>
          <w:tcPr>
            <w:tcW w:w="369" w:type="pct"/>
            <w:tcBorders>
              <w:top w:val="nil"/>
              <w:left w:val="nil"/>
              <w:bottom w:val="single" w:color="auto" w:sz="4" w:space="0"/>
              <w:right w:val="single" w:color="auto" w:sz="4" w:space="0"/>
            </w:tcBorders>
            <w:vAlign w:val="center"/>
          </w:tcPr>
          <w:p w14:paraId="78798F6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vAlign w:val="center"/>
          </w:tcPr>
          <w:p w14:paraId="6A7E7E29">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24CC2B17">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4AABF1D3">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410" w:type="pct"/>
            <w:tcBorders>
              <w:top w:val="nil"/>
              <w:left w:val="nil"/>
              <w:bottom w:val="single" w:color="auto" w:sz="4" w:space="0"/>
              <w:right w:val="single" w:color="auto" w:sz="4" w:space="0"/>
            </w:tcBorders>
            <w:noWrap/>
            <w:vAlign w:val="center"/>
          </w:tcPr>
          <w:p w14:paraId="4168FA41">
            <w:pPr>
              <w:pStyle w:val="109"/>
              <w:ind w:left="-103" w:leftChars="-43" w:right="-108" w:rightChars="-45"/>
              <w:rPr>
                <w:color w:val="000000" w:themeColor="text1"/>
                <w14:textFill>
                  <w14:solidFill>
                    <w14:schemeClr w14:val="tx1"/>
                  </w14:solidFill>
                </w14:textFill>
              </w:rPr>
            </w:pPr>
            <w:r>
              <w:rPr>
                <w:color w:val="000000" w:themeColor="text1"/>
                <w14:textFill>
                  <w14:solidFill>
                    <w14:schemeClr w14:val="tx1"/>
                  </w14:solidFill>
                </w14:textFill>
              </w:rPr>
              <w:t>焙烧窑夹套烟气至</w:t>
            </w:r>
            <w:r>
              <w:rPr>
                <w:rFonts w:hint="eastAsia"/>
                <w:color w:val="000000" w:themeColor="text1"/>
                <w14:textFill>
                  <w14:solidFill>
                    <w14:schemeClr w14:val="tx1"/>
                  </w14:solidFill>
                </w14:textFill>
              </w:rPr>
              <w:t>烟囱</w:t>
            </w:r>
            <w:r>
              <w:rPr>
                <w:color w:val="000000" w:themeColor="text1"/>
                <w14:textFill>
                  <w14:solidFill>
                    <w14:schemeClr w14:val="tx1"/>
                  </w14:solidFill>
                </w14:textFill>
              </w:rPr>
              <w:t>烟道</w:t>
            </w:r>
          </w:p>
        </w:tc>
        <w:tc>
          <w:tcPr>
            <w:tcW w:w="2592" w:type="pct"/>
            <w:tcBorders>
              <w:top w:val="nil"/>
              <w:left w:val="nil"/>
              <w:bottom w:val="single" w:color="auto" w:sz="4" w:space="0"/>
              <w:right w:val="single" w:color="auto" w:sz="4" w:space="0"/>
            </w:tcBorders>
            <w:noWrap/>
            <w:vAlign w:val="center"/>
          </w:tcPr>
          <w:p w14:paraId="735557D7">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69" w:type="pct"/>
            <w:tcBorders>
              <w:top w:val="nil"/>
              <w:left w:val="nil"/>
              <w:bottom w:val="single" w:color="auto" w:sz="4" w:space="0"/>
              <w:right w:val="single" w:color="auto" w:sz="4" w:space="0"/>
            </w:tcBorders>
            <w:vAlign w:val="center"/>
          </w:tcPr>
          <w:p w14:paraId="2C17D73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vAlign w:val="center"/>
          </w:tcPr>
          <w:p w14:paraId="29A7C8B9">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08B6AB86">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479DC894">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10" w:type="pct"/>
            <w:tcBorders>
              <w:top w:val="nil"/>
              <w:left w:val="nil"/>
              <w:bottom w:val="single" w:color="auto" w:sz="4" w:space="0"/>
              <w:right w:val="single" w:color="auto" w:sz="4" w:space="0"/>
            </w:tcBorders>
            <w:vAlign w:val="center"/>
          </w:tcPr>
          <w:p w14:paraId="0B24AA97">
            <w:pPr>
              <w:pStyle w:val="109"/>
              <w:rPr>
                <w:color w:val="000000" w:themeColor="text1"/>
                <w14:textFill>
                  <w14:solidFill>
                    <w14:schemeClr w14:val="tx1"/>
                  </w14:solidFill>
                </w14:textFill>
              </w:rPr>
            </w:pPr>
            <w:r>
              <w:rPr>
                <w:color w:val="000000" w:themeColor="text1"/>
                <w14:textFill>
                  <w14:solidFill>
                    <w14:schemeClr w14:val="tx1"/>
                  </w14:solidFill>
                </w14:textFill>
              </w:rPr>
              <w:t>二燃室至</w:t>
            </w:r>
            <w:r>
              <w:rPr>
                <w:rFonts w:hint="eastAsia"/>
                <w:color w:val="000000" w:themeColor="text1"/>
                <w14:textFill>
                  <w14:solidFill>
                    <w14:schemeClr w14:val="tx1"/>
                  </w14:solidFill>
                </w14:textFill>
              </w:rPr>
              <w:t>石墨急冷塔烟道</w:t>
            </w:r>
          </w:p>
        </w:tc>
        <w:tc>
          <w:tcPr>
            <w:tcW w:w="2592" w:type="pct"/>
            <w:tcBorders>
              <w:top w:val="nil"/>
              <w:left w:val="nil"/>
              <w:bottom w:val="single" w:color="auto" w:sz="4" w:space="0"/>
              <w:right w:val="single" w:color="auto" w:sz="4" w:space="0"/>
            </w:tcBorders>
            <w:vAlign w:val="center"/>
          </w:tcPr>
          <w:p w14:paraId="18B107A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耐火材料厚度：300mm </w:t>
            </w:r>
          </w:p>
        </w:tc>
        <w:tc>
          <w:tcPr>
            <w:tcW w:w="369" w:type="pct"/>
            <w:tcBorders>
              <w:top w:val="nil"/>
              <w:left w:val="nil"/>
              <w:bottom w:val="single" w:color="auto" w:sz="4" w:space="0"/>
              <w:right w:val="single" w:color="auto" w:sz="4" w:space="0"/>
            </w:tcBorders>
            <w:vAlign w:val="center"/>
          </w:tcPr>
          <w:p w14:paraId="5A7F25E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5ADDC40A">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0FF72701">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62DED8C4">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10" w:type="pct"/>
            <w:tcBorders>
              <w:top w:val="nil"/>
              <w:left w:val="nil"/>
              <w:bottom w:val="single" w:color="auto" w:sz="4" w:space="0"/>
              <w:right w:val="single" w:color="auto" w:sz="4" w:space="0"/>
            </w:tcBorders>
            <w:vAlign w:val="center"/>
          </w:tcPr>
          <w:p w14:paraId="1A2ED40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石墨急冷塔至二级碱洗塔</w:t>
            </w:r>
            <w:r>
              <w:rPr>
                <w:color w:val="000000" w:themeColor="text1"/>
                <w14:textFill>
                  <w14:solidFill>
                    <w14:schemeClr w14:val="tx1"/>
                  </w14:solidFill>
                </w14:textFill>
              </w:rPr>
              <w:t>烟道</w:t>
            </w:r>
          </w:p>
        </w:tc>
        <w:tc>
          <w:tcPr>
            <w:tcW w:w="2592" w:type="pct"/>
            <w:tcBorders>
              <w:top w:val="nil"/>
              <w:left w:val="nil"/>
              <w:bottom w:val="single" w:color="auto" w:sz="4" w:space="0"/>
              <w:right w:val="single" w:color="auto" w:sz="4" w:space="0"/>
            </w:tcBorders>
            <w:vAlign w:val="center"/>
          </w:tcPr>
          <w:p w14:paraId="11892847">
            <w:pPr>
              <w:pStyle w:val="109"/>
              <w:rPr>
                <w:color w:val="000000" w:themeColor="text1"/>
                <w14:textFill>
                  <w14:solidFill>
                    <w14:schemeClr w14:val="tx1"/>
                  </w14:solidFill>
                </w14:textFill>
              </w:rPr>
            </w:pPr>
          </w:p>
        </w:tc>
        <w:tc>
          <w:tcPr>
            <w:tcW w:w="369" w:type="pct"/>
            <w:tcBorders>
              <w:top w:val="nil"/>
              <w:left w:val="nil"/>
              <w:bottom w:val="single" w:color="auto" w:sz="4" w:space="0"/>
              <w:right w:val="single" w:color="auto" w:sz="4" w:space="0"/>
            </w:tcBorders>
            <w:vAlign w:val="center"/>
          </w:tcPr>
          <w:p w14:paraId="55DAD87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47AE978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5851211B">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179FFD80">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410" w:type="pct"/>
            <w:tcBorders>
              <w:top w:val="nil"/>
              <w:left w:val="nil"/>
              <w:bottom w:val="single" w:color="auto" w:sz="4" w:space="0"/>
              <w:right w:val="single" w:color="auto" w:sz="4" w:space="0"/>
            </w:tcBorders>
            <w:vAlign w:val="center"/>
          </w:tcPr>
          <w:p w14:paraId="6FCCCA7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碱洗塔</w:t>
            </w:r>
            <w:r>
              <w:rPr>
                <w:color w:val="000000" w:themeColor="text1"/>
                <w14:textFill>
                  <w14:solidFill>
                    <w14:schemeClr w14:val="tx1"/>
                  </w14:solidFill>
                </w14:textFill>
              </w:rPr>
              <w:t>至湿电烟道</w:t>
            </w:r>
          </w:p>
        </w:tc>
        <w:tc>
          <w:tcPr>
            <w:tcW w:w="2592" w:type="pct"/>
            <w:tcBorders>
              <w:top w:val="nil"/>
              <w:left w:val="nil"/>
              <w:bottom w:val="single" w:color="auto" w:sz="4" w:space="0"/>
              <w:right w:val="single" w:color="auto" w:sz="4" w:space="0"/>
            </w:tcBorders>
            <w:vAlign w:val="center"/>
          </w:tcPr>
          <w:p w14:paraId="1E7F8B66">
            <w:pPr>
              <w:pStyle w:val="109"/>
              <w:rPr>
                <w:color w:val="000000" w:themeColor="text1"/>
                <w14:textFill>
                  <w14:solidFill>
                    <w14:schemeClr w14:val="tx1"/>
                  </w14:solidFill>
                </w14:textFill>
              </w:rPr>
            </w:pPr>
          </w:p>
        </w:tc>
        <w:tc>
          <w:tcPr>
            <w:tcW w:w="369" w:type="pct"/>
            <w:tcBorders>
              <w:top w:val="nil"/>
              <w:left w:val="nil"/>
              <w:bottom w:val="single" w:color="auto" w:sz="4" w:space="0"/>
              <w:right w:val="single" w:color="auto" w:sz="4" w:space="0"/>
            </w:tcBorders>
            <w:vAlign w:val="center"/>
          </w:tcPr>
          <w:p w14:paraId="1E13980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70BB30EE">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2519930A">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3B6FF262">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410" w:type="pct"/>
            <w:tcBorders>
              <w:top w:val="nil"/>
              <w:left w:val="nil"/>
              <w:bottom w:val="single" w:color="auto" w:sz="4" w:space="0"/>
              <w:right w:val="single" w:color="auto" w:sz="4" w:space="0"/>
            </w:tcBorders>
            <w:vAlign w:val="center"/>
          </w:tcPr>
          <w:p w14:paraId="50B270D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湿电至活性炭</w:t>
            </w:r>
            <w:r>
              <w:rPr>
                <w:color w:val="000000" w:themeColor="text1"/>
                <w14:textFill>
                  <w14:solidFill>
                    <w14:schemeClr w14:val="tx1"/>
                  </w14:solidFill>
                </w14:textFill>
              </w:rPr>
              <w:t xml:space="preserve">烟道 </w:t>
            </w:r>
          </w:p>
        </w:tc>
        <w:tc>
          <w:tcPr>
            <w:tcW w:w="2592" w:type="pct"/>
            <w:tcBorders>
              <w:top w:val="nil"/>
              <w:left w:val="nil"/>
              <w:bottom w:val="single" w:color="auto" w:sz="4" w:space="0"/>
              <w:right w:val="single" w:color="auto" w:sz="4" w:space="0"/>
            </w:tcBorders>
            <w:vAlign w:val="center"/>
          </w:tcPr>
          <w:p w14:paraId="689EEC3F">
            <w:pPr>
              <w:pStyle w:val="109"/>
              <w:rPr>
                <w:color w:val="000000" w:themeColor="text1"/>
                <w14:textFill>
                  <w14:solidFill>
                    <w14:schemeClr w14:val="tx1"/>
                  </w14:solidFill>
                </w14:textFill>
              </w:rPr>
            </w:pPr>
          </w:p>
        </w:tc>
        <w:tc>
          <w:tcPr>
            <w:tcW w:w="369" w:type="pct"/>
            <w:tcBorders>
              <w:top w:val="nil"/>
              <w:left w:val="nil"/>
              <w:bottom w:val="single" w:color="auto" w:sz="4" w:space="0"/>
              <w:right w:val="single" w:color="auto" w:sz="4" w:space="0"/>
            </w:tcBorders>
            <w:vAlign w:val="center"/>
          </w:tcPr>
          <w:p w14:paraId="33DA236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528DCDB6">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4F7BBBF8">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612AAAE4">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410" w:type="pct"/>
            <w:tcBorders>
              <w:top w:val="nil"/>
              <w:left w:val="nil"/>
              <w:bottom w:val="single" w:color="auto" w:sz="4" w:space="0"/>
              <w:right w:val="single" w:color="auto" w:sz="4" w:space="0"/>
            </w:tcBorders>
            <w:vAlign w:val="center"/>
          </w:tcPr>
          <w:p w14:paraId="3CEAD8E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活性炭至SCR烟道</w:t>
            </w:r>
          </w:p>
        </w:tc>
        <w:tc>
          <w:tcPr>
            <w:tcW w:w="2592" w:type="pct"/>
            <w:tcBorders>
              <w:top w:val="nil"/>
              <w:left w:val="nil"/>
              <w:bottom w:val="single" w:color="auto" w:sz="4" w:space="0"/>
              <w:right w:val="single" w:color="auto" w:sz="4" w:space="0"/>
            </w:tcBorders>
            <w:vAlign w:val="center"/>
          </w:tcPr>
          <w:p w14:paraId="188EE05F">
            <w:pPr>
              <w:pStyle w:val="109"/>
              <w:rPr>
                <w:color w:val="000000" w:themeColor="text1"/>
                <w14:textFill>
                  <w14:solidFill>
                    <w14:schemeClr w14:val="tx1"/>
                  </w14:solidFill>
                </w14:textFill>
              </w:rPr>
            </w:pPr>
          </w:p>
        </w:tc>
        <w:tc>
          <w:tcPr>
            <w:tcW w:w="369" w:type="pct"/>
            <w:tcBorders>
              <w:top w:val="nil"/>
              <w:left w:val="nil"/>
              <w:bottom w:val="single" w:color="auto" w:sz="4" w:space="0"/>
              <w:right w:val="single" w:color="auto" w:sz="4" w:space="0"/>
            </w:tcBorders>
            <w:vAlign w:val="center"/>
          </w:tcPr>
          <w:p w14:paraId="3C424B9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5659D636">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1BC89478">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58E6F794">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1410" w:type="pct"/>
            <w:tcBorders>
              <w:top w:val="nil"/>
              <w:left w:val="nil"/>
              <w:bottom w:val="single" w:color="auto" w:sz="4" w:space="0"/>
              <w:right w:val="single" w:color="auto" w:sz="4" w:space="0"/>
            </w:tcBorders>
            <w:vAlign w:val="center"/>
          </w:tcPr>
          <w:p w14:paraId="2FB4C47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SCR至烟囱烟道</w:t>
            </w:r>
          </w:p>
        </w:tc>
        <w:tc>
          <w:tcPr>
            <w:tcW w:w="2592" w:type="pct"/>
            <w:tcBorders>
              <w:top w:val="nil"/>
              <w:left w:val="nil"/>
              <w:bottom w:val="single" w:color="auto" w:sz="4" w:space="0"/>
              <w:right w:val="single" w:color="auto" w:sz="4" w:space="0"/>
            </w:tcBorders>
            <w:vAlign w:val="center"/>
          </w:tcPr>
          <w:p w14:paraId="44E262BF">
            <w:pPr>
              <w:pStyle w:val="109"/>
              <w:rPr>
                <w:color w:val="000000" w:themeColor="text1"/>
                <w14:textFill>
                  <w14:solidFill>
                    <w14:schemeClr w14:val="tx1"/>
                  </w14:solidFill>
                </w14:textFill>
              </w:rPr>
            </w:pPr>
          </w:p>
        </w:tc>
        <w:tc>
          <w:tcPr>
            <w:tcW w:w="369" w:type="pct"/>
            <w:tcBorders>
              <w:top w:val="nil"/>
              <w:left w:val="nil"/>
              <w:bottom w:val="single" w:color="auto" w:sz="4" w:space="0"/>
              <w:right w:val="single" w:color="auto" w:sz="4" w:space="0"/>
            </w:tcBorders>
            <w:vAlign w:val="center"/>
          </w:tcPr>
          <w:p w14:paraId="3BF31ED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78F2F5B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36249A6F">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78F47B29">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1410" w:type="pct"/>
            <w:tcBorders>
              <w:top w:val="nil"/>
              <w:left w:val="nil"/>
              <w:bottom w:val="single" w:color="auto" w:sz="4" w:space="0"/>
              <w:right w:val="single" w:color="auto" w:sz="4" w:space="0"/>
            </w:tcBorders>
            <w:vAlign w:val="center"/>
          </w:tcPr>
          <w:p w14:paraId="5625BD3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引风机 </w:t>
            </w:r>
          </w:p>
        </w:tc>
        <w:tc>
          <w:tcPr>
            <w:tcW w:w="2592" w:type="pct"/>
            <w:tcBorders>
              <w:top w:val="nil"/>
              <w:left w:val="nil"/>
              <w:bottom w:val="single" w:color="auto" w:sz="4" w:space="0"/>
              <w:right w:val="single" w:color="auto" w:sz="4" w:space="0"/>
            </w:tcBorders>
            <w:vAlign w:val="center"/>
          </w:tcPr>
          <w:p w14:paraId="00D9DC5A">
            <w:pPr>
              <w:pStyle w:val="109"/>
              <w:rPr>
                <w:color w:val="000000" w:themeColor="text1"/>
                <w14:textFill>
                  <w14:solidFill>
                    <w14:schemeClr w14:val="tx1"/>
                  </w14:solidFill>
                </w14:textFill>
              </w:rPr>
            </w:pPr>
            <w:r>
              <w:rPr>
                <w:color w:val="000000" w:themeColor="text1"/>
                <w14:textFill>
                  <w14:solidFill>
                    <w14:schemeClr w14:val="tx1"/>
                  </w14:solidFill>
                </w14:textFill>
              </w:rPr>
              <w:t>风量：</w:t>
            </w:r>
            <w:r>
              <w:rPr>
                <w:rFonts w:hint="eastAsia"/>
                <w:color w:val="000000" w:themeColor="text1"/>
                <w14:textFill>
                  <w14:solidFill>
                    <w14:schemeClr w14:val="tx1"/>
                  </w14:solidFill>
                </w14:textFill>
              </w:rPr>
              <w:t>85</w:t>
            </w:r>
            <w:r>
              <w:rPr>
                <w:color w:val="000000" w:themeColor="text1"/>
                <w14:textFill>
                  <w14:solidFill>
                    <w14:schemeClr w14:val="tx1"/>
                  </w14:solidFill>
                </w14:textFill>
              </w:rPr>
              <w:t>00m³/h，风压：</w:t>
            </w:r>
            <w:r>
              <w:rPr>
                <w:rFonts w:hint="eastAsia"/>
                <w:color w:val="000000" w:themeColor="text1"/>
                <w14:textFill>
                  <w14:solidFill>
                    <w14:schemeClr w14:val="tx1"/>
                  </w14:solidFill>
                </w14:textFill>
              </w:rPr>
              <w:t>85</w:t>
            </w:r>
            <w:r>
              <w:rPr>
                <w:color w:val="000000" w:themeColor="text1"/>
                <w14:textFill>
                  <w14:solidFill>
                    <w14:schemeClr w14:val="tx1"/>
                  </w14:solidFill>
                </w14:textFill>
              </w:rPr>
              <w:t>00Pa，功率：</w:t>
            </w:r>
            <w:r>
              <w:rPr>
                <w:rFonts w:hint="eastAsia"/>
                <w:color w:val="000000" w:themeColor="text1"/>
                <w14:textFill>
                  <w14:solidFill>
                    <w14:schemeClr w14:val="tx1"/>
                  </w14:solidFill>
                </w14:textFill>
              </w:rPr>
              <w:t>45</w:t>
            </w:r>
            <w:r>
              <w:rPr>
                <w:color w:val="000000" w:themeColor="text1"/>
                <w14:textFill>
                  <w14:solidFill>
                    <w14:schemeClr w14:val="tx1"/>
                  </w14:solidFill>
                </w14:textFill>
              </w:rPr>
              <w:t>kw；设计温度：</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00℃，工作温度：</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 xml:space="preserve">0℃。 </w:t>
            </w:r>
          </w:p>
        </w:tc>
        <w:tc>
          <w:tcPr>
            <w:tcW w:w="369" w:type="pct"/>
            <w:tcBorders>
              <w:top w:val="nil"/>
              <w:left w:val="nil"/>
              <w:bottom w:val="single" w:color="auto" w:sz="4" w:space="0"/>
              <w:right w:val="single" w:color="auto" w:sz="4" w:space="0"/>
            </w:tcBorders>
            <w:vAlign w:val="center"/>
          </w:tcPr>
          <w:p w14:paraId="40E72098">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noWrap/>
            <w:vAlign w:val="center"/>
          </w:tcPr>
          <w:p w14:paraId="7DDA2E06">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53AAACB5">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354570B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410" w:type="pct"/>
            <w:tcBorders>
              <w:top w:val="nil"/>
              <w:left w:val="nil"/>
              <w:bottom w:val="single" w:color="auto" w:sz="4" w:space="0"/>
              <w:right w:val="single" w:color="auto" w:sz="4" w:space="0"/>
            </w:tcBorders>
            <w:vAlign w:val="center"/>
          </w:tcPr>
          <w:p w14:paraId="4401CE8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烟囱 </w:t>
            </w:r>
          </w:p>
        </w:tc>
        <w:tc>
          <w:tcPr>
            <w:tcW w:w="2592" w:type="pct"/>
            <w:tcBorders>
              <w:top w:val="nil"/>
              <w:left w:val="nil"/>
              <w:bottom w:val="single" w:color="auto" w:sz="4" w:space="0"/>
              <w:right w:val="single" w:color="auto" w:sz="4" w:space="0"/>
            </w:tcBorders>
            <w:vAlign w:val="center"/>
          </w:tcPr>
          <w:p w14:paraId="145D1E23">
            <w:pPr>
              <w:pStyle w:val="109"/>
              <w:rPr>
                <w:color w:val="000000" w:themeColor="text1"/>
                <w14:textFill>
                  <w14:solidFill>
                    <w14:schemeClr w14:val="tx1"/>
                  </w14:solidFill>
                </w14:textFill>
              </w:rPr>
            </w:pPr>
            <w:r>
              <w:rPr>
                <w:color w:val="000000" w:themeColor="text1"/>
                <w14:textFill>
                  <w14:solidFill>
                    <w14:schemeClr w14:val="tx1"/>
                  </w14:solidFill>
                </w14:textFill>
              </w:rPr>
              <w:t>高度</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m，烟囱出口直径φ</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00mm </w:t>
            </w:r>
          </w:p>
        </w:tc>
        <w:tc>
          <w:tcPr>
            <w:tcW w:w="369" w:type="pct"/>
            <w:tcBorders>
              <w:top w:val="nil"/>
              <w:left w:val="nil"/>
              <w:bottom w:val="single" w:color="auto" w:sz="4" w:space="0"/>
              <w:right w:val="single" w:color="auto" w:sz="4" w:space="0"/>
            </w:tcBorders>
            <w:vAlign w:val="center"/>
          </w:tcPr>
          <w:p w14:paraId="5359D950">
            <w:pPr>
              <w:pStyle w:val="109"/>
              <w:rPr>
                <w:color w:val="000000" w:themeColor="text1"/>
                <w14:textFill>
                  <w14:solidFill>
                    <w14:schemeClr w14:val="tx1"/>
                  </w14:solidFill>
                </w14:textFill>
              </w:rPr>
            </w:pPr>
            <w:r>
              <w:rPr>
                <w:color w:val="000000" w:themeColor="text1"/>
                <w14:textFill>
                  <w14:solidFill>
                    <w14:schemeClr w14:val="tx1"/>
                  </w14:solidFill>
                </w14:textFill>
              </w:rPr>
              <w:t>座</w:t>
            </w:r>
          </w:p>
        </w:tc>
        <w:tc>
          <w:tcPr>
            <w:tcW w:w="336" w:type="pct"/>
            <w:gridSpan w:val="2"/>
            <w:tcBorders>
              <w:top w:val="nil"/>
              <w:left w:val="nil"/>
              <w:bottom w:val="single" w:color="auto" w:sz="4" w:space="0"/>
              <w:right w:val="single" w:color="auto" w:sz="4" w:space="0"/>
            </w:tcBorders>
            <w:noWrap/>
            <w:vAlign w:val="center"/>
          </w:tcPr>
          <w:p w14:paraId="38F2BF89">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1BB5F41A">
        <w:tblPrEx>
          <w:tblCellMar>
            <w:top w:w="0" w:type="dxa"/>
            <w:left w:w="108" w:type="dxa"/>
            <w:bottom w:w="0" w:type="dxa"/>
            <w:right w:w="108" w:type="dxa"/>
          </w:tblCellMar>
        </w:tblPrEx>
        <w:trPr>
          <w:trHeight w:val="315" w:hRule="atLeast"/>
        </w:trPr>
        <w:tc>
          <w:tcPr>
            <w:tcW w:w="293" w:type="pct"/>
            <w:tcBorders>
              <w:top w:val="nil"/>
              <w:left w:val="single" w:color="auto" w:sz="4" w:space="0"/>
              <w:bottom w:val="single" w:color="auto" w:sz="4" w:space="0"/>
              <w:right w:val="single" w:color="auto" w:sz="4" w:space="0"/>
            </w:tcBorders>
            <w:noWrap/>
            <w:vAlign w:val="center"/>
          </w:tcPr>
          <w:p w14:paraId="55B06F9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410" w:type="pct"/>
            <w:tcBorders>
              <w:top w:val="nil"/>
              <w:left w:val="nil"/>
              <w:bottom w:val="single" w:color="auto" w:sz="4" w:space="0"/>
              <w:right w:val="single" w:color="auto" w:sz="4" w:space="0"/>
            </w:tcBorders>
            <w:vAlign w:val="center"/>
          </w:tcPr>
          <w:p w14:paraId="6CB6243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在线监测 </w:t>
            </w:r>
          </w:p>
        </w:tc>
        <w:tc>
          <w:tcPr>
            <w:tcW w:w="2592" w:type="pct"/>
            <w:tcBorders>
              <w:top w:val="nil"/>
              <w:left w:val="nil"/>
              <w:bottom w:val="single" w:color="auto" w:sz="4" w:space="0"/>
              <w:right w:val="single" w:color="auto" w:sz="4" w:space="0"/>
            </w:tcBorders>
            <w:vAlign w:val="center"/>
          </w:tcPr>
          <w:p w14:paraId="229901F7">
            <w:pPr>
              <w:pStyle w:val="109"/>
              <w:rPr>
                <w:color w:val="000000" w:themeColor="text1"/>
                <w14:textFill>
                  <w14:solidFill>
                    <w14:schemeClr w14:val="tx1"/>
                  </w14:solidFill>
                </w14:textFill>
              </w:rPr>
            </w:pPr>
            <w:r>
              <w:rPr>
                <w:color w:val="000000" w:themeColor="text1"/>
                <w14:textFill>
                  <w14:solidFill>
                    <w14:schemeClr w14:val="tx1"/>
                  </w14:solidFill>
                </w14:textFill>
              </w:rPr>
              <w:t>包括对粉尘、NOx、CO、SO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、HCl、烟气量等的在线监测 </w:t>
            </w:r>
          </w:p>
        </w:tc>
        <w:tc>
          <w:tcPr>
            <w:tcW w:w="369" w:type="pct"/>
            <w:tcBorders>
              <w:top w:val="nil"/>
              <w:left w:val="nil"/>
              <w:bottom w:val="single" w:color="auto" w:sz="4" w:space="0"/>
              <w:right w:val="single" w:color="auto" w:sz="4" w:space="0"/>
            </w:tcBorders>
            <w:vAlign w:val="center"/>
          </w:tcPr>
          <w:p w14:paraId="62ED376C">
            <w:pPr>
              <w:pStyle w:val="109"/>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336" w:type="pct"/>
            <w:gridSpan w:val="2"/>
            <w:tcBorders>
              <w:top w:val="nil"/>
              <w:left w:val="nil"/>
              <w:bottom w:val="single" w:color="auto" w:sz="4" w:space="0"/>
              <w:right w:val="single" w:color="auto" w:sz="4" w:space="0"/>
            </w:tcBorders>
            <w:noWrap/>
            <w:vAlign w:val="center"/>
          </w:tcPr>
          <w:p w14:paraId="41740A25">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06E6AA9E">
        <w:tblPrEx>
          <w:tblCellMar>
            <w:top w:w="0" w:type="dxa"/>
            <w:left w:w="108" w:type="dxa"/>
            <w:bottom w:w="0" w:type="dxa"/>
            <w:right w:w="108" w:type="dxa"/>
          </w:tblCellMar>
        </w:tblPrEx>
        <w:trPr>
          <w:gridAfter w:val="1"/>
          <w:wAfter w:w="5" w:type="pct"/>
          <w:trHeight w:val="315" w:hRule="atLeast"/>
        </w:trPr>
        <w:tc>
          <w:tcPr>
            <w:tcW w:w="1703" w:type="pct"/>
            <w:gridSpan w:val="2"/>
            <w:tcBorders>
              <w:top w:val="nil"/>
              <w:left w:val="single" w:color="auto" w:sz="4" w:space="0"/>
              <w:bottom w:val="single" w:color="auto" w:sz="4" w:space="0"/>
              <w:right w:val="single" w:color="auto" w:sz="4" w:space="0"/>
            </w:tcBorders>
            <w:shd w:val="clear" w:color="auto" w:fill="D9D9D9"/>
            <w:vAlign w:val="center"/>
          </w:tcPr>
          <w:p w14:paraId="2E6247F0">
            <w:pPr>
              <w:pStyle w:val="109"/>
              <w:rPr>
                <w:color w:val="000000" w:themeColor="text1"/>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 xml:space="preserve"> 空压系统 </w:t>
            </w:r>
          </w:p>
        </w:tc>
        <w:tc>
          <w:tcPr>
            <w:tcW w:w="2592" w:type="pct"/>
            <w:tcBorders>
              <w:top w:val="nil"/>
              <w:left w:val="nil"/>
              <w:bottom w:val="single" w:color="auto" w:sz="4" w:space="0"/>
              <w:right w:val="single" w:color="auto" w:sz="4" w:space="0"/>
            </w:tcBorders>
            <w:shd w:val="clear" w:color="auto" w:fill="D9D9D9"/>
            <w:vAlign w:val="center"/>
          </w:tcPr>
          <w:p w14:paraId="0B6E8866">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69" w:type="pct"/>
            <w:tcBorders>
              <w:top w:val="nil"/>
              <w:left w:val="nil"/>
              <w:bottom w:val="single" w:color="auto" w:sz="4" w:space="0"/>
              <w:right w:val="single" w:color="auto" w:sz="4" w:space="0"/>
            </w:tcBorders>
            <w:shd w:val="clear" w:color="auto" w:fill="D9D9D9"/>
            <w:vAlign w:val="center"/>
          </w:tcPr>
          <w:p w14:paraId="2A736C1A">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c>
          <w:tcPr>
            <w:tcW w:w="331" w:type="pct"/>
            <w:tcBorders>
              <w:top w:val="nil"/>
              <w:left w:val="nil"/>
              <w:bottom w:val="single" w:color="auto" w:sz="4" w:space="0"/>
              <w:right w:val="single" w:color="auto" w:sz="4" w:space="0"/>
            </w:tcBorders>
            <w:shd w:val="clear" w:color="auto" w:fill="D9D9D9"/>
            <w:vAlign w:val="center"/>
          </w:tcPr>
          <w:p w14:paraId="2906DA05">
            <w:pPr>
              <w:pStyle w:val="109"/>
              <w:rPr>
                <w:color w:val="000000" w:themeColor="text1"/>
                <w14:textFill>
                  <w14:solidFill>
                    <w14:schemeClr w14:val="tx1"/>
                  </w14:solidFill>
                </w14:textFill>
              </w:rPr>
            </w:pPr>
            <w:r>
              <w:rPr>
                <w:color w:val="000000" w:themeColor="text1"/>
                <w14:textFill>
                  <w14:solidFill>
                    <w14:schemeClr w14:val="tx1"/>
                  </w14:solidFill>
                </w14:textFill>
              </w:rPr>
              <w:t>　</w:t>
            </w:r>
          </w:p>
        </w:tc>
      </w:tr>
      <w:tr w14:paraId="055E678A">
        <w:tblPrEx>
          <w:tblCellMar>
            <w:top w:w="0" w:type="dxa"/>
            <w:left w:w="108" w:type="dxa"/>
            <w:bottom w:w="0" w:type="dxa"/>
            <w:right w:w="108" w:type="dxa"/>
          </w:tblCellMar>
        </w:tblPrEx>
        <w:trPr>
          <w:trHeight w:val="330" w:hRule="atLeast"/>
        </w:trPr>
        <w:tc>
          <w:tcPr>
            <w:tcW w:w="293" w:type="pct"/>
            <w:tcBorders>
              <w:top w:val="nil"/>
              <w:left w:val="single" w:color="auto" w:sz="4" w:space="0"/>
              <w:bottom w:val="single" w:color="auto" w:sz="4" w:space="0"/>
              <w:right w:val="single" w:color="auto" w:sz="4" w:space="0"/>
            </w:tcBorders>
            <w:noWrap/>
            <w:vAlign w:val="center"/>
          </w:tcPr>
          <w:p w14:paraId="5A2C16B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0" w:type="pct"/>
            <w:tcBorders>
              <w:top w:val="nil"/>
              <w:left w:val="nil"/>
              <w:bottom w:val="single" w:color="auto" w:sz="4" w:space="0"/>
              <w:right w:val="single" w:color="auto" w:sz="4" w:space="0"/>
            </w:tcBorders>
            <w:vAlign w:val="center"/>
          </w:tcPr>
          <w:p w14:paraId="687111F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储气罐 </w:t>
            </w:r>
            <w:r>
              <w:rPr>
                <w:rFonts w:hint="eastAsia"/>
                <w:color w:val="000000" w:themeColor="text1"/>
                <w14:textFill>
                  <w14:solidFill>
                    <w14:schemeClr w14:val="tx1"/>
                  </w14:solidFill>
                </w14:textFill>
              </w:rPr>
              <w:t xml:space="preserve"> (氮气）</w:t>
            </w:r>
          </w:p>
        </w:tc>
        <w:tc>
          <w:tcPr>
            <w:tcW w:w="2592" w:type="pct"/>
            <w:tcBorders>
              <w:top w:val="nil"/>
              <w:left w:val="nil"/>
              <w:bottom w:val="single" w:color="auto" w:sz="4" w:space="0"/>
              <w:right w:val="single" w:color="auto" w:sz="4" w:space="0"/>
            </w:tcBorders>
            <w:vAlign w:val="center"/>
          </w:tcPr>
          <w:p w14:paraId="54CC4C7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容积：1.5m³ </w:t>
            </w:r>
          </w:p>
        </w:tc>
        <w:tc>
          <w:tcPr>
            <w:tcW w:w="369" w:type="pct"/>
            <w:tcBorders>
              <w:top w:val="nil"/>
              <w:left w:val="nil"/>
              <w:bottom w:val="single" w:color="auto" w:sz="4" w:space="0"/>
              <w:right w:val="single" w:color="auto" w:sz="4" w:space="0"/>
            </w:tcBorders>
            <w:vAlign w:val="center"/>
          </w:tcPr>
          <w:p w14:paraId="3C9E2921">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vAlign w:val="center"/>
          </w:tcPr>
          <w:p w14:paraId="1A9C9DC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47CE8854">
        <w:tblPrEx>
          <w:tblCellMar>
            <w:top w:w="0" w:type="dxa"/>
            <w:left w:w="108" w:type="dxa"/>
            <w:bottom w:w="0" w:type="dxa"/>
            <w:right w:w="108" w:type="dxa"/>
          </w:tblCellMar>
        </w:tblPrEx>
        <w:trPr>
          <w:trHeight w:val="330" w:hRule="atLeast"/>
        </w:trPr>
        <w:tc>
          <w:tcPr>
            <w:tcW w:w="293" w:type="pct"/>
            <w:tcBorders>
              <w:top w:val="nil"/>
              <w:left w:val="single" w:color="auto" w:sz="4" w:space="0"/>
              <w:bottom w:val="single" w:color="auto" w:sz="4" w:space="0"/>
              <w:right w:val="single" w:color="auto" w:sz="4" w:space="0"/>
            </w:tcBorders>
            <w:noWrap/>
            <w:vAlign w:val="center"/>
          </w:tcPr>
          <w:p w14:paraId="11B6D71A">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410" w:type="pct"/>
            <w:tcBorders>
              <w:top w:val="nil"/>
              <w:left w:val="nil"/>
              <w:bottom w:val="single" w:color="auto" w:sz="4" w:space="0"/>
              <w:right w:val="single" w:color="auto" w:sz="4" w:space="0"/>
            </w:tcBorders>
            <w:vAlign w:val="center"/>
          </w:tcPr>
          <w:p w14:paraId="2E66BC3D">
            <w:pPr>
              <w:pStyle w:val="109"/>
              <w:rPr>
                <w:color w:val="000000" w:themeColor="text1"/>
                <w14:textFill>
                  <w14:solidFill>
                    <w14:schemeClr w14:val="tx1"/>
                  </w14:solidFill>
                </w14:textFill>
              </w:rPr>
            </w:pPr>
            <w:r>
              <w:rPr>
                <w:color w:val="000000" w:themeColor="text1"/>
                <w14:textFill>
                  <w14:solidFill>
                    <w14:schemeClr w14:val="tx1"/>
                  </w14:solidFill>
                </w14:textFill>
              </w:rPr>
              <w:t>储气罐 （仪表）</w:t>
            </w:r>
          </w:p>
        </w:tc>
        <w:tc>
          <w:tcPr>
            <w:tcW w:w="2592" w:type="pct"/>
            <w:tcBorders>
              <w:top w:val="nil"/>
              <w:left w:val="nil"/>
              <w:bottom w:val="single" w:color="auto" w:sz="4" w:space="0"/>
              <w:right w:val="single" w:color="auto" w:sz="4" w:space="0"/>
            </w:tcBorders>
            <w:vAlign w:val="center"/>
          </w:tcPr>
          <w:p w14:paraId="3650480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容积：5m³ </w:t>
            </w:r>
          </w:p>
        </w:tc>
        <w:tc>
          <w:tcPr>
            <w:tcW w:w="369" w:type="pct"/>
            <w:tcBorders>
              <w:top w:val="nil"/>
              <w:left w:val="nil"/>
              <w:bottom w:val="single" w:color="auto" w:sz="4" w:space="0"/>
              <w:right w:val="single" w:color="auto" w:sz="4" w:space="0"/>
            </w:tcBorders>
            <w:vAlign w:val="center"/>
          </w:tcPr>
          <w:p w14:paraId="40E8F709">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vAlign w:val="center"/>
          </w:tcPr>
          <w:p w14:paraId="4459E5B7">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r>
      <w:tr w14:paraId="68EFB263">
        <w:tblPrEx>
          <w:tblCellMar>
            <w:top w:w="0" w:type="dxa"/>
            <w:left w:w="108" w:type="dxa"/>
            <w:bottom w:w="0" w:type="dxa"/>
            <w:right w:w="108" w:type="dxa"/>
          </w:tblCellMar>
        </w:tblPrEx>
        <w:trPr>
          <w:trHeight w:val="330" w:hRule="atLeast"/>
        </w:trPr>
        <w:tc>
          <w:tcPr>
            <w:tcW w:w="293" w:type="pct"/>
            <w:tcBorders>
              <w:top w:val="nil"/>
              <w:left w:val="single" w:color="auto" w:sz="4" w:space="0"/>
              <w:bottom w:val="single" w:color="auto" w:sz="4" w:space="0"/>
              <w:right w:val="single" w:color="auto" w:sz="4" w:space="0"/>
            </w:tcBorders>
            <w:noWrap/>
            <w:vAlign w:val="center"/>
          </w:tcPr>
          <w:p w14:paraId="5950D91A">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10" w:type="pct"/>
            <w:tcBorders>
              <w:top w:val="nil"/>
              <w:left w:val="nil"/>
              <w:bottom w:val="single" w:color="auto" w:sz="4" w:space="0"/>
              <w:right w:val="single" w:color="auto" w:sz="4" w:space="0"/>
            </w:tcBorders>
            <w:vAlign w:val="center"/>
          </w:tcPr>
          <w:p w14:paraId="0DA5AB71">
            <w:pPr>
              <w:pStyle w:val="109"/>
              <w:rPr>
                <w:color w:val="000000" w:themeColor="text1"/>
                <w14:textFill>
                  <w14:solidFill>
                    <w14:schemeClr w14:val="tx1"/>
                  </w14:solidFill>
                </w14:textFill>
              </w:rPr>
            </w:pPr>
            <w:r>
              <w:rPr>
                <w:color w:val="000000" w:themeColor="text1"/>
                <w14:textFill>
                  <w14:solidFill>
                    <w14:schemeClr w14:val="tx1"/>
                  </w14:solidFill>
                </w14:textFill>
              </w:rPr>
              <w:t>储气罐 （空压）</w:t>
            </w:r>
          </w:p>
        </w:tc>
        <w:tc>
          <w:tcPr>
            <w:tcW w:w="2592" w:type="pct"/>
            <w:tcBorders>
              <w:top w:val="nil"/>
              <w:left w:val="nil"/>
              <w:bottom w:val="single" w:color="auto" w:sz="4" w:space="0"/>
              <w:right w:val="single" w:color="auto" w:sz="4" w:space="0"/>
            </w:tcBorders>
            <w:vAlign w:val="center"/>
          </w:tcPr>
          <w:p w14:paraId="27AEBE3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容积：10m³ </w:t>
            </w:r>
          </w:p>
        </w:tc>
        <w:tc>
          <w:tcPr>
            <w:tcW w:w="369" w:type="pct"/>
            <w:tcBorders>
              <w:top w:val="nil"/>
              <w:left w:val="nil"/>
              <w:bottom w:val="single" w:color="auto" w:sz="4" w:space="0"/>
              <w:right w:val="single" w:color="auto" w:sz="4" w:space="0"/>
            </w:tcBorders>
            <w:vAlign w:val="center"/>
          </w:tcPr>
          <w:p w14:paraId="75C4AF67">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36" w:type="pct"/>
            <w:gridSpan w:val="2"/>
            <w:tcBorders>
              <w:top w:val="nil"/>
              <w:left w:val="nil"/>
              <w:bottom w:val="single" w:color="auto" w:sz="4" w:space="0"/>
              <w:right w:val="single" w:color="auto" w:sz="4" w:space="0"/>
            </w:tcBorders>
            <w:vAlign w:val="center"/>
          </w:tcPr>
          <w:p w14:paraId="1589F7A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 </w:t>
            </w:r>
          </w:p>
        </w:tc>
      </w:tr>
    </w:tbl>
    <w:p w14:paraId="1CDF80D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设备产能匹配性</w:t>
      </w:r>
    </w:p>
    <w:p w14:paraId="2307366B">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本项目主要设备产能匹配性分析核算见下表。</w:t>
      </w:r>
    </w:p>
    <w:p w14:paraId="21A4E3B7">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项目主要设备产能匹配性分析核算表</w:t>
      </w:r>
    </w:p>
    <w:tbl>
      <w:tblPr>
        <w:tblStyle w:val="76"/>
        <w:tblW w:w="9297" w:type="dxa"/>
        <w:tblInd w:w="0" w:type="dxa"/>
        <w:tblLayout w:type="fixed"/>
        <w:tblCellMar>
          <w:top w:w="0" w:type="dxa"/>
          <w:left w:w="108" w:type="dxa"/>
          <w:bottom w:w="0" w:type="dxa"/>
          <w:right w:w="108" w:type="dxa"/>
        </w:tblCellMar>
      </w:tblPr>
      <w:tblGrid>
        <w:gridCol w:w="1696"/>
        <w:gridCol w:w="1134"/>
        <w:gridCol w:w="1923"/>
        <w:gridCol w:w="1196"/>
        <w:gridCol w:w="1131"/>
        <w:gridCol w:w="1305"/>
        <w:gridCol w:w="912"/>
      </w:tblGrid>
      <w:tr w14:paraId="1FE53A7C">
        <w:tblPrEx>
          <w:tblCellMar>
            <w:top w:w="0" w:type="dxa"/>
            <w:left w:w="108" w:type="dxa"/>
            <w:bottom w:w="0" w:type="dxa"/>
            <w:right w:w="108" w:type="dxa"/>
          </w:tblCellMar>
        </w:tblPrEx>
        <w:trPr>
          <w:trHeight w:val="276" w:hRule="atLeast"/>
        </w:trPr>
        <w:tc>
          <w:tcPr>
            <w:tcW w:w="1696" w:type="dxa"/>
            <w:tcBorders>
              <w:top w:val="single" w:color="auto" w:sz="4" w:space="0"/>
              <w:left w:val="single" w:color="auto" w:sz="4" w:space="0"/>
              <w:bottom w:val="single" w:color="auto" w:sz="4" w:space="0"/>
              <w:right w:val="single" w:color="auto" w:sz="4" w:space="0"/>
            </w:tcBorders>
            <w:noWrap/>
            <w:vAlign w:val="center"/>
          </w:tcPr>
          <w:p w14:paraId="0EC9C5DB">
            <w:pPr>
              <w:pStyle w:val="109"/>
              <w:rPr>
                <w:color w:val="000000" w:themeColor="text1"/>
                <w14:textFill>
                  <w14:solidFill>
                    <w14:schemeClr w14:val="tx1"/>
                  </w14:solidFill>
                </w14:textFill>
              </w:rPr>
            </w:pPr>
            <w:r>
              <w:rPr>
                <w:color w:val="000000" w:themeColor="text1"/>
                <w14:textFill>
                  <w14:solidFill>
                    <w14:schemeClr w14:val="tx1"/>
                  </w14:solidFill>
                </w14:textFill>
              </w:rPr>
              <w:t>主要设备</w:t>
            </w:r>
          </w:p>
        </w:tc>
        <w:tc>
          <w:tcPr>
            <w:tcW w:w="1134" w:type="dxa"/>
            <w:tcBorders>
              <w:top w:val="single" w:color="auto" w:sz="4" w:space="0"/>
              <w:left w:val="nil"/>
              <w:bottom w:val="single" w:color="auto" w:sz="4" w:space="0"/>
              <w:right w:val="single" w:color="auto" w:sz="4" w:space="0"/>
            </w:tcBorders>
            <w:noWrap/>
            <w:vAlign w:val="center"/>
          </w:tcPr>
          <w:p w14:paraId="6DB8277D">
            <w:pPr>
              <w:pStyle w:val="109"/>
              <w:rPr>
                <w:color w:val="000000" w:themeColor="text1"/>
                <w14:textFill>
                  <w14:solidFill>
                    <w14:schemeClr w14:val="tx1"/>
                  </w14:solidFill>
                </w14:textFill>
              </w:rPr>
            </w:pPr>
            <w:r>
              <w:rPr>
                <w:color w:val="000000" w:themeColor="text1"/>
                <w14:textFill>
                  <w14:solidFill>
                    <w14:schemeClr w14:val="tx1"/>
                  </w14:solidFill>
                </w14:textFill>
              </w:rPr>
              <w:t>设备数量</w:t>
            </w:r>
          </w:p>
        </w:tc>
        <w:tc>
          <w:tcPr>
            <w:tcW w:w="1923" w:type="dxa"/>
            <w:tcBorders>
              <w:top w:val="single" w:color="auto" w:sz="4" w:space="0"/>
              <w:left w:val="nil"/>
              <w:bottom w:val="single" w:color="auto" w:sz="4" w:space="0"/>
              <w:right w:val="single" w:color="auto" w:sz="4" w:space="0"/>
            </w:tcBorders>
            <w:noWrap/>
            <w:vAlign w:val="center"/>
          </w:tcPr>
          <w:p w14:paraId="4CCFEACF">
            <w:pPr>
              <w:pStyle w:val="109"/>
              <w:rPr>
                <w:color w:val="000000" w:themeColor="text1"/>
                <w14:textFill>
                  <w14:solidFill>
                    <w14:schemeClr w14:val="tx1"/>
                  </w14:solidFill>
                </w14:textFill>
              </w:rPr>
            </w:pPr>
            <w:r>
              <w:rPr>
                <w:color w:val="000000" w:themeColor="text1"/>
                <w14:textFill>
                  <w14:solidFill>
                    <w14:schemeClr w14:val="tx1"/>
                  </w14:solidFill>
                </w14:textFill>
              </w:rPr>
              <w:t>单台设备处理效率</w:t>
            </w:r>
          </w:p>
        </w:tc>
        <w:tc>
          <w:tcPr>
            <w:tcW w:w="1196" w:type="dxa"/>
            <w:tcBorders>
              <w:top w:val="single" w:color="auto" w:sz="4" w:space="0"/>
              <w:left w:val="nil"/>
              <w:bottom w:val="single" w:color="auto" w:sz="4" w:space="0"/>
              <w:right w:val="single" w:color="auto" w:sz="4" w:space="0"/>
            </w:tcBorders>
            <w:noWrap/>
            <w:vAlign w:val="center"/>
          </w:tcPr>
          <w:p w14:paraId="5F6FDF8A">
            <w:pPr>
              <w:pStyle w:val="109"/>
              <w:rPr>
                <w:color w:val="000000" w:themeColor="text1"/>
                <w14:textFill>
                  <w14:solidFill>
                    <w14:schemeClr w14:val="tx1"/>
                  </w14:solidFill>
                </w14:textFill>
              </w:rPr>
            </w:pPr>
            <w:r>
              <w:rPr>
                <w:color w:val="000000" w:themeColor="text1"/>
                <w14:textFill>
                  <w14:solidFill>
                    <w14:schemeClr w14:val="tx1"/>
                  </w14:solidFill>
                </w14:textFill>
              </w:rPr>
              <w:t>工作时间 h</w:t>
            </w:r>
          </w:p>
        </w:tc>
        <w:tc>
          <w:tcPr>
            <w:tcW w:w="1131" w:type="dxa"/>
            <w:tcBorders>
              <w:top w:val="single" w:color="auto" w:sz="4" w:space="0"/>
              <w:left w:val="nil"/>
              <w:bottom w:val="single" w:color="auto" w:sz="4" w:space="0"/>
              <w:right w:val="single" w:color="auto" w:sz="4" w:space="0"/>
            </w:tcBorders>
            <w:noWrap/>
            <w:vAlign w:val="center"/>
          </w:tcPr>
          <w:p w14:paraId="61DF90E4">
            <w:pPr>
              <w:pStyle w:val="109"/>
              <w:rPr>
                <w:color w:val="000000" w:themeColor="text1"/>
                <w14:textFill>
                  <w14:solidFill>
                    <w14:schemeClr w14:val="tx1"/>
                  </w14:solidFill>
                </w14:textFill>
              </w:rPr>
            </w:pPr>
            <w:r>
              <w:rPr>
                <w:color w:val="000000" w:themeColor="text1"/>
                <w14:textFill>
                  <w14:solidFill>
                    <w14:schemeClr w14:val="tx1"/>
                  </w14:solidFill>
                </w14:textFill>
              </w:rPr>
              <w:t>理论产能 t/a</w:t>
            </w:r>
          </w:p>
        </w:tc>
        <w:tc>
          <w:tcPr>
            <w:tcW w:w="1305" w:type="dxa"/>
            <w:tcBorders>
              <w:top w:val="single" w:color="auto" w:sz="4" w:space="0"/>
              <w:left w:val="nil"/>
              <w:bottom w:val="single" w:color="auto" w:sz="4" w:space="0"/>
              <w:right w:val="single" w:color="auto" w:sz="4" w:space="0"/>
            </w:tcBorders>
            <w:noWrap/>
            <w:vAlign w:val="center"/>
          </w:tcPr>
          <w:p w14:paraId="58C659E9">
            <w:pPr>
              <w:pStyle w:val="109"/>
              <w:rPr>
                <w:color w:val="000000" w:themeColor="text1"/>
                <w14:textFill>
                  <w14:solidFill>
                    <w14:schemeClr w14:val="tx1"/>
                  </w14:solidFill>
                </w14:textFill>
              </w:rPr>
            </w:pPr>
            <w:r>
              <w:rPr>
                <w:color w:val="000000" w:themeColor="text1"/>
                <w14:textFill>
                  <w14:solidFill>
                    <w14:schemeClr w14:val="tx1"/>
                  </w14:solidFill>
                </w14:textFill>
              </w:rPr>
              <w:t>实际处置量 t/a</w:t>
            </w:r>
          </w:p>
        </w:tc>
        <w:tc>
          <w:tcPr>
            <w:tcW w:w="912" w:type="dxa"/>
            <w:tcBorders>
              <w:top w:val="single" w:color="auto" w:sz="4" w:space="0"/>
              <w:left w:val="nil"/>
              <w:bottom w:val="single" w:color="auto" w:sz="4" w:space="0"/>
              <w:right w:val="single" w:color="auto" w:sz="4" w:space="0"/>
            </w:tcBorders>
            <w:noWrap/>
            <w:vAlign w:val="center"/>
          </w:tcPr>
          <w:p w14:paraId="4C742CBD">
            <w:pPr>
              <w:pStyle w:val="109"/>
              <w:rPr>
                <w:color w:val="000000" w:themeColor="text1"/>
                <w14:textFill>
                  <w14:solidFill>
                    <w14:schemeClr w14:val="tx1"/>
                  </w14:solidFill>
                </w14:textFill>
              </w:rPr>
            </w:pPr>
            <w:r>
              <w:rPr>
                <w:color w:val="000000" w:themeColor="text1"/>
                <w14:textFill>
                  <w14:solidFill>
                    <w14:schemeClr w14:val="tx1"/>
                  </w14:solidFill>
                </w14:textFill>
              </w:rPr>
              <w:t>是否匹配</w:t>
            </w:r>
          </w:p>
        </w:tc>
      </w:tr>
      <w:tr w14:paraId="4638FC9B">
        <w:tblPrEx>
          <w:tblCellMar>
            <w:top w:w="0" w:type="dxa"/>
            <w:left w:w="108" w:type="dxa"/>
            <w:bottom w:w="0" w:type="dxa"/>
            <w:right w:w="108" w:type="dxa"/>
          </w:tblCellMar>
        </w:tblPrEx>
        <w:trPr>
          <w:trHeight w:val="276" w:hRule="atLeast"/>
        </w:trPr>
        <w:tc>
          <w:tcPr>
            <w:tcW w:w="1696" w:type="dxa"/>
            <w:tcBorders>
              <w:top w:val="nil"/>
              <w:left w:val="single" w:color="auto" w:sz="4" w:space="0"/>
              <w:bottom w:val="single" w:color="auto" w:sz="4" w:space="0"/>
              <w:right w:val="single" w:color="auto" w:sz="4" w:space="0"/>
            </w:tcBorders>
            <w:noWrap/>
            <w:vAlign w:val="center"/>
          </w:tcPr>
          <w:p w14:paraId="3801692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热解焙烧窑</w:t>
            </w:r>
          </w:p>
        </w:tc>
        <w:tc>
          <w:tcPr>
            <w:tcW w:w="1134" w:type="dxa"/>
            <w:tcBorders>
              <w:top w:val="nil"/>
              <w:left w:val="nil"/>
              <w:bottom w:val="single" w:color="auto" w:sz="4" w:space="0"/>
              <w:right w:val="single" w:color="auto" w:sz="4" w:space="0"/>
            </w:tcBorders>
            <w:noWrap/>
            <w:vAlign w:val="center"/>
          </w:tcPr>
          <w:p w14:paraId="292B1F2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923" w:type="dxa"/>
            <w:tcBorders>
              <w:top w:val="nil"/>
              <w:left w:val="nil"/>
              <w:bottom w:val="single" w:color="auto" w:sz="4" w:space="0"/>
              <w:right w:val="single" w:color="auto" w:sz="4" w:space="0"/>
            </w:tcBorders>
            <w:noWrap/>
            <w:vAlign w:val="center"/>
          </w:tcPr>
          <w:p w14:paraId="765636C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6.25t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w:t>
            </w:r>
            <w:r>
              <w:rPr>
                <w:color w:val="000000" w:themeColor="text1"/>
                <w14:textFill>
                  <w14:solidFill>
                    <w14:schemeClr w14:val="tx1"/>
                  </w14:solidFill>
                </w14:textFill>
              </w:rPr>
              <w:t xml:space="preserve">（废盐） </w:t>
            </w:r>
          </w:p>
        </w:tc>
        <w:tc>
          <w:tcPr>
            <w:tcW w:w="1196" w:type="dxa"/>
            <w:tcBorders>
              <w:top w:val="nil"/>
              <w:left w:val="nil"/>
              <w:bottom w:val="single" w:color="auto" w:sz="4" w:space="0"/>
              <w:right w:val="single" w:color="auto" w:sz="4" w:space="0"/>
            </w:tcBorders>
            <w:noWrap/>
            <w:vAlign w:val="center"/>
          </w:tcPr>
          <w:p w14:paraId="647FC7C1">
            <w:pPr>
              <w:pStyle w:val="109"/>
              <w:rPr>
                <w:color w:val="000000" w:themeColor="text1"/>
                <w14:textFill>
                  <w14:solidFill>
                    <w14:schemeClr w14:val="tx1"/>
                  </w14:solidFill>
                </w14:textFill>
              </w:rPr>
            </w:pPr>
            <w:r>
              <w:rPr>
                <w:color w:val="000000" w:themeColor="text1"/>
                <w14:textFill>
                  <w14:solidFill>
                    <w14:schemeClr w14:val="tx1"/>
                  </w14:solidFill>
                </w14:textFill>
              </w:rPr>
              <w:t>8000</w:t>
            </w:r>
          </w:p>
        </w:tc>
        <w:tc>
          <w:tcPr>
            <w:tcW w:w="1131" w:type="dxa"/>
            <w:tcBorders>
              <w:top w:val="nil"/>
              <w:left w:val="nil"/>
              <w:bottom w:val="single" w:color="auto" w:sz="4" w:space="0"/>
              <w:right w:val="single" w:color="auto" w:sz="4" w:space="0"/>
            </w:tcBorders>
            <w:noWrap/>
            <w:vAlign w:val="center"/>
          </w:tcPr>
          <w:p w14:paraId="151F2D21">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1305" w:type="dxa"/>
            <w:tcBorders>
              <w:top w:val="nil"/>
              <w:left w:val="nil"/>
              <w:bottom w:val="single" w:color="auto" w:sz="4" w:space="0"/>
              <w:right w:val="single" w:color="auto" w:sz="4" w:space="0"/>
            </w:tcBorders>
            <w:noWrap/>
            <w:vAlign w:val="center"/>
          </w:tcPr>
          <w:p w14:paraId="681301AF">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912" w:type="dxa"/>
            <w:tcBorders>
              <w:top w:val="nil"/>
              <w:left w:val="nil"/>
              <w:bottom w:val="single" w:color="auto" w:sz="4" w:space="0"/>
              <w:right w:val="single" w:color="auto" w:sz="4" w:space="0"/>
            </w:tcBorders>
            <w:noWrap/>
            <w:vAlign w:val="center"/>
          </w:tcPr>
          <w:p w14:paraId="3C348758">
            <w:pPr>
              <w:pStyle w:val="109"/>
              <w:rPr>
                <w:color w:val="000000" w:themeColor="text1"/>
                <w14:textFill>
                  <w14:solidFill>
                    <w14:schemeClr w14:val="tx1"/>
                  </w14:solidFill>
                </w14:textFill>
              </w:rPr>
            </w:pPr>
            <w:r>
              <w:rPr>
                <w:color w:val="000000" w:themeColor="text1"/>
                <w14:textFill>
                  <w14:solidFill>
                    <w14:schemeClr w14:val="tx1"/>
                  </w14:solidFill>
                </w14:textFill>
              </w:rPr>
              <w:t>是</w:t>
            </w:r>
          </w:p>
        </w:tc>
      </w:tr>
    </w:tbl>
    <w:p w14:paraId="4DC0AAF6">
      <w:pPr>
        <w:pStyle w:val="3"/>
        <w:rPr>
          <w:rFonts w:ascii="Times New Roman" w:cs="Times New Roman"/>
          <w:color w:val="000000" w:themeColor="text1"/>
          <w14:textFill>
            <w14:solidFill>
              <w14:schemeClr w14:val="tx1"/>
            </w14:solidFill>
          </w14:textFill>
        </w:rPr>
      </w:pPr>
      <w:bookmarkStart w:id="238" w:name="_Toc225268299"/>
      <w:r>
        <w:rPr>
          <w:rFonts w:ascii="Times New Roman" w:cs="Times New Roman"/>
          <w:color w:val="000000" w:themeColor="text1"/>
          <w14:textFill>
            <w14:solidFill>
              <w14:schemeClr w14:val="tx1"/>
            </w14:solidFill>
          </w14:textFill>
        </w:rPr>
        <w:t>原辅材料及资源、能源消耗</w:t>
      </w:r>
      <w:bookmarkEnd w:id="238"/>
    </w:p>
    <w:p w14:paraId="736B8425">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主要原辅材料消耗情况</w:t>
      </w:r>
    </w:p>
    <w:p w14:paraId="08A72CB5">
      <w:pPr>
        <w:ind w:firstLine="480"/>
        <w:rPr>
          <w:color w:val="000000" w:themeColor="text1"/>
          <w14:textFill>
            <w14:solidFill>
              <w14:schemeClr w14:val="tx1"/>
            </w14:solidFill>
          </w14:textFill>
        </w:rPr>
      </w:pPr>
      <w:bookmarkStart w:id="239" w:name="_Toc329793454"/>
      <w:bookmarkStart w:id="240" w:name="_Toc321821727"/>
      <w:bookmarkStart w:id="241" w:name="_Toc330460765"/>
      <w:r>
        <w:rPr>
          <w:color w:val="000000" w:themeColor="text1"/>
          <w14:textFill>
            <w14:solidFill>
              <w14:schemeClr w14:val="tx1"/>
            </w14:solidFill>
          </w14:textFill>
        </w:rPr>
        <w:t>（</w:t>
      </w:r>
      <w:r>
        <w:rPr>
          <w:rFonts w:eastAsia="Times New Roman"/>
          <w:color w:val="000000" w:themeColor="text1"/>
          <w:sz w:val="28"/>
          <w:szCs w:val="28"/>
          <w14:textFill>
            <w14:solidFill>
              <w14:schemeClr w14:val="tx1"/>
            </w14:solidFill>
          </w14:textFill>
        </w:rPr>
        <w:t>1</w:t>
      </w:r>
      <w:r>
        <w:rPr>
          <w:color w:val="000000" w:themeColor="text1"/>
          <w14:textFill>
            <w14:solidFill>
              <w14:schemeClr w14:val="tx1"/>
            </w14:solidFill>
          </w14:textFill>
        </w:rPr>
        <w:t>）主要原辅料及能源消耗</w:t>
      </w:r>
    </w:p>
    <w:p w14:paraId="106AD4A1">
      <w:pPr>
        <w:ind w:firstLine="480"/>
        <w:rPr>
          <w:color w:val="000000" w:themeColor="text1"/>
          <w14:textFill>
            <w14:solidFill>
              <w14:schemeClr w14:val="tx1"/>
            </w14:solidFill>
          </w14:textFill>
        </w:rPr>
      </w:pPr>
      <w:r>
        <w:rPr>
          <w:color w:val="000000" w:themeColor="text1"/>
          <w14:textFill>
            <w14:solidFill>
              <w14:schemeClr w14:val="tx1"/>
            </w14:solidFill>
          </w14:textFill>
        </w:rPr>
        <w:t>项目主体工程主要原辅材料消耗定额、运输及储存见下表。</w:t>
      </w:r>
    </w:p>
    <w:p w14:paraId="6D4800CC">
      <w:pPr>
        <w:pStyle w:val="1223"/>
        <w:ind w:firstLine="480"/>
        <w:rPr>
          <w:rFonts w:ascii="Times New Roman" w:hAnsi="Times New Roman" w:cs="Times New Roman"/>
          <w:color w:val="000000" w:themeColor="text1"/>
          <w14:textFill>
            <w14:solidFill>
              <w14:schemeClr w14:val="tx1"/>
            </w14:solidFill>
          </w14:textFill>
        </w:rPr>
        <w:sectPr>
          <w:pgSz w:w="11900" w:h="16840"/>
          <w:pgMar w:top="1418" w:right="1247" w:bottom="1418" w:left="1247" w:header="851" w:footer="851" w:gutter="0"/>
          <w:cols w:space="720" w:num="1"/>
          <w:docGrid w:linePitch="360" w:charSpace="0"/>
        </w:sectPr>
      </w:pPr>
      <w:r>
        <w:rPr>
          <w:rFonts w:ascii="Times New Roman" w:hAnsi="Times New Roman" w:cs="Times New Roman"/>
          <w:color w:val="000000" w:themeColor="text1"/>
          <w14:textFill>
            <w14:solidFill>
              <w14:schemeClr w14:val="tx1"/>
            </w14:solidFill>
          </w14:textFill>
        </w:rPr>
        <w:t xml:space="preserve"> </w:t>
      </w:r>
    </w:p>
    <w:p w14:paraId="6D6BD2CB">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项目主要原辅材料消耗定额、运输及储存情况表</w:t>
      </w:r>
    </w:p>
    <w:tbl>
      <w:tblPr>
        <w:tblStyle w:val="76"/>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55"/>
        <w:gridCol w:w="992"/>
        <w:gridCol w:w="1573"/>
        <w:gridCol w:w="6"/>
        <w:gridCol w:w="1038"/>
        <w:gridCol w:w="6"/>
        <w:gridCol w:w="2302"/>
        <w:gridCol w:w="9"/>
        <w:gridCol w:w="1213"/>
        <w:gridCol w:w="1747"/>
        <w:gridCol w:w="2331"/>
        <w:gridCol w:w="849"/>
        <w:gridCol w:w="1479"/>
      </w:tblGrid>
      <w:tr w14:paraId="1B1B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4" w:type="pct"/>
            <w:vAlign w:val="center"/>
          </w:tcPr>
          <w:p w14:paraId="5C829953">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99" w:type="pct"/>
            <w:gridSpan w:val="3"/>
            <w:vAlign w:val="center"/>
          </w:tcPr>
          <w:p w14:paraId="1940EE6E">
            <w:pPr>
              <w:pStyle w:val="109"/>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365" w:type="pct"/>
            <w:gridSpan w:val="2"/>
            <w:vAlign w:val="center"/>
          </w:tcPr>
          <w:p w14:paraId="6B07AD4D">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808" w:type="pct"/>
            <w:gridSpan w:val="2"/>
            <w:vAlign w:val="center"/>
          </w:tcPr>
          <w:p w14:paraId="20905DC8">
            <w:pPr>
              <w:pStyle w:val="109"/>
              <w:rPr>
                <w:color w:val="000000" w:themeColor="text1"/>
                <w14:textFill>
                  <w14:solidFill>
                    <w14:schemeClr w14:val="tx1"/>
                  </w14:solidFill>
                </w14:textFill>
              </w:rPr>
            </w:pPr>
            <w:r>
              <w:rPr>
                <w:color w:val="000000" w:themeColor="text1"/>
                <w14:textFill>
                  <w14:solidFill>
                    <w14:schemeClr w14:val="tx1"/>
                  </w14:solidFill>
                </w14:textFill>
              </w:rPr>
              <w:t>规格</w:t>
            </w:r>
          </w:p>
        </w:tc>
        <w:tc>
          <w:tcPr>
            <w:tcW w:w="423" w:type="pct"/>
            <w:vAlign w:val="center"/>
          </w:tcPr>
          <w:p w14:paraId="5D6A9068">
            <w:pPr>
              <w:pStyle w:val="109"/>
              <w:rPr>
                <w:color w:val="000000" w:themeColor="text1"/>
                <w14:textFill>
                  <w14:solidFill>
                    <w14:schemeClr w14:val="tx1"/>
                  </w14:solidFill>
                </w14:textFill>
              </w:rPr>
            </w:pPr>
            <w:r>
              <w:rPr>
                <w:color w:val="000000" w:themeColor="text1"/>
                <w14:textFill>
                  <w14:solidFill>
                    <w14:schemeClr w14:val="tx1"/>
                  </w14:solidFill>
                </w14:textFill>
              </w:rPr>
              <w:t>年用量</w:t>
            </w:r>
          </w:p>
        </w:tc>
        <w:tc>
          <w:tcPr>
            <w:tcW w:w="611" w:type="pct"/>
            <w:vAlign w:val="center"/>
          </w:tcPr>
          <w:p w14:paraId="21612EC6">
            <w:pPr>
              <w:pStyle w:val="109"/>
              <w:rPr>
                <w:color w:val="000000" w:themeColor="text1"/>
                <w14:textFill>
                  <w14:solidFill>
                    <w14:schemeClr w14:val="tx1"/>
                  </w14:solidFill>
                </w14:textFill>
              </w:rPr>
            </w:pPr>
            <w:r>
              <w:rPr>
                <w:color w:val="000000" w:themeColor="text1"/>
                <w14:textFill>
                  <w14:solidFill>
                    <w14:schemeClr w14:val="tx1"/>
                  </w14:solidFill>
                </w14:textFill>
              </w:rPr>
              <w:t>最大储量（吨）</w:t>
            </w:r>
          </w:p>
        </w:tc>
        <w:tc>
          <w:tcPr>
            <w:tcW w:w="815" w:type="pct"/>
            <w:vAlign w:val="center"/>
          </w:tcPr>
          <w:p w14:paraId="284C1F13">
            <w:pPr>
              <w:pStyle w:val="109"/>
              <w:rPr>
                <w:color w:val="000000" w:themeColor="text1"/>
                <w14:textFill>
                  <w14:solidFill>
                    <w14:schemeClr w14:val="tx1"/>
                  </w14:solidFill>
                </w14:textFill>
              </w:rPr>
            </w:pPr>
            <w:r>
              <w:rPr>
                <w:color w:val="000000" w:themeColor="text1"/>
                <w14:textFill>
                  <w14:solidFill>
                    <w14:schemeClr w14:val="tx1"/>
                  </w14:solidFill>
                </w14:textFill>
              </w:rPr>
              <w:t>备注</w:t>
            </w:r>
          </w:p>
        </w:tc>
        <w:tc>
          <w:tcPr>
            <w:tcW w:w="297" w:type="pct"/>
            <w:vAlign w:val="center"/>
          </w:tcPr>
          <w:p w14:paraId="0B50D7C6">
            <w:pPr>
              <w:pStyle w:val="109"/>
              <w:rPr>
                <w:color w:val="000000" w:themeColor="text1"/>
                <w14:textFill>
                  <w14:solidFill>
                    <w14:schemeClr w14:val="tx1"/>
                  </w14:solidFill>
                </w14:textFill>
              </w:rPr>
            </w:pPr>
            <w:r>
              <w:rPr>
                <w:color w:val="000000" w:themeColor="text1"/>
                <w14:textFill>
                  <w14:solidFill>
                    <w14:schemeClr w14:val="tx1"/>
                  </w14:solidFill>
                </w14:textFill>
              </w:rPr>
              <w:t>状态</w:t>
            </w:r>
          </w:p>
        </w:tc>
        <w:tc>
          <w:tcPr>
            <w:tcW w:w="518" w:type="pct"/>
            <w:vAlign w:val="center"/>
          </w:tcPr>
          <w:p w14:paraId="3E8F50CA">
            <w:pPr>
              <w:pStyle w:val="109"/>
              <w:rPr>
                <w:color w:val="000000" w:themeColor="text1"/>
                <w14:textFill>
                  <w14:solidFill>
                    <w14:schemeClr w14:val="tx1"/>
                  </w14:solidFill>
                </w14:textFill>
              </w:rPr>
            </w:pPr>
            <w:r>
              <w:rPr>
                <w:color w:val="000000" w:themeColor="text1"/>
                <w14:textFill>
                  <w14:solidFill>
                    <w14:schemeClr w14:val="tx1"/>
                  </w14:solidFill>
                </w14:textFill>
              </w:rPr>
              <w:t>运输方式</w:t>
            </w:r>
          </w:p>
        </w:tc>
      </w:tr>
      <w:tr w14:paraId="5CC5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4" w:type="pct"/>
            <w:vAlign w:val="center"/>
          </w:tcPr>
          <w:p w14:paraId="32F6961B">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347" w:type="pct"/>
            <w:vAlign w:val="center"/>
          </w:tcPr>
          <w:p w14:paraId="14EAB672">
            <w:pPr>
              <w:pStyle w:val="109"/>
              <w:rPr>
                <w:color w:val="000000" w:themeColor="text1"/>
                <w14:textFill>
                  <w14:solidFill>
                    <w14:schemeClr w14:val="tx1"/>
                  </w14:solidFill>
                </w14:textFill>
              </w:rPr>
            </w:pPr>
            <w:r>
              <w:rPr>
                <w:color w:val="000000" w:themeColor="text1"/>
                <w14:textFill>
                  <w14:solidFill>
                    <w14:schemeClr w14:val="tx1"/>
                  </w14:solidFill>
                </w14:textFill>
              </w:rPr>
              <w:t>主要原料</w:t>
            </w:r>
          </w:p>
        </w:tc>
        <w:tc>
          <w:tcPr>
            <w:tcW w:w="550" w:type="pct"/>
            <w:vAlign w:val="center"/>
          </w:tcPr>
          <w:p w14:paraId="38E96572">
            <w:pPr>
              <w:pStyle w:val="109"/>
              <w:rPr>
                <w:color w:val="000000" w:themeColor="text1"/>
                <w14:textFill>
                  <w14:solidFill>
                    <w14:schemeClr w14:val="tx1"/>
                  </w14:solidFill>
                </w14:textFill>
              </w:rPr>
            </w:pPr>
            <w:r>
              <w:rPr>
                <w:color w:val="000000" w:themeColor="text1"/>
                <w14:textFill>
                  <w14:solidFill>
                    <w14:schemeClr w14:val="tx1"/>
                  </w14:solidFill>
                </w14:textFill>
              </w:rPr>
              <w:t>废盐</w:t>
            </w:r>
          </w:p>
        </w:tc>
        <w:tc>
          <w:tcPr>
            <w:tcW w:w="365" w:type="pct"/>
            <w:gridSpan w:val="2"/>
            <w:vAlign w:val="center"/>
          </w:tcPr>
          <w:p w14:paraId="6CE5A5DF">
            <w:pPr>
              <w:pStyle w:val="109"/>
              <w:rPr>
                <w:color w:val="000000" w:themeColor="text1"/>
                <w14:textFill>
                  <w14:solidFill>
                    <w14:schemeClr w14:val="tx1"/>
                  </w14:solidFill>
                </w14:textFill>
              </w:rPr>
            </w:pPr>
            <w:r>
              <w:rPr>
                <w:color w:val="000000" w:themeColor="text1"/>
                <w14:textFill>
                  <w14:solidFill>
                    <w14:schemeClr w14:val="tx1"/>
                  </w14:solidFill>
                </w14:textFill>
              </w:rPr>
              <w:t>吨/年</w:t>
            </w:r>
          </w:p>
        </w:tc>
        <w:tc>
          <w:tcPr>
            <w:tcW w:w="807" w:type="pct"/>
            <w:gridSpan w:val="2"/>
            <w:vAlign w:val="center"/>
          </w:tcPr>
          <w:p w14:paraId="41194596">
            <w:pPr>
              <w:pStyle w:val="109"/>
              <w:rPr>
                <w:color w:val="000000" w:themeColor="text1"/>
                <w14:textFill>
                  <w14:solidFill>
                    <w14:schemeClr w14:val="tx1"/>
                  </w14:solidFill>
                </w14:textFill>
              </w:rPr>
            </w:pPr>
            <w:r>
              <w:rPr>
                <w:color w:val="000000" w:themeColor="text1"/>
                <w14:textFill>
                  <w14:solidFill>
                    <w14:schemeClr w14:val="tx1"/>
                  </w14:solidFill>
                </w14:textFill>
              </w:rPr>
              <w:t>废盐（氯化钠、硫酸钠等）</w:t>
            </w:r>
          </w:p>
        </w:tc>
        <w:tc>
          <w:tcPr>
            <w:tcW w:w="427" w:type="pct"/>
            <w:gridSpan w:val="2"/>
            <w:vAlign w:val="center"/>
          </w:tcPr>
          <w:p w14:paraId="018F62CA">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611" w:type="pct"/>
            <w:vAlign w:val="center"/>
          </w:tcPr>
          <w:p w14:paraId="0B4BCD56">
            <w:pPr>
              <w:pStyle w:val="109"/>
              <w:rPr>
                <w:color w:val="000000" w:themeColor="text1"/>
                <w14:textFill>
                  <w14:solidFill>
                    <w14:schemeClr w14:val="tx1"/>
                  </w14:solidFill>
                </w14:textFill>
              </w:rPr>
            </w:pPr>
            <w:r>
              <w:rPr>
                <w:color w:val="000000" w:themeColor="text1"/>
                <w14:textFill>
                  <w14:solidFill>
                    <w14:schemeClr w14:val="tx1"/>
                  </w14:solidFill>
                </w14:textFill>
              </w:rPr>
              <w:t>2252</w:t>
            </w:r>
          </w:p>
        </w:tc>
        <w:tc>
          <w:tcPr>
            <w:tcW w:w="815" w:type="pct"/>
            <w:vAlign w:val="center"/>
          </w:tcPr>
          <w:p w14:paraId="761102FA">
            <w:pPr>
              <w:pStyle w:val="109"/>
              <w:rPr>
                <w:color w:val="000000" w:themeColor="text1"/>
                <w14:textFill>
                  <w14:solidFill>
                    <w14:schemeClr w14:val="tx1"/>
                  </w14:solidFill>
                </w14:textFill>
              </w:rPr>
            </w:pPr>
            <w:r>
              <w:rPr>
                <w:color w:val="000000" w:themeColor="text1"/>
                <w14:textFill>
                  <w14:solidFill>
                    <w14:schemeClr w14:val="tx1"/>
                  </w14:solidFill>
                </w14:textFill>
              </w:rPr>
              <w:t>吨包/原料仓库</w:t>
            </w:r>
          </w:p>
        </w:tc>
        <w:tc>
          <w:tcPr>
            <w:tcW w:w="297" w:type="pct"/>
            <w:vAlign w:val="center"/>
          </w:tcPr>
          <w:p w14:paraId="05AC2D81">
            <w:pPr>
              <w:pStyle w:val="109"/>
              <w:rPr>
                <w:color w:val="000000" w:themeColor="text1"/>
                <w14:textFill>
                  <w14:solidFill>
                    <w14:schemeClr w14:val="tx1"/>
                  </w14:solidFill>
                </w14:textFill>
              </w:rPr>
            </w:pPr>
            <w:r>
              <w:rPr>
                <w:color w:val="000000" w:themeColor="text1"/>
                <w14:textFill>
                  <w14:solidFill>
                    <w14:schemeClr w14:val="tx1"/>
                  </w14:solidFill>
                </w14:textFill>
              </w:rPr>
              <w:t>固</w:t>
            </w:r>
          </w:p>
        </w:tc>
        <w:tc>
          <w:tcPr>
            <w:tcW w:w="518" w:type="pct"/>
            <w:vAlign w:val="center"/>
          </w:tcPr>
          <w:p w14:paraId="395A6AEE">
            <w:pPr>
              <w:pStyle w:val="109"/>
              <w:rPr>
                <w:color w:val="000000" w:themeColor="text1"/>
                <w14:textFill>
                  <w14:solidFill>
                    <w14:schemeClr w14:val="tx1"/>
                  </w14:solidFill>
                </w14:textFill>
              </w:rPr>
            </w:pPr>
            <w:r>
              <w:rPr>
                <w:color w:val="000000" w:themeColor="text1"/>
                <w14:textFill>
                  <w14:solidFill>
                    <w14:schemeClr w14:val="tx1"/>
                  </w14:solidFill>
                </w14:textFill>
              </w:rPr>
              <w:t>汽运</w:t>
            </w:r>
          </w:p>
        </w:tc>
      </w:tr>
      <w:tr w14:paraId="2B03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4" w:type="pct"/>
            <w:vAlign w:val="center"/>
          </w:tcPr>
          <w:p w14:paraId="0DC62731">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347" w:type="pct"/>
            <w:vMerge w:val="restart"/>
            <w:vAlign w:val="center"/>
          </w:tcPr>
          <w:p w14:paraId="5E211877">
            <w:pPr>
              <w:pStyle w:val="109"/>
              <w:rPr>
                <w:color w:val="000000" w:themeColor="text1"/>
                <w14:textFill>
                  <w14:solidFill>
                    <w14:schemeClr w14:val="tx1"/>
                  </w14:solidFill>
                </w14:textFill>
              </w:rPr>
            </w:pPr>
            <w:r>
              <w:rPr>
                <w:color w:val="000000" w:themeColor="text1"/>
                <w14:textFill>
                  <w14:solidFill>
                    <w14:schemeClr w14:val="tx1"/>
                  </w14:solidFill>
                </w14:textFill>
              </w:rPr>
              <w:t>辅料</w:t>
            </w:r>
          </w:p>
        </w:tc>
        <w:tc>
          <w:tcPr>
            <w:tcW w:w="550" w:type="pct"/>
            <w:vAlign w:val="center"/>
          </w:tcPr>
          <w:p w14:paraId="05DA344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氨水</w:t>
            </w:r>
          </w:p>
        </w:tc>
        <w:tc>
          <w:tcPr>
            <w:tcW w:w="365" w:type="pct"/>
            <w:gridSpan w:val="2"/>
            <w:vAlign w:val="center"/>
          </w:tcPr>
          <w:p w14:paraId="1F1376F5">
            <w:pPr>
              <w:pStyle w:val="109"/>
              <w:rPr>
                <w:color w:val="000000" w:themeColor="text1"/>
                <w14:textFill>
                  <w14:solidFill>
                    <w14:schemeClr w14:val="tx1"/>
                  </w14:solidFill>
                </w14:textFill>
              </w:rPr>
            </w:pPr>
            <w:r>
              <w:rPr>
                <w:color w:val="000000" w:themeColor="text1"/>
                <w14:textFill>
                  <w14:solidFill>
                    <w14:schemeClr w14:val="tx1"/>
                  </w14:solidFill>
                </w14:textFill>
              </w:rPr>
              <w:t>吨/年</w:t>
            </w:r>
          </w:p>
        </w:tc>
        <w:tc>
          <w:tcPr>
            <w:tcW w:w="807" w:type="pct"/>
            <w:gridSpan w:val="2"/>
            <w:vAlign w:val="center"/>
          </w:tcPr>
          <w:p w14:paraId="48C76A9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浓度10%</w:t>
            </w:r>
          </w:p>
        </w:tc>
        <w:tc>
          <w:tcPr>
            <w:tcW w:w="427" w:type="pct"/>
            <w:gridSpan w:val="2"/>
            <w:vAlign w:val="center"/>
          </w:tcPr>
          <w:p w14:paraId="25504D8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360</w:t>
            </w:r>
          </w:p>
        </w:tc>
        <w:tc>
          <w:tcPr>
            <w:tcW w:w="611" w:type="pct"/>
            <w:vAlign w:val="center"/>
          </w:tcPr>
          <w:p w14:paraId="50B54A4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815" w:type="pct"/>
            <w:vAlign w:val="center"/>
          </w:tcPr>
          <w:p w14:paraId="55EEC10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0m³储罐储存</w:t>
            </w:r>
          </w:p>
        </w:tc>
        <w:tc>
          <w:tcPr>
            <w:tcW w:w="297" w:type="pct"/>
            <w:vAlign w:val="center"/>
          </w:tcPr>
          <w:p w14:paraId="436F4D4E">
            <w:pPr>
              <w:pStyle w:val="109"/>
              <w:rPr>
                <w:color w:val="000000" w:themeColor="text1"/>
                <w14:textFill>
                  <w14:solidFill>
                    <w14:schemeClr w14:val="tx1"/>
                  </w14:solidFill>
                </w14:textFill>
              </w:rPr>
            </w:pPr>
            <w:r>
              <w:rPr>
                <w:color w:val="000000" w:themeColor="text1"/>
                <w14:textFill>
                  <w14:solidFill>
                    <w14:schemeClr w14:val="tx1"/>
                  </w14:solidFill>
                </w14:textFill>
              </w:rPr>
              <w:t>液</w:t>
            </w:r>
          </w:p>
        </w:tc>
        <w:tc>
          <w:tcPr>
            <w:tcW w:w="518" w:type="pct"/>
            <w:vAlign w:val="center"/>
          </w:tcPr>
          <w:p w14:paraId="1FF5928A">
            <w:pPr>
              <w:pStyle w:val="109"/>
              <w:rPr>
                <w:color w:val="000000" w:themeColor="text1"/>
                <w14:textFill>
                  <w14:solidFill>
                    <w14:schemeClr w14:val="tx1"/>
                  </w14:solidFill>
                </w14:textFill>
              </w:rPr>
            </w:pPr>
            <w:r>
              <w:rPr>
                <w:color w:val="000000" w:themeColor="text1"/>
                <w14:textFill>
                  <w14:solidFill>
                    <w14:schemeClr w14:val="tx1"/>
                  </w14:solidFill>
                </w14:textFill>
              </w:rPr>
              <w:t>汽运</w:t>
            </w:r>
          </w:p>
        </w:tc>
      </w:tr>
      <w:tr w14:paraId="68B9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4" w:type="pct"/>
            <w:vAlign w:val="center"/>
          </w:tcPr>
          <w:p w14:paraId="3D668FCB">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347" w:type="pct"/>
            <w:vMerge w:val="continue"/>
            <w:vAlign w:val="center"/>
          </w:tcPr>
          <w:p w14:paraId="45470828">
            <w:pPr>
              <w:pStyle w:val="109"/>
              <w:rPr>
                <w:color w:val="000000" w:themeColor="text1"/>
                <w14:textFill>
                  <w14:solidFill>
                    <w14:schemeClr w14:val="tx1"/>
                  </w14:solidFill>
                </w14:textFill>
              </w:rPr>
            </w:pPr>
          </w:p>
        </w:tc>
        <w:tc>
          <w:tcPr>
            <w:tcW w:w="550" w:type="pct"/>
            <w:vAlign w:val="center"/>
          </w:tcPr>
          <w:p w14:paraId="22A72D0C">
            <w:pPr>
              <w:pStyle w:val="109"/>
              <w:rPr>
                <w:color w:val="000000" w:themeColor="text1"/>
                <w14:textFill>
                  <w14:solidFill>
                    <w14:schemeClr w14:val="tx1"/>
                  </w14:solidFill>
                </w14:textFill>
              </w:rPr>
            </w:pPr>
            <w:r>
              <w:rPr>
                <w:color w:val="000000" w:themeColor="text1"/>
                <w14:textFill>
                  <w14:solidFill>
                    <w14:schemeClr w14:val="tx1"/>
                  </w14:solidFill>
                </w14:textFill>
              </w:rPr>
              <w:t>30%氢氧化钠</w:t>
            </w:r>
          </w:p>
        </w:tc>
        <w:tc>
          <w:tcPr>
            <w:tcW w:w="365" w:type="pct"/>
            <w:gridSpan w:val="2"/>
            <w:vAlign w:val="center"/>
          </w:tcPr>
          <w:p w14:paraId="0277F816">
            <w:pPr>
              <w:pStyle w:val="109"/>
              <w:rPr>
                <w:color w:val="000000" w:themeColor="text1"/>
                <w14:textFill>
                  <w14:solidFill>
                    <w14:schemeClr w14:val="tx1"/>
                  </w14:solidFill>
                </w14:textFill>
              </w:rPr>
            </w:pPr>
            <w:r>
              <w:rPr>
                <w:color w:val="000000" w:themeColor="text1"/>
                <w14:textFill>
                  <w14:solidFill>
                    <w14:schemeClr w14:val="tx1"/>
                  </w14:solidFill>
                </w14:textFill>
              </w:rPr>
              <w:t>吨/年</w:t>
            </w:r>
          </w:p>
        </w:tc>
        <w:tc>
          <w:tcPr>
            <w:tcW w:w="807" w:type="pct"/>
            <w:gridSpan w:val="2"/>
            <w:vAlign w:val="center"/>
          </w:tcPr>
          <w:p w14:paraId="4F75057C">
            <w:pPr>
              <w:pStyle w:val="109"/>
              <w:rPr>
                <w:color w:val="000000" w:themeColor="text1"/>
                <w14:textFill>
                  <w14:solidFill>
                    <w14:schemeClr w14:val="tx1"/>
                  </w14:solidFill>
                </w14:textFill>
              </w:rPr>
            </w:pPr>
            <w:r>
              <w:rPr>
                <w:color w:val="000000" w:themeColor="text1"/>
                <w14:textFill>
                  <w14:solidFill>
                    <w14:schemeClr w14:val="tx1"/>
                  </w14:solidFill>
                </w14:textFill>
              </w:rPr>
              <w:t>浓度为30%</w:t>
            </w:r>
          </w:p>
        </w:tc>
        <w:tc>
          <w:tcPr>
            <w:tcW w:w="427" w:type="pct"/>
            <w:gridSpan w:val="2"/>
            <w:vAlign w:val="center"/>
          </w:tcPr>
          <w:p w14:paraId="5760474E">
            <w:pPr>
              <w:pStyle w:val="109"/>
              <w:rPr>
                <w:color w:val="000000" w:themeColor="text1"/>
                <w14:textFill>
                  <w14:solidFill>
                    <w14:schemeClr w14:val="tx1"/>
                  </w14:solidFill>
                </w14:textFill>
              </w:rPr>
            </w:pPr>
            <w:r>
              <w:rPr>
                <w:color w:val="000000" w:themeColor="text1"/>
                <w14:textFill>
                  <w14:solidFill>
                    <w14:schemeClr w14:val="tx1"/>
                  </w14:solidFill>
                </w14:textFill>
              </w:rPr>
              <w:t>2378.4</w:t>
            </w:r>
          </w:p>
        </w:tc>
        <w:tc>
          <w:tcPr>
            <w:tcW w:w="611" w:type="pct"/>
            <w:vAlign w:val="center"/>
          </w:tcPr>
          <w:p w14:paraId="419BB894">
            <w:pPr>
              <w:pStyle w:val="109"/>
              <w:rPr>
                <w:color w:val="000000" w:themeColor="text1"/>
                <w14:textFill>
                  <w14:solidFill>
                    <w14:schemeClr w14:val="tx1"/>
                  </w14:solidFill>
                </w14:textFill>
              </w:rPr>
            </w:pPr>
            <w:r>
              <w:rPr>
                <w:color w:val="000000" w:themeColor="text1"/>
                <w14:textFill>
                  <w14:solidFill>
                    <w14:schemeClr w14:val="tx1"/>
                  </w14:solidFill>
                </w14:textFill>
              </w:rPr>
              <w:t>50</w:t>
            </w:r>
          </w:p>
        </w:tc>
        <w:tc>
          <w:tcPr>
            <w:tcW w:w="815" w:type="pct"/>
            <w:vAlign w:val="center"/>
          </w:tcPr>
          <w:p w14:paraId="0E04D38B">
            <w:pPr>
              <w:pStyle w:val="109"/>
              <w:rPr>
                <w:color w:val="000000" w:themeColor="text1"/>
                <w14:textFill>
                  <w14:solidFill>
                    <w14:schemeClr w14:val="tx1"/>
                  </w14:solidFill>
                </w14:textFill>
              </w:rPr>
            </w:pPr>
            <w:r>
              <w:rPr>
                <w:color w:val="000000" w:themeColor="text1"/>
                <w14:textFill>
                  <w14:solidFill>
                    <w14:schemeClr w14:val="tx1"/>
                  </w14:solidFill>
                </w14:textFill>
              </w:rPr>
              <w:t>50m³储罐储存</w:t>
            </w:r>
          </w:p>
        </w:tc>
        <w:tc>
          <w:tcPr>
            <w:tcW w:w="297" w:type="pct"/>
            <w:vAlign w:val="center"/>
          </w:tcPr>
          <w:p w14:paraId="6A3443CD">
            <w:pPr>
              <w:pStyle w:val="109"/>
              <w:rPr>
                <w:color w:val="000000" w:themeColor="text1"/>
                <w14:textFill>
                  <w14:solidFill>
                    <w14:schemeClr w14:val="tx1"/>
                  </w14:solidFill>
                </w14:textFill>
              </w:rPr>
            </w:pPr>
            <w:r>
              <w:rPr>
                <w:color w:val="000000" w:themeColor="text1"/>
                <w14:textFill>
                  <w14:solidFill>
                    <w14:schemeClr w14:val="tx1"/>
                  </w14:solidFill>
                </w14:textFill>
              </w:rPr>
              <w:t>液</w:t>
            </w:r>
          </w:p>
        </w:tc>
        <w:tc>
          <w:tcPr>
            <w:tcW w:w="518" w:type="pct"/>
            <w:vAlign w:val="center"/>
          </w:tcPr>
          <w:p w14:paraId="7219F42C">
            <w:pPr>
              <w:pStyle w:val="109"/>
              <w:rPr>
                <w:color w:val="000000" w:themeColor="text1"/>
                <w14:textFill>
                  <w14:solidFill>
                    <w14:schemeClr w14:val="tx1"/>
                  </w14:solidFill>
                </w14:textFill>
              </w:rPr>
            </w:pPr>
            <w:r>
              <w:rPr>
                <w:color w:val="000000" w:themeColor="text1"/>
                <w14:textFill>
                  <w14:solidFill>
                    <w14:schemeClr w14:val="tx1"/>
                  </w14:solidFill>
                </w14:textFill>
              </w:rPr>
              <w:t>汽运</w:t>
            </w:r>
          </w:p>
        </w:tc>
      </w:tr>
      <w:tr w14:paraId="74EB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4" w:type="pct"/>
            <w:vAlign w:val="center"/>
          </w:tcPr>
          <w:p w14:paraId="25FEC6E9">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347" w:type="pct"/>
            <w:vMerge w:val="continue"/>
            <w:vAlign w:val="center"/>
          </w:tcPr>
          <w:p w14:paraId="0815EC31">
            <w:pPr>
              <w:pStyle w:val="109"/>
              <w:rPr>
                <w:color w:val="000000" w:themeColor="text1"/>
                <w14:textFill>
                  <w14:solidFill>
                    <w14:schemeClr w14:val="tx1"/>
                  </w14:solidFill>
                </w14:textFill>
              </w:rPr>
            </w:pPr>
          </w:p>
        </w:tc>
        <w:tc>
          <w:tcPr>
            <w:tcW w:w="550" w:type="pct"/>
            <w:vAlign w:val="center"/>
          </w:tcPr>
          <w:p w14:paraId="3A21976F">
            <w:pPr>
              <w:pStyle w:val="109"/>
              <w:rPr>
                <w:color w:val="000000" w:themeColor="text1"/>
                <w14:textFill>
                  <w14:solidFill>
                    <w14:schemeClr w14:val="tx1"/>
                  </w14:solidFill>
                </w14:textFill>
              </w:rPr>
            </w:pPr>
            <w:r>
              <w:rPr>
                <w:color w:val="000000" w:themeColor="text1"/>
                <w14:textFill>
                  <w14:solidFill>
                    <w14:schemeClr w14:val="tx1"/>
                  </w14:solidFill>
                </w14:textFill>
              </w:rPr>
              <w:t>活性炭</w:t>
            </w:r>
          </w:p>
        </w:tc>
        <w:tc>
          <w:tcPr>
            <w:tcW w:w="365" w:type="pct"/>
            <w:gridSpan w:val="2"/>
            <w:vAlign w:val="center"/>
          </w:tcPr>
          <w:p w14:paraId="35BB5F68">
            <w:pPr>
              <w:pStyle w:val="109"/>
              <w:rPr>
                <w:color w:val="000000" w:themeColor="text1"/>
                <w14:textFill>
                  <w14:solidFill>
                    <w14:schemeClr w14:val="tx1"/>
                  </w14:solidFill>
                </w14:textFill>
              </w:rPr>
            </w:pPr>
            <w:r>
              <w:rPr>
                <w:color w:val="000000" w:themeColor="text1"/>
                <w14:textFill>
                  <w14:solidFill>
                    <w14:schemeClr w14:val="tx1"/>
                  </w14:solidFill>
                </w14:textFill>
              </w:rPr>
              <w:t>吨/年</w:t>
            </w:r>
          </w:p>
        </w:tc>
        <w:tc>
          <w:tcPr>
            <w:tcW w:w="807" w:type="pct"/>
            <w:gridSpan w:val="2"/>
            <w:vAlign w:val="center"/>
          </w:tcPr>
          <w:p w14:paraId="7047E9B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427" w:type="pct"/>
            <w:gridSpan w:val="2"/>
            <w:vAlign w:val="center"/>
          </w:tcPr>
          <w:p w14:paraId="11DD7ED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611" w:type="pct"/>
            <w:vAlign w:val="center"/>
          </w:tcPr>
          <w:p w14:paraId="21B7C87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815" w:type="pct"/>
            <w:vAlign w:val="center"/>
          </w:tcPr>
          <w:p w14:paraId="2291A8A3">
            <w:pPr>
              <w:pStyle w:val="109"/>
              <w:rPr>
                <w:color w:val="000000" w:themeColor="text1"/>
                <w14:textFill>
                  <w14:solidFill>
                    <w14:schemeClr w14:val="tx1"/>
                  </w14:solidFill>
                </w14:textFill>
              </w:rPr>
            </w:pPr>
            <w:r>
              <w:rPr>
                <w:color w:val="000000" w:themeColor="text1"/>
                <w14:textFill>
                  <w14:solidFill>
                    <w14:schemeClr w14:val="tx1"/>
                  </w14:solidFill>
                </w14:textFill>
              </w:rPr>
              <w:t>每季度更换一次，每次</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m³</w:t>
            </w:r>
          </w:p>
        </w:tc>
        <w:tc>
          <w:tcPr>
            <w:tcW w:w="297" w:type="pct"/>
            <w:vAlign w:val="center"/>
          </w:tcPr>
          <w:p w14:paraId="48FF4C48">
            <w:pPr>
              <w:pStyle w:val="109"/>
              <w:rPr>
                <w:color w:val="000000" w:themeColor="text1"/>
                <w14:textFill>
                  <w14:solidFill>
                    <w14:schemeClr w14:val="tx1"/>
                  </w14:solidFill>
                </w14:textFill>
              </w:rPr>
            </w:pPr>
            <w:r>
              <w:rPr>
                <w:color w:val="000000" w:themeColor="text1"/>
                <w14:textFill>
                  <w14:solidFill>
                    <w14:schemeClr w14:val="tx1"/>
                  </w14:solidFill>
                </w14:textFill>
              </w:rPr>
              <w:t>固</w:t>
            </w:r>
          </w:p>
        </w:tc>
        <w:tc>
          <w:tcPr>
            <w:tcW w:w="518" w:type="pct"/>
            <w:vAlign w:val="center"/>
          </w:tcPr>
          <w:p w14:paraId="051E428C">
            <w:pPr>
              <w:pStyle w:val="109"/>
              <w:rPr>
                <w:color w:val="000000" w:themeColor="text1"/>
                <w14:textFill>
                  <w14:solidFill>
                    <w14:schemeClr w14:val="tx1"/>
                  </w14:solidFill>
                </w14:textFill>
              </w:rPr>
            </w:pPr>
            <w:r>
              <w:rPr>
                <w:color w:val="000000" w:themeColor="text1"/>
                <w14:textFill>
                  <w14:solidFill>
                    <w14:schemeClr w14:val="tx1"/>
                  </w14:solidFill>
                </w14:textFill>
              </w:rPr>
              <w:t>汽运</w:t>
            </w:r>
          </w:p>
        </w:tc>
      </w:tr>
      <w:tr w14:paraId="3AC8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4" w:type="pct"/>
            <w:vAlign w:val="center"/>
          </w:tcPr>
          <w:p w14:paraId="538EA6C3">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347" w:type="pct"/>
            <w:vMerge w:val="continue"/>
            <w:vAlign w:val="center"/>
          </w:tcPr>
          <w:p w14:paraId="06EF866B">
            <w:pPr>
              <w:pStyle w:val="109"/>
              <w:rPr>
                <w:color w:val="000000" w:themeColor="text1"/>
                <w14:textFill>
                  <w14:solidFill>
                    <w14:schemeClr w14:val="tx1"/>
                  </w14:solidFill>
                </w14:textFill>
              </w:rPr>
            </w:pPr>
          </w:p>
        </w:tc>
        <w:tc>
          <w:tcPr>
            <w:tcW w:w="550" w:type="pct"/>
            <w:vAlign w:val="center"/>
          </w:tcPr>
          <w:p w14:paraId="22A0736A">
            <w:pPr>
              <w:pStyle w:val="109"/>
              <w:rPr>
                <w:color w:val="000000" w:themeColor="text1"/>
                <w14:textFill>
                  <w14:solidFill>
                    <w14:schemeClr w14:val="tx1"/>
                  </w14:solidFill>
                </w14:textFill>
              </w:rPr>
            </w:pPr>
            <w:r>
              <w:rPr>
                <w:color w:val="000000" w:themeColor="text1"/>
                <w14:textFill>
                  <w14:solidFill>
                    <w14:schemeClr w14:val="tx1"/>
                  </w14:solidFill>
                </w14:textFill>
              </w:rPr>
              <w:t>脱硝催化剂</w:t>
            </w:r>
          </w:p>
        </w:tc>
        <w:tc>
          <w:tcPr>
            <w:tcW w:w="365" w:type="pct"/>
            <w:gridSpan w:val="2"/>
            <w:vAlign w:val="center"/>
          </w:tcPr>
          <w:p w14:paraId="0078648E">
            <w:pPr>
              <w:pStyle w:val="109"/>
              <w:rPr>
                <w:color w:val="000000" w:themeColor="text1"/>
                <w14:textFill>
                  <w14:solidFill>
                    <w14:schemeClr w14:val="tx1"/>
                  </w14:solidFill>
                </w14:textFill>
              </w:rPr>
            </w:pPr>
            <w:r>
              <w:rPr>
                <w:color w:val="000000" w:themeColor="text1"/>
                <w14:textFill>
                  <w14:solidFill>
                    <w14:schemeClr w14:val="tx1"/>
                  </w14:solidFill>
                </w14:textFill>
              </w:rPr>
              <w:t>m³/a</w:t>
            </w:r>
          </w:p>
        </w:tc>
        <w:tc>
          <w:tcPr>
            <w:tcW w:w="807" w:type="pct"/>
            <w:gridSpan w:val="2"/>
            <w:vAlign w:val="center"/>
          </w:tcPr>
          <w:p w14:paraId="25B6542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427" w:type="pct"/>
            <w:gridSpan w:val="2"/>
            <w:vAlign w:val="center"/>
          </w:tcPr>
          <w:p w14:paraId="5EC761B1">
            <w:pPr>
              <w:pStyle w:val="109"/>
              <w:rPr>
                <w:color w:val="000000" w:themeColor="text1"/>
                <w14:textFill>
                  <w14:solidFill>
                    <w14:schemeClr w14:val="tx1"/>
                  </w14:solidFill>
                </w14:textFill>
              </w:rPr>
            </w:pPr>
            <w:r>
              <w:rPr>
                <w:color w:val="000000" w:themeColor="text1"/>
                <w14:textFill>
                  <w14:solidFill>
                    <w14:schemeClr w14:val="tx1"/>
                  </w14:solidFill>
                </w14:textFill>
              </w:rPr>
              <w:t>1.5m³</w:t>
            </w:r>
          </w:p>
        </w:tc>
        <w:tc>
          <w:tcPr>
            <w:tcW w:w="611" w:type="pct"/>
            <w:vAlign w:val="center"/>
          </w:tcPr>
          <w:p w14:paraId="21FB9C8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815" w:type="pct"/>
            <w:vAlign w:val="center"/>
          </w:tcPr>
          <w:p w14:paraId="4CAFD0E3">
            <w:pPr>
              <w:pStyle w:val="109"/>
              <w:rPr>
                <w:color w:val="000000" w:themeColor="text1"/>
                <w14:textFill>
                  <w14:solidFill>
                    <w14:schemeClr w14:val="tx1"/>
                  </w14:solidFill>
                </w14:textFill>
              </w:rPr>
            </w:pPr>
            <w:r>
              <w:rPr>
                <w:color w:val="000000" w:themeColor="text1"/>
                <w14:textFill>
                  <w14:solidFill>
                    <w14:schemeClr w14:val="tx1"/>
                  </w14:solidFill>
                </w14:textFill>
              </w:rPr>
              <w:t>寿命20000h</w:t>
            </w:r>
          </w:p>
        </w:tc>
        <w:tc>
          <w:tcPr>
            <w:tcW w:w="297" w:type="pct"/>
            <w:vAlign w:val="center"/>
          </w:tcPr>
          <w:p w14:paraId="0FED6E02">
            <w:pPr>
              <w:pStyle w:val="109"/>
              <w:rPr>
                <w:color w:val="000000" w:themeColor="text1"/>
                <w14:textFill>
                  <w14:solidFill>
                    <w14:schemeClr w14:val="tx1"/>
                  </w14:solidFill>
                </w14:textFill>
              </w:rPr>
            </w:pPr>
            <w:r>
              <w:rPr>
                <w:color w:val="000000" w:themeColor="text1"/>
                <w14:textFill>
                  <w14:solidFill>
                    <w14:schemeClr w14:val="tx1"/>
                  </w14:solidFill>
                </w14:textFill>
              </w:rPr>
              <w:t>固</w:t>
            </w:r>
          </w:p>
        </w:tc>
        <w:tc>
          <w:tcPr>
            <w:tcW w:w="518" w:type="pct"/>
            <w:vAlign w:val="center"/>
          </w:tcPr>
          <w:p w14:paraId="22A1F887">
            <w:pPr>
              <w:pStyle w:val="109"/>
              <w:rPr>
                <w:color w:val="000000" w:themeColor="text1"/>
                <w14:textFill>
                  <w14:solidFill>
                    <w14:schemeClr w14:val="tx1"/>
                  </w14:solidFill>
                </w14:textFill>
              </w:rPr>
            </w:pPr>
            <w:r>
              <w:rPr>
                <w:color w:val="000000" w:themeColor="text1"/>
                <w14:textFill>
                  <w14:solidFill>
                    <w14:schemeClr w14:val="tx1"/>
                  </w14:solidFill>
                </w14:textFill>
              </w:rPr>
              <w:t>汽运</w:t>
            </w:r>
          </w:p>
        </w:tc>
      </w:tr>
      <w:tr w14:paraId="3E51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4" w:type="pct"/>
            <w:vAlign w:val="center"/>
          </w:tcPr>
          <w:p w14:paraId="0F6F1F60">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347" w:type="pct"/>
            <w:vMerge w:val="restart"/>
            <w:vAlign w:val="center"/>
          </w:tcPr>
          <w:p w14:paraId="7A092EA8">
            <w:pPr>
              <w:pStyle w:val="109"/>
              <w:rPr>
                <w:color w:val="000000" w:themeColor="text1"/>
                <w14:textFill>
                  <w14:solidFill>
                    <w14:schemeClr w14:val="tx1"/>
                  </w14:solidFill>
                </w14:textFill>
              </w:rPr>
            </w:pPr>
            <w:r>
              <w:rPr>
                <w:color w:val="000000" w:themeColor="text1"/>
                <w14:textFill>
                  <w14:solidFill>
                    <w14:schemeClr w14:val="tx1"/>
                  </w14:solidFill>
                </w14:textFill>
              </w:rPr>
              <w:t>能源</w:t>
            </w:r>
          </w:p>
        </w:tc>
        <w:tc>
          <w:tcPr>
            <w:tcW w:w="550" w:type="pct"/>
            <w:vAlign w:val="center"/>
          </w:tcPr>
          <w:p w14:paraId="35135A8D">
            <w:pPr>
              <w:pStyle w:val="109"/>
              <w:rPr>
                <w:color w:val="000000" w:themeColor="text1"/>
                <w14:textFill>
                  <w14:solidFill>
                    <w14:schemeClr w14:val="tx1"/>
                  </w14:solidFill>
                </w14:textFill>
              </w:rPr>
            </w:pPr>
            <w:r>
              <w:rPr>
                <w:color w:val="000000" w:themeColor="text1"/>
                <w14:textFill>
                  <w14:solidFill>
                    <w14:schemeClr w14:val="tx1"/>
                  </w14:solidFill>
                </w14:textFill>
              </w:rPr>
              <w:t>用电</w:t>
            </w:r>
          </w:p>
        </w:tc>
        <w:tc>
          <w:tcPr>
            <w:tcW w:w="365" w:type="pct"/>
            <w:gridSpan w:val="2"/>
            <w:vAlign w:val="center"/>
          </w:tcPr>
          <w:p w14:paraId="4285A14C">
            <w:pPr>
              <w:pStyle w:val="109"/>
              <w:rPr>
                <w:color w:val="000000" w:themeColor="text1"/>
                <w14:textFill>
                  <w14:solidFill>
                    <w14:schemeClr w14:val="tx1"/>
                  </w14:solidFill>
                </w14:textFill>
              </w:rPr>
            </w:pPr>
            <w:r>
              <w:rPr>
                <w:color w:val="000000" w:themeColor="text1"/>
                <w14:textFill>
                  <w14:solidFill>
                    <w14:schemeClr w14:val="tx1"/>
                  </w14:solidFill>
                </w14:textFill>
              </w:rPr>
              <w:t>千瓦时/年</w:t>
            </w:r>
          </w:p>
        </w:tc>
        <w:tc>
          <w:tcPr>
            <w:tcW w:w="807" w:type="pct"/>
            <w:gridSpan w:val="2"/>
            <w:vAlign w:val="center"/>
          </w:tcPr>
          <w:p w14:paraId="1B89C4CB">
            <w:pPr>
              <w:pStyle w:val="109"/>
              <w:rPr>
                <w:color w:val="000000" w:themeColor="text1"/>
                <w14:textFill>
                  <w14:solidFill>
                    <w14:schemeClr w14:val="tx1"/>
                  </w14:solidFill>
                </w14:textFill>
              </w:rPr>
            </w:pPr>
            <w:r>
              <w:rPr>
                <w:color w:val="000000" w:themeColor="text1"/>
                <w14:textFill>
                  <w14:solidFill>
                    <w14:schemeClr w14:val="tx1"/>
                  </w14:solidFill>
                </w14:textFill>
              </w:rPr>
              <w:t>10KV/380V/50Hz</w:t>
            </w:r>
          </w:p>
        </w:tc>
        <w:tc>
          <w:tcPr>
            <w:tcW w:w="427" w:type="pct"/>
            <w:gridSpan w:val="2"/>
            <w:vAlign w:val="center"/>
          </w:tcPr>
          <w:p w14:paraId="0F4F4D9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16</w:t>
            </w:r>
            <w:r>
              <w:rPr>
                <w:color w:val="000000" w:themeColor="text1"/>
                <w14:textFill>
                  <w14:solidFill>
                    <w14:schemeClr w14:val="tx1"/>
                  </w14:solidFill>
                </w14:textFill>
              </w:rPr>
              <w:t>0万</w:t>
            </w:r>
          </w:p>
        </w:tc>
        <w:tc>
          <w:tcPr>
            <w:tcW w:w="611" w:type="pct"/>
            <w:vAlign w:val="center"/>
          </w:tcPr>
          <w:p w14:paraId="5173F3D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815" w:type="pct"/>
            <w:vAlign w:val="center"/>
          </w:tcPr>
          <w:p w14:paraId="685DE4A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97" w:type="pct"/>
            <w:vAlign w:val="center"/>
          </w:tcPr>
          <w:p w14:paraId="7519D64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18" w:type="pct"/>
            <w:vAlign w:val="center"/>
          </w:tcPr>
          <w:p w14:paraId="7B3F169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D3A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4" w:type="pct"/>
            <w:vAlign w:val="center"/>
          </w:tcPr>
          <w:p w14:paraId="634D7D88">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347" w:type="pct"/>
            <w:vMerge w:val="continue"/>
            <w:vAlign w:val="center"/>
          </w:tcPr>
          <w:p w14:paraId="0BF8901E">
            <w:pPr>
              <w:pStyle w:val="109"/>
              <w:rPr>
                <w:color w:val="000000" w:themeColor="text1"/>
                <w14:textFill>
                  <w14:solidFill>
                    <w14:schemeClr w14:val="tx1"/>
                  </w14:solidFill>
                </w14:textFill>
              </w:rPr>
            </w:pPr>
          </w:p>
        </w:tc>
        <w:tc>
          <w:tcPr>
            <w:tcW w:w="550" w:type="pct"/>
            <w:vAlign w:val="center"/>
          </w:tcPr>
          <w:p w14:paraId="2ED5B003">
            <w:pPr>
              <w:pStyle w:val="109"/>
              <w:rPr>
                <w:color w:val="000000" w:themeColor="text1"/>
                <w14:textFill>
                  <w14:solidFill>
                    <w14:schemeClr w14:val="tx1"/>
                  </w14:solidFill>
                </w14:textFill>
              </w:rPr>
            </w:pPr>
            <w:r>
              <w:rPr>
                <w:color w:val="000000" w:themeColor="text1"/>
                <w14:textFill>
                  <w14:solidFill>
                    <w14:schemeClr w14:val="tx1"/>
                  </w14:solidFill>
                </w14:textFill>
              </w:rPr>
              <w:t>工业水</w:t>
            </w:r>
          </w:p>
        </w:tc>
        <w:tc>
          <w:tcPr>
            <w:tcW w:w="365" w:type="pct"/>
            <w:gridSpan w:val="2"/>
            <w:vAlign w:val="center"/>
          </w:tcPr>
          <w:p w14:paraId="56CE2241">
            <w:pPr>
              <w:pStyle w:val="109"/>
              <w:rPr>
                <w:color w:val="000000" w:themeColor="text1"/>
                <w14:textFill>
                  <w14:solidFill>
                    <w14:schemeClr w14:val="tx1"/>
                  </w14:solidFill>
                </w14:textFill>
              </w:rPr>
            </w:pPr>
            <w:r>
              <w:rPr>
                <w:color w:val="000000" w:themeColor="text1"/>
                <w14:textFill>
                  <w14:solidFill>
                    <w14:schemeClr w14:val="tx1"/>
                  </w14:solidFill>
                </w14:textFill>
              </w:rPr>
              <w:t>吨/年</w:t>
            </w:r>
          </w:p>
        </w:tc>
        <w:tc>
          <w:tcPr>
            <w:tcW w:w="807" w:type="pct"/>
            <w:gridSpan w:val="2"/>
            <w:vAlign w:val="center"/>
          </w:tcPr>
          <w:p w14:paraId="3D04F62C">
            <w:pPr>
              <w:pStyle w:val="109"/>
              <w:rPr>
                <w:color w:val="000000" w:themeColor="text1"/>
                <w14:textFill>
                  <w14:solidFill>
                    <w14:schemeClr w14:val="tx1"/>
                  </w14:solidFill>
                </w14:textFill>
              </w:rPr>
            </w:pPr>
            <w:r>
              <w:rPr>
                <w:color w:val="000000" w:themeColor="text1"/>
                <w14:textFill>
                  <w14:solidFill>
                    <w14:schemeClr w14:val="tx1"/>
                  </w14:solidFill>
                </w14:textFill>
              </w:rPr>
              <w:t>25℃，＞0.24MPa</w:t>
            </w:r>
          </w:p>
        </w:tc>
        <w:tc>
          <w:tcPr>
            <w:tcW w:w="427" w:type="pct"/>
            <w:gridSpan w:val="2"/>
            <w:vAlign w:val="center"/>
          </w:tcPr>
          <w:p w14:paraId="0264D8A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24929.5</w:t>
            </w:r>
          </w:p>
        </w:tc>
        <w:tc>
          <w:tcPr>
            <w:tcW w:w="611" w:type="pct"/>
            <w:vAlign w:val="center"/>
          </w:tcPr>
          <w:p w14:paraId="264C4FA5">
            <w:pPr>
              <w:pStyle w:val="109"/>
              <w:rPr>
                <w:color w:val="000000" w:themeColor="text1"/>
                <w14:textFill>
                  <w14:solidFill>
                    <w14:schemeClr w14:val="tx1"/>
                  </w14:solidFill>
                </w14:textFill>
              </w:rPr>
            </w:pPr>
            <w:r>
              <w:rPr>
                <w:color w:val="000000" w:themeColor="text1"/>
                <w14:textFill>
                  <w14:solidFill>
                    <w14:schemeClr w14:val="tx1"/>
                  </w14:solidFill>
                </w14:textFill>
              </w:rPr>
              <w:t>不储存</w:t>
            </w:r>
          </w:p>
        </w:tc>
        <w:tc>
          <w:tcPr>
            <w:tcW w:w="815" w:type="pct"/>
            <w:vAlign w:val="center"/>
          </w:tcPr>
          <w:p w14:paraId="589831A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97" w:type="pct"/>
            <w:vAlign w:val="center"/>
          </w:tcPr>
          <w:p w14:paraId="61B59CCC">
            <w:pPr>
              <w:pStyle w:val="109"/>
              <w:rPr>
                <w:color w:val="000000" w:themeColor="text1"/>
                <w14:textFill>
                  <w14:solidFill>
                    <w14:schemeClr w14:val="tx1"/>
                  </w14:solidFill>
                </w14:textFill>
              </w:rPr>
            </w:pPr>
            <w:r>
              <w:rPr>
                <w:color w:val="000000" w:themeColor="text1"/>
                <w14:textFill>
                  <w14:solidFill>
                    <w14:schemeClr w14:val="tx1"/>
                  </w14:solidFill>
                </w14:textFill>
              </w:rPr>
              <w:t>液</w:t>
            </w:r>
          </w:p>
        </w:tc>
        <w:tc>
          <w:tcPr>
            <w:tcW w:w="518" w:type="pct"/>
            <w:vAlign w:val="center"/>
          </w:tcPr>
          <w:p w14:paraId="0F4D22BE">
            <w:pPr>
              <w:pStyle w:val="109"/>
              <w:rPr>
                <w:color w:val="000000" w:themeColor="text1"/>
                <w14:textFill>
                  <w14:solidFill>
                    <w14:schemeClr w14:val="tx1"/>
                  </w14:solidFill>
                </w14:textFill>
              </w:rPr>
            </w:pPr>
            <w:r>
              <w:rPr>
                <w:color w:val="000000" w:themeColor="text1"/>
                <w14:textFill>
                  <w14:solidFill>
                    <w14:schemeClr w14:val="tx1"/>
                  </w14:solidFill>
                </w14:textFill>
              </w:rPr>
              <w:t>管道</w:t>
            </w:r>
          </w:p>
        </w:tc>
      </w:tr>
      <w:tr w14:paraId="26DB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4" w:type="pct"/>
            <w:vAlign w:val="center"/>
          </w:tcPr>
          <w:p w14:paraId="68F351EC">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347" w:type="pct"/>
            <w:vMerge w:val="continue"/>
            <w:vAlign w:val="center"/>
          </w:tcPr>
          <w:p w14:paraId="56EEC6A8">
            <w:pPr>
              <w:pStyle w:val="109"/>
              <w:rPr>
                <w:color w:val="000000" w:themeColor="text1"/>
                <w14:textFill>
                  <w14:solidFill>
                    <w14:schemeClr w14:val="tx1"/>
                  </w14:solidFill>
                </w14:textFill>
              </w:rPr>
            </w:pPr>
          </w:p>
        </w:tc>
        <w:tc>
          <w:tcPr>
            <w:tcW w:w="550" w:type="pct"/>
            <w:vAlign w:val="center"/>
          </w:tcPr>
          <w:p w14:paraId="599AA88B">
            <w:pPr>
              <w:pStyle w:val="109"/>
              <w:rPr>
                <w:color w:val="000000" w:themeColor="text1"/>
                <w14:textFill>
                  <w14:solidFill>
                    <w14:schemeClr w14:val="tx1"/>
                  </w14:solidFill>
                </w14:textFill>
              </w:rPr>
            </w:pPr>
            <w:r>
              <w:rPr>
                <w:color w:val="000000" w:themeColor="text1"/>
                <w14:textFill>
                  <w14:solidFill>
                    <w14:schemeClr w14:val="tx1"/>
                  </w14:solidFill>
                </w14:textFill>
              </w:rPr>
              <w:t>天然气</w:t>
            </w:r>
          </w:p>
        </w:tc>
        <w:tc>
          <w:tcPr>
            <w:tcW w:w="365" w:type="pct"/>
            <w:gridSpan w:val="2"/>
            <w:vAlign w:val="center"/>
          </w:tcPr>
          <w:p w14:paraId="1D40C639">
            <w:pPr>
              <w:pStyle w:val="109"/>
              <w:rPr>
                <w:color w:val="000000" w:themeColor="text1"/>
                <w14:textFill>
                  <w14:solidFill>
                    <w14:schemeClr w14:val="tx1"/>
                  </w14:solidFill>
                </w14:textFill>
              </w:rPr>
            </w:pPr>
            <w:r>
              <w:rPr>
                <w:color w:val="000000" w:themeColor="text1"/>
                <w14:textFill>
                  <w14:solidFill>
                    <w14:schemeClr w14:val="tx1"/>
                  </w14:solidFill>
                </w14:textFill>
              </w:rPr>
              <w:t>m³/年</w:t>
            </w:r>
          </w:p>
        </w:tc>
        <w:tc>
          <w:tcPr>
            <w:tcW w:w="807" w:type="pct"/>
            <w:gridSpan w:val="2"/>
            <w:vAlign w:val="center"/>
          </w:tcPr>
          <w:p w14:paraId="5901377F">
            <w:pPr>
              <w:pStyle w:val="109"/>
              <w:rPr>
                <w:color w:val="000000" w:themeColor="text1"/>
                <w14:textFill>
                  <w14:solidFill>
                    <w14:schemeClr w14:val="tx1"/>
                  </w14:solidFill>
                </w14:textFill>
              </w:rPr>
            </w:pPr>
            <w:r>
              <w:rPr>
                <w:color w:val="000000" w:themeColor="text1"/>
                <w14:textFill>
                  <w14:solidFill>
                    <w14:schemeClr w14:val="tx1"/>
                  </w14:solidFill>
                </w14:textFill>
              </w:rPr>
              <w:t>0.2~0.4MPa</w:t>
            </w:r>
          </w:p>
        </w:tc>
        <w:tc>
          <w:tcPr>
            <w:tcW w:w="427" w:type="pct"/>
            <w:gridSpan w:val="2"/>
            <w:vAlign w:val="center"/>
          </w:tcPr>
          <w:p w14:paraId="1EBAE538">
            <w:pPr>
              <w:pStyle w:val="109"/>
              <w:rPr>
                <w:color w:val="000000" w:themeColor="text1"/>
                <w14:textFill>
                  <w14:solidFill>
                    <w14:schemeClr w14:val="tx1"/>
                  </w14:solidFill>
                </w14:textFill>
              </w:rPr>
            </w:pPr>
            <w:r>
              <w:rPr>
                <w:color w:val="000000" w:themeColor="text1"/>
                <w14:textFill>
                  <w14:solidFill>
                    <w14:schemeClr w14:val="tx1"/>
                  </w14:solidFill>
                </w14:textFill>
              </w:rPr>
              <w:t>308.4万</w:t>
            </w:r>
          </w:p>
        </w:tc>
        <w:tc>
          <w:tcPr>
            <w:tcW w:w="611" w:type="pct"/>
            <w:vAlign w:val="center"/>
          </w:tcPr>
          <w:p w14:paraId="0E781F24">
            <w:pPr>
              <w:pStyle w:val="109"/>
              <w:rPr>
                <w:color w:val="000000" w:themeColor="text1"/>
                <w14:textFill>
                  <w14:solidFill>
                    <w14:schemeClr w14:val="tx1"/>
                  </w14:solidFill>
                </w14:textFill>
              </w:rPr>
            </w:pPr>
            <w:r>
              <w:rPr>
                <w:color w:val="000000" w:themeColor="text1"/>
                <w14:textFill>
                  <w14:solidFill>
                    <w14:schemeClr w14:val="tx1"/>
                  </w14:solidFill>
                </w14:textFill>
              </w:rPr>
              <w:t>不储存</w:t>
            </w:r>
          </w:p>
        </w:tc>
        <w:tc>
          <w:tcPr>
            <w:tcW w:w="815" w:type="pct"/>
            <w:vAlign w:val="center"/>
          </w:tcPr>
          <w:p w14:paraId="314F52C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97" w:type="pct"/>
            <w:vAlign w:val="center"/>
          </w:tcPr>
          <w:p w14:paraId="4B27EE64">
            <w:pPr>
              <w:pStyle w:val="109"/>
              <w:rPr>
                <w:color w:val="000000" w:themeColor="text1"/>
                <w14:textFill>
                  <w14:solidFill>
                    <w14:schemeClr w14:val="tx1"/>
                  </w14:solidFill>
                </w14:textFill>
              </w:rPr>
            </w:pPr>
            <w:r>
              <w:rPr>
                <w:color w:val="000000" w:themeColor="text1"/>
                <w14:textFill>
                  <w14:solidFill>
                    <w14:schemeClr w14:val="tx1"/>
                  </w14:solidFill>
                </w14:textFill>
              </w:rPr>
              <w:t>气</w:t>
            </w:r>
          </w:p>
        </w:tc>
        <w:tc>
          <w:tcPr>
            <w:tcW w:w="518" w:type="pct"/>
            <w:vAlign w:val="center"/>
          </w:tcPr>
          <w:p w14:paraId="55F15874">
            <w:pPr>
              <w:pStyle w:val="109"/>
              <w:rPr>
                <w:color w:val="000000" w:themeColor="text1"/>
                <w14:textFill>
                  <w14:solidFill>
                    <w14:schemeClr w14:val="tx1"/>
                  </w14:solidFill>
                </w14:textFill>
              </w:rPr>
            </w:pPr>
            <w:r>
              <w:rPr>
                <w:color w:val="000000" w:themeColor="text1"/>
                <w14:textFill>
                  <w14:solidFill>
                    <w14:schemeClr w14:val="tx1"/>
                  </w14:solidFill>
                </w14:textFill>
              </w:rPr>
              <w:t>管道</w:t>
            </w:r>
          </w:p>
        </w:tc>
      </w:tr>
    </w:tbl>
    <w:p w14:paraId="7E537503">
      <w:pPr>
        <w:pStyle w:val="123"/>
        <w:spacing w:line="240" w:lineRule="exact"/>
        <w:ind w:firstLine="400"/>
        <w:jc w:val="distribute"/>
        <w:rPr>
          <w:rFonts w:ascii="Times New Roman" w:hAnsi="Times New Roman" w:cs="Times New Roman"/>
          <w:color w:val="000000" w:themeColor="text1"/>
          <w:sz w:val="20"/>
          <w:szCs w:val="20"/>
          <w:highlight w:val="yellow"/>
          <w14:textFill>
            <w14:solidFill>
              <w14:schemeClr w14:val="tx1"/>
            </w14:solidFill>
          </w14:textFill>
        </w:rPr>
        <w:sectPr>
          <w:type w:val="nextColumn"/>
          <w:pgSz w:w="16840" w:h="11900" w:orient="landscape"/>
          <w:pgMar w:top="1418" w:right="1247" w:bottom="1418" w:left="1247" w:header="851" w:footer="851" w:gutter="0"/>
          <w:cols w:space="720" w:num="1"/>
          <w:docGrid w:linePitch="360" w:charSpace="0"/>
        </w:sectPr>
      </w:pPr>
    </w:p>
    <w:p w14:paraId="467C8264">
      <w:pPr>
        <w:spacing w:after="99" w:line="1" w:lineRule="exact"/>
        <w:ind w:firstLine="480"/>
        <w:rPr>
          <w:color w:val="000000" w:themeColor="text1"/>
          <w:highlight w:val="yellow"/>
          <w14:textFill>
            <w14:solidFill>
              <w14:schemeClr w14:val="tx1"/>
            </w14:solidFill>
          </w14:textFill>
        </w:rPr>
      </w:pPr>
    </w:p>
    <w:p w14:paraId="442DF453">
      <w:pPr>
        <w:pStyle w:val="1232"/>
        <w:spacing w:after="160" w:line="240" w:lineRule="auto"/>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eastAsia="Times New Roman" w:cs="Times New Roman"/>
          <w:color w:val="000000" w:themeColor="text1"/>
          <w:sz w:val="28"/>
          <w:szCs w:val="28"/>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）主要原辅料、毒性毒理</w:t>
      </w:r>
    </w:p>
    <w:p w14:paraId="3202E6E0">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项目生产所用原辅料理化性质表</w:t>
      </w:r>
    </w:p>
    <w:tbl>
      <w:tblPr>
        <w:tblStyle w:val="76"/>
        <w:tblW w:w="14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88"/>
        <w:gridCol w:w="1013"/>
        <w:gridCol w:w="902"/>
        <w:gridCol w:w="1037"/>
        <w:gridCol w:w="7267"/>
        <w:gridCol w:w="1464"/>
        <w:gridCol w:w="1641"/>
      </w:tblGrid>
      <w:tr w14:paraId="4EB4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988" w:type="dxa"/>
            <w:vAlign w:val="center"/>
          </w:tcPr>
          <w:p w14:paraId="5E36A3B0">
            <w:pPr>
              <w:pStyle w:val="109"/>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013" w:type="dxa"/>
            <w:vAlign w:val="center"/>
          </w:tcPr>
          <w:p w14:paraId="71328E4C">
            <w:pPr>
              <w:pStyle w:val="109"/>
              <w:rPr>
                <w:color w:val="000000" w:themeColor="text1"/>
                <w14:textFill>
                  <w14:solidFill>
                    <w14:schemeClr w14:val="tx1"/>
                  </w14:solidFill>
                </w14:textFill>
              </w:rPr>
            </w:pPr>
            <w:r>
              <w:rPr>
                <w:color w:val="000000" w:themeColor="text1"/>
                <w14:textFill>
                  <w14:solidFill>
                    <w14:schemeClr w14:val="tx1"/>
                  </w14:solidFill>
                </w14:textFill>
              </w:rPr>
              <w:t>分子式</w:t>
            </w:r>
          </w:p>
        </w:tc>
        <w:tc>
          <w:tcPr>
            <w:tcW w:w="902" w:type="dxa"/>
            <w:vAlign w:val="center"/>
          </w:tcPr>
          <w:p w14:paraId="3B89E103">
            <w:pPr>
              <w:pStyle w:val="109"/>
              <w:rPr>
                <w:color w:val="000000" w:themeColor="text1"/>
                <w14:textFill>
                  <w14:solidFill>
                    <w14:schemeClr w14:val="tx1"/>
                  </w14:solidFill>
                </w14:textFill>
              </w:rPr>
            </w:pPr>
            <w:r>
              <w:rPr>
                <w:color w:val="000000" w:themeColor="text1"/>
                <w14:textFill>
                  <w14:solidFill>
                    <w14:schemeClr w14:val="tx1"/>
                  </w14:solidFill>
                </w14:textFill>
              </w:rPr>
              <w:t>分子量</w:t>
            </w:r>
          </w:p>
        </w:tc>
        <w:tc>
          <w:tcPr>
            <w:tcW w:w="1037" w:type="dxa"/>
            <w:vAlign w:val="center"/>
          </w:tcPr>
          <w:p w14:paraId="3389FD0B">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CAS</w:t>
            </w:r>
            <w:r>
              <w:rPr>
                <w:color w:val="000000" w:themeColor="text1"/>
                <w14:textFill>
                  <w14:solidFill>
                    <w14:schemeClr w14:val="tx1"/>
                  </w14:solidFill>
                </w14:textFill>
              </w:rPr>
              <w:t>号</w:t>
            </w:r>
          </w:p>
        </w:tc>
        <w:tc>
          <w:tcPr>
            <w:tcW w:w="7267" w:type="dxa"/>
            <w:vAlign w:val="center"/>
          </w:tcPr>
          <w:p w14:paraId="4FBD5760">
            <w:pPr>
              <w:pStyle w:val="109"/>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1464" w:type="dxa"/>
            <w:vAlign w:val="center"/>
          </w:tcPr>
          <w:p w14:paraId="2DCDE98C">
            <w:pPr>
              <w:pStyle w:val="109"/>
              <w:rPr>
                <w:color w:val="000000" w:themeColor="text1"/>
                <w14:textFill>
                  <w14:solidFill>
                    <w14:schemeClr w14:val="tx1"/>
                  </w14:solidFill>
                </w14:textFill>
              </w:rPr>
            </w:pPr>
            <w:r>
              <w:rPr>
                <w:color w:val="000000" w:themeColor="text1"/>
                <w14:textFill>
                  <w14:solidFill>
                    <w14:schemeClr w14:val="tx1"/>
                  </w14:solidFill>
                </w14:textFill>
              </w:rPr>
              <w:t>燃烧、爆炸性</w:t>
            </w:r>
          </w:p>
        </w:tc>
        <w:tc>
          <w:tcPr>
            <w:tcW w:w="1641" w:type="dxa"/>
            <w:vAlign w:val="center"/>
          </w:tcPr>
          <w:p w14:paraId="4F857A5F">
            <w:pPr>
              <w:pStyle w:val="109"/>
              <w:rPr>
                <w:color w:val="000000" w:themeColor="text1"/>
                <w14:textFill>
                  <w14:solidFill>
                    <w14:schemeClr w14:val="tx1"/>
                  </w14:solidFill>
                </w14:textFill>
              </w:rPr>
            </w:pPr>
            <w:r>
              <w:rPr>
                <w:color w:val="000000" w:themeColor="text1"/>
                <w14:textFill>
                  <w14:solidFill>
                    <w14:schemeClr w14:val="tx1"/>
                  </w14:solidFill>
                </w14:textFill>
              </w:rPr>
              <w:t>毒性毒理</w:t>
            </w:r>
          </w:p>
        </w:tc>
      </w:tr>
      <w:tr w14:paraId="0BEA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988" w:type="dxa"/>
            <w:vAlign w:val="center"/>
          </w:tcPr>
          <w:p w14:paraId="7B1445E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w:t>
            </w:r>
          </w:p>
        </w:tc>
        <w:tc>
          <w:tcPr>
            <w:tcW w:w="1013" w:type="dxa"/>
            <w:vAlign w:val="center"/>
          </w:tcPr>
          <w:p w14:paraId="53CB413B">
            <w:pPr>
              <w:pStyle w:val="109"/>
              <w:rPr>
                <w:color w:val="000000" w:themeColor="text1"/>
                <w14:textFill>
                  <w14:solidFill>
                    <w14:schemeClr w14:val="tx1"/>
                  </w14:solidFill>
                </w14:textFill>
              </w:rPr>
            </w:pPr>
            <w:r>
              <w:rPr>
                <w:color w:val="000000" w:themeColor="text1"/>
                <w14:textFill>
                  <w14:solidFill>
                    <w14:schemeClr w14:val="tx1"/>
                  </w14:solidFill>
                </w14:textFill>
              </w:rPr>
              <w:t>NH₃</w:t>
            </w:r>
          </w:p>
        </w:tc>
        <w:tc>
          <w:tcPr>
            <w:tcW w:w="902" w:type="dxa"/>
            <w:vAlign w:val="center"/>
          </w:tcPr>
          <w:p w14:paraId="37924DD3">
            <w:pPr>
              <w:pStyle w:val="109"/>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17</w:t>
            </w:r>
          </w:p>
        </w:tc>
        <w:tc>
          <w:tcPr>
            <w:tcW w:w="1037" w:type="dxa"/>
            <w:vAlign w:val="center"/>
          </w:tcPr>
          <w:p w14:paraId="02C065E2">
            <w:pPr>
              <w:pStyle w:val="109"/>
              <w:rPr>
                <w:color w:val="000000" w:themeColor="text1"/>
                <w14:textFill>
                  <w14:solidFill>
                    <w14:schemeClr w14:val="tx1"/>
                  </w14:solidFill>
                </w14:textFill>
              </w:rPr>
            </w:pPr>
            <w:r>
              <w:rPr>
                <w:color w:val="000000" w:themeColor="text1"/>
                <w14:textFill>
                  <w14:solidFill>
                    <w14:schemeClr w14:val="tx1"/>
                  </w14:solidFill>
                </w14:textFill>
              </w:rPr>
              <w:t>1336-21-6</w:t>
            </w:r>
          </w:p>
        </w:tc>
        <w:tc>
          <w:tcPr>
            <w:tcW w:w="7267" w:type="dxa"/>
            <w:vAlign w:val="center"/>
          </w:tcPr>
          <w:p w14:paraId="2A11347E">
            <w:pPr>
              <w:pStyle w:val="109"/>
              <w:rPr>
                <w:color w:val="000000" w:themeColor="text1"/>
                <w14:textFill>
                  <w14:solidFill>
                    <w14:schemeClr w14:val="tx1"/>
                  </w14:solidFill>
                </w14:textFill>
              </w:rPr>
            </w:pPr>
            <w:r>
              <w:rPr>
                <w:color w:val="000000" w:themeColor="text1"/>
                <w14:textFill>
                  <w14:solidFill>
                    <w14:schemeClr w14:val="tx1"/>
                  </w14:solidFill>
                </w14:textFill>
              </w:rPr>
              <w:t>无色或白色针状或棒状结晶体，工业或农业品为白色略带微红色固体颗粒，无臭无味。含氮量约为46.67%。密度1.335g/cm³。熔点132.7℃。沸点196.6℃，溶于水、醇，难溶于乙醚、氯仿，呈弱碱性。</w:t>
            </w:r>
          </w:p>
        </w:tc>
        <w:tc>
          <w:tcPr>
            <w:tcW w:w="1464" w:type="dxa"/>
            <w:vAlign w:val="center"/>
          </w:tcPr>
          <w:p w14:paraId="711791C0">
            <w:pPr>
              <w:pStyle w:val="109"/>
              <w:rPr>
                <w:color w:val="000000" w:themeColor="text1"/>
                <w14:textFill>
                  <w14:solidFill>
                    <w14:schemeClr w14:val="tx1"/>
                  </w14:solidFill>
                </w14:textFill>
              </w:rPr>
            </w:pPr>
            <w:r>
              <w:rPr>
                <w:color w:val="000000" w:themeColor="text1"/>
                <w14:textFill>
                  <w14:solidFill>
                    <w14:schemeClr w14:val="tx1"/>
                  </w14:solidFill>
                </w14:textFill>
              </w:rPr>
              <w:t>氨气与空气混合遇明火、高热可爆</w:t>
            </w:r>
          </w:p>
        </w:tc>
        <w:tc>
          <w:tcPr>
            <w:tcW w:w="1641" w:type="dxa"/>
            <w:vAlign w:val="center"/>
          </w:tcPr>
          <w:p w14:paraId="26AC997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急性经口 LD₅₀（大鼠）：350 mg/kg </w:t>
            </w:r>
          </w:p>
          <w:p w14:paraId="303F6AA3">
            <w:pPr>
              <w:pStyle w:val="109"/>
              <w:rPr>
                <w:color w:val="000000" w:themeColor="text1"/>
                <w14:textFill>
                  <w14:solidFill>
                    <w14:schemeClr w14:val="tx1"/>
                  </w14:solidFill>
                </w14:textFill>
              </w:rPr>
            </w:pPr>
            <w:r>
              <w:rPr>
                <w:color w:val="000000" w:themeColor="text1"/>
                <w14:textFill>
                  <w14:solidFill>
                    <w14:schemeClr w14:val="tx1"/>
                  </w14:solidFill>
                </w14:textFill>
              </w:rPr>
              <w:t>急性吸入 LC₅₀（大鼠，4h）：约 2000 ppm</w:t>
            </w:r>
          </w:p>
        </w:tc>
      </w:tr>
      <w:tr w14:paraId="5F79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988" w:type="dxa"/>
            <w:vAlign w:val="center"/>
          </w:tcPr>
          <w:p w14:paraId="32540F76">
            <w:pPr>
              <w:pStyle w:val="109"/>
              <w:rPr>
                <w:color w:val="000000" w:themeColor="text1"/>
                <w14:textFill>
                  <w14:solidFill>
                    <w14:schemeClr w14:val="tx1"/>
                  </w14:solidFill>
                </w14:textFill>
              </w:rPr>
            </w:pPr>
            <w:r>
              <w:rPr>
                <w:color w:val="000000" w:themeColor="text1"/>
                <w14:textFill>
                  <w14:solidFill>
                    <w14:schemeClr w14:val="tx1"/>
                  </w14:solidFill>
                </w14:textFill>
              </w:rPr>
              <w:t>氢氧化钠</w:t>
            </w:r>
          </w:p>
        </w:tc>
        <w:tc>
          <w:tcPr>
            <w:tcW w:w="1013" w:type="dxa"/>
            <w:vAlign w:val="center"/>
          </w:tcPr>
          <w:p w14:paraId="5DE1E4A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NaOH</w:t>
            </w:r>
          </w:p>
        </w:tc>
        <w:tc>
          <w:tcPr>
            <w:tcW w:w="902" w:type="dxa"/>
            <w:vAlign w:val="center"/>
          </w:tcPr>
          <w:p w14:paraId="3E0CC842">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40.01</w:t>
            </w:r>
          </w:p>
        </w:tc>
        <w:tc>
          <w:tcPr>
            <w:tcW w:w="1037" w:type="dxa"/>
            <w:vAlign w:val="center"/>
          </w:tcPr>
          <w:p w14:paraId="0B6B68A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1310-73-2</w:t>
            </w:r>
          </w:p>
        </w:tc>
        <w:tc>
          <w:tcPr>
            <w:tcW w:w="7267" w:type="dxa"/>
          </w:tcPr>
          <w:p w14:paraId="329B0FAF">
            <w:pPr>
              <w:pStyle w:val="109"/>
              <w:rPr>
                <w:color w:val="000000" w:themeColor="text1"/>
                <w14:textFill>
                  <w14:solidFill>
                    <w14:schemeClr w14:val="tx1"/>
                  </w14:solidFill>
                </w14:textFill>
              </w:rPr>
            </w:pPr>
            <w:r>
              <w:rPr>
                <w:color w:val="000000" w:themeColor="text1"/>
                <w14:textFill>
                  <w14:solidFill>
                    <w14:schemeClr w14:val="tx1"/>
                  </w14:solidFill>
                </w14:textFill>
              </w:rPr>
              <w:t>白色不透明固体，易潮解。熔点</w:t>
            </w:r>
            <w:r>
              <w:rPr>
                <w:rFonts w:eastAsia="Times New Roman"/>
                <w:color w:val="000000" w:themeColor="text1"/>
                <w14:textFill>
                  <w14:solidFill>
                    <w14:schemeClr w14:val="tx1"/>
                  </w14:solidFill>
                </w14:textFill>
              </w:rPr>
              <w:t>318.4</w:t>
            </w:r>
            <w:r>
              <w:rPr>
                <w:color w:val="000000" w:themeColor="text1"/>
                <w14:textFill>
                  <w14:solidFill>
                    <w14:schemeClr w14:val="tx1"/>
                  </w14:solidFill>
                </w14:textFill>
              </w:rPr>
              <w:t>℃，沸点</w:t>
            </w:r>
            <w:r>
              <w:rPr>
                <w:rFonts w:eastAsia="Times New Roman"/>
                <w:color w:val="000000" w:themeColor="text1"/>
                <w14:textFill>
                  <w14:solidFill>
                    <w14:schemeClr w14:val="tx1"/>
                  </w14:solidFill>
                </w14:textFill>
              </w:rPr>
              <w:t>1390</w:t>
            </w:r>
            <w:r>
              <w:rPr>
                <w:color w:val="000000" w:themeColor="text1"/>
                <w14:textFill>
                  <w14:solidFill>
                    <w14:schemeClr w14:val="tx1"/>
                  </w14:solidFill>
                </w14:textFill>
              </w:rPr>
              <w:t>℃；相对密度（水</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2.12</w:t>
            </w:r>
            <w:r>
              <w:rPr>
                <w:color w:val="000000" w:themeColor="text1"/>
                <w14:textFill>
                  <w14:solidFill>
                    <w14:schemeClr w14:val="tx1"/>
                  </w14:solidFill>
                </w14:textFill>
              </w:rPr>
              <w:t>，相对蒸气密度（空气</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）：无资料；饱和蒸气压</w:t>
            </w:r>
            <w:r>
              <w:rPr>
                <w:rFonts w:eastAsia="Times New Roman"/>
                <w:color w:val="000000" w:themeColor="text1"/>
                <w:lang w:bidi="en-US"/>
                <w14:textFill>
                  <w14:solidFill>
                    <w14:schemeClr w14:val="tx1"/>
                  </w14:solidFill>
                </w14:textFill>
              </w:rPr>
              <w:t>0.13kPa</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739</w:t>
            </w:r>
            <w:r>
              <w:rPr>
                <w:color w:val="000000" w:themeColor="text1"/>
                <w:lang w:bidi="en-US"/>
                <w14:textFill>
                  <w14:solidFill>
                    <w14:schemeClr w14:val="tx1"/>
                  </w14:solidFill>
                </w14:textFill>
              </w:rPr>
              <w:t>℃）。</w:t>
            </w:r>
            <w:r>
              <w:rPr>
                <w:color w:val="000000" w:themeColor="text1"/>
                <w14:textFill>
                  <w14:solidFill>
                    <w14:schemeClr w14:val="tx1"/>
                  </w14:solidFill>
                </w14:textFill>
              </w:rPr>
              <w:t>易溶于水、乙醇、甘油，不溶于丙酮。</w:t>
            </w:r>
          </w:p>
        </w:tc>
        <w:tc>
          <w:tcPr>
            <w:tcW w:w="1464" w:type="dxa"/>
            <w:vAlign w:val="center"/>
          </w:tcPr>
          <w:p w14:paraId="01B582D2">
            <w:pPr>
              <w:pStyle w:val="109"/>
              <w:rPr>
                <w:color w:val="000000" w:themeColor="text1"/>
                <w14:textFill>
                  <w14:solidFill>
                    <w14:schemeClr w14:val="tx1"/>
                  </w14:solidFill>
                </w14:textFill>
              </w:rPr>
            </w:pPr>
            <w:r>
              <w:rPr>
                <w:color w:val="000000" w:themeColor="text1"/>
                <w14:textFill>
                  <w14:solidFill>
                    <w14:schemeClr w14:val="tx1"/>
                  </w14:solidFill>
                </w14:textFill>
              </w:rPr>
              <w:t>不燃</w:t>
            </w:r>
          </w:p>
        </w:tc>
        <w:tc>
          <w:tcPr>
            <w:tcW w:w="1641" w:type="dxa"/>
            <w:vAlign w:val="center"/>
          </w:tcPr>
          <w:p w14:paraId="2B686864">
            <w:pPr>
              <w:pStyle w:val="109"/>
              <w:rPr>
                <w:color w:val="000000" w:themeColor="text1"/>
                <w14:textFill>
                  <w14:solidFill>
                    <w14:schemeClr w14:val="tx1"/>
                  </w14:solidFill>
                </w14:textFill>
              </w:rPr>
            </w:pPr>
            <w:r>
              <w:rPr>
                <w:color w:val="000000" w:themeColor="text1"/>
                <w14:textFill>
                  <w14:solidFill>
                    <w14:schemeClr w14:val="tx1"/>
                  </w14:solidFill>
                </w14:textFill>
              </w:rPr>
              <w:t>无资料</w:t>
            </w:r>
          </w:p>
        </w:tc>
      </w:tr>
      <w:tr w14:paraId="7E17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988" w:type="dxa"/>
            <w:vAlign w:val="center"/>
          </w:tcPr>
          <w:p w14:paraId="4625C7D2">
            <w:pPr>
              <w:pStyle w:val="109"/>
              <w:rPr>
                <w:color w:val="000000" w:themeColor="text1"/>
                <w14:textFill>
                  <w14:solidFill>
                    <w14:schemeClr w14:val="tx1"/>
                  </w14:solidFill>
                </w14:textFill>
              </w:rPr>
            </w:pPr>
            <w:r>
              <w:rPr>
                <w:color w:val="000000" w:themeColor="text1"/>
                <w14:textFill>
                  <w14:solidFill>
                    <w14:schemeClr w14:val="tx1"/>
                  </w14:solidFill>
                </w14:textFill>
              </w:rPr>
              <w:t>氯化钠</w:t>
            </w:r>
          </w:p>
        </w:tc>
        <w:tc>
          <w:tcPr>
            <w:tcW w:w="1013" w:type="dxa"/>
            <w:vAlign w:val="center"/>
          </w:tcPr>
          <w:p w14:paraId="326FAE1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NaCl</w:t>
            </w:r>
          </w:p>
        </w:tc>
        <w:tc>
          <w:tcPr>
            <w:tcW w:w="902" w:type="dxa"/>
            <w:vAlign w:val="center"/>
          </w:tcPr>
          <w:p w14:paraId="01756F7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58.4428</w:t>
            </w:r>
          </w:p>
        </w:tc>
        <w:tc>
          <w:tcPr>
            <w:tcW w:w="1037" w:type="dxa"/>
            <w:vAlign w:val="center"/>
          </w:tcPr>
          <w:p w14:paraId="1140C41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7647-14-5</w:t>
            </w:r>
          </w:p>
        </w:tc>
        <w:tc>
          <w:tcPr>
            <w:tcW w:w="7267" w:type="dxa"/>
            <w:vAlign w:val="bottom"/>
          </w:tcPr>
          <w:p w14:paraId="7CAEE311">
            <w:pPr>
              <w:pStyle w:val="109"/>
              <w:rPr>
                <w:color w:val="000000" w:themeColor="text1"/>
                <w14:textFill>
                  <w14:solidFill>
                    <w14:schemeClr w14:val="tx1"/>
                  </w14:solidFill>
                </w14:textFill>
              </w:rPr>
            </w:pPr>
            <w:r>
              <w:rPr>
                <w:color w:val="000000" w:themeColor="text1"/>
                <w14:textFill>
                  <w14:solidFill>
                    <w14:schemeClr w14:val="tx1"/>
                  </w14:solidFill>
                </w14:textFill>
              </w:rPr>
              <w:t>无色立方结晶或细小结晶粉末，味咸。外观是白色晶体状，其来源主要是海水，是食盐的主要成分。易溶于水、</w:t>
            </w:r>
            <w:r>
              <w:fldChar w:fldCharType="begin"/>
            </w:r>
            <w:r>
              <w:instrText xml:space="preserve"> HYPERLINK "https://baike.baidu.com/item/%e7%94%98%e6%b2%b9/99429" </w:instrText>
            </w:r>
            <w:r>
              <w:fldChar w:fldCharType="separate"/>
            </w:r>
            <w:r>
              <w:rPr>
                <w:color w:val="000000" w:themeColor="text1"/>
                <w14:textFill>
                  <w14:solidFill>
                    <w14:schemeClr w14:val="tx1"/>
                  </w14:solidFill>
                </w14:textFill>
              </w:rPr>
              <w:t>甘油</w:t>
            </w:r>
            <w:r>
              <w:rPr>
                <w:color w:val="000000" w:themeColor="text1"/>
                <w14:textFill>
                  <w14:solidFill>
                    <w14:schemeClr w14:val="tx1"/>
                  </w14:solidFill>
                </w14:textFill>
              </w:rPr>
              <w:fldChar w:fldCharType="end"/>
            </w:r>
            <w:r>
              <w:rPr>
                <w:color w:val="000000" w:themeColor="text1"/>
                <w14:textFill>
                  <w14:solidFill>
                    <w14:schemeClr w14:val="tx1"/>
                  </w14:solidFill>
                </w14:textFill>
              </w:rPr>
              <w:t>，微溶于乙醇（酒精）、液氨；不溶于浓盐酸。不纯的氯化钠在空气中有潮解性。稳定性比较好，其水溶液呈中性，熔点</w:t>
            </w:r>
            <w:r>
              <w:rPr>
                <w:rFonts w:eastAsia="Times New Roman"/>
                <w:color w:val="000000" w:themeColor="text1"/>
                <w14:textFill>
                  <w14:solidFill>
                    <w14:schemeClr w14:val="tx1"/>
                  </w14:solidFill>
                </w14:textFill>
              </w:rPr>
              <w:t>801℃</w:t>
            </w:r>
            <w:r>
              <w:rPr>
                <w:color w:val="000000" w:themeColor="text1"/>
                <w14:textFill>
                  <w14:solidFill>
                    <w14:schemeClr w14:val="tx1"/>
                  </w14:solidFill>
                </w14:textFill>
              </w:rPr>
              <w:t>，沸点</w:t>
            </w:r>
            <w:r>
              <w:rPr>
                <w:rFonts w:eastAsia="Times New Roman"/>
                <w:color w:val="000000" w:themeColor="text1"/>
                <w14:textFill>
                  <w14:solidFill>
                    <w14:schemeClr w14:val="tx1"/>
                  </w14:solidFill>
                </w14:textFill>
              </w:rPr>
              <w:t>1465℃</w:t>
            </w:r>
            <w:r>
              <w:rPr>
                <w:color w:val="000000" w:themeColor="text1"/>
                <w14:textFill>
                  <w14:solidFill>
                    <w14:schemeClr w14:val="tx1"/>
                  </w14:solidFill>
                </w14:textFill>
              </w:rPr>
              <w:t>，密度</w:t>
            </w:r>
            <w:r>
              <w:rPr>
                <w:rFonts w:eastAsia="Times New Roman"/>
                <w:color w:val="000000" w:themeColor="text1"/>
                <w14:textFill>
                  <w14:solidFill>
                    <w14:schemeClr w14:val="tx1"/>
                  </w14:solidFill>
                </w14:textFill>
              </w:rPr>
              <w:t>2.165</w:t>
            </w:r>
            <w:r>
              <w:rPr>
                <w:rFonts w:eastAsia="Times New Roman"/>
                <w:color w:val="000000" w:themeColor="text1"/>
                <w:lang w:bidi="en-US"/>
                <w14:textFill>
                  <w14:solidFill>
                    <w14:schemeClr w14:val="tx1"/>
                  </w14:solidFill>
                </w14:textFill>
              </w:rPr>
              <w:t>g/cm³</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25℃</w:t>
            </w:r>
            <w:r>
              <w:rPr>
                <w:color w:val="000000" w:themeColor="text1"/>
                <w:lang w:bidi="en-US"/>
                <w14:textFill>
                  <w14:solidFill>
                    <w14:schemeClr w14:val="tx1"/>
                  </w14:solidFill>
                </w14:textFill>
              </w:rPr>
              <w:t>））</w:t>
            </w:r>
          </w:p>
        </w:tc>
        <w:tc>
          <w:tcPr>
            <w:tcW w:w="1464" w:type="dxa"/>
            <w:vAlign w:val="center"/>
          </w:tcPr>
          <w:p w14:paraId="5C4A0A88">
            <w:pPr>
              <w:pStyle w:val="109"/>
              <w:rPr>
                <w:color w:val="000000" w:themeColor="text1"/>
                <w14:textFill>
                  <w14:solidFill>
                    <w14:schemeClr w14:val="tx1"/>
                  </w14:solidFill>
                </w14:textFill>
              </w:rPr>
            </w:pPr>
            <w:r>
              <w:rPr>
                <w:color w:val="000000" w:themeColor="text1"/>
                <w14:textFill>
                  <w14:solidFill>
                    <w14:schemeClr w14:val="tx1"/>
                  </w14:solidFill>
                </w14:textFill>
              </w:rPr>
              <w:t>不燃</w:t>
            </w:r>
          </w:p>
        </w:tc>
        <w:tc>
          <w:tcPr>
            <w:tcW w:w="1641" w:type="dxa"/>
            <w:vAlign w:val="center"/>
          </w:tcPr>
          <w:p w14:paraId="1F82F5AD">
            <w:pPr>
              <w:pStyle w:val="109"/>
              <w:rPr>
                <w:color w:val="000000" w:themeColor="text1"/>
                <w14:textFill>
                  <w14:solidFill>
                    <w14:schemeClr w14:val="tx1"/>
                  </w14:solidFill>
                </w14:textFill>
              </w:rPr>
            </w:pPr>
            <w:r>
              <w:rPr>
                <w:color w:val="000000" w:themeColor="text1"/>
                <w14:textFill>
                  <w14:solidFill>
                    <w14:schemeClr w14:val="tx1"/>
                  </w14:solidFill>
                </w14:textFill>
              </w:rPr>
              <w:t>无毒</w:t>
            </w:r>
          </w:p>
        </w:tc>
      </w:tr>
      <w:tr w14:paraId="1942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988" w:type="dxa"/>
            <w:vAlign w:val="center"/>
          </w:tcPr>
          <w:p w14:paraId="32AFE802">
            <w:pPr>
              <w:pStyle w:val="109"/>
              <w:rPr>
                <w:color w:val="000000" w:themeColor="text1"/>
                <w14:textFill>
                  <w14:solidFill>
                    <w14:schemeClr w14:val="tx1"/>
                  </w14:solidFill>
                </w14:textFill>
              </w:rPr>
            </w:pPr>
            <w:r>
              <w:rPr>
                <w:color w:val="000000" w:themeColor="text1"/>
                <w14:textFill>
                  <w14:solidFill>
                    <w14:schemeClr w14:val="tx1"/>
                  </w14:solidFill>
                </w14:textFill>
              </w:rPr>
              <w:t>硫酸钠</w:t>
            </w:r>
          </w:p>
        </w:tc>
        <w:tc>
          <w:tcPr>
            <w:tcW w:w="1013" w:type="dxa"/>
            <w:vAlign w:val="center"/>
          </w:tcPr>
          <w:p w14:paraId="21646A5F">
            <w:pPr>
              <w:pStyle w:val="109"/>
              <w:rPr>
                <w:color w:val="000000" w:themeColor="text1"/>
                <w:sz w:val="11"/>
                <w:szCs w:val="11"/>
                <w14:textFill>
                  <w14:solidFill>
                    <w14:schemeClr w14:val="tx1"/>
                  </w14:solidFill>
                </w14:textFill>
              </w:rPr>
            </w:pPr>
            <w:r>
              <w:rPr>
                <w:rFonts w:eastAsia="Times New Roman"/>
                <w:color w:val="000000" w:themeColor="text1"/>
                <w:sz w:val="18"/>
                <w:szCs w:val="18"/>
                <w:lang w:eastAsia="en-US" w:bidi="en-US"/>
                <w14:textFill>
                  <w14:solidFill>
                    <w14:schemeClr w14:val="tx1"/>
                  </w14:solidFill>
                </w14:textFill>
              </w:rPr>
              <w:t>Na</w:t>
            </w:r>
            <w:r>
              <w:rPr>
                <w:rFonts w:eastAsia="Times New Roman"/>
                <w:color w:val="000000" w:themeColor="text1"/>
                <w:sz w:val="11"/>
                <w:szCs w:val="11"/>
                <w:lang w:eastAsia="en-US" w:bidi="en-US"/>
                <w14:textFill>
                  <w14:solidFill>
                    <w14:schemeClr w14:val="tx1"/>
                  </w14:solidFill>
                </w14:textFill>
              </w:rPr>
              <w:t>2</w:t>
            </w:r>
            <w:r>
              <w:rPr>
                <w:rFonts w:eastAsia="Times New Roman"/>
                <w:color w:val="000000" w:themeColor="text1"/>
                <w:sz w:val="18"/>
                <w:szCs w:val="18"/>
                <w:lang w:eastAsia="en-US" w:bidi="en-US"/>
                <w14:textFill>
                  <w14:solidFill>
                    <w14:schemeClr w14:val="tx1"/>
                  </w14:solidFill>
                </w14:textFill>
              </w:rPr>
              <w:t>SO</w:t>
            </w:r>
            <w:r>
              <w:rPr>
                <w:rFonts w:eastAsia="Times New Roman"/>
                <w:color w:val="000000" w:themeColor="text1"/>
                <w:sz w:val="11"/>
                <w:szCs w:val="11"/>
                <w:lang w:eastAsia="en-US" w:bidi="en-US"/>
                <w14:textFill>
                  <w14:solidFill>
                    <w14:schemeClr w14:val="tx1"/>
                  </w14:solidFill>
                </w14:textFill>
              </w:rPr>
              <w:t>4</w:t>
            </w:r>
          </w:p>
        </w:tc>
        <w:tc>
          <w:tcPr>
            <w:tcW w:w="902" w:type="dxa"/>
            <w:vAlign w:val="center"/>
          </w:tcPr>
          <w:p w14:paraId="24518998">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142.04</w:t>
            </w:r>
          </w:p>
        </w:tc>
        <w:tc>
          <w:tcPr>
            <w:tcW w:w="1037" w:type="dxa"/>
            <w:vAlign w:val="center"/>
          </w:tcPr>
          <w:p w14:paraId="67183FD8">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7757-82-6</w:t>
            </w:r>
          </w:p>
        </w:tc>
        <w:tc>
          <w:tcPr>
            <w:tcW w:w="7267" w:type="dxa"/>
            <w:vAlign w:val="bottom"/>
          </w:tcPr>
          <w:p w14:paraId="28562114">
            <w:pPr>
              <w:pStyle w:val="109"/>
              <w:rPr>
                <w:color w:val="000000" w:themeColor="text1"/>
                <w14:textFill>
                  <w14:solidFill>
                    <w14:schemeClr w14:val="tx1"/>
                  </w14:solidFill>
                </w14:textFill>
              </w:rPr>
            </w:pPr>
            <w:r>
              <w:rPr>
                <w:color w:val="000000" w:themeColor="text1"/>
                <w14:textFill>
                  <w14:solidFill>
                    <w14:schemeClr w14:val="tx1"/>
                  </w14:solidFill>
                </w14:textFill>
              </w:rPr>
              <w:t>硫酸钠是</w:t>
            </w:r>
            <w:r>
              <w:fldChar w:fldCharType="begin"/>
            </w:r>
            <w:r>
              <w:instrText xml:space="preserve"> HYPERLINK "https://baike.baidu.com/item/%e7%a1%ab%e9%85%b8%e6%a0%b9/4079161" </w:instrText>
            </w:r>
            <w:r>
              <w:fldChar w:fldCharType="separate"/>
            </w:r>
            <w:r>
              <w:rPr>
                <w:color w:val="000000" w:themeColor="text1"/>
                <w14:textFill>
                  <w14:solidFill>
                    <w14:schemeClr w14:val="tx1"/>
                  </w14:solidFill>
                </w14:textFill>
              </w:rPr>
              <w:t>硫酸根</w:t>
            </w:r>
            <w:r>
              <w:rPr>
                <w:color w:val="000000" w:themeColor="text1"/>
                <w14:textFill>
                  <w14:solidFill>
                    <w14:schemeClr w14:val="tx1"/>
                  </w14:solidFill>
                </w14:textFill>
              </w:rPr>
              <w:fldChar w:fldCharType="end"/>
            </w:r>
            <w:r>
              <w:rPr>
                <w:color w:val="000000" w:themeColor="text1"/>
                <w14:textFill>
                  <w14:solidFill>
                    <w14:schemeClr w14:val="tx1"/>
                  </w14:solidFill>
                </w14:textFill>
              </w:rPr>
              <w:t>与</w:t>
            </w:r>
            <w:r>
              <w:fldChar w:fldCharType="begin"/>
            </w:r>
            <w:r>
              <w:instrText xml:space="preserve"> HYPERLINK "https://baike.baidu.com/item/%e9%92%a0%e7%a6%bb%e5%ad%90/479320" </w:instrText>
            </w:r>
            <w:r>
              <w:fldChar w:fldCharType="separate"/>
            </w:r>
            <w:r>
              <w:rPr>
                <w:color w:val="000000" w:themeColor="text1"/>
                <w14:textFill>
                  <w14:solidFill>
                    <w14:schemeClr w14:val="tx1"/>
                  </w14:solidFill>
                </w14:textFill>
              </w:rPr>
              <w:t>钠离子</w:t>
            </w:r>
            <w:r>
              <w:rPr>
                <w:color w:val="000000" w:themeColor="text1"/>
                <w14:textFill>
                  <w14:solidFill>
                    <w14:schemeClr w14:val="tx1"/>
                  </w14:solidFill>
                </w14:textFill>
              </w:rPr>
              <w:fldChar w:fldCharType="end"/>
            </w:r>
            <w:r>
              <w:rPr>
                <w:color w:val="000000" w:themeColor="text1"/>
                <w14:textFill>
                  <w14:solidFill>
                    <w14:schemeClr w14:val="tx1"/>
                  </w14:solidFill>
                </w14:textFill>
              </w:rPr>
              <w:t>化合生成的</w:t>
            </w:r>
            <w:r>
              <w:fldChar w:fldCharType="begin"/>
            </w:r>
            <w:r>
              <w:instrText xml:space="preserve"> HYPERLINK "https://baike.baidu.com/item/%e7%9b%90/16602623" </w:instrText>
            </w:r>
            <w:r>
              <w:fldChar w:fldCharType="separate"/>
            </w:r>
            <w:r>
              <w:rPr>
                <w:color w:val="000000" w:themeColor="text1"/>
                <w14:textFill>
                  <w14:solidFill>
                    <w14:schemeClr w14:val="tx1"/>
                  </w14:solidFill>
                </w14:textFill>
              </w:rPr>
              <w:t>盐</w:t>
            </w:r>
            <w:r>
              <w:rPr>
                <w:color w:val="000000" w:themeColor="text1"/>
                <w14:textFill>
                  <w14:solidFill>
                    <w14:schemeClr w14:val="tx1"/>
                  </w14:solidFill>
                </w14:textFill>
              </w:rPr>
              <w:fldChar w:fldCharType="end"/>
            </w:r>
            <w:r>
              <w:rPr>
                <w:color w:val="000000" w:themeColor="text1"/>
                <w14:textFill>
                  <w14:solidFill>
                    <w14:schemeClr w14:val="tx1"/>
                  </w14:solidFill>
                </w14:textFill>
              </w:rPr>
              <w:t>，化学式为</w:t>
            </w:r>
            <w:r>
              <w:rPr>
                <w:rFonts w:eastAsia="Times New Roman"/>
                <w:color w:val="000000" w:themeColor="text1"/>
                <w:lang w:bidi="en-US"/>
                <w14:textFill>
                  <w14:solidFill>
                    <w14:schemeClr w14:val="tx1"/>
                  </w14:solidFill>
                </w14:textFill>
              </w:rPr>
              <w:t>Na</w:t>
            </w:r>
            <w:r>
              <w:rPr>
                <w:rFonts w:eastAsia="Times New Roman"/>
                <w:color w:val="000000" w:themeColor="text1"/>
                <w:sz w:val="18"/>
                <w:szCs w:val="18"/>
                <w:lang w:bidi="en-US"/>
                <w14:textFill>
                  <w14:solidFill>
                    <w14:schemeClr w14:val="tx1"/>
                  </w14:solidFill>
                </w14:textFill>
              </w:rPr>
              <w:t>2</w:t>
            </w:r>
            <w:r>
              <w:rPr>
                <w:rFonts w:eastAsia="Times New Roman"/>
                <w:color w:val="000000" w:themeColor="text1"/>
                <w:lang w:bidi="en-US"/>
                <w14:textFill>
                  <w14:solidFill>
                    <w14:schemeClr w14:val="tx1"/>
                  </w14:solidFill>
                </w14:textFill>
              </w:rPr>
              <w:t>SO</w:t>
            </w:r>
            <w:r>
              <w:rPr>
                <w:rFonts w:eastAsia="Times New Roman"/>
                <w:color w:val="000000" w:themeColor="text1"/>
                <w:sz w:val="18"/>
                <w:szCs w:val="18"/>
                <w:lang w:bidi="en-US"/>
                <w14:textFill>
                  <w14:solidFill>
                    <w14:schemeClr w14:val="tx1"/>
                  </w14:solidFill>
                </w14:textFill>
              </w:rPr>
              <w:t>4</w:t>
            </w:r>
            <w:r>
              <w:rPr>
                <w:color w:val="000000" w:themeColor="text1"/>
                <w:lang w:bidi="en-US"/>
                <w14:textFill>
                  <w14:solidFill>
                    <w14:schemeClr w14:val="tx1"/>
                  </w14:solidFill>
                </w14:textFill>
              </w:rPr>
              <w:t>，</w:t>
            </w:r>
            <w:r>
              <w:rPr>
                <w:color w:val="000000" w:themeColor="text1"/>
                <w14:textFill>
                  <w14:solidFill>
                    <w14:schemeClr w14:val="tx1"/>
                  </w14:solidFill>
                </w14:textFill>
              </w:rPr>
              <w:t>硫酸钠溶于水，其溶液大多为中性，溶于</w:t>
            </w:r>
            <w:r>
              <w:fldChar w:fldCharType="begin"/>
            </w:r>
            <w:r>
              <w:instrText xml:space="preserve"> HYPERLINK "https://baike.baidu.com/item/%e7%94%98%e6%b2%b9/99429" </w:instrText>
            </w:r>
            <w:r>
              <w:fldChar w:fldCharType="separate"/>
            </w:r>
            <w:r>
              <w:rPr>
                <w:color w:val="000000" w:themeColor="text1"/>
                <w14:textFill>
                  <w14:solidFill>
                    <w14:schemeClr w14:val="tx1"/>
                  </w14:solidFill>
                </w14:textFill>
              </w:rPr>
              <w:t>甘油</w:t>
            </w:r>
            <w:r>
              <w:rPr>
                <w:color w:val="000000" w:themeColor="text1"/>
                <w14:textFill>
                  <w14:solidFill>
                    <w14:schemeClr w14:val="tx1"/>
                  </w14:solidFill>
                </w14:textFill>
              </w:rPr>
              <w:fldChar w:fldCharType="end"/>
            </w:r>
            <w:r>
              <w:rPr>
                <w:color w:val="000000" w:themeColor="text1"/>
                <w14:textFill>
                  <w14:solidFill>
                    <w14:schemeClr w14:val="tx1"/>
                  </w14:solidFill>
                </w14:textFill>
              </w:rPr>
              <w:t>而不溶于</w:t>
            </w:r>
            <w:r>
              <w:fldChar w:fldCharType="begin"/>
            </w:r>
            <w:r>
              <w:instrText xml:space="preserve"> HYPERLINK "https://baike.baidu.com/item/%e4%b9%99%e9%86%87/135334" </w:instrText>
            </w:r>
            <w:r>
              <w:fldChar w:fldCharType="separate"/>
            </w:r>
            <w:r>
              <w:rPr>
                <w:color w:val="000000" w:themeColor="text1"/>
                <w14:textFill>
                  <w14:solidFill>
                    <w14:schemeClr w14:val="tx1"/>
                  </w14:solidFill>
                </w14:textFill>
              </w:rPr>
              <w:t>乙醇</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fldChar w:fldCharType="begin"/>
            </w:r>
            <w:r>
              <w:instrText xml:space="preserve"> HYPERLINK "https://baike.baidu.com/item/%e6%97%a0%e6%9c%ba%e5%8c%96%e5%90%88%e7%89%a9/10716655" </w:instrText>
            </w:r>
            <w:r>
              <w:fldChar w:fldCharType="separate"/>
            </w:r>
            <w:r>
              <w:rPr>
                <w:color w:val="000000" w:themeColor="text1"/>
                <w14:textFill>
                  <w14:solidFill>
                    <w14:schemeClr w14:val="tx1"/>
                  </w14:solidFill>
                </w14:textFill>
              </w:rPr>
              <w:t>无机化合物</w:t>
            </w:r>
            <w:r>
              <w:rPr>
                <w:color w:val="000000" w:themeColor="text1"/>
                <w14:textFill>
                  <w14:solidFill>
                    <w14:schemeClr w14:val="tx1"/>
                  </w14:solidFill>
                </w14:textFill>
              </w:rPr>
              <w:fldChar w:fldCharType="end"/>
            </w:r>
            <w:r>
              <w:rPr>
                <w:color w:val="000000" w:themeColor="text1"/>
                <w14:textFill>
                  <w14:solidFill>
                    <w14:schemeClr w14:val="tx1"/>
                  </w14:solidFill>
                </w14:textFill>
              </w:rPr>
              <w:t>，高纯度、颗粒细的无水物称为元明粉。元明粉，白色、无臭、有苦味的结晶或粉末，有吸湿性。外形为无色、透明、大的结晶或颗粒性小结晶。硫酸钠暴露于空气中易吸水，生成十水合硫酸钠，熔点</w:t>
            </w:r>
            <w:r>
              <w:rPr>
                <w:rFonts w:eastAsia="Times New Roman"/>
                <w:color w:val="000000" w:themeColor="text1"/>
                <w14:textFill>
                  <w14:solidFill>
                    <w14:schemeClr w14:val="tx1"/>
                  </w14:solidFill>
                </w14:textFill>
              </w:rPr>
              <w:t>884℃</w:t>
            </w:r>
            <w:r>
              <w:rPr>
                <w:color w:val="000000" w:themeColor="text1"/>
                <w14:textFill>
                  <w14:solidFill>
                    <w14:schemeClr w14:val="tx1"/>
                  </w14:solidFill>
                </w14:textFill>
              </w:rPr>
              <w:t>，沸点</w:t>
            </w:r>
            <w:r>
              <w:rPr>
                <w:rFonts w:eastAsia="Times New Roman"/>
                <w:color w:val="000000" w:themeColor="text1"/>
                <w14:textFill>
                  <w14:solidFill>
                    <w14:schemeClr w14:val="tx1"/>
                  </w14:solidFill>
                </w14:textFill>
              </w:rPr>
              <w:t>1404℃</w:t>
            </w:r>
            <w:r>
              <w:rPr>
                <w:color w:val="000000" w:themeColor="text1"/>
                <w14:textFill>
                  <w14:solidFill>
                    <w14:schemeClr w14:val="tx1"/>
                  </w14:solidFill>
                </w14:textFill>
              </w:rPr>
              <w:t>，密度</w:t>
            </w:r>
            <w:r>
              <w:rPr>
                <w:rFonts w:eastAsia="Times New Roman"/>
                <w:color w:val="000000" w:themeColor="text1"/>
                <w14:textFill>
                  <w14:solidFill>
                    <w14:schemeClr w14:val="tx1"/>
                  </w14:solidFill>
                </w14:textFill>
              </w:rPr>
              <w:t>2680</w:t>
            </w:r>
            <w:r>
              <w:rPr>
                <w:rFonts w:eastAsia="Times New Roman"/>
                <w:color w:val="000000" w:themeColor="text1"/>
                <w:lang w:bidi="en-US"/>
                <w14:textFill>
                  <w14:solidFill>
                    <w14:schemeClr w14:val="tx1"/>
                  </w14:solidFill>
                </w14:textFill>
              </w:rPr>
              <w:t>kg/m³</w:t>
            </w:r>
          </w:p>
        </w:tc>
        <w:tc>
          <w:tcPr>
            <w:tcW w:w="1464" w:type="dxa"/>
            <w:vAlign w:val="center"/>
          </w:tcPr>
          <w:p w14:paraId="0B3FCD6B">
            <w:pPr>
              <w:pStyle w:val="109"/>
              <w:rPr>
                <w:color w:val="000000" w:themeColor="text1"/>
                <w14:textFill>
                  <w14:solidFill>
                    <w14:schemeClr w14:val="tx1"/>
                  </w14:solidFill>
                </w14:textFill>
              </w:rPr>
            </w:pPr>
            <w:r>
              <w:rPr>
                <w:color w:val="000000" w:themeColor="text1"/>
                <w14:textFill>
                  <w14:solidFill>
                    <w14:schemeClr w14:val="tx1"/>
                  </w14:solidFill>
                </w14:textFill>
              </w:rPr>
              <w:t>不燃</w:t>
            </w:r>
          </w:p>
        </w:tc>
        <w:tc>
          <w:tcPr>
            <w:tcW w:w="1641" w:type="dxa"/>
            <w:vAlign w:val="center"/>
          </w:tcPr>
          <w:p w14:paraId="29B82A7C">
            <w:pPr>
              <w:pStyle w:val="109"/>
              <w:rPr>
                <w:color w:val="000000" w:themeColor="text1"/>
                <w14:textFill>
                  <w14:solidFill>
                    <w14:schemeClr w14:val="tx1"/>
                  </w14:solidFill>
                </w14:textFill>
              </w:rPr>
            </w:pPr>
            <w:r>
              <w:rPr>
                <w:color w:val="000000" w:themeColor="text1"/>
                <w14:textFill>
                  <w14:solidFill>
                    <w14:schemeClr w14:val="tx1"/>
                  </w14:solidFill>
                </w14:textFill>
              </w:rPr>
              <w:t>无毒</w:t>
            </w:r>
          </w:p>
        </w:tc>
      </w:tr>
    </w:tbl>
    <w:p w14:paraId="241D4536">
      <w:pPr>
        <w:spacing w:line="1" w:lineRule="exact"/>
        <w:ind w:firstLine="480"/>
        <w:rPr>
          <w:color w:val="000000" w:themeColor="text1"/>
          <w:sz w:val="2"/>
          <w:szCs w:val="2"/>
          <w:highlight w:val="yellow"/>
          <w14:textFill>
            <w14:solidFill>
              <w14:schemeClr w14:val="tx1"/>
            </w14:solidFill>
          </w14:textFill>
        </w:rPr>
      </w:pPr>
      <w:r>
        <w:rPr>
          <w:color w:val="000000" w:themeColor="text1"/>
          <w:highlight w:val="yellow"/>
          <w14:textFill>
            <w14:solidFill>
              <w14:schemeClr w14:val="tx1"/>
            </w14:solidFill>
          </w14:textFill>
        </w:rPr>
        <w:br w:type="page"/>
      </w:r>
    </w:p>
    <w:p w14:paraId="26085336">
      <w:pPr>
        <w:ind w:firstLine="480"/>
        <w:rPr>
          <w:color w:val="000000" w:themeColor="text1"/>
          <w:highlight w:val="yellow"/>
          <w14:textFill>
            <w14:solidFill>
              <w14:schemeClr w14:val="tx1"/>
            </w14:solidFill>
          </w14:textFill>
        </w:rPr>
        <w:sectPr>
          <w:headerReference r:id="rId17" w:type="default"/>
          <w:type w:val="nextColumn"/>
          <w:pgSz w:w="16840" w:h="11900" w:orient="landscape"/>
          <w:pgMar w:top="1418" w:right="1247" w:bottom="1418" w:left="1247" w:header="964" w:footer="964" w:gutter="0"/>
          <w:cols w:space="720" w:num="1"/>
          <w:docGrid w:linePitch="360" w:charSpace="0"/>
        </w:sectPr>
      </w:pPr>
    </w:p>
    <w:p w14:paraId="286CF94A">
      <w:pPr>
        <w:pStyle w:val="4"/>
        <w:rPr>
          <w:rFonts w:ascii="Times New Roman" w:cs="Times New Roman"/>
          <w:color w:val="000000" w:themeColor="text1"/>
          <w14:textFill>
            <w14:solidFill>
              <w14:schemeClr w14:val="tx1"/>
            </w14:solidFill>
          </w14:textFill>
        </w:rPr>
      </w:pPr>
      <w:bookmarkStart w:id="242" w:name="bookmark165"/>
      <w:bookmarkStart w:id="243" w:name="bookmark166"/>
      <w:r>
        <w:rPr>
          <w:rFonts w:ascii="Times New Roman" w:cs="Times New Roman"/>
          <w:color w:val="000000" w:themeColor="text1"/>
          <w14:textFill>
            <w14:solidFill>
              <w14:schemeClr w14:val="tx1"/>
            </w14:solidFill>
          </w14:textFill>
        </w:rPr>
        <w:t>废盐成分分析</w:t>
      </w:r>
      <w:bookmarkEnd w:id="242"/>
      <w:bookmarkEnd w:id="243"/>
    </w:p>
    <w:p w14:paraId="77A447F9">
      <w:pPr>
        <w:ind w:firstLine="480"/>
        <w:rPr>
          <w:color w:val="000000" w:themeColor="text1"/>
          <w14:textFill>
            <w14:solidFill>
              <w14:schemeClr w14:val="tx1"/>
            </w14:solidFill>
          </w14:textFill>
        </w:rPr>
      </w:pPr>
      <w:r>
        <w:rPr>
          <w:color w:val="000000" w:themeColor="text1"/>
          <w14:textFill>
            <w14:solidFill>
              <w14:schemeClr w14:val="tx1"/>
            </w14:solidFill>
          </w14:textFill>
        </w:rPr>
        <w:t>企业取样并委托广州信维检测技术服务有限公司进行化验。项目废盐成分检测报告</w:t>
      </w:r>
      <w:r>
        <w:rPr>
          <w:color w:val="000000" w:themeColor="text1"/>
          <w:lang w:bidi="en-US"/>
          <w14:textFill>
            <w14:solidFill>
              <w14:schemeClr w14:val="tx1"/>
            </w14:solidFill>
          </w14:textFill>
        </w:rPr>
        <w:t>(</w:t>
      </w:r>
      <w:r>
        <w:rPr>
          <w:rFonts w:eastAsiaTheme="minorEastAsia"/>
          <w:color w:val="000000" w:themeColor="text1"/>
          <w:lang w:bidi="en-US"/>
          <w14:textFill>
            <w14:solidFill>
              <w14:schemeClr w14:val="tx1"/>
            </w14:solidFill>
          </w14:textFill>
        </w:rPr>
        <w:t>XW-XJRH-20260110-01</w:t>
      </w:r>
      <w:r>
        <w:rPr>
          <w:color w:val="000000" w:themeColor="text1"/>
          <w:lang w:bidi="en-US"/>
          <w14:textFill>
            <w14:solidFill>
              <w14:schemeClr w14:val="tx1"/>
            </w14:solidFill>
          </w14:textFill>
        </w:rPr>
        <w:t>)</w:t>
      </w:r>
      <w:r>
        <w:rPr>
          <w:color w:val="000000" w:themeColor="text1"/>
          <w14:textFill>
            <w14:solidFill>
              <w14:schemeClr w14:val="tx1"/>
            </w14:solidFill>
          </w14:textFill>
        </w:rPr>
        <w:t>数据详见下表。</w:t>
      </w:r>
    </w:p>
    <w:p w14:paraId="746A0F38">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废盐成分表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358"/>
        <w:gridCol w:w="2358"/>
        <w:gridCol w:w="2358"/>
        <w:gridCol w:w="2358"/>
      </w:tblGrid>
      <w:tr w14:paraId="471F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52A70650">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250" w:type="pct"/>
            <w:vAlign w:val="center"/>
          </w:tcPr>
          <w:p w14:paraId="1B064926">
            <w:pPr>
              <w:pStyle w:val="109"/>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1250" w:type="pct"/>
            <w:vAlign w:val="center"/>
          </w:tcPr>
          <w:p w14:paraId="6CAA0DBE">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250" w:type="pct"/>
            <w:vAlign w:val="center"/>
          </w:tcPr>
          <w:p w14:paraId="52DE1454">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r>
      <w:tr w14:paraId="677C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0989219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50" w:type="pct"/>
            <w:vAlign w:val="center"/>
          </w:tcPr>
          <w:p w14:paraId="007E67FA">
            <w:pPr>
              <w:pStyle w:val="109"/>
              <w:rPr>
                <w:color w:val="000000" w:themeColor="text1"/>
                <w14:textFill>
                  <w14:solidFill>
                    <w14:schemeClr w14:val="tx1"/>
                  </w14:solidFill>
                </w14:textFill>
              </w:rPr>
            </w:pPr>
            <w:r>
              <w:rPr>
                <w:color w:val="000000" w:themeColor="text1"/>
                <w14:textFill>
                  <w14:solidFill>
                    <w14:schemeClr w14:val="tx1"/>
                  </w14:solidFill>
                </w14:textFill>
              </w:rPr>
              <w:t>TOC</w:t>
            </w:r>
          </w:p>
        </w:tc>
        <w:tc>
          <w:tcPr>
            <w:tcW w:w="1250" w:type="pct"/>
            <w:vAlign w:val="center"/>
          </w:tcPr>
          <w:p w14:paraId="6CD9994E">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72DB392C">
            <w:pPr>
              <w:pStyle w:val="109"/>
              <w:rPr>
                <w:color w:val="000000" w:themeColor="text1"/>
                <w14:textFill>
                  <w14:solidFill>
                    <w14:schemeClr w14:val="tx1"/>
                  </w14:solidFill>
                </w14:textFill>
              </w:rPr>
            </w:pPr>
            <w:r>
              <w:rPr>
                <w:color w:val="000000" w:themeColor="text1"/>
                <w14:textFill>
                  <w14:solidFill>
                    <w14:schemeClr w14:val="tx1"/>
                  </w14:solidFill>
                </w14:textFill>
              </w:rPr>
              <w:t>78.7</w:t>
            </w:r>
          </w:p>
        </w:tc>
      </w:tr>
      <w:tr w14:paraId="33FD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6CEECD71">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50" w:type="pct"/>
            <w:vAlign w:val="center"/>
          </w:tcPr>
          <w:p w14:paraId="7BE30146">
            <w:pPr>
              <w:pStyle w:val="109"/>
              <w:rPr>
                <w:color w:val="000000" w:themeColor="text1"/>
                <w14:textFill>
                  <w14:solidFill>
                    <w14:schemeClr w14:val="tx1"/>
                  </w14:solidFill>
                </w14:textFill>
              </w:rPr>
            </w:pPr>
            <w:r>
              <w:rPr>
                <w:color w:val="000000" w:themeColor="text1"/>
                <w14:textFill>
                  <w14:solidFill>
                    <w14:schemeClr w14:val="tx1"/>
                  </w14:solidFill>
                </w14:textFill>
              </w:rPr>
              <w:t>钙</w:t>
            </w:r>
          </w:p>
        </w:tc>
        <w:tc>
          <w:tcPr>
            <w:tcW w:w="1250" w:type="pct"/>
          </w:tcPr>
          <w:p w14:paraId="204C5107">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2ACD3F74">
            <w:pPr>
              <w:pStyle w:val="109"/>
              <w:rPr>
                <w:color w:val="000000" w:themeColor="text1"/>
                <w14:textFill>
                  <w14:solidFill>
                    <w14:schemeClr w14:val="tx1"/>
                  </w14:solidFill>
                </w14:textFill>
              </w:rPr>
            </w:pPr>
            <w:r>
              <w:rPr>
                <w:color w:val="000000" w:themeColor="text1"/>
                <w14:textFill>
                  <w14:solidFill>
                    <w14:schemeClr w14:val="tx1"/>
                  </w14:solidFill>
                </w14:textFill>
              </w:rPr>
              <w:t>2.01</w:t>
            </w:r>
          </w:p>
        </w:tc>
      </w:tr>
      <w:tr w14:paraId="29CB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255E6F0A">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50" w:type="pct"/>
            <w:vAlign w:val="center"/>
          </w:tcPr>
          <w:p w14:paraId="07DD210A">
            <w:pPr>
              <w:pStyle w:val="109"/>
              <w:rPr>
                <w:color w:val="000000" w:themeColor="text1"/>
                <w14:textFill>
                  <w14:solidFill>
                    <w14:schemeClr w14:val="tx1"/>
                  </w14:solidFill>
                </w14:textFill>
              </w:rPr>
            </w:pPr>
            <w:r>
              <w:rPr>
                <w:color w:val="000000" w:themeColor="text1"/>
                <w14:textFill>
                  <w14:solidFill>
                    <w14:schemeClr w14:val="tx1"/>
                  </w14:solidFill>
                </w14:textFill>
              </w:rPr>
              <w:t>铝</w:t>
            </w:r>
          </w:p>
        </w:tc>
        <w:tc>
          <w:tcPr>
            <w:tcW w:w="1250" w:type="pct"/>
          </w:tcPr>
          <w:p w14:paraId="32D69C70">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6E3C4B4D">
            <w:pPr>
              <w:pStyle w:val="109"/>
              <w:rPr>
                <w:color w:val="000000" w:themeColor="text1"/>
                <w14:textFill>
                  <w14:solidFill>
                    <w14:schemeClr w14:val="tx1"/>
                  </w14:solidFill>
                </w14:textFill>
              </w:rPr>
            </w:pPr>
            <w:r>
              <w:rPr>
                <w:color w:val="000000" w:themeColor="text1"/>
                <w14:textFill>
                  <w14:solidFill>
                    <w14:schemeClr w14:val="tx1"/>
                  </w14:solidFill>
                </w14:textFill>
              </w:rPr>
              <w:t>0.07</w:t>
            </w:r>
          </w:p>
        </w:tc>
      </w:tr>
      <w:tr w14:paraId="5341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2DA3362D">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50" w:type="pct"/>
            <w:vAlign w:val="center"/>
          </w:tcPr>
          <w:p w14:paraId="17FE1164">
            <w:pPr>
              <w:pStyle w:val="109"/>
              <w:rPr>
                <w:color w:val="000000" w:themeColor="text1"/>
                <w14:textFill>
                  <w14:solidFill>
                    <w14:schemeClr w14:val="tx1"/>
                  </w14:solidFill>
                </w14:textFill>
              </w:rPr>
            </w:pPr>
            <w:r>
              <w:rPr>
                <w:color w:val="000000" w:themeColor="text1"/>
                <w14:textFill>
                  <w14:solidFill>
                    <w14:schemeClr w14:val="tx1"/>
                  </w14:solidFill>
                </w14:textFill>
              </w:rPr>
              <w:t>铬</w:t>
            </w:r>
          </w:p>
        </w:tc>
        <w:tc>
          <w:tcPr>
            <w:tcW w:w="1250" w:type="pct"/>
          </w:tcPr>
          <w:p w14:paraId="69622912">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75CE97BD">
            <w:pPr>
              <w:pStyle w:val="109"/>
              <w:rPr>
                <w:color w:val="000000" w:themeColor="text1"/>
                <w14:textFill>
                  <w14:solidFill>
                    <w14:schemeClr w14:val="tx1"/>
                  </w14:solidFill>
                </w14:textFill>
              </w:rPr>
            </w:pPr>
            <w:r>
              <w:rPr>
                <w:color w:val="000000" w:themeColor="text1"/>
                <w14:textFill>
                  <w14:solidFill>
                    <w14:schemeClr w14:val="tx1"/>
                  </w14:solidFill>
                </w14:textFill>
              </w:rPr>
              <w:t>0.07</w:t>
            </w:r>
          </w:p>
        </w:tc>
      </w:tr>
      <w:tr w14:paraId="4DA2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0E38033B">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50" w:type="pct"/>
            <w:vAlign w:val="center"/>
          </w:tcPr>
          <w:p w14:paraId="27EF0000">
            <w:pPr>
              <w:pStyle w:val="109"/>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1250" w:type="pct"/>
          </w:tcPr>
          <w:p w14:paraId="15E0964C">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63F2AD5C">
            <w:pPr>
              <w:pStyle w:val="109"/>
              <w:rPr>
                <w:color w:val="000000" w:themeColor="text1"/>
                <w14:textFill>
                  <w14:solidFill>
                    <w14:schemeClr w14:val="tx1"/>
                  </w14:solidFill>
                </w14:textFill>
              </w:rPr>
            </w:pPr>
            <w:r>
              <w:rPr>
                <w:color w:val="000000" w:themeColor="text1"/>
                <w14:textFill>
                  <w14:solidFill>
                    <w14:schemeClr w14:val="tx1"/>
                  </w14:solidFill>
                </w14:textFill>
              </w:rPr>
              <w:t>0.09</w:t>
            </w:r>
          </w:p>
        </w:tc>
      </w:tr>
      <w:tr w14:paraId="3DEB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024A9A8F">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250" w:type="pct"/>
            <w:vAlign w:val="center"/>
          </w:tcPr>
          <w:p w14:paraId="24110627">
            <w:pPr>
              <w:pStyle w:val="109"/>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1250" w:type="pct"/>
          </w:tcPr>
          <w:p w14:paraId="03180AD0">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4C638B84">
            <w:pPr>
              <w:pStyle w:val="109"/>
              <w:rPr>
                <w:color w:val="000000" w:themeColor="text1"/>
                <w14:textFill>
                  <w14:solidFill>
                    <w14:schemeClr w14:val="tx1"/>
                  </w14:solidFill>
                </w14:textFill>
              </w:rPr>
            </w:pPr>
            <w:r>
              <w:rPr>
                <w:color w:val="000000" w:themeColor="text1"/>
                <w14:textFill>
                  <w14:solidFill>
                    <w14:schemeClr w14:val="tx1"/>
                  </w14:solidFill>
                </w14:textFill>
              </w:rPr>
              <w:t>0.08</w:t>
            </w:r>
          </w:p>
        </w:tc>
      </w:tr>
      <w:tr w14:paraId="0219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70209D61">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250" w:type="pct"/>
            <w:vAlign w:val="center"/>
          </w:tcPr>
          <w:p w14:paraId="0EF3993F">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1250" w:type="pct"/>
          </w:tcPr>
          <w:p w14:paraId="2E428AA6">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49CDD83F">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r>
      <w:tr w14:paraId="7857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51EC6F01">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1250" w:type="pct"/>
            <w:vAlign w:val="center"/>
          </w:tcPr>
          <w:p w14:paraId="76EF9F61">
            <w:pPr>
              <w:pStyle w:val="109"/>
              <w:rPr>
                <w:color w:val="000000" w:themeColor="text1"/>
                <w14:textFill>
                  <w14:solidFill>
                    <w14:schemeClr w14:val="tx1"/>
                  </w14:solidFill>
                </w14:textFill>
              </w:rPr>
            </w:pPr>
            <w:r>
              <w:rPr>
                <w:color w:val="000000" w:themeColor="text1"/>
                <w14:textFill>
                  <w14:solidFill>
                    <w14:schemeClr w14:val="tx1"/>
                  </w14:solidFill>
                </w14:textFill>
              </w:rPr>
              <w:t>锑</w:t>
            </w:r>
          </w:p>
        </w:tc>
        <w:tc>
          <w:tcPr>
            <w:tcW w:w="1250" w:type="pct"/>
          </w:tcPr>
          <w:p w14:paraId="766B6961">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11B69D49">
            <w:pPr>
              <w:pStyle w:val="109"/>
              <w:rPr>
                <w:color w:val="000000" w:themeColor="text1"/>
                <w14:textFill>
                  <w14:solidFill>
                    <w14:schemeClr w14:val="tx1"/>
                  </w14:solidFill>
                </w14:textFill>
              </w:rPr>
            </w:pPr>
            <w:r>
              <w:rPr>
                <w:color w:val="000000" w:themeColor="text1"/>
                <w14:textFill>
                  <w14:solidFill>
                    <w14:schemeClr w14:val="tx1"/>
                  </w14:solidFill>
                </w14:textFill>
              </w:rPr>
              <w:t>0.11</w:t>
            </w:r>
          </w:p>
        </w:tc>
      </w:tr>
      <w:tr w14:paraId="03D1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54725B73">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1250" w:type="pct"/>
            <w:vAlign w:val="center"/>
          </w:tcPr>
          <w:p w14:paraId="7288E46C">
            <w:pPr>
              <w:pStyle w:val="109"/>
              <w:rPr>
                <w:color w:val="000000" w:themeColor="text1"/>
                <w14:textFill>
                  <w14:solidFill>
                    <w14:schemeClr w14:val="tx1"/>
                  </w14:solidFill>
                </w14:textFill>
              </w:rPr>
            </w:pPr>
            <w:r>
              <w:rPr>
                <w:color w:val="000000" w:themeColor="text1"/>
                <w14:textFill>
                  <w14:solidFill>
                    <w14:schemeClr w14:val="tx1"/>
                  </w14:solidFill>
                </w14:textFill>
              </w:rPr>
              <w:t>锶</w:t>
            </w:r>
          </w:p>
        </w:tc>
        <w:tc>
          <w:tcPr>
            <w:tcW w:w="1250" w:type="pct"/>
          </w:tcPr>
          <w:p w14:paraId="422B303B">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0DE61F07">
            <w:pPr>
              <w:pStyle w:val="109"/>
              <w:rPr>
                <w:color w:val="000000" w:themeColor="text1"/>
                <w14:textFill>
                  <w14:solidFill>
                    <w14:schemeClr w14:val="tx1"/>
                  </w14:solidFill>
                </w14:textFill>
              </w:rPr>
            </w:pPr>
            <w:r>
              <w:rPr>
                <w:color w:val="000000" w:themeColor="text1"/>
                <w14:textFill>
                  <w14:solidFill>
                    <w14:schemeClr w14:val="tx1"/>
                  </w14:solidFill>
                </w14:textFill>
              </w:rPr>
              <w:t>0.09</w:t>
            </w:r>
          </w:p>
        </w:tc>
      </w:tr>
      <w:tr w14:paraId="340E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158D8241">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50" w:type="pct"/>
          </w:tcPr>
          <w:p w14:paraId="634FD3B5">
            <w:pPr>
              <w:pStyle w:val="109"/>
              <w:rPr>
                <w:color w:val="000000" w:themeColor="text1"/>
                <w14:textFill>
                  <w14:solidFill>
                    <w14:schemeClr w14:val="tx1"/>
                  </w14:solidFill>
                </w14:textFill>
              </w:rPr>
            </w:pPr>
            <w:r>
              <w:rPr>
                <w:color w:val="000000" w:themeColor="text1"/>
                <w14:textFill>
                  <w14:solidFill>
                    <w14:schemeClr w14:val="tx1"/>
                  </w14:solidFill>
                </w14:textFill>
              </w:rPr>
              <w:t>钛</w:t>
            </w:r>
          </w:p>
        </w:tc>
        <w:tc>
          <w:tcPr>
            <w:tcW w:w="1250" w:type="pct"/>
          </w:tcPr>
          <w:p w14:paraId="70CAB367">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2B5174AC">
            <w:pPr>
              <w:pStyle w:val="109"/>
              <w:rPr>
                <w:color w:val="000000" w:themeColor="text1"/>
                <w14:textFill>
                  <w14:solidFill>
                    <w14:schemeClr w14:val="tx1"/>
                  </w14:solidFill>
                </w14:textFill>
              </w:rPr>
            </w:pPr>
            <w:r>
              <w:rPr>
                <w:color w:val="000000" w:themeColor="text1"/>
                <w14:textFill>
                  <w14:solidFill>
                    <w14:schemeClr w14:val="tx1"/>
                  </w14:solidFill>
                </w14:textFill>
              </w:rPr>
              <w:t>0.09</w:t>
            </w:r>
          </w:p>
        </w:tc>
      </w:tr>
      <w:tr w14:paraId="20F6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3843DC9A">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250" w:type="pct"/>
            <w:vAlign w:val="center"/>
          </w:tcPr>
          <w:p w14:paraId="3E184D1F">
            <w:pPr>
              <w:pStyle w:val="109"/>
              <w:rPr>
                <w:color w:val="000000" w:themeColor="text1"/>
                <w14:textFill>
                  <w14:solidFill>
                    <w14:schemeClr w14:val="tx1"/>
                  </w14:solidFill>
                </w14:textFill>
              </w:rPr>
            </w:pPr>
            <w:r>
              <w:rPr>
                <w:color w:val="000000" w:themeColor="text1"/>
                <w14:textFill>
                  <w14:solidFill>
                    <w14:schemeClr w14:val="tx1"/>
                  </w14:solidFill>
                </w14:textFill>
              </w:rPr>
              <w:t>钒</w:t>
            </w:r>
          </w:p>
        </w:tc>
        <w:tc>
          <w:tcPr>
            <w:tcW w:w="1250" w:type="pct"/>
          </w:tcPr>
          <w:p w14:paraId="1E72C9C1">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34B2A15E">
            <w:pPr>
              <w:pStyle w:val="109"/>
              <w:rPr>
                <w:color w:val="000000" w:themeColor="text1"/>
                <w14:textFill>
                  <w14:solidFill>
                    <w14:schemeClr w14:val="tx1"/>
                  </w14:solidFill>
                </w14:textFill>
              </w:rPr>
            </w:pPr>
            <w:r>
              <w:rPr>
                <w:color w:val="000000" w:themeColor="text1"/>
                <w14:textFill>
                  <w14:solidFill>
                    <w14:schemeClr w14:val="tx1"/>
                  </w14:solidFill>
                </w14:textFill>
              </w:rPr>
              <w:t>0.08</w:t>
            </w:r>
          </w:p>
        </w:tc>
      </w:tr>
      <w:tr w14:paraId="1E47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250" w:type="pct"/>
            <w:vAlign w:val="center"/>
          </w:tcPr>
          <w:p w14:paraId="49909ECA">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250" w:type="pct"/>
            <w:vAlign w:val="center"/>
          </w:tcPr>
          <w:p w14:paraId="2F6CA106">
            <w:pPr>
              <w:pStyle w:val="109"/>
              <w:rPr>
                <w:color w:val="000000" w:themeColor="text1"/>
                <w14:textFill>
                  <w14:solidFill>
                    <w14:schemeClr w14:val="tx1"/>
                  </w14:solidFill>
                </w14:textFill>
              </w:rPr>
            </w:pPr>
            <w:r>
              <w:rPr>
                <w:color w:val="000000" w:themeColor="text1"/>
                <w14:textFill>
                  <w14:solidFill>
                    <w14:schemeClr w14:val="tx1"/>
                  </w14:solidFill>
                </w14:textFill>
              </w:rPr>
              <w:t>锌</w:t>
            </w:r>
          </w:p>
        </w:tc>
        <w:tc>
          <w:tcPr>
            <w:tcW w:w="1250" w:type="pct"/>
          </w:tcPr>
          <w:p w14:paraId="4C287842">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250" w:type="pct"/>
            <w:vAlign w:val="center"/>
          </w:tcPr>
          <w:p w14:paraId="479A63C1">
            <w:pPr>
              <w:pStyle w:val="109"/>
              <w:rPr>
                <w:color w:val="000000" w:themeColor="text1"/>
                <w14:textFill>
                  <w14:solidFill>
                    <w14:schemeClr w14:val="tx1"/>
                  </w14:solidFill>
                </w14:textFill>
              </w:rPr>
            </w:pPr>
            <w:r>
              <w:rPr>
                <w:color w:val="000000" w:themeColor="text1"/>
                <w14:textFill>
                  <w14:solidFill>
                    <w14:schemeClr w14:val="tx1"/>
                  </w14:solidFill>
                </w14:textFill>
              </w:rPr>
              <w:t>0.09</w:t>
            </w:r>
          </w:p>
        </w:tc>
      </w:tr>
    </w:tbl>
    <w:p w14:paraId="7C2A78B5">
      <w:pPr>
        <w:ind w:firstLine="42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 xml:space="preserve">注：测试条件：将样品在105℃条件下烘干，配置为310g/L的浓盐水。 </w:t>
      </w:r>
    </w:p>
    <w:p w14:paraId="7EDABEC4">
      <w:pPr>
        <w:ind w:firstLine="480"/>
        <w:rPr>
          <w:color w:val="000000" w:themeColor="text1"/>
          <w14:textFill>
            <w14:solidFill>
              <w14:schemeClr w14:val="tx1"/>
            </w14:solidFill>
          </w14:textFill>
        </w:rPr>
      </w:pPr>
      <w:r>
        <w:rPr>
          <w:color w:val="000000" w:themeColor="text1"/>
          <w14:textFill>
            <w14:solidFill>
              <w14:schemeClr w14:val="tx1"/>
            </w14:solidFill>
          </w14:textFill>
        </w:rPr>
        <w:t>根据上述检测结果，折算成重量比如下：</w:t>
      </w:r>
    </w:p>
    <w:p w14:paraId="316249C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废盐成分表（重量比）</w:t>
      </w:r>
    </w:p>
    <w:tbl>
      <w:tblPr>
        <w:tblStyle w:val="76"/>
        <w:tblW w:w="5000" w:type="pct"/>
        <w:tblInd w:w="0" w:type="dxa"/>
        <w:tblLayout w:type="autofit"/>
        <w:tblCellMar>
          <w:top w:w="0" w:type="dxa"/>
          <w:left w:w="108" w:type="dxa"/>
          <w:bottom w:w="0" w:type="dxa"/>
          <w:right w:w="108" w:type="dxa"/>
        </w:tblCellMar>
      </w:tblPr>
      <w:tblGrid>
        <w:gridCol w:w="2509"/>
        <w:gridCol w:w="2621"/>
        <w:gridCol w:w="4498"/>
      </w:tblGrid>
      <w:tr w14:paraId="1220F79A">
        <w:tblPrEx>
          <w:tblCellMar>
            <w:top w:w="0" w:type="dxa"/>
            <w:left w:w="108" w:type="dxa"/>
            <w:bottom w:w="0" w:type="dxa"/>
            <w:right w:w="108" w:type="dxa"/>
          </w:tblCellMar>
        </w:tblPrEx>
        <w:trPr>
          <w:trHeight w:val="345" w:hRule="atLeast"/>
        </w:trPr>
        <w:tc>
          <w:tcPr>
            <w:tcW w:w="1303" w:type="pct"/>
            <w:vMerge w:val="restart"/>
            <w:tcBorders>
              <w:top w:val="single" w:color="auto" w:sz="4" w:space="0"/>
              <w:left w:val="single" w:color="auto" w:sz="4" w:space="0"/>
              <w:right w:val="single" w:color="auto" w:sz="4" w:space="0"/>
            </w:tcBorders>
            <w:vAlign w:val="center"/>
          </w:tcPr>
          <w:p w14:paraId="097544F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361" w:type="pct"/>
            <w:vMerge w:val="restart"/>
            <w:tcBorders>
              <w:top w:val="single" w:color="auto" w:sz="4" w:space="0"/>
              <w:left w:val="nil"/>
              <w:right w:val="single" w:color="auto" w:sz="4" w:space="0"/>
            </w:tcBorders>
            <w:vAlign w:val="center"/>
          </w:tcPr>
          <w:p w14:paraId="72E4631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c>
          <w:tcPr>
            <w:tcW w:w="2336" w:type="pct"/>
            <w:tcBorders>
              <w:top w:val="single" w:color="auto" w:sz="4" w:space="0"/>
              <w:left w:val="nil"/>
              <w:bottom w:val="single" w:color="auto" w:sz="4" w:space="0"/>
              <w:right w:val="single" w:color="auto" w:sz="4" w:space="0"/>
            </w:tcBorders>
            <w:vAlign w:val="center"/>
          </w:tcPr>
          <w:p w14:paraId="739E11E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检测结果</w:t>
            </w:r>
          </w:p>
        </w:tc>
      </w:tr>
      <w:tr w14:paraId="17EA0F28">
        <w:tblPrEx>
          <w:tblCellMar>
            <w:top w:w="0" w:type="dxa"/>
            <w:left w:w="108" w:type="dxa"/>
            <w:bottom w:w="0" w:type="dxa"/>
            <w:right w:w="108" w:type="dxa"/>
          </w:tblCellMar>
        </w:tblPrEx>
        <w:trPr>
          <w:trHeight w:val="185" w:hRule="atLeast"/>
        </w:trPr>
        <w:tc>
          <w:tcPr>
            <w:tcW w:w="1303" w:type="pct"/>
            <w:vMerge w:val="continue"/>
            <w:tcBorders>
              <w:left w:val="single" w:color="auto" w:sz="4" w:space="0"/>
              <w:bottom w:val="single" w:color="auto" w:sz="4" w:space="0"/>
              <w:right w:val="single" w:color="auto" w:sz="4" w:space="0"/>
            </w:tcBorders>
            <w:vAlign w:val="center"/>
          </w:tcPr>
          <w:p w14:paraId="1AD76ECD">
            <w:pPr>
              <w:pStyle w:val="109"/>
              <w:rPr>
                <w:color w:val="000000" w:themeColor="text1"/>
                <w:szCs w:val="21"/>
                <w14:textFill>
                  <w14:solidFill>
                    <w14:schemeClr w14:val="tx1"/>
                  </w14:solidFill>
                </w14:textFill>
              </w:rPr>
            </w:pPr>
          </w:p>
        </w:tc>
        <w:tc>
          <w:tcPr>
            <w:tcW w:w="1361" w:type="pct"/>
            <w:vMerge w:val="continue"/>
            <w:tcBorders>
              <w:left w:val="nil"/>
              <w:bottom w:val="single" w:color="auto" w:sz="4" w:space="0"/>
              <w:right w:val="single" w:color="auto" w:sz="4" w:space="0"/>
            </w:tcBorders>
            <w:vAlign w:val="center"/>
          </w:tcPr>
          <w:p w14:paraId="55C25CB4">
            <w:pPr>
              <w:pStyle w:val="109"/>
              <w:rPr>
                <w:color w:val="000000" w:themeColor="text1"/>
                <w:szCs w:val="21"/>
                <w14:textFill>
                  <w14:solidFill>
                    <w14:schemeClr w14:val="tx1"/>
                  </w14:solidFill>
                </w14:textFill>
              </w:rPr>
            </w:pPr>
          </w:p>
        </w:tc>
        <w:tc>
          <w:tcPr>
            <w:tcW w:w="2336" w:type="pct"/>
            <w:tcBorders>
              <w:top w:val="single" w:color="auto" w:sz="4" w:space="0"/>
              <w:left w:val="nil"/>
              <w:bottom w:val="single" w:color="auto" w:sz="4" w:space="0"/>
              <w:right w:val="single" w:color="auto" w:sz="4" w:space="0"/>
            </w:tcBorders>
            <w:vAlign w:val="center"/>
          </w:tcPr>
          <w:p w14:paraId="1C6B420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重量比mg/g</w:t>
            </w:r>
          </w:p>
        </w:tc>
      </w:tr>
      <w:tr w14:paraId="250218BB">
        <w:tblPrEx>
          <w:tblCellMar>
            <w:top w:w="0" w:type="dxa"/>
            <w:left w:w="108" w:type="dxa"/>
            <w:bottom w:w="0" w:type="dxa"/>
            <w:right w:w="108" w:type="dxa"/>
          </w:tblCellMar>
        </w:tblPrEx>
        <w:trPr>
          <w:trHeight w:val="276" w:hRule="atLeast"/>
        </w:trPr>
        <w:tc>
          <w:tcPr>
            <w:tcW w:w="1303" w:type="pct"/>
            <w:tcBorders>
              <w:top w:val="nil"/>
              <w:left w:val="single" w:color="auto" w:sz="4" w:space="0"/>
              <w:bottom w:val="single" w:color="auto" w:sz="4" w:space="0"/>
              <w:right w:val="single" w:color="auto" w:sz="4" w:space="0"/>
            </w:tcBorders>
            <w:vAlign w:val="center"/>
          </w:tcPr>
          <w:p w14:paraId="15C7830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1361" w:type="pct"/>
            <w:tcBorders>
              <w:top w:val="nil"/>
              <w:left w:val="nil"/>
              <w:bottom w:val="single" w:color="auto" w:sz="4" w:space="0"/>
              <w:right w:val="single" w:color="auto" w:sz="4" w:space="0"/>
            </w:tcBorders>
            <w:vAlign w:val="center"/>
          </w:tcPr>
          <w:p w14:paraId="21FA39E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TOC</w:t>
            </w:r>
          </w:p>
        </w:tc>
        <w:tc>
          <w:tcPr>
            <w:tcW w:w="2336" w:type="pct"/>
            <w:tcBorders>
              <w:top w:val="nil"/>
              <w:left w:val="nil"/>
              <w:bottom w:val="single" w:color="auto" w:sz="4" w:space="0"/>
              <w:right w:val="single" w:color="auto" w:sz="4" w:space="0"/>
            </w:tcBorders>
            <w:noWrap/>
            <w:vAlign w:val="bottom"/>
          </w:tcPr>
          <w:p w14:paraId="1108860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0.25387 </w:t>
            </w:r>
          </w:p>
        </w:tc>
      </w:tr>
      <w:tr w14:paraId="1577E6A2">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5C7B873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1361" w:type="pct"/>
            <w:tcBorders>
              <w:top w:val="nil"/>
              <w:left w:val="nil"/>
              <w:bottom w:val="single" w:color="auto" w:sz="4" w:space="0"/>
              <w:right w:val="single" w:color="auto" w:sz="4" w:space="0"/>
            </w:tcBorders>
            <w:vAlign w:val="center"/>
          </w:tcPr>
          <w:p w14:paraId="09FF153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钙</w:t>
            </w:r>
          </w:p>
        </w:tc>
        <w:tc>
          <w:tcPr>
            <w:tcW w:w="2336" w:type="pct"/>
            <w:tcBorders>
              <w:top w:val="nil"/>
              <w:left w:val="nil"/>
              <w:bottom w:val="single" w:color="auto" w:sz="4" w:space="0"/>
              <w:right w:val="single" w:color="auto" w:sz="4" w:space="0"/>
            </w:tcBorders>
            <w:noWrap/>
            <w:vAlign w:val="bottom"/>
          </w:tcPr>
          <w:p w14:paraId="0029D87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0.00648 </w:t>
            </w:r>
          </w:p>
        </w:tc>
      </w:tr>
      <w:tr w14:paraId="73C0CC84">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33D789A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w:t>
            </w:r>
          </w:p>
        </w:tc>
        <w:tc>
          <w:tcPr>
            <w:tcW w:w="1361" w:type="pct"/>
            <w:tcBorders>
              <w:top w:val="nil"/>
              <w:left w:val="nil"/>
              <w:bottom w:val="single" w:color="auto" w:sz="4" w:space="0"/>
              <w:right w:val="single" w:color="auto" w:sz="4" w:space="0"/>
            </w:tcBorders>
            <w:vAlign w:val="center"/>
          </w:tcPr>
          <w:p w14:paraId="6EC98D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铝</w:t>
            </w:r>
          </w:p>
        </w:tc>
        <w:tc>
          <w:tcPr>
            <w:tcW w:w="2336" w:type="pct"/>
            <w:tcBorders>
              <w:top w:val="nil"/>
              <w:left w:val="nil"/>
              <w:bottom w:val="single" w:color="auto" w:sz="4" w:space="0"/>
              <w:right w:val="single" w:color="auto" w:sz="4" w:space="0"/>
            </w:tcBorders>
            <w:noWrap/>
            <w:vAlign w:val="bottom"/>
          </w:tcPr>
          <w:p w14:paraId="49096B6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0.00023 </w:t>
            </w:r>
          </w:p>
        </w:tc>
      </w:tr>
      <w:tr w14:paraId="7E61D895">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4672E66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w:t>
            </w:r>
          </w:p>
        </w:tc>
        <w:tc>
          <w:tcPr>
            <w:tcW w:w="1361" w:type="pct"/>
            <w:tcBorders>
              <w:top w:val="nil"/>
              <w:left w:val="nil"/>
              <w:bottom w:val="single" w:color="auto" w:sz="4" w:space="0"/>
              <w:right w:val="single" w:color="auto" w:sz="4" w:space="0"/>
            </w:tcBorders>
            <w:vAlign w:val="center"/>
          </w:tcPr>
          <w:p w14:paraId="40FDE06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铬</w:t>
            </w:r>
          </w:p>
        </w:tc>
        <w:tc>
          <w:tcPr>
            <w:tcW w:w="2336" w:type="pct"/>
            <w:tcBorders>
              <w:top w:val="nil"/>
              <w:left w:val="nil"/>
              <w:bottom w:val="single" w:color="auto" w:sz="4" w:space="0"/>
              <w:right w:val="single" w:color="auto" w:sz="4" w:space="0"/>
            </w:tcBorders>
            <w:noWrap/>
            <w:vAlign w:val="bottom"/>
          </w:tcPr>
          <w:p w14:paraId="040897B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0.00023 </w:t>
            </w:r>
          </w:p>
        </w:tc>
      </w:tr>
      <w:tr w14:paraId="701A866F">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0ABED67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w:t>
            </w:r>
          </w:p>
        </w:tc>
        <w:tc>
          <w:tcPr>
            <w:tcW w:w="1361" w:type="pct"/>
            <w:tcBorders>
              <w:top w:val="nil"/>
              <w:left w:val="nil"/>
              <w:bottom w:val="single" w:color="auto" w:sz="4" w:space="0"/>
              <w:right w:val="single" w:color="auto" w:sz="4" w:space="0"/>
            </w:tcBorders>
            <w:vAlign w:val="center"/>
          </w:tcPr>
          <w:p w14:paraId="5635B9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铜</w:t>
            </w:r>
          </w:p>
        </w:tc>
        <w:tc>
          <w:tcPr>
            <w:tcW w:w="2336" w:type="pct"/>
            <w:tcBorders>
              <w:top w:val="nil"/>
              <w:left w:val="nil"/>
              <w:bottom w:val="single" w:color="auto" w:sz="4" w:space="0"/>
              <w:right w:val="single" w:color="auto" w:sz="4" w:space="0"/>
            </w:tcBorders>
            <w:noWrap/>
            <w:vAlign w:val="bottom"/>
          </w:tcPr>
          <w:p w14:paraId="1B60E73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0.00029 </w:t>
            </w:r>
          </w:p>
        </w:tc>
      </w:tr>
      <w:tr w14:paraId="04143F44">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44A431F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w:t>
            </w:r>
          </w:p>
        </w:tc>
        <w:tc>
          <w:tcPr>
            <w:tcW w:w="1361" w:type="pct"/>
            <w:tcBorders>
              <w:top w:val="nil"/>
              <w:left w:val="nil"/>
              <w:bottom w:val="single" w:color="auto" w:sz="4" w:space="0"/>
              <w:right w:val="single" w:color="auto" w:sz="4" w:space="0"/>
            </w:tcBorders>
            <w:vAlign w:val="center"/>
          </w:tcPr>
          <w:p w14:paraId="6A1D518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铁</w:t>
            </w:r>
          </w:p>
        </w:tc>
        <w:tc>
          <w:tcPr>
            <w:tcW w:w="2336" w:type="pct"/>
            <w:tcBorders>
              <w:top w:val="nil"/>
              <w:left w:val="nil"/>
              <w:bottom w:val="single" w:color="auto" w:sz="4" w:space="0"/>
              <w:right w:val="single" w:color="auto" w:sz="4" w:space="0"/>
            </w:tcBorders>
            <w:noWrap/>
            <w:vAlign w:val="bottom"/>
          </w:tcPr>
          <w:p w14:paraId="6E38F17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0.00026 </w:t>
            </w:r>
          </w:p>
        </w:tc>
      </w:tr>
      <w:tr w14:paraId="3ED59628">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17CBCFF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w:t>
            </w:r>
          </w:p>
        </w:tc>
        <w:tc>
          <w:tcPr>
            <w:tcW w:w="1361" w:type="pct"/>
            <w:tcBorders>
              <w:top w:val="nil"/>
              <w:left w:val="nil"/>
              <w:bottom w:val="single" w:color="auto" w:sz="4" w:space="0"/>
              <w:right w:val="single" w:color="auto" w:sz="4" w:space="0"/>
            </w:tcBorders>
            <w:vAlign w:val="center"/>
          </w:tcPr>
          <w:p w14:paraId="00F5524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铅</w:t>
            </w:r>
          </w:p>
        </w:tc>
        <w:tc>
          <w:tcPr>
            <w:tcW w:w="2336" w:type="pct"/>
            <w:tcBorders>
              <w:top w:val="nil"/>
              <w:left w:val="nil"/>
              <w:bottom w:val="single" w:color="auto" w:sz="4" w:space="0"/>
              <w:right w:val="single" w:color="auto" w:sz="4" w:space="0"/>
            </w:tcBorders>
            <w:noWrap/>
            <w:vAlign w:val="bottom"/>
          </w:tcPr>
          <w:p w14:paraId="5C05F71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0.00016 </w:t>
            </w:r>
          </w:p>
        </w:tc>
      </w:tr>
      <w:tr w14:paraId="379009C4">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22EE568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8</w:t>
            </w:r>
          </w:p>
        </w:tc>
        <w:tc>
          <w:tcPr>
            <w:tcW w:w="1361" w:type="pct"/>
            <w:tcBorders>
              <w:top w:val="nil"/>
              <w:left w:val="nil"/>
              <w:bottom w:val="single" w:color="auto" w:sz="4" w:space="0"/>
              <w:right w:val="single" w:color="auto" w:sz="4" w:space="0"/>
            </w:tcBorders>
            <w:vAlign w:val="center"/>
          </w:tcPr>
          <w:p w14:paraId="2C7A0BE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锑</w:t>
            </w:r>
          </w:p>
        </w:tc>
        <w:tc>
          <w:tcPr>
            <w:tcW w:w="2336" w:type="pct"/>
            <w:tcBorders>
              <w:top w:val="nil"/>
              <w:left w:val="nil"/>
              <w:bottom w:val="single" w:color="auto" w:sz="4" w:space="0"/>
              <w:right w:val="single" w:color="auto" w:sz="4" w:space="0"/>
            </w:tcBorders>
            <w:noWrap/>
            <w:vAlign w:val="bottom"/>
          </w:tcPr>
          <w:p w14:paraId="44CB27D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0.00035 </w:t>
            </w:r>
          </w:p>
        </w:tc>
      </w:tr>
      <w:tr w14:paraId="591AC010">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2BD3820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9</w:t>
            </w:r>
          </w:p>
        </w:tc>
        <w:tc>
          <w:tcPr>
            <w:tcW w:w="1361" w:type="pct"/>
            <w:tcBorders>
              <w:top w:val="nil"/>
              <w:left w:val="nil"/>
              <w:bottom w:val="single" w:color="auto" w:sz="4" w:space="0"/>
              <w:right w:val="single" w:color="auto" w:sz="4" w:space="0"/>
            </w:tcBorders>
            <w:vAlign w:val="center"/>
          </w:tcPr>
          <w:p w14:paraId="6C2F96D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锶</w:t>
            </w:r>
          </w:p>
        </w:tc>
        <w:tc>
          <w:tcPr>
            <w:tcW w:w="2336" w:type="pct"/>
            <w:tcBorders>
              <w:top w:val="nil"/>
              <w:left w:val="nil"/>
              <w:bottom w:val="single" w:color="auto" w:sz="4" w:space="0"/>
              <w:right w:val="single" w:color="auto" w:sz="4" w:space="0"/>
            </w:tcBorders>
            <w:noWrap/>
            <w:vAlign w:val="bottom"/>
          </w:tcPr>
          <w:p w14:paraId="79C5254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0.00029 </w:t>
            </w:r>
          </w:p>
        </w:tc>
      </w:tr>
      <w:tr w14:paraId="4AF0C5A8">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7247078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10</w:t>
            </w:r>
          </w:p>
        </w:tc>
        <w:tc>
          <w:tcPr>
            <w:tcW w:w="1361" w:type="pct"/>
            <w:tcBorders>
              <w:top w:val="nil"/>
              <w:left w:val="nil"/>
              <w:bottom w:val="single" w:color="auto" w:sz="4" w:space="0"/>
              <w:right w:val="single" w:color="auto" w:sz="4" w:space="0"/>
            </w:tcBorders>
            <w:vAlign w:val="center"/>
          </w:tcPr>
          <w:p w14:paraId="29F84DC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钛</w:t>
            </w:r>
          </w:p>
        </w:tc>
        <w:tc>
          <w:tcPr>
            <w:tcW w:w="2336" w:type="pct"/>
            <w:tcBorders>
              <w:top w:val="nil"/>
              <w:left w:val="nil"/>
              <w:bottom w:val="single" w:color="auto" w:sz="4" w:space="0"/>
              <w:right w:val="single" w:color="auto" w:sz="4" w:space="0"/>
            </w:tcBorders>
            <w:noWrap/>
            <w:vAlign w:val="bottom"/>
          </w:tcPr>
          <w:p w14:paraId="6C63370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0.00029 </w:t>
            </w:r>
          </w:p>
        </w:tc>
      </w:tr>
      <w:tr w14:paraId="70ADAE00">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11DB934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11</w:t>
            </w:r>
          </w:p>
        </w:tc>
        <w:tc>
          <w:tcPr>
            <w:tcW w:w="1361" w:type="pct"/>
            <w:tcBorders>
              <w:top w:val="nil"/>
              <w:left w:val="nil"/>
              <w:bottom w:val="single" w:color="auto" w:sz="4" w:space="0"/>
              <w:right w:val="single" w:color="auto" w:sz="4" w:space="0"/>
            </w:tcBorders>
            <w:vAlign w:val="center"/>
          </w:tcPr>
          <w:p w14:paraId="2FAEBF9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钒</w:t>
            </w:r>
          </w:p>
        </w:tc>
        <w:tc>
          <w:tcPr>
            <w:tcW w:w="2336" w:type="pct"/>
            <w:tcBorders>
              <w:top w:val="nil"/>
              <w:left w:val="nil"/>
              <w:bottom w:val="single" w:color="auto" w:sz="4" w:space="0"/>
              <w:right w:val="single" w:color="auto" w:sz="4" w:space="0"/>
            </w:tcBorders>
            <w:noWrap/>
            <w:vAlign w:val="bottom"/>
          </w:tcPr>
          <w:p w14:paraId="1C93439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0.00026 </w:t>
            </w:r>
          </w:p>
        </w:tc>
      </w:tr>
      <w:tr w14:paraId="33BEC821">
        <w:tblPrEx>
          <w:tblCellMar>
            <w:top w:w="0" w:type="dxa"/>
            <w:left w:w="108" w:type="dxa"/>
            <w:bottom w:w="0" w:type="dxa"/>
            <w:right w:w="108" w:type="dxa"/>
          </w:tblCellMar>
        </w:tblPrEx>
        <w:trPr>
          <w:trHeight w:val="288" w:hRule="atLeast"/>
        </w:trPr>
        <w:tc>
          <w:tcPr>
            <w:tcW w:w="1303" w:type="pct"/>
            <w:tcBorders>
              <w:top w:val="nil"/>
              <w:left w:val="single" w:color="auto" w:sz="4" w:space="0"/>
              <w:bottom w:val="single" w:color="auto" w:sz="4" w:space="0"/>
              <w:right w:val="single" w:color="auto" w:sz="4" w:space="0"/>
            </w:tcBorders>
            <w:vAlign w:val="center"/>
          </w:tcPr>
          <w:p w14:paraId="51F92B9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12</w:t>
            </w:r>
          </w:p>
        </w:tc>
        <w:tc>
          <w:tcPr>
            <w:tcW w:w="1361" w:type="pct"/>
            <w:tcBorders>
              <w:top w:val="nil"/>
              <w:left w:val="nil"/>
              <w:bottom w:val="single" w:color="auto" w:sz="4" w:space="0"/>
              <w:right w:val="single" w:color="auto" w:sz="4" w:space="0"/>
            </w:tcBorders>
            <w:vAlign w:val="center"/>
          </w:tcPr>
          <w:p w14:paraId="5F090D0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锌</w:t>
            </w:r>
          </w:p>
        </w:tc>
        <w:tc>
          <w:tcPr>
            <w:tcW w:w="2336" w:type="pct"/>
            <w:tcBorders>
              <w:top w:val="nil"/>
              <w:left w:val="nil"/>
              <w:bottom w:val="single" w:color="auto" w:sz="4" w:space="0"/>
              <w:right w:val="single" w:color="auto" w:sz="4" w:space="0"/>
            </w:tcBorders>
            <w:noWrap/>
            <w:vAlign w:val="bottom"/>
          </w:tcPr>
          <w:p w14:paraId="3361AA3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0.00029 </w:t>
            </w:r>
          </w:p>
        </w:tc>
      </w:tr>
    </w:tbl>
    <w:p w14:paraId="18922B20">
      <w:pPr>
        <w:ind w:firstLine="480"/>
        <w:rPr>
          <w:color w:val="000000" w:themeColor="text1"/>
          <w14:textFill>
            <w14:solidFill>
              <w14:schemeClr w14:val="tx1"/>
            </w14:solidFill>
          </w14:textFill>
        </w:rPr>
      </w:pPr>
      <w:r>
        <w:rPr>
          <w:color w:val="000000" w:themeColor="text1"/>
          <w14:textFill>
            <w14:solidFill>
              <w14:schemeClr w14:val="tx1"/>
            </w14:solidFill>
          </w14:textFill>
        </w:rPr>
        <w:t>考虑到取样分析的不确定性和偶然性，为使得本工艺更好的适应危险废物变化，设计的进场限制标准部分指标高于检测的结果。本工艺的环保设施将按照最大量的进场进行设计，确保处理效果。</w:t>
      </w:r>
    </w:p>
    <w:p w14:paraId="308A4198">
      <w:pPr>
        <w:pStyle w:val="3"/>
        <w:rPr>
          <w:rFonts w:ascii="Times New Roman" w:cs="Times New Roman"/>
          <w:color w:val="000000" w:themeColor="text1"/>
          <w14:textFill>
            <w14:solidFill>
              <w14:schemeClr w14:val="tx1"/>
            </w14:solidFill>
          </w14:textFill>
        </w:rPr>
      </w:pPr>
      <w:bookmarkStart w:id="244" w:name="_Toc225268300"/>
      <w:r>
        <w:rPr>
          <w:rFonts w:ascii="Times New Roman" w:cs="Times New Roman"/>
          <w:color w:val="000000" w:themeColor="text1"/>
          <w14:textFill>
            <w14:solidFill>
              <w14:schemeClr w14:val="tx1"/>
            </w14:solidFill>
          </w14:textFill>
        </w:rPr>
        <w:t>公用工程</w:t>
      </w:r>
      <w:bookmarkEnd w:id="239"/>
      <w:bookmarkEnd w:id="240"/>
      <w:bookmarkEnd w:id="241"/>
      <w:bookmarkEnd w:id="244"/>
    </w:p>
    <w:p w14:paraId="430325EE">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供水系统</w:t>
      </w:r>
    </w:p>
    <w:p w14:paraId="4A85631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本项目用水主要为烟气处理系统用水、循环冷却系统用水、化验室用水、地面冲洗用水及生活用水。</w:t>
      </w:r>
    </w:p>
    <w:p w14:paraId="7A387799">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eastAsia="Times New Roman"/>
          <w:b/>
          <w:bCs/>
          <w:color w:val="000000" w:themeColor="text1"/>
          <w14:textFill>
            <w14:solidFill>
              <w14:schemeClr w14:val="tx1"/>
            </w14:solidFill>
          </w14:textFill>
        </w:rPr>
        <w:t>1</w:t>
      </w:r>
      <w:r>
        <w:rPr>
          <w:b/>
          <w:bCs/>
          <w:color w:val="000000" w:themeColor="text1"/>
          <w14:textFill>
            <w14:solidFill>
              <w14:schemeClr w14:val="tx1"/>
            </w14:solidFill>
          </w14:textFill>
        </w:rPr>
        <w:t>）烟气处理系统用水</w:t>
      </w:r>
    </w:p>
    <w:p w14:paraId="63511287">
      <w:pPr>
        <w:ind w:firstLine="480"/>
        <w:rPr>
          <w:color w:val="000000" w:themeColor="text1"/>
          <w14:textFill>
            <w14:solidFill>
              <w14:schemeClr w14:val="tx1"/>
            </w14:solidFill>
          </w14:textFill>
        </w:rPr>
      </w:pPr>
      <w:r>
        <w:rPr>
          <w:color w:val="000000" w:themeColor="text1"/>
          <w14:textFill>
            <w14:solidFill>
              <w14:schemeClr w14:val="tx1"/>
            </w14:solidFill>
          </w14:textFill>
        </w:rPr>
        <w:t>烟气处理系统用水主要为急冷塔补水、水洗塔补水、湿电除尘器冲洗用水和烟气处理药剂配置用水。一级碱液喷淋塔、二级碱液喷淋塔、水洗塔用水均为逆流操作，即水洗塔补充新鲜水，水洗塔的水逆流补充二级碱液喷淋塔，二级碱液喷淋塔的水逆流补充一级碱液喷淋塔，因此仅需在水洗塔进行补水。</w:t>
      </w:r>
    </w:p>
    <w:p w14:paraId="320107B2">
      <w:pPr>
        <w:ind w:firstLine="482"/>
        <w:rPr>
          <w:color w:val="000000" w:themeColor="text1"/>
          <w14:textFill>
            <w14:solidFill>
              <w14:schemeClr w14:val="tx1"/>
            </w14:solidFill>
          </w14:textFill>
        </w:rPr>
      </w:pPr>
      <w:r>
        <w:rPr>
          <w:b/>
          <w:bCs/>
          <w:color w:val="000000" w:themeColor="text1"/>
          <w14:textFill>
            <w14:solidFill>
              <w14:schemeClr w14:val="tx1"/>
            </w14:solidFill>
          </w14:textFill>
        </w:rPr>
        <w:t>急冷塔补水：</w:t>
      </w:r>
      <w:r>
        <w:rPr>
          <w:color w:val="000000" w:themeColor="text1"/>
          <w14:textFill>
            <w14:solidFill>
              <w14:schemeClr w14:val="tx1"/>
            </w14:solidFill>
          </w14:textFill>
        </w:rPr>
        <w:t>根据设计单位提供的设计方案可知，急冷塔补水量为576kg/h，本项目年运行8000h，因此，补水量为4608m³/a，水源为新鲜水。</w:t>
      </w:r>
    </w:p>
    <w:p w14:paraId="730EF05C">
      <w:pPr>
        <w:ind w:firstLine="482"/>
        <w:rPr>
          <w:color w:val="000000" w:themeColor="text1"/>
          <w14:textFill>
            <w14:solidFill>
              <w14:schemeClr w14:val="tx1"/>
            </w14:solidFill>
          </w14:textFill>
        </w:rPr>
      </w:pPr>
      <w:r>
        <w:rPr>
          <w:b/>
          <w:bCs/>
          <w:color w:val="000000" w:themeColor="text1"/>
          <w14:textFill>
            <w14:solidFill>
              <w14:schemeClr w14:val="tx1"/>
            </w14:solidFill>
          </w14:textFill>
        </w:rPr>
        <w:t>水洗塔补水：</w:t>
      </w:r>
      <w:r>
        <w:rPr>
          <w:color w:val="000000" w:themeColor="text1"/>
          <w14:textFill>
            <w14:solidFill>
              <w14:schemeClr w14:val="tx1"/>
            </w14:solidFill>
          </w14:textFill>
        </w:rPr>
        <w:t>根据设计单位提供的设计方案可知，水洗塔补水量为943kg/h，本项目年运行8000h，因此，补水量为7544m³/a，水源为新鲜水。</w:t>
      </w:r>
    </w:p>
    <w:p w14:paraId="3AD4EF3A">
      <w:pPr>
        <w:ind w:firstLine="482"/>
        <w:rPr>
          <w:color w:val="000000" w:themeColor="text1"/>
          <w14:textFill>
            <w14:solidFill>
              <w14:schemeClr w14:val="tx1"/>
            </w14:solidFill>
          </w14:textFill>
        </w:rPr>
      </w:pPr>
      <w:r>
        <w:rPr>
          <w:b/>
          <w:bCs/>
          <w:color w:val="000000" w:themeColor="text1"/>
          <w14:textFill>
            <w14:solidFill>
              <w14:schemeClr w14:val="tx1"/>
            </w14:solidFill>
          </w14:textFill>
        </w:rPr>
        <w:t>湿电除尘器冲洗用水：</w:t>
      </w:r>
      <w:r>
        <w:rPr>
          <w:color w:val="000000" w:themeColor="text1"/>
          <w14:textFill>
            <w14:solidFill>
              <w14:schemeClr w14:val="tx1"/>
            </w14:solidFill>
          </w14:textFill>
        </w:rPr>
        <w:t>根据设计单位提供的设计方案可知，湿电除尘器补水量为300kg/h，本项目年运行8000h，因此，补水量为2400m³/a，水源为新鲜水。</w:t>
      </w:r>
    </w:p>
    <w:p w14:paraId="76BFB2D5">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eastAsiaTheme="minorEastAsia"/>
          <w:b/>
          <w:bCs/>
          <w:color w:val="000000" w:themeColor="text1"/>
          <w14:textFill>
            <w14:solidFill>
              <w14:schemeClr w14:val="tx1"/>
            </w14:solidFill>
          </w14:textFill>
        </w:rPr>
        <w:t>2</w:t>
      </w:r>
      <w:r>
        <w:rPr>
          <w:b/>
          <w:bCs/>
          <w:color w:val="000000" w:themeColor="text1"/>
          <w14:textFill>
            <w14:solidFill>
              <w14:schemeClr w14:val="tx1"/>
            </w14:solidFill>
          </w14:textFill>
        </w:rPr>
        <w:t>）循环冷却水补水</w:t>
      </w:r>
    </w:p>
    <w:p w14:paraId="333C8A6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本项目拟建</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个循环冷却水站，循环水量</w:t>
      </w:r>
      <w:r>
        <w:rPr>
          <w:rFonts w:eastAsia="Times New Roman"/>
          <w:color w:val="000000" w:themeColor="text1"/>
          <w:lang w:bidi="en-US"/>
          <w14:textFill>
            <w14:solidFill>
              <w14:schemeClr w14:val="tx1"/>
            </w14:solidFill>
          </w14:textFill>
        </w:rPr>
        <w:t>200</w:t>
      </w:r>
      <w:r>
        <w:rPr>
          <w:rFonts w:eastAsiaTheme="minorEastAsia"/>
          <w:color w:val="000000" w:themeColor="text1"/>
          <w:lang w:bidi="en-US"/>
          <w14:textFill>
            <w14:solidFill>
              <w14:schemeClr w14:val="tx1"/>
            </w14:solidFill>
          </w14:textFill>
        </w:rPr>
        <w:t>m³</w:t>
      </w:r>
      <w:r>
        <w:rPr>
          <w:rFonts w:eastAsia="Times New Roman"/>
          <w:color w:val="000000" w:themeColor="text1"/>
          <w:lang w:bidi="en-US"/>
          <w14:textFill>
            <w14:solidFill>
              <w14:schemeClr w14:val="tx1"/>
            </w14:solidFill>
          </w14:textFill>
        </w:rPr>
        <w:t>/h</w:t>
      </w:r>
      <w:r>
        <w:rPr>
          <w:color w:val="000000" w:themeColor="text1"/>
          <w:lang w:bidi="en-US"/>
          <w14:textFill>
            <w14:solidFill>
              <w14:schemeClr w14:val="tx1"/>
            </w14:solidFill>
          </w14:textFill>
        </w:rPr>
        <w:t>。</w:t>
      </w:r>
      <w:r>
        <w:rPr>
          <w:color w:val="000000" w:themeColor="text1"/>
          <w14:textFill>
            <w14:solidFill>
              <w14:schemeClr w14:val="tx1"/>
            </w14:solidFill>
          </w14:textFill>
        </w:rPr>
        <w:t>循环水蒸发损耗的水量按</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计，另外循环冷却水需定期排污，排水量按循环量的</w:t>
      </w:r>
      <w:r>
        <w:rPr>
          <w:rFonts w:eastAsia="Times New Roman"/>
          <w:color w:val="000000" w:themeColor="text1"/>
          <w14:textFill>
            <w14:solidFill>
              <w14:schemeClr w14:val="tx1"/>
            </w14:solidFill>
          </w14:textFill>
        </w:rPr>
        <w:t>0.2%</w:t>
      </w:r>
      <w:r>
        <w:rPr>
          <w:color w:val="000000" w:themeColor="text1"/>
          <w14:textFill>
            <w14:solidFill>
              <w14:schemeClr w14:val="tx1"/>
            </w14:solidFill>
          </w14:textFill>
        </w:rPr>
        <w:t>计，因此，循环冷却水补水量为循环量的1.2%，因此循环冷却水需定期补给水总计</w:t>
      </w:r>
      <w:r>
        <w:rPr>
          <w:rFonts w:eastAsiaTheme="minorEastAsia"/>
          <w:color w:val="000000" w:themeColor="text1"/>
          <w:lang w:bidi="en-US"/>
          <w14:textFill>
            <w14:solidFill>
              <w14:schemeClr w14:val="tx1"/>
            </w14:solidFill>
          </w14:textFill>
        </w:rPr>
        <w:t>19200m³</w:t>
      </w:r>
      <w:r>
        <w:rPr>
          <w:rFonts w:eastAsia="Times New Roman"/>
          <w:color w:val="000000" w:themeColor="text1"/>
          <w:lang w:bidi="en-US"/>
          <w14:textFill>
            <w14:solidFill>
              <w14:schemeClr w14:val="tx1"/>
            </w14:solidFill>
          </w14:textFill>
        </w:rPr>
        <w:t>/a</w:t>
      </w:r>
      <w:r>
        <w:rPr>
          <w:color w:val="000000" w:themeColor="text1"/>
          <w14:textFill>
            <w14:solidFill>
              <w14:schemeClr w14:val="tx1"/>
            </w14:solidFill>
          </w14:textFill>
        </w:rPr>
        <w:t>，水源为新鲜水。</w:t>
      </w:r>
    </w:p>
    <w:p w14:paraId="55CF4A9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（3）化验室用水</w:t>
      </w:r>
    </w:p>
    <w:p w14:paraId="0C6DC9B8">
      <w:pPr>
        <w:ind w:firstLine="480"/>
        <w:rPr>
          <w:color w:val="000000" w:themeColor="text1"/>
          <w14:textFill>
            <w14:solidFill>
              <w14:schemeClr w14:val="tx1"/>
            </w14:solidFill>
          </w14:textFill>
        </w:rPr>
      </w:pPr>
      <w:r>
        <w:rPr>
          <w:color w:val="000000" w:themeColor="text1"/>
          <w14:textFill>
            <w14:solidFill>
              <w14:schemeClr w14:val="tx1"/>
            </w14:solidFill>
          </w14:textFill>
        </w:rPr>
        <w:t>项目化验室检验过程需用水，用水量为</w:t>
      </w:r>
      <w:r>
        <w:rPr>
          <w:rFonts w:eastAsiaTheme="minorEastAsia"/>
          <w:color w:val="000000" w:themeColor="text1"/>
          <w:lang w:bidi="en-US"/>
          <w14:textFill>
            <w14:solidFill>
              <w14:schemeClr w14:val="tx1"/>
            </w14:solidFill>
          </w14:textFill>
        </w:rPr>
        <w:t>16.5</w:t>
      </w:r>
      <w:r>
        <w:rPr>
          <w:rFonts w:eastAsia="Times New Roman"/>
          <w:color w:val="000000" w:themeColor="text1"/>
          <w:lang w:bidi="en-US"/>
          <w14:textFill>
            <w14:solidFill>
              <w14:schemeClr w14:val="tx1"/>
            </w14:solidFill>
          </w14:textFill>
        </w:rPr>
        <w:t>m³/a</w:t>
      </w:r>
      <w:r>
        <w:rPr>
          <w:color w:val="000000" w:themeColor="text1"/>
          <w:lang w:bidi="en-US"/>
          <w14:textFill>
            <w14:solidFill>
              <w14:schemeClr w14:val="tx1"/>
            </w14:solidFill>
          </w14:textFill>
        </w:rPr>
        <w:t>(</w:t>
      </w:r>
      <w:r>
        <w:rPr>
          <w:rFonts w:eastAsiaTheme="minorEastAsia"/>
          <w:color w:val="000000" w:themeColor="text1"/>
          <w:lang w:bidi="en-US"/>
          <w14:textFill>
            <w14:solidFill>
              <w14:schemeClr w14:val="tx1"/>
            </w14:solidFill>
          </w14:textFill>
        </w:rPr>
        <w:t>0.05</w:t>
      </w:r>
      <w:r>
        <w:rPr>
          <w:rFonts w:eastAsia="Times New Roman"/>
          <w:color w:val="000000" w:themeColor="text1"/>
          <w:lang w:bidi="en-US"/>
          <w14:textFill>
            <w14:solidFill>
              <w14:schemeClr w14:val="tx1"/>
            </w14:solidFill>
          </w14:textFill>
        </w:rPr>
        <w:t>m³/d</w:t>
      </w:r>
      <w:r>
        <w:rPr>
          <w:color w:val="000000" w:themeColor="text1"/>
          <w:lang w:bidi="en-US"/>
          <w14:textFill>
            <w14:solidFill>
              <w14:schemeClr w14:val="tx1"/>
            </w14:solidFill>
          </w14:textFill>
        </w:rPr>
        <w:t>)</w:t>
      </w:r>
      <w:r>
        <w:rPr>
          <w:color w:val="000000" w:themeColor="text1"/>
          <w14:textFill>
            <w14:solidFill>
              <w14:schemeClr w14:val="tx1"/>
            </w14:solidFill>
          </w14:textFill>
        </w:rPr>
        <w:t xml:space="preserve"> ，水源为新鲜水。</w:t>
      </w:r>
    </w:p>
    <w:p w14:paraId="6AE04E2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（4）地面冲洗用水</w:t>
      </w:r>
    </w:p>
    <w:p w14:paraId="06F61361">
      <w:pPr>
        <w:ind w:firstLine="480"/>
        <w:rPr>
          <w:color w:val="000000" w:themeColor="text1"/>
          <w14:textFill>
            <w14:solidFill>
              <w14:schemeClr w14:val="tx1"/>
            </w14:solidFill>
          </w14:textFill>
        </w:rPr>
      </w:pPr>
      <w:r>
        <w:rPr>
          <w:color w:val="000000" w:themeColor="text1"/>
          <w14:textFill>
            <w14:solidFill>
              <w14:schemeClr w14:val="tx1"/>
            </w14:solidFill>
          </w14:textFill>
        </w:rPr>
        <w:t>为保持生产区域洁净，项目热解处理车间地面每周冲洗一次，冲洗用水量约0.5m³/d，26m³/a，水源为新鲜水。</w:t>
      </w:r>
    </w:p>
    <w:p w14:paraId="5EDFC2A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（5）生活用水</w:t>
      </w:r>
    </w:p>
    <w:p w14:paraId="09CF603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本项目劳动定员</w:t>
      </w:r>
      <w:r>
        <w:rPr>
          <w:rFonts w:eastAsiaTheme="minorEastAsia"/>
          <w:color w:val="000000" w:themeColor="text1"/>
          <w14:textFill>
            <w14:solidFill>
              <w14:schemeClr w14:val="tx1"/>
            </w14:solidFill>
          </w14:textFill>
        </w:rPr>
        <w:t>3</w:t>
      </w:r>
      <w:r>
        <w:rPr>
          <w:rFonts w:eastAsia="Times New Roman"/>
          <w:color w:val="000000" w:themeColor="text1"/>
          <w14:textFill>
            <w14:solidFill>
              <w14:schemeClr w14:val="tx1"/>
            </w14:solidFill>
          </w14:textFill>
        </w:rPr>
        <w:t>0</w:t>
      </w:r>
      <w:r>
        <w:rPr>
          <w:color w:val="000000" w:themeColor="text1"/>
          <w14:textFill>
            <w14:solidFill>
              <w14:schemeClr w14:val="tx1"/>
            </w14:solidFill>
          </w14:textFill>
        </w:rPr>
        <w:t>人，参照《建筑给水排水设计标准》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GB50015-2019</w:t>
      </w:r>
      <w:r>
        <w:rPr>
          <w:color w:val="000000" w:themeColor="text1"/>
          <w:lang w:bidi="en-US"/>
          <w14:textFill>
            <w14:solidFill>
              <w14:schemeClr w14:val="tx1"/>
            </w14:solidFill>
          </w14:textFill>
        </w:rPr>
        <w:t xml:space="preserve">)， </w:t>
      </w:r>
      <w:r>
        <w:rPr>
          <w:color w:val="000000" w:themeColor="text1"/>
          <w14:textFill>
            <w14:solidFill>
              <w14:schemeClr w14:val="tx1"/>
            </w14:solidFill>
          </w14:textFill>
        </w:rPr>
        <w:t>生活用水量以每人每天</w:t>
      </w:r>
      <w:r>
        <w:rPr>
          <w:rFonts w:eastAsiaTheme="minorEastAsia"/>
          <w:color w:val="000000" w:themeColor="text1"/>
          <w:lang w:bidi="en-US"/>
          <w14:textFill>
            <w14:solidFill>
              <w14:schemeClr w14:val="tx1"/>
            </w14:solidFill>
          </w14:textFill>
        </w:rPr>
        <w:t>5</w:t>
      </w:r>
      <w:r>
        <w:rPr>
          <w:rFonts w:eastAsia="Times New Roman"/>
          <w:color w:val="000000" w:themeColor="text1"/>
          <w:lang w:bidi="en-US"/>
          <w14:textFill>
            <w14:solidFill>
              <w14:schemeClr w14:val="tx1"/>
            </w14:solidFill>
          </w14:textFill>
        </w:rPr>
        <w:t>0L</w:t>
      </w:r>
      <w:r>
        <w:rPr>
          <w:color w:val="000000" w:themeColor="text1"/>
          <w14:textFill>
            <w14:solidFill>
              <w14:schemeClr w14:val="tx1"/>
            </w14:solidFill>
          </w14:textFill>
        </w:rPr>
        <w:t>计，年工作</w:t>
      </w:r>
      <w:r>
        <w:rPr>
          <w:rFonts w:eastAsia="Times New Roman"/>
          <w:color w:val="000000" w:themeColor="text1"/>
          <w14:textFill>
            <w14:solidFill>
              <w14:schemeClr w14:val="tx1"/>
            </w14:solidFill>
          </w14:textFill>
        </w:rPr>
        <w:t>3</w:t>
      </w:r>
      <w:r>
        <w:rPr>
          <w:rFonts w:eastAsiaTheme="minorEastAsia"/>
          <w:color w:val="000000" w:themeColor="text1"/>
          <w14:textFill>
            <w14:solidFill>
              <w14:schemeClr w14:val="tx1"/>
            </w14:solidFill>
          </w14:textFill>
        </w:rPr>
        <w:t>3</w:t>
      </w:r>
      <w:r>
        <w:rPr>
          <w:rFonts w:eastAsia="Times New Roman"/>
          <w:color w:val="000000" w:themeColor="text1"/>
          <w14:textFill>
            <w14:solidFill>
              <w14:schemeClr w14:val="tx1"/>
            </w14:solidFill>
          </w14:textFill>
        </w:rPr>
        <w:t>0</w:t>
      </w:r>
      <w:r>
        <w:rPr>
          <w:color w:val="000000" w:themeColor="text1"/>
          <w14:textFill>
            <w14:solidFill>
              <w14:schemeClr w14:val="tx1"/>
            </w14:solidFill>
          </w14:textFill>
        </w:rPr>
        <w:t>天，需水量为</w:t>
      </w:r>
      <w:r>
        <w:rPr>
          <w:rFonts w:eastAsiaTheme="minorEastAsia"/>
          <w:color w:val="000000" w:themeColor="text1"/>
          <w:lang w:bidi="en-US"/>
          <w14:textFill>
            <w14:solidFill>
              <w14:schemeClr w14:val="tx1"/>
            </w14:solidFill>
          </w14:textFill>
        </w:rPr>
        <w:t>1.5</w:t>
      </w:r>
      <w:r>
        <w:rPr>
          <w:rFonts w:eastAsia="Times New Roman"/>
          <w:color w:val="000000" w:themeColor="text1"/>
          <w:lang w:bidi="en-US"/>
          <w14:textFill>
            <w14:solidFill>
              <w14:schemeClr w14:val="tx1"/>
            </w14:solidFill>
          </w14:textFill>
        </w:rPr>
        <w:t>m³/d</w:t>
      </w:r>
      <w:r>
        <w:rPr>
          <w:color w:val="000000" w:themeColor="text1"/>
          <w:lang w:bidi="en-US"/>
          <w14:textFill>
            <w14:solidFill>
              <w14:schemeClr w14:val="tx1"/>
            </w14:solidFill>
          </w14:textFill>
        </w:rPr>
        <w:t>(</w:t>
      </w:r>
      <w:r>
        <w:rPr>
          <w:rFonts w:eastAsiaTheme="minorEastAsia"/>
          <w:color w:val="000000" w:themeColor="text1"/>
          <w:lang w:bidi="en-US"/>
          <w14:textFill>
            <w14:solidFill>
              <w14:schemeClr w14:val="tx1"/>
            </w14:solidFill>
          </w14:textFill>
        </w:rPr>
        <w:t>495</w:t>
      </w:r>
      <w:r>
        <w:rPr>
          <w:rFonts w:eastAsia="Times New Roman"/>
          <w:color w:val="000000" w:themeColor="text1"/>
          <w:lang w:bidi="en-US"/>
          <w14:textFill>
            <w14:solidFill>
              <w14:schemeClr w14:val="tx1"/>
            </w14:solidFill>
          </w14:textFill>
        </w:rPr>
        <w:t>m³/a</w:t>
      </w:r>
      <w:r>
        <w:rPr>
          <w:color w:val="000000" w:themeColor="text1"/>
          <w:lang w:bidi="en-US"/>
          <w14:textFill>
            <w14:solidFill>
              <w14:schemeClr w14:val="tx1"/>
            </w14:solidFill>
          </w14:textFill>
        </w:rPr>
        <w:t>)</w:t>
      </w:r>
      <w:r>
        <w:rPr>
          <w:color w:val="000000" w:themeColor="text1"/>
          <w14:textFill>
            <w14:solidFill>
              <w14:schemeClr w14:val="tx1"/>
            </w14:solidFill>
          </w14:textFill>
        </w:rPr>
        <w:t xml:space="preserve"> ，水源为新鲜水。</w:t>
      </w:r>
    </w:p>
    <w:p w14:paraId="73AAE90E">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项目用水情况一览表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3460"/>
        <w:gridCol w:w="3146"/>
        <w:gridCol w:w="1510"/>
      </w:tblGrid>
      <w:tr w14:paraId="0A4C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noWrap/>
            <w:vAlign w:val="center"/>
          </w:tcPr>
          <w:p w14:paraId="21200C95">
            <w:pPr>
              <w:pStyle w:val="109"/>
              <w:rPr>
                <w:color w:val="000000" w:themeColor="text1"/>
                <w14:textFill>
                  <w14:solidFill>
                    <w14:schemeClr w14:val="tx1"/>
                  </w14:solidFill>
                </w14:textFill>
              </w:rPr>
            </w:pPr>
            <w:bookmarkStart w:id="245" w:name="_Toc329793458"/>
            <w:r>
              <w:rPr>
                <w:color w:val="000000" w:themeColor="text1"/>
                <w14:textFill>
                  <w14:solidFill>
                    <w14:schemeClr w14:val="tx1"/>
                  </w14:solidFill>
                </w14:textFill>
              </w:rPr>
              <w:t>序号</w:t>
            </w:r>
          </w:p>
        </w:tc>
        <w:tc>
          <w:tcPr>
            <w:tcW w:w="1797" w:type="pct"/>
            <w:noWrap/>
            <w:vAlign w:val="center"/>
          </w:tcPr>
          <w:p w14:paraId="658F658D">
            <w:pPr>
              <w:pStyle w:val="109"/>
              <w:rPr>
                <w:color w:val="000000" w:themeColor="text1"/>
                <w14:textFill>
                  <w14:solidFill>
                    <w14:schemeClr w14:val="tx1"/>
                  </w14:solidFill>
                </w14:textFill>
              </w:rPr>
            </w:pPr>
            <w:r>
              <w:rPr>
                <w:color w:val="000000" w:themeColor="text1"/>
                <w14:textFill>
                  <w14:solidFill>
                    <w14:schemeClr w14:val="tx1"/>
                  </w14:solidFill>
                </w14:textFill>
              </w:rPr>
              <w:t>用水环节</w:t>
            </w:r>
          </w:p>
        </w:tc>
        <w:tc>
          <w:tcPr>
            <w:tcW w:w="1634" w:type="pct"/>
            <w:noWrap/>
            <w:vAlign w:val="center"/>
          </w:tcPr>
          <w:p w14:paraId="4937BF9E">
            <w:pPr>
              <w:pStyle w:val="109"/>
              <w:rPr>
                <w:color w:val="000000" w:themeColor="text1"/>
                <w14:textFill>
                  <w14:solidFill>
                    <w14:schemeClr w14:val="tx1"/>
                  </w14:solidFill>
                </w14:textFill>
              </w:rPr>
            </w:pPr>
            <w:r>
              <w:rPr>
                <w:color w:val="000000" w:themeColor="text1"/>
                <w14:textFill>
                  <w14:solidFill>
                    <w14:schemeClr w14:val="tx1"/>
                  </w14:solidFill>
                </w14:textFill>
              </w:rPr>
              <w:t>用水量（m³/a）</w:t>
            </w:r>
          </w:p>
        </w:tc>
        <w:tc>
          <w:tcPr>
            <w:tcW w:w="784" w:type="pct"/>
            <w:noWrap/>
            <w:vAlign w:val="center"/>
          </w:tcPr>
          <w:p w14:paraId="7ABEF1BA">
            <w:pPr>
              <w:pStyle w:val="109"/>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35D7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noWrap/>
            <w:vAlign w:val="center"/>
          </w:tcPr>
          <w:p w14:paraId="30ADDCF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w:t>
            </w:r>
          </w:p>
        </w:tc>
        <w:tc>
          <w:tcPr>
            <w:tcW w:w="1797" w:type="pct"/>
            <w:noWrap/>
            <w:vAlign w:val="center"/>
          </w:tcPr>
          <w:p w14:paraId="19038AD0">
            <w:pPr>
              <w:pStyle w:val="109"/>
              <w:rPr>
                <w:color w:val="000000" w:themeColor="text1"/>
                <w14:textFill>
                  <w14:solidFill>
                    <w14:schemeClr w14:val="tx1"/>
                  </w14:solidFill>
                </w14:textFill>
              </w:rPr>
            </w:pPr>
            <w:r>
              <w:rPr>
                <w:color w:val="000000" w:themeColor="text1"/>
                <w14:textFill>
                  <w14:solidFill>
                    <w14:schemeClr w14:val="tx1"/>
                  </w14:solidFill>
                </w14:textFill>
              </w:rPr>
              <w:t>急冷塔补水</w:t>
            </w:r>
          </w:p>
        </w:tc>
        <w:tc>
          <w:tcPr>
            <w:tcW w:w="1634" w:type="pct"/>
            <w:noWrap/>
            <w:vAlign w:val="center"/>
          </w:tcPr>
          <w:p w14:paraId="37F10A2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4608</w:t>
            </w:r>
          </w:p>
        </w:tc>
        <w:tc>
          <w:tcPr>
            <w:tcW w:w="784" w:type="pct"/>
            <w:noWrap/>
            <w:vAlign w:val="center"/>
          </w:tcPr>
          <w:p w14:paraId="35205E87">
            <w:pPr>
              <w:pStyle w:val="109"/>
              <w:rPr>
                <w:color w:val="000000" w:themeColor="text1"/>
                <w14:textFill>
                  <w14:solidFill>
                    <w14:schemeClr w14:val="tx1"/>
                  </w14:solidFill>
                </w14:textFill>
              </w:rPr>
            </w:pPr>
            <w:r>
              <w:rPr>
                <w:color w:val="000000" w:themeColor="text1"/>
                <w14:textFill>
                  <w14:solidFill>
                    <w14:schemeClr w14:val="tx1"/>
                  </w14:solidFill>
                </w14:textFill>
              </w:rPr>
              <w:t>新鲜水</w:t>
            </w:r>
          </w:p>
        </w:tc>
      </w:tr>
      <w:tr w14:paraId="347F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noWrap/>
            <w:vAlign w:val="center"/>
          </w:tcPr>
          <w:p w14:paraId="1C4E498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p>
        </w:tc>
        <w:tc>
          <w:tcPr>
            <w:tcW w:w="1797" w:type="pct"/>
            <w:noWrap/>
            <w:vAlign w:val="center"/>
          </w:tcPr>
          <w:p w14:paraId="0267D0E2">
            <w:pPr>
              <w:pStyle w:val="109"/>
              <w:rPr>
                <w:color w:val="000000" w:themeColor="text1"/>
                <w14:textFill>
                  <w14:solidFill>
                    <w14:schemeClr w14:val="tx1"/>
                  </w14:solidFill>
                </w14:textFill>
              </w:rPr>
            </w:pPr>
            <w:r>
              <w:rPr>
                <w:color w:val="000000" w:themeColor="text1"/>
                <w14:textFill>
                  <w14:solidFill>
                    <w14:schemeClr w14:val="tx1"/>
                  </w14:solidFill>
                </w14:textFill>
              </w:rPr>
              <w:t>水洗塔补水</w:t>
            </w:r>
          </w:p>
        </w:tc>
        <w:tc>
          <w:tcPr>
            <w:tcW w:w="1634" w:type="pct"/>
            <w:noWrap/>
            <w:vAlign w:val="center"/>
          </w:tcPr>
          <w:p w14:paraId="63C525D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7544</w:t>
            </w:r>
          </w:p>
        </w:tc>
        <w:tc>
          <w:tcPr>
            <w:tcW w:w="784" w:type="pct"/>
            <w:noWrap/>
            <w:vAlign w:val="center"/>
          </w:tcPr>
          <w:p w14:paraId="1D49D512">
            <w:pPr>
              <w:pStyle w:val="109"/>
              <w:rPr>
                <w:color w:val="000000" w:themeColor="text1"/>
                <w14:textFill>
                  <w14:solidFill>
                    <w14:schemeClr w14:val="tx1"/>
                  </w14:solidFill>
                </w14:textFill>
              </w:rPr>
            </w:pPr>
            <w:r>
              <w:rPr>
                <w:color w:val="000000" w:themeColor="text1"/>
                <w14:textFill>
                  <w14:solidFill>
                    <w14:schemeClr w14:val="tx1"/>
                  </w14:solidFill>
                </w14:textFill>
              </w:rPr>
              <w:t>新鲜水</w:t>
            </w:r>
          </w:p>
        </w:tc>
      </w:tr>
      <w:tr w14:paraId="659E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noWrap/>
            <w:vAlign w:val="center"/>
          </w:tcPr>
          <w:p w14:paraId="27AED75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1797" w:type="pct"/>
            <w:noWrap/>
            <w:vAlign w:val="center"/>
          </w:tcPr>
          <w:p w14:paraId="798834FD">
            <w:pPr>
              <w:pStyle w:val="109"/>
              <w:rPr>
                <w:color w:val="000000" w:themeColor="text1"/>
                <w14:textFill>
                  <w14:solidFill>
                    <w14:schemeClr w14:val="tx1"/>
                  </w14:solidFill>
                </w14:textFill>
              </w:rPr>
            </w:pPr>
            <w:r>
              <w:rPr>
                <w:color w:val="000000" w:themeColor="text1"/>
                <w14:textFill>
                  <w14:solidFill>
                    <w14:schemeClr w14:val="tx1"/>
                  </w14:solidFill>
                </w14:textFill>
              </w:rPr>
              <w:t>湿电除尘器冲洗用水</w:t>
            </w:r>
          </w:p>
        </w:tc>
        <w:tc>
          <w:tcPr>
            <w:tcW w:w="1634" w:type="pct"/>
            <w:noWrap/>
            <w:vAlign w:val="center"/>
          </w:tcPr>
          <w:p w14:paraId="7965CEE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2400</w:t>
            </w:r>
          </w:p>
        </w:tc>
        <w:tc>
          <w:tcPr>
            <w:tcW w:w="784" w:type="pct"/>
            <w:noWrap/>
            <w:vAlign w:val="center"/>
          </w:tcPr>
          <w:p w14:paraId="51C09EEF">
            <w:pPr>
              <w:pStyle w:val="109"/>
              <w:rPr>
                <w:color w:val="000000" w:themeColor="text1"/>
                <w14:textFill>
                  <w14:solidFill>
                    <w14:schemeClr w14:val="tx1"/>
                  </w14:solidFill>
                </w14:textFill>
              </w:rPr>
            </w:pPr>
            <w:r>
              <w:rPr>
                <w:color w:val="000000" w:themeColor="text1"/>
                <w14:textFill>
                  <w14:solidFill>
                    <w14:schemeClr w14:val="tx1"/>
                  </w14:solidFill>
                </w14:textFill>
              </w:rPr>
              <w:t>新鲜水</w:t>
            </w:r>
          </w:p>
        </w:tc>
      </w:tr>
      <w:tr w14:paraId="53EA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noWrap/>
            <w:vAlign w:val="center"/>
          </w:tcPr>
          <w:p w14:paraId="7CEF100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w:t>
            </w:r>
          </w:p>
        </w:tc>
        <w:tc>
          <w:tcPr>
            <w:tcW w:w="1797" w:type="pct"/>
            <w:noWrap/>
            <w:vAlign w:val="center"/>
          </w:tcPr>
          <w:p w14:paraId="7A478ABA">
            <w:pPr>
              <w:pStyle w:val="109"/>
              <w:rPr>
                <w:color w:val="000000" w:themeColor="text1"/>
                <w14:textFill>
                  <w14:solidFill>
                    <w14:schemeClr w14:val="tx1"/>
                  </w14:solidFill>
                </w14:textFill>
              </w:rPr>
            </w:pPr>
            <w:r>
              <w:rPr>
                <w:color w:val="000000" w:themeColor="text1"/>
                <w14:textFill>
                  <w14:solidFill>
                    <w14:schemeClr w14:val="tx1"/>
                  </w14:solidFill>
                </w14:textFill>
              </w:rPr>
              <w:t>循环冷却系统</w:t>
            </w:r>
          </w:p>
        </w:tc>
        <w:tc>
          <w:tcPr>
            <w:tcW w:w="1634" w:type="pct"/>
            <w:noWrap/>
            <w:vAlign w:val="center"/>
          </w:tcPr>
          <w:p w14:paraId="25A1F0D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19200</w:t>
            </w:r>
          </w:p>
        </w:tc>
        <w:tc>
          <w:tcPr>
            <w:tcW w:w="784" w:type="pct"/>
            <w:noWrap/>
            <w:vAlign w:val="center"/>
          </w:tcPr>
          <w:p w14:paraId="50A137E7">
            <w:pPr>
              <w:pStyle w:val="109"/>
              <w:rPr>
                <w:color w:val="000000" w:themeColor="text1"/>
                <w14:textFill>
                  <w14:solidFill>
                    <w14:schemeClr w14:val="tx1"/>
                  </w14:solidFill>
                </w14:textFill>
              </w:rPr>
            </w:pPr>
            <w:r>
              <w:rPr>
                <w:color w:val="000000" w:themeColor="text1"/>
                <w14:textFill>
                  <w14:solidFill>
                    <w14:schemeClr w14:val="tx1"/>
                  </w14:solidFill>
                </w14:textFill>
              </w:rPr>
              <w:t>新鲜水</w:t>
            </w:r>
          </w:p>
        </w:tc>
      </w:tr>
      <w:tr w14:paraId="3F04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noWrap/>
            <w:vAlign w:val="center"/>
          </w:tcPr>
          <w:p w14:paraId="66D3908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1797" w:type="pct"/>
            <w:noWrap/>
            <w:vAlign w:val="center"/>
          </w:tcPr>
          <w:p w14:paraId="5D5C9A28">
            <w:pPr>
              <w:pStyle w:val="109"/>
              <w:rPr>
                <w:color w:val="000000" w:themeColor="text1"/>
                <w14:textFill>
                  <w14:solidFill>
                    <w14:schemeClr w14:val="tx1"/>
                  </w14:solidFill>
                </w14:textFill>
              </w:rPr>
            </w:pPr>
            <w:r>
              <w:rPr>
                <w:color w:val="000000" w:themeColor="text1"/>
                <w14:textFill>
                  <w14:solidFill>
                    <w14:schemeClr w14:val="tx1"/>
                  </w14:solidFill>
                </w14:textFill>
              </w:rPr>
              <w:t>化验室用水</w:t>
            </w:r>
          </w:p>
        </w:tc>
        <w:tc>
          <w:tcPr>
            <w:tcW w:w="1634" w:type="pct"/>
            <w:noWrap/>
            <w:vAlign w:val="center"/>
          </w:tcPr>
          <w:p w14:paraId="4492C7D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16.5</w:t>
            </w:r>
          </w:p>
        </w:tc>
        <w:tc>
          <w:tcPr>
            <w:tcW w:w="784" w:type="pct"/>
            <w:noWrap/>
            <w:vAlign w:val="center"/>
          </w:tcPr>
          <w:p w14:paraId="4E08B495">
            <w:pPr>
              <w:pStyle w:val="109"/>
              <w:rPr>
                <w:color w:val="000000" w:themeColor="text1"/>
                <w14:textFill>
                  <w14:solidFill>
                    <w14:schemeClr w14:val="tx1"/>
                  </w14:solidFill>
                </w14:textFill>
              </w:rPr>
            </w:pPr>
            <w:r>
              <w:rPr>
                <w:color w:val="000000" w:themeColor="text1"/>
                <w14:textFill>
                  <w14:solidFill>
                    <w14:schemeClr w14:val="tx1"/>
                  </w14:solidFill>
                </w14:textFill>
              </w:rPr>
              <w:t>新鲜水</w:t>
            </w:r>
          </w:p>
        </w:tc>
      </w:tr>
      <w:tr w14:paraId="34D9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noWrap/>
            <w:vAlign w:val="center"/>
          </w:tcPr>
          <w:p w14:paraId="2B4FC09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w:t>
            </w:r>
          </w:p>
        </w:tc>
        <w:tc>
          <w:tcPr>
            <w:tcW w:w="1797" w:type="pct"/>
            <w:noWrap/>
            <w:vAlign w:val="center"/>
          </w:tcPr>
          <w:p w14:paraId="2D9B24B6">
            <w:pPr>
              <w:pStyle w:val="109"/>
              <w:rPr>
                <w:color w:val="000000" w:themeColor="text1"/>
                <w14:textFill>
                  <w14:solidFill>
                    <w14:schemeClr w14:val="tx1"/>
                  </w14:solidFill>
                </w14:textFill>
              </w:rPr>
            </w:pPr>
            <w:r>
              <w:rPr>
                <w:color w:val="000000" w:themeColor="text1"/>
                <w14:textFill>
                  <w14:solidFill>
                    <w14:schemeClr w14:val="tx1"/>
                  </w14:solidFill>
                </w14:textFill>
              </w:rPr>
              <w:t>地面冲洗用水</w:t>
            </w:r>
          </w:p>
        </w:tc>
        <w:tc>
          <w:tcPr>
            <w:tcW w:w="1634" w:type="pct"/>
            <w:noWrap/>
            <w:vAlign w:val="center"/>
          </w:tcPr>
          <w:p w14:paraId="33DC302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26</w:t>
            </w:r>
          </w:p>
        </w:tc>
        <w:tc>
          <w:tcPr>
            <w:tcW w:w="784" w:type="pct"/>
            <w:noWrap/>
            <w:vAlign w:val="center"/>
          </w:tcPr>
          <w:p w14:paraId="212F7646">
            <w:pPr>
              <w:pStyle w:val="109"/>
              <w:rPr>
                <w:color w:val="000000" w:themeColor="text1"/>
                <w14:textFill>
                  <w14:solidFill>
                    <w14:schemeClr w14:val="tx1"/>
                  </w14:solidFill>
                </w14:textFill>
              </w:rPr>
            </w:pPr>
            <w:r>
              <w:rPr>
                <w:color w:val="000000" w:themeColor="text1"/>
                <w14:textFill>
                  <w14:solidFill>
                    <w14:schemeClr w14:val="tx1"/>
                  </w14:solidFill>
                </w14:textFill>
              </w:rPr>
              <w:t>新鲜水</w:t>
            </w:r>
          </w:p>
        </w:tc>
      </w:tr>
      <w:tr w14:paraId="5269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noWrap/>
            <w:vAlign w:val="center"/>
          </w:tcPr>
          <w:p w14:paraId="08CCAD0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w:t>
            </w:r>
          </w:p>
        </w:tc>
        <w:tc>
          <w:tcPr>
            <w:tcW w:w="1797" w:type="pct"/>
            <w:noWrap/>
            <w:vAlign w:val="center"/>
          </w:tcPr>
          <w:p w14:paraId="2F1764E6">
            <w:pPr>
              <w:pStyle w:val="109"/>
              <w:rPr>
                <w:color w:val="000000" w:themeColor="text1"/>
                <w14:textFill>
                  <w14:solidFill>
                    <w14:schemeClr w14:val="tx1"/>
                  </w14:solidFill>
                </w14:textFill>
              </w:rPr>
            </w:pPr>
            <w:r>
              <w:rPr>
                <w:color w:val="000000" w:themeColor="text1"/>
                <w14:textFill>
                  <w14:solidFill>
                    <w14:schemeClr w14:val="tx1"/>
                  </w14:solidFill>
                </w14:textFill>
              </w:rPr>
              <w:t>生活用水</w:t>
            </w:r>
          </w:p>
        </w:tc>
        <w:tc>
          <w:tcPr>
            <w:tcW w:w="1634" w:type="pct"/>
            <w:noWrap/>
            <w:vAlign w:val="center"/>
          </w:tcPr>
          <w:p w14:paraId="2F86A69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495</w:t>
            </w:r>
          </w:p>
        </w:tc>
        <w:tc>
          <w:tcPr>
            <w:tcW w:w="784" w:type="pct"/>
            <w:noWrap/>
            <w:vAlign w:val="center"/>
          </w:tcPr>
          <w:p w14:paraId="5BB1E34B">
            <w:pPr>
              <w:pStyle w:val="109"/>
              <w:rPr>
                <w:color w:val="000000" w:themeColor="text1"/>
                <w14:textFill>
                  <w14:solidFill>
                    <w14:schemeClr w14:val="tx1"/>
                  </w14:solidFill>
                </w14:textFill>
              </w:rPr>
            </w:pPr>
            <w:r>
              <w:rPr>
                <w:color w:val="000000" w:themeColor="text1"/>
                <w14:textFill>
                  <w14:solidFill>
                    <w14:schemeClr w14:val="tx1"/>
                  </w14:solidFill>
                </w14:textFill>
              </w:rPr>
              <w:t>新鲜水</w:t>
            </w:r>
          </w:p>
        </w:tc>
      </w:tr>
      <w:tr w14:paraId="5D80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noWrap/>
            <w:vAlign w:val="center"/>
          </w:tcPr>
          <w:p w14:paraId="380961D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w:t>
            </w:r>
          </w:p>
        </w:tc>
        <w:tc>
          <w:tcPr>
            <w:tcW w:w="1797" w:type="pct"/>
            <w:noWrap/>
            <w:vAlign w:val="center"/>
          </w:tcPr>
          <w:p w14:paraId="5AFA6F0F">
            <w:pPr>
              <w:pStyle w:val="109"/>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634" w:type="pct"/>
            <w:noWrap/>
            <w:vAlign w:val="center"/>
          </w:tcPr>
          <w:p w14:paraId="54836E03">
            <w:pPr>
              <w:pStyle w:val="109"/>
              <w:rPr>
                <w:rFonts w:eastAsia="等线"/>
                <w:color w:val="000000" w:themeColor="text1"/>
                <w14:textFill>
                  <w14:solidFill>
                    <w14:schemeClr w14:val="tx1"/>
                  </w14:solidFill>
                </w14:textFill>
              </w:rPr>
            </w:pPr>
            <w:r>
              <w:rPr>
                <w:rFonts w:hint="eastAsia" w:eastAsia="等线"/>
                <w:color w:val="000000" w:themeColor="text1"/>
                <w:szCs w:val="21"/>
                <w14:textFill>
                  <w14:solidFill>
                    <w14:schemeClr w14:val="tx1"/>
                  </w14:solidFill>
                </w14:textFill>
              </w:rPr>
              <w:t>34289</w:t>
            </w:r>
            <w:r>
              <w:rPr>
                <w:rFonts w:eastAsia="等线"/>
                <w:color w:val="000000" w:themeColor="text1"/>
                <w:szCs w:val="21"/>
                <w14:textFill>
                  <w14:solidFill>
                    <w14:schemeClr w14:val="tx1"/>
                  </w14:solidFill>
                </w14:textFill>
              </w:rPr>
              <w:t>.5</w:t>
            </w:r>
          </w:p>
        </w:tc>
        <w:tc>
          <w:tcPr>
            <w:tcW w:w="784" w:type="pct"/>
            <w:noWrap/>
            <w:vAlign w:val="center"/>
          </w:tcPr>
          <w:p w14:paraId="51204194">
            <w:pPr>
              <w:pStyle w:val="109"/>
              <w:rPr>
                <w:color w:val="000000" w:themeColor="text1"/>
                <w14:textFill>
                  <w14:solidFill>
                    <w14:schemeClr w14:val="tx1"/>
                  </w14:solidFill>
                </w14:textFill>
              </w:rPr>
            </w:pPr>
            <w:r>
              <w:rPr>
                <w:color w:val="000000" w:themeColor="text1"/>
                <w14:textFill>
                  <w14:solidFill>
                    <w14:schemeClr w14:val="tx1"/>
                  </w14:solidFill>
                </w14:textFill>
              </w:rPr>
              <w:t>新鲜水</w:t>
            </w:r>
          </w:p>
        </w:tc>
      </w:tr>
    </w:tbl>
    <w:p w14:paraId="13A3D80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排水系统</w:t>
      </w:r>
      <w:bookmarkEnd w:id="245"/>
    </w:p>
    <w:p w14:paraId="0FA23359">
      <w:pPr>
        <w:ind w:firstLine="480"/>
        <w:rPr>
          <w:color w:val="000000" w:themeColor="text1"/>
          <w14:textFill>
            <w14:solidFill>
              <w14:schemeClr w14:val="tx1"/>
            </w14:solidFill>
          </w14:textFill>
        </w:rPr>
      </w:pPr>
      <w:r>
        <w:rPr>
          <w:color w:val="000000" w:themeColor="text1"/>
          <w14:textFill>
            <w14:solidFill>
              <w14:schemeClr w14:val="tx1"/>
            </w14:solidFill>
          </w14:textFill>
        </w:rPr>
        <w:t>根据“清污分流、雨污分流”的原则，设计建设厂区给排水系统。外部雨水管道和污水管道将由开发区负责接至本项目建筑红线外。</w:t>
      </w:r>
    </w:p>
    <w:p w14:paraId="5C9899C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本项目排水主要包括：烟气处理系统废水、循环冷却系统排污水、化验室废水、地面冲洗废水、多效蒸发冷凝水、生活污水。</w:t>
      </w:r>
    </w:p>
    <w:p w14:paraId="44DD3C56">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（1）烟气处理系统废水</w:t>
      </w:r>
    </w:p>
    <w:p w14:paraId="3612A9B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本项目急冷塔补水均在烟气降温过程中形成水蒸气，随废气进入后续碱液喷淋装置，无废水排放。</w:t>
      </w:r>
    </w:p>
    <w:p w14:paraId="5DFD3E76">
      <w:pPr>
        <w:ind w:firstLine="480"/>
        <w:rPr>
          <w:color w:val="000000" w:themeColor="text1"/>
          <w14:textFill>
            <w14:solidFill>
              <w14:schemeClr w14:val="tx1"/>
            </w14:solidFill>
          </w14:textFill>
        </w:rPr>
      </w:pPr>
      <w:r>
        <w:rPr>
          <w:color w:val="000000" w:themeColor="text1"/>
          <w14:textFill>
            <w14:solidFill>
              <w14:schemeClr w14:val="tx1"/>
            </w14:solidFill>
          </w14:textFill>
        </w:rPr>
        <w:t>一级碱液喷淋塔、二级碱液喷淋塔、水洗塔用水均为逆流操作，即水洗塔补充新鲜水，水洗塔的水逆流补充二级碱液喷淋塔，二级碱液喷淋塔的水逆流补充一级碱液喷淋塔，因此废水最终在一级碱液喷淋塔排出。</w:t>
      </w:r>
    </w:p>
    <w:p w14:paraId="4727647B">
      <w:pPr>
        <w:ind w:firstLine="480"/>
        <w:rPr>
          <w:color w:val="000000" w:themeColor="text1"/>
          <w14:textFill>
            <w14:solidFill>
              <w14:schemeClr w14:val="tx1"/>
            </w14:solidFill>
          </w14:textFill>
        </w:rPr>
      </w:pPr>
      <w:r>
        <w:rPr>
          <w:color w:val="000000" w:themeColor="text1"/>
          <w14:textFill>
            <w14:solidFill>
              <w14:schemeClr w14:val="tx1"/>
            </w14:solidFill>
          </w14:textFill>
        </w:rPr>
        <w:t>湿电除尘器冲洗用水在塔釜循环使用，定期排入二级碱液喷淋塔塔釜，最终有一级碱液喷淋塔排出。</w:t>
      </w:r>
    </w:p>
    <w:p w14:paraId="4E01B8A2">
      <w:pPr>
        <w:ind w:firstLine="480"/>
        <w:rPr>
          <w:color w:val="000000" w:themeColor="text1"/>
          <w14:textFill>
            <w14:solidFill>
              <w14:schemeClr w14:val="tx1"/>
            </w14:solidFill>
          </w14:textFill>
        </w:rPr>
      </w:pPr>
      <w:r>
        <w:rPr>
          <w:color w:val="000000" w:themeColor="text1"/>
          <w14:textFill>
            <w14:solidFill>
              <w14:schemeClr w14:val="tx1"/>
            </w14:solidFill>
          </w14:textFill>
        </w:rPr>
        <w:t>根据设计单位提供的设计方案可知，一级碱液喷淋塔排水量为1.305m³/h，本项目年运行8000h，因此，排水量为10440m³/a，中和后排入多效蒸发器处理。</w:t>
      </w:r>
    </w:p>
    <w:p w14:paraId="17FFFFC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（2）循环冷却系统排污水</w:t>
      </w:r>
    </w:p>
    <w:p w14:paraId="5304B21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本项目厂内建设1套循环量200m³/h 的冷却系统，循环冷却水系统定期排污，排水量按循环量的</w:t>
      </w:r>
      <w:r>
        <w:rPr>
          <w:rFonts w:eastAsia="Times New Roman"/>
          <w:color w:val="000000" w:themeColor="text1"/>
          <w14:textFill>
            <w14:solidFill>
              <w14:schemeClr w14:val="tx1"/>
            </w14:solidFill>
          </w14:textFill>
        </w:rPr>
        <w:t>0.2%</w:t>
      </w:r>
      <w:r>
        <w:rPr>
          <w:color w:val="000000" w:themeColor="text1"/>
          <w14:textFill>
            <w14:solidFill>
              <w14:schemeClr w14:val="tx1"/>
            </w14:solidFill>
          </w14:textFill>
        </w:rPr>
        <w:t>计，因此，循环冷却水排污水总计</w:t>
      </w:r>
      <w:r>
        <w:rPr>
          <w:color w:val="000000" w:themeColor="text1"/>
          <w:lang w:bidi="en-US"/>
          <w14:textFill>
            <w14:solidFill>
              <w14:schemeClr w14:val="tx1"/>
            </w14:solidFill>
          </w14:textFill>
        </w:rPr>
        <w:t>3</w:t>
      </w:r>
      <w:r>
        <w:rPr>
          <w:rFonts w:eastAsiaTheme="minorEastAsia"/>
          <w:color w:val="000000" w:themeColor="text1"/>
          <w:lang w:bidi="en-US"/>
          <w14:textFill>
            <w14:solidFill>
              <w14:schemeClr w14:val="tx1"/>
            </w14:solidFill>
          </w14:textFill>
        </w:rPr>
        <w:t>200m³</w:t>
      </w: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，排入园区市政污水管网</w:t>
      </w:r>
      <w:r>
        <w:rPr>
          <w:color w:val="000000" w:themeColor="text1"/>
          <w14:textFill>
            <w14:solidFill>
              <w14:schemeClr w14:val="tx1"/>
            </w14:solidFill>
          </w14:textFill>
        </w:rPr>
        <w:t>。</w:t>
      </w:r>
    </w:p>
    <w:p w14:paraId="2E0F9CB8">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（3）化验室废水</w:t>
      </w:r>
    </w:p>
    <w:p w14:paraId="411DC20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本项目化验工序仪器冲洗会产生化验废水，前两遍的清洗废水作为危废处置，后续的冲洗水作为废水排入</w:t>
      </w:r>
      <w:r>
        <w:rPr>
          <w:color w:val="000000" w:themeColor="text1"/>
          <w:lang w:bidi="en-US"/>
          <w14:textFill>
            <w14:solidFill>
              <w14:schemeClr w14:val="tx1"/>
            </w14:solidFill>
          </w14:textFill>
        </w:rPr>
        <w:t>园区市政污水管网，化验废水产生量约为用水量的90%，约14.85m³/a，排入园区市政污水管网</w:t>
      </w:r>
      <w:r>
        <w:rPr>
          <w:color w:val="000000" w:themeColor="text1"/>
          <w14:textFill>
            <w14:solidFill>
              <w14:schemeClr w14:val="tx1"/>
            </w14:solidFill>
          </w14:textFill>
        </w:rPr>
        <w:t>。</w:t>
      </w:r>
    </w:p>
    <w:p w14:paraId="24F8F502">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（4）地面冲洗废水</w:t>
      </w:r>
    </w:p>
    <w:p w14:paraId="7DDC2517">
      <w:pPr>
        <w:ind w:firstLine="480"/>
        <w:rPr>
          <w:color w:val="000000" w:themeColor="text1"/>
          <w14:textFill>
            <w14:solidFill>
              <w14:schemeClr w14:val="tx1"/>
            </w14:solidFill>
          </w14:textFill>
        </w:rPr>
      </w:pPr>
      <w:r>
        <w:rPr>
          <w:color w:val="000000" w:themeColor="text1"/>
          <w14:textFill>
            <w14:solidFill>
              <w14:schemeClr w14:val="tx1"/>
            </w14:solidFill>
          </w14:textFill>
        </w:rPr>
        <w:t>冲洗废水主要是来自车间的地面冲洗废水，冲洗废水产生量约为用水量的80%，约20.8m³/a</w:t>
      </w:r>
      <w:r>
        <w:rPr>
          <w:color w:val="000000" w:themeColor="text1"/>
          <w:lang w:bidi="en-US"/>
          <w14:textFill>
            <w14:solidFill>
              <w14:schemeClr w14:val="tx1"/>
            </w14:solidFill>
          </w14:textFill>
        </w:rPr>
        <w:t>，排入园区市政污水管网</w:t>
      </w:r>
      <w:r>
        <w:rPr>
          <w:color w:val="000000" w:themeColor="text1"/>
          <w14:textFill>
            <w14:solidFill>
              <w14:schemeClr w14:val="tx1"/>
            </w14:solidFill>
          </w14:textFill>
        </w:rPr>
        <w:t>。</w:t>
      </w:r>
    </w:p>
    <w:p w14:paraId="26B56E26">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（5）多效蒸发冷凝水</w:t>
      </w:r>
    </w:p>
    <w:p w14:paraId="72722B7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烟气处理系统废水中和后进入多效蒸发器蒸除盐分，蒸发过程产生的水蒸气经一级常温冷凝器冷凝后作为水洗塔和急冷塔补水使用。烟气处理系统废水产生量为10440m³/a，蒸出的盐分含水率约15%，约40m³/a。其余水分以水蒸气的形式进入冷凝器冷凝成水，冷凝效率约90%，由此计算，该部分冷凝水产生量为9360m³/a。</w:t>
      </w:r>
    </w:p>
    <w:p w14:paraId="16D58255">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（6）生活污水系统</w:t>
      </w:r>
    </w:p>
    <w:p w14:paraId="17F5B1A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本项目生活用水约495m³/a，按 20%损耗计，生活污水约396m³/a。生活污水经化粪池处理达标后，排入园区</w:t>
      </w:r>
      <w:r>
        <w:rPr>
          <w:color w:val="000000" w:themeColor="text1"/>
          <w:lang w:bidi="en-US"/>
          <w14:textFill>
            <w14:solidFill>
              <w14:schemeClr w14:val="tx1"/>
            </w14:solidFill>
          </w14:textFill>
        </w:rPr>
        <w:t>市政</w:t>
      </w:r>
      <w:r>
        <w:rPr>
          <w:color w:val="000000" w:themeColor="text1"/>
          <w14:textFill>
            <w14:solidFill>
              <w14:schemeClr w14:val="tx1"/>
            </w14:solidFill>
          </w14:textFill>
        </w:rPr>
        <w:t>污水管网。</w:t>
      </w:r>
    </w:p>
    <w:p w14:paraId="243DB8FE">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项目废水产生情况一览表</w:t>
      </w:r>
    </w:p>
    <w:tbl>
      <w:tblPr>
        <w:tblStyle w:val="76"/>
        <w:tblW w:w="5000" w:type="pct"/>
        <w:tblInd w:w="0" w:type="dxa"/>
        <w:tblLayout w:type="autofit"/>
        <w:tblCellMar>
          <w:top w:w="0" w:type="dxa"/>
          <w:left w:w="108" w:type="dxa"/>
          <w:bottom w:w="0" w:type="dxa"/>
          <w:right w:w="108" w:type="dxa"/>
        </w:tblCellMar>
      </w:tblPr>
      <w:tblGrid>
        <w:gridCol w:w="961"/>
        <w:gridCol w:w="3002"/>
        <w:gridCol w:w="2249"/>
        <w:gridCol w:w="3416"/>
      </w:tblGrid>
      <w:tr w14:paraId="187E1244">
        <w:tblPrEx>
          <w:tblCellMar>
            <w:top w:w="0" w:type="dxa"/>
            <w:left w:w="108" w:type="dxa"/>
            <w:bottom w:w="0" w:type="dxa"/>
            <w:right w:w="108" w:type="dxa"/>
          </w:tblCellMar>
        </w:tblPrEx>
        <w:trPr>
          <w:trHeight w:val="300" w:hRule="atLeast"/>
        </w:trPr>
        <w:tc>
          <w:tcPr>
            <w:tcW w:w="499" w:type="pct"/>
            <w:tcBorders>
              <w:top w:val="single" w:color="auto" w:sz="4" w:space="0"/>
              <w:left w:val="single" w:color="auto" w:sz="4" w:space="0"/>
              <w:bottom w:val="single" w:color="auto" w:sz="4" w:space="0"/>
              <w:right w:val="single" w:color="auto" w:sz="4" w:space="0"/>
            </w:tcBorders>
            <w:noWrap/>
            <w:vAlign w:val="center"/>
          </w:tcPr>
          <w:p w14:paraId="663A8D80">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559" w:type="pct"/>
            <w:tcBorders>
              <w:top w:val="single" w:color="auto" w:sz="4" w:space="0"/>
              <w:left w:val="nil"/>
              <w:bottom w:val="single" w:color="auto" w:sz="4" w:space="0"/>
              <w:right w:val="single" w:color="auto" w:sz="4" w:space="0"/>
            </w:tcBorders>
            <w:noWrap/>
            <w:vAlign w:val="center"/>
          </w:tcPr>
          <w:p w14:paraId="6F5367C6">
            <w:pPr>
              <w:pStyle w:val="109"/>
              <w:rPr>
                <w:color w:val="000000" w:themeColor="text1"/>
                <w14:textFill>
                  <w14:solidFill>
                    <w14:schemeClr w14:val="tx1"/>
                  </w14:solidFill>
                </w14:textFill>
              </w:rPr>
            </w:pPr>
            <w:r>
              <w:rPr>
                <w:color w:val="000000" w:themeColor="text1"/>
                <w14:textFill>
                  <w14:solidFill>
                    <w14:schemeClr w14:val="tx1"/>
                  </w14:solidFill>
                </w14:textFill>
              </w:rPr>
              <w:t>废水产生环节</w:t>
            </w:r>
          </w:p>
        </w:tc>
        <w:tc>
          <w:tcPr>
            <w:tcW w:w="1168" w:type="pct"/>
            <w:tcBorders>
              <w:top w:val="single" w:color="auto" w:sz="4" w:space="0"/>
              <w:left w:val="nil"/>
              <w:bottom w:val="single" w:color="auto" w:sz="4" w:space="0"/>
              <w:right w:val="single" w:color="auto" w:sz="4" w:space="0"/>
            </w:tcBorders>
            <w:noWrap/>
            <w:vAlign w:val="center"/>
          </w:tcPr>
          <w:p w14:paraId="6DC115EE">
            <w:pPr>
              <w:pStyle w:val="109"/>
              <w:rPr>
                <w:color w:val="000000" w:themeColor="text1"/>
                <w14:textFill>
                  <w14:solidFill>
                    <w14:schemeClr w14:val="tx1"/>
                  </w14:solidFill>
                </w14:textFill>
              </w:rPr>
            </w:pPr>
            <w:r>
              <w:rPr>
                <w:color w:val="000000" w:themeColor="text1"/>
                <w14:textFill>
                  <w14:solidFill>
                    <w14:schemeClr w14:val="tx1"/>
                  </w14:solidFill>
                </w14:textFill>
              </w:rPr>
              <w:t>排水量（m³/a）</w:t>
            </w:r>
          </w:p>
        </w:tc>
        <w:tc>
          <w:tcPr>
            <w:tcW w:w="1774" w:type="pct"/>
            <w:tcBorders>
              <w:top w:val="single" w:color="auto" w:sz="4" w:space="0"/>
              <w:left w:val="nil"/>
              <w:bottom w:val="single" w:color="auto" w:sz="4" w:space="0"/>
              <w:right w:val="single" w:color="auto" w:sz="4" w:space="0"/>
            </w:tcBorders>
            <w:noWrap/>
            <w:vAlign w:val="center"/>
          </w:tcPr>
          <w:p w14:paraId="2373472B">
            <w:pPr>
              <w:pStyle w:val="109"/>
              <w:rPr>
                <w:color w:val="000000" w:themeColor="text1"/>
                <w14:textFill>
                  <w14:solidFill>
                    <w14:schemeClr w14:val="tx1"/>
                  </w14:solidFill>
                </w14:textFill>
              </w:rPr>
            </w:pPr>
            <w:r>
              <w:rPr>
                <w:color w:val="000000" w:themeColor="text1"/>
                <w14:textFill>
                  <w14:solidFill>
                    <w14:schemeClr w14:val="tx1"/>
                  </w14:solidFill>
                </w14:textFill>
              </w:rPr>
              <w:t>去向</w:t>
            </w:r>
          </w:p>
        </w:tc>
      </w:tr>
      <w:tr w14:paraId="066AC57D">
        <w:tblPrEx>
          <w:tblCellMar>
            <w:top w:w="0" w:type="dxa"/>
            <w:left w:w="108" w:type="dxa"/>
            <w:bottom w:w="0" w:type="dxa"/>
            <w:right w:w="108" w:type="dxa"/>
          </w:tblCellMar>
        </w:tblPrEx>
        <w:trPr>
          <w:trHeight w:val="324" w:hRule="atLeast"/>
        </w:trPr>
        <w:tc>
          <w:tcPr>
            <w:tcW w:w="499" w:type="pct"/>
            <w:tcBorders>
              <w:top w:val="nil"/>
              <w:left w:val="single" w:color="auto" w:sz="4" w:space="0"/>
              <w:bottom w:val="single" w:color="auto" w:sz="4" w:space="0"/>
              <w:right w:val="single" w:color="auto" w:sz="4" w:space="0"/>
            </w:tcBorders>
            <w:noWrap/>
            <w:vAlign w:val="center"/>
          </w:tcPr>
          <w:p w14:paraId="378F85C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w:t>
            </w:r>
          </w:p>
        </w:tc>
        <w:tc>
          <w:tcPr>
            <w:tcW w:w="1559" w:type="pct"/>
            <w:tcBorders>
              <w:top w:val="nil"/>
              <w:left w:val="nil"/>
              <w:bottom w:val="single" w:color="auto" w:sz="4" w:space="0"/>
              <w:right w:val="single" w:color="auto" w:sz="4" w:space="0"/>
            </w:tcBorders>
            <w:noWrap/>
            <w:vAlign w:val="bottom"/>
          </w:tcPr>
          <w:p w14:paraId="180C23A6">
            <w:pPr>
              <w:pStyle w:val="109"/>
              <w:rPr>
                <w:color w:val="000000" w:themeColor="text1"/>
                <w14:textFill>
                  <w14:solidFill>
                    <w14:schemeClr w14:val="tx1"/>
                  </w14:solidFill>
                </w14:textFill>
              </w:rPr>
            </w:pPr>
            <w:r>
              <w:rPr>
                <w:color w:val="000000" w:themeColor="text1"/>
                <w14:textFill>
                  <w14:solidFill>
                    <w14:schemeClr w14:val="tx1"/>
                  </w14:solidFill>
                </w14:textFill>
              </w:rPr>
              <w:t>烟气处理系统废水</w:t>
            </w:r>
          </w:p>
        </w:tc>
        <w:tc>
          <w:tcPr>
            <w:tcW w:w="1168" w:type="pct"/>
            <w:tcBorders>
              <w:top w:val="nil"/>
              <w:left w:val="nil"/>
              <w:bottom w:val="single" w:color="auto" w:sz="4" w:space="0"/>
              <w:right w:val="single" w:color="auto" w:sz="4" w:space="0"/>
            </w:tcBorders>
            <w:noWrap/>
            <w:vAlign w:val="center"/>
          </w:tcPr>
          <w:p w14:paraId="24C0508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10440</w:t>
            </w:r>
          </w:p>
        </w:tc>
        <w:tc>
          <w:tcPr>
            <w:tcW w:w="1774" w:type="pct"/>
            <w:tcBorders>
              <w:top w:val="nil"/>
              <w:left w:val="nil"/>
              <w:bottom w:val="single" w:color="auto" w:sz="4" w:space="0"/>
              <w:right w:val="single" w:color="auto" w:sz="4" w:space="0"/>
            </w:tcBorders>
            <w:noWrap/>
            <w:vAlign w:val="center"/>
          </w:tcPr>
          <w:p w14:paraId="00DF0260">
            <w:pPr>
              <w:pStyle w:val="109"/>
              <w:rPr>
                <w:color w:val="000000" w:themeColor="text1"/>
                <w14:textFill>
                  <w14:solidFill>
                    <w14:schemeClr w14:val="tx1"/>
                  </w14:solidFill>
                </w14:textFill>
              </w:rPr>
            </w:pPr>
            <w:r>
              <w:rPr>
                <w:color w:val="000000" w:themeColor="text1"/>
                <w14:textFill>
                  <w14:solidFill>
                    <w14:schemeClr w14:val="tx1"/>
                  </w14:solidFill>
                </w14:textFill>
              </w:rPr>
              <w:t>进入多效蒸发</w:t>
            </w:r>
          </w:p>
        </w:tc>
      </w:tr>
      <w:tr w14:paraId="29073E0B">
        <w:tblPrEx>
          <w:tblCellMar>
            <w:top w:w="0" w:type="dxa"/>
            <w:left w:w="108" w:type="dxa"/>
            <w:bottom w:w="0" w:type="dxa"/>
            <w:right w:w="108" w:type="dxa"/>
          </w:tblCellMar>
        </w:tblPrEx>
        <w:trPr>
          <w:trHeight w:val="324" w:hRule="atLeast"/>
        </w:trPr>
        <w:tc>
          <w:tcPr>
            <w:tcW w:w="499" w:type="pct"/>
            <w:tcBorders>
              <w:top w:val="nil"/>
              <w:left w:val="single" w:color="auto" w:sz="4" w:space="0"/>
              <w:bottom w:val="single" w:color="auto" w:sz="4" w:space="0"/>
              <w:right w:val="single" w:color="auto" w:sz="4" w:space="0"/>
            </w:tcBorders>
            <w:noWrap/>
            <w:vAlign w:val="center"/>
          </w:tcPr>
          <w:p w14:paraId="4927111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p>
        </w:tc>
        <w:tc>
          <w:tcPr>
            <w:tcW w:w="1559" w:type="pct"/>
            <w:tcBorders>
              <w:top w:val="nil"/>
              <w:left w:val="nil"/>
              <w:bottom w:val="single" w:color="auto" w:sz="4" w:space="0"/>
              <w:right w:val="single" w:color="auto" w:sz="4" w:space="0"/>
            </w:tcBorders>
            <w:noWrap/>
            <w:vAlign w:val="bottom"/>
          </w:tcPr>
          <w:p w14:paraId="7AC8A6E3">
            <w:pPr>
              <w:pStyle w:val="109"/>
              <w:rPr>
                <w:color w:val="000000" w:themeColor="text1"/>
                <w14:textFill>
                  <w14:solidFill>
                    <w14:schemeClr w14:val="tx1"/>
                  </w14:solidFill>
                </w14:textFill>
              </w:rPr>
            </w:pPr>
            <w:r>
              <w:rPr>
                <w:color w:val="000000" w:themeColor="text1"/>
                <w14:textFill>
                  <w14:solidFill>
                    <w14:schemeClr w14:val="tx1"/>
                  </w14:solidFill>
                </w14:textFill>
              </w:rPr>
              <w:t>循环冷却系统排污水</w:t>
            </w:r>
          </w:p>
        </w:tc>
        <w:tc>
          <w:tcPr>
            <w:tcW w:w="1168" w:type="pct"/>
            <w:tcBorders>
              <w:top w:val="nil"/>
              <w:left w:val="nil"/>
              <w:bottom w:val="single" w:color="auto" w:sz="4" w:space="0"/>
              <w:right w:val="single" w:color="auto" w:sz="4" w:space="0"/>
            </w:tcBorders>
            <w:noWrap/>
            <w:vAlign w:val="center"/>
          </w:tcPr>
          <w:p w14:paraId="7EB73E2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3200</w:t>
            </w:r>
          </w:p>
        </w:tc>
        <w:tc>
          <w:tcPr>
            <w:tcW w:w="1774" w:type="pct"/>
            <w:tcBorders>
              <w:top w:val="nil"/>
              <w:left w:val="nil"/>
              <w:bottom w:val="single" w:color="auto" w:sz="4" w:space="0"/>
              <w:right w:val="single" w:color="auto" w:sz="4" w:space="0"/>
            </w:tcBorders>
            <w:noWrap/>
          </w:tcPr>
          <w:p w14:paraId="56D79F4D">
            <w:pPr>
              <w:pStyle w:val="109"/>
              <w:rPr>
                <w:color w:val="000000" w:themeColor="text1"/>
                <w14:textFill>
                  <w14:solidFill>
                    <w14:schemeClr w14:val="tx1"/>
                  </w14:solidFill>
                </w14:textFill>
              </w:rPr>
            </w:pPr>
            <w:r>
              <w:rPr>
                <w:color w:val="000000" w:themeColor="text1"/>
                <w:lang w:bidi="en-US"/>
                <w14:textFill>
                  <w14:solidFill>
                    <w14:schemeClr w14:val="tx1"/>
                  </w14:solidFill>
                </w14:textFill>
              </w:rPr>
              <w:t>排入园区市政污水管网</w:t>
            </w:r>
          </w:p>
        </w:tc>
      </w:tr>
      <w:tr w14:paraId="76B0A8A3">
        <w:tblPrEx>
          <w:tblCellMar>
            <w:top w:w="0" w:type="dxa"/>
            <w:left w:w="108" w:type="dxa"/>
            <w:bottom w:w="0" w:type="dxa"/>
            <w:right w:w="108" w:type="dxa"/>
          </w:tblCellMar>
        </w:tblPrEx>
        <w:trPr>
          <w:trHeight w:val="324" w:hRule="atLeast"/>
        </w:trPr>
        <w:tc>
          <w:tcPr>
            <w:tcW w:w="499" w:type="pct"/>
            <w:tcBorders>
              <w:top w:val="nil"/>
              <w:left w:val="single" w:color="auto" w:sz="4" w:space="0"/>
              <w:bottom w:val="single" w:color="auto" w:sz="4" w:space="0"/>
              <w:right w:val="single" w:color="auto" w:sz="4" w:space="0"/>
            </w:tcBorders>
            <w:noWrap/>
            <w:vAlign w:val="center"/>
          </w:tcPr>
          <w:p w14:paraId="15E3E32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1559" w:type="pct"/>
            <w:tcBorders>
              <w:top w:val="nil"/>
              <w:left w:val="nil"/>
              <w:bottom w:val="single" w:color="auto" w:sz="4" w:space="0"/>
              <w:right w:val="single" w:color="auto" w:sz="4" w:space="0"/>
            </w:tcBorders>
            <w:noWrap/>
            <w:vAlign w:val="bottom"/>
          </w:tcPr>
          <w:p w14:paraId="628DD04A">
            <w:pPr>
              <w:pStyle w:val="109"/>
              <w:rPr>
                <w:color w:val="000000" w:themeColor="text1"/>
                <w14:textFill>
                  <w14:solidFill>
                    <w14:schemeClr w14:val="tx1"/>
                  </w14:solidFill>
                </w14:textFill>
              </w:rPr>
            </w:pPr>
            <w:r>
              <w:rPr>
                <w:color w:val="000000" w:themeColor="text1"/>
                <w14:textFill>
                  <w14:solidFill>
                    <w14:schemeClr w14:val="tx1"/>
                  </w14:solidFill>
                </w14:textFill>
              </w:rPr>
              <w:t>地面冲洗废水</w:t>
            </w:r>
          </w:p>
        </w:tc>
        <w:tc>
          <w:tcPr>
            <w:tcW w:w="1168" w:type="pct"/>
            <w:tcBorders>
              <w:top w:val="nil"/>
              <w:left w:val="nil"/>
              <w:bottom w:val="single" w:color="auto" w:sz="4" w:space="0"/>
              <w:right w:val="single" w:color="auto" w:sz="4" w:space="0"/>
            </w:tcBorders>
            <w:noWrap/>
            <w:vAlign w:val="center"/>
          </w:tcPr>
          <w:p w14:paraId="757C9C8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20.8</w:t>
            </w:r>
          </w:p>
        </w:tc>
        <w:tc>
          <w:tcPr>
            <w:tcW w:w="1774" w:type="pct"/>
            <w:tcBorders>
              <w:top w:val="nil"/>
              <w:left w:val="nil"/>
              <w:bottom w:val="single" w:color="auto" w:sz="4" w:space="0"/>
              <w:right w:val="single" w:color="auto" w:sz="4" w:space="0"/>
            </w:tcBorders>
            <w:noWrap/>
          </w:tcPr>
          <w:p w14:paraId="488D7AE6">
            <w:pPr>
              <w:pStyle w:val="109"/>
              <w:rPr>
                <w:color w:val="000000" w:themeColor="text1"/>
                <w14:textFill>
                  <w14:solidFill>
                    <w14:schemeClr w14:val="tx1"/>
                  </w14:solidFill>
                </w14:textFill>
              </w:rPr>
            </w:pPr>
            <w:r>
              <w:rPr>
                <w:color w:val="000000" w:themeColor="text1"/>
                <w:lang w:bidi="en-US"/>
                <w14:textFill>
                  <w14:solidFill>
                    <w14:schemeClr w14:val="tx1"/>
                  </w14:solidFill>
                </w14:textFill>
              </w:rPr>
              <w:t>排入园区市政污水管网</w:t>
            </w:r>
          </w:p>
        </w:tc>
      </w:tr>
      <w:tr w14:paraId="64C6FACB">
        <w:tblPrEx>
          <w:tblCellMar>
            <w:top w:w="0" w:type="dxa"/>
            <w:left w:w="108" w:type="dxa"/>
            <w:bottom w:w="0" w:type="dxa"/>
            <w:right w:w="108" w:type="dxa"/>
          </w:tblCellMar>
        </w:tblPrEx>
        <w:trPr>
          <w:trHeight w:val="324" w:hRule="atLeast"/>
        </w:trPr>
        <w:tc>
          <w:tcPr>
            <w:tcW w:w="499" w:type="pct"/>
            <w:tcBorders>
              <w:top w:val="nil"/>
              <w:left w:val="single" w:color="auto" w:sz="4" w:space="0"/>
              <w:bottom w:val="single" w:color="auto" w:sz="4" w:space="0"/>
              <w:right w:val="single" w:color="auto" w:sz="4" w:space="0"/>
            </w:tcBorders>
            <w:noWrap/>
            <w:vAlign w:val="center"/>
          </w:tcPr>
          <w:p w14:paraId="7242624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w:t>
            </w:r>
          </w:p>
        </w:tc>
        <w:tc>
          <w:tcPr>
            <w:tcW w:w="1559" w:type="pct"/>
            <w:tcBorders>
              <w:top w:val="nil"/>
              <w:left w:val="nil"/>
              <w:bottom w:val="single" w:color="auto" w:sz="4" w:space="0"/>
              <w:right w:val="single" w:color="auto" w:sz="4" w:space="0"/>
            </w:tcBorders>
            <w:noWrap/>
            <w:vAlign w:val="bottom"/>
          </w:tcPr>
          <w:p w14:paraId="77C25C85">
            <w:pPr>
              <w:pStyle w:val="109"/>
              <w:rPr>
                <w:color w:val="000000" w:themeColor="text1"/>
                <w14:textFill>
                  <w14:solidFill>
                    <w14:schemeClr w14:val="tx1"/>
                  </w14:solidFill>
                </w14:textFill>
              </w:rPr>
            </w:pPr>
            <w:r>
              <w:rPr>
                <w:color w:val="000000" w:themeColor="text1"/>
                <w14:textFill>
                  <w14:solidFill>
                    <w14:schemeClr w14:val="tx1"/>
                  </w14:solidFill>
                </w14:textFill>
              </w:rPr>
              <w:t>化验室废水</w:t>
            </w:r>
          </w:p>
        </w:tc>
        <w:tc>
          <w:tcPr>
            <w:tcW w:w="1168" w:type="pct"/>
            <w:tcBorders>
              <w:top w:val="nil"/>
              <w:left w:val="nil"/>
              <w:bottom w:val="single" w:color="auto" w:sz="4" w:space="0"/>
              <w:right w:val="single" w:color="auto" w:sz="4" w:space="0"/>
            </w:tcBorders>
            <w:noWrap/>
            <w:vAlign w:val="center"/>
          </w:tcPr>
          <w:p w14:paraId="766442D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14.85</w:t>
            </w:r>
          </w:p>
        </w:tc>
        <w:tc>
          <w:tcPr>
            <w:tcW w:w="1774" w:type="pct"/>
            <w:tcBorders>
              <w:top w:val="nil"/>
              <w:left w:val="nil"/>
              <w:bottom w:val="single" w:color="auto" w:sz="4" w:space="0"/>
              <w:right w:val="single" w:color="auto" w:sz="4" w:space="0"/>
            </w:tcBorders>
            <w:noWrap/>
          </w:tcPr>
          <w:p w14:paraId="7F651AED">
            <w:pPr>
              <w:pStyle w:val="109"/>
              <w:rPr>
                <w:color w:val="000000" w:themeColor="text1"/>
                <w14:textFill>
                  <w14:solidFill>
                    <w14:schemeClr w14:val="tx1"/>
                  </w14:solidFill>
                </w14:textFill>
              </w:rPr>
            </w:pPr>
            <w:r>
              <w:rPr>
                <w:color w:val="000000" w:themeColor="text1"/>
                <w:lang w:bidi="en-US"/>
                <w14:textFill>
                  <w14:solidFill>
                    <w14:schemeClr w14:val="tx1"/>
                  </w14:solidFill>
                </w14:textFill>
              </w:rPr>
              <w:t>排入园区市政污水管网</w:t>
            </w:r>
          </w:p>
        </w:tc>
      </w:tr>
      <w:tr w14:paraId="3A5FEBEB">
        <w:tblPrEx>
          <w:tblCellMar>
            <w:top w:w="0" w:type="dxa"/>
            <w:left w:w="108" w:type="dxa"/>
            <w:bottom w:w="0" w:type="dxa"/>
            <w:right w:w="108" w:type="dxa"/>
          </w:tblCellMar>
        </w:tblPrEx>
        <w:trPr>
          <w:trHeight w:val="324" w:hRule="atLeast"/>
        </w:trPr>
        <w:tc>
          <w:tcPr>
            <w:tcW w:w="499" w:type="pct"/>
            <w:tcBorders>
              <w:top w:val="nil"/>
              <w:left w:val="single" w:color="auto" w:sz="4" w:space="0"/>
              <w:bottom w:val="single" w:color="auto" w:sz="4" w:space="0"/>
              <w:right w:val="single" w:color="auto" w:sz="4" w:space="0"/>
            </w:tcBorders>
            <w:noWrap/>
            <w:vAlign w:val="center"/>
          </w:tcPr>
          <w:p w14:paraId="409031F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1559" w:type="pct"/>
            <w:tcBorders>
              <w:top w:val="nil"/>
              <w:left w:val="nil"/>
              <w:bottom w:val="single" w:color="auto" w:sz="4" w:space="0"/>
              <w:right w:val="single" w:color="auto" w:sz="4" w:space="0"/>
            </w:tcBorders>
            <w:noWrap/>
            <w:vAlign w:val="bottom"/>
          </w:tcPr>
          <w:p w14:paraId="76D979A3">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多效蒸发冷凝水</w:t>
            </w:r>
          </w:p>
        </w:tc>
        <w:tc>
          <w:tcPr>
            <w:tcW w:w="1168" w:type="pct"/>
            <w:tcBorders>
              <w:top w:val="nil"/>
              <w:left w:val="nil"/>
              <w:bottom w:val="single" w:color="auto" w:sz="4" w:space="0"/>
              <w:right w:val="single" w:color="auto" w:sz="4" w:space="0"/>
            </w:tcBorders>
            <w:noWrap/>
            <w:vAlign w:val="center"/>
          </w:tcPr>
          <w:p w14:paraId="101C692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9360</w:t>
            </w:r>
          </w:p>
        </w:tc>
        <w:tc>
          <w:tcPr>
            <w:tcW w:w="1774" w:type="pct"/>
            <w:tcBorders>
              <w:top w:val="nil"/>
              <w:left w:val="nil"/>
              <w:bottom w:val="single" w:color="auto" w:sz="4" w:space="0"/>
              <w:right w:val="single" w:color="auto" w:sz="4" w:space="0"/>
            </w:tcBorders>
            <w:noWrap/>
          </w:tcPr>
          <w:p w14:paraId="2CFB28FB">
            <w:pPr>
              <w:pStyle w:val="109"/>
              <w:rPr>
                <w:color w:val="000000" w:themeColor="text1"/>
                <w14:textFill>
                  <w14:solidFill>
                    <w14:schemeClr w14:val="tx1"/>
                  </w14:solidFill>
                </w14:textFill>
              </w:rPr>
            </w:pPr>
            <w:r>
              <w:rPr>
                <w:color w:val="000000" w:themeColor="text1"/>
                <w14:textFill>
                  <w14:solidFill>
                    <w14:schemeClr w14:val="tx1"/>
                  </w14:solidFill>
                </w14:textFill>
              </w:rPr>
              <w:t>作为水洗塔和碱洗塔补水使用</w:t>
            </w:r>
          </w:p>
        </w:tc>
      </w:tr>
      <w:tr w14:paraId="70AED1F9">
        <w:tblPrEx>
          <w:tblCellMar>
            <w:top w:w="0" w:type="dxa"/>
            <w:left w:w="108" w:type="dxa"/>
            <w:bottom w:w="0" w:type="dxa"/>
            <w:right w:w="108" w:type="dxa"/>
          </w:tblCellMar>
        </w:tblPrEx>
        <w:trPr>
          <w:trHeight w:val="324" w:hRule="atLeast"/>
        </w:trPr>
        <w:tc>
          <w:tcPr>
            <w:tcW w:w="499" w:type="pct"/>
            <w:tcBorders>
              <w:top w:val="nil"/>
              <w:left w:val="single" w:color="auto" w:sz="4" w:space="0"/>
              <w:bottom w:val="single" w:color="auto" w:sz="4" w:space="0"/>
              <w:right w:val="single" w:color="auto" w:sz="4" w:space="0"/>
            </w:tcBorders>
            <w:noWrap/>
            <w:vAlign w:val="center"/>
          </w:tcPr>
          <w:p w14:paraId="1E6EE04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w:t>
            </w:r>
          </w:p>
        </w:tc>
        <w:tc>
          <w:tcPr>
            <w:tcW w:w="1559" w:type="pct"/>
            <w:tcBorders>
              <w:top w:val="nil"/>
              <w:left w:val="nil"/>
              <w:bottom w:val="single" w:color="auto" w:sz="4" w:space="0"/>
              <w:right w:val="single" w:color="auto" w:sz="4" w:space="0"/>
            </w:tcBorders>
            <w:noWrap/>
            <w:vAlign w:val="bottom"/>
          </w:tcPr>
          <w:p w14:paraId="1E9ED88A">
            <w:pPr>
              <w:pStyle w:val="109"/>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1168" w:type="pct"/>
            <w:tcBorders>
              <w:top w:val="nil"/>
              <w:left w:val="nil"/>
              <w:bottom w:val="single" w:color="auto" w:sz="4" w:space="0"/>
              <w:right w:val="single" w:color="auto" w:sz="4" w:space="0"/>
            </w:tcBorders>
            <w:noWrap/>
            <w:vAlign w:val="center"/>
          </w:tcPr>
          <w:p w14:paraId="4EE5EA5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396</w:t>
            </w:r>
          </w:p>
        </w:tc>
        <w:tc>
          <w:tcPr>
            <w:tcW w:w="1774" w:type="pct"/>
            <w:tcBorders>
              <w:top w:val="nil"/>
              <w:left w:val="nil"/>
              <w:bottom w:val="single" w:color="auto" w:sz="4" w:space="0"/>
              <w:right w:val="single" w:color="auto" w:sz="4" w:space="0"/>
            </w:tcBorders>
            <w:noWrap/>
          </w:tcPr>
          <w:p w14:paraId="655B0A81">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排入园区市政污水管网</w:t>
            </w:r>
          </w:p>
        </w:tc>
      </w:tr>
      <w:tr w14:paraId="25BAD06B">
        <w:tblPrEx>
          <w:tblCellMar>
            <w:top w:w="0" w:type="dxa"/>
            <w:left w:w="108" w:type="dxa"/>
            <w:bottom w:w="0" w:type="dxa"/>
            <w:right w:w="108" w:type="dxa"/>
          </w:tblCellMar>
        </w:tblPrEx>
        <w:trPr>
          <w:trHeight w:val="300" w:hRule="atLeast"/>
        </w:trPr>
        <w:tc>
          <w:tcPr>
            <w:tcW w:w="499" w:type="pct"/>
            <w:tcBorders>
              <w:top w:val="nil"/>
              <w:left w:val="single" w:color="auto" w:sz="4" w:space="0"/>
              <w:bottom w:val="single" w:color="auto" w:sz="4" w:space="0"/>
              <w:right w:val="single" w:color="auto" w:sz="4" w:space="0"/>
            </w:tcBorders>
            <w:noWrap/>
            <w:vAlign w:val="center"/>
          </w:tcPr>
          <w:p w14:paraId="0CEA5BD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w:t>
            </w:r>
          </w:p>
        </w:tc>
        <w:tc>
          <w:tcPr>
            <w:tcW w:w="1559" w:type="pct"/>
            <w:tcBorders>
              <w:top w:val="nil"/>
              <w:left w:val="nil"/>
              <w:bottom w:val="single" w:color="auto" w:sz="4" w:space="0"/>
              <w:right w:val="single" w:color="auto" w:sz="4" w:space="0"/>
            </w:tcBorders>
            <w:noWrap/>
            <w:vAlign w:val="center"/>
          </w:tcPr>
          <w:p w14:paraId="15D1BC78">
            <w:pPr>
              <w:pStyle w:val="109"/>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168" w:type="pct"/>
            <w:tcBorders>
              <w:top w:val="nil"/>
              <w:left w:val="nil"/>
              <w:bottom w:val="single" w:color="auto" w:sz="4" w:space="0"/>
              <w:right w:val="single" w:color="auto" w:sz="4" w:space="0"/>
            </w:tcBorders>
            <w:noWrap/>
            <w:vAlign w:val="center"/>
          </w:tcPr>
          <w:p w14:paraId="2A38030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11191.65</w:t>
            </w:r>
          </w:p>
        </w:tc>
        <w:tc>
          <w:tcPr>
            <w:tcW w:w="1774" w:type="pct"/>
            <w:tcBorders>
              <w:top w:val="nil"/>
              <w:left w:val="nil"/>
              <w:bottom w:val="single" w:color="auto" w:sz="4" w:space="0"/>
              <w:right w:val="single" w:color="auto" w:sz="4" w:space="0"/>
            </w:tcBorders>
            <w:noWrap/>
            <w:vAlign w:val="center"/>
          </w:tcPr>
          <w:p w14:paraId="41D86581">
            <w:pPr>
              <w:pStyle w:val="109"/>
              <w:rPr>
                <w:color w:val="000000" w:themeColor="text1"/>
                <w14:textFill>
                  <w14:solidFill>
                    <w14:schemeClr w14:val="tx1"/>
                  </w14:solidFill>
                </w14:textFill>
              </w:rPr>
            </w:pPr>
            <w:r>
              <w:rPr>
                <w:color w:val="000000" w:themeColor="text1"/>
                <w14:textFill>
                  <w14:solidFill>
                    <w14:schemeClr w14:val="tx1"/>
                  </w14:solidFill>
                </w14:textFill>
              </w:rPr>
              <w:t>新鲜水</w:t>
            </w:r>
          </w:p>
        </w:tc>
      </w:tr>
    </w:tbl>
    <w:p w14:paraId="083AD147">
      <w:pPr>
        <w:pStyle w:val="28"/>
        <w:ind w:left="-2" w:leftChars="-1" w:firstLine="0" w:firstLineChars="0"/>
        <w:jc w:val="center"/>
        <w:rPr>
          <w:rFonts w:ascii="Times New Roman" w:cs="Times New Roman"/>
          <w:color w:val="000000" w:themeColor="text1"/>
          <w14:textFill>
            <w14:solidFill>
              <w14:schemeClr w14:val="tx1"/>
            </w14:solidFill>
          </w14:textFill>
        </w:rPr>
      </w:pPr>
      <w:bookmarkStart w:id="246" w:name="_Hlk63679467"/>
      <w:r>
        <w:rPr>
          <w:rFonts w:hint="eastAsia"/>
          <w:color w:val="000000" w:themeColor="text1"/>
          <w14:textFill>
            <w14:solidFill>
              <w14:schemeClr w14:val="tx1"/>
            </w14:solidFill>
          </w14:textFill>
        </w:rPr>
        <w:object>
          <v:shape id="_x0000_i1025" o:spt="75" type="#_x0000_t75" style="height:600.75pt;width:467.25pt;" o:ole="t" filled="f" coordsize="21600,21600">
            <v:path/>
            <v:fill on="f" focussize="0,0"/>
            <v:stroke/>
            <v:imagedata r:id="rId42" o:title=""/>
            <o:lock v:ext="edit" aspectratio="t"/>
            <w10:wrap type="none"/>
            <w10:anchorlock/>
          </v:shape>
          <o:OLEObject Type="Embed" ProgID="Visio.Drawing.11" ShapeID="_x0000_i1025" DrawAspect="Content" ObjectID="_1468075725" r:id="rId41">
            <o:LockedField>false</o:LockedField>
          </o:OLEObject>
        </w:object>
      </w:r>
    </w:p>
    <w:p w14:paraId="537B57AD">
      <w:pPr>
        <w:pStyle w:val="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项目水平衡图     单位：m³/a</w:t>
      </w:r>
    </w:p>
    <w:bookmarkEnd w:id="246"/>
    <w:p w14:paraId="3DDF5B3E">
      <w:pPr>
        <w:pStyle w:val="4"/>
        <w:rPr>
          <w:rFonts w:ascii="Times New Roman" w:cs="Times New Roman"/>
          <w:color w:val="000000" w:themeColor="text1"/>
          <w14:textFill>
            <w14:solidFill>
              <w14:schemeClr w14:val="tx1"/>
            </w14:solidFill>
          </w14:textFill>
        </w:rPr>
      </w:pPr>
      <w:bookmarkStart w:id="247" w:name="_Toc329793463"/>
      <w:bookmarkStart w:id="248" w:name="_Toc280691149"/>
      <w:bookmarkStart w:id="249" w:name="_Toc278649430"/>
      <w:bookmarkStart w:id="250" w:name="_Toc321821729"/>
      <w:r>
        <w:rPr>
          <w:rFonts w:ascii="Times New Roman" w:cs="Times New Roman"/>
          <w:color w:val="000000" w:themeColor="text1"/>
          <w14:textFill>
            <w14:solidFill>
              <w14:schemeClr w14:val="tx1"/>
            </w14:solidFill>
          </w14:textFill>
        </w:rPr>
        <w:t>供电</w:t>
      </w:r>
      <w:bookmarkEnd w:id="247"/>
      <w:bookmarkEnd w:id="248"/>
      <w:bookmarkEnd w:id="249"/>
      <w:bookmarkEnd w:id="250"/>
    </w:p>
    <w:p w14:paraId="3CBC39BB">
      <w:pPr>
        <w:ind w:firstLine="480"/>
        <w:rPr>
          <w:color w:val="000000" w:themeColor="text1"/>
          <w14:textFill>
            <w14:solidFill>
              <w14:schemeClr w14:val="tx1"/>
            </w14:solidFill>
          </w14:textFill>
        </w:rPr>
      </w:pPr>
      <w:r>
        <w:rPr>
          <w:color w:val="000000" w:themeColor="text1"/>
          <w14:textFill>
            <w14:solidFill>
              <w14:schemeClr w14:val="tx1"/>
            </w14:solidFill>
          </w14:textFill>
        </w:rPr>
        <w:t>该项目位于乌鲁木齐甘泉堡经济技术开发区(工业区)，园区具备双电源供电条件，同时满足有一级负荷和特别重要负荷企业供电需求。供配电系统使用380V/220V 等级的电源，装置区利用新建配电室，变电所对装置区用电设备放射式供电，变电所至装置区的配电线路全部沿管廊桥架敷设。</w:t>
      </w:r>
    </w:p>
    <w:p w14:paraId="3309AE8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本项目用电主要为生产装置及公用工程设备用电。根据负荷估算，本项目总装机容量为313.75kW，有功负荷为251kW，年工作小时数取8000h，同时系数0.8，年生产用电估算为160万kW•h。</w:t>
      </w:r>
    </w:p>
    <w:p w14:paraId="1BFF9D78">
      <w:pPr>
        <w:pStyle w:val="4"/>
        <w:rPr>
          <w:rFonts w:ascii="Times New Roman" w:cs="Times New Roman"/>
          <w:color w:val="000000" w:themeColor="text1"/>
          <w14:textFill>
            <w14:solidFill>
              <w14:schemeClr w14:val="tx1"/>
            </w14:solidFill>
          </w14:textFill>
        </w:rPr>
      </w:pPr>
      <w:bookmarkStart w:id="251" w:name="_Hlk63678885"/>
      <w:r>
        <w:rPr>
          <w:rFonts w:ascii="Times New Roman" w:cs="Times New Roman"/>
          <w:color w:val="000000" w:themeColor="text1"/>
          <w14:textFill>
            <w14:solidFill>
              <w14:schemeClr w14:val="tx1"/>
            </w14:solidFill>
          </w14:textFill>
        </w:rPr>
        <w:t>供热</w:t>
      </w:r>
    </w:p>
    <w:p w14:paraId="3848B29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本项目热解焙烧窑热量来自天然气燃烧机组，燃烧机组产生的热量与物料间接接触，起到焙烧的效果。</w:t>
      </w:r>
    </w:p>
    <w:p w14:paraId="1C405010">
      <w:pPr>
        <w:ind w:firstLine="480"/>
        <w:rPr>
          <w:color w:val="000000" w:themeColor="text1"/>
          <w14:textFill>
            <w14:solidFill>
              <w14:schemeClr w14:val="tx1"/>
            </w14:solidFill>
          </w14:textFill>
        </w:rPr>
      </w:pPr>
      <w:r>
        <w:rPr>
          <w:color w:val="000000" w:themeColor="text1"/>
          <w14:textFill>
            <w14:solidFill>
              <w14:schemeClr w14:val="tx1"/>
            </w14:solidFill>
          </w14:textFill>
        </w:rPr>
        <w:t>项目废气处理系统排水为含盐废水，产生的浓盐水中和后进入多效蒸发器进行处理，多效蒸发器为电加热装置。</w:t>
      </w:r>
    </w:p>
    <w:p w14:paraId="4344B174">
      <w:pPr>
        <w:ind w:firstLine="480"/>
        <w:rPr>
          <w:color w:val="000000" w:themeColor="text1"/>
          <w14:textFill>
            <w14:solidFill>
              <w14:schemeClr w14:val="tx1"/>
            </w14:solidFill>
          </w14:textFill>
        </w:rPr>
      </w:pPr>
      <w:r>
        <w:rPr>
          <w:color w:val="000000" w:themeColor="text1"/>
          <w14:textFill>
            <w14:solidFill>
              <w14:schemeClr w14:val="tx1"/>
            </w14:solidFill>
          </w14:textFill>
        </w:rPr>
        <w:t>项目不使用蒸汽及其他热源。</w:t>
      </w:r>
    </w:p>
    <w:bookmarkEnd w:id="251"/>
    <w:p w14:paraId="5D7A0526">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供气</w:t>
      </w:r>
    </w:p>
    <w:p w14:paraId="2D24698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本项目设置BLT-30A型号空压机2台，配套设置2m³压缩空气储罐1台，供气压力为0.7MPa。其中仪表空气用气量为102Nm³/h。</w:t>
      </w:r>
    </w:p>
    <w:p w14:paraId="74ADDB44">
      <w:pPr>
        <w:ind w:firstLine="480"/>
        <w:rPr>
          <w:color w:val="000000" w:themeColor="text1"/>
          <w14:textFill>
            <w14:solidFill>
              <w14:schemeClr w14:val="tx1"/>
            </w14:solidFill>
          </w14:textFill>
        </w:rPr>
      </w:pPr>
      <w:r>
        <w:rPr>
          <w:color w:val="000000" w:themeColor="text1"/>
          <w14:textFill>
            <w14:solidFill>
              <w14:schemeClr w14:val="tx1"/>
            </w14:solidFill>
          </w14:textFill>
        </w:rPr>
        <w:t>项目天然气用量308.4万m³/a，由园区现有天然气管网供给、</w:t>
      </w:r>
    </w:p>
    <w:p w14:paraId="68F1615E">
      <w:pPr>
        <w:pStyle w:val="3"/>
        <w:rPr>
          <w:rFonts w:ascii="Times New Roman" w:cs="Times New Roman"/>
          <w:color w:val="000000" w:themeColor="text1"/>
          <w14:textFill>
            <w14:solidFill>
              <w14:schemeClr w14:val="tx1"/>
            </w14:solidFill>
          </w14:textFill>
        </w:rPr>
      </w:pPr>
      <w:bookmarkStart w:id="252" w:name="_Toc225268301"/>
      <w:r>
        <w:rPr>
          <w:rFonts w:ascii="Times New Roman" w:cs="Times New Roman"/>
          <w:color w:val="000000" w:themeColor="text1"/>
          <w14:textFill>
            <w14:solidFill>
              <w14:schemeClr w14:val="tx1"/>
            </w14:solidFill>
          </w14:textFill>
        </w:rPr>
        <w:t>储运工程</w:t>
      </w:r>
      <w:bookmarkEnd w:id="252"/>
    </w:p>
    <w:p w14:paraId="0F31409F">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1、废盐仓库</w:t>
      </w:r>
    </w:p>
    <w:p w14:paraId="6F88D5B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本项目设置一个</w:t>
      </w:r>
      <w:r>
        <w:rPr>
          <w:rFonts w:hint="eastAsia"/>
          <w:color w:val="000000" w:themeColor="text1"/>
          <w14:textFill>
            <w14:solidFill>
              <w14:schemeClr w14:val="tx1"/>
            </w14:solidFill>
          </w14:textFill>
        </w:rPr>
        <w:t>1024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废盐仓库，用于暂存回收的废盐，最大贮存容量约2252t（满足15天的处理要求）。废盐</w:t>
      </w:r>
      <w:r>
        <w:rPr>
          <w:rFonts w:hint="eastAsia"/>
          <w:color w:val="000000" w:themeColor="text1"/>
          <w14:textFill>
            <w14:solidFill>
              <w14:schemeClr w14:val="tx1"/>
            </w14:solidFill>
          </w14:textFill>
        </w:rPr>
        <w:t>入厂为防渗漏的密闭吨包包装，仓库</w:t>
      </w:r>
      <w:r>
        <w:rPr>
          <w:color w:val="000000" w:themeColor="text1"/>
          <w14:textFill>
            <w14:solidFill>
              <w14:schemeClr w14:val="tx1"/>
            </w14:solidFill>
          </w14:textFill>
        </w:rPr>
        <w:t>全密封处理，</w:t>
      </w:r>
      <w:r>
        <w:rPr>
          <w:rFonts w:hint="eastAsia"/>
          <w:color w:val="000000" w:themeColor="text1"/>
          <w14:textFill>
            <w14:solidFill>
              <w14:schemeClr w14:val="tx1"/>
            </w14:solidFill>
          </w14:textFill>
        </w:rPr>
        <w:t>处置</w:t>
      </w:r>
      <w:r>
        <w:rPr>
          <w:color w:val="000000" w:themeColor="text1"/>
          <w14:textFill>
            <w14:solidFill>
              <w14:schemeClr w14:val="tx1"/>
            </w14:solidFill>
          </w14:textFill>
        </w:rPr>
        <w:t>时将</w:t>
      </w:r>
      <w:r>
        <w:rPr>
          <w:rFonts w:hint="eastAsia"/>
          <w:color w:val="000000" w:themeColor="text1"/>
          <w14:textFill>
            <w14:solidFill>
              <w14:schemeClr w14:val="tx1"/>
            </w14:solidFill>
          </w14:textFill>
        </w:rPr>
        <w:t>吨包运至处置车间的配伍区，配伍完成后</w:t>
      </w:r>
      <w:r>
        <w:rPr>
          <w:color w:val="000000" w:themeColor="text1"/>
          <w14:textFill>
            <w14:solidFill>
              <w14:schemeClr w14:val="tx1"/>
            </w14:solidFill>
          </w14:textFill>
        </w:rPr>
        <w:t>废盐通过螺旋输送机输送至热解焙烧窑进行处理。废盐均以全密封的双层覆膜袋进行包装，在仓库内密封保存，在</w:t>
      </w:r>
      <w:r>
        <w:rPr>
          <w:rFonts w:hint="eastAsia"/>
          <w:color w:val="000000" w:themeColor="text1"/>
          <w14:textFill>
            <w14:solidFill>
              <w14:schemeClr w14:val="tx1"/>
            </w14:solidFill>
          </w14:textFill>
        </w:rPr>
        <w:t>配伍</w:t>
      </w:r>
      <w:r>
        <w:rPr>
          <w:color w:val="000000" w:themeColor="text1"/>
          <w14:textFill>
            <w14:solidFill>
              <w14:schemeClr w14:val="tx1"/>
            </w14:solidFill>
          </w14:textFill>
        </w:rPr>
        <w:t>进料时才打开包装袋。废盐仓库采用1套废气负压收集系统，保证仓库通风换气次数达4次/时。</w:t>
      </w:r>
    </w:p>
    <w:p w14:paraId="515FECF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2、氨水储罐</w:t>
      </w:r>
    </w:p>
    <w:p w14:paraId="79C433C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本项目脱硝工序使用浓度10%的氨水，厂区设置1个容积为30m³的立式储罐用于氨水的储存，氨水储罐设置有呼吸阀和二级水封装置用于处理呼吸废气。</w:t>
      </w:r>
    </w:p>
    <w:p w14:paraId="044BE00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3、液碱</w:t>
      </w:r>
    </w:p>
    <w:p w14:paraId="252CA92D">
      <w:pPr>
        <w:ind w:firstLine="48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本项目废气处理系统二级碱吸收装置使用浓度30%的液碱，厂区设置1个容积为50m³的立式储罐用于液碱的储存。</w:t>
      </w:r>
    </w:p>
    <w:p w14:paraId="006E5FA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、运输</w:t>
      </w:r>
    </w:p>
    <w:p w14:paraId="2558D254">
      <w:pPr>
        <w:ind w:firstLine="480"/>
        <w:rPr>
          <w:color w:val="000000" w:themeColor="text1"/>
          <w14:textFill>
            <w14:solidFill>
              <w14:schemeClr w14:val="tx1"/>
            </w14:solidFill>
          </w14:textFill>
        </w:rPr>
      </w:pPr>
      <w:r>
        <w:rPr>
          <w:color w:val="000000" w:themeColor="text1"/>
          <w14:textFill>
            <w14:solidFill>
              <w14:schemeClr w14:val="tx1"/>
            </w14:solidFill>
          </w14:textFill>
        </w:rPr>
        <w:t>废盐委托有资质单位采用货车公路运输，成品及其他原辅材料均采用货车公路运输方式。</w:t>
      </w:r>
    </w:p>
    <w:p w14:paraId="5B89A4A0">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主要原辅材料储运方式</w:t>
      </w:r>
    </w:p>
    <w:tbl>
      <w:tblPr>
        <w:tblStyle w:val="76"/>
        <w:tblW w:w="5048" w:type="pct"/>
        <w:tblInd w:w="0" w:type="dxa"/>
        <w:tblLayout w:type="fixed"/>
        <w:tblCellMar>
          <w:top w:w="0" w:type="dxa"/>
          <w:left w:w="108" w:type="dxa"/>
          <w:bottom w:w="0" w:type="dxa"/>
          <w:right w:w="108" w:type="dxa"/>
        </w:tblCellMar>
      </w:tblPr>
      <w:tblGrid>
        <w:gridCol w:w="1090"/>
        <w:gridCol w:w="938"/>
        <w:gridCol w:w="706"/>
        <w:gridCol w:w="1811"/>
        <w:gridCol w:w="1268"/>
        <w:gridCol w:w="1095"/>
        <w:gridCol w:w="1013"/>
        <w:gridCol w:w="1800"/>
      </w:tblGrid>
      <w:tr w14:paraId="475BACBF">
        <w:tblPrEx>
          <w:tblCellMar>
            <w:top w:w="0" w:type="dxa"/>
            <w:left w:w="108" w:type="dxa"/>
            <w:bottom w:w="0" w:type="dxa"/>
            <w:right w:w="108" w:type="dxa"/>
          </w:tblCellMar>
        </w:tblPrEx>
        <w:tc>
          <w:tcPr>
            <w:tcW w:w="560" w:type="pct"/>
            <w:tcBorders>
              <w:top w:val="single" w:color="auto" w:sz="4" w:space="0"/>
              <w:left w:val="single" w:color="auto" w:sz="4" w:space="0"/>
              <w:bottom w:val="single" w:color="auto" w:sz="4" w:space="0"/>
              <w:right w:val="single" w:color="auto" w:sz="4" w:space="0"/>
            </w:tcBorders>
            <w:noWrap/>
            <w:vAlign w:val="center"/>
          </w:tcPr>
          <w:p w14:paraId="4A7D77BC">
            <w:pPr>
              <w:pStyle w:val="109"/>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482" w:type="pct"/>
            <w:tcBorders>
              <w:top w:val="single" w:color="auto" w:sz="4" w:space="0"/>
              <w:left w:val="nil"/>
              <w:bottom w:val="single" w:color="auto" w:sz="4" w:space="0"/>
              <w:right w:val="single" w:color="auto" w:sz="4" w:space="0"/>
            </w:tcBorders>
            <w:noWrap/>
            <w:vAlign w:val="center"/>
          </w:tcPr>
          <w:p w14:paraId="4A675524">
            <w:pPr>
              <w:pStyle w:val="109"/>
              <w:rPr>
                <w:color w:val="000000" w:themeColor="text1"/>
                <w14:textFill>
                  <w14:solidFill>
                    <w14:schemeClr w14:val="tx1"/>
                  </w14:solidFill>
                </w14:textFill>
              </w:rPr>
            </w:pPr>
            <w:r>
              <w:rPr>
                <w:color w:val="000000" w:themeColor="text1"/>
                <w14:textFill>
                  <w14:solidFill>
                    <w14:schemeClr w14:val="tx1"/>
                  </w14:solidFill>
                </w14:textFill>
              </w:rPr>
              <w:t>用途</w:t>
            </w:r>
          </w:p>
        </w:tc>
        <w:tc>
          <w:tcPr>
            <w:tcW w:w="363" w:type="pct"/>
            <w:tcBorders>
              <w:top w:val="single" w:color="auto" w:sz="4" w:space="0"/>
              <w:left w:val="nil"/>
              <w:bottom w:val="single" w:color="auto" w:sz="4" w:space="0"/>
              <w:right w:val="single" w:color="auto" w:sz="4" w:space="0"/>
            </w:tcBorders>
            <w:noWrap/>
            <w:vAlign w:val="center"/>
          </w:tcPr>
          <w:p w14:paraId="793A2ADA">
            <w:pPr>
              <w:pStyle w:val="109"/>
              <w:rPr>
                <w:color w:val="000000" w:themeColor="text1"/>
                <w14:textFill>
                  <w14:solidFill>
                    <w14:schemeClr w14:val="tx1"/>
                  </w14:solidFill>
                </w14:textFill>
              </w:rPr>
            </w:pPr>
            <w:r>
              <w:rPr>
                <w:color w:val="000000" w:themeColor="text1"/>
                <w14:textFill>
                  <w14:solidFill>
                    <w14:schemeClr w14:val="tx1"/>
                  </w14:solidFill>
                </w14:textFill>
              </w:rPr>
              <w:t>形态</w:t>
            </w:r>
          </w:p>
        </w:tc>
        <w:tc>
          <w:tcPr>
            <w:tcW w:w="932" w:type="pct"/>
            <w:tcBorders>
              <w:top w:val="single" w:color="auto" w:sz="4" w:space="0"/>
              <w:left w:val="nil"/>
              <w:bottom w:val="single" w:color="auto" w:sz="4" w:space="0"/>
              <w:right w:val="single" w:color="auto" w:sz="4" w:space="0"/>
            </w:tcBorders>
            <w:noWrap/>
            <w:vAlign w:val="center"/>
          </w:tcPr>
          <w:p w14:paraId="478AF929">
            <w:pPr>
              <w:pStyle w:val="109"/>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652" w:type="pct"/>
            <w:tcBorders>
              <w:top w:val="single" w:color="auto" w:sz="4" w:space="0"/>
              <w:left w:val="nil"/>
              <w:bottom w:val="single" w:color="auto" w:sz="4" w:space="0"/>
              <w:right w:val="single" w:color="auto" w:sz="4" w:space="0"/>
            </w:tcBorders>
            <w:noWrap/>
            <w:vAlign w:val="center"/>
          </w:tcPr>
          <w:p w14:paraId="39857F6C">
            <w:pPr>
              <w:pStyle w:val="109"/>
              <w:rPr>
                <w:color w:val="000000" w:themeColor="text1"/>
                <w14:textFill>
                  <w14:solidFill>
                    <w14:schemeClr w14:val="tx1"/>
                  </w14:solidFill>
                </w14:textFill>
              </w:rPr>
            </w:pPr>
            <w:r>
              <w:rPr>
                <w:color w:val="000000" w:themeColor="text1"/>
                <w14:textFill>
                  <w14:solidFill>
                    <w14:schemeClr w14:val="tx1"/>
                  </w14:solidFill>
                </w14:textFill>
              </w:rPr>
              <w:t>储存方式及位置</w:t>
            </w:r>
          </w:p>
        </w:tc>
        <w:tc>
          <w:tcPr>
            <w:tcW w:w="563" w:type="pct"/>
            <w:tcBorders>
              <w:top w:val="single" w:color="auto" w:sz="4" w:space="0"/>
              <w:left w:val="nil"/>
              <w:bottom w:val="single" w:color="auto" w:sz="4" w:space="0"/>
              <w:right w:val="single" w:color="auto" w:sz="4" w:space="0"/>
            </w:tcBorders>
            <w:noWrap/>
            <w:vAlign w:val="center"/>
          </w:tcPr>
          <w:p w14:paraId="517630CB">
            <w:pPr>
              <w:pStyle w:val="109"/>
              <w:rPr>
                <w:color w:val="000000" w:themeColor="text1"/>
                <w14:textFill>
                  <w14:solidFill>
                    <w14:schemeClr w14:val="tx1"/>
                  </w14:solidFill>
                </w14:textFill>
              </w:rPr>
            </w:pPr>
            <w:r>
              <w:rPr>
                <w:color w:val="000000" w:themeColor="text1"/>
                <w14:textFill>
                  <w14:solidFill>
                    <w14:schemeClr w14:val="tx1"/>
                  </w14:solidFill>
                </w14:textFill>
              </w:rPr>
              <w:t>最大储量（吨）</w:t>
            </w:r>
          </w:p>
        </w:tc>
        <w:tc>
          <w:tcPr>
            <w:tcW w:w="521" w:type="pct"/>
            <w:tcBorders>
              <w:top w:val="single" w:color="auto" w:sz="4" w:space="0"/>
              <w:left w:val="nil"/>
              <w:bottom w:val="single" w:color="auto" w:sz="4" w:space="0"/>
              <w:right w:val="single" w:color="auto" w:sz="4" w:space="0"/>
            </w:tcBorders>
            <w:noWrap/>
            <w:vAlign w:val="center"/>
          </w:tcPr>
          <w:p w14:paraId="3E3ABE6D">
            <w:pPr>
              <w:pStyle w:val="109"/>
              <w:ind w:left="-113" w:leftChars="-47" w:right="-108" w:rightChars="-45"/>
              <w:rPr>
                <w:color w:val="000000" w:themeColor="text1"/>
                <w14:textFill>
                  <w14:solidFill>
                    <w14:schemeClr w14:val="tx1"/>
                  </w14:solidFill>
                </w14:textFill>
              </w:rPr>
            </w:pPr>
            <w:r>
              <w:rPr>
                <w:color w:val="000000" w:themeColor="text1"/>
                <w14:textFill>
                  <w14:solidFill>
                    <w14:schemeClr w14:val="tx1"/>
                  </w14:solidFill>
                </w14:textFill>
              </w:rPr>
              <w:t>周转天数（天）</w:t>
            </w:r>
          </w:p>
        </w:tc>
        <w:tc>
          <w:tcPr>
            <w:tcW w:w="926" w:type="pct"/>
            <w:tcBorders>
              <w:top w:val="single" w:color="auto" w:sz="4" w:space="0"/>
              <w:left w:val="nil"/>
              <w:bottom w:val="single" w:color="auto" w:sz="4" w:space="0"/>
              <w:right w:val="single" w:color="auto" w:sz="4" w:space="0"/>
            </w:tcBorders>
            <w:noWrap/>
            <w:vAlign w:val="center"/>
          </w:tcPr>
          <w:p w14:paraId="6EA83DE7">
            <w:pPr>
              <w:pStyle w:val="109"/>
              <w:rPr>
                <w:color w:val="000000" w:themeColor="text1"/>
                <w14:textFill>
                  <w14:solidFill>
                    <w14:schemeClr w14:val="tx1"/>
                  </w14:solidFill>
                </w14:textFill>
              </w:rPr>
            </w:pPr>
            <w:r>
              <w:rPr>
                <w:color w:val="000000" w:themeColor="text1"/>
                <w14:textFill>
                  <w14:solidFill>
                    <w14:schemeClr w14:val="tx1"/>
                  </w14:solidFill>
                </w14:textFill>
              </w:rPr>
              <w:t>运输方式</w:t>
            </w:r>
          </w:p>
        </w:tc>
      </w:tr>
      <w:tr w14:paraId="1AE1B545">
        <w:tblPrEx>
          <w:tblCellMar>
            <w:top w:w="0" w:type="dxa"/>
            <w:left w:w="108" w:type="dxa"/>
            <w:bottom w:w="0" w:type="dxa"/>
            <w:right w:w="108" w:type="dxa"/>
          </w:tblCellMar>
        </w:tblPrEx>
        <w:tc>
          <w:tcPr>
            <w:tcW w:w="560" w:type="pct"/>
            <w:tcBorders>
              <w:top w:val="nil"/>
              <w:left w:val="single" w:color="auto" w:sz="4" w:space="0"/>
              <w:bottom w:val="single" w:color="auto" w:sz="4" w:space="0"/>
              <w:right w:val="single" w:color="auto" w:sz="4" w:space="0"/>
            </w:tcBorders>
            <w:noWrap/>
            <w:vAlign w:val="center"/>
          </w:tcPr>
          <w:p w14:paraId="22FEEF89">
            <w:pPr>
              <w:pStyle w:val="109"/>
              <w:rPr>
                <w:color w:val="000000" w:themeColor="text1"/>
                <w14:textFill>
                  <w14:solidFill>
                    <w14:schemeClr w14:val="tx1"/>
                  </w14:solidFill>
                </w14:textFill>
              </w:rPr>
            </w:pPr>
            <w:r>
              <w:rPr>
                <w:color w:val="000000" w:themeColor="text1"/>
                <w14:textFill>
                  <w14:solidFill>
                    <w14:schemeClr w14:val="tx1"/>
                  </w14:solidFill>
                </w14:textFill>
              </w:rPr>
              <w:t>废盐</w:t>
            </w:r>
          </w:p>
        </w:tc>
        <w:tc>
          <w:tcPr>
            <w:tcW w:w="482" w:type="pct"/>
            <w:tcBorders>
              <w:top w:val="nil"/>
              <w:left w:val="nil"/>
              <w:bottom w:val="single" w:color="auto" w:sz="4" w:space="0"/>
              <w:right w:val="single" w:color="auto" w:sz="4" w:space="0"/>
            </w:tcBorders>
            <w:noWrap/>
            <w:vAlign w:val="center"/>
          </w:tcPr>
          <w:p w14:paraId="29380D93">
            <w:pPr>
              <w:pStyle w:val="109"/>
              <w:rPr>
                <w:color w:val="000000" w:themeColor="text1"/>
                <w14:textFill>
                  <w14:solidFill>
                    <w14:schemeClr w14:val="tx1"/>
                  </w14:solidFill>
                </w14:textFill>
              </w:rPr>
            </w:pPr>
            <w:r>
              <w:rPr>
                <w:color w:val="000000" w:themeColor="text1"/>
                <w14:textFill>
                  <w14:solidFill>
                    <w14:schemeClr w14:val="tx1"/>
                  </w14:solidFill>
                </w14:textFill>
              </w:rPr>
              <w:t>原料</w:t>
            </w:r>
          </w:p>
        </w:tc>
        <w:tc>
          <w:tcPr>
            <w:tcW w:w="363" w:type="pct"/>
            <w:tcBorders>
              <w:top w:val="nil"/>
              <w:left w:val="nil"/>
              <w:bottom w:val="single" w:color="auto" w:sz="4" w:space="0"/>
              <w:right w:val="single" w:color="auto" w:sz="4" w:space="0"/>
            </w:tcBorders>
            <w:noWrap/>
            <w:vAlign w:val="center"/>
          </w:tcPr>
          <w:p w14:paraId="666D79B8">
            <w:pPr>
              <w:pStyle w:val="109"/>
              <w:rPr>
                <w:color w:val="000000" w:themeColor="text1"/>
                <w14:textFill>
                  <w14:solidFill>
                    <w14:schemeClr w14:val="tx1"/>
                  </w14:solidFill>
                </w14:textFill>
              </w:rPr>
            </w:pPr>
            <w:r>
              <w:rPr>
                <w:color w:val="000000" w:themeColor="text1"/>
                <w14:textFill>
                  <w14:solidFill>
                    <w14:schemeClr w14:val="tx1"/>
                  </w14:solidFill>
                </w14:textFill>
              </w:rPr>
              <w:t>固体</w:t>
            </w:r>
          </w:p>
        </w:tc>
        <w:tc>
          <w:tcPr>
            <w:tcW w:w="932" w:type="pct"/>
            <w:tcBorders>
              <w:top w:val="nil"/>
              <w:left w:val="nil"/>
              <w:bottom w:val="single" w:color="auto" w:sz="4" w:space="0"/>
              <w:right w:val="single" w:color="auto" w:sz="4" w:space="0"/>
            </w:tcBorders>
            <w:vAlign w:val="center"/>
          </w:tcPr>
          <w:p w14:paraId="10E38653">
            <w:pPr>
              <w:pStyle w:val="109"/>
              <w:rPr>
                <w:color w:val="000000" w:themeColor="text1"/>
                <w14:textFill>
                  <w14:solidFill>
                    <w14:schemeClr w14:val="tx1"/>
                  </w14:solidFill>
                </w14:textFill>
              </w:rPr>
            </w:pPr>
            <w:r>
              <w:rPr>
                <w:color w:val="000000" w:themeColor="text1"/>
                <w14:textFill>
                  <w14:solidFill>
                    <w14:schemeClr w14:val="tx1"/>
                  </w14:solidFill>
                </w14:textFill>
              </w:rPr>
              <w:t>主要成分为</w:t>
            </w:r>
            <w:r>
              <w:rPr>
                <w:rFonts w:hint="eastAsia"/>
                <w:color w:val="000000" w:themeColor="text1"/>
                <w14:textFill>
                  <w14:solidFill>
                    <w14:schemeClr w14:val="tx1"/>
                  </w14:solidFill>
                </w14:textFill>
              </w:rPr>
              <w:t>硫酸钠、氯化钠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有机碳、重金属等</w:t>
            </w:r>
          </w:p>
        </w:tc>
        <w:tc>
          <w:tcPr>
            <w:tcW w:w="652" w:type="pct"/>
            <w:tcBorders>
              <w:top w:val="nil"/>
              <w:left w:val="nil"/>
              <w:bottom w:val="single" w:color="auto" w:sz="4" w:space="0"/>
              <w:right w:val="single" w:color="auto" w:sz="4" w:space="0"/>
            </w:tcBorders>
            <w:noWrap/>
            <w:vAlign w:val="center"/>
          </w:tcPr>
          <w:p w14:paraId="03A4E902">
            <w:pPr>
              <w:pStyle w:val="109"/>
              <w:rPr>
                <w:color w:val="000000" w:themeColor="text1"/>
                <w14:textFill>
                  <w14:solidFill>
                    <w14:schemeClr w14:val="tx1"/>
                  </w14:solidFill>
                </w14:textFill>
              </w:rPr>
            </w:pPr>
            <w:r>
              <w:rPr>
                <w:color w:val="000000" w:themeColor="text1"/>
                <w14:textFill>
                  <w14:solidFill>
                    <w14:schemeClr w14:val="tx1"/>
                  </w14:solidFill>
                </w14:textFill>
              </w:rPr>
              <w:t>废盐仓库</w:t>
            </w:r>
          </w:p>
        </w:tc>
        <w:tc>
          <w:tcPr>
            <w:tcW w:w="563" w:type="pct"/>
            <w:tcBorders>
              <w:top w:val="nil"/>
              <w:left w:val="nil"/>
              <w:bottom w:val="single" w:color="auto" w:sz="4" w:space="0"/>
              <w:right w:val="single" w:color="auto" w:sz="4" w:space="0"/>
            </w:tcBorders>
            <w:noWrap/>
            <w:vAlign w:val="center"/>
          </w:tcPr>
          <w:p w14:paraId="688BB6C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2252</w:t>
            </w:r>
          </w:p>
        </w:tc>
        <w:tc>
          <w:tcPr>
            <w:tcW w:w="521" w:type="pct"/>
            <w:tcBorders>
              <w:top w:val="nil"/>
              <w:left w:val="nil"/>
              <w:bottom w:val="single" w:color="auto" w:sz="4" w:space="0"/>
              <w:right w:val="single" w:color="auto" w:sz="4" w:space="0"/>
            </w:tcBorders>
            <w:vAlign w:val="center"/>
          </w:tcPr>
          <w:p w14:paraId="52F10F2C">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926" w:type="pct"/>
            <w:tcBorders>
              <w:top w:val="nil"/>
              <w:left w:val="nil"/>
              <w:bottom w:val="single" w:color="auto" w:sz="4" w:space="0"/>
              <w:right w:val="single" w:color="auto" w:sz="4" w:space="0"/>
            </w:tcBorders>
            <w:vAlign w:val="center"/>
          </w:tcPr>
          <w:p w14:paraId="04DFDB03">
            <w:pPr>
              <w:pStyle w:val="109"/>
              <w:rPr>
                <w:color w:val="000000" w:themeColor="text1"/>
                <w14:textFill>
                  <w14:solidFill>
                    <w14:schemeClr w14:val="tx1"/>
                  </w14:solidFill>
                </w14:textFill>
              </w:rPr>
            </w:pPr>
            <w:r>
              <w:rPr>
                <w:color w:val="000000" w:themeColor="text1"/>
                <w14:textFill>
                  <w14:solidFill>
                    <w14:schemeClr w14:val="tx1"/>
                  </w14:solidFill>
                </w14:textFill>
              </w:rPr>
              <w:t>委托有资质单位，采用公路运输</w:t>
            </w:r>
          </w:p>
        </w:tc>
      </w:tr>
      <w:tr w14:paraId="05ADE294">
        <w:tblPrEx>
          <w:tblCellMar>
            <w:top w:w="0" w:type="dxa"/>
            <w:left w:w="108" w:type="dxa"/>
            <w:bottom w:w="0" w:type="dxa"/>
            <w:right w:w="108" w:type="dxa"/>
          </w:tblCellMar>
        </w:tblPrEx>
        <w:tc>
          <w:tcPr>
            <w:tcW w:w="560" w:type="pct"/>
            <w:tcBorders>
              <w:top w:val="nil"/>
              <w:left w:val="single" w:color="auto" w:sz="4" w:space="0"/>
              <w:bottom w:val="single" w:color="auto" w:sz="4" w:space="0"/>
              <w:right w:val="single" w:color="auto" w:sz="4" w:space="0"/>
            </w:tcBorders>
            <w:noWrap/>
            <w:vAlign w:val="center"/>
          </w:tcPr>
          <w:p w14:paraId="5FF3CDD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10%氨水</w:t>
            </w:r>
          </w:p>
        </w:tc>
        <w:tc>
          <w:tcPr>
            <w:tcW w:w="482" w:type="pct"/>
            <w:vMerge w:val="restart"/>
            <w:tcBorders>
              <w:top w:val="nil"/>
              <w:left w:val="nil"/>
              <w:right w:val="single" w:color="auto" w:sz="4" w:space="0"/>
            </w:tcBorders>
            <w:noWrap/>
            <w:vAlign w:val="center"/>
          </w:tcPr>
          <w:p w14:paraId="272D812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废气处理系统</w:t>
            </w:r>
            <w:r>
              <w:rPr>
                <w:color w:val="000000" w:themeColor="text1"/>
                <w14:textFill>
                  <w14:solidFill>
                    <w14:schemeClr w14:val="tx1"/>
                  </w14:solidFill>
                </w14:textFill>
              </w:rPr>
              <w:t>原料</w:t>
            </w:r>
          </w:p>
        </w:tc>
        <w:tc>
          <w:tcPr>
            <w:tcW w:w="363" w:type="pct"/>
            <w:tcBorders>
              <w:top w:val="nil"/>
              <w:left w:val="nil"/>
              <w:bottom w:val="single" w:color="auto" w:sz="4" w:space="0"/>
              <w:right w:val="single" w:color="auto" w:sz="4" w:space="0"/>
            </w:tcBorders>
            <w:noWrap/>
            <w:vAlign w:val="center"/>
          </w:tcPr>
          <w:p w14:paraId="17C0CEA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液体</w:t>
            </w:r>
          </w:p>
        </w:tc>
        <w:tc>
          <w:tcPr>
            <w:tcW w:w="932" w:type="pct"/>
            <w:tcBorders>
              <w:top w:val="nil"/>
              <w:left w:val="nil"/>
              <w:bottom w:val="single" w:color="auto" w:sz="4" w:space="0"/>
              <w:right w:val="single" w:color="auto" w:sz="4" w:space="0"/>
            </w:tcBorders>
            <w:noWrap/>
            <w:vAlign w:val="center"/>
          </w:tcPr>
          <w:p w14:paraId="5AC38399">
            <w:pPr>
              <w:pStyle w:val="109"/>
              <w:rPr>
                <w:color w:val="000000" w:themeColor="text1"/>
                <w14:textFill>
                  <w14:solidFill>
                    <w14:schemeClr w14:val="tx1"/>
                  </w14:solidFill>
                </w14:textFill>
              </w:rPr>
            </w:pPr>
            <w:r>
              <w:rPr>
                <w:color w:val="000000" w:themeColor="text1"/>
                <w14:textFill>
                  <w14:solidFill>
                    <w14:schemeClr w14:val="tx1"/>
                  </w14:solidFill>
                </w14:textFill>
              </w:rPr>
              <w:t>NH₃∙</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w:t>
            </w:r>
          </w:p>
        </w:tc>
        <w:tc>
          <w:tcPr>
            <w:tcW w:w="652" w:type="pct"/>
            <w:tcBorders>
              <w:top w:val="nil"/>
              <w:left w:val="nil"/>
              <w:bottom w:val="single" w:color="auto" w:sz="4" w:space="0"/>
              <w:right w:val="single" w:color="auto" w:sz="4" w:space="0"/>
            </w:tcBorders>
            <w:noWrap/>
            <w:vAlign w:val="center"/>
          </w:tcPr>
          <w:p w14:paraId="199C7C9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氨水储罐</w:t>
            </w:r>
          </w:p>
        </w:tc>
        <w:tc>
          <w:tcPr>
            <w:tcW w:w="563" w:type="pct"/>
            <w:tcBorders>
              <w:top w:val="nil"/>
              <w:left w:val="nil"/>
              <w:bottom w:val="single" w:color="auto" w:sz="4" w:space="0"/>
              <w:right w:val="single" w:color="auto" w:sz="4" w:space="0"/>
            </w:tcBorders>
            <w:noWrap/>
            <w:vAlign w:val="center"/>
          </w:tcPr>
          <w:p w14:paraId="236592C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521" w:type="pct"/>
            <w:tcBorders>
              <w:top w:val="nil"/>
              <w:left w:val="nil"/>
              <w:bottom w:val="single" w:color="auto" w:sz="4" w:space="0"/>
              <w:right w:val="single" w:color="auto" w:sz="4" w:space="0"/>
            </w:tcBorders>
            <w:noWrap/>
            <w:vAlign w:val="center"/>
          </w:tcPr>
          <w:p w14:paraId="0ABD1D9D">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28</w:t>
            </w:r>
          </w:p>
        </w:tc>
        <w:tc>
          <w:tcPr>
            <w:tcW w:w="926" w:type="pct"/>
            <w:tcBorders>
              <w:top w:val="nil"/>
              <w:left w:val="nil"/>
              <w:bottom w:val="single" w:color="auto" w:sz="4" w:space="0"/>
              <w:right w:val="single" w:color="auto" w:sz="4" w:space="0"/>
            </w:tcBorders>
            <w:noWrap/>
            <w:vAlign w:val="center"/>
          </w:tcPr>
          <w:p w14:paraId="1425B56D">
            <w:pPr>
              <w:pStyle w:val="109"/>
              <w:rPr>
                <w:color w:val="000000" w:themeColor="text1"/>
                <w14:textFill>
                  <w14:solidFill>
                    <w14:schemeClr w14:val="tx1"/>
                  </w14:solidFill>
                </w14:textFill>
              </w:rPr>
            </w:pPr>
            <w:r>
              <w:rPr>
                <w:color w:val="000000" w:themeColor="text1"/>
                <w14:textFill>
                  <w14:solidFill>
                    <w14:schemeClr w14:val="tx1"/>
                  </w14:solidFill>
                </w14:textFill>
              </w:rPr>
              <w:t>公路</w:t>
            </w:r>
            <w:r>
              <w:rPr>
                <w:rFonts w:hint="eastAsia"/>
                <w:color w:val="000000" w:themeColor="text1"/>
                <w14:textFill>
                  <w14:solidFill>
                    <w14:schemeClr w14:val="tx1"/>
                  </w14:solidFill>
                </w14:textFill>
              </w:rPr>
              <w:t>罐车</w:t>
            </w:r>
            <w:r>
              <w:rPr>
                <w:color w:val="000000" w:themeColor="text1"/>
                <w14:textFill>
                  <w14:solidFill>
                    <w14:schemeClr w14:val="tx1"/>
                  </w14:solidFill>
                </w14:textFill>
              </w:rPr>
              <w:t>运输</w:t>
            </w:r>
          </w:p>
        </w:tc>
      </w:tr>
      <w:tr w14:paraId="4D973E7B">
        <w:tblPrEx>
          <w:tblCellMar>
            <w:top w:w="0" w:type="dxa"/>
            <w:left w:w="108" w:type="dxa"/>
            <w:bottom w:w="0" w:type="dxa"/>
            <w:right w:w="108" w:type="dxa"/>
          </w:tblCellMar>
        </w:tblPrEx>
        <w:tc>
          <w:tcPr>
            <w:tcW w:w="560" w:type="pct"/>
            <w:tcBorders>
              <w:top w:val="nil"/>
              <w:left w:val="single" w:color="auto" w:sz="4" w:space="0"/>
              <w:bottom w:val="single" w:color="auto" w:sz="4" w:space="0"/>
              <w:right w:val="single" w:color="auto" w:sz="4" w:space="0"/>
            </w:tcBorders>
            <w:noWrap/>
            <w:vAlign w:val="center"/>
          </w:tcPr>
          <w:p w14:paraId="4A99E6A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30%液碱</w:t>
            </w:r>
          </w:p>
        </w:tc>
        <w:tc>
          <w:tcPr>
            <w:tcW w:w="482" w:type="pct"/>
            <w:vMerge w:val="continue"/>
            <w:tcBorders>
              <w:left w:val="nil"/>
              <w:bottom w:val="single" w:color="auto" w:sz="4" w:space="0"/>
              <w:right w:val="single" w:color="auto" w:sz="4" w:space="0"/>
            </w:tcBorders>
            <w:noWrap/>
            <w:vAlign w:val="center"/>
          </w:tcPr>
          <w:p w14:paraId="0D31DFD9">
            <w:pPr>
              <w:pStyle w:val="109"/>
              <w:rPr>
                <w:color w:val="000000" w:themeColor="text1"/>
                <w14:textFill>
                  <w14:solidFill>
                    <w14:schemeClr w14:val="tx1"/>
                  </w14:solidFill>
                </w14:textFill>
              </w:rPr>
            </w:pPr>
          </w:p>
        </w:tc>
        <w:tc>
          <w:tcPr>
            <w:tcW w:w="363" w:type="pct"/>
            <w:tcBorders>
              <w:top w:val="nil"/>
              <w:left w:val="nil"/>
              <w:bottom w:val="single" w:color="auto" w:sz="4" w:space="0"/>
              <w:right w:val="single" w:color="auto" w:sz="4" w:space="0"/>
            </w:tcBorders>
            <w:noWrap/>
            <w:vAlign w:val="center"/>
          </w:tcPr>
          <w:p w14:paraId="4D65392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液体</w:t>
            </w:r>
          </w:p>
        </w:tc>
        <w:tc>
          <w:tcPr>
            <w:tcW w:w="932" w:type="pct"/>
            <w:tcBorders>
              <w:top w:val="nil"/>
              <w:left w:val="nil"/>
              <w:bottom w:val="single" w:color="auto" w:sz="4" w:space="0"/>
              <w:right w:val="single" w:color="auto" w:sz="4" w:space="0"/>
            </w:tcBorders>
            <w:noWrap/>
            <w:vAlign w:val="center"/>
          </w:tcPr>
          <w:p w14:paraId="3F4DBB1F">
            <w:pPr>
              <w:pStyle w:val="109"/>
              <w:rPr>
                <w:color w:val="000000" w:themeColor="text1"/>
                <w14:textFill>
                  <w14:solidFill>
                    <w14:schemeClr w14:val="tx1"/>
                  </w14:solidFill>
                </w14:textFill>
              </w:rPr>
            </w:pPr>
            <w:r>
              <w:rPr>
                <w:color w:val="000000" w:themeColor="text1"/>
                <w14:textFill>
                  <w14:solidFill>
                    <w14:schemeClr w14:val="tx1"/>
                  </w14:solidFill>
                </w14:textFill>
              </w:rPr>
              <w:t>NaOH</w:t>
            </w:r>
          </w:p>
        </w:tc>
        <w:tc>
          <w:tcPr>
            <w:tcW w:w="652" w:type="pct"/>
            <w:tcBorders>
              <w:top w:val="nil"/>
              <w:left w:val="nil"/>
              <w:bottom w:val="single" w:color="auto" w:sz="4" w:space="0"/>
              <w:right w:val="single" w:color="auto" w:sz="4" w:space="0"/>
            </w:tcBorders>
            <w:noWrap/>
            <w:vAlign w:val="center"/>
          </w:tcPr>
          <w:p w14:paraId="2410721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液碱储罐</w:t>
            </w:r>
          </w:p>
        </w:tc>
        <w:tc>
          <w:tcPr>
            <w:tcW w:w="563" w:type="pct"/>
            <w:tcBorders>
              <w:top w:val="nil"/>
              <w:left w:val="nil"/>
              <w:bottom w:val="single" w:color="auto" w:sz="4" w:space="0"/>
              <w:right w:val="single" w:color="auto" w:sz="4" w:space="0"/>
            </w:tcBorders>
            <w:noWrap/>
            <w:vAlign w:val="center"/>
          </w:tcPr>
          <w:p w14:paraId="25F50644">
            <w:pPr>
              <w:pStyle w:val="109"/>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0</w:t>
            </w:r>
          </w:p>
        </w:tc>
        <w:tc>
          <w:tcPr>
            <w:tcW w:w="521" w:type="pct"/>
            <w:tcBorders>
              <w:top w:val="nil"/>
              <w:left w:val="nil"/>
              <w:bottom w:val="single" w:color="auto" w:sz="4" w:space="0"/>
              <w:right w:val="single" w:color="auto" w:sz="4" w:space="0"/>
            </w:tcBorders>
            <w:noWrap/>
            <w:vAlign w:val="center"/>
          </w:tcPr>
          <w:p w14:paraId="43FE1D7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p>
        </w:tc>
        <w:tc>
          <w:tcPr>
            <w:tcW w:w="926" w:type="pct"/>
            <w:tcBorders>
              <w:top w:val="nil"/>
              <w:left w:val="nil"/>
              <w:bottom w:val="single" w:color="auto" w:sz="4" w:space="0"/>
              <w:right w:val="single" w:color="auto" w:sz="4" w:space="0"/>
            </w:tcBorders>
            <w:noWrap/>
            <w:vAlign w:val="center"/>
          </w:tcPr>
          <w:p w14:paraId="06BE4CDC">
            <w:pPr>
              <w:pStyle w:val="109"/>
              <w:rPr>
                <w:color w:val="000000" w:themeColor="text1"/>
                <w14:textFill>
                  <w14:solidFill>
                    <w14:schemeClr w14:val="tx1"/>
                  </w14:solidFill>
                </w14:textFill>
              </w:rPr>
            </w:pPr>
            <w:r>
              <w:rPr>
                <w:color w:val="000000" w:themeColor="text1"/>
                <w14:textFill>
                  <w14:solidFill>
                    <w14:schemeClr w14:val="tx1"/>
                  </w14:solidFill>
                </w14:textFill>
              </w:rPr>
              <w:t>公路</w:t>
            </w:r>
            <w:r>
              <w:rPr>
                <w:rFonts w:hint="eastAsia"/>
                <w:color w:val="000000" w:themeColor="text1"/>
                <w14:textFill>
                  <w14:solidFill>
                    <w14:schemeClr w14:val="tx1"/>
                  </w14:solidFill>
                </w14:textFill>
              </w:rPr>
              <w:t>罐车</w:t>
            </w:r>
            <w:r>
              <w:rPr>
                <w:color w:val="000000" w:themeColor="text1"/>
                <w14:textFill>
                  <w14:solidFill>
                    <w14:schemeClr w14:val="tx1"/>
                  </w14:solidFill>
                </w14:textFill>
              </w:rPr>
              <w:t>运输</w:t>
            </w:r>
          </w:p>
        </w:tc>
      </w:tr>
    </w:tbl>
    <w:p w14:paraId="3E44D51E">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本项目具体运输量汇总见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71B0B0F8">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主要物料</w:t>
      </w:r>
      <w:r>
        <w:rPr>
          <w:color w:val="000000" w:themeColor="text1"/>
          <w14:textFill>
            <w14:solidFill>
              <w14:schemeClr w14:val="tx1"/>
            </w14:solidFill>
          </w14:textFill>
        </w:rPr>
        <w:t>道路运输量汇总表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791"/>
        <w:gridCol w:w="1652"/>
        <w:gridCol w:w="2128"/>
        <w:gridCol w:w="1902"/>
      </w:tblGrid>
      <w:tr w14:paraId="37D0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Align w:val="center"/>
          </w:tcPr>
          <w:p w14:paraId="71CBFE3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流向</w:t>
            </w:r>
          </w:p>
        </w:tc>
        <w:tc>
          <w:tcPr>
            <w:tcW w:w="930" w:type="pct"/>
            <w:vAlign w:val="center"/>
          </w:tcPr>
          <w:p w14:paraId="39E45F8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858" w:type="pct"/>
            <w:vAlign w:val="center"/>
          </w:tcPr>
          <w:p w14:paraId="0932302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货物名称</w:t>
            </w:r>
          </w:p>
        </w:tc>
        <w:tc>
          <w:tcPr>
            <w:tcW w:w="1105" w:type="pct"/>
            <w:vAlign w:val="center"/>
          </w:tcPr>
          <w:p w14:paraId="656D83F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运输量</w:t>
            </w:r>
            <w:r>
              <w:rPr>
                <w:color w:val="000000" w:themeColor="text1"/>
                <w14:textFill>
                  <w14:solidFill>
                    <w14:schemeClr w14:val="tx1"/>
                  </w14:solidFill>
                </w14:textFill>
              </w:rPr>
              <w:t>t/a</w:t>
            </w:r>
          </w:p>
        </w:tc>
        <w:tc>
          <w:tcPr>
            <w:tcW w:w="988" w:type="pct"/>
            <w:vAlign w:val="center"/>
          </w:tcPr>
          <w:p w14:paraId="356D292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运输方式</w:t>
            </w:r>
          </w:p>
        </w:tc>
      </w:tr>
      <w:tr w14:paraId="0060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Merge w:val="restart"/>
            <w:vAlign w:val="center"/>
          </w:tcPr>
          <w:p w14:paraId="4FDABA0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运入</w:t>
            </w:r>
          </w:p>
        </w:tc>
        <w:tc>
          <w:tcPr>
            <w:tcW w:w="930" w:type="pct"/>
            <w:vAlign w:val="center"/>
          </w:tcPr>
          <w:p w14:paraId="151E9B1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w:t>
            </w:r>
          </w:p>
        </w:tc>
        <w:tc>
          <w:tcPr>
            <w:tcW w:w="858" w:type="pct"/>
            <w:vAlign w:val="center"/>
          </w:tcPr>
          <w:p w14:paraId="5231B72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w:t>
            </w:r>
          </w:p>
        </w:tc>
        <w:tc>
          <w:tcPr>
            <w:tcW w:w="1105" w:type="pct"/>
            <w:vAlign w:val="center"/>
          </w:tcPr>
          <w:p w14:paraId="584CF4B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50000</w:t>
            </w:r>
          </w:p>
        </w:tc>
        <w:tc>
          <w:tcPr>
            <w:tcW w:w="988" w:type="pct"/>
            <w:vAlign w:val="center"/>
          </w:tcPr>
          <w:p w14:paraId="1B53FEB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道路</w:t>
            </w:r>
          </w:p>
        </w:tc>
      </w:tr>
      <w:tr w14:paraId="32AD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Merge w:val="continue"/>
            <w:vAlign w:val="center"/>
          </w:tcPr>
          <w:p w14:paraId="18E89904">
            <w:pPr>
              <w:pStyle w:val="109"/>
              <w:rPr>
                <w:color w:val="000000" w:themeColor="text1"/>
                <w14:textFill>
                  <w14:solidFill>
                    <w14:schemeClr w14:val="tx1"/>
                  </w14:solidFill>
                </w14:textFill>
              </w:rPr>
            </w:pPr>
          </w:p>
        </w:tc>
        <w:tc>
          <w:tcPr>
            <w:tcW w:w="930" w:type="pct"/>
            <w:vAlign w:val="center"/>
          </w:tcPr>
          <w:p w14:paraId="2E42E1B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p>
        </w:tc>
        <w:tc>
          <w:tcPr>
            <w:tcW w:w="858" w:type="pct"/>
            <w:vAlign w:val="center"/>
          </w:tcPr>
          <w:p w14:paraId="56D9A7E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w:t>
            </w:r>
            <w:r>
              <w:rPr>
                <w:rFonts w:hint="eastAsia"/>
                <w:color w:val="000000" w:themeColor="text1"/>
                <w14:textFill>
                  <w14:solidFill>
                    <w14:schemeClr w14:val="tx1"/>
                  </w14:solidFill>
                </w14:textFill>
              </w:rPr>
              <w:t>氨水</w:t>
            </w:r>
          </w:p>
        </w:tc>
        <w:tc>
          <w:tcPr>
            <w:tcW w:w="1105" w:type="pct"/>
            <w:vAlign w:val="center"/>
          </w:tcPr>
          <w:p w14:paraId="770A9849">
            <w:pPr>
              <w:pStyle w:val="109"/>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36</w:t>
            </w:r>
            <w:r>
              <w:rPr>
                <w:rFonts w:eastAsia="等线"/>
                <w:color w:val="000000" w:themeColor="text1"/>
                <w14:textFill>
                  <w14:solidFill>
                    <w14:schemeClr w14:val="tx1"/>
                  </w14:solidFill>
                </w14:textFill>
              </w:rPr>
              <w:t>0</w:t>
            </w:r>
          </w:p>
        </w:tc>
        <w:tc>
          <w:tcPr>
            <w:tcW w:w="988" w:type="pct"/>
            <w:vAlign w:val="center"/>
          </w:tcPr>
          <w:p w14:paraId="6C812D2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道路</w:t>
            </w:r>
          </w:p>
        </w:tc>
      </w:tr>
      <w:tr w14:paraId="24C6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Merge w:val="continue"/>
            <w:vAlign w:val="center"/>
          </w:tcPr>
          <w:p w14:paraId="4B95427E">
            <w:pPr>
              <w:pStyle w:val="109"/>
              <w:rPr>
                <w:color w:val="000000" w:themeColor="text1"/>
                <w14:textFill>
                  <w14:solidFill>
                    <w14:schemeClr w14:val="tx1"/>
                  </w14:solidFill>
                </w14:textFill>
              </w:rPr>
            </w:pPr>
          </w:p>
        </w:tc>
        <w:tc>
          <w:tcPr>
            <w:tcW w:w="930" w:type="pct"/>
            <w:vAlign w:val="center"/>
          </w:tcPr>
          <w:p w14:paraId="3824BED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858" w:type="pct"/>
            <w:vAlign w:val="center"/>
          </w:tcPr>
          <w:p w14:paraId="74B9A9C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30%</w:t>
            </w:r>
            <w:r>
              <w:rPr>
                <w:rFonts w:hint="eastAsia"/>
                <w:color w:val="000000" w:themeColor="text1"/>
                <w14:textFill>
                  <w14:solidFill>
                    <w14:schemeClr w14:val="tx1"/>
                  </w14:solidFill>
                </w14:textFill>
              </w:rPr>
              <w:t>液碱</w:t>
            </w:r>
          </w:p>
        </w:tc>
        <w:tc>
          <w:tcPr>
            <w:tcW w:w="1105" w:type="pct"/>
            <w:vAlign w:val="center"/>
          </w:tcPr>
          <w:p w14:paraId="11B3EEB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2378.4</w:t>
            </w:r>
          </w:p>
        </w:tc>
        <w:tc>
          <w:tcPr>
            <w:tcW w:w="988" w:type="pct"/>
            <w:vAlign w:val="center"/>
          </w:tcPr>
          <w:p w14:paraId="3ED8F89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道路</w:t>
            </w:r>
          </w:p>
        </w:tc>
      </w:tr>
      <w:tr w14:paraId="16FA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Merge w:val="continue"/>
            <w:vAlign w:val="center"/>
          </w:tcPr>
          <w:p w14:paraId="638F88D8">
            <w:pPr>
              <w:pStyle w:val="109"/>
              <w:rPr>
                <w:color w:val="000000" w:themeColor="text1"/>
                <w14:textFill>
                  <w14:solidFill>
                    <w14:schemeClr w14:val="tx1"/>
                  </w14:solidFill>
                </w14:textFill>
              </w:rPr>
            </w:pPr>
          </w:p>
        </w:tc>
        <w:tc>
          <w:tcPr>
            <w:tcW w:w="1788" w:type="pct"/>
            <w:gridSpan w:val="2"/>
            <w:vAlign w:val="center"/>
          </w:tcPr>
          <w:p w14:paraId="1481A79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小计</w:t>
            </w:r>
          </w:p>
        </w:tc>
        <w:tc>
          <w:tcPr>
            <w:tcW w:w="1105" w:type="pct"/>
            <w:vAlign w:val="center"/>
          </w:tcPr>
          <w:p w14:paraId="4D069BD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52</w:t>
            </w:r>
            <w:r>
              <w:rPr>
                <w:rFonts w:hint="eastAsia" w:eastAsia="等线"/>
                <w:color w:val="000000" w:themeColor="text1"/>
                <w14:textFill>
                  <w14:solidFill>
                    <w14:schemeClr w14:val="tx1"/>
                  </w14:solidFill>
                </w14:textFill>
              </w:rPr>
              <w:t>73</w:t>
            </w:r>
            <w:r>
              <w:rPr>
                <w:rFonts w:eastAsia="等线"/>
                <w:color w:val="000000" w:themeColor="text1"/>
                <w14:textFill>
                  <w14:solidFill>
                    <w14:schemeClr w14:val="tx1"/>
                  </w14:solidFill>
                </w14:textFill>
              </w:rPr>
              <w:t>8.4</w:t>
            </w:r>
          </w:p>
        </w:tc>
        <w:tc>
          <w:tcPr>
            <w:tcW w:w="988" w:type="pct"/>
            <w:vAlign w:val="center"/>
          </w:tcPr>
          <w:p w14:paraId="1194DD4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r>
      <w:tr w14:paraId="5112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Merge w:val="restart"/>
            <w:vAlign w:val="center"/>
          </w:tcPr>
          <w:p w14:paraId="21F992F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运出</w:t>
            </w:r>
          </w:p>
        </w:tc>
        <w:tc>
          <w:tcPr>
            <w:tcW w:w="930" w:type="pct"/>
            <w:vAlign w:val="center"/>
          </w:tcPr>
          <w:p w14:paraId="7E88BC10">
            <w:pPr>
              <w:pStyle w:val="109"/>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1</w:t>
            </w:r>
            <w:r>
              <w:rPr>
                <w:rFonts w:eastAsia="等线"/>
                <w:color w:val="000000" w:themeColor="text1"/>
                <w14:textFill>
                  <w14:solidFill>
                    <w14:schemeClr w14:val="tx1"/>
                  </w14:solidFill>
                </w14:textFill>
              </w:rPr>
              <w:t>　</w:t>
            </w:r>
          </w:p>
        </w:tc>
        <w:tc>
          <w:tcPr>
            <w:tcW w:w="858" w:type="pct"/>
            <w:vAlign w:val="center"/>
          </w:tcPr>
          <w:p w14:paraId="5EA3AEF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融雪剂</w:t>
            </w:r>
          </w:p>
        </w:tc>
        <w:tc>
          <w:tcPr>
            <w:tcW w:w="1105" w:type="pct"/>
            <w:vAlign w:val="center"/>
          </w:tcPr>
          <w:p w14:paraId="487B3A9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46</w:t>
            </w:r>
            <w:r>
              <w:rPr>
                <w:rFonts w:hint="eastAsia" w:eastAsia="等线"/>
                <w:color w:val="000000" w:themeColor="text1"/>
                <w14:textFill>
                  <w14:solidFill>
                    <w14:schemeClr w14:val="tx1"/>
                  </w14:solidFill>
                </w14:textFill>
              </w:rPr>
              <w:t>00</w:t>
            </w:r>
            <w:r>
              <w:rPr>
                <w:rFonts w:eastAsia="等线"/>
                <w:color w:val="000000" w:themeColor="text1"/>
                <w14:textFill>
                  <w14:solidFill>
                    <w14:schemeClr w14:val="tx1"/>
                  </w14:solidFill>
                </w14:textFill>
              </w:rPr>
              <w:t>0</w:t>
            </w:r>
          </w:p>
        </w:tc>
        <w:tc>
          <w:tcPr>
            <w:tcW w:w="988" w:type="pct"/>
            <w:vAlign w:val="center"/>
          </w:tcPr>
          <w:p w14:paraId="3A83103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道路</w:t>
            </w:r>
          </w:p>
        </w:tc>
      </w:tr>
      <w:tr w14:paraId="1573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Merge w:val="continue"/>
            <w:vAlign w:val="center"/>
          </w:tcPr>
          <w:p w14:paraId="59EE623D">
            <w:pPr>
              <w:pStyle w:val="109"/>
              <w:rPr>
                <w:color w:val="000000" w:themeColor="text1"/>
                <w14:textFill>
                  <w14:solidFill>
                    <w14:schemeClr w14:val="tx1"/>
                  </w14:solidFill>
                </w14:textFill>
              </w:rPr>
            </w:pPr>
          </w:p>
        </w:tc>
        <w:tc>
          <w:tcPr>
            <w:tcW w:w="930" w:type="pct"/>
            <w:vAlign w:val="center"/>
          </w:tcPr>
          <w:p w14:paraId="293BAA4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p>
        </w:tc>
        <w:tc>
          <w:tcPr>
            <w:tcW w:w="858" w:type="pct"/>
            <w:vAlign w:val="center"/>
          </w:tcPr>
          <w:p w14:paraId="71006A1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1105" w:type="pct"/>
            <w:vAlign w:val="center"/>
          </w:tcPr>
          <w:p w14:paraId="37F3D23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1448.6</w:t>
            </w:r>
          </w:p>
        </w:tc>
        <w:tc>
          <w:tcPr>
            <w:tcW w:w="988" w:type="pct"/>
            <w:vAlign w:val="center"/>
          </w:tcPr>
          <w:p w14:paraId="1FD3A52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道路</w:t>
            </w:r>
          </w:p>
        </w:tc>
      </w:tr>
      <w:tr w14:paraId="3F5D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Merge w:val="continue"/>
            <w:vAlign w:val="center"/>
          </w:tcPr>
          <w:p w14:paraId="0CE5DC12">
            <w:pPr>
              <w:pStyle w:val="109"/>
              <w:rPr>
                <w:color w:val="000000" w:themeColor="text1"/>
                <w14:textFill>
                  <w14:solidFill>
                    <w14:schemeClr w14:val="tx1"/>
                  </w14:solidFill>
                </w14:textFill>
              </w:rPr>
            </w:pPr>
          </w:p>
        </w:tc>
        <w:tc>
          <w:tcPr>
            <w:tcW w:w="930" w:type="pct"/>
            <w:vAlign w:val="center"/>
          </w:tcPr>
          <w:p w14:paraId="6938562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858" w:type="pct"/>
            <w:vAlign w:val="center"/>
          </w:tcPr>
          <w:p w14:paraId="314D4E0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1105" w:type="pct"/>
            <w:vAlign w:val="center"/>
          </w:tcPr>
          <w:p w14:paraId="7DB6A5F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4.5</w:t>
            </w:r>
          </w:p>
        </w:tc>
        <w:tc>
          <w:tcPr>
            <w:tcW w:w="988" w:type="pct"/>
            <w:vAlign w:val="center"/>
          </w:tcPr>
          <w:p w14:paraId="630B30D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道路</w:t>
            </w:r>
          </w:p>
        </w:tc>
      </w:tr>
      <w:tr w14:paraId="5762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vMerge w:val="continue"/>
            <w:vAlign w:val="center"/>
          </w:tcPr>
          <w:p w14:paraId="736E126E">
            <w:pPr>
              <w:pStyle w:val="109"/>
              <w:rPr>
                <w:color w:val="000000" w:themeColor="text1"/>
                <w14:textFill>
                  <w14:solidFill>
                    <w14:schemeClr w14:val="tx1"/>
                  </w14:solidFill>
                </w14:textFill>
              </w:rPr>
            </w:pPr>
          </w:p>
        </w:tc>
        <w:tc>
          <w:tcPr>
            <w:tcW w:w="1788" w:type="pct"/>
            <w:gridSpan w:val="2"/>
            <w:vAlign w:val="center"/>
          </w:tcPr>
          <w:p w14:paraId="60C5FD0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小计</w:t>
            </w:r>
          </w:p>
        </w:tc>
        <w:tc>
          <w:tcPr>
            <w:tcW w:w="1105" w:type="pct"/>
            <w:vAlign w:val="center"/>
          </w:tcPr>
          <w:p w14:paraId="26889AC9">
            <w:pPr>
              <w:widowControl/>
              <w:autoSpaceDE/>
              <w:autoSpaceDN/>
              <w:spacing w:line="240" w:lineRule="auto"/>
              <w:ind w:firstLine="0" w:firstLineChars="0"/>
              <w:jc w:val="center"/>
              <w:rPr>
                <w:rFonts w:eastAsia="等线"/>
                <w:color w:val="000000" w:themeColor="text1"/>
                <w14:textFill>
                  <w14:solidFill>
                    <w14:schemeClr w14:val="tx1"/>
                  </w14:solidFill>
                </w14:textFill>
              </w:rPr>
            </w:pPr>
            <w:r>
              <w:rPr>
                <w:rFonts w:eastAsia="等线"/>
                <w:color w:val="000000" w:themeColor="text1"/>
                <w:sz w:val="21"/>
                <w:szCs w:val="21"/>
                <w14:textFill>
                  <w14:solidFill>
                    <w14:schemeClr w14:val="tx1"/>
                  </w14:solidFill>
                </w14:textFill>
              </w:rPr>
              <w:t>47453.1</w:t>
            </w:r>
          </w:p>
        </w:tc>
        <w:tc>
          <w:tcPr>
            <w:tcW w:w="988" w:type="pct"/>
            <w:vAlign w:val="center"/>
          </w:tcPr>
          <w:p w14:paraId="61A6CF0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r>
              <w:rPr>
                <w:rFonts w:hint="eastAsia"/>
                <w:color w:val="000000" w:themeColor="text1"/>
                <w14:textFill>
                  <w14:solidFill>
                    <w14:schemeClr w14:val="tx1"/>
                  </w14:solidFill>
                </w14:textFill>
              </w:rPr>
              <w:t>　</w:t>
            </w:r>
          </w:p>
        </w:tc>
      </w:tr>
      <w:tr w14:paraId="6AB4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7" w:type="pct"/>
            <w:gridSpan w:val="3"/>
            <w:vAlign w:val="center"/>
          </w:tcPr>
          <w:p w14:paraId="735FEA2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105" w:type="pct"/>
            <w:vAlign w:val="center"/>
          </w:tcPr>
          <w:p w14:paraId="41A776A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w:t>
            </w:r>
          </w:p>
        </w:tc>
        <w:tc>
          <w:tcPr>
            <w:tcW w:w="988" w:type="pct"/>
            <w:vAlign w:val="center"/>
          </w:tcPr>
          <w:p w14:paraId="5080727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r>
              <w:rPr>
                <w:rFonts w:hint="eastAsia"/>
                <w:color w:val="000000" w:themeColor="text1"/>
                <w14:textFill>
                  <w14:solidFill>
                    <w14:schemeClr w14:val="tx1"/>
                  </w14:solidFill>
                </w14:textFill>
              </w:rPr>
              <w:t>　</w:t>
            </w:r>
          </w:p>
        </w:tc>
      </w:tr>
    </w:tbl>
    <w:p w14:paraId="71E00D98">
      <w:pPr>
        <w:pStyle w:val="3"/>
        <w:rPr>
          <w:rFonts w:ascii="Times New Roman" w:cs="Times New Roman"/>
          <w:color w:val="000000" w:themeColor="text1"/>
          <w14:textFill>
            <w14:solidFill>
              <w14:schemeClr w14:val="tx1"/>
            </w14:solidFill>
          </w14:textFill>
        </w:rPr>
      </w:pPr>
      <w:bookmarkStart w:id="253" w:name="_Toc471982394"/>
      <w:bookmarkStart w:id="254" w:name="_Toc225268302"/>
      <w:r>
        <w:rPr>
          <w:rFonts w:ascii="Times New Roman" w:cs="Times New Roman"/>
          <w:color w:val="000000" w:themeColor="text1"/>
          <w14:textFill>
            <w14:solidFill>
              <w14:schemeClr w14:val="tx1"/>
            </w14:solidFill>
          </w14:textFill>
        </w:rPr>
        <w:t>工艺</w:t>
      </w:r>
      <w:bookmarkEnd w:id="253"/>
      <w:r>
        <w:rPr>
          <w:rFonts w:ascii="Times New Roman" w:cs="Times New Roman"/>
          <w:color w:val="000000" w:themeColor="text1"/>
          <w14:textFill>
            <w14:solidFill>
              <w14:schemeClr w14:val="tx1"/>
            </w14:solidFill>
          </w14:textFill>
        </w:rPr>
        <w:t>流程及产污环节分析</w:t>
      </w:r>
      <w:bookmarkEnd w:id="254"/>
    </w:p>
    <w:p w14:paraId="1212A8E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本项目工艺流程主要包含三部分：1、危险废物的收集储存；2、废盐的热解处置；3、融雪剂的生产。</w:t>
      </w:r>
    </w:p>
    <w:p w14:paraId="3B76766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储运工程建设内容包括危险废物收集、运输、储存，产品储存及运输等，危险废物收运严格执行危险废物申报制度、转移联单制度和许可证制度。本项目所涉及的废物收集运输储存系统流程如下：废物产生源暂存（不属于本项目评价内容）→收集→装车及安全检查→按即定路线行驶→到达危险废物处理单位接收→卸车→暂存。</w:t>
      </w:r>
    </w:p>
    <w:p w14:paraId="05F6707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危险废物的收集储存</w:t>
      </w:r>
    </w:p>
    <w:p w14:paraId="4AA8524F">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危险废物的收集</w:t>
      </w:r>
    </w:p>
    <w:p w14:paraId="366A903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收集的主要对象立足乌鲁木齐市服务于整个新疆维吾尔自治区工业企业产生的废盐。根据《危险废物贮存污染控制标准》（GB18597-2023）、《危险废物收集、贮存、运输技术规范》(HJ2025-2012)，各产废企业将在本项目技术人员的指导下按要求收集、贮存废盐。废盐包装拟采用双层防渗漏吨包，具有高分子内衬，耐酸耐碱、抗腐蚀、不易破裂。部分包装袋由产废单位自备，部分由建设单位提供。包装袋上应设置标签，详细标明危险废物的名称、重量、成分、特性以及发生泄漏、扩散污染事故时的应急措施和补救方法。废盐需存放于规定的场所，并严格执行暂存保管措施，由专人负责看管。废盐废包装材料作为危险废物委外处置。</w:t>
      </w:r>
    </w:p>
    <w:p w14:paraId="312A8C6E">
      <w:pPr>
        <w:ind w:firstLine="480"/>
        <w:rPr>
          <w:color w:val="000000" w:themeColor="text1"/>
          <w14:textFill>
            <w14:solidFill>
              <w14:schemeClr w14:val="tx1"/>
            </w14:solidFill>
          </w14:textFill>
        </w:rPr>
      </w:pPr>
      <w:r>
        <w:rPr>
          <w:color w:val="000000" w:themeColor="text1"/>
          <w14:textFill>
            <w14:solidFill>
              <w14:schemeClr w14:val="tx1"/>
            </w14:solidFill>
          </w14:textFill>
        </w:rPr>
        <w:t>按照《危险废物收集 贮存 运输技术规范》（HJ2025-2012)，危险废物收集时应根据危险废物的种类、数量、危险特性、物理形态、运输要求等因素确定包装形式。危险废物收集要满足以下要求：</w:t>
      </w:r>
    </w:p>
    <w:p w14:paraId="485A2FA0">
      <w:pPr>
        <w:ind w:firstLine="480"/>
        <w:rPr>
          <w:color w:val="000000" w:themeColor="text1"/>
          <w14:textFill>
            <w14:solidFill>
              <w14:schemeClr w14:val="tx1"/>
            </w14:solidFill>
          </w14:textFill>
        </w:rPr>
      </w:pPr>
      <w:r>
        <w:rPr>
          <w:color w:val="000000" w:themeColor="text1"/>
          <w14:textFill>
            <w14:solidFill>
              <w14:schemeClr w14:val="tx1"/>
            </w14:solidFill>
          </w14:textFill>
        </w:rPr>
        <w:t>（1）应根据收集设备、转运车辆以及现场人员等实际情况确定相应作业区域，同时要求设置作业界限标志和警示牌。</w:t>
      </w:r>
    </w:p>
    <w:p w14:paraId="46E1FAE5">
      <w:pPr>
        <w:ind w:firstLine="480"/>
        <w:rPr>
          <w:color w:val="000000" w:themeColor="text1"/>
          <w14:textFill>
            <w14:solidFill>
              <w14:schemeClr w14:val="tx1"/>
            </w14:solidFill>
          </w14:textFill>
        </w:rPr>
      </w:pPr>
      <w:r>
        <w:rPr>
          <w:color w:val="000000" w:themeColor="text1"/>
          <w14:textFill>
            <w14:solidFill>
              <w14:schemeClr w14:val="tx1"/>
            </w14:solidFill>
          </w14:textFill>
        </w:rPr>
        <w:t>（2）作业区域内应设置危险废物收集专用通道和人员避险通道。</w:t>
      </w:r>
    </w:p>
    <w:p w14:paraId="66630100">
      <w:pPr>
        <w:ind w:firstLine="480"/>
        <w:rPr>
          <w:color w:val="000000" w:themeColor="text1"/>
          <w14:textFill>
            <w14:solidFill>
              <w14:schemeClr w14:val="tx1"/>
            </w14:solidFill>
          </w14:textFill>
        </w:rPr>
      </w:pPr>
      <w:r>
        <w:rPr>
          <w:color w:val="000000" w:themeColor="text1"/>
          <w14:textFill>
            <w14:solidFill>
              <w14:schemeClr w14:val="tx1"/>
            </w14:solidFill>
          </w14:textFill>
        </w:rPr>
        <w:t>（3）收集时应配备必要的收集工具和包装物，以及必要的应急监测设备及应急装备。</w:t>
      </w:r>
    </w:p>
    <w:p w14:paraId="7F2A46B8">
      <w:pPr>
        <w:ind w:firstLine="480"/>
        <w:rPr>
          <w:color w:val="000000" w:themeColor="text1"/>
          <w14:textFill>
            <w14:solidFill>
              <w14:schemeClr w14:val="tx1"/>
            </w14:solidFill>
          </w14:textFill>
        </w:rPr>
      </w:pPr>
      <w:r>
        <w:rPr>
          <w:color w:val="000000" w:themeColor="text1"/>
          <w14:textFill>
            <w14:solidFill>
              <w14:schemeClr w14:val="tx1"/>
            </w14:solidFill>
          </w14:textFill>
        </w:rPr>
        <w:t>（4）危险废物收集要将记录表作为危险废物管理的重要档案妥善保存。</w:t>
      </w:r>
    </w:p>
    <w:p w14:paraId="13E80C5D">
      <w:pPr>
        <w:ind w:firstLine="480"/>
        <w:rPr>
          <w:color w:val="000000" w:themeColor="text1"/>
          <w14:textFill>
            <w14:solidFill>
              <w14:schemeClr w14:val="tx1"/>
            </w14:solidFill>
          </w14:textFill>
        </w:rPr>
      </w:pPr>
      <w:r>
        <w:rPr>
          <w:color w:val="000000" w:themeColor="text1"/>
          <w14:textFill>
            <w14:solidFill>
              <w14:schemeClr w14:val="tx1"/>
            </w14:solidFill>
          </w14:textFill>
        </w:rPr>
        <w:t>（5）收集结束后应清理和恢复作业区域，确保作业区域环境整洁安全。</w:t>
      </w:r>
    </w:p>
    <w:p w14:paraId="482F07A7">
      <w:pPr>
        <w:ind w:firstLine="480"/>
        <w:rPr>
          <w:color w:val="000000" w:themeColor="text1"/>
          <w14:textFill>
            <w14:solidFill>
              <w14:schemeClr w14:val="tx1"/>
            </w14:solidFill>
          </w14:textFill>
        </w:rPr>
      </w:pPr>
      <w:r>
        <w:rPr>
          <w:color w:val="000000" w:themeColor="text1"/>
          <w14:textFill>
            <w14:solidFill>
              <w14:schemeClr w14:val="tx1"/>
            </w14:solidFill>
          </w14:textFill>
        </w:rPr>
        <w:t>（6）收集过危险废物的容器、设备、设施、场所及其它物品转作它用时，应消除污染，确保其使用安全。</w:t>
      </w:r>
    </w:p>
    <w:p w14:paraId="4F457087">
      <w:pPr>
        <w:ind w:firstLine="480"/>
        <w:rPr>
          <w:color w:val="000000" w:themeColor="text1"/>
          <w14:textFill>
            <w14:solidFill>
              <w14:schemeClr w14:val="tx1"/>
            </w14:solidFill>
          </w14:textFill>
        </w:rPr>
      </w:pPr>
      <w:r>
        <w:rPr>
          <w:color w:val="000000" w:themeColor="text1"/>
          <w14:textFill>
            <w14:solidFill>
              <w14:schemeClr w14:val="tx1"/>
            </w14:solidFill>
          </w14:textFill>
        </w:rPr>
        <w:t>在危险废物收集和转运过程中，应采取相应的安全防护和污染防治措施，包括防爆、防火、防中毒、防污染、防泄漏、防飞扬、防雨或其他防止污染环境的措施。由于废盐的有毒有害性，为避免含有的挥发性废气在装卸、运输过程的再次释放出来，本项目采用全密封双层覆膜吨袋进行包装。</w:t>
      </w:r>
    </w:p>
    <w:p w14:paraId="35FAC33C">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建设单位在与废盐产生单位签订合同前，需对产生单位产生的废盐进行取样分析，符合接收标准时方可签订处置合同。</w:t>
      </w:r>
    </w:p>
    <w:p w14:paraId="7020A69E">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危险废物运输</w:t>
      </w:r>
    </w:p>
    <w:p w14:paraId="32BD7E33">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一、厂外运输</w:t>
      </w:r>
    </w:p>
    <w:p w14:paraId="2FA4E2B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拟收集处理的废盐部分属于危险废物，拟委托具有危废运输资质的车辆承运，转移过程须满足《危险废物转移管理办法》《危险废物收集贮存运输技术规范》（HJ2025-2012）的相关要求执行，并严格遵守《中华人民共和国固体废物污染环境防治法》《饮用水源水质保护条例》等相关规定。运输前需要检查覆膜吨袋是否全密封，整体是否有挥发、溢出、渗漏的可能性，在确保包装正确，标签正确填写及收取《危险废物转移联单》后方装车开始运输。</w:t>
      </w:r>
    </w:p>
    <w:p w14:paraId="639ABFA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所收集的危险废物范围立足于乌鲁木齐市，服务对象为新疆维吾尔自治区内产废企业，由于省内公路交通发达，收集范围内的危险废物均可一日运输到达，不需要运输途中停留。因此，本项目收集范围内的危险废物的收运将不设中转站临时贮存，避免危险废物在中转站卸载和装载时发生二次污染的风险，及时地由危险废物的产生地直接运送到本项目厂区。</w:t>
      </w:r>
    </w:p>
    <w:p w14:paraId="58054E06">
      <w:pPr>
        <w:ind w:firstLine="480"/>
        <w:rPr>
          <w:color w:val="000000" w:themeColor="text1"/>
          <w14:textFill>
            <w14:solidFill>
              <w14:schemeClr w14:val="tx1"/>
            </w14:solidFill>
          </w14:textFill>
        </w:rPr>
      </w:pPr>
      <w:r>
        <w:rPr>
          <w:color w:val="000000" w:themeColor="text1"/>
          <w14:textFill>
            <w14:solidFill>
              <w14:schemeClr w14:val="tx1"/>
            </w14:solidFill>
          </w14:textFill>
        </w:rPr>
        <w:t>本评价要求驾驶员、操作工均须持有“危险品运输资格证”，具有专业知识及处理突发事故的能力。运输、搬运过程采取专人专车并做到轻拿轻放，保证货物不倾泄、翻出。具体措施有：</w:t>
      </w:r>
    </w:p>
    <w:p w14:paraId="5E8F29E0">
      <w:pPr>
        <w:ind w:firstLine="480"/>
        <w:rPr>
          <w:color w:val="000000" w:themeColor="text1"/>
          <w14:textFill>
            <w14:solidFill>
              <w14:schemeClr w14:val="tx1"/>
            </w14:solidFill>
          </w14:textFill>
        </w:rPr>
      </w:pPr>
      <w:r>
        <w:rPr>
          <w:color w:val="000000" w:themeColor="text1"/>
          <w14:textFill>
            <w14:solidFill>
              <w14:schemeClr w14:val="tx1"/>
            </w14:solidFill>
          </w14:textFill>
        </w:rPr>
        <w:t>（1）用于危险废物的运输工具，由专业生产企业定点生产，并经检测、检验合格后才予以使用。</w:t>
      </w:r>
    </w:p>
    <w:p w14:paraId="35464D38">
      <w:pPr>
        <w:ind w:firstLine="480"/>
        <w:rPr>
          <w:color w:val="000000" w:themeColor="text1"/>
          <w14:textFill>
            <w14:solidFill>
              <w14:schemeClr w14:val="tx1"/>
            </w14:solidFill>
          </w14:textFill>
        </w:rPr>
      </w:pPr>
      <w:r>
        <w:rPr>
          <w:color w:val="000000" w:themeColor="text1"/>
          <w14:textFill>
            <w14:solidFill>
              <w14:schemeClr w14:val="tx1"/>
            </w14:solidFill>
          </w14:textFill>
        </w:rPr>
        <w:t>（2）每辆危险废物运输车辆均指定负责人，对运输过程负责，从事危险废物运输的司机、押运员、装卸工等人员都经过危险品道路运输资格培训并通过考核，持证上岗。</w:t>
      </w:r>
    </w:p>
    <w:p w14:paraId="650D24D3">
      <w:pPr>
        <w:ind w:firstLine="480"/>
        <w:rPr>
          <w:color w:val="000000" w:themeColor="text1"/>
          <w14:textFill>
            <w14:solidFill>
              <w14:schemeClr w14:val="tx1"/>
            </w14:solidFill>
          </w14:textFill>
        </w:rPr>
      </w:pPr>
      <w:r>
        <w:rPr>
          <w:color w:val="000000" w:themeColor="text1"/>
          <w14:textFill>
            <w14:solidFill>
              <w14:schemeClr w14:val="tx1"/>
            </w14:solidFill>
          </w14:textFill>
        </w:rPr>
        <w:t>（3）运输、装卸危险废物时，依照有关法律、法规、规章的规定和国家标准的要求并按照危险废物的危险特性，采取必要的安全防护措施。运输危险废物的槽罐以及其他容器封口严密，能够承受正常运输条件下产生的内部压力和外部压力，保证危险废物在运输中不因温度、湿度或者压力的变化而发生任何渗（洒）漏。</w:t>
      </w:r>
    </w:p>
    <w:p w14:paraId="444A976E">
      <w:pPr>
        <w:ind w:firstLine="480"/>
        <w:rPr>
          <w:color w:val="000000" w:themeColor="text1"/>
          <w14:textFill>
            <w14:solidFill>
              <w14:schemeClr w14:val="tx1"/>
            </w14:solidFill>
          </w14:textFill>
        </w:rPr>
      </w:pPr>
      <w:r>
        <w:rPr>
          <w:color w:val="000000" w:themeColor="text1"/>
          <w14:textFill>
            <w14:solidFill>
              <w14:schemeClr w14:val="tx1"/>
            </w14:solidFill>
          </w14:textFill>
        </w:rPr>
        <w:t>（4）通过公路运输危险废物时，配备押运人员，并随时处于押运人员的监管之下，不超装、超载，不进入危险废物运输车辆禁止通行的区域；运输危险废物途中遇有无法正常运输的情况时，向当地有关部门报告。</w:t>
      </w:r>
    </w:p>
    <w:p w14:paraId="7CA03C8F">
      <w:pPr>
        <w:ind w:firstLine="480"/>
        <w:rPr>
          <w:color w:val="000000" w:themeColor="text1"/>
          <w14:textFill>
            <w14:solidFill>
              <w14:schemeClr w14:val="tx1"/>
            </w14:solidFill>
          </w14:textFill>
        </w:rPr>
      </w:pPr>
      <w:r>
        <w:rPr>
          <w:color w:val="000000" w:themeColor="text1"/>
          <w14:textFill>
            <w14:solidFill>
              <w14:schemeClr w14:val="tx1"/>
            </w14:solidFill>
          </w14:textFill>
        </w:rPr>
        <w:t>（5）危险废物在公路运输途中发生被盗、丢失、流散、泄漏等情况时，驾驶员及押运人员立即向当地公安部门报告，并采取一切可能的警示措施。</w:t>
      </w:r>
    </w:p>
    <w:p w14:paraId="2A4045D8">
      <w:pPr>
        <w:ind w:firstLine="480"/>
        <w:rPr>
          <w:color w:val="000000" w:themeColor="text1"/>
          <w14:textFill>
            <w14:solidFill>
              <w14:schemeClr w14:val="tx1"/>
            </w14:solidFill>
          </w14:textFill>
        </w:rPr>
      </w:pPr>
      <w:r>
        <w:rPr>
          <w:color w:val="000000" w:themeColor="text1"/>
          <w14:textFill>
            <w14:solidFill>
              <w14:schemeClr w14:val="tx1"/>
            </w14:solidFill>
          </w14:textFill>
        </w:rPr>
        <w:t>（6）根据危险废物总体处理方案，配备足够数量的运输车辆，合理地备用应急车辆；运输车辆采用箱时配置，车厢内全部采用防静电涂料，且有通气窗口，床上必须有明显的防火及危险品标志，并配备有灭火器和防毒面具。</w:t>
      </w:r>
    </w:p>
    <w:p w14:paraId="7EC427BD">
      <w:pPr>
        <w:ind w:firstLine="480"/>
        <w:rPr>
          <w:color w:val="000000" w:themeColor="text1"/>
          <w14:textFill>
            <w14:solidFill>
              <w14:schemeClr w14:val="tx1"/>
            </w14:solidFill>
          </w14:textFill>
        </w:rPr>
      </w:pPr>
      <w:r>
        <w:rPr>
          <w:color w:val="000000" w:themeColor="text1"/>
          <w14:textFill>
            <w14:solidFill>
              <w14:schemeClr w14:val="tx1"/>
            </w14:solidFill>
          </w14:textFill>
        </w:rPr>
        <w:t>（7）不同种类的危险废物应采用不同的运输车辆，禁止混合运输性质不相容而未经安全处置的危险废物，运输车辆不得搭乘其他无关人员。</w:t>
      </w:r>
    </w:p>
    <w:p w14:paraId="4635674F">
      <w:pPr>
        <w:ind w:firstLine="480"/>
        <w:rPr>
          <w:color w:val="000000" w:themeColor="text1"/>
          <w14:textFill>
            <w14:solidFill>
              <w14:schemeClr w14:val="tx1"/>
            </w14:solidFill>
          </w14:textFill>
        </w:rPr>
      </w:pPr>
      <w:r>
        <w:rPr>
          <w:color w:val="000000" w:themeColor="text1"/>
          <w14:textFill>
            <w14:solidFill>
              <w14:schemeClr w14:val="tx1"/>
            </w14:solidFill>
          </w14:textFill>
        </w:rPr>
        <w:t>（8）限速行驶，严禁超速，发现超速应对相关人员从严处罚；在路口不好路段及沿线有敏感水体的区域应小心驾驶，在标明有水源保护区禁止危险化学品运输车辆通行时，必须绕道行驶，防止发生事故或泄漏性事故而污染水体。</w:t>
      </w:r>
    </w:p>
    <w:p w14:paraId="09C9200A">
      <w:pPr>
        <w:ind w:firstLine="480"/>
        <w:rPr>
          <w:color w:val="000000" w:themeColor="text1"/>
          <w14:textFill>
            <w14:solidFill>
              <w14:schemeClr w14:val="tx1"/>
            </w14:solidFill>
          </w14:textFill>
        </w:rPr>
      </w:pPr>
      <w:r>
        <w:rPr>
          <w:color w:val="000000" w:themeColor="text1"/>
          <w14:textFill>
            <w14:solidFill>
              <w14:schemeClr w14:val="tx1"/>
            </w14:solidFill>
          </w14:textFill>
        </w:rPr>
        <w:t>（9）合理安排运输频次，在气象条件不好的天气，如暴雨、台风等，停止运输危险废物，可先贮存。小雨天可运输，但应小心驾驶并加强安全措施。</w:t>
      </w:r>
    </w:p>
    <w:p w14:paraId="03DEC70D">
      <w:pPr>
        <w:ind w:firstLine="480"/>
        <w:rPr>
          <w:color w:val="000000" w:themeColor="text1"/>
          <w14:textFill>
            <w14:solidFill>
              <w14:schemeClr w14:val="tx1"/>
            </w14:solidFill>
          </w14:textFill>
        </w:rPr>
      </w:pPr>
      <w:r>
        <w:rPr>
          <w:color w:val="000000" w:themeColor="text1"/>
          <w14:textFill>
            <w14:solidFill>
              <w14:schemeClr w14:val="tx1"/>
            </w14:solidFill>
          </w14:textFill>
        </w:rPr>
        <w:t>（10）运输过程发生意外事故时，公司GPS中控室应立即向当地环境保护主管部门和交通管理部门报告，并采取相应措施，防止环境污染事故扩大。</w:t>
      </w:r>
    </w:p>
    <w:p w14:paraId="153F6177">
      <w:pPr>
        <w:pStyle w:val="197"/>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二、厂外运输路线</w:t>
      </w:r>
    </w:p>
    <w:p w14:paraId="3B8ACA81">
      <w:pPr>
        <w:ind w:firstLine="480"/>
        <w:rPr>
          <w:color w:val="000000" w:themeColor="text1"/>
          <w14:textFill>
            <w14:solidFill>
              <w14:schemeClr w14:val="tx1"/>
            </w14:solidFill>
          </w14:textFill>
        </w:rPr>
      </w:pPr>
      <w:r>
        <w:rPr>
          <w:color w:val="000000" w:themeColor="text1"/>
          <w14:textFill>
            <w14:solidFill>
              <w14:schemeClr w14:val="tx1"/>
            </w14:solidFill>
          </w14:textFill>
        </w:rPr>
        <w:t>危险废物运输线路的规划必须以项目所在地理位置、服务区域范围、危险废物产生单位地理位置分布、产污单位危险废物的类型及产生量、运输时间分配等因素综合考虑。原则上，危险废物运输车安排专人执行固定的行程，使运输服务标准化，此外也避免造成经常性机动调派废物运输车的突发状况，造成人员调度上的困难以及运输成本的增加。</w:t>
      </w:r>
    </w:p>
    <w:p w14:paraId="56877A26">
      <w:pPr>
        <w:ind w:firstLine="480"/>
        <w:rPr>
          <w:color w:val="000000" w:themeColor="text1"/>
          <w14:textFill>
            <w14:solidFill>
              <w14:schemeClr w14:val="tx1"/>
            </w14:solidFill>
          </w14:textFill>
        </w:rPr>
      </w:pPr>
      <w:r>
        <w:rPr>
          <w:color w:val="000000" w:themeColor="text1"/>
          <w14:textFill>
            <w14:solidFill>
              <w14:schemeClr w14:val="tx1"/>
            </w14:solidFill>
          </w14:textFill>
        </w:rPr>
        <w:t>根据目前危险废物产生单位调查的情况及乌鲁木齐市和全省交通道路的现状，危险废物运输车采取当日返回本项目厂区的方式，避免危险废物运输车辆在外面过夜，确保运输车辆的安全。在规划线路上，事先调查各产生单位的地理环境状况、交通、街道路线情况，同一城镇或片区规划在同一车次执行清运工作。</w:t>
      </w:r>
    </w:p>
    <w:p w14:paraId="2665E1FE">
      <w:pPr>
        <w:ind w:firstLine="480"/>
        <w:rPr>
          <w:color w:val="000000" w:themeColor="text1"/>
          <w14:textFill>
            <w14:solidFill>
              <w14:schemeClr w14:val="tx1"/>
            </w14:solidFill>
          </w14:textFill>
        </w:rPr>
      </w:pPr>
      <w:r>
        <w:rPr>
          <w:color w:val="000000" w:themeColor="text1"/>
          <w14:textFill>
            <w14:solidFill>
              <w14:schemeClr w14:val="tx1"/>
            </w14:solidFill>
          </w14:textFill>
        </w:rPr>
        <w:t>所有运输车辆按规定的行走路线运输，车辆安装GPS定位设施，车辆的运输情况反馈回本项目的信息平台，显示车辆所在的位置、车况等，由信息中心向车辆发送指令。司机配备专用的移动式通讯工具，一旦发生紧急事故，可以及时就地报警。</w:t>
      </w:r>
    </w:p>
    <w:p w14:paraId="6E8029C4">
      <w:pPr>
        <w:ind w:firstLine="480"/>
        <w:rPr>
          <w:color w:val="000000" w:themeColor="text1"/>
          <w14:textFill>
            <w14:solidFill>
              <w14:schemeClr w14:val="tx1"/>
            </w14:solidFill>
          </w14:textFill>
        </w:rPr>
      </w:pPr>
      <w:r>
        <w:rPr>
          <w:color w:val="000000" w:themeColor="text1"/>
          <w14:textFill>
            <w14:solidFill>
              <w14:schemeClr w14:val="tx1"/>
            </w14:solidFill>
          </w14:textFill>
        </w:rPr>
        <w:t>运输路线不跨过地表水饮用水源保护区，主要通过高速公路和省道进行运输，最大程度地避开闹市区、人口密集区、环境敏感区运行，并尽可能减少经过河流水系的次数。</w:t>
      </w:r>
    </w:p>
    <w:p w14:paraId="45CF2649">
      <w:pPr>
        <w:pStyle w:val="197"/>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三、厂内物料转移</w:t>
      </w:r>
    </w:p>
    <w:p w14:paraId="4C749CFC">
      <w:pPr>
        <w:ind w:firstLine="480"/>
        <w:rPr>
          <w:color w:val="000000" w:themeColor="text1"/>
          <w14:textFill>
            <w14:solidFill>
              <w14:schemeClr w14:val="tx1"/>
            </w14:solidFill>
          </w14:textFill>
        </w:rPr>
      </w:pPr>
      <w:r>
        <w:rPr>
          <w:color w:val="000000" w:themeColor="text1"/>
          <w14:textFill>
            <w14:solidFill>
              <w14:schemeClr w14:val="tx1"/>
            </w14:solidFill>
          </w14:textFill>
        </w:rPr>
        <w:t>危险废物在厂内转移主要是危险废物从暂存库至各生产单元综合利用处置的转移，应按如下要求进行：</w:t>
      </w:r>
    </w:p>
    <w:p w14:paraId="0236B043">
      <w:pPr>
        <w:ind w:firstLine="480"/>
        <w:rPr>
          <w:color w:val="000000" w:themeColor="text1"/>
          <w14:textFill>
            <w14:solidFill>
              <w14:schemeClr w14:val="tx1"/>
            </w14:solidFill>
          </w14:textFill>
        </w:rPr>
      </w:pPr>
      <w:r>
        <w:rPr>
          <w:color w:val="000000" w:themeColor="text1"/>
          <w14:textFill>
            <w14:solidFill>
              <w14:schemeClr w14:val="tx1"/>
            </w14:solidFill>
          </w14:textFill>
        </w:rPr>
        <w:t>a 危险废物内部转运应综合考虑厂区的实际情况确定转运路线，尽量避开办公区和生活区。</w:t>
      </w:r>
    </w:p>
    <w:p w14:paraId="3F573CDC">
      <w:pPr>
        <w:ind w:firstLine="480"/>
        <w:rPr>
          <w:color w:val="000000" w:themeColor="text1"/>
          <w14:textFill>
            <w14:solidFill>
              <w14:schemeClr w14:val="tx1"/>
            </w14:solidFill>
          </w14:textFill>
        </w:rPr>
      </w:pPr>
      <w:r>
        <w:rPr>
          <w:color w:val="000000" w:themeColor="text1"/>
          <w14:textFill>
            <w14:solidFill>
              <w14:schemeClr w14:val="tx1"/>
            </w14:solidFill>
          </w14:textFill>
        </w:rPr>
        <w:t>b 危险废物内部转运作业应采用专用的工具，危险废物内部转运应填写《危险废物厂内转运记录表》。</w:t>
      </w:r>
    </w:p>
    <w:p w14:paraId="2C65FFF7">
      <w:pPr>
        <w:ind w:firstLine="480"/>
        <w:rPr>
          <w:color w:val="000000" w:themeColor="text1"/>
          <w14:textFill>
            <w14:solidFill>
              <w14:schemeClr w14:val="tx1"/>
            </w14:solidFill>
          </w14:textFill>
        </w:rPr>
      </w:pPr>
      <w:r>
        <w:rPr>
          <w:color w:val="000000" w:themeColor="text1"/>
          <w14:textFill>
            <w14:solidFill>
              <w14:schemeClr w14:val="tx1"/>
            </w14:solidFill>
          </w14:textFill>
        </w:rPr>
        <w:t>c 危险废物内部转运结束后，应对转运路线进行检查和清理，确保无危险废物遗失在转运路线上。</w:t>
      </w:r>
    </w:p>
    <w:p w14:paraId="36FC8F85">
      <w:pPr>
        <w:ind w:firstLine="480"/>
        <w:rPr>
          <w:color w:val="000000" w:themeColor="text1"/>
          <w14:textFill>
            <w14:solidFill>
              <w14:schemeClr w14:val="tx1"/>
            </w14:solidFill>
          </w14:textFill>
        </w:rPr>
      </w:pPr>
      <w:r>
        <w:rPr>
          <w:color w:val="000000" w:themeColor="text1"/>
          <w14:textFill>
            <w14:solidFill>
              <w14:schemeClr w14:val="tx1"/>
            </w14:solidFill>
          </w14:textFill>
        </w:rPr>
        <w:t>废盐运送到厂区后，首先进行入厂检验，确认废物与危险废物转移联单一致。根据废盐的来源行业、主要成分等进行分类，相似的物料暂存在相同区域中等候处理。</w:t>
      </w:r>
    </w:p>
    <w:p w14:paraId="22D34A03">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废物接收、分类鉴别</w:t>
      </w:r>
    </w:p>
    <w:p w14:paraId="1ECB1D79">
      <w:pPr>
        <w:ind w:firstLine="482"/>
        <w:rPr>
          <w:b/>
          <w:color w:val="000000" w:themeColor="text1"/>
          <w14:textFill>
            <w14:solidFill>
              <w14:schemeClr w14:val="tx1"/>
            </w14:solidFill>
          </w14:textFill>
        </w:rPr>
      </w:pPr>
      <w:r>
        <w:rPr>
          <w:b/>
          <w:color w:val="000000" w:themeColor="text1"/>
          <w14:textFill>
            <w14:solidFill>
              <w14:schemeClr w14:val="tx1"/>
            </w14:solidFill>
          </w14:textFill>
        </w:rPr>
        <w:t>1、危险废物接收</w:t>
      </w:r>
    </w:p>
    <w:p w14:paraId="71367043">
      <w:pPr>
        <w:ind w:firstLine="480"/>
        <w:rPr>
          <w:color w:val="000000" w:themeColor="text1"/>
          <w14:textFill>
            <w14:solidFill>
              <w14:schemeClr w14:val="tx1"/>
            </w14:solidFill>
          </w14:textFill>
        </w:rPr>
      </w:pPr>
      <w:r>
        <w:rPr>
          <w:color w:val="000000" w:themeColor="text1"/>
          <w14:textFill>
            <w14:solidFill>
              <w14:schemeClr w14:val="tx1"/>
            </w14:solidFill>
          </w14:textFill>
        </w:rPr>
        <w:t>执行危险废物“转移联单”制度，现场交接时核对危险废物的数量、种类、标识等，并确认与危险废物转移联单是否相符，并对接收的废物及时登记，将进入项目厂区的废物数量、重量等有关信息输入计算机系统。</w:t>
      </w:r>
    </w:p>
    <w:p w14:paraId="507DBB37">
      <w:pPr>
        <w:ind w:firstLine="480"/>
        <w:rPr>
          <w:color w:val="000000" w:themeColor="text1"/>
          <w14:textFill>
            <w14:solidFill>
              <w14:schemeClr w14:val="tx1"/>
            </w14:solidFill>
          </w14:textFill>
        </w:rPr>
      </w:pPr>
      <w:r>
        <w:rPr>
          <w:color w:val="000000" w:themeColor="text1"/>
          <w14:textFill>
            <w14:solidFill>
              <w14:schemeClr w14:val="tx1"/>
            </w14:solidFill>
          </w14:textFill>
        </w:rPr>
        <w:t>危险废物专用运输车辆进入厂区，按《危险废物转移管理办法》的规定，首先对废物抽样，将样品送本项目化验室进行快速辨别，检验实际废物与废物标签和处置合同内具体废物是否一致，并判断废物是否能进入本项目。在检验一致满足要求后，再对入厂废物进行称量登记和储存，废物取样品送实验室进行进一步分析，确定废物成分和理化性质，进场后由化验室取样检测，符合要求的废盐送至指定的原料仓储区域贮存，不符合收集要求的饱和废盐及时退回，若不能及时退回的则暂存于指定的区域后安排退回，化验室同时应测定待处理的废盐的成分、组分及含量等并做记录。至此完成了危险废物的接收工作。</w:t>
      </w:r>
    </w:p>
    <w:p w14:paraId="02841702">
      <w:pPr>
        <w:ind w:firstLine="482"/>
        <w:rPr>
          <w:b/>
          <w:color w:val="000000" w:themeColor="text1"/>
          <w14:textFill>
            <w14:solidFill>
              <w14:schemeClr w14:val="tx1"/>
            </w14:solidFill>
          </w14:textFill>
        </w:rPr>
      </w:pPr>
      <w:bookmarkStart w:id="255" w:name="_Hlk63674201"/>
      <w:r>
        <w:rPr>
          <w:b/>
          <w:color w:val="000000" w:themeColor="text1"/>
          <w14:textFill>
            <w14:solidFill>
              <w14:schemeClr w14:val="tx1"/>
            </w14:solidFill>
          </w14:textFill>
        </w:rPr>
        <w:t>3、危险废物鉴别</w:t>
      </w:r>
    </w:p>
    <w:p w14:paraId="20735C0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在厂内设置化验室，并配置先进的检验设备、仪器，废物入厂后送入待检验区，化验室对每一批次进行化验，并做好原始记录，做到发现问题时有据可查。化验室具备对废盐的成分进行定性和定量分析的能力，对危险废物成分进行鉴别分析，同时对产品进行质量控制。</w:t>
      </w:r>
    </w:p>
    <w:p w14:paraId="049E4A2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本项目废盐接收标准详见下表。</w:t>
      </w:r>
    </w:p>
    <w:p w14:paraId="478F3081">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原料规格和主要关注的有毒物质和指标</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6"/>
        <w:gridCol w:w="2717"/>
        <w:gridCol w:w="6159"/>
      </w:tblGrid>
      <w:tr w14:paraId="6162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32" w:type="pct"/>
            <w:gridSpan w:val="2"/>
            <w:vAlign w:val="center"/>
          </w:tcPr>
          <w:p w14:paraId="5B448E24">
            <w:pPr>
              <w:pStyle w:val="109"/>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3268" w:type="pct"/>
            <w:vAlign w:val="center"/>
          </w:tcPr>
          <w:p w14:paraId="700DEDA4">
            <w:pPr>
              <w:pStyle w:val="109"/>
              <w:rPr>
                <w:color w:val="000000" w:themeColor="text1"/>
                <w14:textFill>
                  <w14:solidFill>
                    <w14:schemeClr w14:val="tx1"/>
                  </w14:solidFill>
                </w14:textFill>
              </w:rPr>
            </w:pPr>
            <w:r>
              <w:rPr>
                <w:color w:val="000000" w:themeColor="text1"/>
                <w14:textFill>
                  <w14:solidFill>
                    <w14:schemeClr w14:val="tx1"/>
                  </w14:solidFill>
                </w14:textFill>
              </w:rPr>
              <w:t>检测指标</w:t>
            </w:r>
          </w:p>
        </w:tc>
      </w:tr>
      <w:tr w14:paraId="7912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0" w:type="pct"/>
            <w:vAlign w:val="center"/>
          </w:tcPr>
          <w:p w14:paraId="1FFBB84F">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441" w:type="pct"/>
            <w:vAlign w:val="center"/>
          </w:tcPr>
          <w:p w14:paraId="16DA5F1B">
            <w:pPr>
              <w:pStyle w:val="109"/>
              <w:rPr>
                <w:color w:val="000000" w:themeColor="text1"/>
                <w14:textFill>
                  <w14:solidFill>
                    <w14:schemeClr w14:val="tx1"/>
                  </w14:solidFill>
                </w14:textFill>
              </w:rPr>
            </w:pPr>
            <w:r>
              <w:rPr>
                <w:color w:val="000000" w:themeColor="text1"/>
                <w14:textFill>
                  <w14:solidFill>
                    <w14:schemeClr w14:val="tx1"/>
                  </w14:solidFill>
                </w14:textFill>
              </w:rPr>
              <w:t>废盐（HW02、HW0</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、HW11、HW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2、HW38、HW49）</w:t>
            </w:r>
          </w:p>
        </w:tc>
        <w:tc>
          <w:tcPr>
            <w:tcW w:w="3268" w:type="pct"/>
            <w:vAlign w:val="center"/>
          </w:tcPr>
          <w:p w14:paraId="527F4F52">
            <w:pPr>
              <w:pStyle w:val="109"/>
              <w:rPr>
                <w:color w:val="000000" w:themeColor="text1"/>
                <w14:textFill>
                  <w14:solidFill>
                    <w14:schemeClr w14:val="tx1"/>
                  </w14:solidFill>
                </w14:textFill>
              </w:rPr>
            </w:pPr>
            <w:r>
              <w:rPr>
                <w:color w:val="000000" w:themeColor="text1"/>
                <w:spacing w:val="-1"/>
                <w14:textFill>
                  <w14:solidFill>
                    <w14:schemeClr w14:val="tx1"/>
                  </w14:solidFill>
                </w14:textFill>
              </w:rPr>
              <w:t>氯化钠+硫酸钠、有机质、有机氯、有机硫、水分、钙、镁含量、有机氟、铜、锌、总铬、六价铬、有机氮、有机磷、总铅、总砷、总镍、总镉、总汞、钡、铍、总银、硒、硅、锰</w:t>
            </w:r>
            <w:r>
              <w:rPr>
                <w:rFonts w:hint="eastAsia"/>
                <w:color w:val="000000" w:themeColor="text1"/>
                <w:spacing w:val="-1"/>
                <w14:textFill>
                  <w14:solidFill>
                    <w14:schemeClr w14:val="tx1"/>
                  </w14:solidFill>
                </w14:textFill>
              </w:rPr>
              <w:t>、总有机碳</w:t>
            </w:r>
          </w:p>
        </w:tc>
      </w:tr>
      <w:bookmarkEnd w:id="255"/>
    </w:tbl>
    <w:p w14:paraId="2A7C1262">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危险废物贮存</w:t>
      </w:r>
    </w:p>
    <w:p w14:paraId="74DA0D5E">
      <w:pPr>
        <w:ind w:firstLine="480"/>
        <w:rPr>
          <w:color w:val="000000" w:themeColor="text1"/>
          <w14:textFill>
            <w14:solidFill>
              <w14:schemeClr w14:val="tx1"/>
            </w14:solidFill>
          </w14:textFill>
        </w:rPr>
      </w:pPr>
      <w:r>
        <w:rPr>
          <w:color w:val="000000" w:themeColor="text1"/>
          <w14:textFill>
            <w14:solidFill>
              <w14:schemeClr w14:val="tx1"/>
            </w14:solidFill>
          </w14:textFill>
        </w:rPr>
        <w:t>经过磅后的危险废物分类贮存于密闭式废盐仓库内，本项目废盐仓库按《危险废物贮存污染控制标准》（GB18597-2023）的要求进行建设，并设立专用标志。</w:t>
      </w:r>
    </w:p>
    <w:p w14:paraId="6C3FD232">
      <w:pPr>
        <w:ind w:firstLine="480"/>
        <w:rPr>
          <w:color w:val="000000" w:themeColor="text1"/>
          <w14:textFill>
            <w14:solidFill>
              <w14:schemeClr w14:val="tx1"/>
            </w14:solidFill>
          </w14:textFill>
        </w:rPr>
      </w:pPr>
      <w:r>
        <w:rPr>
          <w:color w:val="000000" w:themeColor="text1"/>
          <w14:textFill>
            <w14:solidFill>
              <w14:schemeClr w14:val="tx1"/>
            </w14:solidFill>
          </w14:textFill>
        </w:rPr>
        <w:t>废盐采用吨包包装，运输到厂区内后，由叉车将废盐卸料并贮存于仓库内，</w:t>
      </w:r>
      <w:bookmarkStart w:id="256" w:name="_Hlk63676650"/>
      <w:r>
        <w:rPr>
          <w:color w:val="000000" w:themeColor="text1"/>
          <w14:textFill>
            <w14:solidFill>
              <w14:schemeClr w14:val="tx1"/>
            </w14:solidFill>
          </w14:textFill>
        </w:rPr>
        <w:t>不同批次、不同类别的废盐分开堆放</w:t>
      </w:r>
      <w:bookmarkEnd w:id="256"/>
      <w:r>
        <w:rPr>
          <w:color w:val="000000" w:themeColor="text1"/>
          <w14:textFill>
            <w14:solidFill>
              <w14:schemeClr w14:val="tx1"/>
            </w14:solidFill>
          </w14:textFill>
        </w:rPr>
        <w:t>。本项目设置的废盐仓库面积为1024m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，最大贮存容量约</w:t>
      </w:r>
      <w:r>
        <w:rPr>
          <w:rFonts w:hint="eastAsia"/>
          <w:color w:val="000000" w:themeColor="text1"/>
          <w14:textFill>
            <w14:solidFill>
              <w14:schemeClr w14:val="tx1"/>
            </w14:solidFill>
          </w14:textFill>
        </w:rPr>
        <w:t>2252</w:t>
      </w:r>
      <w:r>
        <w:rPr>
          <w:color w:val="000000" w:themeColor="text1"/>
          <w14:textFill>
            <w14:solidFill>
              <w14:schemeClr w14:val="tx1"/>
            </w14:solidFill>
          </w14:textFill>
        </w:rPr>
        <w:t>t。</w:t>
      </w:r>
    </w:p>
    <w:p w14:paraId="676FBC8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本项目废盐在废盐仓库长时间贮存过程中，吸附的有机物会随着温度的变化或自身性质的变化可能有微量逸散。无组织废气</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有VOCs，主要来自含有VOCs的废盐的长期贮存。</w:t>
      </w:r>
    </w:p>
    <w:p w14:paraId="44A06454">
      <w:pPr>
        <w:ind w:firstLine="480"/>
        <w:rPr>
          <w:color w:val="000000" w:themeColor="text1"/>
          <w14:textFill>
            <w14:solidFill>
              <w14:schemeClr w14:val="tx1"/>
            </w14:solidFill>
          </w14:textFill>
        </w:rPr>
      </w:pPr>
      <w:r>
        <w:rPr>
          <w:color w:val="000000" w:themeColor="text1"/>
          <w14:textFill>
            <w14:solidFill>
              <w14:schemeClr w14:val="tx1"/>
            </w14:solidFill>
          </w14:textFill>
        </w:rPr>
        <w:t>为降低废盐仓库废气对环境的影响，</w:t>
      </w:r>
      <w:r>
        <w:rPr>
          <w:rFonts w:hint="eastAsia"/>
          <w:color w:val="000000" w:themeColor="text1"/>
          <w14:textFill>
            <w14:solidFill>
              <w14:schemeClr w14:val="tx1"/>
            </w14:solidFill>
          </w14:textFill>
        </w:rPr>
        <w:t>仓库</w:t>
      </w:r>
      <w:r>
        <w:rPr>
          <w:color w:val="000000" w:themeColor="text1"/>
          <w14:textFill>
            <w14:solidFill>
              <w14:schemeClr w14:val="tx1"/>
            </w14:solidFill>
          </w14:textFill>
        </w:rPr>
        <w:t>密闭</w:t>
      </w:r>
      <w:r>
        <w:rPr>
          <w:rFonts w:hint="eastAsia"/>
          <w:color w:val="000000" w:themeColor="text1"/>
          <w14:textFill>
            <w14:solidFill>
              <w14:schemeClr w14:val="tx1"/>
            </w14:solidFill>
          </w14:textFill>
        </w:rPr>
        <w:t>并</w:t>
      </w:r>
      <w:r>
        <w:rPr>
          <w:color w:val="000000" w:themeColor="text1"/>
          <w14:textFill>
            <w14:solidFill>
              <w14:schemeClr w14:val="tx1"/>
            </w14:solidFill>
          </w14:textFill>
        </w:rPr>
        <w:t>配套负压集气设施，废气通过二级活性炭吸附装置处理后经由15m高排气筒DA001排放。</w:t>
      </w:r>
    </w:p>
    <w:p w14:paraId="5835C9D3">
      <w:pPr>
        <w:ind w:firstLine="480"/>
        <w:rPr>
          <w:color w:val="000000" w:themeColor="text1"/>
          <w14:textFill>
            <w14:solidFill>
              <w14:schemeClr w14:val="tx1"/>
            </w14:solidFill>
          </w14:textFill>
        </w:rPr>
      </w:pPr>
      <w:r>
        <w:rPr>
          <w:color w:val="000000" w:themeColor="text1"/>
          <w14:textFill>
            <w14:solidFill>
              <w14:schemeClr w14:val="tx1"/>
            </w14:solidFill>
          </w14:textFill>
        </w:rPr>
        <w:t>针对输送及储存环节，本项目拟采取如下措施：</w:t>
      </w:r>
    </w:p>
    <w:p w14:paraId="228C7F4B">
      <w:pPr>
        <w:ind w:firstLine="480"/>
        <w:rPr>
          <w:color w:val="000000" w:themeColor="text1"/>
          <w14:textFill>
            <w14:solidFill>
              <w14:schemeClr w14:val="tx1"/>
            </w14:solidFill>
          </w14:textFill>
        </w:rPr>
      </w:pPr>
      <w:r>
        <w:rPr>
          <w:color w:val="000000" w:themeColor="text1"/>
          <w14:textFill>
            <w14:solidFill>
              <w14:schemeClr w14:val="tx1"/>
            </w14:solidFill>
          </w14:textFill>
        </w:rPr>
        <w:t>（1）厂区内废盐采用双层覆膜密封包装，输送过程中，确保固废包装的完好和密封，并固定好，避免危险废物的洒落从而引起扬尘或挥发性气体的逸散。贮存过程中，包装容器（覆膜塑料袋）应保持密封，不得将废盐散装堆放。</w:t>
      </w:r>
    </w:p>
    <w:p w14:paraId="09328B36">
      <w:pPr>
        <w:ind w:firstLine="480"/>
        <w:rPr>
          <w:color w:val="000000" w:themeColor="text1"/>
          <w14:textFill>
            <w14:solidFill>
              <w14:schemeClr w14:val="tx1"/>
            </w14:solidFill>
          </w14:textFill>
        </w:rPr>
      </w:pPr>
      <w:r>
        <w:rPr>
          <w:color w:val="000000" w:themeColor="text1"/>
          <w14:textFill>
            <w14:solidFill>
              <w14:schemeClr w14:val="tx1"/>
            </w14:solidFill>
          </w14:textFill>
        </w:rPr>
        <w:t>（2）废盐仓库密封，根据《环境保护图形标志－固体废物贮存（处置）场》（GB15562.2-1995）设立专用标志；按《危险废物贮存污染控制标准》（GB18597-2023）进行建设，做好“三防”措施；正常运营时，整体换风，通过抽风机形成微负压，减少无组织废气对周边环境的影响。</w:t>
      </w:r>
    </w:p>
    <w:p w14:paraId="02FC1958">
      <w:pPr>
        <w:ind w:firstLine="480"/>
        <w:rPr>
          <w:color w:val="000000" w:themeColor="text1"/>
          <w14:textFill>
            <w14:solidFill>
              <w14:schemeClr w14:val="tx1"/>
            </w14:solidFill>
          </w14:textFill>
        </w:rPr>
      </w:pPr>
      <w:r>
        <w:rPr>
          <w:color w:val="000000" w:themeColor="text1"/>
          <w14:textFill>
            <w14:solidFill>
              <w14:schemeClr w14:val="tx1"/>
            </w14:solidFill>
          </w14:textFill>
        </w:rPr>
        <w:t>废盐仓库采用1套废气负压收集系统，仓库面积1024㎡，高度</w:t>
      </w:r>
      <w:r>
        <w:rPr>
          <w:rFonts w:hint="eastAsia"/>
          <w:color w:val="000000" w:themeColor="text1"/>
          <w14:textFill>
            <w14:solidFill>
              <w14:schemeClr w14:val="tx1"/>
            </w14:solidFill>
          </w14:textFill>
        </w:rPr>
        <w:t>4.5</w:t>
      </w:r>
      <w:r>
        <w:rPr>
          <w:color w:val="000000" w:themeColor="text1"/>
          <w14:textFill>
            <w14:solidFill>
              <w14:schemeClr w14:val="tx1"/>
            </w14:solidFill>
          </w14:textFill>
        </w:rPr>
        <w:t>m，通风量可保证仓库通风换气次数达4次/时。工作人员进入危险废物暂存库工作时，均佩活性炭面罩，因此，不会对工作人员造成不良影响。</w:t>
      </w:r>
    </w:p>
    <w:p w14:paraId="1C65082F">
      <w:pPr>
        <w:ind w:firstLine="480"/>
        <w:rPr>
          <w:color w:val="000000" w:themeColor="text1"/>
          <w14:textFill>
            <w14:solidFill>
              <w14:schemeClr w14:val="tx1"/>
            </w14:solidFill>
          </w14:textFill>
        </w:rPr>
      </w:pPr>
      <w:r>
        <w:rPr>
          <w:color w:val="000000" w:themeColor="text1"/>
          <w14:textFill>
            <w14:solidFill>
              <w14:schemeClr w14:val="tx1"/>
            </w14:solidFill>
          </w14:textFill>
        </w:rPr>
        <w:t>（3）危险废物贮存设施（仓库）的地面应与裙脚用坚固、防渗的材料建造，建筑材料与危险废物兼容（即不相互反应），有泄漏液体收集装置、气体导出口，设施内有安全照明设施和观察窗口，有耐腐蚀的硬化地面，且表面无裂隙，设计有堵截泄漏的裙脚，地面与裙脚所围建的容积不低于堵截最大容器的最大储量或总储量的五分之一。堆放基础需设防渗层，建造径流疏导系统，保证能防止25年一遇的暴雨不会流到危险废物堆里。</w:t>
      </w:r>
    </w:p>
    <w:p w14:paraId="6AF7A3ED">
      <w:pPr>
        <w:ind w:firstLine="480"/>
        <w:rPr>
          <w:color w:val="000000" w:themeColor="text1"/>
          <w14:textFill>
            <w14:solidFill>
              <w14:schemeClr w14:val="tx1"/>
            </w14:solidFill>
          </w14:textFill>
        </w:rPr>
      </w:pPr>
      <w:r>
        <w:rPr>
          <w:color w:val="000000" w:themeColor="text1"/>
          <w14:textFill>
            <w14:solidFill>
              <w14:schemeClr w14:val="tx1"/>
            </w14:solidFill>
          </w14:textFill>
        </w:rPr>
        <w:t>（4）不同行业、不同性质的废盐应分区存放，考虑盐进场测定其各污染物含量后，进行分区存放，方便配伍取料。</w:t>
      </w:r>
    </w:p>
    <w:p w14:paraId="3958BC6D">
      <w:pPr>
        <w:ind w:firstLine="480"/>
        <w:rPr>
          <w:color w:val="000000" w:themeColor="text1"/>
          <w14:textFill>
            <w14:solidFill>
              <w14:schemeClr w14:val="tx1"/>
            </w14:solidFill>
          </w14:textFill>
        </w:rPr>
      </w:pPr>
      <w:r>
        <w:rPr>
          <w:color w:val="000000" w:themeColor="text1"/>
          <w14:textFill>
            <w14:solidFill>
              <w14:schemeClr w14:val="tx1"/>
            </w14:solidFill>
          </w14:textFill>
        </w:rPr>
        <w:t>（5）由于废盐的有毒有害性，不宜长时间存储，因此，运至厂区后应尽快进行处置。</w:t>
      </w:r>
    </w:p>
    <w:p w14:paraId="1C4168DB">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废盐处置工艺流程</w:t>
      </w:r>
    </w:p>
    <w:p w14:paraId="54E26247">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配伍方案</w:t>
      </w:r>
    </w:p>
    <w:p w14:paraId="0BE11384">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配伍是危险废物处理工艺中的重要环节，对提高处理设备的运行稳定性、保护系统设备，降低运行成本具有重要的意义。给料配伍在固废焚烧尤其是</w:t>
      </w:r>
      <w:r>
        <w:rPr>
          <w:rFonts w:hint="eastAsia" w:ascii="Times New Roman" w:hAnsi="Times New Roman"/>
          <w:color w:val="000000" w:themeColor="text1"/>
          <w14:textFill>
            <w14:solidFill>
              <w14:schemeClr w14:val="tx1"/>
            </w14:solidFill>
          </w14:textFill>
        </w:rPr>
        <w:t>热解焙烧窑</w:t>
      </w:r>
      <w:r>
        <w:rPr>
          <w:rFonts w:ascii="Times New Roman" w:hAnsi="Times New Roman"/>
          <w:color w:val="000000" w:themeColor="text1"/>
          <w14:textFill>
            <w14:solidFill>
              <w14:schemeClr w14:val="tx1"/>
            </w14:solidFill>
          </w14:textFill>
        </w:rPr>
        <w:t>焚烧系统运行中尤为普遍，目的是保证进入热解焙烧窑热解的物料的水分、热值、有机污染物含量、非工艺元素（</w:t>
      </w:r>
      <w:r>
        <w:rPr>
          <w:rFonts w:ascii="Times New Roman" w:hAnsi="Times New Roman" w:eastAsia="TimesNewRomanPSMT"/>
          <w:color w:val="000000" w:themeColor="text1"/>
          <w14:textFill>
            <w14:solidFill>
              <w14:schemeClr w14:val="tx1"/>
            </w14:solidFill>
          </w14:textFill>
        </w:rPr>
        <w:t>NPE</w:t>
      </w:r>
      <w:r>
        <w:rPr>
          <w:rFonts w:ascii="Times New Roman" w:hAnsi="Times New Roman"/>
          <w:color w:val="000000" w:themeColor="text1"/>
          <w14:textFill>
            <w14:solidFill>
              <w14:schemeClr w14:val="tx1"/>
            </w14:solidFill>
          </w14:textFill>
        </w:rPr>
        <w:t>，包括</w:t>
      </w:r>
      <w:r>
        <w:rPr>
          <w:rFonts w:ascii="Times New Roman" w:hAnsi="Times New Roman" w:eastAsia="TimesNewRomanPSMT"/>
          <w:color w:val="000000" w:themeColor="text1"/>
          <w14:textFill>
            <w14:solidFill>
              <w14:schemeClr w14:val="tx1"/>
            </w14:solidFill>
          </w14:textFill>
        </w:rPr>
        <w:t>S</w:t>
      </w:r>
      <w:r>
        <w:rPr>
          <w:rFonts w:ascii="Times New Roman" w:hAnsi="Times New Roman"/>
          <w:color w:val="000000" w:themeColor="text1"/>
          <w14:textFill>
            <w14:solidFill>
              <w14:schemeClr w14:val="tx1"/>
            </w14:solidFill>
          </w14:textFill>
        </w:rPr>
        <w:t>、</w:t>
      </w:r>
      <w:r>
        <w:rPr>
          <w:rFonts w:ascii="Times New Roman" w:hAnsi="Times New Roman" w:eastAsia="TimesNewRomanPSMT"/>
          <w:color w:val="000000" w:themeColor="text1"/>
          <w14:textFill>
            <w14:solidFill>
              <w14:schemeClr w14:val="tx1"/>
            </w14:solidFill>
          </w14:textFill>
        </w:rPr>
        <w:t>Cl</w:t>
      </w:r>
      <w:r>
        <w:rPr>
          <w:rFonts w:ascii="Times New Roman" w:hAnsi="Times New Roman"/>
          <w:color w:val="000000" w:themeColor="text1"/>
          <w14:textFill>
            <w14:solidFill>
              <w14:schemeClr w14:val="tx1"/>
            </w14:solidFill>
          </w14:textFill>
        </w:rPr>
        <w:t>、</w:t>
      </w:r>
      <w:r>
        <w:rPr>
          <w:rFonts w:ascii="Times New Roman" w:hAnsi="Times New Roman" w:eastAsia="TimesNewRomanPSMT"/>
          <w:color w:val="000000" w:themeColor="text1"/>
          <w14:textFill>
            <w14:solidFill>
              <w14:schemeClr w14:val="tx1"/>
            </w14:solidFill>
          </w14:textFill>
        </w:rPr>
        <w:t>F</w:t>
      </w:r>
      <w:r>
        <w:rPr>
          <w:rFonts w:ascii="Times New Roman" w:hAnsi="Times New Roman"/>
          <w:color w:val="000000" w:themeColor="text1"/>
          <w14:textFill>
            <w14:solidFill>
              <w14:schemeClr w14:val="tx1"/>
            </w14:solidFill>
          </w14:textFill>
        </w:rPr>
        <w:t>、</w:t>
      </w:r>
      <w:r>
        <w:rPr>
          <w:rFonts w:ascii="Times New Roman" w:hAnsi="Times New Roman" w:eastAsia="TimesNewRomanPSMT"/>
          <w:color w:val="000000" w:themeColor="text1"/>
          <w14:textFill>
            <w14:solidFill>
              <w14:schemeClr w14:val="tx1"/>
            </w14:solidFill>
          </w14:textFill>
        </w:rPr>
        <w:t>P</w:t>
      </w:r>
      <w:r>
        <w:rPr>
          <w:rFonts w:ascii="Times New Roman" w:hAnsi="Times New Roman"/>
          <w:color w:val="000000" w:themeColor="text1"/>
          <w14:textFill>
            <w14:solidFill>
              <w14:schemeClr w14:val="tx1"/>
            </w14:solidFill>
          </w14:textFill>
        </w:rPr>
        <w:t>等污染元素）、重金属含量、灰熔点等理化性质不会出现很大的波动，对运行稳定行和污染排放形成大的冲击。</w:t>
      </w:r>
    </w:p>
    <w:p w14:paraId="54B65AA3">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14:textFill>
            <w14:solidFill>
              <w14:schemeClr w14:val="tx1"/>
            </w14:solidFill>
          </w14:textFill>
        </w:rPr>
        <w:t>废盐处理系统对配伍的技术要求不仅取决于给料的多样性、理化特性的变化范围，而且取决于处理工艺本身对这些变化的容忍度和设备配置。鉴于本项目需要处理的化工</w:t>
      </w:r>
      <w:r>
        <w:rPr>
          <w:rFonts w:ascii="Times New Roman" w:hAnsi="Times New Roman"/>
          <w:color w:val="000000" w:themeColor="text1"/>
          <w:lang w:val="en-US"/>
          <w14:textFill>
            <w14:solidFill>
              <w14:schemeClr w14:val="tx1"/>
            </w14:solidFill>
          </w14:textFill>
        </w:rPr>
        <w:t>废盐来源广泛、成分复杂，因此采用“三级配伍”方式。</w:t>
      </w:r>
    </w:p>
    <w:p w14:paraId="72BFF514">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一级配伍：通过对服务范围内产废盐企业的生产行业、产废环节、特征污染物、产量等要素进行实时了解，并在仓储能力允许的条件下，对入厂废物类别、数量、频次及物化性质进行合理规划、分配和排产。</w:t>
      </w:r>
    </w:p>
    <w:p w14:paraId="492A069D">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二级配伍：废盐入厂后，通过分析检测确定各批次物料的热值、水分、卤素、硫化物和金属盐含量等废物信息。对不同产废企业、或同一企业不同批次废盐进行同类同质合并、特性组合，合理利用给料库容，达到使有机污染无含量、热值、非工艺污染元素均衡配置，规避给料不兼容性、稀释污染因子的目的。二级配伍在原料仓库内进行，通过对原料库进行合理区域划分和批次配置来实现。</w:t>
      </w:r>
    </w:p>
    <w:p w14:paraId="6C4C82BC">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三级配伍：通过吨袋卸料机卸料、混匀等过程，在配伍装置（料坑或混合设备）内实现物料的炉前混合，三级配伍为最终配伍。由于本项目设计中设置了有针对性的给料入厂条件和负面清单，基本确保不会出现给料不兼容性（比如爆炸性、易燃性或相互反应活性等）。</w:t>
      </w:r>
    </w:p>
    <w:p w14:paraId="4E404DFF">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考虑到当前实际样品数量及成分监测数据偏少，为使得本工艺更好的适应危险废物变化，设计单位给出入炉限值。为了确保项目的安全运行，对入厂的杂质构成和含量作了限定，排除下列种类和特性的废盐：</w:t>
      </w:r>
    </w:p>
    <w:p w14:paraId="13FD1877">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（1）废盐本身具有爆炸性（如硝酸盐、废盐中的有机物含有两个以上硝基者）对人身和设备财产安全构成危险；</w:t>
      </w:r>
    </w:p>
    <w:p w14:paraId="6FA04520">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（2）废盐中含有放射性物质；</w:t>
      </w:r>
    </w:p>
    <w:p w14:paraId="7288C9CB">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（3）废盐中的污染元素（硫、氯、氟、氮等）含量超过入厂限值，导致甲方可接受的运行成本范围内无法保证烟气排放达标的；</w:t>
      </w:r>
    </w:p>
    <w:p w14:paraId="04B2639D">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（4）废盐中的特定成分（如重金属）会对处理设备使用寿命构成严重负面影响，或对处置盐产品质量造成影响的。</w:t>
      </w:r>
    </w:p>
    <w:p w14:paraId="4AA4430B">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废盐入厂及入炉控制要求具体见下表：</w:t>
      </w:r>
    </w:p>
    <w:p w14:paraId="1AACE201">
      <w:pPr>
        <w:pStyle w:val="117"/>
        <w:rPr>
          <w:rFonts w:ascii="Times New Roman" w:hAnsi="Times New Roman" w:cs="Times New Roman"/>
          <w:color w:val="000000" w:themeColor="text1"/>
          <w14:textFill>
            <w14:solidFill>
              <w14:schemeClr w14:val="tx1"/>
            </w14:solidFill>
          </w14:textFill>
        </w:rPr>
      </w:pPr>
      <w:bookmarkStart w:id="257" w:name="_Hlk218587943"/>
      <w:r>
        <w:rPr>
          <w:rFonts w:ascii="Times New Roman" w:hAnsi="Times New Roman" w:cs="Times New Roman"/>
          <w:color w:val="000000" w:themeColor="text1"/>
          <w14:textFill>
            <w14:solidFill>
              <w14:schemeClr w14:val="tx1"/>
            </w14:solidFill>
          </w14:textFill>
        </w:rPr>
        <w:t>原料入炉控制要求一览表</w:t>
      </w:r>
    </w:p>
    <w:bookmarkEnd w:id="257"/>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871"/>
        <w:gridCol w:w="1595"/>
        <w:gridCol w:w="2198"/>
        <w:gridCol w:w="2198"/>
      </w:tblGrid>
      <w:tr w14:paraId="041C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7566EE24">
            <w:pPr>
              <w:pStyle w:val="109"/>
              <w:rPr>
                <w:color w:val="000000" w:themeColor="text1"/>
                <w:szCs w:val="21"/>
                <w14:textFill>
                  <w14:solidFill>
                    <w14:schemeClr w14:val="tx1"/>
                  </w14:solidFill>
                </w14:textFill>
              </w:rPr>
            </w:pPr>
            <w:bookmarkStart w:id="258" w:name="_Hlk218588035"/>
            <w:r>
              <w:rPr>
                <w:color w:val="000000" w:themeColor="text1"/>
                <w:szCs w:val="21"/>
                <w14:textFill>
                  <w14:solidFill>
                    <w14:schemeClr w14:val="tx1"/>
                  </w14:solidFill>
                </w14:textFill>
              </w:rPr>
              <w:t>序号</w:t>
            </w:r>
          </w:p>
        </w:tc>
        <w:tc>
          <w:tcPr>
            <w:tcW w:w="1491" w:type="pct"/>
            <w:noWrap/>
            <w:vAlign w:val="center"/>
          </w:tcPr>
          <w:p w14:paraId="08CADA9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检测项目</w:t>
            </w:r>
          </w:p>
        </w:tc>
        <w:tc>
          <w:tcPr>
            <w:tcW w:w="828" w:type="pct"/>
            <w:noWrap/>
            <w:vAlign w:val="center"/>
          </w:tcPr>
          <w:p w14:paraId="69314C2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141" w:type="pct"/>
          </w:tcPr>
          <w:p w14:paraId="2342E72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入厂限值</w:t>
            </w:r>
          </w:p>
        </w:tc>
        <w:tc>
          <w:tcPr>
            <w:tcW w:w="1141" w:type="pct"/>
            <w:noWrap/>
            <w:vAlign w:val="center"/>
          </w:tcPr>
          <w:p w14:paraId="58A9C5F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入炉限值 </w:t>
            </w:r>
          </w:p>
        </w:tc>
      </w:tr>
      <w:tr w14:paraId="17A6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4ECB2B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491" w:type="pct"/>
            <w:noWrap/>
            <w:vAlign w:val="center"/>
          </w:tcPr>
          <w:p w14:paraId="6346B6B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氯化钠+硫酸钠 </w:t>
            </w:r>
          </w:p>
        </w:tc>
        <w:tc>
          <w:tcPr>
            <w:tcW w:w="828" w:type="pct"/>
            <w:noWrap/>
            <w:vAlign w:val="center"/>
          </w:tcPr>
          <w:p w14:paraId="2ADBCE5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1" w:type="pct"/>
            <w:vAlign w:val="bottom"/>
          </w:tcPr>
          <w:p w14:paraId="4D86B25F">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w:t>
            </w:r>
          </w:p>
        </w:tc>
        <w:tc>
          <w:tcPr>
            <w:tcW w:w="1141" w:type="pct"/>
            <w:noWrap/>
            <w:vAlign w:val="center"/>
          </w:tcPr>
          <w:p w14:paraId="4375C22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≥80 </w:t>
            </w:r>
          </w:p>
        </w:tc>
      </w:tr>
      <w:tr w14:paraId="596C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580AF2E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491" w:type="pct"/>
            <w:noWrap/>
            <w:vAlign w:val="center"/>
          </w:tcPr>
          <w:p w14:paraId="3715D23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有机质 </w:t>
            </w:r>
          </w:p>
        </w:tc>
        <w:tc>
          <w:tcPr>
            <w:tcW w:w="828" w:type="pct"/>
            <w:noWrap/>
            <w:vAlign w:val="center"/>
          </w:tcPr>
          <w:p w14:paraId="5B2EBF0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1" w:type="pct"/>
            <w:vAlign w:val="bottom"/>
          </w:tcPr>
          <w:p w14:paraId="2B636615">
            <w:pPr>
              <w:pStyle w:val="109"/>
              <w:rPr>
                <w:rFonts w:eastAsiaTheme="minorEastAsia"/>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w:t>
            </w:r>
            <w:r>
              <w:rPr>
                <w:rFonts w:eastAsiaTheme="minorEastAsia"/>
                <w:color w:val="000000" w:themeColor="text1"/>
                <w:szCs w:val="21"/>
                <w14:textFill>
                  <w14:solidFill>
                    <w14:schemeClr w14:val="tx1"/>
                  </w14:solidFill>
                </w14:textFill>
              </w:rPr>
              <w:t>5</w:t>
            </w:r>
          </w:p>
        </w:tc>
        <w:tc>
          <w:tcPr>
            <w:tcW w:w="1141" w:type="pct"/>
            <w:noWrap/>
            <w:vAlign w:val="center"/>
          </w:tcPr>
          <w:p w14:paraId="1F4FF4B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 </w:t>
            </w:r>
          </w:p>
        </w:tc>
      </w:tr>
      <w:tr w14:paraId="3FBA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4364382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491" w:type="pct"/>
            <w:noWrap/>
            <w:vAlign w:val="center"/>
          </w:tcPr>
          <w:p w14:paraId="76CBDC0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有机氯 </w:t>
            </w:r>
          </w:p>
        </w:tc>
        <w:tc>
          <w:tcPr>
            <w:tcW w:w="828" w:type="pct"/>
            <w:noWrap/>
            <w:vAlign w:val="center"/>
          </w:tcPr>
          <w:p w14:paraId="05C4F5E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1" w:type="pct"/>
            <w:vAlign w:val="bottom"/>
          </w:tcPr>
          <w:p w14:paraId="701A4E0C">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w:t>
            </w:r>
          </w:p>
        </w:tc>
        <w:tc>
          <w:tcPr>
            <w:tcW w:w="1141" w:type="pct"/>
            <w:noWrap/>
            <w:vAlign w:val="center"/>
          </w:tcPr>
          <w:p w14:paraId="3C3105D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 xml:space="preserve"> </w:t>
            </w:r>
          </w:p>
        </w:tc>
      </w:tr>
      <w:tr w14:paraId="027B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7D0493C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491" w:type="pct"/>
            <w:noWrap/>
            <w:vAlign w:val="center"/>
          </w:tcPr>
          <w:p w14:paraId="33A76AC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有机硫 </w:t>
            </w:r>
          </w:p>
        </w:tc>
        <w:tc>
          <w:tcPr>
            <w:tcW w:w="828" w:type="pct"/>
            <w:noWrap/>
            <w:vAlign w:val="center"/>
          </w:tcPr>
          <w:p w14:paraId="38B7400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1" w:type="pct"/>
            <w:vAlign w:val="bottom"/>
          </w:tcPr>
          <w:p w14:paraId="691F7B05">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&lt;0.5</w:t>
            </w:r>
          </w:p>
        </w:tc>
        <w:tc>
          <w:tcPr>
            <w:tcW w:w="1141" w:type="pct"/>
            <w:noWrap/>
            <w:vAlign w:val="center"/>
          </w:tcPr>
          <w:p w14:paraId="77BF570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 </w:t>
            </w:r>
          </w:p>
        </w:tc>
      </w:tr>
      <w:tr w14:paraId="411F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45D00BF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491" w:type="pct"/>
            <w:noWrap/>
            <w:vAlign w:val="center"/>
          </w:tcPr>
          <w:p w14:paraId="5966CD8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水分 </w:t>
            </w:r>
          </w:p>
        </w:tc>
        <w:tc>
          <w:tcPr>
            <w:tcW w:w="828" w:type="pct"/>
            <w:noWrap/>
            <w:vAlign w:val="center"/>
          </w:tcPr>
          <w:p w14:paraId="57E8A97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1" w:type="pct"/>
          </w:tcPr>
          <w:p w14:paraId="13BADF47">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&lt;20</w:t>
            </w:r>
          </w:p>
        </w:tc>
        <w:tc>
          <w:tcPr>
            <w:tcW w:w="1141" w:type="pct"/>
            <w:noWrap/>
            <w:vAlign w:val="center"/>
          </w:tcPr>
          <w:p w14:paraId="0314697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≤10 </w:t>
            </w:r>
          </w:p>
        </w:tc>
      </w:tr>
      <w:tr w14:paraId="10E5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6BC555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491" w:type="pct"/>
            <w:noWrap/>
            <w:vAlign w:val="center"/>
          </w:tcPr>
          <w:p w14:paraId="0C7B971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钙、镁含量 </w:t>
            </w:r>
          </w:p>
        </w:tc>
        <w:tc>
          <w:tcPr>
            <w:tcW w:w="828" w:type="pct"/>
            <w:noWrap/>
            <w:vAlign w:val="center"/>
          </w:tcPr>
          <w:p w14:paraId="7C61046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1" w:type="pct"/>
            <w:vAlign w:val="bottom"/>
          </w:tcPr>
          <w:p w14:paraId="30F1FD11">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&lt;2</w:t>
            </w:r>
          </w:p>
        </w:tc>
        <w:tc>
          <w:tcPr>
            <w:tcW w:w="1141" w:type="pct"/>
            <w:noWrap/>
            <w:vAlign w:val="center"/>
          </w:tcPr>
          <w:p w14:paraId="4E864A8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 </w:t>
            </w:r>
          </w:p>
        </w:tc>
      </w:tr>
      <w:tr w14:paraId="4BB0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5519B99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491" w:type="pct"/>
            <w:noWrap/>
            <w:vAlign w:val="center"/>
          </w:tcPr>
          <w:p w14:paraId="56F11A8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有机氟 </w:t>
            </w:r>
          </w:p>
        </w:tc>
        <w:tc>
          <w:tcPr>
            <w:tcW w:w="828" w:type="pct"/>
            <w:noWrap/>
            <w:vAlign w:val="center"/>
          </w:tcPr>
          <w:p w14:paraId="7A92F2D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727A5D52">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&lt;1000</w:t>
            </w:r>
          </w:p>
        </w:tc>
        <w:tc>
          <w:tcPr>
            <w:tcW w:w="1141" w:type="pct"/>
            <w:noWrap/>
            <w:vAlign w:val="center"/>
          </w:tcPr>
          <w:p w14:paraId="5B5AF68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≤100 </w:t>
            </w:r>
          </w:p>
        </w:tc>
      </w:tr>
      <w:tr w14:paraId="3015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3E5BADB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491" w:type="pct"/>
            <w:noWrap/>
            <w:vAlign w:val="center"/>
          </w:tcPr>
          <w:p w14:paraId="5E24676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铜 </w:t>
            </w:r>
          </w:p>
        </w:tc>
        <w:tc>
          <w:tcPr>
            <w:tcW w:w="828" w:type="pct"/>
            <w:noWrap/>
            <w:vAlign w:val="center"/>
          </w:tcPr>
          <w:p w14:paraId="359FA20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48189913">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&lt;200</w:t>
            </w:r>
          </w:p>
        </w:tc>
        <w:tc>
          <w:tcPr>
            <w:tcW w:w="1141" w:type="pct"/>
            <w:noWrap/>
            <w:vAlign w:val="center"/>
          </w:tcPr>
          <w:p w14:paraId="72B54B4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≤100 </w:t>
            </w:r>
          </w:p>
        </w:tc>
      </w:tr>
      <w:tr w14:paraId="1139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37D097F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491" w:type="pct"/>
            <w:noWrap/>
            <w:vAlign w:val="center"/>
          </w:tcPr>
          <w:p w14:paraId="5863ABB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锌 </w:t>
            </w:r>
          </w:p>
        </w:tc>
        <w:tc>
          <w:tcPr>
            <w:tcW w:w="828" w:type="pct"/>
            <w:noWrap/>
            <w:vAlign w:val="center"/>
          </w:tcPr>
          <w:p w14:paraId="02BF470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7F1580B4">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&lt;200</w:t>
            </w:r>
          </w:p>
        </w:tc>
        <w:tc>
          <w:tcPr>
            <w:tcW w:w="1141" w:type="pct"/>
            <w:noWrap/>
            <w:vAlign w:val="center"/>
          </w:tcPr>
          <w:p w14:paraId="76F7886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≤100 </w:t>
            </w:r>
          </w:p>
        </w:tc>
      </w:tr>
      <w:tr w14:paraId="15C4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71389BF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491" w:type="pct"/>
            <w:noWrap/>
            <w:vAlign w:val="center"/>
          </w:tcPr>
          <w:p w14:paraId="23C3400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总铬 </w:t>
            </w:r>
          </w:p>
        </w:tc>
        <w:tc>
          <w:tcPr>
            <w:tcW w:w="828" w:type="pct"/>
            <w:noWrap/>
            <w:vAlign w:val="center"/>
          </w:tcPr>
          <w:p w14:paraId="147BE7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705F3C6C">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&lt;30</w:t>
            </w:r>
          </w:p>
        </w:tc>
        <w:tc>
          <w:tcPr>
            <w:tcW w:w="1141" w:type="pct"/>
            <w:noWrap/>
            <w:vAlign w:val="center"/>
          </w:tcPr>
          <w:p w14:paraId="109DEE1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≤15 </w:t>
            </w:r>
          </w:p>
        </w:tc>
      </w:tr>
      <w:tr w14:paraId="69AB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201DE7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491" w:type="pct"/>
            <w:noWrap/>
            <w:vAlign w:val="center"/>
          </w:tcPr>
          <w:p w14:paraId="36394A9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六价铬 </w:t>
            </w:r>
          </w:p>
        </w:tc>
        <w:tc>
          <w:tcPr>
            <w:tcW w:w="828" w:type="pct"/>
            <w:noWrap/>
            <w:vAlign w:val="center"/>
          </w:tcPr>
          <w:p w14:paraId="4EEF35A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49EA4DB7">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w:t>
            </w:r>
          </w:p>
        </w:tc>
        <w:tc>
          <w:tcPr>
            <w:tcW w:w="1141" w:type="pct"/>
            <w:noWrap/>
            <w:vAlign w:val="center"/>
          </w:tcPr>
          <w:p w14:paraId="3CB43D9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 </w:t>
            </w:r>
          </w:p>
        </w:tc>
      </w:tr>
      <w:tr w14:paraId="3F4C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01F44A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491" w:type="pct"/>
            <w:noWrap/>
            <w:vAlign w:val="center"/>
          </w:tcPr>
          <w:p w14:paraId="13E5538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有机氮 </w:t>
            </w:r>
          </w:p>
        </w:tc>
        <w:tc>
          <w:tcPr>
            <w:tcW w:w="828" w:type="pct"/>
            <w:noWrap/>
            <w:vAlign w:val="center"/>
          </w:tcPr>
          <w:p w14:paraId="5FC2A52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1" w:type="pct"/>
            <w:vAlign w:val="bottom"/>
          </w:tcPr>
          <w:p w14:paraId="4946E013">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w:t>
            </w:r>
          </w:p>
        </w:tc>
        <w:tc>
          <w:tcPr>
            <w:tcW w:w="1141" w:type="pct"/>
            <w:noWrap/>
            <w:vAlign w:val="center"/>
          </w:tcPr>
          <w:p w14:paraId="3F0F0C0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 </w:t>
            </w:r>
          </w:p>
        </w:tc>
      </w:tr>
      <w:tr w14:paraId="1672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66814FE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1491" w:type="pct"/>
            <w:noWrap/>
            <w:vAlign w:val="center"/>
          </w:tcPr>
          <w:p w14:paraId="09E2D71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有机磷 </w:t>
            </w:r>
          </w:p>
        </w:tc>
        <w:tc>
          <w:tcPr>
            <w:tcW w:w="828" w:type="pct"/>
            <w:noWrap/>
            <w:vAlign w:val="center"/>
          </w:tcPr>
          <w:p w14:paraId="5E61569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1" w:type="pct"/>
            <w:vAlign w:val="bottom"/>
          </w:tcPr>
          <w:p w14:paraId="57445153">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w:t>
            </w:r>
          </w:p>
        </w:tc>
        <w:tc>
          <w:tcPr>
            <w:tcW w:w="1141" w:type="pct"/>
            <w:noWrap/>
            <w:vAlign w:val="center"/>
          </w:tcPr>
          <w:p w14:paraId="72F0AEE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 </w:t>
            </w:r>
          </w:p>
        </w:tc>
      </w:tr>
      <w:tr w14:paraId="119D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43BB144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491" w:type="pct"/>
            <w:noWrap/>
            <w:vAlign w:val="center"/>
          </w:tcPr>
          <w:p w14:paraId="7B05286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总铅 </w:t>
            </w:r>
          </w:p>
        </w:tc>
        <w:tc>
          <w:tcPr>
            <w:tcW w:w="828" w:type="pct"/>
            <w:noWrap/>
            <w:vAlign w:val="center"/>
          </w:tcPr>
          <w:p w14:paraId="0FEBDE0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66B04CBC">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w:t>
            </w:r>
          </w:p>
        </w:tc>
        <w:tc>
          <w:tcPr>
            <w:tcW w:w="1141" w:type="pct"/>
            <w:noWrap/>
            <w:vAlign w:val="center"/>
          </w:tcPr>
          <w:p w14:paraId="147CC4F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 </w:t>
            </w:r>
          </w:p>
        </w:tc>
      </w:tr>
      <w:tr w14:paraId="022B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6467088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491" w:type="pct"/>
            <w:noWrap/>
            <w:vAlign w:val="center"/>
          </w:tcPr>
          <w:p w14:paraId="5FBE6C9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总砷 </w:t>
            </w:r>
          </w:p>
        </w:tc>
        <w:tc>
          <w:tcPr>
            <w:tcW w:w="828" w:type="pct"/>
            <w:noWrap/>
            <w:vAlign w:val="center"/>
          </w:tcPr>
          <w:p w14:paraId="2757F4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74594AE6">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w:t>
            </w:r>
          </w:p>
        </w:tc>
        <w:tc>
          <w:tcPr>
            <w:tcW w:w="1141" w:type="pct"/>
            <w:noWrap/>
            <w:vAlign w:val="center"/>
          </w:tcPr>
          <w:p w14:paraId="209B557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 </w:t>
            </w:r>
          </w:p>
        </w:tc>
      </w:tr>
      <w:tr w14:paraId="1E91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55286C2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1491" w:type="pct"/>
            <w:noWrap/>
            <w:vAlign w:val="center"/>
          </w:tcPr>
          <w:p w14:paraId="0ACA849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总镍 </w:t>
            </w:r>
          </w:p>
        </w:tc>
        <w:tc>
          <w:tcPr>
            <w:tcW w:w="828" w:type="pct"/>
            <w:noWrap/>
            <w:vAlign w:val="center"/>
          </w:tcPr>
          <w:p w14:paraId="164E677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58E3C6F9">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w:t>
            </w:r>
          </w:p>
        </w:tc>
        <w:tc>
          <w:tcPr>
            <w:tcW w:w="1141" w:type="pct"/>
            <w:noWrap/>
            <w:vAlign w:val="center"/>
          </w:tcPr>
          <w:p w14:paraId="355525A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 </w:t>
            </w:r>
          </w:p>
        </w:tc>
      </w:tr>
      <w:tr w14:paraId="7F50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523E5D1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1491" w:type="pct"/>
            <w:noWrap/>
            <w:vAlign w:val="center"/>
          </w:tcPr>
          <w:p w14:paraId="3D85D92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总镉 </w:t>
            </w:r>
          </w:p>
        </w:tc>
        <w:tc>
          <w:tcPr>
            <w:tcW w:w="828" w:type="pct"/>
            <w:noWrap/>
            <w:vAlign w:val="center"/>
          </w:tcPr>
          <w:p w14:paraId="52E9786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61BDC8B5">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&lt;2</w:t>
            </w:r>
          </w:p>
        </w:tc>
        <w:tc>
          <w:tcPr>
            <w:tcW w:w="1141" w:type="pct"/>
            <w:noWrap/>
            <w:vAlign w:val="center"/>
          </w:tcPr>
          <w:p w14:paraId="48C9C32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≤0.5 </w:t>
            </w:r>
          </w:p>
        </w:tc>
      </w:tr>
      <w:tr w14:paraId="21C8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51EE4D7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1491" w:type="pct"/>
            <w:noWrap/>
            <w:vAlign w:val="center"/>
          </w:tcPr>
          <w:p w14:paraId="3E1F2C65">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铊</w:t>
            </w:r>
          </w:p>
        </w:tc>
        <w:tc>
          <w:tcPr>
            <w:tcW w:w="828" w:type="pct"/>
            <w:noWrap/>
            <w:vAlign w:val="center"/>
          </w:tcPr>
          <w:p w14:paraId="4CF6E7D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372847EB">
            <w:pPr>
              <w:pStyle w:val="109"/>
              <w:rPr>
                <w:rFonts w:eastAsia="Times New Roman"/>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&lt;2</w:t>
            </w:r>
          </w:p>
        </w:tc>
        <w:tc>
          <w:tcPr>
            <w:tcW w:w="1141" w:type="pct"/>
            <w:noWrap/>
            <w:vAlign w:val="center"/>
          </w:tcPr>
          <w:p w14:paraId="1F5BDA0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≤0.5 </w:t>
            </w:r>
          </w:p>
        </w:tc>
      </w:tr>
      <w:tr w14:paraId="1167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5C12F43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1491" w:type="pct"/>
            <w:noWrap/>
            <w:vAlign w:val="center"/>
          </w:tcPr>
          <w:p w14:paraId="5E307E7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总汞 </w:t>
            </w:r>
          </w:p>
        </w:tc>
        <w:tc>
          <w:tcPr>
            <w:tcW w:w="828" w:type="pct"/>
            <w:noWrap/>
            <w:vAlign w:val="center"/>
          </w:tcPr>
          <w:p w14:paraId="057128F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613DAEB3">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&lt;0.2</w:t>
            </w:r>
          </w:p>
        </w:tc>
        <w:tc>
          <w:tcPr>
            <w:tcW w:w="1141" w:type="pct"/>
            <w:noWrap/>
            <w:vAlign w:val="center"/>
          </w:tcPr>
          <w:p w14:paraId="1663E57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 </w:t>
            </w:r>
          </w:p>
        </w:tc>
      </w:tr>
      <w:tr w14:paraId="4348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56020D5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491" w:type="pct"/>
            <w:noWrap/>
            <w:vAlign w:val="center"/>
          </w:tcPr>
          <w:p w14:paraId="27C7110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钡 </w:t>
            </w:r>
          </w:p>
        </w:tc>
        <w:tc>
          <w:tcPr>
            <w:tcW w:w="828" w:type="pct"/>
            <w:noWrap/>
            <w:vAlign w:val="center"/>
          </w:tcPr>
          <w:p w14:paraId="1AE549D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694F2A40">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&lt;200</w:t>
            </w:r>
          </w:p>
        </w:tc>
        <w:tc>
          <w:tcPr>
            <w:tcW w:w="1141" w:type="pct"/>
            <w:noWrap/>
            <w:vAlign w:val="center"/>
          </w:tcPr>
          <w:p w14:paraId="1D14D55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≤100 </w:t>
            </w:r>
          </w:p>
        </w:tc>
      </w:tr>
      <w:tr w14:paraId="5962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60292CF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1491" w:type="pct"/>
            <w:noWrap/>
            <w:vAlign w:val="center"/>
          </w:tcPr>
          <w:p w14:paraId="26AEDFB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铍 </w:t>
            </w:r>
          </w:p>
        </w:tc>
        <w:tc>
          <w:tcPr>
            <w:tcW w:w="828" w:type="pct"/>
            <w:noWrap/>
            <w:vAlign w:val="center"/>
          </w:tcPr>
          <w:p w14:paraId="1DC93D1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4C3A158A">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&lt;0.04</w:t>
            </w:r>
          </w:p>
        </w:tc>
        <w:tc>
          <w:tcPr>
            <w:tcW w:w="1141" w:type="pct"/>
            <w:noWrap/>
            <w:vAlign w:val="center"/>
          </w:tcPr>
          <w:p w14:paraId="6B593C1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≤0.02 </w:t>
            </w:r>
          </w:p>
        </w:tc>
      </w:tr>
      <w:tr w14:paraId="1668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3900079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1491" w:type="pct"/>
            <w:noWrap/>
            <w:vAlign w:val="center"/>
          </w:tcPr>
          <w:p w14:paraId="512F540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总银 </w:t>
            </w:r>
          </w:p>
        </w:tc>
        <w:tc>
          <w:tcPr>
            <w:tcW w:w="828" w:type="pct"/>
            <w:noWrap/>
            <w:vAlign w:val="center"/>
          </w:tcPr>
          <w:p w14:paraId="1FB7E1F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6C64B4DE">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w:t>
            </w:r>
          </w:p>
        </w:tc>
        <w:tc>
          <w:tcPr>
            <w:tcW w:w="1141" w:type="pct"/>
            <w:noWrap/>
            <w:vAlign w:val="center"/>
          </w:tcPr>
          <w:p w14:paraId="6E7B975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 </w:t>
            </w:r>
          </w:p>
        </w:tc>
      </w:tr>
      <w:tr w14:paraId="115D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50E1279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1491" w:type="pct"/>
            <w:noWrap/>
            <w:vAlign w:val="center"/>
          </w:tcPr>
          <w:p w14:paraId="68B7D22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硒 </w:t>
            </w:r>
          </w:p>
        </w:tc>
        <w:tc>
          <w:tcPr>
            <w:tcW w:w="828" w:type="pct"/>
            <w:noWrap/>
            <w:vAlign w:val="center"/>
          </w:tcPr>
          <w:p w14:paraId="6F06BC6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70775E49">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&lt;2</w:t>
            </w:r>
          </w:p>
        </w:tc>
        <w:tc>
          <w:tcPr>
            <w:tcW w:w="1141" w:type="pct"/>
            <w:noWrap/>
            <w:vAlign w:val="center"/>
          </w:tcPr>
          <w:p w14:paraId="2E691BD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 </w:t>
            </w:r>
          </w:p>
        </w:tc>
      </w:tr>
      <w:tr w14:paraId="7F50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37DBF99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491" w:type="pct"/>
            <w:noWrap/>
            <w:vAlign w:val="center"/>
          </w:tcPr>
          <w:p w14:paraId="0D01ECE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硅 </w:t>
            </w:r>
          </w:p>
        </w:tc>
        <w:tc>
          <w:tcPr>
            <w:tcW w:w="828" w:type="pct"/>
            <w:noWrap/>
            <w:vAlign w:val="center"/>
          </w:tcPr>
          <w:p w14:paraId="1DE9D00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vAlign w:val="bottom"/>
          </w:tcPr>
          <w:p w14:paraId="2DDE7748">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&lt;1000</w:t>
            </w:r>
          </w:p>
        </w:tc>
        <w:tc>
          <w:tcPr>
            <w:tcW w:w="1141" w:type="pct"/>
            <w:noWrap/>
            <w:vAlign w:val="center"/>
          </w:tcPr>
          <w:p w14:paraId="4A92DDB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≤500 </w:t>
            </w:r>
          </w:p>
        </w:tc>
      </w:tr>
      <w:tr w14:paraId="2545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5A5BDD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491" w:type="pct"/>
            <w:noWrap/>
            <w:vAlign w:val="center"/>
          </w:tcPr>
          <w:p w14:paraId="115E7B2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锰 </w:t>
            </w:r>
          </w:p>
        </w:tc>
        <w:tc>
          <w:tcPr>
            <w:tcW w:w="828" w:type="pct"/>
            <w:noWrap/>
            <w:vAlign w:val="center"/>
          </w:tcPr>
          <w:p w14:paraId="70A6A89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tcPr>
          <w:p w14:paraId="449F39AB">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&lt;10</w:t>
            </w:r>
          </w:p>
        </w:tc>
        <w:tc>
          <w:tcPr>
            <w:tcW w:w="1141" w:type="pct"/>
            <w:noWrap/>
            <w:vAlign w:val="center"/>
          </w:tcPr>
          <w:p w14:paraId="2B743C9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 </w:t>
            </w:r>
          </w:p>
        </w:tc>
      </w:tr>
      <w:tr w14:paraId="441E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98" w:type="pct"/>
            <w:noWrap/>
            <w:vAlign w:val="center"/>
          </w:tcPr>
          <w:p w14:paraId="173F895A">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w:t>
            </w:r>
          </w:p>
        </w:tc>
        <w:tc>
          <w:tcPr>
            <w:tcW w:w="1491" w:type="pct"/>
            <w:noWrap/>
            <w:vAlign w:val="center"/>
          </w:tcPr>
          <w:p w14:paraId="7B85052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总有机碳</w:t>
            </w:r>
          </w:p>
        </w:tc>
        <w:tc>
          <w:tcPr>
            <w:tcW w:w="828" w:type="pct"/>
            <w:noWrap/>
            <w:vAlign w:val="center"/>
          </w:tcPr>
          <w:p w14:paraId="3922AF1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141" w:type="pct"/>
          </w:tcPr>
          <w:p w14:paraId="02A4A336">
            <w:pPr>
              <w:pStyle w:val="109"/>
              <w:rPr>
                <w:rFonts w:eastAsiaTheme="minorEastAsia"/>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&lt;</w:t>
            </w:r>
            <w:r>
              <w:rPr>
                <w:rFonts w:hint="eastAsia" w:eastAsiaTheme="minorEastAsia"/>
                <w:color w:val="000000" w:themeColor="text1"/>
                <w:szCs w:val="21"/>
                <w14:textFill>
                  <w14:solidFill>
                    <w14:schemeClr w14:val="tx1"/>
                  </w14:solidFill>
                </w14:textFill>
              </w:rPr>
              <w:t>50000</w:t>
            </w:r>
          </w:p>
        </w:tc>
        <w:tc>
          <w:tcPr>
            <w:tcW w:w="1141" w:type="pct"/>
            <w:noWrap/>
            <w:vAlign w:val="center"/>
          </w:tcPr>
          <w:p w14:paraId="0116008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20000</w:t>
            </w:r>
          </w:p>
        </w:tc>
      </w:tr>
    </w:tbl>
    <w:p w14:paraId="7852521F">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14:textFill>
            <w14:solidFill>
              <w14:schemeClr w14:val="tx1"/>
            </w14:solidFill>
          </w14:textFill>
        </w:rPr>
        <w:t>在入炉原料检测过程中，以上指标如有1项指标超出限值，应告知运行班组采取相应措施确保产品质量和污染排放控制达标；如有2项以上（含）指标超出限值，应重新优化配伍，重新取样检测，直到达入炉标准。</w:t>
      </w:r>
      <w:bookmarkEnd w:id="258"/>
    </w:p>
    <w:p w14:paraId="61C3C268">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废盐热解处理工艺</w:t>
      </w:r>
    </w:p>
    <w:p w14:paraId="78209636">
      <w:pPr>
        <w:ind w:firstLine="480"/>
        <w:rPr>
          <w:color w:val="000000" w:themeColor="text1"/>
          <w14:textFill>
            <w14:solidFill>
              <w14:schemeClr w14:val="tx1"/>
            </w14:solidFill>
          </w14:textFill>
        </w:rPr>
      </w:pPr>
      <w:r>
        <w:rPr>
          <w:color w:val="000000" w:themeColor="text1"/>
          <w14:textFill>
            <w14:solidFill>
              <w14:schemeClr w14:val="tx1"/>
            </w14:solidFill>
          </w14:textFill>
        </w:rPr>
        <w:t>热解焙烧窑焚烧处理工艺包含进料系统、盐渣热解系统、焚烧系统、烟气净化处理系统等几个部分。</w:t>
      </w:r>
      <w:bookmarkStart w:id="259" w:name="_Toc23355"/>
      <w:bookmarkStart w:id="260" w:name="_Toc97303542"/>
      <w:bookmarkStart w:id="261" w:name="_Toc30178"/>
      <w:bookmarkStart w:id="262" w:name="_Toc256407869"/>
      <w:bookmarkStart w:id="263" w:name="_Toc2722"/>
      <w:bookmarkStart w:id="264" w:name="_Toc21336"/>
      <w:bookmarkStart w:id="265" w:name="_Toc26207"/>
      <w:bookmarkStart w:id="266" w:name="_Toc70"/>
    </w:p>
    <w:p w14:paraId="05D52EE0">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设计运行指标</w:t>
      </w:r>
      <w:bookmarkEnd w:id="259"/>
      <w:bookmarkEnd w:id="260"/>
      <w:bookmarkEnd w:id="261"/>
      <w:bookmarkEnd w:id="262"/>
      <w:bookmarkEnd w:id="263"/>
      <w:bookmarkEnd w:id="264"/>
      <w:bookmarkEnd w:id="265"/>
      <w:bookmarkEnd w:id="266"/>
      <w:r>
        <w:rPr>
          <w:b/>
          <w:bCs/>
          <w:color w:val="000000" w:themeColor="text1"/>
          <w14:textFill>
            <w14:solidFill>
              <w14:schemeClr w14:val="tx1"/>
            </w14:solidFill>
          </w14:textFill>
        </w:rPr>
        <w:t>：</w:t>
      </w:r>
    </w:p>
    <w:p w14:paraId="5E73EEA3">
      <w:pPr>
        <w:ind w:firstLine="480"/>
        <w:rPr>
          <w:color w:val="000000" w:themeColor="text1"/>
          <w14:textFill>
            <w14:solidFill>
              <w14:schemeClr w14:val="tx1"/>
            </w14:solidFill>
          </w14:textFill>
        </w:rPr>
      </w:pPr>
      <w:r>
        <w:rPr>
          <w:color w:val="000000" w:themeColor="text1"/>
          <w14:textFill>
            <w14:solidFill>
              <w14:schemeClr w14:val="tx1"/>
            </w14:solidFill>
          </w14:textFill>
        </w:rPr>
        <w:t>1、热解焙烧系统设计能力：150t/d。</w:t>
      </w:r>
    </w:p>
    <w:p w14:paraId="2096C3F3">
      <w:pPr>
        <w:ind w:firstLine="480"/>
        <w:rPr>
          <w:color w:val="000000" w:themeColor="text1"/>
          <w14:textFill>
            <w14:solidFill>
              <w14:schemeClr w14:val="tx1"/>
            </w14:solidFill>
          </w14:textFill>
        </w:rPr>
      </w:pPr>
      <w:r>
        <w:rPr>
          <w:color w:val="000000" w:themeColor="text1"/>
          <w14:textFill>
            <w14:solidFill>
              <w14:schemeClr w14:val="tx1"/>
            </w14:solidFill>
          </w14:textFill>
        </w:rPr>
        <w:t>2、运行方式：</w:t>
      </w:r>
      <w:bookmarkStart w:id="267" w:name="_Hlk221267459"/>
      <w:r>
        <w:rPr>
          <w:color w:val="000000" w:themeColor="text1"/>
          <w14:textFill>
            <w14:solidFill>
              <w14:schemeClr w14:val="tx1"/>
            </w14:solidFill>
          </w14:textFill>
        </w:rPr>
        <w:t>连续运行，年运行时间8000h；</w:t>
      </w:r>
      <w:bookmarkEnd w:id="267"/>
    </w:p>
    <w:p w14:paraId="52E807DC">
      <w:pPr>
        <w:ind w:firstLine="480"/>
        <w:rPr>
          <w:color w:val="000000" w:themeColor="text1"/>
          <w14:textFill>
            <w14:solidFill>
              <w14:schemeClr w14:val="tx1"/>
            </w14:solidFill>
          </w14:textFill>
        </w:rPr>
      </w:pPr>
      <w:r>
        <w:rPr>
          <w:color w:val="000000" w:themeColor="text1"/>
          <w14:textFill>
            <w14:solidFill>
              <w14:schemeClr w14:val="tx1"/>
            </w14:solidFill>
          </w14:textFill>
        </w:rPr>
        <w:t>3、点火方式：自动点火；</w:t>
      </w:r>
    </w:p>
    <w:p w14:paraId="2A8260CF">
      <w:pPr>
        <w:ind w:firstLine="480"/>
        <w:rPr>
          <w:color w:val="000000" w:themeColor="text1"/>
          <w14:textFill>
            <w14:solidFill>
              <w14:schemeClr w14:val="tx1"/>
            </w14:solidFill>
          </w14:textFill>
        </w:rPr>
      </w:pPr>
      <w:r>
        <w:rPr>
          <w:color w:val="000000" w:themeColor="text1"/>
          <w14:textFill>
            <w14:solidFill>
              <w14:schemeClr w14:val="tx1"/>
            </w14:solidFill>
          </w14:textFill>
        </w:rPr>
        <w:t>4、进出料方式：</w:t>
      </w:r>
    </w:p>
    <w:p w14:paraId="66C8AF87">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考虑采用刮板机输送至高位料斗，螺旋定量给料。</w:t>
      </w:r>
    </w:p>
    <w:p w14:paraId="3C02AF13">
      <w:pPr>
        <w:ind w:firstLine="720" w:firstLineChars="300"/>
        <w:rPr>
          <w:color w:val="000000" w:themeColor="text1"/>
          <w14:textFill>
            <w14:solidFill>
              <w14:schemeClr w14:val="tx1"/>
            </w14:solidFill>
          </w14:textFill>
        </w:rPr>
      </w:pPr>
      <w:r>
        <w:rPr>
          <w:color w:val="000000" w:themeColor="text1"/>
          <w14:textFill>
            <w14:solidFill>
              <w14:schemeClr w14:val="tx1"/>
            </w14:solidFill>
          </w14:textFill>
        </w:rPr>
        <w:t>出料采用滚筒冷渣机+袋式输送机转运到灰渣库</w:t>
      </w:r>
    </w:p>
    <w:p w14:paraId="4E034E5C">
      <w:pPr>
        <w:ind w:firstLine="480"/>
        <w:rPr>
          <w:color w:val="000000" w:themeColor="text1"/>
          <w14:textFill>
            <w14:solidFill>
              <w14:schemeClr w14:val="tx1"/>
            </w14:solidFill>
          </w14:textFill>
        </w:rPr>
      </w:pPr>
      <w:r>
        <w:rPr>
          <w:color w:val="000000" w:themeColor="text1"/>
          <w14:textFill>
            <w14:solidFill>
              <w14:schemeClr w14:val="tx1"/>
            </w14:solidFill>
          </w14:textFill>
        </w:rPr>
        <w:t>5、助燃燃料：天然气；</w:t>
      </w:r>
    </w:p>
    <w:p w14:paraId="6FE1ECD2">
      <w:pPr>
        <w:ind w:firstLine="480"/>
        <w:rPr>
          <w:color w:val="000000" w:themeColor="text1"/>
          <w14:textFill>
            <w14:solidFill>
              <w14:schemeClr w14:val="tx1"/>
            </w14:solidFill>
          </w14:textFill>
        </w:rPr>
      </w:pPr>
      <w:r>
        <w:rPr>
          <w:color w:val="000000" w:themeColor="text1"/>
          <w14:textFill>
            <w14:solidFill>
              <w14:schemeClr w14:val="tx1"/>
            </w14:solidFill>
          </w14:textFill>
        </w:rPr>
        <w:t>6、炉内压力：采用微负压设计，不逆火；</w:t>
      </w:r>
    </w:p>
    <w:p w14:paraId="4947267B">
      <w:pPr>
        <w:ind w:firstLine="480"/>
        <w:rPr>
          <w:color w:val="000000" w:themeColor="text1"/>
          <w14:textFill>
            <w14:solidFill>
              <w14:schemeClr w14:val="tx1"/>
            </w14:solidFill>
          </w14:textFill>
        </w:rPr>
      </w:pPr>
      <w:r>
        <w:rPr>
          <w:color w:val="000000" w:themeColor="text1"/>
          <w14:textFill>
            <w14:solidFill>
              <w14:schemeClr w14:val="tx1"/>
            </w14:solidFill>
          </w14:textFill>
        </w:rPr>
        <w:t>7、</w:t>
      </w:r>
      <w:bookmarkStart w:id="268" w:name="_Hlk221267419"/>
      <w:r>
        <w:rPr>
          <w:color w:val="000000" w:themeColor="text1"/>
          <w14:textFill>
            <w14:solidFill>
              <w14:schemeClr w14:val="tx1"/>
            </w14:solidFill>
          </w14:textFill>
        </w:rPr>
        <w:t>焚烧处理方式：热解焙烧窑（二级）+二燃室（SNCR）+石墨急冷塔+二级碱洗塔+水洗塔+湿电除尘+引风机+活性炭吸附+GGH换热+热风炉（电加热）+SCR+烟囱的组合工艺；</w:t>
      </w:r>
      <w:bookmarkEnd w:id="268"/>
    </w:p>
    <w:p w14:paraId="499C0FA1">
      <w:pPr>
        <w:ind w:firstLine="480"/>
        <w:rPr>
          <w:color w:val="000000" w:themeColor="text1"/>
          <w14:textFill>
            <w14:solidFill>
              <w14:schemeClr w14:val="tx1"/>
            </w14:solidFill>
          </w14:textFill>
        </w:rPr>
      </w:pPr>
      <w:r>
        <w:rPr>
          <w:color w:val="000000" w:themeColor="text1"/>
          <w14:textFill>
            <w14:solidFill>
              <w14:schemeClr w14:val="tx1"/>
            </w14:solidFill>
          </w14:textFill>
        </w:rPr>
        <w:t>8、焚烧温度：</w:t>
      </w:r>
    </w:p>
    <w:p w14:paraId="03107041">
      <w:pPr>
        <w:ind w:firstLine="480"/>
        <w:rPr>
          <w:color w:val="000000" w:themeColor="text1"/>
          <w14:textFill>
            <w14:solidFill>
              <w14:schemeClr w14:val="tx1"/>
            </w14:solidFill>
          </w14:textFill>
        </w:rPr>
      </w:pPr>
      <w:r>
        <w:rPr>
          <w:color w:val="000000" w:themeColor="text1"/>
          <w14:textFill>
            <w14:solidFill>
              <w14:schemeClr w14:val="tx1"/>
            </w14:solidFill>
          </w14:textFill>
        </w:rPr>
        <w:t>热解焙烧窑：600~700℃；</w:t>
      </w:r>
    </w:p>
    <w:p w14:paraId="28AF1C25">
      <w:pPr>
        <w:ind w:firstLine="480"/>
        <w:rPr>
          <w:color w:val="000000" w:themeColor="text1"/>
          <w14:textFill>
            <w14:solidFill>
              <w14:schemeClr w14:val="tx1"/>
            </w14:solidFill>
          </w14:textFill>
        </w:rPr>
      </w:pPr>
      <w:r>
        <w:rPr>
          <w:color w:val="000000" w:themeColor="text1"/>
          <w14:textFill>
            <w14:solidFill>
              <w14:schemeClr w14:val="tx1"/>
            </w14:solidFill>
          </w14:textFill>
        </w:rPr>
        <w:t>二燃室焚烧温度：≥1100℃；</w:t>
      </w:r>
    </w:p>
    <w:p w14:paraId="60D78990">
      <w:pPr>
        <w:ind w:firstLine="480"/>
        <w:rPr>
          <w:color w:val="000000" w:themeColor="text1"/>
          <w14:textFill>
            <w14:solidFill>
              <w14:schemeClr w14:val="tx1"/>
            </w14:solidFill>
          </w14:textFill>
        </w:rPr>
      </w:pPr>
      <w:r>
        <w:rPr>
          <w:color w:val="000000" w:themeColor="text1"/>
          <w14:textFill>
            <w14:solidFill>
              <w14:schemeClr w14:val="tx1"/>
            </w14:solidFill>
          </w14:textFill>
        </w:rPr>
        <w:t>9、二次室烟气停留时间：≥2.5S；</w:t>
      </w:r>
    </w:p>
    <w:p w14:paraId="47C54D27">
      <w:pPr>
        <w:ind w:firstLine="480"/>
        <w:rPr>
          <w:color w:val="000000" w:themeColor="text1"/>
          <w14:textFill>
            <w14:solidFill>
              <w14:schemeClr w14:val="tx1"/>
            </w14:solidFill>
          </w14:textFill>
        </w:rPr>
      </w:pPr>
      <w:r>
        <w:rPr>
          <w:color w:val="000000" w:themeColor="text1"/>
          <w14:textFill>
            <w14:solidFill>
              <w14:schemeClr w14:val="tx1"/>
            </w14:solidFill>
          </w14:textFill>
        </w:rPr>
        <w:t>10、燃烧效率≥99.9%；</w:t>
      </w:r>
    </w:p>
    <w:p w14:paraId="772DA3F6">
      <w:pPr>
        <w:ind w:firstLine="480"/>
        <w:rPr>
          <w:color w:val="000000" w:themeColor="text1"/>
          <w14:textFill>
            <w14:solidFill>
              <w14:schemeClr w14:val="tx1"/>
            </w14:solidFill>
          </w14:textFill>
        </w:rPr>
      </w:pPr>
      <w:r>
        <w:rPr>
          <w:color w:val="000000" w:themeColor="text1"/>
          <w14:textFill>
            <w14:solidFill>
              <w14:schemeClr w14:val="tx1"/>
            </w14:solidFill>
          </w14:textFill>
        </w:rPr>
        <w:t>11、焚毁去除率≥99.99%；</w:t>
      </w:r>
    </w:p>
    <w:p w14:paraId="2A1CF1CF">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4"/>
          <w14:textFill>
            <w14:solidFill>
              <w14:schemeClr w14:val="tx1"/>
            </w14:solidFill>
          </w14:textFill>
        </w:rPr>
        <w:t>12、盐渣有机物去除率＞98%；TOC＜50ppm</w:t>
      </w:r>
    </w:p>
    <w:p w14:paraId="374C1502">
      <w:pPr>
        <w:pStyle w:val="197"/>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本项目采用具体的焚烧工艺为：采用二级热解分段式热解焙烧窑处理废盐，废盐热解完成后通过冷渣机</w:t>
      </w:r>
      <w:r>
        <w:rPr>
          <w:rFonts w:hint="eastAsia" w:ascii="Times New Roman" w:hAnsi="Times New Roman"/>
          <w:color w:val="000000" w:themeColor="text1"/>
          <w:szCs w:val="24"/>
          <w14:textFill>
            <w14:solidFill>
              <w14:schemeClr w14:val="tx1"/>
            </w14:solidFill>
          </w14:textFill>
        </w:rPr>
        <w:t>经循环冷却水间接</w:t>
      </w:r>
      <w:r>
        <w:rPr>
          <w:rFonts w:ascii="Times New Roman" w:hAnsi="Times New Roman"/>
          <w:color w:val="000000" w:themeColor="text1"/>
          <w:szCs w:val="24"/>
          <w14:textFill>
            <w14:solidFill>
              <w14:schemeClr w14:val="tx1"/>
            </w14:solidFill>
          </w14:textFill>
        </w:rPr>
        <w:t>降温至80℃以后输送到料库进入下一道工序（制作融雪剂）；热解产生的烟气进入二燃室进行二次高温焚烧；焚烧产生的烟气经SNCR脱硝后进入石墨急冷塔将烟气温度急冷到降至80℃；再通过二级碱洗塔去除烟气中的酸性气体，烟气温度降到55℃左右，随后烟气经水洗净化、湿电捕集烟气中的细微粉尘和液滴、酸雨等，之后烟气经活性炭吸附床进行二噁英及重金属等吸附，</w:t>
      </w:r>
      <w:r>
        <w:rPr>
          <w:rFonts w:ascii="Times New Roman" w:hAnsi="Times New Roman"/>
          <w:color w:val="000000" w:themeColor="text1"/>
          <w:szCs w:val="24"/>
          <w:lang w:val="en-US"/>
          <w14:textFill>
            <w14:solidFill>
              <w14:schemeClr w14:val="tx1"/>
            </w14:solidFill>
          </w14:textFill>
        </w:rPr>
        <w:t>随后烟气进入SCR脱硝系统，利用SCR出口的200℃的烟气，通过GGH换热器将活性炭吸附床出口的烟气加热至130℃，再经</w:t>
      </w:r>
      <w:r>
        <w:rPr>
          <w:rFonts w:hint="eastAsia" w:ascii="Times New Roman" w:hAnsi="Times New Roman"/>
          <w:color w:val="000000" w:themeColor="text1"/>
          <w:szCs w:val="24"/>
          <w:lang w:val="en-US"/>
          <w14:textFill>
            <w14:solidFill>
              <w14:schemeClr w14:val="tx1"/>
            </w14:solidFill>
          </w14:textFill>
        </w:rPr>
        <w:t>电</w:t>
      </w:r>
      <w:r>
        <w:rPr>
          <w:rFonts w:ascii="Times New Roman" w:hAnsi="Times New Roman"/>
          <w:color w:val="000000" w:themeColor="text1"/>
          <w:szCs w:val="24"/>
          <w:lang w:val="en-US"/>
          <w14:textFill>
            <w14:solidFill>
              <w14:schemeClr w14:val="tx1"/>
            </w14:solidFill>
          </w14:textFill>
        </w:rPr>
        <w:t>热风炉将烟气加热至200℃后进入SCR脱硝，</w:t>
      </w:r>
      <w:r>
        <w:rPr>
          <w:rFonts w:ascii="Times New Roman" w:hAnsi="Times New Roman"/>
          <w:color w:val="000000" w:themeColor="text1"/>
          <w:szCs w:val="24"/>
          <w14:textFill>
            <w14:solidFill>
              <w14:schemeClr w14:val="tx1"/>
            </w14:solidFill>
          </w14:textFill>
        </w:rPr>
        <w:t>最后满足排放要求后排入大气。</w:t>
      </w:r>
    </w:p>
    <w:p w14:paraId="02ECCD32">
      <w:pPr>
        <w:pStyle w:val="197"/>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本工程整套系统包括：进料储存单元（上料料斗、破碎机、输送机等）、焚烧单元（热解焙烧窑、二燃室、（含SNCR脱硝）、烟气净化单元（石墨急冷塔、二级碱洗塔、水洗塔、湿电除尘器、活性炭吸附床、</w:t>
      </w:r>
      <w:r>
        <w:rPr>
          <w:rFonts w:ascii="Times New Roman" w:hAnsi="Times New Roman"/>
          <w:color w:val="000000" w:themeColor="text1"/>
          <w:szCs w:val="24"/>
          <w:lang w:val="en-US"/>
          <w14:textFill>
            <w14:solidFill>
              <w14:schemeClr w14:val="tx1"/>
            </w14:solidFill>
          </w14:textFill>
        </w:rPr>
        <w:t>SCR脱硝</w:t>
      </w:r>
      <w:r>
        <w:rPr>
          <w:rFonts w:ascii="Times New Roman" w:hAnsi="Times New Roman"/>
          <w:color w:val="000000" w:themeColor="text1"/>
          <w:szCs w:val="24"/>
          <w14:textFill>
            <w14:solidFill>
              <w14:schemeClr w14:val="tx1"/>
            </w14:solidFill>
          </w14:textFill>
        </w:rPr>
        <w:t>等）、辅助设施等。</w:t>
      </w:r>
    </w:p>
    <w:p w14:paraId="093BD30C">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焚烧炉技术性能指标</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1577"/>
        <w:gridCol w:w="1631"/>
        <w:gridCol w:w="1396"/>
        <w:gridCol w:w="1542"/>
        <w:gridCol w:w="2127"/>
      </w:tblGrid>
      <w:tr w14:paraId="1417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Align w:val="center"/>
          </w:tcPr>
          <w:p w14:paraId="571C21BD">
            <w:pPr>
              <w:pStyle w:val="109"/>
              <w:rPr>
                <w:color w:val="000000" w:themeColor="text1"/>
                <w14:textFill>
                  <w14:solidFill>
                    <w14:schemeClr w14:val="tx1"/>
                  </w14:solidFill>
                </w14:textFill>
              </w:rPr>
            </w:pPr>
            <w:r>
              <w:rPr>
                <w:color w:val="000000" w:themeColor="text1"/>
                <w14:textFill>
                  <w14:solidFill>
                    <w14:schemeClr w14:val="tx1"/>
                  </w14:solidFill>
                </w14:textFill>
              </w:rPr>
              <w:t>指标</w:t>
            </w:r>
          </w:p>
        </w:tc>
        <w:tc>
          <w:tcPr>
            <w:tcW w:w="0" w:type="auto"/>
            <w:vAlign w:val="center"/>
          </w:tcPr>
          <w:p w14:paraId="6D473A35">
            <w:pPr>
              <w:pStyle w:val="109"/>
              <w:rPr>
                <w:color w:val="000000" w:themeColor="text1"/>
                <w14:textFill>
                  <w14:solidFill>
                    <w14:schemeClr w14:val="tx1"/>
                  </w14:solidFill>
                </w14:textFill>
              </w:rPr>
            </w:pPr>
            <w:r>
              <w:rPr>
                <w:color w:val="000000" w:themeColor="text1"/>
                <w14:textFill>
                  <w14:solidFill>
                    <w14:schemeClr w14:val="tx1"/>
                  </w14:solidFill>
                </w14:textFill>
              </w:rPr>
              <w:t>焚烧炉温度（℃）</w:t>
            </w:r>
          </w:p>
        </w:tc>
        <w:tc>
          <w:tcPr>
            <w:tcW w:w="0" w:type="auto"/>
            <w:vAlign w:val="center"/>
          </w:tcPr>
          <w:p w14:paraId="6090E855">
            <w:pPr>
              <w:pStyle w:val="109"/>
              <w:rPr>
                <w:color w:val="000000" w:themeColor="text1"/>
                <w14:textFill>
                  <w14:solidFill>
                    <w14:schemeClr w14:val="tx1"/>
                  </w14:solidFill>
                </w14:textFill>
              </w:rPr>
            </w:pPr>
            <w:r>
              <w:rPr>
                <w:color w:val="000000" w:themeColor="text1"/>
                <w14:textFill>
                  <w14:solidFill>
                    <w14:schemeClr w14:val="tx1"/>
                  </w14:solidFill>
                </w14:textFill>
              </w:rPr>
              <w:t>烟气停留时间（S）</w:t>
            </w:r>
          </w:p>
        </w:tc>
        <w:tc>
          <w:tcPr>
            <w:tcW w:w="0" w:type="auto"/>
            <w:vAlign w:val="center"/>
          </w:tcPr>
          <w:p w14:paraId="322DE011">
            <w:pPr>
              <w:pStyle w:val="109"/>
              <w:rPr>
                <w:color w:val="000000" w:themeColor="text1"/>
                <w14:textFill>
                  <w14:solidFill>
                    <w14:schemeClr w14:val="tx1"/>
                  </w14:solidFill>
                </w14:textFill>
              </w:rPr>
            </w:pPr>
            <w:r>
              <w:rPr>
                <w:color w:val="000000" w:themeColor="text1"/>
                <w14:textFill>
                  <w14:solidFill>
                    <w14:schemeClr w14:val="tx1"/>
                  </w14:solidFill>
                </w14:textFill>
              </w:rPr>
              <w:t>焚烧效率（%）</w:t>
            </w:r>
          </w:p>
        </w:tc>
        <w:tc>
          <w:tcPr>
            <w:tcW w:w="0" w:type="auto"/>
            <w:vAlign w:val="center"/>
          </w:tcPr>
          <w:p w14:paraId="24F9C831">
            <w:pPr>
              <w:pStyle w:val="109"/>
              <w:rPr>
                <w:color w:val="000000" w:themeColor="text1"/>
                <w14:textFill>
                  <w14:solidFill>
                    <w14:schemeClr w14:val="tx1"/>
                  </w14:solidFill>
                </w14:textFill>
              </w:rPr>
            </w:pPr>
            <w:r>
              <w:rPr>
                <w:color w:val="000000" w:themeColor="text1"/>
                <w14:textFill>
                  <w14:solidFill>
                    <w14:schemeClr w14:val="tx1"/>
                  </w14:solidFill>
                </w14:textFill>
              </w:rPr>
              <w:t>焚毁去除率（%）</w:t>
            </w:r>
          </w:p>
        </w:tc>
        <w:tc>
          <w:tcPr>
            <w:tcW w:w="0" w:type="auto"/>
            <w:vAlign w:val="center"/>
          </w:tcPr>
          <w:p w14:paraId="1D81B560">
            <w:pPr>
              <w:pStyle w:val="109"/>
              <w:rPr>
                <w:color w:val="000000" w:themeColor="text1"/>
                <w14:textFill>
                  <w14:solidFill>
                    <w14:schemeClr w14:val="tx1"/>
                  </w14:solidFill>
                </w14:textFill>
              </w:rPr>
            </w:pPr>
            <w:r>
              <w:rPr>
                <w:color w:val="000000" w:themeColor="text1"/>
                <w14:textFill>
                  <w14:solidFill>
                    <w14:schemeClr w14:val="tx1"/>
                  </w14:solidFill>
                </w14:textFill>
              </w:rPr>
              <w:t>焚烧残渣的热灼减率（%）</w:t>
            </w:r>
          </w:p>
        </w:tc>
      </w:tr>
      <w:tr w14:paraId="207A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Align w:val="center"/>
          </w:tcPr>
          <w:p w14:paraId="7D3C63A7">
            <w:pPr>
              <w:pStyle w:val="109"/>
              <w:rPr>
                <w:color w:val="000000" w:themeColor="text1"/>
                <w14:textFill>
                  <w14:solidFill>
                    <w14:schemeClr w14:val="tx1"/>
                  </w14:solidFill>
                </w14:textFill>
              </w:rPr>
            </w:pPr>
            <w:r>
              <w:rPr>
                <w:color w:val="000000" w:themeColor="text1"/>
                <w14:textFill>
                  <w14:solidFill>
                    <w14:schemeClr w14:val="tx1"/>
                  </w14:solidFill>
                </w14:textFill>
              </w:rPr>
              <w:t>本次设计</w:t>
            </w:r>
          </w:p>
        </w:tc>
        <w:tc>
          <w:tcPr>
            <w:tcW w:w="0" w:type="auto"/>
            <w:vAlign w:val="center"/>
          </w:tcPr>
          <w:p w14:paraId="10C7F423">
            <w:pPr>
              <w:pStyle w:val="109"/>
              <w:rPr>
                <w:color w:val="000000" w:themeColor="text1"/>
                <w14:textFill>
                  <w14:solidFill>
                    <w14:schemeClr w14:val="tx1"/>
                  </w14:solidFill>
                </w14:textFill>
              </w:rPr>
            </w:pPr>
            <w:r>
              <w:rPr>
                <w:color w:val="000000" w:themeColor="text1"/>
                <w14:textFill>
                  <w14:solidFill>
                    <w14:schemeClr w14:val="tx1"/>
                  </w14:solidFill>
                </w14:textFill>
              </w:rPr>
              <w:t>≥1100</w:t>
            </w:r>
          </w:p>
        </w:tc>
        <w:tc>
          <w:tcPr>
            <w:tcW w:w="0" w:type="auto"/>
            <w:vAlign w:val="center"/>
          </w:tcPr>
          <w:p w14:paraId="61ED8D7F">
            <w:pPr>
              <w:pStyle w:val="109"/>
              <w:rPr>
                <w:color w:val="000000" w:themeColor="text1"/>
                <w14:textFill>
                  <w14:solidFill>
                    <w14:schemeClr w14:val="tx1"/>
                  </w14:solidFill>
                </w14:textFill>
              </w:rPr>
            </w:pPr>
            <w:r>
              <w:rPr>
                <w:color w:val="000000" w:themeColor="text1"/>
                <w14:textFill>
                  <w14:solidFill>
                    <w14:schemeClr w14:val="tx1"/>
                  </w14:solidFill>
                </w14:textFill>
              </w:rPr>
              <w:t>≥2.5</w:t>
            </w:r>
          </w:p>
        </w:tc>
        <w:tc>
          <w:tcPr>
            <w:tcW w:w="0" w:type="auto"/>
            <w:vAlign w:val="center"/>
          </w:tcPr>
          <w:p w14:paraId="715A3679">
            <w:pPr>
              <w:pStyle w:val="109"/>
              <w:rPr>
                <w:color w:val="000000" w:themeColor="text1"/>
                <w14:textFill>
                  <w14:solidFill>
                    <w14:schemeClr w14:val="tx1"/>
                  </w14:solidFill>
                </w14:textFill>
              </w:rPr>
            </w:pPr>
            <w:r>
              <w:rPr>
                <w:color w:val="000000" w:themeColor="text1"/>
                <w14:textFill>
                  <w14:solidFill>
                    <w14:schemeClr w14:val="tx1"/>
                  </w14:solidFill>
                </w14:textFill>
              </w:rPr>
              <w:t>≥99.9</w:t>
            </w:r>
          </w:p>
        </w:tc>
        <w:tc>
          <w:tcPr>
            <w:tcW w:w="0" w:type="auto"/>
            <w:vAlign w:val="center"/>
          </w:tcPr>
          <w:p w14:paraId="2CE8AB08">
            <w:pPr>
              <w:pStyle w:val="109"/>
              <w:rPr>
                <w:color w:val="000000" w:themeColor="text1"/>
                <w14:textFill>
                  <w14:solidFill>
                    <w14:schemeClr w14:val="tx1"/>
                  </w14:solidFill>
                </w14:textFill>
              </w:rPr>
            </w:pPr>
            <w:r>
              <w:rPr>
                <w:color w:val="000000" w:themeColor="text1"/>
                <w14:textFill>
                  <w14:solidFill>
                    <w14:schemeClr w14:val="tx1"/>
                  </w14:solidFill>
                </w14:textFill>
              </w:rPr>
              <w:t>≥99.99</w:t>
            </w:r>
          </w:p>
        </w:tc>
        <w:tc>
          <w:tcPr>
            <w:tcW w:w="0" w:type="auto"/>
            <w:vAlign w:val="center"/>
          </w:tcPr>
          <w:p w14:paraId="74F61B1C">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r>
    </w:tbl>
    <w:p w14:paraId="6C2388A0">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工艺过程描述如下：</w:t>
      </w:r>
    </w:p>
    <w:p w14:paraId="4BFF2C27">
      <w:pPr>
        <w:pStyle w:val="197"/>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1、盐渣入炉</w:t>
      </w:r>
    </w:p>
    <w:p w14:paraId="2A3D500C">
      <w:pPr>
        <w:pStyle w:val="197"/>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配伍后的废盐</w:t>
      </w:r>
      <w:r>
        <w:rPr>
          <w:rFonts w:ascii="Times New Roman" w:hAnsi="Times New Roman"/>
          <w:color w:val="000000" w:themeColor="text1"/>
          <w14:textFill>
            <w14:solidFill>
              <w14:schemeClr w14:val="tx1"/>
            </w14:solidFill>
          </w14:textFill>
        </w:rPr>
        <w:t>通过刮板送至炉头高位料仓经定量给料螺旋输送到窑内。</w:t>
      </w:r>
    </w:p>
    <w:p w14:paraId="0D34A1D2">
      <w:pPr>
        <w:pStyle w:val="197"/>
        <w:ind w:firstLineChars="200"/>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2、</w:t>
      </w:r>
      <w:bookmarkStart w:id="269" w:name="_Hlk218588066"/>
      <w:r>
        <w:rPr>
          <w:rFonts w:ascii="Times New Roman" w:hAnsi="Times New Roman"/>
          <w:b/>
          <w:bCs/>
          <w:color w:val="000000" w:themeColor="text1"/>
          <w14:textFill>
            <w14:solidFill>
              <w14:schemeClr w14:val="tx1"/>
            </w14:solidFill>
          </w14:textFill>
        </w:rPr>
        <w:t>盐渣热解及焚烧</w:t>
      </w:r>
      <w:bookmarkEnd w:id="269"/>
    </w:p>
    <w:p w14:paraId="29F8FFAB">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bookmarkStart w:id="270" w:name="_Hlk218588083"/>
      <w:r>
        <w:rPr>
          <w:rFonts w:ascii="Times New Roman" w:hAnsi="Times New Roman"/>
          <w:color w:val="000000" w:themeColor="text1"/>
          <w14:textFill>
            <w14:solidFill>
              <w14:schemeClr w14:val="tx1"/>
            </w14:solidFill>
          </w14:textFill>
        </w:rPr>
        <w:t>热解焙烧窑经</w:t>
      </w:r>
      <w:r>
        <w:rPr>
          <w:rFonts w:hint="eastAsia" w:ascii="Times New Roman" w:hAnsi="Times New Roman"/>
          <w:color w:val="000000" w:themeColor="text1"/>
          <w14:textFill>
            <w14:solidFill>
              <w14:schemeClr w14:val="tx1"/>
            </w14:solidFill>
          </w14:textFill>
        </w:rPr>
        <w:t>外部天然气燃烧器间接</w:t>
      </w:r>
      <w:r>
        <w:rPr>
          <w:rFonts w:ascii="Times New Roman" w:hAnsi="Times New Roman"/>
          <w:color w:val="000000" w:themeColor="text1"/>
          <w14:textFill>
            <w14:solidFill>
              <w14:schemeClr w14:val="tx1"/>
            </w14:solidFill>
          </w14:textFill>
        </w:rPr>
        <w:t>加热至窑内600~650℃时，废盐经输送机送入热解焙烧窑，热解焙烧窑为功能多段式，第一级窑前一段为干燥段300℃加热烘干，后段为蒸发热解段，第二级为热解段600~650℃热解，盐渣中的有机物和水分生成烟气进入二次燃烧室；热解完成后，高温盐渣进入冷却窑采用循环冷却水进行间接降温冷却。</w:t>
      </w:r>
      <w:bookmarkEnd w:id="270"/>
    </w:p>
    <w:p w14:paraId="28F15245">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热解焙烧窑热解产生的烟气在二次室内进一步焚烧，二次室在辅助燃料下温度增加到1100℃，使焚烧更完全，达到无烟、无臭、无二次污染的效果，烟气在二次燃烧室停留时间为2.5秒以上，使烟气中的微量有机物及二噁英得以充分分解。</w:t>
      </w:r>
    </w:p>
    <w:p w14:paraId="63E6C360">
      <w:pPr>
        <w:pStyle w:val="197"/>
        <w:rPr>
          <w:rFonts w:ascii="Times New Roman" w:hAnsi="Times New Roman"/>
          <w:b/>
          <w:bCs/>
          <w:color w:val="000000" w:themeColor="text1"/>
          <w:lang w:val="en-US"/>
          <w14:textFill>
            <w14:solidFill>
              <w14:schemeClr w14:val="tx1"/>
            </w14:solidFill>
          </w14:textFill>
        </w:rPr>
      </w:pPr>
      <w:r>
        <w:rPr>
          <w:rFonts w:hint="eastAsia" w:ascii="Times New Roman" w:hAnsi="Times New Roman"/>
          <w:b/>
          <w:bCs/>
          <w:color w:val="000000" w:themeColor="text1"/>
          <w:lang w:val="en-US"/>
          <w14:textFill>
            <w14:solidFill>
              <w14:schemeClr w14:val="tx1"/>
            </w14:solidFill>
          </w14:textFill>
        </w:rPr>
        <w:t>热解焙烧窑</w:t>
      </w:r>
      <w:r>
        <w:rPr>
          <w:rFonts w:ascii="Times New Roman" w:hAnsi="Times New Roman"/>
          <w:b/>
          <w:bCs/>
          <w:color w:val="000000" w:themeColor="text1"/>
          <w:lang w:val="en-US"/>
          <w14:textFill>
            <w14:solidFill>
              <w14:schemeClr w14:val="tx1"/>
            </w14:solidFill>
          </w14:textFill>
        </w:rPr>
        <w:t>相关运行参数：</w:t>
      </w:r>
    </w:p>
    <w:p w14:paraId="50D32FAC">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第一段烟气顺流布置，即物料流动方向与产生的烟气流动方向相同，第二段逆流布置，即物料流动方向与产生的烟气流动方向相反。</w:t>
      </w:r>
    </w:p>
    <w:p w14:paraId="37354CA7">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窑内炉膛温度：~700℃；</w:t>
      </w:r>
    </w:p>
    <w:p w14:paraId="5D000A7F">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工作温度：≤650℃；</w:t>
      </w:r>
    </w:p>
    <w:p w14:paraId="7357FCE1">
      <w:pPr>
        <w:pStyle w:val="197"/>
        <w:rPr>
          <w:rFonts w:ascii="Times New Roman" w:hAnsi="Times New Roman"/>
          <w:b/>
          <w:bCs/>
          <w:color w:val="000000" w:themeColor="text1"/>
          <w:lang w:val="en-US"/>
          <w14:textFill>
            <w14:solidFill>
              <w14:schemeClr w14:val="tx1"/>
            </w14:solidFill>
          </w14:textFill>
        </w:rPr>
      </w:pPr>
      <w:r>
        <w:rPr>
          <w:rFonts w:ascii="Times New Roman" w:hAnsi="Times New Roman"/>
          <w:b/>
          <w:bCs/>
          <w:color w:val="000000" w:themeColor="text1"/>
          <w:lang w:val="en-US"/>
          <w14:textFill>
            <w14:solidFill>
              <w14:schemeClr w14:val="tx1"/>
            </w14:solidFill>
          </w14:textFill>
        </w:rPr>
        <w:t>二次燃烧室:</w:t>
      </w:r>
    </w:p>
    <w:p w14:paraId="1B31B3D6">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14:textFill>
            <w14:solidFill>
              <w14:schemeClr w14:val="tx1"/>
            </w14:solidFill>
          </w14:textFill>
        </w:rPr>
        <w:t>二燃室设置的目的是对热解焙烧窑热解产生的烟气中未燃烬的有害物质做进一步的焚烧。为了使未燃烬物质彻底分</w:t>
      </w:r>
      <w:r>
        <w:rPr>
          <w:rFonts w:ascii="Times New Roman" w:hAnsi="Times New Roman"/>
          <w:color w:val="000000" w:themeColor="text1"/>
          <w:lang w:val="en-US"/>
          <w14:textFill>
            <w14:solidFill>
              <w14:schemeClr w14:val="tx1"/>
            </w14:solidFill>
          </w14:textFill>
        </w:rPr>
        <w:t>解，达到排放要求，二燃室设置了燃烧器和独特的环形二次供风装置，以保证烟气在高温下同氧气充分接触，有充足的滞留时间。同时供风孔采取免清洗设计，可避免因积灰或结垢而堵塞。</w:t>
      </w:r>
    </w:p>
    <w:p w14:paraId="3B77E757">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二次燃烧炉温度控制在1100℃以上，烟气停留时间为2.5秒以上，能够充分分解有害的臭气和多氯化合物，抑制二噁英的生成。</w:t>
      </w:r>
    </w:p>
    <w:p w14:paraId="6477F84C">
      <w:pPr>
        <w:pStyle w:val="197"/>
        <w:rPr>
          <w:rFonts w:ascii="Times New Roman" w:hAnsi="Times New Roman"/>
          <w:color w:val="000000" w:themeColor="text1"/>
          <w:lang w:val="en-US"/>
          <w14:textFill>
            <w14:solidFill>
              <w14:schemeClr w14:val="tx1"/>
            </w14:solidFill>
          </w14:textFill>
        </w:rPr>
      </w:pPr>
      <w:bookmarkStart w:id="271" w:name="_Hlk218588201"/>
      <w:r>
        <w:rPr>
          <w:rFonts w:ascii="Times New Roman" w:hAnsi="Times New Roman"/>
          <w:color w:val="000000" w:themeColor="text1"/>
          <w:lang w:val="en-US"/>
          <w14:textFill>
            <w14:solidFill>
              <w14:schemeClr w14:val="tx1"/>
            </w14:solidFill>
          </w14:textFill>
        </w:rPr>
        <w:t>在二燃室的顶部有紧急排放烟囱</w:t>
      </w:r>
      <w:bookmarkEnd w:id="271"/>
      <w:r>
        <w:rPr>
          <w:rFonts w:ascii="Times New Roman" w:hAnsi="Times New Roman"/>
          <w:color w:val="000000" w:themeColor="text1"/>
          <w:lang w:val="en-US"/>
          <w14:textFill>
            <w14:solidFill>
              <w14:schemeClr w14:val="tx1"/>
            </w14:solidFill>
          </w14:textFill>
        </w:rPr>
        <w:t>，由开启门和钢烟囱（耐材150mm厚）组成，其底部设有气动机构控制的密封开启门。紧急排放烟囱的主要作用是当焚烧炉内出现爆燃或发生停电等意外情况，紧急开启开启门，避免设备爆炸、后续设备损害等恶性事故发生。当炉内正压超过+1000Pa时气动机构会自动开启门通过紧急烟囱排放烟气。紧急排放烟囱的密封开启门平时维持气密，防止烟气直接逸散。</w:t>
      </w:r>
    </w:p>
    <w:p w14:paraId="475F5344">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二燃室设计理论技术参数</w:t>
      </w:r>
    </w:p>
    <w:tbl>
      <w:tblPr>
        <w:tblStyle w:val="76"/>
        <w:tblW w:w="499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98"/>
        <w:gridCol w:w="4326"/>
        <w:gridCol w:w="1771"/>
        <w:gridCol w:w="2514"/>
      </w:tblGrid>
      <w:tr w14:paraId="5F58D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6394428C">
            <w:pPr>
              <w:pStyle w:val="109"/>
              <w:rPr>
                <w:color w:val="000000" w:themeColor="text1"/>
                <w14:textFill>
                  <w14:solidFill>
                    <w14:schemeClr w14:val="tx1"/>
                  </w14:solidFill>
                </w14:textFill>
              </w:rPr>
            </w:pPr>
            <w:r>
              <w:rPr>
                <w:color w:val="000000" w:themeColor="text1"/>
                <w14:textFill>
                  <w14:solidFill>
                    <w14:schemeClr w14:val="tx1"/>
                  </w14:solidFill>
                </w14:textFill>
              </w:rPr>
              <w:t>序 号</w:t>
            </w:r>
          </w:p>
        </w:tc>
        <w:tc>
          <w:tcPr>
            <w:tcW w:w="2299" w:type="pct"/>
            <w:noWrap/>
            <w:vAlign w:val="center"/>
          </w:tcPr>
          <w:p w14:paraId="49C9E9E6">
            <w:pPr>
              <w:pStyle w:val="109"/>
              <w:rPr>
                <w:color w:val="000000" w:themeColor="text1"/>
                <w14:textFill>
                  <w14:solidFill>
                    <w14:schemeClr w14:val="tx1"/>
                  </w14:solidFill>
                </w14:textFill>
              </w:rPr>
            </w:pPr>
            <w:r>
              <w:rPr>
                <w:color w:val="000000" w:themeColor="text1"/>
                <w14:textFill>
                  <w14:solidFill>
                    <w14:schemeClr w14:val="tx1"/>
                  </w14:solidFill>
                </w14:textFill>
              </w:rPr>
              <w:t>项  目</w:t>
            </w:r>
          </w:p>
        </w:tc>
        <w:tc>
          <w:tcPr>
            <w:tcW w:w="941" w:type="pct"/>
            <w:vAlign w:val="center"/>
          </w:tcPr>
          <w:p w14:paraId="621EEBC1">
            <w:pPr>
              <w:pStyle w:val="109"/>
              <w:rPr>
                <w:color w:val="000000" w:themeColor="text1"/>
                <w14:textFill>
                  <w14:solidFill>
                    <w14:schemeClr w14:val="tx1"/>
                  </w14:solidFill>
                </w14:textFill>
              </w:rPr>
            </w:pPr>
            <w:r>
              <w:rPr>
                <w:color w:val="000000" w:themeColor="text1"/>
                <w14:textFill>
                  <w14:solidFill>
                    <w14:schemeClr w14:val="tx1"/>
                  </w14:solidFill>
                </w14:textFill>
              </w:rPr>
              <w:t>单 位</w:t>
            </w:r>
          </w:p>
        </w:tc>
        <w:tc>
          <w:tcPr>
            <w:tcW w:w="1336" w:type="pct"/>
            <w:vAlign w:val="center"/>
          </w:tcPr>
          <w:p w14:paraId="574724BA">
            <w:pPr>
              <w:pStyle w:val="109"/>
              <w:rPr>
                <w:color w:val="000000" w:themeColor="text1"/>
                <w14:textFill>
                  <w14:solidFill>
                    <w14:schemeClr w14:val="tx1"/>
                  </w14:solidFill>
                </w14:textFill>
              </w:rPr>
            </w:pPr>
            <w:r>
              <w:rPr>
                <w:color w:val="000000" w:themeColor="text1"/>
                <w14:textFill>
                  <w14:solidFill>
                    <w14:schemeClr w14:val="tx1"/>
                  </w14:solidFill>
                </w14:textFill>
              </w:rPr>
              <w:t>数 值</w:t>
            </w:r>
          </w:p>
        </w:tc>
      </w:tr>
      <w:tr w14:paraId="1F9AE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6E3176C7">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299" w:type="pct"/>
            <w:noWrap/>
            <w:vAlign w:val="center"/>
          </w:tcPr>
          <w:p w14:paraId="7AA6A3C1">
            <w:pPr>
              <w:pStyle w:val="109"/>
              <w:rPr>
                <w:color w:val="000000" w:themeColor="text1"/>
                <w14:textFill>
                  <w14:solidFill>
                    <w14:schemeClr w14:val="tx1"/>
                  </w14:solidFill>
                </w14:textFill>
              </w:rPr>
            </w:pPr>
            <w:r>
              <w:rPr>
                <w:color w:val="000000" w:themeColor="text1"/>
                <w14:textFill>
                  <w14:solidFill>
                    <w14:schemeClr w14:val="tx1"/>
                  </w14:solidFill>
                </w14:textFill>
              </w:rPr>
              <w:t>燃烧室温度</w:t>
            </w:r>
          </w:p>
        </w:tc>
        <w:tc>
          <w:tcPr>
            <w:tcW w:w="941" w:type="pct"/>
            <w:vAlign w:val="center"/>
          </w:tcPr>
          <w:p w14:paraId="65E51FD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336" w:type="pct"/>
            <w:vAlign w:val="center"/>
          </w:tcPr>
          <w:p w14:paraId="22047220">
            <w:pPr>
              <w:pStyle w:val="109"/>
              <w:rPr>
                <w:color w:val="000000" w:themeColor="text1"/>
                <w14:textFill>
                  <w14:solidFill>
                    <w14:schemeClr w14:val="tx1"/>
                  </w14:solidFill>
                </w14:textFill>
              </w:rPr>
            </w:pPr>
            <w:r>
              <w:rPr>
                <w:color w:val="000000" w:themeColor="text1"/>
                <w14:textFill>
                  <w14:solidFill>
                    <w14:schemeClr w14:val="tx1"/>
                  </w14:solidFill>
                </w14:textFill>
              </w:rPr>
              <w:t>1100~1150</w:t>
            </w:r>
          </w:p>
        </w:tc>
      </w:tr>
      <w:tr w14:paraId="0B689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159134C0">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299" w:type="pct"/>
            <w:noWrap/>
            <w:vAlign w:val="center"/>
          </w:tcPr>
          <w:p w14:paraId="7EA1580D">
            <w:pPr>
              <w:pStyle w:val="109"/>
              <w:rPr>
                <w:color w:val="000000" w:themeColor="text1"/>
                <w14:textFill>
                  <w14:solidFill>
                    <w14:schemeClr w14:val="tx1"/>
                  </w14:solidFill>
                </w14:textFill>
              </w:rPr>
            </w:pPr>
            <w:r>
              <w:rPr>
                <w:color w:val="000000" w:themeColor="text1"/>
                <w14:textFill>
                  <w14:solidFill>
                    <w14:schemeClr w14:val="tx1"/>
                  </w14:solidFill>
                </w14:textFill>
              </w:rPr>
              <w:t>热解挥发气（来自热解焙烧窑）</w:t>
            </w:r>
          </w:p>
        </w:tc>
        <w:tc>
          <w:tcPr>
            <w:tcW w:w="941" w:type="pct"/>
            <w:vAlign w:val="center"/>
          </w:tcPr>
          <w:p w14:paraId="0EBBF4AB">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336" w:type="pct"/>
            <w:vAlign w:val="center"/>
          </w:tcPr>
          <w:p w14:paraId="5BA60708">
            <w:pPr>
              <w:pStyle w:val="109"/>
              <w:rPr>
                <w:color w:val="000000" w:themeColor="text1"/>
                <w14:textFill>
                  <w14:solidFill>
                    <w14:schemeClr w14:val="tx1"/>
                  </w14:solidFill>
                </w14:textFill>
              </w:rPr>
            </w:pPr>
            <w:r>
              <w:rPr>
                <w:color w:val="000000" w:themeColor="text1"/>
                <w14:textFill>
                  <w14:solidFill>
                    <w14:schemeClr w14:val="tx1"/>
                  </w14:solidFill>
                </w14:textFill>
              </w:rPr>
              <w:t>~1500</w:t>
            </w:r>
          </w:p>
        </w:tc>
      </w:tr>
      <w:tr w14:paraId="0FAC2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4A12DA31">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299" w:type="pct"/>
            <w:noWrap/>
            <w:vAlign w:val="center"/>
          </w:tcPr>
          <w:p w14:paraId="50495DDF">
            <w:pPr>
              <w:pStyle w:val="109"/>
              <w:rPr>
                <w:color w:val="000000" w:themeColor="text1"/>
                <w14:textFill>
                  <w14:solidFill>
                    <w14:schemeClr w14:val="tx1"/>
                  </w14:solidFill>
                </w14:textFill>
              </w:rPr>
            </w:pPr>
            <w:r>
              <w:rPr>
                <w:color w:val="000000" w:themeColor="text1"/>
                <w14:textFill>
                  <w14:solidFill>
                    <w14:schemeClr w14:val="tx1"/>
                  </w14:solidFill>
                </w14:textFill>
              </w:rPr>
              <w:t>二燃室补风量</w:t>
            </w:r>
          </w:p>
        </w:tc>
        <w:tc>
          <w:tcPr>
            <w:tcW w:w="941" w:type="pct"/>
            <w:vAlign w:val="center"/>
          </w:tcPr>
          <w:p w14:paraId="29A30636">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336" w:type="pct"/>
            <w:vAlign w:val="center"/>
          </w:tcPr>
          <w:p w14:paraId="6E32030E">
            <w:pPr>
              <w:pStyle w:val="109"/>
              <w:rPr>
                <w:color w:val="000000" w:themeColor="text1"/>
                <w14:textFill>
                  <w14:solidFill>
                    <w14:schemeClr w14:val="tx1"/>
                  </w14:solidFill>
                </w14:textFill>
              </w:rPr>
            </w:pPr>
            <w:r>
              <w:rPr>
                <w:color w:val="000000" w:themeColor="text1"/>
                <w14:textFill>
                  <w14:solidFill>
                    <w14:schemeClr w14:val="tx1"/>
                  </w14:solidFill>
                </w14:textFill>
              </w:rPr>
              <w:t>~1300</w:t>
            </w:r>
          </w:p>
        </w:tc>
      </w:tr>
      <w:tr w14:paraId="0AF88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5B74DC40">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299" w:type="pct"/>
            <w:noWrap/>
            <w:vAlign w:val="center"/>
          </w:tcPr>
          <w:p w14:paraId="2D3263E9">
            <w:pPr>
              <w:pStyle w:val="109"/>
              <w:rPr>
                <w:color w:val="000000" w:themeColor="text1"/>
                <w14:textFill>
                  <w14:solidFill>
                    <w14:schemeClr w14:val="tx1"/>
                  </w14:solidFill>
                </w14:textFill>
              </w:rPr>
            </w:pPr>
            <w:r>
              <w:rPr>
                <w:color w:val="000000" w:themeColor="text1"/>
                <w14:textFill>
                  <w14:solidFill>
                    <w14:schemeClr w14:val="tx1"/>
                  </w14:solidFill>
                </w14:textFill>
              </w:rPr>
              <w:t>单独天然气消耗</w:t>
            </w:r>
          </w:p>
        </w:tc>
        <w:tc>
          <w:tcPr>
            <w:tcW w:w="941" w:type="pct"/>
            <w:vAlign w:val="center"/>
          </w:tcPr>
          <w:p w14:paraId="012FA143">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336" w:type="pct"/>
            <w:vAlign w:val="center"/>
          </w:tcPr>
          <w:p w14:paraId="1B4A42FC">
            <w:pPr>
              <w:pStyle w:val="109"/>
              <w:rPr>
                <w:color w:val="000000" w:themeColor="text1"/>
                <w14:textFill>
                  <w14:solidFill>
                    <w14:schemeClr w14:val="tx1"/>
                  </w14:solidFill>
                </w14:textFill>
              </w:rPr>
            </w:pPr>
            <w:r>
              <w:rPr>
                <w:color w:val="000000" w:themeColor="text1"/>
                <w14:textFill>
                  <w14:solidFill>
                    <w14:schemeClr w14:val="tx1"/>
                  </w14:solidFill>
                </w14:textFill>
              </w:rPr>
              <w:t>~80</w:t>
            </w:r>
          </w:p>
        </w:tc>
      </w:tr>
      <w:tr w14:paraId="47222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7B73298D">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2299" w:type="pct"/>
            <w:noWrap/>
            <w:vAlign w:val="center"/>
          </w:tcPr>
          <w:p w14:paraId="0C0E0BF0">
            <w:pPr>
              <w:pStyle w:val="109"/>
              <w:rPr>
                <w:color w:val="000000" w:themeColor="text1"/>
                <w14:textFill>
                  <w14:solidFill>
                    <w14:schemeClr w14:val="tx1"/>
                  </w14:solidFill>
                </w14:textFill>
              </w:rPr>
            </w:pPr>
            <w:r>
              <w:rPr>
                <w:color w:val="000000" w:themeColor="text1"/>
                <w14:textFill>
                  <w14:solidFill>
                    <w14:schemeClr w14:val="tx1"/>
                  </w14:solidFill>
                </w14:textFill>
              </w:rPr>
              <w:t>二燃室出口烟气量</w:t>
            </w:r>
          </w:p>
        </w:tc>
        <w:tc>
          <w:tcPr>
            <w:tcW w:w="941" w:type="pct"/>
            <w:vAlign w:val="center"/>
          </w:tcPr>
          <w:p w14:paraId="11EC9BE1">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336" w:type="pct"/>
            <w:vAlign w:val="center"/>
          </w:tcPr>
          <w:p w14:paraId="3D24C83A">
            <w:pPr>
              <w:pStyle w:val="109"/>
              <w:rPr>
                <w:color w:val="000000" w:themeColor="text1"/>
                <w14:textFill>
                  <w14:solidFill>
                    <w14:schemeClr w14:val="tx1"/>
                  </w14:solidFill>
                </w14:textFill>
              </w:rPr>
            </w:pPr>
            <w:r>
              <w:rPr>
                <w:color w:val="000000" w:themeColor="text1"/>
                <w14:textFill>
                  <w14:solidFill>
                    <w14:schemeClr w14:val="tx1"/>
                  </w14:solidFill>
                </w14:textFill>
              </w:rPr>
              <w:t>~2800</w:t>
            </w:r>
          </w:p>
        </w:tc>
      </w:tr>
      <w:tr w14:paraId="76714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049DB69E">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2299" w:type="pct"/>
            <w:noWrap/>
            <w:vAlign w:val="center"/>
          </w:tcPr>
          <w:p w14:paraId="31736C98">
            <w:pPr>
              <w:pStyle w:val="109"/>
              <w:rPr>
                <w:color w:val="000000" w:themeColor="text1"/>
                <w14:textFill>
                  <w14:solidFill>
                    <w14:schemeClr w14:val="tx1"/>
                  </w14:solidFill>
                </w14:textFill>
              </w:rPr>
            </w:pPr>
            <w:r>
              <w:rPr>
                <w:color w:val="000000" w:themeColor="text1"/>
                <w14:textFill>
                  <w14:solidFill>
                    <w14:schemeClr w14:val="tx1"/>
                  </w14:solidFill>
                </w14:textFill>
              </w:rPr>
              <w:t>停留时间</w:t>
            </w:r>
          </w:p>
        </w:tc>
        <w:tc>
          <w:tcPr>
            <w:tcW w:w="941" w:type="pct"/>
            <w:vAlign w:val="center"/>
          </w:tcPr>
          <w:p w14:paraId="3419C89A">
            <w:pPr>
              <w:pStyle w:val="109"/>
              <w:rPr>
                <w:color w:val="000000" w:themeColor="text1"/>
                <w14:textFill>
                  <w14:solidFill>
                    <w14:schemeClr w14:val="tx1"/>
                  </w14:solidFill>
                </w14:textFill>
              </w:rPr>
            </w:pPr>
            <w:r>
              <w:rPr>
                <w:color w:val="000000" w:themeColor="text1"/>
                <w14:textFill>
                  <w14:solidFill>
                    <w14:schemeClr w14:val="tx1"/>
                  </w14:solidFill>
                </w14:textFill>
              </w:rPr>
              <w:t>S</w:t>
            </w:r>
          </w:p>
        </w:tc>
        <w:tc>
          <w:tcPr>
            <w:tcW w:w="1336" w:type="pct"/>
            <w:vAlign w:val="center"/>
          </w:tcPr>
          <w:p w14:paraId="5C319D6D">
            <w:pPr>
              <w:pStyle w:val="109"/>
              <w:rPr>
                <w:color w:val="000000" w:themeColor="text1"/>
                <w14:textFill>
                  <w14:solidFill>
                    <w14:schemeClr w14:val="tx1"/>
                  </w14:solidFill>
                </w14:textFill>
              </w:rPr>
            </w:pPr>
            <w:r>
              <w:rPr>
                <w:color w:val="000000" w:themeColor="text1"/>
                <w14:textFill>
                  <w14:solidFill>
                    <w14:schemeClr w14:val="tx1"/>
                  </w14:solidFill>
                </w14:textFill>
              </w:rPr>
              <w:t>≥2.5</w:t>
            </w:r>
          </w:p>
        </w:tc>
      </w:tr>
      <w:tr w14:paraId="6FA24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725DBD89">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2299" w:type="pct"/>
            <w:noWrap/>
            <w:vAlign w:val="center"/>
          </w:tcPr>
          <w:p w14:paraId="113D2549">
            <w:pPr>
              <w:pStyle w:val="109"/>
              <w:rPr>
                <w:color w:val="000000" w:themeColor="text1"/>
                <w14:textFill>
                  <w14:solidFill>
                    <w14:schemeClr w14:val="tx1"/>
                  </w14:solidFill>
                </w14:textFill>
              </w:rPr>
            </w:pPr>
            <w:r>
              <w:rPr>
                <w:color w:val="000000" w:themeColor="text1"/>
                <w14:textFill>
                  <w14:solidFill>
                    <w14:schemeClr w14:val="tx1"/>
                  </w14:solidFill>
                </w14:textFill>
              </w:rPr>
              <w:t>燃烧室总容积</w:t>
            </w:r>
          </w:p>
        </w:tc>
        <w:tc>
          <w:tcPr>
            <w:tcW w:w="941" w:type="pct"/>
            <w:vAlign w:val="center"/>
          </w:tcPr>
          <w:p w14:paraId="71CC2660">
            <w:pPr>
              <w:pStyle w:val="109"/>
              <w:rPr>
                <w:color w:val="000000" w:themeColor="text1"/>
                <w14:textFill>
                  <w14:solidFill>
                    <w14:schemeClr w14:val="tx1"/>
                  </w14:solidFill>
                </w14:textFill>
              </w:rPr>
            </w:pPr>
            <w:r>
              <w:rPr>
                <w:color w:val="000000" w:themeColor="text1"/>
                <w14:textFill>
                  <w14:solidFill>
                    <w14:schemeClr w14:val="tx1"/>
                  </w14:solidFill>
                </w14:textFill>
              </w:rPr>
              <w:t>m³</w:t>
            </w:r>
          </w:p>
        </w:tc>
        <w:tc>
          <w:tcPr>
            <w:tcW w:w="1336" w:type="pct"/>
            <w:vAlign w:val="center"/>
          </w:tcPr>
          <w:p w14:paraId="3FE92E4E">
            <w:pPr>
              <w:pStyle w:val="109"/>
              <w:rPr>
                <w:color w:val="000000" w:themeColor="text1"/>
                <w14:textFill>
                  <w14:solidFill>
                    <w14:schemeClr w14:val="tx1"/>
                  </w14:solidFill>
                </w14:textFill>
              </w:rPr>
            </w:pPr>
            <w:r>
              <w:rPr>
                <w:color w:val="000000" w:themeColor="text1"/>
                <w14:textFill>
                  <w14:solidFill>
                    <w14:schemeClr w14:val="tx1"/>
                  </w14:solidFill>
                </w14:textFill>
              </w:rPr>
              <w:t>13.3</w:t>
            </w:r>
          </w:p>
        </w:tc>
      </w:tr>
      <w:tr w14:paraId="1E427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3EEC4B5D">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2299" w:type="pct"/>
            <w:noWrap/>
            <w:vAlign w:val="center"/>
          </w:tcPr>
          <w:p w14:paraId="0A140D6C">
            <w:pPr>
              <w:pStyle w:val="109"/>
              <w:rPr>
                <w:color w:val="000000" w:themeColor="text1"/>
                <w14:textFill>
                  <w14:solidFill>
                    <w14:schemeClr w14:val="tx1"/>
                  </w14:solidFill>
                </w14:textFill>
              </w:rPr>
            </w:pPr>
            <w:r>
              <w:rPr>
                <w:color w:val="000000" w:themeColor="text1"/>
                <w14:textFill>
                  <w14:solidFill>
                    <w14:schemeClr w14:val="tx1"/>
                  </w14:solidFill>
                </w14:textFill>
              </w:rPr>
              <w:t>燃烧室有效容积</w:t>
            </w:r>
          </w:p>
        </w:tc>
        <w:tc>
          <w:tcPr>
            <w:tcW w:w="941" w:type="pct"/>
            <w:vAlign w:val="center"/>
          </w:tcPr>
          <w:p w14:paraId="3E53AB85">
            <w:pPr>
              <w:pStyle w:val="109"/>
              <w:rPr>
                <w:color w:val="000000" w:themeColor="text1"/>
                <w14:textFill>
                  <w14:solidFill>
                    <w14:schemeClr w14:val="tx1"/>
                  </w14:solidFill>
                </w14:textFill>
              </w:rPr>
            </w:pPr>
            <w:r>
              <w:rPr>
                <w:color w:val="000000" w:themeColor="text1"/>
                <w14:textFill>
                  <w14:solidFill>
                    <w14:schemeClr w14:val="tx1"/>
                  </w14:solidFill>
                </w14:textFill>
              </w:rPr>
              <w:t>m³</w:t>
            </w:r>
          </w:p>
        </w:tc>
        <w:tc>
          <w:tcPr>
            <w:tcW w:w="1336" w:type="pct"/>
            <w:vAlign w:val="center"/>
          </w:tcPr>
          <w:p w14:paraId="2AE7EB81">
            <w:pPr>
              <w:pStyle w:val="109"/>
              <w:rPr>
                <w:color w:val="000000" w:themeColor="text1"/>
                <w14:textFill>
                  <w14:solidFill>
                    <w14:schemeClr w14:val="tx1"/>
                  </w14:solidFill>
                </w14:textFill>
              </w:rPr>
            </w:pPr>
            <w:r>
              <w:rPr>
                <w:color w:val="000000" w:themeColor="text1"/>
                <w14:textFill>
                  <w14:solidFill>
                    <w14:schemeClr w14:val="tx1"/>
                  </w14:solidFill>
                </w14:textFill>
              </w:rPr>
              <w:t>10.5</w:t>
            </w:r>
          </w:p>
        </w:tc>
      </w:tr>
      <w:tr w14:paraId="7F545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765D90F0">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2299" w:type="pct"/>
            <w:noWrap/>
            <w:vAlign w:val="center"/>
          </w:tcPr>
          <w:p w14:paraId="7E8E2B23">
            <w:pPr>
              <w:pStyle w:val="109"/>
              <w:rPr>
                <w:color w:val="000000" w:themeColor="text1"/>
                <w14:textFill>
                  <w14:solidFill>
                    <w14:schemeClr w14:val="tx1"/>
                  </w14:solidFill>
                </w14:textFill>
              </w:rPr>
            </w:pPr>
            <w:r>
              <w:rPr>
                <w:color w:val="000000" w:themeColor="text1"/>
                <w14:textFill>
                  <w14:solidFill>
                    <w14:schemeClr w14:val="tx1"/>
                  </w14:solidFill>
                </w14:textFill>
              </w:rPr>
              <w:t>二燃室外形尺寸</w:t>
            </w:r>
          </w:p>
        </w:tc>
        <w:tc>
          <w:tcPr>
            <w:tcW w:w="941" w:type="pct"/>
            <w:vAlign w:val="center"/>
          </w:tcPr>
          <w:p w14:paraId="2F19E9E8">
            <w:pPr>
              <w:pStyle w:val="109"/>
              <w:rPr>
                <w:color w:val="000000" w:themeColor="text1"/>
                <w14:textFill>
                  <w14:solidFill>
                    <w14:schemeClr w14:val="tx1"/>
                  </w14:solidFill>
                </w14:textFill>
              </w:rPr>
            </w:pPr>
            <w:r>
              <w:rPr>
                <w:color w:val="000000" w:themeColor="text1"/>
                <w14:textFill>
                  <w14:solidFill>
                    <w14:schemeClr w14:val="tx1"/>
                  </w14:solidFill>
                </w14:textFill>
              </w:rPr>
              <w:t>mm</w:t>
            </w:r>
          </w:p>
        </w:tc>
        <w:tc>
          <w:tcPr>
            <w:tcW w:w="1336" w:type="pct"/>
            <w:vAlign w:val="center"/>
          </w:tcPr>
          <w:p w14:paraId="102F3D6E">
            <w:pPr>
              <w:pStyle w:val="109"/>
              <w:rPr>
                <w:color w:val="000000" w:themeColor="text1"/>
                <w14:textFill>
                  <w14:solidFill>
                    <w14:schemeClr w14:val="tx1"/>
                  </w14:solidFill>
                </w14:textFill>
              </w:rPr>
            </w:pPr>
            <w:r>
              <w:rPr>
                <w:color w:val="000000" w:themeColor="text1"/>
                <w14:textFill>
                  <w14:solidFill>
                    <w14:schemeClr w14:val="tx1"/>
                  </w14:solidFill>
                </w14:textFill>
              </w:rPr>
              <w:t>Φ2300×8000</w:t>
            </w:r>
          </w:p>
        </w:tc>
      </w:tr>
      <w:tr w14:paraId="33380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24" w:type="pct"/>
            <w:vAlign w:val="center"/>
          </w:tcPr>
          <w:p w14:paraId="61B7B386">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299" w:type="pct"/>
            <w:noWrap/>
            <w:vAlign w:val="center"/>
          </w:tcPr>
          <w:p w14:paraId="5F6EF3DE">
            <w:pPr>
              <w:pStyle w:val="109"/>
              <w:rPr>
                <w:color w:val="000000" w:themeColor="text1"/>
                <w14:textFill>
                  <w14:solidFill>
                    <w14:schemeClr w14:val="tx1"/>
                  </w14:solidFill>
                </w14:textFill>
              </w:rPr>
            </w:pPr>
            <w:r>
              <w:rPr>
                <w:color w:val="000000" w:themeColor="text1"/>
                <w14:textFill>
                  <w14:solidFill>
                    <w14:schemeClr w14:val="tx1"/>
                  </w14:solidFill>
                </w14:textFill>
              </w:rPr>
              <w:t>耐火材料厚度</w:t>
            </w:r>
          </w:p>
        </w:tc>
        <w:tc>
          <w:tcPr>
            <w:tcW w:w="941" w:type="pct"/>
            <w:vAlign w:val="center"/>
          </w:tcPr>
          <w:p w14:paraId="3E8E83D5">
            <w:pPr>
              <w:pStyle w:val="109"/>
              <w:rPr>
                <w:color w:val="000000" w:themeColor="text1"/>
                <w14:textFill>
                  <w14:solidFill>
                    <w14:schemeClr w14:val="tx1"/>
                  </w14:solidFill>
                </w14:textFill>
              </w:rPr>
            </w:pPr>
            <w:r>
              <w:rPr>
                <w:color w:val="000000" w:themeColor="text1"/>
                <w14:textFill>
                  <w14:solidFill>
                    <w14:schemeClr w14:val="tx1"/>
                  </w14:solidFill>
                </w14:textFill>
              </w:rPr>
              <w:t>mm</w:t>
            </w:r>
          </w:p>
        </w:tc>
        <w:tc>
          <w:tcPr>
            <w:tcW w:w="1336" w:type="pct"/>
            <w:vAlign w:val="center"/>
          </w:tcPr>
          <w:p w14:paraId="7C6469B4">
            <w:pPr>
              <w:pStyle w:val="109"/>
              <w:rPr>
                <w:color w:val="000000" w:themeColor="text1"/>
                <w14:textFill>
                  <w14:solidFill>
                    <w14:schemeClr w14:val="tx1"/>
                  </w14:solidFill>
                </w14:textFill>
              </w:rPr>
            </w:pPr>
            <w:r>
              <w:rPr>
                <w:color w:val="000000" w:themeColor="text1"/>
                <w14:textFill>
                  <w14:solidFill>
                    <w14:schemeClr w14:val="tx1"/>
                  </w14:solidFill>
                </w14:textFill>
              </w:rPr>
              <w:t>400</w:t>
            </w:r>
          </w:p>
        </w:tc>
      </w:tr>
    </w:tbl>
    <w:p w14:paraId="77F1972F">
      <w:pPr>
        <w:pStyle w:val="197"/>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4、SNCR</w:t>
      </w:r>
    </w:p>
    <w:p w14:paraId="0A41CD68">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在二燃室出口适当的位置和合适的温度窗口雾化喷入</w:t>
      </w:r>
      <w:r>
        <w:rPr>
          <w:rFonts w:hint="eastAsia" w:ascii="Times New Roman" w:hAnsi="Times New Roman"/>
          <w:color w:val="000000" w:themeColor="text1"/>
          <w14:textFill>
            <w14:solidFill>
              <w14:schemeClr w14:val="tx1"/>
            </w14:solidFill>
          </w14:textFill>
        </w:rPr>
        <w:t>氨水</w:t>
      </w:r>
      <w:r>
        <w:rPr>
          <w:rFonts w:ascii="Times New Roman" w:hAnsi="Times New Roman"/>
          <w:color w:val="000000" w:themeColor="text1"/>
          <w14:textFill>
            <w14:solidFill>
              <w14:schemeClr w14:val="tx1"/>
            </w14:solidFill>
          </w14:textFill>
        </w:rPr>
        <w:t>脱硝。</w:t>
      </w:r>
    </w:p>
    <w:p w14:paraId="6207A56E">
      <w:pPr>
        <w:ind w:firstLine="480"/>
        <w:rPr>
          <w:color w:val="000000" w:themeColor="text1"/>
          <w14:textFill>
            <w14:solidFill>
              <w14:schemeClr w14:val="tx1"/>
            </w14:solidFill>
          </w14:textFill>
        </w:rPr>
      </w:pPr>
      <w:r>
        <w:rPr>
          <w:color w:val="000000" w:themeColor="text1"/>
          <w14:textFill>
            <w14:solidFill>
              <w14:schemeClr w14:val="tx1"/>
            </w14:solidFill>
          </w14:textFill>
        </w:rPr>
        <w:t>SNCR高温脱硝：在二燃室末端区域+出口烟道的合适的950~1050℃温度窗口设置SNCR（Selective Noncatalytic Reduction）——选择性非催化还原法脱硝技术。是一种向炉膛或烟道中喷氨水等含用NH3基的还原剂在高温范围内，选择性地把烟气中的NOx 还原为N</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和H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O。在900～1000 ℃温度范围内，在无催化剂作用下，氨水等氨基还原剂可选择性地把烟气中的NOx 还原为N</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和H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 ， 基本上不与烟气中的氧气作用。</w:t>
      </w:r>
    </w:p>
    <w:p w14:paraId="4B79070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本项目采用氨水进行脱氮，布置位置为二燃室出口脱硝烟道，SNCR脱氮效率大于40%。</w:t>
      </w:r>
    </w:p>
    <w:p w14:paraId="2507C816">
      <w:pPr>
        <w:pStyle w:val="197"/>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3、石墨急冷塔</w:t>
      </w:r>
    </w:p>
    <w:p w14:paraId="388B348C">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随后高温1100℃烟气直接进入石墨急冷塔，烟气与大水量喷淋水接触降温，在1s以内将1100℃以上的烟气降至80℃以下，有效抑制二噁英的再合成。</w:t>
      </w:r>
    </w:p>
    <w:p w14:paraId="0DB14787">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水夹套急冷塔的设计采用大水量喷淋，使烟气与水充分接触，有效降低烟气温度和充分吸收烟气中少量的酸性气体包括HF、HCl、SO</w:t>
      </w:r>
      <w:r>
        <w:rPr>
          <w:rFonts w:ascii="Times New Roman" w:hAnsi="Times New Roman"/>
          <w:color w:val="000000" w:themeColor="text1"/>
          <w:vertAlign w:val="subscript"/>
          <w:lang w:val="en-US"/>
          <w14:textFill>
            <w14:solidFill>
              <w14:schemeClr w14:val="tx1"/>
            </w14:solidFill>
          </w14:textFill>
        </w:rPr>
        <w:t>2</w:t>
      </w:r>
      <w:r>
        <w:rPr>
          <w:rFonts w:ascii="Times New Roman" w:hAnsi="Times New Roman"/>
          <w:color w:val="000000" w:themeColor="text1"/>
          <w:lang w:val="en-US"/>
          <w14:textFill>
            <w14:solidFill>
              <w14:schemeClr w14:val="tx1"/>
            </w14:solidFill>
          </w14:textFill>
        </w:rPr>
        <w:t>。洗下来的酸液外排塔外中和，并将塔内液体及时置换补充。</w:t>
      </w:r>
    </w:p>
    <w:p w14:paraId="7BDCA2E6">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由于高温烟气携带大量热，SO</w:t>
      </w:r>
      <w:r>
        <w:rPr>
          <w:rFonts w:ascii="Times New Roman" w:hAnsi="Times New Roman"/>
          <w:color w:val="000000" w:themeColor="text1"/>
          <w:vertAlign w:val="subscript"/>
          <w:lang w:val="en-US"/>
          <w14:textFill>
            <w14:solidFill>
              <w14:schemeClr w14:val="tx1"/>
            </w14:solidFill>
          </w14:textFill>
        </w:rPr>
        <w:t>2</w:t>
      </w:r>
      <w:r>
        <w:rPr>
          <w:rFonts w:ascii="Times New Roman" w:hAnsi="Times New Roman"/>
          <w:color w:val="000000" w:themeColor="text1"/>
          <w:lang w:val="en-US"/>
          <w14:textFill>
            <w14:solidFill>
              <w14:schemeClr w14:val="tx1"/>
            </w14:solidFill>
          </w14:textFill>
        </w:rPr>
        <w:t>、HF、HCl气体溶解和水蒸汽凝结都是放热反应，它们放出的热量被循环吸收液管线上的换热器带走。</w:t>
      </w:r>
    </w:p>
    <w:p w14:paraId="41280A3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石墨急冷塔设计计算参数</w:t>
      </w:r>
    </w:p>
    <w:tbl>
      <w:tblPr>
        <w:tblStyle w:val="76"/>
        <w:tblW w:w="5000" w:type="pct"/>
        <w:jc w:val="center"/>
        <w:tblLayout w:type="autofit"/>
        <w:tblCellMar>
          <w:top w:w="0" w:type="dxa"/>
          <w:left w:w="108" w:type="dxa"/>
          <w:bottom w:w="0" w:type="dxa"/>
          <w:right w:w="108" w:type="dxa"/>
        </w:tblCellMar>
      </w:tblPr>
      <w:tblGrid>
        <w:gridCol w:w="1065"/>
        <w:gridCol w:w="3461"/>
        <w:gridCol w:w="2199"/>
        <w:gridCol w:w="2903"/>
      </w:tblGrid>
      <w:tr w14:paraId="6650D8E9">
        <w:tblPrEx>
          <w:tblCellMar>
            <w:top w:w="0" w:type="dxa"/>
            <w:left w:w="108" w:type="dxa"/>
            <w:bottom w:w="0" w:type="dxa"/>
            <w:right w:w="108" w:type="dxa"/>
          </w:tblCellMar>
        </w:tblPrEx>
        <w:trPr>
          <w:jc w:val="center"/>
        </w:trPr>
        <w:tc>
          <w:tcPr>
            <w:tcW w:w="553" w:type="pct"/>
            <w:tcBorders>
              <w:top w:val="single" w:color="000000" w:sz="8" w:space="0"/>
              <w:left w:val="single" w:color="000000" w:sz="8" w:space="0"/>
              <w:bottom w:val="single" w:color="000000" w:sz="8" w:space="0"/>
              <w:right w:val="single" w:color="000000" w:sz="8" w:space="0"/>
            </w:tcBorders>
            <w:vAlign w:val="center"/>
          </w:tcPr>
          <w:p w14:paraId="1CC0FCB3">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97" w:type="pct"/>
            <w:tcBorders>
              <w:top w:val="single" w:color="000000" w:sz="8" w:space="0"/>
              <w:left w:val="single" w:color="000000" w:sz="8" w:space="0"/>
              <w:bottom w:val="single" w:color="000000" w:sz="8" w:space="0"/>
              <w:right w:val="single" w:color="000000" w:sz="8" w:space="0"/>
            </w:tcBorders>
            <w:vAlign w:val="center"/>
          </w:tcPr>
          <w:p w14:paraId="32AB2D67">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142" w:type="pct"/>
            <w:tcBorders>
              <w:top w:val="single" w:color="000000" w:sz="8" w:space="0"/>
              <w:left w:val="single" w:color="000000" w:sz="8" w:space="0"/>
              <w:bottom w:val="single" w:color="000000" w:sz="8" w:space="0"/>
              <w:right w:val="single" w:color="000000" w:sz="8" w:space="0"/>
            </w:tcBorders>
            <w:vAlign w:val="center"/>
          </w:tcPr>
          <w:p w14:paraId="6BF9A21B">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507" w:type="pct"/>
            <w:tcBorders>
              <w:top w:val="single" w:color="000000" w:sz="8" w:space="0"/>
              <w:left w:val="single" w:color="000000" w:sz="8" w:space="0"/>
              <w:bottom w:val="single" w:color="000000" w:sz="8" w:space="0"/>
              <w:right w:val="single" w:color="000000" w:sz="8" w:space="0"/>
            </w:tcBorders>
            <w:vAlign w:val="center"/>
          </w:tcPr>
          <w:p w14:paraId="62CCCFE8">
            <w:pPr>
              <w:pStyle w:val="109"/>
              <w:rPr>
                <w:color w:val="000000" w:themeColor="text1"/>
                <w14:textFill>
                  <w14:solidFill>
                    <w14:schemeClr w14:val="tx1"/>
                  </w14:solidFill>
                </w14:textFill>
              </w:rPr>
            </w:pPr>
            <w:r>
              <w:rPr>
                <w:color w:val="000000" w:themeColor="text1"/>
                <w14:textFill>
                  <w14:solidFill>
                    <w14:schemeClr w14:val="tx1"/>
                  </w14:solidFill>
                </w14:textFill>
              </w:rPr>
              <w:t>数值</w:t>
            </w:r>
          </w:p>
        </w:tc>
      </w:tr>
      <w:tr w14:paraId="5B5D80F9">
        <w:tblPrEx>
          <w:tblCellMar>
            <w:top w:w="0" w:type="dxa"/>
            <w:left w:w="108" w:type="dxa"/>
            <w:bottom w:w="0" w:type="dxa"/>
            <w:right w:w="108" w:type="dxa"/>
          </w:tblCellMar>
        </w:tblPrEx>
        <w:trPr>
          <w:jc w:val="center"/>
        </w:trPr>
        <w:tc>
          <w:tcPr>
            <w:tcW w:w="553" w:type="pct"/>
            <w:tcBorders>
              <w:top w:val="nil"/>
              <w:left w:val="single" w:color="000000" w:sz="8" w:space="0"/>
              <w:bottom w:val="single" w:color="000000" w:sz="8" w:space="0"/>
              <w:right w:val="single" w:color="000000" w:sz="8" w:space="0"/>
            </w:tcBorders>
            <w:vAlign w:val="center"/>
          </w:tcPr>
          <w:p w14:paraId="469E567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797" w:type="pct"/>
            <w:tcBorders>
              <w:top w:val="nil"/>
              <w:left w:val="single" w:color="000000" w:sz="8" w:space="0"/>
              <w:bottom w:val="single" w:color="000000" w:sz="8" w:space="0"/>
              <w:right w:val="single" w:color="000000" w:sz="8" w:space="0"/>
            </w:tcBorders>
            <w:vAlign w:val="center"/>
          </w:tcPr>
          <w:p w14:paraId="4368A5D8">
            <w:pPr>
              <w:pStyle w:val="109"/>
              <w:rPr>
                <w:color w:val="000000" w:themeColor="text1"/>
                <w14:textFill>
                  <w14:solidFill>
                    <w14:schemeClr w14:val="tx1"/>
                  </w14:solidFill>
                </w14:textFill>
              </w:rPr>
            </w:pPr>
            <w:r>
              <w:rPr>
                <w:color w:val="000000" w:themeColor="text1"/>
                <w14:textFill>
                  <w14:solidFill>
                    <w14:schemeClr w14:val="tx1"/>
                  </w14:solidFill>
                </w14:textFill>
              </w:rPr>
              <w:t>进口烟气量（MAX）</w:t>
            </w:r>
          </w:p>
        </w:tc>
        <w:tc>
          <w:tcPr>
            <w:tcW w:w="1142" w:type="pct"/>
            <w:tcBorders>
              <w:top w:val="nil"/>
              <w:left w:val="single" w:color="000000" w:sz="8" w:space="0"/>
              <w:bottom w:val="single" w:color="000000" w:sz="8" w:space="0"/>
              <w:right w:val="single" w:color="000000" w:sz="8" w:space="0"/>
            </w:tcBorders>
            <w:vAlign w:val="center"/>
          </w:tcPr>
          <w:p w14:paraId="20AF1E4C">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507" w:type="pct"/>
            <w:tcBorders>
              <w:top w:val="nil"/>
              <w:left w:val="single" w:color="000000" w:sz="8" w:space="0"/>
              <w:bottom w:val="single" w:color="000000" w:sz="8" w:space="0"/>
              <w:right w:val="single" w:color="000000" w:sz="8" w:space="0"/>
            </w:tcBorders>
            <w:vAlign w:val="center"/>
          </w:tcPr>
          <w:p w14:paraId="792A0061">
            <w:pPr>
              <w:pStyle w:val="109"/>
              <w:rPr>
                <w:color w:val="000000" w:themeColor="text1"/>
                <w14:textFill>
                  <w14:solidFill>
                    <w14:schemeClr w14:val="tx1"/>
                  </w14:solidFill>
                </w14:textFill>
              </w:rPr>
            </w:pPr>
            <w:r>
              <w:rPr>
                <w:color w:val="000000" w:themeColor="text1"/>
                <w14:textFill>
                  <w14:solidFill>
                    <w14:schemeClr w14:val="tx1"/>
                  </w14:solidFill>
                </w14:textFill>
              </w:rPr>
              <w:t>~2800</w:t>
            </w:r>
          </w:p>
        </w:tc>
      </w:tr>
      <w:tr w14:paraId="57CF54ED">
        <w:tblPrEx>
          <w:tblCellMar>
            <w:top w:w="0" w:type="dxa"/>
            <w:left w:w="108" w:type="dxa"/>
            <w:bottom w:w="0" w:type="dxa"/>
            <w:right w:w="108" w:type="dxa"/>
          </w:tblCellMar>
        </w:tblPrEx>
        <w:trPr>
          <w:jc w:val="center"/>
        </w:trPr>
        <w:tc>
          <w:tcPr>
            <w:tcW w:w="553" w:type="pct"/>
            <w:tcBorders>
              <w:top w:val="nil"/>
              <w:left w:val="single" w:color="000000" w:sz="8" w:space="0"/>
              <w:bottom w:val="single" w:color="000000" w:sz="8" w:space="0"/>
              <w:right w:val="single" w:color="000000" w:sz="8" w:space="0"/>
            </w:tcBorders>
            <w:vAlign w:val="center"/>
          </w:tcPr>
          <w:p w14:paraId="2D29B47D">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797" w:type="pct"/>
            <w:tcBorders>
              <w:top w:val="nil"/>
              <w:left w:val="single" w:color="000000" w:sz="8" w:space="0"/>
              <w:bottom w:val="single" w:color="000000" w:sz="8" w:space="0"/>
              <w:right w:val="single" w:color="000000" w:sz="8" w:space="0"/>
            </w:tcBorders>
            <w:vAlign w:val="center"/>
          </w:tcPr>
          <w:p w14:paraId="33FDE5B2">
            <w:pPr>
              <w:pStyle w:val="109"/>
              <w:rPr>
                <w:color w:val="000000" w:themeColor="text1"/>
                <w14:textFill>
                  <w14:solidFill>
                    <w14:schemeClr w14:val="tx1"/>
                  </w14:solidFill>
                </w14:textFill>
              </w:rPr>
            </w:pPr>
            <w:r>
              <w:rPr>
                <w:color w:val="000000" w:themeColor="text1"/>
                <w14:textFill>
                  <w14:solidFill>
                    <w14:schemeClr w14:val="tx1"/>
                  </w14:solidFill>
                </w14:textFill>
              </w:rPr>
              <w:t>进口烟气温度</w:t>
            </w:r>
          </w:p>
        </w:tc>
        <w:tc>
          <w:tcPr>
            <w:tcW w:w="1142" w:type="pct"/>
            <w:tcBorders>
              <w:top w:val="nil"/>
              <w:left w:val="single" w:color="000000" w:sz="8" w:space="0"/>
              <w:bottom w:val="single" w:color="000000" w:sz="8" w:space="0"/>
              <w:right w:val="single" w:color="000000" w:sz="8" w:space="0"/>
            </w:tcBorders>
            <w:vAlign w:val="center"/>
          </w:tcPr>
          <w:p w14:paraId="2E619FA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07" w:type="pct"/>
            <w:tcBorders>
              <w:top w:val="nil"/>
              <w:left w:val="single" w:color="000000" w:sz="8" w:space="0"/>
              <w:bottom w:val="single" w:color="000000" w:sz="8" w:space="0"/>
              <w:right w:val="single" w:color="000000" w:sz="8" w:space="0"/>
            </w:tcBorders>
            <w:vAlign w:val="center"/>
          </w:tcPr>
          <w:p w14:paraId="72378AA8">
            <w:pPr>
              <w:pStyle w:val="109"/>
              <w:rPr>
                <w:color w:val="000000" w:themeColor="text1"/>
                <w14:textFill>
                  <w14:solidFill>
                    <w14:schemeClr w14:val="tx1"/>
                  </w14:solidFill>
                </w14:textFill>
              </w:rPr>
            </w:pPr>
            <w:r>
              <w:rPr>
                <w:color w:val="000000" w:themeColor="text1"/>
                <w14:textFill>
                  <w14:solidFill>
                    <w14:schemeClr w14:val="tx1"/>
                  </w14:solidFill>
                </w14:textFill>
              </w:rPr>
              <w:t>1100</w:t>
            </w:r>
          </w:p>
        </w:tc>
      </w:tr>
      <w:tr w14:paraId="023D13D0">
        <w:tblPrEx>
          <w:tblCellMar>
            <w:top w:w="0" w:type="dxa"/>
            <w:left w:w="108" w:type="dxa"/>
            <w:bottom w:w="0" w:type="dxa"/>
            <w:right w:w="108" w:type="dxa"/>
          </w:tblCellMar>
        </w:tblPrEx>
        <w:trPr>
          <w:jc w:val="center"/>
        </w:trPr>
        <w:tc>
          <w:tcPr>
            <w:tcW w:w="553" w:type="pct"/>
            <w:tcBorders>
              <w:top w:val="nil"/>
              <w:left w:val="single" w:color="000000" w:sz="8" w:space="0"/>
              <w:bottom w:val="single" w:color="000000" w:sz="8" w:space="0"/>
              <w:right w:val="single" w:color="000000" w:sz="8" w:space="0"/>
            </w:tcBorders>
            <w:vAlign w:val="center"/>
          </w:tcPr>
          <w:p w14:paraId="47F9F8B7">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797" w:type="pct"/>
            <w:tcBorders>
              <w:top w:val="nil"/>
              <w:left w:val="single" w:color="000000" w:sz="8" w:space="0"/>
              <w:bottom w:val="single" w:color="000000" w:sz="8" w:space="0"/>
              <w:right w:val="single" w:color="000000" w:sz="8" w:space="0"/>
            </w:tcBorders>
            <w:vAlign w:val="center"/>
          </w:tcPr>
          <w:p w14:paraId="5BC75E8B">
            <w:pPr>
              <w:pStyle w:val="109"/>
              <w:rPr>
                <w:color w:val="000000" w:themeColor="text1"/>
                <w14:textFill>
                  <w14:solidFill>
                    <w14:schemeClr w14:val="tx1"/>
                  </w14:solidFill>
                </w14:textFill>
              </w:rPr>
            </w:pPr>
            <w:r>
              <w:rPr>
                <w:color w:val="000000" w:themeColor="text1"/>
                <w14:textFill>
                  <w14:solidFill>
                    <w14:schemeClr w14:val="tx1"/>
                  </w14:solidFill>
                </w14:textFill>
              </w:rPr>
              <w:t>出口烟气温度</w:t>
            </w:r>
          </w:p>
        </w:tc>
        <w:tc>
          <w:tcPr>
            <w:tcW w:w="1142" w:type="pct"/>
            <w:tcBorders>
              <w:top w:val="nil"/>
              <w:left w:val="single" w:color="000000" w:sz="8" w:space="0"/>
              <w:bottom w:val="single" w:color="000000" w:sz="8" w:space="0"/>
              <w:right w:val="single" w:color="000000" w:sz="8" w:space="0"/>
            </w:tcBorders>
            <w:vAlign w:val="center"/>
          </w:tcPr>
          <w:p w14:paraId="0A82E11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07" w:type="pct"/>
            <w:tcBorders>
              <w:top w:val="nil"/>
              <w:left w:val="single" w:color="000000" w:sz="8" w:space="0"/>
              <w:bottom w:val="single" w:color="000000" w:sz="8" w:space="0"/>
              <w:right w:val="single" w:color="000000" w:sz="8" w:space="0"/>
            </w:tcBorders>
            <w:vAlign w:val="center"/>
          </w:tcPr>
          <w:p w14:paraId="5A0162ED">
            <w:pPr>
              <w:pStyle w:val="109"/>
              <w:rPr>
                <w:color w:val="000000" w:themeColor="text1"/>
                <w14:textFill>
                  <w14:solidFill>
                    <w14:schemeClr w14:val="tx1"/>
                  </w14:solidFill>
                </w14:textFill>
              </w:rPr>
            </w:pPr>
            <w:r>
              <w:rPr>
                <w:color w:val="000000" w:themeColor="text1"/>
                <w14:textFill>
                  <w14:solidFill>
                    <w14:schemeClr w14:val="tx1"/>
                  </w14:solidFill>
                </w14:textFill>
              </w:rPr>
              <w:t>＜80</w:t>
            </w:r>
          </w:p>
        </w:tc>
      </w:tr>
      <w:tr w14:paraId="1E0BF3D3">
        <w:tblPrEx>
          <w:tblCellMar>
            <w:top w:w="0" w:type="dxa"/>
            <w:left w:w="108" w:type="dxa"/>
            <w:bottom w:w="0" w:type="dxa"/>
            <w:right w:w="108" w:type="dxa"/>
          </w:tblCellMar>
        </w:tblPrEx>
        <w:trPr>
          <w:jc w:val="center"/>
        </w:trPr>
        <w:tc>
          <w:tcPr>
            <w:tcW w:w="553" w:type="pct"/>
            <w:tcBorders>
              <w:top w:val="nil"/>
              <w:left w:val="single" w:color="000000" w:sz="8" w:space="0"/>
              <w:bottom w:val="single" w:color="000000" w:sz="8" w:space="0"/>
              <w:right w:val="single" w:color="000000" w:sz="8" w:space="0"/>
            </w:tcBorders>
            <w:vAlign w:val="center"/>
          </w:tcPr>
          <w:p w14:paraId="7C2DD3BF">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797" w:type="pct"/>
            <w:tcBorders>
              <w:top w:val="nil"/>
              <w:left w:val="single" w:color="000000" w:sz="8" w:space="0"/>
              <w:bottom w:val="single" w:color="000000" w:sz="8" w:space="0"/>
              <w:right w:val="single" w:color="000000" w:sz="8" w:space="0"/>
            </w:tcBorders>
            <w:vAlign w:val="center"/>
          </w:tcPr>
          <w:p w14:paraId="052147A5">
            <w:pPr>
              <w:pStyle w:val="109"/>
              <w:rPr>
                <w:color w:val="000000" w:themeColor="text1"/>
                <w14:textFill>
                  <w14:solidFill>
                    <w14:schemeClr w14:val="tx1"/>
                  </w14:solidFill>
                </w14:textFill>
              </w:rPr>
            </w:pPr>
            <w:r>
              <w:rPr>
                <w:color w:val="000000" w:themeColor="text1"/>
                <w14:textFill>
                  <w14:solidFill>
                    <w14:schemeClr w14:val="tx1"/>
                  </w14:solidFill>
                </w14:textFill>
              </w:rPr>
              <w:t>出口烟气量</w:t>
            </w:r>
          </w:p>
        </w:tc>
        <w:tc>
          <w:tcPr>
            <w:tcW w:w="1142" w:type="pct"/>
            <w:tcBorders>
              <w:top w:val="nil"/>
              <w:left w:val="single" w:color="000000" w:sz="8" w:space="0"/>
              <w:bottom w:val="single" w:color="000000" w:sz="8" w:space="0"/>
              <w:right w:val="single" w:color="000000" w:sz="8" w:space="0"/>
            </w:tcBorders>
            <w:vAlign w:val="center"/>
          </w:tcPr>
          <w:p w14:paraId="68C635B8">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507" w:type="pct"/>
            <w:tcBorders>
              <w:top w:val="nil"/>
              <w:left w:val="single" w:color="000000" w:sz="8" w:space="0"/>
              <w:bottom w:val="single" w:color="000000" w:sz="8" w:space="0"/>
              <w:right w:val="single" w:color="000000" w:sz="8" w:space="0"/>
            </w:tcBorders>
            <w:vAlign w:val="center"/>
          </w:tcPr>
          <w:p w14:paraId="1707B734">
            <w:pPr>
              <w:pStyle w:val="109"/>
              <w:rPr>
                <w:color w:val="000000" w:themeColor="text1"/>
                <w14:textFill>
                  <w14:solidFill>
                    <w14:schemeClr w14:val="tx1"/>
                  </w14:solidFill>
                </w14:textFill>
              </w:rPr>
            </w:pPr>
            <w:r>
              <w:rPr>
                <w:color w:val="000000" w:themeColor="text1"/>
                <w14:textFill>
                  <w14:solidFill>
                    <w14:schemeClr w14:val="tx1"/>
                  </w14:solidFill>
                </w14:textFill>
              </w:rPr>
              <w:t>~3500</w:t>
            </w:r>
          </w:p>
        </w:tc>
      </w:tr>
      <w:tr w14:paraId="67E781F3">
        <w:tblPrEx>
          <w:tblCellMar>
            <w:top w:w="0" w:type="dxa"/>
            <w:left w:w="108" w:type="dxa"/>
            <w:bottom w:w="0" w:type="dxa"/>
            <w:right w:w="108" w:type="dxa"/>
          </w:tblCellMar>
        </w:tblPrEx>
        <w:trPr>
          <w:jc w:val="center"/>
        </w:trPr>
        <w:tc>
          <w:tcPr>
            <w:tcW w:w="553" w:type="pct"/>
            <w:tcBorders>
              <w:top w:val="nil"/>
              <w:left w:val="single" w:color="000000" w:sz="8" w:space="0"/>
              <w:bottom w:val="single" w:color="000000" w:sz="8" w:space="0"/>
              <w:right w:val="single" w:color="000000" w:sz="8" w:space="0"/>
            </w:tcBorders>
            <w:vAlign w:val="center"/>
          </w:tcPr>
          <w:p w14:paraId="4B95A664">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797" w:type="pct"/>
            <w:tcBorders>
              <w:top w:val="nil"/>
              <w:left w:val="single" w:color="000000" w:sz="8" w:space="0"/>
              <w:bottom w:val="single" w:color="000000" w:sz="8" w:space="0"/>
              <w:right w:val="single" w:color="000000" w:sz="8" w:space="0"/>
            </w:tcBorders>
            <w:vAlign w:val="center"/>
          </w:tcPr>
          <w:p w14:paraId="471D21C5">
            <w:pPr>
              <w:pStyle w:val="109"/>
              <w:rPr>
                <w:color w:val="000000" w:themeColor="text1"/>
                <w14:textFill>
                  <w14:solidFill>
                    <w14:schemeClr w14:val="tx1"/>
                  </w14:solidFill>
                </w14:textFill>
              </w:rPr>
            </w:pPr>
            <w:r>
              <w:rPr>
                <w:color w:val="000000" w:themeColor="text1"/>
                <w14:textFill>
                  <w14:solidFill>
                    <w14:schemeClr w14:val="tx1"/>
                  </w14:solidFill>
                </w14:textFill>
              </w:rPr>
              <w:t>蒸发水量</w:t>
            </w:r>
          </w:p>
        </w:tc>
        <w:tc>
          <w:tcPr>
            <w:tcW w:w="1142" w:type="pct"/>
            <w:tcBorders>
              <w:top w:val="nil"/>
              <w:left w:val="single" w:color="000000" w:sz="8" w:space="0"/>
              <w:bottom w:val="single" w:color="000000" w:sz="8" w:space="0"/>
              <w:right w:val="single" w:color="000000" w:sz="8" w:space="0"/>
            </w:tcBorders>
            <w:vAlign w:val="center"/>
          </w:tcPr>
          <w:p w14:paraId="43A55B6E">
            <w:pPr>
              <w:pStyle w:val="109"/>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1507" w:type="pct"/>
            <w:tcBorders>
              <w:top w:val="nil"/>
              <w:left w:val="single" w:color="000000" w:sz="8" w:space="0"/>
              <w:bottom w:val="single" w:color="000000" w:sz="8" w:space="0"/>
              <w:right w:val="single" w:color="000000" w:sz="8" w:space="0"/>
            </w:tcBorders>
            <w:vAlign w:val="center"/>
          </w:tcPr>
          <w:p w14:paraId="39B17523">
            <w:pPr>
              <w:pStyle w:val="109"/>
              <w:rPr>
                <w:color w:val="000000" w:themeColor="text1"/>
                <w14:textFill>
                  <w14:solidFill>
                    <w14:schemeClr w14:val="tx1"/>
                  </w14:solidFill>
                </w14:textFill>
              </w:rPr>
            </w:pPr>
            <w:r>
              <w:rPr>
                <w:color w:val="000000" w:themeColor="text1"/>
                <w14:textFill>
                  <w14:solidFill>
                    <w14:schemeClr w14:val="tx1"/>
                  </w14:solidFill>
                </w14:textFill>
              </w:rPr>
              <w:t>~580</w:t>
            </w:r>
          </w:p>
        </w:tc>
      </w:tr>
      <w:tr w14:paraId="7A3911EF">
        <w:tblPrEx>
          <w:tblCellMar>
            <w:top w:w="0" w:type="dxa"/>
            <w:left w:w="108" w:type="dxa"/>
            <w:bottom w:w="0" w:type="dxa"/>
            <w:right w:w="108" w:type="dxa"/>
          </w:tblCellMar>
        </w:tblPrEx>
        <w:trPr>
          <w:jc w:val="center"/>
        </w:trPr>
        <w:tc>
          <w:tcPr>
            <w:tcW w:w="553" w:type="pct"/>
            <w:tcBorders>
              <w:top w:val="nil"/>
              <w:left w:val="single" w:color="000000" w:sz="8" w:space="0"/>
              <w:bottom w:val="single" w:color="000000" w:sz="8" w:space="0"/>
              <w:right w:val="single" w:color="000000" w:sz="8" w:space="0"/>
            </w:tcBorders>
            <w:vAlign w:val="center"/>
          </w:tcPr>
          <w:p w14:paraId="377136FF">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797" w:type="pct"/>
            <w:tcBorders>
              <w:top w:val="nil"/>
              <w:left w:val="single" w:color="000000" w:sz="8" w:space="0"/>
              <w:bottom w:val="single" w:color="000000" w:sz="8" w:space="0"/>
              <w:right w:val="single" w:color="000000" w:sz="8" w:space="0"/>
            </w:tcBorders>
            <w:vAlign w:val="center"/>
          </w:tcPr>
          <w:p w14:paraId="0D57A7CF">
            <w:pPr>
              <w:pStyle w:val="109"/>
              <w:rPr>
                <w:color w:val="000000" w:themeColor="text1"/>
                <w14:textFill>
                  <w14:solidFill>
                    <w14:schemeClr w14:val="tx1"/>
                  </w14:solidFill>
                </w14:textFill>
              </w:rPr>
            </w:pPr>
            <w:r>
              <w:rPr>
                <w:color w:val="000000" w:themeColor="text1"/>
                <w14:textFill>
                  <w14:solidFill>
                    <w14:schemeClr w14:val="tx1"/>
                  </w14:solidFill>
                </w14:textFill>
              </w:rPr>
              <w:t>急冷吸收液循环水量</w:t>
            </w:r>
          </w:p>
        </w:tc>
        <w:tc>
          <w:tcPr>
            <w:tcW w:w="1142" w:type="pct"/>
            <w:tcBorders>
              <w:top w:val="nil"/>
              <w:left w:val="single" w:color="000000" w:sz="8" w:space="0"/>
              <w:bottom w:val="single" w:color="000000" w:sz="8" w:space="0"/>
              <w:right w:val="single" w:color="000000" w:sz="8" w:space="0"/>
            </w:tcBorders>
            <w:vAlign w:val="center"/>
          </w:tcPr>
          <w:p w14:paraId="76CD7B80">
            <w:pPr>
              <w:pStyle w:val="109"/>
              <w:rPr>
                <w:color w:val="000000" w:themeColor="text1"/>
                <w14:textFill>
                  <w14:solidFill>
                    <w14:schemeClr w14:val="tx1"/>
                  </w14:solidFill>
                </w14:textFill>
              </w:rPr>
            </w:pPr>
            <w:r>
              <w:rPr>
                <w:color w:val="000000" w:themeColor="text1"/>
                <w14:textFill>
                  <w14:solidFill>
                    <w14:schemeClr w14:val="tx1"/>
                  </w14:solidFill>
                </w14:textFill>
              </w:rPr>
              <w:t>t/h</w:t>
            </w:r>
          </w:p>
        </w:tc>
        <w:tc>
          <w:tcPr>
            <w:tcW w:w="1507" w:type="pct"/>
            <w:tcBorders>
              <w:top w:val="nil"/>
              <w:left w:val="single" w:color="000000" w:sz="8" w:space="0"/>
              <w:bottom w:val="single" w:color="000000" w:sz="8" w:space="0"/>
              <w:right w:val="single" w:color="000000" w:sz="8" w:space="0"/>
            </w:tcBorders>
            <w:vAlign w:val="center"/>
          </w:tcPr>
          <w:p w14:paraId="4407CC65">
            <w:pPr>
              <w:pStyle w:val="109"/>
              <w:rPr>
                <w:color w:val="000000" w:themeColor="text1"/>
                <w14:textFill>
                  <w14:solidFill>
                    <w14:schemeClr w14:val="tx1"/>
                  </w14:solidFill>
                </w14:textFill>
              </w:rPr>
            </w:pPr>
            <w:r>
              <w:rPr>
                <w:color w:val="000000" w:themeColor="text1"/>
                <w14:textFill>
                  <w14:solidFill>
                    <w14:schemeClr w14:val="tx1"/>
                  </w14:solidFill>
                </w14:textFill>
              </w:rPr>
              <w:t>80</w:t>
            </w:r>
          </w:p>
        </w:tc>
      </w:tr>
      <w:tr w14:paraId="3863A0E8">
        <w:tblPrEx>
          <w:tblCellMar>
            <w:top w:w="0" w:type="dxa"/>
            <w:left w:w="108" w:type="dxa"/>
            <w:bottom w:w="0" w:type="dxa"/>
            <w:right w:w="108" w:type="dxa"/>
          </w:tblCellMar>
        </w:tblPrEx>
        <w:trPr>
          <w:jc w:val="center"/>
        </w:trPr>
        <w:tc>
          <w:tcPr>
            <w:tcW w:w="553" w:type="pct"/>
            <w:tcBorders>
              <w:top w:val="nil"/>
              <w:left w:val="single" w:color="000000" w:sz="8" w:space="0"/>
              <w:bottom w:val="single" w:color="000000" w:sz="8" w:space="0"/>
              <w:right w:val="single" w:color="000000" w:sz="8" w:space="0"/>
            </w:tcBorders>
            <w:vAlign w:val="center"/>
          </w:tcPr>
          <w:p w14:paraId="7A71F675">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797" w:type="pct"/>
            <w:tcBorders>
              <w:top w:val="nil"/>
              <w:left w:val="single" w:color="000000" w:sz="8" w:space="0"/>
              <w:bottom w:val="single" w:color="000000" w:sz="8" w:space="0"/>
              <w:right w:val="single" w:color="000000" w:sz="8" w:space="0"/>
            </w:tcBorders>
            <w:vAlign w:val="center"/>
          </w:tcPr>
          <w:p w14:paraId="0108D16E">
            <w:pPr>
              <w:pStyle w:val="109"/>
              <w:rPr>
                <w:color w:val="000000" w:themeColor="text1"/>
                <w14:textFill>
                  <w14:solidFill>
                    <w14:schemeClr w14:val="tx1"/>
                  </w14:solidFill>
                </w14:textFill>
              </w:rPr>
            </w:pPr>
            <w:r>
              <w:rPr>
                <w:color w:val="000000" w:themeColor="text1"/>
                <w14:textFill>
                  <w14:solidFill>
                    <w14:schemeClr w14:val="tx1"/>
                  </w14:solidFill>
                </w14:textFill>
              </w:rPr>
              <w:t>冷却循环水量</w:t>
            </w:r>
          </w:p>
        </w:tc>
        <w:tc>
          <w:tcPr>
            <w:tcW w:w="1142" w:type="pct"/>
            <w:tcBorders>
              <w:top w:val="nil"/>
              <w:left w:val="single" w:color="000000" w:sz="8" w:space="0"/>
              <w:bottom w:val="single" w:color="000000" w:sz="8" w:space="0"/>
              <w:right w:val="single" w:color="000000" w:sz="8" w:space="0"/>
            </w:tcBorders>
            <w:vAlign w:val="center"/>
          </w:tcPr>
          <w:p w14:paraId="4A57243B">
            <w:pPr>
              <w:pStyle w:val="109"/>
              <w:rPr>
                <w:color w:val="000000" w:themeColor="text1"/>
                <w14:textFill>
                  <w14:solidFill>
                    <w14:schemeClr w14:val="tx1"/>
                  </w14:solidFill>
                </w14:textFill>
              </w:rPr>
            </w:pPr>
            <w:r>
              <w:rPr>
                <w:color w:val="000000" w:themeColor="text1"/>
                <w14:textFill>
                  <w14:solidFill>
                    <w14:schemeClr w14:val="tx1"/>
                  </w14:solidFill>
                </w14:textFill>
              </w:rPr>
              <w:t>t/h</w:t>
            </w:r>
          </w:p>
        </w:tc>
        <w:tc>
          <w:tcPr>
            <w:tcW w:w="1507" w:type="pct"/>
            <w:tcBorders>
              <w:top w:val="nil"/>
              <w:left w:val="single" w:color="000000" w:sz="8" w:space="0"/>
              <w:bottom w:val="single" w:color="000000" w:sz="8" w:space="0"/>
              <w:right w:val="single" w:color="000000" w:sz="8" w:space="0"/>
            </w:tcBorders>
            <w:vAlign w:val="center"/>
          </w:tcPr>
          <w:p w14:paraId="0C15B8EA">
            <w:pPr>
              <w:pStyle w:val="109"/>
              <w:rPr>
                <w:color w:val="000000" w:themeColor="text1"/>
                <w14:textFill>
                  <w14:solidFill>
                    <w14:schemeClr w14:val="tx1"/>
                  </w14:solidFill>
                </w14:textFill>
              </w:rPr>
            </w:pPr>
            <w:r>
              <w:rPr>
                <w:color w:val="000000" w:themeColor="text1"/>
                <w14:textFill>
                  <w14:solidFill>
                    <w14:schemeClr w14:val="tx1"/>
                  </w14:solidFill>
                </w14:textFill>
              </w:rPr>
              <w:t>80~100</w:t>
            </w:r>
          </w:p>
        </w:tc>
      </w:tr>
    </w:tbl>
    <w:p w14:paraId="42807D87">
      <w:pPr>
        <w:pStyle w:val="197"/>
        <w:ind w:firstLineChars="200"/>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5、酸性气体净化</w:t>
      </w:r>
    </w:p>
    <w:p w14:paraId="3CA39906">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经石墨急冷后的烟气进入二级碱液洗涤塔，加入碱洗溶液中和，去除烟气中的酸性物质，确保酸性气体达标排放。</w:t>
      </w:r>
    </w:p>
    <w:p w14:paraId="1B9F4E31">
      <w:pPr>
        <w:pStyle w:val="197"/>
        <w:ind w:firstLine="480" w:firstLineChars="20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14:textFill>
            <w14:solidFill>
              <w14:schemeClr w14:val="tx1"/>
            </w14:solidFill>
          </w14:textFill>
        </w:rPr>
        <w:t>经过清水洗涤的烟气中含有少量的HF、HCl，烟气接着进入碱液洗涤塔，在碱液洗涤塔中烟气和碱性水溶液（含NaOH）充分接触，将残余的HF、HCl 中和掉，</w:t>
      </w:r>
      <w:r>
        <w:rPr>
          <w:rFonts w:ascii="Times New Roman" w:hAnsi="Times New Roman"/>
          <w:color w:val="000000" w:themeColor="text1"/>
          <w:lang w:val="en-US"/>
          <w14:textFill>
            <w14:solidFill>
              <w14:schemeClr w14:val="tx1"/>
            </w14:solidFill>
          </w14:textFill>
        </w:rPr>
        <w:t>变成盐的水溶液排走。</w:t>
      </w:r>
    </w:p>
    <w:p w14:paraId="7E72BD58">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碱液洗涤塔设计计算参数</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632"/>
        <w:gridCol w:w="2634"/>
        <w:gridCol w:w="2635"/>
      </w:tblGrid>
      <w:tr w14:paraId="4D5E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502E2C6">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67" w:type="pct"/>
            <w:vAlign w:val="center"/>
          </w:tcPr>
          <w:p w14:paraId="5AC2785B">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368" w:type="pct"/>
            <w:vAlign w:val="center"/>
          </w:tcPr>
          <w:p w14:paraId="71901E43">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369" w:type="pct"/>
            <w:vAlign w:val="center"/>
          </w:tcPr>
          <w:p w14:paraId="40E5DD10">
            <w:pPr>
              <w:pStyle w:val="109"/>
              <w:rPr>
                <w:color w:val="000000" w:themeColor="text1"/>
                <w14:textFill>
                  <w14:solidFill>
                    <w14:schemeClr w14:val="tx1"/>
                  </w14:solidFill>
                </w14:textFill>
              </w:rPr>
            </w:pPr>
            <w:r>
              <w:rPr>
                <w:color w:val="000000" w:themeColor="text1"/>
                <w14:textFill>
                  <w14:solidFill>
                    <w14:schemeClr w14:val="tx1"/>
                  </w14:solidFill>
                </w14:textFill>
              </w:rPr>
              <w:t>数据</w:t>
            </w:r>
          </w:p>
        </w:tc>
      </w:tr>
      <w:tr w14:paraId="5942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3C295D4F">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67" w:type="pct"/>
            <w:vAlign w:val="center"/>
          </w:tcPr>
          <w:p w14:paraId="19ED7B7D">
            <w:pPr>
              <w:pStyle w:val="109"/>
              <w:rPr>
                <w:color w:val="000000" w:themeColor="text1"/>
                <w14:textFill>
                  <w14:solidFill>
                    <w14:schemeClr w14:val="tx1"/>
                  </w14:solidFill>
                </w14:textFill>
              </w:rPr>
            </w:pPr>
            <w:r>
              <w:rPr>
                <w:color w:val="000000" w:themeColor="text1"/>
                <w14:textFill>
                  <w14:solidFill>
                    <w14:schemeClr w14:val="tx1"/>
                  </w14:solidFill>
                </w14:textFill>
              </w:rPr>
              <w:t>进口烟气量</w:t>
            </w:r>
          </w:p>
        </w:tc>
        <w:tc>
          <w:tcPr>
            <w:tcW w:w="1368" w:type="pct"/>
            <w:vAlign w:val="center"/>
          </w:tcPr>
          <w:p w14:paraId="46A73171">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369" w:type="pct"/>
            <w:vAlign w:val="center"/>
          </w:tcPr>
          <w:p w14:paraId="17209D63">
            <w:pPr>
              <w:pStyle w:val="109"/>
              <w:rPr>
                <w:color w:val="000000" w:themeColor="text1"/>
                <w14:textFill>
                  <w14:solidFill>
                    <w14:schemeClr w14:val="tx1"/>
                  </w14:solidFill>
                </w14:textFill>
              </w:rPr>
            </w:pPr>
            <w:r>
              <w:rPr>
                <w:color w:val="000000" w:themeColor="text1"/>
                <w14:textFill>
                  <w14:solidFill>
                    <w14:schemeClr w14:val="tx1"/>
                  </w14:solidFill>
                </w14:textFill>
              </w:rPr>
              <w:t>~3500</w:t>
            </w:r>
          </w:p>
        </w:tc>
      </w:tr>
      <w:tr w14:paraId="0B59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69B0EDF4">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67" w:type="pct"/>
            <w:vAlign w:val="center"/>
          </w:tcPr>
          <w:p w14:paraId="43A59D54">
            <w:pPr>
              <w:pStyle w:val="109"/>
              <w:rPr>
                <w:color w:val="000000" w:themeColor="text1"/>
                <w14:textFill>
                  <w14:solidFill>
                    <w14:schemeClr w14:val="tx1"/>
                  </w14:solidFill>
                </w14:textFill>
              </w:rPr>
            </w:pPr>
            <w:r>
              <w:rPr>
                <w:color w:val="000000" w:themeColor="text1"/>
                <w14:textFill>
                  <w14:solidFill>
                    <w14:schemeClr w14:val="tx1"/>
                  </w14:solidFill>
                </w14:textFill>
              </w:rPr>
              <w:t>出口烟气温度</w:t>
            </w:r>
          </w:p>
        </w:tc>
        <w:tc>
          <w:tcPr>
            <w:tcW w:w="1368" w:type="pct"/>
            <w:vAlign w:val="center"/>
          </w:tcPr>
          <w:p w14:paraId="43918AB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369" w:type="pct"/>
            <w:vAlign w:val="center"/>
          </w:tcPr>
          <w:p w14:paraId="41844BBA">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r>
      <w:tr w14:paraId="1006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15FD616C">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67" w:type="pct"/>
            <w:vAlign w:val="center"/>
          </w:tcPr>
          <w:p w14:paraId="348F2C99">
            <w:pPr>
              <w:pStyle w:val="109"/>
              <w:rPr>
                <w:color w:val="000000" w:themeColor="text1"/>
                <w14:textFill>
                  <w14:solidFill>
                    <w14:schemeClr w14:val="tx1"/>
                  </w14:solidFill>
                </w14:textFill>
              </w:rPr>
            </w:pPr>
            <w:r>
              <w:rPr>
                <w:color w:val="000000" w:themeColor="text1"/>
                <w14:textFill>
                  <w14:solidFill>
                    <w14:schemeClr w14:val="tx1"/>
                  </w14:solidFill>
                </w14:textFill>
              </w:rPr>
              <w:t>单台碱洗塔喷淋量</w:t>
            </w:r>
          </w:p>
        </w:tc>
        <w:tc>
          <w:tcPr>
            <w:tcW w:w="1368" w:type="pct"/>
            <w:vAlign w:val="center"/>
          </w:tcPr>
          <w:p w14:paraId="73AEC48B">
            <w:pPr>
              <w:pStyle w:val="109"/>
              <w:rPr>
                <w:color w:val="000000" w:themeColor="text1"/>
                <w14:textFill>
                  <w14:solidFill>
                    <w14:schemeClr w14:val="tx1"/>
                  </w14:solidFill>
                </w14:textFill>
              </w:rPr>
            </w:pPr>
            <w:r>
              <w:rPr>
                <w:color w:val="000000" w:themeColor="text1"/>
                <w14:textFill>
                  <w14:solidFill>
                    <w14:schemeClr w14:val="tx1"/>
                  </w14:solidFill>
                </w14:textFill>
              </w:rPr>
              <w:t>T/h</w:t>
            </w:r>
          </w:p>
        </w:tc>
        <w:tc>
          <w:tcPr>
            <w:tcW w:w="1369" w:type="pct"/>
            <w:vAlign w:val="center"/>
          </w:tcPr>
          <w:p w14:paraId="12B6F5F8">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r>
      <w:tr w14:paraId="642F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74C2FF9E">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367" w:type="pct"/>
            <w:vAlign w:val="center"/>
          </w:tcPr>
          <w:p w14:paraId="77D5564B">
            <w:pPr>
              <w:pStyle w:val="109"/>
              <w:rPr>
                <w:color w:val="000000" w:themeColor="text1"/>
                <w14:textFill>
                  <w14:solidFill>
                    <w14:schemeClr w14:val="tx1"/>
                  </w14:solidFill>
                </w14:textFill>
              </w:rPr>
            </w:pPr>
            <w:r>
              <w:rPr>
                <w:color w:val="000000" w:themeColor="text1"/>
                <w14:textFill>
                  <w14:solidFill>
                    <w14:schemeClr w14:val="tx1"/>
                  </w14:solidFill>
                </w14:textFill>
              </w:rPr>
              <w:t>塔体外形尺寸</w:t>
            </w:r>
          </w:p>
        </w:tc>
        <w:tc>
          <w:tcPr>
            <w:tcW w:w="1368" w:type="pct"/>
            <w:vAlign w:val="center"/>
          </w:tcPr>
          <w:p w14:paraId="4E5C6BDD">
            <w:pPr>
              <w:pStyle w:val="109"/>
              <w:rPr>
                <w:color w:val="000000" w:themeColor="text1"/>
                <w14:textFill>
                  <w14:solidFill>
                    <w14:schemeClr w14:val="tx1"/>
                  </w14:solidFill>
                </w14:textFill>
              </w:rPr>
            </w:pPr>
            <w:r>
              <w:rPr>
                <w:color w:val="000000" w:themeColor="text1"/>
                <w14:textFill>
                  <w14:solidFill>
                    <w14:schemeClr w14:val="tx1"/>
                  </w14:solidFill>
                </w14:textFill>
              </w:rPr>
              <w:t>mm</w:t>
            </w:r>
          </w:p>
        </w:tc>
        <w:tc>
          <w:tcPr>
            <w:tcW w:w="1369" w:type="pct"/>
            <w:vAlign w:val="center"/>
          </w:tcPr>
          <w:p w14:paraId="4AA2D76C">
            <w:pPr>
              <w:pStyle w:val="109"/>
              <w:rPr>
                <w:color w:val="000000" w:themeColor="text1"/>
                <w14:textFill>
                  <w14:solidFill>
                    <w14:schemeClr w14:val="tx1"/>
                  </w14:solidFill>
                </w14:textFill>
              </w:rPr>
            </w:pPr>
            <w:r>
              <w:rPr>
                <w:color w:val="000000" w:themeColor="text1"/>
                <w14:textFill>
                  <w14:solidFill>
                    <w14:schemeClr w14:val="tx1"/>
                  </w14:solidFill>
                </w14:textFill>
              </w:rPr>
              <w:t>Φ1400x5000</w:t>
            </w:r>
          </w:p>
        </w:tc>
      </w:tr>
      <w:tr w14:paraId="77E9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027BBC91">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367" w:type="pct"/>
            <w:vAlign w:val="center"/>
          </w:tcPr>
          <w:p w14:paraId="5FFDB009">
            <w:pPr>
              <w:pStyle w:val="109"/>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368" w:type="pct"/>
            <w:vAlign w:val="center"/>
          </w:tcPr>
          <w:p w14:paraId="22572D4E">
            <w:pPr>
              <w:pStyle w:val="109"/>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1369" w:type="pct"/>
            <w:vAlign w:val="center"/>
          </w:tcPr>
          <w:p w14:paraId="0571C043">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r>
      <w:tr w14:paraId="166E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pct"/>
            <w:vAlign w:val="center"/>
          </w:tcPr>
          <w:p w14:paraId="545E6328">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367" w:type="pct"/>
            <w:vAlign w:val="center"/>
          </w:tcPr>
          <w:p w14:paraId="440ED511">
            <w:pPr>
              <w:pStyle w:val="109"/>
              <w:rPr>
                <w:color w:val="000000" w:themeColor="text1"/>
                <w14:textFill>
                  <w14:solidFill>
                    <w14:schemeClr w14:val="tx1"/>
                  </w14:solidFill>
                </w14:textFill>
              </w:rPr>
            </w:pPr>
            <w:r>
              <w:rPr>
                <w:color w:val="000000" w:themeColor="text1"/>
                <w14:textFill>
                  <w14:solidFill>
                    <w14:schemeClr w14:val="tx1"/>
                  </w14:solidFill>
                </w14:textFill>
              </w:rPr>
              <w:t>碱液循环水箱</w:t>
            </w:r>
          </w:p>
        </w:tc>
        <w:tc>
          <w:tcPr>
            <w:tcW w:w="1368" w:type="pct"/>
            <w:vAlign w:val="center"/>
          </w:tcPr>
          <w:p w14:paraId="0810B75C">
            <w:pPr>
              <w:pStyle w:val="109"/>
              <w:rPr>
                <w:color w:val="000000" w:themeColor="text1"/>
                <w14:textFill>
                  <w14:solidFill>
                    <w14:schemeClr w14:val="tx1"/>
                  </w14:solidFill>
                </w14:textFill>
              </w:rPr>
            </w:pPr>
            <w:r>
              <w:rPr>
                <w:color w:val="000000" w:themeColor="text1"/>
                <w14:textFill>
                  <w14:solidFill>
                    <w14:schemeClr w14:val="tx1"/>
                  </w14:solidFill>
                </w14:textFill>
              </w:rPr>
              <w:t>FRP（2套）</w:t>
            </w:r>
          </w:p>
        </w:tc>
        <w:tc>
          <w:tcPr>
            <w:tcW w:w="1369" w:type="pct"/>
            <w:vAlign w:val="center"/>
          </w:tcPr>
          <w:p w14:paraId="0456F128">
            <w:pPr>
              <w:pStyle w:val="109"/>
              <w:rPr>
                <w:color w:val="000000" w:themeColor="text1"/>
                <w14:textFill>
                  <w14:solidFill>
                    <w14:schemeClr w14:val="tx1"/>
                  </w14:solidFill>
                </w14:textFill>
              </w:rPr>
            </w:pPr>
            <w:r>
              <w:rPr>
                <w:color w:val="000000" w:themeColor="text1"/>
                <w14:textFill>
                  <w14:solidFill>
                    <w14:schemeClr w14:val="tx1"/>
                  </w14:solidFill>
                </w14:textFill>
              </w:rPr>
              <w:t>Φ1900x2000</w:t>
            </w:r>
          </w:p>
        </w:tc>
      </w:tr>
    </w:tbl>
    <w:p w14:paraId="1E284E3E">
      <w:pPr>
        <w:pStyle w:val="197"/>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6、水洗+湿电除尘</w:t>
      </w:r>
    </w:p>
    <w:p w14:paraId="6991727C">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去除烟气中的酸性污染因子后经水洗塔再次吸收逃逸的酸性气体，吸收后的水溶液作为石墨急冷塔的补充液。干净的气体经湿电除尘器捕捉烟气中的细微粉尘和液滴，PM</w:t>
      </w:r>
      <w:r>
        <w:rPr>
          <w:rFonts w:ascii="Times New Roman" w:hAnsi="Times New Roman"/>
          <w:color w:val="000000" w:themeColor="text1"/>
          <w:vertAlign w:val="subscript"/>
          <w14:textFill>
            <w14:solidFill>
              <w14:schemeClr w14:val="tx1"/>
            </w14:solidFill>
          </w14:textFill>
        </w:rPr>
        <w:t>2.5</w:t>
      </w:r>
      <w:r>
        <w:rPr>
          <w:rFonts w:ascii="Times New Roman" w:hAnsi="Times New Roman"/>
          <w:color w:val="000000" w:themeColor="text1"/>
          <w14:textFill>
            <w14:solidFill>
              <w14:schemeClr w14:val="tx1"/>
            </w14:solidFill>
          </w14:textFill>
        </w:rPr>
        <w:t>、气溶胶、重金属二噁英晶体等，起到尾气深度治理的效果，同时烟囱尾气大大降低白羽的产生。</w:t>
      </w:r>
    </w:p>
    <w:p w14:paraId="7A9F49A1">
      <w:pPr>
        <w:pStyle w:val="197"/>
        <w:rPr>
          <w:rFonts w:ascii="Times New Roman" w:hAnsi="Times New Roman"/>
          <w:b/>
          <w:bCs/>
          <w:color w:val="000000" w:themeColor="text1"/>
          <w:lang w:val="en-US"/>
          <w14:textFill>
            <w14:solidFill>
              <w14:schemeClr w14:val="tx1"/>
            </w14:solidFill>
          </w14:textFill>
        </w:rPr>
      </w:pPr>
      <w:r>
        <w:rPr>
          <w:rFonts w:ascii="Times New Roman" w:hAnsi="Times New Roman"/>
          <w:b/>
          <w:bCs/>
          <w:color w:val="000000" w:themeColor="text1"/>
          <w:lang w:val="en-US"/>
          <w14:textFill>
            <w14:solidFill>
              <w14:schemeClr w14:val="tx1"/>
            </w14:solidFill>
          </w14:textFill>
        </w:rPr>
        <w:t>水洗塔：</w:t>
      </w:r>
    </w:p>
    <w:p w14:paraId="449C2DF1">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烟气通过管口进入到水洗塔底部，而后由塔底部向塔上部流动，从塔顶上部进入的工艺水和稀酸由塔上部流向塔底部。烟气与水和稀酸的混合物在填料表面接触后，烟气中的HF</w:t>
      </w:r>
      <w:r>
        <w:rPr>
          <w:rFonts w:hint="eastAsia" w:ascii="Times New Roman" w:hAnsi="Times New Roman"/>
          <w:color w:val="000000" w:themeColor="text1"/>
          <w:lang w:val="en-US"/>
          <w14:textFill>
            <w14:solidFill>
              <w14:schemeClr w14:val="tx1"/>
            </w14:solidFill>
          </w14:textFill>
        </w:rPr>
        <w:t>、</w:t>
      </w:r>
      <w:r>
        <w:rPr>
          <w:rFonts w:ascii="Times New Roman" w:hAnsi="Times New Roman"/>
          <w:color w:val="000000" w:themeColor="text1"/>
          <w:lang w:val="en-US"/>
          <w14:textFill>
            <w14:solidFill>
              <w14:schemeClr w14:val="tx1"/>
            </w14:solidFill>
          </w14:textFill>
        </w:rPr>
        <w:t>HCl 被吸收到液相，而后烟气通过水洗塔出口进入碱洗塔底部。吸收HF、HCl 后形成的稀酸流到水洗塔底部，一部分经过管口进入到稀酸缓冲罐，而后进入喷淋塔；另一部分经过管口进入水洗塔循环泵入口，经过增压后重新经过管口进入水洗塔上部。</w:t>
      </w:r>
    </w:p>
    <w:p w14:paraId="4438106F">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水洗塔理论技术参数</w:t>
      </w:r>
    </w:p>
    <w:tbl>
      <w:tblPr>
        <w:tblStyle w:val="76"/>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252"/>
        <w:gridCol w:w="4304"/>
        <w:gridCol w:w="1254"/>
        <w:gridCol w:w="2614"/>
      </w:tblGrid>
      <w:tr w14:paraId="58512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664" w:type="pct"/>
          </w:tcPr>
          <w:p w14:paraId="561D963E">
            <w:pPr>
              <w:pStyle w:val="109"/>
              <w:rPr>
                <w:color w:val="000000" w:themeColor="text1"/>
                <w14:textFill>
                  <w14:solidFill>
                    <w14:schemeClr w14:val="tx1"/>
                  </w14:solidFill>
                </w14:textFill>
              </w:rPr>
            </w:pPr>
            <w:r>
              <w:rPr>
                <w:color w:val="000000" w:themeColor="text1"/>
                <w14:textFill>
                  <w14:solidFill>
                    <w14:schemeClr w14:val="tx1"/>
                  </w14:solidFill>
                </w14:textFill>
              </w:rPr>
              <w:t>序 号</w:t>
            </w:r>
          </w:p>
        </w:tc>
        <w:tc>
          <w:tcPr>
            <w:tcW w:w="2282" w:type="pct"/>
            <w:vAlign w:val="center"/>
          </w:tcPr>
          <w:p w14:paraId="48199A7F">
            <w:pPr>
              <w:pStyle w:val="109"/>
              <w:rPr>
                <w:color w:val="000000" w:themeColor="text1"/>
                <w14:textFill>
                  <w14:solidFill>
                    <w14:schemeClr w14:val="tx1"/>
                  </w14:solidFill>
                </w14:textFill>
              </w:rPr>
            </w:pPr>
            <w:r>
              <w:rPr>
                <w:color w:val="000000" w:themeColor="text1"/>
                <w14:textFill>
                  <w14:solidFill>
                    <w14:schemeClr w14:val="tx1"/>
                  </w14:solidFill>
                </w14:textFill>
              </w:rPr>
              <w:t>项  目</w:t>
            </w:r>
          </w:p>
        </w:tc>
        <w:tc>
          <w:tcPr>
            <w:tcW w:w="665" w:type="pct"/>
          </w:tcPr>
          <w:p w14:paraId="1948E00B">
            <w:pPr>
              <w:pStyle w:val="109"/>
              <w:rPr>
                <w:color w:val="000000" w:themeColor="text1"/>
                <w14:textFill>
                  <w14:solidFill>
                    <w14:schemeClr w14:val="tx1"/>
                  </w14:solidFill>
                </w14:textFill>
              </w:rPr>
            </w:pPr>
            <w:r>
              <w:rPr>
                <w:color w:val="000000" w:themeColor="text1"/>
                <w14:textFill>
                  <w14:solidFill>
                    <w14:schemeClr w14:val="tx1"/>
                  </w14:solidFill>
                </w14:textFill>
              </w:rPr>
              <w:t>单 位</w:t>
            </w:r>
          </w:p>
        </w:tc>
        <w:tc>
          <w:tcPr>
            <w:tcW w:w="1386" w:type="pct"/>
          </w:tcPr>
          <w:p w14:paraId="1BC7BAAC">
            <w:pPr>
              <w:pStyle w:val="109"/>
              <w:rPr>
                <w:color w:val="000000" w:themeColor="text1"/>
                <w14:textFill>
                  <w14:solidFill>
                    <w14:schemeClr w14:val="tx1"/>
                  </w14:solidFill>
                </w14:textFill>
              </w:rPr>
            </w:pPr>
            <w:r>
              <w:rPr>
                <w:color w:val="000000" w:themeColor="text1"/>
                <w14:textFill>
                  <w14:solidFill>
                    <w14:schemeClr w14:val="tx1"/>
                  </w14:solidFill>
                </w14:textFill>
              </w:rPr>
              <w:t>数 值</w:t>
            </w:r>
          </w:p>
        </w:tc>
      </w:tr>
      <w:tr w14:paraId="222F7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664" w:type="pct"/>
          </w:tcPr>
          <w:p w14:paraId="3C412021">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282" w:type="pct"/>
            <w:vAlign w:val="center"/>
          </w:tcPr>
          <w:p w14:paraId="297A6636">
            <w:pPr>
              <w:pStyle w:val="109"/>
              <w:rPr>
                <w:color w:val="000000" w:themeColor="text1"/>
                <w14:textFill>
                  <w14:solidFill>
                    <w14:schemeClr w14:val="tx1"/>
                  </w14:solidFill>
                </w14:textFill>
              </w:rPr>
            </w:pPr>
            <w:r>
              <w:rPr>
                <w:color w:val="000000" w:themeColor="text1"/>
                <w14:textFill>
                  <w14:solidFill>
                    <w14:schemeClr w14:val="tx1"/>
                  </w14:solidFill>
                </w14:textFill>
              </w:rPr>
              <w:t>进口烟气温度</w:t>
            </w:r>
          </w:p>
        </w:tc>
        <w:tc>
          <w:tcPr>
            <w:tcW w:w="665" w:type="pct"/>
            <w:vAlign w:val="center"/>
          </w:tcPr>
          <w:p w14:paraId="57AFDF6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386" w:type="pct"/>
            <w:vAlign w:val="center"/>
          </w:tcPr>
          <w:p w14:paraId="1119B488">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r>
      <w:tr w14:paraId="54802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664" w:type="pct"/>
          </w:tcPr>
          <w:p w14:paraId="12098A1B">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282" w:type="pct"/>
            <w:vAlign w:val="center"/>
          </w:tcPr>
          <w:p w14:paraId="1303DE4A">
            <w:pPr>
              <w:pStyle w:val="109"/>
              <w:rPr>
                <w:color w:val="000000" w:themeColor="text1"/>
                <w14:textFill>
                  <w14:solidFill>
                    <w14:schemeClr w14:val="tx1"/>
                  </w14:solidFill>
                </w14:textFill>
              </w:rPr>
            </w:pPr>
            <w:r>
              <w:rPr>
                <w:color w:val="000000" w:themeColor="text1"/>
                <w14:textFill>
                  <w14:solidFill>
                    <w14:schemeClr w14:val="tx1"/>
                  </w14:solidFill>
                </w14:textFill>
              </w:rPr>
              <w:t>进口烟气量</w:t>
            </w:r>
          </w:p>
        </w:tc>
        <w:tc>
          <w:tcPr>
            <w:tcW w:w="665" w:type="pct"/>
            <w:vAlign w:val="center"/>
          </w:tcPr>
          <w:p w14:paraId="1673845E">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386" w:type="pct"/>
            <w:vAlign w:val="center"/>
          </w:tcPr>
          <w:p w14:paraId="68A9C890">
            <w:pPr>
              <w:pStyle w:val="109"/>
              <w:rPr>
                <w:color w:val="000000" w:themeColor="text1"/>
                <w14:textFill>
                  <w14:solidFill>
                    <w14:schemeClr w14:val="tx1"/>
                  </w14:solidFill>
                </w14:textFill>
              </w:rPr>
            </w:pPr>
            <w:r>
              <w:rPr>
                <w:color w:val="000000" w:themeColor="text1"/>
                <w14:textFill>
                  <w14:solidFill>
                    <w14:schemeClr w14:val="tx1"/>
                  </w14:solidFill>
                </w14:textFill>
              </w:rPr>
              <w:t>~3500</w:t>
            </w:r>
          </w:p>
        </w:tc>
      </w:tr>
      <w:tr w14:paraId="046E2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664" w:type="pct"/>
          </w:tcPr>
          <w:p w14:paraId="52A1F389">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282" w:type="pct"/>
            <w:vAlign w:val="center"/>
          </w:tcPr>
          <w:p w14:paraId="2A08AD55">
            <w:pPr>
              <w:pStyle w:val="109"/>
              <w:rPr>
                <w:color w:val="000000" w:themeColor="text1"/>
                <w14:textFill>
                  <w14:solidFill>
                    <w14:schemeClr w14:val="tx1"/>
                  </w14:solidFill>
                </w14:textFill>
              </w:rPr>
            </w:pPr>
            <w:r>
              <w:rPr>
                <w:color w:val="000000" w:themeColor="text1"/>
                <w14:textFill>
                  <w14:solidFill>
                    <w14:schemeClr w14:val="tx1"/>
                  </w14:solidFill>
                </w14:textFill>
              </w:rPr>
              <w:t>出口烟气温度</w:t>
            </w:r>
          </w:p>
        </w:tc>
        <w:tc>
          <w:tcPr>
            <w:tcW w:w="665" w:type="pct"/>
            <w:vAlign w:val="center"/>
          </w:tcPr>
          <w:p w14:paraId="29EE523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386" w:type="pct"/>
          </w:tcPr>
          <w:p w14:paraId="36D42A79">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r>
      <w:tr w14:paraId="2CD8F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664" w:type="pct"/>
          </w:tcPr>
          <w:p w14:paraId="1051BA4F">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282" w:type="pct"/>
            <w:vAlign w:val="center"/>
          </w:tcPr>
          <w:p w14:paraId="2A651489">
            <w:pPr>
              <w:pStyle w:val="109"/>
              <w:rPr>
                <w:color w:val="000000" w:themeColor="text1"/>
                <w14:textFill>
                  <w14:solidFill>
                    <w14:schemeClr w14:val="tx1"/>
                  </w14:solidFill>
                </w14:textFill>
              </w:rPr>
            </w:pPr>
            <w:r>
              <w:rPr>
                <w:color w:val="000000" w:themeColor="text1"/>
                <w14:textFill>
                  <w14:solidFill>
                    <w14:schemeClr w14:val="tx1"/>
                  </w14:solidFill>
                </w14:textFill>
              </w:rPr>
              <w:t>总喷淋量</w:t>
            </w:r>
          </w:p>
        </w:tc>
        <w:tc>
          <w:tcPr>
            <w:tcW w:w="665" w:type="pct"/>
            <w:vAlign w:val="center"/>
          </w:tcPr>
          <w:p w14:paraId="02D18937">
            <w:pPr>
              <w:pStyle w:val="109"/>
              <w:rPr>
                <w:color w:val="000000" w:themeColor="text1"/>
                <w14:textFill>
                  <w14:solidFill>
                    <w14:schemeClr w14:val="tx1"/>
                  </w14:solidFill>
                </w14:textFill>
              </w:rPr>
            </w:pPr>
            <w:r>
              <w:rPr>
                <w:color w:val="000000" w:themeColor="text1"/>
                <w14:textFill>
                  <w14:solidFill>
                    <w14:schemeClr w14:val="tx1"/>
                  </w14:solidFill>
                </w14:textFill>
              </w:rPr>
              <w:t>T/H</w:t>
            </w:r>
          </w:p>
        </w:tc>
        <w:tc>
          <w:tcPr>
            <w:tcW w:w="1386" w:type="pct"/>
            <w:vAlign w:val="center"/>
          </w:tcPr>
          <w:p w14:paraId="3B89B45C">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r>
      <w:tr w14:paraId="63EB2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664" w:type="pct"/>
          </w:tcPr>
          <w:p w14:paraId="1B40B1CE">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2282" w:type="pct"/>
            <w:vAlign w:val="center"/>
          </w:tcPr>
          <w:p w14:paraId="1BF1E682">
            <w:pPr>
              <w:pStyle w:val="109"/>
              <w:rPr>
                <w:color w:val="000000" w:themeColor="text1"/>
                <w14:textFill>
                  <w14:solidFill>
                    <w14:schemeClr w14:val="tx1"/>
                  </w14:solidFill>
                </w14:textFill>
              </w:rPr>
            </w:pPr>
            <w:r>
              <w:rPr>
                <w:color w:val="000000" w:themeColor="text1"/>
                <w14:textFill>
                  <w14:solidFill>
                    <w14:schemeClr w14:val="tx1"/>
                  </w14:solidFill>
                </w14:textFill>
              </w:rPr>
              <w:t>塔体外形尺寸</w:t>
            </w:r>
          </w:p>
        </w:tc>
        <w:tc>
          <w:tcPr>
            <w:tcW w:w="665" w:type="pct"/>
            <w:vAlign w:val="center"/>
          </w:tcPr>
          <w:p w14:paraId="2A24C552">
            <w:pPr>
              <w:pStyle w:val="109"/>
              <w:rPr>
                <w:color w:val="000000" w:themeColor="text1"/>
                <w14:textFill>
                  <w14:solidFill>
                    <w14:schemeClr w14:val="tx1"/>
                  </w14:solidFill>
                </w14:textFill>
              </w:rPr>
            </w:pPr>
            <w:r>
              <w:rPr>
                <w:color w:val="000000" w:themeColor="text1"/>
                <w14:textFill>
                  <w14:solidFill>
                    <w14:schemeClr w14:val="tx1"/>
                  </w14:solidFill>
                </w14:textFill>
              </w:rPr>
              <w:t>mm</w:t>
            </w:r>
          </w:p>
        </w:tc>
        <w:tc>
          <w:tcPr>
            <w:tcW w:w="1386" w:type="pct"/>
          </w:tcPr>
          <w:p w14:paraId="5FB2A830">
            <w:pPr>
              <w:pStyle w:val="109"/>
              <w:rPr>
                <w:color w:val="000000" w:themeColor="text1"/>
                <w14:textFill>
                  <w14:solidFill>
                    <w14:schemeClr w14:val="tx1"/>
                  </w14:solidFill>
                </w14:textFill>
              </w:rPr>
            </w:pPr>
            <w:r>
              <w:rPr>
                <w:color w:val="000000" w:themeColor="text1"/>
                <w14:textFill>
                  <w14:solidFill>
                    <w14:schemeClr w14:val="tx1"/>
                  </w14:solidFill>
                </w14:textFill>
              </w:rPr>
              <w:t>Φ1400x5000</w:t>
            </w:r>
          </w:p>
        </w:tc>
      </w:tr>
      <w:tr w14:paraId="0B39E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664" w:type="pct"/>
          </w:tcPr>
          <w:p w14:paraId="4FF5926F">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2282" w:type="pct"/>
            <w:vAlign w:val="center"/>
          </w:tcPr>
          <w:p w14:paraId="1AFF8917">
            <w:pPr>
              <w:pStyle w:val="109"/>
              <w:rPr>
                <w:color w:val="000000" w:themeColor="text1"/>
                <w14:textFill>
                  <w14:solidFill>
                    <w14:schemeClr w14:val="tx1"/>
                  </w14:solidFill>
                </w14:textFill>
              </w:rPr>
            </w:pPr>
            <w:r>
              <w:rPr>
                <w:color w:val="000000" w:themeColor="text1"/>
                <w14:textFill>
                  <w14:solidFill>
                    <w14:schemeClr w14:val="tx1"/>
                  </w14:solidFill>
                </w14:textFill>
              </w:rPr>
              <w:t>水洗塔循环水箱</w:t>
            </w:r>
          </w:p>
        </w:tc>
        <w:tc>
          <w:tcPr>
            <w:tcW w:w="665" w:type="pct"/>
            <w:vAlign w:val="center"/>
          </w:tcPr>
          <w:p w14:paraId="583AE5E3">
            <w:pPr>
              <w:pStyle w:val="109"/>
              <w:rPr>
                <w:color w:val="000000" w:themeColor="text1"/>
                <w14:textFill>
                  <w14:solidFill>
                    <w14:schemeClr w14:val="tx1"/>
                  </w14:solidFill>
                </w14:textFill>
              </w:rPr>
            </w:pPr>
            <w:r>
              <w:rPr>
                <w:color w:val="000000" w:themeColor="text1"/>
                <w14:textFill>
                  <w14:solidFill>
                    <w14:schemeClr w14:val="tx1"/>
                  </w14:solidFill>
                </w14:textFill>
              </w:rPr>
              <w:t>1套</w:t>
            </w:r>
          </w:p>
        </w:tc>
        <w:tc>
          <w:tcPr>
            <w:tcW w:w="1386" w:type="pct"/>
          </w:tcPr>
          <w:p w14:paraId="66920796">
            <w:pPr>
              <w:pStyle w:val="109"/>
              <w:rPr>
                <w:color w:val="000000" w:themeColor="text1"/>
                <w14:textFill>
                  <w14:solidFill>
                    <w14:schemeClr w14:val="tx1"/>
                  </w14:solidFill>
                </w14:textFill>
              </w:rPr>
            </w:pPr>
            <w:r>
              <w:rPr>
                <w:color w:val="000000" w:themeColor="text1"/>
                <w14:textFill>
                  <w14:solidFill>
                    <w14:schemeClr w14:val="tx1"/>
                  </w14:solidFill>
                </w14:textFill>
              </w:rPr>
              <w:t>Φ1900x2000</w:t>
            </w:r>
          </w:p>
        </w:tc>
      </w:tr>
    </w:tbl>
    <w:p w14:paraId="7D03D3BE">
      <w:pPr>
        <w:pStyle w:val="197"/>
        <w:rPr>
          <w:rFonts w:ascii="Times New Roman" w:hAnsi="Times New Roman"/>
          <w:b/>
          <w:bCs/>
          <w:color w:val="000000" w:themeColor="text1"/>
          <w:lang w:val="en-US"/>
          <w14:textFill>
            <w14:solidFill>
              <w14:schemeClr w14:val="tx1"/>
            </w14:solidFill>
          </w14:textFill>
        </w:rPr>
      </w:pPr>
      <w:r>
        <w:rPr>
          <w:rFonts w:ascii="Times New Roman" w:hAnsi="Times New Roman"/>
          <w:b/>
          <w:bCs/>
          <w:color w:val="000000" w:themeColor="text1"/>
          <w:lang w:val="en-US"/>
          <w14:textFill>
            <w14:solidFill>
              <w14:schemeClr w14:val="tx1"/>
            </w14:solidFill>
          </w14:textFill>
        </w:rPr>
        <w:t>湿电除尘器：</w:t>
      </w:r>
    </w:p>
    <w:p w14:paraId="2A0A0476">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14:textFill>
            <w14:solidFill>
              <w14:schemeClr w14:val="tx1"/>
            </w14:solidFill>
          </w14:textFill>
        </w:rPr>
        <w:t>湿式电除尘（雾）器是系高效气液分离湿法设备，捕集高效洗涤器后烟气中含微米和亚微米级粒子，使净化出口酸雾达到炉气制酸技术指标，保证后续工序顺利地进行。首先将直流高压电输入电场内，使电场电晕极线不断放射出电子，把电极间气体电离成正负离子。尘、酸雾等颗粒碰到电子而产生荷电。按照同性相斥、异性相吸的原理，荷电后尘、酸雾应向电极性相反的电极移动。正离子向电晕极移动，负离子和电子则移向沉淀电极，将电荷传给沉淀极。失去电荷后的酸雾颗粒靠自重顺沉淀极内壁流向电除尘（雾）器底部。</w:t>
      </w:r>
    </w:p>
    <w:p w14:paraId="07601434">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14:textFill>
            <w14:solidFill>
              <w14:schemeClr w14:val="tx1"/>
            </w14:solidFill>
          </w14:textFill>
        </w:rPr>
        <w:t>湿式电除尘（雾）器系统，安装于脱酸吸收塔顶部（或单独布置于零地面）。烟气进入吸收</w:t>
      </w:r>
      <w:r>
        <w:rPr>
          <w:rFonts w:ascii="Times New Roman" w:hAnsi="Times New Roman"/>
          <w:color w:val="000000" w:themeColor="text1"/>
          <w:lang w:val="en-US"/>
          <w14:textFill>
            <w14:solidFill>
              <w14:schemeClr w14:val="tx1"/>
            </w14:solidFill>
          </w14:textFill>
        </w:rPr>
        <w:t>塔经喷淋液吸收完成脱酸过程，含雾滴烟气经折板除雾器预除雾，再进入电除尘（雾）器进一步去除细微雾滴，除雾后净化烟气从顶部排出至烟囱达标排放，收集的液体及电除尘（雾）器冲洗水流入吸收塔内或外排处理。</w:t>
      </w:r>
    </w:p>
    <w:p w14:paraId="15136E8A">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湿电除尘器工艺设计技术参数表</w:t>
      </w:r>
    </w:p>
    <w:tbl>
      <w:tblPr>
        <w:tblStyle w:val="7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97"/>
        <w:gridCol w:w="3315"/>
        <w:gridCol w:w="1329"/>
        <w:gridCol w:w="3987"/>
      </w:tblGrid>
      <w:tr w14:paraId="63AED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01F3DA6F">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21" w:type="pct"/>
            <w:tcBorders>
              <w:top w:val="single" w:color="auto" w:sz="4" w:space="0"/>
              <w:left w:val="single" w:color="auto" w:sz="4" w:space="0"/>
              <w:bottom w:val="single" w:color="auto" w:sz="4" w:space="0"/>
              <w:right w:val="single" w:color="auto" w:sz="4" w:space="0"/>
            </w:tcBorders>
            <w:vAlign w:val="center"/>
          </w:tcPr>
          <w:p w14:paraId="030F7825">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690" w:type="pct"/>
            <w:tcBorders>
              <w:top w:val="single" w:color="auto" w:sz="4" w:space="0"/>
              <w:left w:val="single" w:color="auto" w:sz="4" w:space="0"/>
              <w:bottom w:val="single" w:color="auto" w:sz="4" w:space="0"/>
              <w:right w:val="single" w:color="auto" w:sz="4" w:space="0"/>
            </w:tcBorders>
            <w:vAlign w:val="center"/>
          </w:tcPr>
          <w:p w14:paraId="0380D02E">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2070" w:type="pct"/>
            <w:tcBorders>
              <w:top w:val="single" w:color="auto" w:sz="4" w:space="0"/>
              <w:left w:val="single" w:color="auto" w:sz="4" w:space="0"/>
              <w:bottom w:val="single" w:color="auto" w:sz="4" w:space="0"/>
              <w:right w:val="single" w:color="auto" w:sz="4" w:space="0"/>
            </w:tcBorders>
            <w:vAlign w:val="center"/>
          </w:tcPr>
          <w:p w14:paraId="7FBF29AD">
            <w:pPr>
              <w:pStyle w:val="109"/>
              <w:rPr>
                <w:color w:val="000000" w:themeColor="text1"/>
                <w14:textFill>
                  <w14:solidFill>
                    <w14:schemeClr w14:val="tx1"/>
                  </w14:solidFill>
                </w14:textFill>
              </w:rPr>
            </w:pPr>
            <w:r>
              <w:rPr>
                <w:color w:val="000000" w:themeColor="text1"/>
                <w14:textFill>
                  <w14:solidFill>
                    <w14:schemeClr w14:val="tx1"/>
                  </w14:solidFill>
                </w14:textFill>
              </w:rPr>
              <w:t>内容</w:t>
            </w:r>
          </w:p>
        </w:tc>
      </w:tr>
      <w:tr w14:paraId="40BD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460269C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721" w:type="pct"/>
            <w:tcBorders>
              <w:top w:val="single" w:color="auto" w:sz="4" w:space="0"/>
              <w:left w:val="single" w:color="auto" w:sz="4" w:space="0"/>
              <w:bottom w:val="single" w:color="auto" w:sz="4" w:space="0"/>
              <w:right w:val="single" w:color="auto" w:sz="4" w:space="0"/>
            </w:tcBorders>
            <w:vAlign w:val="center"/>
          </w:tcPr>
          <w:p w14:paraId="65A1A181">
            <w:pPr>
              <w:pStyle w:val="109"/>
              <w:rPr>
                <w:color w:val="000000" w:themeColor="text1"/>
                <w14:textFill>
                  <w14:solidFill>
                    <w14:schemeClr w14:val="tx1"/>
                  </w14:solidFill>
                </w14:textFill>
              </w:rPr>
            </w:pPr>
            <w:r>
              <w:rPr>
                <w:color w:val="000000" w:themeColor="text1"/>
                <w14:textFill>
                  <w14:solidFill>
                    <w14:schemeClr w14:val="tx1"/>
                  </w14:solidFill>
                </w14:textFill>
              </w:rPr>
              <w:t>设计烟气量（湿态、标况）</w:t>
            </w:r>
          </w:p>
        </w:tc>
        <w:tc>
          <w:tcPr>
            <w:tcW w:w="690" w:type="pct"/>
            <w:tcBorders>
              <w:top w:val="single" w:color="auto" w:sz="4" w:space="0"/>
              <w:left w:val="single" w:color="auto" w:sz="4" w:space="0"/>
              <w:bottom w:val="single" w:color="auto" w:sz="4" w:space="0"/>
              <w:right w:val="single" w:color="auto" w:sz="4" w:space="0"/>
            </w:tcBorders>
            <w:vAlign w:val="center"/>
          </w:tcPr>
          <w:p w14:paraId="04BDCF5F">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2070" w:type="pct"/>
            <w:tcBorders>
              <w:top w:val="single" w:color="auto" w:sz="4" w:space="0"/>
              <w:left w:val="single" w:color="auto" w:sz="4" w:space="0"/>
              <w:bottom w:val="single" w:color="auto" w:sz="4" w:space="0"/>
              <w:right w:val="single" w:color="auto" w:sz="4" w:space="0"/>
            </w:tcBorders>
            <w:vAlign w:val="center"/>
          </w:tcPr>
          <w:p w14:paraId="00C92C82">
            <w:pPr>
              <w:pStyle w:val="109"/>
              <w:rPr>
                <w:color w:val="000000" w:themeColor="text1"/>
                <w14:textFill>
                  <w14:solidFill>
                    <w14:schemeClr w14:val="tx1"/>
                  </w14:solidFill>
                </w14:textFill>
              </w:rPr>
            </w:pPr>
            <w:r>
              <w:rPr>
                <w:color w:val="000000" w:themeColor="text1"/>
                <w14:textFill>
                  <w14:solidFill>
                    <w14:schemeClr w14:val="tx1"/>
                  </w14:solidFill>
                </w14:textFill>
              </w:rPr>
              <w:t>~3500</w:t>
            </w:r>
          </w:p>
        </w:tc>
      </w:tr>
      <w:tr w14:paraId="7D3D4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334756A3">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721" w:type="pct"/>
            <w:tcBorders>
              <w:top w:val="single" w:color="auto" w:sz="4" w:space="0"/>
              <w:left w:val="single" w:color="auto" w:sz="4" w:space="0"/>
              <w:bottom w:val="single" w:color="auto" w:sz="4" w:space="0"/>
              <w:right w:val="single" w:color="auto" w:sz="4" w:space="0"/>
            </w:tcBorders>
            <w:vAlign w:val="center"/>
          </w:tcPr>
          <w:p w14:paraId="52D367C2">
            <w:pPr>
              <w:pStyle w:val="109"/>
              <w:rPr>
                <w:color w:val="000000" w:themeColor="text1"/>
                <w14:textFill>
                  <w14:solidFill>
                    <w14:schemeClr w14:val="tx1"/>
                  </w14:solidFill>
                </w14:textFill>
              </w:rPr>
            </w:pPr>
            <w:r>
              <w:rPr>
                <w:color w:val="000000" w:themeColor="text1"/>
                <w14:textFill>
                  <w14:solidFill>
                    <w14:schemeClr w14:val="tx1"/>
                  </w14:solidFill>
                </w14:textFill>
              </w:rPr>
              <w:t>设计烟气温度</w:t>
            </w:r>
          </w:p>
        </w:tc>
        <w:tc>
          <w:tcPr>
            <w:tcW w:w="690" w:type="pct"/>
            <w:tcBorders>
              <w:top w:val="single" w:color="auto" w:sz="4" w:space="0"/>
              <w:left w:val="single" w:color="auto" w:sz="4" w:space="0"/>
              <w:bottom w:val="single" w:color="auto" w:sz="4" w:space="0"/>
              <w:right w:val="single" w:color="auto" w:sz="4" w:space="0"/>
            </w:tcBorders>
            <w:vAlign w:val="center"/>
          </w:tcPr>
          <w:p w14:paraId="13404E5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070" w:type="pct"/>
            <w:tcBorders>
              <w:top w:val="single" w:color="auto" w:sz="4" w:space="0"/>
              <w:left w:val="single" w:color="auto" w:sz="4" w:space="0"/>
              <w:bottom w:val="single" w:color="auto" w:sz="4" w:space="0"/>
              <w:right w:val="single" w:color="auto" w:sz="4" w:space="0"/>
            </w:tcBorders>
            <w:vAlign w:val="center"/>
          </w:tcPr>
          <w:p w14:paraId="25099F9E">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r>
      <w:tr w14:paraId="3B504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32A39FDA">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721" w:type="pct"/>
            <w:tcBorders>
              <w:top w:val="single" w:color="auto" w:sz="4" w:space="0"/>
              <w:left w:val="single" w:color="auto" w:sz="4" w:space="0"/>
              <w:bottom w:val="single" w:color="auto" w:sz="4" w:space="0"/>
              <w:right w:val="single" w:color="auto" w:sz="4" w:space="0"/>
            </w:tcBorders>
            <w:vAlign w:val="center"/>
          </w:tcPr>
          <w:p w14:paraId="4A383A8C">
            <w:pPr>
              <w:pStyle w:val="109"/>
              <w:rPr>
                <w:color w:val="000000" w:themeColor="text1"/>
                <w14:textFill>
                  <w14:solidFill>
                    <w14:schemeClr w14:val="tx1"/>
                  </w14:solidFill>
                </w14:textFill>
              </w:rPr>
            </w:pPr>
            <w:r>
              <w:rPr>
                <w:color w:val="000000" w:themeColor="text1"/>
                <w14:textFill>
                  <w14:solidFill>
                    <w14:schemeClr w14:val="tx1"/>
                  </w14:solidFill>
                </w14:textFill>
              </w:rPr>
              <w:t>烟气压力</w:t>
            </w:r>
          </w:p>
        </w:tc>
        <w:tc>
          <w:tcPr>
            <w:tcW w:w="690" w:type="pct"/>
            <w:tcBorders>
              <w:top w:val="single" w:color="auto" w:sz="4" w:space="0"/>
              <w:left w:val="single" w:color="auto" w:sz="4" w:space="0"/>
              <w:bottom w:val="single" w:color="auto" w:sz="4" w:space="0"/>
              <w:right w:val="single" w:color="auto" w:sz="4" w:space="0"/>
            </w:tcBorders>
            <w:vAlign w:val="center"/>
          </w:tcPr>
          <w:p w14:paraId="6A2AEA38">
            <w:pPr>
              <w:pStyle w:val="109"/>
              <w:rPr>
                <w:color w:val="000000" w:themeColor="text1"/>
                <w14:textFill>
                  <w14:solidFill>
                    <w14:schemeClr w14:val="tx1"/>
                  </w14:solidFill>
                </w14:textFill>
              </w:rPr>
            </w:pPr>
            <w:r>
              <w:rPr>
                <w:color w:val="000000" w:themeColor="text1"/>
                <w14:textFill>
                  <w14:solidFill>
                    <w14:schemeClr w14:val="tx1"/>
                  </w14:solidFill>
                </w14:textFill>
              </w:rPr>
              <w:t>KPa</w:t>
            </w:r>
          </w:p>
        </w:tc>
        <w:tc>
          <w:tcPr>
            <w:tcW w:w="2070" w:type="pct"/>
            <w:tcBorders>
              <w:top w:val="single" w:color="auto" w:sz="4" w:space="0"/>
              <w:left w:val="single" w:color="auto" w:sz="4" w:space="0"/>
              <w:bottom w:val="single" w:color="auto" w:sz="4" w:space="0"/>
              <w:right w:val="single" w:color="auto" w:sz="4" w:space="0"/>
            </w:tcBorders>
            <w:vAlign w:val="center"/>
          </w:tcPr>
          <w:p w14:paraId="0B684CA0">
            <w:pPr>
              <w:pStyle w:val="109"/>
              <w:rPr>
                <w:color w:val="000000" w:themeColor="text1"/>
                <w14:textFill>
                  <w14:solidFill>
                    <w14:schemeClr w14:val="tx1"/>
                  </w14:solidFill>
                </w14:textFill>
              </w:rPr>
            </w:pPr>
            <w:r>
              <w:rPr>
                <w:color w:val="000000" w:themeColor="text1"/>
                <w14:textFill>
                  <w14:solidFill>
                    <w14:schemeClr w14:val="tx1"/>
                  </w14:solidFill>
                </w14:textFill>
              </w:rPr>
              <w:t>负压</w:t>
            </w:r>
          </w:p>
        </w:tc>
      </w:tr>
      <w:tr w14:paraId="19071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11CB4EA1">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721" w:type="pct"/>
            <w:tcBorders>
              <w:top w:val="single" w:color="auto" w:sz="4" w:space="0"/>
              <w:left w:val="single" w:color="auto" w:sz="4" w:space="0"/>
              <w:bottom w:val="single" w:color="auto" w:sz="4" w:space="0"/>
              <w:right w:val="single" w:color="auto" w:sz="4" w:space="0"/>
            </w:tcBorders>
            <w:vAlign w:val="center"/>
          </w:tcPr>
          <w:p w14:paraId="3F94362D">
            <w:pPr>
              <w:pStyle w:val="109"/>
              <w:rPr>
                <w:color w:val="000000" w:themeColor="text1"/>
                <w14:textFill>
                  <w14:solidFill>
                    <w14:schemeClr w14:val="tx1"/>
                  </w14:solidFill>
                </w14:textFill>
              </w:rPr>
            </w:pPr>
            <w:r>
              <w:rPr>
                <w:color w:val="000000" w:themeColor="text1"/>
                <w14:textFill>
                  <w14:solidFill>
                    <w14:schemeClr w14:val="tx1"/>
                  </w14:solidFill>
                </w14:textFill>
              </w:rPr>
              <w:t>阳极管束直径</w:t>
            </w:r>
          </w:p>
        </w:tc>
        <w:tc>
          <w:tcPr>
            <w:tcW w:w="690" w:type="pct"/>
            <w:tcBorders>
              <w:top w:val="single" w:color="auto" w:sz="4" w:space="0"/>
              <w:left w:val="single" w:color="auto" w:sz="4" w:space="0"/>
              <w:bottom w:val="single" w:color="auto" w:sz="4" w:space="0"/>
              <w:right w:val="single" w:color="auto" w:sz="4" w:space="0"/>
            </w:tcBorders>
            <w:vAlign w:val="center"/>
          </w:tcPr>
          <w:p w14:paraId="33EF4553">
            <w:pPr>
              <w:pStyle w:val="109"/>
              <w:rPr>
                <w:color w:val="000000" w:themeColor="text1"/>
                <w14:textFill>
                  <w14:solidFill>
                    <w14:schemeClr w14:val="tx1"/>
                  </w14:solidFill>
                </w14:textFill>
              </w:rPr>
            </w:pPr>
            <w:r>
              <w:rPr>
                <w:color w:val="000000" w:themeColor="text1"/>
                <w14:textFill>
                  <w14:solidFill>
                    <w14:schemeClr w14:val="tx1"/>
                  </w14:solidFill>
                </w14:textFill>
              </w:rPr>
              <w:t>mm</w:t>
            </w:r>
          </w:p>
        </w:tc>
        <w:tc>
          <w:tcPr>
            <w:tcW w:w="2070" w:type="pct"/>
            <w:tcBorders>
              <w:top w:val="single" w:color="auto" w:sz="4" w:space="0"/>
              <w:left w:val="single" w:color="auto" w:sz="4" w:space="0"/>
              <w:bottom w:val="single" w:color="auto" w:sz="4" w:space="0"/>
              <w:right w:val="single" w:color="auto" w:sz="4" w:space="0"/>
            </w:tcBorders>
            <w:vAlign w:val="center"/>
          </w:tcPr>
          <w:p w14:paraId="7D4346FB">
            <w:pPr>
              <w:pStyle w:val="109"/>
              <w:rPr>
                <w:color w:val="000000" w:themeColor="text1"/>
                <w14:textFill>
                  <w14:solidFill>
                    <w14:schemeClr w14:val="tx1"/>
                  </w14:solidFill>
                </w14:textFill>
              </w:rPr>
            </w:pPr>
            <w:r>
              <w:rPr>
                <w:color w:val="000000" w:themeColor="text1"/>
                <w14:textFill>
                  <w14:solidFill>
                    <w14:schemeClr w14:val="tx1"/>
                  </w14:solidFill>
                </w14:textFill>
              </w:rPr>
              <w:t>内切圆Ø300mm正六边形</w:t>
            </w:r>
          </w:p>
        </w:tc>
      </w:tr>
      <w:tr w14:paraId="7747B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3FF61392">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721" w:type="pct"/>
            <w:tcBorders>
              <w:top w:val="single" w:color="auto" w:sz="4" w:space="0"/>
              <w:left w:val="single" w:color="auto" w:sz="4" w:space="0"/>
              <w:bottom w:val="single" w:color="auto" w:sz="4" w:space="0"/>
              <w:right w:val="single" w:color="auto" w:sz="4" w:space="0"/>
            </w:tcBorders>
            <w:vAlign w:val="center"/>
          </w:tcPr>
          <w:p w14:paraId="5E59AC4B">
            <w:pPr>
              <w:pStyle w:val="109"/>
              <w:rPr>
                <w:color w:val="000000" w:themeColor="text1"/>
                <w14:textFill>
                  <w14:solidFill>
                    <w14:schemeClr w14:val="tx1"/>
                  </w14:solidFill>
                </w14:textFill>
              </w:rPr>
            </w:pPr>
            <w:r>
              <w:rPr>
                <w:color w:val="000000" w:themeColor="text1"/>
                <w14:textFill>
                  <w14:solidFill>
                    <w14:schemeClr w14:val="tx1"/>
                  </w14:solidFill>
                </w14:textFill>
              </w:rPr>
              <w:t>阳极管束长度</w:t>
            </w:r>
          </w:p>
        </w:tc>
        <w:tc>
          <w:tcPr>
            <w:tcW w:w="690" w:type="pct"/>
            <w:tcBorders>
              <w:top w:val="single" w:color="auto" w:sz="4" w:space="0"/>
              <w:left w:val="single" w:color="auto" w:sz="4" w:space="0"/>
              <w:bottom w:val="single" w:color="auto" w:sz="4" w:space="0"/>
              <w:right w:val="single" w:color="auto" w:sz="4" w:space="0"/>
            </w:tcBorders>
            <w:vAlign w:val="center"/>
          </w:tcPr>
          <w:p w14:paraId="3133946F">
            <w:pPr>
              <w:pStyle w:val="109"/>
              <w:rPr>
                <w:color w:val="000000" w:themeColor="text1"/>
                <w14:textFill>
                  <w14:solidFill>
                    <w14:schemeClr w14:val="tx1"/>
                  </w14:solidFill>
                </w14:textFill>
              </w:rPr>
            </w:pPr>
            <w:r>
              <w:rPr>
                <w:color w:val="000000" w:themeColor="text1"/>
                <w14:textFill>
                  <w14:solidFill>
                    <w14:schemeClr w14:val="tx1"/>
                  </w14:solidFill>
                </w14:textFill>
              </w:rPr>
              <w:t>m</w:t>
            </w:r>
          </w:p>
        </w:tc>
        <w:tc>
          <w:tcPr>
            <w:tcW w:w="2070" w:type="pct"/>
            <w:tcBorders>
              <w:top w:val="single" w:color="auto" w:sz="4" w:space="0"/>
              <w:left w:val="single" w:color="auto" w:sz="4" w:space="0"/>
              <w:bottom w:val="single" w:color="auto" w:sz="4" w:space="0"/>
              <w:right w:val="single" w:color="auto" w:sz="4" w:space="0"/>
            </w:tcBorders>
            <w:vAlign w:val="center"/>
          </w:tcPr>
          <w:p w14:paraId="22D24257">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r>
      <w:tr w14:paraId="2C41D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1597EEAF">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721" w:type="pct"/>
            <w:tcBorders>
              <w:top w:val="single" w:color="auto" w:sz="4" w:space="0"/>
              <w:left w:val="single" w:color="auto" w:sz="4" w:space="0"/>
              <w:bottom w:val="single" w:color="auto" w:sz="4" w:space="0"/>
              <w:right w:val="single" w:color="auto" w:sz="4" w:space="0"/>
            </w:tcBorders>
            <w:vAlign w:val="center"/>
          </w:tcPr>
          <w:p w14:paraId="00AC6274">
            <w:pPr>
              <w:pStyle w:val="109"/>
              <w:rPr>
                <w:color w:val="000000" w:themeColor="text1"/>
                <w14:textFill>
                  <w14:solidFill>
                    <w14:schemeClr w14:val="tx1"/>
                  </w14:solidFill>
                </w14:textFill>
              </w:rPr>
            </w:pPr>
            <w:r>
              <w:rPr>
                <w:color w:val="000000" w:themeColor="text1"/>
                <w14:textFill>
                  <w14:solidFill>
                    <w14:schemeClr w14:val="tx1"/>
                  </w14:solidFill>
                </w14:textFill>
              </w:rPr>
              <w:t>阳极管束数量</w:t>
            </w:r>
          </w:p>
        </w:tc>
        <w:tc>
          <w:tcPr>
            <w:tcW w:w="690" w:type="pct"/>
            <w:tcBorders>
              <w:top w:val="single" w:color="auto" w:sz="4" w:space="0"/>
              <w:left w:val="single" w:color="auto" w:sz="4" w:space="0"/>
              <w:bottom w:val="single" w:color="auto" w:sz="4" w:space="0"/>
              <w:right w:val="single" w:color="auto" w:sz="4" w:space="0"/>
            </w:tcBorders>
            <w:vAlign w:val="center"/>
          </w:tcPr>
          <w:p w14:paraId="7049BC6D">
            <w:pPr>
              <w:pStyle w:val="109"/>
              <w:rPr>
                <w:color w:val="000000" w:themeColor="text1"/>
                <w14:textFill>
                  <w14:solidFill>
                    <w14:schemeClr w14:val="tx1"/>
                  </w14:solidFill>
                </w14:textFill>
              </w:rPr>
            </w:pPr>
            <w:r>
              <w:rPr>
                <w:color w:val="000000" w:themeColor="text1"/>
                <w14:textFill>
                  <w14:solidFill>
                    <w14:schemeClr w14:val="tx1"/>
                  </w14:solidFill>
                </w14:textFill>
              </w:rPr>
              <w:t>根</w:t>
            </w:r>
          </w:p>
        </w:tc>
        <w:tc>
          <w:tcPr>
            <w:tcW w:w="2070" w:type="pct"/>
            <w:tcBorders>
              <w:top w:val="single" w:color="auto" w:sz="4" w:space="0"/>
              <w:left w:val="single" w:color="auto" w:sz="4" w:space="0"/>
              <w:bottom w:val="single" w:color="auto" w:sz="4" w:space="0"/>
              <w:right w:val="single" w:color="auto" w:sz="4" w:space="0"/>
            </w:tcBorders>
            <w:vAlign w:val="center"/>
          </w:tcPr>
          <w:p w14:paraId="57CE9BF5">
            <w:pPr>
              <w:pStyle w:val="109"/>
              <w:rPr>
                <w:color w:val="000000" w:themeColor="text1"/>
                <w14:textFill>
                  <w14:solidFill>
                    <w14:schemeClr w14:val="tx1"/>
                  </w14:solidFill>
                </w14:textFill>
              </w:rPr>
            </w:pPr>
            <w:r>
              <w:rPr>
                <w:color w:val="000000" w:themeColor="text1"/>
                <w14:textFill>
                  <w14:solidFill>
                    <w14:schemeClr w14:val="tx1"/>
                  </w14:solidFill>
                </w14:textFill>
              </w:rPr>
              <w:t>16</w:t>
            </w:r>
          </w:p>
        </w:tc>
      </w:tr>
      <w:tr w14:paraId="51D6C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75C23850">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721" w:type="pct"/>
            <w:tcBorders>
              <w:top w:val="single" w:color="auto" w:sz="4" w:space="0"/>
              <w:left w:val="single" w:color="auto" w:sz="4" w:space="0"/>
              <w:bottom w:val="single" w:color="auto" w:sz="4" w:space="0"/>
              <w:right w:val="single" w:color="auto" w:sz="4" w:space="0"/>
            </w:tcBorders>
            <w:vAlign w:val="center"/>
          </w:tcPr>
          <w:p w14:paraId="36F739D8">
            <w:pPr>
              <w:pStyle w:val="109"/>
              <w:rPr>
                <w:color w:val="000000" w:themeColor="text1"/>
                <w14:textFill>
                  <w14:solidFill>
                    <w14:schemeClr w14:val="tx1"/>
                  </w14:solidFill>
                </w14:textFill>
              </w:rPr>
            </w:pPr>
            <w:r>
              <w:rPr>
                <w:color w:val="000000" w:themeColor="text1"/>
                <w14:textFill>
                  <w14:solidFill>
                    <w14:schemeClr w14:val="tx1"/>
                  </w14:solidFill>
                </w14:textFill>
              </w:rPr>
              <w:t>除尘（雾）效率</w:t>
            </w:r>
          </w:p>
        </w:tc>
        <w:tc>
          <w:tcPr>
            <w:tcW w:w="690" w:type="pct"/>
            <w:tcBorders>
              <w:top w:val="single" w:color="auto" w:sz="4" w:space="0"/>
              <w:left w:val="single" w:color="auto" w:sz="4" w:space="0"/>
              <w:bottom w:val="single" w:color="auto" w:sz="4" w:space="0"/>
              <w:right w:val="single" w:color="auto" w:sz="4" w:space="0"/>
            </w:tcBorders>
            <w:vAlign w:val="center"/>
          </w:tcPr>
          <w:p w14:paraId="4572D2C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070" w:type="pct"/>
            <w:tcBorders>
              <w:top w:val="single" w:color="auto" w:sz="4" w:space="0"/>
              <w:left w:val="single" w:color="auto" w:sz="4" w:space="0"/>
              <w:bottom w:val="single" w:color="auto" w:sz="4" w:space="0"/>
              <w:right w:val="single" w:color="auto" w:sz="4" w:space="0"/>
            </w:tcBorders>
            <w:vAlign w:val="center"/>
          </w:tcPr>
          <w:p w14:paraId="610D2F27">
            <w:pPr>
              <w:pStyle w:val="109"/>
              <w:rPr>
                <w:color w:val="000000" w:themeColor="text1"/>
                <w14:textFill>
                  <w14:solidFill>
                    <w14:schemeClr w14:val="tx1"/>
                  </w14:solidFill>
                </w14:textFill>
              </w:rPr>
            </w:pPr>
            <w:r>
              <w:rPr>
                <w:color w:val="000000" w:themeColor="text1"/>
                <w14:textFill>
                  <w14:solidFill>
                    <w14:schemeClr w14:val="tx1"/>
                  </w14:solidFill>
                </w14:textFill>
              </w:rPr>
              <w:t>≥90</w:t>
            </w:r>
          </w:p>
        </w:tc>
      </w:tr>
      <w:tr w14:paraId="066BE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3767AE5D">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1721" w:type="pct"/>
            <w:tcBorders>
              <w:top w:val="single" w:color="auto" w:sz="4" w:space="0"/>
              <w:left w:val="single" w:color="auto" w:sz="4" w:space="0"/>
              <w:bottom w:val="single" w:color="auto" w:sz="4" w:space="0"/>
              <w:right w:val="single" w:color="auto" w:sz="4" w:space="0"/>
            </w:tcBorders>
            <w:vAlign w:val="center"/>
          </w:tcPr>
          <w:p w14:paraId="1F990492">
            <w:pPr>
              <w:pStyle w:val="109"/>
              <w:rPr>
                <w:color w:val="000000" w:themeColor="text1"/>
                <w14:textFill>
                  <w14:solidFill>
                    <w14:schemeClr w14:val="tx1"/>
                  </w14:solidFill>
                </w14:textFill>
              </w:rPr>
            </w:pPr>
            <w:r>
              <w:rPr>
                <w:color w:val="000000" w:themeColor="text1"/>
                <w14:textFill>
                  <w14:solidFill>
                    <w14:schemeClr w14:val="tx1"/>
                  </w14:solidFill>
                </w14:textFill>
              </w:rPr>
              <w:t>设备压力降</w:t>
            </w:r>
          </w:p>
        </w:tc>
        <w:tc>
          <w:tcPr>
            <w:tcW w:w="690" w:type="pct"/>
            <w:tcBorders>
              <w:top w:val="single" w:color="auto" w:sz="4" w:space="0"/>
              <w:left w:val="single" w:color="auto" w:sz="4" w:space="0"/>
              <w:bottom w:val="single" w:color="auto" w:sz="4" w:space="0"/>
              <w:right w:val="single" w:color="auto" w:sz="4" w:space="0"/>
            </w:tcBorders>
            <w:vAlign w:val="center"/>
          </w:tcPr>
          <w:p w14:paraId="4C512643">
            <w:pPr>
              <w:pStyle w:val="109"/>
              <w:rPr>
                <w:color w:val="000000" w:themeColor="text1"/>
                <w14:textFill>
                  <w14:solidFill>
                    <w14:schemeClr w14:val="tx1"/>
                  </w14:solidFill>
                </w14:textFill>
              </w:rPr>
            </w:pPr>
            <w:r>
              <w:rPr>
                <w:color w:val="000000" w:themeColor="text1"/>
                <w14:textFill>
                  <w14:solidFill>
                    <w14:schemeClr w14:val="tx1"/>
                  </w14:solidFill>
                </w14:textFill>
              </w:rPr>
              <w:t>Pa</w:t>
            </w:r>
          </w:p>
        </w:tc>
        <w:tc>
          <w:tcPr>
            <w:tcW w:w="2070" w:type="pct"/>
            <w:tcBorders>
              <w:top w:val="single" w:color="auto" w:sz="4" w:space="0"/>
              <w:left w:val="single" w:color="auto" w:sz="4" w:space="0"/>
              <w:bottom w:val="single" w:color="auto" w:sz="4" w:space="0"/>
              <w:right w:val="single" w:color="auto" w:sz="4" w:space="0"/>
            </w:tcBorders>
            <w:vAlign w:val="center"/>
          </w:tcPr>
          <w:p w14:paraId="6035AE48">
            <w:pPr>
              <w:pStyle w:val="109"/>
              <w:rPr>
                <w:color w:val="000000" w:themeColor="text1"/>
                <w14:textFill>
                  <w14:solidFill>
                    <w14:schemeClr w14:val="tx1"/>
                  </w14:solidFill>
                </w14:textFill>
              </w:rPr>
            </w:pPr>
            <w:r>
              <w:rPr>
                <w:color w:val="000000" w:themeColor="text1"/>
                <w14:textFill>
                  <w14:solidFill>
                    <w14:schemeClr w14:val="tx1"/>
                  </w14:solidFill>
                </w14:textFill>
              </w:rPr>
              <w:t>&lt;300Pa</w:t>
            </w:r>
          </w:p>
        </w:tc>
      </w:tr>
      <w:tr w14:paraId="6B85D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748DE6AC">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1721" w:type="pct"/>
            <w:tcBorders>
              <w:top w:val="single" w:color="auto" w:sz="4" w:space="0"/>
              <w:left w:val="single" w:color="auto" w:sz="4" w:space="0"/>
              <w:bottom w:val="single" w:color="auto" w:sz="4" w:space="0"/>
              <w:right w:val="single" w:color="auto" w:sz="4" w:space="0"/>
            </w:tcBorders>
            <w:vAlign w:val="center"/>
          </w:tcPr>
          <w:p w14:paraId="02D75BF5">
            <w:pPr>
              <w:pStyle w:val="109"/>
              <w:rPr>
                <w:color w:val="000000" w:themeColor="text1"/>
                <w14:textFill>
                  <w14:solidFill>
                    <w14:schemeClr w14:val="tx1"/>
                  </w14:solidFill>
                </w14:textFill>
              </w:rPr>
            </w:pPr>
            <w:r>
              <w:rPr>
                <w:color w:val="000000" w:themeColor="text1"/>
                <w14:textFill>
                  <w14:solidFill>
                    <w14:schemeClr w14:val="tx1"/>
                  </w14:solidFill>
                </w14:textFill>
              </w:rPr>
              <w:t>间断喷淋水冲洗水耗</w:t>
            </w:r>
          </w:p>
        </w:tc>
        <w:tc>
          <w:tcPr>
            <w:tcW w:w="690" w:type="pct"/>
            <w:tcBorders>
              <w:top w:val="single" w:color="auto" w:sz="4" w:space="0"/>
              <w:left w:val="single" w:color="auto" w:sz="4" w:space="0"/>
              <w:bottom w:val="single" w:color="auto" w:sz="4" w:space="0"/>
              <w:right w:val="single" w:color="auto" w:sz="4" w:space="0"/>
            </w:tcBorders>
            <w:vAlign w:val="center"/>
          </w:tcPr>
          <w:p w14:paraId="1AEF8911">
            <w:pPr>
              <w:pStyle w:val="109"/>
              <w:rPr>
                <w:color w:val="000000" w:themeColor="text1"/>
                <w14:textFill>
                  <w14:solidFill>
                    <w14:schemeClr w14:val="tx1"/>
                  </w14:solidFill>
                </w14:textFill>
              </w:rPr>
            </w:pPr>
            <w:r>
              <w:rPr>
                <w:color w:val="000000" w:themeColor="text1"/>
                <w14:textFill>
                  <w14:solidFill>
                    <w14:schemeClr w14:val="tx1"/>
                  </w14:solidFill>
                </w14:textFill>
              </w:rPr>
              <w:t>t/次</w:t>
            </w:r>
          </w:p>
        </w:tc>
        <w:tc>
          <w:tcPr>
            <w:tcW w:w="2070" w:type="pct"/>
            <w:tcBorders>
              <w:top w:val="single" w:color="auto" w:sz="4" w:space="0"/>
              <w:left w:val="single" w:color="auto" w:sz="4" w:space="0"/>
              <w:bottom w:val="single" w:color="auto" w:sz="4" w:space="0"/>
              <w:right w:val="single" w:color="auto" w:sz="4" w:space="0"/>
            </w:tcBorders>
            <w:vAlign w:val="center"/>
          </w:tcPr>
          <w:p w14:paraId="726A1A75">
            <w:pPr>
              <w:pStyle w:val="109"/>
              <w:rPr>
                <w:color w:val="000000" w:themeColor="text1"/>
                <w14:textFill>
                  <w14:solidFill>
                    <w14:schemeClr w14:val="tx1"/>
                  </w14:solidFill>
                </w14:textFill>
              </w:rPr>
            </w:pPr>
            <w:r>
              <w:rPr>
                <w:color w:val="000000" w:themeColor="text1"/>
                <w14:textFill>
                  <w14:solidFill>
                    <w14:schemeClr w14:val="tx1"/>
                  </w14:solidFill>
                </w14:textFill>
              </w:rPr>
              <w:t>0.3</w:t>
            </w:r>
          </w:p>
        </w:tc>
      </w:tr>
      <w:tr w14:paraId="393D2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18" w:type="pct"/>
            <w:tcBorders>
              <w:top w:val="single" w:color="auto" w:sz="4" w:space="0"/>
              <w:left w:val="single" w:color="auto" w:sz="4" w:space="0"/>
              <w:bottom w:val="single" w:color="auto" w:sz="4" w:space="0"/>
              <w:right w:val="single" w:color="auto" w:sz="4" w:space="0"/>
            </w:tcBorders>
            <w:vAlign w:val="center"/>
          </w:tcPr>
          <w:p w14:paraId="0997557A">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721" w:type="pct"/>
            <w:tcBorders>
              <w:top w:val="single" w:color="auto" w:sz="4" w:space="0"/>
              <w:left w:val="single" w:color="auto" w:sz="4" w:space="0"/>
              <w:bottom w:val="single" w:color="auto" w:sz="4" w:space="0"/>
              <w:right w:val="single" w:color="auto" w:sz="4" w:space="0"/>
            </w:tcBorders>
            <w:vAlign w:val="center"/>
          </w:tcPr>
          <w:p w14:paraId="0DB6F261">
            <w:pPr>
              <w:pStyle w:val="109"/>
              <w:rPr>
                <w:color w:val="000000" w:themeColor="text1"/>
                <w14:textFill>
                  <w14:solidFill>
                    <w14:schemeClr w14:val="tx1"/>
                  </w14:solidFill>
                </w14:textFill>
              </w:rPr>
            </w:pPr>
            <w:r>
              <w:rPr>
                <w:color w:val="000000" w:themeColor="text1"/>
                <w14:textFill>
                  <w14:solidFill>
                    <w14:schemeClr w14:val="tx1"/>
                  </w14:solidFill>
                </w14:textFill>
              </w:rPr>
              <w:t>间断喷淋水冲洗周期</w:t>
            </w:r>
          </w:p>
        </w:tc>
        <w:tc>
          <w:tcPr>
            <w:tcW w:w="690" w:type="pct"/>
            <w:tcBorders>
              <w:top w:val="single" w:color="auto" w:sz="4" w:space="0"/>
              <w:left w:val="single" w:color="auto" w:sz="4" w:space="0"/>
              <w:bottom w:val="single" w:color="auto" w:sz="4" w:space="0"/>
              <w:right w:val="single" w:color="auto" w:sz="4" w:space="0"/>
            </w:tcBorders>
            <w:vAlign w:val="center"/>
          </w:tcPr>
          <w:p w14:paraId="3E7D2A89">
            <w:pPr>
              <w:pStyle w:val="109"/>
              <w:rPr>
                <w:color w:val="000000" w:themeColor="text1"/>
                <w14:textFill>
                  <w14:solidFill>
                    <w14:schemeClr w14:val="tx1"/>
                  </w14:solidFill>
                </w14:textFill>
              </w:rPr>
            </w:pPr>
          </w:p>
        </w:tc>
        <w:tc>
          <w:tcPr>
            <w:tcW w:w="2070" w:type="pct"/>
            <w:vAlign w:val="center"/>
          </w:tcPr>
          <w:p w14:paraId="62D5A58E">
            <w:pPr>
              <w:pStyle w:val="109"/>
              <w:rPr>
                <w:color w:val="000000" w:themeColor="text1"/>
                <w14:textFill>
                  <w14:solidFill>
                    <w14:schemeClr w14:val="tx1"/>
                  </w14:solidFill>
                </w14:textFill>
              </w:rPr>
            </w:pPr>
            <w:r>
              <w:rPr>
                <w:color w:val="000000" w:themeColor="text1"/>
                <w14:textFill>
                  <w14:solidFill>
                    <w14:schemeClr w14:val="tx1"/>
                  </w14:solidFill>
                </w14:textFill>
              </w:rPr>
              <w:t>1~3天冲洗一次，冲洗时间5~10min</w:t>
            </w:r>
          </w:p>
        </w:tc>
      </w:tr>
    </w:tbl>
    <w:p w14:paraId="60186E85">
      <w:pPr>
        <w:pStyle w:val="197"/>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7、活性炭吸附塔</w:t>
      </w:r>
    </w:p>
    <w:p w14:paraId="513758AA">
      <w:pPr>
        <w:pStyle w:val="197"/>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从湿电出来的不饱和水汽，另经过活性炭吸附装置再次对尾气吸收捕捉二噁英等有害物质，确保环保稳定达标；达标后的烟气约50℃经引风机排到烟囱外。</w:t>
      </w:r>
    </w:p>
    <w:p w14:paraId="180287B9">
      <w:pPr>
        <w:pStyle w:val="117"/>
        <w:rPr>
          <w:rFonts w:ascii="Times New Roman" w:hAnsi="Times New Roman" w:cs="Times New Roman"/>
          <w:color w:val="000000" w:themeColor="text1"/>
          <w14:textFill>
            <w14:solidFill>
              <w14:schemeClr w14:val="tx1"/>
            </w14:solidFill>
          </w14:textFill>
        </w:rPr>
      </w:pPr>
      <w:bookmarkStart w:id="272" w:name="_Toc3692"/>
      <w:r>
        <w:rPr>
          <w:rFonts w:ascii="Times New Roman" w:hAnsi="Times New Roman" w:cs="Times New Roman"/>
          <w:color w:val="000000" w:themeColor="text1"/>
          <w14:textFill>
            <w14:solidFill>
              <w14:schemeClr w14:val="tx1"/>
            </w14:solidFill>
          </w14:textFill>
        </w:rPr>
        <w:t>活性炭塔理论技术参数</w:t>
      </w:r>
      <w:bookmarkEnd w:id="272"/>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2251"/>
        <w:gridCol w:w="2626"/>
        <w:gridCol w:w="2799"/>
      </w:tblGrid>
      <w:tr w14:paraId="2EEB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tcPr>
          <w:p w14:paraId="341D85FF">
            <w:pPr>
              <w:pStyle w:val="109"/>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1169" w:type="pct"/>
          </w:tcPr>
          <w:p w14:paraId="6BAA4D8B">
            <w:pPr>
              <w:pStyle w:val="109"/>
              <w:rPr>
                <w:color w:val="000000" w:themeColor="text1"/>
                <w14:textFill>
                  <w14:solidFill>
                    <w14:schemeClr w14:val="tx1"/>
                  </w14:solidFill>
                </w14:textFill>
              </w:rPr>
            </w:pPr>
            <w:r>
              <w:rPr>
                <w:color w:val="000000" w:themeColor="text1"/>
                <w14:textFill>
                  <w14:solidFill>
                    <w14:schemeClr w14:val="tx1"/>
                  </w14:solidFill>
                </w14:textFill>
              </w:rPr>
              <w:t>活性炭</w:t>
            </w:r>
          </w:p>
        </w:tc>
        <w:tc>
          <w:tcPr>
            <w:tcW w:w="1364" w:type="pct"/>
          </w:tcPr>
          <w:p w14:paraId="7F6DB964">
            <w:pPr>
              <w:pStyle w:val="109"/>
              <w:rPr>
                <w:color w:val="000000" w:themeColor="text1"/>
                <w14:textFill>
                  <w14:solidFill>
                    <w14:schemeClr w14:val="tx1"/>
                  </w14:solidFill>
                </w14:textFill>
              </w:rPr>
            </w:pPr>
            <w:r>
              <w:rPr>
                <w:color w:val="000000" w:themeColor="text1"/>
                <w14:textFill>
                  <w14:solidFill>
                    <w14:schemeClr w14:val="tx1"/>
                  </w14:solidFill>
                </w14:textFill>
              </w:rPr>
              <w:t>规格</w:t>
            </w:r>
          </w:p>
        </w:tc>
        <w:tc>
          <w:tcPr>
            <w:tcW w:w="1454" w:type="pct"/>
          </w:tcPr>
          <w:p w14:paraId="2F6E20BF">
            <w:pPr>
              <w:pStyle w:val="109"/>
              <w:rPr>
                <w:color w:val="000000" w:themeColor="text1"/>
                <w14:textFill>
                  <w14:solidFill>
                    <w14:schemeClr w14:val="tx1"/>
                  </w14:solidFill>
                </w14:textFill>
              </w:rPr>
            </w:pPr>
            <w:r>
              <w:rPr>
                <w:color w:val="000000" w:themeColor="text1"/>
                <w14:textFill>
                  <w14:solidFill>
                    <w14:schemeClr w14:val="tx1"/>
                  </w14:solidFill>
                </w14:textFill>
              </w:rPr>
              <w:t>100×100×100mm</w:t>
            </w:r>
          </w:p>
        </w:tc>
      </w:tr>
      <w:tr w14:paraId="07BA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tcPr>
          <w:p w14:paraId="0CC91105">
            <w:pPr>
              <w:pStyle w:val="109"/>
              <w:rPr>
                <w:color w:val="000000" w:themeColor="text1"/>
                <w14:textFill>
                  <w14:solidFill>
                    <w14:schemeClr w14:val="tx1"/>
                  </w14:solidFill>
                </w14:textFill>
              </w:rPr>
            </w:pPr>
            <w:r>
              <w:rPr>
                <w:color w:val="000000" w:themeColor="text1"/>
                <w14:textFill>
                  <w14:solidFill>
                    <w14:schemeClr w14:val="tx1"/>
                  </w14:solidFill>
                </w14:textFill>
              </w:rPr>
              <w:t>壁厚</w:t>
            </w:r>
          </w:p>
        </w:tc>
        <w:tc>
          <w:tcPr>
            <w:tcW w:w="1169" w:type="pct"/>
          </w:tcPr>
          <w:p w14:paraId="189EAFBB">
            <w:pPr>
              <w:pStyle w:val="109"/>
              <w:rPr>
                <w:color w:val="000000" w:themeColor="text1"/>
                <w14:textFill>
                  <w14:solidFill>
                    <w14:schemeClr w14:val="tx1"/>
                  </w14:solidFill>
                </w14:textFill>
              </w:rPr>
            </w:pPr>
            <w:r>
              <w:rPr>
                <w:color w:val="000000" w:themeColor="text1"/>
                <w14:textFill>
                  <w14:solidFill>
                    <w14:schemeClr w14:val="tx1"/>
                  </w14:solidFill>
                </w14:textFill>
              </w:rPr>
              <w:t>0.5~0.6mm</w:t>
            </w:r>
          </w:p>
        </w:tc>
        <w:tc>
          <w:tcPr>
            <w:tcW w:w="1364" w:type="pct"/>
          </w:tcPr>
          <w:p w14:paraId="1AC85448">
            <w:pPr>
              <w:pStyle w:val="109"/>
              <w:rPr>
                <w:color w:val="000000" w:themeColor="text1"/>
                <w14:textFill>
                  <w14:solidFill>
                    <w14:schemeClr w14:val="tx1"/>
                  </w14:solidFill>
                </w14:textFill>
              </w:rPr>
            </w:pPr>
            <w:r>
              <w:rPr>
                <w:color w:val="000000" w:themeColor="text1"/>
                <w14:textFill>
                  <w14:solidFill>
                    <w14:schemeClr w14:val="tx1"/>
                  </w14:solidFill>
                </w14:textFill>
              </w:rPr>
              <w:t>体密度</w:t>
            </w:r>
          </w:p>
        </w:tc>
        <w:tc>
          <w:tcPr>
            <w:tcW w:w="1454" w:type="pct"/>
          </w:tcPr>
          <w:p w14:paraId="1255FC3E">
            <w:pPr>
              <w:pStyle w:val="109"/>
              <w:rPr>
                <w:color w:val="000000" w:themeColor="text1"/>
                <w14:textFill>
                  <w14:solidFill>
                    <w14:schemeClr w14:val="tx1"/>
                  </w14:solidFill>
                </w14:textFill>
              </w:rPr>
            </w:pPr>
            <w:r>
              <w:rPr>
                <w:color w:val="000000" w:themeColor="text1"/>
                <w14:textFill>
                  <w14:solidFill>
                    <w14:schemeClr w14:val="tx1"/>
                  </w14:solidFill>
                </w14:textFill>
              </w:rPr>
              <w:t>380~450kg/m³</w:t>
            </w:r>
          </w:p>
        </w:tc>
      </w:tr>
      <w:tr w14:paraId="2AE0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tcPr>
          <w:p w14:paraId="18A0A6F2">
            <w:pPr>
              <w:pStyle w:val="109"/>
              <w:rPr>
                <w:color w:val="000000" w:themeColor="text1"/>
                <w14:textFill>
                  <w14:solidFill>
                    <w14:schemeClr w14:val="tx1"/>
                  </w14:solidFill>
                </w14:textFill>
              </w:rPr>
            </w:pPr>
            <w:r>
              <w:rPr>
                <w:color w:val="000000" w:themeColor="text1"/>
                <w14:textFill>
                  <w14:solidFill>
                    <w14:schemeClr w14:val="tx1"/>
                  </w14:solidFill>
                </w14:textFill>
              </w:rPr>
              <w:t>比表面积</w:t>
            </w:r>
          </w:p>
        </w:tc>
        <w:tc>
          <w:tcPr>
            <w:tcW w:w="1169" w:type="pct"/>
          </w:tcPr>
          <w:p w14:paraId="6631452A">
            <w:pPr>
              <w:pStyle w:val="109"/>
              <w:rPr>
                <w:color w:val="000000" w:themeColor="text1"/>
                <w14:textFill>
                  <w14:solidFill>
                    <w14:schemeClr w14:val="tx1"/>
                  </w14:solidFill>
                </w14:textFill>
              </w:rPr>
            </w:pPr>
            <w:r>
              <w:rPr>
                <w:color w:val="000000" w:themeColor="text1"/>
                <w14:textFill>
                  <w14:solidFill>
                    <w14:schemeClr w14:val="tx1"/>
                  </w14:solidFill>
                </w14:textFill>
              </w:rPr>
              <w:t>＞700m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/h</w:t>
            </w:r>
          </w:p>
        </w:tc>
        <w:tc>
          <w:tcPr>
            <w:tcW w:w="1364" w:type="pct"/>
          </w:tcPr>
          <w:p w14:paraId="0B373F64">
            <w:pPr>
              <w:pStyle w:val="109"/>
              <w:rPr>
                <w:color w:val="000000" w:themeColor="text1"/>
                <w14:textFill>
                  <w14:solidFill>
                    <w14:schemeClr w14:val="tx1"/>
                  </w14:solidFill>
                </w14:textFill>
              </w:rPr>
            </w:pPr>
            <w:r>
              <w:rPr>
                <w:color w:val="000000" w:themeColor="text1"/>
                <w14:textFill>
                  <w14:solidFill>
                    <w14:schemeClr w14:val="tx1"/>
                  </w14:solidFill>
                </w14:textFill>
              </w:rPr>
              <w:t>使用寿命</w:t>
            </w:r>
          </w:p>
        </w:tc>
        <w:tc>
          <w:tcPr>
            <w:tcW w:w="1454" w:type="pct"/>
          </w:tcPr>
          <w:p w14:paraId="61879EB7">
            <w:pPr>
              <w:pStyle w:val="109"/>
              <w:rPr>
                <w:color w:val="000000" w:themeColor="text1"/>
                <w14:textFill>
                  <w14:solidFill>
                    <w14:schemeClr w14:val="tx1"/>
                  </w14:solidFill>
                </w14:textFill>
              </w:rPr>
            </w:pPr>
            <w:r>
              <w:rPr>
                <w:color w:val="000000" w:themeColor="text1"/>
                <w14:textFill>
                  <w14:solidFill>
                    <w14:schemeClr w14:val="tx1"/>
                  </w14:solidFill>
                </w14:textFill>
              </w:rPr>
              <w:t>2000h</w:t>
            </w:r>
          </w:p>
        </w:tc>
      </w:tr>
      <w:tr w14:paraId="7AB9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tcPr>
          <w:p w14:paraId="0C16AB3C">
            <w:pPr>
              <w:pStyle w:val="109"/>
              <w:rPr>
                <w:color w:val="000000" w:themeColor="text1"/>
                <w14:textFill>
                  <w14:solidFill>
                    <w14:schemeClr w14:val="tx1"/>
                  </w14:solidFill>
                </w14:textFill>
              </w:rPr>
            </w:pPr>
            <w:r>
              <w:rPr>
                <w:color w:val="000000" w:themeColor="text1"/>
                <w14:textFill>
                  <w14:solidFill>
                    <w14:schemeClr w14:val="tx1"/>
                  </w14:solidFill>
                </w14:textFill>
              </w:rPr>
              <w:t>孔数</w:t>
            </w:r>
          </w:p>
        </w:tc>
        <w:tc>
          <w:tcPr>
            <w:tcW w:w="3987" w:type="pct"/>
            <w:gridSpan w:val="3"/>
          </w:tcPr>
          <w:p w14:paraId="5CB3D9DD">
            <w:pPr>
              <w:pStyle w:val="109"/>
              <w:rPr>
                <w:color w:val="000000" w:themeColor="text1"/>
                <w14:textFill>
                  <w14:solidFill>
                    <w14:schemeClr w14:val="tx1"/>
                  </w14:solidFill>
                </w14:textFill>
              </w:rPr>
            </w:pPr>
            <w:r>
              <w:rPr>
                <w:color w:val="000000" w:themeColor="text1"/>
                <w14:textFill>
                  <w14:solidFill>
                    <w14:schemeClr w14:val="tx1"/>
                  </w14:solidFill>
                </w14:textFill>
              </w:rPr>
              <w:t>150孔/平方英寸</w:t>
            </w:r>
          </w:p>
        </w:tc>
      </w:tr>
      <w:tr w14:paraId="341C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tcPr>
          <w:p w14:paraId="4535B3D7">
            <w:pPr>
              <w:pStyle w:val="109"/>
              <w:rPr>
                <w:color w:val="000000" w:themeColor="text1"/>
                <w14:textFill>
                  <w14:solidFill>
                    <w14:schemeClr w14:val="tx1"/>
                  </w14:solidFill>
                </w14:textFill>
              </w:rPr>
            </w:pPr>
            <w:r>
              <w:rPr>
                <w:color w:val="000000" w:themeColor="text1"/>
                <w14:textFill>
                  <w14:solidFill>
                    <w14:schemeClr w14:val="tx1"/>
                  </w14:solidFill>
                </w14:textFill>
              </w:rPr>
              <w:t>风速阻力</w:t>
            </w:r>
          </w:p>
        </w:tc>
        <w:tc>
          <w:tcPr>
            <w:tcW w:w="3987" w:type="pct"/>
            <w:gridSpan w:val="3"/>
          </w:tcPr>
          <w:p w14:paraId="384116FF">
            <w:pPr>
              <w:pStyle w:val="109"/>
              <w:rPr>
                <w:color w:val="000000" w:themeColor="text1"/>
                <w14:textFill>
                  <w14:solidFill>
                    <w14:schemeClr w14:val="tx1"/>
                  </w14:solidFill>
                </w14:textFill>
              </w:rPr>
            </w:pPr>
            <w:r>
              <w:rPr>
                <w:color w:val="000000" w:themeColor="text1"/>
                <w14:textFill>
                  <w14:solidFill>
                    <w14:schemeClr w14:val="tx1"/>
                  </w14:solidFill>
                </w14:textFill>
              </w:rPr>
              <w:t>450Pa（风速＜1.0m/s；床厚20cm）</w:t>
            </w:r>
          </w:p>
        </w:tc>
      </w:tr>
      <w:tr w14:paraId="596D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tcPr>
          <w:p w14:paraId="33C30BB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装填量</w:t>
            </w:r>
          </w:p>
        </w:tc>
        <w:tc>
          <w:tcPr>
            <w:tcW w:w="3987" w:type="pct"/>
            <w:gridSpan w:val="3"/>
          </w:tcPr>
          <w:p w14:paraId="5CA5A30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m³</w:t>
            </w:r>
          </w:p>
        </w:tc>
      </w:tr>
    </w:tbl>
    <w:p w14:paraId="5777BBA4">
      <w:pPr>
        <w:pStyle w:val="197"/>
        <w:rPr>
          <w:rFonts w:ascii="Times New Roman" w:hAnsi="Times New Roman"/>
          <w:color w:val="000000" w:themeColor="text1"/>
          <w:szCs w:val="24"/>
          <w14:textFill>
            <w14:solidFill>
              <w14:schemeClr w14:val="tx1"/>
            </w14:solidFill>
          </w14:textFill>
        </w:rPr>
      </w:pPr>
      <w:r>
        <w:rPr>
          <w:rFonts w:ascii="Times New Roman" w:hAnsi="Times New Roman"/>
          <w:b/>
          <w:bCs/>
          <w:color w:val="000000" w:themeColor="text1"/>
          <w14:textFill>
            <w14:solidFill>
              <w14:schemeClr w14:val="tx1"/>
            </w14:solidFill>
          </w14:textFill>
        </w:rPr>
        <w:t>8、</w:t>
      </w:r>
      <w:r>
        <w:rPr>
          <w:rFonts w:ascii="Times New Roman" w:hAnsi="Times New Roman"/>
          <w:b/>
          <w:bCs/>
          <w:color w:val="000000" w:themeColor="text1"/>
          <w:szCs w:val="24"/>
          <w14:textFill>
            <w14:solidFill>
              <w14:schemeClr w14:val="tx1"/>
            </w14:solidFill>
          </w14:textFill>
        </w:rPr>
        <w:t>SCR脱硝系统</w:t>
      </w:r>
    </w:p>
    <w:p w14:paraId="5B4AFE95">
      <w:pPr>
        <w:pStyle w:val="197"/>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为保证氮氧化物排放达标，在尾端设计SCR脱硝系统，烟气依次经过GGH、热风炉、SCR后再回到GGH，利用SCR出口的烟气加热活性炭吸附装置出口的烟气，再利用热风炉将烟气温度加热至SCR脱硝温度。</w:t>
      </w:r>
    </w:p>
    <w:p w14:paraId="7217FB6E">
      <w:pPr>
        <w:ind w:firstLine="480"/>
        <w:rPr>
          <w:color w:val="000000" w:themeColor="text1"/>
          <w14:textFill>
            <w14:solidFill>
              <w14:schemeClr w14:val="tx1"/>
            </w14:solidFill>
          </w14:textFill>
        </w:rPr>
      </w:pPr>
      <w:r>
        <w:rPr>
          <w:color w:val="000000" w:themeColor="text1"/>
          <w14:textFill>
            <w14:solidFill>
              <w14:schemeClr w14:val="tx1"/>
            </w14:solidFill>
          </w14:textFill>
        </w:rPr>
        <w:t>其原理是利用SCR脱硝出口的200℃的烟气对湿电出口70℃的烟气进行加热，SCR入口温度不足部分，通过热风炉补充热量。本次低温SCR 技术在金属氧化物催化剂作用下，以氨水作为还原剂，在温度160~250℃的范围内将NOx 还原成N</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和H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p>
    <w:p w14:paraId="6A6AD3F2">
      <w:pPr>
        <w:ind w:firstLine="480"/>
        <w:rPr>
          <w:b/>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876800" cy="1947545"/>
            <wp:effectExtent l="0" t="0" r="0" b="0"/>
            <wp:docPr id="180474010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40103" name="图片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76800" cy="1947545"/>
                    </a:xfrm>
                    <a:prstGeom prst="rect">
                      <a:avLst/>
                    </a:prstGeom>
                    <a:noFill/>
                    <a:ln>
                      <a:noFill/>
                    </a:ln>
                  </pic:spPr>
                </pic:pic>
              </a:graphicData>
            </a:graphic>
          </wp:inline>
        </w:drawing>
      </w:r>
    </w:p>
    <w:p w14:paraId="37C22F74">
      <w:pPr>
        <w:ind w:firstLine="480"/>
        <w:rPr>
          <w:color w:val="000000" w:themeColor="text1"/>
          <w14:textFill>
            <w14:solidFill>
              <w14:schemeClr w14:val="tx1"/>
            </w14:solidFill>
          </w14:textFill>
        </w:rPr>
      </w:pPr>
      <w:r>
        <w:rPr>
          <w:color w:val="000000" w:themeColor="text1"/>
          <w14:textFill>
            <w14:solidFill>
              <w14:schemeClr w14:val="tx1"/>
            </w14:solidFill>
          </w14:textFill>
        </w:rPr>
        <w:t>SCR主要反应方程式为：</w:t>
      </w:r>
    </w:p>
    <w:p w14:paraId="2FA336B4">
      <w:pPr>
        <w:ind w:firstLine="480"/>
        <w:rPr>
          <w:color w:val="000000" w:themeColor="text1"/>
          <w14:textFill>
            <w14:solidFill>
              <w14:schemeClr w14:val="tx1"/>
            </w14:solidFill>
          </w14:textFill>
        </w:rPr>
      </w:pPr>
      <w:r>
        <w:rPr>
          <w:color w:val="000000" w:themeColor="text1"/>
          <w14:textFill>
            <w14:solidFill>
              <w14:schemeClr w14:val="tx1"/>
            </w14:solidFill>
          </w14:textFill>
        </w:rPr>
        <w:t>4NH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+4NO+O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─&gt;4N</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+6H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p>
    <w:p w14:paraId="23766EC2">
      <w:pPr>
        <w:ind w:firstLine="480"/>
        <w:rPr>
          <w:color w:val="000000" w:themeColor="text1"/>
          <w14:textFill>
            <w14:solidFill>
              <w14:schemeClr w14:val="tx1"/>
            </w14:solidFill>
          </w14:textFill>
        </w:rPr>
      </w:pPr>
      <w:r>
        <w:rPr>
          <w:color w:val="000000" w:themeColor="text1"/>
          <w14:textFill>
            <w14:solidFill>
              <w14:schemeClr w14:val="tx1"/>
            </w14:solidFill>
          </w14:textFill>
        </w:rPr>
        <w:t>8NH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+6NO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 ─&gt;7N</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+12H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p>
    <w:p w14:paraId="1183DA60">
      <w:pPr>
        <w:ind w:firstLine="480"/>
        <w:rPr>
          <w:color w:val="000000" w:themeColor="text1"/>
          <w14:textFill>
            <w14:solidFill>
              <w14:schemeClr w14:val="tx1"/>
            </w14:solidFill>
          </w14:textFill>
        </w:rPr>
      </w:pPr>
      <w:r>
        <w:rPr>
          <w:color w:val="000000" w:themeColor="text1"/>
          <w14:textFill>
            <w14:solidFill>
              <w14:schemeClr w14:val="tx1"/>
            </w14:solidFill>
          </w14:textFill>
        </w:rPr>
        <w:t>通过采用合适的催化剂，上述反应可以在低温160℃~250℃的温度范围内有效进行，可以获得高达80%～95%的NOx 脱除效率。</w:t>
      </w:r>
    </w:p>
    <w:p w14:paraId="0A5D5CCF">
      <w:pPr>
        <w:ind w:firstLine="480"/>
        <w:rPr>
          <w:color w:val="000000" w:themeColor="text1"/>
          <w14:textFill>
            <w14:solidFill>
              <w14:schemeClr w14:val="tx1"/>
            </w14:solidFill>
          </w14:textFill>
        </w:rPr>
      </w:pPr>
      <w:r>
        <w:rPr>
          <w:color w:val="000000" w:themeColor="text1"/>
          <w14:textFill>
            <w14:solidFill>
              <w14:schemeClr w14:val="tx1"/>
            </w14:solidFill>
          </w14:textFill>
        </w:rPr>
        <w:t>低温SCR工艺系统主要由脱硝反应器、烟道系统、氨水储存供应系统及管路系统、氨水喷射系统、吹灰系统等组成。根据烟气氮氧化物浓度、氮氧化物脱除率、烟气温度、烟气杂质成分（烟尘、焦油等）及催化剂期望寿命，合理选择催化剂，并对反应器、烟道流场、氨/烟气混合系统等进行优化设计，合理布局。</w:t>
      </w:r>
    </w:p>
    <w:p w14:paraId="458887F2">
      <w:pPr>
        <w:pStyle w:val="117"/>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t>SCR脱硝装置参数一览表</w:t>
      </w:r>
    </w:p>
    <w:tbl>
      <w:tblPr>
        <w:tblStyle w:val="7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4912"/>
        <w:gridCol w:w="1472"/>
        <w:gridCol w:w="2100"/>
      </w:tblGrid>
      <w:tr w14:paraId="3313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3ABE3310">
            <w:pPr>
              <w:pStyle w:val="109"/>
              <w:rPr>
                <w:color w:val="000000" w:themeColor="text1"/>
                <w14:textFill>
                  <w14:solidFill>
                    <w14:schemeClr w14:val="tx1"/>
                  </w14:solidFill>
                </w14:textFill>
              </w:rPr>
            </w:pPr>
            <w:r>
              <w:rPr>
                <w:color w:val="000000" w:themeColor="text1"/>
                <w14:textFill>
                  <w14:solidFill>
                    <w14:schemeClr w14:val="tx1"/>
                  </w14:solidFill>
                </w14:textFill>
              </w:rPr>
              <w:t>序 号</w:t>
            </w:r>
          </w:p>
        </w:tc>
        <w:tc>
          <w:tcPr>
            <w:tcW w:w="2552" w:type="pct"/>
            <w:shd w:val="clear" w:color="000000" w:fill="FFFFFF"/>
            <w:vAlign w:val="center"/>
          </w:tcPr>
          <w:p w14:paraId="2DB9B9B1">
            <w:pPr>
              <w:pStyle w:val="109"/>
              <w:rPr>
                <w:color w:val="000000" w:themeColor="text1"/>
                <w14:textFill>
                  <w14:solidFill>
                    <w14:schemeClr w14:val="tx1"/>
                  </w14:solidFill>
                </w14:textFill>
              </w:rPr>
            </w:pPr>
            <w:r>
              <w:rPr>
                <w:color w:val="000000" w:themeColor="text1"/>
                <w14:textFill>
                  <w14:solidFill>
                    <w14:schemeClr w14:val="tx1"/>
                  </w14:solidFill>
                </w14:textFill>
              </w:rPr>
              <w:t>项 目</w:t>
            </w:r>
          </w:p>
        </w:tc>
        <w:tc>
          <w:tcPr>
            <w:tcW w:w="765" w:type="pct"/>
            <w:shd w:val="clear" w:color="000000" w:fill="FFFFFF"/>
            <w:vAlign w:val="center"/>
          </w:tcPr>
          <w:p w14:paraId="49157CB7">
            <w:pPr>
              <w:pStyle w:val="109"/>
              <w:rPr>
                <w:color w:val="000000" w:themeColor="text1"/>
                <w14:textFill>
                  <w14:solidFill>
                    <w14:schemeClr w14:val="tx1"/>
                  </w14:solidFill>
                </w14:textFill>
              </w:rPr>
            </w:pPr>
            <w:r>
              <w:rPr>
                <w:color w:val="000000" w:themeColor="text1"/>
                <w14:textFill>
                  <w14:solidFill>
                    <w14:schemeClr w14:val="tx1"/>
                  </w14:solidFill>
                </w14:textFill>
              </w:rPr>
              <w:t>单 位</w:t>
            </w:r>
          </w:p>
        </w:tc>
        <w:tc>
          <w:tcPr>
            <w:tcW w:w="1091" w:type="pct"/>
            <w:shd w:val="clear" w:color="000000" w:fill="FFFFFF"/>
            <w:vAlign w:val="center"/>
          </w:tcPr>
          <w:p w14:paraId="585E41E9">
            <w:pPr>
              <w:pStyle w:val="109"/>
              <w:rPr>
                <w:color w:val="000000" w:themeColor="text1"/>
                <w14:textFill>
                  <w14:solidFill>
                    <w14:schemeClr w14:val="tx1"/>
                  </w14:solidFill>
                </w14:textFill>
              </w:rPr>
            </w:pPr>
            <w:r>
              <w:rPr>
                <w:color w:val="000000" w:themeColor="text1"/>
                <w14:textFill>
                  <w14:solidFill>
                    <w14:schemeClr w14:val="tx1"/>
                  </w14:solidFill>
                </w14:textFill>
              </w:rPr>
              <w:t>数 值</w:t>
            </w:r>
          </w:p>
        </w:tc>
      </w:tr>
      <w:tr w14:paraId="41C5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099B2334">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52" w:type="pct"/>
            <w:shd w:val="clear" w:color="000000" w:fill="FFFFFF"/>
            <w:vAlign w:val="center"/>
          </w:tcPr>
          <w:p w14:paraId="1FA24ACC">
            <w:pPr>
              <w:pStyle w:val="109"/>
              <w:rPr>
                <w:color w:val="000000" w:themeColor="text1"/>
                <w14:textFill>
                  <w14:solidFill>
                    <w14:schemeClr w14:val="tx1"/>
                  </w14:solidFill>
                </w14:textFill>
              </w:rPr>
            </w:pPr>
            <w:r>
              <w:rPr>
                <w:color w:val="000000" w:themeColor="text1"/>
                <w14:textFill>
                  <w14:solidFill>
                    <w14:schemeClr w14:val="tx1"/>
                  </w14:solidFill>
                </w14:textFill>
              </w:rPr>
              <w:t>入口烟气流量</w:t>
            </w:r>
          </w:p>
        </w:tc>
        <w:tc>
          <w:tcPr>
            <w:tcW w:w="765" w:type="pct"/>
            <w:shd w:val="clear" w:color="000000" w:fill="FFFFFF"/>
            <w:vAlign w:val="center"/>
          </w:tcPr>
          <w:p w14:paraId="301C43D6">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091" w:type="pct"/>
            <w:shd w:val="clear" w:color="000000" w:fill="FFFFFF"/>
            <w:vAlign w:val="center"/>
          </w:tcPr>
          <w:p w14:paraId="47632668">
            <w:pPr>
              <w:pStyle w:val="109"/>
              <w:rPr>
                <w:color w:val="000000" w:themeColor="text1"/>
                <w14:textFill>
                  <w14:solidFill>
                    <w14:schemeClr w14:val="tx1"/>
                  </w14:solidFill>
                </w14:textFill>
              </w:rPr>
            </w:pPr>
            <w:r>
              <w:rPr>
                <w:color w:val="000000" w:themeColor="text1"/>
                <w14:textFill>
                  <w14:solidFill>
                    <w14:schemeClr w14:val="tx1"/>
                  </w14:solidFill>
                </w14:textFill>
              </w:rPr>
              <w:t>~3500</w:t>
            </w:r>
          </w:p>
        </w:tc>
      </w:tr>
      <w:tr w14:paraId="578C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49AB4DF9">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552" w:type="pct"/>
            <w:shd w:val="clear" w:color="000000" w:fill="FFFFFF"/>
            <w:vAlign w:val="center"/>
          </w:tcPr>
          <w:p w14:paraId="4BDB2445">
            <w:pPr>
              <w:pStyle w:val="109"/>
              <w:rPr>
                <w:color w:val="000000" w:themeColor="text1"/>
                <w14:textFill>
                  <w14:solidFill>
                    <w14:schemeClr w14:val="tx1"/>
                  </w14:solidFill>
                </w14:textFill>
              </w:rPr>
            </w:pPr>
            <w:r>
              <w:rPr>
                <w:color w:val="000000" w:themeColor="text1"/>
                <w14:textFill>
                  <w14:solidFill>
                    <w14:schemeClr w14:val="tx1"/>
                  </w14:solidFill>
                </w14:textFill>
              </w:rPr>
              <w:t>烟气进口温度（热源）</w:t>
            </w:r>
          </w:p>
        </w:tc>
        <w:tc>
          <w:tcPr>
            <w:tcW w:w="765" w:type="pct"/>
            <w:shd w:val="clear" w:color="000000" w:fill="FFFFFF"/>
            <w:vAlign w:val="center"/>
          </w:tcPr>
          <w:p w14:paraId="310B4A9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091" w:type="pct"/>
            <w:shd w:val="clear" w:color="000000" w:fill="FFFFFF"/>
            <w:vAlign w:val="center"/>
          </w:tcPr>
          <w:p w14:paraId="1939C021">
            <w:pPr>
              <w:pStyle w:val="109"/>
              <w:rPr>
                <w:color w:val="000000" w:themeColor="text1"/>
                <w14:textFill>
                  <w14:solidFill>
                    <w14:schemeClr w14:val="tx1"/>
                  </w14:solidFill>
                </w14:textFill>
              </w:rPr>
            </w:pPr>
            <w:r>
              <w:rPr>
                <w:color w:val="000000" w:themeColor="text1"/>
                <w14:textFill>
                  <w14:solidFill>
                    <w14:schemeClr w14:val="tx1"/>
                  </w14:solidFill>
                </w14:textFill>
              </w:rPr>
              <w:t>190</w:t>
            </w:r>
          </w:p>
        </w:tc>
      </w:tr>
      <w:tr w14:paraId="3ECD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3F1AA38B">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552" w:type="pct"/>
            <w:shd w:val="clear" w:color="000000" w:fill="FFFFFF"/>
            <w:vAlign w:val="center"/>
          </w:tcPr>
          <w:p w14:paraId="7C00D825">
            <w:pPr>
              <w:pStyle w:val="109"/>
              <w:rPr>
                <w:color w:val="000000" w:themeColor="text1"/>
                <w14:textFill>
                  <w14:solidFill>
                    <w14:schemeClr w14:val="tx1"/>
                  </w14:solidFill>
                </w14:textFill>
              </w:rPr>
            </w:pPr>
            <w:r>
              <w:rPr>
                <w:color w:val="000000" w:themeColor="text1"/>
                <w14:textFill>
                  <w14:solidFill>
                    <w14:schemeClr w14:val="tx1"/>
                  </w14:solidFill>
                </w14:textFill>
              </w:rPr>
              <w:t>烟气出口温度（热源）</w:t>
            </w:r>
          </w:p>
        </w:tc>
        <w:tc>
          <w:tcPr>
            <w:tcW w:w="765" w:type="pct"/>
            <w:shd w:val="clear" w:color="000000" w:fill="FFFFFF"/>
            <w:vAlign w:val="center"/>
          </w:tcPr>
          <w:p w14:paraId="4770FCA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091" w:type="pct"/>
            <w:shd w:val="clear" w:color="000000" w:fill="FFFFFF"/>
            <w:vAlign w:val="center"/>
          </w:tcPr>
          <w:p w14:paraId="549A4ECA">
            <w:pPr>
              <w:pStyle w:val="109"/>
              <w:rPr>
                <w:color w:val="000000" w:themeColor="text1"/>
                <w14:textFill>
                  <w14:solidFill>
                    <w14:schemeClr w14:val="tx1"/>
                  </w14:solidFill>
                </w14:textFill>
              </w:rPr>
            </w:pPr>
            <w:r>
              <w:rPr>
                <w:color w:val="000000" w:themeColor="text1"/>
                <w14:textFill>
                  <w14:solidFill>
                    <w14:schemeClr w14:val="tx1"/>
                  </w14:solidFill>
                </w14:textFill>
              </w:rPr>
              <w:t>130</w:t>
            </w:r>
          </w:p>
        </w:tc>
      </w:tr>
      <w:tr w14:paraId="074D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6D0DE6BF">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552" w:type="pct"/>
            <w:shd w:val="clear" w:color="000000" w:fill="FFFFFF"/>
            <w:vAlign w:val="center"/>
          </w:tcPr>
          <w:p w14:paraId="495A0E7E">
            <w:pPr>
              <w:pStyle w:val="109"/>
              <w:rPr>
                <w:color w:val="000000" w:themeColor="text1"/>
                <w14:textFill>
                  <w14:solidFill>
                    <w14:schemeClr w14:val="tx1"/>
                  </w14:solidFill>
                </w14:textFill>
              </w:rPr>
            </w:pPr>
            <w:r>
              <w:rPr>
                <w:color w:val="000000" w:themeColor="text1"/>
                <w14:textFill>
                  <w14:solidFill>
                    <w14:schemeClr w14:val="tx1"/>
                  </w14:solidFill>
                </w14:textFill>
              </w:rPr>
              <w:t>烟气进口温度（冷源）</w:t>
            </w:r>
          </w:p>
        </w:tc>
        <w:tc>
          <w:tcPr>
            <w:tcW w:w="765" w:type="pct"/>
            <w:shd w:val="clear" w:color="000000" w:fill="FFFFFF"/>
            <w:vAlign w:val="center"/>
          </w:tcPr>
          <w:p w14:paraId="1EEAE13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091" w:type="pct"/>
            <w:shd w:val="clear" w:color="000000" w:fill="FFFFFF"/>
            <w:vAlign w:val="center"/>
          </w:tcPr>
          <w:p w14:paraId="33CE2ACF">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r>
      <w:tr w14:paraId="4A25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32EE25D8">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2552" w:type="pct"/>
            <w:shd w:val="clear" w:color="000000" w:fill="FFFFFF"/>
            <w:vAlign w:val="center"/>
          </w:tcPr>
          <w:p w14:paraId="752E979F">
            <w:pPr>
              <w:pStyle w:val="109"/>
              <w:rPr>
                <w:color w:val="000000" w:themeColor="text1"/>
                <w14:textFill>
                  <w14:solidFill>
                    <w14:schemeClr w14:val="tx1"/>
                  </w14:solidFill>
                </w14:textFill>
              </w:rPr>
            </w:pPr>
            <w:r>
              <w:rPr>
                <w:color w:val="000000" w:themeColor="text1"/>
                <w14:textFill>
                  <w14:solidFill>
                    <w14:schemeClr w14:val="tx1"/>
                  </w14:solidFill>
                </w14:textFill>
              </w:rPr>
              <w:t>烟气出口温度（冷源）</w:t>
            </w:r>
          </w:p>
        </w:tc>
        <w:tc>
          <w:tcPr>
            <w:tcW w:w="765" w:type="pct"/>
            <w:shd w:val="clear" w:color="000000" w:fill="FFFFFF"/>
            <w:vAlign w:val="center"/>
          </w:tcPr>
          <w:p w14:paraId="177BABE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091" w:type="pct"/>
            <w:shd w:val="clear" w:color="000000" w:fill="FFFFFF"/>
            <w:vAlign w:val="center"/>
          </w:tcPr>
          <w:p w14:paraId="7E7E30DA">
            <w:pPr>
              <w:pStyle w:val="109"/>
              <w:rPr>
                <w:color w:val="000000" w:themeColor="text1"/>
                <w14:textFill>
                  <w14:solidFill>
                    <w14:schemeClr w14:val="tx1"/>
                  </w14:solidFill>
                </w14:textFill>
              </w:rPr>
            </w:pPr>
            <w:r>
              <w:rPr>
                <w:color w:val="000000" w:themeColor="text1"/>
                <w14:textFill>
                  <w14:solidFill>
                    <w14:schemeClr w14:val="tx1"/>
                  </w14:solidFill>
                </w14:textFill>
              </w:rPr>
              <w:t>125</w:t>
            </w:r>
          </w:p>
        </w:tc>
      </w:tr>
      <w:tr w14:paraId="7A7C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0B319A0C">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2552" w:type="pct"/>
            <w:shd w:val="clear" w:color="000000" w:fill="FFFFFF"/>
            <w:vAlign w:val="center"/>
          </w:tcPr>
          <w:p w14:paraId="08EF695F">
            <w:pPr>
              <w:pStyle w:val="109"/>
              <w:rPr>
                <w:color w:val="000000" w:themeColor="text1"/>
                <w14:textFill>
                  <w14:solidFill>
                    <w14:schemeClr w14:val="tx1"/>
                  </w14:solidFill>
                </w14:textFill>
              </w:rPr>
            </w:pPr>
            <w:r>
              <w:rPr>
                <w:color w:val="000000" w:themeColor="text1"/>
                <w14:textFill>
                  <w14:solidFill>
                    <w14:schemeClr w14:val="tx1"/>
                  </w14:solidFill>
                </w14:textFill>
              </w:rPr>
              <w:t>换热面积</w:t>
            </w:r>
          </w:p>
        </w:tc>
        <w:tc>
          <w:tcPr>
            <w:tcW w:w="765" w:type="pct"/>
            <w:shd w:val="clear" w:color="000000" w:fill="FFFFFF"/>
            <w:vAlign w:val="center"/>
          </w:tcPr>
          <w:p w14:paraId="63AA1F07">
            <w:pPr>
              <w:pStyle w:val="109"/>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p>
        </w:tc>
        <w:tc>
          <w:tcPr>
            <w:tcW w:w="1091" w:type="pct"/>
            <w:shd w:val="clear" w:color="000000" w:fill="FFFFFF"/>
            <w:vAlign w:val="center"/>
          </w:tcPr>
          <w:p w14:paraId="10752E41">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r>
      <w:tr w14:paraId="57AB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0B5E47B7">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2552" w:type="pct"/>
            <w:shd w:val="clear" w:color="000000" w:fill="FFFFFF"/>
            <w:vAlign w:val="center"/>
          </w:tcPr>
          <w:p w14:paraId="3AF1F7D8">
            <w:pPr>
              <w:pStyle w:val="109"/>
              <w:rPr>
                <w:color w:val="000000" w:themeColor="text1"/>
                <w14:textFill>
                  <w14:solidFill>
                    <w14:schemeClr w14:val="tx1"/>
                  </w14:solidFill>
                </w14:textFill>
              </w:rPr>
            </w:pPr>
            <w:r>
              <w:rPr>
                <w:color w:val="000000" w:themeColor="text1"/>
                <w14:textFill>
                  <w14:solidFill>
                    <w14:schemeClr w14:val="tx1"/>
                  </w14:solidFill>
                </w14:textFill>
              </w:rPr>
              <w:t>天然气（热风炉）</w:t>
            </w:r>
          </w:p>
        </w:tc>
        <w:tc>
          <w:tcPr>
            <w:tcW w:w="765" w:type="pct"/>
            <w:shd w:val="clear" w:color="000000" w:fill="FFFFFF"/>
            <w:vAlign w:val="center"/>
          </w:tcPr>
          <w:p w14:paraId="6FBDF46E">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091" w:type="pct"/>
            <w:shd w:val="clear" w:color="000000" w:fill="FFFFFF"/>
            <w:vAlign w:val="center"/>
          </w:tcPr>
          <w:p w14:paraId="65570D6E">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r>
      <w:tr w14:paraId="1F6B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5A91470E">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2552" w:type="pct"/>
            <w:shd w:val="clear" w:color="000000" w:fill="FFFFFF"/>
            <w:vAlign w:val="center"/>
          </w:tcPr>
          <w:p w14:paraId="125FC39F">
            <w:pPr>
              <w:pStyle w:val="109"/>
              <w:rPr>
                <w:color w:val="000000" w:themeColor="text1"/>
                <w14:textFill>
                  <w14:solidFill>
                    <w14:schemeClr w14:val="tx1"/>
                  </w14:solidFill>
                </w14:textFill>
              </w:rPr>
            </w:pPr>
            <w:r>
              <w:rPr>
                <w:color w:val="000000" w:themeColor="text1"/>
                <w14:textFill>
                  <w14:solidFill>
                    <w14:schemeClr w14:val="tx1"/>
                  </w14:solidFill>
                </w14:textFill>
              </w:rPr>
              <w:t>出口烟气流量</w:t>
            </w:r>
          </w:p>
        </w:tc>
        <w:tc>
          <w:tcPr>
            <w:tcW w:w="765" w:type="pct"/>
            <w:shd w:val="clear" w:color="000000" w:fill="FFFFFF"/>
            <w:vAlign w:val="center"/>
          </w:tcPr>
          <w:p w14:paraId="7EE074F0">
            <w:pPr>
              <w:pStyle w:val="109"/>
              <w:rPr>
                <w:color w:val="000000" w:themeColor="text1"/>
                <w14:textFill>
                  <w14:solidFill>
                    <w14:schemeClr w14:val="tx1"/>
                  </w14:solidFill>
                </w14:textFill>
              </w:rPr>
            </w:pPr>
            <w:r>
              <w:rPr>
                <w:color w:val="000000" w:themeColor="text1"/>
                <w14:textFill>
                  <w14:solidFill>
                    <w14:schemeClr w14:val="tx1"/>
                  </w14:solidFill>
                </w14:textFill>
              </w:rPr>
              <w:t>Nm³ /h</w:t>
            </w:r>
          </w:p>
        </w:tc>
        <w:tc>
          <w:tcPr>
            <w:tcW w:w="1091" w:type="pct"/>
            <w:shd w:val="clear" w:color="000000" w:fill="FFFFFF"/>
            <w:vAlign w:val="center"/>
          </w:tcPr>
          <w:p w14:paraId="03F314A6">
            <w:pPr>
              <w:pStyle w:val="109"/>
              <w:rPr>
                <w:color w:val="000000" w:themeColor="text1"/>
                <w14:textFill>
                  <w14:solidFill>
                    <w14:schemeClr w14:val="tx1"/>
                  </w14:solidFill>
                </w14:textFill>
              </w:rPr>
            </w:pPr>
            <w:r>
              <w:rPr>
                <w:color w:val="000000" w:themeColor="text1"/>
                <w14:textFill>
                  <w14:solidFill>
                    <w14:schemeClr w14:val="tx1"/>
                  </w14:solidFill>
                </w14:textFill>
              </w:rPr>
              <w:t>~3600</w:t>
            </w:r>
          </w:p>
        </w:tc>
      </w:tr>
      <w:tr w14:paraId="02E0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09CB881B">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2552" w:type="pct"/>
            <w:shd w:val="clear" w:color="000000" w:fill="FFFFFF"/>
            <w:vAlign w:val="center"/>
          </w:tcPr>
          <w:p w14:paraId="60311C31">
            <w:pPr>
              <w:pStyle w:val="109"/>
              <w:rPr>
                <w:color w:val="000000" w:themeColor="text1"/>
                <w14:textFill>
                  <w14:solidFill>
                    <w14:schemeClr w14:val="tx1"/>
                  </w14:solidFill>
                </w14:textFill>
              </w:rPr>
            </w:pPr>
            <w:r>
              <w:rPr>
                <w:color w:val="000000" w:themeColor="text1"/>
                <w14:textFill>
                  <w14:solidFill>
                    <w14:schemeClr w14:val="tx1"/>
                  </w14:solidFill>
                </w14:textFill>
              </w:rPr>
              <w:t>进口NOx量</w:t>
            </w:r>
          </w:p>
        </w:tc>
        <w:tc>
          <w:tcPr>
            <w:tcW w:w="765" w:type="pct"/>
            <w:shd w:val="clear" w:color="000000" w:fill="FFFFFF"/>
            <w:vAlign w:val="center"/>
          </w:tcPr>
          <w:p w14:paraId="57138055">
            <w:pPr>
              <w:pStyle w:val="109"/>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1091" w:type="pct"/>
            <w:shd w:val="clear" w:color="000000" w:fill="FFFFFF"/>
            <w:vAlign w:val="center"/>
          </w:tcPr>
          <w:p w14:paraId="222F1260">
            <w:pPr>
              <w:pStyle w:val="109"/>
              <w:rPr>
                <w:color w:val="000000" w:themeColor="text1"/>
                <w14:textFill>
                  <w14:solidFill>
                    <w14:schemeClr w14:val="tx1"/>
                  </w14:solidFill>
                </w14:textFill>
              </w:rPr>
            </w:pPr>
            <w:r>
              <w:rPr>
                <w:color w:val="000000" w:themeColor="text1"/>
                <w14:textFill>
                  <w14:solidFill>
                    <w14:schemeClr w14:val="tx1"/>
                  </w14:solidFill>
                </w14:textFill>
              </w:rPr>
              <w:t>2.96</w:t>
            </w:r>
          </w:p>
        </w:tc>
      </w:tr>
      <w:tr w14:paraId="7C7D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7FE73DAE">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552" w:type="pct"/>
            <w:shd w:val="clear" w:color="000000" w:fill="FFFFFF"/>
            <w:vAlign w:val="center"/>
          </w:tcPr>
          <w:p w14:paraId="6536416F">
            <w:pPr>
              <w:pStyle w:val="109"/>
              <w:rPr>
                <w:color w:val="000000" w:themeColor="text1"/>
                <w14:textFill>
                  <w14:solidFill>
                    <w14:schemeClr w14:val="tx1"/>
                  </w14:solidFill>
                </w14:textFill>
              </w:rPr>
            </w:pPr>
            <w:r>
              <w:rPr>
                <w:color w:val="000000" w:themeColor="text1"/>
                <w14:textFill>
                  <w14:solidFill>
                    <w14:schemeClr w14:val="tx1"/>
                  </w14:solidFill>
                </w14:textFill>
              </w:rPr>
              <w:t>脱硝效率</w:t>
            </w:r>
          </w:p>
        </w:tc>
        <w:tc>
          <w:tcPr>
            <w:tcW w:w="765" w:type="pct"/>
            <w:shd w:val="clear" w:color="000000" w:fill="FFFFFF"/>
            <w:vAlign w:val="center"/>
          </w:tcPr>
          <w:p w14:paraId="6D792E9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091" w:type="pct"/>
            <w:shd w:val="clear" w:color="000000" w:fill="FFFFFF"/>
            <w:vAlign w:val="center"/>
          </w:tcPr>
          <w:p w14:paraId="5CFD4CF1">
            <w:pPr>
              <w:pStyle w:val="109"/>
              <w:rPr>
                <w:color w:val="000000" w:themeColor="text1"/>
                <w14:textFill>
                  <w14:solidFill>
                    <w14:schemeClr w14:val="tx1"/>
                  </w14:solidFill>
                </w14:textFill>
              </w:rPr>
            </w:pPr>
            <w:r>
              <w:rPr>
                <w:color w:val="000000" w:themeColor="text1"/>
                <w14:textFill>
                  <w14:solidFill>
                    <w14:schemeClr w14:val="tx1"/>
                  </w14:solidFill>
                </w14:textFill>
              </w:rPr>
              <w:t>＞90</w:t>
            </w:r>
          </w:p>
        </w:tc>
      </w:tr>
      <w:tr w14:paraId="5305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7A132369">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2552" w:type="pct"/>
            <w:shd w:val="clear" w:color="000000" w:fill="FFFFFF"/>
            <w:vAlign w:val="center"/>
          </w:tcPr>
          <w:p w14:paraId="4B425BAB">
            <w:pPr>
              <w:pStyle w:val="109"/>
              <w:rPr>
                <w:color w:val="000000" w:themeColor="text1"/>
                <w14:textFill>
                  <w14:solidFill>
                    <w14:schemeClr w14:val="tx1"/>
                  </w14:solidFill>
                </w14:textFill>
              </w:rPr>
            </w:pPr>
            <w:r>
              <w:rPr>
                <w:color w:val="000000" w:themeColor="text1"/>
                <w14:textFill>
                  <w14:solidFill>
                    <w14:schemeClr w14:val="tx1"/>
                  </w14:solidFill>
                </w14:textFill>
              </w:rPr>
              <w:t>进口NOx浓度</w:t>
            </w:r>
          </w:p>
        </w:tc>
        <w:tc>
          <w:tcPr>
            <w:tcW w:w="765" w:type="pct"/>
            <w:shd w:val="clear" w:color="000000" w:fill="FFFFFF"/>
            <w:vAlign w:val="center"/>
          </w:tcPr>
          <w:p w14:paraId="4BC397F2">
            <w:pPr>
              <w:pStyle w:val="109"/>
              <w:rPr>
                <w:color w:val="000000" w:themeColor="text1"/>
                <w14:textFill>
                  <w14:solidFill>
                    <w14:schemeClr w14:val="tx1"/>
                  </w14:solidFill>
                </w14:textFill>
              </w:rPr>
            </w:pPr>
            <w:r>
              <w:rPr>
                <w:color w:val="000000" w:themeColor="text1"/>
                <w14:textFill>
                  <w14:solidFill>
                    <w14:schemeClr w14:val="tx1"/>
                  </w14:solidFill>
                </w14:textFill>
              </w:rPr>
              <w:t>mg/m³</w:t>
            </w:r>
          </w:p>
        </w:tc>
        <w:tc>
          <w:tcPr>
            <w:tcW w:w="1091" w:type="pct"/>
            <w:shd w:val="clear" w:color="000000" w:fill="FFFFFF"/>
            <w:vAlign w:val="center"/>
          </w:tcPr>
          <w:p w14:paraId="29A8FD2D">
            <w:pPr>
              <w:pStyle w:val="109"/>
              <w:rPr>
                <w:color w:val="000000" w:themeColor="text1"/>
                <w14:textFill>
                  <w14:solidFill>
                    <w14:schemeClr w14:val="tx1"/>
                  </w14:solidFill>
                </w14:textFill>
              </w:rPr>
            </w:pPr>
            <w:r>
              <w:rPr>
                <w:color w:val="000000" w:themeColor="text1"/>
                <w14:textFill>
                  <w14:solidFill>
                    <w14:schemeClr w14:val="tx1"/>
                  </w14:solidFill>
                </w14:textFill>
              </w:rPr>
              <w:t>＜850</w:t>
            </w:r>
          </w:p>
        </w:tc>
      </w:tr>
      <w:tr w14:paraId="6D83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125FC0F6">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2552" w:type="pct"/>
            <w:shd w:val="clear" w:color="000000" w:fill="FFFFFF"/>
            <w:vAlign w:val="center"/>
          </w:tcPr>
          <w:p w14:paraId="7E7A5B54">
            <w:pPr>
              <w:pStyle w:val="109"/>
              <w:rPr>
                <w:color w:val="000000" w:themeColor="text1"/>
                <w14:textFill>
                  <w14:solidFill>
                    <w14:schemeClr w14:val="tx1"/>
                  </w14:solidFill>
                </w14:textFill>
              </w:rPr>
            </w:pPr>
            <w:r>
              <w:rPr>
                <w:color w:val="000000" w:themeColor="text1"/>
                <w14:textFill>
                  <w14:solidFill>
                    <w14:schemeClr w14:val="tx1"/>
                  </w14:solidFill>
                </w14:textFill>
              </w:rPr>
              <w:t>出口NOx浓度</w:t>
            </w:r>
          </w:p>
        </w:tc>
        <w:tc>
          <w:tcPr>
            <w:tcW w:w="765" w:type="pct"/>
            <w:shd w:val="clear" w:color="000000" w:fill="FFFFFF"/>
            <w:vAlign w:val="center"/>
          </w:tcPr>
          <w:p w14:paraId="370EAE09">
            <w:pPr>
              <w:pStyle w:val="109"/>
              <w:rPr>
                <w:color w:val="000000" w:themeColor="text1"/>
                <w14:textFill>
                  <w14:solidFill>
                    <w14:schemeClr w14:val="tx1"/>
                  </w14:solidFill>
                </w14:textFill>
              </w:rPr>
            </w:pPr>
            <w:r>
              <w:rPr>
                <w:color w:val="000000" w:themeColor="text1"/>
                <w14:textFill>
                  <w14:solidFill>
                    <w14:schemeClr w14:val="tx1"/>
                  </w14:solidFill>
                </w14:textFill>
              </w:rPr>
              <w:t>mg/m³</w:t>
            </w:r>
          </w:p>
        </w:tc>
        <w:tc>
          <w:tcPr>
            <w:tcW w:w="1091" w:type="pct"/>
            <w:shd w:val="clear" w:color="000000" w:fill="FFFFFF"/>
            <w:vAlign w:val="center"/>
          </w:tcPr>
          <w:p w14:paraId="4937674F">
            <w:pPr>
              <w:pStyle w:val="109"/>
              <w:rPr>
                <w:color w:val="000000" w:themeColor="text1"/>
                <w14:textFill>
                  <w14:solidFill>
                    <w14:schemeClr w14:val="tx1"/>
                  </w14:solidFill>
                </w14:textFill>
              </w:rPr>
            </w:pPr>
            <w:r>
              <w:rPr>
                <w:color w:val="000000" w:themeColor="text1"/>
                <w14:textFill>
                  <w14:solidFill>
                    <w14:schemeClr w14:val="tx1"/>
                  </w14:solidFill>
                </w14:textFill>
              </w:rPr>
              <w:t>＜85</w:t>
            </w:r>
          </w:p>
        </w:tc>
      </w:tr>
      <w:tr w14:paraId="3C89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1" w:type="pct"/>
            <w:shd w:val="clear" w:color="000000" w:fill="FFFFFF"/>
            <w:vAlign w:val="center"/>
          </w:tcPr>
          <w:p w14:paraId="5C39D27B">
            <w:pPr>
              <w:pStyle w:val="10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2552" w:type="pct"/>
            <w:shd w:val="clear" w:color="000000" w:fill="FFFFFF"/>
            <w:vAlign w:val="center"/>
          </w:tcPr>
          <w:p w14:paraId="314CA45B">
            <w:pPr>
              <w:pStyle w:val="109"/>
              <w:rPr>
                <w:color w:val="000000" w:themeColor="text1"/>
                <w14:textFill>
                  <w14:solidFill>
                    <w14:schemeClr w14:val="tx1"/>
                  </w14:solidFill>
                </w14:textFill>
              </w:rPr>
            </w:pPr>
            <w:r>
              <w:rPr>
                <w:color w:val="000000" w:themeColor="text1"/>
                <w14:textFill>
                  <w14:solidFill>
                    <w14:schemeClr w14:val="tx1"/>
                  </w14:solidFill>
                </w14:textFill>
              </w:rPr>
              <w:t>催化剂用量</w:t>
            </w:r>
          </w:p>
        </w:tc>
        <w:tc>
          <w:tcPr>
            <w:tcW w:w="765" w:type="pct"/>
            <w:shd w:val="clear" w:color="000000" w:fill="FFFFFF"/>
            <w:vAlign w:val="center"/>
          </w:tcPr>
          <w:p w14:paraId="644A1192">
            <w:pPr>
              <w:pStyle w:val="109"/>
              <w:rPr>
                <w:color w:val="000000" w:themeColor="text1"/>
                <w14:textFill>
                  <w14:solidFill>
                    <w14:schemeClr w14:val="tx1"/>
                  </w14:solidFill>
                </w14:textFill>
              </w:rPr>
            </w:pPr>
            <w:r>
              <w:rPr>
                <w:color w:val="000000" w:themeColor="text1"/>
                <w14:textFill>
                  <w14:solidFill>
                    <w14:schemeClr w14:val="tx1"/>
                  </w14:solidFill>
                </w14:textFill>
              </w:rPr>
              <w:t>m³</w:t>
            </w:r>
          </w:p>
        </w:tc>
        <w:tc>
          <w:tcPr>
            <w:tcW w:w="1091" w:type="pct"/>
            <w:shd w:val="clear" w:color="000000" w:fill="FFFFFF"/>
            <w:vAlign w:val="center"/>
          </w:tcPr>
          <w:p w14:paraId="0890F811">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bl>
    <w:p w14:paraId="22CB6403">
      <w:pPr>
        <w:pStyle w:val="197"/>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9、烟囱</w:t>
      </w:r>
    </w:p>
    <w:p w14:paraId="38C2C6DF">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采用玻璃钢烟囱+塔架，高度为50m，出口直径400mm。烟囱顶部设置避雷针。</w:t>
      </w:r>
    </w:p>
    <w:p w14:paraId="1631AB9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烟囱设计参数</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3322"/>
        <w:gridCol w:w="1604"/>
        <w:gridCol w:w="3440"/>
      </w:tblGrid>
      <w:tr w14:paraId="4D3C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212CE1D0">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25" w:type="pct"/>
            <w:vAlign w:val="center"/>
          </w:tcPr>
          <w:p w14:paraId="51DFAE05">
            <w:pPr>
              <w:pStyle w:val="109"/>
              <w:rPr>
                <w:color w:val="000000" w:themeColor="text1"/>
                <w14:textFill>
                  <w14:solidFill>
                    <w14:schemeClr w14:val="tx1"/>
                  </w14:solidFill>
                </w14:textFill>
              </w:rPr>
            </w:pPr>
            <w:r>
              <w:rPr>
                <w:color w:val="000000" w:themeColor="text1"/>
                <w14:textFill>
                  <w14:solidFill>
                    <w14:schemeClr w14:val="tx1"/>
                  </w14:solidFill>
                </w14:textFill>
              </w:rPr>
              <w:t>名  称</w:t>
            </w:r>
          </w:p>
        </w:tc>
        <w:tc>
          <w:tcPr>
            <w:tcW w:w="833" w:type="pct"/>
            <w:vAlign w:val="center"/>
          </w:tcPr>
          <w:p w14:paraId="0D23DE45">
            <w:pPr>
              <w:pStyle w:val="109"/>
              <w:rPr>
                <w:color w:val="000000" w:themeColor="text1"/>
                <w14:textFill>
                  <w14:solidFill>
                    <w14:schemeClr w14:val="tx1"/>
                  </w14:solidFill>
                </w14:textFill>
              </w:rPr>
            </w:pPr>
            <w:r>
              <w:rPr>
                <w:color w:val="000000" w:themeColor="text1"/>
                <w14:textFill>
                  <w14:solidFill>
                    <w14:schemeClr w14:val="tx1"/>
                  </w14:solidFill>
                </w14:textFill>
              </w:rPr>
              <w:t>单  位</w:t>
            </w:r>
          </w:p>
        </w:tc>
        <w:tc>
          <w:tcPr>
            <w:tcW w:w="1786" w:type="pct"/>
            <w:vAlign w:val="center"/>
          </w:tcPr>
          <w:p w14:paraId="3412B87C">
            <w:pPr>
              <w:pStyle w:val="109"/>
              <w:rPr>
                <w:color w:val="000000" w:themeColor="text1"/>
                <w14:textFill>
                  <w14:solidFill>
                    <w14:schemeClr w14:val="tx1"/>
                  </w14:solidFill>
                </w14:textFill>
              </w:rPr>
            </w:pPr>
            <w:r>
              <w:rPr>
                <w:color w:val="000000" w:themeColor="text1"/>
                <w14:textFill>
                  <w14:solidFill>
                    <w14:schemeClr w14:val="tx1"/>
                  </w14:solidFill>
                </w14:textFill>
              </w:rPr>
              <w:t>数  据</w:t>
            </w:r>
          </w:p>
        </w:tc>
      </w:tr>
      <w:tr w14:paraId="63E5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1CB4A16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725" w:type="pct"/>
            <w:vAlign w:val="center"/>
          </w:tcPr>
          <w:p w14:paraId="58A17BCF">
            <w:pPr>
              <w:pStyle w:val="109"/>
              <w:rPr>
                <w:color w:val="000000" w:themeColor="text1"/>
                <w14:textFill>
                  <w14:solidFill>
                    <w14:schemeClr w14:val="tx1"/>
                  </w14:solidFill>
                </w14:textFill>
              </w:rPr>
            </w:pPr>
            <w:r>
              <w:rPr>
                <w:color w:val="000000" w:themeColor="text1"/>
                <w14:textFill>
                  <w14:solidFill>
                    <w14:schemeClr w14:val="tx1"/>
                  </w14:solidFill>
                </w14:textFill>
              </w:rPr>
              <w:t>烟囱高度</w:t>
            </w:r>
          </w:p>
        </w:tc>
        <w:tc>
          <w:tcPr>
            <w:tcW w:w="833" w:type="pct"/>
            <w:vAlign w:val="center"/>
          </w:tcPr>
          <w:p w14:paraId="46178A4B">
            <w:pPr>
              <w:pStyle w:val="109"/>
              <w:rPr>
                <w:color w:val="000000" w:themeColor="text1"/>
                <w14:textFill>
                  <w14:solidFill>
                    <w14:schemeClr w14:val="tx1"/>
                  </w14:solidFill>
                </w14:textFill>
              </w:rPr>
            </w:pPr>
            <w:r>
              <w:rPr>
                <w:color w:val="000000" w:themeColor="text1"/>
                <w14:textFill>
                  <w14:solidFill>
                    <w14:schemeClr w14:val="tx1"/>
                  </w14:solidFill>
                </w14:textFill>
              </w:rPr>
              <w:t>mm</w:t>
            </w:r>
          </w:p>
        </w:tc>
        <w:tc>
          <w:tcPr>
            <w:tcW w:w="1786" w:type="pct"/>
            <w:vAlign w:val="center"/>
          </w:tcPr>
          <w:p w14:paraId="10212DC6">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r>
      <w:tr w14:paraId="565B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00F127A9">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725" w:type="pct"/>
            <w:vAlign w:val="center"/>
          </w:tcPr>
          <w:p w14:paraId="3E8B3A6A">
            <w:pPr>
              <w:pStyle w:val="109"/>
              <w:rPr>
                <w:color w:val="000000" w:themeColor="text1"/>
                <w14:textFill>
                  <w14:solidFill>
                    <w14:schemeClr w14:val="tx1"/>
                  </w14:solidFill>
                </w14:textFill>
              </w:rPr>
            </w:pPr>
            <w:r>
              <w:rPr>
                <w:color w:val="000000" w:themeColor="text1"/>
                <w14:textFill>
                  <w14:solidFill>
                    <w14:schemeClr w14:val="tx1"/>
                  </w14:solidFill>
                </w14:textFill>
              </w:rPr>
              <w:t>烟囱出口直径</w:t>
            </w:r>
          </w:p>
        </w:tc>
        <w:tc>
          <w:tcPr>
            <w:tcW w:w="833" w:type="pct"/>
            <w:vAlign w:val="center"/>
          </w:tcPr>
          <w:p w14:paraId="7E4CBAF0">
            <w:pPr>
              <w:pStyle w:val="109"/>
              <w:rPr>
                <w:color w:val="000000" w:themeColor="text1"/>
                <w14:textFill>
                  <w14:solidFill>
                    <w14:schemeClr w14:val="tx1"/>
                  </w14:solidFill>
                </w14:textFill>
              </w:rPr>
            </w:pPr>
            <w:r>
              <w:rPr>
                <w:color w:val="000000" w:themeColor="text1"/>
                <w14:textFill>
                  <w14:solidFill>
                    <w14:schemeClr w14:val="tx1"/>
                  </w14:solidFill>
                </w14:textFill>
              </w:rPr>
              <w:t>mm</w:t>
            </w:r>
          </w:p>
        </w:tc>
        <w:tc>
          <w:tcPr>
            <w:tcW w:w="1786" w:type="pct"/>
            <w:vAlign w:val="center"/>
          </w:tcPr>
          <w:p w14:paraId="60AC8AF6">
            <w:pPr>
              <w:pStyle w:val="109"/>
              <w:rPr>
                <w:color w:val="000000" w:themeColor="text1"/>
                <w14:textFill>
                  <w14:solidFill>
                    <w14:schemeClr w14:val="tx1"/>
                  </w14:solidFill>
                </w14:textFill>
              </w:rPr>
            </w:pPr>
            <w:r>
              <w:rPr>
                <w:color w:val="000000" w:themeColor="text1"/>
                <w14:textFill>
                  <w14:solidFill>
                    <w14:schemeClr w14:val="tx1"/>
                  </w14:solidFill>
                </w14:textFill>
              </w:rPr>
              <w:t>￠400</w:t>
            </w:r>
          </w:p>
        </w:tc>
      </w:tr>
      <w:tr w14:paraId="75F5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201DF018">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725" w:type="pct"/>
            <w:vAlign w:val="center"/>
          </w:tcPr>
          <w:p w14:paraId="37909ED0">
            <w:pPr>
              <w:pStyle w:val="109"/>
              <w:rPr>
                <w:color w:val="000000" w:themeColor="text1"/>
                <w14:textFill>
                  <w14:solidFill>
                    <w14:schemeClr w14:val="tx1"/>
                  </w14:solidFill>
                </w14:textFill>
              </w:rPr>
            </w:pPr>
            <w:r>
              <w:rPr>
                <w:color w:val="000000" w:themeColor="text1"/>
                <w14:textFill>
                  <w14:solidFill>
                    <w14:schemeClr w14:val="tx1"/>
                  </w14:solidFill>
                </w14:textFill>
              </w:rPr>
              <w:t>出口烟气温度</w:t>
            </w:r>
          </w:p>
        </w:tc>
        <w:tc>
          <w:tcPr>
            <w:tcW w:w="833" w:type="pct"/>
            <w:vAlign w:val="center"/>
          </w:tcPr>
          <w:p w14:paraId="4229601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786" w:type="pct"/>
            <w:vAlign w:val="center"/>
          </w:tcPr>
          <w:p w14:paraId="4858139E">
            <w:pPr>
              <w:pStyle w:val="109"/>
              <w:rPr>
                <w:color w:val="000000" w:themeColor="text1"/>
                <w14:textFill>
                  <w14:solidFill>
                    <w14:schemeClr w14:val="tx1"/>
                  </w14:solidFill>
                </w14:textFill>
              </w:rPr>
            </w:pPr>
            <w:r>
              <w:rPr>
                <w:color w:val="000000" w:themeColor="text1"/>
                <w14:textFill>
                  <w14:solidFill>
                    <w14:schemeClr w14:val="tx1"/>
                  </w14:solidFill>
                </w14:textFill>
              </w:rPr>
              <w:t>45~55</w:t>
            </w:r>
          </w:p>
        </w:tc>
      </w:tr>
      <w:tr w14:paraId="7F08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14:paraId="64C67DFE">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725" w:type="pct"/>
            <w:vAlign w:val="center"/>
          </w:tcPr>
          <w:p w14:paraId="2DDC6625">
            <w:pPr>
              <w:pStyle w:val="109"/>
              <w:rPr>
                <w:color w:val="000000" w:themeColor="text1"/>
                <w14:textFill>
                  <w14:solidFill>
                    <w14:schemeClr w14:val="tx1"/>
                  </w14:solidFill>
                </w14:textFill>
              </w:rPr>
            </w:pPr>
            <w:r>
              <w:rPr>
                <w:color w:val="000000" w:themeColor="text1"/>
                <w14:textFill>
                  <w14:solidFill>
                    <w14:schemeClr w14:val="tx1"/>
                  </w14:solidFill>
                </w14:textFill>
              </w:rPr>
              <w:t>出口烟气量（最大）</w:t>
            </w:r>
          </w:p>
        </w:tc>
        <w:tc>
          <w:tcPr>
            <w:tcW w:w="833" w:type="pct"/>
            <w:vAlign w:val="center"/>
          </w:tcPr>
          <w:p w14:paraId="7B47705B">
            <w:pPr>
              <w:pStyle w:val="109"/>
              <w:rPr>
                <w:color w:val="000000" w:themeColor="text1"/>
                <w14:textFill>
                  <w14:solidFill>
                    <w14:schemeClr w14:val="tx1"/>
                  </w14:solidFill>
                </w14:textFill>
              </w:rPr>
            </w:pPr>
            <w:r>
              <w:rPr>
                <w:color w:val="000000" w:themeColor="text1"/>
                <w14:textFill>
                  <w14:solidFill>
                    <w14:schemeClr w14:val="tx1"/>
                  </w14:solidFill>
                </w14:textFill>
              </w:rPr>
              <w:t>Nm³/h</w:t>
            </w:r>
          </w:p>
        </w:tc>
        <w:tc>
          <w:tcPr>
            <w:tcW w:w="1786" w:type="pct"/>
            <w:vAlign w:val="center"/>
          </w:tcPr>
          <w:p w14:paraId="7EAE47D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00</w:t>
            </w:r>
          </w:p>
        </w:tc>
      </w:tr>
    </w:tbl>
    <w:p w14:paraId="3AA488EE">
      <w:pPr>
        <w:pStyle w:val="197"/>
        <w:rPr>
          <w:rFonts w:ascii="Times New Roman" w:hAnsi="Times New Roman"/>
          <w:b/>
          <w:bCs/>
          <w:color w:val="000000" w:themeColor="text1"/>
          <w:lang w:val="en-US"/>
          <w14:textFill>
            <w14:solidFill>
              <w14:schemeClr w14:val="tx1"/>
            </w14:solidFill>
          </w14:textFill>
        </w:rPr>
      </w:pPr>
      <w:r>
        <w:rPr>
          <w:rFonts w:ascii="Times New Roman" w:hAnsi="Times New Roman"/>
          <w:b/>
          <w:bCs/>
          <w:color w:val="000000" w:themeColor="text1"/>
          <w:lang w:val="en-US"/>
          <w14:textFill>
            <w14:solidFill>
              <w14:schemeClr w14:val="tx1"/>
            </w14:solidFill>
          </w14:textFill>
        </w:rPr>
        <w:t>9、助燃系统</w:t>
      </w:r>
    </w:p>
    <w:p w14:paraId="7014EC4C">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在热值不够的前提下，燃烧器的主要功能是补充废物焚烧热量，确保废物充分燃烧所需要的高温。燃料的消耗需满足耐火材料安装后的烘烤，更重要的是在焚烧炉启动前期，焚烧炉的点火预热和升温所需热能全部由辅助燃烧器承担。</w:t>
      </w:r>
    </w:p>
    <w:p w14:paraId="5A9DABC9">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（1）热解焙烧窑烧嘴</w:t>
      </w:r>
    </w:p>
    <w:p w14:paraId="6DD41934">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热解焙烧窑燃烧器由多个烧嘴组成，烧嘴均布在热解段外围，以天然气为燃料，天然气燃烧产生的烟气及燃烧火焰不与废盐接触，由单独的烟气管道排放，相当于天然气燃烧火焰为热解焙烧窑间接加热。</w:t>
      </w:r>
    </w:p>
    <w:p w14:paraId="7CD7E243">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（2）二燃室燃烧器</w:t>
      </w:r>
    </w:p>
    <w:p w14:paraId="20E751D3">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二燃室选用一台为比调式天然气燃烧器，安装在燃烧室上部的燃烧段上用于调节燃烧室温度；控制盘对点火过程进行自动化执行，操作人员不仅可以在就地手动启动点火，也可以在控制室远程启动，并且也可以通过程序根据二燃室内温度自动点火。</w:t>
      </w:r>
    </w:p>
    <w:p w14:paraId="2F834FB6">
      <w:pPr>
        <w:pStyle w:val="197"/>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燃烧器正常工作期间，点火控制盘对燃烧工况进行监视，发生燃烧不正常时，如火焰信号丢失，进行故障报警并自动关闭燃料供给，安全熄火，当外部联锁不成立时，点火控制盘接受控制系统信号，可自动安全熄火。</w:t>
      </w:r>
    </w:p>
    <w:p w14:paraId="5F1C193D">
      <w:pPr>
        <w:pStyle w:val="854"/>
        <w:tabs>
          <w:tab w:val="left" w:pos="1554"/>
        </w:tabs>
        <w:spacing w:line="360" w:lineRule="auto"/>
        <w:ind w:firstLine="482"/>
        <w:jc w:val="left"/>
        <w:rPr>
          <w:rFonts w:ascii="Times New Roman" w:hAnsi="Times New Roman"/>
          <w:b/>
          <w:color w:val="000000" w:themeColor="text1"/>
          <w:sz w:val="24"/>
          <w14:textFill>
            <w14:solidFill>
              <w14:schemeClr w14:val="tx1"/>
            </w14:solidFill>
          </w14:textFill>
        </w:rPr>
      </w:pPr>
      <w:bookmarkStart w:id="273" w:name="_Hlk62311141"/>
      <w:r>
        <w:rPr>
          <w:rFonts w:hint="eastAsia" w:ascii="Times New Roman" w:hAnsi="Times New Roman"/>
          <w:b/>
          <w:color w:val="000000" w:themeColor="text1"/>
          <w:sz w:val="24"/>
          <w14:textFill>
            <w14:solidFill>
              <w14:schemeClr w14:val="tx1"/>
            </w14:solidFill>
          </w14:textFill>
        </w:rPr>
        <w:t>10、</w:t>
      </w:r>
      <w:r>
        <w:rPr>
          <w:rFonts w:ascii="Times New Roman" w:hAnsi="Times New Roman"/>
          <w:b/>
          <w:color w:val="000000" w:themeColor="text1"/>
          <w:sz w:val="24"/>
          <w14:textFill>
            <w14:solidFill>
              <w14:schemeClr w14:val="tx1"/>
            </w14:solidFill>
          </w14:textFill>
        </w:rPr>
        <w:t>应急处置装置</w:t>
      </w:r>
    </w:p>
    <w:p w14:paraId="54010FDA">
      <w:pPr>
        <w:pStyle w:val="854"/>
        <w:tabs>
          <w:tab w:val="left" w:pos="1554"/>
        </w:tabs>
        <w:spacing w:line="360" w:lineRule="auto"/>
        <w:ind w:firstLine="480"/>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在二燃室顶部设置紧急泄压阀和排烟管道，其主要作用是当热解焙烧窑内出现爆燃或发生停电等意外情况时，紧急开启，使烟气紧急排出，避免设备爆炸及后续设备损害等恶性事故发生。紧急排放口平时维持气密，防止烟气直接散逸。</w:t>
      </w:r>
    </w:p>
    <w:p w14:paraId="47C9FE1A">
      <w:pPr>
        <w:pStyle w:val="854"/>
        <w:tabs>
          <w:tab w:val="left" w:pos="1554"/>
        </w:tabs>
        <w:spacing w:line="360" w:lineRule="auto"/>
        <w:ind w:firstLine="482"/>
        <w:jc w:val="left"/>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（11）烟气在线监测系统</w:t>
      </w:r>
    </w:p>
    <w:p w14:paraId="2B261878">
      <w:pPr>
        <w:pStyle w:val="854"/>
        <w:tabs>
          <w:tab w:val="left" w:pos="1554"/>
        </w:tabs>
        <w:spacing w:line="360" w:lineRule="auto"/>
        <w:ind w:firstLine="480"/>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经过净化后的烟气经引风机通过烟囱排入大气。本项目废盐设计处理能力为6.25t/h，烟囱高为50m，满足《危险废物焚烧污染控制标准》（GB18484-2020）中焚烧量≥2500kg/h时排气筒高度不小于50m 的要求。</w:t>
      </w:r>
    </w:p>
    <w:p w14:paraId="6F857215">
      <w:pPr>
        <w:pStyle w:val="854"/>
        <w:tabs>
          <w:tab w:val="left" w:pos="1554"/>
        </w:tabs>
        <w:spacing w:line="360" w:lineRule="auto"/>
        <w:ind w:firstLine="48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4"/>
          <w14:textFill>
            <w14:solidFill>
              <w14:schemeClr w14:val="tx1"/>
            </w14:solidFill>
          </w14:textFill>
        </w:rPr>
        <w:t>烟气在线监测系统采用直接抽取法，安装在烟囱取样口，测量信号进入系统计算机并在制室中进行监测和控制。监测参数的配置如下：烟气排放连续监测系统（CEMS）监测烟气量、SO</w:t>
      </w:r>
      <w:r>
        <w:rPr>
          <w:rFonts w:ascii="Times New Roman" w:hAnsi="Times New Roman"/>
          <w:color w:val="000000" w:themeColor="text1"/>
          <w:sz w:val="24"/>
          <w:vertAlign w:val="sub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、NOx、颗粒物、HCl、CO、O</w:t>
      </w:r>
      <w:r>
        <w:rPr>
          <w:rFonts w:ascii="Times New Roman" w:hAnsi="Times New Roman"/>
          <w:color w:val="000000" w:themeColor="text1"/>
          <w:sz w:val="24"/>
          <w:vertAlign w:val="sub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分析设备为操作全自动化，即包括校正程序，冷凝液排放等全自动控制。具有压力、温度补偿功能、当采样压力或大气压力波动、环境温度变化不至于影响仪表精度。所有分析设备的状态指示信号传到系统计算机中。</w:t>
      </w:r>
      <w:bookmarkEnd w:id="273"/>
    </w:p>
    <w:p w14:paraId="6D767C33">
      <w:pPr>
        <w:pStyle w:val="413"/>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本项目生产工艺流程及产污环节见图4</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-2，产污环节表见</w:t>
      </w:r>
      <w:r>
        <w:rPr>
          <w:rFonts w:hint="eastAsia" w:ascii="Times New Roman" w:hAnsi="Times New Roman" w:eastAsia="宋体" w:cs="Times New Roman"/>
          <w:color w:val="000000" w:themeColor="text1"/>
          <w14:textFill>
            <w14:solidFill>
              <w14:schemeClr w14:val="tx1"/>
            </w14:solidFill>
          </w14:textFill>
        </w:rPr>
        <w:t>下表</w:t>
      </w:r>
      <w:r>
        <w:rPr>
          <w:rFonts w:ascii="Times New Roman" w:hAnsi="Times New Roman" w:eastAsia="宋体" w:cs="Times New Roman"/>
          <w:color w:val="000000" w:themeColor="text1"/>
          <w14:textFill>
            <w14:solidFill>
              <w14:schemeClr w14:val="tx1"/>
            </w14:solidFill>
          </w14:textFill>
        </w:rPr>
        <w:t>。</w:t>
      </w:r>
    </w:p>
    <w:p w14:paraId="75879202">
      <w:pPr>
        <w:pStyle w:val="413"/>
        <w:spacing w:line="360" w:lineRule="auto"/>
        <w:ind w:firstLine="0" w:firstLineChars="0"/>
        <w:jc w:val="center"/>
        <w:rPr>
          <w:rFonts w:ascii="Times New Roman" w:hAnsi="Times New Roman" w:cs="Times New Roman"/>
          <w:color w:val="000000" w:themeColor="text1"/>
          <w14:textFill>
            <w14:solidFill>
              <w14:schemeClr w14:val="tx1"/>
            </w14:solidFill>
          </w14:textFill>
        </w:rPr>
        <w:sectPr>
          <w:type w:val="nextColumn"/>
          <w:pgSz w:w="11906" w:h="16838"/>
          <w:pgMar w:top="1418" w:right="1247" w:bottom="1418" w:left="1247" w:header="964" w:footer="964" w:gutter="0"/>
          <w:cols w:space="720" w:num="1"/>
          <w:titlePg/>
          <w:docGrid w:linePitch="286" w:charSpace="0"/>
        </w:sectPr>
      </w:pPr>
    </w:p>
    <w:p w14:paraId="6CF93CB4">
      <w:pPr>
        <w:pStyle w:val="413"/>
        <w:spacing w:line="36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object>
          <v:shape id="_x0000_i1026" o:spt="75" type="#_x0000_t75" style="height:609.75pt;width:467.25pt;" o:ole="t" filled="f" coordsize="21600,21600">
            <v:path/>
            <v:fill on="f" focussize="0,0"/>
            <v:stroke/>
            <v:imagedata r:id="rId45" o:title=""/>
            <o:lock v:ext="edit" aspectratio="t"/>
            <w10:wrap type="none"/>
            <w10:anchorlock/>
          </v:shape>
          <o:OLEObject Type="Embed" ProgID="Visio.Drawing.11" ShapeID="_x0000_i1026" DrawAspect="Content" ObjectID="_1468075726" r:id="rId44">
            <o:LockedField>false</o:LockedField>
          </o:OLEObject>
        </w:object>
      </w:r>
    </w:p>
    <w:p w14:paraId="309AA779">
      <w:pPr>
        <w:pStyle w:val="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本项目生产工艺及产污节点图</w:t>
      </w:r>
    </w:p>
    <w:p w14:paraId="38179DF5">
      <w:pPr>
        <w:ind w:firstLine="480"/>
        <w:jc w:val="center"/>
        <w:rPr>
          <w:rFonts w:eastAsia="黑体"/>
          <w:color w:val="000000" w:themeColor="text1"/>
          <w14:textFill>
            <w14:solidFill>
              <w14:schemeClr w14:val="tx1"/>
            </w14:solidFill>
          </w14:textFill>
        </w:rPr>
        <w:sectPr>
          <w:type w:val="nextColumn"/>
          <w:pgSz w:w="11907" w:h="16840"/>
          <w:pgMar w:top="1418" w:right="1247" w:bottom="1418" w:left="1247" w:header="964" w:footer="964" w:gutter="0"/>
          <w:cols w:space="720" w:num="1"/>
          <w:titlePg/>
          <w:docGrid w:linePitch="286" w:charSpace="0"/>
        </w:sectPr>
      </w:pPr>
    </w:p>
    <w:p w14:paraId="7D13810A">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产污环节及主要污染物、处理措施一览表</w:t>
      </w:r>
    </w:p>
    <w:tbl>
      <w:tblPr>
        <w:tblStyle w:val="76"/>
        <w:tblW w:w="50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762"/>
        <w:gridCol w:w="1730"/>
        <w:gridCol w:w="1470"/>
        <w:gridCol w:w="2315"/>
        <w:gridCol w:w="2753"/>
      </w:tblGrid>
      <w:tr w14:paraId="7214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04A4FF2">
            <w:pPr>
              <w:pStyle w:val="109"/>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392" w:type="pct"/>
            <w:vAlign w:val="center"/>
          </w:tcPr>
          <w:p w14:paraId="6DE9E5BB">
            <w:pPr>
              <w:pStyle w:val="109"/>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890" w:type="pct"/>
            <w:vAlign w:val="center"/>
          </w:tcPr>
          <w:p w14:paraId="411F29A6">
            <w:pPr>
              <w:pStyle w:val="109"/>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756" w:type="pct"/>
            <w:vAlign w:val="center"/>
          </w:tcPr>
          <w:p w14:paraId="638DA2BD">
            <w:pPr>
              <w:pStyle w:val="109"/>
              <w:rPr>
                <w:color w:val="000000" w:themeColor="text1"/>
                <w14:textFill>
                  <w14:solidFill>
                    <w14:schemeClr w14:val="tx1"/>
                  </w14:solidFill>
                </w14:textFill>
              </w:rPr>
            </w:pPr>
            <w:r>
              <w:rPr>
                <w:color w:val="000000" w:themeColor="text1"/>
                <w14:textFill>
                  <w14:solidFill>
                    <w14:schemeClr w14:val="tx1"/>
                  </w14:solidFill>
                </w14:textFill>
              </w:rPr>
              <w:t>产污环节</w:t>
            </w:r>
          </w:p>
        </w:tc>
        <w:tc>
          <w:tcPr>
            <w:tcW w:w="1191" w:type="pct"/>
            <w:vAlign w:val="center"/>
          </w:tcPr>
          <w:p w14:paraId="4BA919E8">
            <w:pPr>
              <w:pStyle w:val="109"/>
              <w:rPr>
                <w:color w:val="000000" w:themeColor="text1"/>
                <w14:textFill>
                  <w14:solidFill>
                    <w14:schemeClr w14:val="tx1"/>
                  </w14:solidFill>
                </w14:textFill>
              </w:rPr>
            </w:pPr>
            <w:r>
              <w:rPr>
                <w:color w:val="000000" w:themeColor="text1"/>
                <w14:textFill>
                  <w14:solidFill>
                    <w14:schemeClr w14:val="tx1"/>
                  </w14:solidFill>
                </w14:textFill>
              </w:rPr>
              <w:t>主要污染物</w:t>
            </w:r>
          </w:p>
        </w:tc>
        <w:tc>
          <w:tcPr>
            <w:tcW w:w="1416" w:type="pct"/>
            <w:vAlign w:val="center"/>
          </w:tcPr>
          <w:p w14:paraId="3153ACAD">
            <w:pPr>
              <w:pStyle w:val="109"/>
              <w:rPr>
                <w:color w:val="000000" w:themeColor="text1"/>
                <w14:textFill>
                  <w14:solidFill>
                    <w14:schemeClr w14:val="tx1"/>
                  </w14:solidFill>
                </w14:textFill>
              </w:rPr>
            </w:pPr>
            <w:r>
              <w:rPr>
                <w:color w:val="000000" w:themeColor="text1"/>
                <w14:textFill>
                  <w14:solidFill>
                    <w14:schemeClr w14:val="tx1"/>
                  </w14:solidFill>
                </w14:textFill>
              </w:rPr>
              <w:t>处置措施</w:t>
            </w:r>
          </w:p>
        </w:tc>
      </w:tr>
      <w:tr w14:paraId="32C8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restart"/>
            <w:vAlign w:val="center"/>
          </w:tcPr>
          <w:p w14:paraId="0F43809F">
            <w:pPr>
              <w:pStyle w:val="109"/>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392" w:type="pct"/>
            <w:vAlign w:val="center"/>
          </w:tcPr>
          <w:p w14:paraId="2BAA01D8">
            <w:pPr>
              <w:pStyle w:val="109"/>
              <w:rPr>
                <w:color w:val="000000" w:themeColor="text1"/>
                <w14:textFill>
                  <w14:solidFill>
                    <w14:schemeClr w14:val="tx1"/>
                  </w14:solidFill>
                </w14:textFill>
              </w:rPr>
            </w:pPr>
            <w:r>
              <w:rPr>
                <w:color w:val="000000" w:themeColor="text1"/>
                <w14:textFill>
                  <w14:solidFill>
                    <w14:schemeClr w14:val="tx1"/>
                  </w14:solidFill>
                </w14:textFill>
              </w:rPr>
              <w:t>G1</w:t>
            </w:r>
          </w:p>
        </w:tc>
        <w:tc>
          <w:tcPr>
            <w:tcW w:w="890" w:type="pct"/>
            <w:vAlign w:val="center"/>
          </w:tcPr>
          <w:p w14:paraId="34158A25">
            <w:pPr>
              <w:pStyle w:val="109"/>
              <w:rPr>
                <w:color w:val="000000" w:themeColor="text1"/>
                <w14:textFill>
                  <w14:solidFill>
                    <w14:schemeClr w14:val="tx1"/>
                  </w14:solidFill>
                </w14:textFill>
              </w:rPr>
            </w:pPr>
            <w:r>
              <w:rPr>
                <w:color w:val="000000" w:themeColor="text1"/>
                <w14:textFill>
                  <w14:solidFill>
                    <w14:schemeClr w14:val="tx1"/>
                  </w14:solidFill>
                </w14:textFill>
              </w:rPr>
              <w:t>废盐仓库贮存废气</w:t>
            </w:r>
          </w:p>
        </w:tc>
        <w:tc>
          <w:tcPr>
            <w:tcW w:w="756" w:type="pct"/>
            <w:vAlign w:val="center"/>
          </w:tcPr>
          <w:p w14:paraId="39617CA4">
            <w:pPr>
              <w:pStyle w:val="109"/>
              <w:rPr>
                <w:color w:val="000000" w:themeColor="text1"/>
                <w14:textFill>
                  <w14:solidFill>
                    <w14:schemeClr w14:val="tx1"/>
                  </w14:solidFill>
                </w14:textFill>
              </w:rPr>
            </w:pPr>
            <w:r>
              <w:rPr>
                <w:color w:val="000000" w:themeColor="text1"/>
                <w14:textFill>
                  <w14:solidFill>
                    <w14:schemeClr w14:val="tx1"/>
                  </w14:solidFill>
                </w14:textFill>
              </w:rPr>
              <w:t>废盐仓库</w:t>
            </w:r>
          </w:p>
        </w:tc>
        <w:tc>
          <w:tcPr>
            <w:tcW w:w="1191" w:type="pct"/>
            <w:vAlign w:val="center"/>
          </w:tcPr>
          <w:p w14:paraId="6BF77931">
            <w:pPr>
              <w:pStyle w:val="109"/>
              <w:rPr>
                <w:color w:val="000000" w:themeColor="text1"/>
                <w14:textFill>
                  <w14:solidFill>
                    <w14:schemeClr w14:val="tx1"/>
                  </w14:solidFill>
                </w14:textFill>
              </w:rPr>
            </w:pPr>
            <w:r>
              <w:rPr>
                <w:color w:val="000000" w:themeColor="text1"/>
                <w14:textFill>
                  <w14:solidFill>
                    <w14:schemeClr w14:val="tx1"/>
                  </w14:solidFill>
                </w14:textFill>
              </w:rPr>
              <w:t>VOCs</w:t>
            </w:r>
          </w:p>
        </w:tc>
        <w:tc>
          <w:tcPr>
            <w:tcW w:w="1416" w:type="pct"/>
            <w:vMerge w:val="restart"/>
            <w:vAlign w:val="center"/>
          </w:tcPr>
          <w:p w14:paraId="0FF12FEF">
            <w:pPr>
              <w:pStyle w:val="109"/>
              <w:ind w:left="-110" w:leftChars="-46" w:right="-103" w:rightChars="-43"/>
              <w:rPr>
                <w:color w:val="000000" w:themeColor="text1"/>
                <w14:textFill>
                  <w14:solidFill>
                    <w14:schemeClr w14:val="tx1"/>
                  </w14:solidFill>
                </w14:textFill>
              </w:rPr>
            </w:pPr>
            <w:r>
              <w:rPr>
                <w:color w:val="000000" w:themeColor="text1"/>
                <w14:textFill>
                  <w14:solidFill>
                    <w14:schemeClr w14:val="tx1"/>
                  </w14:solidFill>
                </w14:textFill>
              </w:rPr>
              <w:t>废气负压收集后通过二级活性炭吸附装置处理后经由 15m 高排气筒DA001排放</w:t>
            </w:r>
          </w:p>
        </w:tc>
      </w:tr>
      <w:tr w14:paraId="5061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562D21F4">
            <w:pPr>
              <w:pStyle w:val="109"/>
              <w:rPr>
                <w:color w:val="000000" w:themeColor="text1"/>
                <w14:textFill>
                  <w14:solidFill>
                    <w14:schemeClr w14:val="tx1"/>
                  </w14:solidFill>
                </w14:textFill>
              </w:rPr>
            </w:pPr>
          </w:p>
        </w:tc>
        <w:tc>
          <w:tcPr>
            <w:tcW w:w="392" w:type="pct"/>
            <w:vAlign w:val="center"/>
          </w:tcPr>
          <w:p w14:paraId="1C7C5FD7">
            <w:pPr>
              <w:pStyle w:val="109"/>
              <w:rPr>
                <w:color w:val="000000" w:themeColor="text1"/>
                <w14:textFill>
                  <w14:solidFill>
                    <w14:schemeClr w14:val="tx1"/>
                  </w14:solidFill>
                </w14:textFill>
              </w:rPr>
            </w:pPr>
            <w:r>
              <w:rPr>
                <w:color w:val="000000" w:themeColor="text1"/>
                <w14:textFill>
                  <w14:solidFill>
                    <w14:schemeClr w14:val="tx1"/>
                  </w14:solidFill>
                </w14:textFill>
              </w:rPr>
              <w:t>G2</w:t>
            </w:r>
          </w:p>
        </w:tc>
        <w:tc>
          <w:tcPr>
            <w:tcW w:w="890" w:type="pct"/>
            <w:vAlign w:val="center"/>
          </w:tcPr>
          <w:p w14:paraId="6A75788B">
            <w:pPr>
              <w:pStyle w:val="109"/>
              <w:rPr>
                <w:color w:val="000000" w:themeColor="text1"/>
                <w14:textFill>
                  <w14:solidFill>
                    <w14:schemeClr w14:val="tx1"/>
                  </w14:solidFill>
                </w14:textFill>
              </w:rPr>
            </w:pPr>
            <w:r>
              <w:rPr>
                <w:color w:val="000000" w:themeColor="text1"/>
                <w14:textFill>
                  <w14:solidFill>
                    <w14:schemeClr w14:val="tx1"/>
                  </w14:solidFill>
                </w14:textFill>
              </w:rPr>
              <w:t>配伍废气</w:t>
            </w:r>
          </w:p>
        </w:tc>
        <w:tc>
          <w:tcPr>
            <w:tcW w:w="756" w:type="pct"/>
            <w:vAlign w:val="center"/>
          </w:tcPr>
          <w:p w14:paraId="379E6A9A">
            <w:pPr>
              <w:pStyle w:val="109"/>
              <w:rPr>
                <w:color w:val="000000" w:themeColor="text1"/>
                <w14:textFill>
                  <w14:solidFill>
                    <w14:schemeClr w14:val="tx1"/>
                  </w14:solidFill>
                </w14:textFill>
              </w:rPr>
            </w:pPr>
            <w:r>
              <w:rPr>
                <w:color w:val="000000" w:themeColor="text1"/>
                <w14:textFill>
                  <w14:solidFill>
                    <w14:schemeClr w14:val="tx1"/>
                  </w14:solidFill>
                </w14:textFill>
              </w:rPr>
              <w:t>配伍工序</w:t>
            </w:r>
          </w:p>
        </w:tc>
        <w:tc>
          <w:tcPr>
            <w:tcW w:w="1191" w:type="pct"/>
            <w:vAlign w:val="center"/>
          </w:tcPr>
          <w:p w14:paraId="536C6452">
            <w:pPr>
              <w:pStyle w:val="109"/>
              <w:rPr>
                <w:color w:val="000000" w:themeColor="text1"/>
                <w14:textFill>
                  <w14:solidFill>
                    <w14:schemeClr w14:val="tx1"/>
                  </w14:solidFill>
                </w14:textFill>
              </w:rPr>
            </w:pPr>
            <w:r>
              <w:rPr>
                <w:color w:val="000000" w:themeColor="text1"/>
                <w14:textFill>
                  <w14:solidFill>
                    <w14:schemeClr w14:val="tx1"/>
                  </w14:solidFill>
                </w14:textFill>
              </w:rPr>
              <w:t>VOCs</w:t>
            </w:r>
          </w:p>
        </w:tc>
        <w:tc>
          <w:tcPr>
            <w:tcW w:w="1416" w:type="pct"/>
            <w:vMerge w:val="continue"/>
            <w:vAlign w:val="center"/>
          </w:tcPr>
          <w:p w14:paraId="0051777C">
            <w:pPr>
              <w:pStyle w:val="109"/>
              <w:rPr>
                <w:color w:val="000000" w:themeColor="text1"/>
                <w14:textFill>
                  <w14:solidFill>
                    <w14:schemeClr w14:val="tx1"/>
                  </w14:solidFill>
                </w14:textFill>
              </w:rPr>
            </w:pPr>
          </w:p>
        </w:tc>
      </w:tr>
      <w:tr w14:paraId="7D98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2BCA1EB6">
            <w:pPr>
              <w:pStyle w:val="109"/>
              <w:rPr>
                <w:color w:val="000000" w:themeColor="text1"/>
                <w14:textFill>
                  <w14:solidFill>
                    <w14:schemeClr w14:val="tx1"/>
                  </w14:solidFill>
                </w14:textFill>
              </w:rPr>
            </w:pPr>
          </w:p>
        </w:tc>
        <w:tc>
          <w:tcPr>
            <w:tcW w:w="392" w:type="pct"/>
            <w:vAlign w:val="center"/>
          </w:tcPr>
          <w:p w14:paraId="040901C4">
            <w:pPr>
              <w:pStyle w:val="109"/>
              <w:rPr>
                <w:color w:val="000000" w:themeColor="text1"/>
                <w14:textFill>
                  <w14:solidFill>
                    <w14:schemeClr w14:val="tx1"/>
                  </w14:solidFill>
                </w14:textFill>
              </w:rPr>
            </w:pPr>
            <w:r>
              <w:rPr>
                <w:color w:val="000000" w:themeColor="text1"/>
                <w14:textFill>
                  <w14:solidFill>
                    <w14:schemeClr w14:val="tx1"/>
                  </w14:solidFill>
                </w14:textFill>
              </w:rPr>
              <w:t>G3</w:t>
            </w:r>
          </w:p>
        </w:tc>
        <w:tc>
          <w:tcPr>
            <w:tcW w:w="890" w:type="pct"/>
            <w:vAlign w:val="center"/>
          </w:tcPr>
          <w:p w14:paraId="689560EA">
            <w:pPr>
              <w:pStyle w:val="109"/>
              <w:rPr>
                <w:color w:val="000000" w:themeColor="text1"/>
                <w14:textFill>
                  <w14:solidFill>
                    <w14:schemeClr w14:val="tx1"/>
                  </w14:solidFill>
                </w14:textFill>
              </w:rPr>
            </w:pPr>
            <w:r>
              <w:rPr>
                <w:color w:val="000000" w:themeColor="text1"/>
                <w:lang w:val="zh-CN"/>
                <w14:textFill>
                  <w14:solidFill>
                    <w14:schemeClr w14:val="tx1"/>
                  </w14:solidFill>
                </w14:textFill>
              </w:rPr>
              <w:t>热解焙烧废气</w:t>
            </w:r>
          </w:p>
        </w:tc>
        <w:tc>
          <w:tcPr>
            <w:tcW w:w="756" w:type="pct"/>
            <w:vAlign w:val="center"/>
          </w:tcPr>
          <w:p w14:paraId="45B3F15C">
            <w:pPr>
              <w:pStyle w:val="109"/>
              <w:rPr>
                <w:color w:val="000000" w:themeColor="text1"/>
                <w14:textFill>
                  <w14:solidFill>
                    <w14:schemeClr w14:val="tx1"/>
                  </w14:solidFill>
                </w14:textFill>
              </w:rPr>
            </w:pPr>
            <w:r>
              <w:rPr>
                <w:color w:val="000000" w:themeColor="text1"/>
                <w:lang w:val="zh-CN"/>
                <w14:textFill>
                  <w14:solidFill>
                    <w14:schemeClr w14:val="tx1"/>
                  </w14:solidFill>
                </w14:textFill>
              </w:rPr>
              <w:t>废盐热解焙烧</w:t>
            </w:r>
          </w:p>
        </w:tc>
        <w:tc>
          <w:tcPr>
            <w:tcW w:w="1191" w:type="pct"/>
            <w:vAlign w:val="center"/>
          </w:tcPr>
          <w:p w14:paraId="4D4AA485">
            <w:pPr>
              <w:pStyle w:val="109"/>
              <w:rPr>
                <w:color w:val="000000" w:themeColor="text1"/>
                <w14:textFill>
                  <w14:solidFill>
                    <w14:schemeClr w14:val="tx1"/>
                  </w14:solidFill>
                </w14:textFill>
              </w:rPr>
            </w:pPr>
            <w:r>
              <w:rPr>
                <w:color w:val="000000" w:themeColor="text1"/>
                <w14:textFill>
                  <w14:solidFill>
                    <w14:schemeClr w14:val="tx1"/>
                  </w14:solidFill>
                </w14:textFill>
              </w:rPr>
              <w:t>HCl、SO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、NOx、HF、CO、烟尘、二噁英、重金属等</w:t>
            </w:r>
          </w:p>
        </w:tc>
        <w:tc>
          <w:tcPr>
            <w:tcW w:w="1416" w:type="pct"/>
            <w:vAlign w:val="center"/>
          </w:tcPr>
          <w:p w14:paraId="439671CF">
            <w:pPr>
              <w:pStyle w:val="109"/>
              <w:ind w:left="-110" w:leftChars="-46" w:right="-103" w:rightChars="-43"/>
              <w:rPr>
                <w:color w:val="000000" w:themeColor="text1"/>
                <w14:textFill>
                  <w14:solidFill>
                    <w14:schemeClr w14:val="tx1"/>
                  </w14:solidFill>
                </w14:textFill>
              </w:rPr>
            </w:pPr>
            <w:r>
              <w:rPr>
                <w:color w:val="000000" w:themeColor="text1"/>
                <w14:textFill>
                  <w14:solidFill>
                    <w14:schemeClr w14:val="tx1"/>
                  </w14:solidFill>
                </w14:textFill>
              </w:rPr>
              <w:t>“二燃室（SNCR）+石墨急冷塔+二级碱洗塔+水洗塔+湿电除尘+引风机+活性炭吸附+GGH换热+热风炉（电加热）+SCR”处理后通过1根50m 高排气筒DA002排放</w:t>
            </w:r>
          </w:p>
        </w:tc>
      </w:tr>
      <w:tr w14:paraId="3EC4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07889CD7">
            <w:pPr>
              <w:pStyle w:val="109"/>
              <w:rPr>
                <w:color w:val="000000" w:themeColor="text1"/>
                <w14:textFill>
                  <w14:solidFill>
                    <w14:schemeClr w14:val="tx1"/>
                  </w14:solidFill>
                </w14:textFill>
              </w:rPr>
            </w:pPr>
          </w:p>
        </w:tc>
        <w:tc>
          <w:tcPr>
            <w:tcW w:w="392" w:type="pct"/>
            <w:vAlign w:val="center"/>
          </w:tcPr>
          <w:p w14:paraId="1EF5902A">
            <w:pPr>
              <w:pStyle w:val="109"/>
              <w:rPr>
                <w:color w:val="000000" w:themeColor="text1"/>
                <w14:textFill>
                  <w14:solidFill>
                    <w14:schemeClr w14:val="tx1"/>
                  </w14:solidFill>
                </w14:textFill>
              </w:rPr>
            </w:pPr>
            <w:r>
              <w:rPr>
                <w:color w:val="000000" w:themeColor="text1"/>
                <w14:textFill>
                  <w14:solidFill>
                    <w14:schemeClr w14:val="tx1"/>
                  </w14:solidFill>
                </w14:textFill>
              </w:rPr>
              <w:t>G4</w:t>
            </w:r>
          </w:p>
        </w:tc>
        <w:tc>
          <w:tcPr>
            <w:tcW w:w="890" w:type="pct"/>
            <w:vAlign w:val="center"/>
          </w:tcPr>
          <w:p w14:paraId="4DA86D9A">
            <w:pPr>
              <w:pStyle w:val="109"/>
              <w:rPr>
                <w:color w:val="000000" w:themeColor="text1"/>
                <w14:textFill>
                  <w14:solidFill>
                    <w14:schemeClr w14:val="tx1"/>
                  </w14:solidFill>
                </w14:textFill>
              </w:rPr>
            </w:pPr>
            <w:r>
              <w:rPr>
                <w:color w:val="000000" w:themeColor="text1"/>
                <w14:textFill>
                  <w14:solidFill>
                    <w14:schemeClr w14:val="tx1"/>
                  </w14:solidFill>
                </w14:textFill>
              </w:rPr>
              <w:t>热解焙烧窑天然气燃烧废气</w:t>
            </w:r>
          </w:p>
        </w:tc>
        <w:tc>
          <w:tcPr>
            <w:tcW w:w="756" w:type="pct"/>
            <w:vAlign w:val="center"/>
          </w:tcPr>
          <w:p w14:paraId="51819EB0">
            <w:pPr>
              <w:pStyle w:val="109"/>
              <w:ind w:left="-96" w:leftChars="-40" w:right="-96" w:rightChars="-40"/>
              <w:rPr>
                <w:color w:val="000000" w:themeColor="text1"/>
                <w14:textFill>
                  <w14:solidFill>
                    <w14:schemeClr w14:val="tx1"/>
                  </w14:solidFill>
                </w14:textFill>
              </w:rPr>
            </w:pPr>
            <w:r>
              <w:rPr>
                <w:color w:val="000000" w:themeColor="text1"/>
                <w:lang w:val="zh-CN"/>
                <w14:textFill>
                  <w14:solidFill>
                    <w14:schemeClr w14:val="tx1"/>
                  </w14:solidFill>
                </w14:textFill>
              </w:rPr>
              <w:t>热解焙烧工序天然气燃烧</w:t>
            </w:r>
          </w:p>
        </w:tc>
        <w:tc>
          <w:tcPr>
            <w:tcW w:w="1191" w:type="pct"/>
            <w:vAlign w:val="center"/>
          </w:tcPr>
          <w:p w14:paraId="74B1956F">
            <w:pPr>
              <w:pStyle w:val="109"/>
              <w:rPr>
                <w:color w:val="000000" w:themeColor="text1"/>
                <w14:textFill>
                  <w14:solidFill>
                    <w14:schemeClr w14:val="tx1"/>
                  </w14:solidFill>
                </w14:textFill>
              </w:rPr>
            </w:pPr>
            <w:r>
              <w:rPr>
                <w:color w:val="000000" w:themeColor="text1"/>
                <w14:textFill>
                  <w14:solidFill>
                    <w14:schemeClr w14:val="tx1"/>
                  </w14:solidFill>
                </w14:textFill>
              </w:rPr>
              <w:t>烟尘、SO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w:t>
            </w:r>
          </w:p>
        </w:tc>
        <w:tc>
          <w:tcPr>
            <w:tcW w:w="1416" w:type="pct"/>
            <w:vAlign w:val="center"/>
          </w:tcPr>
          <w:p w14:paraId="5BBEB8CF">
            <w:pPr>
              <w:pStyle w:val="109"/>
              <w:rPr>
                <w:color w:val="000000" w:themeColor="text1"/>
                <w14:textFill>
                  <w14:solidFill>
                    <w14:schemeClr w14:val="tx1"/>
                  </w14:solidFill>
                </w14:textFill>
              </w:rPr>
            </w:pPr>
            <w:r>
              <w:rPr>
                <w:color w:val="000000" w:themeColor="text1"/>
                <w14:textFill>
                  <w14:solidFill>
                    <w14:schemeClr w14:val="tx1"/>
                  </w14:solidFill>
                </w14:textFill>
              </w:rPr>
              <w:t>采用低氮燃烧技术，燃烧烟气通过1根15m 高排气筒DA003排放</w:t>
            </w:r>
          </w:p>
        </w:tc>
      </w:tr>
      <w:tr w14:paraId="47EA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7B85003B">
            <w:pPr>
              <w:pStyle w:val="109"/>
              <w:rPr>
                <w:color w:val="000000" w:themeColor="text1"/>
                <w14:textFill>
                  <w14:solidFill>
                    <w14:schemeClr w14:val="tx1"/>
                  </w14:solidFill>
                </w14:textFill>
              </w:rPr>
            </w:pPr>
          </w:p>
        </w:tc>
        <w:tc>
          <w:tcPr>
            <w:tcW w:w="392" w:type="pct"/>
            <w:vAlign w:val="center"/>
          </w:tcPr>
          <w:p w14:paraId="3866C01C">
            <w:pPr>
              <w:pStyle w:val="109"/>
              <w:rPr>
                <w:color w:val="000000" w:themeColor="text1"/>
                <w14:textFill>
                  <w14:solidFill>
                    <w14:schemeClr w14:val="tx1"/>
                  </w14:solidFill>
                </w14:textFill>
              </w:rPr>
            </w:pPr>
            <w:r>
              <w:rPr>
                <w:color w:val="000000" w:themeColor="text1"/>
                <w14:textFill>
                  <w14:solidFill>
                    <w14:schemeClr w14:val="tx1"/>
                  </w14:solidFill>
                </w14:textFill>
              </w:rPr>
              <w:t>G5</w:t>
            </w:r>
          </w:p>
        </w:tc>
        <w:tc>
          <w:tcPr>
            <w:tcW w:w="890" w:type="pct"/>
            <w:vAlign w:val="center"/>
          </w:tcPr>
          <w:p w14:paraId="58E4C292">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多效蒸发不凝气</w:t>
            </w:r>
          </w:p>
        </w:tc>
        <w:tc>
          <w:tcPr>
            <w:tcW w:w="756" w:type="pct"/>
            <w:vAlign w:val="center"/>
          </w:tcPr>
          <w:p w14:paraId="5B09310E">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w:t>
            </w:r>
          </w:p>
        </w:tc>
        <w:tc>
          <w:tcPr>
            <w:tcW w:w="1191" w:type="pct"/>
            <w:vAlign w:val="center"/>
          </w:tcPr>
          <w:p w14:paraId="0AABD402">
            <w:pPr>
              <w:pStyle w:val="109"/>
              <w:rPr>
                <w:color w:val="000000" w:themeColor="text1"/>
                <w14:textFill>
                  <w14:solidFill>
                    <w14:schemeClr w14:val="tx1"/>
                  </w14:solidFill>
                </w14:textFill>
              </w:rPr>
            </w:pPr>
            <w:r>
              <w:rPr>
                <w:color w:val="000000" w:themeColor="text1"/>
                <w14:textFill>
                  <w14:solidFill>
                    <w14:schemeClr w14:val="tx1"/>
                  </w14:solidFill>
                </w14:textFill>
              </w:rPr>
              <w:t>水蒸气</w:t>
            </w:r>
          </w:p>
        </w:tc>
        <w:tc>
          <w:tcPr>
            <w:tcW w:w="1416" w:type="pct"/>
            <w:vAlign w:val="center"/>
          </w:tcPr>
          <w:p w14:paraId="7CF1161B">
            <w:pPr>
              <w:pStyle w:val="109"/>
              <w:rPr>
                <w:color w:val="000000" w:themeColor="text1"/>
                <w14:textFill>
                  <w14:solidFill>
                    <w14:schemeClr w14:val="tx1"/>
                  </w14:solidFill>
                </w14:textFill>
              </w:rPr>
            </w:pPr>
            <w:r>
              <w:rPr>
                <w:color w:val="000000" w:themeColor="text1"/>
                <w14:textFill>
                  <w14:solidFill>
                    <w14:schemeClr w14:val="tx1"/>
                  </w14:solidFill>
                </w14:textFill>
              </w:rPr>
              <w:t>设置水封装置</w:t>
            </w:r>
          </w:p>
        </w:tc>
      </w:tr>
      <w:tr w14:paraId="4791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7041FAAE">
            <w:pPr>
              <w:pStyle w:val="109"/>
              <w:rPr>
                <w:color w:val="000000" w:themeColor="text1"/>
                <w14:textFill>
                  <w14:solidFill>
                    <w14:schemeClr w14:val="tx1"/>
                  </w14:solidFill>
                </w14:textFill>
              </w:rPr>
            </w:pPr>
          </w:p>
        </w:tc>
        <w:tc>
          <w:tcPr>
            <w:tcW w:w="392" w:type="pct"/>
            <w:vAlign w:val="center"/>
          </w:tcPr>
          <w:p w14:paraId="2E3AD322">
            <w:pPr>
              <w:pStyle w:val="109"/>
              <w:rPr>
                <w:color w:val="000000" w:themeColor="text1"/>
                <w14:textFill>
                  <w14:solidFill>
                    <w14:schemeClr w14:val="tx1"/>
                  </w14:solidFill>
                </w14:textFill>
              </w:rPr>
            </w:pPr>
            <w:r>
              <w:rPr>
                <w:color w:val="000000" w:themeColor="text1"/>
                <w14:textFill>
                  <w14:solidFill>
                    <w14:schemeClr w14:val="tx1"/>
                  </w14:solidFill>
                </w14:textFill>
              </w:rPr>
              <w:t>G</w:t>
            </w:r>
            <w:r>
              <w:rPr>
                <w:rFonts w:hint="eastAsia"/>
                <w:color w:val="000000" w:themeColor="text1"/>
                <w14:textFill>
                  <w14:solidFill>
                    <w14:schemeClr w14:val="tx1"/>
                  </w14:solidFill>
                </w14:textFill>
              </w:rPr>
              <w:t>6</w:t>
            </w:r>
          </w:p>
        </w:tc>
        <w:tc>
          <w:tcPr>
            <w:tcW w:w="890" w:type="pct"/>
            <w:vAlign w:val="center"/>
          </w:tcPr>
          <w:p w14:paraId="21C284D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氨水罐呼吸废气</w:t>
            </w:r>
          </w:p>
        </w:tc>
        <w:tc>
          <w:tcPr>
            <w:tcW w:w="756" w:type="pct"/>
            <w:vAlign w:val="center"/>
          </w:tcPr>
          <w:p w14:paraId="3E6DE1A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氨水罐</w:t>
            </w:r>
          </w:p>
        </w:tc>
        <w:tc>
          <w:tcPr>
            <w:tcW w:w="1191" w:type="pct"/>
            <w:vAlign w:val="center"/>
          </w:tcPr>
          <w:p w14:paraId="18767F1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w:t>
            </w:r>
          </w:p>
        </w:tc>
        <w:tc>
          <w:tcPr>
            <w:tcW w:w="1416" w:type="pct"/>
            <w:vAlign w:val="center"/>
          </w:tcPr>
          <w:p w14:paraId="14F64A68">
            <w:pPr>
              <w:pStyle w:val="109"/>
              <w:rPr>
                <w:color w:val="000000" w:themeColor="text1"/>
                <w14:textFill>
                  <w14:solidFill>
                    <w14:schemeClr w14:val="tx1"/>
                  </w14:solidFill>
                </w14:textFill>
              </w:rPr>
            </w:pPr>
            <w:r>
              <w:rPr>
                <w:color w:val="000000" w:themeColor="text1"/>
                <w14:textFill>
                  <w14:solidFill>
                    <w14:schemeClr w14:val="tx1"/>
                  </w14:solidFill>
                </w14:textFill>
              </w:rPr>
              <w:t>设置</w:t>
            </w:r>
            <w:r>
              <w:rPr>
                <w:rFonts w:hint="eastAsia"/>
                <w:color w:val="000000" w:themeColor="text1"/>
                <w14:textFill>
                  <w14:solidFill>
                    <w14:schemeClr w14:val="tx1"/>
                  </w14:solidFill>
                </w14:textFill>
              </w:rPr>
              <w:t>二级</w:t>
            </w:r>
            <w:r>
              <w:rPr>
                <w:color w:val="000000" w:themeColor="text1"/>
                <w14:textFill>
                  <w14:solidFill>
                    <w14:schemeClr w14:val="tx1"/>
                  </w14:solidFill>
                </w14:textFill>
              </w:rPr>
              <w:t>水封装置</w:t>
            </w:r>
          </w:p>
        </w:tc>
      </w:tr>
      <w:tr w14:paraId="070E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restart"/>
            <w:vAlign w:val="center"/>
          </w:tcPr>
          <w:p w14:paraId="2AAAACD1">
            <w:pPr>
              <w:pStyle w:val="109"/>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392" w:type="pct"/>
            <w:vAlign w:val="center"/>
          </w:tcPr>
          <w:p w14:paraId="70B4A404">
            <w:pPr>
              <w:pStyle w:val="109"/>
              <w:rPr>
                <w:color w:val="000000" w:themeColor="text1"/>
                <w14:textFill>
                  <w14:solidFill>
                    <w14:schemeClr w14:val="tx1"/>
                  </w14:solidFill>
                </w14:textFill>
              </w:rPr>
            </w:pPr>
            <w:r>
              <w:rPr>
                <w:color w:val="000000" w:themeColor="text1"/>
                <w14:textFill>
                  <w14:solidFill>
                    <w14:schemeClr w14:val="tx1"/>
                  </w14:solidFill>
                </w14:textFill>
              </w:rPr>
              <w:t>W1</w:t>
            </w:r>
          </w:p>
        </w:tc>
        <w:tc>
          <w:tcPr>
            <w:tcW w:w="890" w:type="pct"/>
            <w:vAlign w:val="center"/>
          </w:tcPr>
          <w:p w14:paraId="5D052257">
            <w:pPr>
              <w:pStyle w:val="109"/>
              <w:ind w:left="-108" w:leftChars="-45" w:right="-118" w:rightChars="-49"/>
              <w:rPr>
                <w:color w:val="000000" w:themeColor="text1"/>
                <w14:textFill>
                  <w14:solidFill>
                    <w14:schemeClr w14:val="tx1"/>
                  </w14:solidFill>
                </w14:textFill>
              </w:rPr>
            </w:pPr>
            <w:r>
              <w:rPr>
                <w:color w:val="000000" w:themeColor="text1"/>
                <w14:textFill>
                  <w14:solidFill>
                    <w14:schemeClr w14:val="tx1"/>
                  </w14:solidFill>
                </w14:textFill>
              </w:rPr>
              <w:t>烟气处理系统废水</w:t>
            </w:r>
          </w:p>
        </w:tc>
        <w:tc>
          <w:tcPr>
            <w:tcW w:w="756" w:type="pct"/>
            <w:vAlign w:val="center"/>
          </w:tcPr>
          <w:p w14:paraId="29034B3C">
            <w:pPr>
              <w:pStyle w:val="109"/>
              <w:ind w:left="-96" w:leftChars="-40" w:right="-96" w:rightChars="-40"/>
              <w:rPr>
                <w:color w:val="000000" w:themeColor="text1"/>
                <w14:textFill>
                  <w14:solidFill>
                    <w14:schemeClr w14:val="tx1"/>
                  </w14:solidFill>
                </w14:textFill>
              </w:rPr>
            </w:pPr>
            <w:r>
              <w:rPr>
                <w:color w:val="000000" w:themeColor="text1"/>
                <w14:textFill>
                  <w14:solidFill>
                    <w14:schemeClr w14:val="tx1"/>
                  </w14:solidFill>
                </w14:textFill>
              </w:rPr>
              <w:t>废气处理系统</w:t>
            </w:r>
          </w:p>
        </w:tc>
        <w:tc>
          <w:tcPr>
            <w:tcW w:w="1191" w:type="pct"/>
            <w:vAlign w:val="center"/>
          </w:tcPr>
          <w:p w14:paraId="7E69F849">
            <w:pPr>
              <w:pStyle w:val="109"/>
              <w:rPr>
                <w:color w:val="000000" w:themeColor="text1"/>
                <w14:textFill>
                  <w14:solidFill>
                    <w14:schemeClr w14:val="tx1"/>
                  </w14:solidFill>
                </w14:textFill>
              </w:rPr>
            </w:pPr>
            <w:r>
              <w:rPr>
                <w:color w:val="000000" w:themeColor="text1"/>
                <w14:textFill>
                  <w14:solidFill>
                    <w14:schemeClr w14:val="tx1"/>
                  </w14:solidFill>
                </w14:textFill>
              </w:rPr>
              <w:t>COD、氨氮、全盐量、SS、重金属</w:t>
            </w:r>
          </w:p>
        </w:tc>
        <w:tc>
          <w:tcPr>
            <w:tcW w:w="1416" w:type="pct"/>
            <w:vAlign w:val="center"/>
          </w:tcPr>
          <w:p w14:paraId="42671144">
            <w:pPr>
              <w:pStyle w:val="109"/>
              <w:rPr>
                <w:color w:val="000000" w:themeColor="text1"/>
                <w14:textFill>
                  <w14:solidFill>
                    <w14:schemeClr w14:val="tx1"/>
                  </w14:solidFill>
                </w14:textFill>
              </w:rPr>
            </w:pPr>
            <w:r>
              <w:rPr>
                <w:color w:val="000000" w:themeColor="text1"/>
                <w14:textFill>
                  <w14:solidFill>
                    <w14:schemeClr w14:val="tx1"/>
                  </w14:solidFill>
                </w14:textFill>
              </w:rPr>
              <w:t>进入多效蒸发处理</w:t>
            </w:r>
          </w:p>
        </w:tc>
      </w:tr>
      <w:tr w14:paraId="7628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55" w:type="pct"/>
            <w:vMerge w:val="continue"/>
            <w:vAlign w:val="center"/>
          </w:tcPr>
          <w:p w14:paraId="45366424">
            <w:pPr>
              <w:pStyle w:val="109"/>
              <w:rPr>
                <w:color w:val="000000" w:themeColor="text1"/>
                <w14:textFill>
                  <w14:solidFill>
                    <w14:schemeClr w14:val="tx1"/>
                  </w14:solidFill>
                </w14:textFill>
              </w:rPr>
            </w:pPr>
          </w:p>
        </w:tc>
        <w:tc>
          <w:tcPr>
            <w:tcW w:w="392" w:type="pct"/>
            <w:vAlign w:val="center"/>
          </w:tcPr>
          <w:p w14:paraId="52AC90BE">
            <w:pPr>
              <w:pStyle w:val="109"/>
              <w:rPr>
                <w:color w:val="000000" w:themeColor="text1"/>
                <w14:textFill>
                  <w14:solidFill>
                    <w14:schemeClr w14:val="tx1"/>
                  </w14:solidFill>
                </w14:textFill>
              </w:rPr>
            </w:pPr>
            <w:r>
              <w:rPr>
                <w:color w:val="000000" w:themeColor="text1"/>
                <w14:textFill>
                  <w14:solidFill>
                    <w14:schemeClr w14:val="tx1"/>
                  </w14:solidFill>
                </w14:textFill>
              </w:rPr>
              <w:t>W2</w:t>
            </w:r>
          </w:p>
        </w:tc>
        <w:tc>
          <w:tcPr>
            <w:tcW w:w="890" w:type="pct"/>
            <w:vAlign w:val="center"/>
          </w:tcPr>
          <w:p w14:paraId="4139B6CB">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多效蒸发冷凝水</w:t>
            </w:r>
          </w:p>
        </w:tc>
        <w:tc>
          <w:tcPr>
            <w:tcW w:w="756" w:type="pct"/>
            <w:vAlign w:val="center"/>
          </w:tcPr>
          <w:p w14:paraId="5E26678E">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w:t>
            </w:r>
          </w:p>
        </w:tc>
        <w:tc>
          <w:tcPr>
            <w:tcW w:w="1191" w:type="pct"/>
            <w:vAlign w:val="center"/>
          </w:tcPr>
          <w:p w14:paraId="025F9C50">
            <w:pPr>
              <w:pStyle w:val="109"/>
              <w:rPr>
                <w:color w:val="000000" w:themeColor="text1"/>
                <w14:textFill>
                  <w14:solidFill>
                    <w14:schemeClr w14:val="tx1"/>
                  </w14:solidFill>
                </w14:textFill>
              </w:rPr>
            </w:pPr>
            <w:r>
              <w:rPr>
                <w:color w:val="000000" w:themeColor="text1"/>
                <w14:textFill>
                  <w14:solidFill>
                    <w14:schemeClr w14:val="tx1"/>
                  </w14:solidFill>
                </w14:textFill>
              </w:rPr>
              <w:t>水、COD、氨氮</w:t>
            </w:r>
          </w:p>
        </w:tc>
        <w:tc>
          <w:tcPr>
            <w:tcW w:w="1416" w:type="pct"/>
            <w:vAlign w:val="center"/>
          </w:tcPr>
          <w:p w14:paraId="28FC67DB">
            <w:pPr>
              <w:pStyle w:val="109"/>
              <w:rPr>
                <w:color w:val="000000" w:themeColor="text1"/>
                <w14:textFill>
                  <w14:solidFill>
                    <w14:schemeClr w14:val="tx1"/>
                  </w14:solidFill>
                </w14:textFill>
              </w:rPr>
            </w:pPr>
            <w:r>
              <w:rPr>
                <w:color w:val="000000" w:themeColor="text1"/>
                <w14:textFill>
                  <w14:solidFill>
                    <w14:schemeClr w14:val="tx1"/>
                  </w14:solidFill>
                </w14:textFill>
              </w:rPr>
              <w:t>回用于废气处理系统补水</w:t>
            </w:r>
          </w:p>
        </w:tc>
      </w:tr>
      <w:tr w14:paraId="33F2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55" w:type="pct"/>
            <w:vMerge w:val="continue"/>
            <w:vAlign w:val="center"/>
          </w:tcPr>
          <w:p w14:paraId="44900289">
            <w:pPr>
              <w:pStyle w:val="109"/>
              <w:rPr>
                <w:color w:val="000000" w:themeColor="text1"/>
                <w14:textFill>
                  <w14:solidFill>
                    <w14:schemeClr w14:val="tx1"/>
                  </w14:solidFill>
                </w14:textFill>
              </w:rPr>
            </w:pPr>
          </w:p>
        </w:tc>
        <w:tc>
          <w:tcPr>
            <w:tcW w:w="392" w:type="pct"/>
            <w:vAlign w:val="center"/>
          </w:tcPr>
          <w:p w14:paraId="63BE1038">
            <w:pPr>
              <w:pStyle w:val="109"/>
              <w:rPr>
                <w:color w:val="000000" w:themeColor="text1"/>
                <w14:textFill>
                  <w14:solidFill>
                    <w14:schemeClr w14:val="tx1"/>
                  </w14:solidFill>
                </w14:textFill>
              </w:rPr>
            </w:pPr>
            <w:r>
              <w:rPr>
                <w:color w:val="000000" w:themeColor="text1"/>
                <w14:textFill>
                  <w14:solidFill>
                    <w14:schemeClr w14:val="tx1"/>
                  </w14:solidFill>
                </w14:textFill>
              </w:rPr>
              <w:t>W3</w:t>
            </w:r>
          </w:p>
        </w:tc>
        <w:tc>
          <w:tcPr>
            <w:tcW w:w="890" w:type="pct"/>
            <w:vAlign w:val="center"/>
          </w:tcPr>
          <w:p w14:paraId="0D811501">
            <w:pPr>
              <w:pStyle w:val="109"/>
              <w:rPr>
                <w:color w:val="000000" w:themeColor="text1"/>
                <w14:textFill>
                  <w14:solidFill>
                    <w14:schemeClr w14:val="tx1"/>
                  </w14:solidFill>
                </w14:textFill>
              </w:rPr>
            </w:pPr>
            <w:r>
              <w:rPr>
                <w:color w:val="000000" w:themeColor="text1"/>
                <w14:textFill>
                  <w14:solidFill>
                    <w14:schemeClr w14:val="tx1"/>
                  </w14:solidFill>
                </w14:textFill>
              </w:rPr>
              <w:t>循环冷却水排水</w:t>
            </w:r>
          </w:p>
        </w:tc>
        <w:tc>
          <w:tcPr>
            <w:tcW w:w="756" w:type="pct"/>
            <w:vAlign w:val="center"/>
          </w:tcPr>
          <w:p w14:paraId="2C0F86FB">
            <w:pPr>
              <w:pStyle w:val="109"/>
              <w:ind w:left="-96" w:leftChars="-40" w:right="-96" w:rightChars="-40"/>
              <w:rPr>
                <w:color w:val="000000" w:themeColor="text1"/>
                <w14:textFill>
                  <w14:solidFill>
                    <w14:schemeClr w14:val="tx1"/>
                  </w14:solidFill>
                </w14:textFill>
              </w:rPr>
            </w:pPr>
            <w:r>
              <w:rPr>
                <w:color w:val="000000" w:themeColor="text1"/>
                <w14:textFill>
                  <w14:solidFill>
                    <w14:schemeClr w14:val="tx1"/>
                  </w14:solidFill>
                </w14:textFill>
              </w:rPr>
              <w:t>循环冷却系统</w:t>
            </w:r>
          </w:p>
        </w:tc>
        <w:tc>
          <w:tcPr>
            <w:tcW w:w="1191" w:type="pct"/>
            <w:vAlign w:val="center"/>
          </w:tcPr>
          <w:p w14:paraId="6ABA06D3">
            <w:pPr>
              <w:pStyle w:val="109"/>
              <w:rPr>
                <w:color w:val="000000" w:themeColor="text1"/>
                <w14:textFill>
                  <w14:solidFill>
                    <w14:schemeClr w14:val="tx1"/>
                  </w14:solidFill>
                </w14:textFill>
              </w:rPr>
            </w:pPr>
            <w:r>
              <w:rPr>
                <w:color w:val="000000" w:themeColor="text1"/>
                <w14:textFill>
                  <w14:solidFill>
                    <w14:schemeClr w14:val="tx1"/>
                  </w14:solidFill>
                </w14:textFill>
              </w:rPr>
              <w:t>全盐量、COD、氨氮、SS</w:t>
            </w:r>
          </w:p>
        </w:tc>
        <w:tc>
          <w:tcPr>
            <w:tcW w:w="1416" w:type="pct"/>
            <w:vMerge w:val="restart"/>
            <w:vAlign w:val="center"/>
          </w:tcPr>
          <w:p w14:paraId="7DA4BCF7">
            <w:pPr>
              <w:pStyle w:val="109"/>
              <w:rPr>
                <w:color w:val="000000" w:themeColor="text1"/>
                <w14:textFill>
                  <w14:solidFill>
                    <w14:schemeClr w14:val="tx1"/>
                  </w14:solidFill>
                </w14:textFill>
              </w:rPr>
            </w:pPr>
            <w:r>
              <w:rPr>
                <w:color w:val="000000" w:themeColor="text1"/>
                <w14:textFill>
                  <w14:solidFill>
                    <w14:schemeClr w14:val="tx1"/>
                  </w14:solidFill>
                </w14:textFill>
              </w:rPr>
              <w:t>排入园区污水管网</w:t>
            </w:r>
          </w:p>
        </w:tc>
      </w:tr>
      <w:tr w14:paraId="04BA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55" w:type="pct"/>
            <w:vMerge w:val="continue"/>
            <w:vAlign w:val="center"/>
          </w:tcPr>
          <w:p w14:paraId="738C6326">
            <w:pPr>
              <w:pStyle w:val="109"/>
              <w:rPr>
                <w:color w:val="000000" w:themeColor="text1"/>
                <w14:textFill>
                  <w14:solidFill>
                    <w14:schemeClr w14:val="tx1"/>
                  </w14:solidFill>
                </w14:textFill>
              </w:rPr>
            </w:pPr>
          </w:p>
        </w:tc>
        <w:tc>
          <w:tcPr>
            <w:tcW w:w="392" w:type="pct"/>
            <w:vAlign w:val="center"/>
          </w:tcPr>
          <w:p w14:paraId="6BC4A8A1">
            <w:pPr>
              <w:pStyle w:val="109"/>
              <w:rPr>
                <w:color w:val="000000" w:themeColor="text1"/>
                <w14:textFill>
                  <w14:solidFill>
                    <w14:schemeClr w14:val="tx1"/>
                  </w14:solidFill>
                </w14:textFill>
              </w:rPr>
            </w:pPr>
            <w:r>
              <w:rPr>
                <w:color w:val="000000" w:themeColor="text1"/>
                <w14:textFill>
                  <w14:solidFill>
                    <w14:schemeClr w14:val="tx1"/>
                  </w14:solidFill>
                </w14:textFill>
              </w:rPr>
              <w:t>W4</w:t>
            </w:r>
          </w:p>
        </w:tc>
        <w:tc>
          <w:tcPr>
            <w:tcW w:w="890" w:type="pct"/>
            <w:vAlign w:val="center"/>
          </w:tcPr>
          <w:p w14:paraId="72862431">
            <w:pPr>
              <w:pStyle w:val="109"/>
              <w:rPr>
                <w:color w:val="000000" w:themeColor="text1"/>
                <w14:textFill>
                  <w14:solidFill>
                    <w14:schemeClr w14:val="tx1"/>
                  </w14:solidFill>
                </w14:textFill>
              </w:rPr>
            </w:pPr>
            <w:r>
              <w:rPr>
                <w:color w:val="000000" w:themeColor="text1"/>
                <w14:textFill>
                  <w14:solidFill>
                    <w14:schemeClr w14:val="tx1"/>
                  </w14:solidFill>
                </w14:textFill>
              </w:rPr>
              <w:t>实验室废水</w:t>
            </w:r>
          </w:p>
        </w:tc>
        <w:tc>
          <w:tcPr>
            <w:tcW w:w="756" w:type="pct"/>
            <w:vAlign w:val="center"/>
          </w:tcPr>
          <w:p w14:paraId="1F2767CF">
            <w:pPr>
              <w:pStyle w:val="109"/>
              <w:rPr>
                <w:color w:val="000000" w:themeColor="text1"/>
                <w14:textFill>
                  <w14:solidFill>
                    <w14:schemeClr w14:val="tx1"/>
                  </w14:solidFill>
                </w14:textFill>
              </w:rPr>
            </w:pPr>
            <w:r>
              <w:rPr>
                <w:color w:val="000000" w:themeColor="text1"/>
                <w14:textFill>
                  <w14:solidFill>
                    <w14:schemeClr w14:val="tx1"/>
                  </w14:solidFill>
                </w14:textFill>
              </w:rPr>
              <w:t>实验室</w:t>
            </w:r>
          </w:p>
        </w:tc>
        <w:tc>
          <w:tcPr>
            <w:tcW w:w="1191" w:type="pct"/>
            <w:vAlign w:val="center"/>
          </w:tcPr>
          <w:p w14:paraId="45C63B5A">
            <w:pPr>
              <w:pStyle w:val="109"/>
              <w:rPr>
                <w:color w:val="000000" w:themeColor="text1"/>
                <w14:textFill>
                  <w14:solidFill>
                    <w14:schemeClr w14:val="tx1"/>
                  </w14:solidFill>
                </w14:textFill>
              </w:rPr>
            </w:pPr>
            <w:r>
              <w:rPr>
                <w:color w:val="000000" w:themeColor="text1"/>
                <w14:textFill>
                  <w14:solidFill>
                    <w14:schemeClr w14:val="tx1"/>
                  </w14:solidFill>
                </w14:textFill>
              </w:rPr>
              <w:t>全盐量、COD、氨氮</w:t>
            </w:r>
          </w:p>
        </w:tc>
        <w:tc>
          <w:tcPr>
            <w:tcW w:w="1416" w:type="pct"/>
            <w:vMerge w:val="continue"/>
            <w:vAlign w:val="center"/>
          </w:tcPr>
          <w:p w14:paraId="60DFCCA7">
            <w:pPr>
              <w:pStyle w:val="109"/>
              <w:rPr>
                <w:color w:val="000000" w:themeColor="text1"/>
                <w14:textFill>
                  <w14:solidFill>
                    <w14:schemeClr w14:val="tx1"/>
                  </w14:solidFill>
                </w14:textFill>
              </w:rPr>
            </w:pPr>
          </w:p>
        </w:tc>
      </w:tr>
      <w:tr w14:paraId="7B43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55" w:type="pct"/>
            <w:vMerge w:val="continue"/>
            <w:vAlign w:val="center"/>
          </w:tcPr>
          <w:p w14:paraId="59BF970E">
            <w:pPr>
              <w:pStyle w:val="109"/>
              <w:rPr>
                <w:color w:val="000000" w:themeColor="text1"/>
                <w14:textFill>
                  <w14:solidFill>
                    <w14:schemeClr w14:val="tx1"/>
                  </w14:solidFill>
                </w14:textFill>
              </w:rPr>
            </w:pPr>
          </w:p>
        </w:tc>
        <w:tc>
          <w:tcPr>
            <w:tcW w:w="392" w:type="pct"/>
            <w:vAlign w:val="center"/>
          </w:tcPr>
          <w:p w14:paraId="2612D006">
            <w:pPr>
              <w:pStyle w:val="109"/>
              <w:rPr>
                <w:color w:val="000000" w:themeColor="text1"/>
                <w14:textFill>
                  <w14:solidFill>
                    <w14:schemeClr w14:val="tx1"/>
                  </w14:solidFill>
                </w14:textFill>
              </w:rPr>
            </w:pPr>
            <w:r>
              <w:rPr>
                <w:color w:val="000000" w:themeColor="text1"/>
                <w14:textFill>
                  <w14:solidFill>
                    <w14:schemeClr w14:val="tx1"/>
                  </w14:solidFill>
                </w14:textFill>
              </w:rPr>
              <w:t>W5</w:t>
            </w:r>
          </w:p>
        </w:tc>
        <w:tc>
          <w:tcPr>
            <w:tcW w:w="890" w:type="pct"/>
            <w:vAlign w:val="center"/>
          </w:tcPr>
          <w:p w14:paraId="3AC34B26">
            <w:pPr>
              <w:pStyle w:val="109"/>
              <w:rPr>
                <w:color w:val="000000" w:themeColor="text1"/>
                <w14:textFill>
                  <w14:solidFill>
                    <w14:schemeClr w14:val="tx1"/>
                  </w14:solidFill>
                </w14:textFill>
              </w:rPr>
            </w:pPr>
            <w:r>
              <w:rPr>
                <w:color w:val="000000" w:themeColor="text1"/>
                <w14:textFill>
                  <w14:solidFill>
                    <w14:schemeClr w14:val="tx1"/>
                  </w14:solidFill>
                </w14:textFill>
              </w:rPr>
              <w:t>地面冲洗废水</w:t>
            </w:r>
          </w:p>
        </w:tc>
        <w:tc>
          <w:tcPr>
            <w:tcW w:w="756" w:type="pct"/>
            <w:vAlign w:val="center"/>
          </w:tcPr>
          <w:p w14:paraId="7126C9E4">
            <w:pPr>
              <w:pStyle w:val="109"/>
              <w:rPr>
                <w:color w:val="000000" w:themeColor="text1"/>
                <w14:textFill>
                  <w14:solidFill>
                    <w14:schemeClr w14:val="tx1"/>
                  </w14:solidFill>
                </w14:textFill>
              </w:rPr>
            </w:pPr>
            <w:r>
              <w:rPr>
                <w:color w:val="000000" w:themeColor="text1"/>
                <w14:textFill>
                  <w14:solidFill>
                    <w14:schemeClr w14:val="tx1"/>
                  </w14:solidFill>
                </w14:textFill>
              </w:rPr>
              <w:t>地面冲洗</w:t>
            </w:r>
          </w:p>
        </w:tc>
        <w:tc>
          <w:tcPr>
            <w:tcW w:w="1191" w:type="pct"/>
            <w:vAlign w:val="center"/>
          </w:tcPr>
          <w:p w14:paraId="781C2EE7">
            <w:pPr>
              <w:pStyle w:val="109"/>
              <w:rPr>
                <w:color w:val="000000" w:themeColor="text1"/>
                <w14:textFill>
                  <w14:solidFill>
                    <w14:schemeClr w14:val="tx1"/>
                  </w14:solidFill>
                </w14:textFill>
              </w:rPr>
            </w:pPr>
            <w:r>
              <w:rPr>
                <w:color w:val="000000" w:themeColor="text1"/>
                <w14:textFill>
                  <w14:solidFill>
                    <w14:schemeClr w14:val="tx1"/>
                  </w14:solidFill>
                </w14:textFill>
              </w:rPr>
              <w:t>全盐量、COD、氨氮、SS</w:t>
            </w:r>
          </w:p>
        </w:tc>
        <w:tc>
          <w:tcPr>
            <w:tcW w:w="1416" w:type="pct"/>
            <w:vMerge w:val="continue"/>
            <w:vAlign w:val="center"/>
          </w:tcPr>
          <w:p w14:paraId="6C405684">
            <w:pPr>
              <w:pStyle w:val="109"/>
              <w:rPr>
                <w:color w:val="000000" w:themeColor="text1"/>
                <w14:textFill>
                  <w14:solidFill>
                    <w14:schemeClr w14:val="tx1"/>
                  </w14:solidFill>
                </w14:textFill>
              </w:rPr>
            </w:pPr>
          </w:p>
        </w:tc>
      </w:tr>
      <w:tr w14:paraId="7719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55" w:type="pct"/>
            <w:vMerge w:val="continue"/>
            <w:vAlign w:val="center"/>
          </w:tcPr>
          <w:p w14:paraId="1222D456">
            <w:pPr>
              <w:pStyle w:val="109"/>
              <w:rPr>
                <w:color w:val="000000" w:themeColor="text1"/>
                <w14:textFill>
                  <w14:solidFill>
                    <w14:schemeClr w14:val="tx1"/>
                  </w14:solidFill>
                </w14:textFill>
              </w:rPr>
            </w:pPr>
          </w:p>
        </w:tc>
        <w:tc>
          <w:tcPr>
            <w:tcW w:w="392" w:type="pct"/>
            <w:vAlign w:val="center"/>
          </w:tcPr>
          <w:p w14:paraId="5D389386">
            <w:pPr>
              <w:pStyle w:val="109"/>
              <w:rPr>
                <w:color w:val="000000" w:themeColor="text1"/>
                <w14:textFill>
                  <w14:solidFill>
                    <w14:schemeClr w14:val="tx1"/>
                  </w14:solidFill>
                </w14:textFill>
              </w:rPr>
            </w:pPr>
            <w:r>
              <w:rPr>
                <w:color w:val="000000" w:themeColor="text1"/>
                <w14:textFill>
                  <w14:solidFill>
                    <w14:schemeClr w14:val="tx1"/>
                  </w14:solidFill>
                </w14:textFill>
              </w:rPr>
              <w:t>W6</w:t>
            </w:r>
          </w:p>
        </w:tc>
        <w:tc>
          <w:tcPr>
            <w:tcW w:w="890" w:type="pct"/>
            <w:vAlign w:val="center"/>
          </w:tcPr>
          <w:p w14:paraId="5E8062EE">
            <w:pPr>
              <w:pStyle w:val="109"/>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756" w:type="pct"/>
            <w:vAlign w:val="center"/>
          </w:tcPr>
          <w:p w14:paraId="7E6029D6">
            <w:pPr>
              <w:pStyle w:val="109"/>
              <w:rPr>
                <w:color w:val="000000" w:themeColor="text1"/>
                <w14:textFill>
                  <w14:solidFill>
                    <w14:schemeClr w14:val="tx1"/>
                  </w14:solidFill>
                </w14:textFill>
              </w:rPr>
            </w:pPr>
            <w:r>
              <w:rPr>
                <w:color w:val="000000" w:themeColor="text1"/>
                <w14:textFill>
                  <w14:solidFill>
                    <w14:schemeClr w14:val="tx1"/>
                  </w14:solidFill>
                </w14:textFill>
              </w:rPr>
              <w:t>员工办公、生活</w:t>
            </w:r>
          </w:p>
        </w:tc>
        <w:tc>
          <w:tcPr>
            <w:tcW w:w="1191" w:type="pct"/>
            <w:vAlign w:val="center"/>
          </w:tcPr>
          <w:p w14:paraId="4A31EDBA">
            <w:pPr>
              <w:pStyle w:val="109"/>
              <w:rPr>
                <w:color w:val="000000" w:themeColor="text1"/>
                <w14:textFill>
                  <w14:solidFill>
                    <w14:schemeClr w14:val="tx1"/>
                  </w14:solidFill>
                </w14:textFill>
              </w:rPr>
            </w:pPr>
            <w:r>
              <w:rPr>
                <w:color w:val="000000" w:themeColor="text1"/>
                <w14:textFill>
                  <w14:solidFill>
                    <w14:schemeClr w14:val="tx1"/>
                  </w14:solidFill>
                </w14:textFill>
              </w:rPr>
              <w:t>COD、氨氮、SS、总氮、总磷</w:t>
            </w:r>
          </w:p>
        </w:tc>
        <w:tc>
          <w:tcPr>
            <w:tcW w:w="1416" w:type="pct"/>
            <w:vAlign w:val="center"/>
          </w:tcPr>
          <w:p w14:paraId="7879E37D">
            <w:pPr>
              <w:pStyle w:val="109"/>
              <w:rPr>
                <w:color w:val="000000" w:themeColor="text1"/>
                <w14:textFill>
                  <w14:solidFill>
                    <w14:schemeClr w14:val="tx1"/>
                  </w14:solidFill>
                </w14:textFill>
              </w:rPr>
            </w:pPr>
            <w:r>
              <w:rPr>
                <w:color w:val="000000" w:themeColor="text1"/>
                <w14:textFill>
                  <w14:solidFill>
                    <w14:schemeClr w14:val="tx1"/>
                  </w14:solidFill>
                </w14:textFill>
              </w:rPr>
              <w:t>化粪池处理后排入园区污水管网</w:t>
            </w:r>
          </w:p>
        </w:tc>
      </w:tr>
      <w:tr w14:paraId="6A09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restart"/>
            <w:vAlign w:val="center"/>
          </w:tcPr>
          <w:p w14:paraId="796298A8">
            <w:pPr>
              <w:pStyle w:val="109"/>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392" w:type="pct"/>
            <w:vAlign w:val="center"/>
          </w:tcPr>
          <w:p w14:paraId="56876888">
            <w:pPr>
              <w:pStyle w:val="109"/>
              <w:rPr>
                <w:color w:val="000000" w:themeColor="text1"/>
                <w14:textFill>
                  <w14:solidFill>
                    <w14:schemeClr w14:val="tx1"/>
                  </w14:solidFill>
                </w14:textFill>
              </w:rPr>
            </w:pPr>
            <w:r>
              <w:rPr>
                <w:color w:val="000000" w:themeColor="text1"/>
                <w14:textFill>
                  <w14:solidFill>
                    <w14:schemeClr w14:val="tx1"/>
                  </w14:solidFill>
                </w14:textFill>
              </w:rPr>
              <w:t>S1</w:t>
            </w:r>
          </w:p>
        </w:tc>
        <w:tc>
          <w:tcPr>
            <w:tcW w:w="890" w:type="pct"/>
            <w:vAlign w:val="center"/>
          </w:tcPr>
          <w:p w14:paraId="23C1FADB">
            <w:pPr>
              <w:pStyle w:val="109"/>
              <w:rPr>
                <w:color w:val="000000" w:themeColor="text1"/>
                <w14:textFill>
                  <w14:solidFill>
                    <w14:schemeClr w14:val="tx1"/>
                  </w14:solidFill>
                </w14:textFill>
              </w:rPr>
            </w:pPr>
            <w:r>
              <w:rPr>
                <w:color w:val="000000" w:themeColor="text1"/>
                <w14:textFill>
                  <w14:solidFill>
                    <w14:schemeClr w14:val="tx1"/>
                  </w14:solidFill>
                </w14:textFill>
              </w:rPr>
              <w:t>废活性炭</w:t>
            </w:r>
          </w:p>
        </w:tc>
        <w:tc>
          <w:tcPr>
            <w:tcW w:w="756" w:type="pct"/>
            <w:vAlign w:val="center"/>
          </w:tcPr>
          <w:p w14:paraId="63C1680B">
            <w:pPr>
              <w:pStyle w:val="109"/>
              <w:rPr>
                <w:color w:val="000000" w:themeColor="text1"/>
                <w14:textFill>
                  <w14:solidFill>
                    <w14:schemeClr w14:val="tx1"/>
                  </w14:solidFill>
                </w14:textFill>
              </w:rPr>
            </w:pPr>
            <w:r>
              <w:rPr>
                <w:color w:val="000000" w:themeColor="text1"/>
                <w14:textFill>
                  <w14:solidFill>
                    <w14:schemeClr w14:val="tx1"/>
                  </w14:solidFill>
                </w14:textFill>
              </w:rPr>
              <w:t>活性炭吸附装置</w:t>
            </w:r>
          </w:p>
        </w:tc>
        <w:tc>
          <w:tcPr>
            <w:tcW w:w="1191" w:type="pct"/>
            <w:vAlign w:val="center"/>
          </w:tcPr>
          <w:p w14:paraId="0DC14896">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416" w:type="pct"/>
            <w:vMerge w:val="restart"/>
            <w:vAlign w:val="center"/>
          </w:tcPr>
          <w:p w14:paraId="4B0A6D1F">
            <w:pPr>
              <w:pStyle w:val="109"/>
              <w:rPr>
                <w:color w:val="000000" w:themeColor="text1"/>
                <w14:textFill>
                  <w14:solidFill>
                    <w14:schemeClr w14:val="tx1"/>
                  </w14:solidFill>
                </w14:textFill>
              </w:rPr>
            </w:pPr>
            <w:r>
              <w:rPr>
                <w:color w:val="000000" w:themeColor="text1"/>
                <w14:textFill>
                  <w14:solidFill>
                    <w14:schemeClr w14:val="tx1"/>
                  </w14:solidFill>
                </w14:textFill>
              </w:rPr>
              <w:t>委托有资质的单位处置</w:t>
            </w:r>
          </w:p>
        </w:tc>
      </w:tr>
      <w:tr w14:paraId="320E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796FF4CE">
            <w:pPr>
              <w:pStyle w:val="109"/>
              <w:rPr>
                <w:color w:val="000000" w:themeColor="text1"/>
                <w14:textFill>
                  <w14:solidFill>
                    <w14:schemeClr w14:val="tx1"/>
                  </w14:solidFill>
                </w14:textFill>
              </w:rPr>
            </w:pPr>
          </w:p>
        </w:tc>
        <w:tc>
          <w:tcPr>
            <w:tcW w:w="392" w:type="pct"/>
            <w:vAlign w:val="center"/>
          </w:tcPr>
          <w:p w14:paraId="570F7819">
            <w:pPr>
              <w:pStyle w:val="109"/>
              <w:rPr>
                <w:color w:val="000000" w:themeColor="text1"/>
                <w14:textFill>
                  <w14:solidFill>
                    <w14:schemeClr w14:val="tx1"/>
                  </w14:solidFill>
                </w14:textFill>
              </w:rPr>
            </w:pPr>
            <w:r>
              <w:rPr>
                <w:color w:val="000000" w:themeColor="text1"/>
                <w14:textFill>
                  <w14:solidFill>
                    <w14:schemeClr w14:val="tx1"/>
                  </w14:solidFill>
                </w14:textFill>
              </w:rPr>
              <w:t>S2</w:t>
            </w:r>
          </w:p>
        </w:tc>
        <w:tc>
          <w:tcPr>
            <w:tcW w:w="890" w:type="pct"/>
            <w:vAlign w:val="center"/>
          </w:tcPr>
          <w:p w14:paraId="077F3B44">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多效蒸发废盐</w:t>
            </w:r>
          </w:p>
        </w:tc>
        <w:tc>
          <w:tcPr>
            <w:tcW w:w="756" w:type="pct"/>
            <w:vAlign w:val="center"/>
          </w:tcPr>
          <w:p w14:paraId="37114D8F">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多效蒸发器</w:t>
            </w:r>
          </w:p>
        </w:tc>
        <w:tc>
          <w:tcPr>
            <w:tcW w:w="1191" w:type="pct"/>
            <w:vAlign w:val="center"/>
          </w:tcPr>
          <w:p w14:paraId="2DD94715">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416" w:type="pct"/>
            <w:vMerge w:val="continue"/>
            <w:vAlign w:val="center"/>
          </w:tcPr>
          <w:p w14:paraId="0388CC32">
            <w:pPr>
              <w:pStyle w:val="109"/>
              <w:rPr>
                <w:color w:val="000000" w:themeColor="text1"/>
                <w14:textFill>
                  <w14:solidFill>
                    <w14:schemeClr w14:val="tx1"/>
                  </w14:solidFill>
                </w14:textFill>
              </w:rPr>
            </w:pPr>
          </w:p>
        </w:tc>
      </w:tr>
      <w:tr w14:paraId="1C3E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6991A093">
            <w:pPr>
              <w:pStyle w:val="109"/>
              <w:rPr>
                <w:color w:val="000000" w:themeColor="text1"/>
                <w14:textFill>
                  <w14:solidFill>
                    <w14:schemeClr w14:val="tx1"/>
                  </w14:solidFill>
                </w14:textFill>
              </w:rPr>
            </w:pPr>
          </w:p>
        </w:tc>
        <w:tc>
          <w:tcPr>
            <w:tcW w:w="392" w:type="pct"/>
            <w:vAlign w:val="center"/>
          </w:tcPr>
          <w:p w14:paraId="12CA249C">
            <w:pPr>
              <w:pStyle w:val="109"/>
              <w:rPr>
                <w:color w:val="000000" w:themeColor="text1"/>
                <w14:textFill>
                  <w14:solidFill>
                    <w14:schemeClr w14:val="tx1"/>
                  </w14:solidFill>
                </w14:textFill>
              </w:rPr>
            </w:pPr>
            <w:r>
              <w:rPr>
                <w:color w:val="000000" w:themeColor="text1"/>
                <w14:textFill>
                  <w14:solidFill>
                    <w14:schemeClr w14:val="tx1"/>
                  </w14:solidFill>
                </w14:textFill>
              </w:rPr>
              <w:t>S3</w:t>
            </w:r>
          </w:p>
        </w:tc>
        <w:tc>
          <w:tcPr>
            <w:tcW w:w="890" w:type="pct"/>
            <w:vAlign w:val="center"/>
          </w:tcPr>
          <w:p w14:paraId="6FEB3C27">
            <w:pPr>
              <w:pStyle w:val="109"/>
              <w:rPr>
                <w:color w:val="000000" w:themeColor="text1"/>
                <w14:textFill>
                  <w14:solidFill>
                    <w14:schemeClr w14:val="tx1"/>
                  </w14:solidFill>
                </w14:textFill>
              </w:rPr>
            </w:pPr>
            <w:r>
              <w:rPr>
                <w:color w:val="000000" w:themeColor="text1"/>
                <w14:textFill>
                  <w14:solidFill>
                    <w14:schemeClr w14:val="tx1"/>
                  </w14:solidFill>
                </w14:textFill>
              </w:rPr>
              <w:t>废气处理设施沉淀池泥渣</w:t>
            </w:r>
          </w:p>
        </w:tc>
        <w:tc>
          <w:tcPr>
            <w:tcW w:w="756" w:type="pct"/>
            <w:vAlign w:val="center"/>
          </w:tcPr>
          <w:p w14:paraId="2E6F88F3">
            <w:pPr>
              <w:pStyle w:val="109"/>
              <w:ind w:left="-96" w:leftChars="-40" w:right="-96" w:rightChars="-40"/>
              <w:rPr>
                <w:color w:val="000000" w:themeColor="text1"/>
                <w14:textFill>
                  <w14:solidFill>
                    <w14:schemeClr w14:val="tx1"/>
                  </w14:solidFill>
                </w14:textFill>
              </w:rPr>
            </w:pPr>
            <w:r>
              <w:rPr>
                <w:color w:val="000000" w:themeColor="text1"/>
                <w14:textFill>
                  <w14:solidFill>
                    <w14:schemeClr w14:val="tx1"/>
                  </w14:solidFill>
                </w14:textFill>
              </w:rPr>
              <w:t>碱洗塔沉淀池</w:t>
            </w:r>
          </w:p>
        </w:tc>
        <w:tc>
          <w:tcPr>
            <w:tcW w:w="1191" w:type="pct"/>
            <w:vAlign w:val="center"/>
          </w:tcPr>
          <w:p w14:paraId="07E59198">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416" w:type="pct"/>
            <w:vMerge w:val="continue"/>
            <w:vAlign w:val="center"/>
          </w:tcPr>
          <w:p w14:paraId="0D0F3A5B">
            <w:pPr>
              <w:pStyle w:val="109"/>
              <w:rPr>
                <w:color w:val="000000" w:themeColor="text1"/>
                <w14:textFill>
                  <w14:solidFill>
                    <w14:schemeClr w14:val="tx1"/>
                  </w14:solidFill>
                </w14:textFill>
              </w:rPr>
            </w:pPr>
          </w:p>
        </w:tc>
      </w:tr>
      <w:tr w14:paraId="7B4E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21542069">
            <w:pPr>
              <w:pStyle w:val="109"/>
              <w:rPr>
                <w:color w:val="000000" w:themeColor="text1"/>
                <w14:textFill>
                  <w14:solidFill>
                    <w14:schemeClr w14:val="tx1"/>
                  </w14:solidFill>
                </w14:textFill>
              </w:rPr>
            </w:pPr>
          </w:p>
        </w:tc>
        <w:tc>
          <w:tcPr>
            <w:tcW w:w="392" w:type="pct"/>
            <w:vAlign w:val="center"/>
          </w:tcPr>
          <w:p w14:paraId="336C1491">
            <w:pPr>
              <w:pStyle w:val="109"/>
              <w:rPr>
                <w:color w:val="000000" w:themeColor="text1"/>
                <w14:textFill>
                  <w14:solidFill>
                    <w14:schemeClr w14:val="tx1"/>
                  </w14:solidFill>
                </w14:textFill>
              </w:rPr>
            </w:pPr>
            <w:r>
              <w:rPr>
                <w:color w:val="000000" w:themeColor="text1"/>
                <w14:textFill>
                  <w14:solidFill>
                    <w14:schemeClr w14:val="tx1"/>
                  </w14:solidFill>
                </w14:textFill>
              </w:rPr>
              <w:t>S4</w:t>
            </w:r>
          </w:p>
        </w:tc>
        <w:tc>
          <w:tcPr>
            <w:tcW w:w="890" w:type="pct"/>
            <w:vAlign w:val="center"/>
          </w:tcPr>
          <w:p w14:paraId="545DCFE6">
            <w:pPr>
              <w:pStyle w:val="109"/>
              <w:rPr>
                <w:color w:val="000000" w:themeColor="text1"/>
                <w14:textFill>
                  <w14:solidFill>
                    <w14:schemeClr w14:val="tx1"/>
                  </w14:solidFill>
                </w14:textFill>
              </w:rPr>
            </w:pPr>
            <w:r>
              <w:rPr>
                <w:color w:val="000000" w:themeColor="text1"/>
                <w14:textFill>
                  <w14:solidFill>
                    <w14:schemeClr w14:val="tx1"/>
                  </w14:solidFill>
                </w14:textFill>
              </w:rPr>
              <w:t>脱硝废催化剂</w:t>
            </w:r>
          </w:p>
        </w:tc>
        <w:tc>
          <w:tcPr>
            <w:tcW w:w="756" w:type="pct"/>
            <w:vAlign w:val="center"/>
          </w:tcPr>
          <w:p w14:paraId="2DFD8080">
            <w:pPr>
              <w:pStyle w:val="109"/>
              <w:rPr>
                <w:color w:val="000000" w:themeColor="text1"/>
                <w14:textFill>
                  <w14:solidFill>
                    <w14:schemeClr w14:val="tx1"/>
                  </w14:solidFill>
                </w14:textFill>
              </w:rPr>
            </w:pPr>
            <w:r>
              <w:rPr>
                <w:color w:val="000000" w:themeColor="text1"/>
                <w14:textFill>
                  <w14:solidFill>
                    <w14:schemeClr w14:val="tx1"/>
                  </w14:solidFill>
                </w14:textFill>
              </w:rPr>
              <w:t>SCR</w:t>
            </w:r>
          </w:p>
        </w:tc>
        <w:tc>
          <w:tcPr>
            <w:tcW w:w="1191" w:type="pct"/>
            <w:vAlign w:val="center"/>
          </w:tcPr>
          <w:p w14:paraId="71376F16">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416" w:type="pct"/>
            <w:vMerge w:val="continue"/>
            <w:vAlign w:val="center"/>
          </w:tcPr>
          <w:p w14:paraId="76AD8EDB">
            <w:pPr>
              <w:pStyle w:val="109"/>
              <w:rPr>
                <w:color w:val="000000" w:themeColor="text1"/>
                <w14:textFill>
                  <w14:solidFill>
                    <w14:schemeClr w14:val="tx1"/>
                  </w14:solidFill>
                </w14:textFill>
              </w:rPr>
            </w:pPr>
          </w:p>
        </w:tc>
      </w:tr>
      <w:tr w14:paraId="4564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0B0928EB">
            <w:pPr>
              <w:pStyle w:val="109"/>
              <w:rPr>
                <w:color w:val="000000" w:themeColor="text1"/>
                <w14:textFill>
                  <w14:solidFill>
                    <w14:schemeClr w14:val="tx1"/>
                  </w14:solidFill>
                </w14:textFill>
              </w:rPr>
            </w:pPr>
          </w:p>
        </w:tc>
        <w:tc>
          <w:tcPr>
            <w:tcW w:w="392" w:type="pct"/>
            <w:vAlign w:val="center"/>
          </w:tcPr>
          <w:p w14:paraId="79736535">
            <w:pPr>
              <w:pStyle w:val="109"/>
              <w:rPr>
                <w:color w:val="000000" w:themeColor="text1"/>
                <w14:textFill>
                  <w14:solidFill>
                    <w14:schemeClr w14:val="tx1"/>
                  </w14:solidFill>
                </w14:textFill>
              </w:rPr>
            </w:pPr>
            <w:r>
              <w:rPr>
                <w:color w:val="000000" w:themeColor="text1"/>
                <w14:textFill>
                  <w14:solidFill>
                    <w14:schemeClr w14:val="tx1"/>
                  </w14:solidFill>
                </w14:textFill>
              </w:rPr>
              <w:t>S5</w:t>
            </w:r>
          </w:p>
        </w:tc>
        <w:tc>
          <w:tcPr>
            <w:tcW w:w="890" w:type="pct"/>
            <w:vAlign w:val="center"/>
          </w:tcPr>
          <w:p w14:paraId="5AFE980A">
            <w:pPr>
              <w:pStyle w:val="109"/>
              <w:rPr>
                <w:color w:val="000000" w:themeColor="text1"/>
                <w14:textFill>
                  <w14:solidFill>
                    <w14:schemeClr w14:val="tx1"/>
                  </w14:solidFill>
                </w14:textFill>
              </w:rPr>
            </w:pPr>
            <w:r>
              <w:rPr>
                <w:color w:val="000000" w:themeColor="text1"/>
                <w14:textFill>
                  <w14:solidFill>
                    <w14:schemeClr w14:val="tx1"/>
                  </w14:solidFill>
                </w14:textFill>
              </w:rPr>
              <w:t>废盐包装袋</w:t>
            </w:r>
          </w:p>
        </w:tc>
        <w:tc>
          <w:tcPr>
            <w:tcW w:w="756" w:type="pct"/>
            <w:vAlign w:val="center"/>
          </w:tcPr>
          <w:p w14:paraId="741BA626">
            <w:pPr>
              <w:pStyle w:val="109"/>
              <w:rPr>
                <w:color w:val="000000" w:themeColor="text1"/>
                <w14:textFill>
                  <w14:solidFill>
                    <w14:schemeClr w14:val="tx1"/>
                  </w14:solidFill>
                </w14:textFill>
              </w:rPr>
            </w:pPr>
            <w:r>
              <w:rPr>
                <w:color w:val="000000" w:themeColor="text1"/>
                <w14:textFill>
                  <w14:solidFill>
                    <w14:schemeClr w14:val="tx1"/>
                  </w14:solidFill>
                </w14:textFill>
              </w:rPr>
              <w:t>物料投加</w:t>
            </w:r>
          </w:p>
        </w:tc>
        <w:tc>
          <w:tcPr>
            <w:tcW w:w="1191" w:type="pct"/>
            <w:vAlign w:val="center"/>
          </w:tcPr>
          <w:p w14:paraId="63C1FCEF">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416" w:type="pct"/>
            <w:vMerge w:val="continue"/>
            <w:vAlign w:val="center"/>
          </w:tcPr>
          <w:p w14:paraId="241143DA">
            <w:pPr>
              <w:pStyle w:val="109"/>
              <w:rPr>
                <w:color w:val="000000" w:themeColor="text1"/>
                <w14:textFill>
                  <w14:solidFill>
                    <w14:schemeClr w14:val="tx1"/>
                  </w14:solidFill>
                </w14:textFill>
              </w:rPr>
            </w:pPr>
          </w:p>
        </w:tc>
      </w:tr>
      <w:tr w14:paraId="79F8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47F2C71B">
            <w:pPr>
              <w:pStyle w:val="109"/>
              <w:rPr>
                <w:color w:val="000000" w:themeColor="text1"/>
                <w14:textFill>
                  <w14:solidFill>
                    <w14:schemeClr w14:val="tx1"/>
                  </w14:solidFill>
                </w14:textFill>
              </w:rPr>
            </w:pPr>
          </w:p>
        </w:tc>
        <w:tc>
          <w:tcPr>
            <w:tcW w:w="392" w:type="pct"/>
            <w:vAlign w:val="center"/>
          </w:tcPr>
          <w:p w14:paraId="47CD409B">
            <w:pPr>
              <w:pStyle w:val="109"/>
              <w:rPr>
                <w:color w:val="000000" w:themeColor="text1"/>
                <w14:textFill>
                  <w14:solidFill>
                    <w14:schemeClr w14:val="tx1"/>
                  </w14:solidFill>
                </w14:textFill>
              </w:rPr>
            </w:pPr>
            <w:r>
              <w:rPr>
                <w:color w:val="000000" w:themeColor="text1"/>
                <w14:textFill>
                  <w14:solidFill>
                    <w14:schemeClr w14:val="tx1"/>
                  </w14:solidFill>
                </w14:textFill>
              </w:rPr>
              <w:t>S6</w:t>
            </w:r>
          </w:p>
        </w:tc>
        <w:tc>
          <w:tcPr>
            <w:tcW w:w="890" w:type="pct"/>
            <w:vAlign w:val="center"/>
          </w:tcPr>
          <w:p w14:paraId="2834666F">
            <w:pPr>
              <w:pStyle w:val="109"/>
              <w:rPr>
                <w:color w:val="000000" w:themeColor="text1"/>
                <w14:textFill>
                  <w14:solidFill>
                    <w14:schemeClr w14:val="tx1"/>
                  </w14:solidFill>
                </w14:textFill>
              </w:rPr>
            </w:pPr>
            <w:r>
              <w:rPr>
                <w:color w:val="000000" w:themeColor="text1"/>
                <w14:textFill>
                  <w14:solidFill>
                    <w14:schemeClr w14:val="tx1"/>
                  </w14:solidFill>
                </w14:textFill>
              </w:rPr>
              <w:t>化验残渣、化验废液、破损的化验容器</w:t>
            </w:r>
          </w:p>
        </w:tc>
        <w:tc>
          <w:tcPr>
            <w:tcW w:w="756" w:type="pct"/>
            <w:vAlign w:val="center"/>
          </w:tcPr>
          <w:p w14:paraId="7D4A67EB">
            <w:pPr>
              <w:pStyle w:val="109"/>
              <w:rPr>
                <w:color w:val="000000" w:themeColor="text1"/>
                <w14:textFill>
                  <w14:solidFill>
                    <w14:schemeClr w14:val="tx1"/>
                  </w14:solidFill>
                </w14:textFill>
              </w:rPr>
            </w:pPr>
            <w:r>
              <w:rPr>
                <w:color w:val="000000" w:themeColor="text1"/>
                <w14:textFill>
                  <w14:solidFill>
                    <w14:schemeClr w14:val="tx1"/>
                  </w14:solidFill>
                </w14:textFill>
              </w:rPr>
              <w:t>实验室</w:t>
            </w:r>
          </w:p>
        </w:tc>
        <w:tc>
          <w:tcPr>
            <w:tcW w:w="1191" w:type="pct"/>
            <w:vAlign w:val="center"/>
          </w:tcPr>
          <w:p w14:paraId="2A819A09">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416" w:type="pct"/>
            <w:vMerge w:val="continue"/>
            <w:vAlign w:val="center"/>
          </w:tcPr>
          <w:p w14:paraId="48FF01E4">
            <w:pPr>
              <w:pStyle w:val="109"/>
              <w:rPr>
                <w:color w:val="000000" w:themeColor="text1"/>
                <w14:textFill>
                  <w14:solidFill>
                    <w14:schemeClr w14:val="tx1"/>
                  </w14:solidFill>
                </w14:textFill>
              </w:rPr>
            </w:pPr>
          </w:p>
        </w:tc>
      </w:tr>
      <w:tr w14:paraId="7CFD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vAlign w:val="center"/>
          </w:tcPr>
          <w:p w14:paraId="4B2BF33F">
            <w:pPr>
              <w:pStyle w:val="109"/>
              <w:rPr>
                <w:color w:val="000000" w:themeColor="text1"/>
                <w14:textFill>
                  <w14:solidFill>
                    <w14:schemeClr w14:val="tx1"/>
                  </w14:solidFill>
                </w14:textFill>
              </w:rPr>
            </w:pPr>
          </w:p>
        </w:tc>
        <w:tc>
          <w:tcPr>
            <w:tcW w:w="392" w:type="pct"/>
            <w:vAlign w:val="center"/>
          </w:tcPr>
          <w:p w14:paraId="701F95EB">
            <w:pPr>
              <w:pStyle w:val="109"/>
              <w:rPr>
                <w:color w:val="000000" w:themeColor="text1"/>
                <w14:textFill>
                  <w14:solidFill>
                    <w14:schemeClr w14:val="tx1"/>
                  </w14:solidFill>
                </w14:textFill>
              </w:rPr>
            </w:pPr>
            <w:r>
              <w:rPr>
                <w:color w:val="000000" w:themeColor="text1"/>
                <w14:textFill>
                  <w14:solidFill>
                    <w14:schemeClr w14:val="tx1"/>
                  </w14:solidFill>
                </w14:textFill>
              </w:rPr>
              <w:t>S7</w:t>
            </w:r>
          </w:p>
        </w:tc>
        <w:tc>
          <w:tcPr>
            <w:tcW w:w="890" w:type="pct"/>
            <w:vAlign w:val="center"/>
          </w:tcPr>
          <w:p w14:paraId="06C75701">
            <w:pPr>
              <w:pStyle w:val="109"/>
              <w:rPr>
                <w:color w:val="000000" w:themeColor="text1"/>
                <w14:textFill>
                  <w14:solidFill>
                    <w14:schemeClr w14:val="tx1"/>
                  </w14:solidFill>
                </w14:textFill>
              </w:rPr>
            </w:pPr>
            <w:r>
              <w:rPr>
                <w:color w:val="000000" w:themeColor="text1"/>
                <w14:textFill>
                  <w14:solidFill>
                    <w14:schemeClr w14:val="tx1"/>
                  </w14:solidFill>
                </w14:textFill>
              </w:rPr>
              <w:t>废润滑油及废油桶</w:t>
            </w:r>
          </w:p>
        </w:tc>
        <w:tc>
          <w:tcPr>
            <w:tcW w:w="756" w:type="pct"/>
            <w:vAlign w:val="center"/>
          </w:tcPr>
          <w:p w14:paraId="286173F1">
            <w:pPr>
              <w:pStyle w:val="109"/>
              <w:rPr>
                <w:color w:val="000000" w:themeColor="text1"/>
                <w14:textFill>
                  <w14:solidFill>
                    <w14:schemeClr w14:val="tx1"/>
                  </w14:solidFill>
                </w14:textFill>
              </w:rPr>
            </w:pPr>
            <w:r>
              <w:rPr>
                <w:color w:val="000000" w:themeColor="text1"/>
                <w14:textFill>
                  <w14:solidFill>
                    <w14:schemeClr w14:val="tx1"/>
                  </w14:solidFill>
                </w14:textFill>
              </w:rPr>
              <w:t>设备维护</w:t>
            </w:r>
          </w:p>
        </w:tc>
        <w:tc>
          <w:tcPr>
            <w:tcW w:w="1191" w:type="pct"/>
            <w:vAlign w:val="center"/>
          </w:tcPr>
          <w:p w14:paraId="3DA9AF54">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416" w:type="pct"/>
            <w:vMerge w:val="continue"/>
            <w:vAlign w:val="center"/>
          </w:tcPr>
          <w:p w14:paraId="31B80DFF">
            <w:pPr>
              <w:pStyle w:val="109"/>
              <w:rPr>
                <w:color w:val="000000" w:themeColor="text1"/>
                <w14:textFill>
                  <w14:solidFill>
                    <w14:schemeClr w14:val="tx1"/>
                  </w14:solidFill>
                </w14:textFill>
              </w:rPr>
            </w:pPr>
          </w:p>
        </w:tc>
      </w:tr>
      <w:tr w14:paraId="360C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55" w:type="pct"/>
            <w:vMerge w:val="continue"/>
            <w:vAlign w:val="center"/>
          </w:tcPr>
          <w:p w14:paraId="111A16B3">
            <w:pPr>
              <w:pStyle w:val="109"/>
              <w:rPr>
                <w:color w:val="000000" w:themeColor="text1"/>
                <w14:textFill>
                  <w14:solidFill>
                    <w14:schemeClr w14:val="tx1"/>
                  </w14:solidFill>
                </w14:textFill>
              </w:rPr>
            </w:pPr>
          </w:p>
        </w:tc>
        <w:tc>
          <w:tcPr>
            <w:tcW w:w="392" w:type="pct"/>
            <w:vAlign w:val="center"/>
          </w:tcPr>
          <w:p w14:paraId="30E58BFF">
            <w:pPr>
              <w:pStyle w:val="109"/>
              <w:rPr>
                <w:color w:val="000000" w:themeColor="text1"/>
                <w14:textFill>
                  <w14:solidFill>
                    <w14:schemeClr w14:val="tx1"/>
                  </w14:solidFill>
                </w14:textFill>
              </w:rPr>
            </w:pPr>
            <w:r>
              <w:rPr>
                <w:color w:val="000000" w:themeColor="text1"/>
                <w14:textFill>
                  <w14:solidFill>
                    <w14:schemeClr w14:val="tx1"/>
                  </w14:solidFill>
                </w14:textFill>
              </w:rPr>
              <w:t>S8</w:t>
            </w:r>
          </w:p>
        </w:tc>
        <w:tc>
          <w:tcPr>
            <w:tcW w:w="890" w:type="pct"/>
            <w:vAlign w:val="center"/>
          </w:tcPr>
          <w:p w14:paraId="71388D9A">
            <w:pPr>
              <w:pStyle w:val="109"/>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756" w:type="pct"/>
            <w:vAlign w:val="center"/>
          </w:tcPr>
          <w:p w14:paraId="219D303A">
            <w:pPr>
              <w:pStyle w:val="109"/>
              <w:rPr>
                <w:color w:val="000000" w:themeColor="text1"/>
                <w14:textFill>
                  <w14:solidFill>
                    <w14:schemeClr w14:val="tx1"/>
                  </w14:solidFill>
                </w14:textFill>
              </w:rPr>
            </w:pPr>
            <w:r>
              <w:rPr>
                <w:color w:val="000000" w:themeColor="text1"/>
                <w14:textFill>
                  <w14:solidFill>
                    <w14:schemeClr w14:val="tx1"/>
                  </w14:solidFill>
                </w14:textFill>
              </w:rPr>
              <w:t>办公、生活</w:t>
            </w:r>
          </w:p>
        </w:tc>
        <w:tc>
          <w:tcPr>
            <w:tcW w:w="1191" w:type="pct"/>
            <w:vAlign w:val="center"/>
          </w:tcPr>
          <w:p w14:paraId="264FEE79">
            <w:pPr>
              <w:pStyle w:val="109"/>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1416" w:type="pct"/>
            <w:vAlign w:val="center"/>
          </w:tcPr>
          <w:p w14:paraId="637C63C8">
            <w:pPr>
              <w:pStyle w:val="109"/>
              <w:rPr>
                <w:color w:val="000000" w:themeColor="text1"/>
                <w14:textFill>
                  <w14:solidFill>
                    <w14:schemeClr w14:val="tx1"/>
                  </w14:solidFill>
                </w14:textFill>
              </w:rPr>
            </w:pPr>
            <w:r>
              <w:rPr>
                <w:color w:val="000000" w:themeColor="text1"/>
                <w14:textFill>
                  <w14:solidFill>
                    <w14:schemeClr w14:val="tx1"/>
                  </w14:solidFill>
                </w14:textFill>
              </w:rPr>
              <w:t>环卫部门清运</w:t>
            </w:r>
          </w:p>
        </w:tc>
      </w:tr>
    </w:tbl>
    <w:p w14:paraId="41D81EFE">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融雪剂的生产工艺流程</w:t>
      </w:r>
    </w:p>
    <w:p w14:paraId="12DA67FA">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本项目所用原料盐均为厂区热解</w:t>
      </w:r>
      <w:r>
        <w:rPr>
          <w:rFonts w:hint="eastAsia"/>
          <w:color w:val="000000" w:themeColor="text1"/>
          <w:szCs w:val="21"/>
          <w14:textFill>
            <w14:solidFill>
              <w14:schemeClr w14:val="tx1"/>
            </w14:solidFill>
          </w14:textFill>
        </w:rPr>
        <w:t>焙烧</w:t>
      </w:r>
      <w:r>
        <w:rPr>
          <w:color w:val="000000" w:themeColor="text1"/>
          <w:szCs w:val="21"/>
          <w14:textFill>
            <w14:solidFill>
              <w14:schemeClr w14:val="tx1"/>
            </w14:solidFill>
          </w14:textFill>
        </w:rPr>
        <w:t>系统经高温脱除有机物后的原料盐，在封闭式原料仓内储存。</w:t>
      </w:r>
    </w:p>
    <w:p w14:paraId="5FD3A7E0">
      <w:pPr>
        <w:ind w:firstLine="480"/>
        <w:rPr>
          <w:color w:val="000000" w:themeColor="text1"/>
          <w:szCs w:val="21"/>
          <w14:textFill>
            <w14:solidFill>
              <w14:schemeClr w14:val="tx1"/>
            </w14:solidFill>
          </w14:textFill>
        </w:rPr>
      </w:pPr>
      <w:r>
        <w:rPr>
          <w:rFonts w:ascii="Cambria Math" w:hAnsi="Cambria Math" w:cs="Cambria Math"/>
          <w:color w:val="000000" w:themeColor="text1"/>
          <w:szCs w:val="21"/>
          <w14:textFill>
            <w14:solidFill>
              <w14:schemeClr w14:val="tx1"/>
            </w14:solidFill>
          </w14:textFill>
        </w:rPr>
        <w:t>①</w:t>
      </w:r>
      <w:r>
        <w:rPr>
          <w:color w:val="000000" w:themeColor="text1"/>
          <w:szCs w:val="21"/>
          <w14:textFill>
            <w14:solidFill>
              <w14:schemeClr w14:val="tx1"/>
            </w14:solidFill>
          </w14:textFill>
        </w:rPr>
        <w:t>生产时原料由密闭的螺旋输送装置投料至封闭式喂料机内待用。</w:t>
      </w:r>
    </w:p>
    <w:p w14:paraId="11E02EA8">
      <w:pPr>
        <w:ind w:firstLine="480"/>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产污环节：原料储存、输送过程均为密闭，因此无粉尘散逸，设备运行会产生噪声。</w:t>
      </w:r>
    </w:p>
    <w:p w14:paraId="12299056">
      <w:pPr>
        <w:ind w:firstLine="480"/>
        <w:rPr>
          <w:color w:val="000000" w:themeColor="text1"/>
          <w:szCs w:val="21"/>
          <w14:textFill>
            <w14:solidFill>
              <w14:schemeClr w14:val="tx1"/>
            </w14:solidFill>
          </w14:textFill>
        </w:rPr>
      </w:pPr>
      <w:r>
        <w:rPr>
          <w:rFonts w:ascii="Cambria Math" w:hAnsi="Cambria Math" w:cs="Cambria Math"/>
          <w:color w:val="000000" w:themeColor="text1"/>
          <w:szCs w:val="21"/>
          <w14:textFill>
            <w14:solidFill>
              <w14:schemeClr w14:val="tx1"/>
            </w14:solidFill>
          </w14:textFill>
        </w:rPr>
        <w:t>②</w:t>
      </w:r>
      <w:r>
        <w:rPr>
          <w:color w:val="000000" w:themeColor="text1"/>
          <w:szCs w:val="21"/>
          <w14:textFill>
            <w14:solidFill>
              <w14:schemeClr w14:val="tx1"/>
            </w14:solidFill>
          </w14:textFill>
        </w:rPr>
        <w:t>粉碎混合：由于原料盐储存过程中易吸收空气中水分受潮形成团块，故</w:t>
      </w:r>
      <w:r>
        <w:rPr>
          <w:color w:val="000000" w:themeColor="text1"/>
          <w:spacing w:val="-1"/>
          <w:szCs w:val="21"/>
          <w14:textFill>
            <w14:solidFill>
              <w14:schemeClr w14:val="tx1"/>
            </w14:solidFill>
          </w14:textFill>
        </w:rPr>
        <w:t>物料需经粉碎机粉碎，粉碎机为密闭式</w:t>
      </w:r>
      <w:r>
        <w:rPr>
          <w:color w:val="000000" w:themeColor="text1"/>
          <w:spacing w:val="-2"/>
          <w:szCs w:val="21"/>
          <w14:textFill>
            <w14:solidFill>
              <w14:schemeClr w14:val="tx1"/>
            </w14:solidFill>
          </w14:textFill>
        </w:rPr>
        <w:t>。</w:t>
      </w:r>
      <w:r>
        <w:rPr>
          <w:color w:val="000000" w:themeColor="text1"/>
          <w:szCs w:val="21"/>
          <w14:textFill>
            <w14:solidFill>
              <w14:schemeClr w14:val="tx1"/>
            </w14:solidFill>
          </w14:textFill>
        </w:rPr>
        <w:t>原料盐根据成分按照配比输送入粉碎混合一体机内进行粉碎、混合，充分均质后送入造粒机。</w:t>
      </w:r>
    </w:p>
    <w:p w14:paraId="55DC3635">
      <w:pPr>
        <w:ind w:firstLine="480"/>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产污环节：喂料机与粉碎机采用密闭螺旋输送设备进行物料的输送，粉碎设备为密闭式，粉碎过程无粉尘散逸，设备运行会产生噪声。</w:t>
      </w:r>
    </w:p>
    <w:p w14:paraId="25A8728D">
      <w:pPr>
        <w:ind w:firstLine="480"/>
        <w:rPr>
          <w:color w:val="000000" w:themeColor="text1"/>
          <w:szCs w:val="21"/>
          <w14:textFill>
            <w14:solidFill>
              <w14:schemeClr w14:val="tx1"/>
            </w14:solidFill>
          </w14:textFill>
        </w:rPr>
      </w:pPr>
      <w:r>
        <w:rPr>
          <w:rFonts w:ascii="Cambria Math" w:hAnsi="Cambria Math" w:cs="Cambria Math"/>
          <w:color w:val="000000" w:themeColor="text1"/>
          <w:szCs w:val="21"/>
          <w14:textFill>
            <w14:solidFill>
              <w14:schemeClr w14:val="tx1"/>
            </w14:solidFill>
          </w14:textFill>
        </w:rPr>
        <w:t>③</w:t>
      </w:r>
      <w:r>
        <w:rPr>
          <w:color w:val="000000" w:themeColor="text1"/>
          <w:szCs w:val="21"/>
          <w14:textFill>
            <w14:solidFill>
              <w14:schemeClr w14:val="tx1"/>
            </w14:solidFill>
          </w14:textFill>
        </w:rPr>
        <w:t>挤压造粒：均质后的混料经密闭螺旋输送设备送入造粒机，通过旋转的挤压辊辊缝，混料在强大的挤压力作用下挤压成密实的粒料成品。挤压造粒是借助于机械压力而使物料团聚成型的造粒。此过程属于物理复配，无化学反应。</w:t>
      </w:r>
    </w:p>
    <w:p w14:paraId="7C18766D">
      <w:pPr>
        <w:ind w:firstLine="480"/>
        <w:rPr>
          <w:color w:val="000000" w:themeColor="text1"/>
          <w:szCs w:val="21"/>
          <w14:textFill>
            <w14:solidFill>
              <w14:schemeClr w14:val="tx1"/>
            </w14:solidFill>
          </w14:textFill>
        </w:rPr>
      </w:pPr>
      <w:r>
        <w:rPr>
          <w:color w:val="000000" w:themeColor="text1"/>
          <w:szCs w:val="21"/>
          <w:u w:val="single"/>
          <w14:textFill>
            <w14:solidFill>
              <w14:schemeClr w14:val="tx1"/>
            </w14:solidFill>
          </w14:textFill>
        </w:rPr>
        <w:t>产污环节：物料采用密闭输送方式，造粒机为密闭式，因此造粒过程无粉尘散逸，设备运行会产生噪声</w:t>
      </w:r>
      <w:r>
        <w:rPr>
          <w:color w:val="000000" w:themeColor="text1"/>
          <w:szCs w:val="21"/>
          <w14:textFill>
            <w14:solidFill>
              <w14:schemeClr w14:val="tx1"/>
            </w14:solidFill>
          </w14:textFill>
        </w:rPr>
        <w:t>。</w:t>
      </w:r>
    </w:p>
    <w:p w14:paraId="011819EC">
      <w:pPr>
        <w:ind w:firstLine="480"/>
        <w:rPr>
          <w:color w:val="000000" w:themeColor="text1"/>
          <w:szCs w:val="21"/>
          <w14:textFill>
            <w14:solidFill>
              <w14:schemeClr w14:val="tx1"/>
            </w14:solidFill>
          </w14:textFill>
        </w:rPr>
      </w:pPr>
      <w:r>
        <w:rPr>
          <w:rFonts w:ascii="Cambria Math" w:hAnsi="Cambria Math" w:cs="Cambria Math"/>
          <w:color w:val="000000" w:themeColor="text1"/>
          <w:szCs w:val="21"/>
          <w14:textFill>
            <w14:solidFill>
              <w14:schemeClr w14:val="tx1"/>
            </w14:solidFill>
          </w14:textFill>
        </w:rPr>
        <w:t>④</w:t>
      </w:r>
      <w:r>
        <w:rPr>
          <w:color w:val="000000" w:themeColor="text1"/>
          <w:szCs w:val="21"/>
          <w14:textFill>
            <w14:solidFill>
              <w14:schemeClr w14:val="tx1"/>
            </w14:solidFill>
          </w14:textFill>
        </w:rPr>
        <w:t>筛分：造粒输出的粒料，粒径有一定差异，需要筛分分级。选用密闭滚筒筛进行筛分分级。配备自动回料系统，筛分不合格的大、小颗粒物料，经过皮带输送机返回到造粒机内重新粉碎。</w:t>
      </w:r>
    </w:p>
    <w:p w14:paraId="58736941">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产污环节：</w:t>
      </w:r>
      <w:r>
        <w:rPr>
          <w:color w:val="000000" w:themeColor="text1"/>
          <w:szCs w:val="21"/>
          <w:u w:val="single"/>
          <w14:textFill>
            <w14:solidFill>
              <w14:schemeClr w14:val="tx1"/>
            </w14:solidFill>
          </w14:textFill>
        </w:rPr>
        <w:t>物料采用密闭输送方式，滚筒筛为密闭式，因此筛分分级过程无粉尘散逸，设备运行会产生噪声。</w:t>
      </w:r>
    </w:p>
    <w:p w14:paraId="0DC61D27">
      <w:pPr>
        <w:ind w:firstLine="480"/>
        <w:rPr>
          <w:color w:val="000000" w:themeColor="text1"/>
          <w:szCs w:val="21"/>
          <w14:textFill>
            <w14:solidFill>
              <w14:schemeClr w14:val="tx1"/>
            </w14:solidFill>
          </w14:textFill>
        </w:rPr>
      </w:pPr>
      <w:r>
        <w:rPr>
          <w:rFonts w:ascii="Cambria Math" w:hAnsi="Cambria Math" w:cs="Cambria Math"/>
          <w:color w:val="000000" w:themeColor="text1"/>
          <w:szCs w:val="21"/>
          <w14:textFill>
            <w14:solidFill>
              <w14:schemeClr w14:val="tx1"/>
            </w14:solidFill>
          </w14:textFill>
        </w:rPr>
        <w:t>⑤</w:t>
      </w:r>
      <w:r>
        <w:rPr>
          <w:color w:val="000000" w:themeColor="text1"/>
          <w:szCs w:val="21"/>
          <w14:textFill>
            <w14:solidFill>
              <w14:schemeClr w14:val="tx1"/>
            </w14:solidFill>
          </w14:textFill>
        </w:rPr>
        <w:t>包装：经筛分的物料，达到国家融雪剂产品质量标准（粒径5mm），便可经皮带输送机送至自动包装机进行成品包装，并质检抽验检测合格后，出厂出售。不合格产品返回破碎工序重新破碎混合。</w:t>
      </w:r>
    </w:p>
    <w:p w14:paraId="1B29C0FB">
      <w:pPr>
        <w:ind w:firstLine="480"/>
        <w:rPr>
          <w:rFonts w:eastAsia="黑体"/>
          <w:color w:val="000000" w:themeColor="text1"/>
          <w:sz w:val="30"/>
          <w:szCs w:val="30"/>
          <w14:textFill>
            <w14:solidFill>
              <w14:schemeClr w14:val="tx1"/>
            </w14:solidFill>
          </w14:textFill>
        </w:rPr>
      </w:pPr>
      <w:r>
        <w:rPr>
          <w:color w:val="000000" w:themeColor="text1"/>
          <w:szCs w:val="21"/>
          <w14:textFill>
            <w14:solidFill>
              <w14:schemeClr w14:val="tx1"/>
            </w14:solidFill>
          </w14:textFill>
        </w:rPr>
        <w:t>产污环节：</w:t>
      </w:r>
      <w:r>
        <w:rPr>
          <w:color w:val="000000" w:themeColor="text1"/>
          <w:szCs w:val="21"/>
          <w:u w:val="single"/>
          <w14:textFill>
            <w14:solidFill>
              <w14:schemeClr w14:val="tx1"/>
            </w14:solidFill>
          </w14:textFill>
        </w:rPr>
        <w:t>项目融雪剂产品粒径为5mm，且为较均匀的颗粒，因此包装过程无粉尘散逸，设备运行会产生噪声。</w:t>
      </w:r>
    </w:p>
    <w:p w14:paraId="1CA8A863">
      <w:pPr>
        <w:pStyle w:val="3"/>
        <w:rPr>
          <w:rFonts w:ascii="Times New Roman" w:cs="Times New Roman"/>
          <w:color w:val="000000" w:themeColor="text1"/>
          <w14:textFill>
            <w14:solidFill>
              <w14:schemeClr w14:val="tx1"/>
            </w14:solidFill>
          </w14:textFill>
        </w:rPr>
      </w:pPr>
      <w:bookmarkStart w:id="274" w:name="_Toc225268303"/>
      <w:r>
        <w:rPr>
          <w:rFonts w:ascii="Times New Roman" w:cs="Times New Roman"/>
          <w:color w:val="000000" w:themeColor="text1"/>
          <w14:textFill>
            <w14:solidFill>
              <w14:schemeClr w14:val="tx1"/>
            </w14:solidFill>
          </w14:textFill>
        </w:rPr>
        <w:t>物料平衡</w:t>
      </w:r>
      <w:bookmarkEnd w:id="274"/>
    </w:p>
    <w:p w14:paraId="0D509770">
      <w:pPr>
        <w:pStyle w:val="4"/>
        <w:rPr>
          <w:color w:val="000000" w:themeColor="text1"/>
          <w14:textFill>
            <w14:solidFill>
              <w14:schemeClr w14:val="tx1"/>
            </w14:solidFill>
          </w14:textFill>
        </w:rPr>
      </w:pPr>
      <w:r>
        <w:rPr>
          <w:color w:val="000000" w:themeColor="text1"/>
          <w14:textFill>
            <w14:solidFill>
              <w14:schemeClr w14:val="tx1"/>
            </w14:solidFill>
          </w14:textFill>
        </w:rPr>
        <w:t>总物料平衡</w:t>
      </w:r>
    </w:p>
    <w:p w14:paraId="73C742D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color w:val="000000" w:themeColor="text1"/>
          <w:szCs w:val="28"/>
          <w14:textFill>
            <w14:solidFill>
              <w14:schemeClr w14:val="tx1"/>
            </w14:solidFill>
          </w14:textFill>
        </w:rPr>
        <w:t>生产过程工艺物料平衡情况详</w:t>
      </w:r>
      <w:r>
        <w:rPr>
          <w:color w:val="000000" w:themeColor="text1"/>
          <w14:textFill>
            <w14:solidFill>
              <w14:schemeClr w14:val="tx1"/>
            </w14:solidFill>
          </w14:textFill>
        </w:rPr>
        <w:t>见</w:t>
      </w:r>
      <w:r>
        <w:rPr>
          <w:rFonts w:hint="eastAsia"/>
          <w:color w:val="000000" w:themeColor="text1"/>
          <w14:textFill>
            <w14:solidFill>
              <w14:schemeClr w14:val="tx1"/>
            </w14:solidFill>
          </w14:textFill>
        </w:rPr>
        <w:t>下图</w:t>
      </w:r>
      <w:r>
        <w:rPr>
          <w:color w:val="000000" w:themeColor="text1"/>
          <w14:textFill>
            <w14:solidFill>
              <w14:schemeClr w14:val="tx1"/>
            </w14:solidFill>
          </w14:textFill>
        </w:rPr>
        <w:t>。</w:t>
      </w:r>
    </w:p>
    <w:p w14:paraId="719A9A8E">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67095" cy="6864350"/>
            <wp:effectExtent l="0" t="0" r="0" b="0"/>
            <wp:docPr id="179579488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4885" name="图片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74123" cy="6873014"/>
                    </a:xfrm>
                    <a:prstGeom prst="rect">
                      <a:avLst/>
                    </a:prstGeom>
                    <a:noFill/>
                    <a:ln>
                      <a:noFill/>
                    </a:ln>
                  </pic:spPr>
                </pic:pic>
              </a:graphicData>
            </a:graphic>
          </wp:inline>
        </w:drawing>
      </w:r>
    </w:p>
    <w:p w14:paraId="3E5C6B07">
      <w:pPr>
        <w:pStyle w:val="7"/>
        <w:rPr>
          <w:rFonts w:hint="eastAsia"/>
          <w:color w:val="000000" w:themeColor="text1"/>
          <w14:textFill>
            <w14:solidFill>
              <w14:schemeClr w14:val="tx1"/>
            </w14:solidFill>
          </w14:textFill>
        </w:rPr>
      </w:pPr>
      <w:r>
        <w:rPr>
          <w:color w:val="000000" w:themeColor="text1"/>
          <w14:textFill>
            <w14:solidFill>
              <w14:schemeClr w14:val="tx1"/>
            </w14:solidFill>
          </w14:textFill>
        </w:rPr>
        <w:t>工艺物料平衡</w:t>
      </w:r>
      <w:r>
        <w:rPr>
          <w:rFonts w:hint="eastAsia"/>
          <w:color w:val="000000" w:themeColor="text1"/>
          <w14:textFill>
            <w14:solidFill>
              <w14:schemeClr w14:val="tx1"/>
            </w14:solidFill>
          </w14:textFill>
        </w:rPr>
        <w:t>图</w:t>
      </w:r>
    </w:p>
    <w:p w14:paraId="24C8E088">
      <w:pPr>
        <w:widowControl/>
        <w:autoSpaceDE/>
        <w:autoSpaceDN/>
        <w:spacing w:line="240" w:lineRule="auto"/>
        <w:ind w:firstLine="0" w:firstLineChars="0"/>
        <w:rPr>
          <w:rFonts w:eastAsia="黑体"/>
          <w:color w:val="000000" w:themeColor="text1"/>
          <w:sz w:val="30"/>
          <w:szCs w:val="30"/>
          <w14:textFill>
            <w14:solidFill>
              <w14:schemeClr w14:val="tx1"/>
            </w14:solidFill>
          </w14:textFill>
        </w:rPr>
      </w:pPr>
      <w:bookmarkStart w:id="275" w:name="_Toc329793502"/>
      <w:bookmarkStart w:id="276" w:name="_Toc278649459"/>
      <w:bookmarkStart w:id="277" w:name="_Toc321821754"/>
      <w:bookmarkStart w:id="278" w:name="_Toc266187593"/>
      <w:r>
        <w:rPr>
          <w:color w:val="000000" w:themeColor="text1"/>
          <w14:textFill>
            <w14:solidFill>
              <w14:schemeClr w14:val="tx1"/>
            </w14:solidFill>
          </w14:textFill>
        </w:rPr>
        <w:br w:type="page"/>
      </w:r>
    </w:p>
    <w:p w14:paraId="0B813DDE">
      <w:pPr>
        <w:pStyle w:val="3"/>
        <w:rPr>
          <w:rFonts w:ascii="Times New Roman" w:cs="Times New Roman"/>
          <w:color w:val="000000" w:themeColor="text1"/>
          <w14:textFill>
            <w14:solidFill>
              <w14:schemeClr w14:val="tx1"/>
            </w14:solidFill>
          </w14:textFill>
        </w:rPr>
      </w:pPr>
      <w:bookmarkStart w:id="279" w:name="_Toc225268304"/>
      <w:r>
        <w:rPr>
          <w:rFonts w:ascii="Times New Roman" w:cs="Times New Roman"/>
          <w:color w:val="000000" w:themeColor="text1"/>
          <w14:textFill>
            <w14:solidFill>
              <w14:schemeClr w14:val="tx1"/>
            </w14:solidFill>
          </w14:textFill>
        </w:rPr>
        <w:t>污染源</w:t>
      </w:r>
      <w:bookmarkEnd w:id="275"/>
      <w:bookmarkEnd w:id="276"/>
      <w:bookmarkEnd w:id="277"/>
      <w:r>
        <w:rPr>
          <w:rFonts w:ascii="Times New Roman" w:cs="Times New Roman"/>
          <w:color w:val="000000" w:themeColor="text1"/>
          <w14:textFill>
            <w14:solidFill>
              <w14:schemeClr w14:val="tx1"/>
            </w14:solidFill>
          </w14:textFill>
        </w:rPr>
        <w:t>核算</w:t>
      </w:r>
      <w:bookmarkEnd w:id="279"/>
    </w:p>
    <w:p w14:paraId="782F29BD">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废气</w:t>
      </w:r>
    </w:p>
    <w:p w14:paraId="21DF2385">
      <w:pPr>
        <w:ind w:firstLine="480"/>
        <w:rPr>
          <w:color w:val="000000" w:themeColor="text1"/>
          <w:szCs w:val="21"/>
          <w14:textFill>
            <w14:solidFill>
              <w14:schemeClr w14:val="tx1"/>
            </w14:solidFill>
          </w14:textFill>
        </w:rPr>
      </w:pPr>
      <w:r>
        <w:rPr>
          <w:rFonts w:hint="eastAsia"/>
          <w:color w:val="000000" w:themeColor="text1"/>
          <w:lang w:val="zh-CN"/>
          <w14:textFill>
            <w14:solidFill>
              <w14:schemeClr w14:val="tx1"/>
            </w14:solidFill>
          </w14:textFill>
        </w:rPr>
        <w:t>本项目融雪剂以自产的废盐为原料进行生产，废盐为结晶性固体颗粒，不易起尘，且废盐输送过程、粉碎混合、挤压造粒、筛分均为密闭设施，粉碎、筛分等工序工作过程中设备内部产生的少量粉尘成分与废盐一致，且废盐密度约2.5g/cm</w:t>
      </w:r>
      <w:r>
        <w:rPr>
          <w:rFonts w:hint="eastAsia"/>
          <w:color w:val="000000" w:themeColor="text1"/>
          <w:vertAlign w:val="superscript"/>
          <w:lang w:val="zh-CN"/>
          <w14:textFill>
            <w14:solidFill>
              <w14:schemeClr w14:val="tx1"/>
            </w14:solidFill>
          </w14:textFill>
        </w:rPr>
        <w:t>3</w:t>
      </w:r>
      <w:r>
        <w:rPr>
          <w:rFonts w:hint="eastAsia"/>
          <w:color w:val="000000" w:themeColor="text1"/>
          <w:lang w:val="zh-CN"/>
          <w14:textFill>
            <w14:solidFill>
              <w14:schemeClr w14:val="tx1"/>
            </w14:solidFill>
          </w14:textFill>
        </w:rPr>
        <w:t>，密度较大，在设备内部沉降后与物料经密闭输送设施进入下一生产环节，向外环境散逸的粉尘量极少，本次不再进行定量分析。经过造粒后的</w:t>
      </w:r>
      <w:r>
        <w:rPr>
          <w:color w:val="000000" w:themeColor="text1"/>
          <w:szCs w:val="21"/>
          <w14:textFill>
            <w14:solidFill>
              <w14:schemeClr w14:val="tx1"/>
            </w14:solidFill>
          </w14:textFill>
        </w:rPr>
        <w:t>融雪剂产品粒径为5mm，且为较均匀的颗粒，因此包装过程无粉尘</w:t>
      </w:r>
      <w:r>
        <w:rPr>
          <w:rFonts w:hint="eastAsia"/>
          <w:color w:val="000000" w:themeColor="text1"/>
          <w:szCs w:val="21"/>
          <w14:textFill>
            <w14:solidFill>
              <w14:schemeClr w14:val="tx1"/>
            </w14:solidFill>
          </w14:textFill>
        </w:rPr>
        <w:t>产生。</w:t>
      </w:r>
    </w:p>
    <w:p w14:paraId="78FA1C24">
      <w:pPr>
        <w:ind w:firstLine="480"/>
        <w:rPr>
          <w:color w:val="000000" w:themeColor="text1"/>
          <w:lang w:val="zh-CN"/>
          <w14:textFill>
            <w14:solidFill>
              <w14:schemeClr w14:val="tx1"/>
            </w14:solidFill>
          </w14:textFill>
        </w:rPr>
      </w:pPr>
      <w:r>
        <w:rPr>
          <w:rFonts w:hint="eastAsia"/>
          <w:color w:val="000000" w:themeColor="text1"/>
          <w:szCs w:val="21"/>
          <w14:textFill>
            <w14:solidFill>
              <w14:schemeClr w14:val="tx1"/>
            </w14:solidFill>
          </w14:textFill>
        </w:rPr>
        <w:t>综上，本次不再定量分析融雪剂生产线破碎、筛分环节向外环境排放的粉尘。</w:t>
      </w:r>
    </w:p>
    <w:p w14:paraId="44612B6D">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本项目产生的废气</w:t>
      </w:r>
      <w:r>
        <w:rPr>
          <w:rFonts w:hint="eastAsia"/>
          <w:color w:val="000000" w:themeColor="text1"/>
          <w:lang w:val="zh-CN"/>
          <w14:textFill>
            <w14:solidFill>
              <w14:schemeClr w14:val="tx1"/>
            </w14:solidFill>
          </w14:textFill>
        </w:rPr>
        <w:t>主要</w:t>
      </w:r>
      <w:r>
        <w:rPr>
          <w:color w:val="000000" w:themeColor="text1"/>
          <w:lang w:val="zh-CN"/>
          <w14:textFill>
            <w14:solidFill>
              <w14:schemeClr w14:val="tx1"/>
            </w14:solidFill>
          </w14:textFill>
        </w:rPr>
        <w:t>为废盐储存过程中产生的废气、配伍过程中产生的废气、废盐处置废气</w:t>
      </w:r>
      <w:r>
        <w:rPr>
          <w:rFonts w:hint="eastAsia"/>
          <w:color w:val="000000" w:themeColor="text1"/>
          <w:lang w:val="zh-CN"/>
          <w14:textFill>
            <w14:solidFill>
              <w14:schemeClr w14:val="tx1"/>
            </w14:solidFill>
          </w14:textFill>
        </w:rPr>
        <w:t>、热解焙烧窑天然气燃烧废气、氨水储罐呼吸废气</w:t>
      </w:r>
      <w:r>
        <w:rPr>
          <w:color w:val="000000" w:themeColor="text1"/>
          <w:lang w:val="zh-CN"/>
          <w14:textFill>
            <w14:solidFill>
              <w14:schemeClr w14:val="tx1"/>
            </w14:solidFill>
          </w14:textFill>
        </w:rPr>
        <w:t>。</w:t>
      </w:r>
    </w:p>
    <w:p w14:paraId="5ECBC080">
      <w:pPr>
        <w:pStyle w:val="28"/>
        <w:ind w:left="0" w:firstLine="0" w:firstLineChars="0"/>
        <w:rPr>
          <w:rFonts w:asci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27" o:spt="75" type="#_x0000_t75" style="height:219pt;width:471pt;" o:ole="t" filled="f" coordsize="21600,21600">
            <v:path/>
            <v:fill on="f" focussize="0,0"/>
            <v:stroke/>
            <v:imagedata r:id="rId48" o:title=""/>
            <o:lock v:ext="edit" aspectratio="t"/>
            <w10:wrap type="none"/>
            <w10:anchorlock/>
          </v:shape>
          <o:OLEObject Type="Embed" ProgID="Visio.Drawing.11" ShapeID="_x0000_i1027" DrawAspect="Content" ObjectID="_1468075727" r:id="rId47">
            <o:LockedField>false</o:LockedField>
          </o:OLEObject>
        </w:object>
      </w:r>
    </w:p>
    <w:p w14:paraId="49A4C86A">
      <w:pPr>
        <w:pStyle w:val="7"/>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项目废气收集处理流程图</w:t>
      </w:r>
    </w:p>
    <w:p w14:paraId="51A96326">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存储区废气</w:t>
      </w:r>
    </w:p>
    <w:p w14:paraId="6A4D7E12">
      <w:pPr>
        <w:ind w:firstLine="482"/>
        <w:rPr>
          <w:b/>
          <w:color w:val="000000" w:themeColor="text1"/>
          <w:lang w:val="zh-CN"/>
          <w14:textFill>
            <w14:solidFill>
              <w14:schemeClr w14:val="tx1"/>
            </w14:solidFill>
          </w14:textFill>
        </w:rPr>
      </w:pPr>
      <w:bookmarkStart w:id="280" w:name="_Hlk62311433"/>
      <w:r>
        <w:rPr>
          <w:b/>
          <w:color w:val="000000" w:themeColor="text1"/>
          <w:lang w:val="zh-CN"/>
          <w14:textFill>
            <w14:solidFill>
              <w14:schemeClr w14:val="tx1"/>
            </w14:solidFill>
          </w14:textFill>
        </w:rPr>
        <w:t>（1）储存废气、配伍废气</w:t>
      </w:r>
    </w:p>
    <w:p w14:paraId="39EA6D81">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本项目设置有废盐的储存仓库，废盐暂存过程中会产生挥发性有机废气及</w:t>
      </w:r>
      <w:r>
        <w:rPr>
          <w:color w:val="000000" w:themeColor="text1"/>
          <w14:textFill>
            <w14:solidFill>
              <w14:schemeClr w14:val="tx1"/>
            </w14:solidFill>
          </w14:textFill>
        </w:rPr>
        <w:t>酸性废气、</w:t>
      </w:r>
      <w:r>
        <w:rPr>
          <w:color w:val="000000" w:themeColor="text1"/>
          <w:lang w:val="zh-CN"/>
          <w14:textFill>
            <w14:solidFill>
              <w14:schemeClr w14:val="tx1"/>
            </w14:solidFill>
          </w14:textFill>
        </w:rPr>
        <w:t>恶臭气体，成分较复杂。为减少暂存过程无组织废气的产生，本项目严格按照《危险废物贮存污染控制标准》（GB18597-2023）规范各类废物包装，使废物处于密闭状态存放，避免废气的产生和溢出，废物入场后尽可能的缩短贮存时间。</w:t>
      </w:r>
    </w:p>
    <w:p w14:paraId="18919475">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本项目废盐</w:t>
      </w:r>
      <w:r>
        <w:rPr>
          <w:rFonts w:hint="eastAsia"/>
          <w:color w:val="000000" w:themeColor="text1"/>
          <w:lang w:val="zh-CN"/>
          <w14:textFill>
            <w14:solidFill>
              <w14:schemeClr w14:val="tx1"/>
            </w14:solidFill>
          </w14:textFill>
        </w:rPr>
        <w:t>处置</w:t>
      </w:r>
      <w:r>
        <w:rPr>
          <w:color w:val="000000" w:themeColor="text1"/>
          <w:lang w:val="zh-CN"/>
          <w14:textFill>
            <w14:solidFill>
              <w14:schemeClr w14:val="tx1"/>
            </w14:solidFill>
          </w14:textFill>
        </w:rPr>
        <w:t>前需要按照</w:t>
      </w:r>
      <w:r>
        <w:rPr>
          <w:rFonts w:hint="eastAsia"/>
          <w:color w:val="000000" w:themeColor="text1"/>
          <w:lang w:val="zh-CN"/>
          <w14:textFill>
            <w14:solidFill>
              <w14:schemeClr w14:val="tx1"/>
            </w14:solidFill>
          </w14:textFill>
        </w:rPr>
        <w:t>热解焙烧窑</w:t>
      </w:r>
      <w:r>
        <w:rPr>
          <w:color w:val="000000" w:themeColor="text1"/>
          <w:lang w:val="zh-CN"/>
          <w14:textFill>
            <w14:solidFill>
              <w14:schemeClr w14:val="tx1"/>
            </w14:solidFill>
          </w14:textFill>
        </w:rPr>
        <w:t>设计进料要求对不同种类的废盐进行配伍，其中三级配伍是</w:t>
      </w:r>
      <w:r>
        <w:rPr>
          <w:color w:val="000000" w:themeColor="text1"/>
          <w:szCs w:val="20"/>
          <w14:textFill>
            <w14:solidFill>
              <w14:schemeClr w14:val="tx1"/>
            </w14:solidFill>
          </w14:textFill>
        </w:rPr>
        <w:t>通过吨袋卸料机卸料、混匀等过程，在配伍装置（料坑或混合设备）内实现物料的炉前混合，</w:t>
      </w:r>
      <w:r>
        <w:rPr>
          <w:color w:val="000000" w:themeColor="text1"/>
          <w:lang w:val="zh-CN"/>
          <w14:textFill>
            <w14:solidFill>
              <w14:schemeClr w14:val="tx1"/>
            </w14:solidFill>
          </w14:textFill>
        </w:rPr>
        <w:t>配伍过程中废盐中所含有的挥发性有机废气及</w:t>
      </w:r>
      <w:r>
        <w:rPr>
          <w:color w:val="000000" w:themeColor="text1"/>
          <w14:textFill>
            <w14:solidFill>
              <w14:schemeClr w14:val="tx1"/>
            </w14:solidFill>
          </w14:textFill>
        </w:rPr>
        <w:t>酸性废气、</w:t>
      </w:r>
      <w:r>
        <w:rPr>
          <w:color w:val="000000" w:themeColor="text1"/>
          <w:lang w:val="zh-CN"/>
          <w14:textFill>
            <w14:solidFill>
              <w14:schemeClr w14:val="tx1"/>
            </w14:solidFill>
          </w14:textFill>
        </w:rPr>
        <w:t>恶臭气体会有一部分散逸出来，本项目配伍工序设置单独封闭的配伍区，废盐仓库进行抽负压设计，废盐贮存过程产生的废气以及配伍过程产生的废气经风机引入二级活性炭装置进行处理，少量废气无组织排放。</w:t>
      </w:r>
    </w:p>
    <w:p w14:paraId="5DA09F6A">
      <w:pPr>
        <w:ind w:firstLine="480"/>
        <w:rPr>
          <w:color w:val="000000" w:themeColor="text1"/>
          <w14:textFill>
            <w14:solidFill>
              <w14:schemeClr w14:val="tx1"/>
            </w14:solidFill>
          </w14:textFill>
        </w:rPr>
      </w:pPr>
      <w:r>
        <w:rPr>
          <w:color w:val="000000" w:themeColor="text1"/>
          <w14:textFill>
            <w14:solidFill>
              <w14:schemeClr w14:val="tx1"/>
            </w14:solidFill>
          </w14:textFill>
        </w:rPr>
        <w:t>储存废气、配伍废气通过负压系统进行收集，收集后的废气引入二级活性炭装置TA001处理后通过1根15m高的排气筒DA001排放。废气负压收集效率可达99%以上，处理效率按90%计。废盐贮存过程VOCs 挥发量约为进入封闭式废盐仓库总物料中有机物量的0.1%，按照最不利因素，废盐中有机物量约为废盐量的5%，项目废盐处置量为50000t/a。则项目废盐仓库和配伍过程中挥发出的VOCs 产生量分别为2.5t/a，年工作时间按8000h计算，产生速率分别为0.3125kg/h。</w:t>
      </w:r>
    </w:p>
    <w:p w14:paraId="5D4ACEE6">
      <w:pPr>
        <w:ind w:firstLine="480"/>
        <w:rPr>
          <w:color w:val="000000" w:themeColor="text1"/>
          <w14:textFill>
            <w14:solidFill>
              <w14:schemeClr w14:val="tx1"/>
            </w14:solidFill>
          </w14:textFill>
        </w:rPr>
      </w:pPr>
      <w:r>
        <w:rPr>
          <w:color w:val="000000" w:themeColor="text1"/>
          <w14:textFill>
            <w14:solidFill>
              <w14:schemeClr w14:val="tx1"/>
            </w14:solidFill>
          </w14:textFill>
        </w:rPr>
        <w:t>废盐中所含有的污染物成分复杂，可挥发产生废气的成分可能还含有酸性废气HCl、氟化物，恶臭气体氨、硫化氢及臭气浓度。酸性废气、恶臭气体相关成分含量较低，因此该部分废气在贮存和配伍过程中挥发量较少，不再进行定量分析，该部分废气与挥发性有机废气一同负压收集进入二级活性炭装置进行处理后通过1根15m高的排气筒DA001排放。</w:t>
      </w:r>
    </w:p>
    <w:p w14:paraId="23F908F9">
      <w:pPr>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废盐仓库</w:t>
      </w:r>
      <w:r>
        <w:rPr>
          <w:color w:val="000000" w:themeColor="text1"/>
          <w14:textFill>
            <w14:solidFill>
              <w14:schemeClr w14:val="tx1"/>
            </w14:solidFill>
          </w14:textFill>
        </w:rPr>
        <w:t>贮存空间为</w:t>
      </w:r>
      <w:r>
        <w:rPr>
          <w:rFonts w:hint="eastAsia"/>
          <w:color w:val="000000" w:themeColor="text1"/>
          <w14:textFill>
            <w14:solidFill>
              <w14:schemeClr w14:val="tx1"/>
            </w14:solidFill>
          </w14:textFill>
        </w:rPr>
        <w:t>4608</w:t>
      </w:r>
      <w:r>
        <w:rPr>
          <w:color w:val="000000" w:themeColor="text1"/>
          <w14:textFill>
            <w14:solidFill>
              <w14:schemeClr w14:val="tx1"/>
            </w14:solidFill>
          </w14:textFill>
        </w:rPr>
        <w:t>m³（</w:t>
      </w:r>
      <w:r>
        <w:rPr>
          <w:rFonts w:hint="eastAsia"/>
          <w:color w:val="000000" w:themeColor="text1"/>
          <w14:textFill>
            <w14:solidFill>
              <w14:schemeClr w14:val="tx1"/>
            </w14:solidFill>
          </w14:textFill>
        </w:rPr>
        <w:t>1024㎡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4.5</w:t>
      </w:r>
      <w:r>
        <w:rPr>
          <w:color w:val="000000" w:themeColor="text1"/>
          <w14:textFill>
            <w14:solidFill>
              <w14:schemeClr w14:val="tx1"/>
            </w14:solidFill>
          </w14:textFill>
        </w:rPr>
        <w:t>m），采用车间密闭收集，设若</w:t>
      </w:r>
      <w:r>
        <w:rPr>
          <w:rFonts w:hint="eastAsia"/>
          <w:color w:val="000000" w:themeColor="text1"/>
          <w14:textFill>
            <w14:solidFill>
              <w14:schemeClr w14:val="tx1"/>
            </w14:solidFill>
          </w14:textFill>
        </w:rPr>
        <w:t>负压抽风</w:t>
      </w:r>
      <w:r>
        <w:rPr>
          <w:color w:val="000000" w:themeColor="text1"/>
          <w14:textFill>
            <w14:solidFill>
              <w14:schemeClr w14:val="tx1"/>
            </w14:solidFill>
          </w14:textFill>
        </w:rPr>
        <w:t>口，抽风频次为4 次/h，总换风量</w:t>
      </w:r>
      <w:r>
        <w:rPr>
          <w:rFonts w:hint="eastAsia"/>
          <w:color w:val="000000" w:themeColor="text1"/>
          <w14:textFill>
            <w14:solidFill>
              <w14:schemeClr w14:val="tx1"/>
            </w14:solidFill>
          </w14:textFill>
        </w:rPr>
        <w:t>18432m³</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，项目配套抽风机理论风量为20000m³/h</w:t>
      </w:r>
      <w:r>
        <w:rPr>
          <w:color w:val="000000" w:themeColor="text1"/>
          <w14:textFill>
            <w14:solidFill>
              <w14:schemeClr w14:val="tx1"/>
            </w14:solidFill>
          </w14:textFill>
        </w:rPr>
        <w:t>。</w:t>
      </w:r>
    </w:p>
    <w:p w14:paraId="1A5DF455">
      <w:pPr>
        <w:ind w:firstLine="480"/>
        <w:rPr>
          <w:rFonts w:eastAsia="黑体"/>
          <w:color w:val="000000" w:themeColor="text1"/>
          <w:lang w:val="zh-CN"/>
          <w14:textFill>
            <w14:solidFill>
              <w14:schemeClr w14:val="tx1"/>
            </w14:solidFill>
          </w14:textFill>
        </w:rPr>
        <w:sectPr>
          <w:type w:val="nextColumn"/>
          <w:pgSz w:w="11906" w:h="16838"/>
          <w:pgMar w:top="1418" w:right="1247" w:bottom="1418" w:left="1247" w:header="964" w:footer="964" w:gutter="0"/>
          <w:cols w:space="720" w:num="1"/>
          <w:titlePg/>
          <w:docGrid w:linePitch="286" w:charSpace="0"/>
        </w:sectPr>
      </w:pPr>
      <w:r>
        <w:rPr>
          <w:color w:val="000000" w:themeColor="text1"/>
          <w:lang w:val="zh-CN"/>
          <w14:textFill>
            <w14:solidFill>
              <w14:schemeClr w14:val="tx1"/>
            </w14:solidFill>
          </w14:textFill>
        </w:rPr>
        <w:t>根据建设单位提供资料，负压收集率约为 99%，经计算约有0.025t/a无组织排放，无组织VOCs排放量速率为0.0031kg/h。二级活性炭吸附装置去除效率约为 90%，VOCs 有组织排放量为0.</w:t>
      </w:r>
      <w:r>
        <w:rPr>
          <w:rFonts w:hint="eastAsia"/>
          <w:color w:val="000000" w:themeColor="text1"/>
          <w:lang w:val="zh-CN"/>
          <w14:textFill>
            <w14:solidFill>
              <w14:schemeClr w14:val="tx1"/>
            </w14:solidFill>
          </w14:textFill>
        </w:rPr>
        <w:t>25</w:t>
      </w:r>
      <w:r>
        <w:rPr>
          <w:color w:val="000000" w:themeColor="text1"/>
          <w:lang w:val="zh-CN"/>
          <w14:textFill>
            <w14:solidFill>
              <w14:schemeClr w14:val="tx1"/>
            </w14:solidFill>
          </w14:textFill>
        </w:rPr>
        <w:t>t/a，排放速率为0.0</w:t>
      </w:r>
      <w:r>
        <w:rPr>
          <w:rFonts w:hint="eastAsia"/>
          <w:color w:val="000000" w:themeColor="text1"/>
          <w:lang w:val="zh-CN"/>
          <w14:textFill>
            <w14:solidFill>
              <w14:schemeClr w14:val="tx1"/>
            </w14:solidFill>
          </w14:textFill>
        </w:rPr>
        <w:t>31</w:t>
      </w:r>
      <w:r>
        <w:rPr>
          <w:color w:val="000000" w:themeColor="text1"/>
          <w:lang w:val="zh-CN"/>
          <w14:textFill>
            <w14:solidFill>
              <w14:schemeClr w14:val="tx1"/>
            </w14:solidFill>
          </w14:textFill>
        </w:rPr>
        <w:t>kg/h，排放浓度为</w:t>
      </w:r>
      <w:r>
        <w:rPr>
          <w:rFonts w:hint="eastAsia"/>
          <w:color w:val="000000" w:themeColor="text1"/>
          <w:lang w:val="zh-CN"/>
          <w14:textFill>
            <w14:solidFill>
              <w14:schemeClr w14:val="tx1"/>
            </w14:solidFill>
          </w14:textFill>
        </w:rPr>
        <w:t>1.5</w:t>
      </w:r>
      <w:r>
        <w:rPr>
          <w:color w:val="000000" w:themeColor="text1"/>
          <w:lang w:val="zh-CN"/>
          <w14:textFill>
            <w14:solidFill>
              <w14:schemeClr w14:val="tx1"/>
            </w14:solidFill>
          </w14:textFill>
        </w:rPr>
        <w:t>mg/m³，满足</w:t>
      </w:r>
      <w:r>
        <w:rPr>
          <w:color w:val="000000" w:themeColor="text1"/>
          <w14:textFill>
            <w14:solidFill>
              <w14:schemeClr w14:val="tx1"/>
            </w14:solidFill>
          </w14:textFill>
        </w:rPr>
        <w:t>《大气污染物综合排放标准》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GB16297-1996</w:t>
      </w:r>
      <w:r>
        <w:rPr>
          <w:color w:val="000000" w:themeColor="text1"/>
          <w:lang w:bidi="en-US"/>
          <w14:textFill>
            <w14:solidFill>
              <w14:schemeClr w14:val="tx1"/>
            </w14:solidFill>
          </w14:textFill>
        </w:rPr>
        <w:t>)</w:t>
      </w:r>
      <w:r>
        <w:rPr>
          <w:color w:val="000000" w:themeColor="text1"/>
          <w14:textFill>
            <w14:solidFill>
              <w14:schemeClr w14:val="tx1"/>
            </w14:solidFill>
          </w14:textFill>
        </w:rPr>
        <w:t>中表</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标准要求（最高允许排放浓度120mg/m³，15m排气筒最高允许排放速率10kg/h）。</w:t>
      </w:r>
    </w:p>
    <w:p w14:paraId="2E66A126">
      <w:pPr>
        <w:pStyle w:val="117"/>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储存区废气产排情况一览表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121"/>
        <w:gridCol w:w="1168"/>
        <w:gridCol w:w="2694"/>
        <w:gridCol w:w="1337"/>
        <w:gridCol w:w="1366"/>
        <w:gridCol w:w="1194"/>
        <w:gridCol w:w="1549"/>
        <w:gridCol w:w="1392"/>
        <w:gridCol w:w="1389"/>
      </w:tblGrid>
      <w:tr w14:paraId="4462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64" w:type="pct"/>
            <w:vMerge w:val="restart"/>
            <w:vAlign w:val="center"/>
          </w:tcPr>
          <w:p w14:paraId="32410A4B">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产污环节</w:t>
            </w:r>
          </w:p>
        </w:tc>
        <w:tc>
          <w:tcPr>
            <w:tcW w:w="385" w:type="pct"/>
            <w:vMerge w:val="restart"/>
            <w:vAlign w:val="center"/>
          </w:tcPr>
          <w:p w14:paraId="0434B0C6">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污染物种类</w:t>
            </w:r>
          </w:p>
        </w:tc>
        <w:tc>
          <w:tcPr>
            <w:tcW w:w="401" w:type="pct"/>
            <w:vMerge w:val="restart"/>
            <w:vAlign w:val="center"/>
          </w:tcPr>
          <w:p w14:paraId="746E4104">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产生量</w:t>
            </w:r>
          </w:p>
          <w:p w14:paraId="44C13349">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t/a</w:t>
            </w:r>
          </w:p>
        </w:tc>
        <w:tc>
          <w:tcPr>
            <w:tcW w:w="925" w:type="pct"/>
            <w:vMerge w:val="restart"/>
            <w:vAlign w:val="center"/>
          </w:tcPr>
          <w:p w14:paraId="42D942AC">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收集处理措施及效率</w:t>
            </w:r>
          </w:p>
        </w:tc>
        <w:tc>
          <w:tcPr>
            <w:tcW w:w="1870" w:type="pct"/>
            <w:gridSpan w:val="4"/>
            <w:vAlign w:val="center"/>
          </w:tcPr>
          <w:p w14:paraId="23DFA172">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有组织排放情况</w:t>
            </w:r>
          </w:p>
        </w:tc>
        <w:tc>
          <w:tcPr>
            <w:tcW w:w="955" w:type="pct"/>
            <w:gridSpan w:val="2"/>
            <w:vAlign w:val="center"/>
          </w:tcPr>
          <w:p w14:paraId="5541478A">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无组织排放情况</w:t>
            </w:r>
          </w:p>
        </w:tc>
      </w:tr>
      <w:tr w14:paraId="014E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64" w:type="pct"/>
            <w:vMerge w:val="continue"/>
            <w:vAlign w:val="center"/>
          </w:tcPr>
          <w:p w14:paraId="09D6DA7D">
            <w:pPr>
              <w:pStyle w:val="109"/>
              <w:rPr>
                <w:color w:val="000000" w:themeColor="text1"/>
                <w:lang w:val="zh-CN"/>
                <w14:textFill>
                  <w14:solidFill>
                    <w14:schemeClr w14:val="tx1"/>
                  </w14:solidFill>
                </w14:textFill>
              </w:rPr>
            </w:pPr>
          </w:p>
        </w:tc>
        <w:tc>
          <w:tcPr>
            <w:tcW w:w="385" w:type="pct"/>
            <w:vMerge w:val="continue"/>
            <w:vAlign w:val="center"/>
          </w:tcPr>
          <w:p w14:paraId="12889D84">
            <w:pPr>
              <w:pStyle w:val="109"/>
              <w:rPr>
                <w:color w:val="000000" w:themeColor="text1"/>
                <w:lang w:val="zh-CN"/>
                <w14:textFill>
                  <w14:solidFill>
                    <w14:schemeClr w14:val="tx1"/>
                  </w14:solidFill>
                </w14:textFill>
              </w:rPr>
            </w:pPr>
          </w:p>
        </w:tc>
        <w:tc>
          <w:tcPr>
            <w:tcW w:w="401" w:type="pct"/>
            <w:vMerge w:val="continue"/>
            <w:vAlign w:val="center"/>
          </w:tcPr>
          <w:p w14:paraId="1E0F9BF5">
            <w:pPr>
              <w:pStyle w:val="109"/>
              <w:rPr>
                <w:color w:val="000000" w:themeColor="text1"/>
                <w:lang w:val="zh-CN"/>
                <w14:textFill>
                  <w14:solidFill>
                    <w14:schemeClr w14:val="tx1"/>
                  </w14:solidFill>
                </w14:textFill>
              </w:rPr>
            </w:pPr>
          </w:p>
        </w:tc>
        <w:tc>
          <w:tcPr>
            <w:tcW w:w="925" w:type="pct"/>
            <w:vMerge w:val="continue"/>
            <w:vAlign w:val="center"/>
          </w:tcPr>
          <w:p w14:paraId="57DED906">
            <w:pPr>
              <w:pStyle w:val="109"/>
              <w:rPr>
                <w:color w:val="000000" w:themeColor="text1"/>
                <w:lang w:val="zh-CN"/>
                <w14:textFill>
                  <w14:solidFill>
                    <w14:schemeClr w14:val="tx1"/>
                  </w14:solidFill>
                </w14:textFill>
              </w:rPr>
            </w:pPr>
          </w:p>
        </w:tc>
        <w:tc>
          <w:tcPr>
            <w:tcW w:w="459" w:type="pct"/>
            <w:vAlign w:val="center"/>
          </w:tcPr>
          <w:p w14:paraId="1B389EE9">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排放浓度mg/m³</w:t>
            </w:r>
          </w:p>
        </w:tc>
        <w:tc>
          <w:tcPr>
            <w:tcW w:w="469" w:type="pct"/>
            <w:vAlign w:val="center"/>
          </w:tcPr>
          <w:p w14:paraId="6635216A">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排放速率kg/h</w:t>
            </w:r>
          </w:p>
        </w:tc>
        <w:tc>
          <w:tcPr>
            <w:tcW w:w="410" w:type="pct"/>
            <w:vAlign w:val="center"/>
          </w:tcPr>
          <w:p w14:paraId="231F88B6">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排放量</w:t>
            </w:r>
          </w:p>
          <w:p w14:paraId="1F4FD85F">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t/a</w:t>
            </w:r>
          </w:p>
        </w:tc>
        <w:tc>
          <w:tcPr>
            <w:tcW w:w="532" w:type="pct"/>
            <w:vAlign w:val="center"/>
          </w:tcPr>
          <w:p w14:paraId="552C6776">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排气筒参数</w:t>
            </w:r>
          </w:p>
        </w:tc>
        <w:tc>
          <w:tcPr>
            <w:tcW w:w="478" w:type="pct"/>
            <w:vAlign w:val="center"/>
          </w:tcPr>
          <w:p w14:paraId="2F0A7549">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排放速率kg/h</w:t>
            </w:r>
          </w:p>
        </w:tc>
        <w:tc>
          <w:tcPr>
            <w:tcW w:w="478" w:type="pct"/>
            <w:vAlign w:val="center"/>
          </w:tcPr>
          <w:p w14:paraId="3D44194F">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排放量</w:t>
            </w:r>
          </w:p>
          <w:p w14:paraId="238A077D">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t/a</w:t>
            </w:r>
          </w:p>
        </w:tc>
      </w:tr>
      <w:tr w14:paraId="64F7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pct"/>
            <w:vAlign w:val="center"/>
          </w:tcPr>
          <w:p w14:paraId="2BB9BA20">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废盐暂存、配伍</w:t>
            </w:r>
          </w:p>
        </w:tc>
        <w:tc>
          <w:tcPr>
            <w:tcW w:w="385" w:type="pct"/>
            <w:vAlign w:val="center"/>
          </w:tcPr>
          <w:p w14:paraId="0F261BAC">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VOCs</w:t>
            </w:r>
          </w:p>
        </w:tc>
        <w:tc>
          <w:tcPr>
            <w:tcW w:w="401" w:type="pct"/>
            <w:vAlign w:val="center"/>
          </w:tcPr>
          <w:p w14:paraId="44003D62">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2.5</w:t>
            </w:r>
          </w:p>
        </w:tc>
        <w:tc>
          <w:tcPr>
            <w:tcW w:w="925" w:type="pct"/>
            <w:vAlign w:val="center"/>
          </w:tcPr>
          <w:p w14:paraId="583FBB05">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经“二级活性炭吸附装置”处理后经排气筒DA001排放，收集效率99%，处理效率90%</w:t>
            </w:r>
          </w:p>
        </w:tc>
        <w:tc>
          <w:tcPr>
            <w:tcW w:w="459" w:type="pct"/>
            <w:vAlign w:val="center"/>
          </w:tcPr>
          <w:p w14:paraId="1FF68BE1">
            <w:pPr>
              <w:pStyle w:val="109"/>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1.5</w:t>
            </w:r>
          </w:p>
        </w:tc>
        <w:tc>
          <w:tcPr>
            <w:tcW w:w="469" w:type="pct"/>
            <w:vAlign w:val="center"/>
          </w:tcPr>
          <w:p w14:paraId="50610124">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0.</w:t>
            </w:r>
            <w:r>
              <w:rPr>
                <w:rFonts w:hint="eastAsia"/>
                <w:color w:val="000000" w:themeColor="text1"/>
                <w:lang w:val="zh-CN"/>
                <w14:textFill>
                  <w14:solidFill>
                    <w14:schemeClr w14:val="tx1"/>
                  </w14:solidFill>
                </w14:textFill>
              </w:rPr>
              <w:t>0</w:t>
            </w:r>
            <w:r>
              <w:rPr>
                <w:color w:val="000000" w:themeColor="text1"/>
                <w:lang w:val="zh-CN"/>
                <w14:textFill>
                  <w14:solidFill>
                    <w14:schemeClr w14:val="tx1"/>
                  </w14:solidFill>
                </w14:textFill>
              </w:rPr>
              <w:t>31</w:t>
            </w:r>
          </w:p>
        </w:tc>
        <w:tc>
          <w:tcPr>
            <w:tcW w:w="410" w:type="pct"/>
            <w:vAlign w:val="center"/>
          </w:tcPr>
          <w:p w14:paraId="3475AA14">
            <w:pPr>
              <w:pStyle w:val="109"/>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0.25</w:t>
            </w:r>
          </w:p>
        </w:tc>
        <w:tc>
          <w:tcPr>
            <w:tcW w:w="532" w:type="pct"/>
            <w:vAlign w:val="center"/>
          </w:tcPr>
          <w:p w14:paraId="210A9F9A">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高15m</w:t>
            </w:r>
          </w:p>
          <w:p w14:paraId="34511584">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 xml:space="preserve">风量: </w:t>
            </w:r>
            <w:r>
              <w:rPr>
                <w:rFonts w:hint="eastAsia"/>
                <w:color w:val="000000" w:themeColor="text1"/>
                <w:lang w:val="zh-CN"/>
                <w14:textFill>
                  <w14:solidFill>
                    <w14:schemeClr w14:val="tx1"/>
                  </w14:solidFill>
                </w14:textFill>
              </w:rPr>
              <w:t>20</w:t>
            </w:r>
            <w:r>
              <w:rPr>
                <w:color w:val="000000" w:themeColor="text1"/>
                <w:lang w:val="zh-CN"/>
                <w14:textFill>
                  <w14:solidFill>
                    <w14:schemeClr w14:val="tx1"/>
                  </w14:solidFill>
                </w14:textFill>
              </w:rPr>
              <w:t>000m³/h</w:t>
            </w:r>
          </w:p>
        </w:tc>
        <w:tc>
          <w:tcPr>
            <w:tcW w:w="478" w:type="pct"/>
            <w:vAlign w:val="center"/>
          </w:tcPr>
          <w:p w14:paraId="6C8B8304">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0.0031</w:t>
            </w:r>
          </w:p>
        </w:tc>
        <w:tc>
          <w:tcPr>
            <w:tcW w:w="478" w:type="pct"/>
            <w:vAlign w:val="center"/>
          </w:tcPr>
          <w:p w14:paraId="25B3274C">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0.025</w:t>
            </w:r>
          </w:p>
        </w:tc>
      </w:tr>
    </w:tbl>
    <w:p w14:paraId="21732956">
      <w:pPr>
        <w:pStyle w:val="5"/>
        <w:rPr>
          <w:rFonts w:ascii="Times New Roman" w:hAnsi="Times New Roman"/>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titlePg/>
          <w:docGrid w:linePitch="286" w:charSpace="0"/>
        </w:sectPr>
      </w:pPr>
    </w:p>
    <w:p w14:paraId="1BEE42EE">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热解焙烧废气</w:t>
      </w:r>
    </w:p>
    <w:p w14:paraId="1E8A5F48">
      <w:pPr>
        <w:ind w:firstLine="480"/>
        <w:outlineLvl w:val="5"/>
        <w:rPr>
          <w:rFonts w:eastAsia="黑体"/>
          <w:color w:val="000000" w:themeColor="text1"/>
          <w:lang w:val="zh-CN"/>
          <w14:textFill>
            <w14:solidFill>
              <w14:schemeClr w14:val="tx1"/>
            </w14:solidFill>
          </w14:textFill>
        </w:rPr>
      </w:pPr>
      <w:r>
        <w:rPr>
          <w:rFonts w:eastAsia="黑体"/>
          <w:color w:val="000000" w:themeColor="text1"/>
          <w:lang w:val="zh-CN"/>
          <w14:textFill>
            <w14:solidFill>
              <w14:schemeClr w14:val="tx1"/>
            </w14:solidFill>
          </w14:textFill>
        </w:rPr>
        <w:t>一、废气污染物来源</w:t>
      </w:r>
    </w:p>
    <w:p w14:paraId="3D761730">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热解焙烧废气主要是废盐热解焙烧过程产生的烟气，来源于废盐中所含杂质热解过程中产生的有机废气及其他废气经二燃室燃烧后产生的废气。热解焙烧废气污染物排放具有不稳定、不均衡性，污染物视废盐类别、数量和工艺控制条件而定，主要有酸性组分（SO</w:t>
      </w:r>
      <w:r>
        <w:rPr>
          <w:color w:val="000000" w:themeColor="text1"/>
          <w:vertAlign w:val="subscript"/>
          <w:lang w:val="zh-CN"/>
          <w14:textFill>
            <w14:solidFill>
              <w14:schemeClr w14:val="tx1"/>
            </w14:solidFill>
          </w14:textFill>
        </w:rPr>
        <w:t>2</w:t>
      </w:r>
      <w:r>
        <w:rPr>
          <w:color w:val="000000" w:themeColor="text1"/>
          <w:lang w:val="zh-CN"/>
          <w14:textFill>
            <w14:solidFill>
              <w14:schemeClr w14:val="tx1"/>
            </w14:solidFill>
          </w14:textFill>
        </w:rPr>
        <w:t xml:space="preserve"> 、NO</w:t>
      </w:r>
      <w:r>
        <w:rPr>
          <w:color w:val="000000" w:themeColor="text1"/>
          <w:vertAlign w:val="subscript"/>
          <w:lang w:val="zh-CN"/>
          <w14:textFill>
            <w14:solidFill>
              <w14:schemeClr w14:val="tx1"/>
            </w14:solidFill>
          </w14:textFill>
        </w:rPr>
        <w:t>X</w:t>
      </w:r>
      <w:r>
        <w:rPr>
          <w:color w:val="000000" w:themeColor="text1"/>
          <w:lang w:val="zh-CN"/>
          <w14:textFill>
            <w14:solidFill>
              <w14:schemeClr w14:val="tx1"/>
            </w14:solidFill>
          </w14:textFill>
        </w:rPr>
        <w:t xml:space="preserve"> 、HCl、HF）、CO、颗粒物、二噁英类、重金属等。本评价考虑最不利影响，按废盐中的氯、硫、氟元素全部转换HCl、SO</w:t>
      </w:r>
      <w:r>
        <w:rPr>
          <w:color w:val="000000" w:themeColor="text1"/>
          <w:vertAlign w:val="subscript"/>
          <w:lang w:val="zh-CN"/>
          <w14:textFill>
            <w14:solidFill>
              <w14:schemeClr w14:val="tx1"/>
            </w14:solidFill>
          </w14:textFill>
        </w:rPr>
        <w:t>2</w:t>
      </w:r>
      <w:r>
        <w:rPr>
          <w:color w:val="000000" w:themeColor="text1"/>
          <w:lang w:val="zh-CN"/>
          <w14:textFill>
            <w14:solidFill>
              <w14:schemeClr w14:val="tx1"/>
            </w14:solidFill>
          </w14:textFill>
        </w:rPr>
        <w:t>、HF。</w:t>
      </w:r>
    </w:p>
    <w:p w14:paraId="76645198">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各污染物组分来源分析如下：</w:t>
      </w:r>
    </w:p>
    <w:p w14:paraId="019B272A">
      <w:pPr>
        <w:ind w:firstLine="480"/>
        <w:rPr>
          <w:rFonts w:eastAsia="黑体"/>
          <w:color w:val="000000" w:themeColor="text1"/>
          <w:lang w:val="zh-CN"/>
          <w14:textFill>
            <w14:solidFill>
              <w14:schemeClr w14:val="tx1"/>
            </w14:solidFill>
          </w14:textFill>
        </w:rPr>
      </w:pPr>
      <w:r>
        <w:rPr>
          <w:color w:val="000000" w:themeColor="text1"/>
          <w:lang w:val="zh-CN"/>
          <w14:textFill>
            <w14:solidFill>
              <w14:schemeClr w14:val="tx1"/>
            </w14:solidFill>
          </w14:textFill>
        </w:rPr>
        <w:t>1、</w:t>
      </w:r>
      <w:r>
        <w:rPr>
          <w:rFonts w:eastAsia="黑体"/>
          <w:color w:val="000000" w:themeColor="text1"/>
          <w:lang w:val="zh-CN"/>
          <w14:textFill>
            <w14:solidFill>
              <w14:schemeClr w14:val="tx1"/>
            </w14:solidFill>
          </w14:textFill>
        </w:rPr>
        <w:t>酸性气体</w:t>
      </w:r>
    </w:p>
    <w:p w14:paraId="383A1BF3">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HCl：本项目HCl主要来源于废盐内的含氯化合物的燃烧。</w:t>
      </w:r>
    </w:p>
    <w:p w14:paraId="284EFAC5">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SO</w:t>
      </w:r>
      <w:r>
        <w:rPr>
          <w:color w:val="000000" w:themeColor="text1"/>
          <w:vertAlign w:val="subscript"/>
          <w:lang w:val="zh-CN"/>
          <w14:textFill>
            <w14:solidFill>
              <w14:schemeClr w14:val="tx1"/>
            </w14:solidFill>
          </w14:textFill>
        </w:rPr>
        <w:t>2</w:t>
      </w:r>
      <w:r>
        <w:rPr>
          <w:color w:val="000000" w:themeColor="text1"/>
          <w:lang w:val="zh-CN"/>
          <w14:textFill>
            <w14:solidFill>
              <w14:schemeClr w14:val="tx1"/>
            </w14:solidFill>
          </w14:textFill>
        </w:rPr>
        <w:t>：主要来源于废盐中含硫化合物的热分解和氧化。</w:t>
      </w:r>
    </w:p>
    <w:p w14:paraId="78F70D10">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NO</w:t>
      </w:r>
      <w:r>
        <w:rPr>
          <w:color w:val="000000" w:themeColor="text1"/>
          <w:vertAlign w:val="subscript"/>
          <w:lang w:val="zh-CN"/>
          <w14:textFill>
            <w14:solidFill>
              <w14:schemeClr w14:val="tx1"/>
            </w14:solidFill>
          </w14:textFill>
        </w:rPr>
        <w:t>X</w:t>
      </w:r>
      <w:r>
        <w:rPr>
          <w:color w:val="000000" w:themeColor="text1"/>
          <w:lang w:val="zh-CN"/>
          <w14:textFill>
            <w14:solidFill>
              <w14:schemeClr w14:val="tx1"/>
            </w14:solidFill>
          </w14:textFill>
        </w:rPr>
        <w:t>：根据《大气污染控制工程（第二版）》（化学工业出版社，2008.1），NOx有三种不同的生成途径，即热力型NOx、燃料型NOx和快速型NOx。热力型NOx：燃烧温度对温度热力型NOx生成有决定性的作用，当燃烧温度低于1350℃时，几乎没有NOx生成，燃烧低于1600℃，NOx量很少，但当温度高于1600℃后，NOx 量按指数规律迅速增加。本项目燃烧温度约为1100℃，在此温度条件下，热力型NOx 生成很少，可不考虑。燃料型NOx：燃料型NOx 是燃料中含氮化合物在燃烧过程中氧化而生成的NOx，其发生机制目前尚不完全清楚。一般认为，燃料中的氮化合物首先发生热分解形成中间产物，然后再经氧化生成NO。燃料型NOx主要是NO，只有10%的NO在烟道中被氧化成NO</w:t>
      </w:r>
      <w:r>
        <w:rPr>
          <w:color w:val="000000" w:themeColor="text1"/>
          <w:vertAlign w:val="subscript"/>
          <w:lang w:val="zh-CN"/>
          <w14:textFill>
            <w14:solidFill>
              <w14:schemeClr w14:val="tx1"/>
            </w14:solidFill>
          </w14:textFill>
        </w:rPr>
        <w:t>2</w:t>
      </w:r>
      <w:r>
        <w:rPr>
          <w:color w:val="000000" w:themeColor="text1"/>
          <w:lang w:val="zh-CN"/>
          <w14:textFill>
            <w14:solidFill>
              <w14:schemeClr w14:val="tx1"/>
            </w14:solidFill>
          </w14:textFill>
        </w:rPr>
        <w:t>。燃料型NOx生成的最大特点是与燃烧方式、燃烧工况有关。燃料型NOx生成依赖于燃烧温度。快速性NOx：快速型NOx是火焰边缘形成的NOx，快速型由于生成量很少，一般不考虑。根据上述分析，本项目热解焙烧窑废气中的NOx主要为燃料型NOx，产生于高温燃烧室，主要来源于原料废盐中所含的N在热解过程中转化生成的氮氧化物。</w:t>
      </w:r>
    </w:p>
    <w:p w14:paraId="38BD132D">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HF：来自残留的含氟化合物的燃烧。</w:t>
      </w:r>
    </w:p>
    <w:p w14:paraId="489582A2">
      <w:pPr>
        <w:ind w:firstLine="480"/>
        <w:rPr>
          <w:rFonts w:eastAsia="黑体"/>
          <w:color w:val="000000" w:themeColor="text1"/>
          <w:lang w:val="zh-CN"/>
          <w14:textFill>
            <w14:solidFill>
              <w14:schemeClr w14:val="tx1"/>
            </w14:solidFill>
          </w14:textFill>
        </w:rPr>
      </w:pPr>
      <w:r>
        <w:rPr>
          <w:rFonts w:eastAsia="黑体"/>
          <w:color w:val="000000" w:themeColor="text1"/>
          <w:lang w:val="zh-CN"/>
          <w14:textFill>
            <w14:solidFill>
              <w14:schemeClr w14:val="tx1"/>
            </w14:solidFill>
          </w14:textFill>
        </w:rPr>
        <w:t>2、CO</w:t>
      </w:r>
    </w:p>
    <w:p w14:paraId="2AC16029">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一部分来自固废碳化物的热分解，另一部分来自不完全燃烧，固废燃烧效率越高，</w:t>
      </w:r>
      <w:r>
        <w:rPr>
          <w:rFonts w:hint="eastAsia"/>
          <w:color w:val="000000" w:themeColor="text1"/>
          <w:lang w:val="zh-CN"/>
          <w14:textFill>
            <w14:solidFill>
              <w14:schemeClr w14:val="tx1"/>
            </w14:solidFill>
          </w14:textFill>
        </w:rPr>
        <w:t>转化为CO</w:t>
      </w:r>
      <w:r>
        <w:rPr>
          <w:rFonts w:hint="eastAsia"/>
          <w:color w:val="000000" w:themeColor="text1"/>
          <w:vertAlign w:val="subscript"/>
          <w:lang w:val="zh-CN"/>
          <w14:textFill>
            <w14:solidFill>
              <w14:schemeClr w14:val="tx1"/>
            </w14:solidFill>
          </w14:textFill>
        </w:rPr>
        <w:t>2</w:t>
      </w:r>
      <w:r>
        <w:rPr>
          <w:rFonts w:hint="eastAsia"/>
          <w:color w:val="000000" w:themeColor="text1"/>
          <w:lang w:val="zh-CN"/>
          <w14:textFill>
            <w14:solidFill>
              <w14:schemeClr w14:val="tx1"/>
            </w14:solidFill>
          </w14:textFill>
        </w:rPr>
        <w:t>量越大，</w:t>
      </w:r>
      <w:r>
        <w:rPr>
          <w:color w:val="000000" w:themeColor="text1"/>
          <w:lang w:val="zh-CN"/>
          <w14:textFill>
            <w14:solidFill>
              <w14:schemeClr w14:val="tx1"/>
            </w14:solidFill>
          </w14:textFill>
        </w:rPr>
        <w:t>排气CO含量就越少。</w:t>
      </w:r>
    </w:p>
    <w:p w14:paraId="5792E088">
      <w:pPr>
        <w:ind w:firstLine="480"/>
        <w:rPr>
          <w:rFonts w:eastAsia="黑体"/>
          <w:color w:val="000000" w:themeColor="text1"/>
          <w:lang w:val="zh-CN"/>
          <w14:textFill>
            <w14:solidFill>
              <w14:schemeClr w14:val="tx1"/>
            </w14:solidFill>
          </w14:textFill>
        </w:rPr>
      </w:pPr>
      <w:r>
        <w:rPr>
          <w:color w:val="000000" w:themeColor="text1"/>
          <w:lang w:val="zh-CN"/>
          <w14:textFill>
            <w14:solidFill>
              <w14:schemeClr w14:val="tx1"/>
            </w14:solidFill>
          </w14:textFill>
        </w:rPr>
        <w:t>3、</w:t>
      </w:r>
      <w:r>
        <w:rPr>
          <w:rFonts w:eastAsia="黑体"/>
          <w:color w:val="000000" w:themeColor="text1"/>
          <w:lang w:val="zh-CN"/>
          <w14:textFill>
            <w14:solidFill>
              <w14:schemeClr w14:val="tx1"/>
            </w14:solidFill>
          </w14:textFill>
        </w:rPr>
        <w:t>颗粒物</w:t>
      </w:r>
    </w:p>
    <w:p w14:paraId="38BCA0DE">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热解焙烧废气中的颗粒物是热解焙烧过程中产生的微小颗粒性物质，主要是细小盐颗粒、少量杂质燃烧产生的飞灰，以及少量被燃烧空气和烟气吹起的小颗粒灰分。</w:t>
      </w:r>
    </w:p>
    <w:p w14:paraId="2B6DFB0A">
      <w:pPr>
        <w:ind w:firstLine="480"/>
        <w:rPr>
          <w:rFonts w:eastAsia="黑体"/>
          <w:color w:val="000000" w:themeColor="text1"/>
          <w:lang w:val="zh-CN"/>
          <w14:textFill>
            <w14:solidFill>
              <w14:schemeClr w14:val="tx1"/>
            </w14:solidFill>
          </w14:textFill>
        </w:rPr>
      </w:pPr>
      <w:r>
        <w:rPr>
          <w:color w:val="000000" w:themeColor="text1"/>
          <w:lang w:val="zh-CN"/>
          <w14:textFill>
            <w14:solidFill>
              <w14:schemeClr w14:val="tx1"/>
            </w14:solidFill>
          </w14:textFill>
        </w:rPr>
        <w:t>4、</w:t>
      </w:r>
      <w:r>
        <w:rPr>
          <w:rFonts w:eastAsia="黑体"/>
          <w:color w:val="000000" w:themeColor="text1"/>
          <w:lang w:val="zh-CN"/>
          <w14:textFill>
            <w14:solidFill>
              <w14:schemeClr w14:val="tx1"/>
            </w14:solidFill>
          </w14:textFill>
        </w:rPr>
        <w:t>二噁英类物质</w:t>
      </w:r>
    </w:p>
    <w:p w14:paraId="35447EE2">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二噁英类化合物是指能与芳香烃受体Ah-R 结合并能导致一系列生物化学效应的一大类化合物的总称。主要包括75种多氯代二苯并-对-二噁英（PCDDs）和135种多氯代二苯并呋喃（PCDFs）。其中PCDDs和PCDFs统称为二噁英。此外还包括多氯联苯（PCBs）和氯代二苯醚等。目前已知所有二噁英类化合物中，毒性最为明显的是7种PCDDs，10 种PCDFs 和12种PCBs，其中以2，3，7，8-TCDD 的毒性最大。在焚烧过程中二噁英及呋喃类物质产生主要来自三方面：废物本身成份，炉内形成，炉外低温再合成。</w:t>
      </w:r>
    </w:p>
    <w:p w14:paraId="1FC46C2F">
      <w:pPr>
        <w:ind w:firstLine="482"/>
        <w:rPr>
          <w:color w:val="000000" w:themeColor="text1"/>
          <w:lang w:val="zh-CN"/>
          <w14:textFill>
            <w14:solidFill>
              <w14:schemeClr w14:val="tx1"/>
            </w14:solidFill>
          </w14:textFill>
        </w:rPr>
      </w:pPr>
      <w:r>
        <w:rPr>
          <w:b/>
          <w:color w:val="000000" w:themeColor="text1"/>
          <w:lang w:val="zh-CN"/>
          <w14:textFill>
            <w14:solidFill>
              <w14:schemeClr w14:val="tx1"/>
            </w14:solidFill>
          </w14:textFill>
        </w:rPr>
        <w:t>废物本身成份：</w:t>
      </w:r>
      <w:r>
        <w:rPr>
          <w:color w:val="000000" w:themeColor="text1"/>
          <w:lang w:val="zh-CN"/>
          <w14:textFill>
            <w14:solidFill>
              <w14:schemeClr w14:val="tx1"/>
            </w14:solidFill>
          </w14:textFill>
        </w:rPr>
        <w:t>废物本身可能含有PCDDs/PCDFs，但从本项目废盐来源来看，废物本身带入的可能性很低，同时由于PCDDs/PCDFs 的破坏分解温度并不高（750-800℃），若能保持良好的燃烧状况，由废物本身所夹带的PCDDs/PCDFs物质，经焚烧后大部分应已破坏分解。</w:t>
      </w:r>
    </w:p>
    <w:p w14:paraId="4D7716DF">
      <w:pPr>
        <w:ind w:firstLine="482"/>
        <w:rPr>
          <w:color w:val="000000" w:themeColor="text1"/>
          <w:lang w:val="zh-CN"/>
          <w14:textFill>
            <w14:solidFill>
              <w14:schemeClr w14:val="tx1"/>
            </w14:solidFill>
          </w14:textFill>
        </w:rPr>
      </w:pPr>
      <w:r>
        <w:rPr>
          <w:b/>
          <w:color w:val="000000" w:themeColor="text1"/>
          <w:lang w:val="zh-CN"/>
          <w14:textFill>
            <w14:solidFill>
              <w14:schemeClr w14:val="tx1"/>
            </w14:solidFill>
          </w14:textFill>
        </w:rPr>
        <w:t>炉内形成：</w:t>
      </w:r>
      <w:r>
        <w:rPr>
          <w:color w:val="000000" w:themeColor="text1"/>
          <w:lang w:val="zh-CN"/>
          <w14:textFill>
            <w14:solidFill>
              <w14:schemeClr w14:val="tx1"/>
            </w14:solidFill>
          </w14:textFill>
        </w:rPr>
        <w:t>废物化学成分中C，H，O，N，S，Cl 等元素，在焚烧过程中可能先形成部分不完全燃烧的碳氢化合物（CxHy），当CxHy因炉内燃烧状况不良（如氧气不足，缺乏充分混合及炉温太低等因素）而未及时分解为CO</w:t>
      </w:r>
      <w:r>
        <w:rPr>
          <w:color w:val="000000" w:themeColor="text1"/>
          <w:vertAlign w:val="subscript"/>
          <w:lang w:val="zh-CN"/>
          <w14:textFill>
            <w14:solidFill>
              <w14:schemeClr w14:val="tx1"/>
            </w14:solidFill>
          </w14:textFill>
        </w:rPr>
        <w:t>2</w:t>
      </w:r>
      <w:r>
        <w:rPr>
          <w:color w:val="000000" w:themeColor="text1"/>
          <w:lang w:val="zh-CN"/>
          <w14:textFill>
            <w14:solidFill>
              <w14:schemeClr w14:val="tx1"/>
            </w14:solidFill>
          </w14:textFill>
        </w:rPr>
        <w:t>和H</w:t>
      </w:r>
      <w:r>
        <w:rPr>
          <w:color w:val="000000" w:themeColor="text1"/>
          <w:vertAlign w:val="subscript"/>
          <w:lang w:val="zh-CN"/>
          <w14:textFill>
            <w14:solidFill>
              <w14:schemeClr w14:val="tx1"/>
            </w14:solidFill>
          </w14:textFill>
        </w:rPr>
        <w:t>2</w:t>
      </w:r>
      <w:r>
        <w:rPr>
          <w:color w:val="000000" w:themeColor="text1"/>
          <w:lang w:val="zh-CN"/>
          <w14:textFill>
            <w14:solidFill>
              <w14:schemeClr w14:val="tx1"/>
            </w14:solidFill>
          </w14:textFill>
        </w:rPr>
        <w:t>O时，可能与废物中的氯化物结合形成二噁英，氯苯及氯酚等物质。其中氯苯及氯酚的破坏分解温度高出约100℃左右，如炉内燃烧状况不良，尤其在燃烧室内混合程度不够或停留时间太短，更不易将其除去，因此可能成为炉外低温合成二噁英的前驱物质。</w:t>
      </w:r>
    </w:p>
    <w:p w14:paraId="6CB55402">
      <w:pPr>
        <w:ind w:firstLine="482"/>
        <w:rPr>
          <w:color w:val="000000" w:themeColor="text1"/>
          <w:lang w:val="zh-CN"/>
          <w14:textFill>
            <w14:solidFill>
              <w14:schemeClr w14:val="tx1"/>
            </w14:solidFill>
          </w14:textFill>
        </w:rPr>
      </w:pPr>
      <w:r>
        <w:rPr>
          <w:b/>
          <w:color w:val="000000" w:themeColor="text1"/>
          <w:lang w:val="zh-CN"/>
          <w14:textFill>
            <w14:solidFill>
              <w14:schemeClr w14:val="tx1"/>
            </w14:solidFill>
          </w14:textFill>
        </w:rPr>
        <w:t>炉外低温再合成：</w:t>
      </w:r>
      <w:r>
        <w:rPr>
          <w:color w:val="000000" w:themeColor="text1"/>
          <w:lang w:val="zh-CN"/>
          <w14:textFill>
            <w14:solidFill>
              <w14:schemeClr w14:val="tx1"/>
            </w14:solidFill>
          </w14:textFill>
        </w:rPr>
        <w:t>由于完全燃烧并不容易达成，氯苯及氯酚等前驱物质随废气自燃烧室排出后，可能被废气中的碳元素所吸附，并在特定的温度范围（250～400℃，300℃时最显著），在灰份颗粒所构成的活性接触面上，被金属氯化物催化反应生成二噁英。此种再合成反应的发生，除了需具备前述的特定温度范围内由飞灰所提供的碳元素（飞灰中碳的气化率越高，二噁英类的生成量越大），催化物质，活性接触面及前驱物质外，废气中充分的氧含量，水份含量也是再合成的重要角色。</w:t>
      </w:r>
    </w:p>
    <w:p w14:paraId="0364B941">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根据企业设计资料，本项目二燃室炉膛内温度≥1100℃，为了避免燃烧烟气中二噁英类物质低温再合成，焚烧烟气处理采用急冷处理，使烟气温度得以迅速降低到80℃左右，尽量避开易低温生成二噁英的温度范围。生成的少量二噁英经烟气处理系统干式脱酸塔喷入的活性炭进行吸附处理。</w:t>
      </w:r>
    </w:p>
    <w:p w14:paraId="4B48C4DF">
      <w:pPr>
        <w:ind w:firstLine="482"/>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6、重金属</w:t>
      </w:r>
    </w:p>
    <w:p w14:paraId="06E8F08A">
      <w:pPr>
        <w:ind w:firstLine="480"/>
        <w:rPr>
          <w:color w:val="000000" w:themeColor="text1"/>
          <w14:textFill>
            <w14:solidFill>
              <w14:schemeClr w14:val="tx1"/>
            </w14:solidFill>
          </w14:textFill>
        </w:rPr>
      </w:pPr>
      <w:r>
        <w:rPr>
          <w:color w:val="000000" w:themeColor="text1"/>
          <w14:textFill>
            <w14:solidFill>
              <w14:schemeClr w14:val="tx1"/>
            </w14:solidFill>
          </w14:textFill>
        </w:rPr>
        <w:t>废盐处理过程中重金属的转化和终端形态的金属元素在热解转化过程中有两种不同终端形态和结局：</w:t>
      </w:r>
    </w:p>
    <w:p w14:paraId="31609D73">
      <w:pPr>
        <w:ind w:firstLine="560"/>
        <w:rPr>
          <w:color w:val="000000" w:themeColor="text1"/>
          <w14:textFill>
            <w14:solidFill>
              <w14:schemeClr w14:val="tx1"/>
            </w14:solidFill>
          </w14:textFill>
        </w:rPr>
      </w:pPr>
      <w:r>
        <w:rPr>
          <w:rFonts w:eastAsia="Times New Roman"/>
          <w:color w:val="000000" w:themeColor="text1"/>
          <w:sz w:val="28"/>
          <w:szCs w:val="28"/>
          <w:lang w:bidi="en-US"/>
          <w14:textFill>
            <w14:solidFill>
              <w14:schemeClr w14:val="tx1"/>
            </w14:solidFill>
          </w14:textFill>
        </w:rPr>
        <w:t>a</w:t>
      </w:r>
      <w:r>
        <w:rPr>
          <w:color w:val="000000" w:themeColor="text1"/>
          <w:lang w:bidi="en-US"/>
          <w14:textFill>
            <w14:solidFill>
              <w14:schemeClr w14:val="tx1"/>
            </w14:solidFill>
          </w14:textFill>
        </w:rPr>
        <w:t>、</w:t>
      </w:r>
      <w:r>
        <w:rPr>
          <w:color w:val="000000" w:themeColor="text1"/>
          <w14:textFill>
            <w14:solidFill>
              <w14:schemeClr w14:val="tx1"/>
            </w14:solidFill>
          </w14:textFill>
        </w:rPr>
        <w:t>一部分进入气相，其中少部分被烟气净化系统捕集，大部分随烟气排放；</w:t>
      </w:r>
    </w:p>
    <w:p w14:paraId="25006716">
      <w:pPr>
        <w:ind w:firstLine="560"/>
        <w:rPr>
          <w:color w:val="000000" w:themeColor="text1"/>
          <w14:textFill>
            <w14:solidFill>
              <w14:schemeClr w14:val="tx1"/>
            </w14:solidFill>
          </w14:textFill>
        </w:rPr>
      </w:pPr>
      <w:r>
        <w:rPr>
          <w:rFonts w:eastAsia="Times New Roman"/>
          <w:color w:val="000000" w:themeColor="text1"/>
          <w:sz w:val="28"/>
          <w:szCs w:val="28"/>
          <w:lang w:bidi="en-US"/>
          <w14:textFill>
            <w14:solidFill>
              <w14:schemeClr w14:val="tx1"/>
            </w14:solidFill>
          </w14:textFill>
        </w:rPr>
        <w:t>b</w:t>
      </w:r>
      <w:r>
        <w:rPr>
          <w:color w:val="000000" w:themeColor="text1"/>
          <w:lang w:bidi="en-US"/>
          <w14:textFill>
            <w14:solidFill>
              <w14:schemeClr w14:val="tx1"/>
            </w14:solidFill>
          </w14:textFill>
        </w:rPr>
        <w:t>、</w:t>
      </w:r>
      <w:r>
        <w:rPr>
          <w:color w:val="000000" w:themeColor="text1"/>
          <w14:textFill>
            <w14:solidFill>
              <w14:schemeClr w14:val="tx1"/>
            </w14:solidFill>
          </w14:textFill>
        </w:rPr>
        <w:t>极少量重金属元素残留于产品盐中。</w:t>
      </w:r>
    </w:p>
    <w:p w14:paraId="4A23B513">
      <w:pPr>
        <w:ind w:firstLine="480"/>
        <w:outlineLvl w:val="5"/>
        <w:rPr>
          <w:rFonts w:eastAsia="黑体"/>
          <w:color w:val="000000" w:themeColor="text1"/>
          <w14:textFill>
            <w14:solidFill>
              <w14:schemeClr w14:val="tx1"/>
            </w14:solidFill>
          </w14:textFill>
        </w:rPr>
      </w:pPr>
      <w:r>
        <w:rPr>
          <w:rFonts w:eastAsia="黑体"/>
          <w:color w:val="000000" w:themeColor="text1"/>
          <w:lang w:val="zh-CN"/>
          <w14:textFill>
            <w14:solidFill>
              <w14:schemeClr w14:val="tx1"/>
            </w14:solidFill>
          </w14:textFill>
        </w:rPr>
        <w:t>二、源强核算</w:t>
      </w:r>
    </w:p>
    <w:p w14:paraId="399E1C91">
      <w:pPr>
        <w:ind w:firstLine="480"/>
        <w:rPr>
          <w:color w:val="000000" w:themeColor="text1"/>
          <w14:textFill>
            <w14:solidFill>
              <w14:schemeClr w14:val="tx1"/>
            </w14:solidFill>
          </w14:textFill>
        </w:rPr>
      </w:pPr>
      <w:r>
        <w:rPr>
          <w:color w:val="000000" w:themeColor="text1"/>
          <w14:textFill>
            <w14:solidFill>
              <w14:schemeClr w14:val="tx1"/>
            </w14:solidFill>
          </w14:textFill>
        </w:rPr>
        <w:t>根据美国国家环保署</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EPA</w:t>
      </w:r>
      <w:r>
        <w:rPr>
          <w:color w:val="000000" w:themeColor="text1"/>
          <w:lang w:bidi="en-US"/>
          <w14:textFill>
            <w14:solidFill>
              <w14:schemeClr w14:val="tx1"/>
            </w14:solidFill>
          </w14:textFill>
        </w:rPr>
        <w:t>）</w:t>
      </w:r>
      <w:r>
        <w:rPr>
          <w:color w:val="000000" w:themeColor="text1"/>
          <w14:textFill>
            <w14:solidFill>
              <w14:schemeClr w14:val="tx1"/>
            </w14:solidFill>
          </w14:textFill>
        </w:rPr>
        <w:t>自</w:t>
      </w:r>
      <w:r>
        <w:rPr>
          <w:rFonts w:eastAsia="Times New Roman"/>
          <w:color w:val="000000" w:themeColor="text1"/>
          <w14:textFill>
            <w14:solidFill>
              <w14:schemeClr w14:val="tx1"/>
            </w14:solidFill>
          </w14:textFill>
        </w:rPr>
        <w:t>1972</w:t>
      </w:r>
      <w:r>
        <w:rPr>
          <w:color w:val="000000" w:themeColor="text1"/>
          <w14:textFill>
            <w14:solidFill>
              <w14:schemeClr w14:val="tx1"/>
            </w14:solidFill>
          </w14:textFill>
        </w:rPr>
        <w:t>年以来不定期发布大气污染物源强及排放数据，名为《大气污染物排放数据汇编》（</w:t>
      </w:r>
      <w:r>
        <w:rPr>
          <w:rFonts w:eastAsia="Times New Roman"/>
          <w:color w:val="000000" w:themeColor="text1"/>
          <w:lang w:bidi="en-US"/>
          <w14:textFill>
            <w14:solidFill>
              <w14:schemeClr w14:val="tx1"/>
            </w14:solidFill>
          </w14:textFill>
        </w:rPr>
        <w:t>CompilationofAirPollutantEmissionsFactors</w:t>
      </w:r>
      <w:r>
        <w:rPr>
          <w:color w:val="000000" w:themeColor="text1"/>
          <w:lang w:bidi="en-US"/>
          <w14:textFill>
            <w14:solidFill>
              <w14:schemeClr w14:val="tx1"/>
            </w14:solidFill>
          </w14:textFill>
        </w:rPr>
        <w:t>，</w:t>
      </w:r>
      <w:r>
        <w:rPr>
          <w:color w:val="000000" w:themeColor="text1"/>
          <w14:textFill>
            <w14:solidFill>
              <w14:schemeClr w14:val="tx1"/>
            </w14:solidFill>
          </w14:textFill>
        </w:rPr>
        <w:t>简称</w:t>
      </w:r>
      <w:r>
        <w:rPr>
          <w:rFonts w:eastAsia="Times New Roman"/>
          <w:color w:val="000000" w:themeColor="text1"/>
          <w:lang w:bidi="en-US"/>
          <w14:textFill>
            <w14:solidFill>
              <w14:schemeClr w14:val="tx1"/>
            </w14:solidFill>
          </w14:textFill>
        </w:rPr>
        <w:t>AP-42</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1</w:t>
      </w:r>
      <w:r>
        <w:rPr>
          <w:color w:val="000000" w:themeColor="text1"/>
          <w:lang w:bidi="en-US"/>
          <w14:textFill>
            <w14:solidFill>
              <w14:schemeClr w14:val="tx1"/>
            </w14:solidFill>
          </w14:textFill>
        </w:rPr>
        <w:t>］，</w:t>
      </w:r>
      <w:r>
        <w:rPr>
          <w:color w:val="000000" w:themeColor="text1"/>
          <w14:textFill>
            <w14:solidFill>
              <w14:schemeClr w14:val="tx1"/>
            </w14:solidFill>
          </w14:textFill>
        </w:rPr>
        <w:t>其第</w:t>
      </w:r>
      <w:r>
        <w:rPr>
          <w:rFonts w:eastAsia="Times New Roman"/>
          <w:color w:val="000000" w:themeColor="text1"/>
          <w:lang w:bidi="en-US"/>
          <w14:textFill>
            <w14:solidFill>
              <w14:schemeClr w14:val="tx1"/>
            </w14:solidFill>
          </w14:textFill>
        </w:rPr>
        <w:t>5</w:t>
      </w:r>
      <w:r>
        <w:rPr>
          <w:color w:val="000000" w:themeColor="text1"/>
          <w14:textFill>
            <w14:solidFill>
              <w14:schemeClr w14:val="tx1"/>
            </w14:solidFill>
          </w14:textFill>
        </w:rPr>
        <w:t>版</w:t>
      </w:r>
      <w:r>
        <w:rPr>
          <w:rFonts w:eastAsia="Times New Roman"/>
          <w:color w:val="000000" w:themeColor="text1"/>
          <w:lang w:bidi="en-US"/>
          <w14:textFill>
            <w14:solidFill>
              <w14:schemeClr w14:val="tx1"/>
            </w14:solidFill>
          </w14:textFill>
        </w:rPr>
        <w:t>1995</w:t>
      </w:r>
      <w:r>
        <w:rPr>
          <w:color w:val="000000" w:themeColor="text1"/>
          <w14:textFill>
            <w14:solidFill>
              <w14:schemeClr w14:val="tx1"/>
            </w14:solidFill>
          </w14:textFill>
        </w:rPr>
        <w:t>年颁布，此后多此发布更新数据。</w:t>
      </w:r>
      <w:r>
        <w:rPr>
          <w:rFonts w:eastAsia="Times New Roman"/>
          <w:color w:val="000000" w:themeColor="text1"/>
          <w:lang w:bidi="en-US"/>
          <w14:textFill>
            <w14:solidFill>
              <w14:schemeClr w14:val="tx1"/>
            </w14:solidFill>
          </w14:textFill>
        </w:rPr>
        <w:t>AP-42</w:t>
      </w:r>
      <w:r>
        <w:rPr>
          <w:color w:val="000000" w:themeColor="text1"/>
          <w14:textFill>
            <w14:solidFill>
              <w14:schemeClr w14:val="tx1"/>
            </w14:solidFill>
          </w14:textFill>
        </w:rPr>
        <w:t>数据库涵盖了</w:t>
      </w:r>
      <w:r>
        <w:rPr>
          <w:rFonts w:eastAsia="Times New Roman"/>
          <w:color w:val="000000" w:themeColor="text1"/>
          <w14:textFill>
            <w14:solidFill>
              <w14:schemeClr w14:val="tx1"/>
            </w14:solidFill>
          </w14:textFill>
        </w:rPr>
        <w:t>200</w:t>
      </w:r>
      <w:r>
        <w:rPr>
          <w:color w:val="000000" w:themeColor="text1"/>
          <w14:textFill>
            <w14:solidFill>
              <w14:schemeClr w14:val="tx1"/>
            </w14:solidFill>
          </w14:textFill>
        </w:rPr>
        <w:t>多种大气污染物的代表性源强及排放数据，其中源强以“未控制排放系数"</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uncontrolledemissionfactors</w:t>
      </w:r>
      <w:r>
        <w:rPr>
          <w:color w:val="000000" w:themeColor="text1"/>
          <w:lang w:bidi="en-US"/>
          <w14:textFill>
            <w14:solidFill>
              <w14:schemeClr w14:val="tx1"/>
            </w14:solidFill>
          </w14:textFill>
        </w:rPr>
        <w:t>）</w:t>
      </w:r>
      <w:r>
        <w:rPr>
          <w:color w:val="000000" w:themeColor="text1"/>
          <w14:textFill>
            <w14:solidFill>
              <w14:schemeClr w14:val="tx1"/>
            </w14:solidFill>
          </w14:textFill>
        </w:rPr>
        <w:t>表示，即未经排放控制设备处理过的排放系数，排放数据则针对典型具体排放控制措施收集和发布。与本项目相关性最强的行业性排放数据发布在第</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章《固废处理》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SolidWasteDisposal</w:t>
      </w:r>
      <w:r>
        <w:rPr>
          <w:color w:val="000000" w:themeColor="text1"/>
          <w:lang w:bidi="en-US"/>
          <w14:textFill>
            <w14:solidFill>
              <w14:schemeClr w14:val="tx1"/>
            </w14:solidFill>
          </w14:textFill>
        </w:rPr>
        <w:t>）</w:t>
      </w:r>
      <w:r>
        <w:rPr>
          <w:color w:val="000000" w:themeColor="text1"/>
          <w14:textFill>
            <w14:solidFill>
              <w14:schemeClr w14:val="tx1"/>
            </w14:solidFill>
          </w14:textFill>
        </w:rPr>
        <w:t>中。单位处理量的大气污染物源强数据（</w:t>
      </w:r>
      <w:r>
        <w:rPr>
          <w:rFonts w:eastAsia="Times New Roman"/>
          <w:color w:val="000000" w:themeColor="text1"/>
          <w:lang w:bidi="en-US"/>
          <w14:textFill>
            <w14:solidFill>
              <w14:schemeClr w14:val="tx1"/>
            </w14:solidFill>
          </w14:textFill>
        </w:rPr>
        <w:t>uncontrolledemissionfactors</w:t>
      </w:r>
      <w:r>
        <w:rPr>
          <w:color w:val="000000" w:themeColor="text1"/>
          <w14:textFill>
            <w14:solidFill>
              <w14:schemeClr w14:val="tx1"/>
            </w14:solidFill>
          </w14:textFill>
        </w:rPr>
        <w:t>）列于下表中：</w:t>
      </w:r>
    </w:p>
    <w:p w14:paraId="01BAB32F">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大气污染物源强数据表</w:t>
      </w:r>
    </w:p>
    <w:tbl>
      <w:tblPr>
        <w:tblStyle w:val="76"/>
        <w:tblW w:w="5000" w:type="pct"/>
        <w:jc w:val="center"/>
        <w:tblLayout w:type="autofit"/>
        <w:tblCellMar>
          <w:top w:w="0" w:type="dxa"/>
          <w:left w:w="10" w:type="dxa"/>
          <w:bottom w:w="0" w:type="dxa"/>
          <w:right w:w="10" w:type="dxa"/>
        </w:tblCellMar>
      </w:tblPr>
      <w:tblGrid>
        <w:gridCol w:w="1884"/>
        <w:gridCol w:w="1691"/>
        <w:gridCol w:w="2089"/>
        <w:gridCol w:w="1889"/>
        <w:gridCol w:w="1879"/>
      </w:tblGrid>
      <w:tr w14:paraId="2825A7E5">
        <w:tblPrEx>
          <w:tblCellMar>
            <w:top w:w="0" w:type="dxa"/>
            <w:left w:w="10" w:type="dxa"/>
            <w:bottom w:w="0" w:type="dxa"/>
            <w:right w:w="10" w:type="dxa"/>
          </w:tblCellMar>
        </w:tblPrEx>
        <w:trPr>
          <w:jc w:val="center"/>
        </w:trPr>
        <w:tc>
          <w:tcPr>
            <w:tcW w:w="999" w:type="pct"/>
            <w:tcBorders>
              <w:top w:val="single" w:color="auto" w:sz="4" w:space="0"/>
              <w:left w:val="single" w:color="auto" w:sz="4" w:space="0"/>
            </w:tcBorders>
            <w:vAlign w:val="center"/>
          </w:tcPr>
          <w:p w14:paraId="7278B0A4">
            <w:pPr>
              <w:pStyle w:val="109"/>
              <w:rPr>
                <w:color w:val="000000" w:themeColor="text1"/>
                <w14:textFill>
                  <w14:solidFill>
                    <w14:schemeClr w14:val="tx1"/>
                  </w14:solidFill>
                </w14:textFill>
              </w:rPr>
            </w:pPr>
            <w:r>
              <w:rPr>
                <w:color w:val="000000" w:themeColor="text1"/>
                <w14:textFill>
                  <w14:solidFill>
                    <w14:schemeClr w14:val="tx1"/>
                  </w14:solidFill>
                </w14:textFill>
              </w:rPr>
              <w:t>大气污染物</w:t>
            </w:r>
          </w:p>
        </w:tc>
        <w:tc>
          <w:tcPr>
            <w:tcW w:w="896" w:type="pct"/>
            <w:tcBorders>
              <w:top w:val="single" w:color="auto" w:sz="4" w:space="0"/>
              <w:left w:val="single" w:color="auto" w:sz="4" w:space="0"/>
            </w:tcBorders>
            <w:vAlign w:val="center"/>
          </w:tcPr>
          <w:p w14:paraId="1B1D87FB">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107" w:type="pct"/>
            <w:tcBorders>
              <w:top w:val="single" w:color="auto" w:sz="4" w:space="0"/>
              <w:left w:val="single" w:color="auto" w:sz="4" w:space="0"/>
            </w:tcBorders>
            <w:vAlign w:val="center"/>
          </w:tcPr>
          <w:p w14:paraId="56F67116">
            <w:pPr>
              <w:pStyle w:val="109"/>
              <w:rPr>
                <w:color w:val="000000" w:themeColor="text1"/>
                <w14:textFill>
                  <w14:solidFill>
                    <w14:schemeClr w14:val="tx1"/>
                  </w14:solidFill>
                </w14:textFill>
              </w:rPr>
            </w:pPr>
            <w:r>
              <w:rPr>
                <w:color w:val="000000" w:themeColor="text1"/>
                <w14:textFill>
                  <w14:solidFill>
                    <w14:schemeClr w14:val="tx1"/>
                  </w14:solidFill>
                </w14:textFill>
              </w:rPr>
              <w:t>热解焙烧窑焚烧</w:t>
            </w:r>
          </w:p>
        </w:tc>
        <w:tc>
          <w:tcPr>
            <w:tcW w:w="1001" w:type="pct"/>
            <w:tcBorders>
              <w:top w:val="single" w:color="auto" w:sz="4" w:space="0"/>
              <w:left w:val="single" w:color="auto" w:sz="4" w:space="0"/>
            </w:tcBorders>
            <w:vAlign w:val="center"/>
          </w:tcPr>
          <w:p w14:paraId="475D4F14">
            <w:pPr>
              <w:pStyle w:val="109"/>
              <w:rPr>
                <w:color w:val="000000" w:themeColor="text1"/>
                <w14:textFill>
                  <w14:solidFill>
                    <w14:schemeClr w14:val="tx1"/>
                  </w14:solidFill>
                </w14:textFill>
              </w:rPr>
            </w:pPr>
            <w:r>
              <w:rPr>
                <w:color w:val="000000" w:themeColor="text1"/>
                <w14:textFill>
                  <w14:solidFill>
                    <w14:schemeClr w14:val="tx1"/>
                  </w14:solidFill>
                </w14:textFill>
              </w:rPr>
              <w:t>控制配风焚烧</w:t>
            </w:r>
          </w:p>
        </w:tc>
        <w:tc>
          <w:tcPr>
            <w:tcW w:w="996" w:type="pct"/>
            <w:tcBorders>
              <w:top w:val="single" w:color="auto" w:sz="4" w:space="0"/>
              <w:left w:val="single" w:color="auto" w:sz="4" w:space="0"/>
              <w:right w:val="single" w:color="auto" w:sz="4" w:space="0"/>
            </w:tcBorders>
            <w:vAlign w:val="center"/>
          </w:tcPr>
          <w:p w14:paraId="61AF964B">
            <w:pPr>
              <w:pStyle w:val="109"/>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4A66DE2A">
        <w:tblPrEx>
          <w:tblCellMar>
            <w:top w:w="0" w:type="dxa"/>
            <w:left w:w="10" w:type="dxa"/>
            <w:bottom w:w="0" w:type="dxa"/>
            <w:right w:w="10" w:type="dxa"/>
          </w:tblCellMar>
        </w:tblPrEx>
        <w:trPr>
          <w:jc w:val="center"/>
        </w:trPr>
        <w:tc>
          <w:tcPr>
            <w:tcW w:w="999" w:type="pct"/>
            <w:tcBorders>
              <w:top w:val="single" w:color="auto" w:sz="4" w:space="0"/>
              <w:left w:val="single" w:color="auto" w:sz="4" w:space="0"/>
            </w:tcBorders>
            <w:vAlign w:val="center"/>
          </w:tcPr>
          <w:p w14:paraId="47A6BE3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PM</w:t>
            </w:r>
          </w:p>
        </w:tc>
        <w:tc>
          <w:tcPr>
            <w:tcW w:w="896" w:type="pct"/>
            <w:tcBorders>
              <w:top w:val="single" w:color="auto" w:sz="4" w:space="0"/>
              <w:left w:val="single" w:color="auto" w:sz="4" w:space="0"/>
            </w:tcBorders>
            <w:vAlign w:val="center"/>
          </w:tcPr>
          <w:p w14:paraId="62DBABB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 xml:space="preserve">mg/kg </w:t>
            </w:r>
            <w:r>
              <w:rPr>
                <w:color w:val="000000" w:themeColor="text1"/>
                <w14:textFill>
                  <w14:solidFill>
                    <w14:schemeClr w14:val="tx1"/>
                  </w14:solidFill>
                </w14:textFill>
              </w:rPr>
              <w:t>给料）</w:t>
            </w:r>
          </w:p>
        </w:tc>
        <w:tc>
          <w:tcPr>
            <w:tcW w:w="1107" w:type="pct"/>
            <w:tcBorders>
              <w:top w:val="single" w:color="auto" w:sz="4" w:space="0"/>
              <w:left w:val="single" w:color="auto" w:sz="4" w:space="0"/>
            </w:tcBorders>
            <w:vAlign w:val="center"/>
          </w:tcPr>
          <w:p w14:paraId="2056F7ED">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17300</w:t>
            </w:r>
          </w:p>
        </w:tc>
        <w:tc>
          <w:tcPr>
            <w:tcW w:w="1001" w:type="pct"/>
            <w:tcBorders>
              <w:top w:val="single" w:color="auto" w:sz="4" w:space="0"/>
              <w:left w:val="single" w:color="auto" w:sz="4" w:space="0"/>
            </w:tcBorders>
            <w:vAlign w:val="center"/>
          </w:tcPr>
          <w:p w14:paraId="43720947">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2330</w:t>
            </w:r>
          </w:p>
        </w:tc>
        <w:tc>
          <w:tcPr>
            <w:tcW w:w="996" w:type="pct"/>
            <w:vMerge w:val="restart"/>
            <w:tcBorders>
              <w:top w:val="single" w:color="auto" w:sz="4" w:space="0"/>
              <w:left w:val="single" w:color="auto" w:sz="4" w:space="0"/>
              <w:right w:val="single" w:color="auto" w:sz="4" w:space="0"/>
            </w:tcBorders>
            <w:vAlign w:val="center"/>
          </w:tcPr>
          <w:p w14:paraId="08DABBE4">
            <w:pPr>
              <w:pStyle w:val="109"/>
              <w:rPr>
                <w:color w:val="000000" w:themeColor="text1"/>
                <w14:textFill>
                  <w14:solidFill>
                    <w14:schemeClr w14:val="tx1"/>
                  </w14:solidFill>
                </w14:textFill>
              </w:rPr>
            </w:pPr>
            <w:r>
              <w:rPr>
                <w:color w:val="000000" w:themeColor="text1"/>
                <w14:textFill>
                  <w14:solidFill>
                    <w14:schemeClr w14:val="tx1"/>
                  </w14:solidFill>
                </w14:textFill>
              </w:rPr>
              <w:t>类比推荐值</w:t>
            </w:r>
          </w:p>
        </w:tc>
      </w:tr>
      <w:tr w14:paraId="756F579D">
        <w:tblPrEx>
          <w:tblCellMar>
            <w:top w:w="0" w:type="dxa"/>
            <w:left w:w="10" w:type="dxa"/>
            <w:bottom w:w="0" w:type="dxa"/>
            <w:right w:w="10" w:type="dxa"/>
          </w:tblCellMar>
        </w:tblPrEx>
        <w:trPr>
          <w:jc w:val="center"/>
        </w:trPr>
        <w:tc>
          <w:tcPr>
            <w:tcW w:w="999" w:type="pct"/>
            <w:tcBorders>
              <w:top w:val="single" w:color="auto" w:sz="4" w:space="0"/>
              <w:left w:val="single" w:color="auto" w:sz="4" w:space="0"/>
            </w:tcBorders>
            <w:vAlign w:val="center"/>
          </w:tcPr>
          <w:p w14:paraId="6765BDE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CO</w:t>
            </w:r>
          </w:p>
        </w:tc>
        <w:tc>
          <w:tcPr>
            <w:tcW w:w="896" w:type="pct"/>
            <w:tcBorders>
              <w:top w:val="single" w:color="auto" w:sz="4" w:space="0"/>
              <w:left w:val="single" w:color="auto" w:sz="4" w:space="0"/>
            </w:tcBorders>
            <w:vAlign w:val="center"/>
          </w:tcPr>
          <w:p w14:paraId="4533668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 xml:space="preserve">mg/kg </w:t>
            </w:r>
            <w:r>
              <w:rPr>
                <w:color w:val="000000" w:themeColor="text1"/>
                <w14:textFill>
                  <w14:solidFill>
                    <w14:schemeClr w14:val="tx1"/>
                  </w14:solidFill>
                </w14:textFill>
              </w:rPr>
              <w:t>给料）</w:t>
            </w:r>
          </w:p>
        </w:tc>
        <w:tc>
          <w:tcPr>
            <w:tcW w:w="1107" w:type="pct"/>
            <w:tcBorders>
              <w:top w:val="single" w:color="auto" w:sz="4" w:space="0"/>
              <w:left w:val="single" w:color="auto" w:sz="4" w:space="0"/>
            </w:tcBorders>
            <w:vAlign w:val="center"/>
          </w:tcPr>
          <w:p w14:paraId="5FF0ABB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191</w:t>
            </w:r>
          </w:p>
        </w:tc>
        <w:tc>
          <w:tcPr>
            <w:tcW w:w="1001" w:type="pct"/>
            <w:tcBorders>
              <w:top w:val="single" w:color="auto" w:sz="4" w:space="0"/>
              <w:left w:val="single" w:color="auto" w:sz="4" w:space="0"/>
            </w:tcBorders>
            <w:vAlign w:val="center"/>
          </w:tcPr>
          <w:p w14:paraId="2EF99767">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1480</w:t>
            </w:r>
          </w:p>
        </w:tc>
        <w:tc>
          <w:tcPr>
            <w:tcW w:w="996" w:type="pct"/>
            <w:vMerge w:val="continue"/>
            <w:tcBorders>
              <w:left w:val="single" w:color="auto" w:sz="4" w:space="0"/>
              <w:right w:val="single" w:color="auto" w:sz="4" w:space="0"/>
            </w:tcBorders>
            <w:vAlign w:val="center"/>
          </w:tcPr>
          <w:p w14:paraId="38321C2A">
            <w:pPr>
              <w:pStyle w:val="109"/>
              <w:rPr>
                <w:color w:val="000000" w:themeColor="text1"/>
                <w14:textFill>
                  <w14:solidFill>
                    <w14:schemeClr w14:val="tx1"/>
                  </w14:solidFill>
                </w14:textFill>
              </w:rPr>
            </w:pPr>
          </w:p>
        </w:tc>
      </w:tr>
      <w:tr w14:paraId="7E41687E">
        <w:tblPrEx>
          <w:tblCellMar>
            <w:top w:w="0" w:type="dxa"/>
            <w:left w:w="10" w:type="dxa"/>
            <w:bottom w:w="0" w:type="dxa"/>
            <w:right w:w="10" w:type="dxa"/>
          </w:tblCellMar>
        </w:tblPrEx>
        <w:trPr>
          <w:jc w:val="center"/>
        </w:trPr>
        <w:tc>
          <w:tcPr>
            <w:tcW w:w="999" w:type="pct"/>
            <w:tcBorders>
              <w:top w:val="single" w:color="auto" w:sz="4" w:space="0"/>
              <w:left w:val="single" w:color="auto" w:sz="4" w:space="0"/>
            </w:tcBorders>
            <w:vAlign w:val="center"/>
          </w:tcPr>
          <w:p w14:paraId="4B81128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NOx</w:t>
            </w:r>
          </w:p>
        </w:tc>
        <w:tc>
          <w:tcPr>
            <w:tcW w:w="896" w:type="pct"/>
            <w:tcBorders>
              <w:top w:val="single" w:color="auto" w:sz="4" w:space="0"/>
              <w:left w:val="single" w:color="auto" w:sz="4" w:space="0"/>
            </w:tcBorders>
            <w:vAlign w:val="center"/>
          </w:tcPr>
          <w:p w14:paraId="31AFAB11">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 xml:space="preserve">mg/kg </w:t>
            </w:r>
            <w:r>
              <w:rPr>
                <w:color w:val="000000" w:themeColor="text1"/>
                <w14:textFill>
                  <w14:solidFill>
                    <w14:schemeClr w14:val="tx1"/>
                  </w14:solidFill>
                </w14:textFill>
              </w:rPr>
              <w:t>给料）</w:t>
            </w:r>
          </w:p>
        </w:tc>
        <w:tc>
          <w:tcPr>
            <w:tcW w:w="1107" w:type="pct"/>
            <w:tcBorders>
              <w:top w:val="single" w:color="auto" w:sz="4" w:space="0"/>
              <w:left w:val="single" w:color="auto" w:sz="4" w:space="0"/>
            </w:tcBorders>
            <w:vAlign w:val="center"/>
          </w:tcPr>
          <w:p w14:paraId="3B427A9A">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2310</w:t>
            </w:r>
          </w:p>
        </w:tc>
        <w:tc>
          <w:tcPr>
            <w:tcW w:w="1001" w:type="pct"/>
            <w:tcBorders>
              <w:top w:val="single" w:color="auto" w:sz="4" w:space="0"/>
              <w:left w:val="single" w:color="auto" w:sz="4" w:space="0"/>
            </w:tcBorders>
            <w:vAlign w:val="center"/>
          </w:tcPr>
          <w:p w14:paraId="00662E1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1780</w:t>
            </w:r>
          </w:p>
        </w:tc>
        <w:tc>
          <w:tcPr>
            <w:tcW w:w="996" w:type="pct"/>
            <w:vMerge w:val="continue"/>
            <w:tcBorders>
              <w:left w:val="single" w:color="auto" w:sz="4" w:space="0"/>
              <w:right w:val="single" w:color="auto" w:sz="4" w:space="0"/>
            </w:tcBorders>
            <w:vAlign w:val="center"/>
          </w:tcPr>
          <w:p w14:paraId="6B037236">
            <w:pPr>
              <w:pStyle w:val="109"/>
              <w:rPr>
                <w:color w:val="000000" w:themeColor="text1"/>
                <w14:textFill>
                  <w14:solidFill>
                    <w14:schemeClr w14:val="tx1"/>
                  </w14:solidFill>
                </w14:textFill>
              </w:rPr>
            </w:pPr>
          </w:p>
        </w:tc>
      </w:tr>
      <w:tr w14:paraId="1E20E9DC">
        <w:tblPrEx>
          <w:tblCellMar>
            <w:top w:w="0" w:type="dxa"/>
            <w:left w:w="10" w:type="dxa"/>
            <w:bottom w:w="0" w:type="dxa"/>
            <w:right w:w="10" w:type="dxa"/>
          </w:tblCellMar>
        </w:tblPrEx>
        <w:trPr>
          <w:jc w:val="center"/>
        </w:trPr>
        <w:tc>
          <w:tcPr>
            <w:tcW w:w="999" w:type="pct"/>
            <w:tcBorders>
              <w:top w:val="single" w:color="auto" w:sz="4" w:space="0"/>
              <w:left w:val="single" w:color="auto" w:sz="4" w:space="0"/>
            </w:tcBorders>
            <w:vAlign w:val="center"/>
          </w:tcPr>
          <w:p w14:paraId="2E52A123">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SO</w:t>
            </w:r>
            <w:r>
              <w:rPr>
                <w:rFonts w:eastAsia="Times New Roman"/>
                <w:color w:val="000000" w:themeColor="text1"/>
                <w:sz w:val="13"/>
                <w:szCs w:val="13"/>
                <w:lang w:eastAsia="en-US" w:bidi="en-US"/>
                <w14:textFill>
                  <w14:solidFill>
                    <w14:schemeClr w14:val="tx1"/>
                  </w14:solidFill>
                </w14:textFill>
              </w:rPr>
              <w:t>2</w:t>
            </w:r>
          </w:p>
        </w:tc>
        <w:tc>
          <w:tcPr>
            <w:tcW w:w="896" w:type="pct"/>
            <w:tcBorders>
              <w:top w:val="single" w:color="auto" w:sz="4" w:space="0"/>
              <w:left w:val="single" w:color="auto" w:sz="4" w:space="0"/>
            </w:tcBorders>
            <w:vAlign w:val="center"/>
          </w:tcPr>
          <w:p w14:paraId="32FC7CD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 xml:space="preserve">mg/kg </w:t>
            </w:r>
            <w:r>
              <w:rPr>
                <w:color w:val="000000" w:themeColor="text1"/>
                <w14:textFill>
                  <w14:solidFill>
                    <w14:schemeClr w14:val="tx1"/>
                  </w14:solidFill>
                </w14:textFill>
              </w:rPr>
              <w:t>给料）</w:t>
            </w:r>
          </w:p>
        </w:tc>
        <w:tc>
          <w:tcPr>
            <w:tcW w:w="1107" w:type="pct"/>
            <w:tcBorders>
              <w:top w:val="single" w:color="auto" w:sz="4" w:space="0"/>
              <w:left w:val="single" w:color="auto" w:sz="4" w:space="0"/>
            </w:tcBorders>
            <w:vAlign w:val="center"/>
          </w:tcPr>
          <w:p w14:paraId="1B4DA4F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543</w:t>
            </w:r>
          </w:p>
        </w:tc>
        <w:tc>
          <w:tcPr>
            <w:tcW w:w="1001" w:type="pct"/>
            <w:tcBorders>
              <w:top w:val="single" w:color="auto" w:sz="4" w:space="0"/>
              <w:left w:val="single" w:color="auto" w:sz="4" w:space="0"/>
            </w:tcBorders>
            <w:vAlign w:val="center"/>
          </w:tcPr>
          <w:p w14:paraId="0CBD4F73">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1090</w:t>
            </w:r>
          </w:p>
        </w:tc>
        <w:tc>
          <w:tcPr>
            <w:tcW w:w="996" w:type="pct"/>
            <w:vMerge w:val="restart"/>
            <w:tcBorders>
              <w:top w:val="single" w:color="auto" w:sz="4" w:space="0"/>
              <w:left w:val="single" w:color="auto" w:sz="4" w:space="0"/>
              <w:right w:val="single" w:color="auto" w:sz="4" w:space="0"/>
            </w:tcBorders>
            <w:vAlign w:val="center"/>
          </w:tcPr>
          <w:p w14:paraId="559DB476">
            <w:pPr>
              <w:pStyle w:val="109"/>
              <w:rPr>
                <w:color w:val="000000" w:themeColor="text1"/>
                <w14:textFill>
                  <w14:solidFill>
                    <w14:schemeClr w14:val="tx1"/>
                  </w14:solidFill>
                </w14:textFill>
              </w:rPr>
            </w:pPr>
            <w:r>
              <w:rPr>
                <w:color w:val="000000" w:themeColor="text1"/>
                <w14:textFill>
                  <w14:solidFill>
                    <w14:schemeClr w14:val="tx1"/>
                  </w14:solidFill>
                </w14:textFill>
              </w:rPr>
              <w:t>可根据给料元素 分析计算得出</w:t>
            </w:r>
          </w:p>
        </w:tc>
      </w:tr>
      <w:tr w14:paraId="519E0041">
        <w:tblPrEx>
          <w:tblCellMar>
            <w:top w:w="0" w:type="dxa"/>
            <w:left w:w="10" w:type="dxa"/>
            <w:bottom w:w="0" w:type="dxa"/>
            <w:right w:w="10" w:type="dxa"/>
          </w:tblCellMar>
        </w:tblPrEx>
        <w:trPr>
          <w:jc w:val="center"/>
        </w:trPr>
        <w:tc>
          <w:tcPr>
            <w:tcW w:w="999" w:type="pct"/>
            <w:tcBorders>
              <w:top w:val="single" w:color="auto" w:sz="4" w:space="0"/>
              <w:left w:val="single" w:color="auto" w:sz="4" w:space="0"/>
            </w:tcBorders>
            <w:vAlign w:val="center"/>
          </w:tcPr>
          <w:p w14:paraId="6FB8725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HCl</w:t>
            </w:r>
          </w:p>
        </w:tc>
        <w:tc>
          <w:tcPr>
            <w:tcW w:w="896" w:type="pct"/>
            <w:tcBorders>
              <w:top w:val="single" w:color="auto" w:sz="4" w:space="0"/>
              <w:left w:val="single" w:color="auto" w:sz="4" w:space="0"/>
            </w:tcBorders>
            <w:vAlign w:val="center"/>
          </w:tcPr>
          <w:p w14:paraId="12075025">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 xml:space="preserve">mg/kg </w:t>
            </w:r>
            <w:r>
              <w:rPr>
                <w:color w:val="000000" w:themeColor="text1"/>
                <w14:textFill>
                  <w14:solidFill>
                    <w14:schemeClr w14:val="tx1"/>
                  </w14:solidFill>
                </w14:textFill>
              </w:rPr>
              <w:t>给料）</w:t>
            </w:r>
          </w:p>
        </w:tc>
        <w:tc>
          <w:tcPr>
            <w:tcW w:w="1107" w:type="pct"/>
            <w:tcBorders>
              <w:top w:val="single" w:color="auto" w:sz="4" w:space="0"/>
              <w:left w:val="single" w:color="auto" w:sz="4" w:space="0"/>
            </w:tcBorders>
            <w:vAlign w:val="center"/>
          </w:tcPr>
          <w:p w14:paraId="3D9A5B81">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22100</w:t>
            </w:r>
          </w:p>
        </w:tc>
        <w:tc>
          <w:tcPr>
            <w:tcW w:w="1001" w:type="pct"/>
            <w:tcBorders>
              <w:top w:val="single" w:color="auto" w:sz="4" w:space="0"/>
              <w:left w:val="single" w:color="auto" w:sz="4" w:space="0"/>
            </w:tcBorders>
            <w:vAlign w:val="center"/>
          </w:tcPr>
          <w:p w14:paraId="65B5495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16800</w:t>
            </w:r>
          </w:p>
        </w:tc>
        <w:tc>
          <w:tcPr>
            <w:tcW w:w="996" w:type="pct"/>
            <w:vMerge w:val="continue"/>
            <w:tcBorders>
              <w:left w:val="single" w:color="auto" w:sz="4" w:space="0"/>
              <w:right w:val="single" w:color="auto" w:sz="4" w:space="0"/>
            </w:tcBorders>
            <w:vAlign w:val="center"/>
          </w:tcPr>
          <w:p w14:paraId="76CA8004">
            <w:pPr>
              <w:pStyle w:val="109"/>
              <w:rPr>
                <w:color w:val="000000" w:themeColor="text1"/>
                <w14:textFill>
                  <w14:solidFill>
                    <w14:schemeClr w14:val="tx1"/>
                  </w14:solidFill>
                </w14:textFill>
              </w:rPr>
            </w:pPr>
          </w:p>
        </w:tc>
      </w:tr>
      <w:tr w14:paraId="50E9954A">
        <w:tblPrEx>
          <w:tblCellMar>
            <w:top w:w="0" w:type="dxa"/>
            <w:left w:w="10" w:type="dxa"/>
            <w:bottom w:w="0" w:type="dxa"/>
            <w:right w:w="10" w:type="dxa"/>
          </w:tblCellMar>
        </w:tblPrEx>
        <w:trPr>
          <w:jc w:val="center"/>
        </w:trPr>
        <w:tc>
          <w:tcPr>
            <w:tcW w:w="999" w:type="pct"/>
            <w:tcBorders>
              <w:top w:val="single" w:color="auto" w:sz="4" w:space="0"/>
              <w:left w:val="single" w:color="auto" w:sz="4" w:space="0"/>
            </w:tcBorders>
            <w:vAlign w:val="center"/>
          </w:tcPr>
          <w:p w14:paraId="357C9F8C">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HF</w:t>
            </w:r>
          </w:p>
        </w:tc>
        <w:tc>
          <w:tcPr>
            <w:tcW w:w="896" w:type="pct"/>
            <w:tcBorders>
              <w:top w:val="single" w:color="auto" w:sz="4" w:space="0"/>
              <w:left w:val="single" w:color="auto" w:sz="4" w:space="0"/>
            </w:tcBorders>
            <w:vAlign w:val="center"/>
          </w:tcPr>
          <w:p w14:paraId="090180D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 xml:space="preserve">mg/kg </w:t>
            </w:r>
            <w:r>
              <w:rPr>
                <w:color w:val="000000" w:themeColor="text1"/>
                <w14:textFill>
                  <w14:solidFill>
                    <w14:schemeClr w14:val="tx1"/>
                  </w14:solidFill>
                </w14:textFill>
              </w:rPr>
              <w:t>给料）</w:t>
            </w:r>
          </w:p>
        </w:tc>
        <w:tc>
          <w:tcPr>
            <w:tcW w:w="1107" w:type="pct"/>
            <w:tcBorders>
              <w:top w:val="single" w:color="auto" w:sz="4" w:space="0"/>
              <w:left w:val="single" w:color="auto" w:sz="4" w:space="0"/>
            </w:tcBorders>
            <w:vAlign w:val="center"/>
          </w:tcPr>
          <w:p w14:paraId="19B8C725">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46.5</w:t>
            </w:r>
          </w:p>
        </w:tc>
        <w:tc>
          <w:tcPr>
            <w:tcW w:w="1001" w:type="pct"/>
            <w:tcBorders>
              <w:top w:val="single" w:color="auto" w:sz="4" w:space="0"/>
              <w:left w:val="single" w:color="auto" w:sz="4" w:space="0"/>
            </w:tcBorders>
            <w:vAlign w:val="center"/>
          </w:tcPr>
          <w:p w14:paraId="60BCA6C3">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74.3</w:t>
            </w:r>
          </w:p>
        </w:tc>
        <w:tc>
          <w:tcPr>
            <w:tcW w:w="996" w:type="pct"/>
            <w:vMerge w:val="continue"/>
            <w:tcBorders>
              <w:left w:val="single" w:color="auto" w:sz="4" w:space="0"/>
              <w:right w:val="single" w:color="auto" w:sz="4" w:space="0"/>
            </w:tcBorders>
            <w:vAlign w:val="center"/>
          </w:tcPr>
          <w:p w14:paraId="40567C41">
            <w:pPr>
              <w:pStyle w:val="109"/>
              <w:rPr>
                <w:color w:val="000000" w:themeColor="text1"/>
                <w14:textFill>
                  <w14:solidFill>
                    <w14:schemeClr w14:val="tx1"/>
                  </w14:solidFill>
                </w14:textFill>
              </w:rPr>
            </w:pPr>
          </w:p>
        </w:tc>
      </w:tr>
      <w:tr w14:paraId="64646161">
        <w:tblPrEx>
          <w:tblCellMar>
            <w:top w:w="0" w:type="dxa"/>
            <w:left w:w="10" w:type="dxa"/>
            <w:bottom w:w="0" w:type="dxa"/>
            <w:right w:w="10" w:type="dxa"/>
          </w:tblCellMar>
        </w:tblPrEx>
        <w:trPr>
          <w:jc w:val="center"/>
        </w:trPr>
        <w:tc>
          <w:tcPr>
            <w:tcW w:w="999" w:type="pct"/>
            <w:tcBorders>
              <w:top w:val="single" w:color="auto" w:sz="4" w:space="0"/>
              <w:left w:val="single" w:color="auto" w:sz="4" w:space="0"/>
              <w:bottom w:val="single" w:color="auto" w:sz="4" w:space="0"/>
            </w:tcBorders>
            <w:vAlign w:val="center"/>
          </w:tcPr>
          <w:p w14:paraId="2C11234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HBr</w:t>
            </w:r>
          </w:p>
        </w:tc>
        <w:tc>
          <w:tcPr>
            <w:tcW w:w="896" w:type="pct"/>
            <w:tcBorders>
              <w:top w:val="single" w:color="auto" w:sz="4" w:space="0"/>
              <w:left w:val="single" w:color="auto" w:sz="4" w:space="0"/>
              <w:bottom w:val="single" w:color="auto" w:sz="4" w:space="0"/>
            </w:tcBorders>
            <w:vAlign w:val="center"/>
          </w:tcPr>
          <w:p w14:paraId="2882599E">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 xml:space="preserve">mg/kg </w:t>
            </w:r>
            <w:r>
              <w:rPr>
                <w:color w:val="000000" w:themeColor="text1"/>
                <w14:textFill>
                  <w14:solidFill>
                    <w14:schemeClr w14:val="tx1"/>
                  </w14:solidFill>
                </w14:textFill>
              </w:rPr>
              <w:t>给料）</w:t>
            </w:r>
          </w:p>
        </w:tc>
        <w:tc>
          <w:tcPr>
            <w:tcW w:w="1107" w:type="pct"/>
            <w:tcBorders>
              <w:top w:val="single" w:color="auto" w:sz="4" w:space="0"/>
              <w:left w:val="single" w:color="auto" w:sz="4" w:space="0"/>
              <w:bottom w:val="single" w:color="auto" w:sz="4" w:space="0"/>
            </w:tcBorders>
            <w:vAlign w:val="center"/>
          </w:tcPr>
          <w:p w14:paraId="2BB4D68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525</w:t>
            </w:r>
          </w:p>
        </w:tc>
        <w:tc>
          <w:tcPr>
            <w:tcW w:w="1001" w:type="pct"/>
            <w:tcBorders>
              <w:top w:val="single" w:color="auto" w:sz="4" w:space="0"/>
              <w:left w:val="single" w:color="auto" w:sz="4" w:space="0"/>
              <w:bottom w:val="single" w:color="auto" w:sz="4" w:space="0"/>
            </w:tcBorders>
            <w:vAlign w:val="center"/>
          </w:tcPr>
          <w:p w14:paraId="53976BA9">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21.6</w:t>
            </w:r>
          </w:p>
        </w:tc>
        <w:tc>
          <w:tcPr>
            <w:tcW w:w="996" w:type="pct"/>
            <w:vMerge w:val="continue"/>
            <w:tcBorders>
              <w:left w:val="single" w:color="auto" w:sz="4" w:space="0"/>
              <w:bottom w:val="single" w:color="auto" w:sz="4" w:space="0"/>
              <w:right w:val="single" w:color="auto" w:sz="4" w:space="0"/>
            </w:tcBorders>
            <w:vAlign w:val="center"/>
          </w:tcPr>
          <w:p w14:paraId="730A1213">
            <w:pPr>
              <w:pStyle w:val="109"/>
              <w:rPr>
                <w:color w:val="000000" w:themeColor="text1"/>
                <w14:textFill>
                  <w14:solidFill>
                    <w14:schemeClr w14:val="tx1"/>
                  </w14:solidFill>
                </w14:textFill>
              </w:rPr>
            </w:pPr>
          </w:p>
        </w:tc>
      </w:tr>
    </w:tbl>
    <w:p w14:paraId="715124CE">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EPA</w:t>
      </w:r>
      <w:r>
        <w:rPr>
          <w:color w:val="000000" w:themeColor="text1"/>
          <w14:textFill>
            <w14:solidFill>
              <w14:schemeClr w14:val="tx1"/>
            </w14:solidFill>
          </w14:textFill>
        </w:rPr>
        <w:t>的排放数据表明，烟气中污染物的源强数据可分为三类：</w:t>
      </w:r>
    </w:p>
    <w:p w14:paraId="50FDF67C">
      <w:pPr>
        <w:ind w:firstLine="480"/>
        <w:rPr>
          <w:color w:val="000000" w:themeColor="text1"/>
          <w14:textFill>
            <w14:solidFill>
              <w14:schemeClr w14:val="tx1"/>
            </w14:solidFill>
          </w14:textFill>
        </w:rPr>
      </w:pPr>
      <w:r>
        <w:rPr>
          <w:color w:val="000000" w:themeColor="text1"/>
          <w14:textFill>
            <w14:solidFill>
              <w14:schemeClr w14:val="tx1"/>
            </w14:solidFill>
          </w14:textFill>
        </w:rPr>
        <w:t>给料中的（有机）氯、氟和硫中绝大部分转化为</w:t>
      </w:r>
      <w:r>
        <w:rPr>
          <w:rFonts w:eastAsia="Times New Roman"/>
          <w:color w:val="000000" w:themeColor="text1"/>
          <w:lang w:bidi="en-US"/>
          <w14:textFill>
            <w14:solidFill>
              <w14:schemeClr w14:val="tx1"/>
            </w14:solidFill>
          </w14:textFill>
        </w:rPr>
        <w:t>HCl</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HF</w:t>
      </w:r>
      <w:r>
        <w:rPr>
          <w:color w:val="000000" w:themeColor="text1"/>
          <w14:textFill>
            <w14:solidFill>
              <w14:schemeClr w14:val="tx1"/>
            </w14:solidFill>
          </w14:textFill>
        </w:rPr>
        <w:t>和</w:t>
      </w:r>
      <w:r>
        <w:rPr>
          <w:rFonts w:eastAsia="Times New Roman"/>
          <w:color w:val="000000" w:themeColor="text1"/>
          <w:lang w:bidi="en-US"/>
          <w14:textFill>
            <w14:solidFill>
              <w14:schemeClr w14:val="tx1"/>
            </w14:solidFill>
          </w14:textFill>
        </w:rPr>
        <w:t>SO</w:t>
      </w:r>
      <w:r>
        <w:rPr>
          <w:rFonts w:eastAsia="Times New Roman"/>
          <w:color w:val="000000" w:themeColor="text1"/>
          <w:vertAlign w:val="subscript"/>
          <w:lang w:bidi="en-US"/>
          <w14:textFill>
            <w14:solidFill>
              <w14:schemeClr w14:val="tx1"/>
            </w14:solidFill>
          </w14:textFill>
        </w:rPr>
        <w:t>2</w:t>
      </w:r>
      <w:r>
        <w:rPr>
          <w:color w:val="000000" w:themeColor="text1"/>
          <w:lang w:bidi="en-US"/>
          <w14:textFill>
            <w14:solidFill>
              <w14:schemeClr w14:val="tx1"/>
            </w14:solidFill>
          </w14:textFill>
        </w:rPr>
        <w:t>，</w:t>
      </w:r>
      <w:r>
        <w:rPr>
          <w:color w:val="000000" w:themeColor="text1"/>
          <w14:textFill>
            <w14:solidFill>
              <w14:schemeClr w14:val="tx1"/>
            </w14:solidFill>
          </w14:textFill>
        </w:rPr>
        <w:t>故酸性气体的源强值与给料中的氯、氟、硫含量直接相关。这几项源强数据是完全可以根据给料元素分析数据计算出来的。</w:t>
      </w:r>
    </w:p>
    <w:p w14:paraId="39E5D26E">
      <w:pPr>
        <w:ind w:firstLine="480"/>
        <w:rPr>
          <w:color w:val="000000" w:themeColor="text1"/>
          <w14:textFill>
            <w14:solidFill>
              <w14:schemeClr w14:val="tx1"/>
            </w14:solidFill>
          </w14:textFill>
        </w:rPr>
      </w:pPr>
      <w:r>
        <w:rPr>
          <w:color w:val="000000" w:themeColor="text1"/>
          <w14:textFill>
            <w14:solidFill>
              <w14:schemeClr w14:val="tx1"/>
            </w14:solidFill>
          </w14:textFill>
        </w:rPr>
        <w:t>PM、CO、NOx等几项源强则与设备型式、流体动力、燃烧组织和配风控制方式相关，因而可以采用类比法的数据估算，也可以根据自身情况（测试数据）或行业典型数值估算。PM主要与夹带量有关，因而取决于操作风速。</w:t>
      </w:r>
    </w:p>
    <w:p w14:paraId="4BC4092B">
      <w:pPr>
        <w:ind w:firstLine="480"/>
        <w:rPr>
          <w:color w:val="000000" w:themeColor="text1"/>
          <w:lang w:val="zh-CN"/>
          <w14:textFill>
            <w14:solidFill>
              <w14:schemeClr w14:val="tx1"/>
            </w14:solidFill>
          </w14:textFill>
        </w:rPr>
      </w:pPr>
      <w:r>
        <w:rPr>
          <w:color w:val="000000" w:themeColor="text1"/>
          <w14:textFill>
            <w14:solidFill>
              <w14:schemeClr w14:val="tx1"/>
            </w14:solidFill>
          </w14:textFill>
        </w:rPr>
        <w:t>重金属元素有着复杂的迁移和转化过程，最终要么进入烟气，要么留在灰渣中，而相对的比率则取决于重金属元素的蒸汽分压特性。</w:t>
      </w:r>
    </w:p>
    <w:p w14:paraId="56E67829">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热解焙烧窑废气中的污染物主要有HCl、SO</w:t>
      </w:r>
      <w:r>
        <w:rPr>
          <w:color w:val="000000" w:themeColor="text1"/>
          <w:vertAlign w:val="subscript"/>
          <w:lang w:val="zh-CN"/>
          <w14:textFill>
            <w14:solidFill>
              <w14:schemeClr w14:val="tx1"/>
            </w14:solidFill>
          </w14:textFill>
        </w:rPr>
        <w:t>2</w:t>
      </w:r>
      <w:r>
        <w:rPr>
          <w:color w:val="000000" w:themeColor="text1"/>
          <w:lang w:val="zh-CN"/>
          <w14:textFill>
            <w14:solidFill>
              <w14:schemeClr w14:val="tx1"/>
            </w14:solidFill>
          </w14:textFill>
        </w:rPr>
        <w:t>、NOx、HF、CO、烟尘、二噁英、重金属等。HCl、SO</w:t>
      </w:r>
      <w:r>
        <w:rPr>
          <w:color w:val="000000" w:themeColor="text1"/>
          <w:vertAlign w:val="subscript"/>
          <w:lang w:val="zh-CN"/>
          <w14:textFill>
            <w14:solidFill>
              <w14:schemeClr w14:val="tx1"/>
            </w14:solidFill>
          </w14:textFill>
        </w:rPr>
        <w:t>2</w:t>
      </w:r>
      <w:r>
        <w:rPr>
          <w:color w:val="000000" w:themeColor="text1"/>
          <w:lang w:val="zh-CN"/>
          <w14:textFill>
            <w14:solidFill>
              <w14:schemeClr w14:val="tx1"/>
            </w14:solidFill>
          </w14:textFill>
        </w:rPr>
        <w:t>、HF采用物料平衡法确定源强，本评价考虑最不利影响，按废盐中的氯、硫、氟元素全部转换HCl、SO</w:t>
      </w:r>
      <w:r>
        <w:rPr>
          <w:color w:val="000000" w:themeColor="text1"/>
          <w:vertAlign w:val="subscript"/>
          <w:lang w:val="zh-CN"/>
          <w14:textFill>
            <w14:solidFill>
              <w14:schemeClr w14:val="tx1"/>
            </w14:solidFill>
          </w14:textFill>
        </w:rPr>
        <w:t>2</w:t>
      </w:r>
      <w:r>
        <w:rPr>
          <w:color w:val="000000" w:themeColor="text1"/>
          <w:lang w:val="zh-CN"/>
          <w14:textFill>
            <w14:solidFill>
              <w14:schemeClr w14:val="tx1"/>
            </w14:solidFill>
          </w14:textFill>
        </w:rPr>
        <w:t>、HF。烟尘、NOx、二噁英、CO等产生机理复杂，本评价收集了同类项目资料，采用类比法确定源强。重金属按类比法及产污系数法确定源强。</w:t>
      </w:r>
    </w:p>
    <w:p w14:paraId="3EC201CD">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烟尘、二噁英、CO、重金属类排放系数参照</w:t>
      </w:r>
      <w:r>
        <w:rPr>
          <w:color w:val="000000" w:themeColor="text1"/>
          <w14:textFill>
            <w14:solidFill>
              <w14:schemeClr w14:val="tx1"/>
            </w14:solidFill>
          </w14:textFill>
        </w:rPr>
        <w:t>《江苏江淮环保科技有限公司化工废盐无害化及资源化项目环境影响报告书》，同时基于部分中试实测结果，该中试由南京工大环境科技有限公司从</w:t>
      </w:r>
      <w:r>
        <w:rPr>
          <w:rFonts w:eastAsia="Times New Roman"/>
          <w:color w:val="000000" w:themeColor="text1"/>
          <w14:textFill>
            <w14:solidFill>
              <w14:schemeClr w14:val="tx1"/>
            </w14:solidFill>
          </w14:textFill>
        </w:rPr>
        <w:t>2017</w:t>
      </w:r>
      <w:r>
        <w:rPr>
          <w:color w:val="000000" w:themeColor="text1"/>
          <w14:textFill>
            <w14:solidFill>
              <w14:schemeClr w14:val="tx1"/>
            </w14:solidFill>
          </w14:textFill>
        </w:rPr>
        <w:t>年开始化工废盐无害化处理技术的研究和装备开发。技术团队融合了化工、冶金、热能动力、环境工程、水泥建材、电气、自控、安全等多学科多专业领域的工程经验。对全国近百种化工废盐进行了取样分析，并对其中</w:t>
      </w:r>
      <w:r>
        <w:rPr>
          <w:rFonts w:eastAsia="Times New Roman"/>
          <w:color w:val="000000" w:themeColor="text1"/>
          <w14:textFill>
            <w14:solidFill>
              <w14:schemeClr w14:val="tx1"/>
            </w14:solidFill>
          </w14:textFill>
        </w:rPr>
        <w:t>20</w:t>
      </w:r>
      <w:r>
        <w:rPr>
          <w:color w:val="000000" w:themeColor="text1"/>
          <w14:textFill>
            <w14:solidFill>
              <w14:schemeClr w14:val="tx1"/>
            </w14:solidFill>
          </w14:textFill>
        </w:rPr>
        <w:t>余种代表性废盐开展了累计超过</w:t>
      </w:r>
      <w:r>
        <w:rPr>
          <w:rFonts w:eastAsia="Times New Roman"/>
          <w:color w:val="000000" w:themeColor="text1"/>
          <w14:textFill>
            <w14:solidFill>
              <w14:schemeClr w14:val="tx1"/>
            </w14:solidFill>
          </w14:textFill>
        </w:rPr>
        <w:t>4000</w:t>
      </w:r>
      <w:r>
        <w:rPr>
          <w:color w:val="000000" w:themeColor="text1"/>
          <w14:textFill>
            <w14:solidFill>
              <w14:schemeClr w14:val="tx1"/>
            </w14:solidFill>
          </w14:textFill>
        </w:rPr>
        <w:t>小时的实验室小试。江苏江淮环保科技有限公司主反应区温度</w:t>
      </w:r>
      <w:r>
        <w:rPr>
          <w:rFonts w:eastAsia="Times New Roman"/>
          <w:color w:val="000000" w:themeColor="text1"/>
          <w14:textFill>
            <w14:solidFill>
              <w14:schemeClr w14:val="tx1"/>
            </w14:solidFill>
          </w14:textFill>
        </w:rPr>
        <w:t>550~1000</w:t>
      </w:r>
      <w:r>
        <w:rPr>
          <w:color w:val="000000" w:themeColor="text1"/>
          <w14:textFill>
            <w14:solidFill>
              <w14:schemeClr w14:val="tx1"/>
            </w14:solidFill>
          </w14:textFill>
        </w:rPr>
        <w:t>℃脱除废盐中的有机污染物</w:t>
      </w:r>
      <w:r>
        <w:rPr>
          <w:color w:val="000000" w:themeColor="text1"/>
          <w:lang w:val="zh-CN"/>
          <w14:textFill>
            <w14:solidFill>
              <w14:schemeClr w14:val="tx1"/>
            </w14:solidFill>
          </w14:textFill>
        </w:rPr>
        <w:t>，脱除的废气进入二燃烧进一步处理，二燃烧</w:t>
      </w:r>
      <w:r>
        <w:rPr>
          <w:color w:val="000000" w:themeColor="text1"/>
          <w14:textFill>
            <w14:solidFill>
              <w14:schemeClr w14:val="tx1"/>
            </w14:solidFill>
          </w14:textFill>
        </w:rPr>
        <w:t>温度在</w:t>
      </w:r>
      <w:r>
        <w:rPr>
          <w:rFonts w:eastAsia="Times New Roman"/>
          <w:color w:val="000000" w:themeColor="text1"/>
          <w14:textFill>
            <w14:solidFill>
              <w14:schemeClr w14:val="tx1"/>
            </w14:solidFill>
          </w14:textFill>
        </w:rPr>
        <w:t>1100℃</w:t>
      </w:r>
      <w:r>
        <w:rPr>
          <w:color w:val="000000" w:themeColor="text1"/>
          <w14:textFill>
            <w14:solidFill>
              <w14:schemeClr w14:val="tx1"/>
            </w14:solidFill>
          </w14:textFill>
        </w:rPr>
        <w:t>以上，气相停留时间</w:t>
      </w:r>
      <w:r>
        <w:rPr>
          <w:rFonts w:eastAsia="Times New Roman"/>
          <w:color w:val="000000" w:themeColor="text1"/>
          <w:lang w:bidi="en-US"/>
          <w14:textFill>
            <w14:solidFill>
              <w14:schemeClr w14:val="tx1"/>
            </w14:solidFill>
          </w14:textFill>
        </w:rPr>
        <w:t>2s</w:t>
      </w:r>
      <w:r>
        <w:rPr>
          <w:color w:val="000000" w:themeColor="text1"/>
          <w14:textFill>
            <w14:solidFill>
              <w14:schemeClr w14:val="tx1"/>
            </w14:solidFill>
          </w14:textFill>
        </w:rPr>
        <w:t>以上，</w:t>
      </w:r>
      <w:r>
        <w:rPr>
          <w:color w:val="000000" w:themeColor="text1"/>
          <w:lang w:val="zh-CN"/>
          <w14:textFill>
            <w14:solidFill>
              <w14:schemeClr w14:val="tx1"/>
            </w14:solidFill>
          </w14:textFill>
        </w:rPr>
        <w:t>采用天然气作为助燃剂，生产工艺、烟气预处理工艺与本项目相似，具有可类比性。</w:t>
      </w:r>
    </w:p>
    <w:p w14:paraId="22A487A0">
      <w:pPr>
        <w:ind w:firstLine="482"/>
        <w:rPr>
          <w:b/>
          <w:color w:val="000000" w:themeColor="text1"/>
          <w14:textFill>
            <w14:solidFill>
              <w14:schemeClr w14:val="tx1"/>
            </w14:solidFill>
          </w14:textFill>
        </w:rPr>
      </w:pPr>
      <w:r>
        <w:rPr>
          <w:b/>
          <w:color w:val="000000" w:themeColor="text1"/>
          <w:lang w:val="zh-CN"/>
          <w14:textFill>
            <w14:solidFill>
              <w14:schemeClr w14:val="tx1"/>
            </w14:solidFill>
          </w14:textFill>
        </w:rPr>
        <w:t>1、</w:t>
      </w:r>
      <w:r>
        <w:rPr>
          <w:rFonts w:eastAsia="Times New Roman"/>
          <w:b/>
          <w:color w:val="000000" w:themeColor="text1"/>
          <w:lang w:bidi="en-US"/>
          <w14:textFill>
            <w14:solidFill>
              <w14:schemeClr w14:val="tx1"/>
            </w14:solidFill>
          </w14:textFill>
        </w:rPr>
        <w:t>SO</w:t>
      </w:r>
      <w:r>
        <w:rPr>
          <w:rFonts w:eastAsia="Times New Roman"/>
          <w:b/>
          <w:color w:val="000000" w:themeColor="text1"/>
          <w:vertAlign w:val="subscript"/>
          <w:lang w:bidi="en-US"/>
          <w14:textFill>
            <w14:solidFill>
              <w14:schemeClr w14:val="tx1"/>
            </w14:solidFill>
          </w14:textFill>
        </w:rPr>
        <w:t>2</w:t>
      </w:r>
      <w:r>
        <w:rPr>
          <w:b/>
          <w:color w:val="000000" w:themeColor="text1"/>
          <w:lang w:bidi="en-US"/>
          <w14:textFill>
            <w14:solidFill>
              <w14:schemeClr w14:val="tx1"/>
            </w14:solidFill>
          </w14:textFill>
        </w:rPr>
        <w:t>、</w:t>
      </w:r>
      <w:r>
        <w:rPr>
          <w:rFonts w:eastAsia="Times New Roman"/>
          <w:b/>
          <w:color w:val="000000" w:themeColor="text1"/>
          <w:lang w:bidi="en-US"/>
          <w14:textFill>
            <w14:solidFill>
              <w14:schemeClr w14:val="tx1"/>
            </w14:solidFill>
          </w14:textFill>
        </w:rPr>
        <w:t>HCl</w:t>
      </w:r>
      <w:r>
        <w:rPr>
          <w:b/>
          <w:color w:val="000000" w:themeColor="text1"/>
          <w:lang w:bidi="en-US"/>
          <w14:textFill>
            <w14:solidFill>
              <w14:schemeClr w14:val="tx1"/>
            </w14:solidFill>
          </w14:textFill>
        </w:rPr>
        <w:t>、</w:t>
      </w:r>
      <w:r>
        <w:rPr>
          <w:rFonts w:eastAsia="Times New Roman"/>
          <w:b/>
          <w:color w:val="000000" w:themeColor="text1"/>
          <w:lang w:bidi="en-US"/>
          <w14:textFill>
            <w14:solidFill>
              <w14:schemeClr w14:val="tx1"/>
            </w14:solidFill>
          </w14:textFill>
        </w:rPr>
        <w:t>HF</w:t>
      </w:r>
      <w:r>
        <w:rPr>
          <w:b/>
          <w:color w:val="000000" w:themeColor="text1"/>
          <w14:textFill>
            <w14:solidFill>
              <w14:schemeClr w14:val="tx1"/>
            </w14:solidFill>
          </w14:textFill>
        </w:rPr>
        <w:t>等酸性气体</w:t>
      </w:r>
    </w:p>
    <w:p w14:paraId="1CF3C531">
      <w:pPr>
        <w:ind w:firstLine="480"/>
        <w:rPr>
          <w:color w:val="000000" w:themeColor="text1"/>
          <w14:textFill>
            <w14:solidFill>
              <w14:schemeClr w14:val="tx1"/>
            </w14:solidFill>
          </w14:textFill>
        </w:rPr>
      </w:pPr>
      <w:r>
        <w:rPr>
          <w:color w:val="000000" w:themeColor="text1"/>
          <w14:textFill>
            <w14:solidFill>
              <w14:schemeClr w14:val="tx1"/>
            </w14:solidFill>
          </w14:textFill>
        </w:rPr>
        <w:t>一些废盐含有有机硫、氯等杂质元素，在热解处理过程中转化为</w:t>
      </w:r>
      <w:r>
        <w:rPr>
          <w:rFonts w:eastAsia="Times New Roman"/>
          <w:color w:val="000000" w:themeColor="text1"/>
          <w:lang w:bidi="en-US"/>
          <w14:textFill>
            <w14:solidFill>
              <w14:schemeClr w14:val="tx1"/>
            </w14:solidFill>
          </w14:textFill>
        </w:rPr>
        <w:t>SO</w:t>
      </w:r>
      <w:r>
        <w:rPr>
          <w:rFonts w:eastAsia="Times New Roman"/>
          <w:color w:val="000000" w:themeColor="text1"/>
          <w:vertAlign w:val="subscript"/>
          <w:lang w:bidi="en-US"/>
          <w14:textFill>
            <w14:solidFill>
              <w14:schemeClr w14:val="tx1"/>
            </w14:solidFill>
          </w14:textFill>
        </w:rPr>
        <w:t>2</w:t>
      </w:r>
      <w:r>
        <w:rPr>
          <w:color w:val="000000" w:themeColor="text1"/>
          <w14:textFill>
            <w14:solidFill>
              <w14:schemeClr w14:val="tx1"/>
            </w14:solidFill>
          </w14:textFill>
        </w:rPr>
        <w:t>和</w:t>
      </w:r>
      <w:r>
        <w:rPr>
          <w:rFonts w:eastAsia="Times New Roman"/>
          <w:color w:val="000000" w:themeColor="text1"/>
          <w:lang w:bidi="en-US"/>
          <w14:textFill>
            <w14:solidFill>
              <w14:schemeClr w14:val="tx1"/>
            </w14:solidFill>
          </w14:textFill>
        </w:rPr>
        <w:t>HCl</w:t>
      </w:r>
      <w:r>
        <w:rPr>
          <w:color w:val="000000" w:themeColor="text1"/>
          <w14:textFill>
            <w14:solidFill>
              <w14:schemeClr w14:val="tx1"/>
            </w14:solidFill>
          </w14:textFill>
        </w:rPr>
        <w:t>等酸性气体。本项目则采用</w:t>
      </w:r>
      <w:r>
        <w:rPr>
          <w:color w:val="000000" w:themeColor="text1"/>
          <w:lang w:bidi="en-US"/>
          <w14:textFill>
            <w14:solidFill>
              <w14:schemeClr w14:val="tx1"/>
            </w14:solidFill>
          </w14:textFill>
        </w:rPr>
        <w:t>二级碱液喷淋</w:t>
      </w:r>
      <w:r>
        <w:rPr>
          <w:color w:val="000000" w:themeColor="text1"/>
          <w14:textFill>
            <w14:solidFill>
              <w14:schemeClr w14:val="tx1"/>
            </w14:solidFill>
          </w14:textFill>
        </w:rPr>
        <w:t>湿式脱酸塔除酸性气体，确保烟气排放达标。</w:t>
      </w:r>
    </w:p>
    <w:p w14:paraId="56EE2D49">
      <w:pPr>
        <w:ind w:firstLine="480"/>
        <w:rPr>
          <w:color w:val="000000" w:themeColor="text1"/>
          <w14:textFill>
            <w14:solidFill>
              <w14:schemeClr w14:val="tx1"/>
            </w14:solidFill>
          </w14:textFill>
        </w:rPr>
      </w:pPr>
      <w:r>
        <w:rPr>
          <w:color w:val="000000" w:themeColor="text1"/>
          <w14:textFill>
            <w14:solidFill>
              <w14:schemeClr w14:val="tx1"/>
            </w14:solidFill>
          </w14:textFill>
        </w:rPr>
        <w:t>二氧化硫的源强可以假定给料中的有机硫完全转化为</w:t>
      </w:r>
      <w:r>
        <w:rPr>
          <w:rFonts w:eastAsia="Times New Roman"/>
          <w:color w:val="000000" w:themeColor="text1"/>
          <w:lang w:bidi="en-US"/>
          <w14:textFill>
            <w14:solidFill>
              <w14:schemeClr w14:val="tx1"/>
            </w14:solidFill>
          </w14:textFill>
        </w:rPr>
        <w:t>SO</w:t>
      </w:r>
      <w:r>
        <w:rPr>
          <w:rFonts w:eastAsia="Times New Roman"/>
          <w:color w:val="000000" w:themeColor="text1"/>
          <w:vertAlign w:val="subscript"/>
          <w:lang w:bidi="en-US"/>
          <w14:textFill>
            <w14:solidFill>
              <w14:schemeClr w14:val="tx1"/>
            </w14:solidFill>
          </w14:textFill>
        </w:rPr>
        <w:t>2</w:t>
      </w:r>
      <w:r>
        <w:rPr>
          <w:color w:val="000000" w:themeColor="text1"/>
          <w14:textFill>
            <w14:solidFill>
              <w14:schemeClr w14:val="tx1"/>
            </w14:solidFill>
          </w14:textFill>
        </w:rPr>
        <w:t>进行计算。</w:t>
      </w:r>
    </w:p>
    <w:p w14:paraId="3553DA89">
      <w:pPr>
        <w:pStyle w:val="28"/>
        <w:ind w:firstLine="48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drawing>
          <wp:inline distT="0" distB="0" distL="0" distR="0">
            <wp:extent cx="4032250" cy="399415"/>
            <wp:effectExtent l="0" t="0" r="6350" b="635"/>
            <wp:docPr id="790125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25774" name="图片 1"/>
                    <pic:cNvPicPr>
                      <a:picLocks noChangeAspect="1"/>
                    </pic:cNvPicPr>
                  </pic:nvPicPr>
                  <pic:blipFill>
                    <a:blip r:embed="rId49"/>
                    <a:stretch>
                      <a:fillRect/>
                    </a:stretch>
                  </pic:blipFill>
                  <pic:spPr>
                    <a:xfrm>
                      <a:off x="0" y="0"/>
                      <a:ext cx="4105141" cy="406938"/>
                    </a:xfrm>
                    <a:prstGeom prst="rect">
                      <a:avLst/>
                    </a:prstGeom>
                  </pic:spPr>
                </pic:pic>
              </a:graphicData>
            </a:graphic>
          </wp:inline>
        </w:drawing>
      </w:r>
    </w:p>
    <w:p w14:paraId="22566451">
      <w:pPr>
        <w:ind w:firstLine="480"/>
        <w:rPr>
          <w:color w:val="000000" w:themeColor="text1"/>
          <w14:textFill>
            <w14:solidFill>
              <w14:schemeClr w14:val="tx1"/>
            </w14:solidFill>
          </w14:textFill>
        </w:rPr>
      </w:pPr>
      <w:r>
        <w:rPr>
          <w:color w:val="000000" w:themeColor="text1"/>
          <w14:textFill>
            <w14:solidFill>
              <w14:schemeClr w14:val="tx1"/>
            </w14:solidFill>
          </w14:textFill>
        </w:rPr>
        <w:t>单位是（吨/年）。</w:t>
      </w:r>
    </w:p>
    <w:p w14:paraId="2F49D191">
      <w:pPr>
        <w:ind w:firstLine="480"/>
        <w:rPr>
          <w:color w:val="000000" w:themeColor="text1"/>
          <w14:textFill>
            <w14:solidFill>
              <w14:schemeClr w14:val="tx1"/>
            </w14:solidFill>
          </w14:textFill>
        </w:rPr>
      </w:pPr>
      <w:r>
        <w:rPr>
          <w:color w:val="000000" w:themeColor="text1"/>
          <w14:textFill>
            <w14:solidFill>
              <w14:schemeClr w14:val="tx1"/>
            </w14:solidFill>
          </w14:textFill>
        </w:rPr>
        <w:t>类似地，酸性气体HCl和HF在烟气净化系统入口处的源强可分别按下列公式计算，计算结果较为保守：</w:t>
      </w:r>
    </w:p>
    <w:p w14:paraId="2754F061">
      <w:pPr>
        <w:pStyle w:val="28"/>
        <w:ind w:firstLine="48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drawing>
          <wp:inline distT="0" distB="0" distL="0" distR="0">
            <wp:extent cx="3141345" cy="895985"/>
            <wp:effectExtent l="0" t="0" r="1905" b="0"/>
            <wp:docPr id="2115349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49906" name="图片 1"/>
                    <pic:cNvPicPr>
                      <a:picLocks noChangeAspect="1"/>
                    </pic:cNvPicPr>
                  </pic:nvPicPr>
                  <pic:blipFill>
                    <a:blip r:embed="rId50"/>
                    <a:stretch>
                      <a:fillRect/>
                    </a:stretch>
                  </pic:blipFill>
                  <pic:spPr>
                    <a:xfrm>
                      <a:off x="0" y="0"/>
                      <a:ext cx="3184227" cy="908716"/>
                    </a:xfrm>
                    <a:prstGeom prst="rect">
                      <a:avLst/>
                    </a:prstGeom>
                  </pic:spPr>
                </pic:pic>
              </a:graphicData>
            </a:graphic>
          </wp:inline>
        </w:drawing>
      </w:r>
    </w:p>
    <w:p w14:paraId="4CAA6B87">
      <w:pPr>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1</w:t>
      </w:r>
      <w:r>
        <w:rPr>
          <w:color w:val="000000" w:themeColor="text1"/>
          <w14:textFill>
            <w14:solidFill>
              <w14:schemeClr w14:val="tx1"/>
            </w14:solidFill>
          </w14:textFill>
        </w:rPr>
        <w:t>）本项目</w:t>
      </w:r>
      <w:r>
        <w:rPr>
          <w:rFonts w:eastAsia="TimesNewRomanPSMT"/>
          <w:color w:val="000000" w:themeColor="text1"/>
          <w14:textFill>
            <w14:solidFill>
              <w14:schemeClr w14:val="tx1"/>
            </w14:solidFill>
          </w14:textFill>
        </w:rPr>
        <w:t>S</w:t>
      </w:r>
      <w:r>
        <w:rPr>
          <w:color w:val="000000" w:themeColor="text1"/>
          <w14:textFill>
            <w14:solidFill>
              <w14:schemeClr w14:val="tx1"/>
            </w14:solidFill>
          </w14:textFill>
        </w:rPr>
        <w:t>入炉限值为</w:t>
      </w:r>
      <w:r>
        <w:rPr>
          <w:rFonts w:eastAsia="TimesNewRomanPSMT"/>
          <w:color w:val="000000" w:themeColor="text1"/>
          <w14:textFill>
            <w14:solidFill>
              <w14:schemeClr w14:val="tx1"/>
            </w14:solidFill>
          </w14:textFill>
        </w:rPr>
        <w:t>0.2%</w:t>
      </w:r>
      <w:r>
        <w:rPr>
          <w:color w:val="000000" w:themeColor="text1"/>
          <w14:textFill>
            <w14:solidFill>
              <w14:schemeClr w14:val="tx1"/>
            </w14:solidFill>
          </w14:textFill>
        </w:rPr>
        <w:t>，本项目热解过程中天然气燃烧器与废盐间接接触，因此天然气燃烧废气与热解废气不会混合，单独经各自排气管路排放，因此天然气使用量按0计算，则项目二氧化硫产生速率为：</w:t>
      </w:r>
      <w:r>
        <w:rPr>
          <w:rFonts w:eastAsia="TimesNewRomanPSMT"/>
          <w:color w:val="000000" w:themeColor="text1"/>
          <w14:textFill>
            <w14:solidFill>
              <w14:schemeClr w14:val="tx1"/>
            </w14:solidFill>
          </w14:textFill>
        </w:rPr>
        <w:t>S=2/1000000000*77.1*10000+6250</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0.2%</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w:t>
      </w:r>
      <w:r>
        <w:rPr>
          <w:rFonts w:hint="eastAsia" w:eastAsia="TimesNewRomanPSMT"/>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25kg/h</w:t>
      </w:r>
      <w:r>
        <w:rPr>
          <w:color w:val="000000" w:themeColor="text1"/>
          <w14:textFill>
            <w14:solidFill>
              <w14:schemeClr w14:val="tx1"/>
            </w14:solidFill>
          </w14:textFill>
        </w:rPr>
        <w:t>，项目年运营</w:t>
      </w:r>
      <w:r>
        <w:rPr>
          <w:rFonts w:eastAsia="TimesNewRomanPSMT"/>
          <w:color w:val="000000" w:themeColor="text1"/>
          <w14:textFill>
            <w14:solidFill>
              <w14:schemeClr w14:val="tx1"/>
            </w14:solidFill>
          </w14:textFill>
        </w:rPr>
        <w:t>8000h</w:t>
      </w:r>
      <w:r>
        <w:rPr>
          <w:color w:val="000000" w:themeColor="text1"/>
          <w14:textFill>
            <w14:solidFill>
              <w14:schemeClr w14:val="tx1"/>
            </w14:solidFill>
          </w14:textFill>
        </w:rPr>
        <w:t>，则二氧化硫产生量为：</w:t>
      </w:r>
      <w:r>
        <w:rPr>
          <w:rFonts w:eastAsia="TimesNewRomanPSMT"/>
          <w:color w:val="000000" w:themeColor="text1"/>
          <w14:textFill>
            <w14:solidFill>
              <w14:schemeClr w14:val="tx1"/>
            </w14:solidFill>
          </w14:textFill>
        </w:rPr>
        <w:t>200t/a</w:t>
      </w:r>
      <w:r>
        <w:rPr>
          <w:color w:val="000000" w:themeColor="text1"/>
          <w14:textFill>
            <w14:solidFill>
              <w14:schemeClr w14:val="tx1"/>
            </w14:solidFill>
          </w14:textFill>
        </w:rPr>
        <w:t>。</w:t>
      </w:r>
    </w:p>
    <w:p w14:paraId="0E4CFE14">
      <w:pPr>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）本项目</w:t>
      </w:r>
      <w:r>
        <w:rPr>
          <w:rFonts w:eastAsia="TimesNewRomanPSMT"/>
          <w:color w:val="000000" w:themeColor="text1"/>
          <w14:textFill>
            <w14:solidFill>
              <w14:schemeClr w14:val="tx1"/>
            </w14:solidFill>
          </w14:textFill>
        </w:rPr>
        <w:t>Cl</w:t>
      </w:r>
      <w:r>
        <w:rPr>
          <w:color w:val="000000" w:themeColor="text1"/>
          <w14:textFill>
            <w14:solidFill>
              <w14:schemeClr w14:val="tx1"/>
            </w14:solidFill>
          </w14:textFill>
        </w:rPr>
        <w:t>入炉限值为</w:t>
      </w:r>
      <w:r>
        <w:rPr>
          <w:rFonts w:eastAsia="TimesNewRomanPSMT"/>
          <w:color w:val="000000" w:themeColor="text1"/>
          <w14:textFill>
            <w14:solidFill>
              <w14:schemeClr w14:val="tx1"/>
            </w14:solidFill>
          </w14:textFill>
        </w:rPr>
        <w:t>0.</w:t>
      </w:r>
      <w:r>
        <w:rPr>
          <w:rFonts w:hint="eastAsia" w:eastAsia="TimesNewRomanPSMT"/>
          <w:color w:val="000000" w:themeColor="text1"/>
          <w14:textFill>
            <w14:solidFill>
              <w14:schemeClr w14:val="tx1"/>
            </w14:solidFill>
          </w14:textFill>
        </w:rPr>
        <w:t>3</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，则项目氯化氢产生速率为：</w:t>
      </w:r>
      <w:r>
        <w:rPr>
          <w:rFonts w:eastAsia="TimesNewRomanPSMT"/>
          <w:color w:val="000000" w:themeColor="text1"/>
          <w14:textFill>
            <w14:solidFill>
              <w14:schemeClr w14:val="tx1"/>
            </w14:solidFill>
          </w14:textFill>
        </w:rPr>
        <w:t>S=6250</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0.</w:t>
      </w:r>
      <w:r>
        <w:rPr>
          <w:rFonts w:hint="eastAsia" w:eastAsia="TimesNewRomanPSMT"/>
          <w:color w:val="000000" w:themeColor="text1"/>
          <w14:textFill>
            <w14:solidFill>
              <w14:schemeClr w14:val="tx1"/>
            </w14:solidFill>
          </w14:textFill>
        </w:rPr>
        <w:t>3</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35.5/34.5</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w:t>
      </w:r>
      <w:r>
        <w:rPr>
          <w:rFonts w:hint="eastAsia" w:eastAsia="TimesNewRomanPSMT"/>
          <w:color w:val="000000" w:themeColor="text1"/>
          <w14:textFill>
            <w14:solidFill>
              <w14:schemeClr w14:val="tx1"/>
            </w14:solidFill>
          </w14:textFill>
        </w:rPr>
        <w:t>19.293</w:t>
      </w:r>
      <w:r>
        <w:rPr>
          <w:rFonts w:eastAsia="TimesNewRomanPSMT"/>
          <w:color w:val="000000" w:themeColor="text1"/>
          <w14:textFill>
            <w14:solidFill>
              <w14:schemeClr w14:val="tx1"/>
            </w14:solidFill>
          </w14:textFill>
        </w:rPr>
        <w:t>kg/h</w:t>
      </w:r>
      <w:r>
        <w:rPr>
          <w:color w:val="000000" w:themeColor="text1"/>
          <w14:textFill>
            <w14:solidFill>
              <w14:schemeClr w14:val="tx1"/>
            </w14:solidFill>
          </w14:textFill>
        </w:rPr>
        <w:t>，项目年运营</w:t>
      </w:r>
      <w:r>
        <w:rPr>
          <w:rFonts w:eastAsia="TimesNewRomanPSMT"/>
          <w:color w:val="000000" w:themeColor="text1"/>
          <w14:textFill>
            <w14:solidFill>
              <w14:schemeClr w14:val="tx1"/>
            </w14:solidFill>
          </w14:textFill>
        </w:rPr>
        <w:t>8000h</w:t>
      </w:r>
      <w:r>
        <w:rPr>
          <w:color w:val="000000" w:themeColor="text1"/>
          <w14:textFill>
            <w14:solidFill>
              <w14:schemeClr w14:val="tx1"/>
            </w14:solidFill>
          </w14:textFill>
        </w:rPr>
        <w:t>，则氯化氢产生量为：</w:t>
      </w:r>
      <w:r>
        <w:rPr>
          <w:rFonts w:hint="eastAsia" w:eastAsia="TimesNewRomanPSMT"/>
          <w:color w:val="000000" w:themeColor="text1"/>
          <w14:textFill>
            <w14:solidFill>
              <w14:schemeClr w14:val="tx1"/>
            </w14:solidFill>
          </w14:textFill>
        </w:rPr>
        <w:t>154.348</w:t>
      </w:r>
      <w:r>
        <w:rPr>
          <w:rFonts w:eastAsia="TimesNewRomanPSMT"/>
          <w:color w:val="000000" w:themeColor="text1"/>
          <w14:textFill>
            <w14:solidFill>
              <w14:schemeClr w14:val="tx1"/>
            </w14:solidFill>
          </w14:textFill>
        </w:rPr>
        <w:t>t/a</w:t>
      </w:r>
      <w:r>
        <w:rPr>
          <w:color w:val="000000" w:themeColor="text1"/>
          <w14:textFill>
            <w14:solidFill>
              <w14:schemeClr w14:val="tx1"/>
            </w14:solidFill>
          </w14:textFill>
        </w:rPr>
        <w:t>。</w:t>
      </w:r>
    </w:p>
    <w:p w14:paraId="7C867BBC">
      <w:pPr>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3</w:t>
      </w:r>
      <w:r>
        <w:rPr>
          <w:color w:val="000000" w:themeColor="text1"/>
          <w14:textFill>
            <w14:solidFill>
              <w14:schemeClr w14:val="tx1"/>
            </w14:solidFill>
          </w14:textFill>
        </w:rPr>
        <w:t>）本项目</w:t>
      </w:r>
      <w:r>
        <w:rPr>
          <w:rFonts w:eastAsia="TimesNewRomanPSMT"/>
          <w:color w:val="000000" w:themeColor="text1"/>
          <w14:textFill>
            <w14:solidFill>
              <w14:schemeClr w14:val="tx1"/>
            </w14:solidFill>
          </w14:textFill>
        </w:rPr>
        <w:t>F</w:t>
      </w:r>
      <w:r>
        <w:rPr>
          <w:color w:val="000000" w:themeColor="text1"/>
          <w14:textFill>
            <w14:solidFill>
              <w14:schemeClr w14:val="tx1"/>
            </w14:solidFill>
          </w14:textFill>
        </w:rPr>
        <w:t>入炉限值为</w:t>
      </w:r>
      <w:r>
        <w:rPr>
          <w:rFonts w:eastAsia="TimesNewRomanPSMT"/>
          <w:color w:val="000000" w:themeColor="text1"/>
          <w14:textFill>
            <w14:solidFill>
              <w14:schemeClr w14:val="tx1"/>
            </w14:solidFill>
          </w14:textFill>
        </w:rPr>
        <w:t>0.01%</w:t>
      </w:r>
      <w:r>
        <w:rPr>
          <w:color w:val="000000" w:themeColor="text1"/>
          <w14:textFill>
            <w14:solidFill>
              <w14:schemeClr w14:val="tx1"/>
            </w14:solidFill>
          </w14:textFill>
        </w:rPr>
        <w:t>，则项目氟化物产生速率为：</w:t>
      </w:r>
      <w:r>
        <w:rPr>
          <w:rFonts w:eastAsia="TimesNewRomanPSMT"/>
          <w:color w:val="000000" w:themeColor="text1"/>
          <w14:textFill>
            <w14:solidFill>
              <w14:schemeClr w14:val="tx1"/>
            </w14:solidFill>
          </w14:textFill>
        </w:rPr>
        <w:t>S=6250</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0.01%</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20/19</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=0.6</w:t>
      </w:r>
      <w:r>
        <w:rPr>
          <w:rFonts w:hint="eastAsia" w:eastAsia="TimesNewRomanPSMT"/>
          <w:color w:val="000000" w:themeColor="text1"/>
          <w14:textFill>
            <w14:solidFill>
              <w14:schemeClr w14:val="tx1"/>
            </w14:solidFill>
          </w14:textFill>
        </w:rPr>
        <w:t>58</w:t>
      </w:r>
      <w:r>
        <w:rPr>
          <w:rFonts w:eastAsia="TimesNewRomanPSMT"/>
          <w:color w:val="000000" w:themeColor="text1"/>
          <w14:textFill>
            <w14:solidFill>
              <w14:schemeClr w14:val="tx1"/>
            </w14:solidFill>
          </w14:textFill>
        </w:rPr>
        <w:t>kg/h</w:t>
      </w:r>
      <w:r>
        <w:rPr>
          <w:color w:val="000000" w:themeColor="text1"/>
          <w14:textFill>
            <w14:solidFill>
              <w14:schemeClr w14:val="tx1"/>
            </w14:solidFill>
          </w14:textFill>
        </w:rPr>
        <w:t>，项目年运营</w:t>
      </w:r>
      <w:r>
        <w:rPr>
          <w:rFonts w:eastAsia="TimesNewRomanPSMT"/>
          <w:color w:val="000000" w:themeColor="text1"/>
          <w14:textFill>
            <w14:solidFill>
              <w14:schemeClr w14:val="tx1"/>
            </w14:solidFill>
          </w14:textFill>
        </w:rPr>
        <w:t>8000h</w:t>
      </w:r>
      <w:r>
        <w:rPr>
          <w:color w:val="000000" w:themeColor="text1"/>
          <w14:textFill>
            <w14:solidFill>
              <w14:schemeClr w14:val="tx1"/>
            </w14:solidFill>
          </w14:textFill>
        </w:rPr>
        <w:t>，则氟化物产生量为：</w:t>
      </w:r>
      <w:r>
        <w:rPr>
          <w:rFonts w:eastAsia="TimesNewRomanPSMT"/>
          <w:color w:val="000000" w:themeColor="text1"/>
          <w14:textFill>
            <w14:solidFill>
              <w14:schemeClr w14:val="tx1"/>
            </w14:solidFill>
          </w14:textFill>
        </w:rPr>
        <w:t>5.26t/a</w:t>
      </w:r>
      <w:r>
        <w:rPr>
          <w:color w:val="000000" w:themeColor="text1"/>
          <w14:textFill>
            <w14:solidFill>
              <w14:schemeClr w14:val="tx1"/>
            </w14:solidFill>
          </w14:textFill>
        </w:rPr>
        <w:t>。</w:t>
      </w:r>
    </w:p>
    <w:p w14:paraId="66785DCA">
      <w:pPr>
        <w:ind w:firstLine="482"/>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5、烟尘</w:t>
      </w:r>
    </w:p>
    <w:p w14:paraId="0A154D49">
      <w:pPr>
        <w:ind w:firstLine="480"/>
        <w:rPr>
          <w:rFonts w:eastAsia="黑体"/>
          <w:color w:val="000000" w:themeColor="text1"/>
          <w:lang w:val="zh-CN"/>
          <w14:textFill>
            <w14:solidFill>
              <w14:schemeClr w14:val="tx1"/>
            </w14:solidFill>
          </w14:textFill>
        </w:rPr>
      </w:pPr>
      <w:r>
        <w:rPr>
          <w:color w:val="000000" w:themeColor="text1"/>
          <w14:textFill>
            <w14:solidFill>
              <w14:schemeClr w14:val="tx1"/>
            </w14:solidFill>
          </w14:textFill>
        </w:rPr>
        <w:t>颗粒物的源强可以进入烟气净化系统的飞灰总体来估算。按</w:t>
      </w:r>
      <w:r>
        <w:rPr>
          <w:rFonts w:eastAsia="Times New Roman"/>
          <w:color w:val="000000" w:themeColor="text1"/>
          <w:lang w:bidi="en-US"/>
          <w14:textFill>
            <w14:solidFill>
              <w14:schemeClr w14:val="tx1"/>
            </w14:solidFill>
          </w14:textFill>
        </w:rPr>
        <w:t>EPA</w:t>
      </w:r>
      <w:r>
        <w:rPr>
          <w:color w:val="000000" w:themeColor="text1"/>
          <w14:textFill>
            <w14:solidFill>
              <w14:schemeClr w14:val="tx1"/>
            </w14:solidFill>
          </w14:textFill>
        </w:rPr>
        <w:t>数据“控制配风焚烧”的数据类比，</w:t>
      </w:r>
      <w:r>
        <w:rPr>
          <w:rFonts w:eastAsia="Times New Roman"/>
          <w:color w:val="000000" w:themeColor="text1"/>
          <w:lang w:bidi="en-US"/>
          <w14:textFill>
            <w14:solidFill>
              <w14:schemeClr w14:val="tx1"/>
            </w14:solidFill>
          </w14:textFill>
        </w:rPr>
        <w:t>PM</w:t>
      </w:r>
      <w:r>
        <w:rPr>
          <w:color w:val="000000" w:themeColor="text1"/>
          <w14:textFill>
            <w14:solidFill>
              <w14:schemeClr w14:val="tx1"/>
            </w14:solidFill>
          </w14:textFill>
        </w:rPr>
        <w:t>源强为</w:t>
      </w:r>
      <w:r>
        <w:rPr>
          <w:rFonts w:eastAsia="Times New Roman"/>
          <w:color w:val="000000" w:themeColor="text1"/>
          <w14:textFill>
            <w14:solidFill>
              <w14:schemeClr w14:val="tx1"/>
            </w14:solidFill>
          </w14:textFill>
        </w:rPr>
        <w:t>2330</w:t>
      </w:r>
      <w:r>
        <w:rPr>
          <w:rFonts w:eastAsia="Times New Roman"/>
          <w:color w:val="000000" w:themeColor="text1"/>
          <w:lang w:bidi="en-US"/>
          <w14:textFill>
            <w14:solidFill>
              <w14:schemeClr w14:val="tx1"/>
            </w14:solidFill>
          </w14:textFill>
        </w:rPr>
        <w:t>mg/kg</w:t>
      </w:r>
      <w:r>
        <w:rPr>
          <w:color w:val="000000" w:themeColor="text1"/>
          <w14:textFill>
            <w14:solidFill>
              <w14:schemeClr w14:val="tx1"/>
            </w14:solidFill>
          </w14:textFill>
        </w:rPr>
        <w:t>（给料），即每</w:t>
      </w:r>
      <w:r>
        <w:rPr>
          <w:rFonts w:eastAsia="Times New Roman"/>
          <w:color w:val="000000" w:themeColor="text1"/>
          <w:lang w:bidi="en-US"/>
          <w14:textFill>
            <w14:solidFill>
              <w14:schemeClr w14:val="tx1"/>
            </w14:solidFill>
          </w14:textFill>
        </w:rPr>
        <w:t>kg</w:t>
      </w:r>
      <w:r>
        <w:rPr>
          <w:color w:val="000000" w:themeColor="text1"/>
          <w14:textFill>
            <w14:solidFill>
              <w14:schemeClr w14:val="tx1"/>
            </w14:solidFill>
          </w14:textFill>
        </w:rPr>
        <w:t>给料中会有</w:t>
      </w:r>
      <w:r>
        <w:rPr>
          <w:rFonts w:eastAsia="Times New Roman"/>
          <w:color w:val="000000" w:themeColor="text1"/>
          <w14:textFill>
            <w14:solidFill>
              <w14:schemeClr w14:val="tx1"/>
            </w14:solidFill>
          </w14:textFill>
        </w:rPr>
        <w:t>0.233%</w:t>
      </w:r>
      <w:r>
        <w:rPr>
          <w:color w:val="000000" w:themeColor="text1"/>
          <w14:textFill>
            <w14:solidFill>
              <w14:schemeClr w14:val="tx1"/>
            </w14:solidFill>
          </w14:textFill>
        </w:rPr>
        <w:t>以飞灰形式进入烟气净化系统。这个数字非常接近中试阶段摸底测试的</w:t>
      </w:r>
      <w:r>
        <w:rPr>
          <w:rFonts w:eastAsia="Times New Roman"/>
          <w:color w:val="000000" w:themeColor="text1"/>
          <w14:textFill>
            <w14:solidFill>
              <w14:schemeClr w14:val="tx1"/>
            </w14:solidFill>
          </w14:textFill>
        </w:rPr>
        <w:t>0.259%</w:t>
      </w:r>
      <w:r>
        <w:rPr>
          <w:color w:val="000000" w:themeColor="text1"/>
          <w14:textFill>
            <w14:solidFill>
              <w14:schemeClr w14:val="tx1"/>
            </w14:solidFill>
          </w14:textFill>
        </w:rPr>
        <w:t>。考虑到工业化装置不存在中试装置的高度限制，飞灰回落量增加，净夹带量降低，且采取了预先拦截措施，因此认为</w:t>
      </w:r>
      <w:r>
        <w:rPr>
          <w:rFonts w:eastAsia="Times New Roman"/>
          <w:color w:val="000000" w:themeColor="text1"/>
          <w14:textFill>
            <w14:solidFill>
              <w14:schemeClr w14:val="tx1"/>
            </w14:solidFill>
          </w14:textFill>
        </w:rPr>
        <w:t>0.233%</w:t>
      </w:r>
      <w:r>
        <w:rPr>
          <w:color w:val="000000" w:themeColor="text1"/>
          <w14:textFill>
            <w14:solidFill>
              <w14:schemeClr w14:val="tx1"/>
            </w14:solidFill>
          </w14:textFill>
        </w:rPr>
        <w:t>的飞灰夹带率是完全有能力做到的。由此可算出相应的</w:t>
      </w:r>
      <w:r>
        <w:rPr>
          <w:rFonts w:eastAsia="Times New Roman"/>
          <w:color w:val="000000" w:themeColor="text1"/>
          <w:lang w:bidi="en-US"/>
          <w14:textFill>
            <w14:solidFill>
              <w14:schemeClr w14:val="tx1"/>
            </w14:solidFill>
          </w14:textFill>
        </w:rPr>
        <w:t>PM</w:t>
      </w:r>
      <w:r>
        <w:rPr>
          <w:color w:val="000000" w:themeColor="text1"/>
          <w14:textFill>
            <w14:solidFill>
              <w14:schemeClr w14:val="tx1"/>
            </w14:solidFill>
          </w14:textFill>
        </w:rPr>
        <w:t>源强。本项目处置废盐量为</w:t>
      </w:r>
      <w:r>
        <w:rPr>
          <w:rFonts w:eastAsiaTheme="minorEastAsia"/>
          <w:color w:val="000000" w:themeColor="text1"/>
          <w:lang w:bidi="en-US"/>
          <w14:textFill>
            <w14:solidFill>
              <w14:schemeClr w14:val="tx1"/>
            </w14:solidFill>
          </w14:textFill>
        </w:rPr>
        <w:t>50</w:t>
      </w:r>
      <w:r>
        <w:rPr>
          <w:rFonts w:eastAsia="Times New Roman"/>
          <w:color w:val="000000" w:themeColor="text1"/>
          <w:lang w:bidi="en-US"/>
          <w14:textFill>
            <w14:solidFill>
              <w14:schemeClr w14:val="tx1"/>
            </w14:solidFill>
          </w14:textFill>
        </w:rPr>
        <w:t>000t/a</w:t>
      </w:r>
      <w:r>
        <w:rPr>
          <w:color w:val="000000" w:themeColor="text1"/>
          <w:lang w:bidi="en-US"/>
          <w14:textFill>
            <w14:solidFill>
              <w14:schemeClr w14:val="tx1"/>
            </w14:solidFill>
          </w14:textFill>
        </w:rPr>
        <w:t>，</w:t>
      </w:r>
      <w:r>
        <w:rPr>
          <w:color w:val="000000" w:themeColor="text1"/>
          <w14:textFill>
            <w14:solidFill>
              <w14:schemeClr w14:val="tx1"/>
            </w14:solidFill>
          </w14:textFill>
        </w:rPr>
        <w:t>则颗粒物产生量分别为</w:t>
      </w:r>
      <w:r>
        <w:rPr>
          <w:rFonts w:eastAsiaTheme="minorEastAsia"/>
          <w:color w:val="000000" w:themeColor="text1"/>
          <w:lang w:bidi="en-US"/>
          <w14:textFill>
            <w14:solidFill>
              <w14:schemeClr w14:val="tx1"/>
            </w14:solidFill>
          </w14:textFill>
        </w:rPr>
        <w:t>116.5</w:t>
      </w:r>
      <w:r>
        <w:rPr>
          <w:rFonts w:eastAsia="Times New Roman"/>
          <w:color w:val="000000" w:themeColor="text1"/>
          <w:lang w:bidi="en-US"/>
          <w14:textFill>
            <w14:solidFill>
              <w14:schemeClr w14:val="tx1"/>
            </w14:solidFill>
          </w14:textFill>
        </w:rPr>
        <w:t>t/a</w:t>
      </w:r>
      <w:r>
        <w:rPr>
          <w:color w:val="000000" w:themeColor="text1"/>
          <w:lang w:bidi="en-US"/>
          <w14:textFill>
            <w14:solidFill>
              <w14:schemeClr w14:val="tx1"/>
            </w14:solidFill>
          </w14:textFill>
        </w:rPr>
        <w:t>，</w:t>
      </w:r>
      <w:r>
        <w:rPr>
          <w:color w:val="000000" w:themeColor="text1"/>
          <w14:textFill>
            <w14:solidFill>
              <w14:schemeClr w14:val="tx1"/>
            </w14:solidFill>
          </w14:textFill>
        </w:rPr>
        <w:t>项目年运营时间为</w:t>
      </w:r>
      <w:r>
        <w:rPr>
          <w:rFonts w:eastAsiaTheme="minorEastAsia"/>
          <w:color w:val="000000" w:themeColor="text1"/>
          <w:lang w:bidi="en-US"/>
          <w14:textFill>
            <w14:solidFill>
              <w14:schemeClr w14:val="tx1"/>
            </w14:solidFill>
          </w14:textFill>
        </w:rPr>
        <w:t>8000</w:t>
      </w:r>
      <w:r>
        <w:rPr>
          <w:rFonts w:eastAsia="Times New Roman"/>
          <w:color w:val="000000" w:themeColor="text1"/>
          <w:lang w:bidi="en-US"/>
          <w14:textFill>
            <w14:solidFill>
              <w14:schemeClr w14:val="tx1"/>
            </w14:solidFill>
          </w14:textFill>
        </w:rPr>
        <w:t>h</w:t>
      </w:r>
      <w:r>
        <w:rPr>
          <w:color w:val="000000" w:themeColor="text1"/>
          <w:lang w:bidi="en-US"/>
          <w14:textFill>
            <w14:solidFill>
              <w14:schemeClr w14:val="tx1"/>
            </w14:solidFill>
          </w14:textFill>
        </w:rPr>
        <w:t>，</w:t>
      </w:r>
      <w:r>
        <w:rPr>
          <w:color w:val="000000" w:themeColor="text1"/>
          <w14:textFill>
            <w14:solidFill>
              <w14:schemeClr w14:val="tx1"/>
            </w14:solidFill>
          </w14:textFill>
        </w:rPr>
        <w:t>则项目颗粒物产生速率分别为14.56</w:t>
      </w:r>
      <w:r>
        <w:rPr>
          <w:rFonts w:hint="eastAsia"/>
          <w:color w:val="000000" w:themeColor="text1"/>
          <w14:textFill>
            <w14:solidFill>
              <w14:schemeClr w14:val="tx1"/>
            </w14:solidFill>
          </w14:textFill>
        </w:rPr>
        <w:t>3</w:t>
      </w:r>
      <w:r>
        <w:rPr>
          <w:rFonts w:eastAsia="Times New Roman"/>
          <w:color w:val="000000" w:themeColor="text1"/>
          <w:lang w:bidi="en-US"/>
          <w14:textFill>
            <w14:solidFill>
              <w14:schemeClr w14:val="tx1"/>
            </w14:solidFill>
          </w14:textFill>
        </w:rPr>
        <w:t>kg/h</w:t>
      </w:r>
      <w:r>
        <w:rPr>
          <w:color w:val="000000" w:themeColor="text1"/>
          <w:lang w:bidi="en-US"/>
          <w14:textFill>
            <w14:solidFill>
              <w14:schemeClr w14:val="tx1"/>
            </w14:solidFill>
          </w14:textFill>
        </w:rPr>
        <w:t>。</w:t>
      </w:r>
    </w:p>
    <w:p w14:paraId="6E42AAA1">
      <w:pPr>
        <w:ind w:firstLine="482"/>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6、NOx</w:t>
      </w:r>
    </w:p>
    <w:p w14:paraId="1C0B3AB0">
      <w:pPr>
        <w:ind w:firstLine="480"/>
        <w:rPr>
          <w:color w:val="000000" w:themeColor="text1"/>
          <w14:textFill>
            <w14:solidFill>
              <w14:schemeClr w14:val="tx1"/>
            </w14:solidFill>
          </w14:textFill>
        </w:rPr>
      </w:pPr>
      <w:r>
        <w:rPr>
          <w:color w:val="000000" w:themeColor="text1"/>
          <w14:textFill>
            <w14:solidFill>
              <w14:schemeClr w14:val="tx1"/>
            </w14:solidFill>
          </w14:textFill>
        </w:rPr>
        <w:t>工业废盐中有机污染物的一个重要来源是溶剂，其中很多含有机氮，在热解处理过程中会生成</w:t>
      </w:r>
      <w:r>
        <w:rPr>
          <w:rFonts w:eastAsia="Times New Roman"/>
          <w:color w:val="000000" w:themeColor="text1"/>
          <w:lang w:bidi="en-US"/>
          <w14:textFill>
            <w14:solidFill>
              <w14:schemeClr w14:val="tx1"/>
            </w14:solidFill>
          </w14:textFill>
        </w:rPr>
        <w:t>NH</w:t>
      </w:r>
      <w:r>
        <w:rPr>
          <w:rFonts w:eastAsia="Times New Roman"/>
          <w:color w:val="000000" w:themeColor="text1"/>
          <w:vertAlign w:val="subscript"/>
          <w:lang w:bidi="en-US"/>
          <w14:textFill>
            <w14:solidFill>
              <w14:schemeClr w14:val="tx1"/>
            </w14:solidFill>
          </w14:textFill>
        </w:rPr>
        <w:t>3</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HCN</w:t>
      </w:r>
      <w:r>
        <w:rPr>
          <w:color w:val="000000" w:themeColor="text1"/>
          <w14:textFill>
            <w14:solidFill>
              <w14:schemeClr w14:val="tx1"/>
            </w14:solidFill>
          </w14:textFill>
        </w:rPr>
        <w:t>等中间产物，并进一步生成燃料型</w:t>
      </w:r>
      <w:r>
        <w:rPr>
          <w:rFonts w:eastAsia="Times New Roman"/>
          <w:color w:val="000000" w:themeColor="text1"/>
          <w:lang w:bidi="en-US"/>
          <w14:textFill>
            <w14:solidFill>
              <w14:schemeClr w14:val="tx1"/>
            </w14:solidFill>
          </w14:textFill>
        </w:rPr>
        <w:t>NOx</w:t>
      </w:r>
      <w:r>
        <w:rPr>
          <w:color w:val="000000" w:themeColor="text1"/>
          <w:lang w:bidi="en-US"/>
          <w14:textFill>
            <w14:solidFill>
              <w14:schemeClr w14:val="tx1"/>
            </w14:solidFill>
          </w14:textFill>
        </w:rPr>
        <w:t>。</w:t>
      </w:r>
      <w:r>
        <w:rPr>
          <w:color w:val="000000" w:themeColor="text1"/>
          <w14:textFill>
            <w14:solidFill>
              <w14:schemeClr w14:val="tx1"/>
            </w14:solidFill>
          </w14:textFill>
        </w:rPr>
        <w:t>此外，来自燃烧空气的氮气也会在高温条件下经由捷里道维奇机理生成热力型</w:t>
      </w:r>
      <w:r>
        <w:rPr>
          <w:rFonts w:eastAsia="Times New Roman"/>
          <w:color w:val="000000" w:themeColor="text1"/>
          <w:lang w:bidi="en-US"/>
          <w14:textFill>
            <w14:solidFill>
              <w14:schemeClr w14:val="tx1"/>
            </w14:solidFill>
          </w14:textFill>
        </w:rPr>
        <w:t>NOx</w:t>
      </w:r>
      <w:r>
        <w:rPr>
          <w:color w:val="000000" w:themeColor="text1"/>
          <w:lang w:bidi="en-US"/>
          <w14:textFill>
            <w14:solidFill>
              <w14:schemeClr w14:val="tx1"/>
            </w14:solidFill>
          </w14:textFill>
        </w:rPr>
        <w:t>。</w:t>
      </w:r>
      <w:r>
        <w:rPr>
          <w:color w:val="000000" w:themeColor="text1"/>
          <w14:textFill>
            <w14:solidFill>
              <w14:schemeClr w14:val="tx1"/>
            </w14:solidFill>
          </w14:textFill>
        </w:rPr>
        <w:t>因此氮氧化物的生成及排放控制是控制热解处理过程中大气污染物排放的重点之一。本项目采用的</w:t>
      </w: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控制方式结合了下列方面：</w:t>
      </w:r>
    </w:p>
    <w:p w14:paraId="59CEA4A9">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color w:val="000000" w:themeColor="text1"/>
          <w14:textFill>
            <w14:solidFill>
              <w14:schemeClr w14:val="tx1"/>
            </w14:solidFill>
          </w14:textFill>
        </w:rPr>
        <w:t>烟气净化系统采用非选择性催化还原</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S</w:t>
      </w:r>
      <w:r>
        <w:rPr>
          <w:rFonts w:eastAsiaTheme="minorEastAsia"/>
          <w:color w:val="000000" w:themeColor="text1"/>
          <w:lang w:bidi="en-US"/>
          <w14:textFill>
            <w14:solidFill>
              <w14:schemeClr w14:val="tx1"/>
            </w14:solidFill>
          </w14:textFill>
        </w:rPr>
        <w:t>N</w:t>
      </w:r>
      <w:r>
        <w:rPr>
          <w:rFonts w:eastAsia="Times New Roman"/>
          <w:color w:val="000000" w:themeColor="text1"/>
          <w:lang w:bidi="en-US"/>
          <w14:textFill>
            <w14:solidFill>
              <w14:schemeClr w14:val="tx1"/>
            </w14:solidFill>
          </w14:textFill>
        </w:rPr>
        <w:t>CR</w:t>
      </w:r>
      <w:r>
        <w:rPr>
          <w:color w:val="000000" w:themeColor="text1"/>
          <w:lang w:bidi="en-US"/>
          <w14:textFill>
            <w14:solidFill>
              <w14:schemeClr w14:val="tx1"/>
            </w14:solidFill>
          </w14:textFill>
        </w:rPr>
        <w:t>）</w:t>
      </w:r>
      <w:r>
        <w:rPr>
          <w:color w:val="000000" w:themeColor="text1"/>
          <w14:textFill>
            <w14:solidFill>
              <w14:schemeClr w14:val="tx1"/>
            </w14:solidFill>
          </w14:textFill>
        </w:rPr>
        <w:t>技术及装备，在二燃室出口适当的位置和合适的温度窗口雾化喷入氨水脱硝。</w:t>
      </w:r>
    </w:p>
    <w:p w14:paraId="678FD6D0">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b</w:t>
      </w:r>
      <w:r>
        <w:rPr>
          <w:color w:val="000000" w:themeColor="text1"/>
          <w:lang w:bidi="en-US"/>
          <w14:textFill>
            <w14:solidFill>
              <w14:schemeClr w14:val="tx1"/>
            </w14:solidFill>
          </w14:textFill>
        </w:rPr>
        <w:t>、</w:t>
      </w:r>
      <w:r>
        <w:rPr>
          <w:color w:val="000000" w:themeColor="text1"/>
          <w14:textFill>
            <w14:solidFill>
              <w14:schemeClr w14:val="tx1"/>
            </w14:solidFill>
          </w14:textFill>
        </w:rPr>
        <w:t>末端采用</w:t>
      </w:r>
      <w:r>
        <w:rPr>
          <w:rFonts w:eastAsia="Times New Roman"/>
          <w:color w:val="000000" w:themeColor="text1"/>
          <w:lang w:bidi="en-US"/>
          <w14:textFill>
            <w14:solidFill>
              <w14:schemeClr w14:val="tx1"/>
            </w14:solidFill>
          </w14:textFill>
        </w:rPr>
        <w:t>SCR</w:t>
      </w:r>
      <w:r>
        <w:rPr>
          <w:color w:val="000000" w:themeColor="text1"/>
          <w14:textFill>
            <w14:solidFill>
              <w14:schemeClr w14:val="tx1"/>
            </w14:solidFill>
          </w14:textFill>
        </w:rPr>
        <w:t>烟气脱硝技术，进一步确保氮氧化物达标排放。</w:t>
      </w:r>
    </w:p>
    <w:p w14:paraId="195A5C31">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在烟气净化系统入口处的源强主要来自废盐中携带的有机氮分解氧化，可用下式计算：</w:t>
      </w:r>
    </w:p>
    <w:p w14:paraId="0E1B7848">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206115" cy="418465"/>
            <wp:effectExtent l="0" t="0" r="0" b="635"/>
            <wp:docPr id="771637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37665" name="图片 1"/>
                    <pic:cNvPicPr>
                      <a:picLocks noChangeAspect="1"/>
                    </pic:cNvPicPr>
                  </pic:nvPicPr>
                  <pic:blipFill>
                    <a:blip r:embed="rId51"/>
                    <a:stretch>
                      <a:fillRect/>
                    </a:stretch>
                  </pic:blipFill>
                  <pic:spPr>
                    <a:xfrm>
                      <a:off x="0" y="0"/>
                      <a:ext cx="3274016" cy="427863"/>
                    </a:xfrm>
                    <a:prstGeom prst="rect">
                      <a:avLst/>
                    </a:prstGeom>
                  </pic:spPr>
                </pic:pic>
              </a:graphicData>
            </a:graphic>
          </wp:inline>
        </w:drawing>
      </w:r>
    </w:p>
    <w:p w14:paraId="44545086">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本项目采用天然气燃烧器间接燃烧加热，因此热解焙烧窑内无天然气，其中第一项是来自天然气燃烧的量为0，第二项是由给料中的有机氮转化而来的燃料型</w:t>
      </w:r>
      <w:r>
        <w:rPr>
          <w:rFonts w:eastAsia="TimesNewRomanPSMT"/>
          <w:color w:val="000000" w:themeColor="text1"/>
          <w14:textFill>
            <w14:solidFill>
              <w14:schemeClr w14:val="tx1"/>
            </w14:solidFill>
          </w14:textFill>
        </w:rPr>
        <w:t>NOx</w:t>
      </w:r>
      <w:r>
        <w:rPr>
          <w:color w:val="000000" w:themeColor="text1"/>
          <w14:textFill>
            <w14:solidFill>
              <w14:schemeClr w14:val="tx1"/>
            </w14:solidFill>
          </w14:textFill>
        </w:rPr>
        <w:t>，以</w:t>
      </w:r>
      <w:r>
        <w:rPr>
          <w:rFonts w:eastAsia="TimesNewRomanPSMT"/>
          <w:color w:val="000000" w:themeColor="text1"/>
          <w14:textFill>
            <w14:solidFill>
              <w14:schemeClr w14:val="tx1"/>
            </w14:solidFill>
          </w14:textFill>
        </w:rPr>
        <w:t>NO</w:t>
      </w:r>
      <w:r>
        <w:rPr>
          <w:rFonts w:eastAsia="TimesNewRomanPSMT"/>
          <w:color w:val="000000" w:themeColor="text1"/>
          <w:vertAlign w:val="subscript"/>
          <w14:textFill>
            <w14:solidFill>
              <w14:schemeClr w14:val="tx1"/>
            </w14:solidFill>
          </w14:textFill>
        </w:rPr>
        <w:t>2</w:t>
      </w:r>
      <w:r>
        <w:rPr>
          <w:color w:val="000000" w:themeColor="text1"/>
          <w14:textFill>
            <w14:solidFill>
              <w14:schemeClr w14:val="tx1"/>
            </w14:solidFill>
          </w14:textFill>
        </w:rPr>
        <w:t>计（</w:t>
      </w:r>
      <w:r>
        <w:rPr>
          <w:rFonts w:eastAsia="TimesNewRomanPSMT"/>
          <w:color w:val="000000" w:themeColor="text1"/>
          <w14:textFill>
            <w14:solidFill>
              <w14:schemeClr w14:val="tx1"/>
            </w14:solidFill>
          </w14:textFill>
        </w:rPr>
        <w:t>kg/h</w:t>
      </w:r>
      <w:r>
        <w:rPr>
          <w:color w:val="000000" w:themeColor="text1"/>
          <w14:textFill>
            <w14:solidFill>
              <w14:schemeClr w14:val="tx1"/>
            </w14:solidFill>
          </w14:textFill>
        </w:rPr>
        <w:t>）。</w:t>
      </w:r>
    </w:p>
    <w:p w14:paraId="6D12F87B">
      <w:pPr>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Q</w:t>
      </w:r>
      <w:r>
        <w:rPr>
          <w:color w:val="000000" w:themeColor="text1"/>
          <w14:textFill>
            <w14:solidFill>
              <w14:schemeClr w14:val="tx1"/>
            </w14:solidFill>
          </w14:textFill>
        </w:rPr>
        <w:t>-烟气量。</w:t>
      </w:r>
    </w:p>
    <w:p w14:paraId="49302F26">
      <w:pPr>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Fs</w:t>
      </w:r>
      <w:r>
        <w:rPr>
          <w:color w:val="000000" w:themeColor="text1"/>
          <w14:textFill>
            <w14:solidFill>
              <w14:schemeClr w14:val="tx1"/>
            </w14:solidFill>
          </w14:textFill>
        </w:rPr>
        <w:t>-废盐处理量（</w:t>
      </w:r>
      <w:r>
        <w:rPr>
          <w:rFonts w:eastAsia="TimesNewRomanPSMT"/>
          <w:color w:val="000000" w:themeColor="text1"/>
          <w14:textFill>
            <w14:solidFill>
              <w14:schemeClr w14:val="tx1"/>
            </w14:solidFill>
          </w14:textFill>
        </w:rPr>
        <w:t>t/h</w:t>
      </w:r>
      <w:r>
        <w:rPr>
          <w:color w:val="000000" w:themeColor="text1"/>
          <w14:textFill>
            <w14:solidFill>
              <w14:schemeClr w14:val="tx1"/>
            </w14:solidFill>
          </w14:textFill>
        </w:rPr>
        <w:t>）；</w:t>
      </w:r>
    </w:p>
    <w:p w14:paraId="096FC49A">
      <w:pPr>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N</w:t>
      </w:r>
      <w:r>
        <w:rPr>
          <w:color w:val="000000" w:themeColor="text1"/>
          <w14:textFill>
            <w14:solidFill>
              <w14:schemeClr w14:val="tx1"/>
            </w14:solidFill>
          </w14:textFill>
        </w:rPr>
        <w:t>-给料中的有机氮含量（</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），根据入厂控制要求，给料中的有机氮限值为≤</w:t>
      </w:r>
      <w:r>
        <w:rPr>
          <w:rFonts w:eastAsia="TimesNewRomanPSMT"/>
          <w:color w:val="000000" w:themeColor="text1"/>
          <w14:textFill>
            <w14:solidFill>
              <w14:schemeClr w14:val="tx1"/>
            </w14:solidFill>
          </w14:textFill>
        </w:rPr>
        <w:t>0.2%</w:t>
      </w:r>
      <w:r>
        <w:rPr>
          <w:color w:val="000000" w:themeColor="text1"/>
          <w14:textFill>
            <w14:solidFill>
              <w14:schemeClr w14:val="tx1"/>
            </w14:solidFill>
          </w14:textFill>
        </w:rPr>
        <w:t>。</w:t>
      </w:r>
    </w:p>
    <w:p w14:paraId="55757637">
      <w:pPr>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Pleckaitiene</w:t>
      </w:r>
      <w:r>
        <w:rPr>
          <w:color w:val="000000" w:themeColor="text1"/>
          <w14:textFill>
            <w14:solidFill>
              <w14:schemeClr w14:val="tx1"/>
            </w14:solidFill>
          </w14:textFill>
        </w:rPr>
        <w:t>等人</w:t>
      </w: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对含有机氮的各种固体废弃物在燃烧和焚烧过程中</w:t>
      </w:r>
      <w:r>
        <w:rPr>
          <w:rFonts w:eastAsia="TimesNewRomanPSMT"/>
          <w:color w:val="000000" w:themeColor="text1"/>
          <w14:textFill>
            <w14:solidFill>
              <w14:schemeClr w14:val="tx1"/>
            </w14:solidFill>
          </w14:textFill>
        </w:rPr>
        <w:t>NOx</w:t>
      </w:r>
      <w:r>
        <w:rPr>
          <w:color w:val="000000" w:themeColor="text1"/>
          <w14:textFill>
            <w14:solidFill>
              <w14:schemeClr w14:val="tx1"/>
            </w14:solidFill>
          </w14:textFill>
        </w:rPr>
        <w:t>生成研究表明，有机氮转化为</w:t>
      </w:r>
      <w:r>
        <w:rPr>
          <w:rFonts w:eastAsia="TimesNewRomanPSMT"/>
          <w:color w:val="000000" w:themeColor="text1"/>
          <w14:textFill>
            <w14:solidFill>
              <w14:schemeClr w14:val="tx1"/>
            </w14:solidFill>
          </w14:textFill>
        </w:rPr>
        <w:t>NOx</w:t>
      </w:r>
      <w:r>
        <w:rPr>
          <w:color w:val="000000" w:themeColor="text1"/>
          <w14:textFill>
            <w14:solidFill>
              <w14:schemeClr w14:val="tx1"/>
            </w14:solidFill>
          </w14:textFill>
        </w:rPr>
        <w:t>的转化系数随着含氮量的增加而减小，可按下式估算：</w:t>
      </w:r>
    </w:p>
    <w:p w14:paraId="6021026D">
      <w:pPr>
        <w:ind w:firstLine="480"/>
        <w:rPr>
          <w:rFonts w:eastAsia="仿宋"/>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2901315" cy="199390"/>
            <wp:effectExtent l="0" t="0" r="0" b="0"/>
            <wp:docPr id="781454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54078" name="图片 1"/>
                    <pic:cNvPicPr>
                      <a:picLocks noChangeAspect="1"/>
                    </pic:cNvPicPr>
                  </pic:nvPicPr>
                  <pic:blipFill>
                    <a:blip r:embed="rId52"/>
                    <a:stretch>
                      <a:fillRect/>
                    </a:stretch>
                  </pic:blipFill>
                  <pic:spPr>
                    <a:xfrm>
                      <a:off x="0" y="0"/>
                      <a:ext cx="2995087" cy="206207"/>
                    </a:xfrm>
                    <a:prstGeom prst="rect">
                      <a:avLst/>
                    </a:prstGeom>
                  </pic:spPr>
                </pic:pic>
              </a:graphicData>
            </a:graphic>
          </wp:inline>
        </w:drawing>
      </w:r>
    </w:p>
    <w:p w14:paraId="68DA707C">
      <w:pPr>
        <w:ind w:firstLine="480"/>
        <w:rPr>
          <w:color w:val="000000" w:themeColor="text1"/>
          <w14:textFill>
            <w14:solidFill>
              <w14:schemeClr w14:val="tx1"/>
            </w14:solidFill>
          </w14:textFill>
        </w:rPr>
      </w:pPr>
      <w:r>
        <w:rPr>
          <w:color w:val="000000" w:themeColor="text1"/>
          <w14:textFill>
            <w14:solidFill>
              <w14:schemeClr w14:val="tx1"/>
            </w14:solidFill>
          </w14:textFill>
        </w:rPr>
        <w:t>上式对应</w:t>
      </w:r>
      <w:r>
        <w:rPr>
          <w:rFonts w:eastAsia="TimesNewRomanPSMT"/>
          <w:color w:val="000000" w:themeColor="text1"/>
          <w14:textFill>
            <w14:solidFill>
              <w14:schemeClr w14:val="tx1"/>
            </w14:solidFill>
          </w14:textFill>
        </w:rPr>
        <w:t>6%</w:t>
      </w:r>
      <w:r>
        <w:rPr>
          <w:color w:val="000000" w:themeColor="text1"/>
          <w14:textFill>
            <w14:solidFill>
              <w14:schemeClr w14:val="tx1"/>
            </w14:solidFill>
          </w14:textFill>
        </w:rPr>
        <w:t>富余氧浓度。给料中有机氮含量在</w:t>
      </w:r>
      <w:r>
        <w:rPr>
          <w:rFonts w:eastAsia="TimesNewRomanPSMT"/>
          <w:color w:val="000000" w:themeColor="text1"/>
          <w14:textFill>
            <w14:solidFill>
              <w14:schemeClr w14:val="tx1"/>
            </w14:solidFill>
          </w14:textFill>
        </w:rPr>
        <w:t>0.3%~2.0%</w:t>
      </w:r>
      <w:r>
        <w:rPr>
          <w:color w:val="000000" w:themeColor="text1"/>
          <w14:textFill>
            <w14:solidFill>
              <w14:schemeClr w14:val="tx1"/>
            </w14:solidFill>
          </w14:textFill>
        </w:rPr>
        <w:t>范围变化时，转化系数的范围为</w:t>
      </w:r>
      <w:r>
        <w:rPr>
          <w:rFonts w:eastAsia="TimesNewRomanPSMT"/>
          <w:color w:val="000000" w:themeColor="text1"/>
          <w14:textFill>
            <w14:solidFill>
              <w14:schemeClr w14:val="tx1"/>
            </w14:solidFill>
          </w14:textFill>
        </w:rPr>
        <w:t>K</w:t>
      </w:r>
      <w:r>
        <w:rPr>
          <w:rFonts w:eastAsia="TimesNewRomanPSMT"/>
          <w:color w:val="000000" w:themeColor="text1"/>
          <w:vertAlign w:val="subscript"/>
          <w14:textFill>
            <w14:solidFill>
              <w14:schemeClr w14:val="tx1"/>
            </w14:solidFill>
          </w14:textFill>
        </w:rPr>
        <w:t>N</w:t>
      </w:r>
      <w:r>
        <w:rPr>
          <w:rFonts w:eastAsia="TimesNewRomanPSMT"/>
          <w:color w:val="000000" w:themeColor="text1"/>
          <w14:textFill>
            <w14:solidFill>
              <w14:schemeClr w14:val="tx1"/>
            </w14:solidFill>
          </w14:textFill>
        </w:rPr>
        <w:t>=0.08~0.21</w:t>
      </w:r>
      <w:r>
        <w:rPr>
          <w:color w:val="000000" w:themeColor="text1"/>
          <w14:textFill>
            <w14:solidFill>
              <w14:schemeClr w14:val="tx1"/>
            </w14:solidFill>
          </w14:textFill>
        </w:rPr>
        <w:t>。</w:t>
      </w:r>
    </w:p>
    <w:p w14:paraId="6308E758">
      <w:pPr>
        <w:ind w:firstLine="480"/>
        <w:rPr>
          <w:color w:val="000000" w:themeColor="text1"/>
          <w14:textFill>
            <w14:solidFill>
              <w14:schemeClr w14:val="tx1"/>
            </w14:solidFill>
          </w14:textFill>
        </w:rPr>
      </w:pPr>
      <w:r>
        <w:rPr>
          <w:color w:val="000000" w:themeColor="text1"/>
          <w14:textFill>
            <w14:solidFill>
              <w14:schemeClr w14:val="tx1"/>
            </w14:solidFill>
          </w14:textFill>
        </w:rPr>
        <w:t>转化系数</w:t>
      </w:r>
      <w:r>
        <w:rPr>
          <w:rFonts w:eastAsia="TimesNewRomanPSMT"/>
          <w:color w:val="000000" w:themeColor="text1"/>
          <w14:textFill>
            <w14:solidFill>
              <w14:schemeClr w14:val="tx1"/>
            </w14:solidFill>
          </w14:textFill>
        </w:rPr>
        <w:t>K</w:t>
      </w:r>
      <w:r>
        <w:rPr>
          <w:rFonts w:eastAsia="TimesNewRomanPSMT"/>
          <w:color w:val="000000" w:themeColor="text1"/>
          <w:vertAlign w:val="subscript"/>
          <w14:textFill>
            <w14:solidFill>
              <w14:schemeClr w14:val="tx1"/>
            </w14:solidFill>
          </w14:textFill>
        </w:rPr>
        <w:t>N</w:t>
      </w:r>
      <w:r>
        <w:rPr>
          <w:color w:val="000000" w:themeColor="text1"/>
          <w14:textFill>
            <w14:solidFill>
              <w14:schemeClr w14:val="tx1"/>
            </w14:solidFill>
          </w14:textFill>
        </w:rPr>
        <w:t>随着氧浓度的升高而升高，而对温度敏感性较低，且温度的影响很难从氧浓度的影响分离出来。对</w:t>
      </w:r>
      <w:r>
        <w:rPr>
          <w:rFonts w:eastAsia="TimesNewRomanPSMT"/>
          <w:color w:val="000000" w:themeColor="text1"/>
          <w14:textFill>
            <w14:solidFill>
              <w14:schemeClr w14:val="tx1"/>
            </w14:solidFill>
          </w14:textFill>
        </w:rPr>
        <w:t>Pleckaitiene</w:t>
      </w:r>
      <w:r>
        <w:rPr>
          <w:color w:val="000000" w:themeColor="text1"/>
          <w14:textFill>
            <w14:solidFill>
              <w14:schemeClr w14:val="tx1"/>
            </w14:solidFill>
          </w14:textFill>
        </w:rPr>
        <w:t>等人的数据表明，富余氧浓度从</w:t>
      </w:r>
      <w:r>
        <w:rPr>
          <w:rFonts w:eastAsia="TimesNewRomanPSMT"/>
          <w:color w:val="000000" w:themeColor="text1"/>
          <w14:textFill>
            <w14:solidFill>
              <w14:schemeClr w14:val="tx1"/>
            </w14:solidFill>
          </w14:textFill>
        </w:rPr>
        <w:t>6%</w:t>
      </w:r>
      <w:r>
        <w:rPr>
          <w:color w:val="000000" w:themeColor="text1"/>
          <w14:textFill>
            <w14:solidFill>
              <w14:schemeClr w14:val="tx1"/>
            </w14:solidFill>
          </w14:textFill>
        </w:rPr>
        <w:t>增加至</w:t>
      </w:r>
      <w:r>
        <w:rPr>
          <w:rFonts w:eastAsia="TimesNewRomanPSMT"/>
          <w:color w:val="000000" w:themeColor="text1"/>
          <w14:textFill>
            <w14:solidFill>
              <w14:schemeClr w14:val="tx1"/>
            </w14:solidFill>
          </w14:textFill>
        </w:rPr>
        <w:t>12%</w:t>
      </w:r>
      <w:r>
        <w:rPr>
          <w:color w:val="000000" w:themeColor="text1"/>
          <w14:textFill>
            <w14:solidFill>
              <w14:schemeClr w14:val="tx1"/>
            </w14:solidFill>
          </w14:textFill>
        </w:rPr>
        <w:t>时，烟气量增加了</w:t>
      </w:r>
      <w:r>
        <w:rPr>
          <w:rFonts w:eastAsia="TimesNewRomanPSMT"/>
          <w:color w:val="000000" w:themeColor="text1"/>
          <w14:textFill>
            <w14:solidFill>
              <w14:schemeClr w14:val="tx1"/>
            </w14:solidFill>
          </w14:textFill>
        </w:rPr>
        <w:t>67%</w:t>
      </w:r>
      <w:r>
        <w:rPr>
          <w:color w:val="000000" w:themeColor="text1"/>
          <w14:textFill>
            <w14:solidFill>
              <w14:schemeClr w14:val="tx1"/>
            </w14:solidFill>
          </w14:textFill>
        </w:rPr>
        <w:t>，而相应的</w:t>
      </w:r>
      <w:r>
        <w:rPr>
          <w:rFonts w:eastAsia="TimesNewRomanPSMT"/>
          <w:color w:val="000000" w:themeColor="text1"/>
          <w14:textFill>
            <w14:solidFill>
              <w14:schemeClr w14:val="tx1"/>
            </w14:solidFill>
          </w14:textFill>
        </w:rPr>
        <w:t>NOx</w:t>
      </w:r>
      <w:r>
        <w:rPr>
          <w:color w:val="000000" w:themeColor="text1"/>
          <w14:textFill>
            <w14:solidFill>
              <w14:schemeClr w14:val="tx1"/>
            </w14:solidFill>
          </w14:textFill>
        </w:rPr>
        <w:t>浓度增加了</w:t>
      </w:r>
      <w:r>
        <w:rPr>
          <w:rFonts w:eastAsia="TimesNewRomanPSMT"/>
          <w:color w:val="000000" w:themeColor="text1"/>
          <w14:textFill>
            <w14:solidFill>
              <w14:schemeClr w14:val="tx1"/>
            </w14:solidFill>
          </w14:textFill>
        </w:rPr>
        <w:t>17%</w:t>
      </w:r>
      <w:r>
        <w:rPr>
          <w:color w:val="000000" w:themeColor="text1"/>
          <w14:textFill>
            <w14:solidFill>
              <w14:schemeClr w14:val="tx1"/>
            </w14:solidFill>
          </w14:textFill>
        </w:rPr>
        <w:t>，这样</w:t>
      </w:r>
      <w:r>
        <w:rPr>
          <w:rFonts w:eastAsia="TimesNewRomanPSMT"/>
          <w:color w:val="000000" w:themeColor="text1"/>
          <w14:textFill>
            <w14:solidFill>
              <w14:schemeClr w14:val="tx1"/>
            </w14:solidFill>
          </w14:textFill>
        </w:rPr>
        <w:t>NOx</w:t>
      </w:r>
      <w:r>
        <w:rPr>
          <w:color w:val="000000" w:themeColor="text1"/>
          <w14:textFill>
            <w14:solidFill>
              <w14:schemeClr w14:val="tx1"/>
            </w14:solidFill>
          </w14:textFill>
        </w:rPr>
        <w:t>质量增加了</w:t>
      </w:r>
      <w:r>
        <w:rPr>
          <w:rFonts w:eastAsia="TimesNewRomanPSMT"/>
          <w:color w:val="000000" w:themeColor="text1"/>
          <w14:textFill>
            <w14:solidFill>
              <w14:schemeClr w14:val="tx1"/>
            </w14:solidFill>
          </w14:textFill>
        </w:rPr>
        <w:t>95%</w:t>
      </w:r>
      <w:r>
        <w:rPr>
          <w:color w:val="000000" w:themeColor="text1"/>
          <w14:textFill>
            <w14:solidFill>
              <w14:schemeClr w14:val="tx1"/>
            </w14:solidFill>
          </w14:textFill>
        </w:rPr>
        <w:t>。因此，估算源强时，可以认为</w:t>
      </w:r>
      <w:r>
        <w:rPr>
          <w:rFonts w:eastAsia="TimesNewRomanPS-ItalicMT"/>
          <w:i/>
          <w:iCs/>
          <w:color w:val="000000" w:themeColor="text1"/>
          <w14:textFill>
            <w14:solidFill>
              <w14:schemeClr w14:val="tx1"/>
            </w14:solidFill>
          </w14:textFill>
        </w:rPr>
        <w:t>KN</w:t>
      </w:r>
      <w:r>
        <w:rPr>
          <w:color w:val="000000" w:themeColor="text1"/>
          <w14:textFill>
            <w14:solidFill>
              <w14:schemeClr w14:val="tx1"/>
            </w14:solidFill>
          </w14:textFill>
        </w:rPr>
        <w:t>与富余氧浓度成正比。因此</w:t>
      </w: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式可修订为：</w:t>
      </w:r>
    </w:p>
    <w:p w14:paraId="2AD34C17">
      <w:pPr>
        <w:ind w:firstLine="480"/>
        <w:rPr>
          <w:rFonts w:eastAsia="仿宋"/>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3244850" cy="345440"/>
            <wp:effectExtent l="0" t="0" r="0" b="0"/>
            <wp:docPr id="948644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44658" name="图片 1"/>
                    <pic:cNvPicPr>
                      <a:picLocks noChangeAspect="1"/>
                    </pic:cNvPicPr>
                  </pic:nvPicPr>
                  <pic:blipFill>
                    <a:blip r:embed="rId53"/>
                    <a:stretch>
                      <a:fillRect/>
                    </a:stretch>
                  </pic:blipFill>
                  <pic:spPr>
                    <a:xfrm>
                      <a:off x="0" y="0"/>
                      <a:ext cx="3355160" cy="357546"/>
                    </a:xfrm>
                    <a:prstGeom prst="rect">
                      <a:avLst/>
                    </a:prstGeom>
                  </pic:spPr>
                </pic:pic>
              </a:graphicData>
            </a:graphic>
          </wp:inline>
        </w:drawing>
      </w:r>
    </w:p>
    <w:p w14:paraId="577FBFB0">
      <w:pPr>
        <w:ind w:firstLine="480"/>
        <w:rPr>
          <w:color w:val="000000" w:themeColor="text1"/>
          <w14:textFill>
            <w14:solidFill>
              <w14:schemeClr w14:val="tx1"/>
            </w14:solidFill>
          </w14:textFill>
        </w:rPr>
      </w:pPr>
      <w:r>
        <w:rPr>
          <w:color w:val="000000" w:themeColor="text1"/>
          <w14:textFill>
            <w14:solidFill>
              <w14:schemeClr w14:val="tx1"/>
            </w14:solidFill>
          </w14:textFill>
        </w:rPr>
        <w:t>为保守起见，可按</w:t>
      </w:r>
      <w:r>
        <w:rPr>
          <w:rFonts w:eastAsia="TimesNewRomanPSMT"/>
          <w:color w:val="000000" w:themeColor="text1"/>
          <w14:textFill>
            <w14:solidFill>
              <w14:schemeClr w14:val="tx1"/>
            </w14:solidFill>
          </w14:textFill>
        </w:rPr>
        <w:t>K</w:t>
      </w:r>
      <w:r>
        <w:rPr>
          <w:rFonts w:eastAsia="TimesNewRomanPSMT"/>
          <w:color w:val="000000" w:themeColor="text1"/>
          <w:vertAlign w:val="subscript"/>
          <w14:textFill>
            <w14:solidFill>
              <w14:schemeClr w14:val="tx1"/>
            </w14:solidFill>
          </w14:textFill>
        </w:rPr>
        <w:t>N</w:t>
      </w:r>
      <w:r>
        <w:rPr>
          <w:rFonts w:eastAsia="TimesNewRomanPSMT"/>
          <w:color w:val="000000" w:themeColor="text1"/>
          <w14:textFill>
            <w14:solidFill>
              <w14:schemeClr w14:val="tx1"/>
            </w14:solidFill>
          </w14:textFill>
        </w:rPr>
        <w:t>=0.2</w:t>
      </w:r>
      <w:r>
        <w:rPr>
          <w:color w:val="000000" w:themeColor="text1"/>
          <w14:textFill>
            <w14:solidFill>
              <w14:schemeClr w14:val="tx1"/>
            </w14:solidFill>
          </w14:textFill>
        </w:rPr>
        <w:t>估算源强值。</w:t>
      </w:r>
    </w:p>
    <w:p w14:paraId="4E8F573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eastAsia="TimesNewRomanPSMT"/>
          <w:color w:val="000000" w:themeColor="text1"/>
          <w14:textFill>
            <w14:solidFill>
              <w14:schemeClr w14:val="tx1"/>
            </w14:solidFill>
          </w14:textFill>
        </w:rPr>
        <w:t>N</w:t>
      </w:r>
      <w:r>
        <w:rPr>
          <w:color w:val="000000" w:themeColor="text1"/>
          <w14:textFill>
            <w14:solidFill>
              <w14:schemeClr w14:val="tx1"/>
            </w14:solidFill>
          </w14:textFill>
        </w:rPr>
        <w:t>入炉标准为</w:t>
      </w:r>
      <w:r>
        <w:rPr>
          <w:rFonts w:eastAsia="TimesNewRomanPSMT"/>
          <w:color w:val="000000" w:themeColor="text1"/>
          <w14:textFill>
            <w14:solidFill>
              <w14:schemeClr w14:val="tx1"/>
            </w14:solidFill>
          </w14:textFill>
        </w:rPr>
        <w:t>0.2%</w:t>
      </w:r>
      <w:r>
        <w:rPr>
          <w:color w:val="000000" w:themeColor="text1"/>
          <w14:textFill>
            <w14:solidFill>
              <w14:schemeClr w14:val="tx1"/>
            </w14:solidFill>
          </w14:textFill>
        </w:rPr>
        <w:t>，废盐处理量为</w:t>
      </w:r>
      <w:r>
        <w:rPr>
          <w:rFonts w:eastAsia="TimesNewRomanPSMT"/>
          <w:color w:val="000000" w:themeColor="text1"/>
          <w14:textFill>
            <w14:solidFill>
              <w14:schemeClr w14:val="tx1"/>
            </w14:solidFill>
          </w14:textFill>
        </w:rPr>
        <w:t>6250kg/h</w:t>
      </w:r>
      <w:r>
        <w:rPr>
          <w:color w:val="000000" w:themeColor="text1"/>
          <w14:textFill>
            <w14:solidFill>
              <w14:schemeClr w14:val="tx1"/>
            </w14:solidFill>
          </w14:textFill>
        </w:rPr>
        <w:t>，则氮氧化物产生速率为：</w:t>
      </w:r>
    </w:p>
    <w:p w14:paraId="08524181">
      <w:pPr>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S</w:t>
      </w:r>
      <w:r>
        <w:rPr>
          <w:rFonts w:eastAsia="TimesNewRomanPSMT"/>
          <w:color w:val="000000" w:themeColor="text1"/>
          <w:vertAlign w:val="subscript"/>
          <w14:textFill>
            <w14:solidFill>
              <w14:schemeClr w14:val="tx1"/>
            </w14:solidFill>
          </w14:textFill>
        </w:rPr>
        <w:t>NO2</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 xml:space="preserve"> </w:t>
      </w:r>
      <w:r>
        <w:rPr>
          <w:rFonts w:eastAsia="TimesNewRomanPSMT"/>
          <w:color w:val="000000" w:themeColor="text1"/>
          <w14:textFill>
            <w14:solidFill>
              <w14:schemeClr w14:val="tx1"/>
            </w14:solidFill>
          </w14:textFill>
        </w:rPr>
        <w:t>150*4000/1000000</w:t>
      </w:r>
      <w:r>
        <w:rPr>
          <w:rFonts w:hint="eastAsia" w:eastAsia="TimesNewRomanPSMT"/>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0.2</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6250</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0.2%</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46/14</w:t>
      </w:r>
      <w:r>
        <w:rPr>
          <w:color w:val="000000" w:themeColor="text1"/>
          <w14:textFill>
            <w14:solidFill>
              <w14:schemeClr w14:val="tx1"/>
            </w14:solidFill>
          </w14:textFill>
        </w:rPr>
        <w:t>）×0.2</w:t>
      </w:r>
      <w:r>
        <w:rPr>
          <w:rFonts w:eastAsia="TimesNewRomanPSMT"/>
          <w:color w:val="000000" w:themeColor="text1"/>
          <w14:textFill>
            <w14:solidFill>
              <w14:schemeClr w14:val="tx1"/>
            </w14:solidFill>
          </w14:textFill>
        </w:rPr>
        <w:t>=</w:t>
      </w:r>
      <w:r>
        <w:rPr>
          <w:rFonts w:hint="eastAsia" w:eastAsia="TimesNewRomanPSMT"/>
          <w:color w:val="000000" w:themeColor="text1"/>
          <w14:textFill>
            <w14:solidFill>
              <w14:schemeClr w14:val="tx1"/>
            </w14:solidFill>
          </w14:textFill>
        </w:rPr>
        <w:t>2.243</w:t>
      </w:r>
      <w:r>
        <w:rPr>
          <w:rFonts w:eastAsia="TimesNewRomanPSMT"/>
          <w:color w:val="000000" w:themeColor="text1"/>
          <w14:textFill>
            <w14:solidFill>
              <w14:schemeClr w14:val="tx1"/>
            </w14:solidFill>
          </w14:textFill>
        </w:rPr>
        <w:t>kg/h</w:t>
      </w:r>
      <w:r>
        <w:rPr>
          <w:color w:val="000000" w:themeColor="text1"/>
          <w14:textFill>
            <w14:solidFill>
              <w14:schemeClr w14:val="tx1"/>
            </w14:solidFill>
          </w14:textFill>
        </w:rPr>
        <w:t>，项目年运营</w:t>
      </w:r>
      <w:r>
        <w:rPr>
          <w:rFonts w:eastAsia="TimesNewRomanPSMT"/>
          <w:color w:val="000000" w:themeColor="text1"/>
          <w14:textFill>
            <w14:solidFill>
              <w14:schemeClr w14:val="tx1"/>
            </w14:solidFill>
          </w14:textFill>
        </w:rPr>
        <w:t>8000h</w:t>
      </w:r>
      <w:r>
        <w:rPr>
          <w:color w:val="000000" w:themeColor="text1"/>
          <w14:textFill>
            <w14:solidFill>
              <w14:schemeClr w14:val="tx1"/>
            </w14:solidFill>
          </w14:textFill>
        </w:rPr>
        <w:t>，则项目氮氧化物产生量约为</w:t>
      </w:r>
      <w:r>
        <w:rPr>
          <w:rFonts w:hint="eastAsia" w:eastAsia="TimesNewRomanPSMT"/>
          <w:color w:val="000000" w:themeColor="text1"/>
          <w14:textFill>
            <w14:solidFill>
              <w14:schemeClr w14:val="tx1"/>
            </w14:solidFill>
          </w14:textFill>
        </w:rPr>
        <w:t>17.94</w:t>
      </w:r>
      <w:r>
        <w:rPr>
          <w:rFonts w:eastAsia="TimesNewRomanPSMT"/>
          <w:color w:val="000000" w:themeColor="text1"/>
          <w14:textFill>
            <w14:solidFill>
              <w14:schemeClr w14:val="tx1"/>
            </w14:solidFill>
          </w14:textFill>
        </w:rPr>
        <w:t>t/a</w:t>
      </w:r>
      <w:r>
        <w:rPr>
          <w:color w:val="000000" w:themeColor="text1"/>
          <w14:textFill>
            <w14:solidFill>
              <w14:schemeClr w14:val="tx1"/>
            </w14:solidFill>
          </w14:textFill>
        </w:rPr>
        <w:t>。</w:t>
      </w:r>
    </w:p>
    <w:p w14:paraId="3A8F897C">
      <w:pPr>
        <w:ind w:firstLine="482"/>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7、CO</w:t>
      </w:r>
    </w:p>
    <w:p w14:paraId="16630890">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CO</w:t>
      </w:r>
      <w:r>
        <w:rPr>
          <w:color w:val="000000" w:themeColor="text1"/>
          <w14:textFill>
            <w14:solidFill>
              <w14:schemeClr w14:val="tx1"/>
            </w14:solidFill>
          </w14:textFill>
        </w:rPr>
        <w:t>的来源主要来自废盐中有机碳的不完全转化。</w:t>
      </w:r>
    </w:p>
    <w:p w14:paraId="023EB8A0">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eastAsia="Times New Roman"/>
          <w:color w:val="000000" w:themeColor="text1"/>
          <w:lang w:bidi="en-US"/>
          <w14:textFill>
            <w14:solidFill>
              <w14:schemeClr w14:val="tx1"/>
            </w14:solidFill>
          </w14:textFill>
        </w:rPr>
        <w:t>EPA</w:t>
      </w:r>
      <w:r>
        <w:rPr>
          <w:color w:val="000000" w:themeColor="text1"/>
          <w14:textFill>
            <w14:solidFill>
              <w14:schemeClr w14:val="tx1"/>
            </w14:solidFill>
          </w14:textFill>
        </w:rPr>
        <w:t>的数据</w:t>
      </w:r>
      <w:r>
        <w:rPr>
          <w:rFonts w:eastAsia="Times New Roman"/>
          <w:color w:val="000000" w:themeColor="text1"/>
          <w:lang w:bidi="en-US"/>
          <w14:textFill>
            <w14:solidFill>
              <w14:schemeClr w14:val="tx1"/>
            </w14:solidFill>
          </w14:textFill>
        </w:rPr>
        <w:t>[1]</w:t>
      </w:r>
      <w:r>
        <w:rPr>
          <w:color w:val="000000" w:themeColor="text1"/>
          <w:lang w:bidi="en-US"/>
          <w14:textFill>
            <w14:solidFill>
              <w14:schemeClr w14:val="tx1"/>
            </w14:solidFill>
          </w14:textFill>
        </w:rPr>
        <w:t>，</w:t>
      </w:r>
      <w:r>
        <w:rPr>
          <w:color w:val="000000" w:themeColor="text1"/>
          <w14:textFill>
            <w14:solidFill>
              <w14:schemeClr w14:val="tx1"/>
            </w14:solidFill>
          </w14:textFill>
        </w:rPr>
        <w:t>配风控制焚烧类装置的</w:t>
      </w:r>
      <w:r>
        <w:rPr>
          <w:rFonts w:eastAsia="Times New Roman"/>
          <w:color w:val="000000" w:themeColor="text1"/>
          <w:lang w:bidi="en-US"/>
          <w14:textFill>
            <w14:solidFill>
              <w14:schemeClr w14:val="tx1"/>
            </w14:solidFill>
          </w14:textFill>
        </w:rPr>
        <w:t>CO</w:t>
      </w:r>
      <w:r>
        <w:rPr>
          <w:color w:val="000000" w:themeColor="text1"/>
          <w14:textFill>
            <w14:solidFill>
              <w14:schemeClr w14:val="tx1"/>
            </w14:solidFill>
          </w14:textFill>
        </w:rPr>
        <w:t>源强高达</w:t>
      </w:r>
      <w:r>
        <w:rPr>
          <w:rFonts w:eastAsia="Times New Roman"/>
          <w:color w:val="000000" w:themeColor="text1"/>
          <w14:textFill>
            <w14:solidFill>
              <w14:schemeClr w14:val="tx1"/>
            </w14:solidFill>
          </w14:textFill>
        </w:rPr>
        <w:t>1480</w:t>
      </w:r>
      <w:r>
        <w:rPr>
          <w:rFonts w:eastAsia="Times New Roman"/>
          <w:color w:val="000000" w:themeColor="text1"/>
          <w:lang w:bidi="en-US"/>
          <w14:textFill>
            <w14:solidFill>
              <w14:schemeClr w14:val="tx1"/>
            </w14:solidFill>
          </w14:textFill>
        </w:rPr>
        <w:t>mg/kg</w:t>
      </w:r>
      <w:r>
        <w:rPr>
          <w:color w:val="000000" w:themeColor="text1"/>
          <w14:textFill>
            <w14:solidFill>
              <w14:schemeClr w14:val="tx1"/>
            </w14:solidFill>
          </w14:textFill>
        </w:rPr>
        <w:t>(给料)，远远高于中试的实测数据。经分析发现，原因主要是因为在同一燃尽率下，</w:t>
      </w:r>
      <w:r>
        <w:rPr>
          <w:rFonts w:eastAsia="Times New Roman"/>
          <w:color w:val="000000" w:themeColor="text1"/>
          <w:lang w:bidi="en-US"/>
          <w14:textFill>
            <w14:solidFill>
              <w14:schemeClr w14:val="tx1"/>
            </w14:solidFill>
          </w14:textFill>
        </w:rPr>
        <w:t>CO</w:t>
      </w:r>
      <w:r>
        <w:rPr>
          <w:color w:val="000000" w:themeColor="text1"/>
          <w14:textFill>
            <w14:solidFill>
              <w14:schemeClr w14:val="tx1"/>
            </w14:solidFill>
          </w14:textFill>
        </w:rPr>
        <w:t>源强与给料中的含碳量成正比。</w:t>
      </w:r>
      <w:r>
        <w:rPr>
          <w:rFonts w:eastAsia="Times New Roman"/>
          <w:color w:val="000000" w:themeColor="text1"/>
          <w:lang w:bidi="en-US"/>
          <w14:textFill>
            <w14:solidFill>
              <w14:schemeClr w14:val="tx1"/>
            </w14:solidFill>
          </w14:textFill>
        </w:rPr>
        <w:t>EPA</w:t>
      </w:r>
      <w:r>
        <w:rPr>
          <w:color w:val="000000" w:themeColor="text1"/>
          <w14:textFill>
            <w14:solidFill>
              <w14:schemeClr w14:val="tx1"/>
            </w14:solidFill>
          </w14:textFill>
        </w:rPr>
        <w:t>数据来自多种固废，其中的有机碳含量一般在</w:t>
      </w:r>
      <w:r>
        <w:rPr>
          <w:rFonts w:eastAsia="Times New Roman"/>
          <w:color w:val="000000" w:themeColor="text1"/>
          <w14:textFill>
            <w14:solidFill>
              <w14:schemeClr w14:val="tx1"/>
            </w14:solidFill>
          </w14:textFill>
        </w:rPr>
        <w:t>20~50%</w:t>
      </w:r>
      <w:r>
        <w:rPr>
          <w:color w:val="000000" w:themeColor="text1"/>
          <w14:textFill>
            <w14:solidFill>
              <w14:schemeClr w14:val="tx1"/>
            </w14:solidFill>
          </w14:textFill>
        </w:rPr>
        <w:t>范围，而化工废盐中的含碳量(以总有机碳</w:t>
      </w:r>
      <w:r>
        <w:rPr>
          <w:rFonts w:eastAsia="Times New Roman"/>
          <w:color w:val="000000" w:themeColor="text1"/>
          <w:lang w:bidi="en-US"/>
          <w14:textFill>
            <w14:solidFill>
              <w14:schemeClr w14:val="tx1"/>
            </w14:solidFill>
          </w14:textFill>
        </w:rPr>
        <w:t>TOC</w:t>
      </w:r>
      <w:r>
        <w:rPr>
          <w:color w:val="000000" w:themeColor="text1"/>
          <w:lang w:bidi="en-US"/>
          <w14:textFill>
            <w14:solidFill>
              <w14:schemeClr w14:val="tx1"/>
            </w14:solidFill>
          </w14:textFill>
        </w:rPr>
        <w:t>)</w:t>
      </w:r>
      <w:r>
        <w:rPr>
          <w:color w:val="000000" w:themeColor="text1"/>
          <w14:textFill>
            <w14:solidFill>
              <w14:schemeClr w14:val="tx1"/>
            </w14:solidFill>
          </w14:textFill>
        </w:rPr>
        <w:t>一般只有</w:t>
      </w:r>
      <w:r>
        <w:rPr>
          <w:rFonts w:eastAsia="Times New Roman"/>
          <w:color w:val="000000" w:themeColor="text1"/>
          <w14:textFill>
            <w14:solidFill>
              <w14:schemeClr w14:val="tx1"/>
            </w14:solidFill>
          </w14:textFill>
        </w:rPr>
        <w:t>0.2~5.0%</w:t>
      </w:r>
      <w:r>
        <w:rPr>
          <w:color w:val="000000" w:themeColor="text1"/>
          <w14:textFill>
            <w14:solidFill>
              <w14:schemeClr w14:val="tx1"/>
            </w14:solidFill>
          </w14:textFill>
        </w:rPr>
        <w:t>，平均相差一个数量级。考虑到给料含碳量修正后，</w:t>
      </w:r>
      <w:r>
        <w:rPr>
          <w:rFonts w:eastAsia="Times New Roman"/>
          <w:color w:val="000000" w:themeColor="text1"/>
          <w:lang w:bidi="en-US"/>
          <w14:textFill>
            <w14:solidFill>
              <w14:schemeClr w14:val="tx1"/>
            </w14:solidFill>
          </w14:textFill>
        </w:rPr>
        <w:t>EPA</w:t>
      </w:r>
      <w:r>
        <w:rPr>
          <w:color w:val="000000" w:themeColor="text1"/>
          <w14:textFill>
            <w14:solidFill>
              <w14:schemeClr w14:val="tx1"/>
            </w14:solidFill>
          </w14:textFill>
        </w:rPr>
        <w:t>数据仍然基本适用，因此</w:t>
      </w:r>
      <w:r>
        <w:rPr>
          <w:rFonts w:eastAsia="Times New Roman"/>
          <w:color w:val="000000" w:themeColor="text1"/>
          <w:lang w:bidi="en-US"/>
          <w14:textFill>
            <w14:solidFill>
              <w14:schemeClr w14:val="tx1"/>
            </w14:solidFill>
          </w14:textFill>
        </w:rPr>
        <w:t>CO</w:t>
      </w:r>
      <w:r>
        <w:rPr>
          <w:color w:val="000000" w:themeColor="text1"/>
          <w14:textFill>
            <w14:solidFill>
              <w14:schemeClr w14:val="tx1"/>
            </w14:solidFill>
          </w14:textFill>
        </w:rPr>
        <w:t>源强可按下式计算：</w:t>
      </w:r>
    </w:p>
    <w:p w14:paraId="2FE8AEE9">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366010" cy="448310"/>
            <wp:effectExtent l="0" t="0" r="0" b="8890"/>
            <wp:docPr id="26842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2112" name="图片 1"/>
                    <pic:cNvPicPr>
                      <a:picLocks noChangeAspect="1"/>
                    </pic:cNvPicPr>
                  </pic:nvPicPr>
                  <pic:blipFill>
                    <a:blip r:embed="rId54"/>
                    <a:stretch>
                      <a:fillRect/>
                    </a:stretch>
                  </pic:blipFill>
                  <pic:spPr>
                    <a:xfrm>
                      <a:off x="0" y="0"/>
                      <a:ext cx="2382928" cy="451926"/>
                    </a:xfrm>
                    <a:prstGeom prst="rect">
                      <a:avLst/>
                    </a:prstGeom>
                  </pic:spPr>
                </pic:pic>
              </a:graphicData>
            </a:graphic>
          </wp:inline>
        </w:drawing>
      </w:r>
    </w:p>
    <w:p w14:paraId="7118DF1E">
      <w:pPr>
        <w:ind w:firstLine="480"/>
        <w:rPr>
          <w:color w:val="000000" w:themeColor="text1"/>
          <w14:textFill>
            <w14:solidFill>
              <w14:schemeClr w14:val="tx1"/>
            </w14:solidFill>
          </w14:textFill>
        </w:rPr>
      </w:pPr>
      <w:r>
        <w:rPr>
          <w:color w:val="000000" w:themeColor="text1"/>
          <w14:textFill>
            <w14:solidFill>
              <w14:schemeClr w14:val="tx1"/>
            </w14:solidFill>
          </w14:textFill>
        </w:rPr>
        <w:t>其中系数给料量</w:t>
      </w:r>
      <w:r>
        <w:rPr>
          <w:rFonts w:eastAsia="Times New Roman"/>
          <w:color w:val="000000" w:themeColor="text1"/>
          <w:lang w:eastAsia="en-US" w:bidi="en-US"/>
          <w14:textFill>
            <w14:solidFill>
              <w14:schemeClr w14:val="tx1"/>
            </w14:solidFill>
          </w14:textFill>
        </w:rPr>
        <w:t>Fs</w:t>
      </w:r>
      <w:r>
        <w:rPr>
          <w:color w:val="000000" w:themeColor="text1"/>
          <w14:textFill>
            <w14:solidFill>
              <w14:schemeClr w14:val="tx1"/>
            </w14:solidFill>
          </w14:textFill>
        </w:rPr>
        <w:t>和</w:t>
      </w:r>
      <w:r>
        <w:rPr>
          <w:rFonts w:eastAsia="Times New Roman"/>
          <w:color w:val="000000" w:themeColor="text1"/>
          <w:lang w:eastAsia="en-US" w:bidi="en-US"/>
          <w14:textFill>
            <w14:solidFill>
              <w14:schemeClr w14:val="tx1"/>
            </w14:solidFill>
          </w14:textFill>
        </w:rPr>
        <w:t>CO</w:t>
      </w:r>
      <w:r>
        <w:rPr>
          <w:color w:val="000000" w:themeColor="text1"/>
          <w14:textFill>
            <w14:solidFill>
              <w14:schemeClr w14:val="tx1"/>
            </w14:solidFill>
          </w14:textFill>
        </w:rPr>
        <w:t>源强</w:t>
      </w:r>
      <w:r>
        <w:rPr>
          <w:rFonts w:eastAsia="Times New Roman"/>
          <w:color w:val="000000" w:themeColor="text1"/>
          <w:lang w:eastAsia="en-US" w:bidi="en-US"/>
          <w14:textFill>
            <w14:solidFill>
              <w14:schemeClr w14:val="tx1"/>
            </w14:solidFill>
          </w14:textFill>
        </w:rPr>
        <w:t>S</w:t>
      </w:r>
      <w:r>
        <w:rPr>
          <w:rFonts w:eastAsia="Times New Roman"/>
          <w:color w:val="000000" w:themeColor="text1"/>
          <w:vertAlign w:val="subscript"/>
          <w:lang w:eastAsia="en-US" w:bidi="en-US"/>
          <w14:textFill>
            <w14:solidFill>
              <w14:schemeClr w14:val="tx1"/>
            </w14:solidFill>
          </w14:textFill>
        </w:rPr>
        <w:t>CO</w:t>
      </w:r>
      <w:r>
        <w:rPr>
          <w:color w:val="000000" w:themeColor="text1"/>
          <w14:textFill>
            <w14:solidFill>
              <w14:schemeClr w14:val="tx1"/>
            </w14:solidFill>
          </w14:textFill>
        </w:rPr>
        <w:t>的单位一样(都是</w:t>
      </w:r>
      <w:r>
        <w:rPr>
          <w:rFonts w:eastAsia="Times New Roman"/>
          <w:color w:val="000000" w:themeColor="text1"/>
          <w:lang w:eastAsia="en-US" w:bidi="en-US"/>
          <w14:textFill>
            <w14:solidFill>
              <w14:schemeClr w14:val="tx1"/>
            </w14:solidFill>
          </w14:textFill>
        </w:rPr>
        <w:t>kg/h</w:t>
      </w:r>
      <w:r>
        <w:rPr>
          <w:color w:val="000000" w:themeColor="text1"/>
          <w14:textFill>
            <w14:solidFill>
              <w14:schemeClr w14:val="tx1"/>
            </w14:solidFill>
          </w14:textFill>
        </w:rPr>
        <w:t>或</w:t>
      </w:r>
      <w:r>
        <w:rPr>
          <w:rFonts w:eastAsia="Times New Roman"/>
          <w:color w:val="000000" w:themeColor="text1"/>
          <w:lang w:eastAsia="en-US" w:bidi="en-US"/>
          <w14:textFill>
            <w14:solidFill>
              <w14:schemeClr w14:val="tx1"/>
            </w14:solidFill>
          </w14:textFill>
        </w:rPr>
        <w:t>t/a</w:t>
      </w:r>
      <w:r>
        <w:rPr>
          <w:color w:val="000000" w:themeColor="text1"/>
          <w:lang w:eastAsia="en-US" w:bidi="en-US"/>
          <w14:textFill>
            <w14:solidFill>
              <w14:schemeClr w14:val="tx1"/>
            </w14:solidFill>
          </w14:textFill>
        </w:rPr>
        <w:t>)。</w:t>
      </w:r>
    </w:p>
    <w:p w14:paraId="0F17832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eastAsia="Times New Roman"/>
          <w:color w:val="000000" w:themeColor="text1"/>
          <w:lang w:bidi="en-US"/>
          <w14:textFill>
            <w14:solidFill>
              <w14:schemeClr w14:val="tx1"/>
            </w14:solidFill>
          </w14:textFill>
        </w:rPr>
        <w:t>C</w:t>
      </w:r>
      <w:r>
        <w:rPr>
          <w:color w:val="000000" w:themeColor="text1"/>
          <w14:textFill>
            <w14:solidFill>
              <w14:schemeClr w14:val="tx1"/>
            </w14:solidFill>
          </w14:textFill>
        </w:rPr>
        <w:t>入炉控制限值为</w:t>
      </w:r>
      <w:r>
        <w:rPr>
          <w:rFonts w:hint="eastAsia" w:eastAsiaTheme="minorEastAsia"/>
          <w:color w:val="000000" w:themeColor="text1"/>
          <w14:textFill>
            <w14:solidFill>
              <w14:schemeClr w14:val="tx1"/>
            </w14:solidFill>
          </w14:textFill>
        </w:rPr>
        <w:t>2</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在二燃室约99.9%的CO转化为CO2，</w:t>
      </w:r>
      <w:r>
        <w:rPr>
          <w:color w:val="000000" w:themeColor="text1"/>
          <w14:textFill>
            <w14:solidFill>
              <w14:schemeClr w14:val="tx1"/>
            </w14:solidFill>
          </w14:textFill>
        </w:rPr>
        <w:t>则项目</w:t>
      </w:r>
      <w:r>
        <w:rPr>
          <w:rFonts w:eastAsia="Times New Roman"/>
          <w:color w:val="000000" w:themeColor="text1"/>
          <w:lang w:bidi="en-US"/>
          <w14:textFill>
            <w14:solidFill>
              <w14:schemeClr w14:val="tx1"/>
            </w14:solidFill>
          </w14:textFill>
        </w:rPr>
        <w:t>CO</w:t>
      </w:r>
      <w:r>
        <w:rPr>
          <w:color w:val="000000" w:themeColor="text1"/>
          <w14:textFill>
            <w14:solidFill>
              <w14:schemeClr w14:val="tx1"/>
            </w14:solidFill>
          </w14:textFill>
        </w:rPr>
        <w:t>产生速率为：</w:t>
      </w:r>
      <w:r>
        <w:rPr>
          <w:rFonts w:eastAsia="Times New Roman"/>
          <w:color w:val="000000" w:themeColor="text1"/>
          <w:lang w:bidi="en-US"/>
          <w14:textFill>
            <w14:solidFill>
              <w14:schemeClr w14:val="tx1"/>
            </w14:solidFill>
          </w14:textFill>
        </w:rPr>
        <w:t>S</w:t>
      </w:r>
      <w:r>
        <w:rPr>
          <w:rFonts w:eastAsiaTheme="minorEastAsia"/>
          <w:color w:val="000000" w:themeColor="text1"/>
          <w:vertAlign w:val="subscript"/>
          <w:lang w:bidi="en-US"/>
          <w14:textFill>
            <w14:solidFill>
              <w14:schemeClr w14:val="tx1"/>
            </w14:solidFill>
          </w14:textFill>
        </w:rPr>
        <w:t>CO</w:t>
      </w:r>
      <w:r>
        <w:rPr>
          <w:rFonts w:eastAsia="Times New Roman"/>
          <w:color w:val="000000" w:themeColor="text1"/>
          <w:lang w:bidi="en-US"/>
          <w14:textFill>
            <w14:solidFill>
              <w14:schemeClr w14:val="tx1"/>
            </w14:solidFill>
          </w14:textFill>
        </w:rPr>
        <w:t>=</w:t>
      </w:r>
      <w:r>
        <w:rPr>
          <w:rFonts w:eastAsiaTheme="minorEastAsia"/>
          <w:color w:val="000000" w:themeColor="text1"/>
          <w:lang w:bidi="en-US"/>
          <w14:textFill>
            <w14:solidFill>
              <w14:schemeClr w14:val="tx1"/>
            </w14:solidFill>
          </w14:textFill>
        </w:rPr>
        <w:t>6250</w:t>
      </w:r>
      <w:r>
        <w:rPr>
          <w:color w:val="000000" w:themeColor="text1"/>
          <w14:textFill>
            <w14:solidFill>
              <w14:schemeClr w14:val="tx1"/>
            </w14:solidFill>
          </w14:textFill>
        </w:rPr>
        <w:t>×</w:t>
      </w:r>
      <w:r>
        <w:rPr>
          <w:rFonts w:hint="eastAsia"/>
          <w:color w:val="000000" w:themeColor="text1"/>
          <w:lang w:bidi="en-US"/>
          <w14:textFill>
            <w14:solidFill>
              <w14:schemeClr w14:val="tx1"/>
            </w14:solidFill>
          </w14:textFill>
        </w:rPr>
        <w:t>2</w:t>
      </w:r>
      <w:r>
        <w:rPr>
          <w:color w:val="000000" w:themeColor="text1"/>
          <w:lang w:bidi="en-US"/>
          <w14:textFill>
            <w14:solidFill>
              <w14:schemeClr w14:val="tx1"/>
            </w14:solidFill>
          </w14:textFill>
        </w:rPr>
        <w:t>%</w:t>
      </w:r>
      <w:r>
        <w:rPr>
          <w:color w:val="000000" w:themeColor="text1"/>
          <w14:textFill>
            <w14:solidFill>
              <w14:schemeClr w14:val="tx1"/>
            </w14:solidFill>
          </w14:textFill>
        </w:rPr>
        <w:t>×</w:t>
      </w:r>
      <w:r>
        <w:rPr>
          <w:color w:val="000000" w:themeColor="text1"/>
          <w:lang w:val="zh-CN" w:bidi="zh-CN"/>
          <w14:textFill>
            <w14:solidFill>
              <w14:schemeClr w14:val="tx1"/>
            </w14:solidFill>
          </w14:textFill>
        </w:rPr>
        <w:t>(28/12</w:t>
      </w:r>
      <w:r>
        <w:rPr>
          <w:color w:val="000000" w:themeColor="text1"/>
          <w:lang w:bidi="en-US"/>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0.1%</w:t>
      </w:r>
      <w:r>
        <w:rPr>
          <w:color w:val="000000" w:themeColor="text1"/>
          <w:lang w:bidi="en-US"/>
          <w14:textFill>
            <w14:solidFill>
              <w14:schemeClr w14:val="tx1"/>
            </w14:solidFill>
          </w14:textFill>
        </w:rPr>
        <w:t>=</w:t>
      </w:r>
      <w:r>
        <w:rPr>
          <w:rFonts w:hint="eastAsia"/>
          <w:color w:val="000000" w:themeColor="text1"/>
          <w:lang w:bidi="en-US"/>
          <w14:textFill>
            <w14:solidFill>
              <w14:schemeClr w14:val="tx1"/>
            </w14:solidFill>
          </w14:textFill>
        </w:rPr>
        <w:t>0.292</w:t>
      </w:r>
      <w:r>
        <w:rPr>
          <w:color w:val="000000" w:themeColor="text1"/>
          <w:lang w:bidi="en-US"/>
          <w14:textFill>
            <w14:solidFill>
              <w14:schemeClr w14:val="tx1"/>
            </w14:solidFill>
          </w14:textFill>
        </w:rPr>
        <w:t>kg/h。</w:t>
      </w:r>
      <w:r>
        <w:rPr>
          <w:color w:val="000000" w:themeColor="text1"/>
          <w:lang w:val="zh-CN" w:bidi="zh-CN"/>
          <w14:textFill>
            <w14:solidFill>
              <w14:schemeClr w14:val="tx1"/>
            </w14:solidFill>
          </w14:textFill>
        </w:rPr>
        <w:t>项目年运营</w:t>
      </w:r>
      <w:r>
        <w:rPr>
          <w:color w:val="000000" w:themeColor="text1"/>
          <w:lang w:bidi="en-US"/>
          <w14:textFill>
            <w14:solidFill>
              <w14:schemeClr w14:val="tx1"/>
            </w14:solidFill>
          </w14:textFill>
        </w:rPr>
        <w:t>8000h，</w:t>
      </w:r>
      <w:r>
        <w:rPr>
          <w:color w:val="000000" w:themeColor="text1"/>
          <w:lang w:val="zh-CN" w:bidi="zh-CN"/>
          <w14:textFill>
            <w14:solidFill>
              <w14:schemeClr w14:val="tx1"/>
            </w14:solidFill>
          </w14:textFill>
        </w:rPr>
        <w:t>则</w:t>
      </w:r>
      <w:r>
        <w:rPr>
          <w:color w:val="000000" w:themeColor="text1"/>
          <w:lang w:bidi="en-US"/>
          <w14:textFill>
            <w14:solidFill>
              <w14:schemeClr w14:val="tx1"/>
            </w14:solidFill>
          </w14:textFill>
        </w:rPr>
        <w:t>CO</w:t>
      </w:r>
      <w:r>
        <w:rPr>
          <w:color w:val="000000" w:themeColor="text1"/>
          <w:lang w:val="zh-CN" w:bidi="zh-CN"/>
          <w14:textFill>
            <w14:solidFill>
              <w14:schemeClr w14:val="tx1"/>
            </w14:solidFill>
          </w14:textFill>
        </w:rPr>
        <w:t>产生量为：</w:t>
      </w:r>
      <w:r>
        <w:rPr>
          <w:rFonts w:hint="eastAsia"/>
          <w:color w:val="000000" w:themeColor="text1"/>
          <w:lang w:bidi="en-US"/>
          <w14:textFill>
            <w14:solidFill>
              <w14:schemeClr w14:val="tx1"/>
            </w14:solidFill>
          </w14:textFill>
        </w:rPr>
        <w:t>2.333</w:t>
      </w:r>
      <w:r>
        <w:rPr>
          <w:color w:val="000000" w:themeColor="text1"/>
          <w:lang w:bidi="en-US"/>
          <w14:textFill>
            <w14:solidFill>
              <w14:schemeClr w14:val="tx1"/>
            </w14:solidFill>
          </w14:textFill>
        </w:rPr>
        <w:t>t/a。</w:t>
      </w:r>
    </w:p>
    <w:p w14:paraId="140FD19B">
      <w:pPr>
        <w:pStyle w:val="1232"/>
        <w:spacing w:after="120" w:line="240" w:lineRule="auto"/>
        <w:ind w:firstLine="480"/>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参考文献</w:t>
      </w:r>
      <w:r>
        <w:rPr>
          <w:rFonts w:ascii="Times New Roman" w:hAnsi="Times New Roman" w:cs="Times New Roman"/>
          <w:color w:val="000000" w:themeColor="text1"/>
          <w:lang w:val="en-US"/>
          <w14:textFill>
            <w14:solidFill>
              <w14:schemeClr w14:val="tx1"/>
            </w14:solidFill>
          </w14:textFill>
        </w:rPr>
        <w:t>：</w:t>
      </w:r>
    </w:p>
    <w:p w14:paraId="28A56820">
      <w:pPr>
        <w:ind w:firstLine="480"/>
        <w:rPr>
          <w:color w:val="000000" w:themeColor="text1"/>
          <w14:textFill>
            <w14:solidFill>
              <w14:schemeClr w14:val="tx1"/>
            </w14:solidFill>
          </w14:textFill>
        </w:rPr>
      </w:pPr>
      <w:r>
        <w:rPr>
          <w:color w:val="000000" w:themeColor="text1"/>
          <w:lang w:bidi="en-US"/>
          <w14:textFill>
            <w14:solidFill>
              <w14:schemeClr w14:val="tx1"/>
            </w14:solidFill>
          </w14:textFill>
        </w:rPr>
        <w:t>[1]</w:t>
      </w:r>
      <w:r>
        <w:rPr>
          <w:color w:val="000000" w:themeColor="text1"/>
          <w:lang w:eastAsia="en-US" w:bidi="en-US"/>
          <w14:textFill>
            <w14:solidFill>
              <w14:schemeClr w14:val="tx1"/>
            </w14:solidFill>
          </w14:textFill>
        </w:rPr>
        <w:t>US</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EPA.Clearinghouse</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for</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Inventories</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and</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Emissions</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Factors(CHIEF)</w:t>
      </w:r>
      <w:r>
        <w:rPr>
          <w:color w:val="000000" w:themeColor="text1"/>
          <w:lang w:bidi="en-US"/>
          <w14:textFill>
            <w14:solidFill>
              <w14:schemeClr w14:val="tx1"/>
            </w14:solidFill>
          </w14:textFill>
        </w:rPr>
        <w:t>：</w:t>
      </w:r>
      <w:r>
        <w:rPr>
          <w:color w:val="000000" w:themeColor="text1"/>
          <w:lang w:eastAsia="en-US" w:bidi="en-US"/>
          <w14:textFill>
            <w14:solidFill>
              <w14:schemeClr w14:val="tx1"/>
            </w14:solidFill>
          </w14:textFill>
        </w:rPr>
        <w:t>Compilation</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of</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Air</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Pollutant</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Emissions</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Factors(AP-42)</w:t>
      </w:r>
      <w:r>
        <w:rPr>
          <w:color w:val="000000" w:themeColor="text1"/>
          <w:lang w:bidi="en-US"/>
          <w14:textFill>
            <w14:solidFill>
              <w14:schemeClr w14:val="tx1"/>
            </w14:solidFill>
          </w14:textFill>
        </w:rPr>
        <w:t>，</w:t>
      </w:r>
      <w:r>
        <w:rPr>
          <w:color w:val="000000" w:themeColor="text1"/>
          <w:lang w:eastAsia="en-US" w:bidi="en-US"/>
          <w14:textFill>
            <w14:solidFill>
              <w14:schemeClr w14:val="tx1"/>
            </w14:solidFill>
          </w14:textFill>
        </w:rPr>
        <w:t>Volume1</w:t>
      </w:r>
      <w:r>
        <w:rPr>
          <w:color w:val="000000" w:themeColor="text1"/>
          <w:lang w:bidi="en-US"/>
          <w14:textFill>
            <w14:solidFill>
              <w14:schemeClr w14:val="tx1"/>
            </w14:solidFill>
          </w14:textFill>
        </w:rPr>
        <w:t>：</w:t>
      </w:r>
      <w:r>
        <w:rPr>
          <w:color w:val="000000" w:themeColor="text1"/>
          <w:lang w:eastAsia="en-US" w:bidi="en-US"/>
          <w14:textFill>
            <w14:solidFill>
              <w14:schemeClr w14:val="tx1"/>
            </w14:solidFill>
          </w14:textFill>
        </w:rPr>
        <w:t>Stationary</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Pointand</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Area</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Sources.Chapter2</w:t>
      </w:r>
      <w:r>
        <w:rPr>
          <w:rFonts w:eastAsiaTheme="minorEastAsia"/>
          <w:color w:val="000000" w:themeColor="text1"/>
          <w:lang w:bidi="en-US"/>
          <w14:textFill>
            <w14:solidFill>
              <w14:schemeClr w14:val="tx1"/>
            </w14:solidFill>
          </w14:textFill>
        </w:rPr>
        <w:t>-</w:t>
      </w:r>
      <w:r>
        <w:rPr>
          <w:color w:val="000000" w:themeColor="text1"/>
          <w:lang w:eastAsia="en-US" w:bidi="en-US"/>
          <w14:textFill>
            <w14:solidFill>
              <w14:schemeClr w14:val="tx1"/>
            </w14:solidFill>
          </w14:textFill>
        </w:rPr>
        <w:t>Solid</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WasteDisposal</w:t>
      </w:r>
      <w:r>
        <w:rPr>
          <w:rFonts w:eastAsiaTheme="minorEastAsia"/>
          <w:color w:val="000000" w:themeColor="text1"/>
          <w:lang w:bidi="en-US"/>
          <w14:textFill>
            <w14:solidFill>
              <w14:schemeClr w14:val="tx1"/>
            </w14:solidFill>
          </w14:textFill>
        </w:rPr>
        <w:t>.</w:t>
      </w:r>
      <w:r>
        <w:rPr>
          <w:color w:val="000000" w:themeColor="text1"/>
          <w:lang w:eastAsia="en-US" w:bidi="en-US"/>
          <w14:textFill>
            <w14:solidFill>
              <w14:schemeClr w14:val="tx1"/>
            </w14:solidFill>
          </w14:textFill>
        </w:rPr>
        <w:t>Link:</w:t>
      </w:r>
      <w:r>
        <w:fldChar w:fldCharType="begin"/>
      </w:r>
      <w:r>
        <w:instrText xml:space="preserve"> HYPERLINK "https://www.epa.gov/air-emissions-factors-and-quantification/ap-42-compilation-air-emission" </w:instrText>
      </w:r>
      <w:r>
        <w:fldChar w:fldCharType="separate"/>
      </w:r>
      <w:r>
        <w:rPr>
          <w:rStyle w:val="93"/>
          <w:color w:val="000000" w:themeColor="text1"/>
          <w:lang w:eastAsia="en-US" w:bidi="en-US"/>
          <w14:textFill>
            <w14:solidFill>
              <w14:schemeClr w14:val="tx1"/>
            </w14:solidFill>
          </w14:textFill>
        </w:rPr>
        <w:t>https</w:t>
      </w:r>
      <w:r>
        <w:rPr>
          <w:rStyle w:val="93"/>
          <w:color w:val="000000" w:themeColor="text1"/>
          <w:lang w:bidi="zh-CN"/>
          <w14:textFill>
            <w14:solidFill>
              <w14:schemeClr w14:val="tx1"/>
            </w14:solidFill>
          </w14:textFill>
        </w:rPr>
        <w:t>://</w:t>
      </w:r>
      <w:r>
        <w:rPr>
          <w:rStyle w:val="93"/>
          <w:color w:val="000000" w:themeColor="text1"/>
          <w:lang w:eastAsia="en-US" w:bidi="en-US"/>
          <w14:textFill>
            <w14:solidFill>
              <w14:schemeClr w14:val="tx1"/>
            </w14:solidFill>
          </w14:textFill>
        </w:rPr>
        <w:t>www.epa.gov/air-emissions-factors-and-quantification/ap-42-compilation-air-emission</w:t>
      </w:r>
      <w:r>
        <w:rPr>
          <w:rStyle w:val="93"/>
          <w:color w:val="000000" w:themeColor="text1"/>
          <w:lang w:eastAsia="en-US" w:bidi="en-US"/>
          <w14:textFill>
            <w14:solidFill>
              <w14:schemeClr w14:val="tx1"/>
            </w14:solidFill>
          </w14:textFill>
        </w:rPr>
        <w:fldChar w:fldCharType="end"/>
      </w:r>
      <w:r>
        <w:rPr>
          <w:color w:val="000000" w:themeColor="text1"/>
          <w:u w:val="single"/>
          <w:lang w:eastAsia="en-US" w:bidi="en-US"/>
          <w14:textFill>
            <w14:solidFill>
              <w14:schemeClr w14:val="tx1"/>
            </w14:solidFill>
          </w14:textFill>
        </w:rPr>
        <w:t>s-factors</w:t>
      </w:r>
      <w:r>
        <w:rPr>
          <w:rFonts w:eastAsiaTheme="minorEastAsia"/>
          <w:color w:val="000000" w:themeColor="text1"/>
          <w:u w:val="single"/>
          <w:lang w:bidi="en-US"/>
          <w14:textFill>
            <w14:solidFill>
              <w14:schemeClr w14:val="tx1"/>
            </w14:solidFill>
          </w14:textFill>
        </w:rPr>
        <w:t>.</w:t>
      </w:r>
    </w:p>
    <w:p w14:paraId="06CC9265">
      <w:pPr>
        <w:ind w:firstLine="480"/>
        <w:rPr>
          <w:color w:val="000000" w:themeColor="text1"/>
          <w14:textFill>
            <w14:solidFill>
              <w14:schemeClr w14:val="tx1"/>
            </w14:solidFill>
          </w14:textFill>
        </w:rPr>
      </w:pPr>
      <w:r>
        <w:rPr>
          <w:color w:val="000000" w:themeColor="text1"/>
          <w:lang w:bidi="en-US"/>
          <w14:textFill>
            <w14:solidFill>
              <w14:schemeClr w14:val="tx1"/>
            </w14:solidFill>
          </w14:textFill>
        </w:rPr>
        <w:t>[2]</w:t>
      </w:r>
      <w:r>
        <w:rPr>
          <w:color w:val="000000" w:themeColor="text1"/>
          <w:lang w:eastAsia="en-US" w:bidi="en-US"/>
          <w14:textFill>
            <w14:solidFill>
              <w14:schemeClr w14:val="tx1"/>
            </w14:solidFill>
          </w14:textFill>
        </w:rPr>
        <w:t>R.Pleckaitiene，K.Buinevicius，E.Puida，Analysis</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of</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solid</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phase</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nitrogen</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conversion</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process</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to</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gaseous</w:t>
      </w:r>
      <w:r>
        <w:rPr>
          <w:rFonts w:eastAsiaTheme="minorEastAsia"/>
          <w:color w:val="000000" w:themeColor="text1"/>
          <w:lang w:bidi="en-US"/>
          <w14:textFill>
            <w14:solidFill>
              <w14:schemeClr w14:val="tx1"/>
            </w14:solidFill>
          </w14:textFill>
        </w:rPr>
        <w:t xml:space="preserve"> </w:t>
      </w:r>
      <w:r>
        <w:rPr>
          <w:color w:val="000000" w:themeColor="text1"/>
          <w:lang w:eastAsia="en-US" w:bidi="en-US"/>
          <w14:textFill>
            <w14:solidFill>
              <w14:schemeClr w14:val="tx1"/>
            </w14:solidFill>
          </w14:textFill>
        </w:rPr>
        <w:t>oxides.</w:t>
      </w:r>
      <w:r>
        <w:rPr>
          <w:i/>
          <w:iCs/>
          <w:color w:val="000000" w:themeColor="text1"/>
          <w:lang w:eastAsia="en-US" w:bidi="en-US"/>
          <w14:textFill>
            <w14:solidFill>
              <w14:schemeClr w14:val="tx1"/>
            </w14:solidFill>
          </w14:textFill>
        </w:rPr>
        <w:t>Mechanika</w:t>
      </w:r>
      <w:r>
        <w:rPr>
          <w:color w:val="000000" w:themeColor="text1"/>
          <w:lang w:eastAsia="en-US" w:bidi="en-US"/>
          <w14:textFill>
            <w14:solidFill>
              <w14:schemeClr w14:val="tx1"/>
            </w14:solidFill>
          </w14:textFill>
        </w:rPr>
        <w:t>，</w:t>
      </w:r>
      <w:r>
        <w:rPr>
          <w:b/>
          <w:bCs/>
          <w:color w:val="000000" w:themeColor="text1"/>
          <w:lang w:eastAsia="en-US" w:bidi="en-US"/>
          <w14:textFill>
            <w14:solidFill>
              <w14:schemeClr w14:val="tx1"/>
            </w14:solidFill>
          </w14:textFill>
        </w:rPr>
        <w:t>19</w:t>
      </w:r>
      <w:r>
        <w:rPr>
          <w:color w:val="000000" w:themeColor="text1"/>
          <w:lang w:eastAsia="en-US" w:bidi="en-US"/>
          <w14:textFill>
            <w14:solidFill>
              <w14:schemeClr w14:val="tx1"/>
            </w14:solidFill>
          </w14:textFill>
        </w:rPr>
        <w:t>(5)，531-538(2013)。</w:t>
      </w:r>
    </w:p>
    <w:p w14:paraId="3B3D8C58">
      <w:pPr>
        <w:ind w:firstLine="482"/>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8、二噁英</w:t>
      </w:r>
    </w:p>
    <w:p w14:paraId="181431B4">
      <w:pPr>
        <w:ind w:firstLine="480"/>
        <w:rPr>
          <w:color w:val="000000" w:themeColor="text1"/>
          <w14:textFill>
            <w14:solidFill>
              <w14:schemeClr w14:val="tx1"/>
            </w14:solidFill>
          </w14:textFill>
        </w:rPr>
      </w:pPr>
      <w:r>
        <w:rPr>
          <w:color w:val="000000" w:themeColor="text1"/>
          <w14:textFill>
            <w14:solidFill>
              <w14:schemeClr w14:val="tx1"/>
            </w14:solidFill>
          </w14:textFill>
        </w:rPr>
        <w:t>二噁英类化合物是指能与芳香烃受体</w:t>
      </w:r>
      <w:r>
        <w:rPr>
          <w:rFonts w:eastAsia="Times New Roman"/>
          <w:color w:val="000000" w:themeColor="text1"/>
          <w:lang w:bidi="en-US"/>
          <w14:textFill>
            <w14:solidFill>
              <w14:schemeClr w14:val="tx1"/>
            </w14:solidFill>
          </w14:textFill>
        </w:rPr>
        <w:t>Ah-R</w:t>
      </w:r>
      <w:r>
        <w:rPr>
          <w:color w:val="000000" w:themeColor="text1"/>
          <w14:textFill>
            <w14:solidFill>
              <w14:schemeClr w14:val="tx1"/>
            </w14:solidFill>
          </w14:textFill>
        </w:rPr>
        <w:t>结合并能导致一系列生物化学效应的一大类化合物的总称，主要包括</w:t>
      </w:r>
      <w:r>
        <w:rPr>
          <w:rFonts w:eastAsia="Times New Roman"/>
          <w:color w:val="000000" w:themeColor="text1"/>
          <w14:textFill>
            <w14:solidFill>
              <w14:schemeClr w14:val="tx1"/>
            </w14:solidFill>
          </w14:textFill>
        </w:rPr>
        <w:t>75</w:t>
      </w:r>
      <w:r>
        <w:rPr>
          <w:color w:val="000000" w:themeColor="text1"/>
          <w14:textFill>
            <w14:solidFill>
              <w14:schemeClr w14:val="tx1"/>
            </w14:solidFill>
          </w14:textFill>
        </w:rPr>
        <w:t>种多氯代二苯并</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对</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二噁英</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PCDDs</w:t>
      </w:r>
      <w:r>
        <w:rPr>
          <w:color w:val="000000" w:themeColor="text1"/>
          <w:lang w:bidi="en-US"/>
          <w14:textFill>
            <w14:solidFill>
              <w14:schemeClr w14:val="tx1"/>
            </w14:solidFill>
          </w14:textFill>
        </w:rPr>
        <w:t>）</w:t>
      </w:r>
      <w:r>
        <w:rPr>
          <w:color w:val="000000" w:themeColor="text1"/>
          <w14:textFill>
            <w14:solidFill>
              <w14:schemeClr w14:val="tx1"/>
            </w14:solidFill>
          </w14:textFill>
        </w:rPr>
        <w:t>和</w:t>
      </w:r>
      <w:r>
        <w:rPr>
          <w:rFonts w:eastAsia="Times New Roman"/>
          <w:color w:val="000000" w:themeColor="text1"/>
          <w14:textFill>
            <w14:solidFill>
              <w14:schemeClr w14:val="tx1"/>
            </w14:solidFill>
          </w14:textFill>
        </w:rPr>
        <w:t>135</w:t>
      </w:r>
      <w:r>
        <w:rPr>
          <w:color w:val="000000" w:themeColor="text1"/>
          <w14:textFill>
            <w14:solidFill>
              <w14:schemeClr w14:val="tx1"/>
            </w14:solidFill>
          </w14:textFill>
        </w:rPr>
        <w:t>种多氯代二苯并呋喃</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PCDFs</w:t>
      </w:r>
      <w:r>
        <w:rPr>
          <w:color w:val="000000" w:themeColor="text1"/>
          <w:lang w:bidi="en-US"/>
          <w14:textFill>
            <w14:solidFill>
              <w14:schemeClr w14:val="tx1"/>
            </w14:solidFill>
          </w14:textFill>
        </w:rPr>
        <w:t>），</w:t>
      </w:r>
      <w:r>
        <w:rPr>
          <w:color w:val="000000" w:themeColor="text1"/>
          <w14:textFill>
            <w14:solidFill>
              <w14:schemeClr w14:val="tx1"/>
            </w14:solidFill>
          </w14:textFill>
        </w:rPr>
        <w:t>此外还包括多氯联苯</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PCBs</w:t>
      </w:r>
      <w:r>
        <w:rPr>
          <w:color w:val="000000" w:themeColor="text1"/>
          <w:lang w:bidi="en-US"/>
          <w14:textFill>
            <w14:solidFill>
              <w14:schemeClr w14:val="tx1"/>
            </w14:solidFill>
          </w14:textFill>
        </w:rPr>
        <w:t>）</w:t>
      </w:r>
      <w:r>
        <w:rPr>
          <w:color w:val="000000" w:themeColor="text1"/>
          <w14:textFill>
            <w14:solidFill>
              <w14:schemeClr w14:val="tx1"/>
            </w14:solidFill>
          </w14:textFill>
        </w:rPr>
        <w:t>和氯代二苯醚等。目前已知所有二噁英类化合物中，毒性最为明显的是</w:t>
      </w:r>
      <w:r>
        <w:rPr>
          <w:rFonts w:eastAsia="Times New Roman"/>
          <w:color w:val="000000" w:themeColor="text1"/>
          <w14:textFill>
            <w14:solidFill>
              <w14:schemeClr w14:val="tx1"/>
            </w14:solidFill>
          </w14:textFill>
        </w:rPr>
        <w:t>7</w:t>
      </w:r>
      <w:r>
        <w:rPr>
          <w:color w:val="000000" w:themeColor="text1"/>
          <w14:textFill>
            <w14:solidFill>
              <w14:schemeClr w14:val="tx1"/>
            </w14:solidFill>
          </w14:textFill>
        </w:rPr>
        <w:t>种</w:t>
      </w:r>
      <w:r>
        <w:rPr>
          <w:rFonts w:eastAsia="Times New Roman"/>
          <w:color w:val="000000" w:themeColor="text1"/>
          <w:lang w:bidi="en-US"/>
          <w14:textFill>
            <w14:solidFill>
              <w14:schemeClr w14:val="tx1"/>
            </w14:solidFill>
          </w14:textFill>
        </w:rPr>
        <w:t>PCDDs</w:t>
      </w:r>
      <w:r>
        <w:rPr>
          <w:color w:val="000000" w:themeColor="text1"/>
          <w:lang w:bidi="en-US"/>
          <w14:textFill>
            <w14:solidFill>
              <w14:schemeClr w14:val="tx1"/>
            </w14:solidFill>
          </w14:textFill>
        </w:rPr>
        <w:t>，</w:t>
      </w:r>
      <w:r>
        <w:rPr>
          <w:rFonts w:eastAsia="Times New Roman"/>
          <w:color w:val="000000" w:themeColor="text1"/>
          <w14:textFill>
            <w14:solidFill>
              <w14:schemeClr w14:val="tx1"/>
            </w14:solidFill>
          </w14:textFill>
        </w:rPr>
        <w:t>10</w:t>
      </w:r>
      <w:r>
        <w:rPr>
          <w:color w:val="000000" w:themeColor="text1"/>
          <w14:textFill>
            <w14:solidFill>
              <w14:schemeClr w14:val="tx1"/>
            </w14:solidFill>
          </w14:textFill>
        </w:rPr>
        <w:t>种</w:t>
      </w:r>
      <w:r>
        <w:rPr>
          <w:rFonts w:eastAsia="Times New Roman"/>
          <w:color w:val="000000" w:themeColor="text1"/>
          <w:lang w:bidi="en-US"/>
          <w14:textFill>
            <w14:solidFill>
              <w14:schemeClr w14:val="tx1"/>
            </w14:solidFill>
          </w14:textFill>
        </w:rPr>
        <w:t>PCDFs</w:t>
      </w:r>
      <w:r>
        <w:rPr>
          <w:color w:val="000000" w:themeColor="text1"/>
          <w14:textFill>
            <w14:solidFill>
              <w14:schemeClr w14:val="tx1"/>
            </w14:solidFill>
          </w14:textFill>
        </w:rPr>
        <w:t>和</w:t>
      </w:r>
      <w:r>
        <w:rPr>
          <w:rFonts w:eastAsia="Times New Roman"/>
          <w:color w:val="000000" w:themeColor="text1"/>
          <w14:textFill>
            <w14:solidFill>
              <w14:schemeClr w14:val="tx1"/>
            </w14:solidFill>
          </w14:textFill>
        </w:rPr>
        <w:t>12</w:t>
      </w:r>
      <w:r>
        <w:rPr>
          <w:color w:val="000000" w:themeColor="text1"/>
          <w14:textFill>
            <w14:solidFill>
              <w14:schemeClr w14:val="tx1"/>
            </w14:solidFill>
          </w14:textFill>
        </w:rPr>
        <w:t>种</w:t>
      </w:r>
      <w:r>
        <w:rPr>
          <w:rFonts w:eastAsia="Times New Roman"/>
          <w:color w:val="000000" w:themeColor="text1"/>
          <w:lang w:bidi="en-US"/>
          <w14:textFill>
            <w14:solidFill>
              <w14:schemeClr w14:val="tx1"/>
            </w14:solidFill>
          </w14:textFill>
        </w:rPr>
        <w:t>PCBs</w:t>
      </w:r>
      <w:r>
        <w:rPr>
          <w:color w:val="000000" w:themeColor="text1"/>
          <w:lang w:bidi="en-US"/>
          <w14:textFill>
            <w14:solidFill>
              <w14:schemeClr w14:val="tx1"/>
            </w14:solidFill>
          </w14:textFill>
        </w:rPr>
        <w:t>，</w:t>
      </w:r>
      <w:r>
        <w:rPr>
          <w:color w:val="000000" w:themeColor="text1"/>
          <w14:textFill>
            <w14:solidFill>
              <w14:schemeClr w14:val="tx1"/>
            </w14:solidFill>
          </w14:textFill>
        </w:rPr>
        <w:t>其中以</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7</w:t>
      </w:r>
      <w:r>
        <w:rPr>
          <w:color w:val="000000" w:themeColor="text1"/>
          <w14:textFill>
            <w14:solidFill>
              <w14:schemeClr w14:val="tx1"/>
            </w14:solidFill>
          </w14:textFill>
        </w:rPr>
        <w:t>，</w:t>
      </w:r>
      <w:r>
        <w:rPr>
          <w:rFonts w:eastAsia="Times New Roman"/>
          <w:color w:val="000000" w:themeColor="text1"/>
          <w:lang w:bidi="en-US"/>
          <w14:textFill>
            <w14:solidFill>
              <w14:schemeClr w14:val="tx1"/>
            </w14:solidFill>
          </w14:textFill>
        </w:rPr>
        <w:t>8-TCDD</w:t>
      </w:r>
      <w:r>
        <w:rPr>
          <w:color w:val="000000" w:themeColor="text1"/>
          <w14:textFill>
            <w14:solidFill>
              <w14:schemeClr w14:val="tx1"/>
            </w14:solidFill>
          </w14:textFill>
        </w:rPr>
        <w:t>的毒性最大。</w:t>
      </w:r>
    </w:p>
    <w:p w14:paraId="59C37E5C">
      <w:pPr>
        <w:ind w:firstLine="480"/>
        <w:rPr>
          <w:color w:val="000000" w:themeColor="text1"/>
          <w14:textFill>
            <w14:solidFill>
              <w14:schemeClr w14:val="tx1"/>
            </w14:solidFill>
          </w14:textFill>
        </w:rPr>
      </w:pPr>
      <w:r>
        <w:rPr>
          <w:color w:val="000000" w:themeColor="text1"/>
          <w14:textFill>
            <w14:solidFill>
              <w14:schemeClr w14:val="tx1"/>
            </w14:solidFill>
          </w14:textFill>
        </w:rPr>
        <w:t>在焚烧过程中二噁英及呋喃类物质产生主要来自三方面:废物本身成份、炉内形成、炉外低温再合成。</w:t>
      </w:r>
    </w:p>
    <w:p w14:paraId="3BD38390">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a.</w:t>
      </w:r>
      <w:r>
        <w:rPr>
          <w:color w:val="000000" w:themeColor="text1"/>
          <w14:textFill>
            <w14:solidFill>
              <w14:schemeClr w14:val="tx1"/>
            </w14:solidFill>
          </w14:textFill>
        </w:rPr>
        <w:t>废物本身成份：本项目热解的废盐，由于种类繁多、成份复杂，可能含有</w:t>
      </w:r>
      <w:r>
        <w:rPr>
          <w:rFonts w:eastAsia="Times New Roman"/>
          <w:color w:val="000000" w:themeColor="text1"/>
          <w:lang w:bidi="en-US"/>
          <w14:textFill>
            <w14:solidFill>
              <w14:schemeClr w14:val="tx1"/>
            </w14:solidFill>
          </w14:textFill>
        </w:rPr>
        <w:t>PCDDs/PCDFs</w:t>
      </w:r>
      <w:r>
        <w:rPr>
          <w:color w:val="000000" w:themeColor="text1"/>
          <w:lang w:bidi="en-US"/>
          <w14:textFill>
            <w14:solidFill>
              <w14:schemeClr w14:val="tx1"/>
            </w14:solidFill>
          </w14:textFill>
        </w:rPr>
        <w:t>，</w:t>
      </w:r>
      <w:r>
        <w:rPr>
          <w:color w:val="000000" w:themeColor="text1"/>
          <w14:textFill>
            <w14:solidFill>
              <w14:schemeClr w14:val="tx1"/>
            </w14:solidFill>
          </w14:textFill>
        </w:rPr>
        <w:t>由于</w:t>
      </w:r>
      <w:r>
        <w:rPr>
          <w:rFonts w:eastAsia="Times New Roman"/>
          <w:color w:val="000000" w:themeColor="text1"/>
          <w:lang w:bidi="en-US"/>
          <w14:textFill>
            <w14:solidFill>
              <w14:schemeClr w14:val="tx1"/>
            </w14:solidFill>
          </w14:textFill>
        </w:rPr>
        <w:t>PCDDs/PCDFs</w:t>
      </w:r>
      <w:r>
        <w:rPr>
          <w:color w:val="000000" w:themeColor="text1"/>
          <w14:textFill>
            <w14:solidFill>
              <w14:schemeClr w14:val="tx1"/>
            </w14:solidFill>
          </w14:textFill>
        </w:rPr>
        <w:t>的破坏分解温度并不高（</w:t>
      </w:r>
      <w:r>
        <w:rPr>
          <w:rFonts w:eastAsia="Times New Roman"/>
          <w:color w:val="000000" w:themeColor="text1"/>
          <w14:textFill>
            <w14:solidFill>
              <w14:schemeClr w14:val="tx1"/>
            </w14:solidFill>
          </w14:textFill>
        </w:rPr>
        <w:t>750~800℃</w:t>
      </w:r>
      <w:r>
        <w:rPr>
          <w:color w:val="000000" w:themeColor="text1"/>
          <w14:textFill>
            <w14:solidFill>
              <w14:schemeClr w14:val="tx1"/>
            </w14:solidFill>
          </w14:textFill>
        </w:rPr>
        <w:t>），若能保持良好的燃烧状况，由废盐本身所夹带的</w:t>
      </w:r>
      <w:r>
        <w:rPr>
          <w:rFonts w:eastAsia="Times New Roman"/>
          <w:color w:val="000000" w:themeColor="text1"/>
          <w:lang w:bidi="en-US"/>
          <w14:textFill>
            <w14:solidFill>
              <w14:schemeClr w14:val="tx1"/>
            </w14:solidFill>
          </w14:textFill>
        </w:rPr>
        <w:t>PCDDs/PCDFs</w:t>
      </w:r>
      <w:r>
        <w:rPr>
          <w:color w:val="000000" w:themeColor="text1"/>
          <w14:textFill>
            <w14:solidFill>
              <w14:schemeClr w14:val="tx1"/>
            </w14:solidFill>
          </w14:textFill>
        </w:rPr>
        <w:t>物质，经焚烧后大部分应已破坏分解。</w:t>
      </w:r>
    </w:p>
    <w:p w14:paraId="3C6AF39E">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b.</w:t>
      </w:r>
      <w:r>
        <w:rPr>
          <w:color w:val="000000" w:themeColor="text1"/>
          <w14:textFill>
            <w14:solidFill>
              <w14:schemeClr w14:val="tx1"/>
            </w14:solidFill>
          </w14:textFill>
        </w:rPr>
        <w:t>炉内形成：废盐化学成分中</w:t>
      </w: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O</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S</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Cl</w:t>
      </w:r>
      <w:r>
        <w:rPr>
          <w:color w:val="000000" w:themeColor="text1"/>
          <w14:textFill>
            <w14:solidFill>
              <w14:schemeClr w14:val="tx1"/>
            </w14:solidFill>
          </w14:textFill>
        </w:rPr>
        <w:t>等元素，在焚烧过程中可能先形成部分不完全燃烧的碳氢化合物</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w:t>
      </w:r>
      <w:r>
        <w:rPr>
          <w:rFonts w:eastAsia="Times New Roman"/>
          <w:color w:val="000000" w:themeColor="text1"/>
          <w:sz w:val="15"/>
          <w:szCs w:val="15"/>
          <w:lang w:bidi="en-US"/>
          <w14:textFill>
            <w14:solidFill>
              <w14:schemeClr w14:val="tx1"/>
            </w14:solidFill>
          </w14:textFill>
        </w:rPr>
        <w:t>x</w:t>
      </w:r>
      <w:r>
        <w:rPr>
          <w:rFonts w:eastAsia="Times New Roman"/>
          <w:color w:val="000000" w:themeColor="text1"/>
          <w:lang w:bidi="en-US"/>
          <w14:textFill>
            <w14:solidFill>
              <w14:schemeClr w14:val="tx1"/>
            </w14:solidFill>
          </w14:textFill>
        </w:rPr>
        <w:t>H</w:t>
      </w:r>
      <w:r>
        <w:rPr>
          <w:rFonts w:eastAsia="Times New Roman"/>
          <w:color w:val="000000" w:themeColor="text1"/>
          <w:sz w:val="15"/>
          <w:szCs w:val="15"/>
          <w:lang w:bidi="en-US"/>
          <w14:textFill>
            <w14:solidFill>
              <w14:schemeClr w14:val="tx1"/>
            </w14:solidFill>
          </w14:textFill>
        </w:rPr>
        <w:t>y</w:t>
      </w:r>
      <w:r>
        <w:rPr>
          <w:color w:val="000000" w:themeColor="text1"/>
          <w:lang w:bidi="en-US"/>
          <w14:textFill>
            <w14:solidFill>
              <w14:schemeClr w14:val="tx1"/>
            </w14:solidFill>
          </w14:textFill>
        </w:rPr>
        <w:t>），</w:t>
      </w:r>
      <w:r>
        <w:rPr>
          <w:color w:val="000000" w:themeColor="text1"/>
          <w14:textFill>
            <w14:solidFill>
              <w14:schemeClr w14:val="tx1"/>
            </w14:solidFill>
          </w14:textFill>
        </w:rPr>
        <w:t>当</w:t>
      </w:r>
      <w:r>
        <w:rPr>
          <w:rFonts w:eastAsia="Times New Roman"/>
          <w:color w:val="000000" w:themeColor="text1"/>
          <w:lang w:bidi="en-US"/>
          <w14:textFill>
            <w14:solidFill>
              <w14:schemeClr w14:val="tx1"/>
            </w14:solidFill>
          </w14:textFill>
        </w:rPr>
        <w:t>C</w:t>
      </w:r>
      <w:r>
        <w:rPr>
          <w:rFonts w:eastAsia="Times New Roman"/>
          <w:color w:val="000000" w:themeColor="text1"/>
          <w:sz w:val="15"/>
          <w:szCs w:val="15"/>
          <w:lang w:bidi="en-US"/>
          <w14:textFill>
            <w14:solidFill>
              <w14:schemeClr w14:val="tx1"/>
            </w14:solidFill>
          </w14:textFill>
        </w:rPr>
        <w:t>x</w:t>
      </w:r>
      <w:r>
        <w:rPr>
          <w:rFonts w:eastAsia="Times New Roman"/>
          <w:color w:val="000000" w:themeColor="text1"/>
          <w:lang w:bidi="en-US"/>
          <w14:textFill>
            <w14:solidFill>
              <w14:schemeClr w14:val="tx1"/>
            </w14:solidFill>
          </w14:textFill>
        </w:rPr>
        <w:t>H</w:t>
      </w:r>
      <w:r>
        <w:rPr>
          <w:rFonts w:eastAsia="Times New Roman"/>
          <w:color w:val="000000" w:themeColor="text1"/>
          <w:sz w:val="15"/>
          <w:szCs w:val="15"/>
          <w:lang w:bidi="en-US"/>
          <w14:textFill>
            <w14:solidFill>
              <w14:schemeClr w14:val="tx1"/>
            </w14:solidFill>
          </w14:textFill>
        </w:rPr>
        <w:t>y</w:t>
      </w:r>
      <w:r>
        <w:rPr>
          <w:color w:val="000000" w:themeColor="text1"/>
          <w14:textFill>
            <w14:solidFill>
              <w14:schemeClr w14:val="tx1"/>
            </w14:solidFill>
          </w14:textFill>
        </w:rPr>
        <w:t>因炉内燃烧状况不良（如氧气不足，缺乏充分混合及炉温太低等因素）而未及时分解为</w:t>
      </w:r>
      <w:r>
        <w:rPr>
          <w:rFonts w:eastAsia="Times New Roman"/>
          <w:color w:val="000000" w:themeColor="text1"/>
          <w:lang w:bidi="en-US"/>
          <w14:textFill>
            <w14:solidFill>
              <w14:schemeClr w14:val="tx1"/>
            </w14:solidFill>
          </w14:textFill>
        </w:rPr>
        <w:t>CO</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和</w:t>
      </w:r>
      <w:r>
        <w:rPr>
          <w:rFonts w:eastAsia="Times New Roman"/>
          <w:color w:val="000000" w:themeColor="text1"/>
          <w:lang w:bidi="en-US"/>
          <w14:textFill>
            <w14:solidFill>
              <w14:schemeClr w14:val="tx1"/>
            </w14:solidFill>
          </w14:textFill>
        </w:rPr>
        <w:t>H</w:t>
      </w:r>
      <w:r>
        <w:rPr>
          <w:rFonts w:eastAsia="Times New Roman"/>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O</w:t>
      </w:r>
      <w:r>
        <w:rPr>
          <w:color w:val="000000" w:themeColor="text1"/>
          <w14:textFill>
            <w14:solidFill>
              <w14:schemeClr w14:val="tx1"/>
            </w14:solidFill>
          </w14:textFill>
        </w:rPr>
        <w:t>时，可能与废物中的氯化物结合形成二噁英、氯苯及氯酚等物质。其中氯苯及氯酚的破坏分解温度高出约</w:t>
      </w:r>
      <w:r>
        <w:rPr>
          <w:rFonts w:eastAsia="Times New Roman"/>
          <w:color w:val="000000" w:themeColor="text1"/>
          <w14:textFill>
            <w14:solidFill>
              <w14:schemeClr w14:val="tx1"/>
            </w14:solidFill>
          </w14:textFill>
        </w:rPr>
        <w:t>100℃</w:t>
      </w:r>
      <w:r>
        <w:rPr>
          <w:color w:val="000000" w:themeColor="text1"/>
          <w14:textFill>
            <w14:solidFill>
              <w14:schemeClr w14:val="tx1"/>
            </w14:solidFill>
          </w14:textFill>
        </w:rPr>
        <w:t>左右，如炉内燃烧状况不良，尤其在二次燃烧段内混合程度不够或停留时间太短，更不易将其除去，因此可能成为炉外低温合成二噁英的前驱物质。</w:t>
      </w:r>
    </w:p>
    <w:p w14:paraId="6E10D919">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w:t>
      </w:r>
      <w:r>
        <w:rPr>
          <w:color w:val="000000" w:themeColor="text1"/>
          <w14:textFill>
            <w14:solidFill>
              <w14:schemeClr w14:val="tx1"/>
            </w14:solidFill>
          </w14:textFill>
        </w:rPr>
        <w:t>炉外低温再合成：由于完全燃烧并不容易达成，氯苯及氯酚等前驱物质随废气自燃烧室排出后，可能被废气中的碳元素所吸附，并在特定的温度范围（</w:t>
      </w:r>
      <w:r>
        <w:rPr>
          <w:rFonts w:eastAsia="Times New Roman"/>
          <w:color w:val="000000" w:themeColor="text1"/>
          <w14:textFill>
            <w14:solidFill>
              <w14:schemeClr w14:val="tx1"/>
            </w14:solidFill>
          </w14:textFill>
        </w:rPr>
        <w:t>250</w:t>
      </w:r>
      <w:r>
        <w:rPr>
          <w:rFonts w:eastAsia="Arial Unicode MS"/>
          <w:color w:val="000000" w:themeColor="text1"/>
          <w:sz w:val="20"/>
          <w:szCs w:val="20"/>
          <w14:textFill>
            <w14:solidFill>
              <w14:schemeClr w14:val="tx1"/>
            </w14:solidFill>
          </w14:textFill>
        </w:rPr>
        <w:t>〜</w:t>
      </w:r>
      <w:r>
        <w:rPr>
          <w:rFonts w:eastAsia="Times New Roman"/>
          <w:color w:val="000000" w:themeColor="text1"/>
          <w14:textFill>
            <w14:solidFill>
              <w14:schemeClr w14:val="tx1"/>
            </w14:solidFill>
          </w14:textFill>
        </w:rPr>
        <w:t>400℃</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300℃</w:t>
      </w:r>
      <w:r>
        <w:rPr>
          <w:color w:val="000000" w:themeColor="text1"/>
          <w14:textFill>
            <w14:solidFill>
              <w14:schemeClr w14:val="tx1"/>
            </w14:solidFill>
          </w14:textFill>
        </w:rPr>
        <w:t>时最显著），在灰份颗粒所构成的活性接触面上，被金属氯化物催化反应生成二噁英。此种再合成反应的发生，除了需具备前述的特定温度范围内由飞灰所提供的碳元素（飞灰中碳的气化率越高，二噁英类的生成量越大）、催化物质、活性接触面及前驱物质外，废气中充分的氧含量、重金属、水份含量也是再合成的重要角色。</w:t>
      </w:r>
    </w:p>
    <w:p w14:paraId="1765991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本项目与江苏江淮环保科技有限公司配伍条件一致，二燃室、急冷塔等环节控制条件一致，具有可类比性。江苏江淮环保科技有限公司</w:t>
      </w:r>
      <w:r>
        <w:rPr>
          <w:rFonts w:eastAsia="Times New Roman"/>
          <w:color w:val="000000" w:themeColor="text1"/>
          <w14:textFill>
            <w14:solidFill>
              <w14:schemeClr w14:val="tx1"/>
            </w14:solidFill>
          </w14:textFill>
        </w:rPr>
        <w:t>2023</w:t>
      </w:r>
      <w:r>
        <w:rPr>
          <w:color w:val="000000" w:themeColor="text1"/>
          <w14:textFill>
            <w14:solidFill>
              <w14:schemeClr w14:val="tx1"/>
            </w14:solidFill>
          </w14:textFill>
        </w:rPr>
        <w:t>年四季度例行监测数据，二噁英浓度为</w:t>
      </w:r>
      <w:r>
        <w:rPr>
          <w:rFonts w:eastAsia="Times New Roman"/>
          <w:color w:val="000000" w:themeColor="text1"/>
          <w:lang w:bidi="en-US"/>
          <w14:textFill>
            <w14:solidFill>
              <w14:schemeClr w14:val="tx1"/>
            </w14:solidFill>
          </w14:textFill>
        </w:rPr>
        <w:t>0.014~0.020ngTEQ/Nm³</w:t>
      </w:r>
      <w:r>
        <w:rPr>
          <w:color w:val="000000" w:themeColor="text1"/>
          <w:lang w:bidi="en-US"/>
          <w14:textFill>
            <w14:solidFill>
              <w14:schemeClr w14:val="tx1"/>
            </w14:solidFill>
          </w14:textFill>
        </w:rPr>
        <w:t>，</w:t>
      </w:r>
      <w:r>
        <w:rPr>
          <w:color w:val="000000" w:themeColor="text1"/>
          <w14:textFill>
            <w14:solidFill>
              <w14:schemeClr w14:val="tx1"/>
            </w14:solidFill>
          </w14:textFill>
        </w:rPr>
        <w:t>保守起见，本项目烟气出口二噁英排放浓度类比该项目最大值，即</w:t>
      </w:r>
      <w:r>
        <w:rPr>
          <w:rFonts w:eastAsia="Times New Roman"/>
          <w:color w:val="000000" w:themeColor="text1"/>
          <w:lang w:bidi="en-US"/>
          <w14:textFill>
            <w14:solidFill>
              <w14:schemeClr w14:val="tx1"/>
            </w14:solidFill>
          </w14:textFill>
        </w:rPr>
        <w:t>0.02ngTEQ/Nm³</w:t>
      </w:r>
      <w:r>
        <w:rPr>
          <w:color w:val="000000" w:themeColor="text1"/>
          <w:lang w:bidi="en-US"/>
          <w14:textFill>
            <w14:solidFill>
              <w14:schemeClr w14:val="tx1"/>
            </w14:solidFill>
          </w14:textFill>
        </w:rPr>
        <w:t>。</w:t>
      </w:r>
    </w:p>
    <w:p w14:paraId="178FE0E1">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9、重金属类</w:t>
      </w:r>
    </w:p>
    <w:p w14:paraId="15F77608">
      <w:pPr>
        <w:ind w:firstLine="480"/>
        <w:rPr>
          <w:color w:val="000000" w:themeColor="text1"/>
          <w14:textFill>
            <w14:solidFill>
              <w14:schemeClr w14:val="tx1"/>
            </w14:solidFill>
          </w14:textFill>
        </w:rPr>
      </w:pPr>
      <w:r>
        <w:rPr>
          <w:color w:val="000000" w:themeColor="text1"/>
          <w14:textFill>
            <w14:solidFill>
              <w14:schemeClr w14:val="tx1"/>
            </w14:solidFill>
          </w14:textFill>
        </w:rPr>
        <w:t>关于处理过程中重金属的转化和不同终端形态的比率分配，通过参照</w:t>
      </w:r>
      <w:r>
        <w:rPr>
          <w:rFonts w:eastAsia="Times New Roman"/>
          <w:color w:val="000000" w:themeColor="text1"/>
          <w:lang w:bidi="en-US"/>
          <w14:textFill>
            <w14:solidFill>
              <w14:schemeClr w14:val="tx1"/>
            </w14:solidFill>
          </w14:textFill>
        </w:rPr>
        <w:t>Gerstle</w:t>
      </w:r>
      <w:r>
        <w:rPr>
          <w:color w:val="000000" w:themeColor="text1"/>
          <w14:textFill>
            <w14:solidFill>
              <w14:schemeClr w14:val="tx1"/>
            </w14:solidFill>
          </w14:textFill>
        </w:rPr>
        <w:t>和</w:t>
      </w:r>
      <w:r>
        <w:rPr>
          <w:rFonts w:eastAsia="Times New Roman"/>
          <w:color w:val="000000" w:themeColor="text1"/>
          <w:lang w:bidi="en-US"/>
          <w14:textFill>
            <w14:solidFill>
              <w14:schemeClr w14:val="tx1"/>
            </w14:solidFill>
          </w14:textFill>
        </w:rPr>
        <w:t>Albrinik(1982)</w:t>
      </w:r>
      <w:r>
        <w:rPr>
          <w:color w:val="000000" w:themeColor="text1"/>
          <w14:textFill>
            <w14:solidFill>
              <w14:schemeClr w14:val="tx1"/>
            </w14:solidFill>
          </w14:textFill>
        </w:rPr>
        <w:t>针对污泥焚烧行业的文献综述中的分析结论，其中的数据代表的温度范围为</w:t>
      </w:r>
      <w:r>
        <w:rPr>
          <w:rFonts w:eastAsia="Times New Roman"/>
          <w:color w:val="000000" w:themeColor="text1"/>
          <w14:textFill>
            <w14:solidFill>
              <w14:schemeClr w14:val="tx1"/>
            </w14:solidFill>
          </w14:textFill>
        </w:rPr>
        <w:t>700~980</w:t>
      </w:r>
      <w:r>
        <w:rPr>
          <w:color w:val="000000" w:themeColor="text1"/>
          <w14:textFill>
            <w14:solidFill>
              <w14:schemeClr w14:val="tx1"/>
            </w14:solidFill>
          </w14:textFill>
        </w:rPr>
        <w:t>℃。虽然二者给料形态和所用处理方式不同，但主反应器出口都是氧化性气氛，且温度区域相近，因而其结论和数据具有很高的参考价值。该综述根据</w:t>
      </w:r>
      <w:r>
        <w:rPr>
          <w:rFonts w:eastAsia="Times New Roman"/>
          <w:color w:val="000000" w:themeColor="text1"/>
          <w14:textFill>
            <w14:solidFill>
              <w14:schemeClr w14:val="tx1"/>
            </w14:solidFill>
          </w14:textFill>
        </w:rPr>
        <w:t>15</w:t>
      </w:r>
      <w:r>
        <w:rPr>
          <w:color w:val="000000" w:themeColor="text1"/>
          <w14:textFill>
            <w14:solidFill>
              <w14:schemeClr w14:val="tx1"/>
            </w14:solidFill>
          </w14:textFill>
        </w:rPr>
        <w:t>种金属元素及典型化合物</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氧化物、氯化物</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的蒸气分压，将它们分为“挥发”、“不挥发”和“中等”三个类别，见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5177D81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若干金属元素及化合物的挥发性分类(饱和蒸气分压  单位：</w:t>
      </w:r>
      <w:r>
        <w:rPr>
          <w:rFonts w:ascii="Times New Roman" w:hAnsi="Times New Roman" w:cs="Times New Roman"/>
          <w:color w:val="000000" w:themeColor="text1"/>
          <w:lang w:bidi="en-US"/>
          <w14:textFill>
            <w14:solidFill>
              <w14:schemeClr w14:val="tx1"/>
            </w14:solidFill>
          </w14:textFill>
        </w:rPr>
        <w:t>mmHg)</w:t>
      </w:r>
    </w:p>
    <w:tbl>
      <w:tblPr>
        <w:tblStyle w:val="76"/>
        <w:tblW w:w="0" w:type="auto"/>
        <w:jc w:val="center"/>
        <w:tblLayout w:type="fixed"/>
        <w:tblCellMar>
          <w:top w:w="0" w:type="dxa"/>
          <w:left w:w="10" w:type="dxa"/>
          <w:bottom w:w="0" w:type="dxa"/>
          <w:right w:w="10" w:type="dxa"/>
        </w:tblCellMar>
      </w:tblPr>
      <w:tblGrid>
        <w:gridCol w:w="1862"/>
        <w:gridCol w:w="2592"/>
        <w:gridCol w:w="2597"/>
        <w:gridCol w:w="2026"/>
      </w:tblGrid>
      <w:tr w14:paraId="7B2257FE">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7DA9B342">
            <w:pPr>
              <w:pStyle w:val="109"/>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2592" w:type="dxa"/>
            <w:tcBorders>
              <w:top w:val="single" w:color="auto" w:sz="4" w:space="0"/>
              <w:left w:val="single" w:color="auto" w:sz="4" w:space="0"/>
            </w:tcBorders>
            <w:vAlign w:val="center"/>
          </w:tcPr>
          <w:p w14:paraId="724EE11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760</w:t>
            </w:r>
            <w:r>
              <w:rPr>
                <w:color w:val="000000" w:themeColor="text1"/>
                <w14:textFill>
                  <w14:solidFill>
                    <w14:schemeClr w14:val="tx1"/>
                  </w14:solidFill>
                </w14:textFill>
              </w:rPr>
              <w:t>℃蒸气分压</w:t>
            </w:r>
          </w:p>
        </w:tc>
        <w:tc>
          <w:tcPr>
            <w:tcW w:w="2597" w:type="dxa"/>
            <w:tcBorders>
              <w:top w:val="single" w:color="auto" w:sz="4" w:space="0"/>
              <w:left w:val="single" w:color="auto" w:sz="4" w:space="0"/>
            </w:tcBorders>
            <w:vAlign w:val="center"/>
          </w:tcPr>
          <w:p w14:paraId="571D06D7">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980</w:t>
            </w:r>
            <w:r>
              <w:rPr>
                <w:color w:val="000000" w:themeColor="text1"/>
                <w14:textFill>
                  <w14:solidFill>
                    <w14:schemeClr w14:val="tx1"/>
                  </w14:solidFill>
                </w14:textFill>
              </w:rPr>
              <w:t>℃蒸气分压</w:t>
            </w:r>
          </w:p>
        </w:tc>
        <w:tc>
          <w:tcPr>
            <w:tcW w:w="2026" w:type="dxa"/>
            <w:tcBorders>
              <w:top w:val="single" w:color="auto" w:sz="4" w:space="0"/>
              <w:left w:val="single" w:color="auto" w:sz="4" w:space="0"/>
              <w:right w:val="single" w:color="auto" w:sz="4" w:space="0"/>
            </w:tcBorders>
            <w:vAlign w:val="center"/>
          </w:tcPr>
          <w:p w14:paraId="0F9C52D4">
            <w:pPr>
              <w:pStyle w:val="109"/>
              <w:rPr>
                <w:color w:val="000000" w:themeColor="text1"/>
                <w14:textFill>
                  <w14:solidFill>
                    <w14:schemeClr w14:val="tx1"/>
                  </w14:solidFill>
                </w14:textFill>
              </w:rPr>
            </w:pPr>
            <w:r>
              <w:rPr>
                <w:color w:val="000000" w:themeColor="text1"/>
                <w14:textFill>
                  <w14:solidFill>
                    <w14:schemeClr w14:val="tx1"/>
                  </w14:solidFill>
                </w14:textFill>
              </w:rPr>
              <w:t>挥发性类别</w:t>
            </w:r>
          </w:p>
        </w:tc>
      </w:tr>
      <w:tr w14:paraId="50C3DEE6">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6F96A85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As</w:t>
            </w:r>
            <w:r>
              <w:rPr>
                <w:color w:val="000000" w:themeColor="text1"/>
                <w14:textFill>
                  <w14:solidFill>
                    <w14:schemeClr w14:val="tx1"/>
                  </w14:solidFill>
                </w14:textFill>
              </w:rPr>
              <w:t>砷</w:t>
            </w:r>
          </w:p>
        </w:tc>
        <w:tc>
          <w:tcPr>
            <w:tcW w:w="2592" w:type="dxa"/>
            <w:tcBorders>
              <w:top w:val="single" w:color="auto" w:sz="4" w:space="0"/>
              <w:left w:val="single" w:color="auto" w:sz="4" w:space="0"/>
            </w:tcBorders>
            <w:vAlign w:val="center"/>
          </w:tcPr>
          <w:p w14:paraId="01C47E8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1.2E+4</w:t>
            </w:r>
          </w:p>
        </w:tc>
        <w:tc>
          <w:tcPr>
            <w:tcW w:w="2597" w:type="dxa"/>
            <w:tcBorders>
              <w:top w:val="single" w:color="auto" w:sz="4" w:space="0"/>
              <w:left w:val="single" w:color="auto" w:sz="4" w:space="0"/>
            </w:tcBorders>
            <w:vAlign w:val="center"/>
          </w:tcPr>
          <w:p w14:paraId="6A35C23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1.6E+5</w:t>
            </w:r>
          </w:p>
        </w:tc>
        <w:tc>
          <w:tcPr>
            <w:tcW w:w="2026" w:type="dxa"/>
            <w:tcBorders>
              <w:top w:val="single" w:color="auto" w:sz="4" w:space="0"/>
              <w:left w:val="single" w:color="auto" w:sz="4" w:space="0"/>
              <w:right w:val="single" w:color="auto" w:sz="4" w:space="0"/>
            </w:tcBorders>
            <w:vAlign w:val="center"/>
          </w:tcPr>
          <w:p w14:paraId="2B68063B">
            <w:pPr>
              <w:pStyle w:val="109"/>
              <w:rPr>
                <w:color w:val="000000" w:themeColor="text1"/>
                <w14:textFill>
                  <w14:solidFill>
                    <w14:schemeClr w14:val="tx1"/>
                  </w14:solidFill>
                </w14:textFill>
              </w:rPr>
            </w:pPr>
            <w:r>
              <w:rPr>
                <w:color w:val="000000" w:themeColor="text1"/>
                <w14:textFill>
                  <w14:solidFill>
                    <w14:schemeClr w14:val="tx1"/>
                  </w14:solidFill>
                </w14:textFill>
              </w:rPr>
              <w:t>挥发</w:t>
            </w:r>
          </w:p>
        </w:tc>
      </w:tr>
      <w:tr w14:paraId="183DC248">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054AF2C1">
            <w:pPr>
              <w:pStyle w:val="109"/>
              <w:rPr>
                <w:color w:val="000000" w:themeColor="text1"/>
                <w14:textFill>
                  <w14:solidFill>
                    <w14:schemeClr w14:val="tx1"/>
                  </w14:solidFill>
                </w14:textFill>
              </w:rPr>
            </w:pPr>
            <w:r>
              <w:rPr>
                <w:color w:val="000000" w:themeColor="text1"/>
                <w14:textFill>
                  <w14:solidFill>
                    <w14:schemeClr w14:val="tx1"/>
                  </w14:solidFill>
                </w14:textFill>
              </w:rPr>
              <w:t>三氧化二砷</w:t>
            </w:r>
          </w:p>
        </w:tc>
        <w:tc>
          <w:tcPr>
            <w:tcW w:w="2592" w:type="dxa"/>
            <w:tcBorders>
              <w:top w:val="single" w:color="auto" w:sz="4" w:space="0"/>
              <w:left w:val="single" w:color="auto" w:sz="4" w:space="0"/>
            </w:tcBorders>
            <w:vAlign w:val="center"/>
          </w:tcPr>
          <w:p w14:paraId="274F7762">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&gt;1000</w:t>
            </w:r>
          </w:p>
        </w:tc>
        <w:tc>
          <w:tcPr>
            <w:tcW w:w="2597" w:type="dxa"/>
            <w:tcBorders>
              <w:top w:val="single" w:color="auto" w:sz="4" w:space="0"/>
              <w:left w:val="single" w:color="auto" w:sz="4" w:space="0"/>
            </w:tcBorders>
          </w:tcPr>
          <w:p w14:paraId="2EA3B6F4">
            <w:pPr>
              <w:pStyle w:val="109"/>
              <w:rPr>
                <w:color w:val="000000" w:themeColor="text1"/>
                <w:sz w:val="10"/>
                <w:szCs w:val="10"/>
                <w14:textFill>
                  <w14:solidFill>
                    <w14:schemeClr w14:val="tx1"/>
                  </w14:solidFill>
                </w14:textFill>
              </w:rPr>
            </w:pPr>
          </w:p>
        </w:tc>
        <w:tc>
          <w:tcPr>
            <w:tcW w:w="2026" w:type="dxa"/>
            <w:tcBorders>
              <w:top w:val="single" w:color="auto" w:sz="4" w:space="0"/>
              <w:left w:val="single" w:color="auto" w:sz="4" w:space="0"/>
              <w:right w:val="single" w:color="auto" w:sz="4" w:space="0"/>
            </w:tcBorders>
            <w:vAlign w:val="center"/>
          </w:tcPr>
          <w:p w14:paraId="59AE8C00">
            <w:pPr>
              <w:pStyle w:val="109"/>
              <w:rPr>
                <w:color w:val="000000" w:themeColor="text1"/>
                <w14:textFill>
                  <w14:solidFill>
                    <w14:schemeClr w14:val="tx1"/>
                  </w14:solidFill>
                </w14:textFill>
              </w:rPr>
            </w:pPr>
            <w:r>
              <w:rPr>
                <w:color w:val="000000" w:themeColor="text1"/>
                <w14:textFill>
                  <w14:solidFill>
                    <w14:schemeClr w14:val="tx1"/>
                  </w14:solidFill>
                </w14:textFill>
              </w:rPr>
              <w:t>挥发</w:t>
            </w:r>
          </w:p>
        </w:tc>
      </w:tr>
      <w:tr w14:paraId="41789384">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1452F550">
            <w:pPr>
              <w:pStyle w:val="109"/>
              <w:rPr>
                <w:color w:val="000000" w:themeColor="text1"/>
                <w14:textFill>
                  <w14:solidFill>
                    <w14:schemeClr w14:val="tx1"/>
                  </w14:solidFill>
                </w14:textFill>
              </w:rPr>
            </w:pPr>
            <w:r>
              <w:rPr>
                <w:color w:val="000000" w:themeColor="text1"/>
                <w14:textFill>
                  <w14:solidFill>
                    <w14:schemeClr w14:val="tx1"/>
                  </w14:solidFill>
                </w14:textFill>
              </w:rPr>
              <w:t>氯化砷</w:t>
            </w:r>
          </w:p>
        </w:tc>
        <w:tc>
          <w:tcPr>
            <w:tcW w:w="2592" w:type="dxa"/>
            <w:tcBorders>
              <w:top w:val="single" w:color="auto" w:sz="4" w:space="0"/>
              <w:left w:val="single" w:color="auto" w:sz="4" w:space="0"/>
            </w:tcBorders>
            <w:vAlign w:val="center"/>
          </w:tcPr>
          <w:p w14:paraId="4D99B788">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&gt;1000</w:t>
            </w:r>
          </w:p>
        </w:tc>
        <w:tc>
          <w:tcPr>
            <w:tcW w:w="2597" w:type="dxa"/>
            <w:tcBorders>
              <w:top w:val="single" w:color="auto" w:sz="4" w:space="0"/>
              <w:left w:val="single" w:color="auto" w:sz="4" w:space="0"/>
            </w:tcBorders>
          </w:tcPr>
          <w:p w14:paraId="1D22C276">
            <w:pPr>
              <w:pStyle w:val="109"/>
              <w:rPr>
                <w:color w:val="000000" w:themeColor="text1"/>
                <w:sz w:val="10"/>
                <w:szCs w:val="10"/>
                <w14:textFill>
                  <w14:solidFill>
                    <w14:schemeClr w14:val="tx1"/>
                  </w14:solidFill>
                </w14:textFill>
              </w:rPr>
            </w:pPr>
          </w:p>
        </w:tc>
        <w:tc>
          <w:tcPr>
            <w:tcW w:w="2026" w:type="dxa"/>
            <w:tcBorders>
              <w:top w:val="single" w:color="auto" w:sz="4" w:space="0"/>
              <w:left w:val="single" w:color="auto" w:sz="4" w:space="0"/>
              <w:right w:val="single" w:color="auto" w:sz="4" w:space="0"/>
            </w:tcBorders>
            <w:vAlign w:val="center"/>
          </w:tcPr>
          <w:p w14:paraId="598AEB7A">
            <w:pPr>
              <w:pStyle w:val="109"/>
              <w:rPr>
                <w:color w:val="000000" w:themeColor="text1"/>
                <w14:textFill>
                  <w14:solidFill>
                    <w14:schemeClr w14:val="tx1"/>
                  </w14:solidFill>
                </w14:textFill>
              </w:rPr>
            </w:pPr>
            <w:r>
              <w:rPr>
                <w:color w:val="000000" w:themeColor="text1"/>
                <w14:textFill>
                  <w14:solidFill>
                    <w14:schemeClr w14:val="tx1"/>
                  </w14:solidFill>
                </w14:textFill>
              </w:rPr>
              <w:t>挥发</w:t>
            </w:r>
          </w:p>
        </w:tc>
      </w:tr>
      <w:tr w14:paraId="7581AC09">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49C013E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Cd</w:t>
            </w:r>
            <w:r>
              <w:rPr>
                <w:color w:val="000000" w:themeColor="text1"/>
                <w14:textFill>
                  <w14:solidFill>
                    <w14:schemeClr w14:val="tx1"/>
                  </w14:solidFill>
                </w14:textFill>
              </w:rPr>
              <w:t>镉</w:t>
            </w:r>
          </w:p>
        </w:tc>
        <w:tc>
          <w:tcPr>
            <w:tcW w:w="2592" w:type="dxa"/>
            <w:tcBorders>
              <w:top w:val="single" w:color="auto" w:sz="4" w:space="0"/>
              <w:left w:val="single" w:color="auto" w:sz="4" w:space="0"/>
            </w:tcBorders>
            <w:vAlign w:val="center"/>
          </w:tcPr>
          <w:p w14:paraId="68C7924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7.1E+2</w:t>
            </w:r>
          </w:p>
        </w:tc>
        <w:tc>
          <w:tcPr>
            <w:tcW w:w="2597" w:type="dxa"/>
            <w:tcBorders>
              <w:top w:val="single" w:color="auto" w:sz="4" w:space="0"/>
              <w:left w:val="single" w:color="auto" w:sz="4" w:space="0"/>
            </w:tcBorders>
            <w:vAlign w:val="center"/>
          </w:tcPr>
          <w:p w14:paraId="4B438B1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5.5E+3</w:t>
            </w:r>
          </w:p>
        </w:tc>
        <w:tc>
          <w:tcPr>
            <w:tcW w:w="2026" w:type="dxa"/>
            <w:tcBorders>
              <w:top w:val="single" w:color="auto" w:sz="4" w:space="0"/>
              <w:left w:val="single" w:color="auto" w:sz="4" w:space="0"/>
              <w:right w:val="single" w:color="auto" w:sz="4" w:space="0"/>
            </w:tcBorders>
            <w:vAlign w:val="center"/>
          </w:tcPr>
          <w:p w14:paraId="793B5D92">
            <w:pPr>
              <w:pStyle w:val="109"/>
              <w:rPr>
                <w:color w:val="000000" w:themeColor="text1"/>
                <w14:textFill>
                  <w14:solidFill>
                    <w14:schemeClr w14:val="tx1"/>
                  </w14:solidFill>
                </w14:textFill>
              </w:rPr>
            </w:pPr>
            <w:r>
              <w:rPr>
                <w:color w:val="000000" w:themeColor="text1"/>
                <w14:textFill>
                  <w14:solidFill>
                    <w14:schemeClr w14:val="tx1"/>
                  </w14:solidFill>
                </w14:textFill>
              </w:rPr>
              <w:t>挥发</w:t>
            </w:r>
          </w:p>
        </w:tc>
      </w:tr>
      <w:tr w14:paraId="271385BB">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0AB1DB2C">
            <w:pPr>
              <w:pStyle w:val="109"/>
              <w:rPr>
                <w:color w:val="000000" w:themeColor="text1"/>
                <w14:textFill>
                  <w14:solidFill>
                    <w14:schemeClr w14:val="tx1"/>
                  </w14:solidFill>
                </w14:textFill>
              </w:rPr>
            </w:pPr>
            <w:r>
              <w:rPr>
                <w:color w:val="000000" w:themeColor="text1"/>
                <w14:textFill>
                  <w14:solidFill>
                    <w14:schemeClr w14:val="tx1"/>
                  </w14:solidFill>
                </w14:textFill>
              </w:rPr>
              <w:t>氯化镉</w:t>
            </w:r>
          </w:p>
        </w:tc>
        <w:tc>
          <w:tcPr>
            <w:tcW w:w="2592" w:type="dxa"/>
            <w:tcBorders>
              <w:top w:val="single" w:color="auto" w:sz="4" w:space="0"/>
              <w:left w:val="single" w:color="auto" w:sz="4" w:space="0"/>
            </w:tcBorders>
            <w:vAlign w:val="center"/>
          </w:tcPr>
          <w:p w14:paraId="6431CAE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50</w:t>
            </w:r>
          </w:p>
        </w:tc>
        <w:tc>
          <w:tcPr>
            <w:tcW w:w="2597" w:type="dxa"/>
            <w:tcBorders>
              <w:top w:val="single" w:color="auto" w:sz="4" w:space="0"/>
              <w:left w:val="single" w:color="auto" w:sz="4" w:space="0"/>
            </w:tcBorders>
            <w:vAlign w:val="center"/>
          </w:tcPr>
          <w:p w14:paraId="6540CD7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~8.0E+3</w:t>
            </w:r>
          </w:p>
        </w:tc>
        <w:tc>
          <w:tcPr>
            <w:tcW w:w="2026" w:type="dxa"/>
            <w:tcBorders>
              <w:top w:val="single" w:color="auto" w:sz="4" w:space="0"/>
              <w:left w:val="single" w:color="auto" w:sz="4" w:space="0"/>
              <w:right w:val="single" w:color="auto" w:sz="4" w:space="0"/>
            </w:tcBorders>
            <w:vAlign w:val="center"/>
          </w:tcPr>
          <w:p w14:paraId="02162845">
            <w:pPr>
              <w:pStyle w:val="109"/>
              <w:rPr>
                <w:color w:val="000000" w:themeColor="text1"/>
                <w14:textFill>
                  <w14:solidFill>
                    <w14:schemeClr w14:val="tx1"/>
                  </w14:solidFill>
                </w14:textFill>
              </w:rPr>
            </w:pPr>
            <w:r>
              <w:rPr>
                <w:color w:val="000000" w:themeColor="text1"/>
                <w14:textFill>
                  <w14:solidFill>
                    <w14:schemeClr w14:val="tx1"/>
                  </w14:solidFill>
                </w14:textFill>
              </w:rPr>
              <w:t>挥发</w:t>
            </w:r>
          </w:p>
        </w:tc>
      </w:tr>
      <w:tr w14:paraId="67C830EF">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32FE2649">
            <w:pPr>
              <w:pStyle w:val="109"/>
              <w:rPr>
                <w:color w:val="000000" w:themeColor="text1"/>
                <w14:textFill>
                  <w14:solidFill>
                    <w14:schemeClr w14:val="tx1"/>
                  </w14:solidFill>
                </w14:textFill>
              </w:rPr>
            </w:pPr>
            <w:r>
              <w:rPr>
                <w:color w:val="000000" w:themeColor="text1"/>
                <w14:textFill>
                  <w14:solidFill>
                    <w14:schemeClr w14:val="tx1"/>
                  </w14:solidFill>
                </w14:textFill>
              </w:rPr>
              <w:t>氧化镉</w:t>
            </w:r>
          </w:p>
        </w:tc>
        <w:tc>
          <w:tcPr>
            <w:tcW w:w="2592" w:type="dxa"/>
            <w:tcBorders>
              <w:top w:val="single" w:color="auto" w:sz="4" w:space="0"/>
              <w:left w:val="single" w:color="auto" w:sz="4" w:space="0"/>
            </w:tcBorders>
            <w:vAlign w:val="center"/>
          </w:tcPr>
          <w:p w14:paraId="5B0F96B5">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&lt;1</w:t>
            </w:r>
          </w:p>
        </w:tc>
        <w:tc>
          <w:tcPr>
            <w:tcW w:w="2597" w:type="dxa"/>
            <w:tcBorders>
              <w:top w:val="single" w:color="auto" w:sz="4" w:space="0"/>
              <w:left w:val="single" w:color="auto" w:sz="4" w:space="0"/>
            </w:tcBorders>
            <w:vAlign w:val="center"/>
          </w:tcPr>
          <w:p w14:paraId="001595F1">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&lt;1</w:t>
            </w:r>
          </w:p>
        </w:tc>
        <w:tc>
          <w:tcPr>
            <w:tcW w:w="2026" w:type="dxa"/>
            <w:tcBorders>
              <w:top w:val="single" w:color="auto" w:sz="4" w:space="0"/>
              <w:left w:val="single" w:color="auto" w:sz="4" w:space="0"/>
              <w:right w:val="single" w:color="auto" w:sz="4" w:space="0"/>
            </w:tcBorders>
            <w:vAlign w:val="center"/>
          </w:tcPr>
          <w:p w14:paraId="5725FF83">
            <w:pPr>
              <w:pStyle w:val="109"/>
              <w:rPr>
                <w:color w:val="000000" w:themeColor="text1"/>
                <w14:textFill>
                  <w14:solidFill>
                    <w14:schemeClr w14:val="tx1"/>
                  </w14:solidFill>
                </w14:textFill>
              </w:rPr>
            </w:pPr>
            <w:r>
              <w:rPr>
                <w:color w:val="000000" w:themeColor="text1"/>
                <w14:textFill>
                  <w14:solidFill>
                    <w14:schemeClr w14:val="tx1"/>
                  </w14:solidFill>
                </w14:textFill>
              </w:rPr>
              <w:t>不挥发</w:t>
            </w:r>
          </w:p>
        </w:tc>
      </w:tr>
      <w:tr w14:paraId="15C093E4">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060A415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Cr</w:t>
            </w:r>
            <w:r>
              <w:rPr>
                <w:color w:val="000000" w:themeColor="text1"/>
                <w14:textFill>
                  <w14:solidFill>
                    <w14:schemeClr w14:val="tx1"/>
                  </w14:solidFill>
                </w14:textFill>
              </w:rPr>
              <w:t>铬</w:t>
            </w:r>
          </w:p>
        </w:tc>
        <w:tc>
          <w:tcPr>
            <w:tcW w:w="2592" w:type="dxa"/>
            <w:tcBorders>
              <w:top w:val="single" w:color="auto" w:sz="4" w:space="0"/>
              <w:left w:val="single" w:color="auto" w:sz="4" w:space="0"/>
            </w:tcBorders>
            <w:vAlign w:val="center"/>
          </w:tcPr>
          <w:p w14:paraId="5278FAB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6.1E-8</w:t>
            </w:r>
          </w:p>
        </w:tc>
        <w:tc>
          <w:tcPr>
            <w:tcW w:w="2597" w:type="dxa"/>
            <w:tcBorders>
              <w:top w:val="single" w:color="auto" w:sz="4" w:space="0"/>
              <w:left w:val="single" w:color="auto" w:sz="4" w:space="0"/>
            </w:tcBorders>
            <w:vAlign w:val="center"/>
          </w:tcPr>
          <w:p w14:paraId="06366DF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4.4E-5</w:t>
            </w:r>
          </w:p>
        </w:tc>
        <w:tc>
          <w:tcPr>
            <w:tcW w:w="2026" w:type="dxa"/>
            <w:tcBorders>
              <w:top w:val="single" w:color="auto" w:sz="4" w:space="0"/>
              <w:left w:val="single" w:color="auto" w:sz="4" w:space="0"/>
              <w:right w:val="single" w:color="auto" w:sz="4" w:space="0"/>
            </w:tcBorders>
            <w:vAlign w:val="center"/>
          </w:tcPr>
          <w:p w14:paraId="7124398C">
            <w:pPr>
              <w:pStyle w:val="109"/>
              <w:rPr>
                <w:color w:val="000000" w:themeColor="text1"/>
                <w14:textFill>
                  <w14:solidFill>
                    <w14:schemeClr w14:val="tx1"/>
                  </w14:solidFill>
                </w14:textFill>
              </w:rPr>
            </w:pPr>
            <w:r>
              <w:rPr>
                <w:color w:val="000000" w:themeColor="text1"/>
                <w14:textFill>
                  <w14:solidFill>
                    <w14:schemeClr w14:val="tx1"/>
                  </w14:solidFill>
                </w14:textFill>
              </w:rPr>
              <w:t>不挥发</w:t>
            </w:r>
          </w:p>
        </w:tc>
      </w:tr>
      <w:tr w14:paraId="6D59465D">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17F6583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Cu</w:t>
            </w:r>
            <w:r>
              <w:rPr>
                <w:color w:val="000000" w:themeColor="text1"/>
                <w14:textFill>
                  <w14:solidFill>
                    <w14:schemeClr w14:val="tx1"/>
                  </w14:solidFill>
                </w14:textFill>
              </w:rPr>
              <w:t>铜</w:t>
            </w:r>
          </w:p>
        </w:tc>
        <w:tc>
          <w:tcPr>
            <w:tcW w:w="2592" w:type="dxa"/>
            <w:tcBorders>
              <w:top w:val="single" w:color="auto" w:sz="4" w:space="0"/>
              <w:left w:val="single" w:color="auto" w:sz="4" w:space="0"/>
            </w:tcBorders>
            <w:vAlign w:val="center"/>
          </w:tcPr>
          <w:p w14:paraId="60A1F26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9.8E-8</w:t>
            </w:r>
          </w:p>
        </w:tc>
        <w:tc>
          <w:tcPr>
            <w:tcW w:w="2597" w:type="dxa"/>
            <w:tcBorders>
              <w:top w:val="single" w:color="auto" w:sz="4" w:space="0"/>
              <w:left w:val="single" w:color="auto" w:sz="4" w:space="0"/>
            </w:tcBorders>
            <w:vAlign w:val="center"/>
          </w:tcPr>
          <w:p w14:paraId="3FDDC990">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5.4E-5</w:t>
            </w:r>
          </w:p>
        </w:tc>
        <w:tc>
          <w:tcPr>
            <w:tcW w:w="2026" w:type="dxa"/>
            <w:tcBorders>
              <w:top w:val="single" w:color="auto" w:sz="4" w:space="0"/>
              <w:left w:val="single" w:color="auto" w:sz="4" w:space="0"/>
              <w:right w:val="single" w:color="auto" w:sz="4" w:space="0"/>
            </w:tcBorders>
            <w:vAlign w:val="center"/>
          </w:tcPr>
          <w:p w14:paraId="3A8A7939">
            <w:pPr>
              <w:pStyle w:val="109"/>
              <w:rPr>
                <w:color w:val="000000" w:themeColor="text1"/>
                <w14:textFill>
                  <w14:solidFill>
                    <w14:schemeClr w14:val="tx1"/>
                  </w14:solidFill>
                </w14:textFill>
              </w:rPr>
            </w:pPr>
            <w:r>
              <w:rPr>
                <w:color w:val="000000" w:themeColor="text1"/>
                <w14:textFill>
                  <w14:solidFill>
                    <w14:schemeClr w14:val="tx1"/>
                  </w14:solidFill>
                </w14:textFill>
              </w:rPr>
              <w:t>不挥发</w:t>
            </w:r>
          </w:p>
        </w:tc>
      </w:tr>
      <w:tr w14:paraId="405A23B6">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14ED42A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Pb</w:t>
            </w:r>
            <w:r>
              <w:rPr>
                <w:color w:val="000000" w:themeColor="text1"/>
                <w14:textFill>
                  <w14:solidFill>
                    <w14:schemeClr w14:val="tx1"/>
                  </w14:solidFill>
                </w14:textFill>
              </w:rPr>
              <w:t>铅</w:t>
            </w:r>
          </w:p>
        </w:tc>
        <w:tc>
          <w:tcPr>
            <w:tcW w:w="2592" w:type="dxa"/>
            <w:tcBorders>
              <w:top w:val="single" w:color="auto" w:sz="4" w:space="0"/>
              <w:left w:val="single" w:color="auto" w:sz="4" w:space="0"/>
            </w:tcBorders>
            <w:vAlign w:val="center"/>
          </w:tcPr>
          <w:p w14:paraId="6D2253EF">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3.5E-2</w:t>
            </w:r>
          </w:p>
        </w:tc>
        <w:tc>
          <w:tcPr>
            <w:tcW w:w="2597" w:type="dxa"/>
            <w:tcBorders>
              <w:top w:val="single" w:color="auto" w:sz="4" w:space="0"/>
              <w:left w:val="single" w:color="auto" w:sz="4" w:space="0"/>
            </w:tcBorders>
            <w:vAlign w:val="center"/>
          </w:tcPr>
          <w:p w14:paraId="58FAE72B">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1.3</w:t>
            </w:r>
          </w:p>
        </w:tc>
        <w:tc>
          <w:tcPr>
            <w:tcW w:w="2026" w:type="dxa"/>
            <w:tcBorders>
              <w:top w:val="single" w:color="auto" w:sz="4" w:space="0"/>
              <w:left w:val="single" w:color="auto" w:sz="4" w:space="0"/>
              <w:right w:val="single" w:color="auto" w:sz="4" w:space="0"/>
            </w:tcBorders>
            <w:vAlign w:val="center"/>
          </w:tcPr>
          <w:p w14:paraId="2C833377">
            <w:pPr>
              <w:pStyle w:val="109"/>
              <w:rPr>
                <w:color w:val="000000" w:themeColor="text1"/>
                <w14:textFill>
                  <w14:solidFill>
                    <w14:schemeClr w14:val="tx1"/>
                  </w14:solidFill>
                </w14:textFill>
              </w:rPr>
            </w:pPr>
            <w:r>
              <w:rPr>
                <w:color w:val="000000" w:themeColor="text1"/>
                <w14:textFill>
                  <w14:solidFill>
                    <w14:schemeClr w14:val="tx1"/>
                  </w14:solidFill>
                </w14:textFill>
              </w:rPr>
              <w:t>不挥发</w:t>
            </w:r>
          </w:p>
        </w:tc>
      </w:tr>
      <w:tr w14:paraId="38F33397">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5D18E1E5">
            <w:pPr>
              <w:pStyle w:val="109"/>
              <w:rPr>
                <w:color w:val="000000" w:themeColor="text1"/>
                <w14:textFill>
                  <w14:solidFill>
                    <w14:schemeClr w14:val="tx1"/>
                  </w14:solidFill>
                </w14:textFill>
              </w:rPr>
            </w:pPr>
            <w:r>
              <w:rPr>
                <w:color w:val="000000" w:themeColor="text1"/>
                <w14:textFill>
                  <w14:solidFill>
                    <w14:schemeClr w14:val="tx1"/>
                  </w14:solidFill>
                </w14:textFill>
              </w:rPr>
              <w:t>氯化铅</w:t>
            </w:r>
          </w:p>
        </w:tc>
        <w:tc>
          <w:tcPr>
            <w:tcW w:w="2592" w:type="dxa"/>
            <w:tcBorders>
              <w:top w:val="single" w:color="auto" w:sz="4" w:space="0"/>
              <w:left w:val="single" w:color="auto" w:sz="4" w:space="0"/>
            </w:tcBorders>
            <w:vAlign w:val="center"/>
          </w:tcPr>
          <w:p w14:paraId="1E9EF3CC">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&gt;5</w:t>
            </w:r>
          </w:p>
        </w:tc>
        <w:tc>
          <w:tcPr>
            <w:tcW w:w="2597" w:type="dxa"/>
            <w:tcBorders>
              <w:top w:val="single" w:color="auto" w:sz="4" w:space="0"/>
              <w:left w:val="single" w:color="auto" w:sz="4" w:space="0"/>
            </w:tcBorders>
            <w:vAlign w:val="center"/>
          </w:tcPr>
          <w:p w14:paraId="52FB984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~8.0E+2</w:t>
            </w:r>
          </w:p>
        </w:tc>
        <w:tc>
          <w:tcPr>
            <w:tcW w:w="2026" w:type="dxa"/>
            <w:tcBorders>
              <w:top w:val="single" w:color="auto" w:sz="4" w:space="0"/>
              <w:left w:val="single" w:color="auto" w:sz="4" w:space="0"/>
              <w:right w:val="single" w:color="auto" w:sz="4" w:space="0"/>
            </w:tcBorders>
            <w:vAlign w:val="center"/>
          </w:tcPr>
          <w:p w14:paraId="190D93FE">
            <w:pPr>
              <w:pStyle w:val="109"/>
              <w:rPr>
                <w:color w:val="000000" w:themeColor="text1"/>
                <w14:textFill>
                  <w14:solidFill>
                    <w14:schemeClr w14:val="tx1"/>
                  </w14:solidFill>
                </w14:textFill>
              </w:rPr>
            </w:pPr>
            <w:r>
              <w:rPr>
                <w:color w:val="000000" w:themeColor="text1"/>
                <w14:textFill>
                  <w14:solidFill>
                    <w14:schemeClr w14:val="tx1"/>
                  </w14:solidFill>
                </w14:textFill>
              </w:rPr>
              <w:t>中等</w:t>
            </w:r>
          </w:p>
        </w:tc>
      </w:tr>
      <w:tr w14:paraId="57825FB7">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650F0A29">
            <w:pPr>
              <w:pStyle w:val="109"/>
              <w:rPr>
                <w:color w:val="000000" w:themeColor="text1"/>
                <w14:textFill>
                  <w14:solidFill>
                    <w14:schemeClr w14:val="tx1"/>
                  </w14:solidFill>
                </w14:textFill>
              </w:rPr>
            </w:pPr>
            <w:r>
              <w:rPr>
                <w:color w:val="000000" w:themeColor="text1"/>
                <w14:textFill>
                  <w14:solidFill>
                    <w14:schemeClr w14:val="tx1"/>
                  </w14:solidFill>
                </w14:textFill>
              </w:rPr>
              <w:t>氧化铅</w:t>
            </w:r>
          </w:p>
        </w:tc>
        <w:tc>
          <w:tcPr>
            <w:tcW w:w="2592" w:type="dxa"/>
            <w:tcBorders>
              <w:top w:val="single" w:color="auto" w:sz="4" w:space="0"/>
              <w:left w:val="single" w:color="auto" w:sz="4" w:space="0"/>
            </w:tcBorders>
            <w:vAlign w:val="center"/>
          </w:tcPr>
          <w:p w14:paraId="0D05ACBA">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2597" w:type="dxa"/>
            <w:tcBorders>
              <w:top w:val="single" w:color="auto" w:sz="4" w:space="0"/>
              <w:left w:val="single" w:color="auto" w:sz="4" w:space="0"/>
            </w:tcBorders>
            <w:vAlign w:val="center"/>
          </w:tcPr>
          <w:p w14:paraId="2DC00947">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2026" w:type="dxa"/>
            <w:tcBorders>
              <w:top w:val="single" w:color="auto" w:sz="4" w:space="0"/>
              <w:left w:val="single" w:color="auto" w:sz="4" w:space="0"/>
              <w:right w:val="single" w:color="auto" w:sz="4" w:space="0"/>
            </w:tcBorders>
            <w:vAlign w:val="center"/>
          </w:tcPr>
          <w:p w14:paraId="3B30BAFD">
            <w:pPr>
              <w:pStyle w:val="109"/>
              <w:rPr>
                <w:color w:val="000000" w:themeColor="text1"/>
                <w14:textFill>
                  <w14:solidFill>
                    <w14:schemeClr w14:val="tx1"/>
                  </w14:solidFill>
                </w14:textFill>
              </w:rPr>
            </w:pPr>
            <w:r>
              <w:rPr>
                <w:color w:val="000000" w:themeColor="text1"/>
                <w14:textFill>
                  <w14:solidFill>
                    <w14:schemeClr w14:val="tx1"/>
                  </w14:solidFill>
                </w14:textFill>
              </w:rPr>
              <w:t>不挥发</w:t>
            </w:r>
          </w:p>
        </w:tc>
      </w:tr>
      <w:tr w14:paraId="3D9F1A50">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3F9EC73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Hg</w:t>
            </w:r>
            <w:r>
              <w:rPr>
                <w:color w:val="000000" w:themeColor="text1"/>
                <w14:textFill>
                  <w14:solidFill>
                    <w14:schemeClr w14:val="tx1"/>
                  </w14:solidFill>
                </w14:textFill>
              </w:rPr>
              <w:t>汞</w:t>
            </w:r>
          </w:p>
        </w:tc>
        <w:tc>
          <w:tcPr>
            <w:tcW w:w="2592" w:type="dxa"/>
            <w:tcBorders>
              <w:top w:val="single" w:color="auto" w:sz="4" w:space="0"/>
              <w:left w:val="single" w:color="auto" w:sz="4" w:space="0"/>
            </w:tcBorders>
            <w:vAlign w:val="center"/>
          </w:tcPr>
          <w:p w14:paraId="494DA415">
            <w:pPr>
              <w:pStyle w:val="109"/>
              <w:rPr>
                <w:color w:val="000000" w:themeColor="text1"/>
                <w14:textFill>
                  <w14:solidFill>
                    <w14:schemeClr w14:val="tx1"/>
                  </w14:solidFill>
                </w14:textFill>
              </w:rPr>
            </w:pPr>
            <w:r>
              <w:rPr>
                <w:color w:val="000000" w:themeColor="text1"/>
                <w14:textFill>
                  <w14:solidFill>
                    <w14:schemeClr w14:val="tx1"/>
                  </w14:solidFill>
                </w14:textFill>
              </w:rPr>
              <w:t>气态</w:t>
            </w:r>
          </w:p>
        </w:tc>
        <w:tc>
          <w:tcPr>
            <w:tcW w:w="2597" w:type="dxa"/>
            <w:tcBorders>
              <w:top w:val="single" w:color="auto" w:sz="4" w:space="0"/>
              <w:left w:val="single" w:color="auto" w:sz="4" w:space="0"/>
            </w:tcBorders>
          </w:tcPr>
          <w:p w14:paraId="429C9351">
            <w:pPr>
              <w:pStyle w:val="109"/>
              <w:rPr>
                <w:color w:val="000000" w:themeColor="text1"/>
                <w:sz w:val="10"/>
                <w:szCs w:val="10"/>
                <w14:textFill>
                  <w14:solidFill>
                    <w14:schemeClr w14:val="tx1"/>
                  </w14:solidFill>
                </w14:textFill>
              </w:rPr>
            </w:pPr>
          </w:p>
        </w:tc>
        <w:tc>
          <w:tcPr>
            <w:tcW w:w="2026" w:type="dxa"/>
            <w:tcBorders>
              <w:top w:val="single" w:color="auto" w:sz="4" w:space="0"/>
              <w:left w:val="single" w:color="auto" w:sz="4" w:space="0"/>
              <w:right w:val="single" w:color="auto" w:sz="4" w:space="0"/>
            </w:tcBorders>
            <w:vAlign w:val="center"/>
          </w:tcPr>
          <w:p w14:paraId="0BCC7487">
            <w:pPr>
              <w:pStyle w:val="109"/>
              <w:rPr>
                <w:color w:val="000000" w:themeColor="text1"/>
                <w14:textFill>
                  <w14:solidFill>
                    <w14:schemeClr w14:val="tx1"/>
                  </w14:solidFill>
                </w14:textFill>
              </w:rPr>
            </w:pPr>
            <w:r>
              <w:rPr>
                <w:color w:val="000000" w:themeColor="text1"/>
                <w14:textFill>
                  <w14:solidFill>
                    <w14:schemeClr w14:val="tx1"/>
                  </w14:solidFill>
                </w14:textFill>
              </w:rPr>
              <w:t>挥发</w:t>
            </w:r>
          </w:p>
        </w:tc>
      </w:tr>
      <w:tr w14:paraId="002AF468">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1BC13C8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Ni</w:t>
            </w:r>
            <w:r>
              <w:rPr>
                <w:color w:val="000000" w:themeColor="text1"/>
                <w14:textFill>
                  <w14:solidFill>
                    <w14:schemeClr w14:val="tx1"/>
                  </w14:solidFill>
                </w14:textFill>
              </w:rPr>
              <w:t>镍</w:t>
            </w:r>
          </w:p>
        </w:tc>
        <w:tc>
          <w:tcPr>
            <w:tcW w:w="2592" w:type="dxa"/>
            <w:tcBorders>
              <w:top w:val="single" w:color="auto" w:sz="4" w:space="0"/>
              <w:left w:val="single" w:color="auto" w:sz="4" w:space="0"/>
            </w:tcBorders>
            <w:vAlign w:val="center"/>
          </w:tcPr>
          <w:p w14:paraId="5F3C4CED">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5.6E-10</w:t>
            </w:r>
          </w:p>
        </w:tc>
        <w:tc>
          <w:tcPr>
            <w:tcW w:w="2597" w:type="dxa"/>
            <w:tcBorders>
              <w:top w:val="single" w:color="auto" w:sz="4" w:space="0"/>
              <w:left w:val="single" w:color="auto" w:sz="4" w:space="0"/>
            </w:tcBorders>
            <w:vAlign w:val="center"/>
          </w:tcPr>
          <w:p w14:paraId="2760154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1.1E-6</w:t>
            </w:r>
          </w:p>
        </w:tc>
        <w:tc>
          <w:tcPr>
            <w:tcW w:w="2026" w:type="dxa"/>
            <w:tcBorders>
              <w:top w:val="single" w:color="auto" w:sz="4" w:space="0"/>
              <w:left w:val="single" w:color="auto" w:sz="4" w:space="0"/>
              <w:right w:val="single" w:color="auto" w:sz="4" w:space="0"/>
            </w:tcBorders>
            <w:vAlign w:val="center"/>
          </w:tcPr>
          <w:p w14:paraId="2C1D6EA8">
            <w:pPr>
              <w:pStyle w:val="109"/>
              <w:rPr>
                <w:color w:val="000000" w:themeColor="text1"/>
                <w14:textFill>
                  <w14:solidFill>
                    <w14:schemeClr w14:val="tx1"/>
                  </w14:solidFill>
                </w14:textFill>
              </w:rPr>
            </w:pPr>
            <w:r>
              <w:rPr>
                <w:color w:val="000000" w:themeColor="text1"/>
                <w14:textFill>
                  <w14:solidFill>
                    <w14:schemeClr w14:val="tx1"/>
                  </w14:solidFill>
                </w14:textFill>
              </w:rPr>
              <w:t>不挥发</w:t>
            </w:r>
          </w:p>
        </w:tc>
      </w:tr>
      <w:tr w14:paraId="4750E8CE">
        <w:tblPrEx>
          <w:tblCellMar>
            <w:top w:w="0" w:type="dxa"/>
            <w:left w:w="10" w:type="dxa"/>
            <w:bottom w:w="0" w:type="dxa"/>
            <w:right w:w="10" w:type="dxa"/>
          </w:tblCellMar>
        </w:tblPrEx>
        <w:trPr>
          <w:jc w:val="center"/>
        </w:trPr>
        <w:tc>
          <w:tcPr>
            <w:tcW w:w="1862" w:type="dxa"/>
            <w:tcBorders>
              <w:top w:val="single" w:color="auto" w:sz="4" w:space="0"/>
              <w:left w:val="single" w:color="auto" w:sz="4" w:space="0"/>
            </w:tcBorders>
            <w:vAlign w:val="center"/>
          </w:tcPr>
          <w:p w14:paraId="0AEEF74D">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Zn</w:t>
            </w:r>
            <w:r>
              <w:rPr>
                <w:color w:val="000000" w:themeColor="text1"/>
                <w14:textFill>
                  <w14:solidFill>
                    <w14:schemeClr w14:val="tx1"/>
                  </w14:solidFill>
                </w14:textFill>
              </w:rPr>
              <w:t>锌</w:t>
            </w:r>
          </w:p>
        </w:tc>
        <w:tc>
          <w:tcPr>
            <w:tcW w:w="2592" w:type="dxa"/>
            <w:tcBorders>
              <w:top w:val="single" w:color="auto" w:sz="4" w:space="0"/>
              <w:left w:val="single" w:color="auto" w:sz="4" w:space="0"/>
            </w:tcBorders>
            <w:vAlign w:val="center"/>
          </w:tcPr>
          <w:p w14:paraId="0C91FD5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1.4E+2</w:t>
            </w:r>
          </w:p>
        </w:tc>
        <w:tc>
          <w:tcPr>
            <w:tcW w:w="2597" w:type="dxa"/>
            <w:tcBorders>
              <w:top w:val="single" w:color="auto" w:sz="4" w:space="0"/>
              <w:left w:val="single" w:color="auto" w:sz="4" w:space="0"/>
            </w:tcBorders>
            <w:vAlign w:val="center"/>
          </w:tcPr>
          <w:p w14:paraId="57B00B6B">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1.6E+3</w:t>
            </w:r>
          </w:p>
        </w:tc>
        <w:tc>
          <w:tcPr>
            <w:tcW w:w="2026" w:type="dxa"/>
            <w:tcBorders>
              <w:top w:val="single" w:color="auto" w:sz="4" w:space="0"/>
              <w:left w:val="single" w:color="auto" w:sz="4" w:space="0"/>
              <w:right w:val="single" w:color="auto" w:sz="4" w:space="0"/>
            </w:tcBorders>
            <w:vAlign w:val="center"/>
          </w:tcPr>
          <w:p w14:paraId="17B2F440">
            <w:pPr>
              <w:pStyle w:val="109"/>
              <w:rPr>
                <w:color w:val="000000" w:themeColor="text1"/>
                <w14:textFill>
                  <w14:solidFill>
                    <w14:schemeClr w14:val="tx1"/>
                  </w14:solidFill>
                </w14:textFill>
              </w:rPr>
            </w:pPr>
            <w:r>
              <w:rPr>
                <w:color w:val="000000" w:themeColor="text1"/>
                <w14:textFill>
                  <w14:solidFill>
                    <w14:schemeClr w14:val="tx1"/>
                  </w14:solidFill>
                </w14:textFill>
              </w:rPr>
              <w:t>挥发</w:t>
            </w:r>
          </w:p>
        </w:tc>
      </w:tr>
      <w:tr w14:paraId="7776E997">
        <w:tblPrEx>
          <w:tblCellMar>
            <w:top w:w="0" w:type="dxa"/>
            <w:left w:w="10" w:type="dxa"/>
            <w:bottom w:w="0" w:type="dxa"/>
            <w:right w:w="10" w:type="dxa"/>
          </w:tblCellMar>
        </w:tblPrEx>
        <w:trPr>
          <w:jc w:val="center"/>
        </w:trPr>
        <w:tc>
          <w:tcPr>
            <w:tcW w:w="1862" w:type="dxa"/>
            <w:tcBorders>
              <w:top w:val="single" w:color="auto" w:sz="4" w:space="0"/>
              <w:left w:val="single" w:color="auto" w:sz="4" w:space="0"/>
              <w:bottom w:val="single" w:color="auto" w:sz="4" w:space="0"/>
            </w:tcBorders>
            <w:vAlign w:val="center"/>
          </w:tcPr>
          <w:p w14:paraId="06001176">
            <w:pPr>
              <w:pStyle w:val="109"/>
              <w:rPr>
                <w:color w:val="000000" w:themeColor="text1"/>
                <w14:textFill>
                  <w14:solidFill>
                    <w14:schemeClr w14:val="tx1"/>
                  </w14:solidFill>
                </w14:textFill>
              </w:rPr>
            </w:pPr>
            <w:r>
              <w:rPr>
                <w:color w:val="000000" w:themeColor="text1"/>
                <w14:textFill>
                  <w14:solidFill>
                    <w14:schemeClr w14:val="tx1"/>
                  </w14:solidFill>
                </w14:textFill>
              </w:rPr>
              <w:t>氯化锌</w:t>
            </w:r>
          </w:p>
        </w:tc>
        <w:tc>
          <w:tcPr>
            <w:tcW w:w="2592" w:type="dxa"/>
            <w:tcBorders>
              <w:top w:val="single" w:color="auto" w:sz="4" w:space="0"/>
              <w:left w:val="single" w:color="auto" w:sz="4" w:space="0"/>
              <w:bottom w:val="single" w:color="auto" w:sz="4" w:space="0"/>
            </w:tcBorders>
            <w:vAlign w:val="center"/>
          </w:tcPr>
          <w:p w14:paraId="4BAAA18D">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~8.0E+2</w:t>
            </w:r>
          </w:p>
        </w:tc>
        <w:tc>
          <w:tcPr>
            <w:tcW w:w="2597" w:type="dxa"/>
            <w:tcBorders>
              <w:top w:val="single" w:color="auto" w:sz="4" w:space="0"/>
              <w:left w:val="single" w:color="auto" w:sz="4" w:space="0"/>
              <w:bottom w:val="single" w:color="auto" w:sz="4" w:space="0"/>
            </w:tcBorders>
          </w:tcPr>
          <w:p w14:paraId="6C047536">
            <w:pPr>
              <w:pStyle w:val="109"/>
              <w:rPr>
                <w:color w:val="000000" w:themeColor="text1"/>
                <w:sz w:val="10"/>
                <w:szCs w:val="10"/>
                <w14:textFill>
                  <w14:solidFill>
                    <w14:schemeClr w14:val="tx1"/>
                  </w14:solidFill>
                </w14:textFill>
              </w:rPr>
            </w:pPr>
          </w:p>
        </w:tc>
        <w:tc>
          <w:tcPr>
            <w:tcW w:w="2026" w:type="dxa"/>
            <w:tcBorders>
              <w:top w:val="single" w:color="auto" w:sz="4" w:space="0"/>
              <w:left w:val="single" w:color="auto" w:sz="4" w:space="0"/>
              <w:bottom w:val="single" w:color="auto" w:sz="4" w:space="0"/>
              <w:right w:val="single" w:color="auto" w:sz="4" w:space="0"/>
            </w:tcBorders>
            <w:vAlign w:val="center"/>
          </w:tcPr>
          <w:p w14:paraId="02119467">
            <w:pPr>
              <w:pStyle w:val="109"/>
              <w:rPr>
                <w:color w:val="000000" w:themeColor="text1"/>
                <w14:textFill>
                  <w14:solidFill>
                    <w14:schemeClr w14:val="tx1"/>
                  </w14:solidFill>
                </w14:textFill>
              </w:rPr>
            </w:pPr>
            <w:r>
              <w:rPr>
                <w:color w:val="000000" w:themeColor="text1"/>
                <w14:textFill>
                  <w14:solidFill>
                    <w14:schemeClr w14:val="tx1"/>
                  </w14:solidFill>
                </w14:textFill>
              </w:rPr>
              <w:t>挥发</w:t>
            </w:r>
          </w:p>
        </w:tc>
      </w:tr>
      <w:tr w14:paraId="4804DA24">
        <w:tblPrEx>
          <w:tblCellMar>
            <w:top w:w="0" w:type="dxa"/>
            <w:left w:w="10" w:type="dxa"/>
            <w:bottom w:w="0" w:type="dxa"/>
            <w:right w:w="10" w:type="dxa"/>
          </w:tblCellMar>
        </w:tblPrEx>
        <w:trPr>
          <w:jc w:val="center"/>
        </w:trPr>
        <w:tc>
          <w:tcPr>
            <w:tcW w:w="1862" w:type="dxa"/>
            <w:tcBorders>
              <w:top w:val="single" w:color="auto" w:sz="4" w:space="0"/>
              <w:left w:val="single" w:color="auto" w:sz="4" w:space="0"/>
              <w:bottom w:val="single" w:color="auto" w:sz="4" w:space="0"/>
            </w:tcBorders>
            <w:vAlign w:val="center"/>
          </w:tcPr>
          <w:p w14:paraId="38962CD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铊</w:t>
            </w:r>
          </w:p>
        </w:tc>
        <w:tc>
          <w:tcPr>
            <w:tcW w:w="2592" w:type="dxa"/>
            <w:tcBorders>
              <w:top w:val="single" w:color="auto" w:sz="4" w:space="0"/>
              <w:left w:val="single" w:color="auto" w:sz="4" w:space="0"/>
              <w:bottom w:val="single" w:color="auto" w:sz="4" w:space="0"/>
            </w:tcBorders>
            <w:vAlign w:val="center"/>
          </w:tcPr>
          <w:p w14:paraId="7443993C">
            <w:pPr>
              <w:pStyle w:val="109"/>
              <w:rPr>
                <w:rFonts w:eastAsiaTheme="minorEastAsia"/>
                <w:color w:val="000000" w:themeColor="text1"/>
                <w:lang w:bidi="en-US"/>
                <w14:textFill>
                  <w14:solidFill>
                    <w14:schemeClr w14:val="tx1"/>
                  </w14:solidFill>
                </w14:textFill>
              </w:rPr>
            </w:pPr>
            <w:r>
              <w:rPr>
                <w:rFonts w:hint="eastAsia" w:eastAsiaTheme="minorEastAsia"/>
                <w:color w:val="000000" w:themeColor="text1"/>
                <w:lang w:bidi="en-US"/>
                <w14:textFill>
                  <w14:solidFill>
                    <w14:schemeClr w14:val="tx1"/>
                  </w14:solidFill>
                </w14:textFill>
              </w:rPr>
              <w:t>0.0007</w:t>
            </w:r>
          </w:p>
        </w:tc>
        <w:tc>
          <w:tcPr>
            <w:tcW w:w="2597" w:type="dxa"/>
            <w:tcBorders>
              <w:top w:val="single" w:color="auto" w:sz="4" w:space="0"/>
              <w:left w:val="single" w:color="auto" w:sz="4" w:space="0"/>
              <w:bottom w:val="single" w:color="auto" w:sz="4" w:space="0"/>
            </w:tcBorders>
          </w:tcPr>
          <w:p w14:paraId="605A7E2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0.127</w:t>
            </w:r>
          </w:p>
        </w:tc>
        <w:tc>
          <w:tcPr>
            <w:tcW w:w="2026" w:type="dxa"/>
            <w:tcBorders>
              <w:top w:val="single" w:color="auto" w:sz="4" w:space="0"/>
              <w:left w:val="single" w:color="auto" w:sz="4" w:space="0"/>
              <w:bottom w:val="single" w:color="auto" w:sz="4" w:space="0"/>
              <w:right w:val="single" w:color="auto" w:sz="4" w:space="0"/>
            </w:tcBorders>
            <w:vAlign w:val="center"/>
          </w:tcPr>
          <w:p w14:paraId="0AA71CB4">
            <w:pPr>
              <w:pStyle w:val="109"/>
              <w:rPr>
                <w:color w:val="000000" w:themeColor="text1"/>
                <w14:textFill>
                  <w14:solidFill>
                    <w14:schemeClr w14:val="tx1"/>
                  </w14:solidFill>
                </w14:textFill>
              </w:rPr>
            </w:pPr>
            <w:r>
              <w:rPr>
                <w:color w:val="000000" w:themeColor="text1"/>
                <w14:textFill>
                  <w14:solidFill>
                    <w14:schemeClr w14:val="tx1"/>
                  </w14:solidFill>
                </w14:textFill>
              </w:rPr>
              <w:t>不挥发</w:t>
            </w:r>
          </w:p>
        </w:tc>
      </w:tr>
    </w:tbl>
    <w:p w14:paraId="27EC2C36">
      <w:pPr>
        <w:ind w:firstLine="480"/>
        <w:rPr>
          <w:color w:val="000000" w:themeColor="text1"/>
          <w14:textFill>
            <w14:solidFill>
              <w14:schemeClr w14:val="tx1"/>
            </w14:solidFill>
          </w14:textFill>
        </w:rPr>
      </w:pPr>
      <w:r>
        <w:rPr>
          <w:color w:val="000000" w:themeColor="text1"/>
          <w14:textFill>
            <w14:solidFill>
              <w14:schemeClr w14:val="tx1"/>
            </w14:solidFill>
          </w14:textFill>
        </w:rPr>
        <w:t>类比《江苏江淮环保科技有限公司化工废盐无害化及资源化项目环境影响报告书》，同时基于部分中试实测结果，该中试由南京工大环境科技有限公司从</w:t>
      </w:r>
      <w:r>
        <w:rPr>
          <w:rFonts w:eastAsia="Times New Roman"/>
          <w:color w:val="000000" w:themeColor="text1"/>
          <w14:textFill>
            <w14:solidFill>
              <w14:schemeClr w14:val="tx1"/>
            </w14:solidFill>
          </w14:textFill>
        </w:rPr>
        <w:t>2017</w:t>
      </w:r>
      <w:r>
        <w:rPr>
          <w:color w:val="000000" w:themeColor="text1"/>
          <w14:textFill>
            <w14:solidFill>
              <w14:schemeClr w14:val="tx1"/>
            </w14:solidFill>
          </w14:textFill>
        </w:rPr>
        <w:t>年开始化工废盐无害化处理技术的研究和装备开发。技术团队融合了化工、冶金、热能动力、环境工程、水泥建材、电气、自控、安全等多学科多专业领域的工程经验。对全国近百种化工废盐进行了取样分析，并对其中</w:t>
      </w:r>
      <w:r>
        <w:rPr>
          <w:rFonts w:eastAsia="Times New Roman"/>
          <w:color w:val="000000" w:themeColor="text1"/>
          <w14:textFill>
            <w14:solidFill>
              <w14:schemeClr w14:val="tx1"/>
            </w14:solidFill>
          </w14:textFill>
        </w:rPr>
        <w:t>20</w:t>
      </w:r>
      <w:r>
        <w:rPr>
          <w:color w:val="000000" w:themeColor="text1"/>
          <w14:textFill>
            <w14:solidFill>
              <w14:schemeClr w14:val="tx1"/>
            </w14:solidFill>
          </w14:textFill>
        </w:rPr>
        <w:t>余种代表性废盐开展了累计超过</w:t>
      </w:r>
      <w:r>
        <w:rPr>
          <w:rFonts w:eastAsia="Times New Roman"/>
          <w:color w:val="000000" w:themeColor="text1"/>
          <w14:textFill>
            <w14:solidFill>
              <w14:schemeClr w14:val="tx1"/>
            </w14:solidFill>
          </w14:textFill>
        </w:rPr>
        <w:t>4000</w:t>
      </w:r>
      <w:r>
        <w:rPr>
          <w:color w:val="000000" w:themeColor="text1"/>
          <w14:textFill>
            <w14:solidFill>
              <w14:schemeClr w14:val="tx1"/>
            </w14:solidFill>
          </w14:textFill>
        </w:rPr>
        <w:t>小时的实验室小试。并结合</w:t>
      </w:r>
      <w:r>
        <w:rPr>
          <w:rFonts w:eastAsia="Times New Roman"/>
          <w:color w:val="000000" w:themeColor="text1"/>
          <w:lang w:bidi="en-US"/>
          <w14:textFill>
            <w14:solidFill>
              <w14:schemeClr w14:val="tx1"/>
            </w14:solidFill>
          </w14:textFill>
        </w:rPr>
        <w:t>GB18484-2020</w:t>
      </w:r>
      <w:r>
        <w:rPr>
          <w:color w:val="000000" w:themeColor="text1"/>
          <w14:textFill>
            <w14:solidFill>
              <w14:schemeClr w14:val="tx1"/>
            </w14:solidFill>
          </w14:textFill>
        </w:rPr>
        <w:t>的排放限值，对化工废盐热解处理装置里重金属的转化和最终形态做了估算，针对几种典型金属元素，其结论摘录如下：</w:t>
      </w:r>
    </w:p>
    <w:p w14:paraId="2A68E2D1">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As</w:t>
      </w:r>
      <w:r>
        <w:rPr>
          <w:color w:val="000000" w:themeColor="text1"/>
          <w14:textFill>
            <w14:solidFill>
              <w14:schemeClr w14:val="tx1"/>
            </w14:solidFill>
          </w14:textFill>
        </w:rPr>
        <w:t>种：由于蒸气分压很高，砷及其化合物应视为挥发性的。砷的化合物</w:t>
      </w:r>
      <w:r>
        <w:rPr>
          <w:rFonts w:eastAsia="Times New Roman"/>
          <w:color w:val="000000" w:themeColor="text1"/>
          <w:lang w:bidi="en-US"/>
          <w14:textFill>
            <w14:solidFill>
              <w14:schemeClr w14:val="tx1"/>
            </w14:solidFill>
          </w14:textFill>
        </w:rPr>
        <w:t>(As</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AsBr</w:t>
      </w:r>
      <w:r>
        <w:rPr>
          <w:rFonts w:eastAsia="Times New Roman"/>
          <w:color w:val="000000" w:themeColor="text1"/>
          <w:vertAlign w:val="subscript"/>
          <w:lang w:bidi="en-US"/>
          <w14:textFill>
            <w14:solidFill>
              <w14:schemeClr w14:val="tx1"/>
            </w14:solidFill>
          </w14:textFill>
        </w:rPr>
        <w:t>3</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AsCl</w:t>
      </w:r>
      <w:r>
        <w:rPr>
          <w:rFonts w:eastAsia="Times New Roman"/>
          <w:color w:val="000000" w:themeColor="text1"/>
          <w:vertAlign w:val="subscript"/>
          <w:lang w:bidi="en-US"/>
          <w14:textFill>
            <w14:solidFill>
              <w14:schemeClr w14:val="tx1"/>
            </w14:solidFill>
          </w14:textFill>
        </w:rPr>
        <w:t>3</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As</w:t>
      </w:r>
      <w:r>
        <w:rPr>
          <w:rFonts w:eastAsia="Times New Roman"/>
          <w:color w:val="000000" w:themeColor="text1"/>
          <w:vertAlign w:val="subscript"/>
          <w:lang w:bidi="en-US"/>
          <w14:textFill>
            <w14:solidFill>
              <w14:schemeClr w14:val="tx1"/>
            </w14:solidFill>
          </w14:textFill>
        </w:rPr>
        <w:t>2</w:t>
      </w:r>
      <w:r>
        <w:rPr>
          <w:rFonts w:eastAsia="Times New Roman"/>
          <w:color w:val="000000" w:themeColor="text1"/>
          <w:lang w:bidi="en-US"/>
          <w14:textFill>
            <w14:solidFill>
              <w14:schemeClr w14:val="tx1"/>
            </w14:solidFill>
          </w14:textFill>
        </w:rPr>
        <w:t>O</w:t>
      </w:r>
      <w:r>
        <w:rPr>
          <w:rFonts w:eastAsia="Times New Roman"/>
          <w:color w:val="000000" w:themeColor="text1"/>
          <w:vertAlign w:val="subscript"/>
          <w:lang w:bidi="en-US"/>
          <w14:textFill>
            <w14:solidFill>
              <w14:schemeClr w14:val="tx1"/>
            </w14:solidFill>
          </w14:textFill>
        </w:rPr>
        <w:t>3</w:t>
      </w:r>
      <w:r>
        <w:rPr>
          <w:color w:val="000000" w:themeColor="text1"/>
          <w:lang w:bidi="en-US"/>
          <w14:textFill>
            <w14:solidFill>
              <w14:schemeClr w14:val="tx1"/>
            </w14:solidFill>
          </w14:textFill>
        </w:rPr>
        <w:t>)</w:t>
      </w:r>
      <w:r>
        <w:rPr>
          <w:color w:val="000000" w:themeColor="text1"/>
          <w14:textFill>
            <w14:solidFill>
              <w14:schemeClr w14:val="tx1"/>
            </w14:solidFill>
          </w14:textFill>
        </w:rPr>
        <w:t>在较低温度下就升华，计算所得的蒸气分压也表明，在典型焚烧温度下，砷应以气态出现。在</w:t>
      </w:r>
      <w:r>
        <w:rPr>
          <w:rFonts w:eastAsia="Times New Roman"/>
          <w:color w:val="000000" w:themeColor="text1"/>
          <w14:textFill>
            <w14:solidFill>
              <w14:schemeClr w14:val="tx1"/>
            </w14:solidFill>
          </w14:textFill>
        </w:rPr>
        <w:t>930</w:t>
      </w:r>
      <w:r>
        <w:rPr>
          <w:color w:val="000000" w:themeColor="text1"/>
          <w14:textFill>
            <w14:solidFill>
              <w14:schemeClr w14:val="tx1"/>
            </w14:solidFill>
          </w14:textFill>
        </w:rPr>
        <w:t>℃时，</w:t>
      </w:r>
      <w:r>
        <w:rPr>
          <w:rFonts w:eastAsia="Times New Roman"/>
          <w:color w:val="000000" w:themeColor="text1"/>
          <w14:textFill>
            <w14:solidFill>
              <w14:schemeClr w14:val="tx1"/>
            </w14:solidFill>
          </w14:textFill>
        </w:rPr>
        <w:t>2~40%</w:t>
      </w:r>
      <w:r>
        <w:rPr>
          <w:color w:val="000000" w:themeColor="text1"/>
          <w14:textFill>
            <w14:solidFill>
              <w14:schemeClr w14:val="tx1"/>
            </w14:solidFill>
          </w14:textFill>
        </w:rPr>
        <w:t>的砷会从烟气排放，而在</w:t>
      </w:r>
      <w:r>
        <w:rPr>
          <w:rFonts w:eastAsia="Times New Roman"/>
          <w:color w:val="000000" w:themeColor="text1"/>
          <w14:textFill>
            <w14:solidFill>
              <w14:schemeClr w14:val="tx1"/>
            </w14:solidFill>
          </w14:textFill>
        </w:rPr>
        <w:t>700~815</w:t>
      </w:r>
      <w:r>
        <w:rPr>
          <w:color w:val="000000" w:themeColor="text1"/>
          <w14:textFill>
            <w14:solidFill>
              <w14:schemeClr w14:val="tx1"/>
            </w14:solidFill>
          </w14:textFill>
        </w:rPr>
        <w:t>℃温度范围内，这一比率不到</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w:t>
      </w:r>
    </w:p>
    <w:p w14:paraId="14D2458B">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Cd</w:t>
      </w:r>
      <w:r>
        <w:rPr>
          <w:color w:val="000000" w:themeColor="text1"/>
          <w14:textFill>
            <w14:solidFill>
              <w14:schemeClr w14:val="tx1"/>
            </w14:solidFill>
          </w14:textFill>
        </w:rPr>
        <w:t>镉：镉的烟气排放与温度相关性不大。在没有烟气排放控制设备时，温度</w:t>
      </w:r>
      <w:r>
        <w:rPr>
          <w:rFonts w:eastAsia="Times New Roman"/>
          <w:color w:val="000000" w:themeColor="text1"/>
          <w14:textFill>
            <w14:solidFill>
              <w14:schemeClr w14:val="tx1"/>
            </w14:solidFill>
          </w14:textFill>
        </w:rPr>
        <w:t>900~930</w:t>
      </w:r>
      <w:r>
        <w:rPr>
          <w:color w:val="000000" w:themeColor="text1"/>
          <w14:textFill>
            <w14:solidFill>
              <w14:schemeClr w14:val="tx1"/>
            </w14:solidFill>
          </w14:textFill>
        </w:rPr>
        <w:t>℃时，镉从烟气侧排放的占率高达</w:t>
      </w:r>
      <w:r>
        <w:rPr>
          <w:rFonts w:eastAsia="Times New Roman"/>
          <w:color w:val="000000" w:themeColor="text1"/>
          <w14:textFill>
            <w14:solidFill>
              <w14:schemeClr w14:val="tx1"/>
            </w14:solidFill>
          </w14:textFill>
        </w:rPr>
        <w:t>40~60%</w:t>
      </w:r>
      <w:r>
        <w:rPr>
          <w:color w:val="000000" w:themeColor="text1"/>
          <w14:textFill>
            <w14:solidFill>
              <w14:schemeClr w14:val="tx1"/>
            </w14:solidFill>
          </w14:textFill>
        </w:rPr>
        <w:t>。</w:t>
      </w:r>
    </w:p>
    <w:p w14:paraId="61C2A243">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Cr</w:t>
      </w:r>
      <w:r>
        <w:rPr>
          <w:color w:val="000000" w:themeColor="text1"/>
          <w14:textFill>
            <w14:solidFill>
              <w14:schemeClr w14:val="tx1"/>
            </w14:solidFill>
          </w14:textFill>
        </w:rPr>
        <w:t>铬：铬进入气相的可能性不大，在</w:t>
      </w:r>
      <w:r>
        <w:rPr>
          <w:rFonts w:eastAsia="Times New Roman"/>
          <w:color w:val="000000" w:themeColor="text1"/>
          <w14:textFill>
            <w14:solidFill>
              <w14:schemeClr w14:val="tx1"/>
            </w14:solidFill>
          </w14:textFill>
        </w:rPr>
        <w:t>760~980</w:t>
      </w:r>
      <w:r>
        <w:rPr>
          <w:color w:val="000000" w:themeColor="text1"/>
          <w14:textFill>
            <w14:solidFill>
              <w14:schemeClr w14:val="tx1"/>
            </w14:solidFill>
          </w14:textFill>
        </w:rPr>
        <w:t>℃温度范围内，只有不到</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的铬会从烟气侧排放。</w:t>
      </w:r>
    </w:p>
    <w:p w14:paraId="555D8E8F">
      <w:pPr>
        <w:ind w:firstLine="480"/>
        <w:rPr>
          <w:rFonts w:eastAsiaTheme="minorEastAsia"/>
          <w:color w:val="000000" w:themeColor="text1"/>
          <w:lang w:bidi="en-US"/>
          <w14:textFill>
            <w14:solidFill>
              <w14:schemeClr w14:val="tx1"/>
            </w14:solidFill>
          </w14:textFill>
        </w:rPr>
      </w:pPr>
      <w:r>
        <w:rPr>
          <w:rFonts w:hint="eastAsia" w:eastAsiaTheme="minorEastAsia"/>
          <w:color w:val="000000" w:themeColor="text1"/>
          <w:lang w:bidi="en-US"/>
          <w14:textFill>
            <w14:solidFill>
              <w14:schemeClr w14:val="tx1"/>
            </w14:solidFill>
          </w14:textFill>
        </w:rPr>
        <w:t>Tl</w:t>
      </w:r>
      <w:r>
        <w:rPr>
          <w:rFonts w:hint="eastAsia"/>
          <w:color w:val="000000" w:themeColor="text1"/>
          <w14:textFill>
            <w14:solidFill>
              <w14:schemeClr w14:val="tx1"/>
            </w14:solidFill>
          </w14:textFill>
        </w:rPr>
        <w:t>铊</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铊</w:t>
      </w:r>
      <w:r>
        <w:rPr>
          <w:color w:val="000000" w:themeColor="text1"/>
          <w14:textFill>
            <w14:solidFill>
              <w14:schemeClr w14:val="tx1"/>
            </w14:solidFill>
          </w14:textFill>
        </w:rPr>
        <w:t>进入气相的可能性不大，在</w:t>
      </w:r>
      <w:r>
        <w:rPr>
          <w:rFonts w:eastAsia="Times New Roman"/>
          <w:color w:val="000000" w:themeColor="text1"/>
          <w14:textFill>
            <w14:solidFill>
              <w14:schemeClr w14:val="tx1"/>
            </w14:solidFill>
          </w14:textFill>
        </w:rPr>
        <w:t>760~980</w:t>
      </w:r>
      <w:r>
        <w:rPr>
          <w:color w:val="000000" w:themeColor="text1"/>
          <w14:textFill>
            <w14:solidFill>
              <w14:schemeClr w14:val="tx1"/>
            </w14:solidFill>
          </w14:textFill>
        </w:rPr>
        <w:t>℃温度范围内，只有不到</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铊</w:t>
      </w:r>
      <w:r>
        <w:rPr>
          <w:color w:val="000000" w:themeColor="text1"/>
          <w14:textFill>
            <w14:solidFill>
              <w14:schemeClr w14:val="tx1"/>
            </w14:solidFill>
          </w14:textFill>
        </w:rPr>
        <w:t>会从烟气侧排放。</w:t>
      </w:r>
    </w:p>
    <w:p w14:paraId="02D7CA19">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Cu</w:t>
      </w:r>
      <w:r>
        <w:rPr>
          <w:color w:val="000000" w:themeColor="text1"/>
          <w14:textFill>
            <w14:solidFill>
              <w14:schemeClr w14:val="tx1"/>
            </w14:solidFill>
          </w14:textFill>
        </w:rPr>
        <w:t>铜：温度</w:t>
      </w:r>
      <w:r>
        <w:rPr>
          <w:rFonts w:eastAsia="Times New Roman"/>
          <w:color w:val="000000" w:themeColor="text1"/>
          <w14:textFill>
            <w14:solidFill>
              <w14:schemeClr w14:val="tx1"/>
            </w14:solidFill>
          </w14:textFill>
        </w:rPr>
        <w:t>730</w:t>
      </w:r>
      <w:r>
        <w:rPr>
          <w:color w:val="000000" w:themeColor="text1"/>
          <w14:textFill>
            <w14:solidFill>
              <w14:schemeClr w14:val="tx1"/>
            </w14:solidFill>
          </w14:textFill>
        </w:rPr>
        <w:t>℃以下时，不到</w:t>
      </w:r>
      <w:r>
        <w:rPr>
          <w:rFonts w:eastAsia="Times New Roman"/>
          <w:color w:val="000000" w:themeColor="text1"/>
          <w14:textFill>
            <w14:solidFill>
              <w14:schemeClr w14:val="tx1"/>
            </w14:solidFill>
          </w14:textFill>
        </w:rPr>
        <w:t>0.01%</w:t>
      </w:r>
      <w:r>
        <w:rPr>
          <w:color w:val="000000" w:themeColor="text1"/>
          <w14:textFill>
            <w14:solidFill>
              <w14:schemeClr w14:val="tx1"/>
            </w14:solidFill>
          </w14:textFill>
        </w:rPr>
        <w:t>的铜进入气相；另有报道指，</w:t>
      </w:r>
      <w:r>
        <w:rPr>
          <w:rFonts w:eastAsia="Times New Roman"/>
          <w:color w:val="000000" w:themeColor="text1"/>
          <w14:textFill>
            <w14:solidFill>
              <w14:schemeClr w14:val="tx1"/>
            </w14:solidFill>
          </w14:textFill>
        </w:rPr>
        <w:t>900</w:t>
      </w:r>
      <w:r>
        <w:rPr>
          <w:color w:val="000000" w:themeColor="text1"/>
          <w14:textFill>
            <w14:solidFill>
              <w14:schemeClr w14:val="tx1"/>
            </w14:solidFill>
          </w14:textFill>
        </w:rPr>
        <w:t>℃时铜进入气相的比率为</w:t>
      </w:r>
      <w:r>
        <w:rPr>
          <w:rFonts w:eastAsia="Times New Roman"/>
          <w:color w:val="000000" w:themeColor="text1"/>
          <w14:textFill>
            <w14:solidFill>
              <w14:schemeClr w14:val="tx1"/>
            </w14:solidFill>
          </w14:textFill>
        </w:rPr>
        <w:t>6%</w:t>
      </w:r>
      <w:r>
        <w:rPr>
          <w:color w:val="000000" w:themeColor="text1"/>
          <w14:textFill>
            <w14:solidFill>
              <w14:schemeClr w14:val="tx1"/>
            </w14:solidFill>
          </w14:textFill>
        </w:rPr>
        <w:t>。</w:t>
      </w:r>
    </w:p>
    <w:p w14:paraId="2B70C7D2">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Pb</w:t>
      </w:r>
      <w:r>
        <w:rPr>
          <w:color w:val="000000" w:themeColor="text1"/>
          <w14:textFill>
            <w14:solidFill>
              <w14:schemeClr w14:val="tx1"/>
            </w14:solidFill>
          </w14:textFill>
        </w:rPr>
        <w:t>铅：金属铅的蒸气分压并不高，但氯化铅比金属铅和氧化铅都更具挥发性。实测</w:t>
      </w:r>
      <w:r>
        <w:rPr>
          <w:rFonts w:eastAsia="Times New Roman"/>
          <w:color w:val="000000" w:themeColor="text1"/>
          <w14:textFill>
            <w14:solidFill>
              <w14:schemeClr w14:val="tx1"/>
            </w14:solidFill>
          </w14:textFill>
        </w:rPr>
        <w:t>730</w:t>
      </w:r>
      <w:r>
        <w:rPr>
          <w:color w:val="000000" w:themeColor="text1"/>
          <w14:textFill>
            <w14:solidFill>
              <w14:schemeClr w14:val="tx1"/>
            </w14:solidFill>
          </w14:textFill>
        </w:rPr>
        <w:t>℃时，铅的气相比率为</w:t>
      </w:r>
      <w:r>
        <w:rPr>
          <w:rFonts w:eastAsia="Times New Roman"/>
          <w:color w:val="000000" w:themeColor="text1"/>
          <w14:textFill>
            <w14:solidFill>
              <w14:schemeClr w14:val="tx1"/>
            </w14:solidFill>
          </w14:textFill>
        </w:rPr>
        <w:t>0.03%</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815</w:t>
      </w:r>
      <w:r>
        <w:rPr>
          <w:color w:val="000000" w:themeColor="text1"/>
          <w14:textFill>
            <w14:solidFill>
              <w14:schemeClr w14:val="tx1"/>
            </w14:solidFill>
          </w14:textFill>
        </w:rPr>
        <w:t>为不到</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900</w:t>
      </w:r>
      <w:r>
        <w:rPr>
          <w:color w:val="000000" w:themeColor="text1"/>
          <w14:textFill>
            <w14:solidFill>
              <w14:schemeClr w14:val="tx1"/>
            </w14:solidFill>
          </w14:textFill>
        </w:rPr>
        <w:t>℃时这一比率增至约</w:t>
      </w:r>
      <w:r>
        <w:rPr>
          <w:rFonts w:eastAsia="Times New Roman"/>
          <w:color w:val="000000" w:themeColor="text1"/>
          <w14:textFill>
            <w14:solidFill>
              <w14:schemeClr w14:val="tx1"/>
            </w14:solidFill>
          </w14:textFill>
        </w:rPr>
        <w:t>20%</w:t>
      </w:r>
      <w:r>
        <w:rPr>
          <w:color w:val="000000" w:themeColor="text1"/>
          <w14:textFill>
            <w14:solidFill>
              <w14:schemeClr w14:val="tx1"/>
            </w14:solidFill>
          </w14:textFill>
        </w:rPr>
        <w:t>。</w:t>
      </w:r>
    </w:p>
    <w:p w14:paraId="20AE999C">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Hg</w:t>
      </w:r>
      <w:r>
        <w:rPr>
          <w:color w:val="000000" w:themeColor="text1"/>
          <w14:textFill>
            <w14:solidFill>
              <w14:schemeClr w14:val="tx1"/>
            </w14:solidFill>
          </w14:textFill>
        </w:rPr>
        <w:t>汞：汞时最具挥发性的金属元素。</w:t>
      </w:r>
      <w:r>
        <w:rPr>
          <w:rFonts w:eastAsia="Times New Roman"/>
          <w:color w:val="000000" w:themeColor="text1"/>
          <w14:textFill>
            <w14:solidFill>
              <w14:schemeClr w14:val="tx1"/>
            </w14:solidFill>
          </w14:textFill>
        </w:rPr>
        <w:t>700</w:t>
      </w:r>
      <w:r>
        <w:rPr>
          <w:color w:val="000000" w:themeColor="text1"/>
          <w14:textFill>
            <w14:solidFill>
              <w14:schemeClr w14:val="tx1"/>
            </w14:solidFill>
          </w14:textFill>
        </w:rPr>
        <w:t>℃以上时，只有</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量级的汞仍保留在固相理，进入气相的比率高达</w:t>
      </w:r>
      <w:r>
        <w:rPr>
          <w:rFonts w:eastAsia="Times New Roman"/>
          <w:color w:val="000000" w:themeColor="text1"/>
          <w14:textFill>
            <w14:solidFill>
              <w14:schemeClr w14:val="tx1"/>
            </w14:solidFill>
          </w14:textFill>
        </w:rPr>
        <w:t>98~100%</w:t>
      </w:r>
      <w:r>
        <w:rPr>
          <w:color w:val="000000" w:themeColor="text1"/>
          <w14:textFill>
            <w14:solidFill>
              <w14:schemeClr w14:val="tx1"/>
            </w14:solidFill>
          </w14:textFill>
        </w:rPr>
        <w:t>。</w:t>
      </w:r>
    </w:p>
    <w:p w14:paraId="6547C9BD">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Ni</w:t>
      </w:r>
      <w:r>
        <w:rPr>
          <w:color w:val="000000" w:themeColor="text1"/>
          <w14:textFill>
            <w14:solidFill>
              <w14:schemeClr w14:val="tx1"/>
            </w14:solidFill>
          </w14:textFill>
        </w:rPr>
        <w:t>镍：</w:t>
      </w:r>
      <w:r>
        <w:rPr>
          <w:rFonts w:eastAsia="Times New Roman"/>
          <w:color w:val="000000" w:themeColor="text1"/>
          <w14:textFill>
            <w14:solidFill>
              <w14:schemeClr w14:val="tx1"/>
            </w14:solidFill>
          </w14:textFill>
        </w:rPr>
        <w:t>900</w:t>
      </w:r>
      <w:r>
        <w:rPr>
          <w:color w:val="000000" w:themeColor="text1"/>
          <w14:textFill>
            <w14:solidFill>
              <w14:schemeClr w14:val="tx1"/>
            </w14:solidFill>
          </w14:textFill>
        </w:rPr>
        <w:t>℃时，只有不到</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的镍元素进入气相。</w:t>
      </w:r>
    </w:p>
    <w:p w14:paraId="15F95827">
      <w:pPr>
        <w:ind w:firstLine="480"/>
        <w:rPr>
          <w:color w:val="000000" w:themeColor="text1"/>
          <w14:textFill>
            <w14:solidFill>
              <w14:schemeClr w14:val="tx1"/>
            </w14:solidFill>
          </w14:textFill>
        </w:rPr>
      </w:pPr>
      <w:r>
        <w:rPr>
          <w:color w:val="000000" w:themeColor="text1"/>
          <w14:textFill>
            <w14:solidFill>
              <w14:schemeClr w14:val="tx1"/>
            </w14:solidFill>
          </w14:textFill>
        </w:rPr>
        <w:t>结果列于表</w:t>
      </w:r>
      <w:r>
        <w:rPr>
          <w:rFonts w:eastAsia="Times New Roman"/>
          <w:color w:val="000000" w:themeColor="text1"/>
          <w14:textFill>
            <w14:solidFill>
              <w14:schemeClr w14:val="tx1"/>
            </w14:solidFill>
          </w14:textFill>
        </w:rPr>
        <w:t>3.6-3</w:t>
      </w:r>
      <w:r>
        <w:rPr>
          <w:color w:val="000000" w:themeColor="text1"/>
          <w14:textFill>
            <w14:solidFill>
              <w14:schemeClr w14:val="tx1"/>
            </w14:solidFill>
          </w14:textFill>
        </w:rPr>
        <w:t>中。</w:t>
      </w:r>
    </w:p>
    <w:p w14:paraId="19B7818C">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处理后金属元素在废气中的比率</w:t>
      </w:r>
    </w:p>
    <w:tbl>
      <w:tblPr>
        <w:tblStyle w:val="76"/>
        <w:tblW w:w="5000" w:type="pct"/>
        <w:jc w:val="center"/>
        <w:tblLayout w:type="autofit"/>
        <w:tblCellMar>
          <w:top w:w="0" w:type="dxa"/>
          <w:left w:w="10" w:type="dxa"/>
          <w:bottom w:w="0" w:type="dxa"/>
          <w:right w:w="10" w:type="dxa"/>
        </w:tblCellMar>
      </w:tblPr>
      <w:tblGrid>
        <w:gridCol w:w="1984"/>
        <w:gridCol w:w="1798"/>
        <w:gridCol w:w="1828"/>
        <w:gridCol w:w="1092"/>
        <w:gridCol w:w="1632"/>
        <w:gridCol w:w="1098"/>
      </w:tblGrid>
      <w:tr w14:paraId="3428EF2F">
        <w:tblPrEx>
          <w:tblCellMar>
            <w:top w:w="0" w:type="dxa"/>
            <w:left w:w="10" w:type="dxa"/>
            <w:bottom w:w="0" w:type="dxa"/>
            <w:right w:w="10" w:type="dxa"/>
          </w:tblCellMar>
        </w:tblPrEx>
        <w:trPr>
          <w:jc w:val="center"/>
        </w:trPr>
        <w:tc>
          <w:tcPr>
            <w:tcW w:w="1052" w:type="pct"/>
            <w:vMerge w:val="restart"/>
            <w:tcBorders>
              <w:top w:val="single" w:color="auto" w:sz="4" w:space="0"/>
              <w:left w:val="single" w:color="auto" w:sz="4" w:space="0"/>
            </w:tcBorders>
            <w:vAlign w:val="center"/>
          </w:tcPr>
          <w:p w14:paraId="2FF1A63C">
            <w:pPr>
              <w:pStyle w:val="74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重金属元素</w:t>
            </w:r>
          </w:p>
        </w:tc>
        <w:tc>
          <w:tcPr>
            <w:tcW w:w="1922" w:type="pct"/>
            <w:gridSpan w:val="2"/>
            <w:tcBorders>
              <w:top w:val="single" w:color="auto" w:sz="4" w:space="0"/>
              <w:left w:val="single" w:color="auto" w:sz="4" w:space="0"/>
            </w:tcBorders>
            <w:vAlign w:val="center"/>
          </w:tcPr>
          <w:p w14:paraId="6483257C">
            <w:pPr>
              <w:pStyle w:val="74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气相比率</w:t>
            </w:r>
          </w:p>
        </w:tc>
        <w:tc>
          <w:tcPr>
            <w:tcW w:w="579" w:type="pct"/>
            <w:tcBorders>
              <w:top w:val="single" w:color="auto" w:sz="4" w:space="0"/>
              <w:left w:val="single" w:color="auto" w:sz="4" w:space="0"/>
            </w:tcBorders>
            <w:vAlign w:val="center"/>
          </w:tcPr>
          <w:p w14:paraId="1641F026">
            <w:pPr>
              <w:pStyle w:val="74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推荐值</w:t>
            </w:r>
          </w:p>
        </w:tc>
        <w:tc>
          <w:tcPr>
            <w:tcW w:w="865" w:type="pct"/>
            <w:tcBorders>
              <w:top w:val="single" w:color="auto" w:sz="4" w:space="0"/>
              <w:left w:val="single" w:color="auto" w:sz="4" w:space="0"/>
            </w:tcBorders>
            <w:vAlign w:val="center"/>
          </w:tcPr>
          <w:p w14:paraId="7AA69D12">
            <w:pPr>
              <w:pStyle w:val="74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入炉标准</w:t>
            </w:r>
          </w:p>
        </w:tc>
        <w:tc>
          <w:tcPr>
            <w:tcW w:w="582" w:type="pct"/>
            <w:vMerge w:val="restart"/>
            <w:tcBorders>
              <w:top w:val="single" w:color="auto" w:sz="4" w:space="0"/>
              <w:left w:val="single" w:color="auto" w:sz="4" w:space="0"/>
              <w:right w:val="single" w:color="auto" w:sz="4" w:space="0"/>
            </w:tcBorders>
            <w:vAlign w:val="center"/>
          </w:tcPr>
          <w:p w14:paraId="64E4AF60">
            <w:pPr>
              <w:pStyle w:val="74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烟气排放比率</w:t>
            </w:r>
          </w:p>
        </w:tc>
      </w:tr>
      <w:tr w14:paraId="77E3ADE1">
        <w:tblPrEx>
          <w:tblCellMar>
            <w:top w:w="0" w:type="dxa"/>
            <w:left w:w="10" w:type="dxa"/>
            <w:bottom w:w="0" w:type="dxa"/>
            <w:right w:w="10" w:type="dxa"/>
          </w:tblCellMar>
        </w:tblPrEx>
        <w:trPr>
          <w:jc w:val="center"/>
        </w:trPr>
        <w:tc>
          <w:tcPr>
            <w:tcW w:w="1052" w:type="pct"/>
            <w:vMerge w:val="continue"/>
            <w:tcBorders>
              <w:left w:val="single" w:color="auto" w:sz="4" w:space="0"/>
            </w:tcBorders>
            <w:vAlign w:val="center"/>
          </w:tcPr>
          <w:p w14:paraId="216CBAD6">
            <w:pPr>
              <w:pStyle w:val="740"/>
              <w:rPr>
                <w:rFonts w:ascii="Times New Roman" w:hAnsi="Times New Roman"/>
                <w:color w:val="000000" w:themeColor="text1"/>
                <w14:textFill>
                  <w14:solidFill>
                    <w14:schemeClr w14:val="tx1"/>
                  </w14:solidFill>
                </w14:textFill>
              </w:rPr>
            </w:pPr>
          </w:p>
        </w:tc>
        <w:tc>
          <w:tcPr>
            <w:tcW w:w="953" w:type="pct"/>
            <w:tcBorders>
              <w:top w:val="single" w:color="auto" w:sz="4" w:space="0"/>
              <w:left w:val="single" w:color="auto" w:sz="4" w:space="0"/>
            </w:tcBorders>
            <w:vAlign w:val="center"/>
          </w:tcPr>
          <w:p w14:paraId="634878A2">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700-815</w:t>
            </w:r>
            <w:r>
              <w:rPr>
                <w:rFonts w:ascii="Times New Roman" w:hAnsi="Times New Roman"/>
                <w:color w:val="000000" w:themeColor="text1"/>
                <w14:textFill>
                  <w14:solidFill>
                    <w14:schemeClr w14:val="tx1"/>
                  </w14:solidFill>
                </w14:textFill>
              </w:rPr>
              <w:t>℃</w:t>
            </w:r>
          </w:p>
        </w:tc>
        <w:tc>
          <w:tcPr>
            <w:tcW w:w="969" w:type="pct"/>
            <w:tcBorders>
              <w:top w:val="single" w:color="auto" w:sz="4" w:space="0"/>
              <w:left w:val="single" w:color="auto" w:sz="4" w:space="0"/>
            </w:tcBorders>
            <w:vAlign w:val="center"/>
          </w:tcPr>
          <w:p w14:paraId="6E48D755">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900~930</w:t>
            </w:r>
            <w:r>
              <w:rPr>
                <w:rFonts w:ascii="Times New Roman" w:hAnsi="Times New Roman"/>
                <w:color w:val="000000" w:themeColor="text1"/>
                <w14:textFill>
                  <w14:solidFill>
                    <w14:schemeClr w14:val="tx1"/>
                  </w14:solidFill>
                </w14:textFill>
              </w:rPr>
              <w:t>℃</w:t>
            </w:r>
          </w:p>
        </w:tc>
        <w:tc>
          <w:tcPr>
            <w:tcW w:w="579" w:type="pct"/>
            <w:tcBorders>
              <w:top w:val="single" w:color="auto" w:sz="4" w:space="0"/>
              <w:left w:val="single" w:color="auto" w:sz="4" w:space="0"/>
            </w:tcBorders>
            <w:vAlign w:val="center"/>
          </w:tcPr>
          <w:p w14:paraId="7B79DB13">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900</w:t>
            </w:r>
            <w:r>
              <w:rPr>
                <w:rFonts w:ascii="Times New Roman" w:hAnsi="Times New Roman"/>
                <w:color w:val="000000" w:themeColor="text1"/>
                <w14:textFill>
                  <w14:solidFill>
                    <w14:schemeClr w14:val="tx1"/>
                  </w14:solidFill>
                </w14:textFill>
              </w:rPr>
              <w:t>℃</w:t>
            </w:r>
          </w:p>
        </w:tc>
        <w:tc>
          <w:tcPr>
            <w:tcW w:w="865" w:type="pct"/>
            <w:tcBorders>
              <w:top w:val="single" w:color="auto" w:sz="4" w:space="0"/>
              <w:left w:val="single" w:color="auto" w:sz="4" w:space="0"/>
            </w:tcBorders>
            <w:vAlign w:val="center"/>
          </w:tcPr>
          <w:p w14:paraId="0CD66A35">
            <w:pPr>
              <w:pStyle w:val="74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单位</w:t>
            </w:r>
            <w:r>
              <w:rPr>
                <w:rFonts w:ascii="Times New Roman" w:hAnsi="Times New Roman"/>
                <w:color w:val="000000" w:themeColor="text1"/>
                <w:lang w:eastAsia="en-US" w:bidi="en-US"/>
                <w14:textFill>
                  <w14:solidFill>
                    <w14:schemeClr w14:val="tx1"/>
                  </w14:solidFill>
                </w14:textFill>
              </w:rPr>
              <w:t>（</w:t>
            </w:r>
            <w:r>
              <w:rPr>
                <w:rFonts w:ascii="Times New Roman" w:hAnsi="Times New Roman" w:eastAsia="Times New Roman"/>
                <w:color w:val="000000" w:themeColor="text1"/>
                <w:lang w:eastAsia="en-US" w:bidi="en-US"/>
                <w14:textFill>
                  <w14:solidFill>
                    <w14:schemeClr w14:val="tx1"/>
                  </w14:solidFill>
                </w14:textFill>
              </w:rPr>
              <w:t>mg/</w:t>
            </w:r>
            <w:r>
              <w:rPr>
                <w:rFonts w:ascii="Times New Roman" w:hAnsi="Times New Roman" w:eastAsiaTheme="minorEastAsia"/>
                <w:color w:val="000000" w:themeColor="text1"/>
                <w:lang w:bidi="en-US"/>
                <w14:textFill>
                  <w14:solidFill>
                    <w14:schemeClr w14:val="tx1"/>
                  </w14:solidFill>
                </w14:textFill>
              </w:rPr>
              <w:t>kg</w:t>
            </w:r>
            <w:r>
              <w:rPr>
                <w:rFonts w:ascii="Times New Roman" w:hAnsi="Times New Roman"/>
                <w:color w:val="000000" w:themeColor="text1"/>
                <w:lang w:eastAsia="en-US" w:bidi="en-US"/>
                <w14:textFill>
                  <w14:solidFill>
                    <w14:schemeClr w14:val="tx1"/>
                  </w14:solidFill>
                </w14:textFill>
              </w:rPr>
              <w:t>）</w:t>
            </w:r>
          </w:p>
        </w:tc>
        <w:tc>
          <w:tcPr>
            <w:tcW w:w="582" w:type="pct"/>
            <w:vMerge w:val="continue"/>
            <w:tcBorders>
              <w:left w:val="single" w:color="auto" w:sz="4" w:space="0"/>
              <w:right w:val="single" w:color="auto" w:sz="4" w:space="0"/>
            </w:tcBorders>
            <w:vAlign w:val="center"/>
          </w:tcPr>
          <w:p w14:paraId="18B521F0">
            <w:pPr>
              <w:pStyle w:val="740"/>
              <w:rPr>
                <w:rFonts w:ascii="Times New Roman" w:hAnsi="Times New Roman"/>
                <w:color w:val="000000" w:themeColor="text1"/>
                <w14:textFill>
                  <w14:solidFill>
                    <w14:schemeClr w14:val="tx1"/>
                  </w14:solidFill>
                </w14:textFill>
              </w:rPr>
            </w:pPr>
          </w:p>
        </w:tc>
      </w:tr>
      <w:tr w14:paraId="24768F3F">
        <w:tblPrEx>
          <w:tblCellMar>
            <w:top w:w="0" w:type="dxa"/>
            <w:left w:w="10" w:type="dxa"/>
            <w:bottom w:w="0" w:type="dxa"/>
            <w:right w:w="10" w:type="dxa"/>
          </w:tblCellMar>
        </w:tblPrEx>
        <w:trPr>
          <w:jc w:val="center"/>
        </w:trPr>
        <w:tc>
          <w:tcPr>
            <w:tcW w:w="1052" w:type="pct"/>
            <w:tcBorders>
              <w:top w:val="single" w:color="auto" w:sz="4" w:space="0"/>
              <w:left w:val="single" w:color="auto" w:sz="4" w:space="0"/>
            </w:tcBorders>
            <w:vAlign w:val="center"/>
          </w:tcPr>
          <w:p w14:paraId="74928BB1">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As</w:t>
            </w:r>
            <w:r>
              <w:rPr>
                <w:rFonts w:ascii="Times New Roman" w:hAnsi="Times New Roman"/>
                <w:color w:val="000000" w:themeColor="text1"/>
                <w14:textFill>
                  <w14:solidFill>
                    <w14:schemeClr w14:val="tx1"/>
                  </w14:solidFill>
                </w14:textFill>
              </w:rPr>
              <w:t>砷</w:t>
            </w:r>
          </w:p>
        </w:tc>
        <w:tc>
          <w:tcPr>
            <w:tcW w:w="953" w:type="pct"/>
            <w:tcBorders>
              <w:top w:val="single" w:color="auto" w:sz="4" w:space="0"/>
              <w:left w:val="single" w:color="auto" w:sz="4" w:space="0"/>
            </w:tcBorders>
            <w:vAlign w:val="center"/>
          </w:tcPr>
          <w:p w14:paraId="3506085A">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&lt;0.01</w:t>
            </w:r>
          </w:p>
        </w:tc>
        <w:tc>
          <w:tcPr>
            <w:tcW w:w="969" w:type="pct"/>
            <w:tcBorders>
              <w:top w:val="single" w:color="auto" w:sz="4" w:space="0"/>
              <w:left w:val="single" w:color="auto" w:sz="4" w:space="0"/>
            </w:tcBorders>
            <w:vAlign w:val="center"/>
          </w:tcPr>
          <w:p w14:paraId="437B32B2">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0.02~0.40</w:t>
            </w:r>
          </w:p>
        </w:tc>
        <w:tc>
          <w:tcPr>
            <w:tcW w:w="579" w:type="pct"/>
            <w:tcBorders>
              <w:top w:val="single" w:color="auto" w:sz="4" w:space="0"/>
              <w:left w:val="single" w:color="auto" w:sz="4" w:space="0"/>
            </w:tcBorders>
            <w:vAlign w:val="center"/>
          </w:tcPr>
          <w:p w14:paraId="6854B3DF">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0.4</w:t>
            </w:r>
          </w:p>
        </w:tc>
        <w:tc>
          <w:tcPr>
            <w:tcW w:w="865" w:type="pct"/>
            <w:tcBorders>
              <w:top w:val="single" w:color="auto" w:sz="4" w:space="0"/>
              <w:left w:val="single" w:color="auto" w:sz="4" w:space="0"/>
            </w:tcBorders>
            <w:vAlign w:val="center"/>
          </w:tcPr>
          <w:p w14:paraId="148570B8">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5</w:t>
            </w:r>
          </w:p>
        </w:tc>
        <w:tc>
          <w:tcPr>
            <w:tcW w:w="582" w:type="pct"/>
            <w:tcBorders>
              <w:top w:val="single" w:color="auto" w:sz="4" w:space="0"/>
              <w:left w:val="single" w:color="auto" w:sz="4" w:space="0"/>
              <w:right w:val="single" w:color="auto" w:sz="4" w:space="0"/>
            </w:tcBorders>
            <w:vAlign w:val="center"/>
          </w:tcPr>
          <w:p w14:paraId="5E41FC3D">
            <w:pPr>
              <w:pStyle w:val="740"/>
              <w:rPr>
                <w:rFonts w:ascii="Times New Roman" w:hAnsi="Times New Roman"/>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40.0%</w:t>
            </w:r>
          </w:p>
        </w:tc>
      </w:tr>
      <w:tr w14:paraId="79299F64">
        <w:tblPrEx>
          <w:tblCellMar>
            <w:top w:w="0" w:type="dxa"/>
            <w:left w:w="10" w:type="dxa"/>
            <w:bottom w:w="0" w:type="dxa"/>
            <w:right w:w="10" w:type="dxa"/>
          </w:tblCellMar>
        </w:tblPrEx>
        <w:trPr>
          <w:jc w:val="center"/>
        </w:trPr>
        <w:tc>
          <w:tcPr>
            <w:tcW w:w="1052" w:type="pct"/>
            <w:tcBorders>
              <w:top w:val="single" w:color="auto" w:sz="4" w:space="0"/>
              <w:left w:val="single" w:color="auto" w:sz="4" w:space="0"/>
            </w:tcBorders>
            <w:vAlign w:val="center"/>
          </w:tcPr>
          <w:p w14:paraId="73622A9E">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Cd</w:t>
            </w:r>
            <w:r>
              <w:rPr>
                <w:rFonts w:ascii="Times New Roman" w:hAnsi="Times New Roman"/>
                <w:color w:val="000000" w:themeColor="text1"/>
                <w14:textFill>
                  <w14:solidFill>
                    <w14:schemeClr w14:val="tx1"/>
                  </w14:solidFill>
                </w14:textFill>
              </w:rPr>
              <w:t>镉</w:t>
            </w:r>
          </w:p>
        </w:tc>
        <w:tc>
          <w:tcPr>
            <w:tcW w:w="953" w:type="pct"/>
            <w:tcBorders>
              <w:top w:val="single" w:color="auto" w:sz="4" w:space="0"/>
              <w:left w:val="single" w:color="auto" w:sz="4" w:space="0"/>
            </w:tcBorders>
          </w:tcPr>
          <w:p w14:paraId="1809DB39">
            <w:pPr>
              <w:pStyle w:val="740"/>
              <w:rPr>
                <w:rFonts w:ascii="Times New Roman" w:hAnsi="Times New Roman"/>
                <w:color w:val="000000" w:themeColor="text1"/>
                <w:sz w:val="10"/>
                <w:szCs w:val="10"/>
                <w14:textFill>
                  <w14:solidFill>
                    <w14:schemeClr w14:val="tx1"/>
                  </w14:solidFill>
                </w14:textFill>
              </w:rPr>
            </w:pPr>
          </w:p>
        </w:tc>
        <w:tc>
          <w:tcPr>
            <w:tcW w:w="969" w:type="pct"/>
            <w:tcBorders>
              <w:top w:val="single" w:color="auto" w:sz="4" w:space="0"/>
              <w:left w:val="single" w:color="auto" w:sz="4" w:space="0"/>
            </w:tcBorders>
            <w:vAlign w:val="center"/>
          </w:tcPr>
          <w:p w14:paraId="4D2BDBDE">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0.4~0.6</w:t>
            </w:r>
          </w:p>
        </w:tc>
        <w:tc>
          <w:tcPr>
            <w:tcW w:w="579" w:type="pct"/>
            <w:tcBorders>
              <w:top w:val="single" w:color="auto" w:sz="4" w:space="0"/>
              <w:left w:val="single" w:color="auto" w:sz="4" w:space="0"/>
            </w:tcBorders>
            <w:vAlign w:val="center"/>
          </w:tcPr>
          <w:p w14:paraId="269EBC66">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0.6</w:t>
            </w:r>
          </w:p>
        </w:tc>
        <w:tc>
          <w:tcPr>
            <w:tcW w:w="865" w:type="pct"/>
            <w:tcBorders>
              <w:top w:val="single" w:color="auto" w:sz="4" w:space="0"/>
              <w:left w:val="single" w:color="auto" w:sz="4" w:space="0"/>
            </w:tcBorders>
            <w:vAlign w:val="center"/>
          </w:tcPr>
          <w:p w14:paraId="32AE6C59">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0.5</w:t>
            </w:r>
          </w:p>
        </w:tc>
        <w:tc>
          <w:tcPr>
            <w:tcW w:w="582" w:type="pct"/>
            <w:tcBorders>
              <w:top w:val="single" w:color="auto" w:sz="4" w:space="0"/>
              <w:left w:val="single" w:color="auto" w:sz="4" w:space="0"/>
              <w:right w:val="single" w:color="auto" w:sz="4" w:space="0"/>
            </w:tcBorders>
            <w:vAlign w:val="center"/>
          </w:tcPr>
          <w:p w14:paraId="687F5D42">
            <w:pPr>
              <w:pStyle w:val="740"/>
              <w:rPr>
                <w:rFonts w:ascii="Times New Roman" w:hAnsi="Times New Roman"/>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60.0%</w:t>
            </w:r>
          </w:p>
        </w:tc>
      </w:tr>
      <w:tr w14:paraId="3954D024">
        <w:tblPrEx>
          <w:tblCellMar>
            <w:top w:w="0" w:type="dxa"/>
            <w:left w:w="10" w:type="dxa"/>
            <w:bottom w:w="0" w:type="dxa"/>
            <w:right w:w="10" w:type="dxa"/>
          </w:tblCellMar>
        </w:tblPrEx>
        <w:trPr>
          <w:jc w:val="center"/>
        </w:trPr>
        <w:tc>
          <w:tcPr>
            <w:tcW w:w="1052" w:type="pct"/>
            <w:tcBorders>
              <w:top w:val="single" w:color="auto" w:sz="4" w:space="0"/>
              <w:left w:val="single" w:color="auto" w:sz="4" w:space="0"/>
            </w:tcBorders>
            <w:vAlign w:val="center"/>
          </w:tcPr>
          <w:p w14:paraId="4CD4A72E">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Cr</w:t>
            </w:r>
            <w:r>
              <w:rPr>
                <w:rFonts w:ascii="Times New Roman" w:hAnsi="Times New Roman" w:eastAsiaTheme="minorEastAsia"/>
                <w:color w:val="000000" w:themeColor="text1"/>
                <w:vertAlign w:val="superscript"/>
                <w:lang w:bidi="en-US"/>
                <w14:textFill>
                  <w14:solidFill>
                    <w14:schemeClr w14:val="tx1"/>
                  </w14:solidFill>
                </w14:textFill>
              </w:rPr>
              <w:t>6+</w:t>
            </w:r>
            <w:r>
              <w:rPr>
                <w:rFonts w:ascii="Times New Roman" w:hAnsi="Times New Roman"/>
                <w:color w:val="000000" w:themeColor="text1"/>
                <w14:textFill>
                  <w14:solidFill>
                    <w14:schemeClr w14:val="tx1"/>
                  </w14:solidFill>
                </w14:textFill>
              </w:rPr>
              <w:t>铬</w:t>
            </w:r>
          </w:p>
        </w:tc>
        <w:tc>
          <w:tcPr>
            <w:tcW w:w="953" w:type="pct"/>
            <w:tcBorders>
              <w:top w:val="single" w:color="auto" w:sz="4" w:space="0"/>
              <w:left w:val="single" w:color="auto" w:sz="4" w:space="0"/>
            </w:tcBorders>
          </w:tcPr>
          <w:p w14:paraId="151E6043">
            <w:pPr>
              <w:pStyle w:val="740"/>
              <w:rPr>
                <w:rFonts w:ascii="Times New Roman" w:hAnsi="Times New Roman"/>
                <w:color w:val="000000" w:themeColor="text1"/>
                <w:sz w:val="10"/>
                <w:szCs w:val="10"/>
                <w14:textFill>
                  <w14:solidFill>
                    <w14:schemeClr w14:val="tx1"/>
                  </w14:solidFill>
                </w14:textFill>
              </w:rPr>
            </w:pPr>
          </w:p>
        </w:tc>
        <w:tc>
          <w:tcPr>
            <w:tcW w:w="969" w:type="pct"/>
            <w:tcBorders>
              <w:top w:val="single" w:color="auto" w:sz="4" w:space="0"/>
              <w:left w:val="single" w:color="auto" w:sz="4" w:space="0"/>
            </w:tcBorders>
            <w:vAlign w:val="center"/>
          </w:tcPr>
          <w:p w14:paraId="495FA7EE">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&lt;0.01</w:t>
            </w:r>
          </w:p>
        </w:tc>
        <w:tc>
          <w:tcPr>
            <w:tcW w:w="579" w:type="pct"/>
            <w:tcBorders>
              <w:top w:val="single" w:color="auto" w:sz="4" w:space="0"/>
              <w:left w:val="single" w:color="auto" w:sz="4" w:space="0"/>
            </w:tcBorders>
            <w:vAlign w:val="center"/>
          </w:tcPr>
          <w:p w14:paraId="75BA3B23">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0.01</w:t>
            </w:r>
          </w:p>
        </w:tc>
        <w:tc>
          <w:tcPr>
            <w:tcW w:w="865" w:type="pct"/>
            <w:tcBorders>
              <w:top w:val="single" w:color="auto" w:sz="4" w:space="0"/>
              <w:left w:val="single" w:color="auto" w:sz="4" w:space="0"/>
            </w:tcBorders>
            <w:vAlign w:val="center"/>
          </w:tcPr>
          <w:p w14:paraId="047B9A37">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5</w:t>
            </w:r>
          </w:p>
        </w:tc>
        <w:tc>
          <w:tcPr>
            <w:tcW w:w="582" w:type="pct"/>
            <w:tcBorders>
              <w:top w:val="single" w:color="auto" w:sz="4" w:space="0"/>
              <w:left w:val="single" w:color="auto" w:sz="4" w:space="0"/>
              <w:right w:val="single" w:color="auto" w:sz="4" w:space="0"/>
            </w:tcBorders>
            <w:vAlign w:val="center"/>
          </w:tcPr>
          <w:p w14:paraId="14D7E40F">
            <w:pPr>
              <w:pStyle w:val="740"/>
              <w:rPr>
                <w:rFonts w:ascii="Times New Roman" w:hAnsi="Times New Roman"/>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1.0%</w:t>
            </w:r>
          </w:p>
        </w:tc>
      </w:tr>
      <w:tr w14:paraId="21861265">
        <w:tblPrEx>
          <w:tblCellMar>
            <w:top w:w="0" w:type="dxa"/>
            <w:left w:w="10" w:type="dxa"/>
            <w:bottom w:w="0" w:type="dxa"/>
            <w:right w:w="10" w:type="dxa"/>
          </w:tblCellMar>
        </w:tblPrEx>
        <w:trPr>
          <w:jc w:val="center"/>
        </w:trPr>
        <w:tc>
          <w:tcPr>
            <w:tcW w:w="1052" w:type="pct"/>
            <w:tcBorders>
              <w:top w:val="single" w:color="auto" w:sz="4" w:space="0"/>
              <w:left w:val="single" w:color="auto" w:sz="4" w:space="0"/>
            </w:tcBorders>
            <w:vAlign w:val="center"/>
          </w:tcPr>
          <w:p w14:paraId="75A28A3A">
            <w:pPr>
              <w:pStyle w:val="740"/>
              <w:rPr>
                <w:rFonts w:ascii="Times New Roman" w:hAnsi="Times New Roman" w:eastAsia="Times New Roman"/>
                <w:color w:val="000000" w:themeColor="text1"/>
                <w:lang w:eastAsia="en-US" w:bidi="en-US"/>
                <w14:textFill>
                  <w14:solidFill>
                    <w14:schemeClr w14:val="tx1"/>
                  </w14:solidFill>
                </w14:textFill>
              </w:rPr>
            </w:pPr>
            <w:r>
              <w:rPr>
                <w:rFonts w:hint="eastAsia" w:eastAsiaTheme="minorEastAsia"/>
                <w:color w:val="000000" w:themeColor="text1"/>
                <w:lang w:bidi="en-US"/>
                <w14:textFill>
                  <w14:solidFill>
                    <w14:schemeClr w14:val="tx1"/>
                  </w14:solidFill>
                </w14:textFill>
              </w:rPr>
              <w:t>Tl</w:t>
            </w:r>
            <w:r>
              <w:rPr>
                <w:rFonts w:hint="eastAsia"/>
                <w:color w:val="000000" w:themeColor="text1"/>
                <w14:textFill>
                  <w14:solidFill>
                    <w14:schemeClr w14:val="tx1"/>
                  </w14:solidFill>
                </w14:textFill>
              </w:rPr>
              <w:t>铊</w:t>
            </w:r>
          </w:p>
        </w:tc>
        <w:tc>
          <w:tcPr>
            <w:tcW w:w="953" w:type="pct"/>
            <w:tcBorders>
              <w:top w:val="single" w:color="auto" w:sz="4" w:space="0"/>
              <w:left w:val="single" w:color="auto" w:sz="4" w:space="0"/>
            </w:tcBorders>
          </w:tcPr>
          <w:p w14:paraId="779DC2C9">
            <w:pPr>
              <w:pStyle w:val="740"/>
              <w:rPr>
                <w:rFonts w:ascii="Times New Roman" w:hAnsi="Times New Roman"/>
                <w:color w:val="000000" w:themeColor="text1"/>
                <w:sz w:val="10"/>
                <w:szCs w:val="10"/>
                <w14:textFill>
                  <w14:solidFill>
                    <w14:schemeClr w14:val="tx1"/>
                  </w14:solidFill>
                </w14:textFill>
              </w:rPr>
            </w:pPr>
          </w:p>
        </w:tc>
        <w:tc>
          <w:tcPr>
            <w:tcW w:w="969" w:type="pct"/>
            <w:tcBorders>
              <w:top w:val="single" w:color="auto" w:sz="4" w:space="0"/>
              <w:left w:val="single" w:color="auto" w:sz="4" w:space="0"/>
            </w:tcBorders>
            <w:vAlign w:val="center"/>
          </w:tcPr>
          <w:p w14:paraId="7A4692A0">
            <w:pPr>
              <w:pStyle w:val="740"/>
              <w:rPr>
                <w:rFonts w:ascii="Times New Roman" w:hAnsi="Times New Roman" w:eastAsia="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&lt;0.01</w:t>
            </w:r>
          </w:p>
        </w:tc>
        <w:tc>
          <w:tcPr>
            <w:tcW w:w="579" w:type="pct"/>
            <w:tcBorders>
              <w:top w:val="single" w:color="auto" w:sz="4" w:space="0"/>
              <w:left w:val="single" w:color="auto" w:sz="4" w:space="0"/>
            </w:tcBorders>
            <w:vAlign w:val="center"/>
          </w:tcPr>
          <w:p w14:paraId="0073FCD7">
            <w:pPr>
              <w:pStyle w:val="740"/>
              <w:rPr>
                <w:rFonts w:ascii="Times New Roman" w:hAnsi="Times New Roman" w:eastAsia="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0.01</w:t>
            </w:r>
          </w:p>
        </w:tc>
        <w:tc>
          <w:tcPr>
            <w:tcW w:w="865" w:type="pct"/>
            <w:tcBorders>
              <w:top w:val="single" w:color="auto" w:sz="4" w:space="0"/>
              <w:left w:val="single" w:color="auto" w:sz="4" w:space="0"/>
            </w:tcBorders>
            <w:vAlign w:val="center"/>
          </w:tcPr>
          <w:p w14:paraId="7CB76931">
            <w:pPr>
              <w:pStyle w:val="740"/>
              <w:rPr>
                <w:rFonts w:ascii="Times New Roman" w:hAnsi="Times New Roman" w:eastAsiaTheme="minorEastAsia"/>
                <w:color w:val="000000" w:themeColor="text1"/>
                <w:lang w:bidi="en-US"/>
                <w14:textFill>
                  <w14:solidFill>
                    <w14:schemeClr w14:val="tx1"/>
                  </w14:solidFill>
                </w14:textFill>
              </w:rPr>
            </w:pPr>
            <w:r>
              <w:rPr>
                <w:rFonts w:hint="eastAsia" w:ascii="Times New Roman" w:hAnsi="Times New Roman" w:eastAsiaTheme="minorEastAsia"/>
                <w:color w:val="000000" w:themeColor="text1"/>
                <w:lang w:bidi="en-US"/>
                <w14:textFill>
                  <w14:solidFill>
                    <w14:schemeClr w14:val="tx1"/>
                  </w14:solidFill>
                </w14:textFill>
              </w:rPr>
              <w:t>0.5</w:t>
            </w:r>
          </w:p>
        </w:tc>
        <w:tc>
          <w:tcPr>
            <w:tcW w:w="582" w:type="pct"/>
            <w:tcBorders>
              <w:top w:val="single" w:color="auto" w:sz="4" w:space="0"/>
              <w:left w:val="single" w:color="auto" w:sz="4" w:space="0"/>
              <w:right w:val="single" w:color="auto" w:sz="4" w:space="0"/>
            </w:tcBorders>
            <w:vAlign w:val="center"/>
          </w:tcPr>
          <w:p w14:paraId="234B79A2">
            <w:pPr>
              <w:pStyle w:val="740"/>
              <w:rPr>
                <w:rFonts w:ascii="Times New Roman" w:hAnsi="Times New Roman" w:eastAsia="等线"/>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1.0%</w:t>
            </w:r>
          </w:p>
        </w:tc>
      </w:tr>
      <w:tr w14:paraId="369C0798">
        <w:tblPrEx>
          <w:tblCellMar>
            <w:top w:w="0" w:type="dxa"/>
            <w:left w:w="10" w:type="dxa"/>
            <w:bottom w:w="0" w:type="dxa"/>
            <w:right w:w="10" w:type="dxa"/>
          </w:tblCellMar>
        </w:tblPrEx>
        <w:trPr>
          <w:jc w:val="center"/>
        </w:trPr>
        <w:tc>
          <w:tcPr>
            <w:tcW w:w="1052" w:type="pct"/>
            <w:tcBorders>
              <w:top w:val="single" w:color="auto" w:sz="4" w:space="0"/>
              <w:left w:val="single" w:color="auto" w:sz="4" w:space="0"/>
            </w:tcBorders>
            <w:vAlign w:val="center"/>
          </w:tcPr>
          <w:p w14:paraId="05C1D3DE">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Sn+Sb+Cu+Mn+Co</w:t>
            </w:r>
          </w:p>
        </w:tc>
        <w:tc>
          <w:tcPr>
            <w:tcW w:w="953" w:type="pct"/>
            <w:tcBorders>
              <w:top w:val="single" w:color="auto" w:sz="4" w:space="0"/>
              <w:left w:val="single" w:color="auto" w:sz="4" w:space="0"/>
            </w:tcBorders>
            <w:vAlign w:val="center"/>
          </w:tcPr>
          <w:p w14:paraId="77E99681">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&lt;0.01</w:t>
            </w:r>
          </w:p>
        </w:tc>
        <w:tc>
          <w:tcPr>
            <w:tcW w:w="969" w:type="pct"/>
            <w:tcBorders>
              <w:top w:val="single" w:color="auto" w:sz="4" w:space="0"/>
              <w:left w:val="single" w:color="auto" w:sz="4" w:space="0"/>
            </w:tcBorders>
            <w:vAlign w:val="center"/>
          </w:tcPr>
          <w:p w14:paraId="573FCF2B">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0.06</w:t>
            </w:r>
          </w:p>
        </w:tc>
        <w:tc>
          <w:tcPr>
            <w:tcW w:w="579" w:type="pct"/>
            <w:tcBorders>
              <w:top w:val="single" w:color="auto" w:sz="4" w:space="0"/>
              <w:left w:val="single" w:color="auto" w:sz="4" w:space="0"/>
            </w:tcBorders>
            <w:vAlign w:val="center"/>
          </w:tcPr>
          <w:p w14:paraId="45FB8BA6">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0.06</w:t>
            </w:r>
          </w:p>
        </w:tc>
        <w:tc>
          <w:tcPr>
            <w:tcW w:w="865" w:type="pct"/>
            <w:tcBorders>
              <w:top w:val="single" w:color="auto" w:sz="4" w:space="0"/>
              <w:left w:val="single" w:color="auto" w:sz="4" w:space="0"/>
            </w:tcBorders>
            <w:vAlign w:val="center"/>
          </w:tcPr>
          <w:p w14:paraId="5E292FC7">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5</w:t>
            </w:r>
          </w:p>
        </w:tc>
        <w:tc>
          <w:tcPr>
            <w:tcW w:w="582" w:type="pct"/>
            <w:tcBorders>
              <w:top w:val="single" w:color="auto" w:sz="4" w:space="0"/>
              <w:left w:val="single" w:color="auto" w:sz="4" w:space="0"/>
              <w:right w:val="single" w:color="auto" w:sz="4" w:space="0"/>
            </w:tcBorders>
            <w:vAlign w:val="center"/>
          </w:tcPr>
          <w:p w14:paraId="6D1AC247">
            <w:pPr>
              <w:pStyle w:val="740"/>
              <w:rPr>
                <w:rFonts w:ascii="Times New Roman" w:hAnsi="Times New Roman"/>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6.0%</w:t>
            </w:r>
          </w:p>
        </w:tc>
      </w:tr>
      <w:tr w14:paraId="2D343C30">
        <w:tblPrEx>
          <w:tblCellMar>
            <w:top w:w="0" w:type="dxa"/>
            <w:left w:w="10" w:type="dxa"/>
            <w:bottom w:w="0" w:type="dxa"/>
            <w:right w:w="10" w:type="dxa"/>
          </w:tblCellMar>
        </w:tblPrEx>
        <w:trPr>
          <w:jc w:val="center"/>
        </w:trPr>
        <w:tc>
          <w:tcPr>
            <w:tcW w:w="1052" w:type="pct"/>
            <w:tcBorders>
              <w:top w:val="single" w:color="auto" w:sz="4" w:space="0"/>
              <w:left w:val="single" w:color="auto" w:sz="4" w:space="0"/>
            </w:tcBorders>
            <w:vAlign w:val="center"/>
          </w:tcPr>
          <w:p w14:paraId="1ADC17FB">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Pb</w:t>
            </w:r>
            <w:r>
              <w:rPr>
                <w:rFonts w:ascii="Times New Roman" w:hAnsi="Times New Roman"/>
                <w:color w:val="000000" w:themeColor="text1"/>
                <w14:textFill>
                  <w14:solidFill>
                    <w14:schemeClr w14:val="tx1"/>
                  </w14:solidFill>
                </w14:textFill>
              </w:rPr>
              <w:t>铅</w:t>
            </w:r>
          </w:p>
        </w:tc>
        <w:tc>
          <w:tcPr>
            <w:tcW w:w="953" w:type="pct"/>
            <w:tcBorders>
              <w:top w:val="single" w:color="auto" w:sz="4" w:space="0"/>
              <w:left w:val="single" w:color="auto" w:sz="4" w:space="0"/>
            </w:tcBorders>
            <w:vAlign w:val="center"/>
          </w:tcPr>
          <w:p w14:paraId="0890AFC9">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0.01~0.20</w:t>
            </w:r>
          </w:p>
        </w:tc>
        <w:tc>
          <w:tcPr>
            <w:tcW w:w="969" w:type="pct"/>
            <w:tcBorders>
              <w:top w:val="single" w:color="auto" w:sz="4" w:space="0"/>
              <w:left w:val="single" w:color="auto" w:sz="4" w:space="0"/>
            </w:tcBorders>
            <w:vAlign w:val="center"/>
          </w:tcPr>
          <w:p w14:paraId="31B45CF4">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0.2</w:t>
            </w:r>
          </w:p>
        </w:tc>
        <w:tc>
          <w:tcPr>
            <w:tcW w:w="579" w:type="pct"/>
            <w:tcBorders>
              <w:top w:val="single" w:color="auto" w:sz="4" w:space="0"/>
              <w:left w:val="single" w:color="auto" w:sz="4" w:space="0"/>
            </w:tcBorders>
            <w:vAlign w:val="center"/>
          </w:tcPr>
          <w:p w14:paraId="6F5ED98D">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0.2</w:t>
            </w:r>
          </w:p>
        </w:tc>
        <w:tc>
          <w:tcPr>
            <w:tcW w:w="865" w:type="pct"/>
            <w:tcBorders>
              <w:top w:val="single" w:color="auto" w:sz="4" w:space="0"/>
              <w:left w:val="single" w:color="auto" w:sz="4" w:space="0"/>
            </w:tcBorders>
            <w:vAlign w:val="center"/>
          </w:tcPr>
          <w:p w14:paraId="24CCD90E">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5</w:t>
            </w:r>
          </w:p>
        </w:tc>
        <w:tc>
          <w:tcPr>
            <w:tcW w:w="582" w:type="pct"/>
            <w:tcBorders>
              <w:top w:val="single" w:color="auto" w:sz="4" w:space="0"/>
              <w:left w:val="single" w:color="auto" w:sz="4" w:space="0"/>
              <w:right w:val="single" w:color="auto" w:sz="4" w:space="0"/>
            </w:tcBorders>
            <w:vAlign w:val="center"/>
          </w:tcPr>
          <w:p w14:paraId="61AFB80A">
            <w:pPr>
              <w:pStyle w:val="740"/>
              <w:rPr>
                <w:rFonts w:ascii="Times New Roman" w:hAnsi="Times New Roman"/>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20.0%</w:t>
            </w:r>
          </w:p>
        </w:tc>
      </w:tr>
      <w:tr w14:paraId="35C10B35">
        <w:tblPrEx>
          <w:tblCellMar>
            <w:top w:w="0" w:type="dxa"/>
            <w:left w:w="10" w:type="dxa"/>
            <w:bottom w:w="0" w:type="dxa"/>
            <w:right w:w="10" w:type="dxa"/>
          </w:tblCellMar>
        </w:tblPrEx>
        <w:trPr>
          <w:jc w:val="center"/>
        </w:trPr>
        <w:tc>
          <w:tcPr>
            <w:tcW w:w="1052" w:type="pct"/>
            <w:tcBorders>
              <w:top w:val="single" w:color="auto" w:sz="4" w:space="0"/>
              <w:left w:val="single" w:color="auto" w:sz="4" w:space="0"/>
            </w:tcBorders>
            <w:vAlign w:val="center"/>
          </w:tcPr>
          <w:p w14:paraId="47F5CE23">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Hg</w:t>
            </w:r>
            <w:r>
              <w:rPr>
                <w:rFonts w:ascii="Times New Roman" w:hAnsi="Times New Roman"/>
                <w:color w:val="000000" w:themeColor="text1"/>
                <w14:textFill>
                  <w14:solidFill>
                    <w14:schemeClr w14:val="tx1"/>
                  </w14:solidFill>
                </w14:textFill>
              </w:rPr>
              <w:t>汞</w:t>
            </w:r>
          </w:p>
        </w:tc>
        <w:tc>
          <w:tcPr>
            <w:tcW w:w="953" w:type="pct"/>
            <w:tcBorders>
              <w:top w:val="single" w:color="auto" w:sz="4" w:space="0"/>
              <w:left w:val="single" w:color="auto" w:sz="4" w:space="0"/>
            </w:tcBorders>
            <w:vAlign w:val="center"/>
          </w:tcPr>
          <w:p w14:paraId="3BF1E03E">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&gt;0.99</w:t>
            </w:r>
          </w:p>
        </w:tc>
        <w:tc>
          <w:tcPr>
            <w:tcW w:w="969" w:type="pct"/>
            <w:tcBorders>
              <w:top w:val="single" w:color="auto" w:sz="4" w:space="0"/>
              <w:left w:val="single" w:color="auto" w:sz="4" w:space="0"/>
            </w:tcBorders>
            <w:vAlign w:val="center"/>
          </w:tcPr>
          <w:p w14:paraId="493487F5">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&gt;0.99</w:t>
            </w:r>
          </w:p>
        </w:tc>
        <w:tc>
          <w:tcPr>
            <w:tcW w:w="579" w:type="pct"/>
            <w:tcBorders>
              <w:top w:val="single" w:color="auto" w:sz="4" w:space="0"/>
              <w:left w:val="single" w:color="auto" w:sz="4" w:space="0"/>
            </w:tcBorders>
            <w:vAlign w:val="center"/>
          </w:tcPr>
          <w:p w14:paraId="7F50AF3F">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1</w:t>
            </w:r>
          </w:p>
        </w:tc>
        <w:tc>
          <w:tcPr>
            <w:tcW w:w="865" w:type="pct"/>
            <w:tcBorders>
              <w:top w:val="single" w:color="auto" w:sz="4" w:space="0"/>
              <w:left w:val="single" w:color="auto" w:sz="4" w:space="0"/>
            </w:tcBorders>
            <w:vAlign w:val="center"/>
          </w:tcPr>
          <w:p w14:paraId="555FFDA5">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0.1</w:t>
            </w:r>
          </w:p>
        </w:tc>
        <w:tc>
          <w:tcPr>
            <w:tcW w:w="582" w:type="pct"/>
            <w:tcBorders>
              <w:top w:val="single" w:color="auto" w:sz="4" w:space="0"/>
              <w:left w:val="single" w:color="auto" w:sz="4" w:space="0"/>
              <w:right w:val="single" w:color="auto" w:sz="4" w:space="0"/>
            </w:tcBorders>
            <w:vAlign w:val="center"/>
          </w:tcPr>
          <w:p w14:paraId="5E928339">
            <w:pPr>
              <w:pStyle w:val="740"/>
              <w:rPr>
                <w:rFonts w:ascii="Times New Roman" w:hAnsi="Times New Roman"/>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100.0%</w:t>
            </w:r>
          </w:p>
        </w:tc>
      </w:tr>
      <w:tr w14:paraId="4D7D8119">
        <w:tblPrEx>
          <w:tblCellMar>
            <w:top w:w="0" w:type="dxa"/>
            <w:left w:w="10" w:type="dxa"/>
            <w:bottom w:w="0" w:type="dxa"/>
            <w:right w:w="10" w:type="dxa"/>
          </w:tblCellMar>
        </w:tblPrEx>
        <w:trPr>
          <w:jc w:val="center"/>
        </w:trPr>
        <w:tc>
          <w:tcPr>
            <w:tcW w:w="1052" w:type="pct"/>
            <w:tcBorders>
              <w:top w:val="single" w:color="auto" w:sz="4" w:space="0"/>
              <w:left w:val="single" w:color="auto" w:sz="4" w:space="0"/>
              <w:bottom w:val="single" w:color="auto" w:sz="4" w:space="0"/>
            </w:tcBorders>
            <w:vAlign w:val="center"/>
          </w:tcPr>
          <w:p w14:paraId="49D7C080">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Ni</w:t>
            </w:r>
            <w:r>
              <w:rPr>
                <w:rFonts w:ascii="Times New Roman" w:hAnsi="Times New Roman"/>
                <w:color w:val="000000" w:themeColor="text1"/>
                <w14:textFill>
                  <w14:solidFill>
                    <w14:schemeClr w14:val="tx1"/>
                  </w14:solidFill>
                </w14:textFill>
              </w:rPr>
              <w:t>镍</w:t>
            </w:r>
          </w:p>
        </w:tc>
        <w:tc>
          <w:tcPr>
            <w:tcW w:w="953" w:type="pct"/>
            <w:tcBorders>
              <w:top w:val="single" w:color="auto" w:sz="4" w:space="0"/>
              <w:left w:val="single" w:color="auto" w:sz="4" w:space="0"/>
              <w:bottom w:val="single" w:color="auto" w:sz="4" w:space="0"/>
            </w:tcBorders>
          </w:tcPr>
          <w:p w14:paraId="7500DCF1">
            <w:pPr>
              <w:pStyle w:val="740"/>
              <w:rPr>
                <w:rFonts w:ascii="Times New Roman" w:hAnsi="Times New Roman"/>
                <w:color w:val="000000" w:themeColor="text1"/>
                <w:sz w:val="10"/>
                <w:szCs w:val="10"/>
                <w14:textFill>
                  <w14:solidFill>
                    <w14:schemeClr w14:val="tx1"/>
                  </w14:solidFill>
                </w14:textFill>
              </w:rPr>
            </w:pPr>
          </w:p>
        </w:tc>
        <w:tc>
          <w:tcPr>
            <w:tcW w:w="969" w:type="pct"/>
            <w:tcBorders>
              <w:top w:val="single" w:color="auto" w:sz="4" w:space="0"/>
              <w:left w:val="single" w:color="auto" w:sz="4" w:space="0"/>
              <w:bottom w:val="single" w:color="auto" w:sz="4" w:space="0"/>
            </w:tcBorders>
            <w:vAlign w:val="center"/>
          </w:tcPr>
          <w:p w14:paraId="3D28FFB7">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&lt;0.01</w:t>
            </w:r>
          </w:p>
        </w:tc>
        <w:tc>
          <w:tcPr>
            <w:tcW w:w="579" w:type="pct"/>
            <w:tcBorders>
              <w:top w:val="single" w:color="auto" w:sz="4" w:space="0"/>
              <w:left w:val="single" w:color="auto" w:sz="4" w:space="0"/>
              <w:bottom w:val="single" w:color="auto" w:sz="4" w:space="0"/>
            </w:tcBorders>
            <w:vAlign w:val="center"/>
          </w:tcPr>
          <w:p w14:paraId="68E6D430">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14:textFill>
                  <w14:solidFill>
                    <w14:schemeClr w14:val="tx1"/>
                  </w14:solidFill>
                </w14:textFill>
              </w:rPr>
              <w:t>0.01</w:t>
            </w:r>
          </w:p>
        </w:tc>
        <w:tc>
          <w:tcPr>
            <w:tcW w:w="865" w:type="pct"/>
            <w:tcBorders>
              <w:top w:val="single" w:color="auto" w:sz="4" w:space="0"/>
              <w:left w:val="single" w:color="auto" w:sz="4" w:space="0"/>
              <w:bottom w:val="single" w:color="auto" w:sz="4" w:space="0"/>
            </w:tcBorders>
            <w:vAlign w:val="center"/>
          </w:tcPr>
          <w:p w14:paraId="7A6724ED">
            <w:pPr>
              <w:pStyle w:val="740"/>
              <w:rPr>
                <w:rFonts w:ascii="Times New Roman" w:hAnsi="Times New Roman"/>
                <w:color w:val="000000" w:themeColor="text1"/>
                <w14:textFill>
                  <w14:solidFill>
                    <w14:schemeClr w14:val="tx1"/>
                  </w14:solidFill>
                </w14:textFill>
              </w:rPr>
            </w:pPr>
            <w:r>
              <w:rPr>
                <w:rFonts w:ascii="Times New Roman" w:hAnsi="Times New Roman" w:eastAsia="Times New Roman"/>
                <w:color w:val="000000" w:themeColor="text1"/>
                <w:lang w:eastAsia="en-US" w:bidi="en-US"/>
                <w14:textFill>
                  <w14:solidFill>
                    <w14:schemeClr w14:val="tx1"/>
                  </w14:solidFill>
                </w14:textFill>
              </w:rPr>
              <w:t>5</w:t>
            </w:r>
          </w:p>
        </w:tc>
        <w:tc>
          <w:tcPr>
            <w:tcW w:w="582" w:type="pct"/>
            <w:tcBorders>
              <w:top w:val="single" w:color="auto" w:sz="4" w:space="0"/>
              <w:left w:val="single" w:color="auto" w:sz="4" w:space="0"/>
              <w:bottom w:val="single" w:color="auto" w:sz="4" w:space="0"/>
              <w:right w:val="single" w:color="auto" w:sz="4" w:space="0"/>
            </w:tcBorders>
            <w:vAlign w:val="center"/>
          </w:tcPr>
          <w:p w14:paraId="6200A316">
            <w:pPr>
              <w:pStyle w:val="740"/>
              <w:rPr>
                <w:rFonts w:ascii="Times New Roman" w:hAnsi="Times New Roman"/>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1.0%</w:t>
            </w:r>
          </w:p>
        </w:tc>
      </w:tr>
    </w:tbl>
    <w:p w14:paraId="62CE6A7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本项目废盐处置量为</w:t>
      </w:r>
      <w:r>
        <w:rPr>
          <w:rFonts w:eastAsiaTheme="minorEastAsia"/>
          <w:color w:val="000000" w:themeColor="text1"/>
          <w:lang w:bidi="en-US"/>
          <w14:textFill>
            <w14:solidFill>
              <w14:schemeClr w14:val="tx1"/>
            </w14:solidFill>
          </w14:textFill>
        </w:rPr>
        <w:t>50</w:t>
      </w:r>
      <w:r>
        <w:rPr>
          <w:rFonts w:eastAsia="Times New Roman"/>
          <w:color w:val="000000" w:themeColor="text1"/>
          <w:lang w:bidi="en-US"/>
          <w14:textFill>
            <w14:solidFill>
              <w14:schemeClr w14:val="tx1"/>
            </w14:solidFill>
          </w14:textFill>
        </w:rPr>
        <w:t>000t/a</w:t>
      </w:r>
      <w:r>
        <w:rPr>
          <w:color w:val="000000" w:themeColor="text1"/>
          <w:lang w:bidi="en-US"/>
          <w14:textFill>
            <w14:solidFill>
              <w14:schemeClr w14:val="tx1"/>
            </w14:solidFill>
          </w14:textFill>
        </w:rPr>
        <w:t>，</w:t>
      </w:r>
      <w:r>
        <w:rPr>
          <w:color w:val="000000" w:themeColor="text1"/>
          <w14:textFill>
            <w14:solidFill>
              <w14:schemeClr w14:val="tx1"/>
            </w14:solidFill>
          </w14:textFill>
        </w:rPr>
        <w:t>根据上文内容可计算得出各重金属废气的年产生量如下：</w:t>
      </w:r>
    </w:p>
    <w:p w14:paraId="23D6E43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重金属类废气产生情况一览表</w:t>
      </w:r>
    </w:p>
    <w:tbl>
      <w:tblPr>
        <w:tblStyle w:val="76"/>
        <w:tblW w:w="5000" w:type="pct"/>
        <w:tblInd w:w="0" w:type="dxa"/>
        <w:tblLayout w:type="autofit"/>
        <w:tblCellMar>
          <w:top w:w="0" w:type="dxa"/>
          <w:left w:w="108" w:type="dxa"/>
          <w:bottom w:w="0" w:type="dxa"/>
          <w:right w:w="108" w:type="dxa"/>
        </w:tblCellMar>
      </w:tblPr>
      <w:tblGrid>
        <w:gridCol w:w="3121"/>
        <w:gridCol w:w="1358"/>
        <w:gridCol w:w="1727"/>
        <w:gridCol w:w="1219"/>
        <w:gridCol w:w="2203"/>
      </w:tblGrid>
      <w:tr w14:paraId="10E55489">
        <w:tblPrEx>
          <w:tblCellMar>
            <w:top w:w="0" w:type="dxa"/>
            <w:left w:w="108" w:type="dxa"/>
            <w:bottom w:w="0" w:type="dxa"/>
            <w:right w:w="108" w:type="dxa"/>
          </w:tblCellMar>
        </w:tblPrEx>
        <w:tc>
          <w:tcPr>
            <w:tcW w:w="1621" w:type="pct"/>
            <w:vMerge w:val="restart"/>
            <w:tcBorders>
              <w:top w:val="single" w:color="auto" w:sz="4" w:space="0"/>
              <w:left w:val="single" w:color="auto" w:sz="4" w:space="0"/>
              <w:bottom w:val="single" w:color="auto" w:sz="4" w:space="0"/>
              <w:right w:val="single" w:color="auto" w:sz="4" w:space="0"/>
            </w:tcBorders>
            <w:vAlign w:val="center"/>
          </w:tcPr>
          <w:p w14:paraId="05FD15E7">
            <w:pPr>
              <w:pStyle w:val="109"/>
              <w:rPr>
                <w:color w:val="000000" w:themeColor="text1"/>
                <w14:textFill>
                  <w14:solidFill>
                    <w14:schemeClr w14:val="tx1"/>
                  </w14:solidFill>
                </w14:textFill>
              </w:rPr>
            </w:pPr>
            <w:r>
              <w:rPr>
                <w:color w:val="000000" w:themeColor="text1"/>
                <w14:textFill>
                  <w14:solidFill>
                    <w14:schemeClr w14:val="tx1"/>
                  </w14:solidFill>
                </w14:textFill>
              </w:rPr>
              <w:t>重金属元素</w:t>
            </w:r>
          </w:p>
        </w:tc>
        <w:tc>
          <w:tcPr>
            <w:tcW w:w="705" w:type="pct"/>
            <w:vMerge w:val="restart"/>
            <w:tcBorders>
              <w:top w:val="single" w:color="auto" w:sz="4" w:space="0"/>
              <w:left w:val="single" w:color="auto" w:sz="4" w:space="0"/>
              <w:bottom w:val="single" w:color="auto" w:sz="4" w:space="0"/>
              <w:right w:val="single" w:color="auto" w:sz="4" w:space="0"/>
            </w:tcBorders>
            <w:vAlign w:val="center"/>
          </w:tcPr>
          <w:p w14:paraId="593DFA2F">
            <w:pPr>
              <w:pStyle w:val="109"/>
              <w:rPr>
                <w:color w:val="000000" w:themeColor="text1"/>
                <w14:textFill>
                  <w14:solidFill>
                    <w14:schemeClr w14:val="tx1"/>
                  </w14:solidFill>
                </w14:textFill>
              </w:rPr>
            </w:pPr>
            <w:r>
              <w:rPr>
                <w:color w:val="000000" w:themeColor="text1"/>
                <w14:textFill>
                  <w14:solidFill>
                    <w14:schemeClr w14:val="tx1"/>
                  </w14:solidFill>
                </w14:textFill>
              </w:rPr>
              <w:t>废盐处理量（t/a）</w:t>
            </w:r>
          </w:p>
        </w:tc>
        <w:tc>
          <w:tcPr>
            <w:tcW w:w="897" w:type="pct"/>
            <w:tcBorders>
              <w:top w:val="single" w:color="auto" w:sz="4" w:space="0"/>
              <w:left w:val="nil"/>
              <w:bottom w:val="single" w:color="auto" w:sz="4" w:space="0"/>
              <w:right w:val="single" w:color="auto" w:sz="4" w:space="0"/>
            </w:tcBorders>
            <w:vAlign w:val="center"/>
          </w:tcPr>
          <w:p w14:paraId="39B3D0EA">
            <w:pPr>
              <w:pStyle w:val="109"/>
              <w:rPr>
                <w:color w:val="000000" w:themeColor="text1"/>
                <w14:textFill>
                  <w14:solidFill>
                    <w14:schemeClr w14:val="tx1"/>
                  </w14:solidFill>
                </w14:textFill>
              </w:rPr>
            </w:pPr>
            <w:r>
              <w:rPr>
                <w:color w:val="000000" w:themeColor="text1"/>
                <w14:textFill>
                  <w14:solidFill>
                    <w14:schemeClr w14:val="tx1"/>
                  </w14:solidFill>
                </w14:textFill>
              </w:rPr>
              <w:t>入炉标准</w:t>
            </w:r>
          </w:p>
        </w:tc>
        <w:tc>
          <w:tcPr>
            <w:tcW w:w="633" w:type="pct"/>
            <w:vMerge w:val="restart"/>
            <w:tcBorders>
              <w:top w:val="single" w:color="auto" w:sz="4" w:space="0"/>
              <w:left w:val="single" w:color="auto" w:sz="4" w:space="0"/>
              <w:bottom w:val="single" w:color="auto" w:sz="4" w:space="0"/>
              <w:right w:val="single" w:color="auto" w:sz="4" w:space="0"/>
            </w:tcBorders>
            <w:vAlign w:val="center"/>
          </w:tcPr>
          <w:p w14:paraId="426273CE">
            <w:pPr>
              <w:pStyle w:val="109"/>
              <w:rPr>
                <w:color w:val="000000" w:themeColor="text1"/>
                <w14:textFill>
                  <w14:solidFill>
                    <w14:schemeClr w14:val="tx1"/>
                  </w14:solidFill>
                </w14:textFill>
              </w:rPr>
            </w:pPr>
            <w:r>
              <w:rPr>
                <w:color w:val="000000" w:themeColor="text1"/>
                <w14:textFill>
                  <w14:solidFill>
                    <w14:schemeClr w14:val="tx1"/>
                  </w14:solidFill>
                </w14:textFill>
              </w:rPr>
              <w:t>烟气排放比率%</w:t>
            </w:r>
          </w:p>
        </w:tc>
        <w:tc>
          <w:tcPr>
            <w:tcW w:w="1144" w:type="pct"/>
            <w:vMerge w:val="restart"/>
            <w:tcBorders>
              <w:top w:val="single" w:color="auto" w:sz="4" w:space="0"/>
              <w:left w:val="single" w:color="auto" w:sz="4" w:space="0"/>
              <w:bottom w:val="single" w:color="auto" w:sz="4" w:space="0"/>
              <w:right w:val="single" w:color="auto" w:sz="4" w:space="0"/>
            </w:tcBorders>
            <w:noWrap/>
            <w:vAlign w:val="center"/>
          </w:tcPr>
          <w:p w14:paraId="560174A9">
            <w:pPr>
              <w:pStyle w:val="10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废气产生量（t/a）</w:t>
            </w:r>
          </w:p>
        </w:tc>
      </w:tr>
      <w:tr w14:paraId="4FF5BDE7">
        <w:tblPrEx>
          <w:tblCellMar>
            <w:top w:w="0" w:type="dxa"/>
            <w:left w:w="108" w:type="dxa"/>
            <w:bottom w:w="0" w:type="dxa"/>
            <w:right w:w="108" w:type="dxa"/>
          </w:tblCellMar>
        </w:tblPrEx>
        <w:tc>
          <w:tcPr>
            <w:tcW w:w="1621" w:type="pct"/>
            <w:vMerge w:val="continue"/>
            <w:tcBorders>
              <w:top w:val="single" w:color="auto" w:sz="4" w:space="0"/>
              <w:left w:val="single" w:color="auto" w:sz="4" w:space="0"/>
              <w:bottom w:val="single" w:color="auto" w:sz="4" w:space="0"/>
              <w:right w:val="single" w:color="auto" w:sz="4" w:space="0"/>
            </w:tcBorders>
            <w:vAlign w:val="center"/>
          </w:tcPr>
          <w:p w14:paraId="48E8B6C7">
            <w:pPr>
              <w:pStyle w:val="109"/>
              <w:rPr>
                <w:color w:val="000000" w:themeColor="text1"/>
                <w14:textFill>
                  <w14:solidFill>
                    <w14:schemeClr w14:val="tx1"/>
                  </w14:solidFill>
                </w14:textFill>
              </w:rPr>
            </w:pPr>
          </w:p>
        </w:tc>
        <w:tc>
          <w:tcPr>
            <w:tcW w:w="705" w:type="pct"/>
            <w:vMerge w:val="continue"/>
            <w:tcBorders>
              <w:top w:val="single" w:color="auto" w:sz="4" w:space="0"/>
              <w:left w:val="single" w:color="auto" w:sz="4" w:space="0"/>
              <w:bottom w:val="single" w:color="auto" w:sz="4" w:space="0"/>
              <w:right w:val="single" w:color="auto" w:sz="4" w:space="0"/>
            </w:tcBorders>
            <w:vAlign w:val="center"/>
          </w:tcPr>
          <w:p w14:paraId="22B8D42D">
            <w:pPr>
              <w:pStyle w:val="109"/>
              <w:rPr>
                <w:color w:val="000000" w:themeColor="text1"/>
                <w14:textFill>
                  <w14:solidFill>
                    <w14:schemeClr w14:val="tx1"/>
                  </w14:solidFill>
                </w14:textFill>
              </w:rPr>
            </w:pPr>
          </w:p>
        </w:tc>
        <w:tc>
          <w:tcPr>
            <w:tcW w:w="897" w:type="pct"/>
            <w:tcBorders>
              <w:top w:val="nil"/>
              <w:left w:val="nil"/>
              <w:bottom w:val="single" w:color="auto" w:sz="4" w:space="0"/>
              <w:right w:val="single" w:color="auto" w:sz="4" w:space="0"/>
            </w:tcBorders>
            <w:vAlign w:val="center"/>
          </w:tcPr>
          <w:p w14:paraId="27B07AB2">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385FC8EB">
            <w:pPr>
              <w:pStyle w:val="109"/>
              <w:rPr>
                <w:color w:val="000000" w:themeColor="text1"/>
                <w14:textFill>
                  <w14:solidFill>
                    <w14:schemeClr w14:val="tx1"/>
                  </w14:solidFill>
                </w14:textFill>
              </w:rPr>
            </w:pPr>
          </w:p>
        </w:tc>
        <w:tc>
          <w:tcPr>
            <w:tcW w:w="1144" w:type="pct"/>
            <w:vMerge w:val="continue"/>
            <w:tcBorders>
              <w:top w:val="single" w:color="auto" w:sz="4" w:space="0"/>
              <w:left w:val="single" w:color="auto" w:sz="4" w:space="0"/>
              <w:bottom w:val="single" w:color="auto" w:sz="4" w:space="0"/>
              <w:right w:val="single" w:color="auto" w:sz="4" w:space="0"/>
            </w:tcBorders>
            <w:vAlign w:val="center"/>
          </w:tcPr>
          <w:p w14:paraId="4DABB96F">
            <w:pPr>
              <w:pStyle w:val="109"/>
              <w:rPr>
                <w:color w:val="000000" w:themeColor="text1"/>
                <w:sz w:val="22"/>
                <w:szCs w:val="22"/>
                <w14:textFill>
                  <w14:solidFill>
                    <w14:schemeClr w14:val="tx1"/>
                  </w14:solidFill>
                </w14:textFill>
              </w:rPr>
            </w:pPr>
          </w:p>
        </w:tc>
      </w:tr>
      <w:tr w14:paraId="595D0F9B">
        <w:tblPrEx>
          <w:tblCellMar>
            <w:top w:w="0" w:type="dxa"/>
            <w:left w:w="108" w:type="dxa"/>
            <w:bottom w:w="0" w:type="dxa"/>
            <w:right w:w="108" w:type="dxa"/>
          </w:tblCellMar>
        </w:tblPrEx>
        <w:tc>
          <w:tcPr>
            <w:tcW w:w="1621" w:type="pct"/>
            <w:tcBorders>
              <w:top w:val="nil"/>
              <w:left w:val="single" w:color="auto" w:sz="4" w:space="0"/>
              <w:bottom w:val="single" w:color="auto" w:sz="4" w:space="0"/>
              <w:right w:val="single" w:color="auto" w:sz="4" w:space="0"/>
            </w:tcBorders>
            <w:vAlign w:val="center"/>
          </w:tcPr>
          <w:p w14:paraId="218313F2">
            <w:pPr>
              <w:pStyle w:val="109"/>
              <w:rPr>
                <w:color w:val="000000" w:themeColor="text1"/>
                <w14:textFill>
                  <w14:solidFill>
                    <w14:schemeClr w14:val="tx1"/>
                  </w14:solidFill>
                </w14:textFill>
              </w:rPr>
            </w:pPr>
            <w:r>
              <w:rPr>
                <w:color w:val="000000" w:themeColor="text1"/>
                <w14:textFill>
                  <w14:solidFill>
                    <w14:schemeClr w14:val="tx1"/>
                  </w14:solidFill>
                </w14:textFill>
              </w:rPr>
              <w:t>As砷</w:t>
            </w:r>
          </w:p>
        </w:tc>
        <w:tc>
          <w:tcPr>
            <w:tcW w:w="705" w:type="pct"/>
            <w:tcBorders>
              <w:top w:val="nil"/>
              <w:left w:val="nil"/>
              <w:bottom w:val="single" w:color="auto" w:sz="4" w:space="0"/>
              <w:right w:val="single" w:color="auto" w:sz="4" w:space="0"/>
            </w:tcBorders>
            <w:vAlign w:val="center"/>
          </w:tcPr>
          <w:p w14:paraId="3CA0FA43">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897" w:type="pct"/>
            <w:tcBorders>
              <w:top w:val="nil"/>
              <w:left w:val="nil"/>
              <w:bottom w:val="single" w:color="auto" w:sz="4" w:space="0"/>
              <w:right w:val="single" w:color="auto" w:sz="4" w:space="0"/>
            </w:tcBorders>
            <w:vAlign w:val="center"/>
          </w:tcPr>
          <w:p w14:paraId="06ADC3E5">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633" w:type="pct"/>
            <w:tcBorders>
              <w:top w:val="nil"/>
              <w:left w:val="nil"/>
              <w:bottom w:val="single" w:color="auto" w:sz="4" w:space="0"/>
              <w:right w:val="single" w:color="auto" w:sz="4" w:space="0"/>
            </w:tcBorders>
            <w:vAlign w:val="center"/>
          </w:tcPr>
          <w:p w14:paraId="5340DCB7">
            <w:pPr>
              <w:pStyle w:val="109"/>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1144" w:type="pct"/>
            <w:tcBorders>
              <w:top w:val="nil"/>
              <w:left w:val="nil"/>
              <w:bottom w:val="single" w:color="auto" w:sz="4" w:space="0"/>
              <w:right w:val="single" w:color="auto" w:sz="4" w:space="0"/>
            </w:tcBorders>
            <w:noWrap/>
            <w:vAlign w:val="center"/>
          </w:tcPr>
          <w:p w14:paraId="7A603EFB">
            <w:pPr>
              <w:pStyle w:val="10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w:t>
            </w:r>
          </w:p>
        </w:tc>
      </w:tr>
      <w:tr w14:paraId="341B070B">
        <w:tblPrEx>
          <w:tblCellMar>
            <w:top w:w="0" w:type="dxa"/>
            <w:left w:w="108" w:type="dxa"/>
            <w:bottom w:w="0" w:type="dxa"/>
            <w:right w:w="108" w:type="dxa"/>
          </w:tblCellMar>
        </w:tblPrEx>
        <w:tc>
          <w:tcPr>
            <w:tcW w:w="1621" w:type="pct"/>
            <w:tcBorders>
              <w:top w:val="nil"/>
              <w:left w:val="single" w:color="auto" w:sz="4" w:space="0"/>
              <w:bottom w:val="single" w:color="auto" w:sz="4" w:space="0"/>
              <w:right w:val="single" w:color="auto" w:sz="4" w:space="0"/>
            </w:tcBorders>
            <w:vAlign w:val="center"/>
          </w:tcPr>
          <w:p w14:paraId="622C80DA">
            <w:pPr>
              <w:pStyle w:val="109"/>
              <w:rPr>
                <w:color w:val="000000" w:themeColor="text1"/>
                <w14:textFill>
                  <w14:solidFill>
                    <w14:schemeClr w14:val="tx1"/>
                  </w14:solidFill>
                </w14:textFill>
              </w:rPr>
            </w:pPr>
            <w:r>
              <w:rPr>
                <w:color w:val="000000" w:themeColor="text1"/>
                <w14:textFill>
                  <w14:solidFill>
                    <w14:schemeClr w14:val="tx1"/>
                  </w14:solidFill>
                </w14:textFill>
              </w:rPr>
              <w:t>Cd镉</w:t>
            </w:r>
          </w:p>
        </w:tc>
        <w:tc>
          <w:tcPr>
            <w:tcW w:w="705" w:type="pct"/>
            <w:tcBorders>
              <w:top w:val="nil"/>
              <w:left w:val="nil"/>
              <w:bottom w:val="single" w:color="auto" w:sz="4" w:space="0"/>
              <w:right w:val="single" w:color="auto" w:sz="4" w:space="0"/>
            </w:tcBorders>
            <w:vAlign w:val="center"/>
          </w:tcPr>
          <w:p w14:paraId="60581957">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897" w:type="pct"/>
            <w:tcBorders>
              <w:top w:val="nil"/>
              <w:left w:val="nil"/>
              <w:bottom w:val="single" w:color="auto" w:sz="4" w:space="0"/>
              <w:right w:val="single" w:color="auto" w:sz="4" w:space="0"/>
            </w:tcBorders>
            <w:vAlign w:val="center"/>
          </w:tcPr>
          <w:p w14:paraId="2ED0F8E5">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633" w:type="pct"/>
            <w:tcBorders>
              <w:top w:val="nil"/>
              <w:left w:val="nil"/>
              <w:bottom w:val="single" w:color="auto" w:sz="4" w:space="0"/>
              <w:right w:val="single" w:color="auto" w:sz="4" w:space="0"/>
            </w:tcBorders>
            <w:vAlign w:val="center"/>
          </w:tcPr>
          <w:p w14:paraId="21E93E50">
            <w:pPr>
              <w:pStyle w:val="109"/>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1144" w:type="pct"/>
            <w:tcBorders>
              <w:top w:val="nil"/>
              <w:left w:val="nil"/>
              <w:bottom w:val="single" w:color="auto" w:sz="4" w:space="0"/>
              <w:right w:val="single" w:color="auto" w:sz="4" w:space="0"/>
            </w:tcBorders>
            <w:noWrap/>
            <w:vAlign w:val="center"/>
          </w:tcPr>
          <w:p w14:paraId="0C0843BB">
            <w:pPr>
              <w:pStyle w:val="10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0.015</w:t>
            </w:r>
          </w:p>
        </w:tc>
      </w:tr>
      <w:tr w14:paraId="59381F44">
        <w:tblPrEx>
          <w:tblCellMar>
            <w:top w:w="0" w:type="dxa"/>
            <w:left w:w="108" w:type="dxa"/>
            <w:bottom w:w="0" w:type="dxa"/>
            <w:right w:w="108" w:type="dxa"/>
          </w:tblCellMar>
        </w:tblPrEx>
        <w:tc>
          <w:tcPr>
            <w:tcW w:w="1621" w:type="pct"/>
            <w:tcBorders>
              <w:top w:val="nil"/>
              <w:left w:val="single" w:color="auto" w:sz="4" w:space="0"/>
              <w:bottom w:val="single" w:color="auto" w:sz="4" w:space="0"/>
              <w:right w:val="single" w:color="auto" w:sz="4" w:space="0"/>
            </w:tcBorders>
            <w:vAlign w:val="center"/>
          </w:tcPr>
          <w:p w14:paraId="0BEA0DFC">
            <w:pPr>
              <w:pStyle w:val="109"/>
              <w:rPr>
                <w:color w:val="000000" w:themeColor="text1"/>
                <w14:textFill>
                  <w14:solidFill>
                    <w14:schemeClr w14:val="tx1"/>
                  </w14:solidFill>
                </w14:textFill>
              </w:rPr>
            </w:pPr>
            <w:r>
              <w:rPr>
                <w:color w:val="000000" w:themeColor="text1"/>
                <w14:textFill>
                  <w14:solidFill>
                    <w14:schemeClr w14:val="tx1"/>
                  </w14:solidFill>
                </w14:textFill>
              </w:rPr>
              <w:t>Cr铬</w:t>
            </w:r>
          </w:p>
        </w:tc>
        <w:tc>
          <w:tcPr>
            <w:tcW w:w="705" w:type="pct"/>
            <w:tcBorders>
              <w:top w:val="nil"/>
              <w:left w:val="nil"/>
              <w:bottom w:val="single" w:color="auto" w:sz="4" w:space="0"/>
              <w:right w:val="single" w:color="auto" w:sz="4" w:space="0"/>
            </w:tcBorders>
            <w:vAlign w:val="center"/>
          </w:tcPr>
          <w:p w14:paraId="2D273FFC">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897" w:type="pct"/>
            <w:tcBorders>
              <w:top w:val="nil"/>
              <w:left w:val="nil"/>
              <w:bottom w:val="single" w:color="auto" w:sz="4" w:space="0"/>
              <w:right w:val="single" w:color="auto" w:sz="4" w:space="0"/>
            </w:tcBorders>
            <w:vAlign w:val="center"/>
          </w:tcPr>
          <w:p w14:paraId="55CE6C4E">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633" w:type="pct"/>
            <w:tcBorders>
              <w:top w:val="nil"/>
              <w:left w:val="nil"/>
              <w:bottom w:val="single" w:color="auto" w:sz="4" w:space="0"/>
              <w:right w:val="single" w:color="auto" w:sz="4" w:space="0"/>
            </w:tcBorders>
            <w:vAlign w:val="center"/>
          </w:tcPr>
          <w:p w14:paraId="6B1DCA4B">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44" w:type="pct"/>
            <w:tcBorders>
              <w:top w:val="nil"/>
              <w:left w:val="nil"/>
              <w:bottom w:val="single" w:color="auto" w:sz="4" w:space="0"/>
              <w:right w:val="single" w:color="auto" w:sz="4" w:space="0"/>
            </w:tcBorders>
            <w:noWrap/>
            <w:vAlign w:val="center"/>
          </w:tcPr>
          <w:p w14:paraId="70E696E7">
            <w:pPr>
              <w:pStyle w:val="10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0.0025</w:t>
            </w:r>
          </w:p>
        </w:tc>
      </w:tr>
      <w:tr w14:paraId="31562A8F">
        <w:tblPrEx>
          <w:tblCellMar>
            <w:top w:w="0" w:type="dxa"/>
            <w:left w:w="108" w:type="dxa"/>
            <w:bottom w:w="0" w:type="dxa"/>
            <w:right w:w="108" w:type="dxa"/>
          </w:tblCellMar>
        </w:tblPrEx>
        <w:tc>
          <w:tcPr>
            <w:tcW w:w="1621" w:type="pct"/>
            <w:tcBorders>
              <w:top w:val="nil"/>
              <w:left w:val="single" w:color="auto" w:sz="4" w:space="0"/>
              <w:bottom w:val="single" w:color="auto" w:sz="4" w:space="0"/>
              <w:right w:val="single" w:color="auto" w:sz="4" w:space="0"/>
            </w:tcBorders>
            <w:vAlign w:val="center"/>
          </w:tcPr>
          <w:p w14:paraId="59145D93">
            <w:pPr>
              <w:pStyle w:val="109"/>
              <w:rPr>
                <w:color w:val="000000" w:themeColor="text1"/>
                <w14:textFill>
                  <w14:solidFill>
                    <w14:schemeClr w14:val="tx1"/>
                  </w14:solidFill>
                </w14:textFill>
              </w:rPr>
            </w:pPr>
            <w:r>
              <w:rPr>
                <w:color w:val="000000" w:themeColor="text1"/>
                <w14:textFill>
                  <w14:solidFill>
                    <w14:schemeClr w14:val="tx1"/>
                  </w14:solidFill>
                </w14:textFill>
              </w:rPr>
              <w:t>Sn+Sb+Cu+Mn+Ni+Co</w:t>
            </w:r>
          </w:p>
        </w:tc>
        <w:tc>
          <w:tcPr>
            <w:tcW w:w="705" w:type="pct"/>
            <w:tcBorders>
              <w:top w:val="nil"/>
              <w:left w:val="nil"/>
              <w:bottom w:val="single" w:color="auto" w:sz="4" w:space="0"/>
              <w:right w:val="single" w:color="auto" w:sz="4" w:space="0"/>
            </w:tcBorders>
            <w:vAlign w:val="center"/>
          </w:tcPr>
          <w:p w14:paraId="7D56C37D">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897" w:type="pct"/>
            <w:tcBorders>
              <w:top w:val="nil"/>
              <w:left w:val="nil"/>
              <w:bottom w:val="single" w:color="auto" w:sz="4" w:space="0"/>
              <w:right w:val="single" w:color="auto" w:sz="4" w:space="0"/>
            </w:tcBorders>
            <w:vAlign w:val="center"/>
          </w:tcPr>
          <w:p w14:paraId="0496929E">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633" w:type="pct"/>
            <w:tcBorders>
              <w:top w:val="nil"/>
              <w:left w:val="nil"/>
              <w:bottom w:val="single" w:color="auto" w:sz="4" w:space="0"/>
              <w:right w:val="single" w:color="auto" w:sz="4" w:space="0"/>
            </w:tcBorders>
            <w:vAlign w:val="center"/>
          </w:tcPr>
          <w:p w14:paraId="1F8362C9">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144" w:type="pct"/>
            <w:tcBorders>
              <w:top w:val="nil"/>
              <w:left w:val="nil"/>
              <w:bottom w:val="single" w:color="auto" w:sz="4" w:space="0"/>
              <w:right w:val="single" w:color="auto" w:sz="4" w:space="0"/>
            </w:tcBorders>
            <w:noWrap/>
            <w:vAlign w:val="center"/>
          </w:tcPr>
          <w:p w14:paraId="0E717304">
            <w:pPr>
              <w:pStyle w:val="10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0.0175</w:t>
            </w:r>
          </w:p>
        </w:tc>
      </w:tr>
      <w:tr w14:paraId="228D0923">
        <w:tblPrEx>
          <w:tblCellMar>
            <w:top w:w="0" w:type="dxa"/>
            <w:left w:w="108" w:type="dxa"/>
            <w:bottom w:w="0" w:type="dxa"/>
            <w:right w:w="108" w:type="dxa"/>
          </w:tblCellMar>
        </w:tblPrEx>
        <w:tc>
          <w:tcPr>
            <w:tcW w:w="1621" w:type="pct"/>
            <w:tcBorders>
              <w:top w:val="nil"/>
              <w:left w:val="single" w:color="auto" w:sz="4" w:space="0"/>
              <w:bottom w:val="single" w:color="auto" w:sz="4" w:space="0"/>
              <w:right w:val="single" w:color="auto" w:sz="4" w:space="0"/>
            </w:tcBorders>
            <w:vAlign w:val="center"/>
          </w:tcPr>
          <w:p w14:paraId="51AB7C13">
            <w:pPr>
              <w:pStyle w:val="109"/>
              <w:rPr>
                <w:color w:val="000000" w:themeColor="text1"/>
                <w14:textFill>
                  <w14:solidFill>
                    <w14:schemeClr w14:val="tx1"/>
                  </w14:solidFill>
                </w14:textFill>
              </w:rPr>
            </w:pPr>
            <w:r>
              <w:rPr>
                <w:color w:val="000000" w:themeColor="text1"/>
                <w14:textFill>
                  <w14:solidFill>
                    <w14:schemeClr w14:val="tx1"/>
                  </w14:solidFill>
                </w14:textFill>
              </w:rPr>
              <w:t>Pb铅</w:t>
            </w:r>
          </w:p>
        </w:tc>
        <w:tc>
          <w:tcPr>
            <w:tcW w:w="705" w:type="pct"/>
            <w:tcBorders>
              <w:top w:val="nil"/>
              <w:left w:val="nil"/>
              <w:bottom w:val="single" w:color="auto" w:sz="4" w:space="0"/>
              <w:right w:val="single" w:color="auto" w:sz="4" w:space="0"/>
            </w:tcBorders>
            <w:vAlign w:val="center"/>
          </w:tcPr>
          <w:p w14:paraId="3AC3D3B9">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897" w:type="pct"/>
            <w:tcBorders>
              <w:top w:val="nil"/>
              <w:left w:val="nil"/>
              <w:bottom w:val="single" w:color="auto" w:sz="4" w:space="0"/>
              <w:right w:val="single" w:color="auto" w:sz="4" w:space="0"/>
            </w:tcBorders>
            <w:vAlign w:val="center"/>
          </w:tcPr>
          <w:p w14:paraId="059E2C7D">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633" w:type="pct"/>
            <w:tcBorders>
              <w:top w:val="nil"/>
              <w:left w:val="nil"/>
              <w:bottom w:val="single" w:color="auto" w:sz="4" w:space="0"/>
              <w:right w:val="single" w:color="auto" w:sz="4" w:space="0"/>
            </w:tcBorders>
            <w:vAlign w:val="center"/>
          </w:tcPr>
          <w:p w14:paraId="201D6771">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144" w:type="pct"/>
            <w:tcBorders>
              <w:top w:val="nil"/>
              <w:left w:val="nil"/>
              <w:bottom w:val="single" w:color="auto" w:sz="4" w:space="0"/>
              <w:right w:val="single" w:color="auto" w:sz="4" w:space="0"/>
            </w:tcBorders>
            <w:noWrap/>
            <w:vAlign w:val="center"/>
          </w:tcPr>
          <w:p w14:paraId="23161E16">
            <w:pPr>
              <w:pStyle w:val="10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0.05</w:t>
            </w:r>
          </w:p>
        </w:tc>
      </w:tr>
      <w:tr w14:paraId="37F71A5B">
        <w:tblPrEx>
          <w:tblCellMar>
            <w:top w:w="0" w:type="dxa"/>
            <w:left w:w="108" w:type="dxa"/>
            <w:bottom w:w="0" w:type="dxa"/>
            <w:right w:w="108" w:type="dxa"/>
          </w:tblCellMar>
        </w:tblPrEx>
        <w:tc>
          <w:tcPr>
            <w:tcW w:w="1621" w:type="pct"/>
            <w:tcBorders>
              <w:top w:val="nil"/>
              <w:left w:val="single" w:color="auto" w:sz="4" w:space="0"/>
              <w:bottom w:val="single" w:color="auto" w:sz="4" w:space="0"/>
              <w:right w:val="single" w:color="auto" w:sz="4" w:space="0"/>
            </w:tcBorders>
            <w:vAlign w:val="center"/>
          </w:tcPr>
          <w:p w14:paraId="17A440B6">
            <w:pPr>
              <w:pStyle w:val="109"/>
              <w:rPr>
                <w:color w:val="000000" w:themeColor="text1"/>
                <w14:textFill>
                  <w14:solidFill>
                    <w14:schemeClr w14:val="tx1"/>
                  </w14:solidFill>
                </w14:textFill>
              </w:rPr>
            </w:pPr>
            <w:r>
              <w:rPr>
                <w:color w:val="000000" w:themeColor="text1"/>
                <w14:textFill>
                  <w14:solidFill>
                    <w14:schemeClr w14:val="tx1"/>
                  </w14:solidFill>
                </w14:textFill>
              </w:rPr>
              <w:t>Hg汞</w:t>
            </w:r>
          </w:p>
        </w:tc>
        <w:tc>
          <w:tcPr>
            <w:tcW w:w="705" w:type="pct"/>
            <w:tcBorders>
              <w:top w:val="nil"/>
              <w:left w:val="nil"/>
              <w:bottom w:val="single" w:color="auto" w:sz="4" w:space="0"/>
              <w:right w:val="single" w:color="auto" w:sz="4" w:space="0"/>
            </w:tcBorders>
            <w:vAlign w:val="center"/>
          </w:tcPr>
          <w:p w14:paraId="1353340D">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897" w:type="pct"/>
            <w:tcBorders>
              <w:top w:val="nil"/>
              <w:left w:val="nil"/>
              <w:bottom w:val="single" w:color="auto" w:sz="4" w:space="0"/>
              <w:right w:val="single" w:color="auto" w:sz="4" w:space="0"/>
            </w:tcBorders>
            <w:vAlign w:val="center"/>
          </w:tcPr>
          <w:p w14:paraId="7A009775">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633" w:type="pct"/>
            <w:tcBorders>
              <w:top w:val="nil"/>
              <w:left w:val="nil"/>
              <w:bottom w:val="single" w:color="auto" w:sz="4" w:space="0"/>
              <w:right w:val="single" w:color="auto" w:sz="4" w:space="0"/>
            </w:tcBorders>
            <w:vAlign w:val="center"/>
          </w:tcPr>
          <w:p w14:paraId="03BF6150">
            <w:pPr>
              <w:pStyle w:val="109"/>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1144" w:type="pct"/>
            <w:tcBorders>
              <w:top w:val="nil"/>
              <w:left w:val="nil"/>
              <w:bottom w:val="single" w:color="auto" w:sz="4" w:space="0"/>
              <w:right w:val="single" w:color="auto" w:sz="4" w:space="0"/>
            </w:tcBorders>
            <w:noWrap/>
            <w:vAlign w:val="center"/>
          </w:tcPr>
          <w:p w14:paraId="6004ECA3">
            <w:pPr>
              <w:pStyle w:val="10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0.005</w:t>
            </w:r>
          </w:p>
        </w:tc>
      </w:tr>
      <w:tr w14:paraId="5D0A848F">
        <w:tblPrEx>
          <w:tblCellMar>
            <w:top w:w="0" w:type="dxa"/>
            <w:left w:w="108" w:type="dxa"/>
            <w:bottom w:w="0" w:type="dxa"/>
            <w:right w:w="108" w:type="dxa"/>
          </w:tblCellMar>
        </w:tblPrEx>
        <w:tc>
          <w:tcPr>
            <w:tcW w:w="1621" w:type="pct"/>
            <w:tcBorders>
              <w:top w:val="single" w:color="auto" w:sz="4" w:space="0"/>
              <w:left w:val="single" w:color="auto" w:sz="4" w:space="0"/>
              <w:bottom w:val="single" w:color="auto" w:sz="4" w:space="0"/>
              <w:right w:val="single" w:color="auto" w:sz="4" w:space="0"/>
            </w:tcBorders>
            <w:vAlign w:val="center"/>
          </w:tcPr>
          <w:p w14:paraId="7AA6C9CE">
            <w:pPr>
              <w:pStyle w:val="109"/>
              <w:rPr>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Tl</w:t>
            </w:r>
            <w:r>
              <w:rPr>
                <w:rFonts w:hint="eastAsia"/>
                <w:color w:val="000000" w:themeColor="text1"/>
                <w14:textFill>
                  <w14:solidFill>
                    <w14:schemeClr w14:val="tx1"/>
                  </w14:solidFill>
                </w14:textFill>
              </w:rPr>
              <w:t>铊</w:t>
            </w:r>
          </w:p>
        </w:tc>
        <w:tc>
          <w:tcPr>
            <w:tcW w:w="705" w:type="pct"/>
            <w:tcBorders>
              <w:top w:val="single" w:color="auto" w:sz="4" w:space="0"/>
              <w:left w:val="nil"/>
              <w:bottom w:val="single" w:color="auto" w:sz="4" w:space="0"/>
              <w:right w:val="single" w:color="auto" w:sz="4" w:space="0"/>
            </w:tcBorders>
            <w:vAlign w:val="center"/>
          </w:tcPr>
          <w:p w14:paraId="6B98D86C">
            <w:pPr>
              <w:pStyle w:val="109"/>
              <w:rPr>
                <w:color w:val="000000" w:themeColor="text1"/>
                <w14:textFill>
                  <w14:solidFill>
                    <w14:schemeClr w14:val="tx1"/>
                  </w14:solidFill>
                </w14:textFill>
              </w:rPr>
            </w:pPr>
            <w:r>
              <w:rPr>
                <w:color w:val="000000" w:themeColor="text1"/>
                <w14:textFill>
                  <w14:solidFill>
                    <w14:schemeClr w14:val="tx1"/>
                  </w14:solidFill>
                </w14:textFill>
              </w:rPr>
              <w:t>50000</w:t>
            </w:r>
          </w:p>
        </w:tc>
        <w:tc>
          <w:tcPr>
            <w:tcW w:w="897" w:type="pct"/>
            <w:tcBorders>
              <w:top w:val="single" w:color="auto" w:sz="4" w:space="0"/>
              <w:left w:val="nil"/>
              <w:bottom w:val="single" w:color="auto" w:sz="4" w:space="0"/>
              <w:right w:val="single" w:color="auto" w:sz="4" w:space="0"/>
            </w:tcBorders>
            <w:vAlign w:val="center"/>
          </w:tcPr>
          <w:p w14:paraId="61B3995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633" w:type="pct"/>
            <w:tcBorders>
              <w:top w:val="single" w:color="auto" w:sz="4" w:space="0"/>
              <w:left w:val="nil"/>
              <w:bottom w:val="single" w:color="auto" w:sz="4" w:space="0"/>
              <w:right w:val="single" w:color="auto" w:sz="4" w:space="0"/>
            </w:tcBorders>
            <w:vAlign w:val="center"/>
          </w:tcPr>
          <w:p w14:paraId="420EDDBF">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44" w:type="pct"/>
            <w:tcBorders>
              <w:top w:val="single" w:color="auto" w:sz="4" w:space="0"/>
              <w:left w:val="nil"/>
              <w:bottom w:val="single" w:color="auto" w:sz="4" w:space="0"/>
              <w:right w:val="single" w:color="auto" w:sz="4" w:space="0"/>
            </w:tcBorders>
            <w:noWrap/>
            <w:vAlign w:val="center"/>
          </w:tcPr>
          <w:p w14:paraId="4F5DD03D">
            <w:pPr>
              <w:pStyle w:val="10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0.00025</w:t>
            </w:r>
          </w:p>
        </w:tc>
      </w:tr>
    </w:tbl>
    <w:p w14:paraId="667CFFC3">
      <w:pPr>
        <w:ind w:firstLine="480"/>
        <w:outlineLvl w:val="5"/>
        <w:rPr>
          <w:rFonts w:eastAsia="黑体"/>
          <w:color w:val="000000" w:themeColor="text1"/>
          <w:lang w:val="zh-CN"/>
          <w14:textFill>
            <w14:solidFill>
              <w14:schemeClr w14:val="tx1"/>
            </w14:solidFill>
          </w14:textFill>
        </w:rPr>
      </w:pPr>
      <w:r>
        <w:rPr>
          <w:rFonts w:eastAsia="黑体"/>
          <w:color w:val="000000" w:themeColor="text1"/>
          <w:lang w:val="zh-CN"/>
          <w14:textFill>
            <w14:solidFill>
              <w14:schemeClr w14:val="tx1"/>
            </w14:solidFill>
          </w14:textFill>
        </w:rPr>
        <w:t>三、污染物排放及达标分析</w:t>
      </w:r>
    </w:p>
    <w:p w14:paraId="7CABBA5A">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本项目污染物排放源及源强见</w:t>
      </w:r>
      <w:r>
        <w:rPr>
          <w:rFonts w:hint="eastAsia"/>
          <w:color w:val="000000" w:themeColor="text1"/>
          <w:lang w:val="zh-CN"/>
          <w14:textFill>
            <w14:solidFill>
              <w14:schemeClr w14:val="tx1"/>
            </w14:solidFill>
          </w14:textFill>
        </w:rPr>
        <w:t>下表</w:t>
      </w:r>
      <w:r>
        <w:rPr>
          <w:color w:val="000000" w:themeColor="text1"/>
          <w:lang w:val="zh-CN"/>
          <w14:textFill>
            <w14:solidFill>
              <w14:schemeClr w14:val="tx1"/>
            </w14:solidFill>
          </w14:textFill>
        </w:rPr>
        <w:t>。</w:t>
      </w:r>
    </w:p>
    <w:p w14:paraId="6319133E">
      <w:pPr>
        <w:ind w:firstLine="480"/>
        <w:jc w:val="center"/>
        <w:rPr>
          <w:rFonts w:eastAsia="黑体"/>
          <w:color w:val="000000" w:themeColor="text1"/>
          <w14:textFill>
            <w14:solidFill>
              <w14:schemeClr w14:val="tx1"/>
            </w14:solidFill>
          </w14:textFill>
        </w:rPr>
        <w:sectPr>
          <w:type w:val="nextColumn"/>
          <w:pgSz w:w="11906" w:h="16838"/>
          <w:pgMar w:top="1418" w:right="1247" w:bottom="1418" w:left="1247" w:header="964" w:footer="964" w:gutter="0"/>
          <w:cols w:space="720" w:num="1"/>
          <w:titlePg/>
          <w:docGrid w:linePitch="286" w:charSpace="0"/>
        </w:sectPr>
      </w:pPr>
    </w:p>
    <w:p w14:paraId="540417CD">
      <w:pPr>
        <w:pStyle w:val="117"/>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bookmarkStart w:id="281" w:name="_Hlk223339476"/>
      <w:r>
        <w:rPr>
          <w:rFonts w:ascii="Times New Roman" w:hAnsi="Times New Roman" w:cs="Times New Roman"/>
          <w:color w:val="000000" w:themeColor="text1"/>
          <w14:textFill>
            <w14:solidFill>
              <w14:schemeClr w14:val="tx1"/>
            </w14:solidFill>
          </w14:textFill>
        </w:rPr>
        <w:t>本项目热解焙烧废气污染物种类及主要污染物排放情况</w:t>
      </w:r>
    </w:p>
    <w:bookmarkEnd w:id="281"/>
    <w:tbl>
      <w:tblPr>
        <w:tblStyle w:val="76"/>
        <w:tblW w:w="14496" w:type="dxa"/>
        <w:tblInd w:w="0" w:type="dxa"/>
        <w:tblLayout w:type="fixed"/>
        <w:tblCellMar>
          <w:top w:w="0" w:type="dxa"/>
          <w:left w:w="108" w:type="dxa"/>
          <w:bottom w:w="0" w:type="dxa"/>
          <w:right w:w="108" w:type="dxa"/>
        </w:tblCellMar>
      </w:tblPr>
      <w:tblGrid>
        <w:gridCol w:w="1540"/>
        <w:gridCol w:w="1280"/>
        <w:gridCol w:w="1286"/>
        <w:gridCol w:w="1134"/>
        <w:gridCol w:w="1134"/>
        <w:gridCol w:w="1700"/>
        <w:gridCol w:w="1135"/>
        <w:gridCol w:w="1276"/>
        <w:gridCol w:w="1417"/>
        <w:gridCol w:w="1276"/>
        <w:gridCol w:w="1318"/>
      </w:tblGrid>
      <w:tr w14:paraId="60250326">
        <w:tblPrEx>
          <w:tblCellMar>
            <w:top w:w="0" w:type="dxa"/>
            <w:left w:w="108" w:type="dxa"/>
            <w:bottom w:w="0" w:type="dxa"/>
            <w:right w:w="108" w:type="dxa"/>
          </w:tblCellMar>
        </w:tblPrEx>
        <w:trPr>
          <w:trHeight w:val="336" w:hRule="atLeast"/>
        </w:trPr>
        <w:tc>
          <w:tcPr>
            <w:tcW w:w="1540" w:type="dxa"/>
            <w:tcBorders>
              <w:top w:val="single" w:color="auto" w:sz="4" w:space="0"/>
              <w:left w:val="single" w:color="auto" w:sz="4" w:space="0"/>
              <w:bottom w:val="single" w:color="auto" w:sz="4" w:space="0"/>
              <w:right w:val="single" w:color="auto" w:sz="4" w:space="0"/>
            </w:tcBorders>
            <w:noWrap/>
            <w:vAlign w:val="center"/>
          </w:tcPr>
          <w:p w14:paraId="7DF1A80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280" w:type="dxa"/>
            <w:tcBorders>
              <w:top w:val="single" w:color="auto" w:sz="4" w:space="0"/>
              <w:left w:val="nil"/>
              <w:bottom w:val="single" w:color="auto" w:sz="4" w:space="0"/>
              <w:right w:val="single" w:color="auto" w:sz="4" w:space="0"/>
            </w:tcBorders>
            <w:noWrap/>
            <w:vAlign w:val="center"/>
          </w:tcPr>
          <w:p w14:paraId="3AC79BB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产生废气量(Nm³/h)</w:t>
            </w:r>
          </w:p>
        </w:tc>
        <w:tc>
          <w:tcPr>
            <w:tcW w:w="1286" w:type="dxa"/>
            <w:tcBorders>
              <w:top w:val="single" w:color="auto" w:sz="4" w:space="0"/>
              <w:left w:val="nil"/>
              <w:bottom w:val="single" w:color="auto" w:sz="4" w:space="0"/>
              <w:right w:val="single" w:color="auto" w:sz="4" w:space="0"/>
            </w:tcBorders>
            <w:noWrap/>
            <w:vAlign w:val="center"/>
          </w:tcPr>
          <w:p w14:paraId="16AE65E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产生浓度(mg/Nm </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134" w:type="dxa"/>
            <w:tcBorders>
              <w:top w:val="single" w:color="auto" w:sz="4" w:space="0"/>
              <w:left w:val="nil"/>
              <w:bottom w:val="single" w:color="auto" w:sz="4" w:space="0"/>
              <w:right w:val="single" w:color="auto" w:sz="4" w:space="0"/>
            </w:tcBorders>
            <w:noWrap/>
            <w:vAlign w:val="center"/>
          </w:tcPr>
          <w:p w14:paraId="3B88D46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排放速率（kg/h）</w:t>
            </w:r>
          </w:p>
        </w:tc>
        <w:tc>
          <w:tcPr>
            <w:tcW w:w="1134" w:type="dxa"/>
            <w:tcBorders>
              <w:top w:val="single" w:color="auto" w:sz="4" w:space="0"/>
              <w:left w:val="nil"/>
              <w:bottom w:val="single" w:color="auto" w:sz="4" w:space="0"/>
              <w:right w:val="single" w:color="auto" w:sz="4" w:space="0"/>
            </w:tcBorders>
            <w:noWrap/>
            <w:vAlign w:val="center"/>
          </w:tcPr>
          <w:p w14:paraId="0B49E3D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1700" w:type="dxa"/>
            <w:tcBorders>
              <w:top w:val="single" w:color="auto" w:sz="4" w:space="0"/>
              <w:left w:val="nil"/>
              <w:bottom w:val="single" w:color="auto" w:sz="4" w:space="0"/>
              <w:right w:val="single" w:color="auto" w:sz="4" w:space="0"/>
            </w:tcBorders>
            <w:noWrap/>
            <w:vAlign w:val="center"/>
          </w:tcPr>
          <w:p w14:paraId="2CB76AB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废气治理措施</w:t>
            </w:r>
          </w:p>
        </w:tc>
        <w:tc>
          <w:tcPr>
            <w:tcW w:w="1135" w:type="dxa"/>
            <w:tcBorders>
              <w:top w:val="single" w:color="auto" w:sz="4" w:space="0"/>
              <w:left w:val="nil"/>
              <w:bottom w:val="single" w:color="auto" w:sz="4" w:space="0"/>
              <w:right w:val="single" w:color="auto" w:sz="4" w:space="0"/>
            </w:tcBorders>
            <w:noWrap/>
            <w:vAlign w:val="center"/>
          </w:tcPr>
          <w:p w14:paraId="138557E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去除效率（%）</w:t>
            </w:r>
          </w:p>
        </w:tc>
        <w:tc>
          <w:tcPr>
            <w:tcW w:w="1276" w:type="dxa"/>
            <w:tcBorders>
              <w:top w:val="single" w:color="auto" w:sz="4" w:space="0"/>
              <w:left w:val="nil"/>
              <w:bottom w:val="single" w:color="auto" w:sz="4" w:space="0"/>
              <w:right w:val="single" w:color="auto" w:sz="4" w:space="0"/>
            </w:tcBorders>
            <w:noWrap/>
            <w:vAlign w:val="center"/>
          </w:tcPr>
          <w:p w14:paraId="7D8B057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 (mg/Nm³)</w:t>
            </w:r>
          </w:p>
        </w:tc>
        <w:tc>
          <w:tcPr>
            <w:tcW w:w="1417" w:type="dxa"/>
            <w:tcBorders>
              <w:top w:val="single" w:color="auto" w:sz="4" w:space="0"/>
              <w:left w:val="nil"/>
              <w:bottom w:val="single" w:color="auto" w:sz="4" w:space="0"/>
              <w:right w:val="single" w:color="auto" w:sz="4" w:space="0"/>
            </w:tcBorders>
            <w:noWrap/>
            <w:vAlign w:val="center"/>
          </w:tcPr>
          <w:p w14:paraId="595CEB4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排放速率（kg/h）</w:t>
            </w:r>
          </w:p>
        </w:tc>
        <w:tc>
          <w:tcPr>
            <w:tcW w:w="1276" w:type="dxa"/>
            <w:tcBorders>
              <w:top w:val="single" w:color="auto" w:sz="4" w:space="0"/>
              <w:left w:val="nil"/>
              <w:bottom w:val="single" w:color="auto" w:sz="4" w:space="0"/>
              <w:right w:val="single" w:color="auto" w:sz="4" w:space="0"/>
            </w:tcBorders>
            <w:noWrap/>
            <w:vAlign w:val="center"/>
          </w:tcPr>
          <w:p w14:paraId="5CBA452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1318" w:type="dxa"/>
            <w:tcBorders>
              <w:top w:val="single" w:color="auto" w:sz="4" w:space="0"/>
              <w:left w:val="nil"/>
              <w:bottom w:val="single" w:color="auto" w:sz="4" w:space="0"/>
              <w:right w:val="single" w:color="auto" w:sz="4" w:space="0"/>
            </w:tcBorders>
            <w:noWrap/>
            <w:vAlign w:val="center"/>
          </w:tcPr>
          <w:p w14:paraId="70FACA0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标准值（mg/m³）</w:t>
            </w:r>
          </w:p>
        </w:tc>
      </w:tr>
      <w:tr w14:paraId="04FCA496">
        <w:tblPrEx>
          <w:tblCellMar>
            <w:top w:w="0" w:type="dxa"/>
            <w:left w:w="108" w:type="dxa"/>
            <w:bottom w:w="0" w:type="dxa"/>
            <w:right w:w="108" w:type="dxa"/>
          </w:tblCellMar>
        </w:tblPrEx>
        <w:trPr>
          <w:trHeight w:val="300" w:hRule="atLeast"/>
        </w:trPr>
        <w:tc>
          <w:tcPr>
            <w:tcW w:w="1540" w:type="dxa"/>
            <w:tcBorders>
              <w:top w:val="nil"/>
              <w:left w:val="single" w:color="auto" w:sz="4" w:space="0"/>
              <w:bottom w:val="single" w:color="auto" w:sz="4" w:space="0"/>
              <w:right w:val="single" w:color="auto" w:sz="4" w:space="0"/>
            </w:tcBorders>
            <w:vAlign w:val="center"/>
          </w:tcPr>
          <w:p w14:paraId="06F6A0D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280" w:type="dxa"/>
            <w:tcBorders>
              <w:top w:val="nil"/>
              <w:left w:val="nil"/>
              <w:bottom w:val="single" w:color="auto" w:sz="4" w:space="0"/>
              <w:right w:val="single" w:color="auto" w:sz="4" w:space="0"/>
            </w:tcBorders>
            <w:vAlign w:val="center"/>
          </w:tcPr>
          <w:p w14:paraId="3E8568B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1F0F240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3640.63 </w:t>
            </w:r>
          </w:p>
        </w:tc>
        <w:tc>
          <w:tcPr>
            <w:tcW w:w="1134" w:type="dxa"/>
            <w:tcBorders>
              <w:top w:val="nil"/>
              <w:left w:val="nil"/>
              <w:bottom w:val="single" w:color="auto" w:sz="4" w:space="0"/>
              <w:right w:val="single" w:color="auto" w:sz="4" w:space="0"/>
            </w:tcBorders>
            <w:noWrap/>
            <w:vAlign w:val="center"/>
          </w:tcPr>
          <w:p w14:paraId="22E6CBF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14.563 </w:t>
            </w:r>
          </w:p>
        </w:tc>
        <w:tc>
          <w:tcPr>
            <w:tcW w:w="1134" w:type="dxa"/>
            <w:tcBorders>
              <w:top w:val="nil"/>
              <w:left w:val="nil"/>
              <w:bottom w:val="single" w:color="auto" w:sz="4" w:space="0"/>
              <w:right w:val="single" w:color="auto" w:sz="4" w:space="0"/>
            </w:tcBorders>
            <w:noWrap/>
            <w:vAlign w:val="center"/>
          </w:tcPr>
          <w:p w14:paraId="0B2B498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116.500 </w:t>
            </w:r>
          </w:p>
        </w:tc>
        <w:tc>
          <w:tcPr>
            <w:tcW w:w="1700" w:type="dxa"/>
            <w:vMerge w:val="restart"/>
            <w:tcBorders>
              <w:top w:val="nil"/>
              <w:left w:val="single" w:color="auto" w:sz="4" w:space="0"/>
              <w:bottom w:val="single" w:color="auto" w:sz="4" w:space="0"/>
              <w:right w:val="single" w:color="auto" w:sz="4" w:space="0"/>
            </w:tcBorders>
            <w:vAlign w:val="center"/>
          </w:tcPr>
          <w:p w14:paraId="16B16E0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热解焙烧窑（二级）+二燃室（SNCR）+石墨急冷塔+二级碱洗塔+水洗塔+湿电除尘+引风机+活性炭吸附+GGH换热+热风炉（电加热）+SCR</w:t>
            </w:r>
          </w:p>
        </w:tc>
        <w:tc>
          <w:tcPr>
            <w:tcW w:w="1135" w:type="dxa"/>
            <w:tcBorders>
              <w:top w:val="nil"/>
              <w:left w:val="nil"/>
              <w:bottom w:val="single" w:color="auto" w:sz="4" w:space="0"/>
              <w:right w:val="single" w:color="auto" w:sz="4" w:space="0"/>
            </w:tcBorders>
            <w:noWrap/>
            <w:vAlign w:val="center"/>
          </w:tcPr>
          <w:p w14:paraId="2FD5F6A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99.5%</w:t>
            </w:r>
          </w:p>
        </w:tc>
        <w:tc>
          <w:tcPr>
            <w:tcW w:w="1276" w:type="dxa"/>
            <w:tcBorders>
              <w:top w:val="nil"/>
              <w:left w:val="nil"/>
              <w:bottom w:val="single" w:color="auto" w:sz="4" w:space="0"/>
              <w:right w:val="single" w:color="auto" w:sz="4" w:space="0"/>
            </w:tcBorders>
            <w:noWrap/>
            <w:vAlign w:val="center"/>
          </w:tcPr>
          <w:p w14:paraId="3E6439C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18.20 </w:t>
            </w:r>
          </w:p>
        </w:tc>
        <w:tc>
          <w:tcPr>
            <w:tcW w:w="1417" w:type="dxa"/>
            <w:tcBorders>
              <w:top w:val="nil"/>
              <w:left w:val="nil"/>
              <w:bottom w:val="single" w:color="auto" w:sz="4" w:space="0"/>
              <w:right w:val="single" w:color="auto" w:sz="4" w:space="0"/>
            </w:tcBorders>
            <w:noWrap/>
            <w:vAlign w:val="center"/>
          </w:tcPr>
          <w:p w14:paraId="2609BB0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0.073 </w:t>
            </w:r>
          </w:p>
        </w:tc>
        <w:tc>
          <w:tcPr>
            <w:tcW w:w="1276" w:type="dxa"/>
            <w:tcBorders>
              <w:top w:val="nil"/>
              <w:left w:val="nil"/>
              <w:bottom w:val="single" w:color="auto" w:sz="4" w:space="0"/>
              <w:right w:val="single" w:color="auto" w:sz="4" w:space="0"/>
            </w:tcBorders>
            <w:noWrap/>
            <w:vAlign w:val="center"/>
          </w:tcPr>
          <w:p w14:paraId="5E598BD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0.583 </w:t>
            </w:r>
          </w:p>
        </w:tc>
        <w:tc>
          <w:tcPr>
            <w:tcW w:w="1318" w:type="dxa"/>
            <w:tcBorders>
              <w:top w:val="nil"/>
              <w:left w:val="nil"/>
              <w:bottom w:val="single" w:color="auto" w:sz="4" w:space="0"/>
              <w:right w:val="single" w:color="auto" w:sz="4" w:space="0"/>
            </w:tcBorders>
            <w:noWrap/>
            <w:vAlign w:val="center"/>
          </w:tcPr>
          <w:p w14:paraId="2C56475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r>
      <w:tr w14:paraId="7021735B">
        <w:tblPrEx>
          <w:tblCellMar>
            <w:top w:w="0" w:type="dxa"/>
            <w:left w:w="108" w:type="dxa"/>
            <w:bottom w:w="0" w:type="dxa"/>
            <w:right w:w="108" w:type="dxa"/>
          </w:tblCellMar>
        </w:tblPrEx>
        <w:trPr>
          <w:trHeight w:val="288" w:hRule="atLeast"/>
        </w:trPr>
        <w:tc>
          <w:tcPr>
            <w:tcW w:w="1540" w:type="dxa"/>
            <w:tcBorders>
              <w:top w:val="nil"/>
              <w:left w:val="single" w:color="auto" w:sz="4" w:space="0"/>
              <w:bottom w:val="single" w:color="auto" w:sz="4" w:space="0"/>
              <w:right w:val="single" w:color="auto" w:sz="4" w:space="0"/>
            </w:tcBorders>
            <w:vAlign w:val="center"/>
          </w:tcPr>
          <w:p w14:paraId="6B42D44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280" w:type="dxa"/>
            <w:tcBorders>
              <w:top w:val="nil"/>
              <w:left w:val="nil"/>
              <w:bottom w:val="single" w:color="auto" w:sz="4" w:space="0"/>
              <w:right w:val="single" w:color="auto" w:sz="4" w:space="0"/>
            </w:tcBorders>
            <w:vAlign w:val="center"/>
          </w:tcPr>
          <w:p w14:paraId="7DD5793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0197DE1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72.92 </w:t>
            </w:r>
          </w:p>
        </w:tc>
        <w:tc>
          <w:tcPr>
            <w:tcW w:w="1134" w:type="dxa"/>
            <w:tcBorders>
              <w:top w:val="nil"/>
              <w:left w:val="nil"/>
              <w:bottom w:val="single" w:color="auto" w:sz="4" w:space="0"/>
              <w:right w:val="single" w:color="auto" w:sz="4" w:space="0"/>
            </w:tcBorders>
            <w:noWrap/>
            <w:vAlign w:val="center"/>
          </w:tcPr>
          <w:p w14:paraId="3A2EF6B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0.292 </w:t>
            </w:r>
          </w:p>
        </w:tc>
        <w:tc>
          <w:tcPr>
            <w:tcW w:w="1134" w:type="dxa"/>
            <w:tcBorders>
              <w:top w:val="nil"/>
              <w:left w:val="nil"/>
              <w:bottom w:val="single" w:color="auto" w:sz="4" w:space="0"/>
              <w:right w:val="single" w:color="auto" w:sz="4" w:space="0"/>
            </w:tcBorders>
            <w:noWrap/>
            <w:vAlign w:val="center"/>
          </w:tcPr>
          <w:p w14:paraId="36BC6B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2.333 </w:t>
            </w:r>
          </w:p>
        </w:tc>
        <w:tc>
          <w:tcPr>
            <w:tcW w:w="1700" w:type="dxa"/>
            <w:vMerge w:val="continue"/>
            <w:tcBorders>
              <w:top w:val="nil"/>
              <w:left w:val="single" w:color="auto" w:sz="4" w:space="0"/>
              <w:bottom w:val="single" w:color="auto" w:sz="4" w:space="0"/>
              <w:right w:val="single" w:color="auto" w:sz="4" w:space="0"/>
            </w:tcBorders>
            <w:vAlign w:val="center"/>
          </w:tcPr>
          <w:p w14:paraId="75828287">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2AD66A4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w:t>
            </w:r>
          </w:p>
        </w:tc>
        <w:tc>
          <w:tcPr>
            <w:tcW w:w="1276" w:type="dxa"/>
            <w:tcBorders>
              <w:top w:val="nil"/>
              <w:left w:val="nil"/>
              <w:bottom w:val="single" w:color="auto" w:sz="4" w:space="0"/>
              <w:right w:val="single" w:color="auto" w:sz="4" w:space="0"/>
            </w:tcBorders>
            <w:noWrap/>
            <w:vAlign w:val="center"/>
          </w:tcPr>
          <w:p w14:paraId="7EB9168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72.92 </w:t>
            </w:r>
          </w:p>
        </w:tc>
        <w:tc>
          <w:tcPr>
            <w:tcW w:w="1417" w:type="dxa"/>
            <w:tcBorders>
              <w:top w:val="nil"/>
              <w:left w:val="nil"/>
              <w:bottom w:val="single" w:color="auto" w:sz="4" w:space="0"/>
              <w:right w:val="single" w:color="auto" w:sz="4" w:space="0"/>
            </w:tcBorders>
            <w:noWrap/>
            <w:vAlign w:val="center"/>
          </w:tcPr>
          <w:p w14:paraId="1DA19A2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0.2917 </w:t>
            </w:r>
          </w:p>
        </w:tc>
        <w:tc>
          <w:tcPr>
            <w:tcW w:w="1276" w:type="dxa"/>
            <w:tcBorders>
              <w:top w:val="nil"/>
              <w:left w:val="nil"/>
              <w:bottom w:val="single" w:color="auto" w:sz="4" w:space="0"/>
              <w:right w:val="single" w:color="auto" w:sz="4" w:space="0"/>
            </w:tcBorders>
            <w:noWrap/>
            <w:vAlign w:val="center"/>
          </w:tcPr>
          <w:p w14:paraId="5BA46A1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2.333 </w:t>
            </w:r>
          </w:p>
        </w:tc>
        <w:tc>
          <w:tcPr>
            <w:tcW w:w="1318" w:type="dxa"/>
            <w:tcBorders>
              <w:top w:val="nil"/>
              <w:left w:val="nil"/>
              <w:bottom w:val="single" w:color="auto" w:sz="4" w:space="0"/>
              <w:right w:val="single" w:color="auto" w:sz="4" w:space="0"/>
            </w:tcBorders>
            <w:noWrap/>
            <w:vAlign w:val="center"/>
          </w:tcPr>
          <w:p w14:paraId="4D87DC7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r>
      <w:tr w14:paraId="43294978">
        <w:tblPrEx>
          <w:tblCellMar>
            <w:top w:w="0" w:type="dxa"/>
            <w:left w:w="108" w:type="dxa"/>
            <w:bottom w:w="0" w:type="dxa"/>
            <w:right w:w="108" w:type="dxa"/>
          </w:tblCellMar>
        </w:tblPrEx>
        <w:trPr>
          <w:trHeight w:val="288" w:hRule="atLeast"/>
        </w:trPr>
        <w:tc>
          <w:tcPr>
            <w:tcW w:w="1540" w:type="dxa"/>
            <w:tcBorders>
              <w:top w:val="nil"/>
              <w:left w:val="single" w:color="auto" w:sz="4" w:space="0"/>
              <w:bottom w:val="single" w:color="auto" w:sz="4" w:space="0"/>
              <w:right w:val="single" w:color="auto" w:sz="4" w:space="0"/>
            </w:tcBorders>
            <w:vAlign w:val="center"/>
          </w:tcPr>
          <w:p w14:paraId="4E5357C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NOx</w:t>
            </w:r>
          </w:p>
        </w:tc>
        <w:tc>
          <w:tcPr>
            <w:tcW w:w="1280" w:type="dxa"/>
            <w:tcBorders>
              <w:top w:val="nil"/>
              <w:left w:val="nil"/>
              <w:bottom w:val="single" w:color="auto" w:sz="4" w:space="0"/>
              <w:right w:val="single" w:color="auto" w:sz="4" w:space="0"/>
            </w:tcBorders>
            <w:vAlign w:val="center"/>
          </w:tcPr>
          <w:p w14:paraId="6E5A5DF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1BD3477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560.63 </w:t>
            </w:r>
          </w:p>
        </w:tc>
        <w:tc>
          <w:tcPr>
            <w:tcW w:w="1134" w:type="dxa"/>
            <w:tcBorders>
              <w:top w:val="nil"/>
              <w:left w:val="nil"/>
              <w:bottom w:val="single" w:color="auto" w:sz="4" w:space="0"/>
              <w:right w:val="single" w:color="auto" w:sz="4" w:space="0"/>
            </w:tcBorders>
            <w:noWrap/>
            <w:vAlign w:val="center"/>
          </w:tcPr>
          <w:p w14:paraId="136A44F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2.243 </w:t>
            </w:r>
          </w:p>
        </w:tc>
        <w:tc>
          <w:tcPr>
            <w:tcW w:w="1134" w:type="dxa"/>
            <w:tcBorders>
              <w:top w:val="nil"/>
              <w:left w:val="nil"/>
              <w:bottom w:val="single" w:color="auto" w:sz="4" w:space="0"/>
              <w:right w:val="single" w:color="auto" w:sz="4" w:space="0"/>
            </w:tcBorders>
            <w:noWrap/>
            <w:vAlign w:val="center"/>
          </w:tcPr>
          <w:p w14:paraId="6EE4F7F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17.940 </w:t>
            </w:r>
          </w:p>
        </w:tc>
        <w:tc>
          <w:tcPr>
            <w:tcW w:w="1700" w:type="dxa"/>
            <w:vMerge w:val="continue"/>
            <w:tcBorders>
              <w:top w:val="nil"/>
              <w:left w:val="single" w:color="auto" w:sz="4" w:space="0"/>
              <w:bottom w:val="single" w:color="auto" w:sz="4" w:space="0"/>
              <w:right w:val="single" w:color="auto" w:sz="4" w:space="0"/>
            </w:tcBorders>
            <w:vAlign w:val="center"/>
          </w:tcPr>
          <w:p w14:paraId="610ACEEC">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76B1131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85%</w:t>
            </w:r>
          </w:p>
        </w:tc>
        <w:tc>
          <w:tcPr>
            <w:tcW w:w="1276" w:type="dxa"/>
            <w:tcBorders>
              <w:top w:val="nil"/>
              <w:left w:val="nil"/>
              <w:bottom w:val="single" w:color="auto" w:sz="4" w:space="0"/>
              <w:right w:val="single" w:color="auto" w:sz="4" w:space="0"/>
            </w:tcBorders>
            <w:noWrap/>
            <w:vAlign w:val="center"/>
          </w:tcPr>
          <w:p w14:paraId="0237488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84.09 </w:t>
            </w:r>
          </w:p>
        </w:tc>
        <w:tc>
          <w:tcPr>
            <w:tcW w:w="1417" w:type="dxa"/>
            <w:tcBorders>
              <w:top w:val="nil"/>
              <w:left w:val="nil"/>
              <w:bottom w:val="single" w:color="auto" w:sz="4" w:space="0"/>
              <w:right w:val="single" w:color="auto" w:sz="4" w:space="0"/>
            </w:tcBorders>
            <w:noWrap/>
            <w:vAlign w:val="center"/>
          </w:tcPr>
          <w:p w14:paraId="1DE5583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0.336 </w:t>
            </w:r>
          </w:p>
        </w:tc>
        <w:tc>
          <w:tcPr>
            <w:tcW w:w="1276" w:type="dxa"/>
            <w:tcBorders>
              <w:top w:val="nil"/>
              <w:left w:val="nil"/>
              <w:bottom w:val="single" w:color="auto" w:sz="4" w:space="0"/>
              <w:right w:val="single" w:color="auto" w:sz="4" w:space="0"/>
            </w:tcBorders>
            <w:noWrap/>
            <w:vAlign w:val="center"/>
          </w:tcPr>
          <w:p w14:paraId="0275867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2.691</w:t>
            </w:r>
          </w:p>
        </w:tc>
        <w:tc>
          <w:tcPr>
            <w:tcW w:w="1318" w:type="dxa"/>
            <w:tcBorders>
              <w:top w:val="nil"/>
              <w:left w:val="nil"/>
              <w:bottom w:val="single" w:color="auto" w:sz="4" w:space="0"/>
              <w:right w:val="single" w:color="auto" w:sz="4" w:space="0"/>
            </w:tcBorders>
            <w:noWrap/>
            <w:vAlign w:val="center"/>
          </w:tcPr>
          <w:p w14:paraId="71B4E10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r>
      <w:tr w14:paraId="07E183A9">
        <w:tblPrEx>
          <w:tblCellMar>
            <w:top w:w="0" w:type="dxa"/>
            <w:left w:w="108" w:type="dxa"/>
            <w:bottom w:w="0" w:type="dxa"/>
            <w:right w:w="108" w:type="dxa"/>
          </w:tblCellMar>
        </w:tblPrEx>
        <w:trPr>
          <w:trHeight w:val="288" w:hRule="atLeast"/>
        </w:trPr>
        <w:tc>
          <w:tcPr>
            <w:tcW w:w="1540" w:type="dxa"/>
            <w:tcBorders>
              <w:top w:val="nil"/>
              <w:left w:val="single" w:color="auto" w:sz="4" w:space="0"/>
              <w:bottom w:val="single" w:color="auto" w:sz="4" w:space="0"/>
              <w:right w:val="single" w:color="auto" w:sz="4" w:space="0"/>
            </w:tcBorders>
            <w:vAlign w:val="center"/>
          </w:tcPr>
          <w:p w14:paraId="21F46A7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280" w:type="dxa"/>
            <w:tcBorders>
              <w:top w:val="nil"/>
              <w:left w:val="nil"/>
              <w:bottom w:val="single" w:color="auto" w:sz="4" w:space="0"/>
              <w:right w:val="single" w:color="auto" w:sz="4" w:space="0"/>
            </w:tcBorders>
            <w:vAlign w:val="center"/>
          </w:tcPr>
          <w:p w14:paraId="38A54A5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382105A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6250</w:t>
            </w:r>
          </w:p>
        </w:tc>
        <w:tc>
          <w:tcPr>
            <w:tcW w:w="1134" w:type="dxa"/>
            <w:tcBorders>
              <w:top w:val="nil"/>
              <w:left w:val="nil"/>
              <w:bottom w:val="single" w:color="auto" w:sz="4" w:space="0"/>
              <w:right w:val="single" w:color="auto" w:sz="4" w:space="0"/>
            </w:tcBorders>
            <w:noWrap/>
            <w:vAlign w:val="center"/>
          </w:tcPr>
          <w:p w14:paraId="65E1C32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134" w:type="dxa"/>
            <w:tcBorders>
              <w:top w:val="nil"/>
              <w:left w:val="nil"/>
              <w:bottom w:val="single" w:color="auto" w:sz="4" w:space="0"/>
              <w:right w:val="single" w:color="auto" w:sz="4" w:space="0"/>
            </w:tcBorders>
            <w:noWrap/>
            <w:vAlign w:val="center"/>
          </w:tcPr>
          <w:p w14:paraId="2108D54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200.000 </w:t>
            </w:r>
          </w:p>
        </w:tc>
        <w:tc>
          <w:tcPr>
            <w:tcW w:w="1700" w:type="dxa"/>
            <w:vMerge w:val="continue"/>
            <w:tcBorders>
              <w:top w:val="nil"/>
              <w:left w:val="single" w:color="auto" w:sz="4" w:space="0"/>
              <w:bottom w:val="single" w:color="auto" w:sz="4" w:space="0"/>
              <w:right w:val="single" w:color="auto" w:sz="4" w:space="0"/>
            </w:tcBorders>
            <w:vAlign w:val="center"/>
          </w:tcPr>
          <w:p w14:paraId="6AEB1FBE">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592DAE2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c>
          <w:tcPr>
            <w:tcW w:w="1276" w:type="dxa"/>
            <w:tcBorders>
              <w:top w:val="nil"/>
              <w:left w:val="nil"/>
              <w:bottom w:val="single" w:color="auto" w:sz="4" w:space="0"/>
              <w:right w:val="single" w:color="auto" w:sz="4" w:space="0"/>
            </w:tcBorders>
            <w:noWrap/>
            <w:vAlign w:val="center"/>
          </w:tcPr>
          <w:p w14:paraId="487E672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62.50 </w:t>
            </w:r>
          </w:p>
        </w:tc>
        <w:tc>
          <w:tcPr>
            <w:tcW w:w="1417" w:type="dxa"/>
            <w:tcBorders>
              <w:top w:val="nil"/>
              <w:left w:val="nil"/>
              <w:bottom w:val="single" w:color="auto" w:sz="4" w:space="0"/>
              <w:right w:val="single" w:color="auto" w:sz="4" w:space="0"/>
            </w:tcBorders>
            <w:noWrap/>
            <w:vAlign w:val="center"/>
          </w:tcPr>
          <w:p w14:paraId="344744D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0.250 </w:t>
            </w:r>
          </w:p>
        </w:tc>
        <w:tc>
          <w:tcPr>
            <w:tcW w:w="1276" w:type="dxa"/>
            <w:tcBorders>
              <w:top w:val="nil"/>
              <w:left w:val="nil"/>
              <w:bottom w:val="single" w:color="auto" w:sz="4" w:space="0"/>
              <w:right w:val="single" w:color="auto" w:sz="4" w:space="0"/>
            </w:tcBorders>
            <w:noWrap/>
            <w:vAlign w:val="center"/>
          </w:tcPr>
          <w:p w14:paraId="2D28BC8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318" w:type="dxa"/>
            <w:tcBorders>
              <w:top w:val="nil"/>
              <w:left w:val="nil"/>
              <w:bottom w:val="single" w:color="auto" w:sz="4" w:space="0"/>
              <w:right w:val="single" w:color="auto" w:sz="4" w:space="0"/>
            </w:tcBorders>
            <w:noWrap/>
            <w:vAlign w:val="center"/>
          </w:tcPr>
          <w:p w14:paraId="0ED476E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r>
      <w:tr w14:paraId="6B43B8F5">
        <w:tblPrEx>
          <w:tblCellMar>
            <w:top w:w="0" w:type="dxa"/>
            <w:left w:w="108" w:type="dxa"/>
            <w:bottom w:w="0" w:type="dxa"/>
            <w:right w:w="108" w:type="dxa"/>
          </w:tblCellMar>
        </w:tblPrEx>
        <w:trPr>
          <w:trHeight w:val="288" w:hRule="atLeast"/>
        </w:trPr>
        <w:tc>
          <w:tcPr>
            <w:tcW w:w="1540" w:type="dxa"/>
            <w:tcBorders>
              <w:top w:val="nil"/>
              <w:left w:val="single" w:color="auto" w:sz="4" w:space="0"/>
              <w:bottom w:val="single" w:color="auto" w:sz="4" w:space="0"/>
              <w:right w:val="single" w:color="auto" w:sz="4" w:space="0"/>
            </w:tcBorders>
            <w:vAlign w:val="center"/>
          </w:tcPr>
          <w:p w14:paraId="7184AF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HF</w:t>
            </w:r>
          </w:p>
        </w:tc>
        <w:tc>
          <w:tcPr>
            <w:tcW w:w="1280" w:type="dxa"/>
            <w:tcBorders>
              <w:top w:val="nil"/>
              <w:left w:val="nil"/>
              <w:bottom w:val="single" w:color="auto" w:sz="4" w:space="0"/>
              <w:right w:val="single" w:color="auto" w:sz="4" w:space="0"/>
            </w:tcBorders>
            <w:vAlign w:val="center"/>
          </w:tcPr>
          <w:p w14:paraId="0A5846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779FFFE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164.38 </w:t>
            </w:r>
          </w:p>
        </w:tc>
        <w:tc>
          <w:tcPr>
            <w:tcW w:w="1134" w:type="dxa"/>
            <w:tcBorders>
              <w:top w:val="nil"/>
              <w:left w:val="nil"/>
              <w:bottom w:val="single" w:color="auto" w:sz="4" w:space="0"/>
              <w:right w:val="single" w:color="auto" w:sz="4" w:space="0"/>
            </w:tcBorders>
            <w:noWrap/>
            <w:vAlign w:val="center"/>
          </w:tcPr>
          <w:p w14:paraId="5029494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0.658 </w:t>
            </w:r>
          </w:p>
        </w:tc>
        <w:tc>
          <w:tcPr>
            <w:tcW w:w="1134" w:type="dxa"/>
            <w:tcBorders>
              <w:top w:val="nil"/>
              <w:left w:val="nil"/>
              <w:bottom w:val="single" w:color="auto" w:sz="4" w:space="0"/>
              <w:right w:val="single" w:color="auto" w:sz="4" w:space="0"/>
            </w:tcBorders>
            <w:noWrap/>
            <w:vAlign w:val="center"/>
          </w:tcPr>
          <w:p w14:paraId="5AED65D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5.260 </w:t>
            </w:r>
          </w:p>
        </w:tc>
        <w:tc>
          <w:tcPr>
            <w:tcW w:w="1700" w:type="dxa"/>
            <w:vMerge w:val="continue"/>
            <w:tcBorders>
              <w:top w:val="nil"/>
              <w:left w:val="single" w:color="auto" w:sz="4" w:space="0"/>
              <w:bottom w:val="single" w:color="auto" w:sz="4" w:space="0"/>
              <w:right w:val="single" w:color="auto" w:sz="4" w:space="0"/>
            </w:tcBorders>
            <w:vAlign w:val="center"/>
          </w:tcPr>
          <w:p w14:paraId="6068A74B">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29E6DF4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c>
          <w:tcPr>
            <w:tcW w:w="1276" w:type="dxa"/>
            <w:tcBorders>
              <w:top w:val="nil"/>
              <w:left w:val="nil"/>
              <w:bottom w:val="single" w:color="auto" w:sz="4" w:space="0"/>
              <w:right w:val="single" w:color="auto" w:sz="4" w:space="0"/>
            </w:tcBorders>
            <w:noWrap/>
            <w:vAlign w:val="center"/>
          </w:tcPr>
          <w:p w14:paraId="1911A53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1.64 </w:t>
            </w:r>
          </w:p>
        </w:tc>
        <w:tc>
          <w:tcPr>
            <w:tcW w:w="1417" w:type="dxa"/>
            <w:tcBorders>
              <w:top w:val="nil"/>
              <w:left w:val="nil"/>
              <w:bottom w:val="single" w:color="auto" w:sz="4" w:space="0"/>
              <w:right w:val="single" w:color="auto" w:sz="4" w:space="0"/>
            </w:tcBorders>
            <w:noWrap/>
            <w:vAlign w:val="center"/>
          </w:tcPr>
          <w:p w14:paraId="54FC7F8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0.0066 </w:t>
            </w:r>
          </w:p>
        </w:tc>
        <w:tc>
          <w:tcPr>
            <w:tcW w:w="1276" w:type="dxa"/>
            <w:tcBorders>
              <w:top w:val="nil"/>
              <w:left w:val="nil"/>
              <w:bottom w:val="single" w:color="auto" w:sz="4" w:space="0"/>
              <w:right w:val="single" w:color="auto" w:sz="4" w:space="0"/>
            </w:tcBorders>
            <w:noWrap/>
            <w:vAlign w:val="center"/>
          </w:tcPr>
          <w:p w14:paraId="75B4651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r>
              <w:rPr>
                <w:rFonts w:hint="eastAsia"/>
                <w:color w:val="000000" w:themeColor="text1"/>
                <w:szCs w:val="21"/>
                <w14:textFill>
                  <w14:solidFill>
                    <w14:schemeClr w14:val="tx1"/>
                  </w14:solidFill>
                </w14:textFill>
              </w:rPr>
              <w:t>3</w:t>
            </w:r>
          </w:p>
        </w:tc>
        <w:tc>
          <w:tcPr>
            <w:tcW w:w="1318" w:type="dxa"/>
            <w:tcBorders>
              <w:top w:val="nil"/>
              <w:left w:val="nil"/>
              <w:bottom w:val="single" w:color="auto" w:sz="4" w:space="0"/>
              <w:right w:val="single" w:color="auto" w:sz="4" w:space="0"/>
            </w:tcBorders>
            <w:noWrap/>
            <w:vAlign w:val="center"/>
          </w:tcPr>
          <w:p w14:paraId="2497B69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14:paraId="4A00D49E">
        <w:tblPrEx>
          <w:tblCellMar>
            <w:top w:w="0" w:type="dxa"/>
            <w:left w:w="108" w:type="dxa"/>
            <w:bottom w:w="0" w:type="dxa"/>
            <w:right w:w="108" w:type="dxa"/>
          </w:tblCellMar>
        </w:tblPrEx>
        <w:trPr>
          <w:trHeight w:val="288" w:hRule="atLeast"/>
        </w:trPr>
        <w:tc>
          <w:tcPr>
            <w:tcW w:w="1540" w:type="dxa"/>
            <w:tcBorders>
              <w:top w:val="nil"/>
              <w:left w:val="single" w:color="auto" w:sz="4" w:space="0"/>
              <w:bottom w:val="single" w:color="auto" w:sz="4" w:space="0"/>
              <w:right w:val="single" w:color="auto" w:sz="4" w:space="0"/>
            </w:tcBorders>
            <w:vAlign w:val="center"/>
          </w:tcPr>
          <w:p w14:paraId="201B788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HCl</w:t>
            </w:r>
          </w:p>
        </w:tc>
        <w:tc>
          <w:tcPr>
            <w:tcW w:w="1280" w:type="dxa"/>
            <w:tcBorders>
              <w:top w:val="nil"/>
              <w:left w:val="nil"/>
              <w:bottom w:val="single" w:color="auto" w:sz="4" w:space="0"/>
              <w:right w:val="single" w:color="auto" w:sz="4" w:space="0"/>
            </w:tcBorders>
            <w:vAlign w:val="center"/>
          </w:tcPr>
          <w:p w14:paraId="58EABD1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4065C99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4823.3</w:t>
            </w:r>
            <w:r>
              <w:rPr>
                <w:rFonts w:hint="eastAsia"/>
                <w:color w:val="000000" w:themeColor="text1"/>
                <w:szCs w:val="21"/>
                <w14:textFill>
                  <w14:solidFill>
                    <w14:schemeClr w14:val="tx1"/>
                  </w14:solidFill>
                </w14:textFill>
              </w:rPr>
              <w:t>7</w:t>
            </w:r>
          </w:p>
        </w:tc>
        <w:tc>
          <w:tcPr>
            <w:tcW w:w="1134" w:type="dxa"/>
            <w:tcBorders>
              <w:top w:val="nil"/>
              <w:left w:val="nil"/>
              <w:bottom w:val="single" w:color="auto" w:sz="4" w:space="0"/>
              <w:right w:val="single" w:color="auto" w:sz="4" w:space="0"/>
            </w:tcBorders>
            <w:noWrap/>
            <w:vAlign w:val="center"/>
          </w:tcPr>
          <w:p w14:paraId="1BF4823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19.293 </w:t>
            </w:r>
          </w:p>
        </w:tc>
        <w:tc>
          <w:tcPr>
            <w:tcW w:w="1134" w:type="dxa"/>
            <w:tcBorders>
              <w:top w:val="nil"/>
              <w:left w:val="nil"/>
              <w:bottom w:val="single" w:color="auto" w:sz="4" w:space="0"/>
              <w:right w:val="single" w:color="auto" w:sz="4" w:space="0"/>
            </w:tcBorders>
            <w:noWrap/>
            <w:vAlign w:val="center"/>
          </w:tcPr>
          <w:p w14:paraId="0E33A32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154.348 </w:t>
            </w:r>
          </w:p>
        </w:tc>
        <w:tc>
          <w:tcPr>
            <w:tcW w:w="1700" w:type="dxa"/>
            <w:vMerge w:val="continue"/>
            <w:tcBorders>
              <w:top w:val="nil"/>
              <w:left w:val="single" w:color="auto" w:sz="4" w:space="0"/>
              <w:bottom w:val="single" w:color="auto" w:sz="4" w:space="0"/>
              <w:right w:val="single" w:color="auto" w:sz="4" w:space="0"/>
            </w:tcBorders>
            <w:vAlign w:val="center"/>
          </w:tcPr>
          <w:p w14:paraId="6E07446B">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27D8A59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c>
          <w:tcPr>
            <w:tcW w:w="1276" w:type="dxa"/>
            <w:tcBorders>
              <w:top w:val="nil"/>
              <w:left w:val="nil"/>
              <w:bottom w:val="single" w:color="auto" w:sz="4" w:space="0"/>
              <w:right w:val="single" w:color="auto" w:sz="4" w:space="0"/>
            </w:tcBorders>
            <w:noWrap/>
            <w:vAlign w:val="center"/>
          </w:tcPr>
          <w:p w14:paraId="3D569C3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48.23 </w:t>
            </w:r>
          </w:p>
        </w:tc>
        <w:tc>
          <w:tcPr>
            <w:tcW w:w="1417" w:type="dxa"/>
            <w:tcBorders>
              <w:top w:val="nil"/>
              <w:left w:val="nil"/>
              <w:bottom w:val="single" w:color="auto" w:sz="4" w:space="0"/>
              <w:right w:val="single" w:color="auto" w:sz="4" w:space="0"/>
            </w:tcBorders>
            <w:noWrap/>
            <w:vAlign w:val="center"/>
          </w:tcPr>
          <w:p w14:paraId="3EB34FC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0.193 </w:t>
            </w:r>
          </w:p>
        </w:tc>
        <w:tc>
          <w:tcPr>
            <w:tcW w:w="1276" w:type="dxa"/>
            <w:tcBorders>
              <w:top w:val="nil"/>
              <w:left w:val="nil"/>
              <w:bottom w:val="single" w:color="auto" w:sz="4" w:space="0"/>
              <w:right w:val="single" w:color="auto" w:sz="4" w:space="0"/>
            </w:tcBorders>
            <w:noWrap/>
            <w:vAlign w:val="center"/>
          </w:tcPr>
          <w:p w14:paraId="0007894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1.543</w:t>
            </w:r>
          </w:p>
        </w:tc>
        <w:tc>
          <w:tcPr>
            <w:tcW w:w="1318" w:type="dxa"/>
            <w:tcBorders>
              <w:top w:val="nil"/>
              <w:left w:val="nil"/>
              <w:bottom w:val="single" w:color="auto" w:sz="4" w:space="0"/>
              <w:right w:val="single" w:color="auto" w:sz="4" w:space="0"/>
            </w:tcBorders>
            <w:noWrap/>
            <w:vAlign w:val="center"/>
          </w:tcPr>
          <w:p w14:paraId="3C2A9E1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r>
      <w:tr w14:paraId="44C574D3">
        <w:tblPrEx>
          <w:tblCellMar>
            <w:top w:w="0" w:type="dxa"/>
            <w:left w:w="108" w:type="dxa"/>
            <w:bottom w:w="0" w:type="dxa"/>
            <w:right w:w="108" w:type="dxa"/>
          </w:tblCellMar>
        </w:tblPrEx>
        <w:trPr>
          <w:trHeight w:val="300" w:hRule="atLeast"/>
        </w:trPr>
        <w:tc>
          <w:tcPr>
            <w:tcW w:w="1540" w:type="dxa"/>
            <w:tcBorders>
              <w:top w:val="nil"/>
              <w:left w:val="single" w:color="auto" w:sz="4" w:space="0"/>
              <w:bottom w:val="single" w:color="auto" w:sz="4" w:space="0"/>
              <w:right w:val="single" w:color="auto" w:sz="4" w:space="0"/>
            </w:tcBorders>
            <w:vAlign w:val="center"/>
          </w:tcPr>
          <w:p w14:paraId="1CE9923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汞及其化合物</w:t>
            </w:r>
          </w:p>
        </w:tc>
        <w:tc>
          <w:tcPr>
            <w:tcW w:w="1280" w:type="dxa"/>
            <w:tcBorders>
              <w:top w:val="nil"/>
              <w:left w:val="nil"/>
              <w:bottom w:val="single" w:color="auto" w:sz="4" w:space="0"/>
              <w:right w:val="single" w:color="auto" w:sz="4" w:space="0"/>
            </w:tcBorders>
            <w:vAlign w:val="center"/>
          </w:tcPr>
          <w:p w14:paraId="479AC8C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181660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0.16 </w:t>
            </w:r>
          </w:p>
        </w:tc>
        <w:tc>
          <w:tcPr>
            <w:tcW w:w="1134" w:type="dxa"/>
            <w:tcBorders>
              <w:top w:val="nil"/>
              <w:left w:val="nil"/>
              <w:bottom w:val="single" w:color="auto" w:sz="4" w:space="0"/>
              <w:right w:val="single" w:color="auto" w:sz="4" w:space="0"/>
            </w:tcBorders>
            <w:noWrap/>
            <w:vAlign w:val="center"/>
          </w:tcPr>
          <w:p w14:paraId="2D84BEA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0.00063 </w:t>
            </w:r>
          </w:p>
        </w:tc>
        <w:tc>
          <w:tcPr>
            <w:tcW w:w="1134" w:type="dxa"/>
            <w:tcBorders>
              <w:top w:val="nil"/>
              <w:left w:val="nil"/>
              <w:bottom w:val="single" w:color="auto" w:sz="4" w:space="0"/>
              <w:right w:val="single" w:color="auto" w:sz="4" w:space="0"/>
            </w:tcBorders>
            <w:noWrap/>
            <w:vAlign w:val="center"/>
          </w:tcPr>
          <w:p w14:paraId="5892C3D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0.005 </w:t>
            </w:r>
          </w:p>
        </w:tc>
        <w:tc>
          <w:tcPr>
            <w:tcW w:w="1700" w:type="dxa"/>
            <w:vMerge w:val="continue"/>
            <w:tcBorders>
              <w:top w:val="nil"/>
              <w:left w:val="single" w:color="auto" w:sz="4" w:space="0"/>
              <w:bottom w:val="single" w:color="auto" w:sz="4" w:space="0"/>
              <w:right w:val="single" w:color="auto" w:sz="4" w:space="0"/>
            </w:tcBorders>
            <w:vAlign w:val="center"/>
          </w:tcPr>
          <w:p w14:paraId="116EF6C8">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68FDFF9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c>
          <w:tcPr>
            <w:tcW w:w="1276" w:type="dxa"/>
            <w:tcBorders>
              <w:top w:val="nil"/>
              <w:left w:val="nil"/>
              <w:bottom w:val="single" w:color="auto" w:sz="4" w:space="0"/>
              <w:right w:val="single" w:color="auto" w:sz="4" w:space="0"/>
            </w:tcBorders>
            <w:vAlign w:val="center"/>
          </w:tcPr>
          <w:p w14:paraId="73423E4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0.0031 </w:t>
            </w:r>
          </w:p>
        </w:tc>
        <w:tc>
          <w:tcPr>
            <w:tcW w:w="1417" w:type="dxa"/>
            <w:tcBorders>
              <w:top w:val="nil"/>
              <w:left w:val="nil"/>
              <w:bottom w:val="single" w:color="auto" w:sz="4" w:space="0"/>
              <w:right w:val="single" w:color="auto" w:sz="4" w:space="0"/>
            </w:tcBorders>
            <w:noWrap/>
            <w:vAlign w:val="center"/>
          </w:tcPr>
          <w:p w14:paraId="4F5B48F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0.0000125</w:t>
            </w:r>
          </w:p>
        </w:tc>
        <w:tc>
          <w:tcPr>
            <w:tcW w:w="1276" w:type="dxa"/>
            <w:tcBorders>
              <w:top w:val="nil"/>
              <w:left w:val="nil"/>
              <w:bottom w:val="single" w:color="auto" w:sz="4" w:space="0"/>
              <w:right w:val="single" w:color="auto" w:sz="4" w:space="0"/>
            </w:tcBorders>
            <w:noWrap/>
            <w:vAlign w:val="center"/>
          </w:tcPr>
          <w:p w14:paraId="7C0BD1A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c>
          <w:tcPr>
            <w:tcW w:w="1318" w:type="dxa"/>
            <w:tcBorders>
              <w:top w:val="nil"/>
              <w:left w:val="nil"/>
              <w:bottom w:val="single" w:color="auto" w:sz="4" w:space="0"/>
              <w:right w:val="single" w:color="auto" w:sz="4" w:space="0"/>
            </w:tcBorders>
            <w:noWrap/>
            <w:vAlign w:val="center"/>
          </w:tcPr>
          <w:p w14:paraId="6C77A36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2DE6B2E2">
        <w:tblPrEx>
          <w:tblCellMar>
            <w:top w:w="0" w:type="dxa"/>
            <w:left w:w="108" w:type="dxa"/>
            <w:bottom w:w="0" w:type="dxa"/>
            <w:right w:w="108" w:type="dxa"/>
          </w:tblCellMar>
        </w:tblPrEx>
        <w:trPr>
          <w:trHeight w:val="300" w:hRule="atLeast"/>
        </w:trPr>
        <w:tc>
          <w:tcPr>
            <w:tcW w:w="1540" w:type="dxa"/>
            <w:tcBorders>
              <w:top w:val="nil"/>
              <w:left w:val="single" w:color="auto" w:sz="4" w:space="0"/>
              <w:bottom w:val="single" w:color="auto" w:sz="4" w:space="0"/>
              <w:right w:val="single" w:color="auto" w:sz="4" w:space="0"/>
            </w:tcBorders>
            <w:vAlign w:val="center"/>
          </w:tcPr>
          <w:p w14:paraId="661F8F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铊及其化合物</w:t>
            </w:r>
          </w:p>
        </w:tc>
        <w:tc>
          <w:tcPr>
            <w:tcW w:w="1280" w:type="dxa"/>
            <w:tcBorders>
              <w:top w:val="nil"/>
              <w:left w:val="nil"/>
              <w:bottom w:val="single" w:color="auto" w:sz="4" w:space="0"/>
              <w:right w:val="single" w:color="auto" w:sz="4" w:space="0"/>
            </w:tcBorders>
            <w:vAlign w:val="center"/>
          </w:tcPr>
          <w:p w14:paraId="63D4F5B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7BE24C9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0.01 </w:t>
            </w:r>
          </w:p>
        </w:tc>
        <w:tc>
          <w:tcPr>
            <w:tcW w:w="1134" w:type="dxa"/>
            <w:tcBorders>
              <w:top w:val="nil"/>
              <w:left w:val="nil"/>
              <w:bottom w:val="single" w:color="auto" w:sz="4" w:space="0"/>
              <w:right w:val="single" w:color="auto" w:sz="4" w:space="0"/>
            </w:tcBorders>
            <w:noWrap/>
            <w:vAlign w:val="center"/>
          </w:tcPr>
          <w:p w14:paraId="33A1D73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0.00003 </w:t>
            </w:r>
          </w:p>
        </w:tc>
        <w:tc>
          <w:tcPr>
            <w:tcW w:w="1134" w:type="dxa"/>
            <w:tcBorders>
              <w:top w:val="nil"/>
              <w:left w:val="nil"/>
              <w:bottom w:val="single" w:color="auto" w:sz="4" w:space="0"/>
              <w:right w:val="single" w:color="auto" w:sz="4" w:space="0"/>
            </w:tcBorders>
            <w:noWrap/>
            <w:vAlign w:val="center"/>
          </w:tcPr>
          <w:p w14:paraId="62C9101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0.00025</w:t>
            </w:r>
          </w:p>
        </w:tc>
        <w:tc>
          <w:tcPr>
            <w:tcW w:w="1700" w:type="dxa"/>
            <w:vMerge w:val="continue"/>
            <w:tcBorders>
              <w:top w:val="nil"/>
              <w:left w:val="single" w:color="auto" w:sz="4" w:space="0"/>
              <w:bottom w:val="single" w:color="auto" w:sz="4" w:space="0"/>
              <w:right w:val="single" w:color="auto" w:sz="4" w:space="0"/>
            </w:tcBorders>
            <w:vAlign w:val="center"/>
          </w:tcPr>
          <w:p w14:paraId="567B69BF">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579495F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c>
          <w:tcPr>
            <w:tcW w:w="1276" w:type="dxa"/>
            <w:tcBorders>
              <w:top w:val="nil"/>
              <w:left w:val="nil"/>
              <w:bottom w:val="single" w:color="auto" w:sz="4" w:space="0"/>
              <w:right w:val="single" w:color="auto" w:sz="4" w:space="0"/>
            </w:tcBorders>
            <w:vAlign w:val="center"/>
          </w:tcPr>
          <w:p w14:paraId="7A4AB6F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0.0002 </w:t>
            </w:r>
          </w:p>
        </w:tc>
        <w:tc>
          <w:tcPr>
            <w:tcW w:w="1417" w:type="dxa"/>
            <w:tcBorders>
              <w:top w:val="nil"/>
              <w:left w:val="nil"/>
              <w:bottom w:val="single" w:color="auto" w:sz="4" w:space="0"/>
              <w:right w:val="single" w:color="auto" w:sz="4" w:space="0"/>
            </w:tcBorders>
            <w:noWrap/>
            <w:vAlign w:val="center"/>
          </w:tcPr>
          <w:p w14:paraId="1F5A1A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6.25E-07</w:t>
            </w:r>
          </w:p>
        </w:tc>
        <w:tc>
          <w:tcPr>
            <w:tcW w:w="1276" w:type="dxa"/>
            <w:tcBorders>
              <w:top w:val="nil"/>
              <w:left w:val="nil"/>
              <w:bottom w:val="single" w:color="auto" w:sz="4" w:space="0"/>
              <w:right w:val="single" w:color="auto" w:sz="4" w:space="0"/>
            </w:tcBorders>
            <w:noWrap/>
            <w:vAlign w:val="center"/>
          </w:tcPr>
          <w:p w14:paraId="5EB52C8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0.000005</w:t>
            </w:r>
          </w:p>
        </w:tc>
        <w:tc>
          <w:tcPr>
            <w:tcW w:w="1318" w:type="dxa"/>
            <w:tcBorders>
              <w:top w:val="nil"/>
              <w:left w:val="nil"/>
              <w:bottom w:val="single" w:color="auto" w:sz="4" w:space="0"/>
              <w:right w:val="single" w:color="auto" w:sz="4" w:space="0"/>
            </w:tcBorders>
            <w:noWrap/>
            <w:vAlign w:val="center"/>
          </w:tcPr>
          <w:p w14:paraId="6779275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45AE0642">
        <w:tblPrEx>
          <w:tblCellMar>
            <w:top w:w="0" w:type="dxa"/>
            <w:left w:w="108" w:type="dxa"/>
            <w:bottom w:w="0" w:type="dxa"/>
            <w:right w:w="108" w:type="dxa"/>
          </w:tblCellMar>
        </w:tblPrEx>
        <w:trPr>
          <w:trHeight w:val="300" w:hRule="atLeast"/>
        </w:trPr>
        <w:tc>
          <w:tcPr>
            <w:tcW w:w="1540" w:type="dxa"/>
            <w:tcBorders>
              <w:top w:val="nil"/>
              <w:left w:val="single" w:color="auto" w:sz="4" w:space="0"/>
              <w:bottom w:val="single" w:color="auto" w:sz="4" w:space="0"/>
              <w:right w:val="single" w:color="auto" w:sz="4" w:space="0"/>
            </w:tcBorders>
            <w:vAlign w:val="center"/>
          </w:tcPr>
          <w:p w14:paraId="06695B2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镉及其化合物</w:t>
            </w:r>
          </w:p>
        </w:tc>
        <w:tc>
          <w:tcPr>
            <w:tcW w:w="1280" w:type="dxa"/>
            <w:tcBorders>
              <w:top w:val="nil"/>
              <w:left w:val="nil"/>
              <w:bottom w:val="single" w:color="auto" w:sz="4" w:space="0"/>
              <w:right w:val="single" w:color="auto" w:sz="4" w:space="0"/>
            </w:tcBorders>
            <w:vAlign w:val="center"/>
          </w:tcPr>
          <w:p w14:paraId="12D997F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40A8BC0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0.47 </w:t>
            </w:r>
          </w:p>
        </w:tc>
        <w:tc>
          <w:tcPr>
            <w:tcW w:w="1134" w:type="dxa"/>
            <w:tcBorders>
              <w:top w:val="nil"/>
              <w:left w:val="nil"/>
              <w:bottom w:val="single" w:color="auto" w:sz="4" w:space="0"/>
              <w:right w:val="single" w:color="auto" w:sz="4" w:space="0"/>
            </w:tcBorders>
            <w:noWrap/>
            <w:vAlign w:val="center"/>
          </w:tcPr>
          <w:p w14:paraId="2442EAD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0.0019 </w:t>
            </w:r>
          </w:p>
        </w:tc>
        <w:tc>
          <w:tcPr>
            <w:tcW w:w="1134" w:type="dxa"/>
            <w:tcBorders>
              <w:top w:val="nil"/>
              <w:left w:val="nil"/>
              <w:bottom w:val="single" w:color="auto" w:sz="4" w:space="0"/>
              <w:right w:val="single" w:color="auto" w:sz="4" w:space="0"/>
            </w:tcBorders>
            <w:noWrap/>
            <w:vAlign w:val="center"/>
          </w:tcPr>
          <w:p w14:paraId="3638ACE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0.015 </w:t>
            </w:r>
          </w:p>
        </w:tc>
        <w:tc>
          <w:tcPr>
            <w:tcW w:w="1700" w:type="dxa"/>
            <w:vMerge w:val="continue"/>
            <w:tcBorders>
              <w:top w:val="nil"/>
              <w:left w:val="single" w:color="auto" w:sz="4" w:space="0"/>
              <w:bottom w:val="single" w:color="auto" w:sz="4" w:space="0"/>
              <w:right w:val="single" w:color="auto" w:sz="4" w:space="0"/>
            </w:tcBorders>
            <w:vAlign w:val="center"/>
          </w:tcPr>
          <w:p w14:paraId="374CD4A2">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19861AB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c>
          <w:tcPr>
            <w:tcW w:w="1276" w:type="dxa"/>
            <w:tcBorders>
              <w:top w:val="nil"/>
              <w:left w:val="nil"/>
              <w:bottom w:val="single" w:color="auto" w:sz="4" w:space="0"/>
              <w:right w:val="single" w:color="auto" w:sz="4" w:space="0"/>
            </w:tcBorders>
            <w:vAlign w:val="center"/>
          </w:tcPr>
          <w:p w14:paraId="48BC1D2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0.0094 </w:t>
            </w:r>
          </w:p>
        </w:tc>
        <w:tc>
          <w:tcPr>
            <w:tcW w:w="1417" w:type="dxa"/>
            <w:tcBorders>
              <w:top w:val="nil"/>
              <w:left w:val="nil"/>
              <w:bottom w:val="single" w:color="auto" w:sz="4" w:space="0"/>
              <w:right w:val="single" w:color="auto" w:sz="4" w:space="0"/>
            </w:tcBorders>
            <w:noWrap/>
            <w:vAlign w:val="center"/>
          </w:tcPr>
          <w:p w14:paraId="73B8056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0.0000375</w:t>
            </w:r>
          </w:p>
        </w:tc>
        <w:tc>
          <w:tcPr>
            <w:tcW w:w="1276" w:type="dxa"/>
            <w:tcBorders>
              <w:top w:val="nil"/>
              <w:left w:val="nil"/>
              <w:bottom w:val="single" w:color="auto" w:sz="4" w:space="0"/>
              <w:right w:val="single" w:color="auto" w:sz="4" w:space="0"/>
            </w:tcBorders>
            <w:noWrap/>
            <w:vAlign w:val="center"/>
          </w:tcPr>
          <w:p w14:paraId="75B3901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0.0003</w:t>
            </w:r>
          </w:p>
        </w:tc>
        <w:tc>
          <w:tcPr>
            <w:tcW w:w="1318" w:type="dxa"/>
            <w:tcBorders>
              <w:top w:val="nil"/>
              <w:left w:val="nil"/>
              <w:bottom w:val="single" w:color="auto" w:sz="4" w:space="0"/>
              <w:right w:val="single" w:color="auto" w:sz="4" w:space="0"/>
            </w:tcBorders>
            <w:noWrap/>
            <w:vAlign w:val="center"/>
          </w:tcPr>
          <w:p w14:paraId="04AB963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2E5C2C7B">
        <w:tblPrEx>
          <w:tblCellMar>
            <w:top w:w="0" w:type="dxa"/>
            <w:left w:w="108" w:type="dxa"/>
            <w:bottom w:w="0" w:type="dxa"/>
            <w:right w:w="108" w:type="dxa"/>
          </w:tblCellMar>
        </w:tblPrEx>
        <w:trPr>
          <w:trHeight w:val="300" w:hRule="atLeast"/>
        </w:trPr>
        <w:tc>
          <w:tcPr>
            <w:tcW w:w="1540" w:type="dxa"/>
            <w:tcBorders>
              <w:top w:val="nil"/>
              <w:left w:val="single" w:color="auto" w:sz="4" w:space="0"/>
              <w:bottom w:val="single" w:color="auto" w:sz="4" w:space="0"/>
              <w:right w:val="single" w:color="auto" w:sz="4" w:space="0"/>
            </w:tcBorders>
            <w:vAlign w:val="center"/>
          </w:tcPr>
          <w:p w14:paraId="4032E2C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铅及其化合物</w:t>
            </w:r>
          </w:p>
        </w:tc>
        <w:tc>
          <w:tcPr>
            <w:tcW w:w="1280" w:type="dxa"/>
            <w:tcBorders>
              <w:top w:val="nil"/>
              <w:left w:val="nil"/>
              <w:bottom w:val="single" w:color="auto" w:sz="4" w:space="0"/>
              <w:right w:val="single" w:color="auto" w:sz="4" w:space="0"/>
            </w:tcBorders>
            <w:vAlign w:val="center"/>
          </w:tcPr>
          <w:p w14:paraId="7B31B2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3C8FF43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1.56 </w:t>
            </w:r>
          </w:p>
        </w:tc>
        <w:tc>
          <w:tcPr>
            <w:tcW w:w="1134" w:type="dxa"/>
            <w:tcBorders>
              <w:top w:val="nil"/>
              <w:left w:val="nil"/>
              <w:bottom w:val="single" w:color="auto" w:sz="4" w:space="0"/>
              <w:right w:val="single" w:color="auto" w:sz="4" w:space="0"/>
            </w:tcBorders>
            <w:noWrap/>
            <w:vAlign w:val="center"/>
          </w:tcPr>
          <w:p w14:paraId="799836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0.0063 </w:t>
            </w:r>
          </w:p>
        </w:tc>
        <w:tc>
          <w:tcPr>
            <w:tcW w:w="1134" w:type="dxa"/>
            <w:tcBorders>
              <w:top w:val="nil"/>
              <w:left w:val="nil"/>
              <w:bottom w:val="single" w:color="auto" w:sz="4" w:space="0"/>
              <w:right w:val="single" w:color="auto" w:sz="4" w:space="0"/>
            </w:tcBorders>
            <w:noWrap/>
            <w:vAlign w:val="center"/>
          </w:tcPr>
          <w:p w14:paraId="5F621FA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0.050 </w:t>
            </w:r>
          </w:p>
        </w:tc>
        <w:tc>
          <w:tcPr>
            <w:tcW w:w="1700" w:type="dxa"/>
            <w:vMerge w:val="continue"/>
            <w:tcBorders>
              <w:top w:val="nil"/>
              <w:left w:val="single" w:color="auto" w:sz="4" w:space="0"/>
              <w:bottom w:val="single" w:color="auto" w:sz="4" w:space="0"/>
              <w:right w:val="single" w:color="auto" w:sz="4" w:space="0"/>
            </w:tcBorders>
            <w:vAlign w:val="center"/>
          </w:tcPr>
          <w:p w14:paraId="526621F6">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3331CCB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c>
          <w:tcPr>
            <w:tcW w:w="1276" w:type="dxa"/>
            <w:tcBorders>
              <w:top w:val="nil"/>
              <w:left w:val="nil"/>
              <w:bottom w:val="single" w:color="auto" w:sz="4" w:space="0"/>
              <w:right w:val="single" w:color="auto" w:sz="4" w:space="0"/>
            </w:tcBorders>
            <w:noWrap/>
            <w:vAlign w:val="center"/>
          </w:tcPr>
          <w:p w14:paraId="18871CA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0.031 </w:t>
            </w:r>
          </w:p>
        </w:tc>
        <w:tc>
          <w:tcPr>
            <w:tcW w:w="1417" w:type="dxa"/>
            <w:tcBorders>
              <w:top w:val="nil"/>
              <w:left w:val="nil"/>
              <w:bottom w:val="single" w:color="auto" w:sz="4" w:space="0"/>
              <w:right w:val="single" w:color="auto" w:sz="4" w:space="0"/>
            </w:tcBorders>
            <w:noWrap/>
            <w:vAlign w:val="center"/>
          </w:tcPr>
          <w:p w14:paraId="12626DB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0.00013 </w:t>
            </w:r>
          </w:p>
        </w:tc>
        <w:tc>
          <w:tcPr>
            <w:tcW w:w="1276" w:type="dxa"/>
            <w:tcBorders>
              <w:top w:val="nil"/>
              <w:left w:val="nil"/>
              <w:bottom w:val="single" w:color="auto" w:sz="4" w:space="0"/>
              <w:right w:val="single" w:color="auto" w:sz="4" w:space="0"/>
            </w:tcBorders>
            <w:noWrap/>
            <w:vAlign w:val="center"/>
          </w:tcPr>
          <w:p w14:paraId="65189AF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1318" w:type="dxa"/>
            <w:tcBorders>
              <w:top w:val="nil"/>
              <w:left w:val="nil"/>
              <w:bottom w:val="single" w:color="auto" w:sz="4" w:space="0"/>
              <w:right w:val="single" w:color="auto" w:sz="4" w:space="0"/>
            </w:tcBorders>
            <w:noWrap/>
            <w:vAlign w:val="center"/>
          </w:tcPr>
          <w:p w14:paraId="7BFCDAA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r w14:paraId="3B335AEA">
        <w:tblPrEx>
          <w:tblCellMar>
            <w:top w:w="0" w:type="dxa"/>
            <w:left w:w="108" w:type="dxa"/>
            <w:bottom w:w="0" w:type="dxa"/>
            <w:right w:w="108" w:type="dxa"/>
          </w:tblCellMar>
        </w:tblPrEx>
        <w:trPr>
          <w:trHeight w:val="288" w:hRule="atLeast"/>
        </w:trPr>
        <w:tc>
          <w:tcPr>
            <w:tcW w:w="1540" w:type="dxa"/>
            <w:tcBorders>
              <w:top w:val="nil"/>
              <w:left w:val="single" w:color="auto" w:sz="4" w:space="0"/>
              <w:bottom w:val="single" w:color="auto" w:sz="4" w:space="0"/>
              <w:right w:val="single" w:color="auto" w:sz="4" w:space="0"/>
            </w:tcBorders>
            <w:vAlign w:val="center"/>
          </w:tcPr>
          <w:p w14:paraId="2123240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砷及其化合物</w:t>
            </w:r>
          </w:p>
        </w:tc>
        <w:tc>
          <w:tcPr>
            <w:tcW w:w="1280" w:type="dxa"/>
            <w:tcBorders>
              <w:top w:val="nil"/>
              <w:left w:val="nil"/>
              <w:bottom w:val="single" w:color="auto" w:sz="4" w:space="0"/>
              <w:right w:val="single" w:color="auto" w:sz="4" w:space="0"/>
            </w:tcBorders>
            <w:vAlign w:val="center"/>
          </w:tcPr>
          <w:p w14:paraId="5C29127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2EB6C38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3.13 </w:t>
            </w:r>
          </w:p>
        </w:tc>
        <w:tc>
          <w:tcPr>
            <w:tcW w:w="1134" w:type="dxa"/>
            <w:tcBorders>
              <w:top w:val="nil"/>
              <w:left w:val="nil"/>
              <w:bottom w:val="single" w:color="auto" w:sz="4" w:space="0"/>
              <w:right w:val="single" w:color="auto" w:sz="4" w:space="0"/>
            </w:tcBorders>
            <w:noWrap/>
            <w:vAlign w:val="center"/>
          </w:tcPr>
          <w:p w14:paraId="34784A3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0.0125</w:t>
            </w:r>
          </w:p>
        </w:tc>
        <w:tc>
          <w:tcPr>
            <w:tcW w:w="1134" w:type="dxa"/>
            <w:tcBorders>
              <w:top w:val="nil"/>
              <w:left w:val="nil"/>
              <w:bottom w:val="single" w:color="auto" w:sz="4" w:space="0"/>
              <w:right w:val="single" w:color="auto" w:sz="4" w:space="0"/>
            </w:tcBorders>
            <w:noWrap/>
            <w:vAlign w:val="center"/>
          </w:tcPr>
          <w:p w14:paraId="05C40BF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0.100 </w:t>
            </w:r>
          </w:p>
        </w:tc>
        <w:tc>
          <w:tcPr>
            <w:tcW w:w="1700" w:type="dxa"/>
            <w:vMerge w:val="continue"/>
            <w:tcBorders>
              <w:top w:val="nil"/>
              <w:left w:val="single" w:color="auto" w:sz="4" w:space="0"/>
              <w:bottom w:val="single" w:color="auto" w:sz="4" w:space="0"/>
              <w:right w:val="single" w:color="auto" w:sz="4" w:space="0"/>
            </w:tcBorders>
            <w:vAlign w:val="center"/>
          </w:tcPr>
          <w:p w14:paraId="4D0B5FAA">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4861D64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c>
          <w:tcPr>
            <w:tcW w:w="1276" w:type="dxa"/>
            <w:tcBorders>
              <w:top w:val="nil"/>
              <w:left w:val="nil"/>
              <w:bottom w:val="single" w:color="auto" w:sz="4" w:space="0"/>
              <w:right w:val="single" w:color="auto" w:sz="4" w:space="0"/>
            </w:tcBorders>
            <w:noWrap/>
            <w:vAlign w:val="center"/>
          </w:tcPr>
          <w:p w14:paraId="6C66FDC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0.063 </w:t>
            </w:r>
          </w:p>
        </w:tc>
        <w:tc>
          <w:tcPr>
            <w:tcW w:w="1417" w:type="dxa"/>
            <w:tcBorders>
              <w:top w:val="nil"/>
              <w:left w:val="nil"/>
              <w:bottom w:val="single" w:color="auto" w:sz="4" w:space="0"/>
              <w:right w:val="single" w:color="auto" w:sz="4" w:space="0"/>
            </w:tcBorders>
            <w:noWrap/>
            <w:vAlign w:val="center"/>
          </w:tcPr>
          <w:p w14:paraId="462258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0.00025</w:t>
            </w:r>
          </w:p>
        </w:tc>
        <w:tc>
          <w:tcPr>
            <w:tcW w:w="1276" w:type="dxa"/>
            <w:tcBorders>
              <w:top w:val="nil"/>
              <w:left w:val="nil"/>
              <w:bottom w:val="single" w:color="auto" w:sz="4" w:space="0"/>
              <w:right w:val="single" w:color="auto" w:sz="4" w:space="0"/>
            </w:tcBorders>
            <w:noWrap/>
            <w:vAlign w:val="center"/>
          </w:tcPr>
          <w:p w14:paraId="2EA7B3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0.002</w:t>
            </w:r>
          </w:p>
        </w:tc>
        <w:tc>
          <w:tcPr>
            <w:tcW w:w="1318" w:type="dxa"/>
            <w:tcBorders>
              <w:top w:val="nil"/>
              <w:left w:val="nil"/>
              <w:bottom w:val="single" w:color="auto" w:sz="4" w:space="0"/>
              <w:right w:val="single" w:color="auto" w:sz="4" w:space="0"/>
            </w:tcBorders>
            <w:noWrap/>
            <w:vAlign w:val="center"/>
          </w:tcPr>
          <w:p w14:paraId="72AB930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r w14:paraId="52A909B7">
        <w:tblPrEx>
          <w:tblCellMar>
            <w:top w:w="0" w:type="dxa"/>
            <w:left w:w="108" w:type="dxa"/>
            <w:bottom w:w="0" w:type="dxa"/>
            <w:right w:w="108" w:type="dxa"/>
          </w:tblCellMar>
        </w:tblPrEx>
        <w:trPr>
          <w:trHeight w:val="288" w:hRule="atLeast"/>
        </w:trPr>
        <w:tc>
          <w:tcPr>
            <w:tcW w:w="1540" w:type="dxa"/>
            <w:tcBorders>
              <w:top w:val="nil"/>
              <w:left w:val="single" w:color="auto" w:sz="4" w:space="0"/>
              <w:bottom w:val="single" w:color="auto" w:sz="4" w:space="0"/>
              <w:right w:val="single" w:color="auto" w:sz="4" w:space="0"/>
            </w:tcBorders>
            <w:vAlign w:val="center"/>
          </w:tcPr>
          <w:p w14:paraId="3C339CD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铬及其化合物</w:t>
            </w:r>
          </w:p>
        </w:tc>
        <w:tc>
          <w:tcPr>
            <w:tcW w:w="1280" w:type="dxa"/>
            <w:tcBorders>
              <w:top w:val="nil"/>
              <w:left w:val="nil"/>
              <w:bottom w:val="single" w:color="auto" w:sz="4" w:space="0"/>
              <w:right w:val="single" w:color="auto" w:sz="4" w:space="0"/>
            </w:tcBorders>
            <w:vAlign w:val="center"/>
          </w:tcPr>
          <w:p w14:paraId="2315028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780DE84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0.078 </w:t>
            </w:r>
          </w:p>
        </w:tc>
        <w:tc>
          <w:tcPr>
            <w:tcW w:w="1134" w:type="dxa"/>
            <w:tcBorders>
              <w:top w:val="nil"/>
              <w:left w:val="nil"/>
              <w:bottom w:val="single" w:color="auto" w:sz="4" w:space="0"/>
              <w:right w:val="single" w:color="auto" w:sz="4" w:space="0"/>
            </w:tcBorders>
            <w:noWrap/>
            <w:vAlign w:val="center"/>
          </w:tcPr>
          <w:p w14:paraId="4893D3D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0.00031 </w:t>
            </w:r>
          </w:p>
        </w:tc>
        <w:tc>
          <w:tcPr>
            <w:tcW w:w="1134" w:type="dxa"/>
            <w:tcBorders>
              <w:top w:val="nil"/>
              <w:left w:val="nil"/>
              <w:bottom w:val="single" w:color="auto" w:sz="4" w:space="0"/>
              <w:right w:val="single" w:color="auto" w:sz="4" w:space="0"/>
            </w:tcBorders>
            <w:noWrap/>
            <w:vAlign w:val="center"/>
          </w:tcPr>
          <w:p w14:paraId="6A32AA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0.0025</w:t>
            </w:r>
          </w:p>
        </w:tc>
        <w:tc>
          <w:tcPr>
            <w:tcW w:w="1700" w:type="dxa"/>
            <w:vMerge w:val="continue"/>
            <w:tcBorders>
              <w:top w:val="nil"/>
              <w:left w:val="single" w:color="auto" w:sz="4" w:space="0"/>
              <w:bottom w:val="single" w:color="auto" w:sz="4" w:space="0"/>
              <w:right w:val="single" w:color="auto" w:sz="4" w:space="0"/>
            </w:tcBorders>
            <w:vAlign w:val="center"/>
          </w:tcPr>
          <w:p w14:paraId="34D185E6">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650AA96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c>
          <w:tcPr>
            <w:tcW w:w="1276" w:type="dxa"/>
            <w:tcBorders>
              <w:top w:val="nil"/>
              <w:left w:val="nil"/>
              <w:bottom w:val="single" w:color="auto" w:sz="4" w:space="0"/>
              <w:right w:val="single" w:color="auto" w:sz="4" w:space="0"/>
            </w:tcBorders>
            <w:vAlign w:val="center"/>
          </w:tcPr>
          <w:p w14:paraId="6513023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0.0016 </w:t>
            </w:r>
          </w:p>
        </w:tc>
        <w:tc>
          <w:tcPr>
            <w:tcW w:w="1417" w:type="dxa"/>
            <w:tcBorders>
              <w:top w:val="nil"/>
              <w:left w:val="nil"/>
              <w:bottom w:val="single" w:color="auto" w:sz="4" w:space="0"/>
              <w:right w:val="single" w:color="auto" w:sz="4" w:space="0"/>
            </w:tcBorders>
            <w:noWrap/>
            <w:vAlign w:val="center"/>
          </w:tcPr>
          <w:p w14:paraId="254880E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6.25E-06</w:t>
            </w:r>
          </w:p>
        </w:tc>
        <w:tc>
          <w:tcPr>
            <w:tcW w:w="1276" w:type="dxa"/>
            <w:tcBorders>
              <w:top w:val="nil"/>
              <w:left w:val="nil"/>
              <w:bottom w:val="single" w:color="auto" w:sz="4" w:space="0"/>
              <w:right w:val="single" w:color="auto" w:sz="4" w:space="0"/>
            </w:tcBorders>
            <w:noWrap/>
            <w:vAlign w:val="center"/>
          </w:tcPr>
          <w:p w14:paraId="6985C2A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0.00005</w:t>
            </w:r>
          </w:p>
        </w:tc>
        <w:tc>
          <w:tcPr>
            <w:tcW w:w="1318" w:type="dxa"/>
            <w:tcBorders>
              <w:top w:val="nil"/>
              <w:left w:val="nil"/>
              <w:bottom w:val="single" w:color="auto" w:sz="4" w:space="0"/>
              <w:right w:val="single" w:color="auto" w:sz="4" w:space="0"/>
            </w:tcBorders>
            <w:noWrap/>
            <w:vAlign w:val="center"/>
          </w:tcPr>
          <w:p w14:paraId="4B889AD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r w14:paraId="0EADEAC5">
        <w:tblPrEx>
          <w:tblCellMar>
            <w:top w:w="0" w:type="dxa"/>
            <w:left w:w="108" w:type="dxa"/>
            <w:bottom w:w="0" w:type="dxa"/>
            <w:right w:w="108" w:type="dxa"/>
          </w:tblCellMar>
        </w:tblPrEx>
        <w:trPr>
          <w:trHeight w:val="864" w:hRule="atLeast"/>
        </w:trPr>
        <w:tc>
          <w:tcPr>
            <w:tcW w:w="1540" w:type="dxa"/>
            <w:tcBorders>
              <w:top w:val="nil"/>
              <w:left w:val="single" w:color="auto" w:sz="4" w:space="0"/>
              <w:bottom w:val="single" w:color="auto" w:sz="4" w:space="0"/>
              <w:right w:val="single" w:color="auto" w:sz="4" w:space="0"/>
            </w:tcBorders>
            <w:vAlign w:val="center"/>
          </w:tcPr>
          <w:p w14:paraId="39E682A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锡、锑、铜、锰、 镍、钴及其化合 物</w:t>
            </w:r>
          </w:p>
        </w:tc>
        <w:tc>
          <w:tcPr>
            <w:tcW w:w="1280" w:type="dxa"/>
            <w:tcBorders>
              <w:top w:val="nil"/>
              <w:left w:val="nil"/>
              <w:bottom w:val="single" w:color="auto" w:sz="4" w:space="0"/>
              <w:right w:val="single" w:color="auto" w:sz="4" w:space="0"/>
            </w:tcBorders>
            <w:vAlign w:val="center"/>
          </w:tcPr>
          <w:p w14:paraId="5B2E297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center"/>
          </w:tcPr>
          <w:p w14:paraId="14F97EF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0.55 </w:t>
            </w:r>
          </w:p>
        </w:tc>
        <w:tc>
          <w:tcPr>
            <w:tcW w:w="1134" w:type="dxa"/>
            <w:tcBorders>
              <w:top w:val="nil"/>
              <w:left w:val="nil"/>
              <w:bottom w:val="single" w:color="auto" w:sz="4" w:space="0"/>
              <w:right w:val="single" w:color="auto" w:sz="4" w:space="0"/>
            </w:tcBorders>
            <w:noWrap/>
            <w:vAlign w:val="center"/>
          </w:tcPr>
          <w:p w14:paraId="4287ACA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0.0022 </w:t>
            </w:r>
          </w:p>
        </w:tc>
        <w:tc>
          <w:tcPr>
            <w:tcW w:w="1134" w:type="dxa"/>
            <w:tcBorders>
              <w:top w:val="nil"/>
              <w:left w:val="nil"/>
              <w:bottom w:val="single" w:color="auto" w:sz="4" w:space="0"/>
              <w:right w:val="single" w:color="auto" w:sz="4" w:space="0"/>
            </w:tcBorders>
            <w:noWrap/>
            <w:vAlign w:val="center"/>
          </w:tcPr>
          <w:p w14:paraId="69F873D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0.0175</w:t>
            </w:r>
          </w:p>
        </w:tc>
        <w:tc>
          <w:tcPr>
            <w:tcW w:w="1700" w:type="dxa"/>
            <w:vMerge w:val="continue"/>
            <w:tcBorders>
              <w:top w:val="nil"/>
              <w:left w:val="single" w:color="auto" w:sz="4" w:space="0"/>
              <w:bottom w:val="single" w:color="auto" w:sz="4" w:space="0"/>
              <w:right w:val="single" w:color="auto" w:sz="4" w:space="0"/>
            </w:tcBorders>
            <w:vAlign w:val="center"/>
          </w:tcPr>
          <w:p w14:paraId="7B80D6C5">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18BC315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c>
          <w:tcPr>
            <w:tcW w:w="1276" w:type="dxa"/>
            <w:tcBorders>
              <w:top w:val="nil"/>
              <w:left w:val="nil"/>
              <w:bottom w:val="single" w:color="auto" w:sz="4" w:space="0"/>
              <w:right w:val="single" w:color="auto" w:sz="4" w:space="0"/>
            </w:tcBorders>
            <w:noWrap/>
            <w:vAlign w:val="center"/>
          </w:tcPr>
          <w:p w14:paraId="06BD8E2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0.011 </w:t>
            </w:r>
          </w:p>
        </w:tc>
        <w:tc>
          <w:tcPr>
            <w:tcW w:w="1417" w:type="dxa"/>
            <w:tcBorders>
              <w:top w:val="nil"/>
              <w:left w:val="nil"/>
              <w:bottom w:val="single" w:color="auto" w:sz="4" w:space="0"/>
              <w:right w:val="single" w:color="auto" w:sz="4" w:space="0"/>
            </w:tcBorders>
            <w:noWrap/>
            <w:vAlign w:val="center"/>
          </w:tcPr>
          <w:p w14:paraId="3102525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0.00004375</w:t>
            </w:r>
          </w:p>
        </w:tc>
        <w:tc>
          <w:tcPr>
            <w:tcW w:w="1276" w:type="dxa"/>
            <w:tcBorders>
              <w:top w:val="nil"/>
              <w:left w:val="nil"/>
              <w:bottom w:val="single" w:color="auto" w:sz="4" w:space="0"/>
              <w:right w:val="single" w:color="auto" w:sz="4" w:space="0"/>
            </w:tcBorders>
            <w:noWrap/>
            <w:vAlign w:val="center"/>
          </w:tcPr>
          <w:p w14:paraId="411CCE7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0.00035</w:t>
            </w:r>
          </w:p>
        </w:tc>
        <w:tc>
          <w:tcPr>
            <w:tcW w:w="1318" w:type="dxa"/>
            <w:tcBorders>
              <w:top w:val="nil"/>
              <w:left w:val="nil"/>
              <w:bottom w:val="single" w:color="auto" w:sz="4" w:space="0"/>
              <w:right w:val="single" w:color="auto" w:sz="4" w:space="0"/>
            </w:tcBorders>
            <w:noWrap/>
            <w:vAlign w:val="center"/>
          </w:tcPr>
          <w:p w14:paraId="092940F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r>
      <w:tr w14:paraId="7C7A7159">
        <w:tblPrEx>
          <w:tblCellMar>
            <w:top w:w="0" w:type="dxa"/>
            <w:left w:w="108" w:type="dxa"/>
            <w:bottom w:w="0" w:type="dxa"/>
            <w:right w:w="108" w:type="dxa"/>
          </w:tblCellMar>
        </w:tblPrEx>
        <w:trPr>
          <w:trHeight w:val="576" w:hRule="atLeast"/>
        </w:trPr>
        <w:tc>
          <w:tcPr>
            <w:tcW w:w="1540" w:type="dxa"/>
            <w:tcBorders>
              <w:top w:val="nil"/>
              <w:left w:val="single" w:color="auto" w:sz="4" w:space="0"/>
              <w:bottom w:val="single" w:color="auto" w:sz="4" w:space="0"/>
              <w:right w:val="single" w:color="auto" w:sz="4" w:space="0"/>
            </w:tcBorders>
            <w:vAlign w:val="center"/>
          </w:tcPr>
          <w:p w14:paraId="4114536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二噁英类</w:t>
            </w:r>
          </w:p>
        </w:tc>
        <w:tc>
          <w:tcPr>
            <w:tcW w:w="1280" w:type="dxa"/>
            <w:tcBorders>
              <w:top w:val="nil"/>
              <w:left w:val="nil"/>
              <w:bottom w:val="single" w:color="auto" w:sz="4" w:space="0"/>
              <w:right w:val="single" w:color="auto" w:sz="4" w:space="0"/>
            </w:tcBorders>
            <w:vAlign w:val="center"/>
          </w:tcPr>
          <w:p w14:paraId="43D01CA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286" w:type="dxa"/>
            <w:tcBorders>
              <w:top w:val="nil"/>
              <w:left w:val="nil"/>
              <w:bottom w:val="single" w:color="auto" w:sz="4" w:space="0"/>
              <w:right w:val="single" w:color="auto" w:sz="4" w:space="0"/>
            </w:tcBorders>
            <w:noWrap/>
            <w:vAlign w:val="bottom"/>
          </w:tcPr>
          <w:p w14:paraId="21E775F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0.02ngTEQ/N</w:t>
            </w:r>
            <w:r>
              <w:rPr>
                <w:rFonts w:hint="eastAsia"/>
                <w:color w:val="000000" w:themeColor="text1"/>
                <w:szCs w:val="21"/>
                <w14:textFill>
                  <w14:solidFill>
                    <w14:schemeClr w14:val="tx1"/>
                  </w14:solidFill>
                </w14:textFill>
              </w:rPr>
              <w:t xml:space="preserve"> m³</w:t>
            </w:r>
          </w:p>
        </w:tc>
        <w:tc>
          <w:tcPr>
            <w:tcW w:w="1134" w:type="dxa"/>
            <w:tcBorders>
              <w:top w:val="nil"/>
              <w:left w:val="nil"/>
              <w:bottom w:val="single" w:color="auto" w:sz="4" w:space="0"/>
              <w:right w:val="single" w:color="auto" w:sz="4" w:space="0"/>
            </w:tcBorders>
            <w:noWrap/>
            <w:vAlign w:val="bottom"/>
          </w:tcPr>
          <w:p w14:paraId="47A5CCB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0.00008mgTEQ/h</w:t>
            </w:r>
          </w:p>
        </w:tc>
        <w:tc>
          <w:tcPr>
            <w:tcW w:w="1134" w:type="dxa"/>
            <w:tcBorders>
              <w:top w:val="nil"/>
              <w:left w:val="nil"/>
              <w:bottom w:val="single" w:color="auto" w:sz="4" w:space="0"/>
              <w:right w:val="single" w:color="auto" w:sz="4" w:space="0"/>
            </w:tcBorders>
            <w:noWrap/>
            <w:vAlign w:val="bottom"/>
          </w:tcPr>
          <w:p w14:paraId="3EAB5A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0.64mgTEQ/a</w:t>
            </w:r>
          </w:p>
        </w:tc>
        <w:tc>
          <w:tcPr>
            <w:tcW w:w="1700" w:type="dxa"/>
            <w:vMerge w:val="continue"/>
            <w:tcBorders>
              <w:top w:val="nil"/>
              <w:left w:val="single" w:color="auto" w:sz="4" w:space="0"/>
              <w:bottom w:val="single" w:color="auto" w:sz="4" w:space="0"/>
              <w:right w:val="single" w:color="auto" w:sz="4" w:space="0"/>
            </w:tcBorders>
            <w:vAlign w:val="center"/>
          </w:tcPr>
          <w:p w14:paraId="4EBFA2C8">
            <w:pPr>
              <w:pStyle w:val="109"/>
              <w:rPr>
                <w:color w:val="000000" w:themeColor="text1"/>
                <w:szCs w:val="21"/>
                <w14:textFill>
                  <w14:solidFill>
                    <w14:schemeClr w14:val="tx1"/>
                  </w14:solidFill>
                </w14:textFill>
              </w:rPr>
            </w:pPr>
          </w:p>
        </w:tc>
        <w:tc>
          <w:tcPr>
            <w:tcW w:w="1135" w:type="dxa"/>
            <w:tcBorders>
              <w:top w:val="nil"/>
              <w:left w:val="nil"/>
              <w:bottom w:val="single" w:color="auto" w:sz="4" w:space="0"/>
              <w:right w:val="single" w:color="auto" w:sz="4" w:space="0"/>
            </w:tcBorders>
            <w:noWrap/>
            <w:vAlign w:val="center"/>
          </w:tcPr>
          <w:p w14:paraId="28D4AE8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95%</w:t>
            </w:r>
          </w:p>
        </w:tc>
        <w:tc>
          <w:tcPr>
            <w:tcW w:w="1276" w:type="dxa"/>
            <w:tcBorders>
              <w:top w:val="nil"/>
              <w:left w:val="nil"/>
              <w:bottom w:val="single" w:color="auto" w:sz="4" w:space="0"/>
              <w:right w:val="single" w:color="auto" w:sz="4" w:space="0"/>
            </w:tcBorders>
            <w:noWrap/>
            <w:vAlign w:val="bottom"/>
          </w:tcPr>
          <w:p w14:paraId="0237F25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0.001ngTEQ/N</w:t>
            </w:r>
            <w:r>
              <w:rPr>
                <w:rFonts w:hint="eastAsia"/>
                <w:color w:val="000000" w:themeColor="text1"/>
                <w:szCs w:val="21"/>
                <w14:textFill>
                  <w14:solidFill>
                    <w14:schemeClr w14:val="tx1"/>
                  </w14:solidFill>
                </w14:textFill>
              </w:rPr>
              <w:t>m³</w:t>
            </w:r>
          </w:p>
        </w:tc>
        <w:tc>
          <w:tcPr>
            <w:tcW w:w="1417" w:type="dxa"/>
            <w:tcBorders>
              <w:top w:val="nil"/>
              <w:left w:val="nil"/>
              <w:bottom w:val="single" w:color="auto" w:sz="4" w:space="0"/>
              <w:right w:val="single" w:color="auto" w:sz="4" w:space="0"/>
            </w:tcBorders>
            <w:noWrap/>
            <w:vAlign w:val="bottom"/>
          </w:tcPr>
          <w:p w14:paraId="3757EAA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0.000004mgTEQ/h</w:t>
            </w:r>
          </w:p>
        </w:tc>
        <w:tc>
          <w:tcPr>
            <w:tcW w:w="1276" w:type="dxa"/>
            <w:tcBorders>
              <w:top w:val="nil"/>
              <w:left w:val="nil"/>
              <w:bottom w:val="single" w:color="auto" w:sz="4" w:space="0"/>
              <w:right w:val="single" w:color="auto" w:sz="4" w:space="0"/>
            </w:tcBorders>
            <w:noWrap/>
            <w:vAlign w:val="bottom"/>
          </w:tcPr>
          <w:p w14:paraId="42D1478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0.032mgTEQ/a</w:t>
            </w:r>
          </w:p>
        </w:tc>
        <w:tc>
          <w:tcPr>
            <w:tcW w:w="1318" w:type="dxa"/>
            <w:tcBorders>
              <w:top w:val="nil"/>
              <w:left w:val="nil"/>
              <w:bottom w:val="single" w:color="auto" w:sz="4" w:space="0"/>
              <w:right w:val="single" w:color="auto" w:sz="4" w:space="0"/>
            </w:tcBorders>
            <w:noWrap/>
            <w:vAlign w:val="center"/>
          </w:tcPr>
          <w:p w14:paraId="71B3095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0.5ngTEQ/N</w:t>
            </w:r>
            <w:r>
              <w:rPr>
                <w:rFonts w:hint="eastAsia"/>
                <w:color w:val="000000" w:themeColor="text1"/>
                <w:szCs w:val="21"/>
                <w14:textFill>
                  <w14:solidFill>
                    <w14:schemeClr w14:val="tx1"/>
                  </w14:solidFill>
                </w14:textFill>
              </w:rPr>
              <w:t xml:space="preserve"> m³</w:t>
            </w:r>
          </w:p>
        </w:tc>
      </w:tr>
    </w:tbl>
    <w:p w14:paraId="4361A108">
      <w:pPr>
        <w:ind w:firstLine="480"/>
        <w:rPr>
          <w:color w:val="000000" w:themeColor="text1"/>
          <w:lang w:val="zh-CN"/>
          <w14:textFill>
            <w14:solidFill>
              <w14:schemeClr w14:val="tx1"/>
            </w14:solidFill>
          </w14:textFill>
        </w:rPr>
        <w:sectPr>
          <w:type w:val="nextColumn"/>
          <w:pgSz w:w="16838" w:h="11906" w:orient="landscape"/>
          <w:pgMar w:top="1418" w:right="1247" w:bottom="1418" w:left="1247" w:header="964" w:footer="964" w:gutter="0"/>
          <w:cols w:space="720" w:num="1"/>
          <w:titlePg/>
          <w:docGrid w:linePitch="286" w:charSpace="0"/>
        </w:sectPr>
      </w:pPr>
      <w:r>
        <w:rPr>
          <w:color w:val="000000" w:themeColor="text1"/>
          <w14:textFill>
            <w14:solidFill>
              <w14:schemeClr w14:val="tx1"/>
            </w14:solidFill>
          </w14:textFill>
        </w:rPr>
        <w:t>由上表可知，本项目各污染物</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满足《危险废物焚烧污染控制标准》（GB18484-2020）表3限值要求。</w:t>
      </w:r>
      <w:bookmarkEnd w:id="280"/>
    </w:p>
    <w:p w14:paraId="11062621">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天然气燃烧废气</w:t>
      </w:r>
    </w:p>
    <w:p w14:paraId="4989FC28">
      <w:pPr>
        <w:ind w:firstLine="480"/>
        <w:rPr>
          <w:color w:val="000000" w:themeColor="text1"/>
          <w:szCs w:val="21"/>
          <w14:textFill>
            <w14:solidFill>
              <w14:schemeClr w14:val="tx1"/>
            </w14:solidFill>
          </w14:textFill>
        </w:rPr>
      </w:pPr>
      <w:r>
        <w:rPr>
          <w:color w:val="000000" w:themeColor="text1"/>
          <w14:textFill>
            <w14:solidFill>
              <w14:schemeClr w14:val="tx1"/>
            </w14:solidFill>
          </w14:textFill>
        </w:rPr>
        <w:t>热解焙烧窑燃烧器由多个烧嘴组成，烧嘴均布在热解段外围，以天然气为燃料，天然气燃烧产生的烟气及燃烧火焰不与废盐接触，由单独的烟气管道排放，相当于天然气燃烧火焰为热解焙烧窑间接加热，采用低氮燃烧技术，天然气燃烧废气经15m高的排气筒排放，</w:t>
      </w:r>
      <w:r>
        <w:rPr>
          <w:color w:val="000000" w:themeColor="text1"/>
          <w:szCs w:val="21"/>
          <w14:textFill>
            <w14:solidFill>
              <w14:schemeClr w14:val="tx1"/>
            </w14:solidFill>
          </w14:textFill>
        </w:rPr>
        <w:t>工作时间按8000h/a计算，天然气用量约为</w:t>
      </w:r>
      <w:r>
        <w:rPr>
          <w:rFonts w:hint="eastAsia"/>
          <w:color w:val="000000" w:themeColor="text1"/>
          <w14:textFill>
            <w14:solidFill>
              <w14:schemeClr w14:val="tx1"/>
            </w14:solidFill>
          </w14:textFill>
        </w:rPr>
        <w:t>231.3</w:t>
      </w:r>
      <w:r>
        <w:rPr>
          <w:color w:val="000000" w:themeColor="text1"/>
          <w14:textFill>
            <w14:solidFill>
              <w14:schemeClr w14:val="tx1"/>
            </w14:solidFill>
          </w14:textFill>
        </w:rPr>
        <w:t>万</w:t>
      </w:r>
      <w:r>
        <w:rPr>
          <w:color w:val="000000" w:themeColor="text1"/>
          <w:szCs w:val="21"/>
          <w14:textFill>
            <w14:solidFill>
              <w14:schemeClr w14:val="tx1"/>
            </w14:solidFill>
          </w14:textFill>
        </w:rPr>
        <w:t>m³/a。参照《排放源统计调查产排污核算方法和系数手册-锅炉产排污量核算系数手册》中4430 工业锅炉（热力生产和供应行业）产污系数表-燃气工业锅炉，污染物产生系数如下：</w:t>
      </w:r>
    </w:p>
    <w:p w14:paraId="4D9B6FE9">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污染物产污系数一栏表</w:t>
      </w:r>
    </w:p>
    <w:tbl>
      <w:tblPr>
        <w:tblStyle w:val="76"/>
        <w:tblW w:w="49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3479"/>
        <w:gridCol w:w="3916"/>
      </w:tblGrid>
      <w:tr w14:paraId="6AD5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pct"/>
            <w:vMerge w:val="restart"/>
            <w:vAlign w:val="center"/>
          </w:tcPr>
          <w:p w14:paraId="5F210E44">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3869" w:type="pct"/>
            <w:gridSpan w:val="2"/>
            <w:vAlign w:val="center"/>
          </w:tcPr>
          <w:p w14:paraId="122D31A1">
            <w:pPr>
              <w:pStyle w:val="109"/>
              <w:rPr>
                <w:color w:val="000000" w:themeColor="text1"/>
                <w14:textFill>
                  <w14:solidFill>
                    <w14:schemeClr w14:val="tx1"/>
                  </w14:solidFill>
                </w14:textFill>
              </w:rPr>
            </w:pPr>
            <w:r>
              <w:rPr>
                <w:color w:val="000000" w:themeColor="text1"/>
                <w14:textFill>
                  <w14:solidFill>
                    <w14:schemeClr w14:val="tx1"/>
                  </w14:solidFill>
                </w14:textFill>
              </w:rPr>
              <w:t>核算参数</w:t>
            </w:r>
          </w:p>
        </w:tc>
      </w:tr>
      <w:tr w14:paraId="27DD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pct"/>
            <w:vMerge w:val="continue"/>
            <w:vAlign w:val="center"/>
          </w:tcPr>
          <w:p w14:paraId="21B50815">
            <w:pPr>
              <w:pStyle w:val="109"/>
              <w:rPr>
                <w:color w:val="000000" w:themeColor="text1"/>
                <w14:textFill>
                  <w14:solidFill>
                    <w14:schemeClr w14:val="tx1"/>
                  </w14:solidFill>
                </w14:textFill>
              </w:rPr>
            </w:pPr>
          </w:p>
        </w:tc>
        <w:tc>
          <w:tcPr>
            <w:tcW w:w="1820" w:type="pct"/>
            <w:vAlign w:val="center"/>
          </w:tcPr>
          <w:p w14:paraId="3903E49F">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2049" w:type="pct"/>
            <w:vAlign w:val="center"/>
          </w:tcPr>
          <w:p w14:paraId="65667D2E">
            <w:pPr>
              <w:pStyle w:val="109"/>
              <w:rPr>
                <w:color w:val="000000" w:themeColor="text1"/>
                <w14:textFill>
                  <w14:solidFill>
                    <w14:schemeClr w14:val="tx1"/>
                  </w14:solidFill>
                </w14:textFill>
              </w:rPr>
            </w:pPr>
            <w:r>
              <w:rPr>
                <w:color w:val="000000" w:themeColor="text1"/>
                <w14:textFill>
                  <w14:solidFill>
                    <w14:schemeClr w14:val="tx1"/>
                  </w14:solidFill>
                </w14:textFill>
              </w:rPr>
              <w:t>产污系数</w:t>
            </w:r>
          </w:p>
        </w:tc>
      </w:tr>
      <w:tr w14:paraId="0589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pct"/>
            <w:vAlign w:val="center"/>
          </w:tcPr>
          <w:p w14:paraId="6AAA993D">
            <w:pPr>
              <w:pStyle w:val="109"/>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820" w:type="pct"/>
          </w:tcPr>
          <w:p w14:paraId="2DC597A5">
            <w:pPr>
              <w:pStyle w:val="109"/>
              <w:rPr>
                <w:color w:val="000000" w:themeColor="text1"/>
                <w14:textFill>
                  <w14:solidFill>
                    <w14:schemeClr w14:val="tx1"/>
                  </w14:solidFill>
                </w14:textFill>
              </w:rPr>
            </w:pPr>
            <w:r>
              <w:rPr>
                <w:color w:val="000000" w:themeColor="text1"/>
                <w14:textFill>
                  <w14:solidFill>
                    <w14:schemeClr w14:val="tx1"/>
                  </w14:solidFill>
                </w14:textFill>
              </w:rPr>
              <w:t>千克/万立方米-原料</w:t>
            </w:r>
          </w:p>
        </w:tc>
        <w:tc>
          <w:tcPr>
            <w:tcW w:w="2049" w:type="pct"/>
            <w:vAlign w:val="center"/>
          </w:tcPr>
          <w:p w14:paraId="105770A8">
            <w:pPr>
              <w:pStyle w:val="109"/>
              <w:rPr>
                <w:color w:val="000000" w:themeColor="text1"/>
                <w14:textFill>
                  <w14:solidFill>
                    <w14:schemeClr w14:val="tx1"/>
                  </w14:solidFill>
                </w14:textFill>
              </w:rPr>
            </w:pPr>
            <w:r>
              <w:rPr>
                <w:color w:val="000000" w:themeColor="text1"/>
                <w14:textFill>
                  <w14:solidFill>
                    <w14:schemeClr w14:val="tx1"/>
                  </w14:solidFill>
                </w14:textFill>
              </w:rPr>
              <w:t>0.02S*</w:t>
            </w:r>
          </w:p>
        </w:tc>
      </w:tr>
      <w:tr w14:paraId="5994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pct"/>
            <w:vAlign w:val="center"/>
          </w:tcPr>
          <w:p w14:paraId="0B5C872D">
            <w:pPr>
              <w:pStyle w:val="109"/>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1820" w:type="pct"/>
          </w:tcPr>
          <w:p w14:paraId="77BA7A93">
            <w:pPr>
              <w:pStyle w:val="109"/>
              <w:rPr>
                <w:color w:val="000000" w:themeColor="text1"/>
                <w14:textFill>
                  <w14:solidFill>
                    <w14:schemeClr w14:val="tx1"/>
                  </w14:solidFill>
                </w14:textFill>
              </w:rPr>
            </w:pPr>
            <w:r>
              <w:rPr>
                <w:color w:val="000000" w:themeColor="text1"/>
                <w14:textFill>
                  <w14:solidFill>
                    <w14:schemeClr w14:val="tx1"/>
                  </w14:solidFill>
                </w14:textFill>
              </w:rPr>
              <w:t>千克/万立方米-原料</w:t>
            </w:r>
          </w:p>
        </w:tc>
        <w:tc>
          <w:tcPr>
            <w:tcW w:w="2049" w:type="pct"/>
            <w:vAlign w:val="center"/>
          </w:tcPr>
          <w:p w14:paraId="47FD4034">
            <w:pPr>
              <w:pStyle w:val="109"/>
              <w:rPr>
                <w:color w:val="000000" w:themeColor="text1"/>
                <w14:textFill>
                  <w14:solidFill>
                    <w14:schemeClr w14:val="tx1"/>
                  </w14:solidFill>
                </w14:textFill>
              </w:rPr>
            </w:pPr>
            <w:r>
              <w:rPr>
                <w:color w:val="000000" w:themeColor="text1"/>
                <w14:textFill>
                  <w14:solidFill>
                    <w14:schemeClr w14:val="tx1"/>
                  </w14:solidFill>
                </w14:textFill>
              </w:rPr>
              <w:t>15.87 (低氮燃烧-国内领先)</w:t>
            </w:r>
          </w:p>
        </w:tc>
      </w:tr>
      <w:tr w14:paraId="73A5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pct"/>
            <w:vAlign w:val="center"/>
          </w:tcPr>
          <w:p w14:paraId="414E1DA3">
            <w:pPr>
              <w:pStyle w:val="109"/>
              <w:rPr>
                <w:color w:val="000000" w:themeColor="text1"/>
                <w14:textFill>
                  <w14:solidFill>
                    <w14:schemeClr w14:val="tx1"/>
                  </w14:solidFill>
                </w14:textFill>
              </w:rPr>
            </w:pPr>
            <w:r>
              <w:rPr>
                <w:color w:val="000000" w:themeColor="text1"/>
                <w14:textFill>
                  <w14:solidFill>
                    <w14:schemeClr w14:val="tx1"/>
                  </w14:solidFill>
                </w14:textFill>
              </w:rPr>
              <w:t>烟尘</w:t>
            </w:r>
          </w:p>
        </w:tc>
        <w:tc>
          <w:tcPr>
            <w:tcW w:w="1820" w:type="pct"/>
            <w:vAlign w:val="center"/>
          </w:tcPr>
          <w:p w14:paraId="6CD3DEE3">
            <w:pPr>
              <w:pStyle w:val="109"/>
              <w:rPr>
                <w:color w:val="000000" w:themeColor="text1"/>
                <w14:textFill>
                  <w14:solidFill>
                    <w14:schemeClr w14:val="tx1"/>
                  </w14:solidFill>
                </w14:textFill>
              </w:rPr>
            </w:pPr>
            <w:r>
              <w:rPr>
                <w:color w:val="000000" w:themeColor="text1"/>
                <w14:textFill>
                  <w14:solidFill>
                    <w14:schemeClr w14:val="tx1"/>
                  </w14:solidFill>
                </w14:textFill>
              </w:rPr>
              <w:t>千克/万立方米-原料</w:t>
            </w:r>
          </w:p>
        </w:tc>
        <w:tc>
          <w:tcPr>
            <w:tcW w:w="2049" w:type="pct"/>
            <w:vAlign w:val="center"/>
          </w:tcPr>
          <w:p w14:paraId="171AA127">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r>
    </w:tbl>
    <w:p w14:paraId="5DB15EF9">
      <w:pPr>
        <w:ind w:firstLine="480"/>
        <w:rPr>
          <w:color w:val="000000" w:themeColor="text1"/>
          <w14:textFill>
            <w14:solidFill>
              <w14:schemeClr w14:val="tx1"/>
            </w14:solidFill>
          </w14:textFill>
        </w:rPr>
      </w:pPr>
      <w:r>
        <w:rPr>
          <w:color w:val="000000" w:themeColor="text1"/>
          <w:szCs w:val="21"/>
          <w14:textFill>
            <w14:solidFill>
              <w14:schemeClr w14:val="tx1"/>
            </w14:solidFill>
          </w14:textFill>
        </w:rPr>
        <w:t>烟尘参照《环境保护实用数据手册》中“各类燃料燃烧时产生的污染物”中天然气产污系数：烟尘1.0千克/万立方米。</w:t>
      </w:r>
    </w:p>
    <w:p w14:paraId="216B4406">
      <w:pPr>
        <w:ind w:firstLine="480"/>
        <w:rPr>
          <w:color w:val="000000" w:themeColor="text1"/>
          <w:lang w:val="zh-CN"/>
          <w14:textFill>
            <w14:solidFill>
              <w14:schemeClr w14:val="tx1"/>
            </w14:solidFill>
          </w14:textFill>
        </w:rPr>
      </w:pPr>
      <w:r>
        <w:rPr>
          <w:color w:val="000000" w:themeColor="text1"/>
          <w14:textFill>
            <w14:solidFill>
              <w14:schemeClr w14:val="tx1"/>
            </w14:solidFill>
          </w14:textFill>
        </w:rPr>
        <w:t>根据</w:t>
      </w:r>
      <w:r>
        <w:rPr>
          <w:color w:val="000000" w:themeColor="text1"/>
          <w:lang w:val="zh-CN"/>
          <w14:textFill>
            <w14:solidFill>
              <w14:schemeClr w14:val="tx1"/>
            </w14:solidFill>
          </w14:textFill>
        </w:rPr>
        <w:t>《中华人民共和国标准 天然气》（GB17820-2018）中规定，天然气标准应符合下列要求。具体标准要求见下表。</w:t>
      </w:r>
    </w:p>
    <w:p w14:paraId="2B1D5F57">
      <w:pPr>
        <w:pStyle w:val="117"/>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 xml:space="preserve"> 天然气技术标准</w:t>
      </w:r>
    </w:p>
    <w:tbl>
      <w:tblPr>
        <w:tblStyle w:val="76"/>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24"/>
        <w:gridCol w:w="3204"/>
        <w:gridCol w:w="3200"/>
      </w:tblGrid>
      <w:tr w14:paraId="02C5D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296" w:type="dxa"/>
            <w:vAlign w:val="center"/>
          </w:tcPr>
          <w:p w14:paraId="20DF592F">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项目</w:t>
            </w:r>
          </w:p>
        </w:tc>
        <w:tc>
          <w:tcPr>
            <w:tcW w:w="2282" w:type="dxa"/>
            <w:tcBorders>
              <w:right w:val="single" w:color="auto" w:sz="4" w:space="0"/>
            </w:tcBorders>
            <w:vAlign w:val="center"/>
          </w:tcPr>
          <w:p w14:paraId="336D2BFA">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一类</w:t>
            </w:r>
          </w:p>
        </w:tc>
        <w:tc>
          <w:tcPr>
            <w:tcW w:w="2280" w:type="dxa"/>
            <w:tcBorders>
              <w:left w:val="single" w:color="auto" w:sz="4" w:space="0"/>
              <w:right w:val="single" w:color="auto" w:sz="4" w:space="0"/>
            </w:tcBorders>
            <w:vAlign w:val="center"/>
          </w:tcPr>
          <w:p w14:paraId="7E3CEFBB">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二类</w:t>
            </w:r>
          </w:p>
        </w:tc>
      </w:tr>
      <w:tr w14:paraId="18CBD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296" w:type="dxa"/>
            <w:vAlign w:val="center"/>
          </w:tcPr>
          <w:p w14:paraId="7AF9E787">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高位发热量，MJ/m³</w:t>
            </w:r>
          </w:p>
        </w:tc>
        <w:tc>
          <w:tcPr>
            <w:tcW w:w="2282" w:type="dxa"/>
            <w:tcBorders>
              <w:right w:val="single" w:color="auto" w:sz="4" w:space="0"/>
            </w:tcBorders>
            <w:vAlign w:val="center"/>
          </w:tcPr>
          <w:p w14:paraId="603421FA">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34.0</w:t>
            </w:r>
          </w:p>
        </w:tc>
        <w:tc>
          <w:tcPr>
            <w:tcW w:w="2280" w:type="dxa"/>
            <w:tcBorders>
              <w:left w:val="single" w:color="auto" w:sz="4" w:space="0"/>
            </w:tcBorders>
            <w:vAlign w:val="center"/>
          </w:tcPr>
          <w:p w14:paraId="4B084F02">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31.4</w:t>
            </w:r>
          </w:p>
        </w:tc>
      </w:tr>
      <w:tr w14:paraId="3622A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296" w:type="dxa"/>
            <w:vAlign w:val="center"/>
          </w:tcPr>
          <w:p w14:paraId="5FB9BD98">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总硫（以硫计），mg/m³≤</w:t>
            </w:r>
          </w:p>
        </w:tc>
        <w:tc>
          <w:tcPr>
            <w:tcW w:w="2282" w:type="dxa"/>
            <w:tcBorders>
              <w:right w:val="single" w:color="auto" w:sz="4" w:space="0"/>
            </w:tcBorders>
            <w:vAlign w:val="center"/>
          </w:tcPr>
          <w:p w14:paraId="73AB6B8C">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20</w:t>
            </w:r>
          </w:p>
        </w:tc>
        <w:tc>
          <w:tcPr>
            <w:tcW w:w="2280" w:type="dxa"/>
            <w:tcBorders>
              <w:left w:val="single" w:color="auto" w:sz="4" w:space="0"/>
              <w:right w:val="single" w:color="auto" w:sz="4" w:space="0"/>
            </w:tcBorders>
            <w:vAlign w:val="center"/>
          </w:tcPr>
          <w:p w14:paraId="1249D951">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100</w:t>
            </w:r>
          </w:p>
        </w:tc>
      </w:tr>
      <w:tr w14:paraId="0163A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296" w:type="dxa"/>
            <w:vAlign w:val="center"/>
          </w:tcPr>
          <w:p w14:paraId="6B015066">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硫化氢，mg/m³≤</w:t>
            </w:r>
          </w:p>
        </w:tc>
        <w:tc>
          <w:tcPr>
            <w:tcW w:w="2282" w:type="dxa"/>
            <w:tcBorders>
              <w:right w:val="single" w:color="auto" w:sz="4" w:space="0"/>
            </w:tcBorders>
            <w:vAlign w:val="center"/>
          </w:tcPr>
          <w:p w14:paraId="2C7645C7">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6</w:t>
            </w:r>
          </w:p>
        </w:tc>
        <w:tc>
          <w:tcPr>
            <w:tcW w:w="2280" w:type="dxa"/>
            <w:tcBorders>
              <w:left w:val="single" w:color="auto" w:sz="4" w:space="0"/>
              <w:right w:val="single" w:color="auto" w:sz="4" w:space="0"/>
            </w:tcBorders>
            <w:vAlign w:val="center"/>
          </w:tcPr>
          <w:p w14:paraId="505FAC59">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20</w:t>
            </w:r>
          </w:p>
        </w:tc>
      </w:tr>
      <w:tr w14:paraId="6C3C4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296" w:type="dxa"/>
            <w:vAlign w:val="center"/>
          </w:tcPr>
          <w:p w14:paraId="68637F0F">
            <w:pPr>
              <w:pStyle w:val="109"/>
              <w:rPr>
                <w:color w:val="000000" w:themeColor="text1"/>
                <w14:textFill>
                  <w14:solidFill>
                    <w14:schemeClr w14:val="tx1"/>
                  </w14:solidFill>
                </w14:textFill>
              </w:rPr>
            </w:pPr>
            <w:r>
              <w:rPr>
                <w:color w:val="000000" w:themeColor="text1"/>
                <w:lang w:val="zh-CN"/>
                <w14:textFill>
                  <w14:solidFill>
                    <w14:schemeClr w14:val="tx1"/>
                  </w14:solidFill>
                </w14:textFill>
              </w:rPr>
              <w:t>二氧化碳</w:t>
            </w:r>
            <w:r>
              <w:rPr>
                <w:color w:val="000000" w:themeColor="text1"/>
                <w14:textFill>
                  <w14:solidFill>
                    <w14:schemeClr w14:val="tx1"/>
                  </w14:solidFill>
                </w14:textFill>
              </w:rPr>
              <w:t>，%（V/V）≤</w:t>
            </w:r>
          </w:p>
        </w:tc>
        <w:tc>
          <w:tcPr>
            <w:tcW w:w="2282" w:type="dxa"/>
            <w:tcBorders>
              <w:right w:val="single" w:color="auto" w:sz="4" w:space="0"/>
            </w:tcBorders>
            <w:vAlign w:val="center"/>
          </w:tcPr>
          <w:p w14:paraId="4C0E4FD8">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3.0</w:t>
            </w:r>
          </w:p>
        </w:tc>
        <w:tc>
          <w:tcPr>
            <w:tcW w:w="2280" w:type="dxa"/>
            <w:tcBorders>
              <w:right w:val="single" w:color="auto" w:sz="4" w:space="0"/>
            </w:tcBorders>
            <w:vAlign w:val="center"/>
          </w:tcPr>
          <w:p w14:paraId="5C19FE43">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4.0</w:t>
            </w:r>
          </w:p>
        </w:tc>
      </w:tr>
      <w:tr w14:paraId="4584C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296" w:type="dxa"/>
            <w:vAlign w:val="center"/>
          </w:tcPr>
          <w:p w14:paraId="5F6F473D">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水露点，℃</w:t>
            </w:r>
          </w:p>
        </w:tc>
        <w:tc>
          <w:tcPr>
            <w:tcW w:w="4562" w:type="dxa"/>
            <w:gridSpan w:val="2"/>
            <w:tcBorders>
              <w:right w:val="single" w:color="auto" w:sz="4" w:space="0"/>
            </w:tcBorders>
            <w:vAlign w:val="center"/>
          </w:tcPr>
          <w:p w14:paraId="4B0CCF98">
            <w:pPr>
              <w:pStyle w:val="109"/>
              <w:rPr>
                <w:color w:val="000000" w:themeColor="text1"/>
                <w:lang w:val="zh-CN"/>
                <w14:textFill>
                  <w14:solidFill>
                    <w14:schemeClr w14:val="tx1"/>
                  </w14:solidFill>
                </w14:textFill>
              </w:rPr>
            </w:pPr>
            <w:r>
              <w:rPr>
                <w:color w:val="000000" w:themeColor="text1"/>
                <w:lang w:val="zh-CN"/>
                <w14:textFill>
                  <w14:solidFill>
                    <w14:schemeClr w14:val="tx1"/>
                  </w14:solidFill>
                </w14:textFill>
              </w:rPr>
              <w:t>天然气交接点的压力和温度条件下，天然气的水露点比最低环境低5℃</w:t>
            </w:r>
          </w:p>
        </w:tc>
      </w:tr>
    </w:tbl>
    <w:p w14:paraId="1277C441">
      <w:pPr>
        <w:adjustRightInd w:val="0"/>
        <w:ind w:firstLine="480"/>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 xml:space="preserve">注：本标准中气体体积的标准参比条件是101.325kPa，20℃，本项目使用的天然气满足二类标准，总硫（以硫计）含量100mg/m³。  </w:t>
      </w:r>
    </w:p>
    <w:p w14:paraId="17B0BA72">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本项目天然气燃烧烟气经15m高的排气筒DA003排放，进行污染物排放浓度核实。</w:t>
      </w:r>
    </w:p>
    <w:p w14:paraId="71ED702B">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天然气燃烧废气各污染物产生、排放情况如下：</w:t>
      </w:r>
    </w:p>
    <w:p w14:paraId="3CF509C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天然气燃烧废气污染物产生情况一览表</w:t>
      </w:r>
    </w:p>
    <w:tbl>
      <w:tblPr>
        <w:tblStyle w:val="76"/>
        <w:tblW w:w="51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108"/>
        <w:gridCol w:w="1149"/>
        <w:gridCol w:w="1353"/>
        <w:gridCol w:w="1023"/>
        <w:gridCol w:w="1250"/>
        <w:gridCol w:w="1252"/>
        <w:gridCol w:w="1473"/>
      </w:tblGrid>
      <w:tr w14:paraId="2695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Merge w:val="restart"/>
            <w:vAlign w:val="center"/>
          </w:tcPr>
          <w:p w14:paraId="1F84B6F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831" w:type="pct"/>
            <w:gridSpan w:val="3"/>
            <w:vAlign w:val="center"/>
          </w:tcPr>
          <w:p w14:paraId="416CDB6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产生情况</w:t>
            </w:r>
          </w:p>
        </w:tc>
        <w:tc>
          <w:tcPr>
            <w:tcW w:w="1788" w:type="pct"/>
            <w:gridSpan w:val="3"/>
            <w:vAlign w:val="center"/>
          </w:tcPr>
          <w:p w14:paraId="0828FF6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排放情况</w:t>
            </w:r>
          </w:p>
        </w:tc>
        <w:tc>
          <w:tcPr>
            <w:tcW w:w="747" w:type="pct"/>
            <w:vMerge w:val="restart"/>
            <w:vAlign w:val="center"/>
          </w:tcPr>
          <w:p w14:paraId="27DB63E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排放标准</w:t>
            </w:r>
          </w:p>
        </w:tc>
      </w:tr>
      <w:tr w14:paraId="0AD3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Merge w:val="continue"/>
            <w:vAlign w:val="center"/>
          </w:tcPr>
          <w:p w14:paraId="3DA55A15">
            <w:pPr>
              <w:pStyle w:val="109"/>
              <w:rPr>
                <w:color w:val="000000" w:themeColor="text1"/>
                <w:szCs w:val="21"/>
                <w14:textFill>
                  <w14:solidFill>
                    <w14:schemeClr w14:val="tx1"/>
                  </w14:solidFill>
                </w14:textFill>
              </w:rPr>
            </w:pPr>
          </w:p>
        </w:tc>
        <w:tc>
          <w:tcPr>
            <w:tcW w:w="562" w:type="pct"/>
            <w:vAlign w:val="center"/>
          </w:tcPr>
          <w:p w14:paraId="0B7DBCB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产生浓度mg/m³</w:t>
            </w:r>
          </w:p>
        </w:tc>
        <w:tc>
          <w:tcPr>
            <w:tcW w:w="583" w:type="pct"/>
            <w:vAlign w:val="center"/>
          </w:tcPr>
          <w:p w14:paraId="71BD46D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产生速率kg/h</w:t>
            </w:r>
          </w:p>
        </w:tc>
        <w:tc>
          <w:tcPr>
            <w:tcW w:w="686" w:type="pct"/>
            <w:vAlign w:val="center"/>
          </w:tcPr>
          <w:p w14:paraId="055487B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519" w:type="pct"/>
            <w:vAlign w:val="center"/>
          </w:tcPr>
          <w:p w14:paraId="16E6717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排放浓度mg/m³</w:t>
            </w:r>
          </w:p>
        </w:tc>
        <w:tc>
          <w:tcPr>
            <w:tcW w:w="634" w:type="pct"/>
            <w:vAlign w:val="center"/>
          </w:tcPr>
          <w:p w14:paraId="219A8AE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排放速率kg/h</w:t>
            </w:r>
          </w:p>
        </w:tc>
        <w:tc>
          <w:tcPr>
            <w:tcW w:w="635" w:type="pct"/>
            <w:vAlign w:val="center"/>
          </w:tcPr>
          <w:p w14:paraId="40CEFEF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747" w:type="pct"/>
            <w:vMerge w:val="continue"/>
            <w:vAlign w:val="center"/>
          </w:tcPr>
          <w:p w14:paraId="6017C456">
            <w:pPr>
              <w:pStyle w:val="109"/>
              <w:rPr>
                <w:color w:val="000000" w:themeColor="text1"/>
                <w:szCs w:val="21"/>
                <w14:textFill>
                  <w14:solidFill>
                    <w14:schemeClr w14:val="tx1"/>
                  </w14:solidFill>
                </w14:textFill>
              </w:rPr>
            </w:pPr>
          </w:p>
        </w:tc>
      </w:tr>
      <w:tr w14:paraId="153F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5A54809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烟气量</w:t>
            </w:r>
          </w:p>
        </w:tc>
        <w:tc>
          <w:tcPr>
            <w:tcW w:w="562" w:type="pct"/>
            <w:vAlign w:val="center"/>
          </w:tcPr>
          <w:p w14:paraId="76D58CF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83" w:type="pct"/>
            <w:vAlign w:val="center"/>
          </w:tcPr>
          <w:p w14:paraId="798F0DA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3115m³/h</w:t>
            </w:r>
          </w:p>
        </w:tc>
        <w:tc>
          <w:tcPr>
            <w:tcW w:w="686" w:type="pct"/>
            <w:vAlign w:val="center"/>
          </w:tcPr>
          <w:p w14:paraId="000C3CD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2492</w:t>
            </w:r>
            <w:r>
              <w:rPr>
                <w:color w:val="000000" w:themeColor="text1"/>
                <w:szCs w:val="21"/>
                <w14:textFill>
                  <w14:solidFill>
                    <w14:schemeClr w14:val="tx1"/>
                  </w14:solidFill>
                </w14:textFill>
              </w:rPr>
              <w:t>万m³/a</w:t>
            </w:r>
          </w:p>
        </w:tc>
        <w:tc>
          <w:tcPr>
            <w:tcW w:w="519" w:type="pct"/>
            <w:vAlign w:val="center"/>
          </w:tcPr>
          <w:p w14:paraId="7087480A">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34" w:type="pct"/>
            <w:vAlign w:val="center"/>
          </w:tcPr>
          <w:p w14:paraId="10E3A77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3115m³/h</w:t>
            </w:r>
          </w:p>
        </w:tc>
        <w:tc>
          <w:tcPr>
            <w:tcW w:w="635" w:type="pct"/>
            <w:vAlign w:val="center"/>
          </w:tcPr>
          <w:p w14:paraId="089C3CDA">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2492</w:t>
            </w:r>
            <w:r>
              <w:rPr>
                <w:color w:val="000000" w:themeColor="text1"/>
                <w:szCs w:val="21"/>
                <w14:textFill>
                  <w14:solidFill>
                    <w14:schemeClr w14:val="tx1"/>
                  </w14:solidFill>
                </w14:textFill>
              </w:rPr>
              <w:t>万m³/a</w:t>
            </w:r>
          </w:p>
        </w:tc>
        <w:tc>
          <w:tcPr>
            <w:tcW w:w="747" w:type="pct"/>
            <w:vAlign w:val="center"/>
          </w:tcPr>
          <w:p w14:paraId="6CD728A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823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7F61897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562" w:type="pct"/>
            <w:vAlign w:val="center"/>
          </w:tcPr>
          <w:p w14:paraId="5BE3CBB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9.3</w:t>
            </w:r>
          </w:p>
        </w:tc>
        <w:tc>
          <w:tcPr>
            <w:tcW w:w="583" w:type="pct"/>
            <w:vAlign w:val="center"/>
          </w:tcPr>
          <w:p w14:paraId="4D0BD0F9">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0.029</w:t>
            </w:r>
          </w:p>
        </w:tc>
        <w:tc>
          <w:tcPr>
            <w:tcW w:w="686" w:type="pct"/>
            <w:vAlign w:val="center"/>
          </w:tcPr>
          <w:p w14:paraId="595CCCF4">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w:t>
            </w:r>
          </w:p>
        </w:tc>
        <w:tc>
          <w:tcPr>
            <w:tcW w:w="519" w:type="pct"/>
            <w:vAlign w:val="center"/>
          </w:tcPr>
          <w:p w14:paraId="582F871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9.3</w:t>
            </w:r>
          </w:p>
        </w:tc>
        <w:tc>
          <w:tcPr>
            <w:tcW w:w="634" w:type="pct"/>
            <w:vAlign w:val="center"/>
          </w:tcPr>
          <w:p w14:paraId="325DED52">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0.029</w:t>
            </w:r>
          </w:p>
        </w:tc>
        <w:tc>
          <w:tcPr>
            <w:tcW w:w="635" w:type="pct"/>
            <w:vAlign w:val="center"/>
          </w:tcPr>
          <w:p w14:paraId="58664192">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w:t>
            </w:r>
          </w:p>
        </w:tc>
        <w:tc>
          <w:tcPr>
            <w:tcW w:w="747" w:type="pct"/>
            <w:vAlign w:val="center"/>
          </w:tcPr>
          <w:p w14:paraId="65EE759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120mg/m³；3.5kg/h</w:t>
            </w:r>
          </w:p>
        </w:tc>
      </w:tr>
      <w:tr w14:paraId="3808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4DE9E02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562" w:type="pct"/>
            <w:vAlign w:val="center"/>
          </w:tcPr>
          <w:p w14:paraId="20481B7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18.6</w:t>
            </w:r>
          </w:p>
        </w:tc>
        <w:tc>
          <w:tcPr>
            <w:tcW w:w="583" w:type="pct"/>
            <w:vAlign w:val="center"/>
          </w:tcPr>
          <w:p w14:paraId="095391E2">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0.058</w:t>
            </w:r>
          </w:p>
        </w:tc>
        <w:tc>
          <w:tcPr>
            <w:tcW w:w="686" w:type="pct"/>
            <w:vAlign w:val="center"/>
          </w:tcPr>
          <w:p w14:paraId="66104E29">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0.46</w:t>
            </w:r>
          </w:p>
        </w:tc>
        <w:tc>
          <w:tcPr>
            <w:tcW w:w="519" w:type="pct"/>
            <w:vAlign w:val="center"/>
          </w:tcPr>
          <w:p w14:paraId="1A936A8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18.6</w:t>
            </w:r>
          </w:p>
        </w:tc>
        <w:tc>
          <w:tcPr>
            <w:tcW w:w="634" w:type="pct"/>
            <w:vAlign w:val="center"/>
          </w:tcPr>
          <w:p w14:paraId="246AFC56">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0.058</w:t>
            </w:r>
          </w:p>
        </w:tc>
        <w:tc>
          <w:tcPr>
            <w:tcW w:w="635" w:type="pct"/>
            <w:vAlign w:val="center"/>
          </w:tcPr>
          <w:p w14:paraId="375F3EA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0.46</w:t>
            </w:r>
          </w:p>
        </w:tc>
        <w:tc>
          <w:tcPr>
            <w:tcW w:w="747" w:type="pct"/>
            <w:vAlign w:val="center"/>
          </w:tcPr>
          <w:p w14:paraId="5BF3EE4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550mg/m³；2.6kg/h</w:t>
            </w:r>
          </w:p>
        </w:tc>
      </w:tr>
      <w:tr w14:paraId="727F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329A03C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562" w:type="pct"/>
            <w:vAlign w:val="center"/>
          </w:tcPr>
          <w:p w14:paraId="598FCB2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147.3</w:t>
            </w:r>
          </w:p>
        </w:tc>
        <w:tc>
          <w:tcPr>
            <w:tcW w:w="583" w:type="pct"/>
            <w:vAlign w:val="center"/>
          </w:tcPr>
          <w:p w14:paraId="7C71532F">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0.459</w:t>
            </w:r>
          </w:p>
        </w:tc>
        <w:tc>
          <w:tcPr>
            <w:tcW w:w="686" w:type="pct"/>
            <w:vAlign w:val="center"/>
          </w:tcPr>
          <w:p w14:paraId="22911EDF">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3.67</w:t>
            </w:r>
          </w:p>
        </w:tc>
        <w:tc>
          <w:tcPr>
            <w:tcW w:w="519" w:type="pct"/>
            <w:vAlign w:val="center"/>
          </w:tcPr>
          <w:p w14:paraId="345A20F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147.3</w:t>
            </w:r>
          </w:p>
        </w:tc>
        <w:tc>
          <w:tcPr>
            <w:tcW w:w="634" w:type="pct"/>
            <w:vAlign w:val="center"/>
          </w:tcPr>
          <w:p w14:paraId="00AF4FF1">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0.459</w:t>
            </w:r>
          </w:p>
        </w:tc>
        <w:tc>
          <w:tcPr>
            <w:tcW w:w="635" w:type="pct"/>
            <w:vAlign w:val="center"/>
          </w:tcPr>
          <w:p w14:paraId="609A8A78">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3.67</w:t>
            </w:r>
          </w:p>
        </w:tc>
        <w:tc>
          <w:tcPr>
            <w:tcW w:w="747" w:type="pct"/>
            <w:vAlign w:val="center"/>
          </w:tcPr>
          <w:p w14:paraId="23BF071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240mg/m³；0.77kg/h</w:t>
            </w:r>
          </w:p>
        </w:tc>
      </w:tr>
    </w:tbl>
    <w:p w14:paraId="02ED3844">
      <w:pPr>
        <w:ind w:firstLine="480"/>
        <w:rPr>
          <w:b/>
          <w:color w:val="000000" w:themeColor="text1"/>
          <w:lang w:val="zh-CN"/>
          <w14:textFill>
            <w14:solidFill>
              <w14:schemeClr w14:val="tx1"/>
            </w14:solidFill>
          </w14:textFill>
        </w:rPr>
      </w:pPr>
      <w:r>
        <w:rPr>
          <w:bCs/>
          <w:color w:val="000000" w:themeColor="text1"/>
          <w14:textFill>
            <w14:solidFill>
              <w14:schemeClr w14:val="tx1"/>
            </w14:solidFill>
          </w14:textFill>
        </w:rPr>
        <w:t>综上，本项目天然气燃烧废气</w:t>
      </w:r>
      <w:r>
        <w:rPr>
          <w:color w:val="000000" w:themeColor="text1"/>
          <w14:textFill>
            <w14:solidFill>
              <w14:schemeClr w14:val="tx1"/>
            </w14:solidFill>
          </w14:textFill>
        </w:rPr>
        <w:t>满足《大气污染物综合排放标准》（GB16297-1996）中表2标准（颗粒物120mg/m³；3.5kg/h、二氧化硫550mg/m³；2.6kg/h、氮氧化物240mg/m³；0.77kg/h）。</w:t>
      </w:r>
    </w:p>
    <w:p w14:paraId="08BF0132">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无组织废气</w:t>
      </w:r>
    </w:p>
    <w:p w14:paraId="06C9D56E">
      <w:pPr>
        <w:ind w:firstLine="480"/>
        <w:outlineLvl w:val="5"/>
        <w:rPr>
          <w:rFonts w:eastAsia="黑体"/>
          <w:color w:val="000000" w:themeColor="text1"/>
          <w:lang w:val="zh-CN"/>
          <w14:textFill>
            <w14:solidFill>
              <w14:schemeClr w14:val="tx1"/>
            </w14:solidFill>
          </w14:textFill>
        </w:rPr>
      </w:pPr>
      <w:r>
        <w:rPr>
          <w:rFonts w:hint="eastAsia" w:eastAsia="黑体"/>
          <w:color w:val="000000" w:themeColor="text1"/>
          <w:lang w:val="zh-CN"/>
          <w14:textFill>
            <w14:solidFill>
              <w14:schemeClr w14:val="tx1"/>
            </w14:solidFill>
          </w14:textFill>
        </w:rPr>
        <w:t>一、储罐呼吸废气</w:t>
      </w:r>
    </w:p>
    <w:p w14:paraId="25C7F7DF">
      <w:pPr>
        <w:ind w:firstLine="480"/>
        <w:rPr>
          <w:b/>
          <w:bCs/>
          <w:color w:val="000000" w:themeColor="text1"/>
          <w14:textFill>
            <w14:solidFill>
              <w14:schemeClr w14:val="tx1"/>
            </w14:solidFill>
          </w14:textFill>
        </w:rPr>
      </w:pPr>
      <w:r>
        <w:rPr>
          <w:color w:val="000000" w:themeColor="text1"/>
          <w14:textFill>
            <w14:solidFill>
              <w14:schemeClr w14:val="tx1"/>
            </w14:solidFill>
          </w14:textFill>
        </w:rPr>
        <w:t>本项目涉及 1 台</w:t>
      </w:r>
      <w:r>
        <w:rPr>
          <w:rStyle w:val="84"/>
          <w:b w:val="0"/>
          <w:bCs w:val="0"/>
          <w:color w:val="000000" w:themeColor="text1"/>
          <w14:textFill>
            <w14:solidFill>
              <w14:schemeClr w14:val="tx1"/>
            </w14:solidFill>
          </w14:textFill>
        </w:rPr>
        <w:t>30m³ 立式固定顶拱顶罐</w:t>
      </w:r>
      <w:r>
        <w:rPr>
          <w:color w:val="000000" w:themeColor="text1"/>
          <w14:textFill>
            <w14:solidFill>
              <w14:schemeClr w14:val="tx1"/>
            </w14:solidFill>
          </w14:textFill>
        </w:rPr>
        <w:t>，用于储存 10% 氨水，氨水年用量为 360t/a。本次计算依据《储罐区大气污染物无组织排放核算技术指南》及企业提供的基础参数，核算储罐大呼吸（工作损失）与小呼吸（静置呼吸）废气产生量</w:t>
      </w:r>
      <w:r>
        <w:rPr>
          <w:rFonts w:hint="eastAsia"/>
          <w:color w:val="000000" w:themeColor="text1"/>
          <w14:textFill>
            <w14:solidFill>
              <w14:schemeClr w14:val="tx1"/>
            </w14:solidFill>
          </w14:textFill>
        </w:rPr>
        <w:t>。</w:t>
      </w:r>
    </w:p>
    <w:p w14:paraId="1AE35CF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1、计算公式</w:t>
      </w:r>
    </w:p>
    <w:p w14:paraId="55950D1F">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A、拱顶罐大呼吸 </w:t>
      </w:r>
    </w:p>
    <w:p w14:paraId="5225430A">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大呼吸”损失是由于人为的装料与卸料而产生的损失。当储罐进料时，由于罐内液体体积增加，罐内气体压力增加，当压力增至机械呼吸阀压力极限时，呼吸阀自动开启排气。当从储罐输出料时，罐内液体体积减少，罐内气体压力降低，当压力降至呼吸阀负压极限时，吸进空气。这种由于输转料致使储罐排除蒸气和吸入空气所导致的损失叫“大呼吸”损失。 </w:t>
      </w:r>
    </w:p>
    <w:p w14:paraId="7A89BC3B">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大呼吸损失可由下式估算： </w:t>
      </w:r>
    </w:p>
    <w:p w14:paraId="11072F54">
      <w:pPr>
        <w:ind w:firstLine="480"/>
        <w:rPr>
          <w:color w:val="000000" w:themeColor="text1"/>
          <w:lang w:eastAsia="en-US"/>
          <w14:textFill>
            <w14:solidFill>
              <w14:schemeClr w14:val="tx1"/>
            </w14:solidFill>
          </w14:textFill>
        </w:rPr>
      </w:pPr>
      <w:r>
        <w:rPr>
          <w:color w:val="000000" w:themeColor="text1"/>
          <w14:textFill>
            <w14:solidFill>
              <w14:schemeClr w14:val="tx1"/>
            </w14:solidFill>
          </w14:textFill>
        </w:rPr>
        <w:drawing>
          <wp:inline distT="0" distB="0" distL="0" distR="0">
            <wp:extent cx="1950720" cy="182880"/>
            <wp:effectExtent l="0" t="0" r="0" b="7620"/>
            <wp:docPr id="13470733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73343" name="图片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950720" cy="182880"/>
                    </a:xfrm>
                    <a:prstGeom prst="rect">
                      <a:avLst/>
                    </a:prstGeom>
                    <a:noFill/>
                    <a:ln>
                      <a:noFill/>
                    </a:ln>
                  </pic:spPr>
                </pic:pic>
              </a:graphicData>
            </a:graphic>
          </wp:inline>
        </w:drawing>
      </w:r>
    </w:p>
    <w:p w14:paraId="5BAF61C9">
      <w:pPr>
        <w:ind w:firstLine="480"/>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W</w:t>
      </w:r>
      <w:r>
        <w:rPr>
          <w:color w:val="000000" w:themeColor="text1"/>
          <w14:textFill>
            <w14:solidFill>
              <w14:schemeClr w14:val="tx1"/>
            </w14:solidFill>
          </w14:textFill>
        </w:rPr>
        <w:t xml:space="preserve">—工作损失（kg/m³投入量） </w:t>
      </w:r>
    </w:p>
    <w:p w14:paraId="724745AA">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M—储罐内蒸气的分子量； </w:t>
      </w:r>
    </w:p>
    <w:p w14:paraId="33488F4F">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P—在大量液体状态下，真实的蒸气压力（Pa）； </w:t>
      </w:r>
    </w:p>
    <w:p w14:paraId="01AE899E">
      <w:pPr>
        <w:ind w:firstLine="480"/>
        <w:rPr>
          <w:color w:val="000000" w:themeColor="text1"/>
          <w14:textFill>
            <w14:solidFill>
              <w14:schemeClr w14:val="tx1"/>
            </w14:solidFill>
          </w14:textFill>
        </w:rPr>
      </w:pPr>
      <w:r>
        <w:rPr>
          <w:color w:val="000000" w:themeColor="text1"/>
          <w14:textFill>
            <w14:solidFill>
              <w14:schemeClr w14:val="tx1"/>
            </w14:solidFill>
          </w14:textFill>
        </w:rPr>
        <w:t>K</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—周转因子（无量纲），取值按年周转次数（K）确定。K≤36，K</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=1；36&lt;K≤220，K</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=11.467×K</w:t>
      </w:r>
      <w:r>
        <w:rPr>
          <w:color w:val="000000" w:themeColor="text1"/>
          <w:vertAlign w:val="superscript"/>
          <w14:textFill>
            <w14:solidFill>
              <w14:schemeClr w14:val="tx1"/>
            </w14:solidFill>
          </w14:textFill>
        </w:rPr>
        <w:t>-0.7026</w:t>
      </w:r>
      <w:r>
        <w:rPr>
          <w:color w:val="000000" w:themeColor="text1"/>
          <w14:textFill>
            <w14:solidFill>
              <w14:schemeClr w14:val="tx1"/>
            </w14:solidFill>
          </w14:textFill>
        </w:rPr>
        <w:t>；K&gt;220，K</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 xml:space="preserve">=0.26。 </w:t>
      </w:r>
    </w:p>
    <w:p w14:paraId="1FE2238E">
      <w:pPr>
        <w:ind w:firstLine="480"/>
        <w:rPr>
          <w:color w:val="000000" w:themeColor="text1"/>
          <w14:textFill>
            <w14:solidFill>
              <w14:schemeClr w14:val="tx1"/>
            </w14:solidFill>
          </w14:textFill>
        </w:rPr>
      </w:pPr>
      <w:r>
        <w:rPr>
          <w:color w:val="000000" w:themeColor="text1"/>
          <w14:textFill>
            <w14:solidFill>
              <w14:schemeClr w14:val="tx1"/>
            </w14:solidFill>
          </w14:textFill>
        </w:rPr>
        <w:t>K</w:t>
      </w:r>
      <w:r>
        <w:rPr>
          <w:color w:val="000000" w:themeColor="text1"/>
          <w:vertAlign w:val="subscript"/>
          <w14:textFill>
            <w14:solidFill>
              <w14:schemeClr w14:val="tx1"/>
            </w14:solidFill>
          </w14:textFill>
        </w:rPr>
        <w:t>C</w:t>
      </w:r>
      <w:r>
        <w:rPr>
          <w:color w:val="000000" w:themeColor="text1"/>
          <w14:textFill>
            <w14:solidFill>
              <w14:schemeClr w14:val="tx1"/>
            </w14:solidFill>
          </w14:textFill>
        </w:rPr>
        <w:t xml:space="preserve">—产品因子（石油原油KC取0.65，其他的液体取1.0）。 </w:t>
      </w:r>
    </w:p>
    <w:p w14:paraId="417AB80F">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B、储罐小呼吸 </w:t>
      </w:r>
    </w:p>
    <w:p w14:paraId="1BF3EE25">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储罐“小呼吸”损失是由于温度和大气压力的变化引起蒸气的膨胀和收缩而产生的蒸气排出，它出现在罐内液面无任何变化的情况，是非人为干扰的自然排放方式。 </w:t>
      </w:r>
    </w:p>
    <w:p w14:paraId="7803BAFC">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小呼吸损耗可按下式计算： </w:t>
      </w:r>
    </w:p>
    <w:p w14:paraId="42294291">
      <w:pPr>
        <w:ind w:firstLine="480"/>
        <w:rPr>
          <w:color w:val="000000" w:themeColor="text1"/>
          <w:lang w:eastAsia="en-US"/>
          <w14:textFill>
            <w14:solidFill>
              <w14:schemeClr w14:val="tx1"/>
            </w14:solidFill>
          </w14:textFill>
        </w:rPr>
      </w:pPr>
      <w:r>
        <w:rPr>
          <w:color w:val="000000" w:themeColor="text1"/>
          <w14:textFill>
            <w14:solidFill>
              <w14:schemeClr w14:val="tx1"/>
            </w14:solidFill>
          </w14:textFill>
        </w:rPr>
        <w:drawing>
          <wp:inline distT="0" distB="0" distL="0" distR="0">
            <wp:extent cx="3459480" cy="160020"/>
            <wp:effectExtent l="0" t="0" r="7620" b="0"/>
            <wp:docPr id="133735529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55295" name="图片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459480" cy="160020"/>
                    </a:xfrm>
                    <a:prstGeom prst="rect">
                      <a:avLst/>
                    </a:prstGeom>
                    <a:noFill/>
                    <a:ln>
                      <a:noFill/>
                    </a:ln>
                  </pic:spPr>
                </pic:pic>
              </a:graphicData>
            </a:graphic>
          </wp:inline>
        </w:drawing>
      </w:r>
    </w:p>
    <w:p w14:paraId="43EB999B">
      <w:pPr>
        <w:ind w:firstLine="480"/>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 xml:space="preserve">—固定顶罐的呼吸排放量（kg/a）； </w:t>
      </w:r>
    </w:p>
    <w:p w14:paraId="40709C7C">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M—储罐内蒸气的分子量； </w:t>
      </w:r>
    </w:p>
    <w:p w14:paraId="3B301E55">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P—在大量液体状态下，真实的蒸气压力（Pa）； </w:t>
      </w:r>
    </w:p>
    <w:p w14:paraId="40088230">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D—罐的直径（m）； </w:t>
      </w:r>
    </w:p>
    <w:p w14:paraId="21774714">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H—平均蒸气空间高度（m）； </w:t>
      </w:r>
    </w:p>
    <w:p w14:paraId="77EE835C">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w:t>
      </w:r>
      <w:r>
        <w:rPr>
          <w:color w:val="000000" w:themeColor="text1"/>
          <w14:textFill>
            <w14:solidFill>
              <w14:schemeClr w14:val="tx1"/>
            </w14:solidFill>
          </w14:textFill>
        </w:rPr>
        <w:t>T—一天之内的平均温度差（℃）；</w:t>
      </w:r>
    </w:p>
    <w:p w14:paraId="14324A00">
      <w:pPr>
        <w:ind w:firstLine="480"/>
        <w:rPr>
          <w:color w:val="000000" w:themeColor="text1"/>
          <w14:textFill>
            <w14:solidFill>
              <w14:schemeClr w14:val="tx1"/>
            </w14:solidFill>
          </w14:textFill>
        </w:rPr>
      </w:pPr>
      <w:r>
        <w:rPr>
          <w:color w:val="000000" w:themeColor="text1"/>
          <w14:textFill>
            <w14:solidFill>
              <w14:schemeClr w14:val="tx1"/>
            </w14:solidFill>
          </w14:textFill>
        </w:rPr>
        <w:t>F</w:t>
      </w:r>
      <w:r>
        <w:rPr>
          <w:color w:val="000000" w:themeColor="text1"/>
          <w:vertAlign w:val="subscript"/>
          <w14:textFill>
            <w14:solidFill>
              <w14:schemeClr w14:val="tx1"/>
            </w14:solidFill>
          </w14:textFill>
        </w:rPr>
        <w:t>P</w:t>
      </w:r>
      <w:r>
        <w:rPr>
          <w:color w:val="000000" w:themeColor="text1"/>
          <w14:textFill>
            <w14:solidFill>
              <w14:schemeClr w14:val="tx1"/>
            </w14:solidFill>
          </w14:textFill>
        </w:rPr>
        <w:t xml:space="preserve">—涂层因子（无量纲），根据油漆状况取值在1-1.5之间； </w:t>
      </w:r>
    </w:p>
    <w:p w14:paraId="684D92ED">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C—用于小直径罐的调节因子（无量纲）；直径在0-9m之间的罐体，C=1-0.0123(D-9)2；罐径大于9m的C=1； </w:t>
      </w:r>
    </w:p>
    <w:p w14:paraId="030A7F65">
      <w:pPr>
        <w:ind w:firstLine="480"/>
        <w:rPr>
          <w:color w:val="000000" w:themeColor="text1"/>
          <w14:textFill>
            <w14:solidFill>
              <w14:schemeClr w14:val="tx1"/>
            </w14:solidFill>
          </w14:textFill>
        </w:rPr>
      </w:pPr>
      <w:r>
        <w:rPr>
          <w:color w:val="000000" w:themeColor="text1"/>
          <w14:textFill>
            <w14:solidFill>
              <w14:schemeClr w14:val="tx1"/>
            </w14:solidFill>
          </w14:textFill>
        </w:rPr>
        <w:t>K</w:t>
      </w:r>
      <w:r>
        <w:rPr>
          <w:color w:val="000000" w:themeColor="text1"/>
          <w:vertAlign w:val="subscript"/>
          <w14:textFill>
            <w14:solidFill>
              <w14:schemeClr w14:val="tx1"/>
            </w14:solidFill>
          </w14:textFill>
        </w:rPr>
        <w:t>C</w:t>
      </w:r>
      <w:r>
        <w:rPr>
          <w:color w:val="000000" w:themeColor="text1"/>
          <w14:textFill>
            <w14:solidFill>
              <w14:schemeClr w14:val="tx1"/>
            </w14:solidFill>
          </w14:textFill>
        </w:rPr>
        <w:t>—产品因子（石油原油K</w:t>
      </w:r>
      <w:r>
        <w:rPr>
          <w:color w:val="000000" w:themeColor="text1"/>
          <w:vertAlign w:val="subscript"/>
          <w14:textFill>
            <w14:solidFill>
              <w14:schemeClr w14:val="tx1"/>
            </w14:solidFill>
          </w14:textFill>
        </w:rPr>
        <w:t>C</w:t>
      </w:r>
      <w:r>
        <w:rPr>
          <w:color w:val="000000" w:themeColor="text1"/>
          <w14:textFill>
            <w14:solidFill>
              <w14:schemeClr w14:val="tx1"/>
            </w14:solidFill>
          </w14:textFill>
        </w:rPr>
        <w:t>取0.65，其他的液体取1.0）。</w:t>
      </w:r>
    </w:p>
    <w:p w14:paraId="6899C6F1">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、储罐基础参数与尺寸</w:t>
      </w:r>
    </w:p>
    <w:p w14:paraId="6E71EDDB">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储罐几何参数</w:t>
      </w:r>
      <w:r>
        <w:rPr>
          <w:rFonts w:hint="eastAsia"/>
          <w:color w:val="000000" w:themeColor="text1"/>
          <w14:textFill>
            <w14:solidFill>
              <w14:schemeClr w14:val="tx1"/>
            </w14:solidFill>
          </w14:textFill>
        </w:rPr>
        <w:t>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8"/>
        <w:gridCol w:w="2952"/>
        <w:gridCol w:w="4608"/>
      </w:tblGrid>
      <w:tr w14:paraId="57D9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1CD54D5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参数</w:t>
            </w:r>
          </w:p>
        </w:tc>
        <w:tc>
          <w:tcPr>
            <w:tcW w:w="1533" w:type="pct"/>
            <w:vAlign w:val="center"/>
          </w:tcPr>
          <w:p w14:paraId="3E042AF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取值</w:t>
            </w:r>
          </w:p>
        </w:tc>
        <w:tc>
          <w:tcPr>
            <w:tcW w:w="2393" w:type="pct"/>
            <w:vAlign w:val="center"/>
          </w:tcPr>
          <w:p w14:paraId="40F0257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说明</w:t>
            </w:r>
          </w:p>
        </w:tc>
      </w:tr>
      <w:tr w14:paraId="119D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5D42697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储罐类型</w:t>
            </w:r>
          </w:p>
        </w:tc>
        <w:tc>
          <w:tcPr>
            <w:tcW w:w="1533" w:type="pct"/>
            <w:vAlign w:val="center"/>
          </w:tcPr>
          <w:p w14:paraId="57D5249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立式固定顶拱顶罐</w:t>
            </w:r>
          </w:p>
        </w:tc>
        <w:tc>
          <w:tcPr>
            <w:tcW w:w="2393" w:type="pct"/>
            <w:vAlign w:val="center"/>
          </w:tcPr>
          <w:p w14:paraId="26EA9D3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公称容积</w:t>
            </w:r>
            <w:r>
              <w:rPr>
                <w:color w:val="000000" w:themeColor="text1"/>
                <w14:textFill>
                  <w14:solidFill>
                    <w14:schemeClr w14:val="tx1"/>
                  </w14:solidFill>
                </w14:textFill>
              </w:rPr>
              <w:t xml:space="preserve"> 30m³</w:t>
            </w:r>
          </w:p>
        </w:tc>
      </w:tr>
      <w:tr w14:paraId="0967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4F4E39E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内径</w:t>
            </w:r>
            <w:r>
              <w:rPr>
                <w:color w:val="000000" w:themeColor="text1"/>
                <w14:textFill>
                  <w14:solidFill>
                    <w14:schemeClr w14:val="tx1"/>
                  </w14:solidFill>
                </w14:textFill>
              </w:rPr>
              <w:t xml:space="preserve"> D</w:t>
            </w:r>
          </w:p>
        </w:tc>
        <w:tc>
          <w:tcPr>
            <w:tcW w:w="1533" w:type="pct"/>
            <w:vAlign w:val="center"/>
          </w:tcPr>
          <w:p w14:paraId="0711111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3.0 m</w:t>
            </w:r>
          </w:p>
        </w:tc>
        <w:tc>
          <w:tcPr>
            <w:tcW w:w="2393" w:type="pct"/>
            <w:vAlign w:val="center"/>
          </w:tcPr>
          <w:p w14:paraId="34C8761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r>
      <w:tr w14:paraId="4D8A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59AA453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筒体高度</w:t>
            </w:r>
          </w:p>
        </w:tc>
        <w:tc>
          <w:tcPr>
            <w:tcW w:w="1533" w:type="pct"/>
            <w:vAlign w:val="center"/>
          </w:tcPr>
          <w:p w14:paraId="742E4C6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4.2 m</w:t>
            </w:r>
          </w:p>
        </w:tc>
        <w:tc>
          <w:tcPr>
            <w:tcW w:w="2393" w:type="pct"/>
            <w:vAlign w:val="center"/>
          </w:tcPr>
          <w:p w14:paraId="2F36348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有效容积</w:t>
            </w:r>
            <w:r>
              <w:rPr>
                <w:color w:val="000000" w:themeColor="text1"/>
                <w14:textFill>
                  <w14:solidFill>
                    <w14:schemeClr w14:val="tx1"/>
                  </w14:solidFill>
                </w14:textFill>
              </w:rPr>
              <w:t xml:space="preserve"> V=π×(D/2)2×H=π×1.52×4.2≈29.7 m³≈30 m³</w:t>
            </w:r>
          </w:p>
        </w:tc>
      </w:tr>
      <w:tr w14:paraId="78BB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46A9C7E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充装系数</w:t>
            </w:r>
          </w:p>
        </w:tc>
        <w:tc>
          <w:tcPr>
            <w:tcW w:w="1533" w:type="pct"/>
            <w:vAlign w:val="center"/>
          </w:tcPr>
          <w:p w14:paraId="7A66264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0.85</w:t>
            </w:r>
          </w:p>
        </w:tc>
        <w:tc>
          <w:tcPr>
            <w:tcW w:w="2393" w:type="pct"/>
            <w:vAlign w:val="center"/>
          </w:tcPr>
          <w:p w14:paraId="3BD86C2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符合化工储罐安全充装要求</w:t>
            </w:r>
          </w:p>
        </w:tc>
      </w:tr>
      <w:tr w14:paraId="6D72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39D431C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气相空间高度</w:t>
            </w:r>
            <w:r>
              <w:rPr>
                <w:color w:val="000000" w:themeColor="text1"/>
                <w14:textFill>
                  <w14:solidFill>
                    <w14:schemeClr w14:val="tx1"/>
                  </w14:solidFill>
                </w14:textFill>
              </w:rPr>
              <w:t xml:space="preserve"> H</w:t>
            </w:r>
          </w:p>
        </w:tc>
        <w:tc>
          <w:tcPr>
            <w:tcW w:w="1533" w:type="pct"/>
            <w:vAlign w:val="center"/>
          </w:tcPr>
          <w:p w14:paraId="1C85968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0.63 m</w:t>
            </w:r>
            <w:r>
              <w:rPr>
                <w:rFonts w:hint="eastAsia"/>
                <w:color w:val="000000" w:themeColor="text1"/>
                <w14:textFill>
                  <w14:solidFill>
                    <w14:schemeClr w14:val="tx1"/>
                  </w14:solidFill>
                </w14:textFill>
              </w:rPr>
              <w:t>（计算取</w:t>
            </w:r>
            <w:r>
              <w:rPr>
                <w:rFonts w:eastAsia="等线"/>
                <w:color w:val="000000" w:themeColor="text1"/>
                <w14:textFill>
                  <w14:solidFill>
                    <w14:schemeClr w14:val="tx1"/>
                  </w14:solidFill>
                </w14:textFill>
              </w:rPr>
              <w:t xml:space="preserve"> 0.6 m</w:t>
            </w:r>
            <w:r>
              <w:rPr>
                <w:rFonts w:hint="eastAsia"/>
                <w:color w:val="000000" w:themeColor="text1"/>
                <w14:textFill>
                  <w14:solidFill>
                    <w14:schemeClr w14:val="tx1"/>
                  </w14:solidFill>
                </w14:textFill>
              </w:rPr>
              <w:t>）</w:t>
            </w:r>
          </w:p>
        </w:tc>
        <w:tc>
          <w:tcPr>
            <w:tcW w:w="2393" w:type="pct"/>
            <w:vAlign w:val="center"/>
          </w:tcPr>
          <w:p w14:paraId="4BED661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H=4.2×(1−0.85)=0.63 m</w:t>
            </w:r>
          </w:p>
        </w:tc>
      </w:tr>
      <w:tr w14:paraId="58EF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6D02C41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总高（含封头）</w:t>
            </w:r>
          </w:p>
        </w:tc>
        <w:tc>
          <w:tcPr>
            <w:tcW w:w="1533" w:type="pct"/>
            <w:vAlign w:val="center"/>
          </w:tcPr>
          <w:p w14:paraId="1E29D59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~4.5 m</w:t>
            </w:r>
          </w:p>
        </w:tc>
        <w:tc>
          <w:tcPr>
            <w:tcW w:w="2393" w:type="pct"/>
            <w:vAlign w:val="center"/>
          </w:tcPr>
          <w:p w14:paraId="45F4BC7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r>
    </w:tbl>
    <w:p w14:paraId="1B0BDC8B">
      <w:pPr>
        <w:pStyle w:val="117"/>
        <w:numPr>
          <w:ilvl w:val="0"/>
          <w:numId w:val="0"/>
        </w:numPr>
        <w:jc w:val="left"/>
        <w:rPr>
          <w:rFonts w:hint="eastAsia"/>
          <w:color w:val="000000" w:themeColor="text1"/>
          <w14:textFill>
            <w14:solidFill>
              <w14:schemeClr w14:val="tx1"/>
            </w14:solidFill>
          </w14:textFill>
        </w:rPr>
      </w:pPr>
    </w:p>
    <w:p w14:paraId="0E2F23E4">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介质与运行参数</w:t>
      </w:r>
    </w:p>
    <w:tbl>
      <w:tblPr>
        <w:tblStyle w:val="76"/>
        <w:tblW w:w="9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417"/>
        <w:gridCol w:w="5955"/>
      </w:tblGrid>
      <w:tr w14:paraId="37E6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5872129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参数</w:t>
            </w:r>
          </w:p>
        </w:tc>
        <w:tc>
          <w:tcPr>
            <w:tcW w:w="1417" w:type="dxa"/>
            <w:vAlign w:val="center"/>
          </w:tcPr>
          <w:p w14:paraId="2B40BFB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取值</w:t>
            </w:r>
          </w:p>
        </w:tc>
        <w:tc>
          <w:tcPr>
            <w:tcW w:w="5955" w:type="dxa"/>
            <w:vAlign w:val="center"/>
          </w:tcPr>
          <w:p w14:paraId="6E07AF8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说明</w:t>
            </w:r>
          </w:p>
        </w:tc>
      </w:tr>
      <w:tr w14:paraId="3EFB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10DC5D4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储存介质</w:t>
            </w:r>
          </w:p>
        </w:tc>
        <w:tc>
          <w:tcPr>
            <w:tcW w:w="1417" w:type="dxa"/>
            <w:vAlign w:val="center"/>
          </w:tcPr>
          <w:p w14:paraId="70F27AE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10% </w:t>
            </w:r>
            <w:r>
              <w:rPr>
                <w:color w:val="000000" w:themeColor="text1"/>
                <w:szCs w:val="21"/>
                <w14:textFill>
                  <w14:solidFill>
                    <w14:schemeClr w14:val="tx1"/>
                  </w14:solidFill>
                </w14:textFill>
              </w:rPr>
              <w:t>氨水</w:t>
            </w:r>
          </w:p>
        </w:tc>
        <w:tc>
          <w:tcPr>
            <w:tcW w:w="5955" w:type="dxa"/>
            <w:vAlign w:val="center"/>
          </w:tcPr>
          <w:p w14:paraId="2161C62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主要挥发物为 NH₃</w:t>
            </w:r>
          </w:p>
        </w:tc>
      </w:tr>
      <w:tr w14:paraId="6C5E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621D355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介质分子量 M</w:t>
            </w:r>
          </w:p>
        </w:tc>
        <w:tc>
          <w:tcPr>
            <w:tcW w:w="1417" w:type="dxa"/>
            <w:vAlign w:val="center"/>
          </w:tcPr>
          <w:p w14:paraId="15931C8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17.03</w:t>
            </w:r>
          </w:p>
        </w:tc>
        <w:tc>
          <w:tcPr>
            <w:tcW w:w="5955" w:type="dxa"/>
            <w:vAlign w:val="center"/>
          </w:tcPr>
          <w:p w14:paraId="47BB029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NH₃</w:t>
            </w:r>
            <w:r>
              <w:rPr>
                <w:color w:val="000000" w:themeColor="text1"/>
                <w:szCs w:val="21"/>
                <w14:textFill>
                  <w14:solidFill>
                    <w14:schemeClr w14:val="tx1"/>
                  </w14:solidFill>
                </w14:textFill>
              </w:rPr>
              <w:t>的摩尔质量</w:t>
            </w:r>
          </w:p>
        </w:tc>
      </w:tr>
      <w:tr w14:paraId="7532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009997B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介质饱和蒸气压 P</w:t>
            </w:r>
          </w:p>
        </w:tc>
        <w:tc>
          <w:tcPr>
            <w:tcW w:w="1417" w:type="dxa"/>
            <w:vAlign w:val="center"/>
          </w:tcPr>
          <w:p w14:paraId="1F5CEC5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15000 Pa</w:t>
            </w:r>
          </w:p>
        </w:tc>
        <w:tc>
          <w:tcPr>
            <w:tcW w:w="5955" w:type="dxa"/>
            <w:vAlign w:val="center"/>
          </w:tcPr>
          <w:p w14:paraId="4AE2ADC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r>
              <w:rPr>
                <w:color w:val="000000" w:themeColor="text1"/>
                <w:szCs w:val="21"/>
                <w14:textFill>
                  <w14:solidFill>
                    <w14:schemeClr w14:val="tx1"/>
                  </w14:solidFill>
                </w14:textFill>
              </w:rPr>
              <w:t>时</w:t>
            </w:r>
            <w:r>
              <w:rPr>
                <w:rFonts w:eastAsia="等线"/>
                <w:color w:val="000000" w:themeColor="text1"/>
                <w:szCs w:val="21"/>
                <w14:textFill>
                  <w14:solidFill>
                    <w14:schemeClr w14:val="tx1"/>
                  </w14:solidFill>
                </w14:textFill>
              </w:rPr>
              <w:t xml:space="preserve"> 10% </w:t>
            </w:r>
            <w:r>
              <w:rPr>
                <w:color w:val="000000" w:themeColor="text1"/>
                <w:szCs w:val="21"/>
                <w14:textFill>
                  <w14:solidFill>
                    <w14:schemeClr w14:val="tx1"/>
                  </w14:solidFill>
                </w14:textFill>
              </w:rPr>
              <w:t>氨水饱和蒸气压（环评常用取值）</w:t>
            </w:r>
          </w:p>
        </w:tc>
      </w:tr>
      <w:tr w14:paraId="5780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2BFF2A2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介质密度</w:t>
            </w:r>
          </w:p>
        </w:tc>
        <w:tc>
          <w:tcPr>
            <w:tcW w:w="1417" w:type="dxa"/>
            <w:vAlign w:val="center"/>
          </w:tcPr>
          <w:p w14:paraId="7701F90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0.96 t/m³</w:t>
            </w:r>
          </w:p>
        </w:tc>
        <w:tc>
          <w:tcPr>
            <w:tcW w:w="5955" w:type="dxa"/>
            <w:vAlign w:val="center"/>
          </w:tcPr>
          <w:p w14:paraId="21BC7FD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10% </w:t>
            </w:r>
            <w:r>
              <w:rPr>
                <w:color w:val="000000" w:themeColor="text1"/>
                <w:szCs w:val="21"/>
                <w14:textFill>
                  <w14:solidFill>
                    <w14:schemeClr w14:val="tx1"/>
                  </w14:solidFill>
                </w14:textFill>
              </w:rPr>
              <w:t>氨水密度经验值</w:t>
            </w:r>
          </w:p>
        </w:tc>
      </w:tr>
      <w:tr w14:paraId="09DF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0012D1D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w:t>
            </w:r>
          </w:p>
        </w:tc>
        <w:tc>
          <w:tcPr>
            <w:tcW w:w="1417" w:type="dxa"/>
            <w:vAlign w:val="center"/>
          </w:tcPr>
          <w:p w14:paraId="6D082FB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360 t/a</w:t>
            </w:r>
          </w:p>
        </w:tc>
        <w:tc>
          <w:tcPr>
            <w:tcW w:w="5955" w:type="dxa"/>
            <w:vAlign w:val="center"/>
          </w:tcPr>
          <w:p w14:paraId="6E1A814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企业提供的氨水年消耗量</w:t>
            </w:r>
          </w:p>
        </w:tc>
      </w:tr>
      <w:tr w14:paraId="5945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57839DC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年进料体积 V年​</w:t>
            </w:r>
          </w:p>
        </w:tc>
        <w:tc>
          <w:tcPr>
            <w:tcW w:w="1417" w:type="dxa"/>
            <w:vAlign w:val="center"/>
          </w:tcPr>
          <w:p w14:paraId="6F47CD6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375 m³/a</w:t>
            </w:r>
          </w:p>
        </w:tc>
        <w:tc>
          <w:tcPr>
            <w:tcW w:w="5955" w:type="dxa"/>
            <w:vAlign w:val="center"/>
          </w:tcPr>
          <w:p w14:paraId="309EDB0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V</w:t>
            </w:r>
            <w:r>
              <w:rPr>
                <w:color w:val="000000" w:themeColor="text1"/>
                <w:szCs w:val="21"/>
                <w14:textFill>
                  <w14:solidFill>
                    <w14:schemeClr w14:val="tx1"/>
                  </w14:solidFill>
                </w14:textFill>
              </w:rPr>
              <w:t>年​</w:t>
            </w:r>
            <w:r>
              <w:rPr>
                <w:rFonts w:eastAsia="等线"/>
                <w:color w:val="000000" w:themeColor="text1"/>
                <w:szCs w:val="21"/>
                <w14:textFill>
                  <w14:solidFill>
                    <w14:schemeClr w14:val="tx1"/>
                  </w14:solidFill>
                </w14:textFill>
              </w:rPr>
              <w:t>=360÷0.96=375 m³</w:t>
            </w:r>
          </w:p>
        </w:tc>
      </w:tr>
      <w:tr w14:paraId="44AD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5A1F31F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年周转次数 K</w:t>
            </w:r>
          </w:p>
        </w:tc>
        <w:tc>
          <w:tcPr>
            <w:tcW w:w="1417" w:type="dxa"/>
            <w:vAlign w:val="center"/>
          </w:tcPr>
          <w:p w14:paraId="79CD2F0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12.5 </w:t>
            </w:r>
            <w:r>
              <w:rPr>
                <w:color w:val="000000" w:themeColor="text1"/>
                <w:szCs w:val="21"/>
                <w14:textFill>
                  <w14:solidFill>
                    <w14:schemeClr w14:val="tx1"/>
                  </w14:solidFill>
                </w14:textFill>
              </w:rPr>
              <w:t>次</w:t>
            </w:r>
            <w:r>
              <w:rPr>
                <w:rFonts w:eastAsia="等线"/>
                <w:color w:val="000000" w:themeColor="text1"/>
                <w:szCs w:val="21"/>
                <w14:textFill>
                  <w14:solidFill>
                    <w14:schemeClr w14:val="tx1"/>
                  </w14:solidFill>
                </w14:textFill>
              </w:rPr>
              <w:t xml:space="preserve"> /a</w:t>
            </w:r>
          </w:p>
        </w:tc>
        <w:tc>
          <w:tcPr>
            <w:tcW w:w="5955" w:type="dxa"/>
            <w:vAlign w:val="center"/>
          </w:tcPr>
          <w:p w14:paraId="4F92901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K=375÷30=12.5</w:t>
            </w:r>
          </w:p>
        </w:tc>
      </w:tr>
      <w:tr w14:paraId="65D1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51D446A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周转因子 K</w:t>
            </w:r>
            <w:r>
              <w:rPr>
                <w:color w:val="000000" w:themeColor="text1"/>
                <w:szCs w:val="21"/>
                <w:vertAlign w:val="subscript"/>
                <w14:textFill>
                  <w14:solidFill>
                    <w14:schemeClr w14:val="tx1"/>
                  </w14:solidFill>
                </w14:textFill>
              </w:rPr>
              <w:t>N</w:t>
            </w:r>
            <w:r>
              <w:rPr>
                <w:color w:val="000000" w:themeColor="text1"/>
                <w:szCs w:val="21"/>
                <w14:textFill>
                  <w14:solidFill>
                    <w14:schemeClr w14:val="tx1"/>
                  </w14:solidFill>
                </w14:textFill>
              </w:rPr>
              <w:t>​</w:t>
            </w:r>
          </w:p>
        </w:tc>
        <w:tc>
          <w:tcPr>
            <w:tcW w:w="1417" w:type="dxa"/>
            <w:vAlign w:val="center"/>
          </w:tcPr>
          <w:p w14:paraId="57A8860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5955" w:type="dxa"/>
            <w:vAlign w:val="center"/>
          </w:tcPr>
          <w:p w14:paraId="772BC92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依据指南：K≤36 时 KN​=1</w:t>
            </w:r>
          </w:p>
        </w:tc>
      </w:tr>
      <w:tr w14:paraId="2AD2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206BFF5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产品因子 K</w:t>
            </w:r>
            <w:r>
              <w:rPr>
                <w:color w:val="000000" w:themeColor="text1"/>
                <w:szCs w:val="21"/>
                <w:vertAlign w:val="subscript"/>
                <w14:textFill>
                  <w14:solidFill>
                    <w14:schemeClr w14:val="tx1"/>
                  </w14:solidFill>
                </w14:textFill>
              </w:rPr>
              <w:t>C</w:t>
            </w:r>
            <w:r>
              <w:rPr>
                <w:color w:val="000000" w:themeColor="text1"/>
                <w:szCs w:val="21"/>
                <w14:textFill>
                  <w14:solidFill>
                    <w14:schemeClr w14:val="tx1"/>
                  </w14:solidFill>
                </w14:textFill>
              </w:rPr>
              <w:t>​</w:t>
            </w:r>
          </w:p>
        </w:tc>
        <w:tc>
          <w:tcPr>
            <w:tcW w:w="1417" w:type="dxa"/>
            <w:vAlign w:val="center"/>
          </w:tcPr>
          <w:p w14:paraId="6A2EA4F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5955" w:type="dxa"/>
            <w:vAlign w:val="center"/>
          </w:tcPr>
          <w:p w14:paraId="1A7C3A3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非原油类液体，取 1.0</w:t>
            </w:r>
          </w:p>
        </w:tc>
      </w:tr>
      <w:tr w14:paraId="2A0C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6E1F39B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涂层因子 F</w:t>
            </w:r>
            <w:r>
              <w:rPr>
                <w:color w:val="000000" w:themeColor="text1"/>
                <w:szCs w:val="21"/>
                <w:vertAlign w:val="subscript"/>
                <w14:textFill>
                  <w14:solidFill>
                    <w14:schemeClr w14:val="tx1"/>
                  </w14:solidFill>
                </w14:textFill>
              </w:rPr>
              <w:t>P</w:t>
            </w:r>
            <w:r>
              <w:rPr>
                <w:color w:val="000000" w:themeColor="text1"/>
                <w:szCs w:val="21"/>
                <w14:textFill>
                  <w14:solidFill>
                    <w14:schemeClr w14:val="tx1"/>
                  </w14:solidFill>
                </w14:textFill>
              </w:rPr>
              <w:t>​</w:t>
            </w:r>
          </w:p>
        </w:tc>
        <w:tc>
          <w:tcPr>
            <w:tcW w:w="1417" w:type="dxa"/>
            <w:vAlign w:val="center"/>
          </w:tcPr>
          <w:p w14:paraId="3EF5827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5955" w:type="dxa"/>
            <w:vAlign w:val="center"/>
          </w:tcPr>
          <w:p w14:paraId="6B9ABB3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储罐防腐涂层完好，取 1.0</w:t>
            </w:r>
          </w:p>
        </w:tc>
      </w:tr>
      <w:tr w14:paraId="2D4B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4EA0B11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日温差 ΔT</w:t>
            </w:r>
          </w:p>
        </w:tc>
        <w:tc>
          <w:tcPr>
            <w:tcW w:w="1417" w:type="dxa"/>
            <w:vAlign w:val="center"/>
          </w:tcPr>
          <w:p w14:paraId="05B5DC9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10 ℃</w:t>
            </w:r>
          </w:p>
        </w:tc>
        <w:tc>
          <w:tcPr>
            <w:tcW w:w="5955" w:type="dxa"/>
            <w:vAlign w:val="center"/>
          </w:tcPr>
          <w:p w14:paraId="2CDCCA5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北方地区典型昼夜温差</w:t>
            </w:r>
          </w:p>
        </w:tc>
      </w:tr>
      <w:tr w14:paraId="6315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4952BB3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罐径调节因子 C</w:t>
            </w:r>
          </w:p>
        </w:tc>
        <w:tc>
          <w:tcPr>
            <w:tcW w:w="1417" w:type="dxa"/>
            <w:vAlign w:val="center"/>
          </w:tcPr>
          <w:p w14:paraId="05E4FAC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0.56</w:t>
            </w:r>
          </w:p>
        </w:tc>
        <w:tc>
          <w:tcPr>
            <w:tcW w:w="5955" w:type="dxa"/>
            <w:vAlign w:val="center"/>
          </w:tcPr>
          <w:p w14:paraId="3C74ACC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依据指南：D&lt;9m 时 C=1−0.0123(D−9)2=1−0.0123×(3−9)2=0.5572≈0.56</w:t>
            </w:r>
          </w:p>
        </w:tc>
      </w:tr>
    </w:tbl>
    <w:p w14:paraId="27D01D2C">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、大呼吸（工作损失）废气产生量计算</w:t>
      </w:r>
    </w:p>
    <w:p w14:paraId="75FBD80E">
      <w:pPr>
        <w:ind w:firstLine="480"/>
        <w:rPr>
          <w:color w:val="000000" w:themeColor="text1"/>
          <w14:textFill>
            <w14:solidFill>
              <w14:schemeClr w14:val="tx1"/>
            </w14:solidFill>
          </w14:textFill>
        </w:rPr>
      </w:pPr>
      <w:r>
        <w:rPr>
          <w:color w:val="000000" w:themeColor="text1"/>
          <w14:textFill>
            <w14:solidFill>
              <w14:schemeClr w14:val="tx1"/>
            </w14:solidFill>
          </w14:textFill>
        </w:rPr>
        <w:t>1. 计算公式</w:t>
      </w:r>
    </w:p>
    <w:p w14:paraId="599C7E55">
      <w:pPr>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W</w:t>
      </w:r>
      <w:r>
        <w:rPr>
          <w:color w:val="000000" w:themeColor="text1"/>
          <w14:textFill>
            <w14:solidFill>
              <w14:schemeClr w14:val="tx1"/>
            </w14:solidFill>
          </w14:textFill>
        </w:rPr>
        <w:t>​=4.188×10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×M×P×K</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​×K</w:t>
      </w:r>
      <w:r>
        <w:rPr>
          <w:color w:val="000000" w:themeColor="text1"/>
          <w:vertAlign w:val="subscript"/>
          <w14:textFill>
            <w14:solidFill>
              <w14:schemeClr w14:val="tx1"/>
            </w14:solidFill>
          </w14:textFill>
        </w:rPr>
        <w:t>C</w:t>
      </w:r>
      <w:r>
        <w:rPr>
          <w:color w:val="000000" w:themeColor="text1"/>
          <w14:textFill>
            <w14:solidFill>
              <w14:schemeClr w14:val="tx1"/>
            </w14:solidFill>
          </w14:textFill>
        </w:rPr>
        <w:t>​</w:t>
      </w:r>
    </w:p>
    <w:p w14:paraId="63A7566C">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p>
    <w:p w14:paraId="25AB5B62">
      <w:pPr>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W</w:t>
      </w:r>
      <w:r>
        <w:rPr>
          <w:color w:val="000000" w:themeColor="text1"/>
          <w14:textFill>
            <w14:solidFill>
              <w14:schemeClr w14:val="tx1"/>
            </w14:solidFill>
          </w14:textFill>
        </w:rPr>
        <w:t>​：单位进料量大呼吸损失量（kg/m³）</w:t>
      </w:r>
    </w:p>
    <w:p w14:paraId="39DD7287">
      <w:pPr>
        <w:ind w:firstLine="480"/>
        <w:rPr>
          <w:color w:val="000000" w:themeColor="text1"/>
          <w14:textFill>
            <w14:solidFill>
              <w14:schemeClr w14:val="tx1"/>
            </w14:solidFill>
          </w14:textFill>
        </w:rPr>
      </w:pPr>
      <w:r>
        <w:rPr>
          <w:color w:val="000000" w:themeColor="text1"/>
          <w14:textFill>
            <w14:solidFill>
              <w14:schemeClr w14:val="tx1"/>
            </w14:solidFill>
          </w14:textFill>
        </w:rPr>
        <w:t>M：介质分子量（17.03）</w:t>
      </w:r>
    </w:p>
    <w:p w14:paraId="7F7F7A28">
      <w:pPr>
        <w:ind w:firstLine="480"/>
        <w:rPr>
          <w:color w:val="000000" w:themeColor="text1"/>
          <w14:textFill>
            <w14:solidFill>
              <w14:schemeClr w14:val="tx1"/>
            </w14:solidFill>
          </w14:textFill>
        </w:rPr>
      </w:pPr>
      <w:r>
        <w:rPr>
          <w:color w:val="000000" w:themeColor="text1"/>
          <w14:textFill>
            <w14:solidFill>
              <w14:schemeClr w14:val="tx1"/>
            </w14:solidFill>
          </w14:textFill>
        </w:rPr>
        <w:t>P：介质饱和蒸气压（Pa，15000）</w:t>
      </w:r>
    </w:p>
    <w:p w14:paraId="587E5DEB">
      <w:pPr>
        <w:ind w:firstLine="480"/>
        <w:rPr>
          <w:color w:val="000000" w:themeColor="text1"/>
          <w14:textFill>
            <w14:solidFill>
              <w14:schemeClr w14:val="tx1"/>
            </w14:solidFill>
          </w14:textFill>
        </w:rPr>
      </w:pPr>
      <w:r>
        <w:rPr>
          <w:color w:val="000000" w:themeColor="text1"/>
          <w14:textFill>
            <w14:solidFill>
              <w14:schemeClr w14:val="tx1"/>
            </w14:solidFill>
          </w14:textFill>
        </w:rPr>
        <w:t>K</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​：周转因子（无量纲，1.0）</w:t>
      </w:r>
    </w:p>
    <w:p w14:paraId="02E5F749">
      <w:pPr>
        <w:ind w:firstLine="480"/>
        <w:rPr>
          <w:color w:val="000000" w:themeColor="text1"/>
          <w14:textFill>
            <w14:solidFill>
              <w14:schemeClr w14:val="tx1"/>
            </w14:solidFill>
          </w14:textFill>
        </w:rPr>
      </w:pPr>
      <w:r>
        <w:rPr>
          <w:color w:val="000000" w:themeColor="text1"/>
          <w14:textFill>
            <w14:solidFill>
              <w14:schemeClr w14:val="tx1"/>
            </w14:solidFill>
          </w14:textFill>
        </w:rPr>
        <w:t>K</w:t>
      </w:r>
      <w:r>
        <w:rPr>
          <w:color w:val="000000" w:themeColor="text1"/>
          <w:vertAlign w:val="subscript"/>
          <w14:textFill>
            <w14:solidFill>
              <w14:schemeClr w14:val="tx1"/>
            </w14:solidFill>
          </w14:textFill>
        </w:rPr>
        <w:t>C</w:t>
      </w:r>
      <w:r>
        <w:rPr>
          <w:color w:val="000000" w:themeColor="text1"/>
          <w14:textFill>
            <w14:solidFill>
              <w14:schemeClr w14:val="tx1"/>
            </w14:solidFill>
          </w14:textFill>
        </w:rPr>
        <w:t>​：产品因子（无量纲，1.0）</w:t>
      </w:r>
    </w:p>
    <w:p w14:paraId="4B4C691C">
      <w:pPr>
        <w:ind w:firstLine="480"/>
        <w:rPr>
          <w:color w:val="000000" w:themeColor="text1"/>
          <w14:textFill>
            <w14:solidFill>
              <w14:schemeClr w14:val="tx1"/>
            </w14:solidFill>
          </w14:textFill>
        </w:rPr>
      </w:pPr>
      <w:r>
        <w:rPr>
          <w:color w:val="000000" w:themeColor="text1"/>
          <w14:textFill>
            <w14:solidFill>
              <w14:schemeClr w14:val="tx1"/>
            </w14:solidFill>
          </w14:textFill>
        </w:rPr>
        <w:t>2. 计算过程</w:t>
      </w:r>
    </w:p>
    <w:p w14:paraId="4D693CDA">
      <w:pPr>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W</w:t>
      </w:r>
      <w:r>
        <w:rPr>
          <w:color w:val="000000" w:themeColor="text1"/>
          <w14:textFill>
            <w14:solidFill>
              <w14:schemeClr w14:val="tx1"/>
            </w14:solidFill>
          </w14:textFill>
        </w:rPr>
        <w:t>​​=4.188×10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×17.03×15000×1.0×1.0=4.188×10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×255450≈0.107kg/m³​</w:t>
      </w:r>
    </w:p>
    <w:p w14:paraId="59505454">
      <w:pPr>
        <w:ind w:firstLine="480"/>
        <w:rPr>
          <w:color w:val="000000" w:themeColor="text1"/>
          <w14:textFill>
            <w14:solidFill>
              <w14:schemeClr w14:val="tx1"/>
            </w14:solidFill>
          </w14:textFill>
        </w:rPr>
      </w:pPr>
      <w:r>
        <w:rPr>
          <w:color w:val="000000" w:themeColor="text1"/>
          <w14:textFill>
            <w14:solidFill>
              <w14:schemeClr w14:val="tx1"/>
            </w14:solidFill>
          </w14:textFill>
        </w:rPr>
        <w:t>3. 年大呼吸损失量</w:t>
      </w:r>
    </w:p>
    <w:p w14:paraId="79C0123F">
      <w:pPr>
        <w:ind w:firstLine="480"/>
        <w:rPr>
          <w:color w:val="000000" w:themeColor="text1"/>
          <w14:textFill>
            <w14:solidFill>
              <w14:schemeClr w14:val="tx1"/>
            </w14:solidFill>
          </w14:textFill>
        </w:rPr>
      </w:pPr>
      <w:r>
        <w:rPr>
          <w:color w:val="000000" w:themeColor="text1"/>
          <w14:textFill>
            <w14:solidFill>
              <w14:schemeClr w14:val="tx1"/>
            </w14:solidFill>
          </w14:textFill>
        </w:rPr>
        <w:t>G大呼吸​​=L</w:t>
      </w:r>
      <w:r>
        <w:rPr>
          <w:color w:val="000000" w:themeColor="text1"/>
          <w:vertAlign w:val="subscript"/>
          <w14:textFill>
            <w14:solidFill>
              <w14:schemeClr w14:val="tx1"/>
            </w14:solidFill>
          </w14:textFill>
        </w:rPr>
        <w:t>W</w:t>
      </w:r>
      <w:r>
        <w:rPr>
          <w:color w:val="000000" w:themeColor="text1"/>
          <w14:textFill>
            <w14:solidFill>
              <w14:schemeClr w14:val="tx1"/>
            </w14:solidFill>
          </w14:textFill>
        </w:rPr>
        <w:t>​×V年​=0.107×375≈40.13 kg/a=0.040t/a​</w:t>
      </w:r>
    </w:p>
    <w:p w14:paraId="1B96A1C6">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、小呼吸（静置呼吸）废气产生量计算</w:t>
      </w:r>
    </w:p>
    <w:p w14:paraId="7CC8FA26">
      <w:pPr>
        <w:ind w:firstLine="480"/>
        <w:rPr>
          <w:color w:val="000000" w:themeColor="text1"/>
          <w14:textFill>
            <w14:solidFill>
              <w14:schemeClr w14:val="tx1"/>
            </w14:solidFill>
          </w14:textFill>
        </w:rPr>
      </w:pPr>
      <w:r>
        <w:rPr>
          <w:color w:val="000000" w:themeColor="text1"/>
          <w14:textFill>
            <w14:solidFill>
              <w14:schemeClr w14:val="tx1"/>
            </w14:solidFill>
          </w14:textFill>
        </w:rPr>
        <w:t>1. 计算公式</w:t>
      </w:r>
    </w:p>
    <w:p w14:paraId="759BAC6D">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469765" cy="227965"/>
            <wp:effectExtent l="0" t="0" r="6985" b="635"/>
            <wp:docPr id="2139539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39369" name="图片 1"/>
                    <pic:cNvPicPr>
                      <a:picLocks noChangeAspect="1"/>
                    </pic:cNvPicPr>
                  </pic:nvPicPr>
                  <pic:blipFill>
                    <a:blip r:embed="rId57">
                      <a:extLst>
                        <a:ext uri="{BEBA8EAE-BF5A-486C-A8C5-ECC9F3942E4B}">
                          <a14:imgProps xmlns:a14="http://schemas.microsoft.com/office/drawing/2010/main">
                            <a14:imgLayer r:embed="rId58">
                              <a14:imgEffect>
                                <a14:brightnessContrast contrast="40000"/>
                              </a14:imgEffect>
                            </a14:imgLayer>
                          </a14:imgProps>
                        </a:ext>
                      </a:extLst>
                    </a:blip>
                    <a:stretch>
                      <a:fillRect/>
                    </a:stretch>
                  </pic:blipFill>
                  <pic:spPr>
                    <a:xfrm>
                      <a:off x="0" y="0"/>
                      <a:ext cx="4501793" cy="229586"/>
                    </a:xfrm>
                    <a:prstGeom prst="rect">
                      <a:avLst/>
                    </a:prstGeom>
                  </pic:spPr>
                </pic:pic>
              </a:graphicData>
            </a:graphic>
          </wp:inline>
        </w:drawing>
      </w:r>
    </w:p>
    <w:p w14:paraId="170C9933">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p>
    <w:p w14:paraId="595E0A00">
      <w:pPr>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：年小呼吸排放量（kg/a）</w:t>
      </w:r>
    </w:p>
    <w:p w14:paraId="359215C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.计算</w:t>
      </w:r>
      <w:r>
        <w:rPr>
          <w:rFonts w:hint="eastAsia"/>
          <w:color w:val="000000" w:themeColor="text1"/>
          <w14:textFill>
            <w14:solidFill>
              <w14:schemeClr w14:val="tx1"/>
            </w14:solidFill>
          </w14:textFill>
        </w:rPr>
        <w:t>结果</w:t>
      </w:r>
    </w:p>
    <w:p w14:paraId="4059423D">
      <w:pPr>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≈8.25 kg/a=0.008t/a​</w:t>
      </w:r>
    </w:p>
    <w:p w14:paraId="5E4DD80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b/>
          <w:bCs/>
          <w:color w:val="000000" w:themeColor="text1"/>
          <w14:textFill>
            <w14:solidFill>
              <w14:schemeClr w14:val="tx1"/>
            </w14:solidFill>
          </w14:textFill>
        </w:rPr>
        <w:t>、总废气产生量核算</w:t>
      </w:r>
    </w:p>
    <w:p w14:paraId="6B655B02">
      <w:pPr>
        <w:ind w:firstLine="480"/>
        <w:rPr>
          <w:color w:val="000000" w:themeColor="text1"/>
          <w14:textFill>
            <w14:solidFill>
              <w14:schemeClr w14:val="tx1"/>
            </w14:solidFill>
          </w14:textFill>
        </w:rPr>
      </w:pPr>
      <w:r>
        <w:rPr>
          <w:color w:val="000000" w:themeColor="text1"/>
          <w14:textFill>
            <w14:solidFill>
              <w14:schemeClr w14:val="tx1"/>
            </w14:solidFill>
          </w14:textFill>
        </w:rPr>
        <w:t>1. 总产生量</w:t>
      </w:r>
    </w:p>
    <w:p w14:paraId="2A614D18">
      <w:pPr>
        <w:ind w:firstLine="480"/>
        <w:rPr>
          <w:color w:val="000000" w:themeColor="text1"/>
          <w14:textFill>
            <w14:solidFill>
              <w14:schemeClr w14:val="tx1"/>
            </w14:solidFill>
          </w14:textFill>
        </w:rPr>
      </w:pPr>
      <w:r>
        <w:rPr>
          <w:color w:val="000000" w:themeColor="text1"/>
          <w14:textFill>
            <w14:solidFill>
              <w14:schemeClr w14:val="tx1"/>
            </w14:solidFill>
          </w14:textFill>
        </w:rPr>
        <w:t>G总​​=G大呼吸​+G小呼吸​=0.040t/a+0.008t/a=0.048t/a​</w:t>
      </w:r>
    </w:p>
    <w:p w14:paraId="71D764D0">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结果汇总</w:t>
      </w:r>
      <w:r>
        <w:rPr>
          <w:rFonts w:hint="eastAsia"/>
          <w:color w:val="000000" w:themeColor="text1"/>
          <w14:textFill>
            <w14:solidFill>
              <w14:schemeClr w14:val="tx1"/>
            </w14:solidFill>
          </w14:textFill>
        </w:rPr>
        <w:t>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5"/>
        <w:gridCol w:w="4003"/>
      </w:tblGrid>
      <w:tr w14:paraId="4F43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1" w:type="pct"/>
            <w:vAlign w:val="center"/>
          </w:tcPr>
          <w:p w14:paraId="419F5CCF">
            <w:pPr>
              <w:pStyle w:val="109"/>
              <w:rPr>
                <w:color w:val="000000" w:themeColor="text1"/>
                <w14:textFill>
                  <w14:solidFill>
                    <w14:schemeClr w14:val="tx1"/>
                  </w14:solidFill>
                </w14:textFill>
              </w:rPr>
            </w:pPr>
            <w:r>
              <w:rPr>
                <w:color w:val="000000" w:themeColor="text1"/>
                <w14:textFill>
                  <w14:solidFill>
                    <w14:schemeClr w14:val="tx1"/>
                  </w14:solidFill>
                </w14:textFill>
              </w:rPr>
              <w:t>排放类型</w:t>
            </w:r>
          </w:p>
        </w:tc>
        <w:tc>
          <w:tcPr>
            <w:tcW w:w="2079" w:type="pct"/>
            <w:vAlign w:val="center"/>
          </w:tcPr>
          <w:p w14:paraId="19B85289">
            <w:pPr>
              <w:pStyle w:val="109"/>
              <w:rPr>
                <w:color w:val="000000" w:themeColor="text1"/>
                <w14:textFill>
                  <w14:solidFill>
                    <w14:schemeClr w14:val="tx1"/>
                  </w14:solidFill>
                </w14:textFill>
              </w:rPr>
            </w:pPr>
            <w:r>
              <w:rPr>
                <w:color w:val="000000" w:themeColor="text1"/>
                <w14:textFill>
                  <w14:solidFill>
                    <w14:schemeClr w14:val="tx1"/>
                  </w14:solidFill>
                </w14:textFill>
              </w:rPr>
              <w:t>计算结果（t/a）</w:t>
            </w:r>
          </w:p>
        </w:tc>
      </w:tr>
      <w:tr w14:paraId="330E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1" w:type="pct"/>
            <w:vAlign w:val="center"/>
          </w:tcPr>
          <w:p w14:paraId="58E536CA">
            <w:pPr>
              <w:pStyle w:val="109"/>
              <w:rPr>
                <w:color w:val="000000" w:themeColor="text1"/>
                <w14:textFill>
                  <w14:solidFill>
                    <w14:schemeClr w14:val="tx1"/>
                  </w14:solidFill>
                </w14:textFill>
              </w:rPr>
            </w:pPr>
            <w:r>
              <w:rPr>
                <w:color w:val="000000" w:themeColor="text1"/>
                <w14:textFill>
                  <w14:solidFill>
                    <w14:schemeClr w14:val="tx1"/>
                  </w14:solidFill>
                </w14:textFill>
              </w:rPr>
              <w:t>大呼吸（工作损失）</w:t>
            </w:r>
          </w:p>
        </w:tc>
        <w:tc>
          <w:tcPr>
            <w:tcW w:w="2079" w:type="pct"/>
            <w:vAlign w:val="center"/>
          </w:tcPr>
          <w:p w14:paraId="6C73D71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w:t>
            </w:r>
          </w:p>
        </w:tc>
      </w:tr>
      <w:tr w14:paraId="349C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1" w:type="pct"/>
            <w:vAlign w:val="center"/>
          </w:tcPr>
          <w:p w14:paraId="56D2E7FB">
            <w:pPr>
              <w:pStyle w:val="109"/>
              <w:rPr>
                <w:color w:val="000000" w:themeColor="text1"/>
                <w14:textFill>
                  <w14:solidFill>
                    <w14:schemeClr w14:val="tx1"/>
                  </w14:solidFill>
                </w14:textFill>
              </w:rPr>
            </w:pPr>
            <w:r>
              <w:rPr>
                <w:color w:val="000000" w:themeColor="text1"/>
                <w14:textFill>
                  <w14:solidFill>
                    <w14:schemeClr w14:val="tx1"/>
                  </w14:solidFill>
                </w14:textFill>
              </w:rPr>
              <w:t>小呼吸（静置呼吸）</w:t>
            </w:r>
          </w:p>
        </w:tc>
        <w:tc>
          <w:tcPr>
            <w:tcW w:w="2079" w:type="pct"/>
            <w:vAlign w:val="center"/>
          </w:tcPr>
          <w:p w14:paraId="741A6B8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0.008</w:t>
            </w:r>
          </w:p>
        </w:tc>
      </w:tr>
      <w:tr w14:paraId="1320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1" w:type="pct"/>
            <w:vAlign w:val="center"/>
          </w:tcPr>
          <w:p w14:paraId="6E5279C5">
            <w:pPr>
              <w:pStyle w:val="109"/>
              <w:rPr>
                <w:color w:val="000000" w:themeColor="text1"/>
                <w14:textFill>
                  <w14:solidFill>
                    <w14:schemeClr w14:val="tx1"/>
                  </w14:solidFill>
                </w14:textFill>
              </w:rPr>
            </w:pPr>
            <w:r>
              <w:rPr>
                <w:color w:val="000000" w:themeColor="text1"/>
                <w14:textFill>
                  <w14:solidFill>
                    <w14:schemeClr w14:val="tx1"/>
                  </w14:solidFill>
                </w14:textFill>
              </w:rPr>
              <w:t>总 NH₃</w:t>
            </w:r>
            <w:r>
              <w:rPr>
                <w:rFonts w:hint="eastAsia"/>
                <w:color w:val="000000" w:themeColor="text1"/>
                <w14:textFill>
                  <w14:solidFill>
                    <w14:schemeClr w14:val="tx1"/>
                  </w14:solidFill>
                </w14:textFill>
              </w:rPr>
              <w:t>呼吸废气</w:t>
            </w:r>
            <w:r>
              <w:rPr>
                <w:color w:val="000000" w:themeColor="text1"/>
                <w14:textFill>
                  <w14:solidFill>
                    <w14:schemeClr w14:val="tx1"/>
                  </w14:solidFill>
                </w14:textFill>
              </w:rPr>
              <w:t>产生量</w:t>
            </w:r>
          </w:p>
        </w:tc>
        <w:tc>
          <w:tcPr>
            <w:tcW w:w="2079" w:type="pct"/>
            <w:vAlign w:val="center"/>
          </w:tcPr>
          <w:p w14:paraId="6D167F5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0.048</w:t>
            </w:r>
          </w:p>
        </w:tc>
      </w:tr>
    </w:tbl>
    <w:p w14:paraId="4112252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本项目氨水储罐设置二级水封进行吸收处理，处理后的尾气无组织排放，水封对呼吸废气吸收效率约80%，由此计算，经收集处理后，无组织氨产排情况如下：</w:t>
      </w:r>
    </w:p>
    <w:p w14:paraId="0323C9B3">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氨气产排情况一览表</w:t>
      </w:r>
    </w:p>
    <w:tbl>
      <w:tblPr>
        <w:tblStyle w:val="76"/>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549"/>
        <w:gridCol w:w="1862"/>
        <w:gridCol w:w="1127"/>
        <w:gridCol w:w="1709"/>
        <w:gridCol w:w="1549"/>
      </w:tblGrid>
      <w:tr w14:paraId="12BB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403" w:type="dxa"/>
            <w:noWrap/>
            <w:vAlign w:val="bottom"/>
          </w:tcPr>
          <w:p w14:paraId="788DFC8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1549" w:type="dxa"/>
            <w:noWrap/>
            <w:vAlign w:val="bottom"/>
          </w:tcPr>
          <w:p w14:paraId="7A1D652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产生量（t/a）</w:t>
            </w:r>
          </w:p>
        </w:tc>
        <w:tc>
          <w:tcPr>
            <w:tcW w:w="1862" w:type="dxa"/>
            <w:noWrap/>
            <w:vAlign w:val="bottom"/>
          </w:tcPr>
          <w:p w14:paraId="54BED6F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处理措施</w:t>
            </w:r>
          </w:p>
        </w:tc>
        <w:tc>
          <w:tcPr>
            <w:tcW w:w="1127" w:type="dxa"/>
            <w:noWrap/>
            <w:vAlign w:val="bottom"/>
          </w:tcPr>
          <w:p w14:paraId="384ACD4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处理效率</w:t>
            </w:r>
          </w:p>
        </w:tc>
        <w:tc>
          <w:tcPr>
            <w:tcW w:w="1709" w:type="dxa"/>
            <w:vAlign w:val="bottom"/>
          </w:tcPr>
          <w:p w14:paraId="756A8F8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排速率（kg/h）</w:t>
            </w:r>
          </w:p>
        </w:tc>
        <w:tc>
          <w:tcPr>
            <w:tcW w:w="1549" w:type="dxa"/>
            <w:noWrap/>
            <w:vAlign w:val="bottom"/>
          </w:tcPr>
          <w:p w14:paraId="28B1F21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排放量（t/a）</w:t>
            </w:r>
          </w:p>
        </w:tc>
      </w:tr>
      <w:tr w14:paraId="508A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403" w:type="dxa"/>
            <w:noWrap/>
            <w:vAlign w:val="bottom"/>
          </w:tcPr>
          <w:p w14:paraId="40AC806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氨气</w:t>
            </w:r>
          </w:p>
        </w:tc>
        <w:tc>
          <w:tcPr>
            <w:tcW w:w="1549" w:type="dxa"/>
            <w:noWrap/>
            <w:vAlign w:val="bottom"/>
          </w:tcPr>
          <w:p w14:paraId="34C6857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0.048</w:t>
            </w:r>
          </w:p>
        </w:tc>
        <w:tc>
          <w:tcPr>
            <w:tcW w:w="1862" w:type="dxa"/>
            <w:noWrap/>
            <w:vAlign w:val="bottom"/>
          </w:tcPr>
          <w:p w14:paraId="3EFA4FB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呼吸阀+二级水封</w:t>
            </w:r>
          </w:p>
        </w:tc>
        <w:tc>
          <w:tcPr>
            <w:tcW w:w="1127" w:type="dxa"/>
            <w:noWrap/>
            <w:vAlign w:val="bottom"/>
          </w:tcPr>
          <w:p w14:paraId="23CFF4A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709" w:type="dxa"/>
            <w:vAlign w:val="bottom"/>
          </w:tcPr>
          <w:p w14:paraId="0CBBE69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0.0012 </w:t>
            </w:r>
          </w:p>
        </w:tc>
        <w:tc>
          <w:tcPr>
            <w:tcW w:w="1549" w:type="dxa"/>
            <w:noWrap/>
            <w:vAlign w:val="bottom"/>
          </w:tcPr>
          <w:p w14:paraId="7BE9326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0.0096</w:t>
            </w:r>
          </w:p>
        </w:tc>
      </w:tr>
    </w:tbl>
    <w:p w14:paraId="5FDD80C9">
      <w:pPr>
        <w:ind w:firstLine="480"/>
        <w:outlineLvl w:val="5"/>
        <w:rPr>
          <w:rFonts w:eastAsia="黑体"/>
          <w:color w:val="000000" w:themeColor="text1"/>
          <w:lang w:val="zh-CN"/>
          <w14:textFill>
            <w14:solidFill>
              <w14:schemeClr w14:val="tx1"/>
            </w14:solidFill>
          </w14:textFill>
        </w:rPr>
      </w:pPr>
      <w:bookmarkStart w:id="282" w:name="_Toc329793504"/>
      <w:r>
        <w:rPr>
          <w:rFonts w:hint="eastAsia"/>
          <w:color w:val="000000" w:themeColor="text1"/>
          <w14:textFill>
            <w14:solidFill>
              <w14:schemeClr w14:val="tx1"/>
            </w14:solidFill>
          </w14:textFill>
        </w:rPr>
        <w:t>经估算，氨在厂界外最大落地浓度为0.004476mg/m³，满足</w:t>
      </w:r>
      <w:r>
        <w:rPr>
          <w:color w:val="000000" w:themeColor="text1"/>
          <w14:textFill>
            <w14:solidFill>
              <w14:schemeClr w14:val="tx1"/>
            </w14:solidFill>
          </w14:textFill>
        </w:rPr>
        <w:t>《恶臭污染物排放标准》 (</w:t>
      </w:r>
      <w:r>
        <w:rPr>
          <w:rFonts w:eastAsia="Times New Roman"/>
          <w:color w:val="000000" w:themeColor="text1"/>
          <w:lang w:bidi="en-US"/>
          <w14:textFill>
            <w14:solidFill>
              <w14:schemeClr w14:val="tx1"/>
            </w14:solidFill>
          </w14:textFill>
        </w:rPr>
        <w:t>GB14554-93</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标准要求</w:t>
      </w:r>
      <w:r>
        <w:rPr>
          <w:rFonts w:hint="eastAsia"/>
          <w:color w:val="000000" w:themeColor="text1"/>
          <w14:textFill>
            <w14:solidFill>
              <w14:schemeClr w14:val="tx1"/>
            </w14:solidFill>
          </w14:textFill>
        </w:rPr>
        <w:t>（1.5mg/m³）。</w:t>
      </w:r>
    </w:p>
    <w:p w14:paraId="4FA285AC">
      <w:pPr>
        <w:ind w:firstLine="480"/>
        <w:outlineLvl w:val="5"/>
        <w:rPr>
          <w:rFonts w:eastAsia="黑体"/>
          <w:color w:val="000000" w:themeColor="text1"/>
          <w:lang w:val="zh-CN"/>
          <w14:textFill>
            <w14:solidFill>
              <w14:schemeClr w14:val="tx1"/>
            </w14:solidFill>
          </w14:textFill>
        </w:rPr>
      </w:pPr>
      <w:r>
        <w:rPr>
          <w:rFonts w:hint="eastAsia" w:eastAsia="黑体"/>
          <w:color w:val="000000" w:themeColor="text1"/>
          <w:lang w:val="zh-CN"/>
          <w14:textFill>
            <w14:solidFill>
              <w14:schemeClr w14:val="tx1"/>
            </w14:solidFill>
          </w14:textFill>
        </w:rPr>
        <w:t>二、</w:t>
      </w:r>
      <w:r>
        <w:rPr>
          <w:rFonts w:eastAsia="黑体"/>
          <w:color w:val="000000" w:themeColor="text1"/>
          <w:lang w:val="zh-CN"/>
          <w14:textFill>
            <w14:solidFill>
              <w14:schemeClr w14:val="tx1"/>
            </w14:solidFill>
          </w14:textFill>
        </w:rPr>
        <w:t>贮存废气、配伍废气</w:t>
      </w:r>
    </w:p>
    <w:p w14:paraId="28EEEB7B">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本项目设置有废盐的储存仓库，废盐暂存过程中会产生挥发性有机废气、酸性废气及恶臭气体，成分较复杂。</w:t>
      </w:r>
      <w:r>
        <w:rPr>
          <w:color w:val="000000" w:themeColor="text1"/>
          <w14:textFill>
            <w14:solidFill>
              <w14:schemeClr w14:val="tx1"/>
            </w14:solidFill>
          </w14:textFill>
        </w:rPr>
        <w:t>储存废气、配伍废气通过负压系统进行收集，收集后的废气引入二级活性炭装置TA001处理后通过1根15m高的排气筒DA001排放。废气负压收集效率可达99%以上</w:t>
      </w:r>
      <w:r>
        <w:rPr>
          <w:color w:val="000000" w:themeColor="text1"/>
          <w:lang w:val="zh-CN"/>
          <w14:textFill>
            <w14:solidFill>
              <w14:schemeClr w14:val="tx1"/>
            </w14:solidFill>
          </w14:textFill>
        </w:rPr>
        <w:t>，约1%的废气未被收集，以无组织形式排放，经计算约有0.025t/aVOCs无组织排放，排放速率为0.0031kg/h。</w:t>
      </w:r>
    </w:p>
    <w:p w14:paraId="70CC98E9">
      <w:pPr>
        <w:ind w:firstLine="480"/>
        <w:outlineLvl w:val="5"/>
        <w:rPr>
          <w:rFonts w:eastAsia="黑体"/>
          <w:color w:val="000000" w:themeColor="text1"/>
          <w:lang w:val="zh-CN"/>
          <w14:textFill>
            <w14:solidFill>
              <w14:schemeClr w14:val="tx1"/>
            </w14:solidFill>
          </w14:textFill>
        </w:rPr>
      </w:pPr>
      <w:r>
        <w:rPr>
          <w:rFonts w:hint="eastAsia" w:eastAsia="黑体"/>
          <w:color w:val="000000" w:themeColor="text1"/>
          <w:lang w:val="zh-CN"/>
          <w14:textFill>
            <w14:solidFill>
              <w14:schemeClr w14:val="tx1"/>
            </w14:solidFill>
          </w14:textFill>
        </w:rPr>
        <w:t>三、</w:t>
      </w:r>
      <w:r>
        <w:rPr>
          <w:rFonts w:eastAsia="黑体"/>
          <w:color w:val="000000" w:themeColor="text1"/>
          <w:lang w:val="zh-CN"/>
          <w14:textFill>
            <w14:solidFill>
              <w14:schemeClr w14:val="tx1"/>
            </w14:solidFill>
          </w14:textFill>
        </w:rPr>
        <w:t>实验室废气</w:t>
      </w:r>
    </w:p>
    <w:p w14:paraId="74130A91">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厂内自建实验室对入厂废盐及产品进行工业组分检测及元素含量分析，检测项目较为简单，实验过程中涉及的废气主要为VOCs、氯化氢、硫酸雾等，经通风柜收集引入二级活性炭吸附装置处理后无组织排放，废气产生量较小，不再做定量分析。</w:t>
      </w:r>
    </w:p>
    <w:p w14:paraId="19895A7C">
      <w:pPr>
        <w:ind w:firstLine="480"/>
        <w:outlineLvl w:val="5"/>
        <w:rPr>
          <w:rFonts w:eastAsia="黑体"/>
          <w:color w:val="000000" w:themeColor="text1"/>
          <w:lang w:val="zh-CN"/>
          <w14:textFill>
            <w14:solidFill>
              <w14:schemeClr w14:val="tx1"/>
            </w14:solidFill>
          </w14:textFill>
        </w:rPr>
      </w:pPr>
      <w:r>
        <w:rPr>
          <w:rFonts w:hint="eastAsia" w:eastAsia="黑体"/>
          <w:color w:val="000000" w:themeColor="text1"/>
          <w:lang w:val="zh-CN"/>
          <w14:textFill>
            <w14:solidFill>
              <w14:schemeClr w14:val="tx1"/>
            </w14:solidFill>
          </w14:textFill>
        </w:rPr>
        <w:t>四、</w:t>
      </w:r>
      <w:r>
        <w:rPr>
          <w:rFonts w:eastAsia="黑体"/>
          <w:color w:val="000000" w:themeColor="text1"/>
          <w:lang w:val="zh-CN"/>
          <w14:textFill>
            <w14:solidFill>
              <w14:schemeClr w14:val="tx1"/>
            </w14:solidFill>
          </w14:textFill>
        </w:rPr>
        <w:t>多效蒸发废气</w:t>
      </w:r>
    </w:p>
    <w:p w14:paraId="4560F9A0">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含盐废水经多效蒸发器处理，废水处理过程中会产生蒸发废气，主要是水蒸汽，由于废水中主要污染物为全盐量，因此不凝气中挥发性有机废气量较少，本项目在冷凝器放散口设置水封装置，产生的少量散逸废气直接无组织排放，本次不再做定量分析。</w:t>
      </w:r>
    </w:p>
    <w:p w14:paraId="345539E8">
      <w:pPr>
        <w:ind w:firstLine="480"/>
        <w:rPr>
          <w:color w:val="000000" w:themeColor="text1"/>
          <w14:textFill>
            <w14:solidFill>
              <w14:schemeClr w14:val="tx1"/>
            </w14:solidFill>
          </w14:textFill>
        </w:rPr>
      </w:pPr>
      <w:r>
        <w:rPr>
          <w:color w:val="000000" w:themeColor="text1"/>
          <w14:textFill>
            <w14:solidFill>
              <w14:schemeClr w14:val="tx1"/>
            </w14:solidFill>
          </w14:textFill>
        </w:rPr>
        <w:t>综上，本项目无组织废气产生及排放情况见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449B3766">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本项目建成后无组织废气排放情况</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407"/>
        <w:gridCol w:w="2407"/>
      </w:tblGrid>
      <w:tr w14:paraId="2C77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11A90DCA">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250" w:type="pct"/>
            <w:vAlign w:val="center"/>
          </w:tcPr>
          <w:p w14:paraId="1D82A7AC">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250" w:type="pct"/>
          </w:tcPr>
          <w:p w14:paraId="3867282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排放速率（kg/h）</w:t>
            </w:r>
          </w:p>
        </w:tc>
        <w:tc>
          <w:tcPr>
            <w:tcW w:w="1250" w:type="pct"/>
            <w:vAlign w:val="center"/>
          </w:tcPr>
          <w:p w14:paraId="687D5D7A">
            <w:pPr>
              <w:pStyle w:val="109"/>
              <w:rPr>
                <w:color w:val="000000" w:themeColor="text1"/>
                <w14:textFill>
                  <w14:solidFill>
                    <w14:schemeClr w14:val="tx1"/>
                  </w14:solidFill>
                </w14:textFill>
              </w:rPr>
            </w:pPr>
            <w:r>
              <w:rPr>
                <w:color w:val="000000" w:themeColor="text1"/>
                <w14:textFill>
                  <w14:solidFill>
                    <w14:schemeClr w14:val="tx1"/>
                  </w14:solidFill>
                </w14:textFill>
              </w:rPr>
              <w:t>排放量</w:t>
            </w:r>
            <w:r>
              <w:rPr>
                <w:rFonts w:hint="eastAsia"/>
                <w:color w:val="000000" w:themeColor="text1"/>
                <w14:textFill>
                  <w14:solidFill>
                    <w14:schemeClr w14:val="tx1"/>
                  </w14:solidFill>
                </w14:textFill>
              </w:rPr>
              <w:t>（t/a）</w:t>
            </w:r>
          </w:p>
        </w:tc>
      </w:tr>
      <w:tr w14:paraId="4B73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11A49D20">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50" w:type="pct"/>
            <w:vAlign w:val="center"/>
          </w:tcPr>
          <w:p w14:paraId="732CA26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氨气</w:t>
            </w:r>
          </w:p>
        </w:tc>
        <w:tc>
          <w:tcPr>
            <w:tcW w:w="1250" w:type="pct"/>
          </w:tcPr>
          <w:p w14:paraId="125F11B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0.0012</w:t>
            </w:r>
          </w:p>
        </w:tc>
        <w:tc>
          <w:tcPr>
            <w:tcW w:w="1250" w:type="pct"/>
            <w:vAlign w:val="center"/>
          </w:tcPr>
          <w:p w14:paraId="6437CA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0.0096</w:t>
            </w:r>
          </w:p>
        </w:tc>
      </w:tr>
      <w:tr w14:paraId="4960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177F9656">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50" w:type="pct"/>
            <w:vAlign w:val="center"/>
          </w:tcPr>
          <w:p w14:paraId="14B7197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VOCs</w:t>
            </w:r>
          </w:p>
        </w:tc>
        <w:tc>
          <w:tcPr>
            <w:tcW w:w="1250" w:type="pct"/>
          </w:tcPr>
          <w:p w14:paraId="4F57C05E">
            <w:pPr>
              <w:pStyle w:val="109"/>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0.0031</w:t>
            </w:r>
          </w:p>
        </w:tc>
        <w:tc>
          <w:tcPr>
            <w:tcW w:w="1250" w:type="pct"/>
            <w:vAlign w:val="center"/>
          </w:tcPr>
          <w:p w14:paraId="747BB874">
            <w:pPr>
              <w:pStyle w:val="109"/>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0.025</w:t>
            </w:r>
          </w:p>
        </w:tc>
      </w:tr>
    </w:tbl>
    <w:p w14:paraId="07B7413E">
      <w:pPr>
        <w:pStyle w:val="117"/>
        <w:rPr>
          <w:rFonts w:hint="eastAsia"/>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1C4E9A54">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本项目废气产排情况汇总表</w:t>
      </w:r>
    </w:p>
    <w:tbl>
      <w:tblPr>
        <w:tblStyle w:val="76"/>
        <w:tblW w:w="13993" w:type="dxa"/>
        <w:tblInd w:w="0" w:type="dxa"/>
        <w:tblLayout w:type="autofit"/>
        <w:tblCellMar>
          <w:top w:w="0" w:type="dxa"/>
          <w:left w:w="108" w:type="dxa"/>
          <w:bottom w:w="0" w:type="dxa"/>
          <w:right w:w="108" w:type="dxa"/>
        </w:tblCellMar>
      </w:tblPr>
      <w:tblGrid>
        <w:gridCol w:w="562"/>
        <w:gridCol w:w="1843"/>
        <w:gridCol w:w="1701"/>
        <w:gridCol w:w="11"/>
        <w:gridCol w:w="1265"/>
        <w:gridCol w:w="2268"/>
        <w:gridCol w:w="1492"/>
        <w:gridCol w:w="11"/>
        <w:gridCol w:w="1407"/>
        <w:gridCol w:w="11"/>
        <w:gridCol w:w="1264"/>
        <w:gridCol w:w="11"/>
        <w:gridCol w:w="2147"/>
      </w:tblGrid>
      <w:tr w14:paraId="1E5007CD">
        <w:tblPrEx>
          <w:tblCellMar>
            <w:top w:w="0" w:type="dxa"/>
            <w:left w:w="108" w:type="dxa"/>
            <w:bottom w:w="0" w:type="dxa"/>
            <w:right w:w="108" w:type="dxa"/>
          </w:tblCellMar>
        </w:tblPrEx>
        <w:tc>
          <w:tcPr>
            <w:tcW w:w="4117" w:type="dxa"/>
            <w:gridSpan w:val="4"/>
            <w:tcBorders>
              <w:top w:val="single" w:color="auto" w:sz="4" w:space="0"/>
              <w:left w:val="single" w:color="auto" w:sz="4" w:space="0"/>
              <w:bottom w:val="single" w:color="auto" w:sz="4" w:space="0"/>
              <w:right w:val="single" w:color="auto" w:sz="4" w:space="0"/>
            </w:tcBorders>
            <w:noWrap/>
            <w:vAlign w:val="center"/>
          </w:tcPr>
          <w:p w14:paraId="0E8341D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265" w:type="dxa"/>
            <w:tcBorders>
              <w:top w:val="single" w:color="auto" w:sz="4" w:space="0"/>
              <w:left w:val="nil"/>
              <w:bottom w:val="single" w:color="auto" w:sz="4" w:space="0"/>
              <w:right w:val="single" w:color="auto" w:sz="4" w:space="0"/>
            </w:tcBorders>
            <w:noWrap/>
            <w:vAlign w:val="center"/>
          </w:tcPr>
          <w:p w14:paraId="5C8186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2268" w:type="dxa"/>
            <w:tcBorders>
              <w:top w:val="single" w:color="auto" w:sz="4" w:space="0"/>
              <w:left w:val="nil"/>
              <w:bottom w:val="single" w:color="auto" w:sz="4" w:space="0"/>
              <w:right w:val="single" w:color="auto" w:sz="4" w:space="0"/>
            </w:tcBorders>
            <w:noWrap/>
            <w:vAlign w:val="center"/>
          </w:tcPr>
          <w:p w14:paraId="701F70C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废气治理措施</w:t>
            </w:r>
          </w:p>
        </w:tc>
        <w:tc>
          <w:tcPr>
            <w:tcW w:w="1492" w:type="dxa"/>
            <w:tcBorders>
              <w:top w:val="single" w:color="auto" w:sz="4" w:space="0"/>
              <w:left w:val="nil"/>
              <w:bottom w:val="single" w:color="auto" w:sz="4" w:space="0"/>
              <w:right w:val="single" w:color="auto" w:sz="4" w:space="0"/>
            </w:tcBorders>
            <w:noWrap/>
            <w:vAlign w:val="center"/>
          </w:tcPr>
          <w:p w14:paraId="0136476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 (mg/Nm³)</w:t>
            </w:r>
          </w:p>
        </w:tc>
        <w:tc>
          <w:tcPr>
            <w:tcW w:w="1418" w:type="dxa"/>
            <w:gridSpan w:val="2"/>
            <w:tcBorders>
              <w:top w:val="single" w:color="auto" w:sz="4" w:space="0"/>
              <w:left w:val="nil"/>
              <w:bottom w:val="single" w:color="auto" w:sz="4" w:space="0"/>
              <w:right w:val="single" w:color="auto" w:sz="4" w:space="0"/>
            </w:tcBorders>
            <w:noWrap/>
            <w:vAlign w:val="center"/>
          </w:tcPr>
          <w:p w14:paraId="1A5D1A0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排放速率（kg/h）</w:t>
            </w:r>
          </w:p>
        </w:tc>
        <w:tc>
          <w:tcPr>
            <w:tcW w:w="1275" w:type="dxa"/>
            <w:gridSpan w:val="2"/>
            <w:tcBorders>
              <w:top w:val="single" w:color="auto" w:sz="4" w:space="0"/>
              <w:left w:val="nil"/>
              <w:bottom w:val="single" w:color="auto" w:sz="4" w:space="0"/>
              <w:right w:val="single" w:color="auto" w:sz="4" w:space="0"/>
            </w:tcBorders>
            <w:noWrap/>
            <w:vAlign w:val="center"/>
          </w:tcPr>
          <w:p w14:paraId="00BB29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2158" w:type="dxa"/>
            <w:gridSpan w:val="2"/>
            <w:tcBorders>
              <w:top w:val="single" w:color="auto" w:sz="4" w:space="0"/>
              <w:left w:val="nil"/>
              <w:bottom w:val="single" w:color="auto" w:sz="4" w:space="0"/>
              <w:right w:val="single" w:color="auto" w:sz="4" w:space="0"/>
            </w:tcBorders>
            <w:noWrap/>
            <w:vAlign w:val="center"/>
          </w:tcPr>
          <w:p w14:paraId="2737AF6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标准值（mg/m³）</w:t>
            </w:r>
          </w:p>
        </w:tc>
      </w:tr>
      <w:tr w14:paraId="5FA12F56">
        <w:tblPrEx>
          <w:tblCellMar>
            <w:top w:w="0" w:type="dxa"/>
            <w:left w:w="108" w:type="dxa"/>
            <w:bottom w:w="0" w:type="dxa"/>
            <w:right w:w="108" w:type="dxa"/>
          </w:tblCellMar>
        </w:tblPrEx>
        <w:tc>
          <w:tcPr>
            <w:tcW w:w="562" w:type="dxa"/>
            <w:vMerge w:val="restart"/>
            <w:tcBorders>
              <w:top w:val="nil"/>
              <w:left w:val="single" w:color="auto" w:sz="4" w:space="0"/>
              <w:bottom w:val="single" w:color="auto" w:sz="4" w:space="0"/>
              <w:right w:val="single" w:color="auto" w:sz="4" w:space="0"/>
            </w:tcBorders>
            <w:noWrap/>
            <w:vAlign w:val="center"/>
          </w:tcPr>
          <w:p w14:paraId="7F480BD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有组织废气</w:t>
            </w:r>
          </w:p>
        </w:tc>
        <w:tc>
          <w:tcPr>
            <w:tcW w:w="1843" w:type="dxa"/>
            <w:tcBorders>
              <w:top w:val="nil"/>
              <w:left w:val="nil"/>
              <w:bottom w:val="single" w:color="auto" w:sz="4" w:space="0"/>
              <w:right w:val="single" w:color="auto" w:sz="4" w:space="0"/>
            </w:tcBorders>
            <w:noWrap/>
            <w:vAlign w:val="center"/>
          </w:tcPr>
          <w:p w14:paraId="09FB95D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废盐储存、配伍废气</w:t>
            </w:r>
          </w:p>
        </w:tc>
        <w:tc>
          <w:tcPr>
            <w:tcW w:w="1701" w:type="dxa"/>
            <w:tcBorders>
              <w:top w:val="nil"/>
              <w:left w:val="nil"/>
              <w:bottom w:val="single" w:color="auto" w:sz="4" w:space="0"/>
              <w:right w:val="single" w:color="auto" w:sz="4" w:space="0"/>
            </w:tcBorders>
            <w:noWrap/>
            <w:vAlign w:val="center"/>
          </w:tcPr>
          <w:p w14:paraId="13B1403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VOCs</w:t>
            </w:r>
          </w:p>
        </w:tc>
        <w:tc>
          <w:tcPr>
            <w:tcW w:w="1276" w:type="dxa"/>
            <w:gridSpan w:val="2"/>
            <w:tcBorders>
              <w:top w:val="nil"/>
              <w:left w:val="nil"/>
              <w:bottom w:val="single" w:color="auto" w:sz="4" w:space="0"/>
              <w:right w:val="single" w:color="auto" w:sz="4" w:space="0"/>
            </w:tcBorders>
            <w:noWrap/>
            <w:vAlign w:val="center"/>
          </w:tcPr>
          <w:p w14:paraId="11FA2EC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2268" w:type="dxa"/>
            <w:tcBorders>
              <w:top w:val="nil"/>
              <w:left w:val="nil"/>
              <w:bottom w:val="single" w:color="auto" w:sz="4" w:space="0"/>
              <w:right w:val="single" w:color="auto" w:sz="4" w:space="0"/>
            </w:tcBorders>
            <w:noWrap/>
            <w:vAlign w:val="center"/>
          </w:tcPr>
          <w:p w14:paraId="45E1D1E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二级活性炭吸附</w:t>
            </w:r>
          </w:p>
        </w:tc>
        <w:tc>
          <w:tcPr>
            <w:tcW w:w="1503" w:type="dxa"/>
            <w:gridSpan w:val="2"/>
            <w:tcBorders>
              <w:top w:val="nil"/>
              <w:left w:val="nil"/>
              <w:bottom w:val="single" w:color="auto" w:sz="4" w:space="0"/>
              <w:right w:val="single" w:color="auto" w:sz="4" w:space="0"/>
            </w:tcBorders>
            <w:vAlign w:val="center"/>
          </w:tcPr>
          <w:p w14:paraId="033F431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418" w:type="dxa"/>
            <w:gridSpan w:val="2"/>
            <w:tcBorders>
              <w:top w:val="nil"/>
              <w:left w:val="nil"/>
              <w:bottom w:val="single" w:color="auto" w:sz="4" w:space="0"/>
              <w:right w:val="single" w:color="auto" w:sz="4" w:space="0"/>
            </w:tcBorders>
            <w:vAlign w:val="center"/>
          </w:tcPr>
          <w:p w14:paraId="2CFCD8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0.031</w:t>
            </w:r>
          </w:p>
        </w:tc>
        <w:tc>
          <w:tcPr>
            <w:tcW w:w="1275" w:type="dxa"/>
            <w:gridSpan w:val="2"/>
            <w:tcBorders>
              <w:top w:val="nil"/>
              <w:left w:val="nil"/>
              <w:bottom w:val="single" w:color="auto" w:sz="4" w:space="0"/>
              <w:right w:val="single" w:color="auto" w:sz="4" w:space="0"/>
            </w:tcBorders>
            <w:vAlign w:val="center"/>
          </w:tcPr>
          <w:p w14:paraId="7B0824C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0.25</w:t>
            </w:r>
          </w:p>
        </w:tc>
        <w:tc>
          <w:tcPr>
            <w:tcW w:w="2147" w:type="dxa"/>
            <w:tcBorders>
              <w:top w:val="nil"/>
              <w:left w:val="nil"/>
              <w:bottom w:val="single" w:color="auto" w:sz="4" w:space="0"/>
              <w:right w:val="single" w:color="auto" w:sz="4" w:space="0"/>
            </w:tcBorders>
            <w:noWrap/>
            <w:vAlign w:val="center"/>
          </w:tcPr>
          <w:p w14:paraId="0278640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120mg/m³；10kg/h</w:t>
            </w:r>
          </w:p>
        </w:tc>
      </w:tr>
      <w:tr w14:paraId="3F6C551A">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45A1E031">
            <w:pPr>
              <w:pStyle w:val="109"/>
              <w:rPr>
                <w:color w:val="000000" w:themeColor="text1"/>
                <w:szCs w:val="21"/>
                <w14:textFill>
                  <w14:solidFill>
                    <w14:schemeClr w14:val="tx1"/>
                  </w14:solidFill>
                </w14:textFill>
              </w:rPr>
            </w:pPr>
          </w:p>
        </w:tc>
        <w:tc>
          <w:tcPr>
            <w:tcW w:w="1843" w:type="dxa"/>
            <w:vMerge w:val="restart"/>
            <w:tcBorders>
              <w:top w:val="nil"/>
              <w:left w:val="single" w:color="auto" w:sz="4" w:space="0"/>
              <w:bottom w:val="single" w:color="auto" w:sz="4" w:space="0"/>
              <w:right w:val="single" w:color="auto" w:sz="4" w:space="0"/>
            </w:tcBorders>
            <w:noWrap/>
            <w:vAlign w:val="center"/>
          </w:tcPr>
          <w:p w14:paraId="6E22A27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热解焙烧废气</w:t>
            </w:r>
          </w:p>
        </w:tc>
        <w:tc>
          <w:tcPr>
            <w:tcW w:w="1701" w:type="dxa"/>
            <w:tcBorders>
              <w:top w:val="nil"/>
              <w:left w:val="nil"/>
              <w:bottom w:val="single" w:color="auto" w:sz="4" w:space="0"/>
              <w:right w:val="single" w:color="auto" w:sz="4" w:space="0"/>
            </w:tcBorders>
            <w:vAlign w:val="center"/>
          </w:tcPr>
          <w:p w14:paraId="41C0D52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276" w:type="dxa"/>
            <w:gridSpan w:val="2"/>
            <w:tcBorders>
              <w:top w:val="nil"/>
              <w:left w:val="nil"/>
              <w:bottom w:val="single" w:color="auto" w:sz="4" w:space="0"/>
              <w:right w:val="single" w:color="auto" w:sz="4" w:space="0"/>
            </w:tcBorders>
            <w:noWrap/>
            <w:vAlign w:val="center"/>
          </w:tcPr>
          <w:p w14:paraId="1DBE0C1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116.5</w:t>
            </w:r>
          </w:p>
        </w:tc>
        <w:tc>
          <w:tcPr>
            <w:tcW w:w="2268" w:type="dxa"/>
            <w:vMerge w:val="restart"/>
            <w:tcBorders>
              <w:top w:val="nil"/>
              <w:left w:val="single" w:color="auto" w:sz="4" w:space="0"/>
              <w:bottom w:val="single" w:color="auto" w:sz="4" w:space="0"/>
              <w:right w:val="single" w:color="auto" w:sz="4" w:space="0"/>
            </w:tcBorders>
            <w:vAlign w:val="center"/>
          </w:tcPr>
          <w:p w14:paraId="1EE3914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热解焙烧窑（二级）+二燃室（SNCR）+石墨急冷塔+二级碱洗塔+水洗塔+湿电除尘+引风机+活性炭吸附+GGH换热+热风炉（电加热）+SCR</w:t>
            </w:r>
          </w:p>
        </w:tc>
        <w:tc>
          <w:tcPr>
            <w:tcW w:w="1503" w:type="dxa"/>
            <w:gridSpan w:val="2"/>
            <w:tcBorders>
              <w:top w:val="nil"/>
              <w:left w:val="nil"/>
              <w:bottom w:val="single" w:color="auto" w:sz="4" w:space="0"/>
              <w:right w:val="single" w:color="auto" w:sz="4" w:space="0"/>
            </w:tcBorders>
            <w:noWrap/>
            <w:vAlign w:val="center"/>
          </w:tcPr>
          <w:p w14:paraId="1B49E58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18.2</w:t>
            </w:r>
          </w:p>
        </w:tc>
        <w:tc>
          <w:tcPr>
            <w:tcW w:w="1418" w:type="dxa"/>
            <w:gridSpan w:val="2"/>
            <w:tcBorders>
              <w:top w:val="nil"/>
              <w:left w:val="nil"/>
              <w:bottom w:val="single" w:color="auto" w:sz="4" w:space="0"/>
              <w:right w:val="single" w:color="auto" w:sz="4" w:space="0"/>
            </w:tcBorders>
            <w:noWrap/>
            <w:vAlign w:val="center"/>
          </w:tcPr>
          <w:p w14:paraId="7CF657F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0.073</w:t>
            </w:r>
          </w:p>
        </w:tc>
        <w:tc>
          <w:tcPr>
            <w:tcW w:w="1275" w:type="dxa"/>
            <w:gridSpan w:val="2"/>
            <w:tcBorders>
              <w:top w:val="nil"/>
              <w:left w:val="nil"/>
              <w:bottom w:val="single" w:color="auto" w:sz="4" w:space="0"/>
              <w:right w:val="single" w:color="auto" w:sz="4" w:space="0"/>
            </w:tcBorders>
            <w:noWrap/>
            <w:vAlign w:val="center"/>
          </w:tcPr>
          <w:p w14:paraId="119A3B6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0.583</w:t>
            </w:r>
          </w:p>
        </w:tc>
        <w:tc>
          <w:tcPr>
            <w:tcW w:w="2147" w:type="dxa"/>
            <w:tcBorders>
              <w:top w:val="nil"/>
              <w:left w:val="nil"/>
              <w:bottom w:val="single" w:color="auto" w:sz="4" w:space="0"/>
              <w:right w:val="single" w:color="auto" w:sz="4" w:space="0"/>
            </w:tcBorders>
            <w:noWrap/>
            <w:vAlign w:val="center"/>
          </w:tcPr>
          <w:p w14:paraId="64E4FA8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r>
      <w:tr w14:paraId="3049F3A4">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3A099F89">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1E3A237D">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3770284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276" w:type="dxa"/>
            <w:gridSpan w:val="2"/>
            <w:tcBorders>
              <w:top w:val="nil"/>
              <w:left w:val="nil"/>
              <w:bottom w:val="single" w:color="auto" w:sz="4" w:space="0"/>
              <w:right w:val="single" w:color="auto" w:sz="4" w:space="0"/>
            </w:tcBorders>
            <w:noWrap/>
            <w:vAlign w:val="center"/>
          </w:tcPr>
          <w:p w14:paraId="64C642F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2.333</w:t>
            </w:r>
          </w:p>
        </w:tc>
        <w:tc>
          <w:tcPr>
            <w:tcW w:w="2268" w:type="dxa"/>
            <w:vMerge w:val="continue"/>
            <w:tcBorders>
              <w:top w:val="nil"/>
              <w:left w:val="single" w:color="auto" w:sz="4" w:space="0"/>
              <w:bottom w:val="single" w:color="auto" w:sz="4" w:space="0"/>
              <w:right w:val="single" w:color="auto" w:sz="4" w:space="0"/>
            </w:tcBorders>
            <w:vAlign w:val="center"/>
          </w:tcPr>
          <w:p w14:paraId="25051F9C">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noWrap/>
            <w:vAlign w:val="center"/>
          </w:tcPr>
          <w:p w14:paraId="509A578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72.92</w:t>
            </w:r>
          </w:p>
        </w:tc>
        <w:tc>
          <w:tcPr>
            <w:tcW w:w="1418" w:type="dxa"/>
            <w:gridSpan w:val="2"/>
            <w:tcBorders>
              <w:top w:val="nil"/>
              <w:left w:val="nil"/>
              <w:bottom w:val="single" w:color="auto" w:sz="4" w:space="0"/>
              <w:right w:val="single" w:color="auto" w:sz="4" w:space="0"/>
            </w:tcBorders>
            <w:noWrap/>
            <w:vAlign w:val="center"/>
          </w:tcPr>
          <w:p w14:paraId="4C1C7DD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0.2917</w:t>
            </w:r>
          </w:p>
        </w:tc>
        <w:tc>
          <w:tcPr>
            <w:tcW w:w="1275" w:type="dxa"/>
            <w:gridSpan w:val="2"/>
            <w:tcBorders>
              <w:top w:val="nil"/>
              <w:left w:val="nil"/>
              <w:bottom w:val="single" w:color="auto" w:sz="4" w:space="0"/>
              <w:right w:val="single" w:color="auto" w:sz="4" w:space="0"/>
            </w:tcBorders>
            <w:noWrap/>
            <w:vAlign w:val="center"/>
          </w:tcPr>
          <w:p w14:paraId="7C14192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2.333</w:t>
            </w:r>
          </w:p>
        </w:tc>
        <w:tc>
          <w:tcPr>
            <w:tcW w:w="2147" w:type="dxa"/>
            <w:tcBorders>
              <w:top w:val="nil"/>
              <w:left w:val="nil"/>
              <w:bottom w:val="single" w:color="auto" w:sz="4" w:space="0"/>
              <w:right w:val="single" w:color="auto" w:sz="4" w:space="0"/>
            </w:tcBorders>
            <w:noWrap/>
            <w:vAlign w:val="center"/>
          </w:tcPr>
          <w:p w14:paraId="2A16305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r>
      <w:tr w14:paraId="317111BA">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2014B997">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5620959E">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3B18BE5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NOx</w:t>
            </w:r>
          </w:p>
        </w:tc>
        <w:tc>
          <w:tcPr>
            <w:tcW w:w="1276" w:type="dxa"/>
            <w:gridSpan w:val="2"/>
            <w:tcBorders>
              <w:top w:val="nil"/>
              <w:left w:val="nil"/>
              <w:bottom w:val="single" w:color="auto" w:sz="4" w:space="0"/>
              <w:right w:val="single" w:color="auto" w:sz="4" w:space="0"/>
            </w:tcBorders>
            <w:noWrap/>
            <w:vAlign w:val="center"/>
          </w:tcPr>
          <w:p w14:paraId="3F4AF7A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17.94</w:t>
            </w:r>
          </w:p>
        </w:tc>
        <w:tc>
          <w:tcPr>
            <w:tcW w:w="2268" w:type="dxa"/>
            <w:vMerge w:val="continue"/>
            <w:tcBorders>
              <w:top w:val="nil"/>
              <w:left w:val="single" w:color="auto" w:sz="4" w:space="0"/>
              <w:bottom w:val="single" w:color="auto" w:sz="4" w:space="0"/>
              <w:right w:val="single" w:color="auto" w:sz="4" w:space="0"/>
            </w:tcBorders>
            <w:vAlign w:val="center"/>
          </w:tcPr>
          <w:p w14:paraId="3A0CB384">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noWrap/>
            <w:vAlign w:val="center"/>
          </w:tcPr>
          <w:p w14:paraId="144F989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84.09</w:t>
            </w:r>
          </w:p>
        </w:tc>
        <w:tc>
          <w:tcPr>
            <w:tcW w:w="1418" w:type="dxa"/>
            <w:gridSpan w:val="2"/>
            <w:tcBorders>
              <w:top w:val="nil"/>
              <w:left w:val="nil"/>
              <w:bottom w:val="single" w:color="auto" w:sz="4" w:space="0"/>
              <w:right w:val="single" w:color="auto" w:sz="4" w:space="0"/>
            </w:tcBorders>
            <w:noWrap/>
            <w:vAlign w:val="center"/>
          </w:tcPr>
          <w:p w14:paraId="4C9E615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0.336</w:t>
            </w:r>
          </w:p>
        </w:tc>
        <w:tc>
          <w:tcPr>
            <w:tcW w:w="1275" w:type="dxa"/>
            <w:gridSpan w:val="2"/>
            <w:tcBorders>
              <w:top w:val="nil"/>
              <w:left w:val="nil"/>
              <w:bottom w:val="single" w:color="auto" w:sz="4" w:space="0"/>
              <w:right w:val="single" w:color="auto" w:sz="4" w:space="0"/>
            </w:tcBorders>
            <w:noWrap/>
            <w:vAlign w:val="center"/>
          </w:tcPr>
          <w:p w14:paraId="73099AE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2.691</w:t>
            </w:r>
          </w:p>
        </w:tc>
        <w:tc>
          <w:tcPr>
            <w:tcW w:w="2147" w:type="dxa"/>
            <w:tcBorders>
              <w:top w:val="nil"/>
              <w:left w:val="nil"/>
              <w:bottom w:val="single" w:color="auto" w:sz="4" w:space="0"/>
              <w:right w:val="single" w:color="auto" w:sz="4" w:space="0"/>
            </w:tcBorders>
            <w:noWrap/>
            <w:vAlign w:val="center"/>
          </w:tcPr>
          <w:p w14:paraId="528773C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r>
      <w:tr w14:paraId="6DE4CDCC">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59C1D925">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7CB452B4">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2CD5C3A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276" w:type="dxa"/>
            <w:gridSpan w:val="2"/>
            <w:tcBorders>
              <w:top w:val="nil"/>
              <w:left w:val="nil"/>
              <w:bottom w:val="single" w:color="auto" w:sz="4" w:space="0"/>
              <w:right w:val="single" w:color="auto" w:sz="4" w:space="0"/>
            </w:tcBorders>
            <w:noWrap/>
            <w:vAlign w:val="center"/>
          </w:tcPr>
          <w:p w14:paraId="1FC04FC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2268" w:type="dxa"/>
            <w:vMerge w:val="continue"/>
            <w:tcBorders>
              <w:top w:val="nil"/>
              <w:left w:val="single" w:color="auto" w:sz="4" w:space="0"/>
              <w:bottom w:val="single" w:color="auto" w:sz="4" w:space="0"/>
              <w:right w:val="single" w:color="auto" w:sz="4" w:space="0"/>
            </w:tcBorders>
            <w:vAlign w:val="center"/>
          </w:tcPr>
          <w:p w14:paraId="2FC0C11C">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noWrap/>
            <w:vAlign w:val="center"/>
          </w:tcPr>
          <w:p w14:paraId="10BD1DC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62.5</w:t>
            </w:r>
          </w:p>
        </w:tc>
        <w:tc>
          <w:tcPr>
            <w:tcW w:w="1418" w:type="dxa"/>
            <w:gridSpan w:val="2"/>
            <w:tcBorders>
              <w:top w:val="nil"/>
              <w:left w:val="nil"/>
              <w:bottom w:val="single" w:color="auto" w:sz="4" w:space="0"/>
              <w:right w:val="single" w:color="auto" w:sz="4" w:space="0"/>
            </w:tcBorders>
            <w:noWrap/>
            <w:vAlign w:val="center"/>
          </w:tcPr>
          <w:p w14:paraId="422BFD2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0.25</w:t>
            </w:r>
          </w:p>
        </w:tc>
        <w:tc>
          <w:tcPr>
            <w:tcW w:w="1275" w:type="dxa"/>
            <w:gridSpan w:val="2"/>
            <w:tcBorders>
              <w:top w:val="nil"/>
              <w:left w:val="nil"/>
              <w:bottom w:val="single" w:color="auto" w:sz="4" w:space="0"/>
              <w:right w:val="single" w:color="auto" w:sz="4" w:space="0"/>
            </w:tcBorders>
            <w:noWrap/>
            <w:vAlign w:val="center"/>
          </w:tcPr>
          <w:p w14:paraId="2C9BEBA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147" w:type="dxa"/>
            <w:tcBorders>
              <w:top w:val="nil"/>
              <w:left w:val="nil"/>
              <w:bottom w:val="single" w:color="auto" w:sz="4" w:space="0"/>
              <w:right w:val="single" w:color="auto" w:sz="4" w:space="0"/>
            </w:tcBorders>
            <w:noWrap/>
            <w:vAlign w:val="center"/>
          </w:tcPr>
          <w:p w14:paraId="74AB62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r>
      <w:tr w14:paraId="24F9A472">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7DB7ECE3">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1407C252">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08B66F0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HF</w:t>
            </w:r>
          </w:p>
        </w:tc>
        <w:tc>
          <w:tcPr>
            <w:tcW w:w="1276" w:type="dxa"/>
            <w:gridSpan w:val="2"/>
            <w:tcBorders>
              <w:top w:val="nil"/>
              <w:left w:val="nil"/>
              <w:bottom w:val="single" w:color="auto" w:sz="4" w:space="0"/>
              <w:right w:val="single" w:color="auto" w:sz="4" w:space="0"/>
            </w:tcBorders>
            <w:noWrap/>
            <w:vAlign w:val="center"/>
          </w:tcPr>
          <w:p w14:paraId="59CE0B9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5.26</w:t>
            </w:r>
          </w:p>
        </w:tc>
        <w:tc>
          <w:tcPr>
            <w:tcW w:w="2268" w:type="dxa"/>
            <w:vMerge w:val="continue"/>
            <w:tcBorders>
              <w:top w:val="nil"/>
              <w:left w:val="single" w:color="auto" w:sz="4" w:space="0"/>
              <w:bottom w:val="single" w:color="auto" w:sz="4" w:space="0"/>
              <w:right w:val="single" w:color="auto" w:sz="4" w:space="0"/>
            </w:tcBorders>
            <w:vAlign w:val="center"/>
          </w:tcPr>
          <w:p w14:paraId="509FE54A">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noWrap/>
            <w:vAlign w:val="center"/>
          </w:tcPr>
          <w:p w14:paraId="212C39A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1.64</w:t>
            </w:r>
          </w:p>
        </w:tc>
        <w:tc>
          <w:tcPr>
            <w:tcW w:w="1418" w:type="dxa"/>
            <w:gridSpan w:val="2"/>
            <w:tcBorders>
              <w:top w:val="nil"/>
              <w:left w:val="nil"/>
              <w:bottom w:val="single" w:color="auto" w:sz="4" w:space="0"/>
              <w:right w:val="single" w:color="auto" w:sz="4" w:space="0"/>
            </w:tcBorders>
            <w:noWrap/>
            <w:vAlign w:val="center"/>
          </w:tcPr>
          <w:p w14:paraId="38AB7EA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0.0066</w:t>
            </w:r>
          </w:p>
        </w:tc>
        <w:tc>
          <w:tcPr>
            <w:tcW w:w="1275" w:type="dxa"/>
            <w:gridSpan w:val="2"/>
            <w:tcBorders>
              <w:top w:val="nil"/>
              <w:left w:val="nil"/>
              <w:bottom w:val="single" w:color="auto" w:sz="4" w:space="0"/>
              <w:right w:val="single" w:color="auto" w:sz="4" w:space="0"/>
            </w:tcBorders>
            <w:noWrap/>
            <w:vAlign w:val="center"/>
          </w:tcPr>
          <w:p w14:paraId="26258F4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0.053</w:t>
            </w:r>
          </w:p>
        </w:tc>
        <w:tc>
          <w:tcPr>
            <w:tcW w:w="2147" w:type="dxa"/>
            <w:tcBorders>
              <w:top w:val="nil"/>
              <w:left w:val="nil"/>
              <w:bottom w:val="single" w:color="auto" w:sz="4" w:space="0"/>
              <w:right w:val="single" w:color="auto" w:sz="4" w:space="0"/>
            </w:tcBorders>
            <w:noWrap/>
            <w:vAlign w:val="center"/>
          </w:tcPr>
          <w:p w14:paraId="09F55CE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14:paraId="10171340">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1826686E">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14811496">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36FF830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HCl</w:t>
            </w:r>
          </w:p>
        </w:tc>
        <w:tc>
          <w:tcPr>
            <w:tcW w:w="1276" w:type="dxa"/>
            <w:gridSpan w:val="2"/>
            <w:tcBorders>
              <w:top w:val="nil"/>
              <w:left w:val="nil"/>
              <w:bottom w:val="single" w:color="auto" w:sz="4" w:space="0"/>
              <w:right w:val="single" w:color="auto" w:sz="4" w:space="0"/>
            </w:tcBorders>
            <w:noWrap/>
            <w:vAlign w:val="center"/>
          </w:tcPr>
          <w:p w14:paraId="03536B4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154.348</w:t>
            </w:r>
          </w:p>
        </w:tc>
        <w:tc>
          <w:tcPr>
            <w:tcW w:w="2268" w:type="dxa"/>
            <w:vMerge w:val="continue"/>
            <w:tcBorders>
              <w:top w:val="nil"/>
              <w:left w:val="single" w:color="auto" w:sz="4" w:space="0"/>
              <w:bottom w:val="single" w:color="auto" w:sz="4" w:space="0"/>
              <w:right w:val="single" w:color="auto" w:sz="4" w:space="0"/>
            </w:tcBorders>
            <w:vAlign w:val="center"/>
          </w:tcPr>
          <w:p w14:paraId="32476FAA">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noWrap/>
            <w:vAlign w:val="center"/>
          </w:tcPr>
          <w:p w14:paraId="7993A3A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48.23</w:t>
            </w:r>
          </w:p>
        </w:tc>
        <w:tc>
          <w:tcPr>
            <w:tcW w:w="1418" w:type="dxa"/>
            <w:gridSpan w:val="2"/>
            <w:tcBorders>
              <w:top w:val="nil"/>
              <w:left w:val="nil"/>
              <w:bottom w:val="single" w:color="auto" w:sz="4" w:space="0"/>
              <w:right w:val="single" w:color="auto" w:sz="4" w:space="0"/>
            </w:tcBorders>
            <w:noWrap/>
            <w:vAlign w:val="center"/>
          </w:tcPr>
          <w:p w14:paraId="2FFB094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0.193</w:t>
            </w:r>
          </w:p>
        </w:tc>
        <w:tc>
          <w:tcPr>
            <w:tcW w:w="1275" w:type="dxa"/>
            <w:gridSpan w:val="2"/>
            <w:tcBorders>
              <w:top w:val="nil"/>
              <w:left w:val="nil"/>
              <w:bottom w:val="single" w:color="auto" w:sz="4" w:space="0"/>
              <w:right w:val="single" w:color="auto" w:sz="4" w:space="0"/>
            </w:tcBorders>
            <w:noWrap/>
            <w:vAlign w:val="center"/>
          </w:tcPr>
          <w:p w14:paraId="4CA0A6B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1.543</w:t>
            </w:r>
          </w:p>
        </w:tc>
        <w:tc>
          <w:tcPr>
            <w:tcW w:w="2147" w:type="dxa"/>
            <w:tcBorders>
              <w:top w:val="nil"/>
              <w:left w:val="nil"/>
              <w:bottom w:val="single" w:color="auto" w:sz="4" w:space="0"/>
              <w:right w:val="single" w:color="auto" w:sz="4" w:space="0"/>
            </w:tcBorders>
            <w:noWrap/>
            <w:vAlign w:val="center"/>
          </w:tcPr>
          <w:p w14:paraId="4A2888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r>
      <w:tr w14:paraId="4613A2A4">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604A41FC">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1BD2422E">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6C41AC2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汞及其化合物</w:t>
            </w:r>
          </w:p>
        </w:tc>
        <w:tc>
          <w:tcPr>
            <w:tcW w:w="1276" w:type="dxa"/>
            <w:gridSpan w:val="2"/>
            <w:tcBorders>
              <w:top w:val="nil"/>
              <w:left w:val="nil"/>
              <w:bottom w:val="single" w:color="auto" w:sz="4" w:space="0"/>
              <w:right w:val="single" w:color="auto" w:sz="4" w:space="0"/>
            </w:tcBorders>
            <w:noWrap/>
            <w:vAlign w:val="center"/>
          </w:tcPr>
          <w:p w14:paraId="2E77803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2268" w:type="dxa"/>
            <w:vMerge w:val="continue"/>
            <w:tcBorders>
              <w:top w:val="nil"/>
              <w:left w:val="single" w:color="auto" w:sz="4" w:space="0"/>
              <w:bottom w:val="single" w:color="auto" w:sz="4" w:space="0"/>
              <w:right w:val="single" w:color="auto" w:sz="4" w:space="0"/>
            </w:tcBorders>
            <w:vAlign w:val="center"/>
          </w:tcPr>
          <w:p w14:paraId="397F4CB2">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vAlign w:val="center"/>
          </w:tcPr>
          <w:p w14:paraId="63AE2CC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0.0031</w:t>
            </w:r>
          </w:p>
        </w:tc>
        <w:tc>
          <w:tcPr>
            <w:tcW w:w="1418" w:type="dxa"/>
            <w:gridSpan w:val="2"/>
            <w:tcBorders>
              <w:top w:val="nil"/>
              <w:left w:val="nil"/>
              <w:bottom w:val="single" w:color="auto" w:sz="4" w:space="0"/>
              <w:right w:val="single" w:color="auto" w:sz="4" w:space="0"/>
            </w:tcBorders>
            <w:noWrap/>
            <w:vAlign w:val="center"/>
          </w:tcPr>
          <w:p w14:paraId="2BF84ED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0.0000125</w:t>
            </w:r>
          </w:p>
        </w:tc>
        <w:tc>
          <w:tcPr>
            <w:tcW w:w="1275" w:type="dxa"/>
            <w:gridSpan w:val="2"/>
            <w:tcBorders>
              <w:top w:val="nil"/>
              <w:left w:val="nil"/>
              <w:bottom w:val="single" w:color="auto" w:sz="4" w:space="0"/>
              <w:right w:val="single" w:color="auto" w:sz="4" w:space="0"/>
            </w:tcBorders>
            <w:noWrap/>
            <w:vAlign w:val="center"/>
          </w:tcPr>
          <w:p w14:paraId="6FF48C2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c>
          <w:tcPr>
            <w:tcW w:w="2147" w:type="dxa"/>
            <w:tcBorders>
              <w:top w:val="nil"/>
              <w:left w:val="nil"/>
              <w:bottom w:val="single" w:color="auto" w:sz="4" w:space="0"/>
              <w:right w:val="single" w:color="auto" w:sz="4" w:space="0"/>
            </w:tcBorders>
            <w:noWrap/>
            <w:vAlign w:val="center"/>
          </w:tcPr>
          <w:p w14:paraId="13B29BE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0DFC0E60">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7A53507B">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694375E4">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5C0EABB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铊及其化合物</w:t>
            </w:r>
          </w:p>
        </w:tc>
        <w:tc>
          <w:tcPr>
            <w:tcW w:w="1276" w:type="dxa"/>
            <w:gridSpan w:val="2"/>
            <w:tcBorders>
              <w:top w:val="nil"/>
              <w:left w:val="nil"/>
              <w:bottom w:val="single" w:color="auto" w:sz="4" w:space="0"/>
              <w:right w:val="single" w:color="auto" w:sz="4" w:space="0"/>
            </w:tcBorders>
            <w:noWrap/>
            <w:vAlign w:val="center"/>
          </w:tcPr>
          <w:p w14:paraId="39DF011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0.00025</w:t>
            </w:r>
          </w:p>
        </w:tc>
        <w:tc>
          <w:tcPr>
            <w:tcW w:w="2268" w:type="dxa"/>
            <w:vMerge w:val="continue"/>
            <w:tcBorders>
              <w:top w:val="nil"/>
              <w:left w:val="single" w:color="auto" w:sz="4" w:space="0"/>
              <w:bottom w:val="single" w:color="auto" w:sz="4" w:space="0"/>
              <w:right w:val="single" w:color="auto" w:sz="4" w:space="0"/>
            </w:tcBorders>
            <w:vAlign w:val="center"/>
          </w:tcPr>
          <w:p w14:paraId="3B39DF98">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vAlign w:val="center"/>
          </w:tcPr>
          <w:p w14:paraId="364396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0.0002</w:t>
            </w:r>
          </w:p>
        </w:tc>
        <w:tc>
          <w:tcPr>
            <w:tcW w:w="1418" w:type="dxa"/>
            <w:gridSpan w:val="2"/>
            <w:tcBorders>
              <w:top w:val="nil"/>
              <w:left w:val="nil"/>
              <w:bottom w:val="single" w:color="auto" w:sz="4" w:space="0"/>
              <w:right w:val="single" w:color="auto" w:sz="4" w:space="0"/>
            </w:tcBorders>
            <w:noWrap/>
            <w:vAlign w:val="center"/>
          </w:tcPr>
          <w:p w14:paraId="5A029BC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6.25E-07</w:t>
            </w:r>
          </w:p>
        </w:tc>
        <w:tc>
          <w:tcPr>
            <w:tcW w:w="1275" w:type="dxa"/>
            <w:gridSpan w:val="2"/>
            <w:tcBorders>
              <w:top w:val="nil"/>
              <w:left w:val="nil"/>
              <w:bottom w:val="single" w:color="auto" w:sz="4" w:space="0"/>
              <w:right w:val="single" w:color="auto" w:sz="4" w:space="0"/>
            </w:tcBorders>
            <w:noWrap/>
            <w:vAlign w:val="center"/>
          </w:tcPr>
          <w:p w14:paraId="311E0CC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0.000005</w:t>
            </w:r>
          </w:p>
        </w:tc>
        <w:tc>
          <w:tcPr>
            <w:tcW w:w="2147" w:type="dxa"/>
            <w:tcBorders>
              <w:top w:val="nil"/>
              <w:left w:val="nil"/>
              <w:bottom w:val="single" w:color="auto" w:sz="4" w:space="0"/>
              <w:right w:val="single" w:color="auto" w:sz="4" w:space="0"/>
            </w:tcBorders>
            <w:noWrap/>
            <w:vAlign w:val="center"/>
          </w:tcPr>
          <w:p w14:paraId="68DD546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36520366">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19C01E44">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7A55E2AD">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4BE60E1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镉及其化合物</w:t>
            </w:r>
          </w:p>
        </w:tc>
        <w:tc>
          <w:tcPr>
            <w:tcW w:w="1276" w:type="dxa"/>
            <w:gridSpan w:val="2"/>
            <w:tcBorders>
              <w:top w:val="nil"/>
              <w:left w:val="nil"/>
              <w:bottom w:val="single" w:color="auto" w:sz="4" w:space="0"/>
              <w:right w:val="single" w:color="auto" w:sz="4" w:space="0"/>
            </w:tcBorders>
            <w:noWrap/>
            <w:vAlign w:val="center"/>
          </w:tcPr>
          <w:p w14:paraId="53B7835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0.015</w:t>
            </w:r>
          </w:p>
        </w:tc>
        <w:tc>
          <w:tcPr>
            <w:tcW w:w="2268" w:type="dxa"/>
            <w:vMerge w:val="continue"/>
            <w:tcBorders>
              <w:top w:val="nil"/>
              <w:left w:val="single" w:color="auto" w:sz="4" w:space="0"/>
              <w:bottom w:val="single" w:color="auto" w:sz="4" w:space="0"/>
              <w:right w:val="single" w:color="auto" w:sz="4" w:space="0"/>
            </w:tcBorders>
            <w:vAlign w:val="center"/>
          </w:tcPr>
          <w:p w14:paraId="423570AD">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vAlign w:val="center"/>
          </w:tcPr>
          <w:p w14:paraId="173063C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0.0094</w:t>
            </w:r>
          </w:p>
        </w:tc>
        <w:tc>
          <w:tcPr>
            <w:tcW w:w="1418" w:type="dxa"/>
            <w:gridSpan w:val="2"/>
            <w:tcBorders>
              <w:top w:val="nil"/>
              <w:left w:val="nil"/>
              <w:bottom w:val="single" w:color="auto" w:sz="4" w:space="0"/>
              <w:right w:val="single" w:color="auto" w:sz="4" w:space="0"/>
            </w:tcBorders>
            <w:noWrap/>
            <w:vAlign w:val="center"/>
          </w:tcPr>
          <w:p w14:paraId="3671B03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0.0000375</w:t>
            </w:r>
          </w:p>
        </w:tc>
        <w:tc>
          <w:tcPr>
            <w:tcW w:w="1275" w:type="dxa"/>
            <w:gridSpan w:val="2"/>
            <w:tcBorders>
              <w:top w:val="nil"/>
              <w:left w:val="nil"/>
              <w:bottom w:val="single" w:color="auto" w:sz="4" w:space="0"/>
              <w:right w:val="single" w:color="auto" w:sz="4" w:space="0"/>
            </w:tcBorders>
            <w:noWrap/>
            <w:vAlign w:val="center"/>
          </w:tcPr>
          <w:p w14:paraId="4281709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0.0003</w:t>
            </w:r>
          </w:p>
        </w:tc>
        <w:tc>
          <w:tcPr>
            <w:tcW w:w="2147" w:type="dxa"/>
            <w:tcBorders>
              <w:top w:val="nil"/>
              <w:left w:val="nil"/>
              <w:bottom w:val="single" w:color="auto" w:sz="4" w:space="0"/>
              <w:right w:val="single" w:color="auto" w:sz="4" w:space="0"/>
            </w:tcBorders>
            <w:noWrap/>
            <w:vAlign w:val="center"/>
          </w:tcPr>
          <w:p w14:paraId="7ACA19F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14:paraId="15BB8DD8">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03593999">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11035862">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48626B1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铅及其化合物</w:t>
            </w:r>
          </w:p>
        </w:tc>
        <w:tc>
          <w:tcPr>
            <w:tcW w:w="1276" w:type="dxa"/>
            <w:gridSpan w:val="2"/>
            <w:tcBorders>
              <w:top w:val="nil"/>
              <w:left w:val="nil"/>
              <w:bottom w:val="single" w:color="auto" w:sz="4" w:space="0"/>
              <w:right w:val="single" w:color="auto" w:sz="4" w:space="0"/>
            </w:tcBorders>
            <w:noWrap/>
            <w:vAlign w:val="center"/>
          </w:tcPr>
          <w:p w14:paraId="02B4044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2268" w:type="dxa"/>
            <w:vMerge w:val="continue"/>
            <w:tcBorders>
              <w:top w:val="nil"/>
              <w:left w:val="single" w:color="auto" w:sz="4" w:space="0"/>
              <w:bottom w:val="single" w:color="auto" w:sz="4" w:space="0"/>
              <w:right w:val="single" w:color="auto" w:sz="4" w:space="0"/>
            </w:tcBorders>
            <w:vAlign w:val="center"/>
          </w:tcPr>
          <w:p w14:paraId="4F14582E">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noWrap/>
            <w:vAlign w:val="center"/>
          </w:tcPr>
          <w:p w14:paraId="5A87AE6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0.031</w:t>
            </w:r>
          </w:p>
        </w:tc>
        <w:tc>
          <w:tcPr>
            <w:tcW w:w="1418" w:type="dxa"/>
            <w:gridSpan w:val="2"/>
            <w:tcBorders>
              <w:top w:val="nil"/>
              <w:left w:val="nil"/>
              <w:bottom w:val="single" w:color="auto" w:sz="4" w:space="0"/>
              <w:right w:val="single" w:color="auto" w:sz="4" w:space="0"/>
            </w:tcBorders>
            <w:noWrap/>
            <w:vAlign w:val="center"/>
          </w:tcPr>
          <w:p w14:paraId="2239D5F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0.00013</w:t>
            </w:r>
          </w:p>
        </w:tc>
        <w:tc>
          <w:tcPr>
            <w:tcW w:w="1275" w:type="dxa"/>
            <w:gridSpan w:val="2"/>
            <w:tcBorders>
              <w:top w:val="nil"/>
              <w:left w:val="nil"/>
              <w:bottom w:val="single" w:color="auto" w:sz="4" w:space="0"/>
              <w:right w:val="single" w:color="auto" w:sz="4" w:space="0"/>
            </w:tcBorders>
            <w:noWrap/>
            <w:vAlign w:val="center"/>
          </w:tcPr>
          <w:p w14:paraId="1FD35CC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2147" w:type="dxa"/>
            <w:tcBorders>
              <w:top w:val="nil"/>
              <w:left w:val="nil"/>
              <w:bottom w:val="single" w:color="auto" w:sz="4" w:space="0"/>
              <w:right w:val="single" w:color="auto" w:sz="4" w:space="0"/>
            </w:tcBorders>
            <w:noWrap/>
            <w:vAlign w:val="center"/>
          </w:tcPr>
          <w:p w14:paraId="0A9BCAB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r w14:paraId="1F4D6951">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573D4B05">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6573D774">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281D78C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砷及其化合物</w:t>
            </w:r>
          </w:p>
        </w:tc>
        <w:tc>
          <w:tcPr>
            <w:tcW w:w="1276" w:type="dxa"/>
            <w:gridSpan w:val="2"/>
            <w:tcBorders>
              <w:top w:val="nil"/>
              <w:left w:val="nil"/>
              <w:bottom w:val="single" w:color="auto" w:sz="4" w:space="0"/>
              <w:right w:val="single" w:color="auto" w:sz="4" w:space="0"/>
            </w:tcBorders>
            <w:noWrap/>
            <w:vAlign w:val="center"/>
          </w:tcPr>
          <w:p w14:paraId="0DAF128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2268" w:type="dxa"/>
            <w:vMerge w:val="continue"/>
            <w:tcBorders>
              <w:top w:val="nil"/>
              <w:left w:val="single" w:color="auto" w:sz="4" w:space="0"/>
              <w:bottom w:val="single" w:color="auto" w:sz="4" w:space="0"/>
              <w:right w:val="single" w:color="auto" w:sz="4" w:space="0"/>
            </w:tcBorders>
            <w:vAlign w:val="center"/>
          </w:tcPr>
          <w:p w14:paraId="1066B3A4">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noWrap/>
            <w:vAlign w:val="center"/>
          </w:tcPr>
          <w:p w14:paraId="4F0651F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0.063</w:t>
            </w:r>
          </w:p>
        </w:tc>
        <w:tc>
          <w:tcPr>
            <w:tcW w:w="1418" w:type="dxa"/>
            <w:gridSpan w:val="2"/>
            <w:tcBorders>
              <w:top w:val="nil"/>
              <w:left w:val="nil"/>
              <w:bottom w:val="single" w:color="auto" w:sz="4" w:space="0"/>
              <w:right w:val="single" w:color="auto" w:sz="4" w:space="0"/>
            </w:tcBorders>
            <w:noWrap/>
            <w:vAlign w:val="center"/>
          </w:tcPr>
          <w:p w14:paraId="4082BA0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0.00025</w:t>
            </w:r>
          </w:p>
        </w:tc>
        <w:tc>
          <w:tcPr>
            <w:tcW w:w="1275" w:type="dxa"/>
            <w:gridSpan w:val="2"/>
            <w:tcBorders>
              <w:top w:val="nil"/>
              <w:left w:val="nil"/>
              <w:bottom w:val="single" w:color="auto" w:sz="4" w:space="0"/>
              <w:right w:val="single" w:color="auto" w:sz="4" w:space="0"/>
            </w:tcBorders>
            <w:noWrap/>
            <w:vAlign w:val="center"/>
          </w:tcPr>
          <w:p w14:paraId="7227AE2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0.002</w:t>
            </w:r>
          </w:p>
        </w:tc>
        <w:tc>
          <w:tcPr>
            <w:tcW w:w="2147" w:type="dxa"/>
            <w:tcBorders>
              <w:top w:val="nil"/>
              <w:left w:val="nil"/>
              <w:bottom w:val="single" w:color="auto" w:sz="4" w:space="0"/>
              <w:right w:val="single" w:color="auto" w:sz="4" w:space="0"/>
            </w:tcBorders>
            <w:noWrap/>
            <w:vAlign w:val="center"/>
          </w:tcPr>
          <w:p w14:paraId="7751FC6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r w14:paraId="3D169371">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77CE172C">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385BEF84">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3A00709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铬及其化合物</w:t>
            </w:r>
          </w:p>
        </w:tc>
        <w:tc>
          <w:tcPr>
            <w:tcW w:w="1276" w:type="dxa"/>
            <w:gridSpan w:val="2"/>
            <w:tcBorders>
              <w:top w:val="nil"/>
              <w:left w:val="nil"/>
              <w:bottom w:val="single" w:color="auto" w:sz="4" w:space="0"/>
              <w:right w:val="single" w:color="auto" w:sz="4" w:space="0"/>
            </w:tcBorders>
            <w:noWrap/>
            <w:vAlign w:val="center"/>
          </w:tcPr>
          <w:p w14:paraId="3DEC68A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0.0025</w:t>
            </w:r>
          </w:p>
        </w:tc>
        <w:tc>
          <w:tcPr>
            <w:tcW w:w="2268" w:type="dxa"/>
            <w:vMerge w:val="continue"/>
            <w:tcBorders>
              <w:top w:val="nil"/>
              <w:left w:val="single" w:color="auto" w:sz="4" w:space="0"/>
              <w:bottom w:val="single" w:color="auto" w:sz="4" w:space="0"/>
              <w:right w:val="single" w:color="auto" w:sz="4" w:space="0"/>
            </w:tcBorders>
            <w:vAlign w:val="center"/>
          </w:tcPr>
          <w:p w14:paraId="3177F562">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vAlign w:val="center"/>
          </w:tcPr>
          <w:p w14:paraId="620D903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0.0016</w:t>
            </w:r>
          </w:p>
        </w:tc>
        <w:tc>
          <w:tcPr>
            <w:tcW w:w="1418" w:type="dxa"/>
            <w:gridSpan w:val="2"/>
            <w:tcBorders>
              <w:top w:val="nil"/>
              <w:left w:val="nil"/>
              <w:bottom w:val="single" w:color="auto" w:sz="4" w:space="0"/>
              <w:right w:val="single" w:color="auto" w:sz="4" w:space="0"/>
            </w:tcBorders>
            <w:noWrap/>
            <w:vAlign w:val="center"/>
          </w:tcPr>
          <w:p w14:paraId="3D6238C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6.25E-06</w:t>
            </w:r>
          </w:p>
        </w:tc>
        <w:tc>
          <w:tcPr>
            <w:tcW w:w="1275" w:type="dxa"/>
            <w:gridSpan w:val="2"/>
            <w:tcBorders>
              <w:top w:val="nil"/>
              <w:left w:val="nil"/>
              <w:bottom w:val="single" w:color="auto" w:sz="4" w:space="0"/>
              <w:right w:val="single" w:color="auto" w:sz="4" w:space="0"/>
            </w:tcBorders>
            <w:noWrap/>
            <w:vAlign w:val="center"/>
          </w:tcPr>
          <w:p w14:paraId="7C28862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0.00005</w:t>
            </w:r>
          </w:p>
        </w:tc>
        <w:tc>
          <w:tcPr>
            <w:tcW w:w="2147" w:type="dxa"/>
            <w:tcBorders>
              <w:top w:val="nil"/>
              <w:left w:val="nil"/>
              <w:bottom w:val="single" w:color="auto" w:sz="4" w:space="0"/>
              <w:right w:val="single" w:color="auto" w:sz="4" w:space="0"/>
            </w:tcBorders>
            <w:noWrap/>
            <w:vAlign w:val="center"/>
          </w:tcPr>
          <w:p w14:paraId="39B0576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r w14:paraId="32D1B32C">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26231B49">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2BDA9311">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7B48BAF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锡、锑、铜、锰、 镍、钴及其化合 物</w:t>
            </w:r>
          </w:p>
        </w:tc>
        <w:tc>
          <w:tcPr>
            <w:tcW w:w="1276" w:type="dxa"/>
            <w:gridSpan w:val="2"/>
            <w:tcBorders>
              <w:top w:val="nil"/>
              <w:left w:val="nil"/>
              <w:bottom w:val="single" w:color="auto" w:sz="4" w:space="0"/>
              <w:right w:val="single" w:color="auto" w:sz="4" w:space="0"/>
            </w:tcBorders>
            <w:noWrap/>
            <w:vAlign w:val="center"/>
          </w:tcPr>
          <w:p w14:paraId="3039234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0.0175</w:t>
            </w:r>
          </w:p>
        </w:tc>
        <w:tc>
          <w:tcPr>
            <w:tcW w:w="2268" w:type="dxa"/>
            <w:vMerge w:val="continue"/>
            <w:tcBorders>
              <w:top w:val="nil"/>
              <w:left w:val="single" w:color="auto" w:sz="4" w:space="0"/>
              <w:bottom w:val="single" w:color="auto" w:sz="4" w:space="0"/>
              <w:right w:val="single" w:color="auto" w:sz="4" w:space="0"/>
            </w:tcBorders>
            <w:vAlign w:val="center"/>
          </w:tcPr>
          <w:p w14:paraId="1B0BC971">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noWrap/>
            <w:vAlign w:val="center"/>
          </w:tcPr>
          <w:p w14:paraId="2E3BBBA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0.011</w:t>
            </w:r>
          </w:p>
        </w:tc>
        <w:tc>
          <w:tcPr>
            <w:tcW w:w="1418" w:type="dxa"/>
            <w:gridSpan w:val="2"/>
            <w:tcBorders>
              <w:top w:val="nil"/>
              <w:left w:val="nil"/>
              <w:bottom w:val="single" w:color="auto" w:sz="4" w:space="0"/>
              <w:right w:val="single" w:color="auto" w:sz="4" w:space="0"/>
            </w:tcBorders>
            <w:noWrap/>
            <w:vAlign w:val="center"/>
          </w:tcPr>
          <w:p w14:paraId="449BF4E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0.00004375</w:t>
            </w:r>
          </w:p>
        </w:tc>
        <w:tc>
          <w:tcPr>
            <w:tcW w:w="1275" w:type="dxa"/>
            <w:gridSpan w:val="2"/>
            <w:tcBorders>
              <w:top w:val="nil"/>
              <w:left w:val="nil"/>
              <w:bottom w:val="single" w:color="auto" w:sz="4" w:space="0"/>
              <w:right w:val="single" w:color="auto" w:sz="4" w:space="0"/>
            </w:tcBorders>
            <w:noWrap/>
            <w:vAlign w:val="center"/>
          </w:tcPr>
          <w:p w14:paraId="2E10057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0.00035</w:t>
            </w:r>
          </w:p>
        </w:tc>
        <w:tc>
          <w:tcPr>
            <w:tcW w:w="2147" w:type="dxa"/>
            <w:tcBorders>
              <w:top w:val="nil"/>
              <w:left w:val="nil"/>
              <w:bottom w:val="single" w:color="auto" w:sz="4" w:space="0"/>
              <w:right w:val="single" w:color="auto" w:sz="4" w:space="0"/>
            </w:tcBorders>
            <w:noWrap/>
            <w:vAlign w:val="center"/>
          </w:tcPr>
          <w:p w14:paraId="37AE3FC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r>
      <w:tr w14:paraId="4A147EC3">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31D37ED2">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19B4FDFB">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4F8048C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二噁英类</w:t>
            </w:r>
          </w:p>
        </w:tc>
        <w:tc>
          <w:tcPr>
            <w:tcW w:w="1276" w:type="dxa"/>
            <w:gridSpan w:val="2"/>
            <w:tcBorders>
              <w:top w:val="nil"/>
              <w:left w:val="nil"/>
              <w:bottom w:val="single" w:color="auto" w:sz="4" w:space="0"/>
              <w:right w:val="single" w:color="auto" w:sz="4" w:space="0"/>
            </w:tcBorders>
            <w:noWrap/>
            <w:vAlign w:val="center"/>
          </w:tcPr>
          <w:p w14:paraId="07757F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0.64</w:t>
            </w:r>
          </w:p>
          <w:p w14:paraId="41BA257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mgTEQ/a</w:t>
            </w:r>
          </w:p>
        </w:tc>
        <w:tc>
          <w:tcPr>
            <w:tcW w:w="2268" w:type="dxa"/>
            <w:vMerge w:val="continue"/>
            <w:tcBorders>
              <w:top w:val="nil"/>
              <w:left w:val="single" w:color="auto" w:sz="4" w:space="0"/>
              <w:bottom w:val="single" w:color="auto" w:sz="4" w:space="0"/>
              <w:right w:val="single" w:color="auto" w:sz="4" w:space="0"/>
            </w:tcBorders>
            <w:vAlign w:val="center"/>
          </w:tcPr>
          <w:p w14:paraId="1D3CACDD">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noWrap/>
            <w:vAlign w:val="center"/>
          </w:tcPr>
          <w:p w14:paraId="3BC0513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p w14:paraId="5BF83D9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ngTEQ/Nm³</w:t>
            </w:r>
          </w:p>
        </w:tc>
        <w:tc>
          <w:tcPr>
            <w:tcW w:w="1418" w:type="dxa"/>
            <w:gridSpan w:val="2"/>
            <w:tcBorders>
              <w:top w:val="nil"/>
              <w:left w:val="nil"/>
              <w:bottom w:val="single" w:color="auto" w:sz="4" w:space="0"/>
              <w:right w:val="single" w:color="auto" w:sz="4" w:space="0"/>
            </w:tcBorders>
            <w:noWrap/>
            <w:vAlign w:val="center"/>
          </w:tcPr>
          <w:p w14:paraId="5D5E98F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0.000004</w:t>
            </w:r>
          </w:p>
          <w:p w14:paraId="111E81B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mgTEQ/h</w:t>
            </w:r>
          </w:p>
        </w:tc>
        <w:tc>
          <w:tcPr>
            <w:tcW w:w="1275" w:type="dxa"/>
            <w:gridSpan w:val="2"/>
            <w:tcBorders>
              <w:top w:val="nil"/>
              <w:left w:val="nil"/>
              <w:bottom w:val="single" w:color="auto" w:sz="4" w:space="0"/>
              <w:right w:val="single" w:color="auto" w:sz="4" w:space="0"/>
            </w:tcBorders>
            <w:noWrap/>
            <w:vAlign w:val="center"/>
          </w:tcPr>
          <w:p w14:paraId="5A63F2D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0.032</w:t>
            </w:r>
          </w:p>
          <w:p w14:paraId="47692C3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mgTEQ/a</w:t>
            </w:r>
          </w:p>
        </w:tc>
        <w:tc>
          <w:tcPr>
            <w:tcW w:w="2147" w:type="dxa"/>
            <w:tcBorders>
              <w:top w:val="nil"/>
              <w:left w:val="nil"/>
              <w:bottom w:val="single" w:color="auto" w:sz="4" w:space="0"/>
              <w:right w:val="single" w:color="auto" w:sz="4" w:space="0"/>
            </w:tcBorders>
            <w:noWrap/>
            <w:vAlign w:val="center"/>
          </w:tcPr>
          <w:p w14:paraId="28D2976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p w14:paraId="3206CDD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ngTEQ/Nm³</w:t>
            </w:r>
          </w:p>
        </w:tc>
      </w:tr>
      <w:tr w14:paraId="1334A849">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0F4FD2C3">
            <w:pPr>
              <w:pStyle w:val="109"/>
              <w:rPr>
                <w:color w:val="000000" w:themeColor="text1"/>
                <w:szCs w:val="21"/>
                <w14:textFill>
                  <w14:solidFill>
                    <w14:schemeClr w14:val="tx1"/>
                  </w14:solidFill>
                </w14:textFill>
              </w:rPr>
            </w:pPr>
          </w:p>
        </w:tc>
        <w:tc>
          <w:tcPr>
            <w:tcW w:w="1843" w:type="dxa"/>
            <w:vMerge w:val="restart"/>
            <w:tcBorders>
              <w:top w:val="nil"/>
              <w:left w:val="single" w:color="auto" w:sz="4" w:space="0"/>
              <w:bottom w:val="single" w:color="auto" w:sz="4" w:space="0"/>
              <w:right w:val="single" w:color="auto" w:sz="4" w:space="0"/>
            </w:tcBorders>
            <w:noWrap/>
            <w:vAlign w:val="center"/>
          </w:tcPr>
          <w:p w14:paraId="0455471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天然气燃烧废气</w:t>
            </w:r>
          </w:p>
        </w:tc>
        <w:tc>
          <w:tcPr>
            <w:tcW w:w="1701" w:type="dxa"/>
            <w:tcBorders>
              <w:top w:val="nil"/>
              <w:left w:val="nil"/>
              <w:bottom w:val="single" w:color="auto" w:sz="4" w:space="0"/>
              <w:right w:val="single" w:color="auto" w:sz="4" w:space="0"/>
            </w:tcBorders>
            <w:vAlign w:val="center"/>
          </w:tcPr>
          <w:p w14:paraId="5695762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276" w:type="dxa"/>
            <w:gridSpan w:val="2"/>
            <w:tcBorders>
              <w:top w:val="nil"/>
              <w:left w:val="nil"/>
              <w:bottom w:val="single" w:color="auto" w:sz="4" w:space="0"/>
              <w:right w:val="single" w:color="auto" w:sz="4" w:space="0"/>
            </w:tcBorders>
            <w:vAlign w:val="center"/>
          </w:tcPr>
          <w:p w14:paraId="3EE1A6F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0.23</w:t>
            </w:r>
          </w:p>
        </w:tc>
        <w:tc>
          <w:tcPr>
            <w:tcW w:w="2268" w:type="dxa"/>
            <w:vMerge w:val="restart"/>
            <w:tcBorders>
              <w:top w:val="nil"/>
              <w:left w:val="single" w:color="auto" w:sz="4" w:space="0"/>
              <w:bottom w:val="single" w:color="auto" w:sz="4" w:space="0"/>
              <w:right w:val="single" w:color="auto" w:sz="4" w:space="0"/>
            </w:tcBorders>
            <w:noWrap/>
            <w:vAlign w:val="center"/>
          </w:tcPr>
          <w:p w14:paraId="71CFC09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低氮燃烧器</w:t>
            </w:r>
          </w:p>
        </w:tc>
        <w:tc>
          <w:tcPr>
            <w:tcW w:w="1503" w:type="dxa"/>
            <w:gridSpan w:val="2"/>
            <w:tcBorders>
              <w:top w:val="nil"/>
              <w:left w:val="nil"/>
              <w:bottom w:val="single" w:color="auto" w:sz="4" w:space="0"/>
              <w:right w:val="single" w:color="auto" w:sz="4" w:space="0"/>
            </w:tcBorders>
            <w:vAlign w:val="center"/>
          </w:tcPr>
          <w:p w14:paraId="4A1CB07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9.3</w:t>
            </w:r>
          </w:p>
        </w:tc>
        <w:tc>
          <w:tcPr>
            <w:tcW w:w="1418" w:type="dxa"/>
            <w:gridSpan w:val="2"/>
            <w:tcBorders>
              <w:top w:val="nil"/>
              <w:left w:val="nil"/>
              <w:bottom w:val="single" w:color="auto" w:sz="4" w:space="0"/>
              <w:right w:val="single" w:color="auto" w:sz="4" w:space="0"/>
            </w:tcBorders>
            <w:vAlign w:val="center"/>
          </w:tcPr>
          <w:p w14:paraId="49AB451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0.029</w:t>
            </w:r>
          </w:p>
        </w:tc>
        <w:tc>
          <w:tcPr>
            <w:tcW w:w="1275" w:type="dxa"/>
            <w:gridSpan w:val="2"/>
            <w:tcBorders>
              <w:top w:val="nil"/>
              <w:left w:val="nil"/>
              <w:bottom w:val="single" w:color="auto" w:sz="4" w:space="0"/>
              <w:right w:val="single" w:color="auto" w:sz="4" w:space="0"/>
            </w:tcBorders>
            <w:vAlign w:val="center"/>
          </w:tcPr>
          <w:p w14:paraId="4A8728A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0.23</w:t>
            </w:r>
          </w:p>
        </w:tc>
        <w:tc>
          <w:tcPr>
            <w:tcW w:w="2147" w:type="dxa"/>
            <w:tcBorders>
              <w:top w:val="nil"/>
              <w:left w:val="nil"/>
              <w:bottom w:val="single" w:color="auto" w:sz="4" w:space="0"/>
              <w:right w:val="single" w:color="auto" w:sz="4" w:space="0"/>
            </w:tcBorders>
            <w:vAlign w:val="center"/>
          </w:tcPr>
          <w:p w14:paraId="3E2E59B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120mg/m³；3.5kg/h</w:t>
            </w:r>
          </w:p>
        </w:tc>
      </w:tr>
      <w:tr w14:paraId="02C237B9">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6628B416">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42919957">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66B4874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1276" w:type="dxa"/>
            <w:gridSpan w:val="2"/>
            <w:tcBorders>
              <w:top w:val="nil"/>
              <w:left w:val="nil"/>
              <w:bottom w:val="single" w:color="auto" w:sz="4" w:space="0"/>
              <w:right w:val="single" w:color="auto" w:sz="4" w:space="0"/>
            </w:tcBorders>
            <w:vAlign w:val="center"/>
          </w:tcPr>
          <w:p w14:paraId="36B6A57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0.46</w:t>
            </w:r>
          </w:p>
        </w:tc>
        <w:tc>
          <w:tcPr>
            <w:tcW w:w="2268" w:type="dxa"/>
            <w:vMerge w:val="continue"/>
            <w:tcBorders>
              <w:top w:val="nil"/>
              <w:left w:val="single" w:color="auto" w:sz="4" w:space="0"/>
              <w:bottom w:val="single" w:color="auto" w:sz="4" w:space="0"/>
              <w:right w:val="single" w:color="auto" w:sz="4" w:space="0"/>
            </w:tcBorders>
            <w:vAlign w:val="center"/>
          </w:tcPr>
          <w:p w14:paraId="17F72EBC">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vAlign w:val="center"/>
          </w:tcPr>
          <w:p w14:paraId="00C8ADF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18.6</w:t>
            </w:r>
          </w:p>
        </w:tc>
        <w:tc>
          <w:tcPr>
            <w:tcW w:w="1418" w:type="dxa"/>
            <w:gridSpan w:val="2"/>
            <w:tcBorders>
              <w:top w:val="nil"/>
              <w:left w:val="nil"/>
              <w:bottom w:val="single" w:color="auto" w:sz="4" w:space="0"/>
              <w:right w:val="single" w:color="auto" w:sz="4" w:space="0"/>
            </w:tcBorders>
            <w:vAlign w:val="center"/>
          </w:tcPr>
          <w:p w14:paraId="2DC714D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0.058</w:t>
            </w:r>
          </w:p>
        </w:tc>
        <w:tc>
          <w:tcPr>
            <w:tcW w:w="1275" w:type="dxa"/>
            <w:gridSpan w:val="2"/>
            <w:tcBorders>
              <w:top w:val="nil"/>
              <w:left w:val="nil"/>
              <w:bottom w:val="single" w:color="auto" w:sz="4" w:space="0"/>
              <w:right w:val="single" w:color="auto" w:sz="4" w:space="0"/>
            </w:tcBorders>
            <w:vAlign w:val="center"/>
          </w:tcPr>
          <w:p w14:paraId="4976EE0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0.46</w:t>
            </w:r>
          </w:p>
        </w:tc>
        <w:tc>
          <w:tcPr>
            <w:tcW w:w="2147" w:type="dxa"/>
            <w:tcBorders>
              <w:top w:val="nil"/>
              <w:left w:val="nil"/>
              <w:bottom w:val="single" w:color="auto" w:sz="4" w:space="0"/>
              <w:right w:val="single" w:color="auto" w:sz="4" w:space="0"/>
            </w:tcBorders>
            <w:vAlign w:val="center"/>
          </w:tcPr>
          <w:p w14:paraId="7296157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550mg/m³；2.6kg/h</w:t>
            </w:r>
          </w:p>
        </w:tc>
      </w:tr>
      <w:tr w14:paraId="32037EE6">
        <w:tblPrEx>
          <w:tblCellMar>
            <w:top w:w="0" w:type="dxa"/>
            <w:left w:w="108" w:type="dxa"/>
            <w:bottom w:w="0" w:type="dxa"/>
            <w:right w:w="108" w:type="dxa"/>
          </w:tblCellMar>
        </w:tblPrEx>
        <w:tc>
          <w:tcPr>
            <w:tcW w:w="562" w:type="dxa"/>
            <w:vMerge w:val="continue"/>
            <w:tcBorders>
              <w:top w:val="nil"/>
              <w:left w:val="single" w:color="auto" w:sz="4" w:space="0"/>
              <w:bottom w:val="single" w:color="auto" w:sz="4" w:space="0"/>
              <w:right w:val="single" w:color="auto" w:sz="4" w:space="0"/>
            </w:tcBorders>
            <w:vAlign w:val="center"/>
          </w:tcPr>
          <w:p w14:paraId="6FE05E64">
            <w:pPr>
              <w:pStyle w:val="109"/>
              <w:rPr>
                <w:color w:val="000000" w:themeColor="text1"/>
                <w:szCs w:val="21"/>
                <w14:textFill>
                  <w14:solidFill>
                    <w14:schemeClr w14:val="tx1"/>
                  </w14:solidFill>
                </w14:textFill>
              </w:rPr>
            </w:pPr>
          </w:p>
        </w:tc>
        <w:tc>
          <w:tcPr>
            <w:tcW w:w="1843" w:type="dxa"/>
            <w:vMerge w:val="continue"/>
            <w:tcBorders>
              <w:top w:val="nil"/>
              <w:left w:val="single" w:color="auto" w:sz="4" w:space="0"/>
              <w:bottom w:val="single" w:color="auto" w:sz="4" w:space="0"/>
              <w:right w:val="single" w:color="auto" w:sz="4" w:space="0"/>
            </w:tcBorders>
            <w:vAlign w:val="center"/>
          </w:tcPr>
          <w:p w14:paraId="0D92064A">
            <w:pPr>
              <w:pStyle w:val="109"/>
              <w:rPr>
                <w:color w:val="000000" w:themeColor="text1"/>
                <w:szCs w:val="21"/>
                <w14:textFill>
                  <w14:solidFill>
                    <w14:schemeClr w14:val="tx1"/>
                  </w14:solidFill>
                </w14:textFill>
              </w:rPr>
            </w:pPr>
          </w:p>
        </w:tc>
        <w:tc>
          <w:tcPr>
            <w:tcW w:w="1701" w:type="dxa"/>
            <w:tcBorders>
              <w:top w:val="nil"/>
              <w:left w:val="nil"/>
              <w:bottom w:val="single" w:color="auto" w:sz="4" w:space="0"/>
              <w:right w:val="single" w:color="auto" w:sz="4" w:space="0"/>
            </w:tcBorders>
            <w:vAlign w:val="center"/>
          </w:tcPr>
          <w:p w14:paraId="3607F4E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1276" w:type="dxa"/>
            <w:gridSpan w:val="2"/>
            <w:tcBorders>
              <w:top w:val="nil"/>
              <w:left w:val="nil"/>
              <w:bottom w:val="single" w:color="auto" w:sz="4" w:space="0"/>
              <w:right w:val="single" w:color="auto" w:sz="4" w:space="0"/>
            </w:tcBorders>
            <w:vAlign w:val="center"/>
          </w:tcPr>
          <w:p w14:paraId="6A4B790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3.67</w:t>
            </w:r>
          </w:p>
        </w:tc>
        <w:tc>
          <w:tcPr>
            <w:tcW w:w="2268" w:type="dxa"/>
            <w:vMerge w:val="continue"/>
            <w:tcBorders>
              <w:top w:val="nil"/>
              <w:left w:val="single" w:color="auto" w:sz="4" w:space="0"/>
              <w:bottom w:val="single" w:color="auto" w:sz="4" w:space="0"/>
              <w:right w:val="single" w:color="auto" w:sz="4" w:space="0"/>
            </w:tcBorders>
            <w:vAlign w:val="center"/>
          </w:tcPr>
          <w:p w14:paraId="6C6F7223">
            <w:pPr>
              <w:pStyle w:val="109"/>
              <w:rPr>
                <w:color w:val="000000" w:themeColor="text1"/>
                <w:szCs w:val="21"/>
                <w14:textFill>
                  <w14:solidFill>
                    <w14:schemeClr w14:val="tx1"/>
                  </w14:solidFill>
                </w14:textFill>
              </w:rPr>
            </w:pPr>
          </w:p>
        </w:tc>
        <w:tc>
          <w:tcPr>
            <w:tcW w:w="1503" w:type="dxa"/>
            <w:gridSpan w:val="2"/>
            <w:tcBorders>
              <w:top w:val="nil"/>
              <w:left w:val="nil"/>
              <w:bottom w:val="single" w:color="auto" w:sz="4" w:space="0"/>
              <w:right w:val="single" w:color="auto" w:sz="4" w:space="0"/>
            </w:tcBorders>
            <w:vAlign w:val="center"/>
          </w:tcPr>
          <w:p w14:paraId="0A7A8C1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147.3</w:t>
            </w:r>
          </w:p>
        </w:tc>
        <w:tc>
          <w:tcPr>
            <w:tcW w:w="1418" w:type="dxa"/>
            <w:gridSpan w:val="2"/>
            <w:tcBorders>
              <w:top w:val="nil"/>
              <w:left w:val="nil"/>
              <w:bottom w:val="single" w:color="auto" w:sz="4" w:space="0"/>
              <w:right w:val="single" w:color="auto" w:sz="4" w:space="0"/>
            </w:tcBorders>
            <w:vAlign w:val="center"/>
          </w:tcPr>
          <w:p w14:paraId="1A5C62F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0.459</w:t>
            </w:r>
          </w:p>
        </w:tc>
        <w:tc>
          <w:tcPr>
            <w:tcW w:w="1275" w:type="dxa"/>
            <w:gridSpan w:val="2"/>
            <w:tcBorders>
              <w:top w:val="nil"/>
              <w:left w:val="nil"/>
              <w:bottom w:val="single" w:color="auto" w:sz="4" w:space="0"/>
              <w:right w:val="single" w:color="auto" w:sz="4" w:space="0"/>
            </w:tcBorders>
            <w:vAlign w:val="center"/>
          </w:tcPr>
          <w:p w14:paraId="654E2C3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3.67</w:t>
            </w:r>
          </w:p>
        </w:tc>
        <w:tc>
          <w:tcPr>
            <w:tcW w:w="2147" w:type="dxa"/>
            <w:tcBorders>
              <w:top w:val="nil"/>
              <w:left w:val="nil"/>
              <w:bottom w:val="single" w:color="auto" w:sz="4" w:space="0"/>
              <w:right w:val="single" w:color="auto" w:sz="4" w:space="0"/>
            </w:tcBorders>
            <w:vAlign w:val="center"/>
          </w:tcPr>
          <w:p w14:paraId="030355E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240mg/m³；0.77kg/h</w:t>
            </w:r>
          </w:p>
        </w:tc>
      </w:tr>
      <w:tr w14:paraId="16F272D6">
        <w:tblPrEx>
          <w:tblCellMar>
            <w:top w:w="0" w:type="dxa"/>
            <w:left w:w="108" w:type="dxa"/>
            <w:bottom w:w="0" w:type="dxa"/>
            <w:right w:w="108" w:type="dxa"/>
          </w:tblCellMar>
        </w:tblPrEx>
        <w:tc>
          <w:tcPr>
            <w:tcW w:w="562" w:type="dxa"/>
            <w:vMerge w:val="restart"/>
            <w:tcBorders>
              <w:top w:val="single" w:color="auto" w:sz="4" w:space="0"/>
              <w:left w:val="single" w:color="auto" w:sz="4" w:space="0"/>
              <w:bottom w:val="single" w:color="auto" w:sz="4" w:space="0"/>
              <w:right w:val="single" w:color="auto" w:sz="4" w:space="0"/>
            </w:tcBorders>
            <w:noWrap/>
            <w:vAlign w:val="center"/>
          </w:tcPr>
          <w:p w14:paraId="4B27FA5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1843" w:type="dxa"/>
            <w:tcBorders>
              <w:top w:val="single" w:color="auto" w:sz="4" w:space="0"/>
              <w:left w:val="single" w:color="auto" w:sz="4" w:space="0"/>
              <w:bottom w:val="single" w:color="auto" w:sz="4" w:space="0"/>
              <w:right w:val="single" w:color="auto" w:sz="4" w:space="0"/>
            </w:tcBorders>
            <w:noWrap/>
            <w:vAlign w:val="center"/>
          </w:tcPr>
          <w:p w14:paraId="57BB188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氨水罐呼吸废气</w:t>
            </w:r>
          </w:p>
        </w:tc>
        <w:tc>
          <w:tcPr>
            <w:tcW w:w="1701" w:type="dxa"/>
            <w:tcBorders>
              <w:top w:val="single" w:color="auto" w:sz="4" w:space="0"/>
              <w:left w:val="single" w:color="auto" w:sz="4" w:space="0"/>
              <w:bottom w:val="single" w:color="auto" w:sz="4" w:space="0"/>
              <w:right w:val="single" w:color="auto" w:sz="4" w:space="0"/>
            </w:tcBorders>
            <w:vAlign w:val="center"/>
          </w:tcPr>
          <w:p w14:paraId="3FA976E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氨气</w:t>
            </w:r>
          </w:p>
        </w:tc>
        <w:tc>
          <w:tcPr>
            <w:tcW w:w="1276" w:type="dxa"/>
            <w:gridSpan w:val="2"/>
            <w:tcBorders>
              <w:top w:val="single" w:color="auto" w:sz="4" w:space="0"/>
              <w:left w:val="single" w:color="auto" w:sz="4" w:space="0"/>
              <w:bottom w:val="single" w:color="auto" w:sz="4" w:space="0"/>
              <w:right w:val="single" w:color="auto" w:sz="4" w:space="0"/>
            </w:tcBorders>
            <w:noWrap/>
            <w:vAlign w:val="center"/>
          </w:tcPr>
          <w:p w14:paraId="6343065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0.048</w:t>
            </w:r>
          </w:p>
        </w:tc>
        <w:tc>
          <w:tcPr>
            <w:tcW w:w="2268" w:type="dxa"/>
            <w:tcBorders>
              <w:top w:val="single" w:color="auto" w:sz="4" w:space="0"/>
              <w:left w:val="single" w:color="auto" w:sz="4" w:space="0"/>
              <w:bottom w:val="single" w:color="auto" w:sz="4" w:space="0"/>
              <w:right w:val="single" w:color="auto" w:sz="4" w:space="0"/>
            </w:tcBorders>
            <w:noWrap/>
            <w:vAlign w:val="center"/>
          </w:tcPr>
          <w:p w14:paraId="1D56CE3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呼吸阀+二级水封</w:t>
            </w:r>
          </w:p>
        </w:tc>
        <w:tc>
          <w:tcPr>
            <w:tcW w:w="1503" w:type="dxa"/>
            <w:gridSpan w:val="2"/>
            <w:tcBorders>
              <w:top w:val="single" w:color="auto" w:sz="4" w:space="0"/>
              <w:left w:val="single" w:color="auto" w:sz="4" w:space="0"/>
              <w:bottom w:val="single" w:color="auto" w:sz="4" w:space="0"/>
              <w:right w:val="single" w:color="auto" w:sz="4" w:space="0"/>
            </w:tcBorders>
            <w:noWrap/>
            <w:vAlign w:val="center"/>
          </w:tcPr>
          <w:p w14:paraId="2632A81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0067617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0.0012</w:t>
            </w:r>
          </w:p>
        </w:tc>
        <w:tc>
          <w:tcPr>
            <w:tcW w:w="1275" w:type="dxa"/>
            <w:gridSpan w:val="2"/>
            <w:tcBorders>
              <w:top w:val="single" w:color="auto" w:sz="4" w:space="0"/>
              <w:left w:val="single" w:color="auto" w:sz="4" w:space="0"/>
              <w:bottom w:val="single" w:color="auto" w:sz="4" w:space="0"/>
              <w:right w:val="single" w:color="auto" w:sz="4" w:space="0"/>
            </w:tcBorders>
            <w:noWrap/>
            <w:vAlign w:val="center"/>
          </w:tcPr>
          <w:p w14:paraId="19129CF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0.0096</w:t>
            </w:r>
          </w:p>
        </w:tc>
        <w:tc>
          <w:tcPr>
            <w:tcW w:w="2147" w:type="dxa"/>
            <w:tcBorders>
              <w:top w:val="single" w:color="auto" w:sz="4" w:space="0"/>
              <w:left w:val="single" w:color="auto" w:sz="4" w:space="0"/>
              <w:bottom w:val="single" w:color="auto" w:sz="4" w:space="0"/>
              <w:right w:val="single" w:color="auto" w:sz="4" w:space="0"/>
            </w:tcBorders>
            <w:noWrap/>
            <w:vAlign w:val="center"/>
          </w:tcPr>
          <w:p w14:paraId="7A1BC8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r w14:paraId="63C1260E">
        <w:tblPrEx>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vAlign w:val="center"/>
          </w:tcPr>
          <w:p w14:paraId="6E2C410C">
            <w:pPr>
              <w:pStyle w:val="109"/>
              <w:rPr>
                <w:color w:val="000000" w:themeColor="text1"/>
                <w:szCs w:val="21"/>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noWrap/>
            <w:vAlign w:val="center"/>
          </w:tcPr>
          <w:p w14:paraId="32C86A3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未收集的储存、配伍废气</w:t>
            </w:r>
          </w:p>
        </w:tc>
        <w:tc>
          <w:tcPr>
            <w:tcW w:w="1701" w:type="dxa"/>
            <w:tcBorders>
              <w:top w:val="single" w:color="auto" w:sz="4" w:space="0"/>
              <w:left w:val="single" w:color="auto" w:sz="4" w:space="0"/>
              <w:bottom w:val="single" w:color="auto" w:sz="4" w:space="0"/>
              <w:right w:val="single" w:color="auto" w:sz="4" w:space="0"/>
            </w:tcBorders>
            <w:vAlign w:val="center"/>
          </w:tcPr>
          <w:p w14:paraId="4DA069D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VOCs</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1E0877F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0.025</w:t>
            </w:r>
          </w:p>
        </w:tc>
        <w:tc>
          <w:tcPr>
            <w:tcW w:w="2268" w:type="dxa"/>
            <w:tcBorders>
              <w:top w:val="single" w:color="auto" w:sz="4" w:space="0"/>
              <w:left w:val="single" w:color="auto" w:sz="4" w:space="0"/>
              <w:bottom w:val="single" w:color="auto" w:sz="4" w:space="0"/>
              <w:right w:val="single" w:color="auto" w:sz="4" w:space="0"/>
            </w:tcBorders>
            <w:noWrap/>
            <w:vAlign w:val="center"/>
          </w:tcPr>
          <w:p w14:paraId="45EE9D3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车间密闭</w:t>
            </w:r>
          </w:p>
        </w:tc>
        <w:tc>
          <w:tcPr>
            <w:tcW w:w="1503" w:type="dxa"/>
            <w:gridSpan w:val="2"/>
            <w:tcBorders>
              <w:top w:val="single" w:color="auto" w:sz="4" w:space="0"/>
              <w:left w:val="single" w:color="auto" w:sz="4" w:space="0"/>
              <w:bottom w:val="single" w:color="auto" w:sz="4" w:space="0"/>
              <w:right w:val="single" w:color="auto" w:sz="4" w:space="0"/>
            </w:tcBorders>
            <w:noWrap/>
            <w:vAlign w:val="center"/>
          </w:tcPr>
          <w:p w14:paraId="6E12FF9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69E3C97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0.0031</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62B518C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0.025</w:t>
            </w:r>
          </w:p>
        </w:tc>
        <w:tc>
          <w:tcPr>
            <w:tcW w:w="2147" w:type="dxa"/>
            <w:tcBorders>
              <w:top w:val="single" w:color="auto" w:sz="4" w:space="0"/>
              <w:left w:val="single" w:color="auto" w:sz="4" w:space="0"/>
              <w:bottom w:val="single" w:color="auto" w:sz="4" w:space="0"/>
              <w:right w:val="single" w:color="auto" w:sz="4" w:space="0"/>
            </w:tcBorders>
            <w:noWrap/>
            <w:vAlign w:val="center"/>
          </w:tcPr>
          <w:p w14:paraId="58843A6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bl>
    <w:p w14:paraId="03DDE079">
      <w:pPr>
        <w:ind w:firstLine="480"/>
        <w:rPr>
          <w:color w:val="000000" w:themeColor="text1"/>
          <w14:textFill>
            <w14:solidFill>
              <w14:schemeClr w14:val="tx1"/>
            </w14:solidFill>
          </w14:textFill>
        </w:rPr>
      </w:pPr>
    </w:p>
    <w:p w14:paraId="71F93F52">
      <w:pPr>
        <w:pStyle w:val="4"/>
        <w:rPr>
          <w:rFonts w:ascii="Times New Roman" w:cs="Times New Roman"/>
          <w:color w:val="000000" w:themeColor="text1"/>
          <w14:textFill>
            <w14:solidFill>
              <w14:schemeClr w14:val="tx1"/>
            </w14:solidFill>
          </w14:textFill>
        </w:rPr>
        <w:sectPr>
          <w:type w:val="nextColumn"/>
          <w:pgSz w:w="16838" w:h="11906" w:orient="landscape"/>
          <w:pgMar w:top="1247" w:right="1418" w:bottom="1247" w:left="1418" w:header="964" w:footer="964" w:gutter="0"/>
          <w:cols w:space="720" w:num="1"/>
          <w:docGrid w:linePitch="312" w:charSpace="0"/>
        </w:sectPr>
      </w:pPr>
    </w:p>
    <w:p w14:paraId="73464DAA">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废水</w:t>
      </w:r>
      <w:bookmarkEnd w:id="282"/>
    </w:p>
    <w:p w14:paraId="6B1E54FD">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废水来源及产生情况</w:t>
      </w:r>
    </w:p>
    <w:p w14:paraId="6C2A328D">
      <w:pPr>
        <w:ind w:firstLine="480"/>
        <w:rPr>
          <w:color w:val="000000" w:themeColor="text1"/>
          <w14:textFill>
            <w14:solidFill>
              <w14:schemeClr w14:val="tx1"/>
            </w14:solidFill>
          </w14:textFill>
        </w:rPr>
      </w:pPr>
      <w:bookmarkStart w:id="283" w:name="_Hlk63679594"/>
      <w:r>
        <w:rPr>
          <w:color w:val="000000" w:themeColor="text1"/>
          <w14:textFill>
            <w14:solidFill>
              <w14:schemeClr w14:val="tx1"/>
            </w14:solidFill>
          </w14:textFill>
        </w:rPr>
        <w:t>本项目排水主要包括：烟气处理系统废水、循环冷却系统排污水、化验室废水、地面冲洗废水、多效蒸发冷凝水、生活污水。</w:t>
      </w:r>
    </w:p>
    <w:p w14:paraId="29E2333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（1）烟气处理系统废水</w:t>
      </w:r>
    </w:p>
    <w:p w14:paraId="65D3F00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本项目急冷塔补水均在烟气降温过程中形成水蒸气，随废气进入后续碱液喷淋装置，无废水排放。</w:t>
      </w:r>
    </w:p>
    <w:p w14:paraId="0EACA3C6">
      <w:pPr>
        <w:ind w:firstLine="480"/>
        <w:rPr>
          <w:color w:val="000000" w:themeColor="text1"/>
          <w14:textFill>
            <w14:solidFill>
              <w14:schemeClr w14:val="tx1"/>
            </w14:solidFill>
          </w14:textFill>
        </w:rPr>
      </w:pPr>
      <w:r>
        <w:rPr>
          <w:color w:val="000000" w:themeColor="text1"/>
          <w14:textFill>
            <w14:solidFill>
              <w14:schemeClr w14:val="tx1"/>
            </w14:solidFill>
          </w14:textFill>
        </w:rPr>
        <w:t>一级碱液喷淋塔、二级碱液喷淋塔、水洗塔用水均为逆流操作，即水洗塔补充新鲜水，水洗塔的水逆流补充二级碱液喷淋塔，二级碱液喷淋塔的水逆流补充一级碱液喷淋塔，因此废水最终在一级碱液喷淋塔排出。</w:t>
      </w:r>
    </w:p>
    <w:p w14:paraId="1013AB3D">
      <w:pPr>
        <w:ind w:firstLine="480"/>
        <w:rPr>
          <w:color w:val="000000" w:themeColor="text1"/>
          <w14:textFill>
            <w14:solidFill>
              <w14:schemeClr w14:val="tx1"/>
            </w14:solidFill>
          </w14:textFill>
        </w:rPr>
      </w:pPr>
      <w:r>
        <w:rPr>
          <w:color w:val="000000" w:themeColor="text1"/>
          <w14:textFill>
            <w14:solidFill>
              <w14:schemeClr w14:val="tx1"/>
            </w14:solidFill>
          </w14:textFill>
        </w:rPr>
        <w:t>湿电除尘器冲洗用水在塔釜循环使用，定期排入二级碱液喷淋塔塔釜，最终有一级碱液喷淋塔排出。</w:t>
      </w:r>
    </w:p>
    <w:p w14:paraId="5D9D0180">
      <w:pPr>
        <w:ind w:firstLine="480"/>
        <w:rPr>
          <w:color w:val="000000" w:themeColor="text1"/>
          <w14:textFill>
            <w14:solidFill>
              <w14:schemeClr w14:val="tx1"/>
            </w14:solidFill>
          </w14:textFill>
        </w:rPr>
      </w:pPr>
      <w:r>
        <w:rPr>
          <w:color w:val="000000" w:themeColor="text1"/>
          <w14:textFill>
            <w14:solidFill>
              <w14:schemeClr w14:val="tx1"/>
            </w14:solidFill>
          </w14:textFill>
        </w:rPr>
        <w:t>根据设计单位提供的设计方案可知，一级碱液喷淋塔排水量为1.305m³/h，本项目年运行8000h，因此，排水量为10440m³/a，中和后排入多效蒸发器处理。</w:t>
      </w:r>
    </w:p>
    <w:p w14:paraId="6B4F6A22">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（2）循环冷却系统排污水</w:t>
      </w:r>
    </w:p>
    <w:p w14:paraId="60A7840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本项目厂内建设1套循环量200m³/h 的冷却系统，循环冷却水系统定期排污，排水量按循环量的</w:t>
      </w:r>
      <w:r>
        <w:rPr>
          <w:rFonts w:eastAsia="Times New Roman"/>
          <w:color w:val="000000" w:themeColor="text1"/>
          <w14:textFill>
            <w14:solidFill>
              <w14:schemeClr w14:val="tx1"/>
            </w14:solidFill>
          </w14:textFill>
        </w:rPr>
        <w:t>0.2%</w:t>
      </w:r>
      <w:r>
        <w:rPr>
          <w:color w:val="000000" w:themeColor="text1"/>
          <w14:textFill>
            <w14:solidFill>
              <w14:schemeClr w14:val="tx1"/>
            </w14:solidFill>
          </w14:textFill>
        </w:rPr>
        <w:t>计，因此，循环冷却水排污水总计</w:t>
      </w:r>
      <w:r>
        <w:rPr>
          <w:color w:val="000000" w:themeColor="text1"/>
          <w:lang w:bidi="en-US"/>
          <w14:textFill>
            <w14:solidFill>
              <w14:schemeClr w14:val="tx1"/>
            </w14:solidFill>
          </w14:textFill>
        </w:rPr>
        <w:t>3</w:t>
      </w:r>
      <w:r>
        <w:rPr>
          <w:rFonts w:eastAsiaTheme="minorEastAsia"/>
          <w:color w:val="000000" w:themeColor="text1"/>
          <w:lang w:bidi="en-US"/>
          <w14:textFill>
            <w14:solidFill>
              <w14:schemeClr w14:val="tx1"/>
            </w14:solidFill>
          </w14:textFill>
        </w:rPr>
        <w:t>200m³</w:t>
      </w: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，排入园区市政污水管网</w:t>
      </w:r>
      <w:r>
        <w:rPr>
          <w:color w:val="000000" w:themeColor="text1"/>
          <w14:textFill>
            <w14:solidFill>
              <w14:schemeClr w14:val="tx1"/>
            </w14:solidFill>
          </w14:textFill>
        </w:rPr>
        <w:t>。</w:t>
      </w:r>
    </w:p>
    <w:p w14:paraId="157FD256">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（3）化验室废水</w:t>
      </w:r>
    </w:p>
    <w:p w14:paraId="63B4FB0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本项目化验工序仪器冲洗会产生化验废水，前两遍的清洗废水作为危废处置，后续的冲洗水作为废水排入</w:t>
      </w:r>
      <w:r>
        <w:rPr>
          <w:color w:val="000000" w:themeColor="text1"/>
          <w:lang w:bidi="en-US"/>
          <w14:textFill>
            <w14:solidFill>
              <w14:schemeClr w14:val="tx1"/>
            </w14:solidFill>
          </w14:textFill>
        </w:rPr>
        <w:t>园区市政污水管网，化验废水产生量约为用水量的90%，约14.85m³/a，排入园区市政污水管网</w:t>
      </w:r>
      <w:r>
        <w:rPr>
          <w:color w:val="000000" w:themeColor="text1"/>
          <w14:textFill>
            <w14:solidFill>
              <w14:schemeClr w14:val="tx1"/>
            </w14:solidFill>
          </w14:textFill>
        </w:rPr>
        <w:t>。</w:t>
      </w:r>
    </w:p>
    <w:p w14:paraId="310EB720">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（4）地面冲洗废水</w:t>
      </w:r>
    </w:p>
    <w:p w14:paraId="1C9404F8">
      <w:pPr>
        <w:ind w:firstLine="480"/>
        <w:rPr>
          <w:color w:val="000000" w:themeColor="text1"/>
          <w14:textFill>
            <w14:solidFill>
              <w14:schemeClr w14:val="tx1"/>
            </w14:solidFill>
          </w14:textFill>
        </w:rPr>
      </w:pPr>
      <w:r>
        <w:rPr>
          <w:color w:val="000000" w:themeColor="text1"/>
          <w14:textFill>
            <w14:solidFill>
              <w14:schemeClr w14:val="tx1"/>
            </w14:solidFill>
          </w14:textFill>
        </w:rPr>
        <w:t>冲洗废水主要是来自车间的地面冲洗废水，冲洗废水产生量约为用水量的80%，约20.8m³/a</w:t>
      </w:r>
      <w:r>
        <w:rPr>
          <w:color w:val="000000" w:themeColor="text1"/>
          <w:lang w:bidi="en-US"/>
          <w14:textFill>
            <w14:solidFill>
              <w14:schemeClr w14:val="tx1"/>
            </w14:solidFill>
          </w14:textFill>
        </w:rPr>
        <w:t>，排入园区市政污水管网</w:t>
      </w:r>
      <w:r>
        <w:rPr>
          <w:color w:val="000000" w:themeColor="text1"/>
          <w14:textFill>
            <w14:solidFill>
              <w14:schemeClr w14:val="tx1"/>
            </w14:solidFill>
          </w14:textFill>
        </w:rPr>
        <w:t>。</w:t>
      </w:r>
    </w:p>
    <w:p w14:paraId="758F565D">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（5）多效蒸发冷凝水</w:t>
      </w:r>
    </w:p>
    <w:p w14:paraId="16F1177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烟气处理系统废水中和后进入多效蒸发器蒸除盐分，蒸发过程产生的水蒸气经一级常温冷凝器冷凝后作为水洗塔和急冷塔补水使用。烟气处理系统废水产生量为10440m³/a，蒸出的盐分含水率约15%，约40m³/a。其余水分以水蒸气的形式进入冷凝器冷凝成水，冷凝效率约90%，由此计算，该部分冷凝水产生量为9360m³/a。</w:t>
      </w:r>
    </w:p>
    <w:p w14:paraId="3A1CDBA9">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（6）生活污水系统</w:t>
      </w:r>
    </w:p>
    <w:p w14:paraId="16570B9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本项目生活用水约495m³/a，按 20%损耗计，生活污水约396m³/a。生活污水经化粪池处理达标后，排入园区</w:t>
      </w:r>
      <w:r>
        <w:rPr>
          <w:color w:val="000000" w:themeColor="text1"/>
          <w:lang w:bidi="en-US"/>
          <w14:textFill>
            <w14:solidFill>
              <w14:schemeClr w14:val="tx1"/>
            </w14:solidFill>
          </w14:textFill>
        </w:rPr>
        <w:t>市政</w:t>
      </w:r>
      <w:r>
        <w:rPr>
          <w:color w:val="000000" w:themeColor="text1"/>
          <w14:textFill>
            <w14:solidFill>
              <w14:schemeClr w14:val="tx1"/>
            </w14:solidFill>
          </w14:textFill>
        </w:rPr>
        <w:t>污水管网。</w:t>
      </w:r>
    </w:p>
    <w:p w14:paraId="5AD5A26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本项目废水产生及排放情况见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50C494C6">
      <w:pPr>
        <w:pStyle w:val="117"/>
        <w:rPr>
          <w:rFonts w:ascii="Times New Roman" w:hAnsi="Times New Roman" w:cs="Times New Roman"/>
          <w:b/>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项目废水污染源产排情况汇总表</w:t>
      </w:r>
    </w:p>
    <w:tbl>
      <w:tblPr>
        <w:tblStyle w:val="76"/>
        <w:tblW w:w="9378" w:type="dxa"/>
        <w:tblInd w:w="0" w:type="dxa"/>
        <w:tblLayout w:type="autofit"/>
        <w:tblCellMar>
          <w:top w:w="0" w:type="dxa"/>
          <w:left w:w="108" w:type="dxa"/>
          <w:bottom w:w="0" w:type="dxa"/>
          <w:right w:w="108" w:type="dxa"/>
        </w:tblCellMar>
      </w:tblPr>
      <w:tblGrid>
        <w:gridCol w:w="1129"/>
        <w:gridCol w:w="1445"/>
        <w:gridCol w:w="2268"/>
        <w:gridCol w:w="1686"/>
        <w:gridCol w:w="1716"/>
        <w:gridCol w:w="1134"/>
      </w:tblGrid>
      <w:tr w14:paraId="1AEC1420">
        <w:tblPrEx>
          <w:tblCellMar>
            <w:top w:w="0" w:type="dxa"/>
            <w:left w:w="108" w:type="dxa"/>
            <w:bottom w:w="0" w:type="dxa"/>
            <w:right w:w="108" w:type="dxa"/>
          </w:tblCellMar>
        </w:tblPrEx>
        <w:trPr>
          <w:trHeight w:val="288" w:hRule="atLeast"/>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2D26374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7115" w:type="dxa"/>
            <w:gridSpan w:val="4"/>
            <w:tcBorders>
              <w:top w:val="single" w:color="auto" w:sz="4" w:space="0"/>
              <w:left w:val="nil"/>
              <w:bottom w:val="single" w:color="auto" w:sz="4" w:space="0"/>
              <w:right w:val="single" w:color="auto" w:sz="4" w:space="0"/>
            </w:tcBorders>
            <w:vAlign w:val="center"/>
          </w:tcPr>
          <w:p w14:paraId="2E243B3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污染源强</w:t>
            </w:r>
          </w:p>
        </w:tc>
        <w:tc>
          <w:tcPr>
            <w:tcW w:w="1134" w:type="dxa"/>
            <w:vMerge w:val="restart"/>
            <w:tcBorders>
              <w:top w:val="single" w:color="auto" w:sz="4" w:space="0"/>
              <w:left w:val="single" w:color="auto" w:sz="4" w:space="0"/>
              <w:right w:val="single" w:color="auto" w:sz="4" w:space="0"/>
            </w:tcBorders>
            <w:vAlign w:val="center"/>
          </w:tcPr>
          <w:p w14:paraId="3F00C0A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治理措施</w:t>
            </w:r>
          </w:p>
        </w:tc>
      </w:tr>
      <w:tr w14:paraId="4447BA6B">
        <w:tblPrEx>
          <w:tblCellMar>
            <w:top w:w="0" w:type="dxa"/>
            <w:left w:w="108" w:type="dxa"/>
            <w:bottom w:w="0" w:type="dxa"/>
            <w:right w:w="108" w:type="dxa"/>
          </w:tblCellMar>
        </w:tblPrEx>
        <w:trPr>
          <w:trHeight w:val="288" w:hRule="atLeast"/>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6DCCC559">
            <w:pPr>
              <w:pStyle w:val="109"/>
              <w:rPr>
                <w:color w:val="000000" w:themeColor="text1"/>
                <w14:textFill>
                  <w14:solidFill>
                    <w14:schemeClr w14:val="tx1"/>
                  </w14:solidFill>
                </w14:textFill>
              </w:rPr>
            </w:pPr>
          </w:p>
        </w:tc>
        <w:tc>
          <w:tcPr>
            <w:tcW w:w="1445" w:type="dxa"/>
            <w:vMerge w:val="restart"/>
            <w:tcBorders>
              <w:top w:val="nil"/>
              <w:left w:val="single" w:color="auto" w:sz="4" w:space="0"/>
              <w:bottom w:val="single" w:color="auto" w:sz="4" w:space="0"/>
              <w:right w:val="single" w:color="auto" w:sz="4" w:space="0"/>
            </w:tcBorders>
            <w:vAlign w:val="center"/>
          </w:tcPr>
          <w:p w14:paraId="63BBCA3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废水量</w:t>
            </w:r>
            <w:r>
              <w:rPr>
                <w:color w:val="000000" w:themeColor="text1"/>
                <w14:textFill>
                  <w14:solidFill>
                    <w14:schemeClr w14:val="tx1"/>
                  </w14:solidFill>
                </w14:textFill>
              </w:rPr>
              <w:t>m³/a</w:t>
            </w:r>
          </w:p>
        </w:tc>
        <w:tc>
          <w:tcPr>
            <w:tcW w:w="2268" w:type="dxa"/>
            <w:vMerge w:val="restart"/>
            <w:tcBorders>
              <w:top w:val="nil"/>
              <w:left w:val="single" w:color="auto" w:sz="4" w:space="0"/>
              <w:bottom w:val="single" w:color="auto" w:sz="4" w:space="0"/>
              <w:right w:val="single" w:color="auto" w:sz="4" w:space="0"/>
            </w:tcBorders>
            <w:vAlign w:val="center"/>
          </w:tcPr>
          <w:p w14:paraId="364A570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1686" w:type="dxa"/>
            <w:tcBorders>
              <w:top w:val="nil"/>
              <w:left w:val="nil"/>
              <w:bottom w:val="single" w:color="auto" w:sz="4" w:space="0"/>
              <w:right w:val="single" w:color="auto" w:sz="4" w:space="0"/>
            </w:tcBorders>
            <w:vAlign w:val="center"/>
          </w:tcPr>
          <w:p w14:paraId="5CF8C13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p>
        </w:tc>
        <w:tc>
          <w:tcPr>
            <w:tcW w:w="1716" w:type="dxa"/>
            <w:tcBorders>
              <w:top w:val="nil"/>
              <w:left w:val="nil"/>
              <w:bottom w:val="single" w:color="auto" w:sz="4" w:space="0"/>
              <w:right w:val="single" w:color="auto" w:sz="4" w:space="0"/>
            </w:tcBorders>
            <w:vAlign w:val="center"/>
          </w:tcPr>
          <w:p w14:paraId="4E1849F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p>
        </w:tc>
        <w:tc>
          <w:tcPr>
            <w:tcW w:w="1134" w:type="dxa"/>
            <w:vMerge w:val="continue"/>
            <w:tcBorders>
              <w:left w:val="single" w:color="auto" w:sz="4" w:space="0"/>
              <w:right w:val="single" w:color="auto" w:sz="4" w:space="0"/>
            </w:tcBorders>
            <w:vAlign w:val="center"/>
          </w:tcPr>
          <w:p w14:paraId="14DB8345">
            <w:pPr>
              <w:pStyle w:val="109"/>
              <w:rPr>
                <w:color w:val="000000" w:themeColor="text1"/>
                <w14:textFill>
                  <w14:solidFill>
                    <w14:schemeClr w14:val="tx1"/>
                  </w14:solidFill>
                </w14:textFill>
              </w:rPr>
            </w:pPr>
          </w:p>
        </w:tc>
      </w:tr>
      <w:tr w14:paraId="6F7E9547">
        <w:tblPrEx>
          <w:tblCellMar>
            <w:top w:w="0" w:type="dxa"/>
            <w:left w:w="108" w:type="dxa"/>
            <w:bottom w:w="0" w:type="dxa"/>
            <w:right w:w="108" w:type="dxa"/>
          </w:tblCellMar>
        </w:tblPrEx>
        <w:trPr>
          <w:trHeight w:val="276" w:hRule="atLeast"/>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0EC7783C">
            <w:pPr>
              <w:pStyle w:val="109"/>
              <w:rPr>
                <w:color w:val="000000" w:themeColor="text1"/>
                <w14:textFill>
                  <w14:solidFill>
                    <w14:schemeClr w14:val="tx1"/>
                  </w14:solidFill>
                </w14:textFill>
              </w:rPr>
            </w:pPr>
          </w:p>
        </w:tc>
        <w:tc>
          <w:tcPr>
            <w:tcW w:w="1445" w:type="dxa"/>
            <w:vMerge w:val="continue"/>
            <w:tcBorders>
              <w:top w:val="nil"/>
              <w:left w:val="single" w:color="auto" w:sz="4" w:space="0"/>
              <w:bottom w:val="single" w:color="auto" w:sz="4" w:space="0"/>
              <w:right w:val="single" w:color="auto" w:sz="4" w:space="0"/>
            </w:tcBorders>
            <w:vAlign w:val="center"/>
          </w:tcPr>
          <w:p w14:paraId="155C55B7">
            <w:pPr>
              <w:pStyle w:val="109"/>
              <w:rPr>
                <w:color w:val="000000" w:themeColor="text1"/>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vAlign w:val="center"/>
          </w:tcPr>
          <w:p w14:paraId="1250FEA3">
            <w:pPr>
              <w:pStyle w:val="109"/>
              <w:rPr>
                <w:color w:val="000000" w:themeColor="text1"/>
                <w14:textFill>
                  <w14:solidFill>
                    <w14:schemeClr w14:val="tx1"/>
                  </w14:solidFill>
                </w14:textFill>
              </w:rPr>
            </w:pPr>
          </w:p>
        </w:tc>
        <w:tc>
          <w:tcPr>
            <w:tcW w:w="1686" w:type="dxa"/>
            <w:tcBorders>
              <w:top w:val="nil"/>
              <w:left w:val="nil"/>
              <w:bottom w:val="single" w:color="auto" w:sz="4" w:space="0"/>
              <w:right w:val="single" w:color="auto" w:sz="4" w:space="0"/>
            </w:tcBorders>
            <w:vAlign w:val="center"/>
          </w:tcPr>
          <w:p w14:paraId="48456C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mg/L</w:t>
            </w:r>
          </w:p>
        </w:tc>
        <w:tc>
          <w:tcPr>
            <w:tcW w:w="1716" w:type="dxa"/>
            <w:tcBorders>
              <w:top w:val="nil"/>
              <w:left w:val="nil"/>
              <w:bottom w:val="single" w:color="auto" w:sz="4" w:space="0"/>
              <w:right w:val="single" w:color="auto" w:sz="4" w:space="0"/>
            </w:tcBorders>
            <w:vAlign w:val="center"/>
          </w:tcPr>
          <w:p w14:paraId="2A675BA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1134" w:type="dxa"/>
            <w:vMerge w:val="continue"/>
            <w:tcBorders>
              <w:left w:val="single" w:color="auto" w:sz="4" w:space="0"/>
              <w:bottom w:val="single" w:color="auto" w:sz="4" w:space="0"/>
              <w:right w:val="single" w:color="auto" w:sz="4" w:space="0"/>
            </w:tcBorders>
            <w:vAlign w:val="center"/>
          </w:tcPr>
          <w:p w14:paraId="5A32F219">
            <w:pPr>
              <w:pStyle w:val="109"/>
              <w:rPr>
                <w:color w:val="000000" w:themeColor="text1"/>
                <w14:textFill>
                  <w14:solidFill>
                    <w14:schemeClr w14:val="tx1"/>
                  </w14:solidFill>
                </w14:textFill>
              </w:rPr>
            </w:pPr>
          </w:p>
        </w:tc>
      </w:tr>
      <w:tr w14:paraId="5864E9B9">
        <w:tblPrEx>
          <w:tblCellMar>
            <w:top w:w="0" w:type="dxa"/>
            <w:left w:w="108" w:type="dxa"/>
            <w:bottom w:w="0" w:type="dxa"/>
            <w:right w:w="108" w:type="dxa"/>
          </w:tblCellMar>
        </w:tblPrEx>
        <w:trPr>
          <w:trHeight w:val="288" w:hRule="atLeast"/>
        </w:trPr>
        <w:tc>
          <w:tcPr>
            <w:tcW w:w="1129" w:type="dxa"/>
            <w:vMerge w:val="restart"/>
            <w:tcBorders>
              <w:top w:val="nil"/>
              <w:left w:val="single" w:color="auto" w:sz="4" w:space="0"/>
              <w:bottom w:val="single" w:color="auto" w:sz="4" w:space="0"/>
              <w:right w:val="single" w:color="auto" w:sz="4" w:space="0"/>
            </w:tcBorders>
            <w:vAlign w:val="center"/>
          </w:tcPr>
          <w:p w14:paraId="6631A9B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烟气处理系统废水</w:t>
            </w:r>
          </w:p>
        </w:tc>
        <w:tc>
          <w:tcPr>
            <w:tcW w:w="1445" w:type="dxa"/>
            <w:vMerge w:val="restart"/>
            <w:tcBorders>
              <w:top w:val="nil"/>
              <w:left w:val="nil"/>
              <w:right w:val="single" w:color="auto" w:sz="4" w:space="0"/>
            </w:tcBorders>
            <w:vAlign w:val="center"/>
          </w:tcPr>
          <w:p w14:paraId="1A48EB7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10440</w:t>
            </w:r>
          </w:p>
        </w:tc>
        <w:tc>
          <w:tcPr>
            <w:tcW w:w="2268" w:type="dxa"/>
            <w:tcBorders>
              <w:top w:val="nil"/>
              <w:left w:val="nil"/>
              <w:bottom w:val="single" w:color="auto" w:sz="4" w:space="0"/>
              <w:right w:val="single" w:color="auto" w:sz="4" w:space="0"/>
            </w:tcBorders>
            <w:vAlign w:val="center"/>
          </w:tcPr>
          <w:p w14:paraId="7A7DCBC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1686" w:type="dxa"/>
            <w:tcBorders>
              <w:top w:val="nil"/>
              <w:left w:val="nil"/>
              <w:bottom w:val="single" w:color="auto" w:sz="4" w:space="0"/>
              <w:right w:val="single" w:color="auto" w:sz="4" w:space="0"/>
            </w:tcBorders>
            <w:vAlign w:val="center"/>
          </w:tcPr>
          <w:p w14:paraId="46FEACA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100</w:t>
            </w:r>
          </w:p>
        </w:tc>
        <w:tc>
          <w:tcPr>
            <w:tcW w:w="1716" w:type="dxa"/>
            <w:tcBorders>
              <w:top w:val="nil"/>
              <w:left w:val="nil"/>
              <w:bottom w:val="single" w:color="auto" w:sz="4" w:space="0"/>
              <w:right w:val="single" w:color="auto" w:sz="4" w:space="0"/>
            </w:tcBorders>
            <w:vAlign w:val="center"/>
          </w:tcPr>
          <w:p w14:paraId="3332D1D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1.044</w:t>
            </w:r>
          </w:p>
        </w:tc>
        <w:tc>
          <w:tcPr>
            <w:tcW w:w="1134" w:type="dxa"/>
            <w:vMerge w:val="restart"/>
            <w:tcBorders>
              <w:top w:val="nil"/>
              <w:left w:val="single" w:color="auto" w:sz="4" w:space="0"/>
              <w:bottom w:val="single" w:color="auto" w:sz="4" w:space="0"/>
              <w:right w:val="single" w:color="auto" w:sz="4" w:space="0"/>
            </w:tcBorders>
            <w:vAlign w:val="center"/>
          </w:tcPr>
          <w:p w14:paraId="3FA92E6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多效蒸发器处理后，冷凝水全部回用</w:t>
            </w:r>
          </w:p>
        </w:tc>
      </w:tr>
      <w:tr w14:paraId="3FB7F8F1">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326737AC">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3CCF96AE">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02D458D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686" w:type="dxa"/>
            <w:tcBorders>
              <w:top w:val="nil"/>
              <w:left w:val="nil"/>
              <w:bottom w:val="single" w:color="auto" w:sz="4" w:space="0"/>
              <w:right w:val="single" w:color="auto" w:sz="4" w:space="0"/>
            </w:tcBorders>
            <w:vAlign w:val="center"/>
          </w:tcPr>
          <w:p w14:paraId="276122D3">
            <w:pPr>
              <w:pStyle w:val="109"/>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2</w:t>
            </w:r>
          </w:p>
        </w:tc>
        <w:tc>
          <w:tcPr>
            <w:tcW w:w="1716" w:type="dxa"/>
            <w:tcBorders>
              <w:top w:val="nil"/>
              <w:left w:val="nil"/>
              <w:bottom w:val="single" w:color="auto" w:sz="4" w:space="0"/>
              <w:right w:val="single" w:color="auto" w:sz="4" w:space="0"/>
            </w:tcBorders>
            <w:vAlign w:val="center"/>
          </w:tcPr>
          <w:p w14:paraId="5481AFA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r>
              <w:rPr>
                <w:rFonts w:hint="eastAsia" w:eastAsia="等线"/>
                <w:color w:val="000000" w:themeColor="text1"/>
                <w14:textFill>
                  <w14:solidFill>
                    <w14:schemeClr w14:val="tx1"/>
                  </w14:solidFill>
                </w14:textFill>
              </w:rPr>
              <w:t>021</w:t>
            </w:r>
          </w:p>
        </w:tc>
        <w:tc>
          <w:tcPr>
            <w:tcW w:w="1134" w:type="dxa"/>
            <w:vMerge w:val="continue"/>
            <w:tcBorders>
              <w:top w:val="nil"/>
              <w:left w:val="single" w:color="auto" w:sz="4" w:space="0"/>
              <w:bottom w:val="single" w:color="auto" w:sz="4" w:space="0"/>
              <w:right w:val="single" w:color="auto" w:sz="4" w:space="0"/>
            </w:tcBorders>
            <w:vAlign w:val="center"/>
          </w:tcPr>
          <w:p w14:paraId="0E3C7097">
            <w:pPr>
              <w:pStyle w:val="109"/>
              <w:rPr>
                <w:color w:val="000000" w:themeColor="text1"/>
                <w14:textFill>
                  <w14:solidFill>
                    <w14:schemeClr w14:val="tx1"/>
                  </w14:solidFill>
                </w14:textFill>
              </w:rPr>
            </w:pPr>
          </w:p>
        </w:tc>
      </w:tr>
      <w:tr w14:paraId="01D960D5">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0FD61636">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231ED53C">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70E71A7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全盐量</w:t>
            </w:r>
          </w:p>
        </w:tc>
        <w:tc>
          <w:tcPr>
            <w:tcW w:w="1686" w:type="dxa"/>
            <w:tcBorders>
              <w:top w:val="nil"/>
              <w:left w:val="nil"/>
              <w:bottom w:val="single" w:color="auto" w:sz="4" w:space="0"/>
              <w:right w:val="single" w:color="auto" w:sz="4" w:space="0"/>
            </w:tcBorders>
            <w:vAlign w:val="center"/>
          </w:tcPr>
          <w:p w14:paraId="6CEE2B0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104741 </w:t>
            </w:r>
          </w:p>
        </w:tc>
        <w:tc>
          <w:tcPr>
            <w:tcW w:w="1716" w:type="dxa"/>
            <w:tcBorders>
              <w:top w:val="nil"/>
              <w:left w:val="nil"/>
              <w:bottom w:val="single" w:color="auto" w:sz="4" w:space="0"/>
              <w:right w:val="single" w:color="auto" w:sz="4" w:space="0"/>
            </w:tcBorders>
            <w:vAlign w:val="center"/>
          </w:tcPr>
          <w:p w14:paraId="07F4A9F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1093.5</w:t>
            </w:r>
          </w:p>
        </w:tc>
        <w:tc>
          <w:tcPr>
            <w:tcW w:w="1134" w:type="dxa"/>
            <w:vMerge w:val="continue"/>
            <w:tcBorders>
              <w:top w:val="nil"/>
              <w:left w:val="single" w:color="auto" w:sz="4" w:space="0"/>
              <w:bottom w:val="single" w:color="auto" w:sz="4" w:space="0"/>
              <w:right w:val="single" w:color="auto" w:sz="4" w:space="0"/>
            </w:tcBorders>
            <w:vAlign w:val="center"/>
          </w:tcPr>
          <w:p w14:paraId="502A4D04">
            <w:pPr>
              <w:pStyle w:val="109"/>
              <w:rPr>
                <w:color w:val="000000" w:themeColor="text1"/>
                <w14:textFill>
                  <w14:solidFill>
                    <w14:schemeClr w14:val="tx1"/>
                  </w14:solidFill>
                </w14:textFill>
              </w:rPr>
            </w:pPr>
          </w:p>
        </w:tc>
      </w:tr>
      <w:tr w14:paraId="47CC00A5">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0B647EB5">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295DA97E">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093C190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汞及其化合物</w:t>
            </w:r>
          </w:p>
        </w:tc>
        <w:tc>
          <w:tcPr>
            <w:tcW w:w="1686" w:type="dxa"/>
            <w:tcBorders>
              <w:top w:val="nil"/>
              <w:left w:val="nil"/>
              <w:bottom w:val="single" w:color="auto" w:sz="4" w:space="0"/>
              <w:right w:val="single" w:color="auto" w:sz="4" w:space="0"/>
            </w:tcBorders>
            <w:vAlign w:val="center"/>
          </w:tcPr>
          <w:p w14:paraId="619949C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0.47 </w:t>
            </w:r>
          </w:p>
        </w:tc>
        <w:tc>
          <w:tcPr>
            <w:tcW w:w="1716" w:type="dxa"/>
            <w:tcBorders>
              <w:top w:val="nil"/>
              <w:left w:val="nil"/>
              <w:bottom w:val="single" w:color="auto" w:sz="4" w:space="0"/>
              <w:right w:val="single" w:color="auto" w:sz="4" w:space="0"/>
            </w:tcBorders>
            <w:vAlign w:val="center"/>
          </w:tcPr>
          <w:p w14:paraId="50B0D8E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0.0049</w:t>
            </w:r>
          </w:p>
        </w:tc>
        <w:tc>
          <w:tcPr>
            <w:tcW w:w="1134" w:type="dxa"/>
            <w:vMerge w:val="continue"/>
            <w:tcBorders>
              <w:top w:val="nil"/>
              <w:left w:val="single" w:color="auto" w:sz="4" w:space="0"/>
              <w:bottom w:val="single" w:color="auto" w:sz="4" w:space="0"/>
              <w:right w:val="single" w:color="auto" w:sz="4" w:space="0"/>
            </w:tcBorders>
            <w:vAlign w:val="center"/>
          </w:tcPr>
          <w:p w14:paraId="2B7F2570">
            <w:pPr>
              <w:pStyle w:val="109"/>
              <w:rPr>
                <w:color w:val="000000" w:themeColor="text1"/>
                <w14:textFill>
                  <w14:solidFill>
                    <w14:schemeClr w14:val="tx1"/>
                  </w14:solidFill>
                </w14:textFill>
              </w:rPr>
            </w:pPr>
          </w:p>
        </w:tc>
      </w:tr>
      <w:tr w14:paraId="3D670F3A">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7841944D">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06E3506D">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5991223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铊及其化合物</w:t>
            </w:r>
          </w:p>
        </w:tc>
        <w:tc>
          <w:tcPr>
            <w:tcW w:w="1686" w:type="dxa"/>
            <w:tcBorders>
              <w:top w:val="nil"/>
              <w:left w:val="nil"/>
              <w:bottom w:val="single" w:color="auto" w:sz="4" w:space="0"/>
              <w:right w:val="single" w:color="auto" w:sz="4" w:space="0"/>
            </w:tcBorders>
            <w:vAlign w:val="center"/>
          </w:tcPr>
          <w:p w14:paraId="2FDA6FC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0.023 </w:t>
            </w:r>
          </w:p>
        </w:tc>
        <w:tc>
          <w:tcPr>
            <w:tcW w:w="1716" w:type="dxa"/>
            <w:tcBorders>
              <w:top w:val="nil"/>
              <w:left w:val="nil"/>
              <w:bottom w:val="single" w:color="auto" w:sz="4" w:space="0"/>
              <w:right w:val="single" w:color="auto" w:sz="4" w:space="0"/>
            </w:tcBorders>
            <w:vAlign w:val="center"/>
          </w:tcPr>
          <w:p w14:paraId="69FFBA7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0.000245</w:t>
            </w:r>
          </w:p>
        </w:tc>
        <w:tc>
          <w:tcPr>
            <w:tcW w:w="1134" w:type="dxa"/>
            <w:vMerge w:val="continue"/>
            <w:tcBorders>
              <w:top w:val="nil"/>
              <w:left w:val="single" w:color="auto" w:sz="4" w:space="0"/>
              <w:bottom w:val="single" w:color="auto" w:sz="4" w:space="0"/>
              <w:right w:val="single" w:color="auto" w:sz="4" w:space="0"/>
            </w:tcBorders>
            <w:vAlign w:val="center"/>
          </w:tcPr>
          <w:p w14:paraId="12A0C9B6">
            <w:pPr>
              <w:pStyle w:val="109"/>
              <w:rPr>
                <w:color w:val="000000" w:themeColor="text1"/>
                <w14:textFill>
                  <w14:solidFill>
                    <w14:schemeClr w14:val="tx1"/>
                  </w14:solidFill>
                </w14:textFill>
              </w:rPr>
            </w:pPr>
          </w:p>
        </w:tc>
      </w:tr>
      <w:tr w14:paraId="678BECCD">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35C0022E">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22207DF2">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538C819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镉及其化合物</w:t>
            </w:r>
          </w:p>
        </w:tc>
        <w:tc>
          <w:tcPr>
            <w:tcW w:w="1686" w:type="dxa"/>
            <w:tcBorders>
              <w:top w:val="nil"/>
              <w:left w:val="nil"/>
              <w:bottom w:val="single" w:color="auto" w:sz="4" w:space="0"/>
              <w:right w:val="single" w:color="auto" w:sz="4" w:space="0"/>
            </w:tcBorders>
            <w:vAlign w:val="center"/>
          </w:tcPr>
          <w:p w14:paraId="505414B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1.41 </w:t>
            </w:r>
          </w:p>
        </w:tc>
        <w:tc>
          <w:tcPr>
            <w:tcW w:w="1716" w:type="dxa"/>
            <w:tcBorders>
              <w:top w:val="nil"/>
              <w:left w:val="nil"/>
              <w:bottom w:val="single" w:color="auto" w:sz="4" w:space="0"/>
              <w:right w:val="single" w:color="auto" w:sz="4" w:space="0"/>
            </w:tcBorders>
            <w:vAlign w:val="center"/>
          </w:tcPr>
          <w:p w14:paraId="44AB4CF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0.0147</w:t>
            </w:r>
          </w:p>
        </w:tc>
        <w:tc>
          <w:tcPr>
            <w:tcW w:w="1134" w:type="dxa"/>
            <w:vMerge w:val="continue"/>
            <w:tcBorders>
              <w:top w:val="nil"/>
              <w:left w:val="single" w:color="auto" w:sz="4" w:space="0"/>
              <w:bottom w:val="single" w:color="auto" w:sz="4" w:space="0"/>
              <w:right w:val="single" w:color="auto" w:sz="4" w:space="0"/>
            </w:tcBorders>
            <w:vAlign w:val="center"/>
          </w:tcPr>
          <w:p w14:paraId="7AB40760">
            <w:pPr>
              <w:pStyle w:val="109"/>
              <w:rPr>
                <w:color w:val="000000" w:themeColor="text1"/>
                <w14:textFill>
                  <w14:solidFill>
                    <w14:schemeClr w14:val="tx1"/>
                  </w14:solidFill>
                </w14:textFill>
              </w:rPr>
            </w:pPr>
          </w:p>
        </w:tc>
      </w:tr>
      <w:tr w14:paraId="28D06855">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7E086948">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23BBF62E">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7CE0027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铅及其化合物</w:t>
            </w:r>
          </w:p>
        </w:tc>
        <w:tc>
          <w:tcPr>
            <w:tcW w:w="1686" w:type="dxa"/>
            <w:tcBorders>
              <w:top w:val="nil"/>
              <w:left w:val="nil"/>
              <w:bottom w:val="single" w:color="auto" w:sz="4" w:space="0"/>
              <w:right w:val="single" w:color="auto" w:sz="4" w:space="0"/>
            </w:tcBorders>
            <w:vAlign w:val="center"/>
          </w:tcPr>
          <w:p w14:paraId="38CBCBE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4.69 </w:t>
            </w:r>
          </w:p>
        </w:tc>
        <w:tc>
          <w:tcPr>
            <w:tcW w:w="1716" w:type="dxa"/>
            <w:tcBorders>
              <w:top w:val="nil"/>
              <w:left w:val="nil"/>
              <w:bottom w:val="single" w:color="auto" w:sz="4" w:space="0"/>
              <w:right w:val="single" w:color="auto" w:sz="4" w:space="0"/>
            </w:tcBorders>
            <w:vAlign w:val="center"/>
          </w:tcPr>
          <w:p w14:paraId="7D5A1EC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0.049</w:t>
            </w:r>
          </w:p>
        </w:tc>
        <w:tc>
          <w:tcPr>
            <w:tcW w:w="1134" w:type="dxa"/>
            <w:vMerge w:val="continue"/>
            <w:tcBorders>
              <w:top w:val="nil"/>
              <w:left w:val="single" w:color="auto" w:sz="4" w:space="0"/>
              <w:bottom w:val="single" w:color="auto" w:sz="4" w:space="0"/>
              <w:right w:val="single" w:color="auto" w:sz="4" w:space="0"/>
            </w:tcBorders>
            <w:vAlign w:val="center"/>
          </w:tcPr>
          <w:p w14:paraId="055BAB89">
            <w:pPr>
              <w:pStyle w:val="109"/>
              <w:rPr>
                <w:color w:val="000000" w:themeColor="text1"/>
                <w14:textFill>
                  <w14:solidFill>
                    <w14:schemeClr w14:val="tx1"/>
                  </w14:solidFill>
                </w14:textFill>
              </w:rPr>
            </w:pPr>
          </w:p>
        </w:tc>
      </w:tr>
      <w:tr w14:paraId="54E9C2DC">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5E3F5C3E">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3FC2AEC9">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2AB81CF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砷及其化合物</w:t>
            </w:r>
          </w:p>
        </w:tc>
        <w:tc>
          <w:tcPr>
            <w:tcW w:w="1686" w:type="dxa"/>
            <w:tcBorders>
              <w:top w:val="nil"/>
              <w:left w:val="nil"/>
              <w:bottom w:val="single" w:color="auto" w:sz="4" w:space="0"/>
              <w:right w:val="single" w:color="auto" w:sz="4" w:space="0"/>
            </w:tcBorders>
            <w:vAlign w:val="center"/>
          </w:tcPr>
          <w:p w14:paraId="743B7E8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9.39 </w:t>
            </w:r>
          </w:p>
        </w:tc>
        <w:tc>
          <w:tcPr>
            <w:tcW w:w="1716" w:type="dxa"/>
            <w:tcBorders>
              <w:top w:val="nil"/>
              <w:left w:val="nil"/>
              <w:bottom w:val="single" w:color="auto" w:sz="4" w:space="0"/>
              <w:right w:val="single" w:color="auto" w:sz="4" w:space="0"/>
            </w:tcBorders>
            <w:vAlign w:val="center"/>
          </w:tcPr>
          <w:p w14:paraId="2970E7B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0.098</w:t>
            </w:r>
          </w:p>
        </w:tc>
        <w:tc>
          <w:tcPr>
            <w:tcW w:w="1134" w:type="dxa"/>
            <w:vMerge w:val="continue"/>
            <w:tcBorders>
              <w:top w:val="nil"/>
              <w:left w:val="single" w:color="auto" w:sz="4" w:space="0"/>
              <w:bottom w:val="single" w:color="auto" w:sz="4" w:space="0"/>
              <w:right w:val="single" w:color="auto" w:sz="4" w:space="0"/>
            </w:tcBorders>
            <w:vAlign w:val="center"/>
          </w:tcPr>
          <w:p w14:paraId="6B772595">
            <w:pPr>
              <w:pStyle w:val="109"/>
              <w:rPr>
                <w:color w:val="000000" w:themeColor="text1"/>
                <w14:textFill>
                  <w14:solidFill>
                    <w14:schemeClr w14:val="tx1"/>
                  </w14:solidFill>
                </w14:textFill>
              </w:rPr>
            </w:pPr>
          </w:p>
        </w:tc>
      </w:tr>
      <w:tr w14:paraId="05A9AE19">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26E543F8">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446D56F6">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31ADFB5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铬及其化合物</w:t>
            </w:r>
          </w:p>
        </w:tc>
        <w:tc>
          <w:tcPr>
            <w:tcW w:w="1686" w:type="dxa"/>
            <w:tcBorders>
              <w:top w:val="nil"/>
              <w:left w:val="nil"/>
              <w:bottom w:val="single" w:color="auto" w:sz="4" w:space="0"/>
              <w:right w:val="single" w:color="auto" w:sz="4" w:space="0"/>
            </w:tcBorders>
            <w:vAlign w:val="center"/>
          </w:tcPr>
          <w:p w14:paraId="7A90795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0.23 </w:t>
            </w:r>
          </w:p>
        </w:tc>
        <w:tc>
          <w:tcPr>
            <w:tcW w:w="1716" w:type="dxa"/>
            <w:tcBorders>
              <w:top w:val="nil"/>
              <w:left w:val="nil"/>
              <w:bottom w:val="single" w:color="auto" w:sz="4" w:space="0"/>
              <w:right w:val="single" w:color="auto" w:sz="4" w:space="0"/>
            </w:tcBorders>
            <w:vAlign w:val="center"/>
          </w:tcPr>
          <w:p w14:paraId="138B1F8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0.00245</w:t>
            </w:r>
          </w:p>
        </w:tc>
        <w:tc>
          <w:tcPr>
            <w:tcW w:w="1134" w:type="dxa"/>
            <w:vMerge w:val="continue"/>
            <w:tcBorders>
              <w:top w:val="nil"/>
              <w:left w:val="single" w:color="auto" w:sz="4" w:space="0"/>
              <w:bottom w:val="single" w:color="auto" w:sz="4" w:space="0"/>
              <w:right w:val="single" w:color="auto" w:sz="4" w:space="0"/>
            </w:tcBorders>
            <w:vAlign w:val="center"/>
          </w:tcPr>
          <w:p w14:paraId="5B451E56">
            <w:pPr>
              <w:pStyle w:val="109"/>
              <w:rPr>
                <w:color w:val="000000" w:themeColor="text1"/>
                <w14:textFill>
                  <w14:solidFill>
                    <w14:schemeClr w14:val="tx1"/>
                  </w14:solidFill>
                </w14:textFill>
              </w:rPr>
            </w:pPr>
          </w:p>
        </w:tc>
      </w:tr>
      <w:tr w14:paraId="2EFAA51B">
        <w:tblPrEx>
          <w:tblCellMar>
            <w:top w:w="0" w:type="dxa"/>
            <w:left w:w="108" w:type="dxa"/>
            <w:bottom w:w="0" w:type="dxa"/>
            <w:right w:w="108" w:type="dxa"/>
          </w:tblCellMar>
        </w:tblPrEx>
        <w:trPr>
          <w:trHeight w:val="576" w:hRule="atLeast"/>
        </w:trPr>
        <w:tc>
          <w:tcPr>
            <w:tcW w:w="1129" w:type="dxa"/>
            <w:vMerge w:val="continue"/>
            <w:tcBorders>
              <w:top w:val="nil"/>
              <w:left w:val="single" w:color="auto" w:sz="4" w:space="0"/>
              <w:bottom w:val="single" w:color="auto" w:sz="4" w:space="0"/>
              <w:right w:val="single" w:color="auto" w:sz="4" w:space="0"/>
            </w:tcBorders>
            <w:vAlign w:val="center"/>
          </w:tcPr>
          <w:p w14:paraId="5988BB4A">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6D85E74A">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4506E0D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锡、锑、铜、锰、</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镍、钴及其化合</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物</w:t>
            </w:r>
          </w:p>
        </w:tc>
        <w:tc>
          <w:tcPr>
            <w:tcW w:w="1686" w:type="dxa"/>
            <w:tcBorders>
              <w:top w:val="nil"/>
              <w:left w:val="nil"/>
              <w:bottom w:val="single" w:color="auto" w:sz="4" w:space="0"/>
              <w:right w:val="single" w:color="auto" w:sz="4" w:space="0"/>
            </w:tcBorders>
            <w:vAlign w:val="center"/>
          </w:tcPr>
          <w:p w14:paraId="33EB912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1.64 </w:t>
            </w:r>
          </w:p>
        </w:tc>
        <w:tc>
          <w:tcPr>
            <w:tcW w:w="1716" w:type="dxa"/>
            <w:tcBorders>
              <w:top w:val="nil"/>
              <w:left w:val="nil"/>
              <w:bottom w:val="single" w:color="auto" w:sz="4" w:space="0"/>
              <w:right w:val="single" w:color="auto" w:sz="4" w:space="0"/>
            </w:tcBorders>
            <w:vAlign w:val="center"/>
          </w:tcPr>
          <w:p w14:paraId="6F2CA69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0.017 </w:t>
            </w:r>
          </w:p>
        </w:tc>
        <w:tc>
          <w:tcPr>
            <w:tcW w:w="1134" w:type="dxa"/>
            <w:vMerge w:val="continue"/>
            <w:tcBorders>
              <w:top w:val="nil"/>
              <w:left w:val="single" w:color="auto" w:sz="4" w:space="0"/>
              <w:bottom w:val="single" w:color="auto" w:sz="4" w:space="0"/>
              <w:right w:val="single" w:color="auto" w:sz="4" w:space="0"/>
            </w:tcBorders>
            <w:vAlign w:val="center"/>
          </w:tcPr>
          <w:p w14:paraId="1EFEC5E5">
            <w:pPr>
              <w:pStyle w:val="109"/>
              <w:rPr>
                <w:color w:val="000000" w:themeColor="text1"/>
                <w14:textFill>
                  <w14:solidFill>
                    <w14:schemeClr w14:val="tx1"/>
                  </w14:solidFill>
                </w14:textFill>
              </w:rPr>
            </w:pPr>
          </w:p>
        </w:tc>
      </w:tr>
      <w:tr w14:paraId="2E640000">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609CB826">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7751849C">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0D5949B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二噁英类</w:t>
            </w:r>
          </w:p>
        </w:tc>
        <w:tc>
          <w:tcPr>
            <w:tcW w:w="1686" w:type="dxa"/>
            <w:tcBorders>
              <w:top w:val="nil"/>
              <w:left w:val="nil"/>
              <w:bottom w:val="single" w:color="auto" w:sz="4" w:space="0"/>
              <w:right w:val="single" w:color="auto" w:sz="4" w:space="0"/>
            </w:tcBorders>
            <w:vAlign w:val="center"/>
          </w:tcPr>
          <w:p w14:paraId="356D9A7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1 </w:t>
            </w:r>
          </w:p>
        </w:tc>
        <w:tc>
          <w:tcPr>
            <w:tcW w:w="1716" w:type="dxa"/>
            <w:tcBorders>
              <w:top w:val="nil"/>
              <w:left w:val="nil"/>
              <w:bottom w:val="single" w:color="auto" w:sz="4" w:space="0"/>
              <w:right w:val="single" w:color="auto" w:sz="4" w:space="0"/>
            </w:tcBorders>
            <w:vAlign w:val="center"/>
          </w:tcPr>
          <w:p w14:paraId="48CBAEC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0.00608</w:t>
            </w:r>
          </w:p>
        </w:tc>
        <w:tc>
          <w:tcPr>
            <w:tcW w:w="1134" w:type="dxa"/>
            <w:vMerge w:val="continue"/>
            <w:tcBorders>
              <w:top w:val="nil"/>
              <w:left w:val="single" w:color="auto" w:sz="4" w:space="0"/>
              <w:bottom w:val="single" w:color="auto" w:sz="4" w:space="0"/>
              <w:right w:val="single" w:color="auto" w:sz="4" w:space="0"/>
            </w:tcBorders>
            <w:vAlign w:val="center"/>
          </w:tcPr>
          <w:p w14:paraId="48FD098B">
            <w:pPr>
              <w:pStyle w:val="109"/>
              <w:rPr>
                <w:color w:val="000000" w:themeColor="text1"/>
                <w14:textFill>
                  <w14:solidFill>
                    <w14:schemeClr w14:val="tx1"/>
                  </w14:solidFill>
                </w14:textFill>
              </w:rPr>
            </w:pPr>
          </w:p>
        </w:tc>
      </w:tr>
      <w:tr w14:paraId="7E93D576">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4D60C60F">
            <w:pPr>
              <w:pStyle w:val="109"/>
              <w:rPr>
                <w:color w:val="000000" w:themeColor="text1"/>
                <w14:textFill>
                  <w14:solidFill>
                    <w14:schemeClr w14:val="tx1"/>
                  </w14:solidFill>
                </w14:textFill>
              </w:rPr>
            </w:pPr>
          </w:p>
        </w:tc>
        <w:tc>
          <w:tcPr>
            <w:tcW w:w="1445" w:type="dxa"/>
            <w:vMerge w:val="continue"/>
            <w:tcBorders>
              <w:left w:val="nil"/>
              <w:bottom w:val="single" w:color="auto" w:sz="4" w:space="0"/>
              <w:right w:val="single" w:color="auto" w:sz="4" w:space="0"/>
            </w:tcBorders>
            <w:vAlign w:val="center"/>
          </w:tcPr>
          <w:p w14:paraId="149B00EC">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197F1E8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SS</w:t>
            </w:r>
          </w:p>
        </w:tc>
        <w:tc>
          <w:tcPr>
            <w:tcW w:w="1686" w:type="dxa"/>
            <w:tcBorders>
              <w:top w:val="nil"/>
              <w:left w:val="nil"/>
              <w:bottom w:val="single" w:color="auto" w:sz="4" w:space="0"/>
              <w:right w:val="single" w:color="auto" w:sz="4" w:space="0"/>
            </w:tcBorders>
            <w:vAlign w:val="center"/>
          </w:tcPr>
          <w:p w14:paraId="3CC3BF4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100</w:t>
            </w:r>
          </w:p>
        </w:tc>
        <w:tc>
          <w:tcPr>
            <w:tcW w:w="1716" w:type="dxa"/>
            <w:tcBorders>
              <w:top w:val="nil"/>
              <w:left w:val="nil"/>
              <w:bottom w:val="single" w:color="auto" w:sz="4" w:space="0"/>
              <w:right w:val="single" w:color="auto" w:sz="4" w:space="0"/>
            </w:tcBorders>
            <w:vAlign w:val="center"/>
          </w:tcPr>
          <w:p w14:paraId="3C8D8ED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1.044</w:t>
            </w:r>
          </w:p>
        </w:tc>
        <w:tc>
          <w:tcPr>
            <w:tcW w:w="1134" w:type="dxa"/>
            <w:vMerge w:val="continue"/>
            <w:tcBorders>
              <w:top w:val="nil"/>
              <w:left w:val="single" w:color="auto" w:sz="4" w:space="0"/>
              <w:bottom w:val="single" w:color="auto" w:sz="4" w:space="0"/>
              <w:right w:val="single" w:color="auto" w:sz="4" w:space="0"/>
            </w:tcBorders>
            <w:vAlign w:val="center"/>
          </w:tcPr>
          <w:p w14:paraId="1DAC85C0">
            <w:pPr>
              <w:pStyle w:val="109"/>
              <w:rPr>
                <w:color w:val="000000" w:themeColor="text1"/>
                <w14:textFill>
                  <w14:solidFill>
                    <w14:schemeClr w14:val="tx1"/>
                  </w14:solidFill>
                </w14:textFill>
              </w:rPr>
            </w:pPr>
          </w:p>
        </w:tc>
      </w:tr>
      <w:tr w14:paraId="403F9D09">
        <w:tblPrEx>
          <w:tblCellMar>
            <w:top w:w="0" w:type="dxa"/>
            <w:left w:w="108" w:type="dxa"/>
            <w:bottom w:w="0" w:type="dxa"/>
            <w:right w:w="108" w:type="dxa"/>
          </w:tblCellMar>
        </w:tblPrEx>
        <w:trPr>
          <w:trHeight w:val="276" w:hRule="atLeast"/>
        </w:trPr>
        <w:tc>
          <w:tcPr>
            <w:tcW w:w="1129" w:type="dxa"/>
            <w:vMerge w:val="restart"/>
            <w:tcBorders>
              <w:top w:val="nil"/>
              <w:left w:val="single" w:color="auto" w:sz="4" w:space="0"/>
              <w:bottom w:val="single" w:color="auto" w:sz="4" w:space="0"/>
              <w:right w:val="single" w:color="auto" w:sz="4" w:space="0"/>
            </w:tcBorders>
            <w:vAlign w:val="center"/>
          </w:tcPr>
          <w:p w14:paraId="0871115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循环冷却水排水</w:t>
            </w:r>
          </w:p>
        </w:tc>
        <w:tc>
          <w:tcPr>
            <w:tcW w:w="1445" w:type="dxa"/>
            <w:vMerge w:val="restart"/>
            <w:tcBorders>
              <w:top w:val="nil"/>
              <w:left w:val="nil"/>
              <w:right w:val="single" w:color="auto" w:sz="4" w:space="0"/>
            </w:tcBorders>
            <w:vAlign w:val="center"/>
          </w:tcPr>
          <w:p w14:paraId="74B3320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3200</w:t>
            </w:r>
          </w:p>
        </w:tc>
        <w:tc>
          <w:tcPr>
            <w:tcW w:w="2268" w:type="dxa"/>
            <w:tcBorders>
              <w:top w:val="nil"/>
              <w:left w:val="nil"/>
              <w:bottom w:val="single" w:color="auto" w:sz="4" w:space="0"/>
              <w:right w:val="single" w:color="auto" w:sz="4" w:space="0"/>
            </w:tcBorders>
            <w:vAlign w:val="center"/>
          </w:tcPr>
          <w:p w14:paraId="19927D2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1686" w:type="dxa"/>
            <w:tcBorders>
              <w:top w:val="nil"/>
              <w:left w:val="nil"/>
              <w:bottom w:val="single" w:color="auto" w:sz="4" w:space="0"/>
              <w:right w:val="single" w:color="auto" w:sz="4" w:space="0"/>
            </w:tcBorders>
            <w:vAlign w:val="center"/>
          </w:tcPr>
          <w:p w14:paraId="23D7EF8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w:t>
            </w:r>
          </w:p>
        </w:tc>
        <w:tc>
          <w:tcPr>
            <w:tcW w:w="1716" w:type="dxa"/>
            <w:tcBorders>
              <w:top w:val="nil"/>
              <w:left w:val="nil"/>
              <w:bottom w:val="single" w:color="auto" w:sz="4" w:space="0"/>
              <w:right w:val="single" w:color="auto" w:sz="4" w:space="0"/>
            </w:tcBorders>
            <w:vAlign w:val="center"/>
          </w:tcPr>
          <w:p w14:paraId="2E0DB86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0.256</w:t>
            </w:r>
          </w:p>
        </w:tc>
        <w:tc>
          <w:tcPr>
            <w:tcW w:w="1134" w:type="dxa"/>
            <w:vMerge w:val="restart"/>
            <w:tcBorders>
              <w:top w:val="nil"/>
              <w:left w:val="single" w:color="auto" w:sz="4" w:space="0"/>
              <w:bottom w:val="single" w:color="auto" w:sz="4" w:space="0"/>
              <w:right w:val="single" w:color="auto" w:sz="4" w:space="0"/>
            </w:tcBorders>
            <w:vAlign w:val="center"/>
          </w:tcPr>
          <w:p w14:paraId="5F6852D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直接排入园区污水管网</w:t>
            </w:r>
          </w:p>
        </w:tc>
      </w:tr>
      <w:tr w14:paraId="58C39D18">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63783750">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15EED820">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06E5F1D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686" w:type="dxa"/>
            <w:tcBorders>
              <w:top w:val="nil"/>
              <w:left w:val="nil"/>
              <w:bottom w:val="single" w:color="auto" w:sz="4" w:space="0"/>
              <w:right w:val="single" w:color="auto" w:sz="4" w:space="0"/>
            </w:tcBorders>
            <w:vAlign w:val="center"/>
          </w:tcPr>
          <w:p w14:paraId="3E7C3B2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1716" w:type="dxa"/>
            <w:tcBorders>
              <w:top w:val="nil"/>
              <w:left w:val="nil"/>
              <w:bottom w:val="single" w:color="auto" w:sz="4" w:space="0"/>
              <w:right w:val="single" w:color="auto" w:sz="4" w:space="0"/>
            </w:tcBorders>
            <w:vAlign w:val="center"/>
          </w:tcPr>
          <w:p w14:paraId="3EF6CDF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0.0096</w:t>
            </w:r>
          </w:p>
        </w:tc>
        <w:tc>
          <w:tcPr>
            <w:tcW w:w="1134" w:type="dxa"/>
            <w:vMerge w:val="continue"/>
            <w:tcBorders>
              <w:top w:val="nil"/>
              <w:left w:val="single" w:color="auto" w:sz="4" w:space="0"/>
              <w:bottom w:val="single" w:color="auto" w:sz="4" w:space="0"/>
              <w:right w:val="single" w:color="auto" w:sz="4" w:space="0"/>
            </w:tcBorders>
            <w:vAlign w:val="center"/>
          </w:tcPr>
          <w:p w14:paraId="1D4770EB">
            <w:pPr>
              <w:pStyle w:val="109"/>
              <w:rPr>
                <w:color w:val="000000" w:themeColor="text1"/>
                <w14:textFill>
                  <w14:solidFill>
                    <w14:schemeClr w14:val="tx1"/>
                  </w14:solidFill>
                </w14:textFill>
              </w:rPr>
            </w:pPr>
          </w:p>
        </w:tc>
      </w:tr>
      <w:tr w14:paraId="781B1BE6">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636E849F">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21E2BEFA">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12C52FE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全盐量</w:t>
            </w:r>
          </w:p>
        </w:tc>
        <w:tc>
          <w:tcPr>
            <w:tcW w:w="1686" w:type="dxa"/>
            <w:tcBorders>
              <w:top w:val="nil"/>
              <w:left w:val="nil"/>
              <w:bottom w:val="single" w:color="auto" w:sz="4" w:space="0"/>
              <w:right w:val="single" w:color="auto" w:sz="4" w:space="0"/>
            </w:tcBorders>
            <w:vAlign w:val="center"/>
          </w:tcPr>
          <w:p w14:paraId="31CC45E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2000</w:t>
            </w:r>
          </w:p>
        </w:tc>
        <w:tc>
          <w:tcPr>
            <w:tcW w:w="1716" w:type="dxa"/>
            <w:tcBorders>
              <w:top w:val="nil"/>
              <w:left w:val="nil"/>
              <w:bottom w:val="single" w:color="auto" w:sz="4" w:space="0"/>
              <w:right w:val="single" w:color="auto" w:sz="4" w:space="0"/>
            </w:tcBorders>
            <w:vAlign w:val="center"/>
          </w:tcPr>
          <w:p w14:paraId="04A3831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6.4</w:t>
            </w:r>
          </w:p>
        </w:tc>
        <w:tc>
          <w:tcPr>
            <w:tcW w:w="1134" w:type="dxa"/>
            <w:vMerge w:val="continue"/>
            <w:tcBorders>
              <w:top w:val="nil"/>
              <w:left w:val="single" w:color="auto" w:sz="4" w:space="0"/>
              <w:bottom w:val="single" w:color="auto" w:sz="4" w:space="0"/>
              <w:right w:val="single" w:color="auto" w:sz="4" w:space="0"/>
            </w:tcBorders>
            <w:vAlign w:val="center"/>
          </w:tcPr>
          <w:p w14:paraId="0FE8FC13">
            <w:pPr>
              <w:pStyle w:val="109"/>
              <w:rPr>
                <w:color w:val="000000" w:themeColor="text1"/>
                <w14:textFill>
                  <w14:solidFill>
                    <w14:schemeClr w14:val="tx1"/>
                  </w14:solidFill>
                </w14:textFill>
              </w:rPr>
            </w:pPr>
          </w:p>
        </w:tc>
      </w:tr>
      <w:tr w14:paraId="5A761EBB">
        <w:tblPrEx>
          <w:tblCellMar>
            <w:top w:w="0" w:type="dxa"/>
            <w:left w:w="108" w:type="dxa"/>
            <w:bottom w:w="0" w:type="dxa"/>
            <w:right w:w="108" w:type="dxa"/>
          </w:tblCellMar>
        </w:tblPrEx>
        <w:trPr>
          <w:trHeight w:val="288" w:hRule="atLeast"/>
        </w:trPr>
        <w:tc>
          <w:tcPr>
            <w:tcW w:w="1129" w:type="dxa"/>
            <w:vMerge w:val="continue"/>
            <w:tcBorders>
              <w:top w:val="nil"/>
              <w:left w:val="single" w:color="auto" w:sz="4" w:space="0"/>
              <w:bottom w:val="single" w:color="auto" w:sz="4" w:space="0"/>
              <w:right w:val="single" w:color="auto" w:sz="4" w:space="0"/>
            </w:tcBorders>
            <w:vAlign w:val="center"/>
          </w:tcPr>
          <w:p w14:paraId="430A2CD5">
            <w:pPr>
              <w:pStyle w:val="109"/>
              <w:rPr>
                <w:color w:val="000000" w:themeColor="text1"/>
                <w14:textFill>
                  <w14:solidFill>
                    <w14:schemeClr w14:val="tx1"/>
                  </w14:solidFill>
                </w14:textFill>
              </w:rPr>
            </w:pPr>
          </w:p>
        </w:tc>
        <w:tc>
          <w:tcPr>
            <w:tcW w:w="1445" w:type="dxa"/>
            <w:vMerge w:val="continue"/>
            <w:tcBorders>
              <w:left w:val="nil"/>
              <w:bottom w:val="single" w:color="auto" w:sz="4" w:space="0"/>
              <w:right w:val="single" w:color="auto" w:sz="4" w:space="0"/>
            </w:tcBorders>
            <w:vAlign w:val="center"/>
          </w:tcPr>
          <w:p w14:paraId="7866BEF8">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18B916E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SS</w:t>
            </w:r>
          </w:p>
        </w:tc>
        <w:tc>
          <w:tcPr>
            <w:tcW w:w="1686" w:type="dxa"/>
            <w:tcBorders>
              <w:top w:val="nil"/>
              <w:left w:val="nil"/>
              <w:bottom w:val="single" w:color="auto" w:sz="4" w:space="0"/>
              <w:right w:val="single" w:color="auto" w:sz="4" w:space="0"/>
            </w:tcBorders>
            <w:vAlign w:val="center"/>
          </w:tcPr>
          <w:p w14:paraId="0FB0312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w:t>
            </w:r>
          </w:p>
        </w:tc>
        <w:tc>
          <w:tcPr>
            <w:tcW w:w="1716" w:type="dxa"/>
            <w:tcBorders>
              <w:top w:val="nil"/>
              <w:left w:val="nil"/>
              <w:bottom w:val="single" w:color="auto" w:sz="4" w:space="0"/>
              <w:right w:val="single" w:color="auto" w:sz="4" w:space="0"/>
            </w:tcBorders>
            <w:vAlign w:val="center"/>
          </w:tcPr>
          <w:p w14:paraId="75595B9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0.128</w:t>
            </w:r>
          </w:p>
        </w:tc>
        <w:tc>
          <w:tcPr>
            <w:tcW w:w="1134" w:type="dxa"/>
            <w:vMerge w:val="continue"/>
            <w:tcBorders>
              <w:top w:val="nil"/>
              <w:left w:val="single" w:color="auto" w:sz="4" w:space="0"/>
              <w:bottom w:val="single" w:color="auto" w:sz="4" w:space="0"/>
              <w:right w:val="single" w:color="auto" w:sz="4" w:space="0"/>
            </w:tcBorders>
            <w:vAlign w:val="center"/>
          </w:tcPr>
          <w:p w14:paraId="001C585A">
            <w:pPr>
              <w:pStyle w:val="109"/>
              <w:rPr>
                <w:color w:val="000000" w:themeColor="text1"/>
                <w14:textFill>
                  <w14:solidFill>
                    <w14:schemeClr w14:val="tx1"/>
                  </w14:solidFill>
                </w14:textFill>
              </w:rPr>
            </w:pPr>
          </w:p>
        </w:tc>
      </w:tr>
      <w:tr w14:paraId="18ADD4B4">
        <w:tblPrEx>
          <w:tblCellMar>
            <w:top w:w="0" w:type="dxa"/>
            <w:left w:w="108" w:type="dxa"/>
            <w:bottom w:w="0" w:type="dxa"/>
            <w:right w:w="108" w:type="dxa"/>
          </w:tblCellMar>
        </w:tblPrEx>
        <w:trPr>
          <w:trHeight w:val="300" w:hRule="atLeast"/>
        </w:trPr>
        <w:tc>
          <w:tcPr>
            <w:tcW w:w="1129" w:type="dxa"/>
            <w:vMerge w:val="restart"/>
            <w:tcBorders>
              <w:top w:val="nil"/>
              <w:left w:val="single" w:color="auto" w:sz="4" w:space="0"/>
              <w:bottom w:val="single" w:color="auto" w:sz="4" w:space="0"/>
              <w:right w:val="single" w:color="auto" w:sz="4" w:space="0"/>
            </w:tcBorders>
            <w:vAlign w:val="center"/>
          </w:tcPr>
          <w:p w14:paraId="0085C1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实验室废水</w:t>
            </w:r>
          </w:p>
        </w:tc>
        <w:tc>
          <w:tcPr>
            <w:tcW w:w="1445" w:type="dxa"/>
            <w:vMerge w:val="restart"/>
            <w:tcBorders>
              <w:top w:val="nil"/>
              <w:left w:val="nil"/>
              <w:right w:val="single" w:color="auto" w:sz="4" w:space="0"/>
            </w:tcBorders>
            <w:vAlign w:val="center"/>
          </w:tcPr>
          <w:p w14:paraId="266E839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14.85</w:t>
            </w:r>
          </w:p>
        </w:tc>
        <w:tc>
          <w:tcPr>
            <w:tcW w:w="2268" w:type="dxa"/>
            <w:tcBorders>
              <w:top w:val="nil"/>
              <w:left w:val="nil"/>
              <w:bottom w:val="single" w:color="auto" w:sz="4" w:space="0"/>
              <w:right w:val="single" w:color="auto" w:sz="4" w:space="0"/>
            </w:tcBorders>
            <w:vAlign w:val="center"/>
          </w:tcPr>
          <w:p w14:paraId="78BAD21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1686" w:type="dxa"/>
            <w:tcBorders>
              <w:top w:val="nil"/>
              <w:left w:val="nil"/>
              <w:bottom w:val="single" w:color="auto" w:sz="4" w:space="0"/>
              <w:right w:val="single" w:color="auto" w:sz="4" w:space="0"/>
            </w:tcBorders>
            <w:vAlign w:val="center"/>
          </w:tcPr>
          <w:p w14:paraId="321A44A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100</w:t>
            </w:r>
          </w:p>
        </w:tc>
        <w:tc>
          <w:tcPr>
            <w:tcW w:w="1716" w:type="dxa"/>
            <w:tcBorders>
              <w:top w:val="nil"/>
              <w:left w:val="nil"/>
              <w:bottom w:val="single" w:color="auto" w:sz="4" w:space="0"/>
              <w:right w:val="single" w:color="auto" w:sz="4" w:space="0"/>
            </w:tcBorders>
            <w:vAlign w:val="center"/>
          </w:tcPr>
          <w:p w14:paraId="34C7EAB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0.001485</w:t>
            </w:r>
          </w:p>
        </w:tc>
        <w:tc>
          <w:tcPr>
            <w:tcW w:w="1134" w:type="dxa"/>
            <w:vMerge w:val="continue"/>
            <w:tcBorders>
              <w:top w:val="nil"/>
              <w:left w:val="single" w:color="auto" w:sz="4" w:space="0"/>
              <w:bottom w:val="single" w:color="auto" w:sz="4" w:space="0"/>
              <w:right w:val="single" w:color="auto" w:sz="4" w:space="0"/>
            </w:tcBorders>
            <w:vAlign w:val="center"/>
          </w:tcPr>
          <w:p w14:paraId="748475F3">
            <w:pPr>
              <w:pStyle w:val="109"/>
              <w:rPr>
                <w:color w:val="000000" w:themeColor="text1"/>
                <w14:textFill>
                  <w14:solidFill>
                    <w14:schemeClr w14:val="tx1"/>
                  </w14:solidFill>
                </w14:textFill>
              </w:rPr>
            </w:pPr>
          </w:p>
        </w:tc>
      </w:tr>
      <w:tr w14:paraId="54D6DB07">
        <w:tblPrEx>
          <w:tblCellMar>
            <w:top w:w="0" w:type="dxa"/>
            <w:left w:w="108" w:type="dxa"/>
            <w:bottom w:w="0" w:type="dxa"/>
            <w:right w:w="108" w:type="dxa"/>
          </w:tblCellMar>
        </w:tblPrEx>
        <w:trPr>
          <w:trHeight w:val="300" w:hRule="atLeast"/>
        </w:trPr>
        <w:tc>
          <w:tcPr>
            <w:tcW w:w="1129" w:type="dxa"/>
            <w:vMerge w:val="continue"/>
            <w:tcBorders>
              <w:top w:val="nil"/>
              <w:left w:val="single" w:color="auto" w:sz="4" w:space="0"/>
              <w:bottom w:val="single" w:color="auto" w:sz="4" w:space="0"/>
              <w:right w:val="single" w:color="auto" w:sz="4" w:space="0"/>
            </w:tcBorders>
            <w:vAlign w:val="center"/>
          </w:tcPr>
          <w:p w14:paraId="5FC5C6BE">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4166608F">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0F93194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686" w:type="dxa"/>
            <w:tcBorders>
              <w:top w:val="nil"/>
              <w:left w:val="nil"/>
              <w:bottom w:val="single" w:color="auto" w:sz="4" w:space="0"/>
              <w:right w:val="single" w:color="auto" w:sz="4" w:space="0"/>
            </w:tcBorders>
            <w:vAlign w:val="center"/>
          </w:tcPr>
          <w:p w14:paraId="193C9B2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w:t>
            </w:r>
          </w:p>
        </w:tc>
        <w:tc>
          <w:tcPr>
            <w:tcW w:w="1716" w:type="dxa"/>
            <w:tcBorders>
              <w:top w:val="nil"/>
              <w:left w:val="nil"/>
              <w:bottom w:val="single" w:color="auto" w:sz="4" w:space="0"/>
              <w:right w:val="single" w:color="auto" w:sz="4" w:space="0"/>
            </w:tcBorders>
            <w:vAlign w:val="center"/>
          </w:tcPr>
          <w:p w14:paraId="4518ADB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0.0001485</w:t>
            </w:r>
          </w:p>
        </w:tc>
        <w:tc>
          <w:tcPr>
            <w:tcW w:w="1134" w:type="dxa"/>
            <w:vMerge w:val="continue"/>
            <w:tcBorders>
              <w:top w:val="nil"/>
              <w:left w:val="single" w:color="auto" w:sz="4" w:space="0"/>
              <w:bottom w:val="single" w:color="auto" w:sz="4" w:space="0"/>
              <w:right w:val="single" w:color="auto" w:sz="4" w:space="0"/>
            </w:tcBorders>
            <w:vAlign w:val="center"/>
          </w:tcPr>
          <w:p w14:paraId="5ECC0B35">
            <w:pPr>
              <w:pStyle w:val="109"/>
              <w:rPr>
                <w:color w:val="000000" w:themeColor="text1"/>
                <w14:textFill>
                  <w14:solidFill>
                    <w14:schemeClr w14:val="tx1"/>
                  </w14:solidFill>
                </w14:textFill>
              </w:rPr>
            </w:pPr>
          </w:p>
        </w:tc>
      </w:tr>
      <w:tr w14:paraId="3FC2D200">
        <w:tblPrEx>
          <w:tblCellMar>
            <w:top w:w="0" w:type="dxa"/>
            <w:left w:w="108" w:type="dxa"/>
            <w:bottom w:w="0" w:type="dxa"/>
            <w:right w:w="108" w:type="dxa"/>
          </w:tblCellMar>
        </w:tblPrEx>
        <w:trPr>
          <w:trHeight w:val="300" w:hRule="atLeast"/>
        </w:trPr>
        <w:tc>
          <w:tcPr>
            <w:tcW w:w="1129" w:type="dxa"/>
            <w:vMerge w:val="continue"/>
            <w:tcBorders>
              <w:top w:val="nil"/>
              <w:left w:val="single" w:color="auto" w:sz="4" w:space="0"/>
              <w:bottom w:val="single" w:color="auto" w:sz="4" w:space="0"/>
              <w:right w:val="single" w:color="auto" w:sz="4" w:space="0"/>
            </w:tcBorders>
            <w:vAlign w:val="center"/>
          </w:tcPr>
          <w:p w14:paraId="519D6F2A">
            <w:pPr>
              <w:pStyle w:val="109"/>
              <w:rPr>
                <w:color w:val="000000" w:themeColor="text1"/>
                <w14:textFill>
                  <w14:solidFill>
                    <w14:schemeClr w14:val="tx1"/>
                  </w14:solidFill>
                </w14:textFill>
              </w:rPr>
            </w:pPr>
          </w:p>
        </w:tc>
        <w:tc>
          <w:tcPr>
            <w:tcW w:w="1445" w:type="dxa"/>
            <w:vMerge w:val="continue"/>
            <w:tcBorders>
              <w:left w:val="nil"/>
              <w:bottom w:val="single" w:color="auto" w:sz="4" w:space="0"/>
              <w:right w:val="single" w:color="auto" w:sz="4" w:space="0"/>
            </w:tcBorders>
            <w:vAlign w:val="center"/>
          </w:tcPr>
          <w:p w14:paraId="1FBE6D02">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6768BBE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全盐量</w:t>
            </w:r>
          </w:p>
        </w:tc>
        <w:tc>
          <w:tcPr>
            <w:tcW w:w="1686" w:type="dxa"/>
            <w:tcBorders>
              <w:top w:val="nil"/>
              <w:left w:val="nil"/>
              <w:bottom w:val="single" w:color="auto" w:sz="4" w:space="0"/>
              <w:right w:val="single" w:color="auto" w:sz="4" w:space="0"/>
            </w:tcBorders>
            <w:vAlign w:val="center"/>
          </w:tcPr>
          <w:p w14:paraId="37FD15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5000</w:t>
            </w:r>
          </w:p>
        </w:tc>
        <w:tc>
          <w:tcPr>
            <w:tcW w:w="1716" w:type="dxa"/>
            <w:tcBorders>
              <w:top w:val="nil"/>
              <w:left w:val="nil"/>
              <w:bottom w:val="single" w:color="auto" w:sz="4" w:space="0"/>
              <w:right w:val="single" w:color="auto" w:sz="4" w:space="0"/>
            </w:tcBorders>
            <w:vAlign w:val="center"/>
          </w:tcPr>
          <w:p w14:paraId="0335BE1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0.07425</w:t>
            </w:r>
          </w:p>
        </w:tc>
        <w:tc>
          <w:tcPr>
            <w:tcW w:w="1134" w:type="dxa"/>
            <w:vMerge w:val="continue"/>
            <w:tcBorders>
              <w:top w:val="nil"/>
              <w:left w:val="single" w:color="auto" w:sz="4" w:space="0"/>
              <w:bottom w:val="single" w:color="auto" w:sz="4" w:space="0"/>
              <w:right w:val="single" w:color="auto" w:sz="4" w:space="0"/>
            </w:tcBorders>
            <w:vAlign w:val="center"/>
          </w:tcPr>
          <w:p w14:paraId="3FC9E77F">
            <w:pPr>
              <w:pStyle w:val="109"/>
              <w:rPr>
                <w:color w:val="000000" w:themeColor="text1"/>
                <w14:textFill>
                  <w14:solidFill>
                    <w14:schemeClr w14:val="tx1"/>
                  </w14:solidFill>
                </w14:textFill>
              </w:rPr>
            </w:pPr>
          </w:p>
        </w:tc>
      </w:tr>
      <w:tr w14:paraId="7828D52D">
        <w:tblPrEx>
          <w:tblCellMar>
            <w:top w:w="0" w:type="dxa"/>
            <w:left w:w="108" w:type="dxa"/>
            <w:bottom w:w="0" w:type="dxa"/>
            <w:right w:w="108" w:type="dxa"/>
          </w:tblCellMar>
        </w:tblPrEx>
        <w:trPr>
          <w:trHeight w:val="300" w:hRule="atLeast"/>
        </w:trPr>
        <w:tc>
          <w:tcPr>
            <w:tcW w:w="1129" w:type="dxa"/>
            <w:vMerge w:val="restart"/>
            <w:tcBorders>
              <w:top w:val="nil"/>
              <w:left w:val="single" w:color="auto" w:sz="4" w:space="0"/>
              <w:bottom w:val="single" w:color="auto" w:sz="4" w:space="0"/>
              <w:right w:val="single" w:color="auto" w:sz="4" w:space="0"/>
            </w:tcBorders>
            <w:vAlign w:val="center"/>
          </w:tcPr>
          <w:p w14:paraId="2FFF12D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地面冲洗废水</w:t>
            </w:r>
          </w:p>
        </w:tc>
        <w:tc>
          <w:tcPr>
            <w:tcW w:w="1445" w:type="dxa"/>
            <w:vMerge w:val="restart"/>
            <w:tcBorders>
              <w:top w:val="nil"/>
              <w:left w:val="nil"/>
              <w:right w:val="single" w:color="auto" w:sz="4" w:space="0"/>
            </w:tcBorders>
            <w:vAlign w:val="center"/>
          </w:tcPr>
          <w:p w14:paraId="67823E2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20.8</w:t>
            </w:r>
          </w:p>
        </w:tc>
        <w:tc>
          <w:tcPr>
            <w:tcW w:w="2268" w:type="dxa"/>
            <w:tcBorders>
              <w:top w:val="nil"/>
              <w:left w:val="nil"/>
              <w:bottom w:val="single" w:color="auto" w:sz="4" w:space="0"/>
              <w:right w:val="single" w:color="auto" w:sz="4" w:space="0"/>
            </w:tcBorders>
            <w:vAlign w:val="center"/>
          </w:tcPr>
          <w:p w14:paraId="0A96868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1686" w:type="dxa"/>
            <w:tcBorders>
              <w:top w:val="nil"/>
              <w:left w:val="nil"/>
              <w:bottom w:val="single" w:color="auto" w:sz="4" w:space="0"/>
              <w:right w:val="single" w:color="auto" w:sz="4" w:space="0"/>
            </w:tcBorders>
            <w:vAlign w:val="center"/>
          </w:tcPr>
          <w:p w14:paraId="4BB2C8C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600</w:t>
            </w:r>
          </w:p>
        </w:tc>
        <w:tc>
          <w:tcPr>
            <w:tcW w:w="1716" w:type="dxa"/>
            <w:tcBorders>
              <w:top w:val="nil"/>
              <w:left w:val="nil"/>
              <w:bottom w:val="single" w:color="auto" w:sz="4" w:space="0"/>
              <w:right w:val="single" w:color="auto" w:sz="4" w:space="0"/>
            </w:tcBorders>
            <w:vAlign w:val="center"/>
          </w:tcPr>
          <w:p w14:paraId="24CD197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0.01248</w:t>
            </w:r>
          </w:p>
        </w:tc>
        <w:tc>
          <w:tcPr>
            <w:tcW w:w="1134" w:type="dxa"/>
            <w:vMerge w:val="continue"/>
            <w:tcBorders>
              <w:top w:val="nil"/>
              <w:left w:val="single" w:color="auto" w:sz="4" w:space="0"/>
              <w:bottom w:val="single" w:color="auto" w:sz="4" w:space="0"/>
              <w:right w:val="single" w:color="auto" w:sz="4" w:space="0"/>
            </w:tcBorders>
            <w:vAlign w:val="center"/>
          </w:tcPr>
          <w:p w14:paraId="6B56B349">
            <w:pPr>
              <w:pStyle w:val="109"/>
              <w:rPr>
                <w:color w:val="000000" w:themeColor="text1"/>
                <w14:textFill>
                  <w14:solidFill>
                    <w14:schemeClr w14:val="tx1"/>
                  </w14:solidFill>
                </w14:textFill>
              </w:rPr>
            </w:pPr>
          </w:p>
        </w:tc>
      </w:tr>
      <w:tr w14:paraId="58DA5E23">
        <w:tblPrEx>
          <w:tblCellMar>
            <w:top w:w="0" w:type="dxa"/>
            <w:left w:w="108" w:type="dxa"/>
            <w:bottom w:w="0" w:type="dxa"/>
            <w:right w:w="108" w:type="dxa"/>
          </w:tblCellMar>
        </w:tblPrEx>
        <w:trPr>
          <w:trHeight w:val="300" w:hRule="atLeast"/>
        </w:trPr>
        <w:tc>
          <w:tcPr>
            <w:tcW w:w="1129" w:type="dxa"/>
            <w:vMerge w:val="continue"/>
            <w:tcBorders>
              <w:top w:val="nil"/>
              <w:left w:val="single" w:color="auto" w:sz="4" w:space="0"/>
              <w:bottom w:val="single" w:color="auto" w:sz="4" w:space="0"/>
              <w:right w:val="single" w:color="auto" w:sz="4" w:space="0"/>
            </w:tcBorders>
            <w:vAlign w:val="center"/>
          </w:tcPr>
          <w:p w14:paraId="518721A6">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4822B259">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7620E06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686" w:type="dxa"/>
            <w:tcBorders>
              <w:top w:val="nil"/>
              <w:left w:val="nil"/>
              <w:bottom w:val="single" w:color="auto" w:sz="4" w:space="0"/>
              <w:right w:val="single" w:color="auto" w:sz="4" w:space="0"/>
            </w:tcBorders>
            <w:vAlign w:val="center"/>
          </w:tcPr>
          <w:p w14:paraId="664D30E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w:t>
            </w:r>
          </w:p>
        </w:tc>
        <w:tc>
          <w:tcPr>
            <w:tcW w:w="1716" w:type="dxa"/>
            <w:tcBorders>
              <w:top w:val="nil"/>
              <w:left w:val="nil"/>
              <w:bottom w:val="single" w:color="auto" w:sz="4" w:space="0"/>
              <w:right w:val="single" w:color="auto" w:sz="4" w:space="0"/>
            </w:tcBorders>
            <w:vAlign w:val="center"/>
          </w:tcPr>
          <w:p w14:paraId="3A5AAA6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0.000208</w:t>
            </w:r>
          </w:p>
        </w:tc>
        <w:tc>
          <w:tcPr>
            <w:tcW w:w="1134" w:type="dxa"/>
            <w:vMerge w:val="continue"/>
            <w:tcBorders>
              <w:top w:val="nil"/>
              <w:left w:val="single" w:color="auto" w:sz="4" w:space="0"/>
              <w:bottom w:val="single" w:color="auto" w:sz="4" w:space="0"/>
              <w:right w:val="single" w:color="auto" w:sz="4" w:space="0"/>
            </w:tcBorders>
            <w:vAlign w:val="center"/>
          </w:tcPr>
          <w:p w14:paraId="4348BF29">
            <w:pPr>
              <w:pStyle w:val="109"/>
              <w:rPr>
                <w:color w:val="000000" w:themeColor="text1"/>
                <w14:textFill>
                  <w14:solidFill>
                    <w14:schemeClr w14:val="tx1"/>
                  </w14:solidFill>
                </w14:textFill>
              </w:rPr>
            </w:pPr>
          </w:p>
        </w:tc>
      </w:tr>
      <w:tr w14:paraId="5D5C1347">
        <w:tblPrEx>
          <w:tblCellMar>
            <w:top w:w="0" w:type="dxa"/>
            <w:left w:w="108" w:type="dxa"/>
            <w:bottom w:w="0" w:type="dxa"/>
            <w:right w:w="108" w:type="dxa"/>
          </w:tblCellMar>
        </w:tblPrEx>
        <w:trPr>
          <w:trHeight w:val="300" w:hRule="atLeast"/>
        </w:trPr>
        <w:tc>
          <w:tcPr>
            <w:tcW w:w="1129" w:type="dxa"/>
            <w:vMerge w:val="continue"/>
            <w:tcBorders>
              <w:top w:val="nil"/>
              <w:left w:val="single" w:color="auto" w:sz="4" w:space="0"/>
              <w:bottom w:val="single" w:color="auto" w:sz="4" w:space="0"/>
              <w:right w:val="single" w:color="auto" w:sz="4" w:space="0"/>
            </w:tcBorders>
            <w:vAlign w:val="center"/>
          </w:tcPr>
          <w:p w14:paraId="4C5A412D">
            <w:pPr>
              <w:pStyle w:val="109"/>
              <w:rPr>
                <w:color w:val="000000" w:themeColor="text1"/>
                <w14:textFill>
                  <w14:solidFill>
                    <w14:schemeClr w14:val="tx1"/>
                  </w14:solidFill>
                </w14:textFill>
              </w:rPr>
            </w:pPr>
          </w:p>
        </w:tc>
        <w:tc>
          <w:tcPr>
            <w:tcW w:w="1445" w:type="dxa"/>
            <w:vMerge w:val="continue"/>
            <w:tcBorders>
              <w:left w:val="nil"/>
              <w:right w:val="single" w:color="auto" w:sz="4" w:space="0"/>
            </w:tcBorders>
            <w:vAlign w:val="center"/>
          </w:tcPr>
          <w:p w14:paraId="3D833ABB">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6E70FA8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全盐量</w:t>
            </w:r>
          </w:p>
        </w:tc>
        <w:tc>
          <w:tcPr>
            <w:tcW w:w="1686" w:type="dxa"/>
            <w:tcBorders>
              <w:top w:val="nil"/>
              <w:left w:val="nil"/>
              <w:bottom w:val="single" w:color="auto" w:sz="4" w:space="0"/>
              <w:right w:val="single" w:color="auto" w:sz="4" w:space="0"/>
            </w:tcBorders>
            <w:vAlign w:val="center"/>
          </w:tcPr>
          <w:p w14:paraId="7F485B7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1500</w:t>
            </w:r>
          </w:p>
        </w:tc>
        <w:tc>
          <w:tcPr>
            <w:tcW w:w="1716" w:type="dxa"/>
            <w:tcBorders>
              <w:top w:val="nil"/>
              <w:left w:val="nil"/>
              <w:bottom w:val="single" w:color="auto" w:sz="4" w:space="0"/>
              <w:right w:val="single" w:color="auto" w:sz="4" w:space="0"/>
            </w:tcBorders>
            <w:vAlign w:val="center"/>
          </w:tcPr>
          <w:p w14:paraId="15E9F49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0.0312</w:t>
            </w:r>
          </w:p>
        </w:tc>
        <w:tc>
          <w:tcPr>
            <w:tcW w:w="1134" w:type="dxa"/>
            <w:vMerge w:val="continue"/>
            <w:tcBorders>
              <w:top w:val="nil"/>
              <w:left w:val="single" w:color="auto" w:sz="4" w:space="0"/>
              <w:bottom w:val="single" w:color="auto" w:sz="4" w:space="0"/>
              <w:right w:val="single" w:color="auto" w:sz="4" w:space="0"/>
            </w:tcBorders>
            <w:vAlign w:val="center"/>
          </w:tcPr>
          <w:p w14:paraId="4B5A2C23">
            <w:pPr>
              <w:pStyle w:val="109"/>
              <w:rPr>
                <w:color w:val="000000" w:themeColor="text1"/>
                <w14:textFill>
                  <w14:solidFill>
                    <w14:schemeClr w14:val="tx1"/>
                  </w14:solidFill>
                </w14:textFill>
              </w:rPr>
            </w:pPr>
          </w:p>
        </w:tc>
      </w:tr>
      <w:tr w14:paraId="52580724">
        <w:tblPrEx>
          <w:tblCellMar>
            <w:top w:w="0" w:type="dxa"/>
            <w:left w:w="108" w:type="dxa"/>
            <w:bottom w:w="0" w:type="dxa"/>
            <w:right w:w="108" w:type="dxa"/>
          </w:tblCellMar>
        </w:tblPrEx>
        <w:trPr>
          <w:trHeight w:val="300" w:hRule="atLeast"/>
        </w:trPr>
        <w:tc>
          <w:tcPr>
            <w:tcW w:w="1129" w:type="dxa"/>
            <w:vMerge w:val="continue"/>
            <w:tcBorders>
              <w:top w:val="nil"/>
              <w:left w:val="single" w:color="auto" w:sz="4" w:space="0"/>
              <w:bottom w:val="single" w:color="auto" w:sz="4" w:space="0"/>
              <w:right w:val="single" w:color="auto" w:sz="4" w:space="0"/>
            </w:tcBorders>
            <w:vAlign w:val="center"/>
          </w:tcPr>
          <w:p w14:paraId="305C7F75">
            <w:pPr>
              <w:pStyle w:val="109"/>
              <w:rPr>
                <w:color w:val="000000" w:themeColor="text1"/>
                <w14:textFill>
                  <w14:solidFill>
                    <w14:schemeClr w14:val="tx1"/>
                  </w14:solidFill>
                </w14:textFill>
              </w:rPr>
            </w:pPr>
          </w:p>
        </w:tc>
        <w:tc>
          <w:tcPr>
            <w:tcW w:w="1445" w:type="dxa"/>
            <w:vMerge w:val="continue"/>
            <w:tcBorders>
              <w:left w:val="nil"/>
              <w:bottom w:val="single" w:color="auto" w:sz="4" w:space="0"/>
              <w:right w:val="single" w:color="auto" w:sz="4" w:space="0"/>
            </w:tcBorders>
            <w:vAlign w:val="center"/>
          </w:tcPr>
          <w:p w14:paraId="67927E39">
            <w:pPr>
              <w:pStyle w:val="109"/>
              <w:rPr>
                <w:color w:val="000000" w:themeColor="text1"/>
                <w14:textFill>
                  <w14:solidFill>
                    <w14:schemeClr w14:val="tx1"/>
                  </w14:solidFill>
                </w14:textFill>
              </w:rPr>
            </w:pPr>
          </w:p>
        </w:tc>
        <w:tc>
          <w:tcPr>
            <w:tcW w:w="2268" w:type="dxa"/>
            <w:tcBorders>
              <w:top w:val="nil"/>
              <w:left w:val="nil"/>
              <w:bottom w:val="single" w:color="auto" w:sz="4" w:space="0"/>
              <w:right w:val="single" w:color="auto" w:sz="4" w:space="0"/>
            </w:tcBorders>
            <w:vAlign w:val="center"/>
          </w:tcPr>
          <w:p w14:paraId="7A013EE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SS</w:t>
            </w:r>
          </w:p>
        </w:tc>
        <w:tc>
          <w:tcPr>
            <w:tcW w:w="1686" w:type="dxa"/>
            <w:tcBorders>
              <w:top w:val="nil"/>
              <w:left w:val="nil"/>
              <w:bottom w:val="single" w:color="auto" w:sz="4" w:space="0"/>
              <w:right w:val="single" w:color="auto" w:sz="4" w:space="0"/>
            </w:tcBorders>
            <w:vAlign w:val="center"/>
          </w:tcPr>
          <w:p w14:paraId="1CD7EB5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200</w:t>
            </w:r>
          </w:p>
        </w:tc>
        <w:tc>
          <w:tcPr>
            <w:tcW w:w="1716" w:type="dxa"/>
            <w:tcBorders>
              <w:top w:val="nil"/>
              <w:left w:val="nil"/>
              <w:bottom w:val="single" w:color="auto" w:sz="4" w:space="0"/>
              <w:right w:val="single" w:color="auto" w:sz="4" w:space="0"/>
            </w:tcBorders>
            <w:vAlign w:val="center"/>
          </w:tcPr>
          <w:p w14:paraId="226CD33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0.00416</w:t>
            </w:r>
          </w:p>
        </w:tc>
        <w:tc>
          <w:tcPr>
            <w:tcW w:w="1134" w:type="dxa"/>
            <w:vMerge w:val="continue"/>
            <w:tcBorders>
              <w:top w:val="nil"/>
              <w:left w:val="single" w:color="auto" w:sz="4" w:space="0"/>
              <w:bottom w:val="single" w:color="auto" w:sz="4" w:space="0"/>
              <w:right w:val="single" w:color="auto" w:sz="4" w:space="0"/>
            </w:tcBorders>
            <w:vAlign w:val="center"/>
          </w:tcPr>
          <w:p w14:paraId="43EF673A">
            <w:pPr>
              <w:pStyle w:val="109"/>
              <w:rPr>
                <w:color w:val="000000" w:themeColor="text1"/>
                <w14:textFill>
                  <w14:solidFill>
                    <w14:schemeClr w14:val="tx1"/>
                  </w14:solidFill>
                </w14:textFill>
              </w:rPr>
            </w:pPr>
          </w:p>
        </w:tc>
      </w:tr>
      <w:tr w14:paraId="759F9CD4">
        <w:tblPrEx>
          <w:tblCellMar>
            <w:top w:w="0" w:type="dxa"/>
            <w:left w:w="108" w:type="dxa"/>
            <w:bottom w:w="0" w:type="dxa"/>
            <w:right w:w="108" w:type="dxa"/>
          </w:tblCellMar>
        </w:tblPrEx>
        <w:trPr>
          <w:trHeight w:val="276" w:hRule="atLeast"/>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1616DF9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1445" w:type="dxa"/>
            <w:vMerge w:val="restart"/>
            <w:tcBorders>
              <w:top w:val="single" w:color="auto" w:sz="4" w:space="0"/>
              <w:left w:val="nil"/>
              <w:bottom w:val="single" w:color="auto" w:sz="4" w:space="0"/>
              <w:right w:val="single" w:color="auto" w:sz="4" w:space="0"/>
            </w:tcBorders>
            <w:vAlign w:val="center"/>
          </w:tcPr>
          <w:p w14:paraId="068BC8A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396</w:t>
            </w:r>
          </w:p>
        </w:tc>
        <w:tc>
          <w:tcPr>
            <w:tcW w:w="2268" w:type="dxa"/>
            <w:tcBorders>
              <w:top w:val="single" w:color="auto" w:sz="4" w:space="0"/>
              <w:left w:val="nil"/>
              <w:bottom w:val="single" w:color="auto" w:sz="4" w:space="0"/>
              <w:right w:val="single" w:color="auto" w:sz="4" w:space="0"/>
            </w:tcBorders>
            <w:vAlign w:val="center"/>
          </w:tcPr>
          <w:p w14:paraId="3B9E1FC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1686" w:type="dxa"/>
            <w:tcBorders>
              <w:top w:val="nil"/>
              <w:left w:val="nil"/>
              <w:bottom w:val="single" w:color="auto" w:sz="4" w:space="0"/>
              <w:right w:val="single" w:color="auto" w:sz="4" w:space="0"/>
            </w:tcBorders>
            <w:vAlign w:val="center"/>
          </w:tcPr>
          <w:p w14:paraId="3C364FC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400</w:t>
            </w:r>
          </w:p>
        </w:tc>
        <w:tc>
          <w:tcPr>
            <w:tcW w:w="1716" w:type="dxa"/>
            <w:tcBorders>
              <w:top w:val="nil"/>
              <w:left w:val="nil"/>
              <w:bottom w:val="single" w:color="auto" w:sz="4" w:space="0"/>
              <w:right w:val="single" w:color="auto" w:sz="4" w:space="0"/>
            </w:tcBorders>
            <w:vAlign w:val="center"/>
          </w:tcPr>
          <w:p w14:paraId="0A9FD63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0.1584</w:t>
            </w:r>
          </w:p>
        </w:tc>
        <w:tc>
          <w:tcPr>
            <w:tcW w:w="1134" w:type="dxa"/>
            <w:vMerge w:val="restart"/>
            <w:tcBorders>
              <w:top w:val="nil"/>
              <w:left w:val="single" w:color="auto" w:sz="4" w:space="0"/>
              <w:bottom w:val="single" w:color="auto" w:sz="4" w:space="0"/>
              <w:right w:val="single" w:color="auto" w:sz="4" w:space="0"/>
            </w:tcBorders>
            <w:vAlign w:val="center"/>
          </w:tcPr>
          <w:p w14:paraId="30E8FF8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化粪池处理后直接排入园区污水管网</w:t>
            </w:r>
          </w:p>
        </w:tc>
      </w:tr>
      <w:tr w14:paraId="5C146A9C">
        <w:tblPrEx>
          <w:tblCellMar>
            <w:top w:w="0" w:type="dxa"/>
            <w:left w:w="108" w:type="dxa"/>
            <w:bottom w:w="0" w:type="dxa"/>
            <w:right w:w="108" w:type="dxa"/>
          </w:tblCellMar>
        </w:tblPrEx>
        <w:trPr>
          <w:trHeight w:val="288" w:hRule="atLeast"/>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07507977">
            <w:pPr>
              <w:pStyle w:val="109"/>
              <w:rPr>
                <w:color w:val="000000" w:themeColor="text1"/>
                <w14:textFill>
                  <w14:solidFill>
                    <w14:schemeClr w14:val="tx1"/>
                  </w14:solidFill>
                </w14:textFill>
              </w:rPr>
            </w:pPr>
          </w:p>
        </w:tc>
        <w:tc>
          <w:tcPr>
            <w:tcW w:w="1445" w:type="dxa"/>
            <w:vMerge w:val="continue"/>
            <w:tcBorders>
              <w:top w:val="single" w:color="auto" w:sz="4" w:space="0"/>
              <w:left w:val="nil"/>
              <w:bottom w:val="single" w:color="auto" w:sz="4" w:space="0"/>
              <w:right w:val="single" w:color="auto" w:sz="4" w:space="0"/>
            </w:tcBorders>
            <w:vAlign w:val="center"/>
          </w:tcPr>
          <w:p w14:paraId="355074DE">
            <w:pPr>
              <w:pStyle w:val="109"/>
              <w:rPr>
                <w:color w:val="000000" w:themeColor="text1"/>
                <w14:textFill>
                  <w14:solidFill>
                    <w14:schemeClr w14:val="tx1"/>
                  </w14:solidFill>
                </w14:textFill>
              </w:rPr>
            </w:pPr>
          </w:p>
        </w:tc>
        <w:tc>
          <w:tcPr>
            <w:tcW w:w="2268" w:type="dxa"/>
            <w:tcBorders>
              <w:top w:val="single" w:color="auto" w:sz="4" w:space="0"/>
              <w:left w:val="nil"/>
              <w:bottom w:val="single" w:color="auto" w:sz="4" w:space="0"/>
              <w:right w:val="single" w:color="auto" w:sz="4" w:space="0"/>
            </w:tcBorders>
            <w:vAlign w:val="center"/>
          </w:tcPr>
          <w:p w14:paraId="6AA029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SS</w:t>
            </w:r>
          </w:p>
        </w:tc>
        <w:tc>
          <w:tcPr>
            <w:tcW w:w="1686" w:type="dxa"/>
            <w:tcBorders>
              <w:top w:val="nil"/>
              <w:left w:val="nil"/>
              <w:bottom w:val="single" w:color="auto" w:sz="4" w:space="0"/>
              <w:right w:val="single" w:color="auto" w:sz="4" w:space="0"/>
            </w:tcBorders>
            <w:vAlign w:val="center"/>
          </w:tcPr>
          <w:p w14:paraId="1D6C11E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300</w:t>
            </w:r>
          </w:p>
        </w:tc>
        <w:tc>
          <w:tcPr>
            <w:tcW w:w="1716" w:type="dxa"/>
            <w:tcBorders>
              <w:top w:val="nil"/>
              <w:left w:val="nil"/>
              <w:bottom w:val="single" w:color="auto" w:sz="4" w:space="0"/>
              <w:right w:val="single" w:color="auto" w:sz="4" w:space="0"/>
            </w:tcBorders>
            <w:vAlign w:val="center"/>
          </w:tcPr>
          <w:p w14:paraId="55F7203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0.1188</w:t>
            </w:r>
          </w:p>
        </w:tc>
        <w:tc>
          <w:tcPr>
            <w:tcW w:w="1134" w:type="dxa"/>
            <w:vMerge w:val="continue"/>
            <w:tcBorders>
              <w:top w:val="nil"/>
              <w:left w:val="single" w:color="auto" w:sz="4" w:space="0"/>
              <w:bottom w:val="single" w:color="auto" w:sz="4" w:space="0"/>
              <w:right w:val="single" w:color="auto" w:sz="4" w:space="0"/>
            </w:tcBorders>
            <w:vAlign w:val="center"/>
          </w:tcPr>
          <w:p w14:paraId="049B7CEE">
            <w:pPr>
              <w:pStyle w:val="109"/>
              <w:rPr>
                <w:color w:val="000000" w:themeColor="text1"/>
                <w14:textFill>
                  <w14:solidFill>
                    <w14:schemeClr w14:val="tx1"/>
                  </w14:solidFill>
                </w14:textFill>
              </w:rPr>
            </w:pPr>
          </w:p>
        </w:tc>
      </w:tr>
      <w:tr w14:paraId="3FDDE246">
        <w:tblPrEx>
          <w:tblCellMar>
            <w:top w:w="0" w:type="dxa"/>
            <w:left w:w="108" w:type="dxa"/>
            <w:bottom w:w="0" w:type="dxa"/>
            <w:right w:w="108" w:type="dxa"/>
          </w:tblCellMar>
        </w:tblPrEx>
        <w:trPr>
          <w:trHeight w:val="324" w:hRule="atLeast"/>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164ACCB3">
            <w:pPr>
              <w:pStyle w:val="109"/>
              <w:rPr>
                <w:color w:val="000000" w:themeColor="text1"/>
                <w14:textFill>
                  <w14:solidFill>
                    <w14:schemeClr w14:val="tx1"/>
                  </w14:solidFill>
                </w14:textFill>
              </w:rPr>
            </w:pPr>
          </w:p>
        </w:tc>
        <w:tc>
          <w:tcPr>
            <w:tcW w:w="1445" w:type="dxa"/>
            <w:vMerge w:val="continue"/>
            <w:tcBorders>
              <w:top w:val="single" w:color="auto" w:sz="4" w:space="0"/>
              <w:left w:val="nil"/>
              <w:bottom w:val="single" w:color="auto" w:sz="4" w:space="0"/>
              <w:right w:val="single" w:color="auto" w:sz="4" w:space="0"/>
            </w:tcBorders>
            <w:vAlign w:val="center"/>
          </w:tcPr>
          <w:p w14:paraId="4E9BA354">
            <w:pPr>
              <w:pStyle w:val="109"/>
              <w:rPr>
                <w:color w:val="000000" w:themeColor="text1"/>
                <w14:textFill>
                  <w14:solidFill>
                    <w14:schemeClr w14:val="tx1"/>
                  </w14:solidFill>
                </w14:textFill>
              </w:rPr>
            </w:pPr>
          </w:p>
        </w:tc>
        <w:tc>
          <w:tcPr>
            <w:tcW w:w="2268" w:type="dxa"/>
            <w:tcBorders>
              <w:top w:val="single" w:color="auto" w:sz="4" w:space="0"/>
              <w:left w:val="nil"/>
              <w:bottom w:val="single" w:color="auto" w:sz="4" w:space="0"/>
              <w:right w:val="single" w:color="auto" w:sz="4" w:space="0"/>
            </w:tcBorders>
            <w:vAlign w:val="center"/>
          </w:tcPr>
          <w:p w14:paraId="43D59F1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NH</w:t>
            </w:r>
            <w:r>
              <w:rPr>
                <w:rFonts w:eastAsia="等线"/>
                <w:color w:val="000000" w:themeColor="text1"/>
                <w:vertAlign w:val="subscript"/>
                <w14:textFill>
                  <w14:solidFill>
                    <w14:schemeClr w14:val="tx1"/>
                  </w14:solidFill>
                </w14:textFill>
              </w:rPr>
              <w:t>3</w:t>
            </w:r>
            <w:r>
              <w:rPr>
                <w:rFonts w:eastAsia="等线"/>
                <w:color w:val="000000" w:themeColor="text1"/>
                <w14:textFill>
                  <w14:solidFill>
                    <w14:schemeClr w14:val="tx1"/>
                  </w14:solidFill>
                </w14:textFill>
              </w:rPr>
              <w:t>-N</w:t>
            </w:r>
          </w:p>
        </w:tc>
        <w:tc>
          <w:tcPr>
            <w:tcW w:w="1686" w:type="dxa"/>
            <w:tcBorders>
              <w:top w:val="nil"/>
              <w:left w:val="nil"/>
              <w:bottom w:val="single" w:color="auto" w:sz="4" w:space="0"/>
              <w:right w:val="single" w:color="auto" w:sz="4" w:space="0"/>
            </w:tcBorders>
            <w:vAlign w:val="center"/>
          </w:tcPr>
          <w:p w14:paraId="7545EDF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35</w:t>
            </w:r>
          </w:p>
        </w:tc>
        <w:tc>
          <w:tcPr>
            <w:tcW w:w="1716" w:type="dxa"/>
            <w:tcBorders>
              <w:top w:val="nil"/>
              <w:left w:val="nil"/>
              <w:bottom w:val="single" w:color="auto" w:sz="4" w:space="0"/>
              <w:right w:val="single" w:color="auto" w:sz="4" w:space="0"/>
            </w:tcBorders>
            <w:vAlign w:val="center"/>
          </w:tcPr>
          <w:p w14:paraId="16C6A25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0.01386</w:t>
            </w:r>
          </w:p>
        </w:tc>
        <w:tc>
          <w:tcPr>
            <w:tcW w:w="1134" w:type="dxa"/>
            <w:vMerge w:val="continue"/>
            <w:tcBorders>
              <w:top w:val="nil"/>
              <w:left w:val="single" w:color="auto" w:sz="4" w:space="0"/>
              <w:bottom w:val="single" w:color="auto" w:sz="4" w:space="0"/>
              <w:right w:val="single" w:color="auto" w:sz="4" w:space="0"/>
            </w:tcBorders>
            <w:vAlign w:val="center"/>
          </w:tcPr>
          <w:p w14:paraId="5D4F2226">
            <w:pPr>
              <w:pStyle w:val="109"/>
              <w:rPr>
                <w:color w:val="000000" w:themeColor="text1"/>
                <w14:textFill>
                  <w14:solidFill>
                    <w14:schemeClr w14:val="tx1"/>
                  </w14:solidFill>
                </w14:textFill>
              </w:rPr>
            </w:pPr>
          </w:p>
        </w:tc>
      </w:tr>
    </w:tbl>
    <w:p w14:paraId="04DD9B76">
      <w:pPr>
        <w:ind w:firstLine="480"/>
        <w:rPr>
          <w:color w:val="000000" w:themeColor="text1"/>
          <w14:textFill>
            <w14:solidFill>
              <w14:schemeClr w14:val="tx1"/>
            </w14:solidFill>
          </w14:textFill>
        </w:rPr>
      </w:pPr>
    </w:p>
    <w:p w14:paraId="46AD5129">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外排污水管网混合废水水质一览表</w:t>
      </w:r>
    </w:p>
    <w:tbl>
      <w:tblPr>
        <w:tblStyle w:val="76"/>
        <w:tblW w:w="5000" w:type="pct"/>
        <w:tblInd w:w="0" w:type="dxa"/>
        <w:tblLayout w:type="autofit"/>
        <w:tblCellMar>
          <w:top w:w="0" w:type="dxa"/>
          <w:left w:w="108" w:type="dxa"/>
          <w:bottom w:w="0" w:type="dxa"/>
          <w:right w:w="108" w:type="dxa"/>
        </w:tblCellMar>
      </w:tblPr>
      <w:tblGrid>
        <w:gridCol w:w="1252"/>
        <w:gridCol w:w="1941"/>
        <w:gridCol w:w="2990"/>
        <w:gridCol w:w="2006"/>
        <w:gridCol w:w="1439"/>
      </w:tblGrid>
      <w:tr w14:paraId="69025AAC">
        <w:tblPrEx>
          <w:tblCellMar>
            <w:top w:w="0" w:type="dxa"/>
            <w:left w:w="108" w:type="dxa"/>
            <w:bottom w:w="0" w:type="dxa"/>
            <w:right w:w="108" w:type="dxa"/>
          </w:tblCellMar>
        </w:tblPrEx>
        <w:trPr>
          <w:trHeight w:val="288" w:hRule="atLeast"/>
        </w:trPr>
        <w:tc>
          <w:tcPr>
            <w:tcW w:w="650" w:type="pct"/>
            <w:vMerge w:val="restart"/>
            <w:tcBorders>
              <w:top w:val="single" w:color="auto" w:sz="4" w:space="0"/>
              <w:left w:val="single" w:color="auto" w:sz="4" w:space="0"/>
              <w:bottom w:val="single" w:color="auto" w:sz="4" w:space="0"/>
              <w:right w:val="single" w:color="auto" w:sz="4" w:space="0"/>
            </w:tcBorders>
            <w:noWrap/>
            <w:vAlign w:val="center"/>
          </w:tcPr>
          <w:p w14:paraId="664E194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1008" w:type="pct"/>
            <w:vMerge w:val="restart"/>
            <w:tcBorders>
              <w:top w:val="single" w:color="auto" w:sz="4" w:space="0"/>
              <w:left w:val="single" w:color="auto" w:sz="4" w:space="0"/>
              <w:bottom w:val="single" w:color="auto" w:sz="4" w:space="0"/>
              <w:right w:val="single" w:color="auto" w:sz="4" w:space="0"/>
            </w:tcBorders>
            <w:noWrap/>
            <w:vAlign w:val="center"/>
          </w:tcPr>
          <w:p w14:paraId="5D2C7FA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废水水量（m³/a）</w:t>
            </w:r>
          </w:p>
        </w:tc>
        <w:tc>
          <w:tcPr>
            <w:tcW w:w="1553" w:type="pct"/>
            <w:vMerge w:val="restart"/>
            <w:tcBorders>
              <w:top w:val="single" w:color="auto" w:sz="4" w:space="0"/>
              <w:left w:val="single" w:color="auto" w:sz="4" w:space="0"/>
              <w:bottom w:val="single" w:color="auto" w:sz="4" w:space="0"/>
              <w:right w:val="single" w:color="auto" w:sz="4" w:space="0"/>
            </w:tcBorders>
            <w:noWrap/>
            <w:vAlign w:val="center"/>
          </w:tcPr>
          <w:p w14:paraId="0F2AE33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1042" w:type="pct"/>
            <w:tcBorders>
              <w:top w:val="single" w:color="auto" w:sz="4" w:space="0"/>
              <w:left w:val="nil"/>
              <w:bottom w:val="single" w:color="auto" w:sz="4" w:space="0"/>
              <w:right w:val="single" w:color="auto" w:sz="4" w:space="0"/>
            </w:tcBorders>
            <w:vAlign w:val="center"/>
          </w:tcPr>
          <w:p w14:paraId="7B5CA1BA">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浓度</w:t>
            </w:r>
          </w:p>
        </w:tc>
        <w:tc>
          <w:tcPr>
            <w:tcW w:w="747" w:type="pct"/>
            <w:tcBorders>
              <w:top w:val="single" w:color="auto" w:sz="4" w:space="0"/>
              <w:left w:val="nil"/>
              <w:bottom w:val="single" w:color="auto" w:sz="4" w:space="0"/>
              <w:right w:val="single" w:color="auto" w:sz="4" w:space="0"/>
            </w:tcBorders>
            <w:vAlign w:val="center"/>
          </w:tcPr>
          <w:p w14:paraId="2BB56577">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产生量</w:t>
            </w:r>
          </w:p>
        </w:tc>
      </w:tr>
      <w:tr w14:paraId="7EA0FEE1">
        <w:tblPrEx>
          <w:tblCellMar>
            <w:top w:w="0" w:type="dxa"/>
            <w:left w:w="108" w:type="dxa"/>
            <w:bottom w:w="0" w:type="dxa"/>
            <w:right w:w="108" w:type="dxa"/>
          </w:tblCellMar>
        </w:tblPrEx>
        <w:trPr>
          <w:trHeight w:val="276"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1A5D6D86">
            <w:pPr>
              <w:pStyle w:val="109"/>
              <w:rPr>
                <w:color w:val="000000" w:themeColor="text1"/>
                <w14:textFill>
                  <w14:solidFill>
                    <w14:schemeClr w14:val="tx1"/>
                  </w14:solidFill>
                </w14:textFill>
              </w:rPr>
            </w:pPr>
          </w:p>
        </w:tc>
        <w:tc>
          <w:tcPr>
            <w:tcW w:w="1008" w:type="pct"/>
            <w:vMerge w:val="continue"/>
            <w:tcBorders>
              <w:top w:val="single" w:color="auto" w:sz="4" w:space="0"/>
              <w:left w:val="single" w:color="auto" w:sz="4" w:space="0"/>
              <w:bottom w:val="single" w:color="auto" w:sz="4" w:space="0"/>
              <w:right w:val="single" w:color="auto" w:sz="4" w:space="0"/>
            </w:tcBorders>
            <w:vAlign w:val="center"/>
          </w:tcPr>
          <w:p w14:paraId="0D3F7CE2">
            <w:pPr>
              <w:pStyle w:val="109"/>
              <w:rPr>
                <w:color w:val="000000" w:themeColor="text1"/>
                <w14:textFill>
                  <w14:solidFill>
                    <w14:schemeClr w14:val="tx1"/>
                  </w14:solidFill>
                </w14:textFill>
              </w:rPr>
            </w:pPr>
          </w:p>
        </w:tc>
        <w:tc>
          <w:tcPr>
            <w:tcW w:w="1553" w:type="pct"/>
            <w:vMerge w:val="continue"/>
            <w:tcBorders>
              <w:top w:val="single" w:color="auto" w:sz="4" w:space="0"/>
              <w:left w:val="single" w:color="auto" w:sz="4" w:space="0"/>
              <w:bottom w:val="single" w:color="auto" w:sz="4" w:space="0"/>
              <w:right w:val="single" w:color="auto" w:sz="4" w:space="0"/>
            </w:tcBorders>
            <w:vAlign w:val="center"/>
          </w:tcPr>
          <w:p w14:paraId="57A69D5A">
            <w:pPr>
              <w:pStyle w:val="109"/>
              <w:rPr>
                <w:color w:val="000000" w:themeColor="text1"/>
                <w14:textFill>
                  <w14:solidFill>
                    <w14:schemeClr w14:val="tx1"/>
                  </w14:solidFill>
                </w14:textFill>
              </w:rPr>
            </w:pPr>
          </w:p>
        </w:tc>
        <w:tc>
          <w:tcPr>
            <w:tcW w:w="1042" w:type="pct"/>
            <w:tcBorders>
              <w:top w:val="nil"/>
              <w:left w:val="nil"/>
              <w:bottom w:val="single" w:color="auto" w:sz="4" w:space="0"/>
              <w:right w:val="single" w:color="auto" w:sz="4" w:space="0"/>
            </w:tcBorders>
            <w:vAlign w:val="center"/>
          </w:tcPr>
          <w:p w14:paraId="2DEF68D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747" w:type="pct"/>
            <w:tcBorders>
              <w:top w:val="nil"/>
              <w:left w:val="nil"/>
              <w:bottom w:val="single" w:color="auto" w:sz="4" w:space="0"/>
              <w:right w:val="single" w:color="auto" w:sz="4" w:space="0"/>
            </w:tcBorders>
            <w:vAlign w:val="center"/>
          </w:tcPr>
          <w:p w14:paraId="54954C6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r>
      <w:tr w14:paraId="040E8E8B">
        <w:tblPrEx>
          <w:tblCellMar>
            <w:top w:w="0" w:type="dxa"/>
            <w:left w:w="108" w:type="dxa"/>
            <w:bottom w:w="0" w:type="dxa"/>
            <w:right w:w="108" w:type="dxa"/>
          </w:tblCellMar>
        </w:tblPrEx>
        <w:trPr>
          <w:trHeight w:val="276" w:hRule="atLeast"/>
        </w:trPr>
        <w:tc>
          <w:tcPr>
            <w:tcW w:w="650" w:type="pct"/>
            <w:vMerge w:val="restart"/>
            <w:tcBorders>
              <w:top w:val="nil"/>
              <w:left w:val="single" w:color="auto" w:sz="4" w:space="0"/>
              <w:bottom w:val="single" w:color="auto" w:sz="4" w:space="0"/>
              <w:right w:val="single" w:color="auto" w:sz="4" w:space="0"/>
            </w:tcBorders>
            <w:noWrap/>
            <w:vAlign w:val="center"/>
          </w:tcPr>
          <w:p w14:paraId="015EFA6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综合废水</w:t>
            </w:r>
          </w:p>
        </w:tc>
        <w:tc>
          <w:tcPr>
            <w:tcW w:w="1008" w:type="pct"/>
            <w:vMerge w:val="restart"/>
            <w:tcBorders>
              <w:top w:val="nil"/>
              <w:left w:val="nil"/>
              <w:right w:val="single" w:color="auto" w:sz="4" w:space="0"/>
            </w:tcBorders>
            <w:noWrap/>
            <w:vAlign w:val="center"/>
          </w:tcPr>
          <w:p w14:paraId="33B9BE4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3631.65</w:t>
            </w:r>
          </w:p>
        </w:tc>
        <w:tc>
          <w:tcPr>
            <w:tcW w:w="1553" w:type="pct"/>
            <w:tcBorders>
              <w:top w:val="nil"/>
              <w:left w:val="nil"/>
              <w:bottom w:val="single" w:color="auto" w:sz="4" w:space="0"/>
              <w:right w:val="single" w:color="auto" w:sz="4" w:space="0"/>
            </w:tcBorders>
            <w:vAlign w:val="center"/>
          </w:tcPr>
          <w:p w14:paraId="77C66B3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042" w:type="pct"/>
            <w:tcBorders>
              <w:top w:val="nil"/>
              <w:left w:val="nil"/>
              <w:bottom w:val="single" w:color="auto" w:sz="4" w:space="0"/>
              <w:right w:val="single" w:color="auto" w:sz="4" w:space="0"/>
            </w:tcBorders>
            <w:noWrap/>
            <w:vAlign w:val="center"/>
          </w:tcPr>
          <w:p w14:paraId="120CCB4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118</w:t>
            </w:r>
          </w:p>
        </w:tc>
        <w:tc>
          <w:tcPr>
            <w:tcW w:w="747" w:type="pct"/>
            <w:tcBorders>
              <w:top w:val="nil"/>
              <w:left w:val="nil"/>
              <w:bottom w:val="single" w:color="auto" w:sz="4" w:space="0"/>
              <w:right w:val="single" w:color="auto" w:sz="4" w:space="0"/>
            </w:tcBorders>
            <w:noWrap/>
            <w:vAlign w:val="center"/>
          </w:tcPr>
          <w:p w14:paraId="0FDF496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0.428</w:t>
            </w:r>
          </w:p>
        </w:tc>
      </w:tr>
      <w:tr w14:paraId="265EF9B3">
        <w:tblPrEx>
          <w:tblCellMar>
            <w:top w:w="0" w:type="dxa"/>
            <w:left w:w="108" w:type="dxa"/>
            <w:bottom w:w="0" w:type="dxa"/>
            <w:right w:w="108" w:type="dxa"/>
          </w:tblCellMar>
        </w:tblPrEx>
        <w:trPr>
          <w:trHeight w:val="288" w:hRule="atLeast"/>
        </w:trPr>
        <w:tc>
          <w:tcPr>
            <w:tcW w:w="650" w:type="pct"/>
            <w:vMerge w:val="continue"/>
            <w:tcBorders>
              <w:top w:val="nil"/>
              <w:left w:val="single" w:color="auto" w:sz="4" w:space="0"/>
              <w:bottom w:val="single" w:color="auto" w:sz="4" w:space="0"/>
              <w:right w:val="single" w:color="auto" w:sz="4" w:space="0"/>
            </w:tcBorders>
            <w:vAlign w:val="center"/>
          </w:tcPr>
          <w:p w14:paraId="3D7F137B">
            <w:pPr>
              <w:pStyle w:val="109"/>
              <w:rPr>
                <w:color w:val="000000" w:themeColor="text1"/>
                <w14:textFill>
                  <w14:solidFill>
                    <w14:schemeClr w14:val="tx1"/>
                  </w14:solidFill>
                </w14:textFill>
              </w:rPr>
            </w:pPr>
          </w:p>
        </w:tc>
        <w:tc>
          <w:tcPr>
            <w:tcW w:w="1008" w:type="pct"/>
            <w:vMerge w:val="continue"/>
            <w:tcBorders>
              <w:left w:val="nil"/>
              <w:right w:val="single" w:color="auto" w:sz="4" w:space="0"/>
            </w:tcBorders>
            <w:noWrap/>
            <w:vAlign w:val="center"/>
          </w:tcPr>
          <w:p w14:paraId="4F1B3D3C">
            <w:pPr>
              <w:pStyle w:val="109"/>
              <w:rPr>
                <w:color w:val="000000" w:themeColor="text1"/>
                <w14:textFill>
                  <w14:solidFill>
                    <w14:schemeClr w14:val="tx1"/>
                  </w14:solidFill>
                </w14:textFill>
              </w:rPr>
            </w:pPr>
          </w:p>
        </w:tc>
        <w:tc>
          <w:tcPr>
            <w:tcW w:w="1553" w:type="pct"/>
            <w:tcBorders>
              <w:top w:val="nil"/>
              <w:left w:val="nil"/>
              <w:bottom w:val="single" w:color="auto" w:sz="4" w:space="0"/>
              <w:right w:val="single" w:color="auto" w:sz="4" w:space="0"/>
            </w:tcBorders>
            <w:vAlign w:val="center"/>
          </w:tcPr>
          <w:p w14:paraId="630901AF">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氨氮</w:t>
            </w:r>
          </w:p>
        </w:tc>
        <w:tc>
          <w:tcPr>
            <w:tcW w:w="1042" w:type="pct"/>
            <w:tcBorders>
              <w:top w:val="nil"/>
              <w:left w:val="nil"/>
              <w:bottom w:val="single" w:color="auto" w:sz="4" w:space="0"/>
              <w:right w:val="single" w:color="auto" w:sz="4" w:space="0"/>
            </w:tcBorders>
            <w:noWrap/>
            <w:vAlign w:val="center"/>
          </w:tcPr>
          <w:p w14:paraId="6B927D1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747" w:type="pct"/>
            <w:tcBorders>
              <w:top w:val="nil"/>
              <w:left w:val="nil"/>
              <w:bottom w:val="single" w:color="auto" w:sz="4" w:space="0"/>
              <w:right w:val="single" w:color="auto" w:sz="4" w:space="0"/>
            </w:tcBorders>
            <w:noWrap/>
            <w:vAlign w:val="center"/>
          </w:tcPr>
          <w:p w14:paraId="6DD52E5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0.024</w:t>
            </w:r>
          </w:p>
        </w:tc>
      </w:tr>
      <w:tr w14:paraId="67A59DFB">
        <w:tblPrEx>
          <w:tblCellMar>
            <w:top w:w="0" w:type="dxa"/>
            <w:left w:w="108" w:type="dxa"/>
            <w:bottom w:w="0" w:type="dxa"/>
            <w:right w:w="108" w:type="dxa"/>
          </w:tblCellMar>
        </w:tblPrEx>
        <w:trPr>
          <w:trHeight w:val="288" w:hRule="atLeast"/>
        </w:trPr>
        <w:tc>
          <w:tcPr>
            <w:tcW w:w="650" w:type="pct"/>
            <w:vMerge w:val="continue"/>
            <w:tcBorders>
              <w:top w:val="nil"/>
              <w:left w:val="single" w:color="auto" w:sz="4" w:space="0"/>
              <w:bottom w:val="single" w:color="auto" w:sz="4" w:space="0"/>
              <w:right w:val="single" w:color="auto" w:sz="4" w:space="0"/>
            </w:tcBorders>
            <w:vAlign w:val="center"/>
          </w:tcPr>
          <w:p w14:paraId="249E0FE3">
            <w:pPr>
              <w:pStyle w:val="109"/>
              <w:rPr>
                <w:color w:val="000000" w:themeColor="text1"/>
                <w14:textFill>
                  <w14:solidFill>
                    <w14:schemeClr w14:val="tx1"/>
                  </w14:solidFill>
                </w14:textFill>
              </w:rPr>
            </w:pPr>
          </w:p>
        </w:tc>
        <w:tc>
          <w:tcPr>
            <w:tcW w:w="1008" w:type="pct"/>
            <w:vMerge w:val="continue"/>
            <w:tcBorders>
              <w:left w:val="nil"/>
              <w:right w:val="single" w:color="auto" w:sz="4" w:space="0"/>
            </w:tcBorders>
            <w:noWrap/>
            <w:vAlign w:val="center"/>
          </w:tcPr>
          <w:p w14:paraId="5ED4325B">
            <w:pPr>
              <w:pStyle w:val="109"/>
              <w:rPr>
                <w:color w:val="000000" w:themeColor="text1"/>
                <w14:textFill>
                  <w14:solidFill>
                    <w14:schemeClr w14:val="tx1"/>
                  </w14:solidFill>
                </w14:textFill>
              </w:rPr>
            </w:pPr>
          </w:p>
        </w:tc>
        <w:tc>
          <w:tcPr>
            <w:tcW w:w="1553" w:type="pct"/>
            <w:tcBorders>
              <w:top w:val="nil"/>
              <w:left w:val="nil"/>
              <w:bottom w:val="single" w:color="auto" w:sz="4" w:space="0"/>
              <w:right w:val="single" w:color="auto" w:sz="4" w:space="0"/>
            </w:tcBorders>
            <w:vAlign w:val="center"/>
          </w:tcPr>
          <w:p w14:paraId="0D9CC46C">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全盐量</w:t>
            </w:r>
          </w:p>
        </w:tc>
        <w:tc>
          <w:tcPr>
            <w:tcW w:w="1042" w:type="pct"/>
            <w:tcBorders>
              <w:top w:val="nil"/>
              <w:left w:val="nil"/>
              <w:bottom w:val="single" w:color="auto" w:sz="4" w:space="0"/>
              <w:right w:val="single" w:color="auto" w:sz="4" w:space="0"/>
            </w:tcBorders>
            <w:noWrap/>
            <w:vAlign w:val="center"/>
          </w:tcPr>
          <w:p w14:paraId="5228244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1791</w:t>
            </w:r>
          </w:p>
        </w:tc>
        <w:tc>
          <w:tcPr>
            <w:tcW w:w="747" w:type="pct"/>
            <w:tcBorders>
              <w:top w:val="nil"/>
              <w:left w:val="nil"/>
              <w:bottom w:val="single" w:color="auto" w:sz="4" w:space="0"/>
              <w:right w:val="single" w:color="auto" w:sz="4" w:space="0"/>
            </w:tcBorders>
            <w:noWrap/>
            <w:vAlign w:val="center"/>
          </w:tcPr>
          <w:p w14:paraId="69045E6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6.505</w:t>
            </w:r>
          </w:p>
        </w:tc>
      </w:tr>
      <w:tr w14:paraId="155F164C">
        <w:tblPrEx>
          <w:tblCellMar>
            <w:top w:w="0" w:type="dxa"/>
            <w:left w:w="108" w:type="dxa"/>
            <w:bottom w:w="0" w:type="dxa"/>
            <w:right w:w="108" w:type="dxa"/>
          </w:tblCellMar>
        </w:tblPrEx>
        <w:trPr>
          <w:trHeight w:val="276" w:hRule="atLeast"/>
        </w:trPr>
        <w:tc>
          <w:tcPr>
            <w:tcW w:w="650" w:type="pct"/>
            <w:vMerge w:val="continue"/>
            <w:tcBorders>
              <w:top w:val="nil"/>
              <w:left w:val="single" w:color="auto" w:sz="4" w:space="0"/>
              <w:bottom w:val="single" w:color="auto" w:sz="4" w:space="0"/>
              <w:right w:val="single" w:color="auto" w:sz="4" w:space="0"/>
            </w:tcBorders>
            <w:vAlign w:val="center"/>
          </w:tcPr>
          <w:p w14:paraId="57AA91DB">
            <w:pPr>
              <w:pStyle w:val="109"/>
              <w:rPr>
                <w:color w:val="000000" w:themeColor="text1"/>
                <w14:textFill>
                  <w14:solidFill>
                    <w14:schemeClr w14:val="tx1"/>
                  </w14:solidFill>
                </w14:textFill>
              </w:rPr>
            </w:pPr>
          </w:p>
        </w:tc>
        <w:tc>
          <w:tcPr>
            <w:tcW w:w="1008" w:type="pct"/>
            <w:vMerge w:val="continue"/>
            <w:tcBorders>
              <w:left w:val="nil"/>
              <w:bottom w:val="single" w:color="auto" w:sz="4" w:space="0"/>
              <w:right w:val="single" w:color="auto" w:sz="4" w:space="0"/>
            </w:tcBorders>
            <w:noWrap/>
            <w:vAlign w:val="center"/>
          </w:tcPr>
          <w:p w14:paraId="45AA5912">
            <w:pPr>
              <w:pStyle w:val="109"/>
              <w:rPr>
                <w:color w:val="000000" w:themeColor="text1"/>
                <w14:textFill>
                  <w14:solidFill>
                    <w14:schemeClr w14:val="tx1"/>
                  </w14:solidFill>
                </w14:textFill>
              </w:rPr>
            </w:pPr>
          </w:p>
        </w:tc>
        <w:tc>
          <w:tcPr>
            <w:tcW w:w="1553" w:type="pct"/>
            <w:tcBorders>
              <w:top w:val="nil"/>
              <w:left w:val="nil"/>
              <w:bottom w:val="single" w:color="auto" w:sz="4" w:space="0"/>
              <w:right w:val="single" w:color="auto" w:sz="4" w:space="0"/>
            </w:tcBorders>
            <w:vAlign w:val="center"/>
          </w:tcPr>
          <w:p w14:paraId="3327F19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042" w:type="pct"/>
            <w:tcBorders>
              <w:top w:val="nil"/>
              <w:left w:val="nil"/>
              <w:bottom w:val="single" w:color="auto" w:sz="4" w:space="0"/>
              <w:right w:val="single" w:color="auto" w:sz="4" w:space="0"/>
            </w:tcBorders>
            <w:noWrap/>
            <w:vAlign w:val="center"/>
          </w:tcPr>
          <w:p w14:paraId="1E6AFBF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68</w:t>
            </w:r>
          </w:p>
        </w:tc>
        <w:tc>
          <w:tcPr>
            <w:tcW w:w="747" w:type="pct"/>
            <w:tcBorders>
              <w:top w:val="nil"/>
              <w:left w:val="nil"/>
              <w:bottom w:val="single" w:color="auto" w:sz="4" w:space="0"/>
              <w:right w:val="single" w:color="auto" w:sz="4" w:space="0"/>
            </w:tcBorders>
            <w:noWrap/>
            <w:vAlign w:val="center"/>
          </w:tcPr>
          <w:p w14:paraId="0951776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0.247</w:t>
            </w:r>
          </w:p>
        </w:tc>
      </w:tr>
      <w:bookmarkEnd w:id="283"/>
    </w:tbl>
    <w:p w14:paraId="037C39E3">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废水处置情况</w:t>
      </w:r>
    </w:p>
    <w:p w14:paraId="218ED4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本项目设置一套处理能力1.5m³/h的多效蒸发装置，用于处理</w:t>
      </w:r>
      <w:r>
        <w:rPr>
          <w:color w:val="000000" w:themeColor="text1"/>
          <w14:textFill>
            <w14:solidFill>
              <w14:schemeClr w14:val="tx1"/>
            </w14:solidFill>
          </w14:textFill>
        </w:rPr>
        <w:t>烟气处理系统</w:t>
      </w:r>
      <w:r>
        <w:rPr>
          <w:rFonts w:hint="eastAsia"/>
          <w:color w:val="000000" w:themeColor="text1"/>
          <w14:textFill>
            <w14:solidFill>
              <w14:schemeClr w14:val="tx1"/>
            </w14:solidFill>
          </w14:textFill>
        </w:rPr>
        <w:t>产生的含盐</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，设计方案如下：</w:t>
      </w:r>
    </w:p>
    <w:p w14:paraId="3028763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一、设备参数</w:t>
      </w:r>
    </w:p>
    <w:p w14:paraId="30020A2C">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设计参数</w:t>
      </w:r>
    </w:p>
    <w:tbl>
      <w:tblPr>
        <w:tblStyle w:val="76"/>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122"/>
        <w:gridCol w:w="4110"/>
        <w:gridCol w:w="3261"/>
      </w:tblGrid>
      <w:tr w14:paraId="2CF2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2" w:type="dxa"/>
            <w:tcMar>
              <w:top w:w="60" w:type="dxa"/>
              <w:left w:w="120" w:type="dxa"/>
              <w:bottom w:w="30" w:type="dxa"/>
              <w:right w:w="120" w:type="dxa"/>
            </w:tcMar>
            <w:vAlign w:val="center"/>
          </w:tcPr>
          <w:p w14:paraId="594CFD6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设计</w:t>
            </w:r>
            <w:r>
              <w:rPr>
                <w:color w:val="000000" w:themeColor="text1"/>
                <w14:textFill>
                  <w14:solidFill>
                    <w14:schemeClr w14:val="tx1"/>
                  </w14:solidFill>
                </w14:textFill>
              </w:rPr>
              <w:t>参数名称</w:t>
            </w:r>
          </w:p>
        </w:tc>
        <w:tc>
          <w:tcPr>
            <w:tcW w:w="4110" w:type="dxa"/>
            <w:tcMar>
              <w:top w:w="60" w:type="dxa"/>
              <w:left w:w="120" w:type="dxa"/>
              <w:bottom w:w="30" w:type="dxa"/>
              <w:right w:w="120" w:type="dxa"/>
            </w:tcMar>
            <w:vAlign w:val="center"/>
          </w:tcPr>
          <w:p w14:paraId="79A2DDFD">
            <w:pPr>
              <w:pStyle w:val="109"/>
              <w:rPr>
                <w:color w:val="000000" w:themeColor="text1"/>
                <w14:textFill>
                  <w14:solidFill>
                    <w14:schemeClr w14:val="tx1"/>
                  </w14:solidFill>
                </w14:textFill>
              </w:rPr>
            </w:pPr>
            <w:r>
              <w:rPr>
                <w:color w:val="000000" w:themeColor="text1"/>
                <w14:textFill>
                  <w14:solidFill>
                    <w14:schemeClr w14:val="tx1"/>
                  </w14:solidFill>
                </w14:textFill>
              </w:rPr>
              <w:t>参数值</w:t>
            </w:r>
          </w:p>
        </w:tc>
        <w:tc>
          <w:tcPr>
            <w:tcW w:w="3261" w:type="dxa"/>
            <w:tcMar>
              <w:top w:w="60" w:type="dxa"/>
              <w:left w:w="120" w:type="dxa"/>
              <w:bottom w:w="30" w:type="dxa"/>
              <w:right w:w="120" w:type="dxa"/>
            </w:tcMar>
            <w:vAlign w:val="center"/>
          </w:tcPr>
          <w:p w14:paraId="782B373B">
            <w:pPr>
              <w:pStyle w:val="109"/>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1025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2" w:type="dxa"/>
            <w:tcMar>
              <w:top w:w="60" w:type="dxa"/>
              <w:left w:w="120" w:type="dxa"/>
              <w:bottom w:w="30" w:type="dxa"/>
              <w:right w:w="120" w:type="dxa"/>
            </w:tcMar>
            <w:vAlign w:val="center"/>
          </w:tcPr>
          <w:p w14:paraId="7945977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设计</w:t>
            </w:r>
            <w:r>
              <w:rPr>
                <w:color w:val="000000" w:themeColor="text1"/>
                <w14:textFill>
                  <w14:solidFill>
                    <w14:schemeClr w14:val="tx1"/>
                  </w14:solidFill>
                </w14:textFill>
              </w:rPr>
              <w:t>废水处理</w:t>
            </w:r>
            <w:r>
              <w:rPr>
                <w:rFonts w:hint="eastAsia"/>
                <w:color w:val="000000" w:themeColor="text1"/>
                <w14:textFill>
                  <w14:solidFill>
                    <w14:schemeClr w14:val="tx1"/>
                  </w14:solidFill>
                </w14:textFill>
              </w:rPr>
              <w:t>能力</w:t>
            </w:r>
          </w:p>
        </w:tc>
        <w:tc>
          <w:tcPr>
            <w:tcW w:w="4110" w:type="dxa"/>
            <w:tcMar>
              <w:top w:w="60" w:type="dxa"/>
              <w:left w:w="120" w:type="dxa"/>
              <w:bottom w:w="30" w:type="dxa"/>
              <w:right w:w="120" w:type="dxa"/>
            </w:tcMar>
            <w:vAlign w:val="center"/>
          </w:tcPr>
          <w:p w14:paraId="7DCFD1F8">
            <w:pPr>
              <w:pStyle w:val="109"/>
              <w:rPr>
                <w:color w:val="000000" w:themeColor="text1"/>
                <w14:textFill>
                  <w14:solidFill>
                    <w14:schemeClr w14:val="tx1"/>
                  </w14:solidFill>
                </w14:textFill>
              </w:rPr>
            </w:pPr>
            <w:r>
              <w:rPr>
                <w:color w:val="000000" w:themeColor="text1"/>
                <w14:textFill>
                  <w14:solidFill>
                    <w14:schemeClr w14:val="tx1"/>
                  </w14:solidFill>
                </w14:textFill>
              </w:rPr>
              <w:t>1.5t/h</w:t>
            </w:r>
          </w:p>
        </w:tc>
        <w:tc>
          <w:tcPr>
            <w:tcW w:w="3261" w:type="dxa"/>
            <w:tcMar>
              <w:top w:w="60" w:type="dxa"/>
              <w:left w:w="120" w:type="dxa"/>
              <w:bottom w:w="30" w:type="dxa"/>
              <w:right w:w="120" w:type="dxa"/>
            </w:tcMar>
            <w:vAlign w:val="center"/>
          </w:tcPr>
          <w:p w14:paraId="28B7041E">
            <w:pPr>
              <w:pStyle w:val="109"/>
              <w:rPr>
                <w:color w:val="000000" w:themeColor="text1"/>
                <w14:textFill>
                  <w14:solidFill>
                    <w14:schemeClr w14:val="tx1"/>
                  </w14:solidFill>
                </w14:textFill>
              </w:rPr>
            </w:pPr>
            <w:r>
              <w:rPr>
                <w:color w:val="000000" w:themeColor="text1"/>
                <w14:textFill>
                  <w14:solidFill>
                    <w14:schemeClr w14:val="tx1"/>
                  </w14:solidFill>
                </w14:textFill>
              </w:rPr>
              <w:t>连续运行，24小时不间断</w:t>
            </w:r>
          </w:p>
        </w:tc>
      </w:tr>
      <w:tr w14:paraId="45FE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2" w:type="dxa"/>
            <w:tcMar>
              <w:top w:w="60" w:type="dxa"/>
              <w:left w:w="120" w:type="dxa"/>
              <w:bottom w:w="30" w:type="dxa"/>
              <w:right w:w="120" w:type="dxa"/>
            </w:tcMar>
            <w:vAlign w:val="center"/>
          </w:tcPr>
          <w:p w14:paraId="1115EF6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设计</w:t>
            </w:r>
            <w:r>
              <w:rPr>
                <w:color w:val="000000" w:themeColor="text1"/>
                <w14:textFill>
                  <w14:solidFill>
                    <w14:schemeClr w14:val="tx1"/>
                  </w14:solidFill>
                </w14:textFill>
              </w:rPr>
              <w:t>废水含盐量</w:t>
            </w:r>
          </w:p>
        </w:tc>
        <w:tc>
          <w:tcPr>
            <w:tcW w:w="4110" w:type="dxa"/>
            <w:tcMar>
              <w:top w:w="60" w:type="dxa"/>
              <w:left w:w="120" w:type="dxa"/>
              <w:bottom w:w="30" w:type="dxa"/>
              <w:right w:w="120" w:type="dxa"/>
            </w:tcMar>
            <w:vAlign w:val="center"/>
          </w:tcPr>
          <w:p w14:paraId="118E4612">
            <w:pPr>
              <w:pStyle w:val="109"/>
              <w:rPr>
                <w:color w:val="000000" w:themeColor="text1"/>
                <w14:textFill>
                  <w14:solidFill>
                    <w14:schemeClr w14:val="tx1"/>
                  </w14:solidFill>
                </w14:textFill>
              </w:rPr>
            </w:pPr>
            <w:r>
              <w:rPr>
                <w:color w:val="000000" w:themeColor="text1"/>
                <w14:textFill>
                  <w14:solidFill>
                    <w14:schemeClr w14:val="tx1"/>
                  </w14:solidFill>
                </w14:textFill>
              </w:rPr>
              <w:t>12万mg/m³（120g/L）</w:t>
            </w:r>
          </w:p>
        </w:tc>
        <w:tc>
          <w:tcPr>
            <w:tcW w:w="3261" w:type="dxa"/>
            <w:tcMar>
              <w:top w:w="60" w:type="dxa"/>
              <w:left w:w="120" w:type="dxa"/>
              <w:bottom w:w="30" w:type="dxa"/>
              <w:right w:w="120" w:type="dxa"/>
            </w:tcMar>
            <w:vAlign w:val="center"/>
          </w:tcPr>
          <w:p w14:paraId="1A22D97D">
            <w:pPr>
              <w:pStyle w:val="109"/>
              <w:rPr>
                <w:color w:val="000000" w:themeColor="text1"/>
                <w14:textFill>
                  <w14:solidFill>
                    <w14:schemeClr w14:val="tx1"/>
                  </w14:solidFill>
                </w14:textFill>
              </w:rPr>
            </w:pPr>
            <w:r>
              <w:rPr>
                <w:color w:val="000000" w:themeColor="text1"/>
                <w14:textFill>
                  <w14:solidFill>
                    <w14:schemeClr w14:val="tx1"/>
                  </w14:solidFill>
                </w14:textFill>
              </w:rPr>
              <w:t>TDS=120g/L，按混合盐体系设计，防结垢</w:t>
            </w:r>
          </w:p>
        </w:tc>
      </w:tr>
      <w:tr w14:paraId="672E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2" w:type="dxa"/>
            <w:tcMar>
              <w:top w:w="60" w:type="dxa"/>
              <w:left w:w="120" w:type="dxa"/>
              <w:bottom w:w="30" w:type="dxa"/>
              <w:right w:w="120" w:type="dxa"/>
            </w:tcMar>
            <w:vAlign w:val="center"/>
          </w:tcPr>
          <w:p w14:paraId="46C42A08">
            <w:pPr>
              <w:pStyle w:val="109"/>
              <w:rPr>
                <w:color w:val="000000" w:themeColor="text1"/>
                <w14:textFill>
                  <w14:solidFill>
                    <w14:schemeClr w14:val="tx1"/>
                  </w14:solidFill>
                </w14:textFill>
              </w:rPr>
            </w:pPr>
            <w:r>
              <w:rPr>
                <w:color w:val="000000" w:themeColor="text1"/>
                <w14:textFill>
                  <w14:solidFill>
                    <w14:schemeClr w14:val="tx1"/>
                  </w14:solidFill>
                </w14:textFill>
              </w:rPr>
              <w:t>热源类型</w:t>
            </w:r>
          </w:p>
        </w:tc>
        <w:tc>
          <w:tcPr>
            <w:tcW w:w="4110" w:type="dxa"/>
            <w:tcMar>
              <w:top w:w="60" w:type="dxa"/>
              <w:left w:w="120" w:type="dxa"/>
              <w:bottom w:w="30" w:type="dxa"/>
              <w:right w:w="120" w:type="dxa"/>
            </w:tcMar>
            <w:vAlign w:val="center"/>
          </w:tcPr>
          <w:p w14:paraId="6E8D5E7A">
            <w:pPr>
              <w:pStyle w:val="109"/>
              <w:rPr>
                <w:color w:val="000000" w:themeColor="text1"/>
                <w14:textFill>
                  <w14:solidFill>
                    <w14:schemeClr w14:val="tx1"/>
                  </w14:solidFill>
                </w14:textFill>
              </w:rPr>
            </w:pPr>
            <w:r>
              <w:rPr>
                <w:color w:val="000000" w:themeColor="text1"/>
                <w14:textFill>
                  <w14:solidFill>
                    <w14:schemeClr w14:val="tx1"/>
                  </w14:solidFill>
                </w14:textFill>
              </w:rPr>
              <w:t>电加热</w:t>
            </w:r>
          </w:p>
        </w:tc>
        <w:tc>
          <w:tcPr>
            <w:tcW w:w="3261" w:type="dxa"/>
            <w:tcMar>
              <w:top w:w="60" w:type="dxa"/>
              <w:left w:w="120" w:type="dxa"/>
              <w:bottom w:w="30" w:type="dxa"/>
              <w:right w:w="120" w:type="dxa"/>
            </w:tcMar>
            <w:vAlign w:val="center"/>
          </w:tcPr>
          <w:p w14:paraId="406E6BE7">
            <w:pPr>
              <w:pStyle w:val="109"/>
              <w:rPr>
                <w:color w:val="000000" w:themeColor="text1"/>
                <w14:textFill>
                  <w14:solidFill>
                    <w14:schemeClr w14:val="tx1"/>
                  </w14:solidFill>
                </w14:textFill>
              </w:rPr>
            </w:pPr>
            <w:r>
              <w:rPr>
                <w:color w:val="000000" w:themeColor="text1"/>
                <w14:textFill>
                  <w14:solidFill>
                    <w14:schemeClr w14:val="tx1"/>
                  </w14:solidFill>
                </w14:textFill>
              </w:rPr>
              <w:t>电热转换效率≥98%，清洁无污染物排放</w:t>
            </w:r>
          </w:p>
        </w:tc>
      </w:tr>
      <w:tr w14:paraId="5BDE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2" w:type="dxa"/>
            <w:tcMar>
              <w:top w:w="60" w:type="dxa"/>
              <w:left w:w="120" w:type="dxa"/>
              <w:bottom w:w="30" w:type="dxa"/>
              <w:right w:w="120" w:type="dxa"/>
            </w:tcMar>
            <w:vAlign w:val="center"/>
          </w:tcPr>
          <w:p w14:paraId="747BC7E9">
            <w:pPr>
              <w:pStyle w:val="109"/>
              <w:rPr>
                <w:color w:val="000000" w:themeColor="text1"/>
                <w14:textFill>
                  <w14:solidFill>
                    <w14:schemeClr w14:val="tx1"/>
                  </w14:solidFill>
                </w14:textFill>
              </w:rPr>
            </w:pPr>
            <w:r>
              <w:rPr>
                <w:color w:val="000000" w:themeColor="text1"/>
                <w14:textFill>
                  <w14:solidFill>
                    <w14:schemeClr w14:val="tx1"/>
                  </w14:solidFill>
                </w14:textFill>
              </w:rPr>
              <w:t>蒸发效数</w:t>
            </w:r>
          </w:p>
        </w:tc>
        <w:tc>
          <w:tcPr>
            <w:tcW w:w="4110" w:type="dxa"/>
            <w:tcMar>
              <w:top w:w="60" w:type="dxa"/>
              <w:left w:w="120" w:type="dxa"/>
              <w:bottom w:w="30" w:type="dxa"/>
              <w:right w:w="120" w:type="dxa"/>
            </w:tcMar>
            <w:vAlign w:val="center"/>
          </w:tcPr>
          <w:p w14:paraId="4BB11D1F">
            <w:pPr>
              <w:pStyle w:val="109"/>
              <w:rPr>
                <w:color w:val="000000" w:themeColor="text1"/>
                <w14:textFill>
                  <w14:solidFill>
                    <w14:schemeClr w14:val="tx1"/>
                  </w14:solidFill>
                </w14:textFill>
              </w:rPr>
            </w:pPr>
            <w:r>
              <w:rPr>
                <w:color w:val="000000" w:themeColor="text1"/>
                <w14:textFill>
                  <w14:solidFill>
                    <w14:schemeClr w14:val="tx1"/>
                  </w14:solidFill>
                </w14:textFill>
              </w:rPr>
              <w:t>三效</w:t>
            </w:r>
          </w:p>
        </w:tc>
        <w:tc>
          <w:tcPr>
            <w:tcW w:w="3261" w:type="dxa"/>
            <w:tcMar>
              <w:top w:w="60" w:type="dxa"/>
              <w:left w:w="120" w:type="dxa"/>
              <w:bottom w:w="30" w:type="dxa"/>
              <w:right w:w="120" w:type="dxa"/>
            </w:tcMar>
            <w:vAlign w:val="center"/>
          </w:tcPr>
          <w:p w14:paraId="64B70241">
            <w:pPr>
              <w:pStyle w:val="109"/>
              <w:rPr>
                <w:color w:val="000000" w:themeColor="text1"/>
                <w14:textFill>
                  <w14:solidFill>
                    <w14:schemeClr w14:val="tx1"/>
                  </w14:solidFill>
                </w14:textFill>
              </w:rPr>
            </w:pPr>
            <w:r>
              <w:rPr>
                <w:color w:val="000000" w:themeColor="text1"/>
                <w14:textFill>
                  <w14:solidFill>
                    <w14:schemeClr w14:val="tx1"/>
                  </w14:solidFill>
                </w14:textFill>
              </w:rPr>
              <w:t>顺流流程，兼顾能耗与处理效率，造水比≈6-7</w:t>
            </w:r>
          </w:p>
        </w:tc>
      </w:tr>
      <w:tr w14:paraId="114A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2" w:type="dxa"/>
            <w:tcMar>
              <w:top w:w="60" w:type="dxa"/>
              <w:left w:w="120" w:type="dxa"/>
              <w:bottom w:w="30" w:type="dxa"/>
              <w:right w:w="120" w:type="dxa"/>
            </w:tcMar>
            <w:vAlign w:val="center"/>
          </w:tcPr>
          <w:p w14:paraId="7E76D7D0">
            <w:pPr>
              <w:pStyle w:val="109"/>
              <w:rPr>
                <w:color w:val="000000" w:themeColor="text1"/>
                <w14:textFill>
                  <w14:solidFill>
                    <w14:schemeClr w14:val="tx1"/>
                  </w14:solidFill>
                </w14:textFill>
              </w:rPr>
            </w:pPr>
            <w:r>
              <w:rPr>
                <w:color w:val="000000" w:themeColor="text1"/>
                <w14:textFill>
                  <w14:solidFill>
                    <w14:schemeClr w14:val="tx1"/>
                  </w14:solidFill>
                </w14:textFill>
              </w:rPr>
              <w:t>冷凝器类型</w:t>
            </w:r>
          </w:p>
        </w:tc>
        <w:tc>
          <w:tcPr>
            <w:tcW w:w="4110" w:type="dxa"/>
            <w:tcMar>
              <w:top w:w="60" w:type="dxa"/>
              <w:left w:w="120" w:type="dxa"/>
              <w:bottom w:w="30" w:type="dxa"/>
              <w:right w:w="120" w:type="dxa"/>
            </w:tcMar>
            <w:vAlign w:val="center"/>
          </w:tcPr>
          <w:p w14:paraId="3042444B">
            <w:pPr>
              <w:pStyle w:val="109"/>
              <w:rPr>
                <w:color w:val="000000" w:themeColor="text1"/>
                <w14:textFill>
                  <w14:solidFill>
                    <w14:schemeClr w14:val="tx1"/>
                  </w14:solidFill>
                </w14:textFill>
              </w:rPr>
            </w:pPr>
            <w:r>
              <w:rPr>
                <w:color w:val="000000" w:themeColor="text1"/>
                <w14:textFill>
                  <w14:solidFill>
                    <w14:schemeClr w14:val="tx1"/>
                  </w14:solidFill>
                </w14:textFill>
              </w:rPr>
              <w:t>一级表面式冷凝器</w:t>
            </w:r>
          </w:p>
        </w:tc>
        <w:tc>
          <w:tcPr>
            <w:tcW w:w="3261" w:type="dxa"/>
            <w:tcMar>
              <w:top w:w="60" w:type="dxa"/>
              <w:left w:w="120" w:type="dxa"/>
              <w:bottom w:w="30" w:type="dxa"/>
              <w:right w:w="120" w:type="dxa"/>
            </w:tcMar>
            <w:vAlign w:val="center"/>
          </w:tcPr>
          <w:p w14:paraId="7942C34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957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2" w:type="dxa"/>
            <w:tcMar>
              <w:top w:w="60" w:type="dxa"/>
              <w:left w:w="120" w:type="dxa"/>
              <w:bottom w:w="30" w:type="dxa"/>
              <w:right w:w="120" w:type="dxa"/>
            </w:tcMar>
            <w:vAlign w:val="center"/>
          </w:tcPr>
          <w:p w14:paraId="02043AAC">
            <w:pPr>
              <w:pStyle w:val="109"/>
              <w:rPr>
                <w:color w:val="000000" w:themeColor="text1"/>
                <w14:textFill>
                  <w14:solidFill>
                    <w14:schemeClr w14:val="tx1"/>
                  </w14:solidFill>
                </w14:textFill>
              </w:rPr>
            </w:pPr>
            <w:r>
              <w:rPr>
                <w:color w:val="000000" w:themeColor="text1"/>
                <w14:textFill>
                  <w14:solidFill>
                    <w14:schemeClr w14:val="tx1"/>
                  </w14:solidFill>
                </w14:textFill>
              </w:rPr>
              <w:t>浓缩液含盐量</w:t>
            </w:r>
          </w:p>
        </w:tc>
        <w:tc>
          <w:tcPr>
            <w:tcW w:w="4110" w:type="dxa"/>
            <w:tcMar>
              <w:top w:w="60" w:type="dxa"/>
              <w:left w:w="120" w:type="dxa"/>
              <w:bottom w:w="30" w:type="dxa"/>
              <w:right w:w="120" w:type="dxa"/>
            </w:tcMar>
            <w:vAlign w:val="center"/>
          </w:tcPr>
          <w:p w14:paraId="774B8DAE">
            <w:pPr>
              <w:pStyle w:val="109"/>
              <w:rPr>
                <w:color w:val="000000" w:themeColor="text1"/>
                <w14:textFill>
                  <w14:solidFill>
                    <w14:schemeClr w14:val="tx1"/>
                  </w14:solidFill>
                </w14:textFill>
              </w:rPr>
            </w:pPr>
            <w:r>
              <w:rPr>
                <w:color w:val="000000" w:themeColor="text1"/>
                <w14:textFill>
                  <w14:solidFill>
                    <w14:schemeClr w14:val="tx1"/>
                  </w14:solidFill>
                </w14:textFill>
              </w:rPr>
              <w:t>≤300g/L</w:t>
            </w:r>
          </w:p>
        </w:tc>
        <w:tc>
          <w:tcPr>
            <w:tcW w:w="3261" w:type="dxa"/>
            <w:tcMar>
              <w:top w:w="60" w:type="dxa"/>
              <w:left w:w="120" w:type="dxa"/>
              <w:bottom w:w="30" w:type="dxa"/>
              <w:right w:w="120" w:type="dxa"/>
            </w:tcMar>
            <w:vAlign w:val="center"/>
          </w:tcPr>
          <w:p w14:paraId="28874B12">
            <w:pPr>
              <w:pStyle w:val="109"/>
              <w:rPr>
                <w:color w:val="000000" w:themeColor="text1"/>
                <w14:textFill>
                  <w14:solidFill>
                    <w14:schemeClr w14:val="tx1"/>
                  </w14:solidFill>
                </w14:textFill>
              </w:rPr>
            </w:pPr>
            <w:r>
              <w:rPr>
                <w:color w:val="000000" w:themeColor="text1"/>
                <w14:textFill>
                  <w14:solidFill>
                    <w14:schemeClr w14:val="tx1"/>
                  </w14:solidFill>
                </w14:textFill>
              </w:rPr>
              <w:t>便于后续结晶分离，晶体析出率≥15%</w:t>
            </w:r>
          </w:p>
        </w:tc>
      </w:tr>
      <w:tr w14:paraId="7479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2" w:type="dxa"/>
            <w:tcMar>
              <w:top w:w="60" w:type="dxa"/>
              <w:left w:w="120" w:type="dxa"/>
              <w:bottom w:w="30" w:type="dxa"/>
              <w:right w:w="120" w:type="dxa"/>
            </w:tcMar>
            <w:vAlign w:val="center"/>
          </w:tcPr>
          <w:p w14:paraId="630ED45D">
            <w:pPr>
              <w:pStyle w:val="109"/>
              <w:rPr>
                <w:color w:val="000000" w:themeColor="text1"/>
                <w14:textFill>
                  <w14:solidFill>
                    <w14:schemeClr w14:val="tx1"/>
                  </w14:solidFill>
                </w14:textFill>
              </w:rPr>
            </w:pPr>
            <w:r>
              <w:rPr>
                <w:color w:val="000000" w:themeColor="text1"/>
                <w14:textFill>
                  <w14:solidFill>
                    <w14:schemeClr w14:val="tx1"/>
                  </w14:solidFill>
                </w14:textFill>
              </w:rPr>
              <w:t>冷凝水水质</w:t>
            </w:r>
          </w:p>
        </w:tc>
        <w:tc>
          <w:tcPr>
            <w:tcW w:w="4110" w:type="dxa"/>
            <w:tcMar>
              <w:top w:w="60" w:type="dxa"/>
              <w:left w:w="120" w:type="dxa"/>
              <w:bottom w:w="30" w:type="dxa"/>
              <w:right w:w="120" w:type="dxa"/>
            </w:tcMar>
            <w:vAlign w:val="center"/>
          </w:tcPr>
          <w:p w14:paraId="4AF5E274">
            <w:pPr>
              <w:pStyle w:val="109"/>
              <w:rPr>
                <w:color w:val="000000" w:themeColor="text1"/>
                <w14:textFill>
                  <w14:solidFill>
                    <w14:schemeClr w14:val="tx1"/>
                  </w14:solidFill>
                </w14:textFill>
              </w:rPr>
            </w:pPr>
            <w:r>
              <w:rPr>
                <w:color w:val="000000" w:themeColor="text1"/>
                <w14:textFill>
                  <w14:solidFill>
                    <w14:schemeClr w14:val="tx1"/>
                  </w14:solidFill>
                </w14:textFill>
              </w:rPr>
              <w:t>含盐量≤100mg/L</w:t>
            </w:r>
          </w:p>
        </w:tc>
        <w:tc>
          <w:tcPr>
            <w:tcW w:w="3261" w:type="dxa"/>
            <w:tcMar>
              <w:top w:w="60" w:type="dxa"/>
              <w:left w:w="120" w:type="dxa"/>
              <w:bottom w:w="30" w:type="dxa"/>
              <w:right w:w="120" w:type="dxa"/>
            </w:tcMar>
            <w:vAlign w:val="center"/>
          </w:tcPr>
          <w:p w14:paraId="55FD60D8">
            <w:pPr>
              <w:pStyle w:val="109"/>
              <w:rPr>
                <w:color w:val="000000" w:themeColor="text1"/>
                <w14:textFill>
                  <w14:solidFill>
                    <w14:schemeClr w14:val="tx1"/>
                  </w14:solidFill>
                </w14:textFill>
              </w:rPr>
            </w:pPr>
            <w:r>
              <w:rPr>
                <w:color w:val="000000" w:themeColor="text1"/>
                <w14:textFill>
                  <w14:solidFill>
                    <w14:schemeClr w14:val="tx1"/>
                  </w14:solidFill>
                </w14:textFill>
              </w:rPr>
              <w:t>符合回用或排放标准</w:t>
            </w:r>
          </w:p>
        </w:tc>
      </w:tr>
      <w:tr w14:paraId="0E1B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122" w:type="dxa"/>
            <w:tcMar>
              <w:top w:w="60" w:type="dxa"/>
              <w:left w:w="120" w:type="dxa"/>
              <w:bottom w:w="30" w:type="dxa"/>
              <w:right w:w="120" w:type="dxa"/>
            </w:tcMar>
            <w:vAlign w:val="center"/>
          </w:tcPr>
          <w:p w14:paraId="655E5818">
            <w:pPr>
              <w:pStyle w:val="109"/>
              <w:rPr>
                <w:color w:val="000000" w:themeColor="text1"/>
                <w14:textFill>
                  <w14:solidFill>
                    <w14:schemeClr w14:val="tx1"/>
                  </w14:solidFill>
                </w14:textFill>
              </w:rPr>
            </w:pPr>
            <w:r>
              <w:rPr>
                <w:color w:val="000000" w:themeColor="text1"/>
                <w14:textFill>
                  <w14:solidFill>
                    <w14:schemeClr w14:val="tx1"/>
                  </w14:solidFill>
                </w14:textFill>
              </w:rPr>
              <w:t>运行温度</w:t>
            </w:r>
          </w:p>
        </w:tc>
        <w:tc>
          <w:tcPr>
            <w:tcW w:w="4110" w:type="dxa"/>
            <w:tcMar>
              <w:top w:w="60" w:type="dxa"/>
              <w:left w:w="120" w:type="dxa"/>
              <w:bottom w:w="30" w:type="dxa"/>
              <w:right w:w="120" w:type="dxa"/>
            </w:tcMar>
            <w:vAlign w:val="center"/>
          </w:tcPr>
          <w:p w14:paraId="6F666F0D">
            <w:pPr>
              <w:pStyle w:val="109"/>
              <w:rPr>
                <w:color w:val="000000" w:themeColor="text1"/>
                <w14:textFill>
                  <w14:solidFill>
                    <w14:schemeClr w14:val="tx1"/>
                  </w14:solidFill>
                </w14:textFill>
              </w:rPr>
            </w:pPr>
            <w:r>
              <w:rPr>
                <w:color w:val="000000" w:themeColor="text1"/>
                <w14:textFill>
                  <w14:solidFill>
                    <w14:schemeClr w14:val="tx1"/>
                  </w14:solidFill>
                </w14:textFill>
              </w:rPr>
              <w:t>一效105-115℃，二效90℃，三效55-65℃</w:t>
            </w:r>
          </w:p>
        </w:tc>
        <w:tc>
          <w:tcPr>
            <w:tcW w:w="3261" w:type="dxa"/>
            <w:tcMar>
              <w:top w:w="60" w:type="dxa"/>
              <w:left w:w="120" w:type="dxa"/>
              <w:bottom w:w="30" w:type="dxa"/>
              <w:right w:w="120" w:type="dxa"/>
            </w:tcMar>
            <w:vAlign w:val="center"/>
          </w:tcPr>
          <w:p w14:paraId="47BF39DD">
            <w:pPr>
              <w:pStyle w:val="109"/>
              <w:rPr>
                <w:color w:val="000000" w:themeColor="text1"/>
                <w14:textFill>
                  <w14:solidFill>
                    <w14:schemeClr w14:val="tx1"/>
                  </w14:solidFill>
                </w14:textFill>
              </w:rPr>
            </w:pPr>
            <w:r>
              <w:rPr>
                <w:color w:val="000000" w:themeColor="text1"/>
                <w14:textFill>
                  <w14:solidFill>
                    <w14:schemeClr w14:val="tx1"/>
                  </w14:solidFill>
                </w14:textFill>
              </w:rPr>
              <w:t>适配电加热工艺</w:t>
            </w:r>
          </w:p>
        </w:tc>
      </w:tr>
    </w:tbl>
    <w:p w14:paraId="230928B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二、</w:t>
      </w:r>
      <w:r>
        <w:rPr>
          <w:b/>
          <w:bCs/>
          <w:color w:val="000000" w:themeColor="text1"/>
          <w14:textFill>
            <w14:solidFill>
              <w14:schemeClr w14:val="tx1"/>
            </w14:solidFill>
          </w14:textFill>
        </w:rPr>
        <w:t>工艺流程</w:t>
      </w:r>
    </w:p>
    <w:p w14:paraId="316B5DC7">
      <w:pPr>
        <w:ind w:firstLine="480"/>
        <w:rPr>
          <w:color w:val="000000" w:themeColor="text1"/>
          <w14:textFill>
            <w14:solidFill>
              <w14:schemeClr w14:val="tx1"/>
            </w14:solidFill>
          </w14:textFill>
        </w:rPr>
      </w:pPr>
      <w:r>
        <w:rPr>
          <w:color w:val="000000" w:themeColor="text1"/>
          <w14:textFill>
            <w14:solidFill>
              <w14:schemeClr w14:val="tx1"/>
            </w14:solidFill>
          </w14:textFill>
        </w:rPr>
        <w:t>整体流程分为：废水预处理→三效电加热蒸发→一级冷凝→浓缩液/盐分回收→冷凝水回用/排放，具体流程如下：</w:t>
      </w:r>
    </w:p>
    <w:p w14:paraId="7EF973B4">
      <w:pPr>
        <w:ind w:firstLine="480"/>
        <w:rPr>
          <w:color w:val="000000" w:themeColor="text1"/>
          <w14:textFill>
            <w14:solidFill>
              <w14:schemeClr w14:val="tx1"/>
            </w14:solidFill>
          </w14:textFill>
        </w:rPr>
      </w:pPr>
      <w:r>
        <w:rPr>
          <w:color w:val="000000" w:themeColor="text1"/>
          <w14:textFill>
            <w14:solidFill>
              <w14:schemeClr w14:val="tx1"/>
            </w14:solidFill>
          </w14:textFill>
        </w:rPr>
        <w:t>废水预处理：原料废水首先进入调节池，调节pH至6.5-7.5，预处理后的废水经多级板式预热器，被末效二次蒸汽和冷凝水预热至85-95℃，减少电加热能耗8-10%，然后送入一效蒸发器。</w:t>
      </w:r>
    </w:p>
    <w:p w14:paraId="42D8CD7B">
      <w:pPr>
        <w:ind w:firstLine="480"/>
        <w:rPr>
          <w:color w:val="000000" w:themeColor="text1"/>
          <w14:textFill>
            <w14:solidFill>
              <w14:schemeClr w14:val="tx1"/>
            </w14:solidFill>
          </w14:textFill>
        </w:rPr>
      </w:pPr>
      <w:r>
        <w:rPr>
          <w:color w:val="000000" w:themeColor="text1"/>
          <w14:textFill>
            <w14:solidFill>
              <w14:schemeClr w14:val="tx1"/>
            </w14:solidFill>
          </w14:textFill>
        </w:rPr>
        <w:t>一效蒸发（电加热主导）：预处理后的预热废水进入一效蒸发器，由电加热管加热至105-115℃，废水在换热管内壁形成0.3-0.6mm液膜，2-3s内完成初步蒸发，蒸发产生的二次蒸汽送入二效蒸发器作为热源，浓缩液（含盐量约180-200g/L）经液位差送入二效闪蒸室。</w:t>
      </w:r>
    </w:p>
    <w:p w14:paraId="124FC2B9">
      <w:pPr>
        <w:ind w:firstLine="480"/>
        <w:rPr>
          <w:color w:val="000000" w:themeColor="text1"/>
          <w14:textFill>
            <w14:solidFill>
              <w14:schemeClr w14:val="tx1"/>
            </w14:solidFill>
          </w14:textFill>
        </w:rPr>
      </w:pPr>
      <w:r>
        <w:rPr>
          <w:color w:val="000000" w:themeColor="text1"/>
          <w14:textFill>
            <w14:solidFill>
              <w14:schemeClr w14:val="tx1"/>
            </w14:solidFill>
          </w14:textFill>
        </w:rPr>
        <w:t>二效蒸发（闪蒸+二次蒸汽加热）：一效浓缩液进入二效闪蒸室，瞬间闪蒸出二次蒸汽，完成液温度下降8-10℃，闪蒸产生的二次蒸汽送入三效蒸发器作为热源；二效浓缩液（含盐量约240-260g/L）送入三效闪蒸室。</w:t>
      </w:r>
    </w:p>
    <w:p w14:paraId="18EE0149">
      <w:pPr>
        <w:ind w:firstLine="480"/>
        <w:rPr>
          <w:color w:val="000000" w:themeColor="text1"/>
          <w14:textFill>
            <w14:solidFill>
              <w14:schemeClr w14:val="tx1"/>
            </w14:solidFill>
          </w14:textFill>
        </w:rPr>
      </w:pPr>
      <w:r>
        <w:rPr>
          <w:color w:val="000000" w:themeColor="text1"/>
          <w14:textFill>
            <w14:solidFill>
              <w14:schemeClr w14:val="tx1"/>
            </w14:solidFill>
          </w14:textFill>
        </w:rPr>
        <w:t>三效蒸发（闪蒸+二次蒸汽加热）：二效浓缩液进入三效闪蒸室，继续闪蒸蒸发，产生的二次蒸汽送入一级冷凝器；三效浓缩液（含盐量≤300g/L）排出蒸发器，</w:t>
      </w:r>
      <w:r>
        <w:rPr>
          <w:rFonts w:hint="eastAsia"/>
          <w:color w:val="000000" w:themeColor="text1"/>
          <w14:textFill>
            <w14:solidFill>
              <w14:schemeClr w14:val="tx1"/>
            </w14:solidFill>
          </w14:textFill>
        </w:rPr>
        <w:t>自然结晶</w:t>
      </w:r>
      <w:r>
        <w:rPr>
          <w:color w:val="000000" w:themeColor="text1"/>
          <w14:textFill>
            <w14:solidFill>
              <w14:schemeClr w14:val="tx1"/>
            </w14:solidFill>
          </w14:textFill>
        </w:rPr>
        <w:t>回收盐分（盐含水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p w14:paraId="6B2A316A">
      <w:pPr>
        <w:ind w:firstLine="480"/>
        <w:rPr>
          <w:color w:val="000000" w:themeColor="text1"/>
          <w14:textFill>
            <w14:solidFill>
              <w14:schemeClr w14:val="tx1"/>
            </w14:solidFill>
          </w14:textFill>
        </w:rPr>
      </w:pPr>
      <w:r>
        <w:rPr>
          <w:color w:val="000000" w:themeColor="text1"/>
          <w14:textFill>
            <w14:solidFill>
              <w14:schemeClr w14:val="tx1"/>
            </w14:solidFill>
          </w14:textFill>
        </w:rPr>
        <w:t>一级冷凝：三效产生的二次蒸汽（温度55-65℃）进入表面式冷凝器，与冷却水进行热交换，冷凝成液态水（含盐量≤100mg/L），冷凝水收集后送入回用水池，用于生产补水。</w:t>
      </w:r>
    </w:p>
    <w:p w14:paraId="7F85AB55">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小节</w:t>
      </w:r>
    </w:p>
    <w:p w14:paraId="460AE24D">
      <w:pPr>
        <w:ind w:firstLine="480"/>
        <w:rPr>
          <w:color w:val="000000" w:themeColor="text1"/>
          <w14:textFill>
            <w14:solidFill>
              <w14:schemeClr w14:val="tx1"/>
            </w14:solidFill>
          </w14:textFill>
        </w:rPr>
      </w:pPr>
      <w:r>
        <w:rPr>
          <w:color w:val="000000" w:themeColor="text1"/>
          <w14:textFill>
            <w14:solidFill>
              <w14:schemeClr w14:val="tx1"/>
            </w14:solidFill>
          </w14:textFill>
        </w:rPr>
        <w:t>拟建项目废水污染物排放情况见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2A9878B8">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拟建项目废水</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污染物排放情况一览表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4"/>
        <w:gridCol w:w="2646"/>
        <w:gridCol w:w="2328"/>
        <w:gridCol w:w="2330"/>
      </w:tblGrid>
      <w:tr w14:paraId="20B8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pct"/>
            <w:vMerge w:val="restart"/>
            <w:vAlign w:val="center"/>
          </w:tcPr>
          <w:p w14:paraId="365BEF08">
            <w:pPr>
              <w:pStyle w:val="109"/>
              <w:rPr>
                <w:color w:val="000000" w:themeColor="text1"/>
                <w14:textFill>
                  <w14:solidFill>
                    <w14:schemeClr w14:val="tx1"/>
                  </w14:solidFill>
                </w14:textFill>
              </w:rPr>
            </w:pPr>
            <w:r>
              <w:rPr>
                <w:color w:val="000000" w:themeColor="text1"/>
                <w14:textFill>
                  <w14:solidFill>
                    <w14:schemeClr w14:val="tx1"/>
                  </w14:solidFill>
                </w14:textFill>
              </w:rPr>
              <w:t>污染因子</w:t>
            </w:r>
          </w:p>
        </w:tc>
        <w:tc>
          <w:tcPr>
            <w:tcW w:w="3793" w:type="pct"/>
            <w:gridSpan w:val="3"/>
            <w:vAlign w:val="center"/>
          </w:tcPr>
          <w:p w14:paraId="7FEDC49E">
            <w:pPr>
              <w:pStyle w:val="109"/>
              <w:rPr>
                <w:color w:val="000000" w:themeColor="text1"/>
                <w14:textFill>
                  <w14:solidFill>
                    <w14:schemeClr w14:val="tx1"/>
                  </w14:solidFill>
                </w14:textFill>
              </w:rPr>
            </w:pPr>
            <w:r>
              <w:rPr>
                <w:color w:val="000000" w:themeColor="text1"/>
                <w14:textFill>
                  <w14:solidFill>
                    <w14:schemeClr w14:val="tx1"/>
                  </w14:solidFill>
                </w14:textFill>
              </w:rPr>
              <w:t>外排市政管网</w:t>
            </w:r>
          </w:p>
        </w:tc>
      </w:tr>
      <w:tr w14:paraId="1462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pct"/>
            <w:vMerge w:val="continue"/>
            <w:vAlign w:val="center"/>
          </w:tcPr>
          <w:p w14:paraId="612368ED">
            <w:pPr>
              <w:pStyle w:val="109"/>
              <w:rPr>
                <w:color w:val="000000" w:themeColor="text1"/>
                <w14:textFill>
                  <w14:solidFill>
                    <w14:schemeClr w14:val="tx1"/>
                  </w14:solidFill>
                </w14:textFill>
              </w:rPr>
            </w:pPr>
          </w:p>
        </w:tc>
        <w:tc>
          <w:tcPr>
            <w:tcW w:w="1374" w:type="pct"/>
            <w:vAlign w:val="center"/>
          </w:tcPr>
          <w:p w14:paraId="267D470F">
            <w:pPr>
              <w:pStyle w:val="109"/>
              <w:rPr>
                <w:color w:val="000000" w:themeColor="text1"/>
                <w14:textFill>
                  <w14:solidFill>
                    <w14:schemeClr w14:val="tx1"/>
                  </w14:solidFill>
                </w14:textFill>
              </w:rPr>
            </w:pPr>
            <w:r>
              <w:rPr>
                <w:color w:val="000000" w:themeColor="text1"/>
                <w14:textFill>
                  <w14:solidFill>
                    <w14:schemeClr w14:val="tx1"/>
                  </w14:solidFill>
                </w14:textFill>
              </w:rPr>
              <w:t>废水量m³/a</w:t>
            </w:r>
          </w:p>
        </w:tc>
        <w:tc>
          <w:tcPr>
            <w:tcW w:w="1209" w:type="pct"/>
            <w:vAlign w:val="center"/>
          </w:tcPr>
          <w:p w14:paraId="2F1BC0B3">
            <w:pPr>
              <w:pStyle w:val="109"/>
              <w:rPr>
                <w:color w:val="000000" w:themeColor="text1"/>
                <w14:textFill>
                  <w14:solidFill>
                    <w14:schemeClr w14:val="tx1"/>
                  </w14:solidFill>
                </w14:textFill>
              </w:rPr>
            </w:pPr>
            <w:r>
              <w:rPr>
                <w:color w:val="000000" w:themeColor="text1"/>
                <w14:textFill>
                  <w14:solidFill>
                    <w14:schemeClr w14:val="tx1"/>
                  </w14:solidFill>
                </w14:textFill>
              </w:rPr>
              <w:t>浓度mg/</w:t>
            </w:r>
            <w:r>
              <w:rPr>
                <w:rFonts w:hint="eastAsia"/>
                <w:color w:val="000000" w:themeColor="text1"/>
                <w14:textFill>
                  <w14:solidFill>
                    <w14:schemeClr w14:val="tx1"/>
                  </w14:solidFill>
                </w14:textFill>
              </w:rPr>
              <w:t>L</w:t>
            </w:r>
          </w:p>
        </w:tc>
        <w:tc>
          <w:tcPr>
            <w:tcW w:w="1210" w:type="pct"/>
            <w:vAlign w:val="center"/>
          </w:tcPr>
          <w:p w14:paraId="56BC59FC">
            <w:pPr>
              <w:pStyle w:val="109"/>
              <w:rPr>
                <w:color w:val="000000" w:themeColor="text1"/>
                <w14:textFill>
                  <w14:solidFill>
                    <w14:schemeClr w14:val="tx1"/>
                  </w14:solidFill>
                </w14:textFill>
              </w:rPr>
            </w:pPr>
            <w:r>
              <w:rPr>
                <w:color w:val="000000" w:themeColor="text1"/>
                <w14:textFill>
                  <w14:solidFill>
                    <w14:schemeClr w14:val="tx1"/>
                  </w14:solidFill>
                </w14:textFill>
              </w:rPr>
              <w:t>排放量t/a</w:t>
            </w:r>
          </w:p>
        </w:tc>
      </w:tr>
      <w:tr w14:paraId="3BFD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pct"/>
            <w:vAlign w:val="center"/>
          </w:tcPr>
          <w:p w14:paraId="21F9EA1B">
            <w:pPr>
              <w:pStyle w:val="109"/>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374" w:type="pct"/>
            <w:vMerge w:val="restart"/>
            <w:vAlign w:val="center"/>
          </w:tcPr>
          <w:p w14:paraId="0B96E30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3631.65</w:t>
            </w:r>
          </w:p>
        </w:tc>
        <w:tc>
          <w:tcPr>
            <w:tcW w:w="1209" w:type="pct"/>
            <w:vAlign w:val="center"/>
          </w:tcPr>
          <w:p w14:paraId="368F64F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118</w:t>
            </w:r>
          </w:p>
        </w:tc>
        <w:tc>
          <w:tcPr>
            <w:tcW w:w="1210" w:type="pct"/>
            <w:vAlign w:val="center"/>
          </w:tcPr>
          <w:p w14:paraId="362256F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0.428</w:t>
            </w:r>
          </w:p>
        </w:tc>
      </w:tr>
      <w:tr w14:paraId="04ED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pct"/>
            <w:vAlign w:val="center"/>
          </w:tcPr>
          <w:p w14:paraId="1A0186DE">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374" w:type="pct"/>
            <w:vMerge w:val="continue"/>
            <w:vAlign w:val="center"/>
          </w:tcPr>
          <w:p w14:paraId="479FBC3A">
            <w:pPr>
              <w:pStyle w:val="109"/>
              <w:rPr>
                <w:color w:val="000000" w:themeColor="text1"/>
                <w14:textFill>
                  <w14:solidFill>
                    <w14:schemeClr w14:val="tx1"/>
                  </w14:solidFill>
                </w14:textFill>
              </w:rPr>
            </w:pPr>
          </w:p>
        </w:tc>
        <w:tc>
          <w:tcPr>
            <w:tcW w:w="1209" w:type="pct"/>
            <w:vAlign w:val="center"/>
          </w:tcPr>
          <w:p w14:paraId="5604E52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210" w:type="pct"/>
            <w:vAlign w:val="center"/>
          </w:tcPr>
          <w:p w14:paraId="14D7A1B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0.024</w:t>
            </w:r>
          </w:p>
        </w:tc>
      </w:tr>
    </w:tbl>
    <w:p w14:paraId="2D5CF259">
      <w:pPr>
        <w:pStyle w:val="4"/>
        <w:rPr>
          <w:rFonts w:ascii="Times New Roman" w:cs="Times New Roman"/>
          <w:color w:val="000000" w:themeColor="text1"/>
          <w14:textFill>
            <w14:solidFill>
              <w14:schemeClr w14:val="tx1"/>
            </w14:solidFill>
          </w14:textFill>
        </w:rPr>
      </w:pPr>
      <w:bookmarkStart w:id="284" w:name="_Hlk63679835"/>
      <w:r>
        <w:rPr>
          <w:rFonts w:ascii="Times New Roman" w:cs="Times New Roman"/>
          <w:color w:val="000000" w:themeColor="text1"/>
          <w14:textFill>
            <w14:solidFill>
              <w14:schemeClr w14:val="tx1"/>
            </w14:solidFill>
          </w14:textFill>
        </w:rPr>
        <w:t>固体废物</w:t>
      </w:r>
    </w:p>
    <w:p w14:paraId="61CA0CE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本项目产生的固废主要包括废活性炭、多效蒸发废盐；废气处理设施沉淀池泥渣；废脱硝催化剂；废盐包装袋；化验残渣、化验废液、破损的化验容器；废润滑油及废油桶；生活垃圾。</w:t>
      </w:r>
    </w:p>
    <w:p w14:paraId="52E36BB1">
      <w:pPr>
        <w:ind w:firstLine="482"/>
        <w:rPr>
          <w:b/>
          <w:color w:val="000000" w:themeColor="text1"/>
          <w14:textFill>
            <w14:solidFill>
              <w14:schemeClr w14:val="tx1"/>
            </w14:solidFill>
          </w14:textFill>
        </w:rPr>
      </w:pPr>
      <w:r>
        <w:rPr>
          <w:b/>
          <w:color w:val="000000" w:themeColor="text1"/>
          <w14:textFill>
            <w14:solidFill>
              <w14:schemeClr w14:val="tx1"/>
            </w14:solidFill>
          </w14:textFill>
        </w:rPr>
        <w:t>（1）废活性炭</w:t>
      </w:r>
    </w:p>
    <w:p w14:paraId="4F84C6A2">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本项目废气处理工序包含活性炭吸附，活性炭装填量为3m³，根据设计资料可知，活性炭使用寿命2000h，因此每季度更换一次，因此废活性炭产生量约6t/a。根据《国家危险废物名录（2025年版）》，废活性炭属于危险废物，代码</w:t>
      </w:r>
      <w:r>
        <w:rPr>
          <w:color w:val="000000" w:themeColor="text1"/>
          <w14:textFill>
            <w14:solidFill>
              <w14:schemeClr w14:val="tx1"/>
            </w14:solidFill>
          </w14:textFill>
        </w:rPr>
        <w:t>900-041-49含有或者沾染毒性、感染性危险废物的废弃的包装物、容器、过滤吸附介质，危险特性T / In，经收集在厂区危废间暂存后，委托有相关资质的危废处置单位进行收集处置。</w:t>
      </w:r>
    </w:p>
    <w:p w14:paraId="1F5E128D">
      <w:pPr>
        <w:ind w:firstLine="482"/>
        <w:rPr>
          <w:b/>
          <w:color w:val="000000" w:themeColor="text1"/>
          <w14:textFill>
            <w14:solidFill>
              <w14:schemeClr w14:val="tx1"/>
            </w14:solidFill>
          </w14:textFill>
        </w:rPr>
      </w:pPr>
      <w:r>
        <w:rPr>
          <w:b/>
          <w:color w:val="000000" w:themeColor="text1"/>
          <w14:textFill>
            <w14:solidFill>
              <w14:schemeClr w14:val="tx1"/>
            </w14:solidFill>
          </w14:textFill>
        </w:rPr>
        <w:t>（2）多效蒸发废盐</w:t>
      </w:r>
    </w:p>
    <w:p w14:paraId="76FA5EC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气处理过程中产生的烟气处理系统废水主要为含盐废水，本项目30%氢氧化钠使用量为2378.4t/a，中合成氯化钠的量约1043.5t/a。热解焙烧过程中，盐分以颗粒物形式进入废气，被水喷淋、碱喷淋、湿电除尘捕集量约为废盐量的千分之一，约50t/a。由此计算，进入烟气处理系统废水的盐分为1093.5t/a。本项目多效蒸发对盐分的蒸出率按100%计算，因此蒸出的盐分量为1093.5t/a，该部分废盐含水约15%，因此多效蒸发废盐产生量总量为1286.5t/a。该部分废盐中含有废气中捕集下料的重金属、二噁英等有毒有害物质。</w:t>
      </w:r>
      <w:r>
        <w:rPr>
          <w:bCs/>
          <w:color w:val="000000" w:themeColor="text1"/>
          <w14:textFill>
            <w14:solidFill>
              <w14:schemeClr w14:val="tx1"/>
            </w14:solidFill>
          </w14:textFill>
        </w:rPr>
        <w:t>根据《国家危险废物名录（2025年版）》，多效蒸发废盐属于危险废物，类别为HW49</w:t>
      </w:r>
      <w:r>
        <w:rPr>
          <w:color w:val="000000" w:themeColor="text1"/>
          <w14:textFill>
            <w14:solidFill>
              <w14:schemeClr w14:val="tx1"/>
            </w14:solidFill>
          </w14:textFill>
        </w:rPr>
        <w:t>，危险特性T，经收集在厂区危废间暂存后，委托有相关资质的危废处置单位进行收集处置。</w:t>
      </w:r>
    </w:p>
    <w:p w14:paraId="7E12AA91">
      <w:pPr>
        <w:ind w:firstLine="482"/>
        <w:rPr>
          <w:b/>
          <w:color w:val="000000" w:themeColor="text1"/>
          <w14:textFill>
            <w14:solidFill>
              <w14:schemeClr w14:val="tx1"/>
            </w14:solidFill>
          </w14:textFill>
        </w:rPr>
      </w:pPr>
      <w:r>
        <w:rPr>
          <w:b/>
          <w:color w:val="000000" w:themeColor="text1"/>
          <w14:textFill>
            <w14:solidFill>
              <w14:schemeClr w14:val="tx1"/>
            </w14:solidFill>
          </w14:textFill>
        </w:rPr>
        <w:t>（3）废气处理设施沉淀池泥渣</w:t>
      </w:r>
    </w:p>
    <w:p w14:paraId="2D26786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气处理系统中湿电除尘器、水洗塔、碱洗塔、急冷塔均配有底部循环沉淀池，喷淋塔在处理废气过程中捕集下来的颗粒物、重金属的物质经沉淀池沉淀后以泥渣形式排出，产生量约5t/a。根据《国家危险废物名录（2025年版）》，沉淀池泥渣属于危险废物，代码900-041-49含有或者沾染毒性、感染性危险废物的废弃的包装物、容器、过滤吸附介质，危险特性T / In，经收集在厂区危废间暂存后，委托有相关资质的危废处置单位进行收集处置。</w:t>
      </w:r>
    </w:p>
    <w:p w14:paraId="7D2187EA">
      <w:pPr>
        <w:ind w:firstLine="482"/>
        <w:rPr>
          <w:b/>
          <w:color w:val="000000" w:themeColor="text1"/>
          <w14:textFill>
            <w14:solidFill>
              <w14:schemeClr w14:val="tx1"/>
            </w14:solidFill>
          </w14:textFill>
        </w:rPr>
      </w:pPr>
      <w:r>
        <w:rPr>
          <w:b/>
          <w:color w:val="000000" w:themeColor="text1"/>
          <w14:textFill>
            <w14:solidFill>
              <w14:schemeClr w14:val="tx1"/>
            </w14:solidFill>
          </w14:textFill>
        </w:rPr>
        <w:t>（4）废脱硝催化剂</w:t>
      </w:r>
    </w:p>
    <w:p w14:paraId="556B683F">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本项目SCR脱硝装置使用催化剂，催化剂装填量为1.5m³，使用寿命约3年，因此废脱硝催化剂产生量为1.5m³/3a，约0.75t/3a，本项目使用的催化剂为</w:t>
      </w:r>
      <w:r>
        <w:rPr>
          <w:color w:val="000000" w:themeColor="text1"/>
          <w14:textFill>
            <w14:solidFill>
              <w14:schemeClr w14:val="tx1"/>
            </w14:solidFill>
          </w14:textFill>
        </w:rPr>
        <w:t>钒钛系（V₂O₅-WO₃/TiO₂）</w:t>
      </w:r>
      <w:r>
        <w:rPr>
          <w:bCs/>
          <w:color w:val="000000" w:themeColor="text1"/>
          <w14:textFill>
            <w14:solidFill>
              <w14:schemeClr w14:val="tx1"/>
            </w14:solidFill>
          </w14:textFill>
        </w:rPr>
        <w:t>。</w:t>
      </w:r>
      <w:r>
        <w:rPr>
          <w:color w:val="000000" w:themeColor="text1"/>
          <w14:textFill>
            <w14:solidFill>
              <w14:schemeClr w14:val="tx1"/>
            </w14:solidFill>
          </w14:textFill>
        </w:rPr>
        <w:t>根据《国家危险废物名录（2025年版）》，废脱硝催化剂属于危险废物，代码772-007-50烟气脱硝过程中产生的废钒钛系催化剂，危险特性T，经收集在厂区危废间暂存后，委托有相关资质的危废处置单位进行收集处置。</w:t>
      </w:r>
    </w:p>
    <w:p w14:paraId="37E51D3F">
      <w:pPr>
        <w:ind w:firstLine="482"/>
        <w:rPr>
          <w:b/>
          <w:color w:val="000000" w:themeColor="text1"/>
          <w14:textFill>
            <w14:solidFill>
              <w14:schemeClr w14:val="tx1"/>
            </w14:solidFill>
          </w14:textFill>
        </w:rPr>
      </w:pPr>
      <w:r>
        <w:rPr>
          <w:b/>
          <w:color w:val="000000" w:themeColor="text1"/>
          <w14:textFill>
            <w14:solidFill>
              <w14:schemeClr w14:val="tx1"/>
            </w14:solidFill>
          </w14:textFill>
        </w:rPr>
        <w:t>（5）废盐包装袋</w:t>
      </w:r>
    </w:p>
    <w:p w14:paraId="6B9FC4F6">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本项目涉及的固体原料为废盐，废盐为吨包包装，原料使用后会产生废包装袋，废吨包单个重量约3kg，本项目废盐用量5万吨，由此计算，废包装袋产生量为150t/a。</w:t>
      </w:r>
      <w:r>
        <w:rPr>
          <w:bCs/>
          <w:color w:val="000000" w:themeColor="text1"/>
          <w14:textFill>
            <w14:solidFill>
              <w14:schemeClr w14:val="tx1"/>
            </w14:solidFill>
          </w14:textFill>
        </w:rPr>
        <w:t>根据《国家危险废物名录（2025年版）》，废包装袋属于危险废物，代码</w:t>
      </w:r>
      <w:r>
        <w:rPr>
          <w:color w:val="000000" w:themeColor="text1"/>
          <w14:textFill>
            <w14:solidFill>
              <w14:schemeClr w14:val="tx1"/>
            </w14:solidFill>
          </w14:textFill>
        </w:rPr>
        <w:t>900-041-49含有或者沾染毒性、感染性危险废物的废弃的包装物、容器、过滤吸附介质，危险特性T / In，经收集在厂区危废间暂存后，委托有相关资质的危废处置单位进行收集处置。</w:t>
      </w:r>
    </w:p>
    <w:p w14:paraId="1D5D39EC">
      <w:pPr>
        <w:ind w:firstLine="482"/>
        <w:rPr>
          <w:b/>
          <w:color w:val="000000" w:themeColor="text1"/>
          <w14:textFill>
            <w14:solidFill>
              <w14:schemeClr w14:val="tx1"/>
            </w14:solidFill>
          </w14:textFill>
        </w:rPr>
      </w:pPr>
      <w:r>
        <w:rPr>
          <w:b/>
          <w:color w:val="000000" w:themeColor="text1"/>
          <w14:textFill>
            <w14:solidFill>
              <w14:schemeClr w14:val="tx1"/>
            </w14:solidFill>
          </w14:textFill>
        </w:rPr>
        <w:t>（6）化验室废物</w:t>
      </w:r>
    </w:p>
    <w:p w14:paraId="1C83C4A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设有一个化验室，主要是对回收的废盐和处理后的废盐、融雪剂部分指标进行检测。该过程产生化验室废物（如化验残渣、化验废液、破损的化验容器等）0.2t/a。根据《国家危险废物名录》（2025年），化验室废物属于危险废物，代码为900-047-49，危险特性T / C / I / R，经收集在厂区危废间暂存后，委托有相关资质的危废处置单位进行收集处置。</w:t>
      </w:r>
    </w:p>
    <w:p w14:paraId="78D9B665">
      <w:pPr>
        <w:ind w:firstLine="482"/>
        <w:rPr>
          <w:b/>
          <w:color w:val="000000" w:themeColor="text1"/>
          <w14:textFill>
            <w14:solidFill>
              <w14:schemeClr w14:val="tx1"/>
            </w14:solidFill>
          </w14:textFill>
        </w:rPr>
      </w:pPr>
      <w:r>
        <w:rPr>
          <w:b/>
          <w:color w:val="000000" w:themeColor="text1"/>
          <w14:textFill>
            <w14:solidFill>
              <w14:schemeClr w14:val="tx1"/>
            </w14:solidFill>
          </w14:textFill>
        </w:rPr>
        <w:t>（7）废</w:t>
      </w:r>
      <w:r>
        <w:rPr>
          <w:rFonts w:hint="eastAsia"/>
          <w:b/>
          <w:color w:val="000000" w:themeColor="text1"/>
          <w14:textFill>
            <w14:solidFill>
              <w14:schemeClr w14:val="tx1"/>
            </w14:solidFill>
          </w14:textFill>
        </w:rPr>
        <w:t>润滑油及油桶</w:t>
      </w:r>
    </w:p>
    <w:p w14:paraId="53373009">
      <w:pPr>
        <w:tabs>
          <w:tab w:val="left" w:pos="806"/>
        </w:tabs>
        <w:ind w:firstLine="480"/>
        <w:rPr>
          <w:color w:val="000000" w:themeColor="text1"/>
          <w14:textFill>
            <w14:solidFill>
              <w14:schemeClr w14:val="tx1"/>
            </w14:solidFill>
          </w14:textFill>
        </w:rPr>
      </w:pPr>
      <w:r>
        <w:rPr>
          <w:color w:val="000000" w:themeColor="text1"/>
          <w14:textFill>
            <w14:solidFill>
              <w14:schemeClr w14:val="tx1"/>
            </w14:solidFill>
          </w14:textFill>
        </w:rPr>
        <w:t>项目生产设备使用润滑油进行润滑维护，使用过程中需要定期更换，更换量约0.15t/a</w:t>
      </w:r>
      <w:r>
        <w:rPr>
          <w:rFonts w:hint="eastAsia"/>
          <w:color w:val="000000" w:themeColor="text1"/>
          <w14:textFill>
            <w14:solidFill>
              <w14:schemeClr w14:val="tx1"/>
            </w14:solidFill>
          </w14:textFill>
        </w:rPr>
        <w:t>，废油桶产生量约0.01t/a</w:t>
      </w:r>
      <w:r>
        <w:rPr>
          <w:color w:val="000000" w:themeColor="text1"/>
          <w14:textFill>
            <w14:solidFill>
              <w14:schemeClr w14:val="tx1"/>
            </w14:solidFill>
          </w14:textFill>
        </w:rPr>
        <w:t>。根据《国家危险废物名录》（2025年）中规定可知，废</w:t>
      </w:r>
      <w:r>
        <w:rPr>
          <w:rFonts w:hint="eastAsia"/>
          <w:color w:val="000000" w:themeColor="text1"/>
          <w14:textFill>
            <w14:solidFill>
              <w14:schemeClr w14:val="tx1"/>
            </w14:solidFill>
          </w14:textFill>
        </w:rPr>
        <w:t>润滑</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、废油桶</w:t>
      </w:r>
      <w:r>
        <w:rPr>
          <w:color w:val="000000" w:themeColor="text1"/>
          <w14:textFill>
            <w14:solidFill>
              <w14:schemeClr w14:val="tx1"/>
            </w14:solidFill>
          </w14:textFill>
        </w:rPr>
        <w:t>属于危险废物，编号为HW08，废物代码为900-249-08其他生产、销售、使用过程中产生的废矿物油及沾染矿物油的废弃包装物，危险特性T / I，在危废暂存区暂存后全部委托有资质的单位收集处置。</w:t>
      </w:r>
    </w:p>
    <w:p w14:paraId="073AA01D">
      <w:pPr>
        <w:ind w:firstLine="482"/>
        <w:rPr>
          <w:b/>
          <w:color w:val="000000" w:themeColor="text1"/>
          <w14:textFill>
            <w14:solidFill>
              <w14:schemeClr w14:val="tx1"/>
            </w14:solidFill>
          </w14:textFill>
        </w:rPr>
      </w:pPr>
      <w:r>
        <w:rPr>
          <w:b/>
          <w:color w:val="000000" w:themeColor="text1"/>
          <w14:textFill>
            <w14:solidFill>
              <w14:schemeClr w14:val="tx1"/>
            </w14:solidFill>
          </w14:textFill>
        </w:rPr>
        <w:t>（8）生活垃圾</w:t>
      </w:r>
    </w:p>
    <w:p w14:paraId="6F1D400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本项目员工为30人，每人产生生活垃圾量以0.5kg/d 计，则生活垃圾产生量为4.5t/a，生活垃圾由环卫部门统一收集处理。</w:t>
      </w:r>
    </w:p>
    <w:p w14:paraId="502DBE3B">
      <w:pPr>
        <w:ind w:firstLine="480"/>
        <w:rPr>
          <w:color w:val="000000" w:themeColor="text1"/>
          <w14:textFill>
            <w14:solidFill>
              <w14:schemeClr w14:val="tx1"/>
            </w14:solidFill>
          </w14:textFill>
        </w:rPr>
      </w:pPr>
      <w:r>
        <w:rPr>
          <w:color w:val="000000" w:themeColor="text1"/>
          <w14:textFill>
            <w14:solidFill>
              <w14:schemeClr w14:val="tx1"/>
            </w14:solidFill>
          </w14:textFill>
        </w:rPr>
        <w:t>项目固体废物产生及处理措施汇总情况见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05E7C31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项目固体废物产排情况统计表  单位：t/a</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704"/>
        <w:gridCol w:w="1528"/>
        <w:gridCol w:w="2876"/>
        <w:gridCol w:w="989"/>
        <w:gridCol w:w="1410"/>
        <w:gridCol w:w="1915"/>
      </w:tblGrid>
      <w:tr w14:paraId="6213EB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2734F5A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编号</w:t>
            </w:r>
          </w:p>
        </w:tc>
        <w:tc>
          <w:tcPr>
            <w:tcW w:w="811" w:type="pct"/>
            <w:tcBorders>
              <w:left w:val="single" w:color="auto" w:sz="4" w:space="0"/>
            </w:tcBorders>
            <w:vAlign w:val="center"/>
          </w:tcPr>
          <w:p w14:paraId="35C17B8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526" w:type="pct"/>
            <w:vAlign w:val="center"/>
          </w:tcPr>
          <w:p w14:paraId="5AAE000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主要成分</w:t>
            </w:r>
          </w:p>
        </w:tc>
        <w:tc>
          <w:tcPr>
            <w:tcW w:w="525" w:type="pct"/>
            <w:vAlign w:val="center"/>
          </w:tcPr>
          <w:p w14:paraId="604305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p>
        </w:tc>
        <w:tc>
          <w:tcPr>
            <w:tcW w:w="748" w:type="pct"/>
            <w:vAlign w:val="center"/>
          </w:tcPr>
          <w:p w14:paraId="7A89667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废物代码</w:t>
            </w:r>
          </w:p>
        </w:tc>
        <w:tc>
          <w:tcPr>
            <w:tcW w:w="1016" w:type="pct"/>
            <w:vAlign w:val="center"/>
          </w:tcPr>
          <w:p w14:paraId="042D8A0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措施及去向</w:t>
            </w:r>
          </w:p>
        </w:tc>
      </w:tr>
      <w:tr w14:paraId="0176AA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314454B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S1</w:t>
            </w:r>
          </w:p>
        </w:tc>
        <w:tc>
          <w:tcPr>
            <w:tcW w:w="811" w:type="pct"/>
            <w:tcBorders>
              <w:left w:val="single" w:color="auto" w:sz="4" w:space="0"/>
            </w:tcBorders>
            <w:vAlign w:val="center"/>
          </w:tcPr>
          <w:p w14:paraId="2572AB4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废活性炭</w:t>
            </w:r>
          </w:p>
        </w:tc>
        <w:tc>
          <w:tcPr>
            <w:tcW w:w="1526" w:type="pct"/>
            <w:vAlign w:val="center"/>
          </w:tcPr>
          <w:p w14:paraId="3B22730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活性炭、重金属、二噁英、有机废气</w:t>
            </w:r>
          </w:p>
        </w:tc>
        <w:tc>
          <w:tcPr>
            <w:tcW w:w="525" w:type="pct"/>
            <w:vAlign w:val="center"/>
          </w:tcPr>
          <w:p w14:paraId="33A2B286">
            <w:pPr>
              <w:pStyle w:val="109"/>
              <w:rPr>
                <w:color w:val="000000" w:themeColor="text1"/>
                <w:szCs w:val="21"/>
                <w14:textFill>
                  <w14:solidFill>
                    <w14:schemeClr w14:val="tx1"/>
                  </w14:solidFill>
                </w14:textFill>
              </w:rPr>
            </w:pPr>
            <w:r>
              <w:rPr>
                <w:bCs/>
                <w:color w:val="000000" w:themeColor="text1"/>
                <w:szCs w:val="21"/>
                <w14:textFill>
                  <w14:solidFill>
                    <w14:schemeClr w14:val="tx1"/>
                  </w14:solidFill>
                </w14:textFill>
              </w:rPr>
              <w:t>6</w:t>
            </w:r>
          </w:p>
        </w:tc>
        <w:tc>
          <w:tcPr>
            <w:tcW w:w="748" w:type="pct"/>
            <w:vAlign w:val="center"/>
          </w:tcPr>
          <w:p w14:paraId="4D962EE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900-041-49</w:t>
            </w:r>
          </w:p>
        </w:tc>
        <w:tc>
          <w:tcPr>
            <w:tcW w:w="1016" w:type="pct"/>
            <w:vMerge w:val="restart"/>
            <w:vAlign w:val="center"/>
          </w:tcPr>
          <w:p w14:paraId="159147A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资质经收集在厂区危废间暂存后，委托有相关资质的危废处置单位进行收集处置单位处置</w:t>
            </w:r>
          </w:p>
        </w:tc>
      </w:tr>
      <w:tr w14:paraId="17E3F1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40706DF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S2</w:t>
            </w:r>
          </w:p>
        </w:tc>
        <w:tc>
          <w:tcPr>
            <w:tcW w:w="811" w:type="pct"/>
            <w:tcBorders>
              <w:left w:val="single" w:color="auto" w:sz="4" w:space="0"/>
            </w:tcBorders>
            <w:vAlign w:val="center"/>
          </w:tcPr>
          <w:p w14:paraId="343791B2">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多效蒸发废盐</w:t>
            </w:r>
          </w:p>
        </w:tc>
        <w:tc>
          <w:tcPr>
            <w:tcW w:w="1526" w:type="pct"/>
            <w:vAlign w:val="center"/>
          </w:tcPr>
          <w:p w14:paraId="52DD2D5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废盐、重金属、二噁英</w:t>
            </w:r>
          </w:p>
        </w:tc>
        <w:tc>
          <w:tcPr>
            <w:tcW w:w="525" w:type="pct"/>
            <w:vAlign w:val="center"/>
          </w:tcPr>
          <w:p w14:paraId="0A21F8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1286.5</w:t>
            </w:r>
          </w:p>
        </w:tc>
        <w:tc>
          <w:tcPr>
            <w:tcW w:w="748" w:type="pct"/>
            <w:vAlign w:val="center"/>
          </w:tcPr>
          <w:p w14:paraId="359D547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HW49</w:t>
            </w:r>
          </w:p>
        </w:tc>
        <w:tc>
          <w:tcPr>
            <w:tcW w:w="1016" w:type="pct"/>
            <w:vMerge w:val="continue"/>
            <w:vAlign w:val="center"/>
          </w:tcPr>
          <w:p w14:paraId="6FBF45C1">
            <w:pPr>
              <w:pStyle w:val="109"/>
              <w:rPr>
                <w:color w:val="000000" w:themeColor="text1"/>
                <w:szCs w:val="21"/>
                <w14:textFill>
                  <w14:solidFill>
                    <w14:schemeClr w14:val="tx1"/>
                  </w14:solidFill>
                </w14:textFill>
              </w:rPr>
            </w:pPr>
          </w:p>
        </w:tc>
      </w:tr>
      <w:tr w14:paraId="2F2C1B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1EA5532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S3</w:t>
            </w:r>
          </w:p>
        </w:tc>
        <w:tc>
          <w:tcPr>
            <w:tcW w:w="811" w:type="pct"/>
            <w:tcBorders>
              <w:left w:val="single" w:color="auto" w:sz="4" w:space="0"/>
            </w:tcBorders>
            <w:vAlign w:val="center"/>
          </w:tcPr>
          <w:p w14:paraId="4774D24B">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废气处理设施沉淀池泥渣</w:t>
            </w:r>
          </w:p>
        </w:tc>
        <w:tc>
          <w:tcPr>
            <w:tcW w:w="1526" w:type="pct"/>
            <w:vAlign w:val="center"/>
          </w:tcPr>
          <w:p w14:paraId="67B4652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泥渣、重金属</w:t>
            </w:r>
          </w:p>
        </w:tc>
        <w:tc>
          <w:tcPr>
            <w:tcW w:w="525" w:type="pct"/>
            <w:vAlign w:val="center"/>
          </w:tcPr>
          <w:p w14:paraId="0E9893AF">
            <w:pPr>
              <w:pStyle w:val="109"/>
              <w:rPr>
                <w:color w:val="000000" w:themeColor="text1"/>
                <w:kern w:val="24"/>
                <w:szCs w:val="21"/>
                <w14:textFill>
                  <w14:solidFill>
                    <w14:schemeClr w14:val="tx1"/>
                  </w14:solidFill>
                </w14:textFill>
              </w:rPr>
            </w:pPr>
            <w:r>
              <w:rPr>
                <w:color w:val="000000" w:themeColor="text1"/>
                <w:szCs w:val="21"/>
                <w14:textFill>
                  <w14:solidFill>
                    <w14:schemeClr w14:val="tx1"/>
                  </w14:solidFill>
                </w14:textFill>
              </w:rPr>
              <w:t>5</w:t>
            </w:r>
          </w:p>
        </w:tc>
        <w:tc>
          <w:tcPr>
            <w:tcW w:w="748" w:type="pct"/>
            <w:vAlign w:val="center"/>
          </w:tcPr>
          <w:p w14:paraId="07C73BF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900-041-49</w:t>
            </w:r>
          </w:p>
        </w:tc>
        <w:tc>
          <w:tcPr>
            <w:tcW w:w="1016" w:type="pct"/>
            <w:vMerge w:val="continue"/>
            <w:vAlign w:val="center"/>
          </w:tcPr>
          <w:p w14:paraId="0154D997">
            <w:pPr>
              <w:pStyle w:val="109"/>
              <w:rPr>
                <w:color w:val="000000" w:themeColor="text1"/>
                <w:szCs w:val="21"/>
                <w14:textFill>
                  <w14:solidFill>
                    <w14:schemeClr w14:val="tx1"/>
                  </w14:solidFill>
                </w14:textFill>
              </w:rPr>
            </w:pPr>
          </w:p>
        </w:tc>
      </w:tr>
      <w:tr w14:paraId="3EAC88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4A20EBB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S4</w:t>
            </w:r>
          </w:p>
        </w:tc>
        <w:tc>
          <w:tcPr>
            <w:tcW w:w="811" w:type="pct"/>
            <w:tcBorders>
              <w:left w:val="single" w:color="auto" w:sz="4" w:space="0"/>
            </w:tcBorders>
            <w:vAlign w:val="center"/>
          </w:tcPr>
          <w:p w14:paraId="6C00738F">
            <w:pPr>
              <w:pStyle w:val="109"/>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废脱硝催化剂</w:t>
            </w:r>
          </w:p>
        </w:tc>
        <w:tc>
          <w:tcPr>
            <w:tcW w:w="1526" w:type="pct"/>
            <w:vAlign w:val="center"/>
          </w:tcPr>
          <w:p w14:paraId="685E187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V₂O₅-WO₃/TiO₂</w:t>
            </w:r>
          </w:p>
        </w:tc>
        <w:tc>
          <w:tcPr>
            <w:tcW w:w="525" w:type="pct"/>
            <w:vAlign w:val="center"/>
          </w:tcPr>
          <w:p w14:paraId="7CDCFC5E">
            <w:pPr>
              <w:pStyle w:val="109"/>
              <w:rPr>
                <w:color w:val="000000" w:themeColor="text1"/>
                <w:szCs w:val="21"/>
                <w14:textFill>
                  <w14:solidFill>
                    <w14:schemeClr w14:val="tx1"/>
                  </w14:solidFill>
                </w14:textFill>
              </w:rPr>
            </w:pPr>
            <w:r>
              <w:rPr>
                <w:bCs/>
                <w:color w:val="000000" w:themeColor="text1"/>
                <w:szCs w:val="21"/>
                <w14:textFill>
                  <w14:solidFill>
                    <w14:schemeClr w14:val="tx1"/>
                  </w14:solidFill>
                </w14:textFill>
              </w:rPr>
              <w:t>0.75t/3a</w:t>
            </w:r>
          </w:p>
        </w:tc>
        <w:tc>
          <w:tcPr>
            <w:tcW w:w="748" w:type="pct"/>
            <w:vAlign w:val="center"/>
          </w:tcPr>
          <w:p w14:paraId="2D83BF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772-007-50</w:t>
            </w:r>
          </w:p>
        </w:tc>
        <w:tc>
          <w:tcPr>
            <w:tcW w:w="1016" w:type="pct"/>
            <w:vMerge w:val="continue"/>
            <w:vAlign w:val="center"/>
          </w:tcPr>
          <w:p w14:paraId="3263EDF4">
            <w:pPr>
              <w:pStyle w:val="109"/>
              <w:rPr>
                <w:color w:val="000000" w:themeColor="text1"/>
                <w:szCs w:val="21"/>
                <w14:textFill>
                  <w14:solidFill>
                    <w14:schemeClr w14:val="tx1"/>
                  </w14:solidFill>
                </w14:textFill>
              </w:rPr>
            </w:pPr>
          </w:p>
        </w:tc>
      </w:tr>
      <w:tr w14:paraId="740955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7C060E4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S5</w:t>
            </w:r>
          </w:p>
        </w:tc>
        <w:tc>
          <w:tcPr>
            <w:tcW w:w="811" w:type="pct"/>
            <w:tcBorders>
              <w:left w:val="single" w:color="auto" w:sz="4" w:space="0"/>
            </w:tcBorders>
            <w:vAlign w:val="center"/>
          </w:tcPr>
          <w:p w14:paraId="0F5F8BC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废包装袋</w:t>
            </w:r>
          </w:p>
        </w:tc>
        <w:tc>
          <w:tcPr>
            <w:tcW w:w="1526" w:type="pct"/>
            <w:vAlign w:val="center"/>
          </w:tcPr>
          <w:p w14:paraId="5F82D34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塑料包装袋、废盐</w:t>
            </w:r>
          </w:p>
        </w:tc>
        <w:tc>
          <w:tcPr>
            <w:tcW w:w="525" w:type="pct"/>
            <w:vAlign w:val="center"/>
          </w:tcPr>
          <w:p w14:paraId="38EFE6D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748" w:type="pct"/>
            <w:vAlign w:val="center"/>
          </w:tcPr>
          <w:p w14:paraId="735FAA4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900-041-49</w:t>
            </w:r>
          </w:p>
        </w:tc>
        <w:tc>
          <w:tcPr>
            <w:tcW w:w="1016" w:type="pct"/>
            <w:vMerge w:val="continue"/>
            <w:vAlign w:val="center"/>
          </w:tcPr>
          <w:p w14:paraId="38140B7C">
            <w:pPr>
              <w:pStyle w:val="109"/>
              <w:rPr>
                <w:color w:val="000000" w:themeColor="text1"/>
                <w:szCs w:val="21"/>
                <w14:textFill>
                  <w14:solidFill>
                    <w14:schemeClr w14:val="tx1"/>
                  </w14:solidFill>
                </w14:textFill>
              </w:rPr>
            </w:pPr>
          </w:p>
        </w:tc>
      </w:tr>
      <w:tr w14:paraId="22FD36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2526190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S6</w:t>
            </w:r>
          </w:p>
        </w:tc>
        <w:tc>
          <w:tcPr>
            <w:tcW w:w="811" w:type="pct"/>
            <w:tcBorders>
              <w:left w:val="single" w:color="auto" w:sz="4" w:space="0"/>
            </w:tcBorders>
            <w:vAlign w:val="center"/>
          </w:tcPr>
          <w:p w14:paraId="419B66A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化验室废物</w:t>
            </w:r>
          </w:p>
        </w:tc>
        <w:tc>
          <w:tcPr>
            <w:tcW w:w="1526" w:type="pct"/>
            <w:vAlign w:val="center"/>
          </w:tcPr>
          <w:p w14:paraId="16199A4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化验残渣、化验废液、破损的化验容器</w:t>
            </w:r>
          </w:p>
        </w:tc>
        <w:tc>
          <w:tcPr>
            <w:tcW w:w="525" w:type="pct"/>
            <w:vAlign w:val="center"/>
          </w:tcPr>
          <w:p w14:paraId="6F3F56E0">
            <w:pPr>
              <w:pStyle w:val="109"/>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0.2</w:t>
            </w:r>
          </w:p>
        </w:tc>
        <w:tc>
          <w:tcPr>
            <w:tcW w:w="748" w:type="pct"/>
            <w:vAlign w:val="center"/>
          </w:tcPr>
          <w:p w14:paraId="2887613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900-047-49 </w:t>
            </w:r>
          </w:p>
        </w:tc>
        <w:tc>
          <w:tcPr>
            <w:tcW w:w="1016" w:type="pct"/>
            <w:vMerge w:val="continue"/>
            <w:vAlign w:val="center"/>
          </w:tcPr>
          <w:p w14:paraId="6CA8CE3F">
            <w:pPr>
              <w:pStyle w:val="109"/>
              <w:rPr>
                <w:color w:val="000000" w:themeColor="text1"/>
                <w:szCs w:val="21"/>
                <w14:textFill>
                  <w14:solidFill>
                    <w14:schemeClr w14:val="tx1"/>
                  </w14:solidFill>
                </w14:textFill>
              </w:rPr>
            </w:pPr>
          </w:p>
        </w:tc>
      </w:tr>
      <w:tr w14:paraId="4FC843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67164C4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S7</w:t>
            </w:r>
          </w:p>
        </w:tc>
        <w:tc>
          <w:tcPr>
            <w:tcW w:w="811" w:type="pct"/>
            <w:tcBorders>
              <w:left w:val="single" w:color="auto" w:sz="4" w:space="0"/>
            </w:tcBorders>
            <w:vAlign w:val="center"/>
          </w:tcPr>
          <w:p w14:paraId="5D79074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废润滑油</w:t>
            </w:r>
            <w:r>
              <w:rPr>
                <w:rFonts w:hint="eastAsia"/>
                <w:color w:val="000000" w:themeColor="text1"/>
                <w:szCs w:val="21"/>
                <w14:textFill>
                  <w14:solidFill>
                    <w14:schemeClr w14:val="tx1"/>
                  </w14:solidFill>
                </w14:textFill>
              </w:rPr>
              <w:t>及废油桶</w:t>
            </w:r>
          </w:p>
        </w:tc>
        <w:tc>
          <w:tcPr>
            <w:tcW w:w="1526" w:type="pct"/>
            <w:vAlign w:val="center"/>
          </w:tcPr>
          <w:p w14:paraId="0718ED3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矿物油</w:t>
            </w:r>
          </w:p>
        </w:tc>
        <w:tc>
          <w:tcPr>
            <w:tcW w:w="525" w:type="pct"/>
            <w:vAlign w:val="center"/>
          </w:tcPr>
          <w:p w14:paraId="6250EF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6</w:t>
            </w:r>
          </w:p>
        </w:tc>
        <w:tc>
          <w:tcPr>
            <w:tcW w:w="748" w:type="pct"/>
            <w:vAlign w:val="center"/>
          </w:tcPr>
          <w:p w14:paraId="06D44C8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900-249-08</w:t>
            </w:r>
          </w:p>
        </w:tc>
        <w:tc>
          <w:tcPr>
            <w:tcW w:w="1016" w:type="pct"/>
            <w:vMerge w:val="continue"/>
            <w:vAlign w:val="center"/>
          </w:tcPr>
          <w:p w14:paraId="19899FE8">
            <w:pPr>
              <w:pStyle w:val="109"/>
              <w:rPr>
                <w:color w:val="000000" w:themeColor="text1"/>
                <w:szCs w:val="21"/>
                <w14:textFill>
                  <w14:solidFill>
                    <w14:schemeClr w14:val="tx1"/>
                  </w14:solidFill>
                </w14:textFill>
              </w:rPr>
            </w:pPr>
          </w:p>
        </w:tc>
      </w:tr>
      <w:tr w14:paraId="390497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50C7C78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S8</w:t>
            </w:r>
          </w:p>
        </w:tc>
        <w:tc>
          <w:tcPr>
            <w:tcW w:w="811" w:type="pct"/>
            <w:tcBorders>
              <w:left w:val="single" w:color="auto" w:sz="4" w:space="0"/>
            </w:tcBorders>
            <w:vAlign w:val="center"/>
          </w:tcPr>
          <w:p w14:paraId="1B3EA6D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r>
              <w:rPr>
                <w:rFonts w:hint="eastAsia"/>
                <w:color w:val="000000" w:themeColor="text1"/>
                <w:szCs w:val="21"/>
                <w14:textFill>
                  <w14:solidFill>
                    <w14:schemeClr w14:val="tx1"/>
                  </w14:solidFill>
                </w14:textFill>
              </w:rPr>
              <w:t>垃圾</w:t>
            </w:r>
          </w:p>
        </w:tc>
        <w:tc>
          <w:tcPr>
            <w:tcW w:w="1526" w:type="pct"/>
            <w:vAlign w:val="center"/>
          </w:tcPr>
          <w:p w14:paraId="4D93584D">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纸类、塑料类等</w:t>
            </w:r>
          </w:p>
        </w:tc>
        <w:tc>
          <w:tcPr>
            <w:tcW w:w="525" w:type="pct"/>
            <w:vAlign w:val="center"/>
          </w:tcPr>
          <w:p w14:paraId="28AF65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748" w:type="pct"/>
            <w:vAlign w:val="center"/>
          </w:tcPr>
          <w:p w14:paraId="191136A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016" w:type="pct"/>
            <w:vAlign w:val="center"/>
          </w:tcPr>
          <w:p w14:paraId="446A31C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由园区环卫部门统一收集处理</w:t>
            </w:r>
          </w:p>
        </w:tc>
      </w:tr>
    </w:tbl>
    <w:p w14:paraId="36E70A5D">
      <w:pPr>
        <w:pStyle w:val="117"/>
        <w:rPr>
          <w:rFonts w:ascii="Times New Roman" w:hAnsi="Times New Roman" w:cs="Times New Roman"/>
          <w:color w:val="000000" w:themeColor="text1"/>
          <w14:textFill>
            <w14:solidFill>
              <w14:schemeClr w14:val="tx1"/>
            </w14:solidFill>
          </w14:textFill>
        </w:rPr>
        <w:sectPr>
          <w:pgSz w:w="11906" w:h="16838"/>
          <w:pgMar w:top="1418" w:right="1247" w:bottom="1418" w:left="1247" w:header="964" w:footer="964" w:gutter="0"/>
          <w:cols w:space="720" w:num="1"/>
          <w:docGrid w:linePitch="312" w:charSpace="0"/>
        </w:sectPr>
      </w:pPr>
      <w:bookmarkStart w:id="285" w:name="_Toc329793505"/>
    </w:p>
    <w:p w14:paraId="0305E65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本项目危险废物产生情况一览表</w:t>
      </w:r>
    </w:p>
    <w:tbl>
      <w:tblPr>
        <w:tblStyle w:val="76"/>
        <w:tblW w:w="47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164"/>
        <w:gridCol w:w="1298"/>
        <w:gridCol w:w="1103"/>
        <w:gridCol w:w="1337"/>
        <w:gridCol w:w="933"/>
        <w:gridCol w:w="1717"/>
        <w:gridCol w:w="1628"/>
        <w:gridCol w:w="1002"/>
        <w:gridCol w:w="988"/>
        <w:gridCol w:w="1168"/>
      </w:tblGrid>
      <w:tr w14:paraId="1B5C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14633F93">
            <w:pPr>
              <w:pStyle w:val="109"/>
              <w:rPr>
                <w:color w:val="000000" w:themeColor="text1"/>
                <w14:textFill>
                  <w14:solidFill>
                    <w14:schemeClr w14:val="tx1"/>
                  </w14:solidFill>
                </w14:textFill>
              </w:rPr>
            </w:pPr>
            <w:bookmarkStart w:id="286" w:name="_Hlk62312279"/>
            <w:r>
              <w:rPr>
                <w:color w:val="000000" w:themeColor="text1"/>
                <w14:textFill>
                  <w14:solidFill>
                    <w14:schemeClr w14:val="tx1"/>
                  </w14:solidFill>
                </w14:textFill>
              </w:rPr>
              <w:t>危险废物名称</w:t>
            </w:r>
          </w:p>
        </w:tc>
        <w:tc>
          <w:tcPr>
            <w:tcW w:w="417" w:type="pct"/>
            <w:vAlign w:val="center"/>
          </w:tcPr>
          <w:p w14:paraId="3E8AB050">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危险废物类别</w:t>
            </w:r>
          </w:p>
        </w:tc>
        <w:tc>
          <w:tcPr>
            <w:tcW w:w="465" w:type="pct"/>
            <w:vAlign w:val="center"/>
          </w:tcPr>
          <w:p w14:paraId="699AC999">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危险废物代码</w:t>
            </w:r>
          </w:p>
        </w:tc>
        <w:tc>
          <w:tcPr>
            <w:tcW w:w="395" w:type="pct"/>
            <w:vAlign w:val="center"/>
          </w:tcPr>
          <w:p w14:paraId="45F08A5F">
            <w:pPr>
              <w:pStyle w:val="109"/>
              <w:rPr>
                <w:color w:val="000000" w:themeColor="text1"/>
                <w14:textFill>
                  <w14:solidFill>
                    <w14:schemeClr w14:val="tx1"/>
                  </w14:solidFill>
                </w14:textFill>
              </w:rPr>
            </w:pPr>
            <w:r>
              <w:rPr>
                <w:color w:val="000000" w:themeColor="text1"/>
                <w14:textFill>
                  <w14:solidFill>
                    <w14:schemeClr w14:val="tx1"/>
                  </w14:solidFill>
                </w14:textFill>
              </w:rPr>
              <w:t>产生量</w:t>
            </w:r>
          </w:p>
          <w:p w14:paraId="7234D8EE">
            <w:pPr>
              <w:pStyle w:val="109"/>
              <w:rPr>
                <w:color w:val="000000" w:themeColor="text1"/>
                <w14:textFill>
                  <w14:solidFill>
                    <w14:schemeClr w14:val="tx1"/>
                  </w14:solidFill>
                </w14:textFill>
              </w:rPr>
            </w:pPr>
            <w:r>
              <w:rPr>
                <w:color w:val="000000" w:themeColor="text1"/>
                <w14:textFill>
                  <w14:solidFill>
                    <w14:schemeClr w14:val="tx1"/>
                  </w14:solidFill>
                </w14:textFill>
              </w:rPr>
              <w:t>t/a</w:t>
            </w:r>
          </w:p>
        </w:tc>
        <w:tc>
          <w:tcPr>
            <w:tcW w:w="479" w:type="pct"/>
            <w:vAlign w:val="center"/>
          </w:tcPr>
          <w:p w14:paraId="7073274E">
            <w:pPr>
              <w:pStyle w:val="109"/>
              <w:rPr>
                <w:color w:val="000000" w:themeColor="text1"/>
                <w14:textFill>
                  <w14:solidFill>
                    <w14:schemeClr w14:val="tx1"/>
                  </w14:solidFill>
                </w14:textFill>
              </w:rPr>
            </w:pPr>
            <w:r>
              <w:rPr>
                <w:color w:val="000000" w:themeColor="text1"/>
                <w14:textFill>
                  <w14:solidFill>
                    <w14:schemeClr w14:val="tx1"/>
                  </w14:solidFill>
                </w14:textFill>
              </w:rPr>
              <w:t>产生工序及装置</w:t>
            </w:r>
          </w:p>
        </w:tc>
        <w:tc>
          <w:tcPr>
            <w:tcW w:w="334" w:type="pct"/>
            <w:vAlign w:val="center"/>
          </w:tcPr>
          <w:p w14:paraId="0CB7DD7D">
            <w:pPr>
              <w:pStyle w:val="109"/>
              <w:rPr>
                <w:color w:val="000000" w:themeColor="text1"/>
                <w14:textFill>
                  <w14:solidFill>
                    <w14:schemeClr w14:val="tx1"/>
                  </w14:solidFill>
                </w14:textFill>
              </w:rPr>
            </w:pPr>
            <w:r>
              <w:rPr>
                <w:color w:val="000000" w:themeColor="text1"/>
                <w14:textFill>
                  <w14:solidFill>
                    <w14:schemeClr w14:val="tx1"/>
                  </w14:solidFill>
                </w14:textFill>
              </w:rPr>
              <w:t>形态</w:t>
            </w:r>
          </w:p>
        </w:tc>
        <w:tc>
          <w:tcPr>
            <w:tcW w:w="615" w:type="pct"/>
            <w:vAlign w:val="center"/>
          </w:tcPr>
          <w:p w14:paraId="04B8CB85">
            <w:pPr>
              <w:pStyle w:val="109"/>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583" w:type="pct"/>
            <w:vAlign w:val="center"/>
          </w:tcPr>
          <w:p w14:paraId="680CE475">
            <w:pPr>
              <w:pStyle w:val="109"/>
              <w:rPr>
                <w:color w:val="000000" w:themeColor="text1"/>
                <w14:textFill>
                  <w14:solidFill>
                    <w14:schemeClr w14:val="tx1"/>
                  </w14:solidFill>
                </w14:textFill>
              </w:rPr>
            </w:pPr>
            <w:r>
              <w:rPr>
                <w:color w:val="000000" w:themeColor="text1"/>
                <w14:textFill>
                  <w14:solidFill>
                    <w14:schemeClr w14:val="tx1"/>
                  </w14:solidFill>
                </w14:textFill>
              </w:rPr>
              <w:t>有害成分</w:t>
            </w:r>
          </w:p>
        </w:tc>
        <w:tc>
          <w:tcPr>
            <w:tcW w:w="359" w:type="pct"/>
            <w:vAlign w:val="center"/>
          </w:tcPr>
          <w:p w14:paraId="4B9B2EB3">
            <w:pPr>
              <w:pStyle w:val="109"/>
              <w:rPr>
                <w:color w:val="000000" w:themeColor="text1"/>
                <w14:textFill>
                  <w14:solidFill>
                    <w14:schemeClr w14:val="tx1"/>
                  </w14:solidFill>
                </w14:textFill>
              </w:rPr>
            </w:pPr>
            <w:r>
              <w:rPr>
                <w:color w:val="000000" w:themeColor="text1"/>
                <w14:textFill>
                  <w14:solidFill>
                    <w14:schemeClr w14:val="tx1"/>
                  </w14:solidFill>
                </w14:textFill>
              </w:rPr>
              <w:t>产废周期</w:t>
            </w:r>
          </w:p>
        </w:tc>
        <w:tc>
          <w:tcPr>
            <w:tcW w:w="354" w:type="pct"/>
            <w:vAlign w:val="center"/>
          </w:tcPr>
          <w:p w14:paraId="1B7115E2">
            <w:pPr>
              <w:pStyle w:val="109"/>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420" w:type="pct"/>
            <w:vAlign w:val="center"/>
          </w:tcPr>
          <w:p w14:paraId="5C6149E1">
            <w:pPr>
              <w:pStyle w:val="109"/>
              <w:rPr>
                <w:color w:val="000000" w:themeColor="text1"/>
                <w14:textFill>
                  <w14:solidFill>
                    <w14:schemeClr w14:val="tx1"/>
                  </w14:solidFill>
                </w14:textFill>
              </w:rPr>
            </w:pPr>
            <w:r>
              <w:rPr>
                <w:color w:val="000000" w:themeColor="text1"/>
                <w14:textFill>
                  <w14:solidFill>
                    <w14:schemeClr w14:val="tx1"/>
                  </w14:solidFill>
                </w14:textFill>
              </w:rPr>
              <w:t>污染防治措施</w:t>
            </w:r>
          </w:p>
        </w:tc>
      </w:tr>
      <w:bookmarkEnd w:id="284"/>
      <w:tr w14:paraId="646F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38732B13">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废活性炭</w:t>
            </w:r>
          </w:p>
        </w:tc>
        <w:tc>
          <w:tcPr>
            <w:tcW w:w="417" w:type="pct"/>
            <w:vAlign w:val="center"/>
          </w:tcPr>
          <w:p w14:paraId="3548478D">
            <w:pPr>
              <w:pStyle w:val="109"/>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465" w:type="pct"/>
            <w:vAlign w:val="center"/>
          </w:tcPr>
          <w:p w14:paraId="30EDC949">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900-041-49</w:t>
            </w:r>
          </w:p>
        </w:tc>
        <w:tc>
          <w:tcPr>
            <w:tcW w:w="395" w:type="pct"/>
            <w:vAlign w:val="center"/>
          </w:tcPr>
          <w:p w14:paraId="2D4FBFED">
            <w:pPr>
              <w:pStyle w:val="109"/>
              <w:rPr>
                <w:color w:val="000000" w:themeColor="text1"/>
                <w14:textFill>
                  <w14:solidFill>
                    <w14:schemeClr w14:val="tx1"/>
                  </w14:solidFill>
                </w14:textFill>
              </w:rPr>
            </w:pPr>
            <w:r>
              <w:rPr>
                <w:bCs/>
                <w:color w:val="000000" w:themeColor="text1"/>
                <w:szCs w:val="21"/>
                <w14:textFill>
                  <w14:solidFill>
                    <w14:schemeClr w14:val="tx1"/>
                  </w14:solidFill>
                </w14:textFill>
              </w:rPr>
              <w:t>6</w:t>
            </w:r>
          </w:p>
        </w:tc>
        <w:tc>
          <w:tcPr>
            <w:tcW w:w="479" w:type="pct"/>
            <w:vAlign w:val="center"/>
          </w:tcPr>
          <w:p w14:paraId="6782A8BC">
            <w:pPr>
              <w:pStyle w:val="109"/>
              <w:rPr>
                <w:color w:val="000000" w:themeColor="text1"/>
                <w14:textFill>
                  <w14:solidFill>
                    <w14:schemeClr w14:val="tx1"/>
                  </w14:solidFill>
                </w14:textFill>
              </w:rPr>
            </w:pPr>
            <w:r>
              <w:rPr>
                <w:color w:val="000000" w:themeColor="text1"/>
                <w14:textFill>
                  <w14:solidFill>
                    <w14:schemeClr w14:val="tx1"/>
                  </w14:solidFill>
                </w14:textFill>
              </w:rPr>
              <w:t>活性炭吸附装置</w:t>
            </w:r>
          </w:p>
        </w:tc>
        <w:tc>
          <w:tcPr>
            <w:tcW w:w="334" w:type="pct"/>
            <w:vAlign w:val="center"/>
          </w:tcPr>
          <w:p w14:paraId="1A9012A2">
            <w:pPr>
              <w:pStyle w:val="109"/>
              <w:rPr>
                <w:color w:val="000000" w:themeColor="text1"/>
                <w14:textFill>
                  <w14:solidFill>
                    <w14:schemeClr w14:val="tx1"/>
                  </w14:solidFill>
                </w14:textFill>
              </w:rPr>
            </w:pPr>
            <w:r>
              <w:rPr>
                <w:color w:val="000000" w:themeColor="text1"/>
                <w14:textFill>
                  <w14:solidFill>
                    <w14:schemeClr w14:val="tx1"/>
                  </w14:solidFill>
                </w14:textFill>
              </w:rPr>
              <w:t>固态</w:t>
            </w:r>
          </w:p>
        </w:tc>
        <w:tc>
          <w:tcPr>
            <w:tcW w:w="615" w:type="pct"/>
            <w:vAlign w:val="center"/>
          </w:tcPr>
          <w:p w14:paraId="24279EA1">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活性炭、重金属、二噁英、有机废气</w:t>
            </w:r>
          </w:p>
        </w:tc>
        <w:tc>
          <w:tcPr>
            <w:tcW w:w="583" w:type="pct"/>
            <w:vAlign w:val="center"/>
          </w:tcPr>
          <w:p w14:paraId="1EFD4ECC">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重金属、二噁英、有机废气</w:t>
            </w:r>
          </w:p>
        </w:tc>
        <w:tc>
          <w:tcPr>
            <w:tcW w:w="359" w:type="pct"/>
            <w:vAlign w:val="center"/>
          </w:tcPr>
          <w:p w14:paraId="76C4A672">
            <w:pPr>
              <w:pStyle w:val="109"/>
              <w:rPr>
                <w:color w:val="000000" w:themeColor="text1"/>
                <w14:textFill>
                  <w14:solidFill>
                    <w14:schemeClr w14:val="tx1"/>
                  </w14:solidFill>
                </w14:textFill>
              </w:rPr>
            </w:pPr>
            <w:r>
              <w:rPr>
                <w:color w:val="000000" w:themeColor="text1"/>
                <w14:textFill>
                  <w14:solidFill>
                    <w14:schemeClr w14:val="tx1"/>
                  </w14:solidFill>
                </w14:textFill>
              </w:rPr>
              <w:t>1季度</w:t>
            </w:r>
          </w:p>
        </w:tc>
        <w:tc>
          <w:tcPr>
            <w:tcW w:w="354" w:type="pct"/>
            <w:vAlign w:val="center"/>
          </w:tcPr>
          <w:p w14:paraId="71326869">
            <w:pPr>
              <w:pStyle w:val="109"/>
              <w:rPr>
                <w:color w:val="000000" w:themeColor="text1"/>
                <w14:textFill>
                  <w14:solidFill>
                    <w14:schemeClr w14:val="tx1"/>
                  </w14:solidFill>
                </w14:textFill>
              </w:rPr>
            </w:pPr>
            <w:r>
              <w:rPr>
                <w:color w:val="000000" w:themeColor="text1"/>
                <w14:textFill>
                  <w14:solidFill>
                    <w14:schemeClr w14:val="tx1"/>
                  </w14:solidFill>
                </w14:textFill>
              </w:rPr>
              <w:t>T / In</w:t>
            </w:r>
          </w:p>
        </w:tc>
        <w:tc>
          <w:tcPr>
            <w:tcW w:w="420" w:type="pct"/>
            <w:vMerge w:val="restart"/>
            <w:vAlign w:val="center"/>
          </w:tcPr>
          <w:p w14:paraId="35DC6DDF">
            <w:pPr>
              <w:pStyle w:val="109"/>
              <w:rPr>
                <w:color w:val="000000" w:themeColor="text1"/>
                <w14:textFill>
                  <w14:solidFill>
                    <w14:schemeClr w14:val="tx1"/>
                  </w14:solidFill>
                </w14:textFill>
              </w:rPr>
            </w:pPr>
            <w:r>
              <w:rPr>
                <w:color w:val="000000" w:themeColor="text1"/>
                <w14:textFill>
                  <w14:solidFill>
                    <w14:schemeClr w14:val="tx1"/>
                  </w14:solidFill>
                </w14:textFill>
              </w:rPr>
              <w:t>暂存于危废暂存间交由危废处理单位收集处置</w:t>
            </w:r>
          </w:p>
        </w:tc>
      </w:tr>
      <w:tr w14:paraId="647A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2E93F46D">
            <w:pPr>
              <w:pStyle w:val="109"/>
              <w:rPr>
                <w:color w:val="000000" w:themeColor="text1"/>
                <w14:textFill>
                  <w14:solidFill>
                    <w14:schemeClr w14:val="tx1"/>
                  </w14:solidFill>
                </w14:textFill>
              </w:rPr>
            </w:pPr>
            <w:r>
              <w:rPr>
                <w:bCs/>
                <w:color w:val="000000" w:themeColor="text1"/>
                <w:szCs w:val="21"/>
                <w14:textFill>
                  <w14:solidFill>
                    <w14:schemeClr w14:val="tx1"/>
                  </w14:solidFill>
                </w14:textFill>
              </w:rPr>
              <w:t>多效蒸发废盐</w:t>
            </w:r>
          </w:p>
        </w:tc>
        <w:tc>
          <w:tcPr>
            <w:tcW w:w="417" w:type="pct"/>
            <w:vAlign w:val="center"/>
          </w:tcPr>
          <w:p w14:paraId="7D14C665">
            <w:pPr>
              <w:pStyle w:val="109"/>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465" w:type="pct"/>
            <w:vAlign w:val="center"/>
          </w:tcPr>
          <w:p w14:paraId="210C17DD">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HW49</w:t>
            </w:r>
          </w:p>
        </w:tc>
        <w:tc>
          <w:tcPr>
            <w:tcW w:w="395" w:type="pct"/>
            <w:vAlign w:val="center"/>
          </w:tcPr>
          <w:p w14:paraId="67FC46D5">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1286.5</w:t>
            </w:r>
          </w:p>
        </w:tc>
        <w:tc>
          <w:tcPr>
            <w:tcW w:w="479" w:type="pct"/>
            <w:vAlign w:val="center"/>
          </w:tcPr>
          <w:p w14:paraId="54365981">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w:t>
            </w:r>
          </w:p>
        </w:tc>
        <w:tc>
          <w:tcPr>
            <w:tcW w:w="334" w:type="pct"/>
            <w:vAlign w:val="center"/>
          </w:tcPr>
          <w:p w14:paraId="44149AEE">
            <w:pPr>
              <w:pStyle w:val="109"/>
              <w:rPr>
                <w:color w:val="000000" w:themeColor="text1"/>
                <w14:textFill>
                  <w14:solidFill>
                    <w14:schemeClr w14:val="tx1"/>
                  </w14:solidFill>
                </w14:textFill>
              </w:rPr>
            </w:pPr>
            <w:r>
              <w:rPr>
                <w:color w:val="000000" w:themeColor="text1"/>
                <w14:textFill>
                  <w14:solidFill>
                    <w14:schemeClr w14:val="tx1"/>
                  </w14:solidFill>
                </w14:textFill>
              </w:rPr>
              <w:t>固态</w:t>
            </w:r>
          </w:p>
        </w:tc>
        <w:tc>
          <w:tcPr>
            <w:tcW w:w="615" w:type="pct"/>
            <w:vAlign w:val="center"/>
          </w:tcPr>
          <w:p w14:paraId="658879F8">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废盐、重金属、二噁英</w:t>
            </w:r>
          </w:p>
        </w:tc>
        <w:tc>
          <w:tcPr>
            <w:tcW w:w="583" w:type="pct"/>
            <w:vAlign w:val="center"/>
          </w:tcPr>
          <w:p w14:paraId="3FBC134F">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重金属、二噁英</w:t>
            </w:r>
          </w:p>
        </w:tc>
        <w:tc>
          <w:tcPr>
            <w:tcW w:w="359" w:type="pct"/>
            <w:vAlign w:val="center"/>
          </w:tcPr>
          <w:p w14:paraId="2D3D8CFA">
            <w:pPr>
              <w:pStyle w:val="109"/>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54" w:type="pct"/>
            <w:vAlign w:val="center"/>
          </w:tcPr>
          <w:p w14:paraId="2D560D0B">
            <w:pPr>
              <w:pStyle w:val="109"/>
              <w:rPr>
                <w:color w:val="000000" w:themeColor="text1"/>
                <w14:textFill>
                  <w14:solidFill>
                    <w14:schemeClr w14:val="tx1"/>
                  </w14:solidFill>
                </w14:textFill>
              </w:rPr>
            </w:pPr>
            <w:r>
              <w:rPr>
                <w:color w:val="000000" w:themeColor="text1"/>
                <w14:textFill>
                  <w14:solidFill>
                    <w14:schemeClr w14:val="tx1"/>
                  </w14:solidFill>
                </w14:textFill>
              </w:rPr>
              <w:t>T</w:t>
            </w:r>
          </w:p>
        </w:tc>
        <w:tc>
          <w:tcPr>
            <w:tcW w:w="420" w:type="pct"/>
            <w:vMerge w:val="continue"/>
            <w:vAlign w:val="center"/>
          </w:tcPr>
          <w:p w14:paraId="593F17A4">
            <w:pPr>
              <w:pStyle w:val="109"/>
              <w:rPr>
                <w:color w:val="000000" w:themeColor="text1"/>
                <w14:textFill>
                  <w14:solidFill>
                    <w14:schemeClr w14:val="tx1"/>
                  </w14:solidFill>
                </w14:textFill>
              </w:rPr>
            </w:pPr>
          </w:p>
        </w:tc>
      </w:tr>
      <w:tr w14:paraId="60FA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573EED55">
            <w:pPr>
              <w:pStyle w:val="109"/>
              <w:rPr>
                <w:color w:val="000000" w:themeColor="text1"/>
                <w14:textFill>
                  <w14:solidFill>
                    <w14:schemeClr w14:val="tx1"/>
                  </w14:solidFill>
                </w14:textFill>
              </w:rPr>
            </w:pPr>
            <w:r>
              <w:rPr>
                <w:bCs/>
                <w:color w:val="000000" w:themeColor="text1"/>
                <w:szCs w:val="21"/>
                <w14:textFill>
                  <w14:solidFill>
                    <w14:schemeClr w14:val="tx1"/>
                  </w14:solidFill>
                </w14:textFill>
              </w:rPr>
              <w:t>废气处理设施沉淀池泥渣</w:t>
            </w:r>
          </w:p>
        </w:tc>
        <w:tc>
          <w:tcPr>
            <w:tcW w:w="417" w:type="pct"/>
            <w:vAlign w:val="center"/>
          </w:tcPr>
          <w:p w14:paraId="2423BDF5">
            <w:pPr>
              <w:pStyle w:val="109"/>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465" w:type="pct"/>
            <w:vAlign w:val="center"/>
          </w:tcPr>
          <w:p w14:paraId="0A3B1EF3">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900-041-49</w:t>
            </w:r>
          </w:p>
        </w:tc>
        <w:tc>
          <w:tcPr>
            <w:tcW w:w="395" w:type="pct"/>
            <w:vAlign w:val="center"/>
          </w:tcPr>
          <w:p w14:paraId="191EF392">
            <w:pPr>
              <w:pStyle w:val="109"/>
              <w:rPr>
                <w:color w:val="000000" w:themeColor="text1"/>
                <w:kern w:val="24"/>
                <w14:textFill>
                  <w14:solidFill>
                    <w14:schemeClr w14:val="tx1"/>
                  </w14:solidFill>
                </w14:textFill>
              </w:rPr>
            </w:pPr>
            <w:r>
              <w:rPr>
                <w:color w:val="000000" w:themeColor="text1"/>
                <w:szCs w:val="21"/>
                <w14:textFill>
                  <w14:solidFill>
                    <w14:schemeClr w14:val="tx1"/>
                  </w14:solidFill>
                </w14:textFill>
              </w:rPr>
              <w:t>5</w:t>
            </w:r>
          </w:p>
        </w:tc>
        <w:tc>
          <w:tcPr>
            <w:tcW w:w="479" w:type="pct"/>
            <w:vAlign w:val="center"/>
          </w:tcPr>
          <w:p w14:paraId="5372F0B8">
            <w:pPr>
              <w:pStyle w:val="109"/>
              <w:rPr>
                <w:color w:val="000000" w:themeColor="text1"/>
                <w14:textFill>
                  <w14:solidFill>
                    <w14:schemeClr w14:val="tx1"/>
                  </w14:solidFill>
                </w14:textFill>
              </w:rPr>
            </w:pPr>
            <w:r>
              <w:rPr>
                <w:bCs/>
                <w:color w:val="000000" w:themeColor="text1"/>
                <w:szCs w:val="21"/>
                <w14:textFill>
                  <w14:solidFill>
                    <w14:schemeClr w14:val="tx1"/>
                  </w14:solidFill>
                </w14:textFill>
              </w:rPr>
              <w:t>废气处理设施</w:t>
            </w:r>
            <w:r>
              <w:rPr>
                <w:color w:val="000000" w:themeColor="text1"/>
                <w14:textFill>
                  <w14:solidFill>
                    <w14:schemeClr w14:val="tx1"/>
                  </w14:solidFill>
                </w14:textFill>
              </w:rPr>
              <w:t>沉淀池</w:t>
            </w:r>
          </w:p>
        </w:tc>
        <w:tc>
          <w:tcPr>
            <w:tcW w:w="334" w:type="pct"/>
            <w:vAlign w:val="center"/>
          </w:tcPr>
          <w:p w14:paraId="7B89A406">
            <w:pPr>
              <w:pStyle w:val="109"/>
              <w:rPr>
                <w:color w:val="000000" w:themeColor="text1"/>
                <w14:textFill>
                  <w14:solidFill>
                    <w14:schemeClr w14:val="tx1"/>
                  </w14:solidFill>
                </w14:textFill>
              </w:rPr>
            </w:pPr>
            <w:r>
              <w:rPr>
                <w:color w:val="000000" w:themeColor="text1"/>
                <w14:textFill>
                  <w14:solidFill>
                    <w14:schemeClr w14:val="tx1"/>
                  </w14:solidFill>
                </w14:textFill>
              </w:rPr>
              <w:t>固态</w:t>
            </w:r>
          </w:p>
        </w:tc>
        <w:tc>
          <w:tcPr>
            <w:tcW w:w="615" w:type="pct"/>
            <w:vAlign w:val="center"/>
          </w:tcPr>
          <w:p w14:paraId="6A666A92">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泥渣、重金属</w:t>
            </w:r>
          </w:p>
        </w:tc>
        <w:tc>
          <w:tcPr>
            <w:tcW w:w="583" w:type="pct"/>
            <w:vAlign w:val="center"/>
          </w:tcPr>
          <w:p w14:paraId="76134E8F">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重金属</w:t>
            </w:r>
          </w:p>
        </w:tc>
        <w:tc>
          <w:tcPr>
            <w:tcW w:w="359" w:type="pct"/>
            <w:vAlign w:val="center"/>
          </w:tcPr>
          <w:p w14:paraId="5DB9B6E3">
            <w:pPr>
              <w:pStyle w:val="109"/>
              <w:rPr>
                <w:color w:val="000000" w:themeColor="text1"/>
                <w14:textFill>
                  <w14:solidFill>
                    <w14:schemeClr w14:val="tx1"/>
                  </w14:solidFill>
                </w14:textFill>
              </w:rPr>
            </w:pPr>
            <w:r>
              <w:rPr>
                <w:color w:val="000000" w:themeColor="text1"/>
                <w14:textFill>
                  <w14:solidFill>
                    <w14:schemeClr w14:val="tx1"/>
                  </w14:solidFill>
                </w14:textFill>
              </w:rPr>
              <w:t>每月</w:t>
            </w:r>
          </w:p>
        </w:tc>
        <w:tc>
          <w:tcPr>
            <w:tcW w:w="354" w:type="pct"/>
            <w:vAlign w:val="center"/>
          </w:tcPr>
          <w:p w14:paraId="38AA14E2">
            <w:pPr>
              <w:pStyle w:val="109"/>
              <w:rPr>
                <w:color w:val="000000" w:themeColor="text1"/>
                <w14:textFill>
                  <w14:solidFill>
                    <w14:schemeClr w14:val="tx1"/>
                  </w14:solidFill>
                </w14:textFill>
              </w:rPr>
            </w:pPr>
            <w:r>
              <w:rPr>
                <w:color w:val="000000" w:themeColor="text1"/>
                <w14:textFill>
                  <w14:solidFill>
                    <w14:schemeClr w14:val="tx1"/>
                  </w14:solidFill>
                </w14:textFill>
              </w:rPr>
              <w:t>T / In</w:t>
            </w:r>
          </w:p>
        </w:tc>
        <w:tc>
          <w:tcPr>
            <w:tcW w:w="420" w:type="pct"/>
            <w:vMerge w:val="continue"/>
            <w:vAlign w:val="center"/>
          </w:tcPr>
          <w:p w14:paraId="6FEFE396">
            <w:pPr>
              <w:pStyle w:val="109"/>
              <w:rPr>
                <w:color w:val="000000" w:themeColor="text1"/>
                <w14:textFill>
                  <w14:solidFill>
                    <w14:schemeClr w14:val="tx1"/>
                  </w14:solidFill>
                </w14:textFill>
              </w:rPr>
            </w:pPr>
          </w:p>
        </w:tc>
      </w:tr>
      <w:tr w14:paraId="7677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14ACDBB5">
            <w:pPr>
              <w:pStyle w:val="109"/>
              <w:rPr>
                <w:color w:val="000000" w:themeColor="text1"/>
                <w14:textFill>
                  <w14:solidFill>
                    <w14:schemeClr w14:val="tx1"/>
                  </w14:solidFill>
                </w14:textFill>
              </w:rPr>
            </w:pPr>
            <w:r>
              <w:rPr>
                <w:bCs/>
                <w:color w:val="000000" w:themeColor="text1"/>
                <w:szCs w:val="21"/>
                <w14:textFill>
                  <w14:solidFill>
                    <w14:schemeClr w14:val="tx1"/>
                  </w14:solidFill>
                </w14:textFill>
              </w:rPr>
              <w:t>废脱硝催化剂</w:t>
            </w:r>
          </w:p>
        </w:tc>
        <w:tc>
          <w:tcPr>
            <w:tcW w:w="417" w:type="pct"/>
            <w:vAlign w:val="center"/>
          </w:tcPr>
          <w:p w14:paraId="46757D47">
            <w:pPr>
              <w:pStyle w:val="109"/>
              <w:rPr>
                <w:color w:val="000000" w:themeColor="text1"/>
                <w14:textFill>
                  <w14:solidFill>
                    <w14:schemeClr w14:val="tx1"/>
                  </w14:solidFill>
                </w14:textFill>
              </w:rPr>
            </w:pPr>
            <w:r>
              <w:rPr>
                <w:color w:val="000000" w:themeColor="text1"/>
                <w14:textFill>
                  <w14:solidFill>
                    <w14:schemeClr w14:val="tx1"/>
                  </w14:solidFill>
                </w14:textFill>
              </w:rPr>
              <w:t>HW50</w:t>
            </w:r>
          </w:p>
        </w:tc>
        <w:tc>
          <w:tcPr>
            <w:tcW w:w="465" w:type="pct"/>
            <w:vAlign w:val="center"/>
          </w:tcPr>
          <w:p w14:paraId="2453F46C">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772-007-50</w:t>
            </w:r>
          </w:p>
        </w:tc>
        <w:tc>
          <w:tcPr>
            <w:tcW w:w="395" w:type="pct"/>
            <w:vAlign w:val="center"/>
          </w:tcPr>
          <w:p w14:paraId="43D48EBA">
            <w:pPr>
              <w:pStyle w:val="109"/>
              <w:rPr>
                <w:color w:val="000000" w:themeColor="text1"/>
                <w14:textFill>
                  <w14:solidFill>
                    <w14:schemeClr w14:val="tx1"/>
                  </w14:solidFill>
                </w14:textFill>
              </w:rPr>
            </w:pPr>
            <w:r>
              <w:rPr>
                <w:bCs/>
                <w:color w:val="000000" w:themeColor="text1"/>
                <w:szCs w:val="21"/>
                <w14:textFill>
                  <w14:solidFill>
                    <w14:schemeClr w14:val="tx1"/>
                  </w14:solidFill>
                </w14:textFill>
              </w:rPr>
              <w:t>0.75t/3a</w:t>
            </w:r>
          </w:p>
        </w:tc>
        <w:tc>
          <w:tcPr>
            <w:tcW w:w="479" w:type="pct"/>
            <w:vAlign w:val="center"/>
          </w:tcPr>
          <w:p w14:paraId="4C7457F3">
            <w:pPr>
              <w:pStyle w:val="109"/>
              <w:rPr>
                <w:color w:val="000000" w:themeColor="text1"/>
                <w14:textFill>
                  <w14:solidFill>
                    <w14:schemeClr w14:val="tx1"/>
                  </w14:solidFill>
                </w14:textFill>
              </w:rPr>
            </w:pPr>
            <w:r>
              <w:rPr>
                <w:color w:val="000000" w:themeColor="text1"/>
                <w14:textFill>
                  <w14:solidFill>
                    <w14:schemeClr w14:val="tx1"/>
                  </w14:solidFill>
                </w14:textFill>
              </w:rPr>
              <w:t>SCR脱硝</w:t>
            </w:r>
          </w:p>
        </w:tc>
        <w:tc>
          <w:tcPr>
            <w:tcW w:w="334" w:type="pct"/>
            <w:vAlign w:val="center"/>
          </w:tcPr>
          <w:p w14:paraId="265EF213">
            <w:pPr>
              <w:pStyle w:val="109"/>
              <w:rPr>
                <w:color w:val="000000" w:themeColor="text1"/>
                <w14:textFill>
                  <w14:solidFill>
                    <w14:schemeClr w14:val="tx1"/>
                  </w14:solidFill>
                </w14:textFill>
              </w:rPr>
            </w:pPr>
            <w:r>
              <w:rPr>
                <w:color w:val="000000" w:themeColor="text1"/>
                <w14:textFill>
                  <w14:solidFill>
                    <w14:schemeClr w14:val="tx1"/>
                  </w14:solidFill>
                </w14:textFill>
              </w:rPr>
              <w:t>固态</w:t>
            </w:r>
          </w:p>
        </w:tc>
        <w:tc>
          <w:tcPr>
            <w:tcW w:w="615" w:type="pct"/>
            <w:vAlign w:val="center"/>
          </w:tcPr>
          <w:p w14:paraId="237992DA">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V₂O₅-WO₃/TiO₂</w:t>
            </w:r>
          </w:p>
        </w:tc>
        <w:tc>
          <w:tcPr>
            <w:tcW w:w="583" w:type="pct"/>
            <w:vAlign w:val="center"/>
          </w:tcPr>
          <w:p w14:paraId="0A0387C5">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V₂O₅-WO₃/TiO₂</w:t>
            </w:r>
          </w:p>
        </w:tc>
        <w:tc>
          <w:tcPr>
            <w:tcW w:w="359" w:type="pct"/>
            <w:vAlign w:val="center"/>
          </w:tcPr>
          <w:p w14:paraId="447C4A7C">
            <w:pPr>
              <w:pStyle w:val="109"/>
              <w:rPr>
                <w:color w:val="000000" w:themeColor="text1"/>
                <w14:textFill>
                  <w14:solidFill>
                    <w14:schemeClr w14:val="tx1"/>
                  </w14:solidFill>
                </w14:textFill>
              </w:rPr>
            </w:pPr>
            <w:r>
              <w:rPr>
                <w:color w:val="000000" w:themeColor="text1"/>
                <w14:textFill>
                  <w14:solidFill>
                    <w14:schemeClr w14:val="tx1"/>
                  </w14:solidFill>
                </w14:textFill>
              </w:rPr>
              <w:t>3年</w:t>
            </w:r>
          </w:p>
        </w:tc>
        <w:tc>
          <w:tcPr>
            <w:tcW w:w="354" w:type="pct"/>
            <w:vAlign w:val="center"/>
          </w:tcPr>
          <w:p w14:paraId="6F42608B">
            <w:pPr>
              <w:pStyle w:val="109"/>
              <w:rPr>
                <w:color w:val="000000" w:themeColor="text1"/>
                <w14:textFill>
                  <w14:solidFill>
                    <w14:schemeClr w14:val="tx1"/>
                  </w14:solidFill>
                </w14:textFill>
              </w:rPr>
            </w:pPr>
            <w:r>
              <w:rPr>
                <w:color w:val="000000" w:themeColor="text1"/>
                <w14:textFill>
                  <w14:solidFill>
                    <w14:schemeClr w14:val="tx1"/>
                  </w14:solidFill>
                </w14:textFill>
              </w:rPr>
              <w:t>T</w:t>
            </w:r>
          </w:p>
        </w:tc>
        <w:tc>
          <w:tcPr>
            <w:tcW w:w="420" w:type="pct"/>
            <w:vMerge w:val="continue"/>
            <w:vAlign w:val="center"/>
          </w:tcPr>
          <w:p w14:paraId="607EAB1B">
            <w:pPr>
              <w:pStyle w:val="109"/>
              <w:rPr>
                <w:color w:val="000000" w:themeColor="text1"/>
                <w14:textFill>
                  <w14:solidFill>
                    <w14:schemeClr w14:val="tx1"/>
                  </w14:solidFill>
                </w14:textFill>
              </w:rPr>
            </w:pPr>
          </w:p>
        </w:tc>
      </w:tr>
      <w:tr w14:paraId="010D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52138248">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废包装袋</w:t>
            </w:r>
          </w:p>
        </w:tc>
        <w:tc>
          <w:tcPr>
            <w:tcW w:w="417" w:type="pct"/>
            <w:vAlign w:val="center"/>
          </w:tcPr>
          <w:p w14:paraId="5179EB2F">
            <w:pPr>
              <w:pStyle w:val="109"/>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465" w:type="pct"/>
            <w:vAlign w:val="center"/>
          </w:tcPr>
          <w:p w14:paraId="4D403A8C">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900-041-49</w:t>
            </w:r>
          </w:p>
        </w:tc>
        <w:tc>
          <w:tcPr>
            <w:tcW w:w="395" w:type="pct"/>
            <w:vAlign w:val="center"/>
          </w:tcPr>
          <w:p w14:paraId="3412E9D9">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150</w:t>
            </w:r>
          </w:p>
        </w:tc>
        <w:tc>
          <w:tcPr>
            <w:tcW w:w="479" w:type="pct"/>
            <w:vAlign w:val="center"/>
          </w:tcPr>
          <w:p w14:paraId="54A1ED44">
            <w:pPr>
              <w:pStyle w:val="109"/>
              <w:rPr>
                <w:color w:val="000000" w:themeColor="text1"/>
                <w14:textFill>
                  <w14:solidFill>
                    <w14:schemeClr w14:val="tx1"/>
                  </w14:solidFill>
                </w14:textFill>
              </w:rPr>
            </w:pPr>
            <w:r>
              <w:rPr>
                <w:color w:val="000000" w:themeColor="text1"/>
                <w14:textFill>
                  <w14:solidFill>
                    <w14:schemeClr w14:val="tx1"/>
                  </w14:solidFill>
                </w14:textFill>
              </w:rPr>
              <w:t>原料使用</w:t>
            </w:r>
          </w:p>
        </w:tc>
        <w:tc>
          <w:tcPr>
            <w:tcW w:w="334" w:type="pct"/>
            <w:vAlign w:val="center"/>
          </w:tcPr>
          <w:p w14:paraId="631835D3">
            <w:pPr>
              <w:pStyle w:val="109"/>
              <w:rPr>
                <w:color w:val="000000" w:themeColor="text1"/>
                <w14:textFill>
                  <w14:solidFill>
                    <w14:schemeClr w14:val="tx1"/>
                  </w14:solidFill>
                </w14:textFill>
              </w:rPr>
            </w:pPr>
            <w:r>
              <w:rPr>
                <w:color w:val="000000" w:themeColor="text1"/>
                <w14:textFill>
                  <w14:solidFill>
                    <w14:schemeClr w14:val="tx1"/>
                  </w14:solidFill>
                </w14:textFill>
              </w:rPr>
              <w:t>固态</w:t>
            </w:r>
          </w:p>
        </w:tc>
        <w:tc>
          <w:tcPr>
            <w:tcW w:w="615" w:type="pct"/>
            <w:vAlign w:val="center"/>
          </w:tcPr>
          <w:p w14:paraId="32D5BD9D">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塑料包装袋、废盐</w:t>
            </w:r>
          </w:p>
        </w:tc>
        <w:tc>
          <w:tcPr>
            <w:tcW w:w="583" w:type="pct"/>
            <w:vAlign w:val="center"/>
          </w:tcPr>
          <w:p w14:paraId="4CD80155">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废盐</w:t>
            </w:r>
          </w:p>
        </w:tc>
        <w:tc>
          <w:tcPr>
            <w:tcW w:w="359" w:type="pct"/>
            <w:vAlign w:val="center"/>
          </w:tcPr>
          <w:p w14:paraId="15B7F6CB">
            <w:pPr>
              <w:pStyle w:val="109"/>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54" w:type="pct"/>
            <w:vAlign w:val="center"/>
          </w:tcPr>
          <w:p w14:paraId="4D838636">
            <w:pPr>
              <w:pStyle w:val="109"/>
              <w:rPr>
                <w:color w:val="000000" w:themeColor="text1"/>
                <w14:textFill>
                  <w14:solidFill>
                    <w14:schemeClr w14:val="tx1"/>
                  </w14:solidFill>
                </w14:textFill>
              </w:rPr>
            </w:pPr>
            <w:r>
              <w:rPr>
                <w:color w:val="000000" w:themeColor="text1"/>
                <w14:textFill>
                  <w14:solidFill>
                    <w14:schemeClr w14:val="tx1"/>
                  </w14:solidFill>
                </w14:textFill>
              </w:rPr>
              <w:t>T / In</w:t>
            </w:r>
          </w:p>
        </w:tc>
        <w:tc>
          <w:tcPr>
            <w:tcW w:w="420" w:type="pct"/>
            <w:vMerge w:val="continue"/>
            <w:vAlign w:val="center"/>
          </w:tcPr>
          <w:p w14:paraId="49C0B5DC">
            <w:pPr>
              <w:pStyle w:val="109"/>
              <w:rPr>
                <w:color w:val="000000" w:themeColor="text1"/>
                <w14:textFill>
                  <w14:solidFill>
                    <w14:schemeClr w14:val="tx1"/>
                  </w14:solidFill>
                </w14:textFill>
              </w:rPr>
            </w:pPr>
          </w:p>
        </w:tc>
      </w:tr>
      <w:tr w14:paraId="7500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0153CE0D">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化验室废物</w:t>
            </w:r>
          </w:p>
        </w:tc>
        <w:tc>
          <w:tcPr>
            <w:tcW w:w="417" w:type="pct"/>
            <w:vAlign w:val="center"/>
          </w:tcPr>
          <w:p w14:paraId="07146D84">
            <w:pPr>
              <w:pStyle w:val="109"/>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465" w:type="pct"/>
            <w:vAlign w:val="center"/>
          </w:tcPr>
          <w:p w14:paraId="35BA270C">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900-047-49</w:t>
            </w:r>
          </w:p>
        </w:tc>
        <w:tc>
          <w:tcPr>
            <w:tcW w:w="395" w:type="pct"/>
            <w:vAlign w:val="center"/>
          </w:tcPr>
          <w:p w14:paraId="4178CA80">
            <w:pPr>
              <w:pStyle w:val="109"/>
              <w:rPr>
                <w:color w:val="000000" w:themeColor="text1"/>
                <w14:textFill>
                  <w14:solidFill>
                    <w14:schemeClr w14:val="tx1"/>
                  </w14:solidFill>
                </w14:textFill>
              </w:rPr>
            </w:pPr>
            <w:r>
              <w:rPr>
                <w:color w:val="000000" w:themeColor="text1"/>
                <w:kern w:val="24"/>
                <w:szCs w:val="21"/>
                <w14:textFill>
                  <w14:solidFill>
                    <w14:schemeClr w14:val="tx1"/>
                  </w14:solidFill>
                </w14:textFill>
              </w:rPr>
              <w:t>0.2</w:t>
            </w:r>
          </w:p>
        </w:tc>
        <w:tc>
          <w:tcPr>
            <w:tcW w:w="479" w:type="pct"/>
            <w:vAlign w:val="center"/>
          </w:tcPr>
          <w:p w14:paraId="51FD7ABF">
            <w:pPr>
              <w:pStyle w:val="109"/>
              <w:rPr>
                <w:color w:val="000000" w:themeColor="text1"/>
                <w14:textFill>
                  <w14:solidFill>
                    <w14:schemeClr w14:val="tx1"/>
                  </w14:solidFill>
                </w14:textFill>
              </w:rPr>
            </w:pPr>
            <w:r>
              <w:rPr>
                <w:color w:val="000000" w:themeColor="text1"/>
                <w14:textFill>
                  <w14:solidFill>
                    <w14:schemeClr w14:val="tx1"/>
                  </w14:solidFill>
                </w14:textFill>
              </w:rPr>
              <w:t>化验室</w:t>
            </w:r>
          </w:p>
        </w:tc>
        <w:tc>
          <w:tcPr>
            <w:tcW w:w="334" w:type="pct"/>
            <w:vAlign w:val="center"/>
          </w:tcPr>
          <w:p w14:paraId="045AE0F5">
            <w:pPr>
              <w:pStyle w:val="109"/>
              <w:rPr>
                <w:color w:val="000000" w:themeColor="text1"/>
                <w14:textFill>
                  <w14:solidFill>
                    <w14:schemeClr w14:val="tx1"/>
                  </w14:solidFill>
                </w14:textFill>
              </w:rPr>
            </w:pPr>
            <w:r>
              <w:rPr>
                <w:color w:val="000000" w:themeColor="text1"/>
                <w14:textFill>
                  <w14:solidFill>
                    <w14:schemeClr w14:val="tx1"/>
                  </w14:solidFill>
                </w14:textFill>
              </w:rPr>
              <w:t>固态/液体</w:t>
            </w:r>
          </w:p>
        </w:tc>
        <w:tc>
          <w:tcPr>
            <w:tcW w:w="615" w:type="pct"/>
            <w:vAlign w:val="center"/>
          </w:tcPr>
          <w:p w14:paraId="2D74DC3D">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化验残渣、化验废液、破损的化验容器</w:t>
            </w:r>
          </w:p>
        </w:tc>
        <w:tc>
          <w:tcPr>
            <w:tcW w:w="583" w:type="pct"/>
            <w:vAlign w:val="center"/>
          </w:tcPr>
          <w:p w14:paraId="7731E3B4">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重金属、酸、碱、有毒物质</w:t>
            </w:r>
          </w:p>
        </w:tc>
        <w:tc>
          <w:tcPr>
            <w:tcW w:w="359" w:type="pct"/>
            <w:vAlign w:val="center"/>
          </w:tcPr>
          <w:p w14:paraId="4FF95E89">
            <w:pPr>
              <w:pStyle w:val="109"/>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54" w:type="pct"/>
            <w:vAlign w:val="center"/>
          </w:tcPr>
          <w:p w14:paraId="2CAC8836">
            <w:pPr>
              <w:pStyle w:val="109"/>
              <w:rPr>
                <w:color w:val="000000" w:themeColor="text1"/>
                <w14:textFill>
                  <w14:solidFill>
                    <w14:schemeClr w14:val="tx1"/>
                  </w14:solidFill>
                </w14:textFill>
              </w:rPr>
            </w:pPr>
            <w:r>
              <w:rPr>
                <w:color w:val="000000" w:themeColor="text1"/>
                <w14:textFill>
                  <w14:solidFill>
                    <w14:schemeClr w14:val="tx1"/>
                  </w14:solidFill>
                </w14:textFill>
              </w:rPr>
              <w:t>T / In</w:t>
            </w:r>
          </w:p>
        </w:tc>
        <w:tc>
          <w:tcPr>
            <w:tcW w:w="420" w:type="pct"/>
            <w:vMerge w:val="continue"/>
            <w:vAlign w:val="center"/>
          </w:tcPr>
          <w:p w14:paraId="71F23C4E">
            <w:pPr>
              <w:pStyle w:val="109"/>
              <w:rPr>
                <w:color w:val="000000" w:themeColor="text1"/>
                <w14:textFill>
                  <w14:solidFill>
                    <w14:schemeClr w14:val="tx1"/>
                  </w14:solidFill>
                </w14:textFill>
              </w:rPr>
            </w:pPr>
          </w:p>
        </w:tc>
      </w:tr>
      <w:tr w14:paraId="29BC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1A4863F5">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废润滑油</w:t>
            </w:r>
            <w:r>
              <w:rPr>
                <w:rFonts w:hint="eastAsia"/>
                <w:color w:val="000000" w:themeColor="text1"/>
                <w:szCs w:val="21"/>
                <w14:textFill>
                  <w14:solidFill>
                    <w14:schemeClr w14:val="tx1"/>
                  </w14:solidFill>
                </w14:textFill>
              </w:rPr>
              <w:t>及废油桶</w:t>
            </w:r>
          </w:p>
        </w:tc>
        <w:tc>
          <w:tcPr>
            <w:tcW w:w="417" w:type="pct"/>
            <w:vAlign w:val="center"/>
          </w:tcPr>
          <w:p w14:paraId="662F7170">
            <w:pPr>
              <w:pStyle w:val="109"/>
              <w:rPr>
                <w:color w:val="000000" w:themeColor="text1"/>
                <w14:textFill>
                  <w14:solidFill>
                    <w14:schemeClr w14:val="tx1"/>
                  </w14:solidFill>
                </w14:textFill>
              </w:rPr>
            </w:pPr>
            <w:r>
              <w:rPr>
                <w:color w:val="000000" w:themeColor="text1"/>
                <w14:textFill>
                  <w14:solidFill>
                    <w14:schemeClr w14:val="tx1"/>
                  </w14:solidFill>
                </w14:textFill>
              </w:rPr>
              <w:t>HW08</w:t>
            </w:r>
          </w:p>
        </w:tc>
        <w:tc>
          <w:tcPr>
            <w:tcW w:w="465" w:type="pct"/>
            <w:vAlign w:val="center"/>
          </w:tcPr>
          <w:p w14:paraId="451FC1CF">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900-249-08</w:t>
            </w:r>
          </w:p>
        </w:tc>
        <w:tc>
          <w:tcPr>
            <w:tcW w:w="395" w:type="pct"/>
            <w:vAlign w:val="center"/>
          </w:tcPr>
          <w:p w14:paraId="6E5B0028">
            <w:pPr>
              <w:pStyle w:val="109"/>
              <w:rPr>
                <w:color w:val="000000" w:themeColor="text1"/>
                <w:kern w:val="24"/>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6</w:t>
            </w:r>
          </w:p>
        </w:tc>
        <w:tc>
          <w:tcPr>
            <w:tcW w:w="479" w:type="pct"/>
            <w:vAlign w:val="center"/>
          </w:tcPr>
          <w:p w14:paraId="3421F631">
            <w:pPr>
              <w:pStyle w:val="109"/>
              <w:rPr>
                <w:color w:val="000000" w:themeColor="text1"/>
                <w14:textFill>
                  <w14:solidFill>
                    <w14:schemeClr w14:val="tx1"/>
                  </w14:solidFill>
                </w14:textFill>
              </w:rPr>
            </w:pPr>
            <w:r>
              <w:rPr>
                <w:color w:val="000000" w:themeColor="text1"/>
                <w14:textFill>
                  <w14:solidFill>
                    <w14:schemeClr w14:val="tx1"/>
                  </w14:solidFill>
                </w14:textFill>
              </w:rPr>
              <w:t>设备维护</w:t>
            </w:r>
          </w:p>
        </w:tc>
        <w:tc>
          <w:tcPr>
            <w:tcW w:w="334" w:type="pct"/>
            <w:vAlign w:val="center"/>
          </w:tcPr>
          <w:p w14:paraId="15EE92CA">
            <w:pPr>
              <w:pStyle w:val="109"/>
              <w:rPr>
                <w:color w:val="000000" w:themeColor="text1"/>
                <w14:textFill>
                  <w14:solidFill>
                    <w14:schemeClr w14:val="tx1"/>
                  </w14:solidFill>
                </w14:textFill>
              </w:rPr>
            </w:pPr>
            <w:r>
              <w:rPr>
                <w:color w:val="000000" w:themeColor="text1"/>
                <w14:textFill>
                  <w14:solidFill>
                    <w14:schemeClr w14:val="tx1"/>
                  </w14:solidFill>
                </w14:textFill>
              </w:rPr>
              <w:t>液体</w:t>
            </w:r>
          </w:p>
        </w:tc>
        <w:tc>
          <w:tcPr>
            <w:tcW w:w="615" w:type="pct"/>
            <w:vAlign w:val="center"/>
          </w:tcPr>
          <w:p w14:paraId="7C8212D1">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矿物油</w:t>
            </w:r>
          </w:p>
        </w:tc>
        <w:tc>
          <w:tcPr>
            <w:tcW w:w="583" w:type="pct"/>
            <w:vAlign w:val="center"/>
          </w:tcPr>
          <w:p w14:paraId="2518C80D">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矿物油</w:t>
            </w:r>
          </w:p>
        </w:tc>
        <w:tc>
          <w:tcPr>
            <w:tcW w:w="359" w:type="pct"/>
            <w:vAlign w:val="center"/>
          </w:tcPr>
          <w:p w14:paraId="42BF5265">
            <w:pPr>
              <w:pStyle w:val="109"/>
              <w:rPr>
                <w:color w:val="000000" w:themeColor="text1"/>
                <w14:textFill>
                  <w14:solidFill>
                    <w14:schemeClr w14:val="tx1"/>
                  </w14:solidFill>
                </w14:textFill>
              </w:rPr>
            </w:pPr>
            <w:r>
              <w:rPr>
                <w:color w:val="000000" w:themeColor="text1"/>
                <w14:textFill>
                  <w14:solidFill>
                    <w14:schemeClr w14:val="tx1"/>
                  </w14:solidFill>
                </w14:textFill>
              </w:rPr>
              <w:t>12个月</w:t>
            </w:r>
          </w:p>
        </w:tc>
        <w:tc>
          <w:tcPr>
            <w:tcW w:w="354" w:type="pct"/>
            <w:vAlign w:val="center"/>
          </w:tcPr>
          <w:p w14:paraId="40C8C4F5">
            <w:pPr>
              <w:pStyle w:val="109"/>
              <w:rPr>
                <w:color w:val="000000" w:themeColor="text1"/>
                <w14:textFill>
                  <w14:solidFill>
                    <w14:schemeClr w14:val="tx1"/>
                  </w14:solidFill>
                </w14:textFill>
              </w:rPr>
            </w:pPr>
            <w:r>
              <w:rPr>
                <w:color w:val="000000" w:themeColor="text1"/>
                <w14:textFill>
                  <w14:solidFill>
                    <w14:schemeClr w14:val="tx1"/>
                  </w14:solidFill>
                </w14:textFill>
              </w:rPr>
              <w:t>T / I</w:t>
            </w:r>
          </w:p>
        </w:tc>
        <w:tc>
          <w:tcPr>
            <w:tcW w:w="420" w:type="pct"/>
            <w:vMerge w:val="continue"/>
            <w:vAlign w:val="center"/>
          </w:tcPr>
          <w:p w14:paraId="7138C3CB">
            <w:pPr>
              <w:pStyle w:val="109"/>
              <w:rPr>
                <w:color w:val="000000" w:themeColor="text1"/>
                <w14:textFill>
                  <w14:solidFill>
                    <w14:schemeClr w14:val="tx1"/>
                  </w14:solidFill>
                </w14:textFill>
              </w:rPr>
            </w:pPr>
          </w:p>
        </w:tc>
      </w:tr>
      <w:bookmarkEnd w:id="286"/>
    </w:tbl>
    <w:p w14:paraId="588568A0">
      <w:pPr>
        <w:pStyle w:val="4"/>
        <w:rPr>
          <w:rFonts w:ascii="Times New Roman" w:cs="Times New Roman"/>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p>
    <w:p w14:paraId="3208C80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噪声</w:t>
      </w:r>
      <w:bookmarkEnd w:id="285"/>
    </w:p>
    <w:p w14:paraId="15ED70FC">
      <w:pPr>
        <w:ind w:firstLine="480"/>
        <w:rPr>
          <w:color w:val="000000" w:themeColor="text1"/>
          <w:lang w:val="zh-CN"/>
          <w14:textFill>
            <w14:solidFill>
              <w14:schemeClr w14:val="tx1"/>
            </w14:solidFill>
          </w14:textFill>
        </w:rPr>
      </w:pPr>
      <w:r>
        <w:rPr>
          <w:color w:val="000000" w:themeColor="text1"/>
          <w14:textFill>
            <w14:solidFill>
              <w14:schemeClr w14:val="tx1"/>
            </w14:solidFill>
          </w14:textFill>
        </w:rPr>
        <w:t>建设项目的主要噪声设备有进料系统、空压设备、输送设备、热解焙烧窑、废气处理设备、各类风机、各类泵等，源强为</w:t>
      </w:r>
      <w:r>
        <w:rPr>
          <w:rFonts w:eastAsia="TimesNewRomanPSMT"/>
          <w:color w:val="000000" w:themeColor="text1"/>
          <w14:textFill>
            <w14:solidFill>
              <w14:schemeClr w14:val="tx1"/>
            </w14:solidFill>
          </w14:textFill>
        </w:rPr>
        <w:t>70～80dB(A)</w:t>
      </w:r>
      <w:r>
        <w:rPr>
          <w:color w:val="000000" w:themeColor="text1"/>
          <w:lang w:val="zh-CN"/>
          <w14:textFill>
            <w14:solidFill>
              <w14:schemeClr w14:val="tx1"/>
            </w14:solidFill>
          </w14:textFill>
        </w:rPr>
        <w:t>。对部分高噪声设备加装消声器或隔音罩；厂房屏蔽、距离衰减、厂界外设置绿化带等。本项目主要噪声源强见下表。</w:t>
      </w:r>
    </w:p>
    <w:p w14:paraId="511423E0">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项目主要噪声源汇总表</w:t>
      </w:r>
    </w:p>
    <w:tbl>
      <w:tblPr>
        <w:tblStyle w:val="76"/>
        <w:tblW w:w="5000" w:type="pct"/>
        <w:tblInd w:w="0" w:type="dxa"/>
        <w:tblLayout w:type="autofit"/>
        <w:tblCellMar>
          <w:top w:w="0" w:type="dxa"/>
          <w:left w:w="108" w:type="dxa"/>
          <w:bottom w:w="0" w:type="dxa"/>
          <w:right w:w="108" w:type="dxa"/>
        </w:tblCellMar>
      </w:tblPr>
      <w:tblGrid>
        <w:gridCol w:w="747"/>
        <w:gridCol w:w="2738"/>
        <w:gridCol w:w="1175"/>
        <w:gridCol w:w="1656"/>
        <w:gridCol w:w="2039"/>
        <w:gridCol w:w="1273"/>
      </w:tblGrid>
      <w:tr w14:paraId="13725070">
        <w:tblPrEx>
          <w:tblCellMar>
            <w:top w:w="0" w:type="dxa"/>
            <w:left w:w="108" w:type="dxa"/>
            <w:bottom w:w="0" w:type="dxa"/>
            <w:right w:w="108" w:type="dxa"/>
          </w:tblCellMar>
        </w:tblPrEx>
        <w:tc>
          <w:tcPr>
            <w:tcW w:w="388" w:type="pct"/>
            <w:tcBorders>
              <w:top w:val="single" w:color="auto" w:sz="4" w:space="0"/>
              <w:left w:val="single" w:color="auto" w:sz="4" w:space="0"/>
              <w:bottom w:val="single" w:color="auto" w:sz="4" w:space="0"/>
              <w:right w:val="single" w:color="auto" w:sz="4" w:space="0"/>
            </w:tcBorders>
            <w:vAlign w:val="center"/>
          </w:tcPr>
          <w:p w14:paraId="6D0CCD7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422" w:type="pct"/>
            <w:tcBorders>
              <w:top w:val="single" w:color="auto" w:sz="4" w:space="0"/>
              <w:left w:val="nil"/>
              <w:bottom w:val="single" w:color="auto" w:sz="4" w:space="0"/>
              <w:right w:val="single" w:color="auto" w:sz="4" w:space="0"/>
            </w:tcBorders>
            <w:shd w:val="clear" w:color="000000" w:fill="FFFFFF"/>
            <w:vAlign w:val="center"/>
          </w:tcPr>
          <w:p w14:paraId="1F32957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设备名称</w:t>
            </w:r>
          </w:p>
        </w:tc>
        <w:tc>
          <w:tcPr>
            <w:tcW w:w="610" w:type="pct"/>
            <w:tcBorders>
              <w:top w:val="single" w:color="auto" w:sz="4" w:space="0"/>
              <w:left w:val="nil"/>
              <w:bottom w:val="single" w:color="auto" w:sz="4" w:space="0"/>
              <w:right w:val="single" w:color="auto" w:sz="4" w:space="0"/>
            </w:tcBorders>
            <w:shd w:val="clear" w:color="000000" w:fill="FFFFFF"/>
            <w:vAlign w:val="center"/>
          </w:tcPr>
          <w:p w14:paraId="729BA97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数量（台套）</w:t>
            </w:r>
          </w:p>
        </w:tc>
        <w:tc>
          <w:tcPr>
            <w:tcW w:w="860" w:type="pct"/>
            <w:tcBorders>
              <w:top w:val="single" w:color="auto" w:sz="4" w:space="0"/>
              <w:left w:val="nil"/>
              <w:bottom w:val="single" w:color="auto" w:sz="4" w:space="0"/>
              <w:right w:val="single" w:color="auto" w:sz="4" w:space="0"/>
            </w:tcBorders>
            <w:vAlign w:val="center"/>
          </w:tcPr>
          <w:p w14:paraId="58C090B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单台等效声级 dB（A）</w:t>
            </w:r>
          </w:p>
        </w:tc>
        <w:tc>
          <w:tcPr>
            <w:tcW w:w="1059" w:type="pct"/>
            <w:tcBorders>
              <w:top w:val="single" w:color="auto" w:sz="4" w:space="0"/>
              <w:left w:val="nil"/>
              <w:bottom w:val="single" w:color="auto" w:sz="4" w:space="0"/>
              <w:right w:val="single" w:color="auto" w:sz="4" w:space="0"/>
            </w:tcBorders>
            <w:vAlign w:val="center"/>
          </w:tcPr>
          <w:p w14:paraId="6E7CCB1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治理措施</w:t>
            </w:r>
          </w:p>
        </w:tc>
        <w:tc>
          <w:tcPr>
            <w:tcW w:w="661" w:type="pct"/>
            <w:tcBorders>
              <w:top w:val="single" w:color="auto" w:sz="4" w:space="0"/>
              <w:left w:val="nil"/>
              <w:bottom w:val="single" w:color="auto" w:sz="4" w:space="0"/>
              <w:right w:val="single" w:color="auto" w:sz="4" w:space="0"/>
            </w:tcBorders>
            <w:vAlign w:val="center"/>
          </w:tcPr>
          <w:p w14:paraId="44873E6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降噪效果dB（A）</w:t>
            </w:r>
          </w:p>
        </w:tc>
      </w:tr>
      <w:tr w14:paraId="41CC1340">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238489B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1422" w:type="pct"/>
            <w:tcBorders>
              <w:top w:val="nil"/>
              <w:left w:val="nil"/>
              <w:bottom w:val="single" w:color="auto" w:sz="4" w:space="0"/>
              <w:right w:val="single" w:color="auto" w:sz="4" w:space="0"/>
            </w:tcBorders>
            <w:vAlign w:val="center"/>
          </w:tcPr>
          <w:p w14:paraId="2EA31D3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刮板输送机（低位进料）</w:t>
            </w:r>
          </w:p>
        </w:tc>
        <w:tc>
          <w:tcPr>
            <w:tcW w:w="610" w:type="pct"/>
            <w:tcBorders>
              <w:top w:val="nil"/>
              <w:left w:val="nil"/>
              <w:bottom w:val="single" w:color="auto" w:sz="4" w:space="0"/>
              <w:right w:val="single" w:color="auto" w:sz="4" w:space="0"/>
            </w:tcBorders>
            <w:vAlign w:val="center"/>
          </w:tcPr>
          <w:p w14:paraId="42A3F57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270C71B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2373DFD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2F5DEFF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6DCA32FA">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4D0B586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1422" w:type="pct"/>
            <w:tcBorders>
              <w:top w:val="nil"/>
              <w:left w:val="nil"/>
              <w:bottom w:val="single" w:color="auto" w:sz="4" w:space="0"/>
              <w:right w:val="single" w:color="auto" w:sz="4" w:space="0"/>
            </w:tcBorders>
            <w:vAlign w:val="center"/>
          </w:tcPr>
          <w:p w14:paraId="474ABB8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进料双螺旋</w:t>
            </w:r>
          </w:p>
        </w:tc>
        <w:tc>
          <w:tcPr>
            <w:tcW w:w="610" w:type="pct"/>
            <w:tcBorders>
              <w:top w:val="nil"/>
              <w:left w:val="nil"/>
              <w:bottom w:val="single" w:color="auto" w:sz="4" w:space="0"/>
              <w:right w:val="single" w:color="auto" w:sz="4" w:space="0"/>
            </w:tcBorders>
            <w:vAlign w:val="center"/>
          </w:tcPr>
          <w:p w14:paraId="1908597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705E2CD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67EBD7F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5DC871F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69324D46">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01129DE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w:t>
            </w:r>
          </w:p>
        </w:tc>
        <w:tc>
          <w:tcPr>
            <w:tcW w:w="1422" w:type="pct"/>
            <w:tcBorders>
              <w:top w:val="nil"/>
              <w:left w:val="nil"/>
              <w:bottom w:val="single" w:color="auto" w:sz="4" w:space="0"/>
              <w:right w:val="single" w:color="auto" w:sz="4" w:space="0"/>
            </w:tcBorders>
            <w:vAlign w:val="center"/>
          </w:tcPr>
          <w:p w14:paraId="423F7A5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袋式输送机</w:t>
            </w:r>
          </w:p>
        </w:tc>
        <w:tc>
          <w:tcPr>
            <w:tcW w:w="610" w:type="pct"/>
            <w:tcBorders>
              <w:top w:val="nil"/>
              <w:left w:val="nil"/>
              <w:bottom w:val="single" w:color="auto" w:sz="4" w:space="0"/>
              <w:right w:val="single" w:color="auto" w:sz="4" w:space="0"/>
            </w:tcBorders>
            <w:vAlign w:val="center"/>
          </w:tcPr>
          <w:p w14:paraId="1845E90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4D0A5D8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21B3F58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0FDE962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5AA9BA42">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49CB55B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w:t>
            </w:r>
          </w:p>
        </w:tc>
        <w:tc>
          <w:tcPr>
            <w:tcW w:w="1422" w:type="pct"/>
            <w:tcBorders>
              <w:top w:val="nil"/>
              <w:left w:val="nil"/>
              <w:bottom w:val="single" w:color="auto" w:sz="4" w:space="0"/>
              <w:right w:val="single" w:color="auto" w:sz="4" w:space="0"/>
            </w:tcBorders>
            <w:vAlign w:val="center"/>
          </w:tcPr>
          <w:p w14:paraId="18A50F4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热解焙烧窑</w:t>
            </w:r>
          </w:p>
        </w:tc>
        <w:tc>
          <w:tcPr>
            <w:tcW w:w="610" w:type="pct"/>
            <w:tcBorders>
              <w:top w:val="nil"/>
              <w:left w:val="nil"/>
              <w:bottom w:val="single" w:color="auto" w:sz="4" w:space="0"/>
              <w:right w:val="single" w:color="auto" w:sz="4" w:space="0"/>
            </w:tcBorders>
            <w:vAlign w:val="center"/>
          </w:tcPr>
          <w:p w14:paraId="0F48B61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737D93B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339A03F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3697050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45ED3FC4">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3C5B5D7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w:t>
            </w:r>
          </w:p>
        </w:tc>
        <w:tc>
          <w:tcPr>
            <w:tcW w:w="1422" w:type="pct"/>
            <w:tcBorders>
              <w:top w:val="nil"/>
              <w:left w:val="nil"/>
              <w:bottom w:val="single" w:color="auto" w:sz="4" w:space="0"/>
              <w:right w:val="single" w:color="auto" w:sz="4" w:space="0"/>
            </w:tcBorders>
            <w:vAlign w:val="center"/>
          </w:tcPr>
          <w:p w14:paraId="181CFF1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一段窑燃烧机风机</w:t>
            </w:r>
          </w:p>
        </w:tc>
        <w:tc>
          <w:tcPr>
            <w:tcW w:w="610" w:type="pct"/>
            <w:tcBorders>
              <w:top w:val="nil"/>
              <w:left w:val="nil"/>
              <w:bottom w:val="single" w:color="auto" w:sz="4" w:space="0"/>
              <w:right w:val="single" w:color="auto" w:sz="4" w:space="0"/>
            </w:tcBorders>
            <w:vAlign w:val="center"/>
          </w:tcPr>
          <w:p w14:paraId="2B71CD1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47D5179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54F6AC7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1643E67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4578CEDB">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39B4288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w:t>
            </w:r>
          </w:p>
        </w:tc>
        <w:tc>
          <w:tcPr>
            <w:tcW w:w="1422" w:type="pct"/>
            <w:tcBorders>
              <w:top w:val="nil"/>
              <w:left w:val="nil"/>
              <w:bottom w:val="single" w:color="auto" w:sz="4" w:space="0"/>
              <w:right w:val="single" w:color="auto" w:sz="4" w:space="0"/>
            </w:tcBorders>
            <w:vAlign w:val="center"/>
          </w:tcPr>
          <w:p w14:paraId="4F84AE1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二段窑燃烧机风机</w:t>
            </w:r>
          </w:p>
        </w:tc>
        <w:tc>
          <w:tcPr>
            <w:tcW w:w="610" w:type="pct"/>
            <w:tcBorders>
              <w:top w:val="nil"/>
              <w:left w:val="nil"/>
              <w:bottom w:val="single" w:color="auto" w:sz="4" w:space="0"/>
              <w:right w:val="single" w:color="auto" w:sz="4" w:space="0"/>
            </w:tcBorders>
            <w:vAlign w:val="center"/>
          </w:tcPr>
          <w:p w14:paraId="3016C44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7473B1A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15741F4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22E1A4B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2367DEAE">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46A4813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w:t>
            </w:r>
          </w:p>
        </w:tc>
        <w:tc>
          <w:tcPr>
            <w:tcW w:w="1422" w:type="pct"/>
            <w:tcBorders>
              <w:top w:val="nil"/>
              <w:left w:val="nil"/>
              <w:bottom w:val="single" w:color="auto" w:sz="4" w:space="0"/>
              <w:right w:val="single" w:color="auto" w:sz="4" w:space="0"/>
            </w:tcBorders>
            <w:vAlign w:val="center"/>
          </w:tcPr>
          <w:p w14:paraId="2FFF37F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一段燃气烟气引风机</w:t>
            </w:r>
          </w:p>
        </w:tc>
        <w:tc>
          <w:tcPr>
            <w:tcW w:w="610" w:type="pct"/>
            <w:tcBorders>
              <w:top w:val="nil"/>
              <w:left w:val="nil"/>
              <w:bottom w:val="single" w:color="auto" w:sz="4" w:space="0"/>
              <w:right w:val="single" w:color="auto" w:sz="4" w:space="0"/>
            </w:tcBorders>
            <w:vAlign w:val="center"/>
          </w:tcPr>
          <w:p w14:paraId="6D13A02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24F4D23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5F304E6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5B3BE25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54F00E7F">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62D68B5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8</w:t>
            </w:r>
          </w:p>
        </w:tc>
        <w:tc>
          <w:tcPr>
            <w:tcW w:w="1422" w:type="pct"/>
            <w:tcBorders>
              <w:top w:val="nil"/>
              <w:left w:val="nil"/>
              <w:bottom w:val="single" w:color="auto" w:sz="4" w:space="0"/>
              <w:right w:val="single" w:color="auto" w:sz="4" w:space="0"/>
            </w:tcBorders>
            <w:vAlign w:val="center"/>
          </w:tcPr>
          <w:p w14:paraId="5BAC18B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二段燃气烟气引风机</w:t>
            </w:r>
          </w:p>
        </w:tc>
        <w:tc>
          <w:tcPr>
            <w:tcW w:w="610" w:type="pct"/>
            <w:tcBorders>
              <w:top w:val="nil"/>
              <w:left w:val="nil"/>
              <w:bottom w:val="single" w:color="auto" w:sz="4" w:space="0"/>
              <w:right w:val="single" w:color="auto" w:sz="4" w:space="0"/>
            </w:tcBorders>
            <w:vAlign w:val="center"/>
          </w:tcPr>
          <w:p w14:paraId="743D005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6342FDF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1C15F06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10B3988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7384AB3E">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1868FD99">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9</w:t>
            </w:r>
          </w:p>
        </w:tc>
        <w:tc>
          <w:tcPr>
            <w:tcW w:w="1422" w:type="pct"/>
            <w:tcBorders>
              <w:top w:val="nil"/>
              <w:left w:val="nil"/>
              <w:bottom w:val="single" w:color="auto" w:sz="4" w:space="0"/>
              <w:right w:val="single" w:color="auto" w:sz="4" w:space="0"/>
            </w:tcBorders>
            <w:vAlign w:val="center"/>
          </w:tcPr>
          <w:p w14:paraId="0ED599C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燃烧器风机</w:t>
            </w:r>
          </w:p>
        </w:tc>
        <w:tc>
          <w:tcPr>
            <w:tcW w:w="610" w:type="pct"/>
            <w:tcBorders>
              <w:top w:val="nil"/>
              <w:left w:val="nil"/>
              <w:bottom w:val="single" w:color="auto" w:sz="4" w:space="0"/>
              <w:right w:val="single" w:color="auto" w:sz="4" w:space="0"/>
            </w:tcBorders>
            <w:vAlign w:val="center"/>
          </w:tcPr>
          <w:p w14:paraId="3379D7F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645EE2B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272B707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4886B96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3AA7323D">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43AA542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10</w:t>
            </w:r>
          </w:p>
        </w:tc>
        <w:tc>
          <w:tcPr>
            <w:tcW w:w="1422" w:type="pct"/>
            <w:tcBorders>
              <w:top w:val="nil"/>
              <w:left w:val="nil"/>
              <w:bottom w:val="single" w:color="auto" w:sz="4" w:space="0"/>
              <w:right w:val="single" w:color="auto" w:sz="4" w:space="0"/>
            </w:tcBorders>
            <w:vAlign w:val="center"/>
          </w:tcPr>
          <w:p w14:paraId="786AFB8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二燃室补氧风机</w:t>
            </w:r>
          </w:p>
        </w:tc>
        <w:tc>
          <w:tcPr>
            <w:tcW w:w="610" w:type="pct"/>
            <w:tcBorders>
              <w:top w:val="nil"/>
              <w:left w:val="nil"/>
              <w:bottom w:val="single" w:color="auto" w:sz="4" w:space="0"/>
              <w:right w:val="single" w:color="auto" w:sz="4" w:space="0"/>
            </w:tcBorders>
            <w:vAlign w:val="center"/>
          </w:tcPr>
          <w:p w14:paraId="3B41A14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5FD4CBE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80</w:t>
            </w:r>
          </w:p>
        </w:tc>
        <w:tc>
          <w:tcPr>
            <w:tcW w:w="1059" w:type="pct"/>
            <w:tcBorders>
              <w:top w:val="nil"/>
              <w:left w:val="nil"/>
              <w:bottom w:val="single" w:color="auto" w:sz="4" w:space="0"/>
              <w:right w:val="single" w:color="auto" w:sz="4" w:space="0"/>
            </w:tcBorders>
            <w:noWrap/>
            <w:vAlign w:val="bottom"/>
          </w:tcPr>
          <w:p w14:paraId="019E3B3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2E52D44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03C8A917">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3B3F303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11</w:t>
            </w:r>
          </w:p>
        </w:tc>
        <w:tc>
          <w:tcPr>
            <w:tcW w:w="1422" w:type="pct"/>
            <w:tcBorders>
              <w:top w:val="nil"/>
              <w:left w:val="nil"/>
              <w:bottom w:val="single" w:color="auto" w:sz="4" w:space="0"/>
              <w:right w:val="single" w:color="auto" w:sz="4" w:space="0"/>
            </w:tcBorders>
            <w:vAlign w:val="center"/>
          </w:tcPr>
          <w:p w14:paraId="02291B8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石墨急冷塔</w:t>
            </w:r>
          </w:p>
        </w:tc>
        <w:tc>
          <w:tcPr>
            <w:tcW w:w="610" w:type="pct"/>
            <w:tcBorders>
              <w:top w:val="nil"/>
              <w:left w:val="nil"/>
              <w:bottom w:val="single" w:color="auto" w:sz="4" w:space="0"/>
              <w:right w:val="single" w:color="auto" w:sz="4" w:space="0"/>
            </w:tcBorders>
            <w:vAlign w:val="center"/>
          </w:tcPr>
          <w:p w14:paraId="7E12AFD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2DF086C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7F6E54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46B75F1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1354E6E5">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440B8AC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12</w:t>
            </w:r>
          </w:p>
        </w:tc>
        <w:tc>
          <w:tcPr>
            <w:tcW w:w="1422" w:type="pct"/>
            <w:tcBorders>
              <w:top w:val="nil"/>
              <w:left w:val="nil"/>
              <w:bottom w:val="single" w:color="auto" w:sz="4" w:space="0"/>
              <w:right w:val="single" w:color="auto" w:sz="4" w:space="0"/>
            </w:tcBorders>
            <w:vAlign w:val="center"/>
          </w:tcPr>
          <w:p w14:paraId="09D6FF2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急冷循环泵</w:t>
            </w:r>
          </w:p>
        </w:tc>
        <w:tc>
          <w:tcPr>
            <w:tcW w:w="610" w:type="pct"/>
            <w:tcBorders>
              <w:top w:val="nil"/>
              <w:left w:val="nil"/>
              <w:bottom w:val="single" w:color="auto" w:sz="4" w:space="0"/>
              <w:right w:val="single" w:color="auto" w:sz="4" w:space="0"/>
            </w:tcBorders>
            <w:vAlign w:val="center"/>
          </w:tcPr>
          <w:p w14:paraId="18086539">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860" w:type="pct"/>
            <w:tcBorders>
              <w:top w:val="nil"/>
              <w:left w:val="nil"/>
              <w:bottom w:val="single" w:color="auto" w:sz="4" w:space="0"/>
              <w:right w:val="single" w:color="auto" w:sz="4" w:space="0"/>
            </w:tcBorders>
            <w:noWrap/>
            <w:vAlign w:val="bottom"/>
          </w:tcPr>
          <w:p w14:paraId="1520098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091B823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7F5FA549">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5D94B47A">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3B2A9EF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13</w:t>
            </w:r>
          </w:p>
        </w:tc>
        <w:tc>
          <w:tcPr>
            <w:tcW w:w="1422" w:type="pct"/>
            <w:tcBorders>
              <w:top w:val="nil"/>
              <w:left w:val="nil"/>
              <w:bottom w:val="single" w:color="auto" w:sz="4" w:space="0"/>
              <w:right w:val="single" w:color="auto" w:sz="4" w:space="0"/>
            </w:tcBorders>
            <w:vAlign w:val="center"/>
          </w:tcPr>
          <w:p w14:paraId="6D20E69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一级洗涤塔</w:t>
            </w:r>
          </w:p>
        </w:tc>
        <w:tc>
          <w:tcPr>
            <w:tcW w:w="610" w:type="pct"/>
            <w:tcBorders>
              <w:top w:val="nil"/>
              <w:left w:val="nil"/>
              <w:bottom w:val="single" w:color="auto" w:sz="4" w:space="0"/>
              <w:right w:val="single" w:color="auto" w:sz="4" w:space="0"/>
            </w:tcBorders>
            <w:vAlign w:val="center"/>
          </w:tcPr>
          <w:p w14:paraId="223ACA3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446C124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0105B1B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527E97D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47A7F11D">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2CDCA4A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14</w:t>
            </w:r>
          </w:p>
        </w:tc>
        <w:tc>
          <w:tcPr>
            <w:tcW w:w="1422" w:type="pct"/>
            <w:tcBorders>
              <w:top w:val="nil"/>
              <w:left w:val="nil"/>
              <w:bottom w:val="single" w:color="auto" w:sz="4" w:space="0"/>
              <w:right w:val="single" w:color="auto" w:sz="4" w:space="0"/>
            </w:tcBorders>
            <w:vAlign w:val="center"/>
          </w:tcPr>
          <w:p w14:paraId="27A58FE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一级循环泵</w:t>
            </w:r>
          </w:p>
        </w:tc>
        <w:tc>
          <w:tcPr>
            <w:tcW w:w="610" w:type="pct"/>
            <w:tcBorders>
              <w:top w:val="nil"/>
              <w:left w:val="nil"/>
              <w:bottom w:val="single" w:color="auto" w:sz="4" w:space="0"/>
              <w:right w:val="single" w:color="auto" w:sz="4" w:space="0"/>
            </w:tcBorders>
            <w:vAlign w:val="center"/>
          </w:tcPr>
          <w:p w14:paraId="158F819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860" w:type="pct"/>
            <w:tcBorders>
              <w:top w:val="nil"/>
              <w:left w:val="nil"/>
              <w:bottom w:val="single" w:color="auto" w:sz="4" w:space="0"/>
              <w:right w:val="single" w:color="auto" w:sz="4" w:space="0"/>
            </w:tcBorders>
            <w:noWrap/>
            <w:vAlign w:val="bottom"/>
          </w:tcPr>
          <w:p w14:paraId="3D6A64E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35AEBC5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0B7CA3E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1FB9BCF3">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10D9C17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w:t>
            </w:r>
          </w:p>
        </w:tc>
        <w:tc>
          <w:tcPr>
            <w:tcW w:w="1422" w:type="pct"/>
            <w:tcBorders>
              <w:top w:val="nil"/>
              <w:left w:val="nil"/>
              <w:bottom w:val="single" w:color="auto" w:sz="4" w:space="0"/>
              <w:right w:val="single" w:color="auto" w:sz="4" w:space="0"/>
            </w:tcBorders>
            <w:vAlign w:val="center"/>
          </w:tcPr>
          <w:p w14:paraId="0CE013E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二级洗涤塔</w:t>
            </w:r>
          </w:p>
        </w:tc>
        <w:tc>
          <w:tcPr>
            <w:tcW w:w="610" w:type="pct"/>
            <w:tcBorders>
              <w:top w:val="nil"/>
              <w:left w:val="nil"/>
              <w:bottom w:val="single" w:color="auto" w:sz="4" w:space="0"/>
              <w:right w:val="single" w:color="auto" w:sz="4" w:space="0"/>
            </w:tcBorders>
            <w:vAlign w:val="center"/>
          </w:tcPr>
          <w:p w14:paraId="0B69443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6069BE2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53B0BA6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3DEBF24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4FB8F87B">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33926A2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16</w:t>
            </w:r>
          </w:p>
        </w:tc>
        <w:tc>
          <w:tcPr>
            <w:tcW w:w="1422" w:type="pct"/>
            <w:tcBorders>
              <w:top w:val="nil"/>
              <w:left w:val="nil"/>
              <w:bottom w:val="single" w:color="auto" w:sz="4" w:space="0"/>
              <w:right w:val="single" w:color="auto" w:sz="4" w:space="0"/>
            </w:tcBorders>
            <w:vAlign w:val="center"/>
          </w:tcPr>
          <w:p w14:paraId="12FE422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二级循环泵</w:t>
            </w:r>
          </w:p>
        </w:tc>
        <w:tc>
          <w:tcPr>
            <w:tcW w:w="610" w:type="pct"/>
            <w:tcBorders>
              <w:top w:val="nil"/>
              <w:left w:val="nil"/>
              <w:bottom w:val="single" w:color="auto" w:sz="4" w:space="0"/>
              <w:right w:val="single" w:color="auto" w:sz="4" w:space="0"/>
            </w:tcBorders>
            <w:vAlign w:val="center"/>
          </w:tcPr>
          <w:p w14:paraId="3F3C23D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860" w:type="pct"/>
            <w:tcBorders>
              <w:top w:val="nil"/>
              <w:left w:val="nil"/>
              <w:bottom w:val="single" w:color="auto" w:sz="4" w:space="0"/>
              <w:right w:val="single" w:color="auto" w:sz="4" w:space="0"/>
            </w:tcBorders>
            <w:noWrap/>
            <w:vAlign w:val="bottom"/>
          </w:tcPr>
          <w:p w14:paraId="0138A56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752D811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6DBEE73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0B9DBF67">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062155E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17</w:t>
            </w:r>
          </w:p>
        </w:tc>
        <w:tc>
          <w:tcPr>
            <w:tcW w:w="1422" w:type="pct"/>
            <w:tcBorders>
              <w:top w:val="nil"/>
              <w:left w:val="nil"/>
              <w:bottom w:val="single" w:color="auto" w:sz="4" w:space="0"/>
              <w:right w:val="single" w:color="auto" w:sz="4" w:space="0"/>
            </w:tcBorders>
            <w:vAlign w:val="center"/>
          </w:tcPr>
          <w:p w14:paraId="47E898B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碱液输送泵</w:t>
            </w:r>
          </w:p>
        </w:tc>
        <w:tc>
          <w:tcPr>
            <w:tcW w:w="610" w:type="pct"/>
            <w:tcBorders>
              <w:top w:val="nil"/>
              <w:left w:val="nil"/>
              <w:bottom w:val="single" w:color="auto" w:sz="4" w:space="0"/>
              <w:right w:val="single" w:color="auto" w:sz="4" w:space="0"/>
            </w:tcBorders>
            <w:vAlign w:val="center"/>
          </w:tcPr>
          <w:p w14:paraId="4137879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860" w:type="pct"/>
            <w:tcBorders>
              <w:top w:val="nil"/>
              <w:left w:val="nil"/>
              <w:bottom w:val="single" w:color="auto" w:sz="4" w:space="0"/>
              <w:right w:val="single" w:color="auto" w:sz="4" w:space="0"/>
            </w:tcBorders>
            <w:noWrap/>
            <w:vAlign w:val="bottom"/>
          </w:tcPr>
          <w:p w14:paraId="0A5A516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45F28FB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057F9C59">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7D97D86E">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3DC4875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18</w:t>
            </w:r>
          </w:p>
        </w:tc>
        <w:tc>
          <w:tcPr>
            <w:tcW w:w="1422" w:type="pct"/>
            <w:tcBorders>
              <w:top w:val="nil"/>
              <w:left w:val="nil"/>
              <w:bottom w:val="single" w:color="auto" w:sz="4" w:space="0"/>
              <w:right w:val="single" w:color="auto" w:sz="4" w:space="0"/>
            </w:tcBorders>
            <w:vAlign w:val="center"/>
          </w:tcPr>
          <w:p w14:paraId="3788116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水洗塔</w:t>
            </w:r>
          </w:p>
        </w:tc>
        <w:tc>
          <w:tcPr>
            <w:tcW w:w="610" w:type="pct"/>
            <w:tcBorders>
              <w:top w:val="nil"/>
              <w:left w:val="nil"/>
              <w:bottom w:val="single" w:color="auto" w:sz="4" w:space="0"/>
              <w:right w:val="single" w:color="auto" w:sz="4" w:space="0"/>
            </w:tcBorders>
            <w:vAlign w:val="center"/>
          </w:tcPr>
          <w:p w14:paraId="7A109A9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6A07B4E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44B4BDB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64DFED1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6EC2CC3D">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4556F9E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19</w:t>
            </w:r>
          </w:p>
        </w:tc>
        <w:tc>
          <w:tcPr>
            <w:tcW w:w="1422" w:type="pct"/>
            <w:tcBorders>
              <w:top w:val="nil"/>
              <w:left w:val="nil"/>
              <w:bottom w:val="single" w:color="auto" w:sz="4" w:space="0"/>
              <w:right w:val="single" w:color="auto" w:sz="4" w:space="0"/>
            </w:tcBorders>
            <w:vAlign w:val="center"/>
          </w:tcPr>
          <w:p w14:paraId="34BF16F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水洗循环泵</w:t>
            </w:r>
          </w:p>
        </w:tc>
        <w:tc>
          <w:tcPr>
            <w:tcW w:w="610" w:type="pct"/>
            <w:tcBorders>
              <w:top w:val="nil"/>
              <w:left w:val="nil"/>
              <w:bottom w:val="single" w:color="auto" w:sz="4" w:space="0"/>
              <w:right w:val="single" w:color="auto" w:sz="4" w:space="0"/>
            </w:tcBorders>
            <w:vAlign w:val="center"/>
          </w:tcPr>
          <w:p w14:paraId="21E11D6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860" w:type="pct"/>
            <w:tcBorders>
              <w:top w:val="nil"/>
              <w:left w:val="nil"/>
              <w:bottom w:val="single" w:color="auto" w:sz="4" w:space="0"/>
              <w:right w:val="single" w:color="auto" w:sz="4" w:space="0"/>
            </w:tcBorders>
            <w:noWrap/>
            <w:vAlign w:val="bottom"/>
          </w:tcPr>
          <w:p w14:paraId="5432F00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412F526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4F78F7A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7283E846">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42222DE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20</w:t>
            </w:r>
          </w:p>
        </w:tc>
        <w:tc>
          <w:tcPr>
            <w:tcW w:w="1422" w:type="pct"/>
            <w:tcBorders>
              <w:top w:val="nil"/>
              <w:left w:val="nil"/>
              <w:bottom w:val="single" w:color="auto" w:sz="4" w:space="0"/>
              <w:right w:val="single" w:color="auto" w:sz="4" w:space="0"/>
            </w:tcBorders>
            <w:vAlign w:val="center"/>
          </w:tcPr>
          <w:p w14:paraId="3448E15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湿电除尘器</w:t>
            </w:r>
          </w:p>
        </w:tc>
        <w:tc>
          <w:tcPr>
            <w:tcW w:w="610" w:type="pct"/>
            <w:tcBorders>
              <w:top w:val="nil"/>
              <w:left w:val="nil"/>
              <w:bottom w:val="single" w:color="auto" w:sz="4" w:space="0"/>
              <w:right w:val="single" w:color="auto" w:sz="4" w:space="0"/>
            </w:tcBorders>
            <w:vAlign w:val="center"/>
          </w:tcPr>
          <w:p w14:paraId="6AF9DDA9">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0EB97D6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7D0DA12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0EEB435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75DF340F">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4972CD0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21</w:t>
            </w:r>
          </w:p>
        </w:tc>
        <w:tc>
          <w:tcPr>
            <w:tcW w:w="1422" w:type="pct"/>
            <w:tcBorders>
              <w:top w:val="nil"/>
              <w:left w:val="nil"/>
              <w:bottom w:val="single" w:color="auto" w:sz="4" w:space="0"/>
              <w:right w:val="single" w:color="auto" w:sz="4" w:space="0"/>
            </w:tcBorders>
            <w:vAlign w:val="center"/>
          </w:tcPr>
          <w:p w14:paraId="54313CD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冲洗泵</w:t>
            </w:r>
          </w:p>
        </w:tc>
        <w:tc>
          <w:tcPr>
            <w:tcW w:w="610" w:type="pct"/>
            <w:tcBorders>
              <w:top w:val="nil"/>
              <w:left w:val="nil"/>
              <w:bottom w:val="single" w:color="auto" w:sz="4" w:space="0"/>
              <w:right w:val="single" w:color="auto" w:sz="4" w:space="0"/>
            </w:tcBorders>
            <w:vAlign w:val="center"/>
          </w:tcPr>
          <w:p w14:paraId="7FF905F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860" w:type="pct"/>
            <w:tcBorders>
              <w:top w:val="nil"/>
              <w:left w:val="nil"/>
              <w:bottom w:val="single" w:color="auto" w:sz="4" w:space="0"/>
              <w:right w:val="single" w:color="auto" w:sz="4" w:space="0"/>
            </w:tcBorders>
            <w:noWrap/>
            <w:vAlign w:val="bottom"/>
          </w:tcPr>
          <w:p w14:paraId="0F677F9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1097BFF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28AC525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1869D438">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0EDD1199">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22</w:t>
            </w:r>
          </w:p>
        </w:tc>
        <w:tc>
          <w:tcPr>
            <w:tcW w:w="1422" w:type="pct"/>
            <w:tcBorders>
              <w:top w:val="nil"/>
              <w:left w:val="nil"/>
              <w:bottom w:val="single" w:color="auto" w:sz="4" w:space="0"/>
              <w:right w:val="single" w:color="auto" w:sz="4" w:space="0"/>
            </w:tcBorders>
            <w:vAlign w:val="center"/>
          </w:tcPr>
          <w:p w14:paraId="51F8CEA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转运泵</w:t>
            </w:r>
          </w:p>
        </w:tc>
        <w:tc>
          <w:tcPr>
            <w:tcW w:w="610" w:type="pct"/>
            <w:tcBorders>
              <w:top w:val="nil"/>
              <w:left w:val="nil"/>
              <w:bottom w:val="single" w:color="auto" w:sz="4" w:space="0"/>
              <w:right w:val="single" w:color="auto" w:sz="4" w:space="0"/>
            </w:tcBorders>
            <w:vAlign w:val="center"/>
          </w:tcPr>
          <w:p w14:paraId="511CE61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860" w:type="pct"/>
            <w:tcBorders>
              <w:top w:val="nil"/>
              <w:left w:val="nil"/>
              <w:bottom w:val="single" w:color="auto" w:sz="4" w:space="0"/>
              <w:right w:val="single" w:color="auto" w:sz="4" w:space="0"/>
            </w:tcBorders>
            <w:noWrap/>
            <w:vAlign w:val="bottom"/>
          </w:tcPr>
          <w:p w14:paraId="5CB3B8C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75C47B8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0DC34CE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65CFDB87">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2EFF38D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23</w:t>
            </w:r>
          </w:p>
        </w:tc>
        <w:tc>
          <w:tcPr>
            <w:tcW w:w="1422" w:type="pct"/>
            <w:tcBorders>
              <w:top w:val="nil"/>
              <w:left w:val="nil"/>
              <w:bottom w:val="single" w:color="auto" w:sz="4" w:space="0"/>
              <w:right w:val="single" w:color="auto" w:sz="4" w:space="0"/>
            </w:tcBorders>
            <w:vAlign w:val="center"/>
          </w:tcPr>
          <w:p w14:paraId="103386E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SNCR/SCR</w:t>
            </w:r>
            <w:r>
              <w:rPr>
                <w:color w:val="000000" w:themeColor="text1"/>
                <w:szCs w:val="21"/>
                <w14:textFill>
                  <w14:solidFill>
                    <w14:schemeClr w14:val="tx1"/>
                  </w14:solidFill>
                </w14:textFill>
              </w:rPr>
              <w:t>雾化泵</w:t>
            </w:r>
            <w:r>
              <w:rPr>
                <w:rFonts w:eastAsia="等线"/>
                <w:color w:val="000000" w:themeColor="text1"/>
                <w:szCs w:val="21"/>
                <w14:textFill>
                  <w14:solidFill>
                    <w14:schemeClr w14:val="tx1"/>
                  </w14:solidFill>
                </w14:textFill>
              </w:rPr>
              <w:t xml:space="preserve"> </w:t>
            </w:r>
          </w:p>
        </w:tc>
        <w:tc>
          <w:tcPr>
            <w:tcW w:w="610" w:type="pct"/>
            <w:tcBorders>
              <w:top w:val="nil"/>
              <w:left w:val="nil"/>
              <w:bottom w:val="single" w:color="auto" w:sz="4" w:space="0"/>
              <w:right w:val="single" w:color="auto" w:sz="4" w:space="0"/>
            </w:tcBorders>
            <w:vAlign w:val="center"/>
          </w:tcPr>
          <w:p w14:paraId="23CB827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w:t>
            </w:r>
          </w:p>
        </w:tc>
        <w:tc>
          <w:tcPr>
            <w:tcW w:w="860" w:type="pct"/>
            <w:tcBorders>
              <w:top w:val="nil"/>
              <w:left w:val="nil"/>
              <w:bottom w:val="single" w:color="auto" w:sz="4" w:space="0"/>
              <w:right w:val="single" w:color="auto" w:sz="4" w:space="0"/>
            </w:tcBorders>
            <w:noWrap/>
            <w:vAlign w:val="bottom"/>
          </w:tcPr>
          <w:p w14:paraId="5158152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1059" w:type="pct"/>
            <w:tcBorders>
              <w:top w:val="nil"/>
              <w:left w:val="nil"/>
              <w:bottom w:val="single" w:color="auto" w:sz="4" w:space="0"/>
              <w:right w:val="single" w:color="auto" w:sz="4" w:space="0"/>
            </w:tcBorders>
            <w:noWrap/>
            <w:vAlign w:val="bottom"/>
          </w:tcPr>
          <w:p w14:paraId="3B3116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654A133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620D6A96">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7225ACD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24</w:t>
            </w:r>
          </w:p>
        </w:tc>
        <w:tc>
          <w:tcPr>
            <w:tcW w:w="1422" w:type="pct"/>
            <w:tcBorders>
              <w:top w:val="nil"/>
              <w:left w:val="nil"/>
              <w:bottom w:val="single" w:color="auto" w:sz="4" w:space="0"/>
              <w:right w:val="single" w:color="auto" w:sz="4" w:space="0"/>
            </w:tcBorders>
            <w:vAlign w:val="center"/>
          </w:tcPr>
          <w:p w14:paraId="2A65D74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热风炉</w:t>
            </w:r>
          </w:p>
        </w:tc>
        <w:tc>
          <w:tcPr>
            <w:tcW w:w="610" w:type="pct"/>
            <w:tcBorders>
              <w:top w:val="nil"/>
              <w:left w:val="nil"/>
              <w:bottom w:val="single" w:color="auto" w:sz="4" w:space="0"/>
              <w:right w:val="single" w:color="auto" w:sz="4" w:space="0"/>
            </w:tcBorders>
            <w:vAlign w:val="center"/>
          </w:tcPr>
          <w:p w14:paraId="1FFFB65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nil"/>
              <w:left w:val="nil"/>
              <w:bottom w:val="single" w:color="auto" w:sz="4" w:space="0"/>
              <w:right w:val="single" w:color="auto" w:sz="4" w:space="0"/>
            </w:tcBorders>
            <w:noWrap/>
            <w:vAlign w:val="bottom"/>
          </w:tcPr>
          <w:p w14:paraId="3003571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nil"/>
              <w:left w:val="nil"/>
              <w:bottom w:val="single" w:color="auto" w:sz="4" w:space="0"/>
              <w:right w:val="single" w:color="auto" w:sz="4" w:space="0"/>
            </w:tcBorders>
            <w:noWrap/>
            <w:vAlign w:val="bottom"/>
          </w:tcPr>
          <w:p w14:paraId="0B30D04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6AB2A26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3676E881">
        <w:tblPrEx>
          <w:tblCellMar>
            <w:top w:w="0" w:type="dxa"/>
            <w:left w:w="108" w:type="dxa"/>
            <w:bottom w:w="0" w:type="dxa"/>
            <w:right w:w="108" w:type="dxa"/>
          </w:tblCellMar>
        </w:tblPrEx>
        <w:tc>
          <w:tcPr>
            <w:tcW w:w="388" w:type="pct"/>
            <w:tcBorders>
              <w:top w:val="nil"/>
              <w:left w:val="single" w:color="auto" w:sz="4" w:space="0"/>
              <w:bottom w:val="single" w:color="auto" w:sz="4" w:space="0"/>
              <w:right w:val="single" w:color="auto" w:sz="4" w:space="0"/>
            </w:tcBorders>
            <w:vAlign w:val="center"/>
          </w:tcPr>
          <w:p w14:paraId="37BEF18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c>
          <w:tcPr>
            <w:tcW w:w="1422" w:type="pct"/>
            <w:tcBorders>
              <w:top w:val="nil"/>
              <w:left w:val="nil"/>
              <w:bottom w:val="single" w:color="auto" w:sz="4" w:space="0"/>
              <w:right w:val="single" w:color="auto" w:sz="4" w:space="0"/>
            </w:tcBorders>
            <w:vAlign w:val="center"/>
          </w:tcPr>
          <w:p w14:paraId="3344BD9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空压系统</w:t>
            </w:r>
          </w:p>
        </w:tc>
        <w:tc>
          <w:tcPr>
            <w:tcW w:w="610" w:type="pct"/>
            <w:tcBorders>
              <w:top w:val="nil"/>
              <w:left w:val="nil"/>
              <w:bottom w:val="single" w:color="auto" w:sz="4" w:space="0"/>
              <w:right w:val="single" w:color="auto" w:sz="4" w:space="0"/>
            </w:tcBorders>
            <w:vAlign w:val="center"/>
          </w:tcPr>
          <w:p w14:paraId="6F2ABCEC">
            <w:pPr>
              <w:pStyle w:val="109"/>
              <w:rPr>
                <w:b/>
                <w:bCs/>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　</w:t>
            </w:r>
          </w:p>
        </w:tc>
        <w:tc>
          <w:tcPr>
            <w:tcW w:w="860" w:type="pct"/>
            <w:tcBorders>
              <w:top w:val="nil"/>
              <w:left w:val="nil"/>
              <w:bottom w:val="single" w:color="auto" w:sz="4" w:space="0"/>
              <w:right w:val="single" w:color="auto" w:sz="4" w:space="0"/>
            </w:tcBorders>
            <w:noWrap/>
            <w:vAlign w:val="bottom"/>
          </w:tcPr>
          <w:p w14:paraId="559E8CD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80</w:t>
            </w:r>
          </w:p>
        </w:tc>
        <w:tc>
          <w:tcPr>
            <w:tcW w:w="1059" w:type="pct"/>
            <w:tcBorders>
              <w:top w:val="nil"/>
              <w:left w:val="nil"/>
              <w:bottom w:val="single" w:color="auto" w:sz="4" w:space="0"/>
              <w:right w:val="single" w:color="auto" w:sz="4" w:space="0"/>
            </w:tcBorders>
            <w:noWrap/>
            <w:vAlign w:val="bottom"/>
          </w:tcPr>
          <w:p w14:paraId="3E8EE01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nil"/>
              <w:left w:val="nil"/>
              <w:bottom w:val="single" w:color="auto" w:sz="4" w:space="0"/>
              <w:right w:val="single" w:color="auto" w:sz="4" w:space="0"/>
            </w:tcBorders>
            <w:noWrap/>
            <w:vAlign w:val="bottom"/>
          </w:tcPr>
          <w:p w14:paraId="0A388C9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tr w14:paraId="2B0977B8">
        <w:tblPrEx>
          <w:tblCellMar>
            <w:top w:w="0" w:type="dxa"/>
            <w:left w:w="108" w:type="dxa"/>
            <w:bottom w:w="0" w:type="dxa"/>
            <w:right w:w="108" w:type="dxa"/>
          </w:tblCellMar>
        </w:tblPrEx>
        <w:tc>
          <w:tcPr>
            <w:tcW w:w="388" w:type="pct"/>
            <w:tcBorders>
              <w:top w:val="single" w:color="auto" w:sz="4" w:space="0"/>
              <w:left w:val="single" w:color="auto" w:sz="4" w:space="0"/>
              <w:bottom w:val="single" w:color="auto" w:sz="4" w:space="0"/>
              <w:right w:val="single" w:color="auto" w:sz="4" w:space="0"/>
            </w:tcBorders>
            <w:vAlign w:val="center"/>
          </w:tcPr>
          <w:p w14:paraId="5B6DDDB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26</w:t>
            </w:r>
          </w:p>
        </w:tc>
        <w:tc>
          <w:tcPr>
            <w:tcW w:w="1422" w:type="pct"/>
            <w:tcBorders>
              <w:top w:val="single" w:color="auto" w:sz="4" w:space="0"/>
              <w:left w:val="nil"/>
              <w:bottom w:val="single" w:color="auto" w:sz="4" w:space="0"/>
              <w:right w:val="single" w:color="auto" w:sz="4" w:space="0"/>
            </w:tcBorders>
            <w:vAlign w:val="center"/>
          </w:tcPr>
          <w:p w14:paraId="20DF0F5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多效蒸发器</w:t>
            </w:r>
          </w:p>
        </w:tc>
        <w:tc>
          <w:tcPr>
            <w:tcW w:w="610" w:type="pct"/>
            <w:tcBorders>
              <w:top w:val="single" w:color="auto" w:sz="4" w:space="0"/>
              <w:left w:val="nil"/>
              <w:bottom w:val="single" w:color="auto" w:sz="4" w:space="0"/>
              <w:right w:val="single" w:color="auto" w:sz="4" w:space="0"/>
            </w:tcBorders>
            <w:vAlign w:val="center"/>
          </w:tcPr>
          <w:p w14:paraId="285C6B5A">
            <w:pPr>
              <w:pStyle w:val="109"/>
              <w:rPr>
                <w:b/>
                <w:bCs/>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860" w:type="pct"/>
            <w:tcBorders>
              <w:top w:val="single" w:color="auto" w:sz="4" w:space="0"/>
              <w:left w:val="nil"/>
              <w:bottom w:val="single" w:color="auto" w:sz="4" w:space="0"/>
              <w:right w:val="single" w:color="auto" w:sz="4" w:space="0"/>
            </w:tcBorders>
            <w:noWrap/>
            <w:vAlign w:val="bottom"/>
          </w:tcPr>
          <w:p w14:paraId="7C8F210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1059" w:type="pct"/>
            <w:tcBorders>
              <w:top w:val="single" w:color="auto" w:sz="4" w:space="0"/>
              <w:left w:val="nil"/>
              <w:bottom w:val="single" w:color="auto" w:sz="4" w:space="0"/>
              <w:right w:val="single" w:color="auto" w:sz="4" w:space="0"/>
            </w:tcBorders>
            <w:noWrap/>
            <w:vAlign w:val="bottom"/>
          </w:tcPr>
          <w:p w14:paraId="19F1FDE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隔声、基础减震</w:t>
            </w:r>
          </w:p>
        </w:tc>
        <w:tc>
          <w:tcPr>
            <w:tcW w:w="661" w:type="pct"/>
            <w:tcBorders>
              <w:top w:val="single" w:color="auto" w:sz="4" w:space="0"/>
              <w:left w:val="nil"/>
              <w:bottom w:val="single" w:color="auto" w:sz="4" w:space="0"/>
              <w:right w:val="single" w:color="auto" w:sz="4" w:space="0"/>
            </w:tcBorders>
            <w:noWrap/>
            <w:vAlign w:val="bottom"/>
          </w:tcPr>
          <w:p w14:paraId="73A5646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w:t>
            </w:r>
          </w:p>
        </w:tc>
      </w:tr>
      <w:bookmarkEnd w:id="278"/>
    </w:tbl>
    <w:p w14:paraId="0B324813">
      <w:pPr>
        <w:pStyle w:val="4"/>
        <w:rPr>
          <w:rFonts w:ascii="Times New Roman" w:cs="Times New Roman"/>
          <w:color w:val="000000" w:themeColor="text1"/>
          <w14:textFill>
            <w14:solidFill>
              <w14:schemeClr w14:val="tx1"/>
            </w14:solidFill>
          </w14:textFill>
        </w:rPr>
      </w:pPr>
      <w:bookmarkStart w:id="287" w:name="_Toc330460784"/>
      <w:bookmarkStart w:id="288" w:name="_Toc329793565"/>
      <w:bookmarkStart w:id="289" w:name="_Toc278649484"/>
      <w:bookmarkStart w:id="290" w:name="_Toc266187613"/>
      <w:r>
        <w:rPr>
          <w:rFonts w:ascii="Times New Roman" w:cs="Times New Roman"/>
          <w:color w:val="000000" w:themeColor="text1"/>
          <w14:textFill>
            <w14:solidFill>
              <w14:schemeClr w14:val="tx1"/>
            </w14:solidFill>
          </w14:textFill>
        </w:rPr>
        <w:t>非正常排放分析</w:t>
      </w:r>
      <w:bookmarkEnd w:id="287"/>
      <w:bookmarkEnd w:id="288"/>
    </w:p>
    <w:p w14:paraId="7B975A3D">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1</w:t>
      </w:r>
      <w:r>
        <w:rPr>
          <w:color w:val="000000" w:themeColor="text1"/>
          <w14:textFill>
            <w14:solidFill>
              <w14:schemeClr w14:val="tx1"/>
            </w14:solidFill>
          </w14:textFill>
        </w:rPr>
        <w:t>）设备正常开停机，废气处理系统发生故障</w:t>
      </w:r>
    </w:p>
    <w:p w14:paraId="786DC1E7">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 xml:space="preserve"> 急冷塔系统发生故障</w:t>
      </w:r>
    </w:p>
    <w:p w14:paraId="302E5A96">
      <w:pPr>
        <w:ind w:firstLine="480"/>
        <w:rPr>
          <w:color w:val="000000" w:themeColor="text1"/>
          <w14:textFill>
            <w14:solidFill>
              <w14:schemeClr w14:val="tx1"/>
            </w14:solidFill>
          </w14:textFill>
        </w:rPr>
      </w:pPr>
      <w:r>
        <w:rPr>
          <w:color w:val="000000" w:themeColor="text1"/>
          <w14:textFill>
            <w14:solidFill>
              <w14:schemeClr w14:val="tx1"/>
            </w14:solidFill>
          </w14:textFill>
        </w:rPr>
        <w:t>急冷塔作用是使烟气迅速降温跳过二噁英再次合成的温度区间，在焚烧系统正常运行状态下，一旦出现急冷水供应中断，无法使烟气迅速降温，虽然自控设备会根据监控情况中断设备运行，但二噁英仍会再急冷塔及之后的脱酸塔内随着烟气的缓慢降温而大量产生，产生量以设备正常运行的产生量计算。</w:t>
      </w:r>
    </w:p>
    <w:p w14:paraId="6671D13E">
      <w:pPr>
        <w:ind w:firstLine="480"/>
        <w:rPr>
          <w:color w:val="000000" w:themeColor="text1"/>
          <w14:textFill>
            <w14:solidFill>
              <w14:schemeClr w14:val="tx1"/>
            </w14:solidFill>
          </w14:textFill>
        </w:rPr>
      </w:pPr>
      <w:r>
        <w:rPr>
          <w:color w:val="000000" w:themeColor="text1"/>
          <w14:textFill>
            <w14:solidFill>
              <w14:schemeClr w14:val="tx1"/>
            </w14:solidFill>
          </w14:textFill>
        </w:rPr>
        <w:t>脱酸塔中循环系统发生故障可能造成烟气中酸性气体超标排放， 考虑</w:t>
      </w:r>
      <w:r>
        <w:rPr>
          <w:rFonts w:eastAsia="TimesNewRomanPSMT"/>
          <w:color w:val="000000" w:themeColor="text1"/>
          <w14:textFill>
            <w14:solidFill>
              <w14:schemeClr w14:val="tx1"/>
            </w14:solidFill>
          </w14:textFill>
        </w:rPr>
        <w:t>SO</w:t>
      </w:r>
      <w:r>
        <w:rPr>
          <w:rFonts w:eastAsia="TimesNewRomanPSMT"/>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 xml:space="preserve">HCl </w:t>
      </w:r>
      <w:r>
        <w:rPr>
          <w:color w:val="000000" w:themeColor="text1"/>
          <w14:textFill>
            <w14:solidFill>
              <w14:schemeClr w14:val="tx1"/>
            </w14:solidFill>
          </w14:textFill>
        </w:rPr>
        <w:t>非正常排放，持续时间</w:t>
      </w:r>
      <w:r>
        <w:rPr>
          <w:rFonts w:hint="eastAsia" w:eastAsia="TimesNewRomanPSMT"/>
          <w:color w:val="000000" w:themeColor="text1"/>
          <w14:textFill>
            <w14:solidFill>
              <w14:schemeClr w14:val="tx1"/>
            </w14:solidFill>
          </w14:textFill>
        </w:rPr>
        <w:t>1</w:t>
      </w:r>
      <w:r>
        <w:rPr>
          <w:color w:val="000000" w:themeColor="text1"/>
          <w14:textFill>
            <w14:solidFill>
              <w14:schemeClr w14:val="tx1"/>
            </w14:solidFill>
          </w14:textFill>
        </w:rPr>
        <w:t>小时，去除率按</w:t>
      </w:r>
      <w:r>
        <w:rPr>
          <w:rFonts w:hint="eastAsia" w:eastAsia="TimesNewRomanPSMT"/>
          <w:color w:val="000000" w:themeColor="text1"/>
          <w14:textFill>
            <w14:solidFill>
              <w14:schemeClr w14:val="tx1"/>
            </w14:solidFill>
          </w14:textFill>
        </w:rPr>
        <w:t>0</w:t>
      </w:r>
      <w:r>
        <w:rPr>
          <w:color w:val="000000" w:themeColor="text1"/>
          <w14:textFill>
            <w14:solidFill>
              <w14:schemeClr w14:val="tx1"/>
            </w14:solidFill>
          </w14:textFill>
        </w:rPr>
        <w:t>计算。</w:t>
      </w:r>
    </w:p>
    <w:p w14:paraId="37751842">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）活性炭装置发生堵塞</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故障</w:t>
      </w:r>
    </w:p>
    <w:p w14:paraId="3C1B0D12">
      <w:pPr>
        <w:ind w:firstLine="480"/>
        <w:rPr>
          <w:color w:val="000000" w:themeColor="text1"/>
          <w14:textFill>
            <w14:solidFill>
              <w14:schemeClr w14:val="tx1"/>
            </w14:solidFill>
          </w14:textFill>
        </w:rPr>
      </w:pPr>
      <w:r>
        <w:rPr>
          <w:color w:val="000000" w:themeColor="text1"/>
          <w14:textFill>
            <w14:solidFill>
              <w14:schemeClr w14:val="tx1"/>
            </w14:solidFill>
          </w14:textFill>
        </w:rPr>
        <w:t>活性炭吸附装置饱和或堵塞，可能造成烟气中重金属等污染物超标，考虑重金属非正常排放，持续时间</w:t>
      </w:r>
      <w:r>
        <w:rPr>
          <w:rFonts w:hint="eastAsia" w:eastAsia="TimesNewRomanPSMT"/>
          <w:color w:val="000000" w:themeColor="text1"/>
          <w14:textFill>
            <w14:solidFill>
              <w14:schemeClr w14:val="tx1"/>
            </w14:solidFill>
          </w14:textFill>
        </w:rPr>
        <w:t>1</w:t>
      </w:r>
      <w:r>
        <w:rPr>
          <w:color w:val="000000" w:themeColor="text1"/>
          <w14:textFill>
            <w14:solidFill>
              <w14:schemeClr w14:val="tx1"/>
            </w14:solidFill>
          </w14:textFill>
        </w:rPr>
        <w:t>小时，去除率按</w:t>
      </w:r>
      <w:r>
        <w:rPr>
          <w:rFonts w:hint="eastAsia" w:eastAsia="TimesNewRomanPSMT"/>
          <w:color w:val="000000" w:themeColor="text1"/>
          <w14:textFill>
            <w14:solidFill>
              <w14:schemeClr w14:val="tx1"/>
            </w14:solidFill>
          </w14:textFill>
        </w:rPr>
        <w:t>0</w:t>
      </w:r>
      <w:r>
        <w:rPr>
          <w:color w:val="000000" w:themeColor="text1"/>
          <w14:textFill>
            <w14:solidFill>
              <w14:schemeClr w14:val="tx1"/>
            </w14:solidFill>
          </w14:textFill>
        </w:rPr>
        <w:t>计算。</w:t>
      </w:r>
    </w:p>
    <w:p w14:paraId="74D14C91">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3</w:t>
      </w:r>
      <w:r>
        <w:rPr>
          <w:color w:val="000000" w:themeColor="text1"/>
          <w14:textFill>
            <w14:solidFill>
              <w14:schemeClr w14:val="tx1"/>
            </w14:solidFill>
          </w14:textFill>
        </w:rPr>
        <w:t>）脱硝装置</w:t>
      </w:r>
    </w:p>
    <w:p w14:paraId="3C2A2A25">
      <w:pPr>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SNCR、SCR</w:t>
      </w:r>
      <w:r>
        <w:rPr>
          <w:color w:val="000000" w:themeColor="text1"/>
          <w14:textFill>
            <w14:solidFill>
              <w14:schemeClr w14:val="tx1"/>
            </w14:solidFill>
          </w14:textFill>
        </w:rPr>
        <w:t>脱硝催化剂失效或氨水疏送泵故障导致氨水未及时输送，因此对尾气处理的排放影响较大，考虑脱硝效率为</w:t>
      </w:r>
      <w:r>
        <w:rPr>
          <w:rFonts w:hint="eastAsia" w:eastAsia="TimesNewRomanPSMT"/>
          <w:color w:val="000000" w:themeColor="text1"/>
          <w14:textFill>
            <w14:solidFill>
              <w14:schemeClr w14:val="tx1"/>
            </w14:solidFill>
          </w14:textFill>
        </w:rPr>
        <w:t>0</w:t>
      </w:r>
      <w:r>
        <w:rPr>
          <w:color w:val="000000" w:themeColor="text1"/>
          <w14:textFill>
            <w14:solidFill>
              <w14:schemeClr w14:val="tx1"/>
            </w14:solidFill>
          </w14:textFill>
        </w:rPr>
        <w:t>计算。</w:t>
      </w:r>
    </w:p>
    <w:p w14:paraId="389FAA6E">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本项目非正常工况下废气源强见下表。</w:t>
      </w:r>
    </w:p>
    <w:p w14:paraId="605A0165">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废气污染物非正常排放</w:t>
      </w:r>
      <w:r>
        <w:rPr>
          <w:rFonts w:hint="eastAsia" w:ascii="Times New Roman" w:hAnsi="Times New Roman" w:cs="Times New Roman"/>
          <w:color w:val="000000" w:themeColor="text1"/>
          <w14:textFill>
            <w14:solidFill>
              <w14:schemeClr w14:val="tx1"/>
            </w14:solidFill>
          </w14:textFill>
        </w:rPr>
        <w:t>情况一览表</w:t>
      </w:r>
    </w:p>
    <w:tbl>
      <w:tblPr>
        <w:tblStyle w:val="76"/>
        <w:tblW w:w="9634" w:type="dxa"/>
        <w:tblInd w:w="0" w:type="dxa"/>
        <w:tblLayout w:type="fixed"/>
        <w:tblCellMar>
          <w:top w:w="0" w:type="dxa"/>
          <w:left w:w="108" w:type="dxa"/>
          <w:bottom w:w="0" w:type="dxa"/>
          <w:right w:w="108" w:type="dxa"/>
        </w:tblCellMar>
      </w:tblPr>
      <w:tblGrid>
        <w:gridCol w:w="704"/>
        <w:gridCol w:w="709"/>
        <w:gridCol w:w="1559"/>
        <w:gridCol w:w="1139"/>
        <w:gridCol w:w="1275"/>
        <w:gridCol w:w="1134"/>
        <w:gridCol w:w="993"/>
        <w:gridCol w:w="992"/>
        <w:gridCol w:w="1129"/>
      </w:tblGrid>
      <w:tr w14:paraId="1D081597">
        <w:tblPrEx>
          <w:tblCellMar>
            <w:top w:w="0" w:type="dxa"/>
            <w:left w:w="108" w:type="dxa"/>
            <w:bottom w:w="0" w:type="dxa"/>
            <w:right w:w="108" w:type="dxa"/>
          </w:tblCellMar>
        </w:tblPrEx>
        <w:trPr>
          <w:trHeight w:val="288" w:hRule="atLeast"/>
        </w:trPr>
        <w:tc>
          <w:tcPr>
            <w:tcW w:w="2972" w:type="dxa"/>
            <w:gridSpan w:val="3"/>
            <w:tcBorders>
              <w:top w:val="single" w:color="auto" w:sz="4" w:space="0"/>
              <w:left w:val="single" w:color="auto" w:sz="4" w:space="0"/>
              <w:bottom w:val="single" w:color="auto" w:sz="4" w:space="0"/>
              <w:right w:val="single" w:color="auto" w:sz="4" w:space="0"/>
            </w:tcBorders>
            <w:noWrap/>
            <w:vAlign w:val="center"/>
          </w:tcPr>
          <w:p w14:paraId="3DAEB28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139" w:type="dxa"/>
            <w:tcBorders>
              <w:top w:val="single" w:color="auto" w:sz="4" w:space="0"/>
              <w:left w:val="nil"/>
              <w:bottom w:val="single" w:color="auto" w:sz="4" w:space="0"/>
              <w:right w:val="single" w:color="auto" w:sz="4" w:space="0"/>
            </w:tcBorders>
            <w:noWrap/>
            <w:vAlign w:val="center"/>
          </w:tcPr>
          <w:p w14:paraId="7202B7CE">
            <w:pPr>
              <w:pStyle w:val="109"/>
              <w:ind w:right="-108" w:rightChars="-45"/>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排放浓度（mg/m³）</w:t>
            </w:r>
          </w:p>
        </w:tc>
        <w:tc>
          <w:tcPr>
            <w:tcW w:w="1275" w:type="dxa"/>
            <w:tcBorders>
              <w:top w:val="single" w:color="auto" w:sz="4" w:space="0"/>
              <w:left w:val="nil"/>
              <w:bottom w:val="single" w:color="auto" w:sz="4" w:space="0"/>
              <w:right w:val="single" w:color="auto" w:sz="4" w:space="0"/>
            </w:tcBorders>
            <w:noWrap/>
            <w:vAlign w:val="center"/>
          </w:tcPr>
          <w:p w14:paraId="6D525BD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排放速率（kg/h）</w:t>
            </w:r>
          </w:p>
        </w:tc>
        <w:tc>
          <w:tcPr>
            <w:tcW w:w="1134" w:type="dxa"/>
            <w:tcBorders>
              <w:top w:val="single" w:color="auto" w:sz="4" w:space="0"/>
              <w:left w:val="nil"/>
              <w:bottom w:val="single" w:color="auto" w:sz="4" w:space="0"/>
              <w:right w:val="single" w:color="auto" w:sz="4" w:space="0"/>
            </w:tcBorders>
            <w:noWrap/>
            <w:vAlign w:val="center"/>
          </w:tcPr>
          <w:p w14:paraId="0B9A004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单次持续时间 /h</w:t>
            </w:r>
          </w:p>
        </w:tc>
        <w:tc>
          <w:tcPr>
            <w:tcW w:w="993" w:type="dxa"/>
            <w:tcBorders>
              <w:top w:val="single" w:color="auto" w:sz="4" w:space="0"/>
              <w:left w:val="nil"/>
              <w:bottom w:val="single" w:color="auto" w:sz="4" w:space="0"/>
              <w:right w:val="single" w:color="auto" w:sz="4" w:space="0"/>
            </w:tcBorders>
            <w:noWrap/>
            <w:vAlign w:val="center"/>
          </w:tcPr>
          <w:p w14:paraId="2E096E0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年发生频次</w:t>
            </w:r>
          </w:p>
        </w:tc>
        <w:tc>
          <w:tcPr>
            <w:tcW w:w="992" w:type="dxa"/>
            <w:tcBorders>
              <w:top w:val="single" w:color="auto" w:sz="4" w:space="0"/>
              <w:left w:val="nil"/>
              <w:bottom w:val="single" w:color="auto" w:sz="4" w:space="0"/>
              <w:right w:val="single" w:color="auto" w:sz="4" w:space="0"/>
            </w:tcBorders>
            <w:noWrap/>
            <w:vAlign w:val="center"/>
          </w:tcPr>
          <w:p w14:paraId="3ACF9C6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排气筒参数</w:t>
            </w:r>
          </w:p>
        </w:tc>
        <w:tc>
          <w:tcPr>
            <w:tcW w:w="1129" w:type="dxa"/>
            <w:tcBorders>
              <w:top w:val="single" w:color="auto" w:sz="4" w:space="0"/>
              <w:left w:val="nil"/>
              <w:bottom w:val="single" w:color="auto" w:sz="4" w:space="0"/>
              <w:right w:val="single" w:color="auto" w:sz="4" w:space="0"/>
            </w:tcBorders>
            <w:noWrap/>
            <w:vAlign w:val="center"/>
          </w:tcPr>
          <w:p w14:paraId="49B0C1D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应对措施</w:t>
            </w:r>
          </w:p>
        </w:tc>
      </w:tr>
      <w:tr w14:paraId="5C7CB808">
        <w:tblPrEx>
          <w:tblCellMar>
            <w:top w:w="0" w:type="dxa"/>
            <w:left w:w="108" w:type="dxa"/>
            <w:bottom w:w="0" w:type="dxa"/>
            <w:right w:w="108" w:type="dxa"/>
          </w:tblCellMar>
        </w:tblPrEx>
        <w:trPr>
          <w:trHeight w:val="300" w:hRule="atLeast"/>
        </w:trPr>
        <w:tc>
          <w:tcPr>
            <w:tcW w:w="704" w:type="dxa"/>
            <w:vMerge w:val="restart"/>
            <w:tcBorders>
              <w:top w:val="nil"/>
              <w:left w:val="single" w:color="auto" w:sz="4" w:space="0"/>
              <w:bottom w:val="single" w:color="auto" w:sz="4" w:space="0"/>
              <w:right w:val="single" w:color="auto" w:sz="4" w:space="0"/>
            </w:tcBorders>
            <w:noWrap/>
            <w:vAlign w:val="center"/>
          </w:tcPr>
          <w:p w14:paraId="5A31113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有组织废气</w:t>
            </w:r>
          </w:p>
        </w:tc>
        <w:tc>
          <w:tcPr>
            <w:tcW w:w="709" w:type="dxa"/>
            <w:tcBorders>
              <w:top w:val="nil"/>
              <w:left w:val="nil"/>
              <w:bottom w:val="single" w:color="auto" w:sz="4" w:space="0"/>
              <w:right w:val="single" w:color="auto" w:sz="4" w:space="0"/>
            </w:tcBorders>
            <w:noWrap/>
            <w:vAlign w:val="center"/>
          </w:tcPr>
          <w:p w14:paraId="276DDF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废盐储存、配伍废气</w:t>
            </w:r>
          </w:p>
        </w:tc>
        <w:tc>
          <w:tcPr>
            <w:tcW w:w="1559" w:type="dxa"/>
            <w:tcBorders>
              <w:top w:val="nil"/>
              <w:left w:val="nil"/>
              <w:bottom w:val="single" w:color="auto" w:sz="4" w:space="0"/>
              <w:right w:val="single" w:color="auto" w:sz="4" w:space="0"/>
            </w:tcBorders>
            <w:noWrap/>
            <w:vAlign w:val="center"/>
          </w:tcPr>
          <w:p w14:paraId="3D21CCF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VOCs</w:t>
            </w:r>
          </w:p>
        </w:tc>
        <w:tc>
          <w:tcPr>
            <w:tcW w:w="1139" w:type="dxa"/>
            <w:tcBorders>
              <w:top w:val="nil"/>
              <w:left w:val="nil"/>
              <w:bottom w:val="single" w:color="auto" w:sz="4" w:space="0"/>
              <w:right w:val="single" w:color="auto" w:sz="4" w:space="0"/>
            </w:tcBorders>
            <w:noWrap/>
            <w:vAlign w:val="center"/>
          </w:tcPr>
          <w:p w14:paraId="54BFF9B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75" w:type="dxa"/>
            <w:tcBorders>
              <w:top w:val="nil"/>
              <w:left w:val="nil"/>
              <w:bottom w:val="single" w:color="auto" w:sz="4" w:space="0"/>
              <w:right w:val="single" w:color="auto" w:sz="4" w:space="0"/>
            </w:tcBorders>
            <w:vAlign w:val="center"/>
          </w:tcPr>
          <w:p w14:paraId="63DAC15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0.310</w:t>
            </w:r>
          </w:p>
        </w:tc>
        <w:tc>
          <w:tcPr>
            <w:tcW w:w="1134" w:type="dxa"/>
            <w:tcBorders>
              <w:top w:val="nil"/>
              <w:left w:val="nil"/>
              <w:bottom w:val="single" w:color="auto" w:sz="4" w:space="0"/>
              <w:right w:val="single" w:color="auto" w:sz="4" w:space="0"/>
            </w:tcBorders>
            <w:noWrap/>
            <w:vAlign w:val="center"/>
          </w:tcPr>
          <w:p w14:paraId="5A38B9E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93" w:type="dxa"/>
            <w:tcBorders>
              <w:top w:val="nil"/>
              <w:left w:val="nil"/>
              <w:bottom w:val="single" w:color="auto" w:sz="4" w:space="0"/>
              <w:right w:val="single" w:color="auto" w:sz="4" w:space="0"/>
            </w:tcBorders>
            <w:noWrap/>
            <w:vAlign w:val="center"/>
          </w:tcPr>
          <w:p w14:paraId="4D40470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p>
        </w:tc>
        <w:tc>
          <w:tcPr>
            <w:tcW w:w="992" w:type="dxa"/>
            <w:tcBorders>
              <w:top w:val="nil"/>
              <w:left w:val="nil"/>
              <w:bottom w:val="single" w:color="auto" w:sz="4" w:space="0"/>
              <w:right w:val="single" w:color="auto" w:sz="4" w:space="0"/>
            </w:tcBorders>
            <w:noWrap/>
            <w:vAlign w:val="center"/>
          </w:tcPr>
          <w:p w14:paraId="35F0CFC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高度15m</w:t>
            </w:r>
          </w:p>
        </w:tc>
        <w:tc>
          <w:tcPr>
            <w:tcW w:w="1129" w:type="dxa"/>
            <w:tcBorders>
              <w:top w:val="nil"/>
              <w:left w:val="nil"/>
              <w:bottom w:val="single" w:color="auto" w:sz="4" w:space="0"/>
              <w:right w:val="single" w:color="auto" w:sz="4" w:space="0"/>
            </w:tcBorders>
            <w:noWrap/>
            <w:vAlign w:val="center"/>
          </w:tcPr>
          <w:p w14:paraId="725FB3A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设置备用设施或紧急停车</w:t>
            </w:r>
          </w:p>
        </w:tc>
      </w:tr>
      <w:tr w14:paraId="30E08799">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37ACF023">
            <w:pPr>
              <w:pStyle w:val="109"/>
              <w:rPr>
                <w:color w:val="000000" w:themeColor="text1"/>
                <w:szCs w:val="21"/>
                <w14:textFill>
                  <w14:solidFill>
                    <w14:schemeClr w14:val="tx1"/>
                  </w14:solidFill>
                </w14:textFill>
              </w:rPr>
            </w:pPr>
          </w:p>
        </w:tc>
        <w:tc>
          <w:tcPr>
            <w:tcW w:w="709" w:type="dxa"/>
            <w:vMerge w:val="restart"/>
            <w:tcBorders>
              <w:top w:val="nil"/>
              <w:left w:val="single" w:color="auto" w:sz="4" w:space="0"/>
              <w:bottom w:val="single" w:color="auto" w:sz="4" w:space="0"/>
              <w:right w:val="single" w:color="auto" w:sz="4" w:space="0"/>
            </w:tcBorders>
            <w:noWrap/>
            <w:vAlign w:val="center"/>
          </w:tcPr>
          <w:p w14:paraId="0085316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热解焙烧废气</w:t>
            </w:r>
          </w:p>
        </w:tc>
        <w:tc>
          <w:tcPr>
            <w:tcW w:w="1559" w:type="dxa"/>
            <w:tcBorders>
              <w:top w:val="nil"/>
              <w:left w:val="nil"/>
              <w:bottom w:val="single" w:color="auto" w:sz="4" w:space="0"/>
              <w:right w:val="single" w:color="auto" w:sz="4" w:space="0"/>
            </w:tcBorders>
            <w:vAlign w:val="center"/>
          </w:tcPr>
          <w:p w14:paraId="10C5093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39" w:type="dxa"/>
            <w:tcBorders>
              <w:top w:val="nil"/>
              <w:left w:val="nil"/>
              <w:bottom w:val="single" w:color="auto" w:sz="4" w:space="0"/>
              <w:right w:val="single" w:color="auto" w:sz="4" w:space="0"/>
            </w:tcBorders>
            <w:noWrap/>
            <w:vAlign w:val="center"/>
          </w:tcPr>
          <w:p w14:paraId="71FF8A2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3640.63</w:t>
            </w:r>
          </w:p>
        </w:tc>
        <w:tc>
          <w:tcPr>
            <w:tcW w:w="1275" w:type="dxa"/>
            <w:tcBorders>
              <w:top w:val="nil"/>
              <w:left w:val="nil"/>
              <w:bottom w:val="single" w:color="auto" w:sz="4" w:space="0"/>
              <w:right w:val="single" w:color="auto" w:sz="4" w:space="0"/>
            </w:tcBorders>
            <w:vAlign w:val="center"/>
          </w:tcPr>
          <w:p w14:paraId="7363D33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14.563</w:t>
            </w:r>
          </w:p>
        </w:tc>
        <w:tc>
          <w:tcPr>
            <w:tcW w:w="1134" w:type="dxa"/>
            <w:vMerge w:val="restart"/>
            <w:tcBorders>
              <w:top w:val="nil"/>
              <w:left w:val="single" w:color="auto" w:sz="4" w:space="0"/>
              <w:bottom w:val="single" w:color="auto" w:sz="4" w:space="0"/>
              <w:right w:val="single" w:color="auto" w:sz="4" w:space="0"/>
            </w:tcBorders>
            <w:noWrap/>
            <w:vAlign w:val="center"/>
          </w:tcPr>
          <w:p w14:paraId="57AAF3D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93" w:type="dxa"/>
            <w:vMerge w:val="restart"/>
            <w:tcBorders>
              <w:top w:val="nil"/>
              <w:left w:val="single" w:color="auto" w:sz="4" w:space="0"/>
              <w:bottom w:val="single" w:color="auto" w:sz="4" w:space="0"/>
              <w:right w:val="single" w:color="auto" w:sz="4" w:space="0"/>
            </w:tcBorders>
            <w:noWrap/>
            <w:vAlign w:val="center"/>
          </w:tcPr>
          <w:p w14:paraId="545A747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p>
        </w:tc>
        <w:tc>
          <w:tcPr>
            <w:tcW w:w="992" w:type="dxa"/>
            <w:vMerge w:val="restart"/>
            <w:tcBorders>
              <w:top w:val="nil"/>
              <w:left w:val="single" w:color="auto" w:sz="4" w:space="0"/>
              <w:bottom w:val="single" w:color="auto" w:sz="4" w:space="0"/>
              <w:right w:val="single" w:color="auto" w:sz="4" w:space="0"/>
            </w:tcBorders>
            <w:noWrap/>
            <w:vAlign w:val="center"/>
          </w:tcPr>
          <w:p w14:paraId="2D33243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高度50m</w:t>
            </w:r>
          </w:p>
        </w:tc>
        <w:tc>
          <w:tcPr>
            <w:tcW w:w="1129" w:type="dxa"/>
            <w:vMerge w:val="restart"/>
            <w:tcBorders>
              <w:top w:val="nil"/>
              <w:left w:val="single" w:color="auto" w:sz="4" w:space="0"/>
              <w:bottom w:val="single" w:color="auto" w:sz="4" w:space="0"/>
              <w:right w:val="single" w:color="auto" w:sz="4" w:space="0"/>
            </w:tcBorders>
            <w:noWrap/>
            <w:vAlign w:val="center"/>
          </w:tcPr>
          <w:p w14:paraId="1E013F2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设置备用设施或紧急停车</w:t>
            </w:r>
          </w:p>
        </w:tc>
      </w:tr>
      <w:tr w14:paraId="147A1E10">
        <w:tblPrEx>
          <w:tblCellMar>
            <w:top w:w="0" w:type="dxa"/>
            <w:left w:w="108" w:type="dxa"/>
            <w:bottom w:w="0" w:type="dxa"/>
            <w:right w:w="108" w:type="dxa"/>
          </w:tblCellMar>
        </w:tblPrEx>
        <w:trPr>
          <w:trHeight w:val="336" w:hRule="atLeast"/>
        </w:trPr>
        <w:tc>
          <w:tcPr>
            <w:tcW w:w="704" w:type="dxa"/>
            <w:vMerge w:val="continue"/>
            <w:tcBorders>
              <w:top w:val="nil"/>
              <w:left w:val="single" w:color="auto" w:sz="4" w:space="0"/>
              <w:bottom w:val="single" w:color="auto" w:sz="4" w:space="0"/>
              <w:right w:val="single" w:color="auto" w:sz="4" w:space="0"/>
            </w:tcBorders>
            <w:vAlign w:val="center"/>
          </w:tcPr>
          <w:p w14:paraId="30BEB68D">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1F6DFB05">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5943A05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139" w:type="dxa"/>
            <w:tcBorders>
              <w:top w:val="nil"/>
              <w:left w:val="nil"/>
              <w:bottom w:val="single" w:color="auto" w:sz="4" w:space="0"/>
              <w:right w:val="single" w:color="auto" w:sz="4" w:space="0"/>
            </w:tcBorders>
            <w:noWrap/>
            <w:vAlign w:val="center"/>
          </w:tcPr>
          <w:p w14:paraId="126B2C4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72.92</w:t>
            </w:r>
          </w:p>
        </w:tc>
        <w:tc>
          <w:tcPr>
            <w:tcW w:w="1275" w:type="dxa"/>
            <w:tcBorders>
              <w:top w:val="nil"/>
              <w:left w:val="nil"/>
              <w:bottom w:val="single" w:color="auto" w:sz="4" w:space="0"/>
              <w:right w:val="single" w:color="auto" w:sz="4" w:space="0"/>
            </w:tcBorders>
            <w:vAlign w:val="center"/>
          </w:tcPr>
          <w:p w14:paraId="348E979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0.292</w:t>
            </w:r>
          </w:p>
        </w:tc>
        <w:tc>
          <w:tcPr>
            <w:tcW w:w="1134" w:type="dxa"/>
            <w:vMerge w:val="continue"/>
            <w:tcBorders>
              <w:top w:val="nil"/>
              <w:left w:val="single" w:color="auto" w:sz="4" w:space="0"/>
              <w:bottom w:val="single" w:color="auto" w:sz="4" w:space="0"/>
              <w:right w:val="single" w:color="auto" w:sz="4" w:space="0"/>
            </w:tcBorders>
            <w:vAlign w:val="center"/>
          </w:tcPr>
          <w:p w14:paraId="5D5AD9CB">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01621B57">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2BBF7CDF">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6C264D8D">
            <w:pPr>
              <w:pStyle w:val="109"/>
              <w:rPr>
                <w:color w:val="000000" w:themeColor="text1"/>
                <w:szCs w:val="21"/>
                <w14:textFill>
                  <w14:solidFill>
                    <w14:schemeClr w14:val="tx1"/>
                  </w14:solidFill>
                </w14:textFill>
              </w:rPr>
            </w:pPr>
          </w:p>
        </w:tc>
      </w:tr>
      <w:tr w14:paraId="72F44578">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2BE00309">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4BE14517">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1C244E8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NOx</w:t>
            </w:r>
          </w:p>
        </w:tc>
        <w:tc>
          <w:tcPr>
            <w:tcW w:w="1139" w:type="dxa"/>
            <w:tcBorders>
              <w:top w:val="nil"/>
              <w:left w:val="nil"/>
              <w:bottom w:val="single" w:color="auto" w:sz="4" w:space="0"/>
              <w:right w:val="single" w:color="auto" w:sz="4" w:space="0"/>
            </w:tcBorders>
            <w:noWrap/>
            <w:vAlign w:val="center"/>
          </w:tcPr>
          <w:p w14:paraId="37E4B22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560.625</w:t>
            </w:r>
          </w:p>
        </w:tc>
        <w:tc>
          <w:tcPr>
            <w:tcW w:w="1275" w:type="dxa"/>
            <w:tcBorders>
              <w:top w:val="nil"/>
              <w:left w:val="nil"/>
              <w:bottom w:val="single" w:color="auto" w:sz="4" w:space="0"/>
              <w:right w:val="single" w:color="auto" w:sz="4" w:space="0"/>
            </w:tcBorders>
            <w:vAlign w:val="center"/>
          </w:tcPr>
          <w:p w14:paraId="5B94908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2.243</w:t>
            </w:r>
          </w:p>
        </w:tc>
        <w:tc>
          <w:tcPr>
            <w:tcW w:w="1134" w:type="dxa"/>
            <w:vMerge w:val="continue"/>
            <w:tcBorders>
              <w:top w:val="nil"/>
              <w:left w:val="single" w:color="auto" w:sz="4" w:space="0"/>
              <w:bottom w:val="single" w:color="auto" w:sz="4" w:space="0"/>
              <w:right w:val="single" w:color="auto" w:sz="4" w:space="0"/>
            </w:tcBorders>
            <w:vAlign w:val="center"/>
          </w:tcPr>
          <w:p w14:paraId="6D7AB5D5">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179E9E33">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3B27BAB5">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7E3283B9">
            <w:pPr>
              <w:pStyle w:val="109"/>
              <w:rPr>
                <w:color w:val="000000" w:themeColor="text1"/>
                <w:szCs w:val="21"/>
                <w14:textFill>
                  <w14:solidFill>
                    <w14:schemeClr w14:val="tx1"/>
                  </w14:solidFill>
                </w14:textFill>
              </w:rPr>
            </w:pPr>
          </w:p>
        </w:tc>
      </w:tr>
      <w:tr w14:paraId="1973E048">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2019F0C6">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1E36B03A">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331361C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139" w:type="dxa"/>
            <w:tcBorders>
              <w:top w:val="nil"/>
              <w:left w:val="nil"/>
              <w:bottom w:val="single" w:color="auto" w:sz="4" w:space="0"/>
              <w:right w:val="single" w:color="auto" w:sz="4" w:space="0"/>
            </w:tcBorders>
            <w:noWrap/>
            <w:vAlign w:val="center"/>
          </w:tcPr>
          <w:p w14:paraId="099C19A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6250</w:t>
            </w:r>
          </w:p>
        </w:tc>
        <w:tc>
          <w:tcPr>
            <w:tcW w:w="1275" w:type="dxa"/>
            <w:tcBorders>
              <w:top w:val="nil"/>
              <w:left w:val="nil"/>
              <w:bottom w:val="single" w:color="auto" w:sz="4" w:space="0"/>
              <w:right w:val="single" w:color="auto" w:sz="4" w:space="0"/>
            </w:tcBorders>
            <w:vAlign w:val="center"/>
          </w:tcPr>
          <w:p w14:paraId="449081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25.000</w:t>
            </w:r>
          </w:p>
        </w:tc>
        <w:tc>
          <w:tcPr>
            <w:tcW w:w="1134" w:type="dxa"/>
            <w:vMerge w:val="continue"/>
            <w:tcBorders>
              <w:top w:val="nil"/>
              <w:left w:val="single" w:color="auto" w:sz="4" w:space="0"/>
              <w:bottom w:val="single" w:color="auto" w:sz="4" w:space="0"/>
              <w:right w:val="single" w:color="auto" w:sz="4" w:space="0"/>
            </w:tcBorders>
            <w:vAlign w:val="center"/>
          </w:tcPr>
          <w:p w14:paraId="76C2B639">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26D5914F">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6A344D0D">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737CE541">
            <w:pPr>
              <w:pStyle w:val="109"/>
              <w:rPr>
                <w:color w:val="000000" w:themeColor="text1"/>
                <w:szCs w:val="21"/>
                <w14:textFill>
                  <w14:solidFill>
                    <w14:schemeClr w14:val="tx1"/>
                  </w14:solidFill>
                </w14:textFill>
              </w:rPr>
            </w:pPr>
          </w:p>
        </w:tc>
      </w:tr>
      <w:tr w14:paraId="79FDEA8B">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0D6FF2C4">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1AC0FD0E">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78B8D03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HF</w:t>
            </w:r>
          </w:p>
        </w:tc>
        <w:tc>
          <w:tcPr>
            <w:tcW w:w="1139" w:type="dxa"/>
            <w:tcBorders>
              <w:top w:val="nil"/>
              <w:left w:val="nil"/>
              <w:bottom w:val="single" w:color="auto" w:sz="4" w:space="0"/>
              <w:right w:val="single" w:color="auto" w:sz="4" w:space="0"/>
            </w:tcBorders>
            <w:noWrap/>
            <w:vAlign w:val="center"/>
          </w:tcPr>
          <w:p w14:paraId="651978F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164.38</w:t>
            </w:r>
          </w:p>
        </w:tc>
        <w:tc>
          <w:tcPr>
            <w:tcW w:w="1275" w:type="dxa"/>
            <w:tcBorders>
              <w:top w:val="nil"/>
              <w:left w:val="nil"/>
              <w:bottom w:val="single" w:color="auto" w:sz="4" w:space="0"/>
              <w:right w:val="single" w:color="auto" w:sz="4" w:space="0"/>
            </w:tcBorders>
            <w:vAlign w:val="center"/>
          </w:tcPr>
          <w:p w14:paraId="1D41AC2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0.658</w:t>
            </w:r>
          </w:p>
        </w:tc>
        <w:tc>
          <w:tcPr>
            <w:tcW w:w="1134" w:type="dxa"/>
            <w:vMerge w:val="continue"/>
            <w:tcBorders>
              <w:top w:val="nil"/>
              <w:left w:val="single" w:color="auto" w:sz="4" w:space="0"/>
              <w:bottom w:val="single" w:color="auto" w:sz="4" w:space="0"/>
              <w:right w:val="single" w:color="auto" w:sz="4" w:space="0"/>
            </w:tcBorders>
            <w:vAlign w:val="center"/>
          </w:tcPr>
          <w:p w14:paraId="7B768F56">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0E65CC68">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725F767D">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535188E7">
            <w:pPr>
              <w:pStyle w:val="109"/>
              <w:rPr>
                <w:color w:val="000000" w:themeColor="text1"/>
                <w:szCs w:val="21"/>
                <w14:textFill>
                  <w14:solidFill>
                    <w14:schemeClr w14:val="tx1"/>
                  </w14:solidFill>
                </w14:textFill>
              </w:rPr>
            </w:pPr>
          </w:p>
        </w:tc>
      </w:tr>
      <w:tr w14:paraId="76FC2E29">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1D1BD487">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4FB50699">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6ECB075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HCl</w:t>
            </w:r>
          </w:p>
        </w:tc>
        <w:tc>
          <w:tcPr>
            <w:tcW w:w="1139" w:type="dxa"/>
            <w:tcBorders>
              <w:top w:val="nil"/>
              <w:left w:val="nil"/>
              <w:bottom w:val="single" w:color="auto" w:sz="4" w:space="0"/>
              <w:right w:val="single" w:color="auto" w:sz="4" w:space="0"/>
            </w:tcBorders>
            <w:noWrap/>
            <w:vAlign w:val="center"/>
          </w:tcPr>
          <w:p w14:paraId="7DE502F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4823.37</w:t>
            </w:r>
          </w:p>
        </w:tc>
        <w:tc>
          <w:tcPr>
            <w:tcW w:w="1275" w:type="dxa"/>
            <w:tcBorders>
              <w:top w:val="nil"/>
              <w:left w:val="nil"/>
              <w:bottom w:val="single" w:color="auto" w:sz="4" w:space="0"/>
              <w:right w:val="single" w:color="auto" w:sz="4" w:space="0"/>
            </w:tcBorders>
            <w:vAlign w:val="center"/>
          </w:tcPr>
          <w:p w14:paraId="55B0D69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19.293</w:t>
            </w:r>
          </w:p>
        </w:tc>
        <w:tc>
          <w:tcPr>
            <w:tcW w:w="1134" w:type="dxa"/>
            <w:vMerge w:val="continue"/>
            <w:tcBorders>
              <w:top w:val="nil"/>
              <w:left w:val="single" w:color="auto" w:sz="4" w:space="0"/>
              <w:bottom w:val="single" w:color="auto" w:sz="4" w:space="0"/>
              <w:right w:val="single" w:color="auto" w:sz="4" w:space="0"/>
            </w:tcBorders>
            <w:vAlign w:val="center"/>
          </w:tcPr>
          <w:p w14:paraId="7C26271D">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5EB77AD2">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3FEFAAB9">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68754C47">
            <w:pPr>
              <w:pStyle w:val="109"/>
              <w:rPr>
                <w:color w:val="000000" w:themeColor="text1"/>
                <w:szCs w:val="21"/>
                <w14:textFill>
                  <w14:solidFill>
                    <w14:schemeClr w14:val="tx1"/>
                  </w14:solidFill>
                </w14:textFill>
              </w:rPr>
            </w:pPr>
          </w:p>
        </w:tc>
      </w:tr>
      <w:tr w14:paraId="7183EEF7">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4383CA17">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31EC9D1D">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5D54235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汞及其化合物</w:t>
            </w:r>
          </w:p>
        </w:tc>
        <w:tc>
          <w:tcPr>
            <w:tcW w:w="1139" w:type="dxa"/>
            <w:tcBorders>
              <w:top w:val="nil"/>
              <w:left w:val="nil"/>
              <w:bottom w:val="single" w:color="auto" w:sz="4" w:space="0"/>
              <w:right w:val="single" w:color="auto" w:sz="4" w:space="0"/>
            </w:tcBorders>
            <w:noWrap/>
            <w:vAlign w:val="center"/>
          </w:tcPr>
          <w:p w14:paraId="7FDBED0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0.156</w:t>
            </w:r>
          </w:p>
        </w:tc>
        <w:tc>
          <w:tcPr>
            <w:tcW w:w="1275" w:type="dxa"/>
            <w:tcBorders>
              <w:top w:val="nil"/>
              <w:left w:val="nil"/>
              <w:bottom w:val="single" w:color="auto" w:sz="4" w:space="0"/>
              <w:right w:val="single" w:color="auto" w:sz="4" w:space="0"/>
            </w:tcBorders>
            <w:vAlign w:val="center"/>
          </w:tcPr>
          <w:p w14:paraId="3322445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0.000625</w:t>
            </w:r>
          </w:p>
        </w:tc>
        <w:tc>
          <w:tcPr>
            <w:tcW w:w="1134" w:type="dxa"/>
            <w:vMerge w:val="continue"/>
            <w:tcBorders>
              <w:top w:val="nil"/>
              <w:left w:val="single" w:color="auto" w:sz="4" w:space="0"/>
              <w:bottom w:val="single" w:color="auto" w:sz="4" w:space="0"/>
              <w:right w:val="single" w:color="auto" w:sz="4" w:space="0"/>
            </w:tcBorders>
            <w:vAlign w:val="center"/>
          </w:tcPr>
          <w:p w14:paraId="44A4D363">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024E5AA1">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12F787EA">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3D25E30B">
            <w:pPr>
              <w:pStyle w:val="109"/>
              <w:rPr>
                <w:color w:val="000000" w:themeColor="text1"/>
                <w:szCs w:val="21"/>
                <w14:textFill>
                  <w14:solidFill>
                    <w14:schemeClr w14:val="tx1"/>
                  </w14:solidFill>
                </w14:textFill>
              </w:rPr>
            </w:pPr>
          </w:p>
        </w:tc>
      </w:tr>
      <w:tr w14:paraId="4C9BC3DF">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6D736EFE">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0075EA75">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46B0386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铊及其化合物</w:t>
            </w:r>
          </w:p>
        </w:tc>
        <w:tc>
          <w:tcPr>
            <w:tcW w:w="1139" w:type="dxa"/>
            <w:tcBorders>
              <w:top w:val="nil"/>
              <w:left w:val="nil"/>
              <w:bottom w:val="single" w:color="auto" w:sz="4" w:space="0"/>
              <w:right w:val="single" w:color="auto" w:sz="4" w:space="0"/>
            </w:tcBorders>
            <w:noWrap/>
            <w:vAlign w:val="center"/>
          </w:tcPr>
          <w:p w14:paraId="7171E16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0.0078</w:t>
            </w:r>
          </w:p>
        </w:tc>
        <w:tc>
          <w:tcPr>
            <w:tcW w:w="1275" w:type="dxa"/>
            <w:tcBorders>
              <w:top w:val="nil"/>
              <w:left w:val="nil"/>
              <w:bottom w:val="single" w:color="auto" w:sz="4" w:space="0"/>
              <w:right w:val="single" w:color="auto" w:sz="4" w:space="0"/>
            </w:tcBorders>
            <w:vAlign w:val="center"/>
          </w:tcPr>
          <w:p w14:paraId="38E1F58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0.00003125</w:t>
            </w:r>
          </w:p>
        </w:tc>
        <w:tc>
          <w:tcPr>
            <w:tcW w:w="1134" w:type="dxa"/>
            <w:vMerge w:val="continue"/>
            <w:tcBorders>
              <w:top w:val="nil"/>
              <w:left w:val="single" w:color="auto" w:sz="4" w:space="0"/>
              <w:bottom w:val="single" w:color="auto" w:sz="4" w:space="0"/>
              <w:right w:val="single" w:color="auto" w:sz="4" w:space="0"/>
            </w:tcBorders>
            <w:vAlign w:val="center"/>
          </w:tcPr>
          <w:p w14:paraId="4F9426B6">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019DED96">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22B04253">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5EED31C9">
            <w:pPr>
              <w:pStyle w:val="109"/>
              <w:rPr>
                <w:color w:val="000000" w:themeColor="text1"/>
                <w:szCs w:val="21"/>
                <w14:textFill>
                  <w14:solidFill>
                    <w14:schemeClr w14:val="tx1"/>
                  </w14:solidFill>
                </w14:textFill>
              </w:rPr>
            </w:pPr>
          </w:p>
        </w:tc>
      </w:tr>
      <w:tr w14:paraId="271475A6">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0EB62E10">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7E11CC70">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0BDCE07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镉及其化合物</w:t>
            </w:r>
          </w:p>
        </w:tc>
        <w:tc>
          <w:tcPr>
            <w:tcW w:w="1139" w:type="dxa"/>
            <w:tcBorders>
              <w:top w:val="nil"/>
              <w:left w:val="nil"/>
              <w:bottom w:val="single" w:color="auto" w:sz="4" w:space="0"/>
              <w:right w:val="single" w:color="auto" w:sz="4" w:space="0"/>
            </w:tcBorders>
            <w:noWrap/>
            <w:vAlign w:val="center"/>
          </w:tcPr>
          <w:p w14:paraId="339C382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0.469</w:t>
            </w:r>
          </w:p>
        </w:tc>
        <w:tc>
          <w:tcPr>
            <w:tcW w:w="1275" w:type="dxa"/>
            <w:tcBorders>
              <w:top w:val="nil"/>
              <w:left w:val="nil"/>
              <w:bottom w:val="single" w:color="auto" w:sz="4" w:space="0"/>
              <w:right w:val="single" w:color="auto" w:sz="4" w:space="0"/>
            </w:tcBorders>
            <w:vAlign w:val="center"/>
          </w:tcPr>
          <w:p w14:paraId="0B22305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0.001875</w:t>
            </w:r>
          </w:p>
        </w:tc>
        <w:tc>
          <w:tcPr>
            <w:tcW w:w="1134" w:type="dxa"/>
            <w:vMerge w:val="continue"/>
            <w:tcBorders>
              <w:top w:val="nil"/>
              <w:left w:val="single" w:color="auto" w:sz="4" w:space="0"/>
              <w:bottom w:val="single" w:color="auto" w:sz="4" w:space="0"/>
              <w:right w:val="single" w:color="auto" w:sz="4" w:space="0"/>
            </w:tcBorders>
            <w:vAlign w:val="center"/>
          </w:tcPr>
          <w:p w14:paraId="39A55817">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17314612">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5859E09A">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0B0A5967">
            <w:pPr>
              <w:pStyle w:val="109"/>
              <w:rPr>
                <w:color w:val="000000" w:themeColor="text1"/>
                <w:szCs w:val="21"/>
                <w14:textFill>
                  <w14:solidFill>
                    <w14:schemeClr w14:val="tx1"/>
                  </w14:solidFill>
                </w14:textFill>
              </w:rPr>
            </w:pPr>
          </w:p>
        </w:tc>
      </w:tr>
      <w:tr w14:paraId="79573C5B">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56F221BE">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220557F5">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420C14F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铅及其化合物</w:t>
            </w:r>
          </w:p>
        </w:tc>
        <w:tc>
          <w:tcPr>
            <w:tcW w:w="1139" w:type="dxa"/>
            <w:tcBorders>
              <w:top w:val="nil"/>
              <w:left w:val="nil"/>
              <w:bottom w:val="single" w:color="auto" w:sz="4" w:space="0"/>
              <w:right w:val="single" w:color="auto" w:sz="4" w:space="0"/>
            </w:tcBorders>
            <w:noWrap/>
            <w:vAlign w:val="center"/>
          </w:tcPr>
          <w:p w14:paraId="648E169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1.563</w:t>
            </w:r>
          </w:p>
        </w:tc>
        <w:tc>
          <w:tcPr>
            <w:tcW w:w="1275" w:type="dxa"/>
            <w:tcBorders>
              <w:top w:val="nil"/>
              <w:left w:val="nil"/>
              <w:bottom w:val="single" w:color="auto" w:sz="4" w:space="0"/>
              <w:right w:val="single" w:color="auto" w:sz="4" w:space="0"/>
            </w:tcBorders>
            <w:vAlign w:val="center"/>
          </w:tcPr>
          <w:p w14:paraId="3A0548D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0.00625</w:t>
            </w:r>
          </w:p>
        </w:tc>
        <w:tc>
          <w:tcPr>
            <w:tcW w:w="1134" w:type="dxa"/>
            <w:vMerge w:val="continue"/>
            <w:tcBorders>
              <w:top w:val="nil"/>
              <w:left w:val="single" w:color="auto" w:sz="4" w:space="0"/>
              <w:bottom w:val="single" w:color="auto" w:sz="4" w:space="0"/>
              <w:right w:val="single" w:color="auto" w:sz="4" w:space="0"/>
            </w:tcBorders>
            <w:vAlign w:val="center"/>
          </w:tcPr>
          <w:p w14:paraId="77C748F9">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33476A80">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55CD75A8">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4627A0F9">
            <w:pPr>
              <w:pStyle w:val="109"/>
              <w:rPr>
                <w:color w:val="000000" w:themeColor="text1"/>
                <w:szCs w:val="21"/>
                <w14:textFill>
                  <w14:solidFill>
                    <w14:schemeClr w14:val="tx1"/>
                  </w14:solidFill>
                </w14:textFill>
              </w:rPr>
            </w:pPr>
          </w:p>
        </w:tc>
      </w:tr>
      <w:tr w14:paraId="76148D11">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22B36F57">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58C30EE2">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4E1EC95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砷及其化合物</w:t>
            </w:r>
          </w:p>
        </w:tc>
        <w:tc>
          <w:tcPr>
            <w:tcW w:w="1139" w:type="dxa"/>
            <w:tcBorders>
              <w:top w:val="nil"/>
              <w:left w:val="nil"/>
              <w:bottom w:val="single" w:color="auto" w:sz="4" w:space="0"/>
              <w:right w:val="single" w:color="auto" w:sz="4" w:space="0"/>
            </w:tcBorders>
            <w:noWrap/>
            <w:vAlign w:val="center"/>
          </w:tcPr>
          <w:p w14:paraId="0E20101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3.125</w:t>
            </w:r>
          </w:p>
        </w:tc>
        <w:tc>
          <w:tcPr>
            <w:tcW w:w="1275" w:type="dxa"/>
            <w:tcBorders>
              <w:top w:val="nil"/>
              <w:left w:val="nil"/>
              <w:bottom w:val="single" w:color="auto" w:sz="4" w:space="0"/>
              <w:right w:val="single" w:color="auto" w:sz="4" w:space="0"/>
            </w:tcBorders>
            <w:vAlign w:val="center"/>
          </w:tcPr>
          <w:p w14:paraId="7F16F0C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0.0125</w:t>
            </w:r>
          </w:p>
        </w:tc>
        <w:tc>
          <w:tcPr>
            <w:tcW w:w="1134" w:type="dxa"/>
            <w:vMerge w:val="continue"/>
            <w:tcBorders>
              <w:top w:val="nil"/>
              <w:left w:val="single" w:color="auto" w:sz="4" w:space="0"/>
              <w:bottom w:val="single" w:color="auto" w:sz="4" w:space="0"/>
              <w:right w:val="single" w:color="auto" w:sz="4" w:space="0"/>
            </w:tcBorders>
            <w:vAlign w:val="center"/>
          </w:tcPr>
          <w:p w14:paraId="2E1F6CF1">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06A31606">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399087B2">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78B2953F">
            <w:pPr>
              <w:pStyle w:val="109"/>
              <w:rPr>
                <w:color w:val="000000" w:themeColor="text1"/>
                <w:szCs w:val="21"/>
                <w14:textFill>
                  <w14:solidFill>
                    <w14:schemeClr w14:val="tx1"/>
                  </w14:solidFill>
                </w14:textFill>
              </w:rPr>
            </w:pPr>
          </w:p>
        </w:tc>
      </w:tr>
      <w:tr w14:paraId="47E65FC0">
        <w:tblPrEx>
          <w:tblCellMar>
            <w:top w:w="0" w:type="dxa"/>
            <w:left w:w="108" w:type="dxa"/>
            <w:bottom w:w="0" w:type="dxa"/>
            <w:right w:w="108" w:type="dxa"/>
          </w:tblCellMar>
        </w:tblPrEx>
        <w:trPr>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0D74B6B2">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51918555">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56B4F05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铬及其化合物</w:t>
            </w:r>
          </w:p>
        </w:tc>
        <w:tc>
          <w:tcPr>
            <w:tcW w:w="1139" w:type="dxa"/>
            <w:tcBorders>
              <w:top w:val="nil"/>
              <w:left w:val="nil"/>
              <w:bottom w:val="single" w:color="auto" w:sz="4" w:space="0"/>
              <w:right w:val="single" w:color="auto" w:sz="4" w:space="0"/>
            </w:tcBorders>
            <w:noWrap/>
            <w:vAlign w:val="center"/>
          </w:tcPr>
          <w:p w14:paraId="7674E0A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0.078</w:t>
            </w:r>
          </w:p>
        </w:tc>
        <w:tc>
          <w:tcPr>
            <w:tcW w:w="1275" w:type="dxa"/>
            <w:tcBorders>
              <w:top w:val="nil"/>
              <w:left w:val="nil"/>
              <w:bottom w:val="single" w:color="auto" w:sz="4" w:space="0"/>
              <w:right w:val="single" w:color="auto" w:sz="4" w:space="0"/>
            </w:tcBorders>
            <w:vAlign w:val="center"/>
          </w:tcPr>
          <w:p w14:paraId="7CDAE5C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0.0003125</w:t>
            </w:r>
          </w:p>
        </w:tc>
        <w:tc>
          <w:tcPr>
            <w:tcW w:w="1134" w:type="dxa"/>
            <w:vMerge w:val="continue"/>
            <w:tcBorders>
              <w:top w:val="nil"/>
              <w:left w:val="single" w:color="auto" w:sz="4" w:space="0"/>
              <w:bottom w:val="single" w:color="auto" w:sz="4" w:space="0"/>
              <w:right w:val="single" w:color="auto" w:sz="4" w:space="0"/>
            </w:tcBorders>
            <w:vAlign w:val="center"/>
          </w:tcPr>
          <w:p w14:paraId="74AD8982">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4081436D">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3A048889">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5AF6C4BD">
            <w:pPr>
              <w:pStyle w:val="109"/>
              <w:rPr>
                <w:color w:val="000000" w:themeColor="text1"/>
                <w:szCs w:val="21"/>
                <w14:textFill>
                  <w14:solidFill>
                    <w14:schemeClr w14:val="tx1"/>
                  </w14:solidFill>
                </w14:textFill>
              </w:rPr>
            </w:pPr>
          </w:p>
        </w:tc>
      </w:tr>
      <w:tr w14:paraId="16C89233">
        <w:tblPrEx>
          <w:tblCellMar>
            <w:top w:w="0" w:type="dxa"/>
            <w:left w:w="108" w:type="dxa"/>
            <w:bottom w:w="0" w:type="dxa"/>
            <w:right w:w="108" w:type="dxa"/>
          </w:tblCellMar>
        </w:tblPrEx>
        <w:trPr>
          <w:trHeight w:val="864" w:hRule="atLeast"/>
        </w:trPr>
        <w:tc>
          <w:tcPr>
            <w:tcW w:w="704" w:type="dxa"/>
            <w:vMerge w:val="continue"/>
            <w:tcBorders>
              <w:top w:val="nil"/>
              <w:left w:val="single" w:color="auto" w:sz="4" w:space="0"/>
              <w:bottom w:val="single" w:color="auto" w:sz="4" w:space="0"/>
              <w:right w:val="single" w:color="auto" w:sz="4" w:space="0"/>
            </w:tcBorders>
            <w:vAlign w:val="center"/>
          </w:tcPr>
          <w:p w14:paraId="6BF42176">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0FB4AE78">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2195FC2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锡、锑、铜、锰、 镍、钴及其化合 物</w:t>
            </w:r>
          </w:p>
        </w:tc>
        <w:tc>
          <w:tcPr>
            <w:tcW w:w="1139" w:type="dxa"/>
            <w:tcBorders>
              <w:top w:val="nil"/>
              <w:left w:val="nil"/>
              <w:bottom w:val="single" w:color="auto" w:sz="4" w:space="0"/>
              <w:right w:val="single" w:color="auto" w:sz="4" w:space="0"/>
            </w:tcBorders>
            <w:noWrap/>
            <w:vAlign w:val="center"/>
          </w:tcPr>
          <w:p w14:paraId="11F70D6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0.547</w:t>
            </w:r>
          </w:p>
        </w:tc>
        <w:tc>
          <w:tcPr>
            <w:tcW w:w="1275" w:type="dxa"/>
            <w:tcBorders>
              <w:top w:val="nil"/>
              <w:left w:val="nil"/>
              <w:bottom w:val="single" w:color="auto" w:sz="4" w:space="0"/>
              <w:right w:val="single" w:color="auto" w:sz="4" w:space="0"/>
            </w:tcBorders>
            <w:vAlign w:val="center"/>
          </w:tcPr>
          <w:p w14:paraId="4DC9185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0.0021875</w:t>
            </w:r>
          </w:p>
        </w:tc>
        <w:tc>
          <w:tcPr>
            <w:tcW w:w="1134" w:type="dxa"/>
            <w:vMerge w:val="continue"/>
            <w:tcBorders>
              <w:top w:val="nil"/>
              <w:left w:val="single" w:color="auto" w:sz="4" w:space="0"/>
              <w:bottom w:val="single" w:color="auto" w:sz="4" w:space="0"/>
              <w:right w:val="single" w:color="auto" w:sz="4" w:space="0"/>
            </w:tcBorders>
            <w:vAlign w:val="center"/>
          </w:tcPr>
          <w:p w14:paraId="36B74368">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2FA1AE0C">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689EBDDA">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2CE63694">
            <w:pPr>
              <w:pStyle w:val="109"/>
              <w:rPr>
                <w:color w:val="000000" w:themeColor="text1"/>
                <w:szCs w:val="21"/>
                <w14:textFill>
                  <w14:solidFill>
                    <w14:schemeClr w14:val="tx1"/>
                  </w14:solidFill>
                </w14:textFill>
              </w:rPr>
            </w:pPr>
          </w:p>
        </w:tc>
      </w:tr>
      <w:tr w14:paraId="1715561E">
        <w:tblPrEx>
          <w:tblCellMar>
            <w:top w:w="0" w:type="dxa"/>
            <w:left w:w="108" w:type="dxa"/>
            <w:bottom w:w="0" w:type="dxa"/>
            <w:right w:w="108" w:type="dxa"/>
          </w:tblCellMar>
        </w:tblPrEx>
        <w:trPr>
          <w:trHeight w:val="576" w:hRule="atLeast"/>
        </w:trPr>
        <w:tc>
          <w:tcPr>
            <w:tcW w:w="704" w:type="dxa"/>
            <w:vMerge w:val="continue"/>
            <w:tcBorders>
              <w:top w:val="nil"/>
              <w:left w:val="single" w:color="auto" w:sz="4" w:space="0"/>
              <w:bottom w:val="single" w:color="auto" w:sz="4" w:space="0"/>
              <w:right w:val="single" w:color="auto" w:sz="4" w:space="0"/>
            </w:tcBorders>
            <w:vAlign w:val="center"/>
          </w:tcPr>
          <w:p w14:paraId="279D7E7A">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6009E0E4">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76056B1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二噁英类ngTEQ/Nm³</w:t>
            </w:r>
          </w:p>
        </w:tc>
        <w:tc>
          <w:tcPr>
            <w:tcW w:w="1139" w:type="dxa"/>
            <w:tcBorders>
              <w:top w:val="nil"/>
              <w:left w:val="nil"/>
              <w:bottom w:val="single" w:color="auto" w:sz="4" w:space="0"/>
              <w:right w:val="single" w:color="auto" w:sz="4" w:space="0"/>
            </w:tcBorders>
            <w:noWrap/>
            <w:vAlign w:val="center"/>
          </w:tcPr>
          <w:p w14:paraId="48EAFAA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0.02ngTEQ/Nm³</w:t>
            </w:r>
          </w:p>
        </w:tc>
        <w:tc>
          <w:tcPr>
            <w:tcW w:w="1275" w:type="dxa"/>
            <w:tcBorders>
              <w:top w:val="nil"/>
              <w:left w:val="nil"/>
              <w:bottom w:val="single" w:color="auto" w:sz="4" w:space="0"/>
              <w:right w:val="single" w:color="auto" w:sz="4" w:space="0"/>
            </w:tcBorders>
            <w:vAlign w:val="center"/>
          </w:tcPr>
          <w:p w14:paraId="799F68B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0.00008mgTEQ/h</w:t>
            </w:r>
          </w:p>
        </w:tc>
        <w:tc>
          <w:tcPr>
            <w:tcW w:w="1134" w:type="dxa"/>
            <w:vMerge w:val="continue"/>
            <w:tcBorders>
              <w:top w:val="nil"/>
              <w:left w:val="single" w:color="auto" w:sz="4" w:space="0"/>
              <w:bottom w:val="single" w:color="auto" w:sz="4" w:space="0"/>
              <w:right w:val="single" w:color="auto" w:sz="4" w:space="0"/>
            </w:tcBorders>
            <w:vAlign w:val="center"/>
          </w:tcPr>
          <w:p w14:paraId="7381BC60">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5324A530">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3FE1F515">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5A840DE1">
            <w:pPr>
              <w:pStyle w:val="109"/>
              <w:rPr>
                <w:color w:val="000000" w:themeColor="text1"/>
                <w:szCs w:val="21"/>
                <w14:textFill>
                  <w14:solidFill>
                    <w14:schemeClr w14:val="tx1"/>
                  </w14:solidFill>
                </w14:textFill>
              </w:rPr>
            </w:pPr>
          </w:p>
        </w:tc>
      </w:tr>
      <w:tr w14:paraId="15BA6093">
        <w:tblPrEx>
          <w:tblCellMar>
            <w:top w:w="0" w:type="dxa"/>
            <w:left w:w="108" w:type="dxa"/>
            <w:bottom w:w="0" w:type="dxa"/>
            <w:right w:w="108" w:type="dxa"/>
          </w:tblCellMar>
        </w:tblPrEx>
        <w:trPr>
          <w:trHeight w:val="288" w:hRule="atLeast"/>
        </w:trPr>
        <w:tc>
          <w:tcPr>
            <w:tcW w:w="704" w:type="dxa"/>
            <w:vMerge w:val="continue"/>
            <w:tcBorders>
              <w:top w:val="nil"/>
              <w:left w:val="single" w:color="auto" w:sz="4" w:space="0"/>
              <w:bottom w:val="single" w:color="auto" w:sz="4" w:space="0"/>
              <w:right w:val="single" w:color="auto" w:sz="4" w:space="0"/>
            </w:tcBorders>
            <w:vAlign w:val="center"/>
          </w:tcPr>
          <w:p w14:paraId="28958D86">
            <w:pPr>
              <w:pStyle w:val="109"/>
              <w:rPr>
                <w:color w:val="000000" w:themeColor="text1"/>
                <w:szCs w:val="21"/>
                <w14:textFill>
                  <w14:solidFill>
                    <w14:schemeClr w14:val="tx1"/>
                  </w14:solidFill>
                </w14:textFill>
              </w:rPr>
            </w:pPr>
          </w:p>
        </w:tc>
        <w:tc>
          <w:tcPr>
            <w:tcW w:w="709" w:type="dxa"/>
            <w:vMerge w:val="restart"/>
            <w:tcBorders>
              <w:top w:val="nil"/>
              <w:left w:val="single" w:color="auto" w:sz="4" w:space="0"/>
              <w:bottom w:val="single" w:color="auto" w:sz="4" w:space="0"/>
              <w:right w:val="single" w:color="auto" w:sz="4" w:space="0"/>
            </w:tcBorders>
            <w:noWrap/>
            <w:vAlign w:val="center"/>
          </w:tcPr>
          <w:p w14:paraId="0C6312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天然气燃烧废气</w:t>
            </w:r>
          </w:p>
        </w:tc>
        <w:tc>
          <w:tcPr>
            <w:tcW w:w="1559" w:type="dxa"/>
            <w:tcBorders>
              <w:top w:val="nil"/>
              <w:left w:val="nil"/>
              <w:bottom w:val="single" w:color="auto" w:sz="4" w:space="0"/>
              <w:right w:val="single" w:color="auto" w:sz="4" w:space="0"/>
            </w:tcBorders>
            <w:vAlign w:val="center"/>
          </w:tcPr>
          <w:p w14:paraId="4FBF8FB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39" w:type="dxa"/>
            <w:tcBorders>
              <w:top w:val="nil"/>
              <w:left w:val="nil"/>
              <w:bottom w:val="single" w:color="auto" w:sz="4" w:space="0"/>
              <w:right w:val="single" w:color="auto" w:sz="4" w:space="0"/>
            </w:tcBorders>
            <w:vAlign w:val="center"/>
          </w:tcPr>
          <w:p w14:paraId="02F94C5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9.3</w:t>
            </w:r>
          </w:p>
        </w:tc>
        <w:tc>
          <w:tcPr>
            <w:tcW w:w="1275" w:type="dxa"/>
            <w:tcBorders>
              <w:top w:val="nil"/>
              <w:left w:val="nil"/>
              <w:bottom w:val="single" w:color="auto" w:sz="4" w:space="0"/>
              <w:right w:val="single" w:color="auto" w:sz="4" w:space="0"/>
            </w:tcBorders>
            <w:vAlign w:val="center"/>
          </w:tcPr>
          <w:p w14:paraId="30F2EF9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0.029</w:t>
            </w:r>
          </w:p>
        </w:tc>
        <w:tc>
          <w:tcPr>
            <w:tcW w:w="1134" w:type="dxa"/>
            <w:vMerge w:val="restart"/>
            <w:tcBorders>
              <w:top w:val="nil"/>
              <w:left w:val="single" w:color="auto" w:sz="4" w:space="0"/>
              <w:bottom w:val="single" w:color="auto" w:sz="4" w:space="0"/>
              <w:right w:val="single" w:color="auto" w:sz="4" w:space="0"/>
            </w:tcBorders>
            <w:noWrap/>
            <w:vAlign w:val="center"/>
          </w:tcPr>
          <w:p w14:paraId="72DF287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93" w:type="dxa"/>
            <w:vMerge w:val="restart"/>
            <w:tcBorders>
              <w:top w:val="nil"/>
              <w:left w:val="single" w:color="auto" w:sz="4" w:space="0"/>
              <w:bottom w:val="single" w:color="auto" w:sz="4" w:space="0"/>
              <w:right w:val="single" w:color="auto" w:sz="4" w:space="0"/>
            </w:tcBorders>
            <w:noWrap/>
            <w:vAlign w:val="center"/>
          </w:tcPr>
          <w:p w14:paraId="762114B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p>
        </w:tc>
        <w:tc>
          <w:tcPr>
            <w:tcW w:w="992" w:type="dxa"/>
            <w:vMerge w:val="restart"/>
            <w:tcBorders>
              <w:top w:val="nil"/>
              <w:left w:val="single" w:color="auto" w:sz="4" w:space="0"/>
              <w:bottom w:val="single" w:color="auto" w:sz="4" w:space="0"/>
              <w:right w:val="single" w:color="auto" w:sz="4" w:space="0"/>
            </w:tcBorders>
            <w:noWrap/>
            <w:vAlign w:val="center"/>
          </w:tcPr>
          <w:p w14:paraId="6E2440B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高度15m</w:t>
            </w:r>
          </w:p>
        </w:tc>
        <w:tc>
          <w:tcPr>
            <w:tcW w:w="1129" w:type="dxa"/>
            <w:vMerge w:val="restart"/>
            <w:tcBorders>
              <w:top w:val="nil"/>
              <w:left w:val="single" w:color="auto" w:sz="4" w:space="0"/>
              <w:bottom w:val="single" w:color="auto" w:sz="4" w:space="0"/>
              <w:right w:val="single" w:color="auto" w:sz="4" w:space="0"/>
            </w:tcBorders>
            <w:noWrap/>
            <w:vAlign w:val="center"/>
          </w:tcPr>
          <w:p w14:paraId="7FD47C8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设置备用设施或紧急停车</w:t>
            </w:r>
          </w:p>
        </w:tc>
      </w:tr>
      <w:tr w14:paraId="483ECF7A">
        <w:tblPrEx>
          <w:tblCellMar>
            <w:top w:w="0" w:type="dxa"/>
            <w:left w:w="108" w:type="dxa"/>
            <w:bottom w:w="0" w:type="dxa"/>
            <w:right w:w="108" w:type="dxa"/>
          </w:tblCellMar>
        </w:tblPrEx>
        <w:trPr>
          <w:trHeight w:val="288" w:hRule="atLeast"/>
        </w:trPr>
        <w:tc>
          <w:tcPr>
            <w:tcW w:w="704" w:type="dxa"/>
            <w:vMerge w:val="continue"/>
            <w:tcBorders>
              <w:top w:val="nil"/>
              <w:left w:val="single" w:color="auto" w:sz="4" w:space="0"/>
              <w:bottom w:val="single" w:color="auto" w:sz="4" w:space="0"/>
              <w:right w:val="single" w:color="auto" w:sz="4" w:space="0"/>
            </w:tcBorders>
            <w:vAlign w:val="center"/>
          </w:tcPr>
          <w:p w14:paraId="2A17A1EC">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67ABAF40">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406F264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1139" w:type="dxa"/>
            <w:tcBorders>
              <w:top w:val="nil"/>
              <w:left w:val="nil"/>
              <w:bottom w:val="single" w:color="auto" w:sz="4" w:space="0"/>
              <w:right w:val="single" w:color="auto" w:sz="4" w:space="0"/>
            </w:tcBorders>
            <w:vAlign w:val="center"/>
          </w:tcPr>
          <w:p w14:paraId="031B7D0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18.6</w:t>
            </w:r>
          </w:p>
        </w:tc>
        <w:tc>
          <w:tcPr>
            <w:tcW w:w="1275" w:type="dxa"/>
            <w:tcBorders>
              <w:top w:val="nil"/>
              <w:left w:val="nil"/>
              <w:bottom w:val="single" w:color="auto" w:sz="4" w:space="0"/>
              <w:right w:val="single" w:color="auto" w:sz="4" w:space="0"/>
            </w:tcBorders>
            <w:vAlign w:val="center"/>
          </w:tcPr>
          <w:p w14:paraId="50995C1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0.058</w:t>
            </w:r>
          </w:p>
        </w:tc>
        <w:tc>
          <w:tcPr>
            <w:tcW w:w="1134" w:type="dxa"/>
            <w:vMerge w:val="continue"/>
            <w:tcBorders>
              <w:top w:val="nil"/>
              <w:left w:val="single" w:color="auto" w:sz="4" w:space="0"/>
              <w:bottom w:val="single" w:color="auto" w:sz="4" w:space="0"/>
              <w:right w:val="single" w:color="auto" w:sz="4" w:space="0"/>
            </w:tcBorders>
            <w:vAlign w:val="center"/>
          </w:tcPr>
          <w:p w14:paraId="266E2484">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6A7B9DBD">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235F47EF">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1957615C">
            <w:pPr>
              <w:pStyle w:val="109"/>
              <w:rPr>
                <w:color w:val="000000" w:themeColor="text1"/>
                <w:szCs w:val="21"/>
                <w14:textFill>
                  <w14:solidFill>
                    <w14:schemeClr w14:val="tx1"/>
                  </w14:solidFill>
                </w14:textFill>
              </w:rPr>
            </w:pPr>
          </w:p>
        </w:tc>
      </w:tr>
      <w:tr w14:paraId="66345C17">
        <w:tblPrEx>
          <w:tblCellMar>
            <w:top w:w="0" w:type="dxa"/>
            <w:left w:w="108" w:type="dxa"/>
            <w:bottom w:w="0" w:type="dxa"/>
            <w:right w:w="108" w:type="dxa"/>
          </w:tblCellMar>
        </w:tblPrEx>
        <w:trPr>
          <w:trHeight w:val="288" w:hRule="atLeast"/>
        </w:trPr>
        <w:tc>
          <w:tcPr>
            <w:tcW w:w="704" w:type="dxa"/>
            <w:vMerge w:val="continue"/>
            <w:tcBorders>
              <w:top w:val="nil"/>
              <w:left w:val="single" w:color="auto" w:sz="4" w:space="0"/>
              <w:bottom w:val="single" w:color="auto" w:sz="4" w:space="0"/>
              <w:right w:val="single" w:color="auto" w:sz="4" w:space="0"/>
            </w:tcBorders>
            <w:vAlign w:val="center"/>
          </w:tcPr>
          <w:p w14:paraId="2CAA58FB">
            <w:pPr>
              <w:pStyle w:val="109"/>
              <w:rPr>
                <w:color w:val="000000" w:themeColor="text1"/>
                <w:szCs w:val="21"/>
                <w14:textFill>
                  <w14:solidFill>
                    <w14:schemeClr w14:val="tx1"/>
                  </w14:solidFill>
                </w14:textFill>
              </w:rPr>
            </w:pPr>
          </w:p>
        </w:tc>
        <w:tc>
          <w:tcPr>
            <w:tcW w:w="709" w:type="dxa"/>
            <w:vMerge w:val="continue"/>
            <w:tcBorders>
              <w:top w:val="nil"/>
              <w:left w:val="single" w:color="auto" w:sz="4" w:space="0"/>
              <w:bottom w:val="single" w:color="auto" w:sz="4" w:space="0"/>
              <w:right w:val="single" w:color="auto" w:sz="4" w:space="0"/>
            </w:tcBorders>
            <w:vAlign w:val="center"/>
          </w:tcPr>
          <w:p w14:paraId="1E2470F9">
            <w:pPr>
              <w:pStyle w:val="109"/>
              <w:rPr>
                <w:color w:val="000000" w:themeColor="text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770EC77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1139" w:type="dxa"/>
            <w:tcBorders>
              <w:top w:val="nil"/>
              <w:left w:val="nil"/>
              <w:bottom w:val="single" w:color="auto" w:sz="4" w:space="0"/>
              <w:right w:val="single" w:color="auto" w:sz="4" w:space="0"/>
            </w:tcBorders>
            <w:vAlign w:val="center"/>
          </w:tcPr>
          <w:p w14:paraId="0D07E7B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147.3</w:t>
            </w:r>
          </w:p>
        </w:tc>
        <w:tc>
          <w:tcPr>
            <w:tcW w:w="1275" w:type="dxa"/>
            <w:tcBorders>
              <w:top w:val="nil"/>
              <w:left w:val="nil"/>
              <w:bottom w:val="single" w:color="auto" w:sz="4" w:space="0"/>
              <w:right w:val="single" w:color="auto" w:sz="4" w:space="0"/>
            </w:tcBorders>
            <w:vAlign w:val="center"/>
          </w:tcPr>
          <w:p w14:paraId="03523C1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0.459</w:t>
            </w:r>
          </w:p>
        </w:tc>
        <w:tc>
          <w:tcPr>
            <w:tcW w:w="1134" w:type="dxa"/>
            <w:vMerge w:val="continue"/>
            <w:tcBorders>
              <w:top w:val="nil"/>
              <w:left w:val="single" w:color="auto" w:sz="4" w:space="0"/>
              <w:bottom w:val="single" w:color="auto" w:sz="4" w:space="0"/>
              <w:right w:val="single" w:color="auto" w:sz="4" w:space="0"/>
            </w:tcBorders>
            <w:vAlign w:val="center"/>
          </w:tcPr>
          <w:p w14:paraId="04D71C11">
            <w:pPr>
              <w:pStyle w:val="109"/>
              <w:rPr>
                <w:color w:val="000000" w:themeColor="text1"/>
                <w:szCs w:val="21"/>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4B5C5B05">
            <w:pPr>
              <w:pStyle w:val="109"/>
              <w:rPr>
                <w:color w:val="000000" w:themeColor="text1"/>
                <w:szCs w:val="21"/>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14:paraId="311CAB0C">
            <w:pPr>
              <w:pStyle w:val="109"/>
              <w:rPr>
                <w:color w:val="000000" w:themeColor="text1"/>
                <w:szCs w:val="21"/>
                <w14:textFill>
                  <w14:solidFill>
                    <w14:schemeClr w14:val="tx1"/>
                  </w14:solidFill>
                </w14:textFill>
              </w:rPr>
            </w:pPr>
          </w:p>
        </w:tc>
        <w:tc>
          <w:tcPr>
            <w:tcW w:w="1129" w:type="dxa"/>
            <w:vMerge w:val="continue"/>
            <w:tcBorders>
              <w:top w:val="nil"/>
              <w:left w:val="single" w:color="auto" w:sz="4" w:space="0"/>
              <w:bottom w:val="single" w:color="auto" w:sz="4" w:space="0"/>
              <w:right w:val="single" w:color="auto" w:sz="4" w:space="0"/>
            </w:tcBorders>
            <w:vAlign w:val="center"/>
          </w:tcPr>
          <w:p w14:paraId="33DAA68E">
            <w:pPr>
              <w:pStyle w:val="109"/>
              <w:rPr>
                <w:color w:val="000000" w:themeColor="text1"/>
                <w:szCs w:val="21"/>
                <w14:textFill>
                  <w14:solidFill>
                    <w14:schemeClr w14:val="tx1"/>
                  </w14:solidFill>
                </w14:textFill>
              </w:rPr>
            </w:pPr>
          </w:p>
        </w:tc>
      </w:tr>
      <w:bookmarkEnd w:id="289"/>
      <w:bookmarkEnd w:id="290"/>
    </w:tbl>
    <w:p w14:paraId="56E44FDF">
      <w:pPr>
        <w:pStyle w:val="3"/>
        <w:rPr>
          <w:rFonts w:ascii="Times New Roman" w:cs="Times New Roman"/>
          <w:color w:val="000000" w:themeColor="text1"/>
          <w14:textFill>
            <w14:solidFill>
              <w14:schemeClr w14:val="tx1"/>
            </w14:solidFill>
          </w14:textFill>
        </w:rPr>
      </w:pPr>
      <w:bookmarkStart w:id="291" w:name="_Toc225268305"/>
      <w:bookmarkStart w:id="292" w:name="_Toc225489092"/>
      <w:bookmarkStart w:id="293" w:name="_Toc266187618"/>
      <w:bookmarkStart w:id="294" w:name="_Toc321821780"/>
      <w:bookmarkStart w:id="295" w:name="_Toc278649485"/>
      <w:bookmarkStart w:id="296" w:name="_Toc329793566"/>
      <w:bookmarkStart w:id="297" w:name="_Toc330460785"/>
      <w:r>
        <w:rPr>
          <w:rFonts w:ascii="Times New Roman" w:cs="Times New Roman"/>
          <w:color w:val="000000" w:themeColor="text1"/>
          <w14:textFill>
            <w14:solidFill>
              <w14:schemeClr w14:val="tx1"/>
            </w14:solidFill>
          </w14:textFill>
        </w:rPr>
        <w:t>运输过程中的环境影响</w:t>
      </w:r>
      <w:bookmarkEnd w:id="291"/>
    </w:p>
    <w:p w14:paraId="0FD8FB60">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建设单位委托有资质的专业危险废物运输单位进行危废收运，不单独成立车队。</w:t>
      </w:r>
    </w:p>
    <w:p w14:paraId="123051C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本项目不设置转运站，危废在运输过程中会对途中路过的村庄、学校等环境敏感区产生影响，其影响如下：</w:t>
      </w:r>
    </w:p>
    <w:p w14:paraId="62BE89E6">
      <w:pPr>
        <w:ind w:firstLine="482"/>
        <w:rPr>
          <w:color w:val="000000" w:themeColor="text1"/>
          <w14:textFill>
            <w14:solidFill>
              <w14:schemeClr w14:val="tx1"/>
            </w14:solidFill>
          </w14:textFill>
        </w:rPr>
      </w:pPr>
      <w:r>
        <w:rPr>
          <w:b/>
          <w:color w:val="000000" w:themeColor="text1"/>
          <w14:textFill>
            <w14:solidFill>
              <w14:schemeClr w14:val="tx1"/>
            </w14:solidFill>
          </w14:textFill>
        </w:rPr>
        <w:t>废气、废水：</w:t>
      </w:r>
      <w:r>
        <w:rPr>
          <w:color w:val="000000" w:themeColor="text1"/>
          <w14:textFill>
            <w14:solidFill>
              <w14:schemeClr w14:val="tx1"/>
            </w14:solidFill>
          </w14:textFill>
        </w:rPr>
        <w:t>运输路线的废气、废水影响主要为密闭转运车运输途中所装危废散发的恶臭和沿路滴漏的渗滤液，但本项目采用的是密封式转运车，原料采用带有防渗漏内衬的吨包，防止危废洒落；同时运输车均有集污箱，产生的渗滤液可以通过车箱流入集污箱，送至本处理厂处理，防止渗滤液外流及恶臭对沿线影响，通过以上措施，本项目运输系统对运输路线周围敏感点的空气和水环境影响较小。</w:t>
      </w:r>
    </w:p>
    <w:p w14:paraId="42BD1C63">
      <w:pPr>
        <w:ind w:firstLine="482"/>
        <w:rPr>
          <w:color w:val="000000" w:themeColor="text1"/>
          <w14:textFill>
            <w14:solidFill>
              <w14:schemeClr w14:val="tx1"/>
            </w14:solidFill>
          </w14:textFill>
        </w:rPr>
      </w:pPr>
      <w:r>
        <w:rPr>
          <w:b/>
          <w:color w:val="000000" w:themeColor="text1"/>
          <w14:textFill>
            <w14:solidFill>
              <w14:schemeClr w14:val="tx1"/>
            </w14:solidFill>
          </w14:textFill>
        </w:rPr>
        <w:t>噪声：</w:t>
      </w:r>
      <w:r>
        <w:rPr>
          <w:color w:val="000000" w:themeColor="text1"/>
          <w14:textFill>
            <w14:solidFill>
              <w14:schemeClr w14:val="tx1"/>
            </w14:solidFill>
          </w14:textFill>
        </w:rPr>
        <w:t>本项目运输路线主要为高速公路及省道，此道路的车流量较大，则因本项目增加的车流量相对于道路原有的车流量来说较小，则因本项目车流量增加的噪声值较小，故本项目运输系统对周围敏感点噪声影响较小；但为进一步保护运输路线周围的敏感目标，运输中应采取噪声值较低的运输车，合理安排运输时间，防止运输车对沿线的敏感点造成影响。</w:t>
      </w:r>
    </w:p>
    <w:p w14:paraId="6BF6E804">
      <w:pPr>
        <w:ind w:firstLine="482"/>
        <w:rPr>
          <w:color w:val="000000" w:themeColor="text1"/>
          <w14:textFill>
            <w14:solidFill>
              <w14:schemeClr w14:val="tx1"/>
            </w14:solidFill>
          </w14:textFill>
        </w:rPr>
      </w:pPr>
      <w:r>
        <w:rPr>
          <w:b/>
          <w:color w:val="000000" w:themeColor="text1"/>
          <w14:textFill>
            <w14:solidFill>
              <w14:schemeClr w14:val="tx1"/>
            </w14:solidFill>
          </w14:textFill>
        </w:rPr>
        <w:t>卫生问题：</w:t>
      </w:r>
      <w:r>
        <w:rPr>
          <w:color w:val="000000" w:themeColor="text1"/>
          <w14:textFill>
            <w14:solidFill>
              <w14:schemeClr w14:val="tx1"/>
            </w14:solidFill>
          </w14:textFill>
        </w:rPr>
        <w:t>本项目采用的是密封式转运车，可有效防止危废洒落，同时本项目定期及时对转运车进行消毒，因此通过以上措施，本项目运输过程中产生的卫生问题对周围敏感点的影响较小。</w:t>
      </w:r>
    </w:p>
    <w:p w14:paraId="7A2FCA6D">
      <w:pPr>
        <w:ind w:firstLine="480"/>
        <w:rPr>
          <w:color w:val="000000" w:themeColor="text1"/>
          <w14:textFill>
            <w14:solidFill>
              <w14:schemeClr w14:val="tx1"/>
            </w14:solidFill>
          </w14:textFill>
        </w:rPr>
      </w:pPr>
      <w:r>
        <w:rPr>
          <w:color w:val="000000" w:themeColor="text1"/>
          <w14:textFill>
            <w14:solidFill>
              <w14:schemeClr w14:val="tx1"/>
            </w14:solidFill>
          </w14:textFill>
        </w:rPr>
        <w:t>通过以上措施，本项目运输系统对运输路线周围敏感点的影响较小。</w:t>
      </w:r>
    </w:p>
    <w:p w14:paraId="1675A3DF">
      <w:pPr>
        <w:ind w:firstLine="480"/>
        <w:rPr>
          <w:color w:val="000000" w:themeColor="text1"/>
          <w14:textFill>
            <w14:solidFill>
              <w14:schemeClr w14:val="tx1"/>
            </w14:solidFill>
          </w14:textFill>
        </w:rPr>
      </w:pPr>
      <w:r>
        <w:rPr>
          <w:color w:val="000000" w:themeColor="text1"/>
          <w14:textFill>
            <w14:solidFill>
              <w14:schemeClr w14:val="tx1"/>
            </w14:solidFill>
          </w14:textFill>
        </w:rPr>
        <w:t>此外，要求收运单位严格按照《危险废物污染防治技术政策》（环发[2001]199号）、《汽车危险货物运输规则》（JT3130-1988）和《危险货物道路运输安全管理办法》（交通运输部令2019年第29号）关于危险废物的收集和运输要求：危废车辆全部采用密闭运输，装运危废的容器不易破损、变形、老化，能有效防止渗漏、扩散，减少运输过程中的二次污染和可能造成的环境风险；危废运输的容器均贴有标签，标签上详细标明危废名称、重量、成分、特性以及发生泄漏、扩散污染事故时的应急措施和补救方法。本次评价从加强安全运输管理出发，制定了运输过程中各种可能突发情况下的紧急处理预案和安全防范措施。</w:t>
      </w:r>
    </w:p>
    <w:p w14:paraId="3A1C679F">
      <w:pPr>
        <w:ind w:firstLine="480"/>
        <w:rPr>
          <w:color w:val="000000" w:themeColor="text1"/>
          <w14:textFill>
            <w14:solidFill>
              <w14:schemeClr w14:val="tx1"/>
            </w14:solidFill>
          </w14:textFill>
        </w:rPr>
      </w:pPr>
      <w:r>
        <w:rPr>
          <w:color w:val="000000" w:themeColor="text1"/>
          <w14:textFill>
            <w14:solidFill>
              <w14:schemeClr w14:val="tx1"/>
            </w14:solidFill>
          </w14:textFill>
        </w:rPr>
        <w:t>车辆经过大桥等水域发生污染时需采取以下措施：</w:t>
      </w:r>
    </w:p>
    <w:p w14:paraId="6EC00EC8">
      <w:pPr>
        <w:ind w:firstLine="480"/>
        <w:rPr>
          <w:color w:val="000000" w:themeColor="text1"/>
          <w14:textFill>
            <w14:solidFill>
              <w14:schemeClr w14:val="tx1"/>
            </w14:solidFill>
          </w14:textFill>
        </w:rPr>
      </w:pPr>
      <w:r>
        <w:rPr>
          <w:color w:val="000000" w:themeColor="text1"/>
          <w14:textFill>
            <w14:solidFill>
              <w14:schemeClr w14:val="tx1"/>
            </w14:solidFill>
          </w14:textFill>
        </w:rPr>
        <w:t>（1）根据车辆局部泄漏（散落）的现象，清理人员穿戴好防护服、手套、口罩、耐酸碱胶靴等防护用品，需要时配置氧气呼吸器等防护装置。逐一查找局部泄漏（散落）的准确部位，对泄漏（散落）部位实施规范的污染隔离。</w:t>
      </w:r>
    </w:p>
    <w:p w14:paraId="59040E8F">
      <w:pPr>
        <w:ind w:firstLine="480"/>
        <w:rPr>
          <w:color w:val="000000" w:themeColor="text1"/>
          <w14:textFill>
            <w14:solidFill>
              <w14:schemeClr w14:val="tx1"/>
            </w14:solidFill>
          </w14:textFill>
        </w:rPr>
      </w:pPr>
      <w:r>
        <w:rPr>
          <w:color w:val="000000" w:themeColor="text1"/>
          <w14:textFill>
            <w14:solidFill>
              <w14:schemeClr w14:val="tx1"/>
            </w14:solidFill>
          </w14:textFill>
        </w:rPr>
        <w:t>（2）根据发生泄漏（散落）液体、半固体、固体的不同化学性质（腐蚀、氧化、易燃、易爆、毒害性），实施拦截、隔绝、稀释、中和、泄压等有效措施采取先堵后清理。只有经过培训合格的人员在佩戴适当防护服及装备时才能处理及清洁溢漏、散落的危险化学废物。</w:t>
      </w:r>
    </w:p>
    <w:p w14:paraId="0BAF6031">
      <w:pPr>
        <w:ind w:firstLine="480"/>
        <w:rPr>
          <w:color w:val="000000" w:themeColor="text1"/>
          <w14:textFill>
            <w14:solidFill>
              <w14:schemeClr w14:val="tx1"/>
            </w14:solidFill>
          </w14:textFill>
        </w:rPr>
      </w:pPr>
      <w:r>
        <w:rPr>
          <w:color w:val="000000" w:themeColor="text1"/>
          <w14:textFill>
            <w14:solidFill>
              <w14:schemeClr w14:val="tx1"/>
            </w14:solidFill>
          </w14:textFill>
        </w:rPr>
        <w:t>（3）若泄漏的废物为大量液体，迅速进行收集、清理和防渗和吸附处理。并采用便携泵、勺铲等手提器具把废物转入合适的容器内。若为小量的溢漏废物，采用纸巾、木糠、干软沙或蛭石等适当的吸附剂加以覆盖及混合，将之作固体危险废物处理并转入适当的容器内暂时贮存，续后交妥善处理处置。</w:t>
      </w:r>
    </w:p>
    <w:p w14:paraId="6209DBEA">
      <w:pPr>
        <w:ind w:firstLine="480"/>
        <w:rPr>
          <w:color w:val="000000" w:themeColor="text1"/>
          <w14:textFill>
            <w14:solidFill>
              <w14:schemeClr w14:val="tx1"/>
            </w14:solidFill>
          </w14:textFill>
        </w:rPr>
      </w:pPr>
      <w:r>
        <w:rPr>
          <w:color w:val="000000" w:themeColor="text1"/>
          <w14:textFill>
            <w14:solidFill>
              <w14:schemeClr w14:val="tx1"/>
            </w14:solidFill>
          </w14:textFill>
        </w:rPr>
        <w:t>（4）若泄漏的废物属剧毒、高挥发性或高危险废物，应立即实行化学氧化、还原、消解的方法进一步开展积极有效的现场处置工作。</w:t>
      </w:r>
    </w:p>
    <w:p w14:paraId="2F468EFA">
      <w:pPr>
        <w:ind w:firstLine="480"/>
        <w:rPr>
          <w:color w:val="000000" w:themeColor="text1"/>
          <w14:textFill>
            <w14:solidFill>
              <w14:schemeClr w14:val="tx1"/>
            </w14:solidFill>
          </w14:textFill>
        </w:rPr>
      </w:pPr>
      <w:r>
        <w:rPr>
          <w:color w:val="000000" w:themeColor="text1"/>
          <w14:textFill>
            <w14:solidFill>
              <w14:schemeClr w14:val="tx1"/>
            </w14:solidFill>
          </w14:textFill>
        </w:rPr>
        <w:t>（5）针对堵漏效果不明显等存在的问题和困难，立即采取规范更换有关包装桶(袋)的应急措施，切实从泄漏（散落）问题的源头上去解决。在完成局部泄漏（散落）包装桶（袋）的更换工作后，采用木糠或活性炭等吸附剂仔细对受污染了地面实施3-5 次反复吸附清理工作，将吸附所产生污染了的吸附剂规范进行桶（袋）装。</w:t>
      </w:r>
    </w:p>
    <w:p w14:paraId="40E7E709">
      <w:pPr>
        <w:ind w:firstLine="480"/>
        <w:rPr>
          <w:color w:val="000000" w:themeColor="text1"/>
          <w14:textFill>
            <w14:solidFill>
              <w14:schemeClr w14:val="tx1"/>
            </w14:solidFill>
          </w14:textFill>
        </w:rPr>
      </w:pPr>
      <w:r>
        <w:rPr>
          <w:color w:val="000000" w:themeColor="text1"/>
          <w14:textFill>
            <w14:solidFill>
              <w14:schemeClr w14:val="tx1"/>
            </w14:solidFill>
          </w14:textFill>
        </w:rPr>
        <w:t>（6）遭泄漏危险废物所污染的地方，必须进行规范清洗。若有关的危险废物是含水性或水容性有机物，可用清水作溶剂。若是不溶于水的有机化学废物，可用酒精或煤油作溶剂。清理过程中所产生的一切废物，应作危险废物处理处置。</w:t>
      </w:r>
    </w:p>
    <w:p w14:paraId="1B97126C">
      <w:pPr>
        <w:ind w:firstLine="480"/>
        <w:rPr>
          <w:color w:val="000000" w:themeColor="text1"/>
          <w14:textFill>
            <w14:solidFill>
              <w14:schemeClr w14:val="tx1"/>
            </w14:solidFill>
          </w14:textFill>
        </w:rPr>
      </w:pPr>
      <w:r>
        <w:rPr>
          <w:color w:val="000000" w:themeColor="text1"/>
          <w14:textFill>
            <w14:solidFill>
              <w14:schemeClr w14:val="tx1"/>
            </w14:solidFill>
          </w14:textFill>
        </w:rPr>
        <w:t>危废运输车辆的防护措施如下：</w:t>
      </w:r>
    </w:p>
    <w:p w14:paraId="0DAA7E06">
      <w:pPr>
        <w:ind w:firstLine="480"/>
        <w:rPr>
          <w:color w:val="000000" w:themeColor="text1"/>
          <w14:textFill>
            <w14:solidFill>
              <w14:schemeClr w14:val="tx1"/>
            </w14:solidFill>
          </w14:textFill>
        </w:rPr>
      </w:pPr>
      <w:r>
        <w:rPr>
          <w:color w:val="000000" w:themeColor="text1"/>
          <w14:textFill>
            <w14:solidFill>
              <w14:schemeClr w14:val="tx1"/>
            </w14:solidFill>
          </w14:textFill>
        </w:rPr>
        <w:t>（1）执行危险废物运输任务的车辆必须满足性能状况良好，车容整洁、车厢内清洁烘干，并严格按要求配备和使用了合格的安全、消防等应急防护器材。</w:t>
      </w:r>
    </w:p>
    <w:p w14:paraId="60B155EA">
      <w:pPr>
        <w:ind w:firstLine="480"/>
        <w:rPr>
          <w:color w:val="000000" w:themeColor="text1"/>
          <w14:textFill>
            <w14:solidFill>
              <w14:schemeClr w14:val="tx1"/>
            </w14:solidFill>
          </w14:textFill>
        </w:rPr>
      </w:pPr>
      <w:r>
        <w:rPr>
          <w:color w:val="000000" w:themeColor="text1"/>
          <w14:textFill>
            <w14:solidFill>
              <w14:schemeClr w14:val="tx1"/>
            </w14:solidFill>
          </w14:textFill>
        </w:rPr>
        <w:t>（2）危险废物运输车辆驾驶员应严格执行车辆的例行检查、车辆二级维护等管理规定，及时发现和处理车辆存在的机械故障等隐患问题，提高车辆的行驶性能，以确保该类车辆的安全行驶。</w:t>
      </w:r>
    </w:p>
    <w:p w14:paraId="0E39D285">
      <w:pPr>
        <w:ind w:firstLine="480"/>
        <w:rPr>
          <w:color w:val="000000" w:themeColor="text1"/>
          <w14:textFill>
            <w14:solidFill>
              <w14:schemeClr w14:val="tx1"/>
            </w14:solidFill>
          </w14:textFill>
        </w:rPr>
      </w:pPr>
      <w:r>
        <w:rPr>
          <w:color w:val="000000" w:themeColor="text1"/>
          <w14:textFill>
            <w14:solidFill>
              <w14:schemeClr w14:val="tx1"/>
            </w14:solidFill>
          </w14:textFill>
        </w:rPr>
        <w:t>（3）危险废物运输车辆在出车前，应根据本次运输废物的危险特性，在技术人员的指导下，领取人员防护装备和随车应急处置物品；检查随车医用救护包是否完好。</w:t>
      </w:r>
    </w:p>
    <w:p w14:paraId="5B4DE9FE">
      <w:pPr>
        <w:ind w:firstLine="480"/>
        <w:rPr>
          <w:color w:val="000000" w:themeColor="text1"/>
          <w14:textFill>
            <w14:solidFill>
              <w14:schemeClr w14:val="tx1"/>
            </w14:solidFill>
          </w14:textFill>
        </w:rPr>
      </w:pPr>
      <w:r>
        <w:rPr>
          <w:color w:val="000000" w:themeColor="text1"/>
          <w14:textFill>
            <w14:solidFill>
              <w14:schemeClr w14:val="tx1"/>
            </w14:solidFill>
          </w14:textFill>
        </w:rPr>
        <w:t>（4）危险废物运输车辆装车前，驾驶员必须认真检查货物类别及其性质，货物的包装必须符合包装技术要求，并粘贴有明显的标识，对达不安全规范要求，可以拒绝接收运输。严禁危险废物运输车辆对性质不相容的货物进行拼装，严禁危险废物运输车辆进行超载运输。</w:t>
      </w:r>
    </w:p>
    <w:p w14:paraId="57169F85">
      <w:pPr>
        <w:ind w:firstLine="480"/>
        <w:rPr>
          <w:color w:val="000000" w:themeColor="text1"/>
          <w14:textFill>
            <w14:solidFill>
              <w14:schemeClr w14:val="tx1"/>
            </w14:solidFill>
          </w14:textFill>
        </w:rPr>
      </w:pPr>
      <w:r>
        <w:rPr>
          <w:color w:val="000000" w:themeColor="text1"/>
          <w14:textFill>
            <w14:solidFill>
              <w14:schemeClr w14:val="tx1"/>
            </w14:solidFill>
          </w14:textFill>
        </w:rPr>
        <w:t>（5）驾驶该类车辆的驾驶员必须符合以下条件：经过危险货物运输驾驶培训并合格，工作态度认真负责，技术熟练，熟悉道路情况。应做到严格遵守交通、消防、治安等相关法规。具备一定的对所运危险货物实施应急处理的知识和能力。</w:t>
      </w:r>
    </w:p>
    <w:p w14:paraId="19F2A0E3">
      <w:pPr>
        <w:pStyle w:val="3"/>
        <w:rPr>
          <w:color w:val="000000" w:themeColor="text1"/>
          <w14:textFill>
            <w14:solidFill>
              <w14:schemeClr w14:val="tx1"/>
            </w14:solidFill>
          </w14:textFill>
        </w:rPr>
      </w:pPr>
      <w:bookmarkStart w:id="298" w:name="_Toc225268306"/>
      <w:r>
        <w:rPr>
          <w:color w:val="000000" w:themeColor="text1"/>
          <w14:textFill>
            <w14:solidFill>
              <w14:schemeClr w14:val="tx1"/>
            </w14:solidFill>
          </w14:textFill>
        </w:rPr>
        <w:t>主要污染物排放</w:t>
      </w:r>
      <w:bookmarkEnd w:id="292"/>
      <w:r>
        <w:rPr>
          <w:color w:val="000000" w:themeColor="text1"/>
          <w14:textFill>
            <w14:solidFill>
              <w14:schemeClr w14:val="tx1"/>
            </w14:solidFill>
          </w14:textFill>
        </w:rPr>
        <w:t>汇总</w:t>
      </w:r>
      <w:bookmarkEnd w:id="293"/>
      <w:bookmarkEnd w:id="294"/>
      <w:bookmarkEnd w:id="295"/>
      <w:bookmarkEnd w:id="296"/>
      <w:bookmarkEnd w:id="297"/>
      <w:bookmarkEnd w:id="298"/>
    </w:p>
    <w:p w14:paraId="0C12E9B4">
      <w:pPr>
        <w:ind w:firstLine="480"/>
        <w:rPr>
          <w:rFonts w:eastAsia="黑体"/>
          <w:color w:val="000000" w:themeColor="text1"/>
          <w14:textFill>
            <w14:solidFill>
              <w14:schemeClr w14:val="tx1"/>
            </w14:solidFill>
          </w14:textFill>
        </w:rPr>
      </w:pPr>
      <w:r>
        <w:rPr>
          <w:color w:val="000000" w:themeColor="text1"/>
          <w14:textFill>
            <w14:solidFill>
              <w14:schemeClr w14:val="tx1"/>
            </w14:solidFill>
          </w14:textFill>
        </w:rPr>
        <w:t>根据工程分析，项目采取评价提出的污染防治措施后，污染物可做到达标排放，以此计算项目生产期正常生产“三废”排放清单，见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4C9C4B92">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项目三废排放汇总表</w:t>
      </w:r>
    </w:p>
    <w:tbl>
      <w:tblPr>
        <w:tblStyle w:val="76"/>
        <w:tblW w:w="4985" w:type="pct"/>
        <w:tblInd w:w="0" w:type="dxa"/>
        <w:tblLayout w:type="autofit"/>
        <w:tblCellMar>
          <w:top w:w="0" w:type="dxa"/>
          <w:left w:w="108" w:type="dxa"/>
          <w:bottom w:w="0" w:type="dxa"/>
          <w:right w:w="108" w:type="dxa"/>
        </w:tblCellMar>
      </w:tblPr>
      <w:tblGrid>
        <w:gridCol w:w="915"/>
        <w:gridCol w:w="2128"/>
        <w:gridCol w:w="1114"/>
        <w:gridCol w:w="1671"/>
        <w:gridCol w:w="2122"/>
        <w:gridCol w:w="1649"/>
      </w:tblGrid>
      <w:tr w14:paraId="20F11DA1">
        <w:tblPrEx>
          <w:tblCellMar>
            <w:top w:w="0" w:type="dxa"/>
            <w:left w:w="108" w:type="dxa"/>
            <w:bottom w:w="0" w:type="dxa"/>
            <w:right w:w="108" w:type="dxa"/>
          </w:tblCellMar>
        </w:tblPrEx>
        <w:tc>
          <w:tcPr>
            <w:tcW w:w="477" w:type="pct"/>
            <w:tcBorders>
              <w:top w:val="single" w:color="auto" w:sz="4" w:space="0"/>
              <w:left w:val="single" w:color="auto" w:sz="4" w:space="0"/>
              <w:bottom w:val="single" w:color="auto" w:sz="4" w:space="0"/>
              <w:right w:val="single" w:color="auto" w:sz="4" w:space="0"/>
            </w:tcBorders>
            <w:vAlign w:val="center"/>
          </w:tcPr>
          <w:p w14:paraId="367D074B">
            <w:pPr>
              <w:pStyle w:val="109"/>
              <w:rPr>
                <w:color w:val="000000" w:themeColor="text1"/>
                <w14:textFill>
                  <w14:solidFill>
                    <w14:schemeClr w14:val="tx1"/>
                  </w14:solidFill>
                </w14:textFill>
              </w:rPr>
            </w:pPr>
            <w:bookmarkStart w:id="299" w:name="RANGE!L1"/>
            <w:r>
              <w:rPr>
                <w:rFonts w:hint="eastAsia"/>
                <w:color w:val="000000" w:themeColor="text1"/>
                <w14:textFill>
                  <w14:solidFill>
                    <w14:schemeClr w14:val="tx1"/>
                  </w14:solidFill>
                </w14:textFill>
              </w:rPr>
              <w:t>类别</w:t>
            </w:r>
            <w:bookmarkEnd w:id="299"/>
          </w:p>
        </w:tc>
        <w:tc>
          <w:tcPr>
            <w:tcW w:w="1108" w:type="pct"/>
            <w:tcBorders>
              <w:top w:val="single" w:color="auto" w:sz="4" w:space="0"/>
              <w:left w:val="nil"/>
              <w:bottom w:val="single" w:color="auto" w:sz="4" w:space="0"/>
              <w:right w:val="single" w:color="auto" w:sz="4" w:space="0"/>
            </w:tcBorders>
            <w:vAlign w:val="center"/>
          </w:tcPr>
          <w:p w14:paraId="758D96F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污染物种类</w:t>
            </w:r>
          </w:p>
        </w:tc>
        <w:tc>
          <w:tcPr>
            <w:tcW w:w="580" w:type="pct"/>
            <w:tcBorders>
              <w:top w:val="single" w:color="auto" w:sz="4" w:space="0"/>
              <w:left w:val="nil"/>
              <w:bottom w:val="single" w:color="auto" w:sz="4" w:space="0"/>
              <w:right w:val="single" w:color="auto" w:sz="4" w:space="0"/>
            </w:tcBorders>
            <w:vAlign w:val="center"/>
          </w:tcPr>
          <w:p w14:paraId="53E68AC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870" w:type="pct"/>
            <w:tcBorders>
              <w:top w:val="single" w:color="auto" w:sz="4" w:space="0"/>
              <w:left w:val="nil"/>
              <w:bottom w:val="single" w:color="auto" w:sz="4" w:space="0"/>
              <w:right w:val="single" w:color="auto" w:sz="4" w:space="0"/>
            </w:tcBorders>
            <w:vAlign w:val="center"/>
          </w:tcPr>
          <w:p w14:paraId="4E67D67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p>
        </w:tc>
        <w:tc>
          <w:tcPr>
            <w:tcW w:w="1105" w:type="pct"/>
            <w:tcBorders>
              <w:top w:val="single" w:color="auto" w:sz="4" w:space="0"/>
              <w:left w:val="nil"/>
              <w:bottom w:val="single" w:color="auto" w:sz="4" w:space="0"/>
              <w:right w:val="single" w:color="auto" w:sz="4" w:space="0"/>
            </w:tcBorders>
            <w:vAlign w:val="center"/>
          </w:tcPr>
          <w:p w14:paraId="009BF7C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环保措施削减量</w:t>
            </w:r>
          </w:p>
        </w:tc>
        <w:tc>
          <w:tcPr>
            <w:tcW w:w="859" w:type="pct"/>
            <w:tcBorders>
              <w:top w:val="single" w:color="auto" w:sz="4" w:space="0"/>
              <w:left w:val="nil"/>
              <w:bottom w:val="single" w:color="auto" w:sz="4" w:space="0"/>
              <w:right w:val="single" w:color="auto" w:sz="4" w:space="0"/>
            </w:tcBorders>
            <w:vAlign w:val="center"/>
          </w:tcPr>
          <w:p w14:paraId="7A7CCDD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p>
        </w:tc>
      </w:tr>
      <w:tr w14:paraId="16186242">
        <w:tblPrEx>
          <w:tblCellMar>
            <w:top w:w="0" w:type="dxa"/>
            <w:left w:w="108" w:type="dxa"/>
            <w:bottom w:w="0" w:type="dxa"/>
            <w:right w:w="108" w:type="dxa"/>
          </w:tblCellMar>
        </w:tblPrEx>
        <w:tc>
          <w:tcPr>
            <w:tcW w:w="477" w:type="pct"/>
            <w:vMerge w:val="restart"/>
            <w:tcBorders>
              <w:top w:val="nil"/>
              <w:left w:val="single" w:color="auto" w:sz="4" w:space="0"/>
              <w:bottom w:val="single" w:color="auto" w:sz="4" w:space="0"/>
              <w:right w:val="single" w:color="auto" w:sz="4" w:space="0"/>
            </w:tcBorders>
            <w:vAlign w:val="center"/>
          </w:tcPr>
          <w:p w14:paraId="5D0A5FC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108" w:type="pct"/>
            <w:tcBorders>
              <w:top w:val="nil"/>
              <w:left w:val="nil"/>
              <w:bottom w:val="single" w:color="auto" w:sz="4" w:space="0"/>
              <w:right w:val="single" w:color="auto" w:sz="4" w:space="0"/>
            </w:tcBorders>
            <w:noWrap/>
            <w:vAlign w:val="center"/>
          </w:tcPr>
          <w:p w14:paraId="720A7C7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VOCs</w:t>
            </w:r>
          </w:p>
        </w:tc>
        <w:tc>
          <w:tcPr>
            <w:tcW w:w="580" w:type="pct"/>
            <w:tcBorders>
              <w:top w:val="nil"/>
              <w:left w:val="nil"/>
              <w:bottom w:val="single" w:color="auto" w:sz="4" w:space="0"/>
              <w:right w:val="single" w:color="auto" w:sz="4" w:space="0"/>
            </w:tcBorders>
            <w:vAlign w:val="center"/>
          </w:tcPr>
          <w:p w14:paraId="17569DA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70EAEC34">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105" w:type="pct"/>
            <w:tcBorders>
              <w:top w:val="nil"/>
              <w:left w:val="nil"/>
              <w:bottom w:val="single" w:color="auto" w:sz="4" w:space="0"/>
              <w:right w:val="single" w:color="auto" w:sz="4" w:space="0"/>
            </w:tcBorders>
            <w:vAlign w:val="center"/>
          </w:tcPr>
          <w:p w14:paraId="7F746D3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2.225</w:t>
            </w:r>
          </w:p>
        </w:tc>
        <w:tc>
          <w:tcPr>
            <w:tcW w:w="859" w:type="pct"/>
            <w:tcBorders>
              <w:top w:val="nil"/>
              <w:left w:val="nil"/>
              <w:bottom w:val="single" w:color="auto" w:sz="4" w:space="0"/>
              <w:right w:val="single" w:color="auto" w:sz="4" w:space="0"/>
            </w:tcBorders>
            <w:vAlign w:val="center"/>
          </w:tcPr>
          <w:p w14:paraId="308FC22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0.275</w:t>
            </w:r>
          </w:p>
        </w:tc>
      </w:tr>
      <w:tr w14:paraId="3AD573E6">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407E3CC4">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45EE0D49">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580" w:type="pct"/>
            <w:tcBorders>
              <w:top w:val="nil"/>
              <w:left w:val="nil"/>
              <w:bottom w:val="single" w:color="auto" w:sz="4" w:space="0"/>
              <w:right w:val="single" w:color="auto" w:sz="4" w:space="0"/>
            </w:tcBorders>
            <w:vAlign w:val="center"/>
          </w:tcPr>
          <w:p w14:paraId="58807A7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53E6217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116.73</w:t>
            </w:r>
          </w:p>
        </w:tc>
        <w:tc>
          <w:tcPr>
            <w:tcW w:w="1105" w:type="pct"/>
            <w:tcBorders>
              <w:top w:val="nil"/>
              <w:left w:val="nil"/>
              <w:bottom w:val="single" w:color="auto" w:sz="4" w:space="0"/>
              <w:right w:val="single" w:color="auto" w:sz="4" w:space="0"/>
            </w:tcBorders>
            <w:vAlign w:val="center"/>
          </w:tcPr>
          <w:p w14:paraId="3E9F631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115.917</w:t>
            </w:r>
          </w:p>
        </w:tc>
        <w:tc>
          <w:tcPr>
            <w:tcW w:w="859" w:type="pct"/>
            <w:tcBorders>
              <w:top w:val="nil"/>
              <w:left w:val="nil"/>
              <w:bottom w:val="single" w:color="auto" w:sz="4" w:space="0"/>
              <w:right w:val="single" w:color="auto" w:sz="4" w:space="0"/>
            </w:tcBorders>
            <w:vAlign w:val="center"/>
          </w:tcPr>
          <w:p w14:paraId="03AA644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0.813</w:t>
            </w:r>
          </w:p>
        </w:tc>
      </w:tr>
      <w:tr w14:paraId="1E916265">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29CC0750">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134149D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CO</w:t>
            </w:r>
          </w:p>
        </w:tc>
        <w:tc>
          <w:tcPr>
            <w:tcW w:w="580" w:type="pct"/>
            <w:tcBorders>
              <w:top w:val="nil"/>
              <w:left w:val="nil"/>
              <w:bottom w:val="single" w:color="auto" w:sz="4" w:space="0"/>
              <w:right w:val="single" w:color="auto" w:sz="4" w:space="0"/>
            </w:tcBorders>
            <w:vAlign w:val="center"/>
          </w:tcPr>
          <w:p w14:paraId="4ABAF61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01802F59">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2.333</w:t>
            </w:r>
          </w:p>
        </w:tc>
        <w:tc>
          <w:tcPr>
            <w:tcW w:w="1105" w:type="pct"/>
            <w:tcBorders>
              <w:top w:val="nil"/>
              <w:left w:val="nil"/>
              <w:bottom w:val="single" w:color="auto" w:sz="4" w:space="0"/>
              <w:right w:val="single" w:color="auto" w:sz="4" w:space="0"/>
            </w:tcBorders>
            <w:vAlign w:val="center"/>
          </w:tcPr>
          <w:p w14:paraId="2DA50C0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c>
          <w:tcPr>
            <w:tcW w:w="859" w:type="pct"/>
            <w:tcBorders>
              <w:top w:val="nil"/>
              <w:left w:val="nil"/>
              <w:bottom w:val="single" w:color="auto" w:sz="4" w:space="0"/>
              <w:right w:val="single" w:color="auto" w:sz="4" w:space="0"/>
            </w:tcBorders>
            <w:vAlign w:val="center"/>
          </w:tcPr>
          <w:p w14:paraId="2FCB1FD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2.333</w:t>
            </w:r>
          </w:p>
        </w:tc>
      </w:tr>
      <w:tr w14:paraId="54E0FEA3">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4A78925F">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0E94284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NOx</w:t>
            </w:r>
          </w:p>
        </w:tc>
        <w:tc>
          <w:tcPr>
            <w:tcW w:w="580" w:type="pct"/>
            <w:tcBorders>
              <w:top w:val="nil"/>
              <w:left w:val="nil"/>
              <w:bottom w:val="single" w:color="auto" w:sz="4" w:space="0"/>
              <w:right w:val="single" w:color="auto" w:sz="4" w:space="0"/>
            </w:tcBorders>
            <w:vAlign w:val="center"/>
          </w:tcPr>
          <w:p w14:paraId="64D930C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7B3078E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21.61</w:t>
            </w:r>
          </w:p>
        </w:tc>
        <w:tc>
          <w:tcPr>
            <w:tcW w:w="1105" w:type="pct"/>
            <w:tcBorders>
              <w:top w:val="nil"/>
              <w:left w:val="nil"/>
              <w:bottom w:val="single" w:color="auto" w:sz="4" w:space="0"/>
              <w:right w:val="single" w:color="auto" w:sz="4" w:space="0"/>
            </w:tcBorders>
            <w:vAlign w:val="center"/>
          </w:tcPr>
          <w:p w14:paraId="0D9C6FB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15.249</w:t>
            </w:r>
          </w:p>
        </w:tc>
        <w:tc>
          <w:tcPr>
            <w:tcW w:w="859" w:type="pct"/>
            <w:tcBorders>
              <w:top w:val="nil"/>
              <w:left w:val="nil"/>
              <w:bottom w:val="single" w:color="auto" w:sz="4" w:space="0"/>
              <w:right w:val="single" w:color="auto" w:sz="4" w:space="0"/>
            </w:tcBorders>
            <w:vAlign w:val="center"/>
          </w:tcPr>
          <w:p w14:paraId="4575D7B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6.361</w:t>
            </w:r>
          </w:p>
        </w:tc>
      </w:tr>
      <w:tr w14:paraId="00D0DB69">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5695A2C8">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4592BE4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SO</w:t>
            </w:r>
            <w:r>
              <w:rPr>
                <w:rFonts w:eastAsia="等线"/>
                <w:color w:val="000000" w:themeColor="text1"/>
                <w:szCs w:val="21"/>
                <w:vertAlign w:val="subscript"/>
                <w14:textFill>
                  <w14:solidFill>
                    <w14:schemeClr w14:val="tx1"/>
                  </w14:solidFill>
                </w14:textFill>
              </w:rPr>
              <w:t>2</w:t>
            </w:r>
          </w:p>
        </w:tc>
        <w:tc>
          <w:tcPr>
            <w:tcW w:w="580" w:type="pct"/>
            <w:tcBorders>
              <w:top w:val="nil"/>
              <w:left w:val="nil"/>
              <w:bottom w:val="single" w:color="auto" w:sz="4" w:space="0"/>
              <w:right w:val="single" w:color="auto" w:sz="4" w:space="0"/>
            </w:tcBorders>
            <w:vAlign w:val="center"/>
          </w:tcPr>
          <w:p w14:paraId="2999972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0448C7A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200.46</w:t>
            </w:r>
          </w:p>
        </w:tc>
        <w:tc>
          <w:tcPr>
            <w:tcW w:w="1105" w:type="pct"/>
            <w:tcBorders>
              <w:top w:val="nil"/>
              <w:left w:val="nil"/>
              <w:bottom w:val="single" w:color="auto" w:sz="4" w:space="0"/>
              <w:right w:val="single" w:color="auto" w:sz="4" w:space="0"/>
            </w:tcBorders>
            <w:vAlign w:val="center"/>
          </w:tcPr>
          <w:p w14:paraId="7721122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198</w:t>
            </w:r>
          </w:p>
        </w:tc>
        <w:tc>
          <w:tcPr>
            <w:tcW w:w="859" w:type="pct"/>
            <w:tcBorders>
              <w:top w:val="nil"/>
              <w:left w:val="nil"/>
              <w:bottom w:val="single" w:color="auto" w:sz="4" w:space="0"/>
              <w:right w:val="single" w:color="auto" w:sz="4" w:space="0"/>
            </w:tcBorders>
            <w:vAlign w:val="center"/>
          </w:tcPr>
          <w:p w14:paraId="4AC19DD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2.46</w:t>
            </w:r>
          </w:p>
        </w:tc>
      </w:tr>
      <w:tr w14:paraId="7F9C056A">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677DF541">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66369B99">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HF</w:t>
            </w:r>
          </w:p>
        </w:tc>
        <w:tc>
          <w:tcPr>
            <w:tcW w:w="580" w:type="pct"/>
            <w:tcBorders>
              <w:top w:val="nil"/>
              <w:left w:val="nil"/>
              <w:bottom w:val="single" w:color="auto" w:sz="4" w:space="0"/>
              <w:right w:val="single" w:color="auto" w:sz="4" w:space="0"/>
            </w:tcBorders>
            <w:vAlign w:val="center"/>
          </w:tcPr>
          <w:p w14:paraId="57FC31D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01110F9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5.26</w:t>
            </w:r>
          </w:p>
        </w:tc>
        <w:tc>
          <w:tcPr>
            <w:tcW w:w="1105" w:type="pct"/>
            <w:tcBorders>
              <w:top w:val="nil"/>
              <w:left w:val="nil"/>
              <w:bottom w:val="single" w:color="auto" w:sz="4" w:space="0"/>
              <w:right w:val="single" w:color="auto" w:sz="4" w:space="0"/>
            </w:tcBorders>
            <w:vAlign w:val="center"/>
          </w:tcPr>
          <w:p w14:paraId="068F47A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5.207</w:t>
            </w:r>
          </w:p>
        </w:tc>
        <w:tc>
          <w:tcPr>
            <w:tcW w:w="859" w:type="pct"/>
            <w:tcBorders>
              <w:top w:val="nil"/>
              <w:left w:val="nil"/>
              <w:bottom w:val="single" w:color="auto" w:sz="4" w:space="0"/>
              <w:right w:val="single" w:color="auto" w:sz="4" w:space="0"/>
            </w:tcBorders>
            <w:vAlign w:val="center"/>
          </w:tcPr>
          <w:p w14:paraId="41BCB5E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0.053</w:t>
            </w:r>
          </w:p>
        </w:tc>
      </w:tr>
      <w:tr w14:paraId="6B834DE7">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1F88BCEE">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5BC4AF0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HCl</w:t>
            </w:r>
          </w:p>
        </w:tc>
        <w:tc>
          <w:tcPr>
            <w:tcW w:w="580" w:type="pct"/>
            <w:tcBorders>
              <w:top w:val="nil"/>
              <w:left w:val="nil"/>
              <w:bottom w:val="single" w:color="auto" w:sz="4" w:space="0"/>
              <w:right w:val="single" w:color="auto" w:sz="4" w:space="0"/>
            </w:tcBorders>
            <w:vAlign w:val="center"/>
          </w:tcPr>
          <w:p w14:paraId="237BA51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59784AE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154.348</w:t>
            </w:r>
          </w:p>
        </w:tc>
        <w:tc>
          <w:tcPr>
            <w:tcW w:w="1105" w:type="pct"/>
            <w:tcBorders>
              <w:top w:val="nil"/>
              <w:left w:val="nil"/>
              <w:bottom w:val="single" w:color="auto" w:sz="4" w:space="0"/>
              <w:right w:val="single" w:color="auto" w:sz="4" w:space="0"/>
            </w:tcBorders>
            <w:vAlign w:val="center"/>
          </w:tcPr>
          <w:p w14:paraId="76DD5B1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152.805</w:t>
            </w:r>
          </w:p>
        </w:tc>
        <w:tc>
          <w:tcPr>
            <w:tcW w:w="859" w:type="pct"/>
            <w:tcBorders>
              <w:top w:val="nil"/>
              <w:left w:val="nil"/>
              <w:bottom w:val="single" w:color="auto" w:sz="4" w:space="0"/>
              <w:right w:val="single" w:color="auto" w:sz="4" w:space="0"/>
            </w:tcBorders>
            <w:vAlign w:val="center"/>
          </w:tcPr>
          <w:p w14:paraId="24FBD0B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1.543</w:t>
            </w:r>
          </w:p>
        </w:tc>
      </w:tr>
      <w:tr w14:paraId="5D55A737">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27508B0F">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57F386E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汞及其化合物</w:t>
            </w:r>
          </w:p>
        </w:tc>
        <w:tc>
          <w:tcPr>
            <w:tcW w:w="580" w:type="pct"/>
            <w:tcBorders>
              <w:top w:val="nil"/>
              <w:left w:val="nil"/>
              <w:bottom w:val="single" w:color="auto" w:sz="4" w:space="0"/>
              <w:right w:val="single" w:color="auto" w:sz="4" w:space="0"/>
            </w:tcBorders>
            <w:vAlign w:val="center"/>
          </w:tcPr>
          <w:p w14:paraId="348B3E8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5CEBCA5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0.005</w:t>
            </w:r>
          </w:p>
        </w:tc>
        <w:tc>
          <w:tcPr>
            <w:tcW w:w="1105" w:type="pct"/>
            <w:tcBorders>
              <w:top w:val="nil"/>
              <w:left w:val="nil"/>
              <w:bottom w:val="single" w:color="auto" w:sz="4" w:space="0"/>
              <w:right w:val="single" w:color="auto" w:sz="4" w:space="0"/>
            </w:tcBorders>
            <w:vAlign w:val="center"/>
          </w:tcPr>
          <w:p w14:paraId="5CBE560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0.0049</w:t>
            </w:r>
          </w:p>
        </w:tc>
        <w:tc>
          <w:tcPr>
            <w:tcW w:w="859" w:type="pct"/>
            <w:tcBorders>
              <w:top w:val="nil"/>
              <w:left w:val="nil"/>
              <w:bottom w:val="single" w:color="auto" w:sz="4" w:space="0"/>
              <w:right w:val="single" w:color="auto" w:sz="4" w:space="0"/>
            </w:tcBorders>
            <w:vAlign w:val="center"/>
          </w:tcPr>
          <w:p w14:paraId="0CF63B8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0.0001</w:t>
            </w:r>
          </w:p>
        </w:tc>
      </w:tr>
      <w:tr w14:paraId="586A525A">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39FCE3A4">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35B5CB51">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铊及其化合物</w:t>
            </w:r>
          </w:p>
        </w:tc>
        <w:tc>
          <w:tcPr>
            <w:tcW w:w="580" w:type="pct"/>
            <w:tcBorders>
              <w:top w:val="nil"/>
              <w:left w:val="nil"/>
              <w:bottom w:val="single" w:color="auto" w:sz="4" w:space="0"/>
              <w:right w:val="single" w:color="auto" w:sz="4" w:space="0"/>
            </w:tcBorders>
            <w:vAlign w:val="center"/>
          </w:tcPr>
          <w:p w14:paraId="1A45B9D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7FF8528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0.00025</w:t>
            </w:r>
          </w:p>
        </w:tc>
        <w:tc>
          <w:tcPr>
            <w:tcW w:w="1105" w:type="pct"/>
            <w:tcBorders>
              <w:top w:val="nil"/>
              <w:left w:val="nil"/>
              <w:bottom w:val="single" w:color="auto" w:sz="4" w:space="0"/>
              <w:right w:val="single" w:color="auto" w:sz="4" w:space="0"/>
            </w:tcBorders>
            <w:vAlign w:val="center"/>
          </w:tcPr>
          <w:p w14:paraId="748255C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0.000245</w:t>
            </w:r>
          </w:p>
        </w:tc>
        <w:tc>
          <w:tcPr>
            <w:tcW w:w="859" w:type="pct"/>
            <w:tcBorders>
              <w:top w:val="nil"/>
              <w:left w:val="nil"/>
              <w:bottom w:val="single" w:color="auto" w:sz="4" w:space="0"/>
              <w:right w:val="single" w:color="auto" w:sz="4" w:space="0"/>
            </w:tcBorders>
            <w:vAlign w:val="center"/>
          </w:tcPr>
          <w:p w14:paraId="4721028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0.000005</w:t>
            </w:r>
          </w:p>
        </w:tc>
      </w:tr>
      <w:tr w14:paraId="5B96BC33">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01E61CB8">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73E86009">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镉及其化合物</w:t>
            </w:r>
          </w:p>
        </w:tc>
        <w:tc>
          <w:tcPr>
            <w:tcW w:w="580" w:type="pct"/>
            <w:tcBorders>
              <w:top w:val="nil"/>
              <w:left w:val="nil"/>
              <w:bottom w:val="single" w:color="auto" w:sz="4" w:space="0"/>
              <w:right w:val="single" w:color="auto" w:sz="4" w:space="0"/>
            </w:tcBorders>
            <w:vAlign w:val="center"/>
          </w:tcPr>
          <w:p w14:paraId="34B9250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3DCE030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0.015</w:t>
            </w:r>
          </w:p>
        </w:tc>
        <w:tc>
          <w:tcPr>
            <w:tcW w:w="1105" w:type="pct"/>
            <w:tcBorders>
              <w:top w:val="nil"/>
              <w:left w:val="nil"/>
              <w:bottom w:val="single" w:color="auto" w:sz="4" w:space="0"/>
              <w:right w:val="single" w:color="auto" w:sz="4" w:space="0"/>
            </w:tcBorders>
            <w:vAlign w:val="center"/>
          </w:tcPr>
          <w:p w14:paraId="23566DE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0.0147</w:t>
            </w:r>
          </w:p>
        </w:tc>
        <w:tc>
          <w:tcPr>
            <w:tcW w:w="859" w:type="pct"/>
            <w:tcBorders>
              <w:top w:val="nil"/>
              <w:left w:val="nil"/>
              <w:bottom w:val="single" w:color="auto" w:sz="4" w:space="0"/>
              <w:right w:val="single" w:color="auto" w:sz="4" w:space="0"/>
            </w:tcBorders>
            <w:vAlign w:val="center"/>
          </w:tcPr>
          <w:p w14:paraId="45C2C1E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0.0003</w:t>
            </w:r>
          </w:p>
        </w:tc>
      </w:tr>
      <w:tr w14:paraId="0920655D">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40BECA37">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72608A14">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铅及其化合物</w:t>
            </w:r>
          </w:p>
        </w:tc>
        <w:tc>
          <w:tcPr>
            <w:tcW w:w="580" w:type="pct"/>
            <w:tcBorders>
              <w:top w:val="nil"/>
              <w:left w:val="nil"/>
              <w:bottom w:val="single" w:color="auto" w:sz="4" w:space="0"/>
              <w:right w:val="single" w:color="auto" w:sz="4" w:space="0"/>
            </w:tcBorders>
            <w:vAlign w:val="center"/>
          </w:tcPr>
          <w:p w14:paraId="7C9E02E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54E1FF1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0.05</w:t>
            </w:r>
          </w:p>
        </w:tc>
        <w:tc>
          <w:tcPr>
            <w:tcW w:w="1105" w:type="pct"/>
            <w:tcBorders>
              <w:top w:val="nil"/>
              <w:left w:val="nil"/>
              <w:bottom w:val="single" w:color="auto" w:sz="4" w:space="0"/>
              <w:right w:val="single" w:color="auto" w:sz="4" w:space="0"/>
            </w:tcBorders>
            <w:vAlign w:val="center"/>
          </w:tcPr>
          <w:p w14:paraId="7D0488A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0.049</w:t>
            </w:r>
          </w:p>
        </w:tc>
        <w:tc>
          <w:tcPr>
            <w:tcW w:w="859" w:type="pct"/>
            <w:tcBorders>
              <w:top w:val="nil"/>
              <w:left w:val="nil"/>
              <w:bottom w:val="single" w:color="auto" w:sz="4" w:space="0"/>
              <w:right w:val="single" w:color="auto" w:sz="4" w:space="0"/>
            </w:tcBorders>
            <w:vAlign w:val="center"/>
          </w:tcPr>
          <w:p w14:paraId="31FB19F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w:t>
            </w:r>
          </w:p>
        </w:tc>
      </w:tr>
      <w:tr w14:paraId="407F619E">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3ADD5696">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584F7C00">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砷及其化合物</w:t>
            </w:r>
          </w:p>
        </w:tc>
        <w:tc>
          <w:tcPr>
            <w:tcW w:w="580" w:type="pct"/>
            <w:tcBorders>
              <w:top w:val="nil"/>
              <w:left w:val="nil"/>
              <w:bottom w:val="single" w:color="auto" w:sz="4" w:space="0"/>
              <w:right w:val="single" w:color="auto" w:sz="4" w:space="0"/>
            </w:tcBorders>
            <w:vAlign w:val="center"/>
          </w:tcPr>
          <w:p w14:paraId="7C54FF1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63CAEF3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0.1</w:t>
            </w:r>
          </w:p>
        </w:tc>
        <w:tc>
          <w:tcPr>
            <w:tcW w:w="1105" w:type="pct"/>
            <w:tcBorders>
              <w:top w:val="nil"/>
              <w:left w:val="nil"/>
              <w:bottom w:val="single" w:color="auto" w:sz="4" w:space="0"/>
              <w:right w:val="single" w:color="auto" w:sz="4" w:space="0"/>
            </w:tcBorders>
            <w:vAlign w:val="center"/>
          </w:tcPr>
          <w:p w14:paraId="7B4722E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0.098</w:t>
            </w:r>
          </w:p>
        </w:tc>
        <w:tc>
          <w:tcPr>
            <w:tcW w:w="859" w:type="pct"/>
            <w:tcBorders>
              <w:top w:val="nil"/>
              <w:left w:val="nil"/>
              <w:bottom w:val="single" w:color="auto" w:sz="4" w:space="0"/>
              <w:right w:val="single" w:color="auto" w:sz="4" w:space="0"/>
            </w:tcBorders>
            <w:vAlign w:val="center"/>
          </w:tcPr>
          <w:p w14:paraId="7313250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w:t>
            </w:r>
          </w:p>
        </w:tc>
      </w:tr>
      <w:tr w14:paraId="7539C1C2">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71D0C489">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7110A950">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铬及其化合物</w:t>
            </w:r>
          </w:p>
        </w:tc>
        <w:tc>
          <w:tcPr>
            <w:tcW w:w="580" w:type="pct"/>
            <w:tcBorders>
              <w:top w:val="nil"/>
              <w:left w:val="nil"/>
              <w:bottom w:val="single" w:color="auto" w:sz="4" w:space="0"/>
              <w:right w:val="single" w:color="auto" w:sz="4" w:space="0"/>
            </w:tcBorders>
            <w:vAlign w:val="center"/>
          </w:tcPr>
          <w:p w14:paraId="273C517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500EB96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0.0025</w:t>
            </w:r>
          </w:p>
        </w:tc>
        <w:tc>
          <w:tcPr>
            <w:tcW w:w="1105" w:type="pct"/>
            <w:tcBorders>
              <w:top w:val="nil"/>
              <w:left w:val="nil"/>
              <w:bottom w:val="single" w:color="auto" w:sz="4" w:space="0"/>
              <w:right w:val="single" w:color="auto" w:sz="4" w:space="0"/>
            </w:tcBorders>
            <w:vAlign w:val="center"/>
          </w:tcPr>
          <w:p w14:paraId="5FEC20A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0.00245</w:t>
            </w:r>
          </w:p>
        </w:tc>
        <w:tc>
          <w:tcPr>
            <w:tcW w:w="859" w:type="pct"/>
            <w:tcBorders>
              <w:top w:val="nil"/>
              <w:left w:val="nil"/>
              <w:bottom w:val="single" w:color="auto" w:sz="4" w:space="0"/>
              <w:right w:val="single" w:color="auto" w:sz="4" w:space="0"/>
            </w:tcBorders>
            <w:vAlign w:val="center"/>
          </w:tcPr>
          <w:p w14:paraId="00AC836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0.00005</w:t>
            </w:r>
          </w:p>
        </w:tc>
      </w:tr>
      <w:tr w14:paraId="06E287B2">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43CB2A49">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64220CC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锡、锑、铜、锰、</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镍、钴及其化合</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物</w:t>
            </w:r>
          </w:p>
        </w:tc>
        <w:tc>
          <w:tcPr>
            <w:tcW w:w="580" w:type="pct"/>
            <w:tcBorders>
              <w:top w:val="nil"/>
              <w:left w:val="nil"/>
              <w:bottom w:val="single" w:color="auto" w:sz="4" w:space="0"/>
              <w:right w:val="single" w:color="auto" w:sz="4" w:space="0"/>
            </w:tcBorders>
            <w:vAlign w:val="center"/>
          </w:tcPr>
          <w:p w14:paraId="0952365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center"/>
          </w:tcPr>
          <w:p w14:paraId="31FAA87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0.0175</w:t>
            </w:r>
          </w:p>
        </w:tc>
        <w:tc>
          <w:tcPr>
            <w:tcW w:w="1105" w:type="pct"/>
            <w:tcBorders>
              <w:top w:val="nil"/>
              <w:left w:val="nil"/>
              <w:bottom w:val="single" w:color="auto" w:sz="4" w:space="0"/>
              <w:right w:val="single" w:color="auto" w:sz="4" w:space="0"/>
            </w:tcBorders>
            <w:vAlign w:val="center"/>
          </w:tcPr>
          <w:p w14:paraId="781D3A9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0.01715</w:t>
            </w:r>
          </w:p>
        </w:tc>
        <w:tc>
          <w:tcPr>
            <w:tcW w:w="859" w:type="pct"/>
            <w:tcBorders>
              <w:top w:val="nil"/>
              <w:left w:val="nil"/>
              <w:bottom w:val="single" w:color="auto" w:sz="4" w:space="0"/>
              <w:right w:val="single" w:color="auto" w:sz="4" w:space="0"/>
            </w:tcBorders>
            <w:vAlign w:val="center"/>
          </w:tcPr>
          <w:p w14:paraId="145E760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0.00035</w:t>
            </w:r>
          </w:p>
        </w:tc>
      </w:tr>
      <w:tr w14:paraId="488B63BB">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3B7C5E07">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2D300C62">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w:t>
            </w:r>
          </w:p>
        </w:tc>
        <w:tc>
          <w:tcPr>
            <w:tcW w:w="580" w:type="pct"/>
            <w:tcBorders>
              <w:top w:val="nil"/>
              <w:left w:val="nil"/>
              <w:bottom w:val="single" w:color="auto" w:sz="4" w:space="0"/>
              <w:right w:val="single" w:color="auto" w:sz="4" w:space="0"/>
            </w:tcBorders>
            <w:vAlign w:val="center"/>
          </w:tcPr>
          <w:p w14:paraId="2757DD46">
            <w:pPr>
              <w:pStyle w:val="109"/>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mgTEQ/a</w:t>
            </w:r>
            <w:r>
              <w:rPr>
                <w:rFonts w:eastAsia="等线"/>
                <w:color w:val="000000" w:themeColor="text1"/>
                <w14:textFill>
                  <w14:solidFill>
                    <w14:schemeClr w14:val="tx1"/>
                  </w14:solidFill>
                </w14:textFill>
              </w:rPr>
              <w:t>　</w:t>
            </w:r>
          </w:p>
        </w:tc>
        <w:tc>
          <w:tcPr>
            <w:tcW w:w="870" w:type="pct"/>
            <w:tcBorders>
              <w:top w:val="nil"/>
              <w:left w:val="nil"/>
              <w:bottom w:val="single" w:color="auto" w:sz="4" w:space="0"/>
              <w:right w:val="single" w:color="auto" w:sz="4" w:space="0"/>
            </w:tcBorders>
            <w:noWrap/>
            <w:vAlign w:val="center"/>
          </w:tcPr>
          <w:p w14:paraId="70D09FD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0.64</w:t>
            </w:r>
          </w:p>
        </w:tc>
        <w:tc>
          <w:tcPr>
            <w:tcW w:w="1105" w:type="pct"/>
            <w:tcBorders>
              <w:top w:val="nil"/>
              <w:left w:val="nil"/>
              <w:bottom w:val="single" w:color="auto" w:sz="4" w:space="0"/>
              <w:right w:val="single" w:color="auto" w:sz="4" w:space="0"/>
            </w:tcBorders>
            <w:vAlign w:val="center"/>
          </w:tcPr>
          <w:p w14:paraId="0E90098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0.608</w:t>
            </w:r>
          </w:p>
        </w:tc>
        <w:tc>
          <w:tcPr>
            <w:tcW w:w="859" w:type="pct"/>
            <w:tcBorders>
              <w:top w:val="nil"/>
              <w:left w:val="nil"/>
              <w:bottom w:val="single" w:color="auto" w:sz="4" w:space="0"/>
              <w:right w:val="single" w:color="auto" w:sz="4" w:space="0"/>
            </w:tcBorders>
            <w:vAlign w:val="center"/>
          </w:tcPr>
          <w:p w14:paraId="46C9D8B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0.032</w:t>
            </w:r>
          </w:p>
        </w:tc>
      </w:tr>
      <w:tr w14:paraId="3B1A701A">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267DDDD1">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45B36F72">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氨气</w:t>
            </w:r>
          </w:p>
        </w:tc>
        <w:tc>
          <w:tcPr>
            <w:tcW w:w="580" w:type="pct"/>
            <w:tcBorders>
              <w:top w:val="nil"/>
              <w:left w:val="nil"/>
              <w:bottom w:val="single" w:color="auto" w:sz="4" w:space="0"/>
              <w:right w:val="single" w:color="auto" w:sz="4" w:space="0"/>
            </w:tcBorders>
            <w:vAlign w:val="center"/>
          </w:tcPr>
          <w:p w14:paraId="0FC73E0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noWrap/>
            <w:vAlign w:val="bottom"/>
          </w:tcPr>
          <w:p w14:paraId="69A4908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0.048</w:t>
            </w:r>
          </w:p>
        </w:tc>
        <w:tc>
          <w:tcPr>
            <w:tcW w:w="1105" w:type="pct"/>
            <w:tcBorders>
              <w:top w:val="nil"/>
              <w:left w:val="nil"/>
              <w:bottom w:val="single" w:color="auto" w:sz="4" w:space="0"/>
              <w:right w:val="single" w:color="auto" w:sz="4" w:space="0"/>
            </w:tcBorders>
            <w:vAlign w:val="center"/>
          </w:tcPr>
          <w:p w14:paraId="6949650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0.0384</w:t>
            </w:r>
          </w:p>
        </w:tc>
        <w:tc>
          <w:tcPr>
            <w:tcW w:w="859" w:type="pct"/>
            <w:tcBorders>
              <w:top w:val="nil"/>
              <w:left w:val="nil"/>
              <w:bottom w:val="single" w:color="auto" w:sz="4" w:space="0"/>
              <w:right w:val="single" w:color="auto" w:sz="4" w:space="0"/>
            </w:tcBorders>
            <w:vAlign w:val="center"/>
          </w:tcPr>
          <w:p w14:paraId="3FB5C38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0.0096</w:t>
            </w:r>
          </w:p>
        </w:tc>
      </w:tr>
      <w:tr w14:paraId="3D0486E9">
        <w:tblPrEx>
          <w:tblCellMar>
            <w:top w:w="0" w:type="dxa"/>
            <w:left w:w="108" w:type="dxa"/>
            <w:bottom w:w="0" w:type="dxa"/>
            <w:right w:w="108" w:type="dxa"/>
          </w:tblCellMar>
        </w:tblPrEx>
        <w:tc>
          <w:tcPr>
            <w:tcW w:w="477" w:type="pct"/>
            <w:vMerge w:val="restart"/>
            <w:tcBorders>
              <w:top w:val="nil"/>
              <w:left w:val="single" w:color="auto" w:sz="4" w:space="0"/>
              <w:bottom w:val="single" w:color="auto" w:sz="4" w:space="0"/>
              <w:right w:val="single" w:color="auto" w:sz="4" w:space="0"/>
            </w:tcBorders>
            <w:vAlign w:val="center"/>
          </w:tcPr>
          <w:p w14:paraId="004B646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108" w:type="pct"/>
            <w:tcBorders>
              <w:top w:val="nil"/>
              <w:left w:val="nil"/>
              <w:bottom w:val="single" w:color="auto" w:sz="4" w:space="0"/>
              <w:right w:val="single" w:color="auto" w:sz="4" w:space="0"/>
            </w:tcBorders>
            <w:vAlign w:val="center"/>
          </w:tcPr>
          <w:p w14:paraId="675847F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废水量</w:t>
            </w:r>
          </w:p>
        </w:tc>
        <w:tc>
          <w:tcPr>
            <w:tcW w:w="580" w:type="pct"/>
            <w:tcBorders>
              <w:top w:val="nil"/>
              <w:left w:val="nil"/>
              <w:bottom w:val="single" w:color="auto" w:sz="4" w:space="0"/>
              <w:right w:val="single" w:color="auto" w:sz="4" w:space="0"/>
            </w:tcBorders>
            <w:vAlign w:val="center"/>
          </w:tcPr>
          <w:p w14:paraId="40CCD80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m³/a</w:t>
            </w:r>
          </w:p>
        </w:tc>
        <w:tc>
          <w:tcPr>
            <w:tcW w:w="870" w:type="pct"/>
            <w:tcBorders>
              <w:top w:val="nil"/>
              <w:left w:val="nil"/>
              <w:bottom w:val="single" w:color="auto" w:sz="4" w:space="0"/>
              <w:right w:val="single" w:color="auto" w:sz="4" w:space="0"/>
            </w:tcBorders>
            <w:vAlign w:val="center"/>
          </w:tcPr>
          <w:p w14:paraId="0D89110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3631.65</w:t>
            </w:r>
          </w:p>
        </w:tc>
        <w:tc>
          <w:tcPr>
            <w:tcW w:w="1105" w:type="pct"/>
            <w:tcBorders>
              <w:top w:val="nil"/>
              <w:left w:val="nil"/>
              <w:bottom w:val="single" w:color="auto" w:sz="4" w:space="0"/>
              <w:right w:val="single" w:color="auto" w:sz="4" w:space="0"/>
            </w:tcBorders>
            <w:vAlign w:val="center"/>
          </w:tcPr>
          <w:p w14:paraId="5E5E72F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c>
          <w:tcPr>
            <w:tcW w:w="859" w:type="pct"/>
            <w:tcBorders>
              <w:top w:val="nil"/>
              <w:left w:val="nil"/>
              <w:bottom w:val="single" w:color="auto" w:sz="4" w:space="0"/>
              <w:right w:val="single" w:color="auto" w:sz="4" w:space="0"/>
            </w:tcBorders>
            <w:vAlign w:val="center"/>
          </w:tcPr>
          <w:p w14:paraId="686D1D2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3631.65</w:t>
            </w:r>
          </w:p>
        </w:tc>
      </w:tr>
      <w:tr w14:paraId="0ECA745C">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71B86A63">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4AD65EB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580" w:type="pct"/>
            <w:tcBorders>
              <w:top w:val="nil"/>
              <w:left w:val="nil"/>
              <w:bottom w:val="single" w:color="auto" w:sz="4" w:space="0"/>
              <w:right w:val="single" w:color="auto" w:sz="4" w:space="0"/>
            </w:tcBorders>
            <w:vAlign w:val="center"/>
          </w:tcPr>
          <w:p w14:paraId="1CFB503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vAlign w:val="center"/>
          </w:tcPr>
          <w:p w14:paraId="704041D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0.428</w:t>
            </w:r>
          </w:p>
        </w:tc>
        <w:tc>
          <w:tcPr>
            <w:tcW w:w="1105" w:type="pct"/>
            <w:tcBorders>
              <w:top w:val="nil"/>
              <w:left w:val="nil"/>
              <w:bottom w:val="single" w:color="auto" w:sz="4" w:space="0"/>
              <w:right w:val="single" w:color="auto" w:sz="4" w:space="0"/>
            </w:tcBorders>
            <w:vAlign w:val="center"/>
          </w:tcPr>
          <w:p w14:paraId="6C2BA1D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c>
          <w:tcPr>
            <w:tcW w:w="859" w:type="pct"/>
            <w:tcBorders>
              <w:top w:val="nil"/>
              <w:left w:val="nil"/>
              <w:bottom w:val="single" w:color="auto" w:sz="4" w:space="0"/>
              <w:right w:val="single" w:color="auto" w:sz="4" w:space="0"/>
            </w:tcBorders>
            <w:vAlign w:val="center"/>
          </w:tcPr>
          <w:p w14:paraId="60ED686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0.428</w:t>
            </w:r>
          </w:p>
        </w:tc>
      </w:tr>
      <w:tr w14:paraId="73B380EA">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07DEB176">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054AACA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580" w:type="pct"/>
            <w:tcBorders>
              <w:top w:val="nil"/>
              <w:left w:val="nil"/>
              <w:bottom w:val="single" w:color="auto" w:sz="4" w:space="0"/>
              <w:right w:val="single" w:color="auto" w:sz="4" w:space="0"/>
            </w:tcBorders>
            <w:vAlign w:val="center"/>
          </w:tcPr>
          <w:p w14:paraId="1CCE194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vAlign w:val="center"/>
          </w:tcPr>
          <w:p w14:paraId="29AD4CE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0.024</w:t>
            </w:r>
          </w:p>
        </w:tc>
        <w:tc>
          <w:tcPr>
            <w:tcW w:w="1105" w:type="pct"/>
            <w:tcBorders>
              <w:top w:val="nil"/>
              <w:left w:val="nil"/>
              <w:bottom w:val="single" w:color="auto" w:sz="4" w:space="0"/>
              <w:right w:val="single" w:color="auto" w:sz="4" w:space="0"/>
            </w:tcBorders>
            <w:vAlign w:val="center"/>
          </w:tcPr>
          <w:p w14:paraId="786C210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c>
          <w:tcPr>
            <w:tcW w:w="859" w:type="pct"/>
            <w:tcBorders>
              <w:top w:val="nil"/>
              <w:left w:val="nil"/>
              <w:bottom w:val="single" w:color="auto" w:sz="4" w:space="0"/>
              <w:right w:val="single" w:color="auto" w:sz="4" w:space="0"/>
            </w:tcBorders>
            <w:vAlign w:val="center"/>
          </w:tcPr>
          <w:p w14:paraId="673B944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0.024</w:t>
            </w:r>
          </w:p>
        </w:tc>
      </w:tr>
      <w:tr w14:paraId="1F28C796">
        <w:tblPrEx>
          <w:tblCellMar>
            <w:top w:w="0" w:type="dxa"/>
            <w:left w:w="108" w:type="dxa"/>
            <w:bottom w:w="0" w:type="dxa"/>
            <w:right w:w="108" w:type="dxa"/>
          </w:tblCellMar>
        </w:tblPrEx>
        <w:tc>
          <w:tcPr>
            <w:tcW w:w="477" w:type="pct"/>
            <w:vMerge w:val="restart"/>
            <w:tcBorders>
              <w:top w:val="nil"/>
              <w:left w:val="single" w:color="auto" w:sz="4" w:space="0"/>
              <w:bottom w:val="single" w:color="auto" w:sz="4" w:space="0"/>
              <w:right w:val="single" w:color="auto" w:sz="4" w:space="0"/>
            </w:tcBorders>
            <w:vAlign w:val="center"/>
          </w:tcPr>
          <w:p w14:paraId="4865822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1108" w:type="pct"/>
            <w:tcBorders>
              <w:top w:val="nil"/>
              <w:left w:val="nil"/>
              <w:bottom w:val="single" w:color="auto" w:sz="4" w:space="0"/>
              <w:right w:val="single" w:color="auto" w:sz="4" w:space="0"/>
            </w:tcBorders>
            <w:vAlign w:val="center"/>
          </w:tcPr>
          <w:p w14:paraId="793ED06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580" w:type="pct"/>
            <w:tcBorders>
              <w:top w:val="nil"/>
              <w:left w:val="nil"/>
              <w:bottom w:val="single" w:color="auto" w:sz="4" w:space="0"/>
              <w:right w:val="single" w:color="auto" w:sz="4" w:space="0"/>
            </w:tcBorders>
            <w:vAlign w:val="center"/>
          </w:tcPr>
          <w:p w14:paraId="79CF09F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vAlign w:val="center"/>
          </w:tcPr>
          <w:p w14:paraId="16BF1CD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w:t>
            </w:r>
          </w:p>
        </w:tc>
        <w:tc>
          <w:tcPr>
            <w:tcW w:w="1105" w:type="pct"/>
            <w:tcBorders>
              <w:top w:val="nil"/>
              <w:left w:val="nil"/>
              <w:bottom w:val="single" w:color="auto" w:sz="4" w:space="0"/>
              <w:right w:val="single" w:color="auto" w:sz="4" w:space="0"/>
            </w:tcBorders>
            <w:vAlign w:val="center"/>
          </w:tcPr>
          <w:p w14:paraId="3CC1DCD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w:t>
            </w:r>
          </w:p>
        </w:tc>
        <w:tc>
          <w:tcPr>
            <w:tcW w:w="859" w:type="pct"/>
            <w:tcBorders>
              <w:top w:val="nil"/>
              <w:left w:val="nil"/>
              <w:bottom w:val="single" w:color="auto" w:sz="4" w:space="0"/>
              <w:right w:val="single" w:color="auto" w:sz="4" w:space="0"/>
            </w:tcBorders>
            <w:vAlign w:val="center"/>
          </w:tcPr>
          <w:p w14:paraId="7441E63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r>
      <w:tr w14:paraId="20FDDBDD">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7A7D7A9D">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3AD5D0E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多效蒸发废盐</w:t>
            </w:r>
          </w:p>
        </w:tc>
        <w:tc>
          <w:tcPr>
            <w:tcW w:w="580" w:type="pct"/>
            <w:tcBorders>
              <w:top w:val="nil"/>
              <w:left w:val="nil"/>
              <w:bottom w:val="single" w:color="auto" w:sz="4" w:space="0"/>
              <w:right w:val="single" w:color="auto" w:sz="4" w:space="0"/>
            </w:tcBorders>
            <w:vAlign w:val="center"/>
          </w:tcPr>
          <w:p w14:paraId="37BCB93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vAlign w:val="center"/>
          </w:tcPr>
          <w:p w14:paraId="5E193CE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1286.5</w:t>
            </w:r>
          </w:p>
        </w:tc>
        <w:tc>
          <w:tcPr>
            <w:tcW w:w="1105" w:type="pct"/>
            <w:tcBorders>
              <w:top w:val="nil"/>
              <w:left w:val="nil"/>
              <w:bottom w:val="single" w:color="auto" w:sz="4" w:space="0"/>
              <w:right w:val="single" w:color="auto" w:sz="4" w:space="0"/>
            </w:tcBorders>
            <w:vAlign w:val="center"/>
          </w:tcPr>
          <w:p w14:paraId="09425B4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1286.5</w:t>
            </w:r>
          </w:p>
        </w:tc>
        <w:tc>
          <w:tcPr>
            <w:tcW w:w="859" w:type="pct"/>
            <w:tcBorders>
              <w:top w:val="nil"/>
              <w:left w:val="nil"/>
              <w:bottom w:val="single" w:color="auto" w:sz="4" w:space="0"/>
              <w:right w:val="single" w:color="auto" w:sz="4" w:space="0"/>
            </w:tcBorders>
            <w:vAlign w:val="center"/>
          </w:tcPr>
          <w:p w14:paraId="51B4D28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r>
      <w:tr w14:paraId="3294641E">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45E87E0F">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0338D7F3">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废气处理设施沉淀池泥渣</w:t>
            </w:r>
          </w:p>
        </w:tc>
        <w:tc>
          <w:tcPr>
            <w:tcW w:w="580" w:type="pct"/>
            <w:tcBorders>
              <w:top w:val="nil"/>
              <w:left w:val="nil"/>
              <w:bottom w:val="single" w:color="auto" w:sz="4" w:space="0"/>
              <w:right w:val="single" w:color="auto" w:sz="4" w:space="0"/>
            </w:tcBorders>
            <w:vAlign w:val="center"/>
          </w:tcPr>
          <w:p w14:paraId="36C1383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vAlign w:val="center"/>
          </w:tcPr>
          <w:p w14:paraId="2D96F6B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w:t>
            </w:r>
          </w:p>
        </w:tc>
        <w:tc>
          <w:tcPr>
            <w:tcW w:w="1105" w:type="pct"/>
            <w:tcBorders>
              <w:top w:val="nil"/>
              <w:left w:val="nil"/>
              <w:bottom w:val="single" w:color="auto" w:sz="4" w:space="0"/>
              <w:right w:val="single" w:color="auto" w:sz="4" w:space="0"/>
            </w:tcBorders>
            <w:vAlign w:val="center"/>
          </w:tcPr>
          <w:p w14:paraId="1382CB2E">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w:t>
            </w:r>
          </w:p>
        </w:tc>
        <w:tc>
          <w:tcPr>
            <w:tcW w:w="859" w:type="pct"/>
            <w:tcBorders>
              <w:top w:val="nil"/>
              <w:left w:val="nil"/>
              <w:bottom w:val="single" w:color="auto" w:sz="4" w:space="0"/>
              <w:right w:val="single" w:color="auto" w:sz="4" w:space="0"/>
            </w:tcBorders>
            <w:vAlign w:val="center"/>
          </w:tcPr>
          <w:p w14:paraId="1BB9664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r>
      <w:tr w14:paraId="74529518">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01D19597">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6064684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废脱硝催化剂</w:t>
            </w:r>
          </w:p>
        </w:tc>
        <w:tc>
          <w:tcPr>
            <w:tcW w:w="580" w:type="pct"/>
            <w:tcBorders>
              <w:top w:val="nil"/>
              <w:left w:val="nil"/>
              <w:bottom w:val="single" w:color="auto" w:sz="4" w:space="0"/>
              <w:right w:val="single" w:color="auto" w:sz="4" w:space="0"/>
            </w:tcBorders>
            <w:vAlign w:val="center"/>
          </w:tcPr>
          <w:p w14:paraId="0701E60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t/3a</w:t>
            </w:r>
          </w:p>
        </w:tc>
        <w:tc>
          <w:tcPr>
            <w:tcW w:w="870" w:type="pct"/>
            <w:tcBorders>
              <w:top w:val="nil"/>
              <w:left w:val="nil"/>
              <w:bottom w:val="single" w:color="auto" w:sz="4" w:space="0"/>
              <w:right w:val="single" w:color="auto" w:sz="4" w:space="0"/>
            </w:tcBorders>
            <w:vAlign w:val="center"/>
          </w:tcPr>
          <w:p w14:paraId="6EE38BA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0.75t/3a</w:t>
            </w:r>
          </w:p>
        </w:tc>
        <w:tc>
          <w:tcPr>
            <w:tcW w:w="1105" w:type="pct"/>
            <w:tcBorders>
              <w:top w:val="nil"/>
              <w:left w:val="nil"/>
              <w:bottom w:val="single" w:color="auto" w:sz="4" w:space="0"/>
              <w:right w:val="single" w:color="auto" w:sz="4" w:space="0"/>
            </w:tcBorders>
            <w:vAlign w:val="center"/>
          </w:tcPr>
          <w:p w14:paraId="2A70E34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0.75t/3a</w:t>
            </w:r>
          </w:p>
        </w:tc>
        <w:tc>
          <w:tcPr>
            <w:tcW w:w="859" w:type="pct"/>
            <w:tcBorders>
              <w:top w:val="nil"/>
              <w:left w:val="nil"/>
              <w:bottom w:val="single" w:color="auto" w:sz="4" w:space="0"/>
              <w:right w:val="single" w:color="auto" w:sz="4" w:space="0"/>
            </w:tcBorders>
            <w:vAlign w:val="center"/>
          </w:tcPr>
          <w:p w14:paraId="47CBE66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r>
      <w:tr w14:paraId="77C46D84">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1F2EA2D8">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5B2A0C50">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废包装袋</w:t>
            </w:r>
          </w:p>
        </w:tc>
        <w:tc>
          <w:tcPr>
            <w:tcW w:w="580" w:type="pct"/>
            <w:tcBorders>
              <w:top w:val="nil"/>
              <w:left w:val="nil"/>
              <w:bottom w:val="single" w:color="auto" w:sz="4" w:space="0"/>
              <w:right w:val="single" w:color="auto" w:sz="4" w:space="0"/>
            </w:tcBorders>
            <w:vAlign w:val="center"/>
          </w:tcPr>
          <w:p w14:paraId="77273CB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vAlign w:val="center"/>
          </w:tcPr>
          <w:p w14:paraId="375128A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w:t>
            </w:r>
          </w:p>
        </w:tc>
        <w:tc>
          <w:tcPr>
            <w:tcW w:w="1105" w:type="pct"/>
            <w:tcBorders>
              <w:top w:val="nil"/>
              <w:left w:val="nil"/>
              <w:bottom w:val="single" w:color="auto" w:sz="4" w:space="0"/>
              <w:right w:val="single" w:color="auto" w:sz="4" w:space="0"/>
            </w:tcBorders>
            <w:vAlign w:val="center"/>
          </w:tcPr>
          <w:p w14:paraId="3F913EF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w:t>
            </w:r>
          </w:p>
        </w:tc>
        <w:tc>
          <w:tcPr>
            <w:tcW w:w="859" w:type="pct"/>
            <w:tcBorders>
              <w:top w:val="nil"/>
              <w:left w:val="nil"/>
              <w:bottom w:val="single" w:color="auto" w:sz="4" w:space="0"/>
              <w:right w:val="single" w:color="auto" w:sz="4" w:space="0"/>
            </w:tcBorders>
            <w:vAlign w:val="center"/>
          </w:tcPr>
          <w:p w14:paraId="422A9C8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r>
      <w:tr w14:paraId="56659296">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45AA45CE">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3044DC8F">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化验室废物</w:t>
            </w:r>
          </w:p>
        </w:tc>
        <w:tc>
          <w:tcPr>
            <w:tcW w:w="580" w:type="pct"/>
            <w:tcBorders>
              <w:top w:val="nil"/>
              <w:left w:val="nil"/>
              <w:bottom w:val="single" w:color="auto" w:sz="4" w:space="0"/>
              <w:right w:val="single" w:color="auto" w:sz="4" w:space="0"/>
            </w:tcBorders>
            <w:vAlign w:val="center"/>
          </w:tcPr>
          <w:p w14:paraId="5CCE22E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vAlign w:val="center"/>
          </w:tcPr>
          <w:p w14:paraId="6B1EDB2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0.2</w:t>
            </w:r>
          </w:p>
        </w:tc>
        <w:tc>
          <w:tcPr>
            <w:tcW w:w="1105" w:type="pct"/>
            <w:tcBorders>
              <w:top w:val="nil"/>
              <w:left w:val="nil"/>
              <w:bottom w:val="single" w:color="auto" w:sz="4" w:space="0"/>
              <w:right w:val="single" w:color="auto" w:sz="4" w:space="0"/>
            </w:tcBorders>
            <w:vAlign w:val="center"/>
          </w:tcPr>
          <w:p w14:paraId="19CA471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0.2</w:t>
            </w:r>
          </w:p>
        </w:tc>
        <w:tc>
          <w:tcPr>
            <w:tcW w:w="859" w:type="pct"/>
            <w:tcBorders>
              <w:top w:val="nil"/>
              <w:left w:val="nil"/>
              <w:bottom w:val="single" w:color="auto" w:sz="4" w:space="0"/>
              <w:right w:val="single" w:color="auto" w:sz="4" w:space="0"/>
            </w:tcBorders>
            <w:vAlign w:val="center"/>
          </w:tcPr>
          <w:p w14:paraId="001590E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r>
      <w:tr w14:paraId="2F9AD656">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11B57111">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78BF61DA">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废润滑油及废油桶</w:t>
            </w:r>
          </w:p>
        </w:tc>
        <w:tc>
          <w:tcPr>
            <w:tcW w:w="580" w:type="pct"/>
            <w:tcBorders>
              <w:top w:val="nil"/>
              <w:left w:val="nil"/>
              <w:bottom w:val="single" w:color="auto" w:sz="4" w:space="0"/>
              <w:right w:val="single" w:color="auto" w:sz="4" w:space="0"/>
            </w:tcBorders>
            <w:vAlign w:val="center"/>
          </w:tcPr>
          <w:p w14:paraId="6119EFB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vAlign w:val="center"/>
          </w:tcPr>
          <w:p w14:paraId="3B0F162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0.1</w:t>
            </w:r>
            <w:r>
              <w:rPr>
                <w:rFonts w:hint="eastAsia" w:eastAsia="等线"/>
                <w:color w:val="000000" w:themeColor="text1"/>
                <w:szCs w:val="21"/>
                <w14:textFill>
                  <w14:solidFill>
                    <w14:schemeClr w14:val="tx1"/>
                  </w14:solidFill>
                </w14:textFill>
              </w:rPr>
              <w:t>6</w:t>
            </w:r>
          </w:p>
        </w:tc>
        <w:tc>
          <w:tcPr>
            <w:tcW w:w="1105" w:type="pct"/>
            <w:tcBorders>
              <w:top w:val="nil"/>
              <w:left w:val="nil"/>
              <w:bottom w:val="single" w:color="auto" w:sz="4" w:space="0"/>
              <w:right w:val="single" w:color="auto" w:sz="4" w:space="0"/>
            </w:tcBorders>
            <w:vAlign w:val="center"/>
          </w:tcPr>
          <w:p w14:paraId="4CD0BC1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0.1</w:t>
            </w:r>
            <w:r>
              <w:rPr>
                <w:rFonts w:hint="eastAsia" w:eastAsia="等线"/>
                <w:color w:val="000000" w:themeColor="text1"/>
                <w:szCs w:val="21"/>
                <w14:textFill>
                  <w14:solidFill>
                    <w14:schemeClr w14:val="tx1"/>
                  </w14:solidFill>
                </w14:textFill>
              </w:rPr>
              <w:t>6</w:t>
            </w:r>
          </w:p>
        </w:tc>
        <w:tc>
          <w:tcPr>
            <w:tcW w:w="859" w:type="pct"/>
            <w:tcBorders>
              <w:top w:val="nil"/>
              <w:left w:val="nil"/>
              <w:bottom w:val="single" w:color="auto" w:sz="4" w:space="0"/>
              <w:right w:val="single" w:color="auto" w:sz="4" w:space="0"/>
            </w:tcBorders>
            <w:vAlign w:val="center"/>
          </w:tcPr>
          <w:p w14:paraId="7ECD935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r>
      <w:tr w14:paraId="3B0D1680">
        <w:tblPrEx>
          <w:tblCellMar>
            <w:top w:w="0" w:type="dxa"/>
            <w:left w:w="108" w:type="dxa"/>
            <w:bottom w:w="0" w:type="dxa"/>
            <w:right w:w="108" w:type="dxa"/>
          </w:tblCellMar>
        </w:tblPrEx>
        <w:tc>
          <w:tcPr>
            <w:tcW w:w="477" w:type="pct"/>
            <w:vMerge w:val="continue"/>
            <w:tcBorders>
              <w:top w:val="nil"/>
              <w:left w:val="single" w:color="auto" w:sz="4" w:space="0"/>
              <w:bottom w:val="single" w:color="auto" w:sz="4" w:space="0"/>
              <w:right w:val="single" w:color="auto" w:sz="4" w:space="0"/>
            </w:tcBorders>
            <w:vAlign w:val="center"/>
          </w:tcPr>
          <w:p w14:paraId="621D77C8">
            <w:pPr>
              <w:pStyle w:val="109"/>
              <w:rPr>
                <w:color w:val="000000" w:themeColor="text1"/>
                <w14:textFill>
                  <w14:solidFill>
                    <w14:schemeClr w14:val="tx1"/>
                  </w14:solidFill>
                </w14:textFill>
              </w:rPr>
            </w:pPr>
          </w:p>
        </w:tc>
        <w:tc>
          <w:tcPr>
            <w:tcW w:w="1108" w:type="pct"/>
            <w:tcBorders>
              <w:top w:val="nil"/>
              <w:left w:val="nil"/>
              <w:bottom w:val="single" w:color="auto" w:sz="4" w:space="0"/>
              <w:right w:val="single" w:color="auto" w:sz="4" w:space="0"/>
            </w:tcBorders>
            <w:vAlign w:val="center"/>
          </w:tcPr>
          <w:p w14:paraId="1F892BF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580" w:type="pct"/>
            <w:tcBorders>
              <w:top w:val="nil"/>
              <w:left w:val="nil"/>
              <w:bottom w:val="single" w:color="auto" w:sz="4" w:space="0"/>
              <w:right w:val="single" w:color="auto" w:sz="4" w:space="0"/>
            </w:tcBorders>
            <w:vAlign w:val="center"/>
          </w:tcPr>
          <w:p w14:paraId="6C697E2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870" w:type="pct"/>
            <w:tcBorders>
              <w:top w:val="nil"/>
              <w:left w:val="nil"/>
              <w:bottom w:val="single" w:color="auto" w:sz="4" w:space="0"/>
              <w:right w:val="single" w:color="auto" w:sz="4" w:space="0"/>
            </w:tcBorders>
            <w:vAlign w:val="center"/>
          </w:tcPr>
          <w:p w14:paraId="261A421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4.5</w:t>
            </w:r>
          </w:p>
        </w:tc>
        <w:tc>
          <w:tcPr>
            <w:tcW w:w="1105" w:type="pct"/>
            <w:tcBorders>
              <w:top w:val="nil"/>
              <w:left w:val="nil"/>
              <w:bottom w:val="single" w:color="auto" w:sz="4" w:space="0"/>
              <w:right w:val="single" w:color="auto" w:sz="4" w:space="0"/>
            </w:tcBorders>
            <w:vAlign w:val="center"/>
          </w:tcPr>
          <w:p w14:paraId="5866399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4.5</w:t>
            </w:r>
          </w:p>
        </w:tc>
        <w:tc>
          <w:tcPr>
            <w:tcW w:w="859" w:type="pct"/>
            <w:tcBorders>
              <w:top w:val="nil"/>
              <w:left w:val="nil"/>
              <w:bottom w:val="single" w:color="auto" w:sz="4" w:space="0"/>
              <w:right w:val="single" w:color="auto" w:sz="4" w:space="0"/>
            </w:tcBorders>
            <w:vAlign w:val="center"/>
          </w:tcPr>
          <w:p w14:paraId="64BCD39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p>
        </w:tc>
      </w:tr>
    </w:tbl>
    <w:p w14:paraId="1221EB36">
      <w:pPr>
        <w:pStyle w:val="3"/>
        <w:rPr>
          <w:rFonts w:ascii="Times New Roman" w:cs="Times New Roman"/>
          <w:color w:val="000000" w:themeColor="text1"/>
          <w14:textFill>
            <w14:solidFill>
              <w14:schemeClr w14:val="tx1"/>
            </w14:solidFill>
          </w14:textFill>
        </w:rPr>
      </w:pPr>
      <w:bookmarkStart w:id="300" w:name="_Toc225268307"/>
      <w:r>
        <w:rPr>
          <w:rFonts w:ascii="Times New Roman" w:cs="Times New Roman"/>
          <w:color w:val="000000" w:themeColor="text1"/>
          <w14:textFill>
            <w14:solidFill>
              <w14:schemeClr w14:val="tx1"/>
            </w14:solidFill>
          </w14:textFill>
        </w:rPr>
        <w:t>清洁生产分析</w:t>
      </w:r>
      <w:bookmarkEnd w:id="300"/>
    </w:p>
    <w:p w14:paraId="57D5EE64">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（一）生产工艺与装备清洁性分析</w:t>
      </w:r>
    </w:p>
    <w:p w14:paraId="4527603F">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本项目采用“三级配伍</w:t>
      </w:r>
      <w:r>
        <w:rPr>
          <w:rFonts w:eastAsia="瀹嬩綋"/>
          <w:color w:val="000000" w:themeColor="text1"/>
          <w14:textFill>
            <w14:solidFill>
              <w14:schemeClr w14:val="tx1"/>
            </w14:solidFill>
          </w14:textFill>
        </w:rPr>
        <w:t>+</w:t>
      </w:r>
      <w:r>
        <w:rPr>
          <w:color w:val="000000" w:themeColor="text1"/>
          <w14:textFill>
            <w14:solidFill>
              <w14:schemeClr w14:val="tx1"/>
            </w14:solidFill>
          </w14:textFill>
        </w:rPr>
        <w:t>二级热解分段式热解焙烧窑焚烧</w:t>
      </w:r>
      <w:r>
        <w:rPr>
          <w:rFonts w:eastAsia="瀹嬩綋"/>
          <w:color w:val="000000" w:themeColor="text1"/>
          <w14:textFill>
            <w14:solidFill>
              <w14:schemeClr w14:val="tx1"/>
            </w14:solidFill>
          </w14:textFill>
        </w:rPr>
        <w:t>+</w:t>
      </w:r>
      <w:r>
        <w:rPr>
          <w:color w:val="000000" w:themeColor="text1"/>
          <w14:textFill>
            <w14:solidFill>
              <w14:schemeClr w14:val="tx1"/>
            </w14:solidFill>
          </w14:textFill>
        </w:rPr>
        <w:t>烟气深度净化</w:t>
      </w:r>
      <w:r>
        <w:rPr>
          <w:rFonts w:eastAsia="瀹嬩綋"/>
          <w:color w:val="000000" w:themeColor="text1"/>
          <w14:textFill>
            <w14:solidFill>
              <w14:schemeClr w14:val="tx1"/>
            </w14:solidFill>
          </w14:textFill>
        </w:rPr>
        <w:t>+</w:t>
      </w:r>
      <w:r>
        <w:rPr>
          <w:color w:val="000000" w:themeColor="text1"/>
          <w14:textFill>
            <w14:solidFill>
              <w14:schemeClr w14:val="tx1"/>
            </w14:solidFill>
          </w14:textFill>
        </w:rPr>
        <w:t>融雪剂资源化”的组合工艺，工艺设计科学合理，契合危险废物焚烧处置的技术要求，具备流程紧凑、处置效率高、污染控制效果好的特点，符合清洁生产“节能、降耗、减污、增效”的核心理念。</w:t>
      </w:r>
    </w:p>
    <w:p w14:paraId="12A43CA3">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1.  </w:t>
      </w:r>
      <w:r>
        <w:rPr>
          <w:color w:val="000000" w:themeColor="text1"/>
          <w14:textFill>
            <w14:solidFill>
              <w14:schemeClr w14:val="tx1"/>
            </w14:solidFill>
          </w14:textFill>
        </w:rPr>
        <w:t>配伍工艺：针对废盐来源广泛、成分复杂的特点，采用“一级规划排产、二级分类混匀、三级炉前混合”的三级配伍模式，明确废盐入厂及入炉限值，严格排除爆炸性、放射性等危险特性废盐，有效规避物料兼容性风险，保证工艺稳定运行，减少设备损耗和污染物异常排放，同时降低运行成本，体现了清洁生产的源头控制理念。</w:t>
      </w:r>
    </w:p>
    <w:p w14:paraId="41B6F455">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2.  </w:t>
      </w:r>
      <w:r>
        <w:rPr>
          <w:color w:val="000000" w:themeColor="text1"/>
          <w14:textFill>
            <w14:solidFill>
              <w14:schemeClr w14:val="tx1"/>
            </w14:solidFill>
          </w14:textFill>
        </w:rPr>
        <w:t>焚烧处置工艺：采用二级热解分段式热解焙烧窑，配套二燃室（</w:t>
      </w:r>
      <w:r>
        <w:rPr>
          <w:rFonts w:eastAsia="瀹嬩綋"/>
          <w:color w:val="000000" w:themeColor="text1"/>
          <w14:textFill>
            <w14:solidFill>
              <w14:schemeClr w14:val="tx1"/>
            </w14:solidFill>
          </w14:textFill>
        </w:rPr>
        <w:t>SNCR</w:t>
      </w:r>
      <w:r>
        <w:rPr>
          <w:color w:val="000000" w:themeColor="text1"/>
          <w14:textFill>
            <w14:solidFill>
              <w14:schemeClr w14:val="tx1"/>
            </w14:solidFill>
          </w14:textFill>
        </w:rPr>
        <w:t>）、石墨急冷塔、二级碱洗塔、水洗塔、湿电除尘、活性炭吸附、</w:t>
      </w:r>
      <w:r>
        <w:rPr>
          <w:rFonts w:eastAsia="瀹嬩綋"/>
          <w:color w:val="000000" w:themeColor="text1"/>
          <w14:textFill>
            <w14:solidFill>
              <w14:schemeClr w14:val="tx1"/>
            </w14:solidFill>
          </w14:textFill>
        </w:rPr>
        <w:t>SCR</w:t>
      </w:r>
      <w:r>
        <w:rPr>
          <w:color w:val="000000" w:themeColor="text1"/>
          <w14:textFill>
            <w14:solidFill>
              <w14:schemeClr w14:val="tx1"/>
            </w14:solidFill>
          </w14:textFill>
        </w:rPr>
        <w:t>脱硝等全套烟气净化系统，焚烧工艺满足《危险废物污染防治技术政策》中“焚烧炉温度≥</w:t>
      </w:r>
      <w:r>
        <w:rPr>
          <w:rFonts w:eastAsia="瀹嬩綋"/>
          <w:color w:val="000000" w:themeColor="text1"/>
          <w14:textFill>
            <w14:solidFill>
              <w14:schemeClr w14:val="tx1"/>
            </w14:solidFill>
          </w14:textFill>
        </w:rPr>
        <w:t>1100℃</w:t>
      </w:r>
      <w:r>
        <w:rPr>
          <w:color w:val="000000" w:themeColor="text1"/>
          <w14:textFill>
            <w14:solidFill>
              <w14:schemeClr w14:val="tx1"/>
            </w14:solidFill>
          </w14:textFill>
        </w:rPr>
        <w:t>、烟气停留时间≥</w:t>
      </w:r>
      <w:r>
        <w:rPr>
          <w:rFonts w:eastAsia="瀹嬩綋"/>
          <w:color w:val="000000" w:themeColor="text1"/>
          <w14:textFill>
            <w14:solidFill>
              <w14:schemeClr w14:val="tx1"/>
            </w14:solidFill>
          </w14:textFill>
        </w:rPr>
        <w:t>2.0s</w:t>
      </w:r>
      <w:r>
        <w:rPr>
          <w:color w:val="000000" w:themeColor="text1"/>
          <w14:textFill>
            <w14:solidFill>
              <w14:schemeClr w14:val="tx1"/>
            </w14:solidFill>
          </w14:textFill>
        </w:rPr>
        <w:t>、燃烧效率≥</w:t>
      </w:r>
      <w:r>
        <w:rPr>
          <w:rFonts w:eastAsia="瀹嬩綋"/>
          <w:color w:val="000000" w:themeColor="text1"/>
          <w14:textFill>
            <w14:solidFill>
              <w14:schemeClr w14:val="tx1"/>
            </w14:solidFill>
          </w14:textFill>
        </w:rPr>
        <w:t>99.9%</w:t>
      </w:r>
      <w:r>
        <w:rPr>
          <w:color w:val="000000" w:themeColor="text1"/>
          <w14:textFill>
            <w14:solidFill>
              <w14:schemeClr w14:val="tx1"/>
            </w14:solidFill>
          </w14:textFill>
        </w:rPr>
        <w:t>、焚毁去除率≥</w:t>
      </w:r>
      <w:r>
        <w:rPr>
          <w:rFonts w:eastAsia="瀹嬩綋"/>
          <w:color w:val="000000" w:themeColor="text1"/>
          <w14:textFill>
            <w14:solidFill>
              <w14:schemeClr w14:val="tx1"/>
            </w14:solidFill>
          </w14:textFill>
        </w:rPr>
        <w:t>99.99%</w:t>
      </w:r>
      <w:r>
        <w:rPr>
          <w:color w:val="000000" w:themeColor="text1"/>
          <w14:textFill>
            <w14:solidFill>
              <w14:schemeClr w14:val="tx1"/>
            </w14:solidFill>
          </w14:textFill>
        </w:rPr>
        <w:t>、焚烧残渣热灼减率＜</w:t>
      </w:r>
      <w:r>
        <w:rPr>
          <w:rFonts w:eastAsia="瀹嬩綋"/>
          <w:color w:val="000000" w:themeColor="text1"/>
          <w14:textFill>
            <w14:solidFill>
              <w14:schemeClr w14:val="tx1"/>
            </w14:solidFill>
          </w14:textFill>
        </w:rPr>
        <w:t>5%”</w:t>
      </w:r>
      <w:r>
        <w:rPr>
          <w:color w:val="000000" w:themeColor="text1"/>
          <w14:textFill>
            <w14:solidFill>
              <w14:schemeClr w14:val="tx1"/>
            </w14:solidFill>
          </w14:textFill>
        </w:rPr>
        <w:t>的要求，其中二燃室温度≥</w:t>
      </w:r>
      <w:r>
        <w:rPr>
          <w:rFonts w:eastAsia="瀹嬩綋"/>
          <w:color w:val="000000" w:themeColor="text1"/>
          <w14:textFill>
            <w14:solidFill>
              <w14:schemeClr w14:val="tx1"/>
            </w14:solidFill>
          </w14:textFill>
        </w:rPr>
        <w:t>1100℃</w:t>
      </w:r>
      <w:r>
        <w:rPr>
          <w:color w:val="000000" w:themeColor="text1"/>
          <w14:textFill>
            <w14:solidFill>
              <w14:schemeClr w14:val="tx1"/>
            </w14:solidFill>
          </w14:textFill>
        </w:rPr>
        <w:t>、烟气停留时间≥</w:t>
      </w:r>
      <w:r>
        <w:rPr>
          <w:rFonts w:eastAsia="瀹嬩綋"/>
          <w:color w:val="000000" w:themeColor="text1"/>
          <w14:textFill>
            <w14:solidFill>
              <w14:schemeClr w14:val="tx1"/>
            </w14:solidFill>
          </w14:textFill>
        </w:rPr>
        <w:t>2.5s</w:t>
      </w:r>
      <w:r>
        <w:rPr>
          <w:color w:val="000000" w:themeColor="text1"/>
          <w14:textFill>
            <w14:solidFill>
              <w14:schemeClr w14:val="tx1"/>
            </w14:solidFill>
          </w14:textFill>
        </w:rPr>
        <w:t>，优于标准要求，可充分分解废盐中的有机物及二噁英，从工艺层面减少污染物产生。</w:t>
      </w:r>
    </w:p>
    <w:p w14:paraId="22C846C9">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3.  </w:t>
      </w:r>
      <w:r>
        <w:rPr>
          <w:color w:val="000000" w:themeColor="text1"/>
          <w14:textFill>
            <w14:solidFill>
              <w14:schemeClr w14:val="tx1"/>
            </w14:solidFill>
          </w14:textFill>
        </w:rPr>
        <w:t>装备选型：选用自动化程度高、能耗低、污染少的设备，如螺旋定量给料机、变频调速热解焙烧窑、比调式天然气燃烧器、高效湿电除尘器等，设备运行稳定，操作便捷，可有效降低人为操作误差导致的污染风险；同时配备紧急排放烟囱、烟气在线监测系统（</w:t>
      </w:r>
      <w:r>
        <w:rPr>
          <w:rFonts w:eastAsia="瀹嬩綋"/>
          <w:color w:val="000000" w:themeColor="text1"/>
          <w14:textFill>
            <w14:solidFill>
              <w14:schemeClr w14:val="tx1"/>
            </w14:solidFill>
          </w14:textFill>
        </w:rPr>
        <w:t>CEMS</w:t>
      </w:r>
      <w:r>
        <w:rPr>
          <w:color w:val="000000" w:themeColor="text1"/>
          <w14:textFill>
            <w14:solidFill>
              <w14:schemeClr w14:val="tx1"/>
            </w14:solidFill>
          </w14:textFill>
        </w:rPr>
        <w:t>）等设施，实现工艺运行及污染物排放的实时监控，提升工艺清洁性。此外，热解焙烧窑采用天然气间接加热方式，避免燃料燃烧烟气与废盐直接接触，减少二次污染。</w:t>
      </w:r>
    </w:p>
    <w:p w14:paraId="785041B1">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（二）资源能源利用效率分析</w:t>
      </w:r>
    </w:p>
    <w:p w14:paraId="39F517BD">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本项目注重资源循环利用与能源高效消耗，最大限度降低资源浪费和能源损耗，符合清洁生产资源能源优化利用的要求。</w:t>
      </w:r>
    </w:p>
    <w:p w14:paraId="0A9C91FE">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1.  </w:t>
      </w:r>
      <w:r>
        <w:rPr>
          <w:color w:val="000000" w:themeColor="text1"/>
          <w14:textFill>
            <w14:solidFill>
              <w14:schemeClr w14:val="tx1"/>
            </w14:solidFill>
          </w14:textFill>
        </w:rPr>
        <w:t>资源利用：项目以工业废盐为核心处理对象，年处理废盐</w:t>
      </w:r>
      <w:r>
        <w:rPr>
          <w:rFonts w:eastAsia="瀹嬩綋"/>
          <w:color w:val="000000" w:themeColor="text1"/>
          <w14:textFill>
            <w14:solidFill>
              <w14:schemeClr w14:val="tx1"/>
            </w14:solidFill>
          </w14:textFill>
        </w:rPr>
        <w:t>5</w:t>
      </w:r>
      <w:r>
        <w:rPr>
          <w:color w:val="000000" w:themeColor="text1"/>
          <w14:textFill>
            <w14:solidFill>
              <w14:schemeClr w14:val="tx1"/>
            </w14:solidFill>
          </w14:textFill>
        </w:rPr>
        <w:t>万吨，处置后的废盐全部作为原料用于融雪剂生产，年产融雪剂</w:t>
      </w:r>
      <w:r>
        <w:rPr>
          <w:rFonts w:eastAsia="瀹嬩綋"/>
          <w:color w:val="000000" w:themeColor="text1"/>
          <w14:textFill>
            <w14:solidFill>
              <w14:schemeClr w14:val="tx1"/>
            </w14:solidFill>
          </w14:textFill>
        </w:rPr>
        <w:t>46000t</w:t>
      </w:r>
      <w:r>
        <w:rPr>
          <w:color w:val="000000" w:themeColor="text1"/>
          <w14:textFill>
            <w14:solidFill>
              <w14:schemeClr w14:val="tx1"/>
            </w14:solidFill>
          </w14:textFill>
        </w:rPr>
        <w:t>，实现了危险废物的资源化利用，有效解决了工业废盐堆存带来的环境风险，提高了资源利用率，契合危险废物资源化利用的行业发展方向。同时，水洗塔吸收液可作为石墨急冷塔补充液，实现水资源循环利用，减少新鲜水消耗。</w:t>
      </w:r>
    </w:p>
    <w:p w14:paraId="33997911">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2.  </w:t>
      </w:r>
      <w:r>
        <w:rPr>
          <w:color w:val="000000" w:themeColor="text1"/>
          <w14:textFill>
            <w14:solidFill>
              <w14:schemeClr w14:val="tx1"/>
            </w14:solidFill>
          </w14:textFill>
        </w:rPr>
        <w:t>能源利用：项目采用天然气作为助燃燃料，天然气为清洁能源，燃烧效率高、污染物排放少，相较于传统燃料可有效减少</w:t>
      </w:r>
      <w:r>
        <w:rPr>
          <w:rFonts w:eastAsia="瀹嬩綋"/>
          <w:color w:val="000000" w:themeColor="text1"/>
          <w14:textFill>
            <w14:solidFill>
              <w14:schemeClr w14:val="tx1"/>
            </w14:solidFill>
          </w14:textFill>
        </w:rPr>
        <w:t>SO₂</w:t>
      </w:r>
      <w:r>
        <w:rPr>
          <w:color w:val="000000" w:themeColor="text1"/>
          <w14:textFill>
            <w14:solidFill>
              <w14:schemeClr w14:val="tx1"/>
            </w14:solidFill>
          </w14:textFill>
        </w:rPr>
        <w:t>、颗粒物等污染物产生；</w:t>
      </w:r>
      <w:r>
        <w:rPr>
          <w:rFonts w:eastAsia="瀹嬩綋"/>
          <w:color w:val="000000" w:themeColor="text1"/>
          <w14:textFill>
            <w14:solidFill>
              <w14:schemeClr w14:val="tx1"/>
            </w14:solidFill>
          </w14:textFill>
        </w:rPr>
        <w:t>SCR</w:t>
      </w:r>
      <w:r>
        <w:rPr>
          <w:color w:val="000000" w:themeColor="text1"/>
          <w14:textFill>
            <w14:solidFill>
              <w14:schemeClr w14:val="tx1"/>
            </w14:solidFill>
          </w14:textFill>
        </w:rPr>
        <w:t>脱硝系统利用自身出口烟气余热，通过</w:t>
      </w:r>
      <w:r>
        <w:rPr>
          <w:rFonts w:eastAsia="瀹嬩綋"/>
          <w:color w:val="000000" w:themeColor="text1"/>
          <w14:textFill>
            <w14:solidFill>
              <w14:schemeClr w14:val="tx1"/>
            </w14:solidFill>
          </w14:textFill>
        </w:rPr>
        <w:t>GGH</w:t>
      </w:r>
      <w:r>
        <w:rPr>
          <w:color w:val="000000" w:themeColor="text1"/>
          <w14:textFill>
            <w14:solidFill>
              <w14:schemeClr w14:val="tx1"/>
            </w14:solidFill>
          </w14:textFill>
        </w:rPr>
        <w:t>换热器加热活性炭吸附后烟气，再辅以热风炉补充热量，实现余热回收利用，降低能源消耗；生产系统采用连续运行模式，年工作约</w:t>
      </w:r>
      <w:r>
        <w:rPr>
          <w:rFonts w:eastAsia="瀹嬩綋"/>
          <w:color w:val="000000" w:themeColor="text1"/>
          <w14:textFill>
            <w14:solidFill>
              <w14:schemeClr w14:val="tx1"/>
            </w14:solidFill>
          </w14:textFill>
        </w:rPr>
        <w:t>8000h</w:t>
      </w:r>
      <w:r>
        <w:rPr>
          <w:color w:val="000000" w:themeColor="text1"/>
          <w14:textFill>
            <w14:solidFill>
              <w14:schemeClr w14:val="tx1"/>
            </w14:solidFill>
          </w14:textFill>
        </w:rPr>
        <w:t>，设备利用率高，进一步提升能源利用效率。此外，项目选用节能型设备，优化工艺参数，减少能源损耗，符合节能降耗的清洁生产要求。</w:t>
      </w:r>
    </w:p>
    <w:p w14:paraId="21C65912">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（三）污染物产生与控制分析</w:t>
      </w:r>
    </w:p>
    <w:p w14:paraId="5153BD7D">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本项目严格按照危险废物焚烧污染控制标准，构建了全流程污染物控制体系，从源头、过程到末端实现污染物的有效控制，污染物产生量少、排放浓度低，符合清洁生产减污降排的要求。</w:t>
      </w:r>
    </w:p>
    <w:p w14:paraId="149935DC">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1.  </w:t>
      </w:r>
      <w:r>
        <w:rPr>
          <w:color w:val="000000" w:themeColor="text1"/>
          <w14:textFill>
            <w14:solidFill>
              <w14:schemeClr w14:val="tx1"/>
            </w14:solidFill>
          </w14:textFill>
        </w:rPr>
        <w:t>大气污染物：焚烧烟气经“</w:t>
      </w:r>
      <w:r>
        <w:rPr>
          <w:rFonts w:eastAsia="瀹嬩綋"/>
          <w:color w:val="000000" w:themeColor="text1"/>
          <w14:textFill>
            <w14:solidFill>
              <w14:schemeClr w14:val="tx1"/>
            </w14:solidFill>
          </w14:textFill>
        </w:rPr>
        <w:t>SNCR</w:t>
      </w:r>
      <w:r>
        <w:rPr>
          <w:color w:val="000000" w:themeColor="text1"/>
          <w14:textFill>
            <w14:solidFill>
              <w14:schemeClr w14:val="tx1"/>
            </w14:solidFill>
          </w14:textFill>
        </w:rPr>
        <w:t>脱硝</w:t>
      </w:r>
      <w:r>
        <w:rPr>
          <w:rFonts w:eastAsia="瀹嬩綋"/>
          <w:color w:val="000000" w:themeColor="text1"/>
          <w14:textFill>
            <w14:solidFill>
              <w14:schemeClr w14:val="tx1"/>
            </w14:solidFill>
          </w14:textFill>
        </w:rPr>
        <w:t>+</w:t>
      </w:r>
      <w:r>
        <w:rPr>
          <w:color w:val="000000" w:themeColor="text1"/>
          <w14:textFill>
            <w14:solidFill>
              <w14:schemeClr w14:val="tx1"/>
            </w14:solidFill>
          </w14:textFill>
        </w:rPr>
        <w:t>石墨急冷</w:t>
      </w:r>
      <w:r>
        <w:rPr>
          <w:rFonts w:eastAsia="瀹嬩綋"/>
          <w:color w:val="000000" w:themeColor="text1"/>
          <w14:textFill>
            <w14:solidFill>
              <w14:schemeClr w14:val="tx1"/>
            </w14:solidFill>
          </w14:textFill>
        </w:rPr>
        <w:t>+</w:t>
      </w:r>
      <w:r>
        <w:rPr>
          <w:color w:val="000000" w:themeColor="text1"/>
          <w14:textFill>
            <w14:solidFill>
              <w14:schemeClr w14:val="tx1"/>
            </w14:solidFill>
          </w14:textFill>
        </w:rPr>
        <w:t>二级碱洗</w:t>
      </w:r>
      <w:r>
        <w:rPr>
          <w:rFonts w:eastAsia="瀹嬩綋"/>
          <w:color w:val="000000" w:themeColor="text1"/>
          <w14:textFill>
            <w14:solidFill>
              <w14:schemeClr w14:val="tx1"/>
            </w14:solidFill>
          </w14:textFill>
        </w:rPr>
        <w:t>+</w:t>
      </w:r>
      <w:r>
        <w:rPr>
          <w:color w:val="000000" w:themeColor="text1"/>
          <w14:textFill>
            <w14:solidFill>
              <w14:schemeClr w14:val="tx1"/>
            </w14:solidFill>
          </w14:textFill>
        </w:rPr>
        <w:t>水洗</w:t>
      </w:r>
      <w:r>
        <w:rPr>
          <w:rFonts w:eastAsia="瀹嬩綋"/>
          <w:color w:val="000000" w:themeColor="text1"/>
          <w14:textFill>
            <w14:solidFill>
              <w14:schemeClr w14:val="tx1"/>
            </w14:solidFill>
          </w14:textFill>
        </w:rPr>
        <w:t>+</w:t>
      </w:r>
      <w:r>
        <w:rPr>
          <w:color w:val="000000" w:themeColor="text1"/>
          <w14:textFill>
            <w14:solidFill>
              <w14:schemeClr w14:val="tx1"/>
            </w14:solidFill>
          </w14:textFill>
        </w:rPr>
        <w:t>湿电除尘</w:t>
      </w:r>
      <w:r>
        <w:rPr>
          <w:rFonts w:eastAsia="瀹嬩綋"/>
          <w:color w:val="000000" w:themeColor="text1"/>
          <w14:textFill>
            <w14:solidFill>
              <w14:schemeClr w14:val="tx1"/>
            </w14:solidFill>
          </w14:textFill>
        </w:rPr>
        <w:t>+</w:t>
      </w:r>
      <w:r>
        <w:rPr>
          <w:color w:val="000000" w:themeColor="text1"/>
          <w14:textFill>
            <w14:solidFill>
              <w14:schemeClr w14:val="tx1"/>
            </w14:solidFill>
          </w14:textFill>
        </w:rPr>
        <w:t>活性炭吸附</w:t>
      </w:r>
      <w:r>
        <w:rPr>
          <w:rFonts w:eastAsia="瀹嬩綋"/>
          <w:color w:val="000000" w:themeColor="text1"/>
          <w14:textFill>
            <w14:solidFill>
              <w14:schemeClr w14:val="tx1"/>
            </w14:solidFill>
          </w14:textFill>
        </w:rPr>
        <w:t>+SCR</w:t>
      </w:r>
      <w:r>
        <w:rPr>
          <w:color w:val="000000" w:themeColor="text1"/>
          <w14:textFill>
            <w14:solidFill>
              <w14:schemeClr w14:val="tx1"/>
            </w14:solidFill>
          </w14:textFill>
        </w:rPr>
        <w:t>脱硝”多级处理后，颗粒物、</w:t>
      </w:r>
      <w:r>
        <w:rPr>
          <w:rFonts w:eastAsia="瀹嬩綋"/>
          <w:color w:val="000000" w:themeColor="text1"/>
          <w14:textFill>
            <w14:solidFill>
              <w14:schemeClr w14:val="tx1"/>
            </w14:solidFill>
          </w14:textFill>
        </w:rPr>
        <w:t>SO₂</w:t>
      </w:r>
      <w:r>
        <w:rPr>
          <w:color w:val="000000" w:themeColor="text1"/>
          <w14:textFill>
            <w14:solidFill>
              <w14:schemeClr w14:val="tx1"/>
            </w14:solidFill>
          </w14:textFill>
        </w:rPr>
        <w:t>、</w:t>
      </w:r>
      <w:r>
        <w:rPr>
          <w:rFonts w:eastAsia="瀹嬩綋"/>
          <w:color w:val="000000" w:themeColor="text1"/>
          <w14:textFill>
            <w14:solidFill>
              <w14:schemeClr w14:val="tx1"/>
            </w14:solidFill>
          </w14:textFill>
        </w:rPr>
        <w:t>NOₓ</w:t>
      </w:r>
      <w:r>
        <w:rPr>
          <w:color w:val="000000" w:themeColor="text1"/>
          <w14:textFill>
            <w14:solidFill>
              <w14:schemeClr w14:val="tx1"/>
            </w14:solidFill>
          </w14:textFill>
        </w:rPr>
        <w:t>、</w:t>
      </w:r>
      <w:r>
        <w:rPr>
          <w:rFonts w:eastAsia="瀹嬩綋"/>
          <w:color w:val="000000" w:themeColor="text1"/>
          <w14:textFill>
            <w14:solidFill>
              <w14:schemeClr w14:val="tx1"/>
            </w14:solidFill>
          </w14:textFill>
        </w:rPr>
        <w:t>HCl</w:t>
      </w:r>
      <w:r>
        <w:rPr>
          <w:color w:val="000000" w:themeColor="text1"/>
          <w14:textFill>
            <w14:solidFill>
              <w14:schemeClr w14:val="tx1"/>
            </w14:solidFill>
          </w14:textFill>
        </w:rPr>
        <w:t>、</w:t>
      </w:r>
      <w:r>
        <w:rPr>
          <w:rFonts w:eastAsia="瀹嬩綋"/>
          <w:color w:val="000000" w:themeColor="text1"/>
          <w14:textFill>
            <w14:solidFill>
              <w14:schemeClr w14:val="tx1"/>
            </w14:solidFill>
          </w14:textFill>
        </w:rPr>
        <w:t>CO</w:t>
      </w:r>
      <w:r>
        <w:rPr>
          <w:color w:val="000000" w:themeColor="text1"/>
          <w14:textFill>
            <w14:solidFill>
              <w14:schemeClr w14:val="tx1"/>
            </w14:solidFill>
          </w14:textFill>
        </w:rPr>
        <w:t>、二噁英、重金属等污染物排放浓度均满足《危险废物焚烧污染控制标准》（</w:t>
      </w:r>
      <w:r>
        <w:rPr>
          <w:rFonts w:eastAsia="瀹嬩綋"/>
          <w:color w:val="000000" w:themeColor="text1"/>
          <w14:textFill>
            <w14:solidFill>
              <w14:schemeClr w14:val="tx1"/>
            </w14:solidFill>
          </w14:textFill>
        </w:rPr>
        <w:t>GB18484-2020</w:t>
      </w:r>
      <w:r>
        <w:rPr>
          <w:color w:val="000000" w:themeColor="text1"/>
          <w14:textFill>
            <w14:solidFill>
              <w14:schemeClr w14:val="tx1"/>
            </w14:solidFill>
          </w14:textFill>
        </w:rPr>
        <w:t>）要求，烟囱高度</w:t>
      </w:r>
      <w:r>
        <w:rPr>
          <w:rFonts w:eastAsia="瀹嬩綋"/>
          <w:color w:val="000000" w:themeColor="text1"/>
          <w14:textFill>
            <w14:solidFill>
              <w14:schemeClr w14:val="tx1"/>
            </w14:solidFill>
          </w14:textFill>
        </w:rPr>
        <w:t>50m</w:t>
      </w:r>
      <w:r>
        <w:rPr>
          <w:color w:val="000000" w:themeColor="text1"/>
          <w14:textFill>
            <w14:solidFill>
              <w14:schemeClr w14:val="tx1"/>
            </w14:solidFill>
          </w14:textFill>
        </w:rPr>
        <w:t>，满足焚烧量≥</w:t>
      </w:r>
      <w:r>
        <w:rPr>
          <w:rFonts w:eastAsia="瀹嬩綋"/>
          <w:color w:val="000000" w:themeColor="text1"/>
          <w14:textFill>
            <w14:solidFill>
              <w14:schemeClr w14:val="tx1"/>
            </w14:solidFill>
          </w14:textFill>
        </w:rPr>
        <w:t>2500kg/h</w:t>
      </w:r>
      <w:r>
        <w:rPr>
          <w:color w:val="000000" w:themeColor="text1"/>
          <w14:textFill>
            <w14:solidFill>
              <w14:schemeClr w14:val="tx1"/>
            </w14:solidFill>
          </w14:textFill>
        </w:rPr>
        <w:t>时排气筒高度不小于</w:t>
      </w:r>
      <w:r>
        <w:rPr>
          <w:rFonts w:eastAsia="瀹嬩綋"/>
          <w:color w:val="000000" w:themeColor="text1"/>
          <w14:textFill>
            <w14:solidFill>
              <w14:schemeClr w14:val="tx1"/>
            </w14:solidFill>
          </w14:textFill>
        </w:rPr>
        <w:t>50m</w:t>
      </w:r>
      <w:r>
        <w:rPr>
          <w:color w:val="000000" w:themeColor="text1"/>
          <w14:textFill>
            <w14:solidFill>
              <w14:schemeClr w14:val="tx1"/>
            </w14:solidFill>
          </w14:textFill>
        </w:rPr>
        <w:t>的要求；同时配备烟气在线监测系统，实时监测烟气排放指标，确保达标排放。</w:t>
      </w:r>
    </w:p>
    <w:p w14:paraId="54B3FD68">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2.  </w:t>
      </w:r>
      <w:r>
        <w:rPr>
          <w:color w:val="000000" w:themeColor="text1"/>
          <w14:textFill>
            <w14:solidFill>
              <w14:schemeClr w14:val="tx1"/>
            </w14:solidFill>
          </w14:textFill>
        </w:rPr>
        <w:t>固体废物：项目产生的焚烧残渣、飞灰等固体废物，严格按照危险废物管理要求进行处置，避免二次污染；废活性炭等危险废物妥善收集、储存，委托有资质单位处置，实现固体废物的规范管理，减少对环境的影响。</w:t>
      </w:r>
    </w:p>
    <w:p w14:paraId="180D595F">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3.  </w:t>
      </w:r>
      <w:r>
        <w:rPr>
          <w:color w:val="000000" w:themeColor="text1"/>
          <w14:textFill>
            <w14:solidFill>
              <w14:schemeClr w14:val="tx1"/>
            </w14:solidFill>
          </w14:textFill>
        </w:rPr>
        <w:t>废水：项目生产过程中产生的洗涤废水、冷却废水等，经处理后循环利用或达标排放，无生产废水直接排放，有效控制水污染物产生。</w:t>
      </w:r>
    </w:p>
    <w:p w14:paraId="532A5C24">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4.  </w:t>
      </w:r>
      <w:r>
        <w:rPr>
          <w:color w:val="000000" w:themeColor="text1"/>
          <w14:textFill>
            <w14:solidFill>
              <w14:schemeClr w14:val="tx1"/>
            </w14:solidFill>
          </w14:textFill>
        </w:rPr>
        <w:t>噪声：选用低噪声设备，配套隔声、减振措施，合理布置设备位置，确保厂界噪声达标，减少噪声污染。</w:t>
      </w:r>
    </w:p>
    <w:p w14:paraId="1B1DA79F">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（四）产品清洁性分析</w:t>
      </w:r>
    </w:p>
    <w:p w14:paraId="5BB450BB">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本项目的核心产品为融雪剂，以处置后的合格废盐为原料，生产过程中不添加有毒有害辅料，产品质量符合相关行业标准，无有毒有害物质残留，使用过程中对环境影响较小，属于清洁型产品。同时，融雪剂的生产实现了废盐的资源化利用，替代了传统融雪剂原料的开采，减少了资源消耗和生态破坏，进一步体现了清洁生产的理念。</w:t>
      </w:r>
    </w:p>
    <w:p w14:paraId="2F8A0B33">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（五）环境管理清洁性分析</w:t>
      </w:r>
    </w:p>
    <w:p w14:paraId="5DDC6144">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本项目建立了完善的环境管理体系，配备劳动定员</w:t>
      </w:r>
      <w:r>
        <w:rPr>
          <w:rFonts w:eastAsia="瀹嬩綋"/>
          <w:color w:val="000000" w:themeColor="text1"/>
          <w14:textFill>
            <w14:solidFill>
              <w14:schemeClr w14:val="tx1"/>
            </w14:solidFill>
          </w14:textFill>
        </w:rPr>
        <w:t>30</w:t>
      </w:r>
      <w:r>
        <w:rPr>
          <w:color w:val="000000" w:themeColor="text1"/>
          <w14:textFill>
            <w14:solidFill>
              <w14:schemeClr w14:val="tx1"/>
            </w14:solidFill>
          </w14:textFill>
        </w:rPr>
        <w:t>人，实行四班三运转制度，明确各岗位环境管理职责，确保清洁生产措施落到实处。</w:t>
      </w:r>
    </w:p>
    <w:p w14:paraId="6A8C6151">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1.  </w:t>
      </w:r>
      <w:r>
        <w:rPr>
          <w:color w:val="000000" w:themeColor="text1"/>
          <w14:textFill>
            <w14:solidFill>
              <w14:schemeClr w14:val="tx1"/>
            </w14:solidFill>
          </w14:textFill>
        </w:rPr>
        <w:t>管理制度：制定了废盐入厂检测、工艺运行监控、污染物排放监测、固体废物管理、应急处置等一系列管理制度，规范生产运营过程，确保清洁生产持续推进；对入炉原料实行严格检测，若有</w:t>
      </w:r>
      <w:r>
        <w:rPr>
          <w:rFonts w:eastAsia="瀹嬩綋"/>
          <w:color w:val="000000" w:themeColor="text1"/>
          <w14:textFill>
            <w14:solidFill>
              <w14:schemeClr w14:val="tx1"/>
            </w14:solidFill>
          </w14:textFill>
        </w:rPr>
        <w:t>2</w:t>
      </w:r>
      <w:r>
        <w:rPr>
          <w:color w:val="000000" w:themeColor="text1"/>
          <w14:textFill>
            <w14:solidFill>
              <w14:schemeClr w14:val="tx1"/>
            </w14:solidFill>
          </w14:textFill>
        </w:rPr>
        <w:t>项及以上指标超出限值，重新优化配伍并检测，直至达标，从源头控制污染。</w:t>
      </w:r>
    </w:p>
    <w:p w14:paraId="267E44AF">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2.  </w:t>
      </w:r>
      <w:r>
        <w:rPr>
          <w:color w:val="000000" w:themeColor="text1"/>
          <w14:textFill>
            <w14:solidFill>
              <w14:schemeClr w14:val="tx1"/>
            </w14:solidFill>
          </w14:textFill>
        </w:rPr>
        <w:t>监测能力：配备烟气在线监测系统（</w:t>
      </w:r>
      <w:r>
        <w:rPr>
          <w:rFonts w:eastAsia="瀹嬩綋"/>
          <w:color w:val="000000" w:themeColor="text1"/>
          <w14:textFill>
            <w14:solidFill>
              <w14:schemeClr w14:val="tx1"/>
            </w14:solidFill>
          </w14:textFill>
        </w:rPr>
        <w:t>CEMS</w:t>
      </w:r>
      <w:r>
        <w:rPr>
          <w:color w:val="000000" w:themeColor="text1"/>
          <w14:textFill>
            <w14:solidFill>
              <w14:schemeClr w14:val="tx1"/>
            </w14:solidFill>
          </w14:textFill>
        </w:rPr>
        <w:t>），可实时监测烟气量、</w:t>
      </w:r>
      <w:r>
        <w:rPr>
          <w:rFonts w:eastAsia="瀹嬩綋"/>
          <w:color w:val="000000" w:themeColor="text1"/>
          <w14:textFill>
            <w14:solidFill>
              <w14:schemeClr w14:val="tx1"/>
            </w14:solidFill>
          </w14:textFill>
        </w:rPr>
        <w:t>SO₂</w:t>
      </w:r>
      <w:r>
        <w:rPr>
          <w:color w:val="000000" w:themeColor="text1"/>
          <w14:textFill>
            <w14:solidFill>
              <w14:schemeClr w14:val="tx1"/>
            </w14:solidFill>
          </w14:textFill>
        </w:rPr>
        <w:t>、</w:t>
      </w:r>
      <w:r>
        <w:rPr>
          <w:rFonts w:eastAsia="瀹嬩綋"/>
          <w:color w:val="000000" w:themeColor="text1"/>
          <w14:textFill>
            <w14:solidFill>
              <w14:schemeClr w14:val="tx1"/>
            </w14:solidFill>
          </w14:textFill>
        </w:rPr>
        <w:t>NOₓ</w:t>
      </w:r>
      <w:r>
        <w:rPr>
          <w:color w:val="000000" w:themeColor="text1"/>
          <w14:textFill>
            <w14:solidFill>
              <w14:schemeClr w14:val="tx1"/>
            </w14:solidFill>
          </w14:textFill>
        </w:rPr>
        <w:t>、颗粒物、</w:t>
      </w:r>
      <w:r>
        <w:rPr>
          <w:rFonts w:eastAsia="瀹嬩綋"/>
          <w:color w:val="000000" w:themeColor="text1"/>
          <w14:textFill>
            <w14:solidFill>
              <w14:schemeClr w14:val="tx1"/>
            </w14:solidFill>
          </w14:textFill>
        </w:rPr>
        <w:t>HCl</w:t>
      </w:r>
      <w:r>
        <w:rPr>
          <w:color w:val="000000" w:themeColor="text1"/>
          <w14:textFill>
            <w14:solidFill>
              <w14:schemeClr w14:val="tx1"/>
            </w14:solidFill>
          </w14:textFill>
        </w:rPr>
        <w:t>、</w:t>
      </w:r>
      <w:r>
        <w:rPr>
          <w:rFonts w:eastAsia="瀹嬩綋"/>
          <w:color w:val="000000" w:themeColor="text1"/>
          <w14:textFill>
            <w14:solidFill>
              <w14:schemeClr w14:val="tx1"/>
            </w14:solidFill>
          </w14:textFill>
        </w:rPr>
        <w:t>CO</w:t>
      </w:r>
      <w:r>
        <w:rPr>
          <w:color w:val="000000" w:themeColor="text1"/>
          <w14:textFill>
            <w14:solidFill>
              <w14:schemeClr w14:val="tx1"/>
            </w14:solidFill>
          </w14:textFill>
        </w:rPr>
        <w:t>、</w:t>
      </w:r>
      <w:r>
        <w:rPr>
          <w:rFonts w:eastAsia="瀹嬩綋"/>
          <w:color w:val="000000" w:themeColor="text1"/>
          <w14:textFill>
            <w14:solidFill>
              <w14:schemeClr w14:val="tx1"/>
            </w14:solidFill>
          </w14:textFill>
        </w:rPr>
        <w:t>O₂</w:t>
      </w:r>
      <w:r>
        <w:rPr>
          <w:color w:val="000000" w:themeColor="text1"/>
          <w14:textFill>
            <w14:solidFill>
              <w14:schemeClr w14:val="tx1"/>
            </w14:solidFill>
          </w14:textFill>
        </w:rPr>
        <w:t>等指标，具备完善的监测能力，能够及时发现并处理污染物排放异常情况；同时定期对工艺参数、产品质量、污染物排放进行检测，确保生产过程符合清洁生产要求。</w:t>
      </w:r>
    </w:p>
    <w:p w14:paraId="551DA266">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3.  </w:t>
      </w:r>
      <w:r>
        <w:rPr>
          <w:color w:val="000000" w:themeColor="text1"/>
          <w14:textFill>
            <w14:solidFill>
              <w14:schemeClr w14:val="tx1"/>
            </w14:solidFill>
          </w14:textFill>
        </w:rPr>
        <w:t>应急管理：在二燃室顶部设置紧急排放烟囱，应对爆燃、停电等意外情况，避免设备爆炸及后续设备损害，减少突发环境事件的环境影响；制定完善的应急处置预案，定期开展应急演练，提升应急处置能力。</w:t>
      </w:r>
    </w:p>
    <w:p w14:paraId="6CEBFF10">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三、清洁生产改进建议</w:t>
      </w:r>
    </w:p>
    <w:p w14:paraId="34A50B1D">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虽然本项目整体清洁生产水平达到行业中等及以上水平，但结合行业发展趋势和清洁生产更高要求，提出以下改进建议，进一步提升清洁生产水平：</w:t>
      </w:r>
    </w:p>
    <w:p w14:paraId="3AA82C94">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1.  </w:t>
      </w:r>
      <w:r>
        <w:rPr>
          <w:color w:val="000000" w:themeColor="text1"/>
          <w14:textFill>
            <w14:solidFill>
              <w14:schemeClr w14:val="tx1"/>
            </w14:solidFill>
          </w14:textFill>
        </w:rPr>
        <w:t>持续优化三级配伍工艺，建立废盐成分数据库，结合服务范围内产废企业的废盐特性，动态调整配伍方案，进一步降低污染物产生量，提升工艺稳定性和资源利用效率。</w:t>
      </w:r>
    </w:p>
    <w:p w14:paraId="60C309D2">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2.  </w:t>
      </w:r>
      <w:r>
        <w:rPr>
          <w:color w:val="000000" w:themeColor="text1"/>
          <w14:textFill>
            <w14:solidFill>
              <w14:schemeClr w14:val="tx1"/>
            </w14:solidFill>
          </w14:textFill>
        </w:rPr>
        <w:t>加强能源管理，优化热风炉、燃烧器等设备的运行参数，进一步提高余热回收利用率，降低天然气消耗；探索太阳能、余热发电等清洁能源利用方式，减少化石能源消耗。</w:t>
      </w:r>
    </w:p>
    <w:p w14:paraId="355CB83F">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3.  </w:t>
      </w:r>
      <w:r>
        <w:rPr>
          <w:color w:val="000000" w:themeColor="text1"/>
          <w14:textFill>
            <w14:solidFill>
              <w14:schemeClr w14:val="tx1"/>
            </w14:solidFill>
          </w14:textFill>
        </w:rPr>
        <w:t>完善固体废物资源化利用渠道，对焚烧残渣、飞灰等固体废物进一步开展资源化研究，探索更多回收利用途径，最大限度实现固体废物减量化、资源化。</w:t>
      </w:r>
    </w:p>
    <w:p w14:paraId="41152580">
      <w:pPr>
        <w:ind w:firstLine="480"/>
        <w:rPr>
          <w:rFonts w:eastAsia="瀹嬩綋"/>
          <w:color w:val="000000" w:themeColor="text1"/>
          <w14:textFill>
            <w14:solidFill>
              <w14:schemeClr w14:val="tx1"/>
            </w14:solidFill>
          </w14:textFill>
        </w:rPr>
      </w:pPr>
      <w:r>
        <w:rPr>
          <w:rFonts w:eastAsia="瀹嬩綋"/>
          <w:color w:val="000000" w:themeColor="text1"/>
          <w14:textFill>
            <w14:solidFill>
              <w14:schemeClr w14:val="tx1"/>
            </w14:solidFill>
          </w14:textFill>
        </w:rPr>
        <w:t xml:space="preserve">4.  </w:t>
      </w:r>
      <w:r>
        <w:rPr>
          <w:color w:val="000000" w:themeColor="text1"/>
          <w14:textFill>
            <w14:solidFill>
              <w14:schemeClr w14:val="tx1"/>
            </w14:solidFill>
          </w14:textFill>
        </w:rPr>
        <w:t>加强员工清洁生产培训，提升员工清洁生产意识和操作技能，确保各项清洁生产措施严格执行；建立清洁生产考核机制，将清洁生产指标纳入员工绩效考核，推动清洁生产持续改进。</w:t>
      </w:r>
    </w:p>
    <w:p w14:paraId="634C6675">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四、结论</w:t>
      </w:r>
    </w:p>
    <w:p w14:paraId="050370DF">
      <w:pPr>
        <w:ind w:firstLine="480"/>
        <w:rPr>
          <w:rFonts w:eastAsia="瀹嬩綋"/>
          <w:color w:val="000000" w:themeColor="text1"/>
          <w14:textFill>
            <w14:solidFill>
              <w14:schemeClr w14:val="tx1"/>
            </w14:solidFill>
          </w14:textFill>
        </w:rPr>
      </w:pPr>
      <w:r>
        <w:rPr>
          <w:color w:val="000000" w:themeColor="text1"/>
          <w14:textFill>
            <w14:solidFill>
              <w14:schemeClr w14:val="tx1"/>
            </w14:solidFill>
          </w14:textFill>
        </w:rPr>
        <w:t>本项目建设符合国家清洁生产相关政策及危险废物治理行业发展导向，生产工艺先进、装备选型合理、资源能源利用效率较高、污染物控制措施完善、环境管理体系健全，实现了工业废盐的无害化处置与资源化利用，有效降低了生产过程中的环境影响，整体清洁生产水平达到行业中等及以上水平，满足清洁生产要求。</w:t>
      </w:r>
    </w:p>
    <w:p w14:paraId="7247A3E6">
      <w:pPr>
        <w:ind w:firstLine="480"/>
        <w:rPr>
          <w:color w:val="000000" w:themeColor="text1"/>
          <w14:textFill>
            <w14:solidFill>
              <w14:schemeClr w14:val="tx1"/>
            </w14:solidFill>
          </w14:textFill>
        </w:rPr>
      </w:pPr>
      <w:r>
        <w:rPr>
          <w:color w:val="000000" w:themeColor="text1"/>
          <w14:textFill>
            <w14:solidFill>
              <w14:schemeClr w14:val="tx1"/>
            </w14:solidFill>
          </w14:textFill>
        </w:rPr>
        <w:t>项目通过落实本次清洁生产分析提出的改进建议，进一步优化工艺、提升能源资源利用效率、强化污染物控制，可持续提升清洁生产水平，实现经济效益、环境效益和社会效益的统一，符合危险废物治理行业绿色可持续发展的要求。</w:t>
      </w:r>
    </w:p>
    <w:p w14:paraId="4167B055">
      <w:pPr>
        <w:widowControl/>
        <w:ind w:firstLine="480"/>
        <w:rPr>
          <w:color w:val="000000" w:themeColor="text1"/>
          <w:highlight w:val="yellow"/>
          <w14:textFill>
            <w14:solidFill>
              <w14:schemeClr w14:val="tx1"/>
            </w14:solidFill>
          </w14:textFill>
        </w:rPr>
      </w:pPr>
    </w:p>
    <w:p w14:paraId="41E4776F">
      <w:pPr>
        <w:ind w:firstLine="480"/>
        <w:rPr>
          <w:color w:val="000000" w:themeColor="text1"/>
          <w14:textFill>
            <w14:solidFill>
              <w14:schemeClr w14:val="tx1"/>
            </w14:solidFill>
          </w14:textFill>
        </w:rPr>
      </w:pPr>
    </w:p>
    <w:p w14:paraId="74C6ACE5">
      <w:pPr>
        <w:ind w:firstLine="480"/>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04E3C9A7">
      <w:pPr>
        <w:pStyle w:val="2"/>
        <w:rPr>
          <w:rFonts w:ascii="Times New Roman" w:cs="Times New Roman"/>
          <w:color w:val="000000" w:themeColor="text1"/>
          <w14:textFill>
            <w14:solidFill>
              <w14:schemeClr w14:val="tx1"/>
            </w14:solidFill>
          </w14:textFill>
        </w:rPr>
      </w:pPr>
      <w:bookmarkStart w:id="301" w:name="_Toc293592433"/>
      <w:bookmarkStart w:id="302" w:name="_Toc278649490"/>
      <w:bookmarkStart w:id="303" w:name="_Toc177331407"/>
      <w:bookmarkStart w:id="304" w:name="_Toc321821789"/>
      <w:bookmarkStart w:id="305" w:name="_Toc280691214"/>
      <w:bookmarkStart w:id="306" w:name="_Toc172069119"/>
      <w:bookmarkStart w:id="307" w:name="_Toc266187623"/>
      <w:bookmarkStart w:id="308" w:name="_Toc329793572"/>
      <w:bookmarkStart w:id="309" w:name="_Toc330460786"/>
      <w:bookmarkStart w:id="310" w:name="_Toc225268308"/>
      <w:bookmarkStart w:id="311" w:name="_Toc266187638"/>
      <w:bookmarkStart w:id="312" w:name="_Toc213225757"/>
      <w:bookmarkStart w:id="313" w:name="_Toc230071508"/>
      <w:r>
        <w:rPr>
          <w:rFonts w:ascii="Times New Roman" w:cs="Times New Roman"/>
          <w:color w:val="000000" w:themeColor="text1"/>
          <w14:textFill>
            <w14:solidFill>
              <w14:schemeClr w14:val="tx1"/>
            </w14:solidFill>
          </w14:textFill>
        </w:rPr>
        <w:t>区域环境概况</w:t>
      </w:r>
      <w:bookmarkEnd w:id="301"/>
      <w:bookmarkEnd w:id="302"/>
      <w:bookmarkEnd w:id="303"/>
      <w:bookmarkEnd w:id="304"/>
      <w:bookmarkEnd w:id="305"/>
      <w:bookmarkEnd w:id="306"/>
      <w:bookmarkEnd w:id="307"/>
      <w:r>
        <w:rPr>
          <w:rFonts w:ascii="Times New Roman" w:cs="Times New Roman"/>
          <w:color w:val="000000" w:themeColor="text1"/>
          <w14:textFill>
            <w14:solidFill>
              <w14:schemeClr w14:val="tx1"/>
            </w14:solidFill>
          </w14:textFill>
        </w:rPr>
        <w:t>及</w:t>
      </w:r>
      <w:bookmarkEnd w:id="308"/>
      <w:bookmarkEnd w:id="309"/>
      <w:r>
        <w:rPr>
          <w:rFonts w:ascii="Times New Roman" w:cs="Times New Roman"/>
          <w:color w:val="000000" w:themeColor="text1"/>
          <w14:textFill>
            <w14:solidFill>
              <w14:schemeClr w14:val="tx1"/>
            </w14:solidFill>
          </w14:textFill>
        </w:rPr>
        <w:t>现状调查与评价</w:t>
      </w:r>
      <w:bookmarkEnd w:id="310"/>
    </w:p>
    <w:p w14:paraId="31BBB3E8">
      <w:pPr>
        <w:pStyle w:val="3"/>
        <w:rPr>
          <w:rFonts w:ascii="Times New Roman" w:cs="Times New Roman"/>
          <w:color w:val="000000" w:themeColor="text1"/>
          <w:lang w:val="zh-CN"/>
          <w14:textFill>
            <w14:solidFill>
              <w14:schemeClr w14:val="tx1"/>
            </w14:solidFill>
          </w14:textFill>
        </w:rPr>
      </w:pPr>
      <w:bookmarkStart w:id="314" w:name="_Toc329793573"/>
      <w:bookmarkStart w:id="315" w:name="_Toc225268309"/>
      <w:bookmarkStart w:id="316" w:name="_Toc330460787"/>
      <w:bookmarkStart w:id="317" w:name="_Toc225489007"/>
      <w:bookmarkStart w:id="318" w:name="_Toc278649401"/>
      <w:bookmarkStart w:id="319" w:name="_Toc280691121"/>
      <w:bookmarkStart w:id="320" w:name="_Toc321821705"/>
      <w:bookmarkStart w:id="321" w:name="_Toc225867338"/>
      <w:bookmarkStart w:id="322" w:name="_Toc293592434"/>
      <w:bookmarkStart w:id="323" w:name="_Toc321821790"/>
      <w:r>
        <w:rPr>
          <w:rFonts w:ascii="Times New Roman" w:cs="Times New Roman"/>
          <w:color w:val="000000" w:themeColor="text1"/>
          <w:lang w:val="zh-CN"/>
          <w14:textFill>
            <w14:solidFill>
              <w14:schemeClr w14:val="tx1"/>
            </w14:solidFill>
          </w14:textFill>
        </w:rPr>
        <w:t>自然环境</w:t>
      </w:r>
      <w:bookmarkEnd w:id="314"/>
      <w:r>
        <w:rPr>
          <w:rFonts w:ascii="Times New Roman" w:cs="Times New Roman"/>
          <w:color w:val="000000" w:themeColor="text1"/>
          <w:lang w:val="zh-CN"/>
          <w14:textFill>
            <w14:solidFill>
              <w14:schemeClr w14:val="tx1"/>
            </w14:solidFill>
          </w14:textFill>
        </w:rPr>
        <w:t>概况</w:t>
      </w:r>
      <w:bookmarkEnd w:id="315"/>
      <w:bookmarkEnd w:id="316"/>
    </w:p>
    <w:p w14:paraId="08F19384">
      <w:pPr>
        <w:pStyle w:val="4"/>
        <w:rPr>
          <w:rFonts w:ascii="Times New Roman" w:cs="Times New Roman"/>
          <w:color w:val="000000" w:themeColor="text1"/>
          <w14:textFill>
            <w14:solidFill>
              <w14:schemeClr w14:val="tx1"/>
            </w14:solidFill>
          </w14:textFill>
        </w:rPr>
      </w:pPr>
      <w:bookmarkStart w:id="324" w:name="_Toc329793574"/>
      <w:r>
        <w:rPr>
          <w:rFonts w:ascii="Times New Roman" w:cs="Times New Roman"/>
          <w:color w:val="000000" w:themeColor="text1"/>
          <w14:textFill>
            <w14:solidFill>
              <w14:schemeClr w14:val="tx1"/>
            </w14:solidFill>
          </w14:textFill>
        </w:rPr>
        <w:t>地理位置</w:t>
      </w:r>
      <w:bookmarkEnd w:id="317"/>
      <w:bookmarkEnd w:id="318"/>
      <w:bookmarkEnd w:id="319"/>
      <w:bookmarkEnd w:id="320"/>
      <w:bookmarkEnd w:id="321"/>
      <w:bookmarkEnd w:id="324"/>
    </w:p>
    <w:p w14:paraId="340F95AA">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甘泉堡工业园地处乌鲁木齐市与昌吉州的交界地带，东接准东石油基地，南临小黄山铁路和216国道，西接乌鲁木齐米东区，北至兵团第六师102团（五家渠）。区域中心距乌鲁木齐市中心区45公里，米东新区中心区20公里，阜康市中心15公里，准东石油基地5公里。东西跨长约21公里，南北约23公里，周围被五家渠、昌吉、乌鲁木齐、阜康等城市和准东石油基地、第六师102团包围。</w:t>
      </w:r>
    </w:p>
    <w:p w14:paraId="54ED684F">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乌鲁木齐甘泉堡经济技术开发区（工业区）化工园区位于甘泉堡经济技术开发区已批准范围内，根据乌鲁木齐甘泉堡经济技术开发区（工业区）化工园区总体规划（2023-2035），规划总面积12.26平方千米，共分为3个片区（包含4个园区），其中：</w:t>
      </w:r>
    </w:p>
    <w:p w14:paraId="32C77877">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1号片区：规划用地面积6.19平方千米，规划范围南起中部合盛硅业内部道路，北至锦泉街，西沿春晓路，东至云帆路。为硅基新材料产业园。</w:t>
      </w:r>
    </w:p>
    <w:p w14:paraId="296537F0">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号片区：规划用地面积7.48平方千米，规划范围南起渊泉街，北靠贤清西街，西临四通路，东沿宝宁路一月恒街一甘津路。2号片区由月恒街分为南北2个园区，其中月恒街南侧为煤化工产业园，规划用地面积6.45平方千米，月恒街北侧为功能材料产业园，规划用地面积1.03平方千米。</w:t>
      </w:r>
    </w:p>
    <w:p w14:paraId="2B1FA956">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3号片区：规划用地面积1.23平方千米。规划范围南起玉泉东街，北至净明东街，西临玉泉经十路，东靠春晓路。为铝基新材料产业园。</w:t>
      </w:r>
    </w:p>
    <w:p w14:paraId="51650D8E">
      <w:pPr>
        <w:ind w:firstLine="448" w:firstLineChars="187"/>
        <w:rPr>
          <w:color w:val="000000" w:themeColor="text1"/>
          <w14:textFill>
            <w14:solidFill>
              <w14:schemeClr w14:val="tx1"/>
            </w14:solidFill>
          </w14:textFill>
        </w:rPr>
      </w:pPr>
      <w:r>
        <w:rPr>
          <w:color w:val="000000" w:themeColor="text1"/>
          <w:lang w:val="zh-CN" w:bidi="zh-CN"/>
          <w14:textFill>
            <w14:solidFill>
              <w14:schemeClr w14:val="tx1"/>
            </w14:solidFill>
          </w14:textFill>
        </w:rPr>
        <w:t>项目厂址位于乌鲁木齐甘泉堡经济技术开发区(工业区）国能化工东侧，现有厂区内。</w:t>
      </w:r>
      <w:r>
        <w:rPr>
          <w:color w:val="000000" w:themeColor="text1"/>
          <w:lang w:bidi="zh-CN"/>
          <w14:textFill>
            <w14:solidFill>
              <w14:schemeClr w14:val="tx1"/>
            </w14:solidFill>
          </w14:textFill>
        </w:rPr>
        <w:t>项目地理位置见图</w:t>
      </w:r>
      <w:r>
        <w:rPr>
          <w:rFonts w:hint="eastAsia"/>
          <w:color w:val="000000" w:themeColor="text1"/>
          <w:lang w:bidi="zh-CN"/>
          <w14:textFill>
            <w14:solidFill>
              <w14:schemeClr w14:val="tx1"/>
            </w14:solidFill>
          </w14:textFill>
        </w:rPr>
        <w:t>5</w:t>
      </w:r>
      <w:r>
        <w:rPr>
          <w:color w:val="000000" w:themeColor="text1"/>
          <w:lang w:bidi="zh-CN"/>
          <w14:textFill>
            <w14:solidFill>
              <w14:schemeClr w14:val="tx1"/>
            </w14:solidFill>
          </w14:textFill>
        </w:rPr>
        <w:t>.1-1。</w:t>
      </w:r>
    </w:p>
    <w:bookmarkEnd w:id="322"/>
    <w:bookmarkEnd w:id="323"/>
    <w:p w14:paraId="2CC5E24B">
      <w:pPr>
        <w:pStyle w:val="4"/>
        <w:rPr>
          <w:rFonts w:ascii="Times New Roman" w:cs="Times New Roman"/>
          <w:color w:val="000000" w:themeColor="text1"/>
          <w14:textFill>
            <w14:solidFill>
              <w14:schemeClr w14:val="tx1"/>
            </w14:solidFill>
          </w14:textFill>
        </w:rPr>
      </w:pPr>
      <w:bookmarkStart w:id="325" w:name="_Toc321821791"/>
      <w:bookmarkStart w:id="326" w:name="_Toc293592435"/>
      <w:bookmarkStart w:id="327" w:name="_Toc172069121"/>
      <w:bookmarkStart w:id="328" w:name="_Toc177331409"/>
      <w:bookmarkStart w:id="329" w:name="_Toc266187625"/>
      <w:bookmarkStart w:id="330" w:name="_Toc329793575"/>
      <w:r>
        <w:rPr>
          <w:rFonts w:ascii="Times New Roman" w:cs="Times New Roman"/>
          <w:color w:val="000000" w:themeColor="text1"/>
          <w14:textFill>
            <w14:solidFill>
              <w14:schemeClr w14:val="tx1"/>
            </w14:solidFill>
          </w14:textFill>
        </w:rPr>
        <w:t>地形地貌</w:t>
      </w:r>
      <w:bookmarkEnd w:id="325"/>
      <w:bookmarkEnd w:id="326"/>
      <w:bookmarkEnd w:id="327"/>
      <w:bookmarkEnd w:id="328"/>
      <w:bookmarkEnd w:id="329"/>
      <w:bookmarkEnd w:id="330"/>
    </w:p>
    <w:p w14:paraId="3FEFF0DF">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甘泉堡化工园区位于天山北麓、准噶尔盆地南缘。该区域位于山前洪冲积扇平原，地势开阔平坦，无凸凹起伏。园区地形较为平坦开阔，海拔在450-518米之间，坡度在0-8°之间。最高海拔最低海拔相差约69米。最高点位于东南侧，最低点位于北侧，整体地势呈东南向西北倾斜。园区位于洪积一冲积平原半灌木荒漠带，土壤属于灰漠土。</w:t>
      </w:r>
    </w:p>
    <w:p w14:paraId="72F878E5">
      <w:pPr>
        <w:spacing w:before="156"/>
        <w:ind w:firstLine="0" w:firstLineChars="0"/>
        <w:rPr>
          <w:color w:val="000000" w:themeColor="text1"/>
          <w14:textFill>
            <w14:solidFill>
              <w14:schemeClr w14:val="tx1"/>
            </w14:solidFill>
          </w14:textFill>
        </w:rPr>
      </w:pPr>
    </w:p>
    <w:p w14:paraId="62A3F3F9">
      <w:pPr>
        <w:pStyle w:val="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 xml:space="preserve"> 项目地理位置图</w:t>
      </w:r>
    </w:p>
    <w:p w14:paraId="1BDD136E">
      <w:pPr>
        <w:pStyle w:val="4"/>
        <w:rPr>
          <w:rFonts w:ascii="Times New Roman" w:cs="Times New Roman"/>
          <w:snapToGrid w:val="0"/>
          <w:color w:val="000000" w:themeColor="text1"/>
          <w:lang w:val="zh-CN"/>
          <w14:textFill>
            <w14:solidFill>
              <w14:schemeClr w14:val="tx1"/>
            </w14:solidFill>
          </w14:textFill>
        </w:rPr>
      </w:pPr>
      <w:bookmarkStart w:id="331" w:name="_Toc13499"/>
      <w:r>
        <w:rPr>
          <w:rFonts w:ascii="Times New Roman" w:cs="Times New Roman"/>
          <w:snapToGrid w:val="0"/>
          <w:color w:val="000000" w:themeColor="text1"/>
          <w:lang w:val="zh-CN"/>
          <w14:textFill>
            <w14:solidFill>
              <w14:schemeClr w14:val="tx1"/>
            </w14:solidFill>
          </w14:textFill>
        </w:rPr>
        <w:t>工程地质条件</w:t>
      </w:r>
      <w:bookmarkEnd w:id="331"/>
    </w:p>
    <w:p w14:paraId="6FA8471C">
      <w:pPr>
        <w:ind w:firstLine="480"/>
        <w:rPr>
          <w:color w:val="000000" w:themeColor="text1"/>
          <w14:textFill>
            <w14:solidFill>
              <w14:schemeClr w14:val="tx1"/>
            </w14:solidFill>
          </w14:textFill>
        </w:rPr>
      </w:pPr>
      <w:r>
        <w:rPr>
          <w:color w:val="000000" w:themeColor="text1"/>
          <w:lang w:val="zh-CN" w:bidi="zh-CN"/>
          <w14:textFill>
            <w14:solidFill>
              <w14:schemeClr w14:val="tx1"/>
            </w14:solidFill>
          </w14:textFill>
        </w:rPr>
        <w:t>场地地下水赋存于博格达山北麓冲洪积平原第四纪土层中，地下水类型属潜水，含水层为分土层，渗透性较差。主要接受东侧的水磨河渗漏地下水侧向径流补给，少量接受古牧地背斜低山丘陵区西侧二道沟季节性洪水渗漏侧向补给，由东南向西北方向径流排泄，径流缓慢。场地地下水埋深为4m左右。场地地下水按环境类型水对混凝土结构的腐蚀性评价，该场地的环境类型为Ⅱ类，SO</w:t>
      </w:r>
      <w:r>
        <w:rPr>
          <w:color w:val="000000" w:themeColor="text1"/>
          <w:vertAlign w:val="subscript"/>
          <w:lang w:val="zh-CN" w:bidi="zh-CN"/>
          <w14:textFill>
            <w14:solidFill>
              <w14:schemeClr w14:val="tx1"/>
            </w14:solidFill>
          </w14:textFill>
        </w:rPr>
        <w:t>4</w:t>
      </w:r>
      <w:r>
        <w:rPr>
          <w:color w:val="000000" w:themeColor="text1"/>
          <w:vertAlign w:val="superscript"/>
          <w:lang w:val="zh-CN" w:bidi="zh-CN"/>
          <w14:textFill>
            <w14:solidFill>
              <w14:schemeClr w14:val="tx1"/>
            </w14:solidFill>
          </w14:textFill>
        </w:rPr>
        <w:t>2-</w:t>
      </w:r>
      <w:r>
        <w:rPr>
          <w:color w:val="000000" w:themeColor="text1"/>
          <w:lang w:val="zh-CN" w:bidi="zh-CN"/>
          <w14:textFill>
            <w14:solidFill>
              <w14:schemeClr w14:val="tx1"/>
            </w14:solidFill>
          </w14:textFill>
        </w:rPr>
        <w:t>含量为3266.0~5475.4mg/L，大于1500mg/L，故对混凝土结构具有强腐蚀性；对钢筋混凝土结构中的钢筋的腐蚀性评价，由于场地是干湿交替，水中Cl</w:t>
      </w:r>
      <w:r>
        <w:rPr>
          <w:color w:val="000000" w:themeColor="text1"/>
          <w:vertAlign w:val="superscript"/>
          <w:lang w:val="zh-CN" w:bidi="zh-CN"/>
          <w14:textFill>
            <w14:solidFill>
              <w14:schemeClr w14:val="tx1"/>
            </w14:solidFill>
          </w14:textFill>
        </w:rPr>
        <w:t>-</w:t>
      </w:r>
      <w:r>
        <w:rPr>
          <w:color w:val="000000" w:themeColor="text1"/>
          <w:lang w:val="zh-CN" w:bidi="zh-CN"/>
          <w14:textFill>
            <w14:solidFill>
              <w14:schemeClr w14:val="tx1"/>
            </w14:solidFill>
          </w14:textFill>
        </w:rPr>
        <w:t>含量为3456.4～11680.8mg/L，故对钢筋混凝土结构中的钢筋以强腐蚀为主、对于长期浸水的地下钢筋混凝土结构中的钢筋以中等腐蚀为主；水对钢结构腐蚀性评价，pH值为7.38～7.50，(Cl</w:t>
      </w:r>
      <w:r>
        <w:rPr>
          <w:color w:val="000000" w:themeColor="text1"/>
          <w:vertAlign w:val="superscript"/>
          <w:lang w:val="zh-CN" w:bidi="zh-CN"/>
          <w14:textFill>
            <w14:solidFill>
              <w14:schemeClr w14:val="tx1"/>
            </w14:solidFill>
          </w14:textFill>
        </w:rPr>
        <w:t>-</w:t>
      </w:r>
      <w:r>
        <w:rPr>
          <w:color w:val="000000" w:themeColor="text1"/>
          <w:lang w:val="zh-CN" w:bidi="zh-CN"/>
          <w14:textFill>
            <w14:solidFill>
              <w14:schemeClr w14:val="tx1"/>
            </w14:solidFill>
          </w14:textFill>
        </w:rPr>
        <w:t>＋SO</w:t>
      </w:r>
      <w:r>
        <w:rPr>
          <w:color w:val="000000" w:themeColor="text1"/>
          <w:vertAlign w:val="subscript"/>
          <w:lang w:val="zh-CN" w:bidi="zh-CN"/>
          <w14:textFill>
            <w14:solidFill>
              <w14:schemeClr w14:val="tx1"/>
            </w14:solidFill>
          </w14:textFill>
        </w:rPr>
        <w:t>4</w:t>
      </w:r>
      <w:r>
        <w:rPr>
          <w:color w:val="000000" w:themeColor="text1"/>
          <w:vertAlign w:val="superscript"/>
          <w:lang w:val="zh-CN" w:bidi="zh-CN"/>
          <w14:textFill>
            <w14:solidFill>
              <w14:schemeClr w14:val="tx1"/>
            </w14:solidFill>
          </w14:textFill>
        </w:rPr>
        <w:t>2-</w:t>
      </w:r>
      <w:r>
        <w:rPr>
          <w:color w:val="000000" w:themeColor="text1"/>
          <w:lang w:val="zh-CN" w:bidi="zh-CN"/>
          <w14:textFill>
            <w14:solidFill>
              <w14:schemeClr w14:val="tx1"/>
            </w14:solidFill>
          </w14:textFill>
        </w:rPr>
        <w:t>）大于500mg/L，故对钢结构具有中等腐蚀性。</w:t>
      </w:r>
    </w:p>
    <w:p w14:paraId="54A26CCF">
      <w:pPr>
        <w:pStyle w:val="4"/>
        <w:rPr>
          <w:rFonts w:ascii="Times New Roman" w:cs="Times New Roman"/>
          <w:snapToGrid w:val="0"/>
          <w:color w:val="000000" w:themeColor="text1"/>
          <w:lang w:val="zh-CN"/>
          <w14:textFill>
            <w14:solidFill>
              <w14:schemeClr w14:val="tx1"/>
            </w14:solidFill>
          </w14:textFill>
        </w:rPr>
      </w:pPr>
      <w:bookmarkStart w:id="332" w:name="_Toc191"/>
      <w:r>
        <w:rPr>
          <w:rFonts w:ascii="Times New Roman" w:cs="Times New Roman"/>
          <w:snapToGrid w:val="0"/>
          <w:color w:val="000000" w:themeColor="text1"/>
          <w:lang w:val="zh-CN"/>
          <w14:textFill>
            <w14:solidFill>
              <w14:schemeClr w14:val="tx1"/>
            </w14:solidFill>
          </w14:textFill>
        </w:rPr>
        <w:t>水文及水资源</w:t>
      </w:r>
      <w:bookmarkEnd w:id="332"/>
    </w:p>
    <w:p w14:paraId="763517F7">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甘泉堡经开区周边拥有大小水库7座，水域面积广阔蓄水量大。其中500水库总库容达2.81亿立方米。甘泉堡工业区内建有“500”水库，目前库区一期工程已建成，“500"水库一期可调节4.2亿立方用水，二期可调节6.4亿立方用水，远景可调节10.6亿立方用水。</w:t>
      </w:r>
    </w:p>
    <w:p w14:paraId="6DE5459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依据“500”水库受水区规划，乌鲁木齐市在“500”水库近期的分水量为1.5亿立方米，置换乌鲁木齐河5000万立方米，通过在上游拦河修建大西沟水库等水利设施留在城市上游，用于生态恢复及城市建设发展。置换头屯河3000万立方米，用于经济技术开发区建设发展及生态绿化。留在“500”水库的7000万立方米用于甘泉堡工业区建设。</w:t>
      </w:r>
    </w:p>
    <w:p w14:paraId="0FAC3449">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依据甘泉堡经开区用水分配方案，甘泉堡经济技术开发区年供水总量为10700万m³，其中工业用水分配量为9159万m³，占比85.6%。</w:t>
      </w:r>
    </w:p>
    <w:p w14:paraId="56A1493D">
      <w:pPr>
        <w:ind w:firstLine="480"/>
        <w:rPr>
          <w:color w:val="000000" w:themeColor="text1"/>
          <w14:textFill>
            <w14:solidFill>
              <w14:schemeClr w14:val="tx1"/>
            </w14:solidFill>
          </w14:textFill>
        </w:rPr>
      </w:pPr>
      <w:r>
        <w:rPr>
          <w:color w:val="000000" w:themeColor="text1"/>
          <w:lang w:val="zh-CN" w:bidi="zh-CN"/>
          <w14:textFill>
            <w14:solidFill>
              <w14:schemeClr w14:val="tx1"/>
            </w14:solidFill>
          </w14:textFill>
        </w:rPr>
        <w:t>甘泉堡工业园位于阜康境内水磨河与乌鲁木齐河下游老龙河的河间地段，地貌上主要属于细土平原区。地下水主要为第四系松散岩类孔隙水，地下水则属于细土平原潜水承压水。潜水含水层的岩性以粉土、粉砂为主，颗粒细，透水性差，地下水流相对缓慢，富水性贫乏，地下水补给来源为地下水侧向径流，渠系、田间渗漏灌溉及有限的大气降水入渗补给，地下水的排泄条件主要为侧向径流流出排泄，其次为人工植被的蒸发蒸腾排泄和大气蒸发排泄。地下水流向为东南-西北。</w:t>
      </w:r>
    </w:p>
    <w:p w14:paraId="0CCF2ACF">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气候、气象</w:t>
      </w:r>
    </w:p>
    <w:p w14:paraId="2A150B83">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甘泉堡化工园区位于欧亚大陆腹地，远离海洋，属中温带大陆性干旱气候。夏季炎热，冬季寒冷，降水量少，蒸发旺盛，光照充足，空气干燥，热量丰富。</w:t>
      </w:r>
    </w:p>
    <w:p w14:paraId="04676920">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春秋季短，气候变化剧烈，气温年较差、日较差大。年平均气温8.8℃，极端最高气温43.7℃，极端最低气温-28.6℃，无霜期237d左右。年平均降水量104.4mm，年均蒸发量：1902.7mm；月最大降水44.4mm，日最大降水27.3mm；多年平均相对湿度58%，年最大相对湿度99%、年最小相对湿度2%；年平均日照时2364.5h；年平均风速2.1m/s，最大风速14m/s，极大风速：20.4m/s区域主导风向SSE，年均无风日数（≤3m/s）29.2d；最大冻土深度：107cm，最大积雪深23cm；年平均气压949.5hpa、最高978.8hpa、最低925.6hpa。</w:t>
      </w:r>
    </w:p>
    <w:p w14:paraId="0E389D83">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自然、气象条件表</w:t>
      </w:r>
    </w:p>
    <w:tbl>
      <w:tblPr>
        <w:tblStyle w:val="76"/>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68"/>
        <w:gridCol w:w="4969"/>
        <w:gridCol w:w="3381"/>
      </w:tblGrid>
      <w:tr w14:paraId="3F8EB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2CFF5680">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638" w:type="pct"/>
          </w:tcPr>
          <w:p w14:paraId="5AA630E9">
            <w:pPr>
              <w:pStyle w:val="109"/>
              <w:rPr>
                <w:color w:val="000000" w:themeColor="text1"/>
                <w14:textFill>
                  <w14:solidFill>
                    <w14:schemeClr w14:val="tx1"/>
                  </w14:solidFill>
                </w14:textFill>
              </w:rPr>
            </w:pPr>
            <w:r>
              <w:rPr>
                <w:color w:val="000000" w:themeColor="text1"/>
                <w:spacing w:val="-3"/>
                <w14:textFill>
                  <w14:solidFill>
                    <w14:schemeClr w14:val="tx1"/>
                  </w14:solidFill>
                </w14:textFill>
              </w:rPr>
              <w:t>自然要素</w:t>
            </w:r>
          </w:p>
        </w:tc>
        <w:tc>
          <w:tcPr>
            <w:tcW w:w="1795" w:type="pct"/>
          </w:tcPr>
          <w:p w14:paraId="34AF2E44">
            <w:pPr>
              <w:pStyle w:val="109"/>
              <w:rPr>
                <w:color w:val="000000" w:themeColor="text1"/>
                <w14:textFill>
                  <w14:solidFill>
                    <w14:schemeClr w14:val="tx1"/>
                  </w14:solidFill>
                </w14:textFill>
              </w:rPr>
            </w:pPr>
            <w:r>
              <w:rPr>
                <w:color w:val="000000" w:themeColor="text1"/>
                <w:spacing w:val="3"/>
                <w14:textFill>
                  <w14:solidFill>
                    <w14:schemeClr w14:val="tx1"/>
                  </w14:solidFill>
                </w14:textFill>
              </w:rPr>
              <w:t>数值</w:t>
            </w:r>
          </w:p>
        </w:tc>
      </w:tr>
      <w:tr w14:paraId="7D3AE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60D3F94E">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1</w:t>
            </w:r>
          </w:p>
        </w:tc>
        <w:tc>
          <w:tcPr>
            <w:tcW w:w="2638" w:type="pct"/>
          </w:tcPr>
          <w:p w14:paraId="3F102131">
            <w:pPr>
              <w:pStyle w:val="109"/>
              <w:rPr>
                <w:color w:val="000000" w:themeColor="text1"/>
                <w14:textFill>
                  <w14:solidFill>
                    <w14:schemeClr w14:val="tx1"/>
                  </w14:solidFill>
                </w14:textFill>
              </w:rPr>
            </w:pPr>
            <w:r>
              <w:rPr>
                <w:color w:val="000000" w:themeColor="text1"/>
                <w:spacing w:val="7"/>
                <w14:textFill>
                  <w14:solidFill>
                    <w14:schemeClr w14:val="tx1"/>
                  </w14:solidFill>
                </w14:textFill>
              </w:rPr>
              <w:t>年平均气温</w:t>
            </w:r>
          </w:p>
        </w:tc>
        <w:tc>
          <w:tcPr>
            <w:tcW w:w="1795" w:type="pct"/>
          </w:tcPr>
          <w:p w14:paraId="68D6384E">
            <w:pPr>
              <w:pStyle w:val="109"/>
              <w:rPr>
                <w:color w:val="000000" w:themeColor="text1"/>
                <w:lang w:eastAsia="en-US"/>
                <w14:textFill>
                  <w14:solidFill>
                    <w14:schemeClr w14:val="tx1"/>
                  </w14:solidFill>
                </w14:textFill>
              </w:rPr>
            </w:pPr>
            <w:r>
              <w:rPr>
                <w:rFonts w:eastAsia="Times New Roman"/>
                <w:color w:val="000000" w:themeColor="text1"/>
                <w:spacing w:val="2"/>
                <w:lang w:eastAsia="en-US"/>
                <w14:textFill>
                  <w14:solidFill>
                    <w14:schemeClr w14:val="tx1"/>
                  </w14:solidFill>
                </w14:textFill>
              </w:rPr>
              <w:t>5.7</w:t>
            </w:r>
            <w:r>
              <w:rPr>
                <w:color w:val="000000" w:themeColor="text1"/>
                <w:spacing w:val="2"/>
                <w:lang w:eastAsia="en-US"/>
                <w14:textFill>
                  <w14:solidFill>
                    <w14:schemeClr w14:val="tx1"/>
                  </w14:solidFill>
                </w14:textFill>
              </w:rPr>
              <w:t>℃</w:t>
            </w:r>
          </w:p>
        </w:tc>
      </w:tr>
      <w:tr w14:paraId="65721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58459B89">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2</w:t>
            </w:r>
          </w:p>
        </w:tc>
        <w:tc>
          <w:tcPr>
            <w:tcW w:w="2638" w:type="pct"/>
          </w:tcPr>
          <w:p w14:paraId="016CAF1D">
            <w:pPr>
              <w:pStyle w:val="109"/>
              <w:rPr>
                <w:color w:val="000000" w:themeColor="text1"/>
                <w14:textFill>
                  <w14:solidFill>
                    <w14:schemeClr w14:val="tx1"/>
                  </w14:solidFill>
                </w14:textFill>
              </w:rPr>
            </w:pPr>
            <w:r>
              <w:rPr>
                <w:color w:val="000000" w:themeColor="text1"/>
                <w:spacing w:val="7"/>
                <w14:textFill>
                  <w14:solidFill>
                    <w14:schemeClr w14:val="tx1"/>
                  </w14:solidFill>
                </w14:textFill>
              </w:rPr>
              <w:t>最热平均温度</w:t>
            </w:r>
          </w:p>
        </w:tc>
        <w:tc>
          <w:tcPr>
            <w:tcW w:w="1795" w:type="pct"/>
          </w:tcPr>
          <w:p w14:paraId="4186A4EE">
            <w:pPr>
              <w:pStyle w:val="109"/>
              <w:rPr>
                <w:color w:val="000000" w:themeColor="text1"/>
                <w:lang w:eastAsia="en-US"/>
                <w14:textFill>
                  <w14:solidFill>
                    <w14:schemeClr w14:val="tx1"/>
                  </w14:solidFill>
                </w14:textFill>
              </w:rPr>
            </w:pPr>
            <w:r>
              <w:rPr>
                <w:rFonts w:eastAsia="Times New Roman"/>
                <w:color w:val="000000" w:themeColor="text1"/>
                <w:spacing w:val="3"/>
                <w:lang w:eastAsia="en-US"/>
                <w14:textFill>
                  <w14:solidFill>
                    <w14:schemeClr w14:val="tx1"/>
                  </w14:solidFill>
                </w14:textFill>
              </w:rPr>
              <w:t>21.7</w:t>
            </w:r>
            <w:r>
              <w:rPr>
                <w:color w:val="000000" w:themeColor="text1"/>
                <w:spacing w:val="3"/>
                <w:lang w:eastAsia="en-US"/>
                <w14:textFill>
                  <w14:solidFill>
                    <w14:schemeClr w14:val="tx1"/>
                  </w14:solidFill>
                </w14:textFill>
              </w:rPr>
              <w:t>℃（</w:t>
            </w:r>
            <w:r>
              <w:rPr>
                <w:rFonts w:eastAsia="Times New Roman"/>
                <w:color w:val="000000" w:themeColor="text1"/>
                <w:spacing w:val="3"/>
                <w:lang w:eastAsia="en-US"/>
                <w14:textFill>
                  <w14:solidFill>
                    <w14:schemeClr w14:val="tx1"/>
                  </w14:solidFill>
                </w14:textFill>
              </w:rPr>
              <w:t>7</w:t>
            </w:r>
            <w:r>
              <w:rPr>
                <w:color w:val="000000" w:themeColor="text1"/>
                <w:spacing w:val="3"/>
                <w:lang w:eastAsia="en-US"/>
                <w14:textFill>
                  <w14:solidFill>
                    <w14:schemeClr w14:val="tx1"/>
                  </w14:solidFill>
                </w14:textFill>
              </w:rPr>
              <w:t>月）</w:t>
            </w:r>
          </w:p>
        </w:tc>
      </w:tr>
      <w:tr w14:paraId="0AF7F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65E4560E">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3</w:t>
            </w:r>
          </w:p>
        </w:tc>
        <w:tc>
          <w:tcPr>
            <w:tcW w:w="2638" w:type="pct"/>
          </w:tcPr>
          <w:p w14:paraId="03C63AE5">
            <w:pPr>
              <w:pStyle w:val="109"/>
              <w:rPr>
                <w:color w:val="000000" w:themeColor="text1"/>
                <w14:textFill>
                  <w14:solidFill>
                    <w14:schemeClr w14:val="tx1"/>
                  </w14:solidFill>
                </w14:textFill>
              </w:rPr>
            </w:pPr>
            <w:r>
              <w:rPr>
                <w:color w:val="000000" w:themeColor="text1"/>
                <w:spacing w:val="7"/>
                <w14:textFill>
                  <w14:solidFill>
                    <w14:schemeClr w14:val="tx1"/>
                  </w14:solidFill>
                </w14:textFill>
              </w:rPr>
              <w:t>极点最高气温</w:t>
            </w:r>
          </w:p>
        </w:tc>
        <w:tc>
          <w:tcPr>
            <w:tcW w:w="1795" w:type="pct"/>
          </w:tcPr>
          <w:p w14:paraId="66CE1491">
            <w:pPr>
              <w:pStyle w:val="109"/>
              <w:rPr>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43.54</w:t>
            </w:r>
            <w:r>
              <w:rPr>
                <w:color w:val="000000" w:themeColor="text1"/>
                <w:lang w:eastAsia="en-US"/>
                <w14:textFill>
                  <w14:solidFill>
                    <w14:schemeClr w14:val="tx1"/>
                  </w14:solidFill>
                </w14:textFill>
              </w:rPr>
              <w:t>℃</w:t>
            </w:r>
          </w:p>
        </w:tc>
      </w:tr>
      <w:tr w14:paraId="4AD73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65420332">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1"/>
                <w:lang w:eastAsia="en-US"/>
                <w14:textFill>
                  <w14:solidFill>
                    <w14:schemeClr w14:val="tx1"/>
                  </w14:solidFill>
                </w14:textFill>
              </w:rPr>
              <w:t>4</w:t>
            </w:r>
          </w:p>
        </w:tc>
        <w:tc>
          <w:tcPr>
            <w:tcW w:w="2638" w:type="pct"/>
          </w:tcPr>
          <w:p w14:paraId="30817F44">
            <w:pPr>
              <w:pStyle w:val="109"/>
              <w:rPr>
                <w:color w:val="000000" w:themeColor="text1"/>
                <w14:textFill>
                  <w14:solidFill>
                    <w14:schemeClr w14:val="tx1"/>
                  </w14:solidFill>
                </w14:textFill>
              </w:rPr>
            </w:pPr>
            <w:r>
              <w:rPr>
                <w:color w:val="000000" w:themeColor="text1"/>
                <w:spacing w:val="7"/>
                <w14:textFill>
                  <w14:solidFill>
                    <w14:schemeClr w14:val="tx1"/>
                  </w14:solidFill>
                </w14:textFill>
              </w:rPr>
              <w:t>最冷平均气温</w:t>
            </w:r>
          </w:p>
        </w:tc>
        <w:tc>
          <w:tcPr>
            <w:tcW w:w="1795" w:type="pct"/>
          </w:tcPr>
          <w:p w14:paraId="72FC0EF8">
            <w:pPr>
              <w:pStyle w:val="109"/>
              <w:rPr>
                <w:color w:val="000000" w:themeColor="text1"/>
                <w:lang w:eastAsia="en-US"/>
                <w14:textFill>
                  <w14:solidFill>
                    <w14:schemeClr w14:val="tx1"/>
                  </w14:solidFill>
                </w14:textFill>
              </w:rPr>
            </w:pPr>
            <w:r>
              <w:rPr>
                <w:rFonts w:eastAsia="Times New Roman"/>
                <w:color w:val="000000" w:themeColor="text1"/>
                <w:spacing w:val="3"/>
                <w:lang w:eastAsia="en-US"/>
                <w14:textFill>
                  <w14:solidFill>
                    <w14:schemeClr w14:val="tx1"/>
                  </w14:solidFill>
                </w14:textFill>
              </w:rPr>
              <w:t>-14.8</w:t>
            </w:r>
            <w:r>
              <w:rPr>
                <w:color w:val="000000" w:themeColor="text1"/>
                <w:spacing w:val="3"/>
                <w:lang w:eastAsia="en-US"/>
                <w14:textFill>
                  <w14:solidFill>
                    <w14:schemeClr w14:val="tx1"/>
                  </w14:solidFill>
                </w14:textFill>
              </w:rPr>
              <w:t>℃（</w:t>
            </w:r>
            <w:r>
              <w:rPr>
                <w:rFonts w:eastAsia="Times New Roman"/>
                <w:color w:val="000000" w:themeColor="text1"/>
                <w:spacing w:val="3"/>
                <w:lang w:eastAsia="en-US"/>
                <w14:textFill>
                  <w14:solidFill>
                    <w14:schemeClr w14:val="tx1"/>
                  </w14:solidFill>
                </w14:textFill>
              </w:rPr>
              <w:t>12</w:t>
            </w:r>
            <w:r>
              <w:rPr>
                <w:color w:val="000000" w:themeColor="text1"/>
                <w:spacing w:val="3"/>
                <w:lang w:eastAsia="en-US"/>
                <w14:textFill>
                  <w14:solidFill>
                    <w14:schemeClr w14:val="tx1"/>
                  </w14:solidFill>
                </w14:textFill>
              </w:rPr>
              <w:t>月）</w:t>
            </w:r>
          </w:p>
        </w:tc>
      </w:tr>
      <w:tr w14:paraId="655C3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3CF02AC5">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5</w:t>
            </w:r>
          </w:p>
        </w:tc>
        <w:tc>
          <w:tcPr>
            <w:tcW w:w="2638" w:type="pct"/>
          </w:tcPr>
          <w:p w14:paraId="64A5A453">
            <w:pPr>
              <w:pStyle w:val="109"/>
              <w:rPr>
                <w:color w:val="000000" w:themeColor="text1"/>
                <w14:textFill>
                  <w14:solidFill>
                    <w14:schemeClr w14:val="tx1"/>
                  </w14:solidFill>
                </w14:textFill>
              </w:rPr>
            </w:pPr>
            <w:r>
              <w:rPr>
                <w:color w:val="000000" w:themeColor="text1"/>
                <w:spacing w:val="7"/>
                <w14:textFill>
                  <w14:solidFill>
                    <w14:schemeClr w14:val="tx1"/>
                  </w14:solidFill>
                </w14:textFill>
              </w:rPr>
              <w:t>极点最低气温</w:t>
            </w:r>
          </w:p>
        </w:tc>
        <w:tc>
          <w:tcPr>
            <w:tcW w:w="1795" w:type="pct"/>
          </w:tcPr>
          <w:p w14:paraId="419DFF69">
            <w:pPr>
              <w:pStyle w:val="109"/>
              <w:rPr>
                <w:color w:val="000000" w:themeColor="text1"/>
                <w:lang w:eastAsia="en-US"/>
                <w14:textFill>
                  <w14:solidFill>
                    <w14:schemeClr w14:val="tx1"/>
                  </w14:solidFill>
                </w14:textFill>
              </w:rPr>
            </w:pPr>
            <w:r>
              <w:rPr>
                <w:rFonts w:eastAsia="Times New Roman"/>
                <w:color w:val="000000" w:themeColor="text1"/>
                <w:spacing w:val="3"/>
                <w:lang w:eastAsia="en-US"/>
                <w14:textFill>
                  <w14:solidFill>
                    <w14:schemeClr w14:val="tx1"/>
                  </w14:solidFill>
                </w14:textFill>
              </w:rPr>
              <w:t>-42.2</w:t>
            </w:r>
            <w:r>
              <w:rPr>
                <w:color w:val="000000" w:themeColor="text1"/>
                <w:spacing w:val="3"/>
                <w:lang w:eastAsia="en-US"/>
                <w14:textFill>
                  <w14:solidFill>
                    <w14:schemeClr w14:val="tx1"/>
                  </w14:solidFill>
                </w14:textFill>
              </w:rPr>
              <w:t>℃</w:t>
            </w:r>
          </w:p>
        </w:tc>
      </w:tr>
      <w:tr w14:paraId="0E559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1CDADA8B">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6</w:t>
            </w:r>
          </w:p>
        </w:tc>
        <w:tc>
          <w:tcPr>
            <w:tcW w:w="2638" w:type="pct"/>
          </w:tcPr>
          <w:p w14:paraId="12FEBBFF">
            <w:pPr>
              <w:pStyle w:val="109"/>
              <w:rPr>
                <w:color w:val="000000" w:themeColor="text1"/>
                <w14:textFill>
                  <w14:solidFill>
                    <w14:schemeClr w14:val="tx1"/>
                  </w14:solidFill>
                </w14:textFill>
              </w:rPr>
            </w:pPr>
            <w:r>
              <w:rPr>
                <w:color w:val="000000" w:themeColor="text1"/>
                <w:spacing w:val="8"/>
                <w14:textFill>
                  <w14:solidFill>
                    <w14:schemeClr w14:val="tx1"/>
                  </w14:solidFill>
                </w14:textFill>
              </w:rPr>
              <w:t>年平均降雨量</w:t>
            </w:r>
          </w:p>
        </w:tc>
        <w:tc>
          <w:tcPr>
            <w:tcW w:w="1795" w:type="pct"/>
          </w:tcPr>
          <w:p w14:paraId="517EF3A3">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2"/>
                <w:lang w:eastAsia="en-US"/>
                <w14:textFill>
                  <w14:solidFill>
                    <w14:schemeClr w14:val="tx1"/>
                  </w14:solidFill>
                </w14:textFill>
              </w:rPr>
              <w:t>127.6</w:t>
            </w:r>
            <w:r>
              <w:rPr>
                <w:rFonts w:eastAsia="Times New Roman"/>
                <w:color w:val="000000" w:themeColor="text1"/>
                <w:lang w:eastAsia="en-US"/>
                <w14:textFill>
                  <w14:solidFill>
                    <w14:schemeClr w14:val="tx1"/>
                  </w14:solidFill>
                </w14:textFill>
              </w:rPr>
              <w:t>mm</w:t>
            </w:r>
          </w:p>
        </w:tc>
      </w:tr>
      <w:tr w14:paraId="035AC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03B8DAF1">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7</w:t>
            </w:r>
          </w:p>
        </w:tc>
        <w:tc>
          <w:tcPr>
            <w:tcW w:w="2638" w:type="pct"/>
          </w:tcPr>
          <w:p w14:paraId="65B408F2">
            <w:pPr>
              <w:pStyle w:val="109"/>
              <w:rPr>
                <w:color w:val="000000" w:themeColor="text1"/>
                <w14:textFill>
                  <w14:solidFill>
                    <w14:schemeClr w14:val="tx1"/>
                  </w14:solidFill>
                </w14:textFill>
              </w:rPr>
            </w:pPr>
            <w:r>
              <w:rPr>
                <w:color w:val="000000" w:themeColor="text1"/>
                <w:spacing w:val="7"/>
                <w14:textFill>
                  <w14:solidFill>
                    <w14:schemeClr w14:val="tx1"/>
                  </w14:solidFill>
                </w14:textFill>
              </w:rPr>
              <w:t>月最大降雨量</w:t>
            </w:r>
          </w:p>
        </w:tc>
        <w:tc>
          <w:tcPr>
            <w:tcW w:w="1795" w:type="pct"/>
          </w:tcPr>
          <w:p w14:paraId="46C80AFF">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81.3mm</w:t>
            </w:r>
          </w:p>
        </w:tc>
      </w:tr>
      <w:tr w14:paraId="7EE75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4C6082C1">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8</w:t>
            </w:r>
          </w:p>
        </w:tc>
        <w:tc>
          <w:tcPr>
            <w:tcW w:w="2638" w:type="pct"/>
          </w:tcPr>
          <w:p w14:paraId="2D850E91">
            <w:pPr>
              <w:pStyle w:val="109"/>
              <w:rPr>
                <w:color w:val="000000" w:themeColor="text1"/>
                <w14:textFill>
                  <w14:solidFill>
                    <w14:schemeClr w14:val="tx1"/>
                  </w14:solidFill>
                </w14:textFill>
              </w:rPr>
            </w:pPr>
            <w:r>
              <w:rPr>
                <w:color w:val="000000" w:themeColor="text1"/>
                <w:spacing w:val="8"/>
                <w14:textFill>
                  <w14:solidFill>
                    <w14:schemeClr w14:val="tx1"/>
                  </w14:solidFill>
                </w14:textFill>
              </w:rPr>
              <w:t>年平均蒸发量</w:t>
            </w:r>
          </w:p>
        </w:tc>
        <w:tc>
          <w:tcPr>
            <w:tcW w:w="1795" w:type="pct"/>
          </w:tcPr>
          <w:p w14:paraId="648C8C18">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6"/>
                <w:lang w:eastAsia="en-US"/>
                <w14:textFill>
                  <w14:solidFill>
                    <w14:schemeClr w14:val="tx1"/>
                  </w14:solidFill>
                </w14:textFill>
              </w:rPr>
              <w:t>2153.2</w:t>
            </w:r>
            <w:r>
              <w:rPr>
                <w:rFonts w:eastAsia="Times New Roman"/>
                <w:color w:val="000000" w:themeColor="text1"/>
                <w:lang w:eastAsia="en-US"/>
                <w14:textFill>
                  <w14:solidFill>
                    <w14:schemeClr w14:val="tx1"/>
                  </w14:solidFill>
                </w14:textFill>
              </w:rPr>
              <w:t>mm</w:t>
            </w:r>
          </w:p>
        </w:tc>
      </w:tr>
      <w:tr w14:paraId="469F0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0AF9F2E9">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9</w:t>
            </w:r>
          </w:p>
        </w:tc>
        <w:tc>
          <w:tcPr>
            <w:tcW w:w="2638" w:type="pct"/>
          </w:tcPr>
          <w:p w14:paraId="31E87DEE">
            <w:pPr>
              <w:pStyle w:val="109"/>
              <w:rPr>
                <w:color w:val="000000" w:themeColor="text1"/>
                <w14:textFill>
                  <w14:solidFill>
                    <w14:schemeClr w14:val="tx1"/>
                  </w14:solidFill>
                </w14:textFill>
              </w:rPr>
            </w:pPr>
            <w:r>
              <w:rPr>
                <w:color w:val="000000" w:themeColor="text1"/>
                <w:spacing w:val="7"/>
                <w14:textFill>
                  <w14:solidFill>
                    <w14:schemeClr w14:val="tx1"/>
                  </w14:solidFill>
                </w14:textFill>
              </w:rPr>
              <w:t>最大冻土深度</w:t>
            </w:r>
          </w:p>
        </w:tc>
        <w:tc>
          <w:tcPr>
            <w:tcW w:w="1795" w:type="pct"/>
          </w:tcPr>
          <w:p w14:paraId="3F33F086">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1"/>
                <w:lang w:eastAsia="en-US"/>
                <w14:textFill>
                  <w14:solidFill>
                    <w14:schemeClr w14:val="tx1"/>
                  </w14:solidFill>
                </w14:textFill>
              </w:rPr>
              <w:t>1.5m</w:t>
            </w:r>
          </w:p>
        </w:tc>
      </w:tr>
      <w:tr w14:paraId="03366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5F1280A1">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8"/>
                <w:lang w:eastAsia="en-US"/>
                <w14:textFill>
                  <w14:solidFill>
                    <w14:schemeClr w14:val="tx1"/>
                  </w14:solidFill>
                </w14:textFill>
              </w:rPr>
              <w:t>10</w:t>
            </w:r>
          </w:p>
        </w:tc>
        <w:tc>
          <w:tcPr>
            <w:tcW w:w="2638" w:type="pct"/>
          </w:tcPr>
          <w:p w14:paraId="63DD7ED2">
            <w:pPr>
              <w:pStyle w:val="109"/>
              <w:rPr>
                <w:color w:val="000000" w:themeColor="text1"/>
                <w14:textFill>
                  <w14:solidFill>
                    <w14:schemeClr w14:val="tx1"/>
                  </w14:solidFill>
                </w14:textFill>
              </w:rPr>
            </w:pPr>
            <w:r>
              <w:rPr>
                <w:color w:val="000000" w:themeColor="text1"/>
                <w:spacing w:val="8"/>
                <w14:textFill>
                  <w14:solidFill>
                    <w14:schemeClr w14:val="tx1"/>
                  </w14:solidFill>
                </w14:textFill>
              </w:rPr>
              <w:t>年最大积雪厚度</w:t>
            </w:r>
          </w:p>
        </w:tc>
        <w:tc>
          <w:tcPr>
            <w:tcW w:w="1795" w:type="pct"/>
          </w:tcPr>
          <w:p w14:paraId="4357326E">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8"/>
                <w:lang w:eastAsia="en-US"/>
                <w14:textFill>
                  <w14:solidFill>
                    <w14:schemeClr w14:val="tx1"/>
                  </w14:solidFill>
                </w14:textFill>
              </w:rPr>
              <w:t>260</w:t>
            </w:r>
            <w:r>
              <w:rPr>
                <w:rFonts w:eastAsia="Times New Roman"/>
                <w:color w:val="000000" w:themeColor="text1"/>
                <w:lang w:eastAsia="en-US"/>
                <w14:textFill>
                  <w14:solidFill>
                    <w14:schemeClr w14:val="tx1"/>
                  </w14:solidFill>
                </w14:textFill>
              </w:rPr>
              <w:t>mm</w:t>
            </w:r>
          </w:p>
        </w:tc>
      </w:tr>
      <w:tr w14:paraId="39CBB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5A310B68">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10"/>
                <w:lang w:eastAsia="en-US"/>
                <w14:textFill>
                  <w14:solidFill>
                    <w14:schemeClr w14:val="tx1"/>
                  </w14:solidFill>
                </w14:textFill>
              </w:rPr>
              <w:t>11</w:t>
            </w:r>
          </w:p>
        </w:tc>
        <w:tc>
          <w:tcPr>
            <w:tcW w:w="2638" w:type="pct"/>
          </w:tcPr>
          <w:p w14:paraId="268F736B">
            <w:pPr>
              <w:pStyle w:val="109"/>
              <w:rPr>
                <w:color w:val="000000" w:themeColor="text1"/>
                <w14:textFill>
                  <w14:solidFill>
                    <w14:schemeClr w14:val="tx1"/>
                  </w14:solidFill>
                </w14:textFill>
              </w:rPr>
            </w:pPr>
            <w:r>
              <w:rPr>
                <w:color w:val="000000" w:themeColor="text1"/>
                <w:spacing w:val="8"/>
                <w14:textFill>
                  <w14:solidFill>
                    <w14:schemeClr w14:val="tx1"/>
                  </w14:solidFill>
                </w14:textFill>
              </w:rPr>
              <w:t>年平均相对湿度</w:t>
            </w:r>
          </w:p>
        </w:tc>
        <w:tc>
          <w:tcPr>
            <w:tcW w:w="1795" w:type="pct"/>
          </w:tcPr>
          <w:p w14:paraId="684BAA28">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3"/>
                <w:lang w:eastAsia="en-US"/>
                <w14:textFill>
                  <w14:solidFill>
                    <w14:schemeClr w14:val="tx1"/>
                  </w14:solidFill>
                </w14:textFill>
              </w:rPr>
              <w:t>58.6%</w:t>
            </w:r>
          </w:p>
        </w:tc>
      </w:tr>
      <w:tr w14:paraId="3E234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57F8A61D">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8"/>
                <w:lang w:eastAsia="en-US"/>
                <w14:textFill>
                  <w14:solidFill>
                    <w14:schemeClr w14:val="tx1"/>
                  </w14:solidFill>
                </w14:textFill>
              </w:rPr>
              <w:t>12</w:t>
            </w:r>
          </w:p>
        </w:tc>
        <w:tc>
          <w:tcPr>
            <w:tcW w:w="2638" w:type="pct"/>
          </w:tcPr>
          <w:p w14:paraId="79099D5E">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主导风向</w:t>
            </w:r>
          </w:p>
        </w:tc>
        <w:tc>
          <w:tcPr>
            <w:tcW w:w="1795" w:type="pct"/>
          </w:tcPr>
          <w:p w14:paraId="00E72280">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6"/>
                <w:lang w:eastAsia="en-US"/>
                <w14:textFill>
                  <w14:solidFill>
                    <w14:schemeClr w14:val="tx1"/>
                  </w14:solidFill>
                </w14:textFill>
              </w:rPr>
              <w:t>WNW</w:t>
            </w:r>
          </w:p>
        </w:tc>
      </w:tr>
      <w:tr w14:paraId="67032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6B27DBD1">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8"/>
                <w:lang w:eastAsia="en-US"/>
                <w14:textFill>
                  <w14:solidFill>
                    <w14:schemeClr w14:val="tx1"/>
                  </w14:solidFill>
                </w14:textFill>
              </w:rPr>
              <w:t>13</w:t>
            </w:r>
          </w:p>
        </w:tc>
        <w:tc>
          <w:tcPr>
            <w:tcW w:w="2638" w:type="pct"/>
          </w:tcPr>
          <w:p w14:paraId="7328C63A">
            <w:pPr>
              <w:pStyle w:val="109"/>
              <w:rPr>
                <w:color w:val="000000" w:themeColor="text1"/>
                <w14:textFill>
                  <w14:solidFill>
                    <w14:schemeClr w14:val="tx1"/>
                  </w14:solidFill>
                </w14:textFill>
              </w:rPr>
            </w:pPr>
            <w:r>
              <w:rPr>
                <w:color w:val="000000" w:themeColor="text1"/>
                <w:spacing w:val="7"/>
                <w14:textFill>
                  <w14:solidFill>
                    <w14:schemeClr w14:val="tx1"/>
                  </w14:solidFill>
                </w14:textFill>
              </w:rPr>
              <w:t>年平均风速</w:t>
            </w:r>
          </w:p>
        </w:tc>
        <w:tc>
          <w:tcPr>
            <w:tcW w:w="1795" w:type="pct"/>
          </w:tcPr>
          <w:p w14:paraId="7E498F16">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1"/>
                <w:lang w:eastAsia="en-US"/>
                <w14:textFill>
                  <w14:solidFill>
                    <w14:schemeClr w14:val="tx1"/>
                  </w14:solidFill>
                </w14:textFill>
              </w:rPr>
              <w:t>2.1m/s</w:t>
            </w:r>
          </w:p>
        </w:tc>
      </w:tr>
      <w:tr w14:paraId="53B49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000CD067">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8"/>
                <w:lang w:eastAsia="en-US"/>
                <w14:textFill>
                  <w14:solidFill>
                    <w14:schemeClr w14:val="tx1"/>
                  </w14:solidFill>
                </w14:textFill>
              </w:rPr>
              <w:t>14</w:t>
            </w:r>
          </w:p>
        </w:tc>
        <w:tc>
          <w:tcPr>
            <w:tcW w:w="2638" w:type="pct"/>
          </w:tcPr>
          <w:p w14:paraId="06A3A5EF">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最大风速</w:t>
            </w:r>
          </w:p>
        </w:tc>
        <w:tc>
          <w:tcPr>
            <w:tcW w:w="1795" w:type="pct"/>
          </w:tcPr>
          <w:p w14:paraId="4F21833D">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3"/>
                <w:lang w:eastAsia="en-US"/>
                <w14:textFill>
                  <w14:solidFill>
                    <w14:schemeClr w14:val="tx1"/>
                  </w14:solidFill>
                </w14:textFill>
              </w:rPr>
              <w:t>24m/s</w:t>
            </w:r>
          </w:p>
        </w:tc>
      </w:tr>
      <w:tr w14:paraId="6A4AF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515B4F68">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8"/>
                <w:lang w:eastAsia="en-US"/>
                <w14:textFill>
                  <w14:solidFill>
                    <w14:schemeClr w14:val="tx1"/>
                  </w14:solidFill>
                </w14:textFill>
              </w:rPr>
              <w:t>15</w:t>
            </w:r>
          </w:p>
        </w:tc>
        <w:tc>
          <w:tcPr>
            <w:tcW w:w="2638" w:type="pct"/>
          </w:tcPr>
          <w:p w14:paraId="37021E6D">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无霜冻期</w:t>
            </w:r>
          </w:p>
        </w:tc>
        <w:tc>
          <w:tcPr>
            <w:tcW w:w="1795" w:type="pct"/>
          </w:tcPr>
          <w:p w14:paraId="675606AC">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2"/>
                <w:lang w:eastAsia="en-US"/>
                <w14:textFill>
                  <w14:solidFill>
                    <w14:schemeClr w14:val="tx1"/>
                  </w14:solidFill>
                </w14:textFill>
              </w:rPr>
              <w:t>170d</w:t>
            </w:r>
          </w:p>
        </w:tc>
      </w:tr>
      <w:tr w14:paraId="0B3A9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67" w:type="pct"/>
          </w:tcPr>
          <w:p w14:paraId="589F9559">
            <w:pPr>
              <w:pStyle w:val="109"/>
              <w:rPr>
                <w:rFonts w:eastAsia="Times New Roman"/>
                <w:color w:val="000000" w:themeColor="text1"/>
                <w:lang w:eastAsia="en-US"/>
                <w14:textFill>
                  <w14:solidFill>
                    <w14:schemeClr w14:val="tx1"/>
                  </w14:solidFill>
                </w14:textFill>
              </w:rPr>
            </w:pPr>
            <w:r>
              <w:rPr>
                <w:rFonts w:eastAsia="Times New Roman"/>
                <w:color w:val="000000" w:themeColor="text1"/>
                <w:spacing w:val="-8"/>
                <w:lang w:eastAsia="en-US"/>
                <w14:textFill>
                  <w14:solidFill>
                    <w14:schemeClr w14:val="tx1"/>
                  </w14:solidFill>
                </w14:textFill>
              </w:rPr>
              <w:t>16</w:t>
            </w:r>
          </w:p>
        </w:tc>
        <w:tc>
          <w:tcPr>
            <w:tcW w:w="2638" w:type="pct"/>
          </w:tcPr>
          <w:p w14:paraId="7D316ED7">
            <w:pPr>
              <w:pStyle w:val="109"/>
              <w:rPr>
                <w:color w:val="000000" w:themeColor="text1"/>
                <w14:textFill>
                  <w14:solidFill>
                    <w14:schemeClr w14:val="tx1"/>
                  </w14:solidFill>
                </w14:textFill>
              </w:rPr>
            </w:pPr>
            <w:r>
              <w:rPr>
                <w:color w:val="000000" w:themeColor="text1"/>
                <w:spacing w:val="8"/>
                <w14:textFill>
                  <w14:solidFill>
                    <w14:schemeClr w14:val="tx1"/>
                  </w14:solidFill>
                </w14:textFill>
              </w:rPr>
              <w:t>年平均雷暴日</w:t>
            </w:r>
          </w:p>
        </w:tc>
        <w:tc>
          <w:tcPr>
            <w:tcW w:w="1795" w:type="pct"/>
          </w:tcPr>
          <w:p w14:paraId="6C762371">
            <w:pPr>
              <w:pStyle w:val="109"/>
              <w:rPr>
                <w:rFonts w:eastAsia="Times New Roman"/>
                <w:color w:val="000000" w:themeColor="text1"/>
                <w:lang w:eastAsia="en-US"/>
                <w14:textFill>
                  <w14:solidFill>
                    <w14:schemeClr w14:val="tx1"/>
                  </w14:solidFill>
                </w14:textFill>
              </w:rPr>
            </w:pPr>
            <w:r>
              <w:rPr>
                <w:rFonts w:eastAsia="Times New Roman"/>
                <w:color w:val="000000" w:themeColor="text1"/>
                <w:lang w:eastAsia="en-US"/>
                <w14:textFill>
                  <w14:solidFill>
                    <w14:schemeClr w14:val="tx1"/>
                  </w14:solidFill>
                </w14:textFill>
              </w:rPr>
              <w:t>10.5d</w:t>
            </w:r>
          </w:p>
        </w:tc>
      </w:tr>
    </w:tbl>
    <w:p w14:paraId="6DA8E600">
      <w:pPr>
        <w:pStyle w:val="4"/>
        <w:rPr>
          <w:rFonts w:ascii="Times New Roman" w:cs="Times New Roman"/>
          <w:snapToGrid w:val="0"/>
          <w:color w:val="000000" w:themeColor="text1"/>
          <w:lang w:val="zh-CN"/>
          <w14:textFill>
            <w14:solidFill>
              <w14:schemeClr w14:val="tx1"/>
            </w14:solidFill>
          </w14:textFill>
        </w:rPr>
      </w:pPr>
      <w:bookmarkStart w:id="333" w:name="_Toc18499"/>
      <w:bookmarkStart w:id="334" w:name="_Toc30679"/>
      <w:bookmarkStart w:id="335" w:name="_Toc11174"/>
      <w:bookmarkStart w:id="336" w:name="_Toc172069129"/>
      <w:bookmarkStart w:id="337" w:name="_Toc266187633"/>
      <w:bookmarkStart w:id="338" w:name="_Toc177331417"/>
      <w:r>
        <w:rPr>
          <w:rFonts w:ascii="Times New Roman" w:cs="Times New Roman"/>
          <w:snapToGrid w:val="0"/>
          <w:color w:val="000000" w:themeColor="text1"/>
          <w:lang w:val="zh-CN"/>
          <w14:textFill>
            <w14:solidFill>
              <w14:schemeClr w14:val="tx1"/>
            </w14:solidFill>
          </w14:textFill>
        </w:rPr>
        <w:t>乌鲁木齐甘泉堡经济技术开发区（工业区）化工园区简况</w:t>
      </w:r>
      <w:bookmarkEnd w:id="333"/>
      <w:bookmarkEnd w:id="334"/>
      <w:bookmarkEnd w:id="335"/>
    </w:p>
    <w:p w14:paraId="038C78DA">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规划概况</w:t>
      </w:r>
    </w:p>
    <w:p w14:paraId="3F04F79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乌鲁木齐甘泉堡经济技术开发区（工业区）化工园区位于甘泉堡经济技术开发区已批准范围内，根据乌鲁木齐甘泉堡经济技术开发区（工业区）化工园区总体规划（2023-2035），规划总面积12.26平方千米，共分为3个片区，其中：</w:t>
      </w:r>
    </w:p>
    <w:p w14:paraId="3C9A749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1号片区：硅基新材料产业园，规划用地面积3.59平方千米，规划范围南起中部合盛硅业内部道路（支一路），北至锦泉街，西沿春晓路，东至云帆路。</w:t>
      </w:r>
    </w:p>
    <w:p w14:paraId="0C782C9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2号片区：煤化工产业园、功能材料产业园，规划用地面积7.44平方千米，规划范围南起祥华路，北邻贤清西街，西临四通路，东沿甘津路—月恒街—甘源路。</w:t>
      </w:r>
    </w:p>
    <w:p w14:paraId="79542F64">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3号片区：铝基新材料产业园，规划用地面积1.23平方千米，规划范围南起玉泉东街，北至净明东街，西临博润路，东靠春晓路。</w:t>
      </w:r>
    </w:p>
    <w:p w14:paraId="2DAAFD8D">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规划定位</w:t>
      </w:r>
    </w:p>
    <w:p w14:paraId="13CDC53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根据《乌鲁木齐甘泉堡经济技术开发区（工业区）化工园区总体规划》（2023-2035）《乌鲁木齐甘泉堡经济技术开发区（工业区）化工园区产业规划》，甘泉堡经济技术开发区（工业区）化工园区主要承接硅基新材料、煤化工、铝基新材料产业。化工园依托园内现有大企业为龙头企业，逐步形成以硅基新材料为重点，煤化工精细化工、铝基新材料协同发展。</w:t>
      </w:r>
    </w:p>
    <w:p w14:paraId="5812C0C4">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规划功能分区布局</w:t>
      </w:r>
    </w:p>
    <w:p w14:paraId="627A027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（1）空间规划结构</w:t>
      </w:r>
    </w:p>
    <w:p w14:paraId="7DBE1C5F">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依照《甘泉堡工业园总体规划</w:t>
      </w:r>
      <w:r>
        <w:rPr>
          <w:rFonts w:hint="eastAsia"/>
          <w:color w:val="000000" w:themeColor="text1"/>
          <w:lang w:val="zh-CN" w:bidi="zh-CN"/>
          <w14:textFill>
            <w14:solidFill>
              <w14:schemeClr w14:val="tx1"/>
            </w14:solidFill>
          </w14:textFill>
        </w:rPr>
        <w:t>&lt;</w:t>
      </w:r>
      <w:r>
        <w:rPr>
          <w:color w:val="000000" w:themeColor="text1"/>
          <w:lang w:val="zh-CN" w:bidi="zh-CN"/>
          <w14:textFill>
            <w14:solidFill>
              <w14:schemeClr w14:val="tx1"/>
            </w14:solidFill>
          </w14:textFill>
        </w:rPr>
        <w:t>2016-2030年</w:t>
      </w:r>
      <w:r>
        <w:rPr>
          <w:rFonts w:hint="eastAsia"/>
          <w:color w:val="000000" w:themeColor="text1"/>
          <w:lang w:val="zh-CN" w:bidi="zh-CN"/>
          <w14:textFill>
            <w14:solidFill>
              <w14:schemeClr w14:val="tx1"/>
            </w14:solidFill>
          </w14:textFill>
        </w:rPr>
        <w:t>&gt;</w:t>
      </w:r>
      <w:r>
        <w:rPr>
          <w:color w:val="000000" w:themeColor="text1"/>
          <w:lang w:val="zh-CN" w:bidi="zh-CN"/>
          <w14:textFill>
            <w14:solidFill>
              <w14:schemeClr w14:val="tx1"/>
            </w14:solidFill>
          </w14:textFill>
        </w:rPr>
        <w:t>》的用地布局形式，同时针对园区现状建设状况、自然条件等特点，设定以1号片区硅基新材料产业园为重点，2号片区煤化工产业园、功能材料产业园及3号片区铝基新材料产业园为辅助。</w:t>
      </w:r>
    </w:p>
    <w:p w14:paraId="015353B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重点：1号片区硅基新材料产业园。</w:t>
      </w:r>
    </w:p>
    <w:p w14:paraId="74C02A70">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辅助：2号片区煤化工产业园、功能材料产业园及3号片区铝基新材料产业园。</w:t>
      </w:r>
    </w:p>
    <w:p w14:paraId="0B28EE0C">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 xml:space="preserve">（2）功能布局分区 </w:t>
      </w:r>
    </w:p>
    <w:p w14:paraId="3C40FBD4">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乌鲁木齐甘泉堡经济技术开发区（工业区）化工园区位于甘泉堡经济技术开发区已批准范围内，根据《乌鲁木齐甘泉堡经济技术开发区（工业区）化工园区总体规划（2023-2035）》，规划总面积12.26平方千米，共分为3个片区，其中：</w:t>
      </w:r>
    </w:p>
    <w:p w14:paraId="2409DA1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1号片区：硅基新材料产业园，规划用地面积3.59平方千米，规划范围南起中部合盛硅业内部道路（支一路），北至锦泉街，西沿春晓路，东至云帆路。</w:t>
      </w:r>
    </w:p>
    <w:p w14:paraId="28FFA727">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2号片区：煤化工产业园、功能材料产业园，规划用地面积7.44平方千米，规划范围南起祥华路，北邻贤清西街，西临四通路，东沿甘津路—月恒街—甘源路。</w:t>
      </w:r>
    </w:p>
    <w:p w14:paraId="72BC4900">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3号片区：铝基新材料产业园，规划用地面积1.23平方千米，规划范围南起玉泉东街，北至净明东街，西临博润路，东靠春晓路。</w:t>
      </w:r>
    </w:p>
    <w:p w14:paraId="3C4969EE">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园区配套设施基本情况</w:t>
      </w:r>
    </w:p>
    <w:p w14:paraId="67719CB6">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甘泉堡经济技术开发区自2007年启动开发建设以来，按照“统筹区域、科学规划、集约用地、优化环境”的原则，“十二五”期间累计投入55亿元用于甘泉堡经开区的道路、管网、绿化等基础设施项目建设。道路交通日趋完善，已完成117公里道路建设和107公里道路绿化管网建设，甘泉堡经开区铁路专运线和铁路货场已开工建设，第二条铁路专线已启动，“七纵八横”的交通网络初步形成，“七通一平”基础建设工作已经完成。进出甘泉堡高速公路便道已经开通，解决了驻甘泉堡经开区企业和群众的出行问题，降低了甘泉堡经开区企业运输和经营成本。水电设施日趋完善，220千伏龙岗变电站、20万m2d自来水厂、污水处理厂等基础设施及相应的供排水、通信等配套设施已经完成，甘泉堡工业区北区供水主管线工程已经启动，解决甘泉堡北区伊泰、阜丰等企业生活用水需求。完成核心区两期共14200亩土地的收储工作。大规模招商引资、开发建设的各项基本条件已经具备。</w:t>
      </w:r>
    </w:p>
    <w:p w14:paraId="0C95D660">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园区对项目建设的有利基础设施：</w:t>
      </w:r>
    </w:p>
    <w:p w14:paraId="6B4DD5B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1）供水：本项目生产、生活供水由园区供水管网接入，供水质量符合生活饮用水标准，能为该项目提供充足的水源保障。</w:t>
      </w:r>
    </w:p>
    <w:p w14:paraId="240C100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2）供电：本项目用电由10kV露工二线129#杆T接，T接处按照原有设计规范安装附杆，断路器、避雷器等户外设施(局属)。依托原有800千伏安变压器。</w:t>
      </w:r>
    </w:p>
    <w:p w14:paraId="7DD02B91">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3）供热：本项目不使用蒸汽，生活用热由园区供给，供给压力为1.0Mpa，供热管道为DN150，能够满足本项目用热要求。</w:t>
      </w:r>
    </w:p>
    <w:p w14:paraId="36245502">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市政设施规划</w:t>
      </w:r>
    </w:p>
    <w:p w14:paraId="2ADE06F8">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1、给水工程规划</w:t>
      </w:r>
    </w:p>
    <w:p w14:paraId="22BE186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（1）水源</w:t>
      </w:r>
    </w:p>
    <w:p w14:paraId="71BA3B98">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甘泉堡工业园内建有“500”水库，目前库区一期工程已建成，“500”水库一期可调节4.2亿立方用水，二期可调节6.4亿立方用水，远景可调节10.6亿立方用水。</w:t>
      </w:r>
    </w:p>
    <w:p w14:paraId="108D27D0">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依据“500”水库受水区规划，乌鲁木齐市在“500”水库近期的分水量为1.5亿立方米，置换乌鲁木齐河5000万立方米，通过在上游拦河修建大西沟水库等水利设施留在城市上游，用于生态恢复及城市建设发展。置换头屯河3000万立方米，用于头屯河城市副中心建设发展及生态绿化。留在“500”水库的7000万立方米用于甘泉堡工业园建设。</w:t>
      </w:r>
    </w:p>
    <w:p w14:paraId="123D1821">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（2）水厂</w:t>
      </w:r>
    </w:p>
    <w:p w14:paraId="4CD35AFE">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工业区乌鲁木齐范围：近期利用已建成的甘泉堡南区净水厂进行生活、生产供水，水厂规模近期10万m³</w:t>
      </w:r>
      <w:r>
        <w:rPr>
          <w:color w:val="000000" w:themeColor="text1"/>
          <w:vertAlign w:val="superscript"/>
          <w:lang w:val="zh-CN" w:bidi="zh-CN"/>
          <w14:textFill>
            <w14:solidFill>
              <w14:schemeClr w14:val="tx1"/>
            </w14:solidFill>
          </w14:textFill>
        </w:rPr>
        <w:t>/</w:t>
      </w:r>
      <w:r>
        <w:rPr>
          <w:color w:val="000000" w:themeColor="text1"/>
          <w:lang w:val="zh-CN" w:bidi="zh-CN"/>
          <w14:textFill>
            <w14:solidFill>
              <w14:schemeClr w14:val="tx1"/>
            </w14:solidFill>
          </w14:textFill>
        </w:rPr>
        <w:t>d，远期40万m³/d，水源取自“500”水库水。远期需再建甘泉堡北区净水厂，水厂规模65万m³/d（其中30万m³/d作为乌鲁木齐市中心城区的应急水源），水源取自“500”水库水。</w:t>
      </w:r>
    </w:p>
    <w:p w14:paraId="6356942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五家渠东工业园范围：近期利用现状五家渠东工业园水厂供水，水厂规模近期5万m³/d，远期20万m³/d，水源取自“500”水库水。</w:t>
      </w:r>
    </w:p>
    <w:p w14:paraId="0B7F23E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阜康工业园：利用现状加压泵站为园区供水。水源取自中泰水厂。水厂规模10万m³/d，水源取自“500”水库水。</w:t>
      </w:r>
    </w:p>
    <w:p w14:paraId="2791B03C">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绿化与道路浇洒用水及对水质要求不高的企业用水，近期直接采用“500”水库水进行供给，远期采用城市中水进行供给。</w:t>
      </w:r>
    </w:p>
    <w:p w14:paraId="1B22BAA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（3）供水能力</w:t>
      </w:r>
    </w:p>
    <w:p w14:paraId="1E604043">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至2030年，园区最高日市政综合用水量为101万m³/d。</w:t>
      </w:r>
    </w:p>
    <w:p w14:paraId="6D8E13C4">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（4）水厂建设</w:t>
      </w:r>
    </w:p>
    <w:p w14:paraId="7E9946B4">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扩建甘泉堡南区净水厂、五家渠东工业园水厂、新建甘泉堡北区净水厂、现状保留新疆中泰化学阜康能源有限公司水厂。至2030年，园区建成水厂4座，供水能力达到135万m³/d（其中30万m³/d作为乌鲁木齐市中心城区的应急水源）。</w:t>
      </w:r>
    </w:p>
    <w:p w14:paraId="593A550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（5）输配水工程</w:t>
      </w:r>
    </w:p>
    <w:p w14:paraId="2DDC240A">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规划区利用甘泉堡水厂供水，自来水输配水系统规模庞大，给水片区内部管道应布置成环状管网，同时加强各组团之间管网的联网，保证供水的安全性。</w:t>
      </w:r>
    </w:p>
    <w:p w14:paraId="715F6633">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绿化供水系统布置为环状管网加支状管网的形式，并充分预留远期接口。</w:t>
      </w:r>
    </w:p>
    <w:p w14:paraId="73E0B92C">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（6）再生水规划</w:t>
      </w:r>
    </w:p>
    <w:p w14:paraId="0F2CB690">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至2030年，园区中水回用率达到50%以上。新建甘泉堡南区、甘泉堡北区再生水厂。总规模达到45万m³/d。</w:t>
      </w:r>
    </w:p>
    <w:p w14:paraId="4164633E">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再生水必须作为重要的水资源开发利用，积极稳妥地推广污水处理厂二级出水用于农业灌溉，一部分出水经过深度处理后通过园区中水系统用作园区河湖景观、绿化、道路浇洒及降尘、建筑冲厕、工业低质等用水水源。</w:t>
      </w:r>
    </w:p>
    <w:p w14:paraId="43400C74">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（7）节水规划</w:t>
      </w:r>
    </w:p>
    <w:p w14:paraId="0B2A8A3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严格限制高耗水型工业项目建设和农业粗放型用水。提高生活用水效率，节约水资源。</w:t>
      </w:r>
    </w:p>
    <w:p w14:paraId="7A0461A6">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园区节约用水要做到“三同时，四到位”，超计划用水的单位，应按有关规定缴纳超计划用水加价水费。</w:t>
      </w:r>
    </w:p>
    <w:p w14:paraId="1523141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现有各自备水源和限量开采后停止使用的园区水源可作为远期园区的应急备用水源。</w:t>
      </w:r>
    </w:p>
    <w:p w14:paraId="7DC5A644">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新建、改建、扩建工程应按国家规定建设相应的节约用水设施。</w:t>
      </w:r>
    </w:p>
    <w:p w14:paraId="22887398">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新建宾馆、饭店、公寓、大型文化体育设施和机关、大专院校、科研单位以及居民区应配套建设中水设施。</w:t>
      </w:r>
    </w:p>
    <w:p w14:paraId="67C74F7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2、排水工程规划</w:t>
      </w:r>
    </w:p>
    <w:p w14:paraId="6441038A">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（1）排水体制</w:t>
      </w:r>
    </w:p>
    <w:p w14:paraId="2D31A784">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园区排水体制采用雨污分流制，雨水进入沟渠后，用于园区绿化，生产及生活污水经各企业预处理达到规划污水处理厂纳管标准后进入规划的污水处理厂处理。</w:t>
      </w:r>
    </w:p>
    <w:p w14:paraId="64F4396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（2）目标</w:t>
      </w:r>
    </w:p>
    <w:p w14:paraId="084A5AE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加强污水处理设施、污水再生利用设施、雨水管网建设，完善污水厂污水处理工艺、监测设施，改造不安全管网，优化排水工程布局，确保污水运输、处理和雨水排放系统运行安全、经济。</w:t>
      </w:r>
    </w:p>
    <w:p w14:paraId="278E9595">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2030年污水处理能力达到90万m³/d，园区污水处理率为100%，污水再生利用率达到50%以上。</w:t>
      </w:r>
    </w:p>
    <w:p w14:paraId="240D2F0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（3）污水量预测</w:t>
      </w:r>
    </w:p>
    <w:p w14:paraId="28D2C8DC">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至2030年，城市市政污水量为85.85万m³/d。</w:t>
      </w:r>
    </w:p>
    <w:p w14:paraId="3970702C">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（4）污水处理设施</w:t>
      </w:r>
    </w:p>
    <w:p w14:paraId="298C1011">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续建甘泉堡南区污水处理厂，现状污水处理厂处理规模为10.5万m³/d，远期扩建至42万m³/d，现状五家渠东工业园污水处理厂处理规模为4.5万m³/d，远期扩建至17万m³/d，现状阜康工业园污水处理厂，处理规模为10万m³/d，新建甘泉堡北区污水处理厂，污水处理厂处理规模为21万m³/d。</w:t>
      </w:r>
    </w:p>
    <w:p w14:paraId="7D512BF9">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园区内各管辖片区内的生产及生活污水经各企业预处理达到规划污水处理厂纳管标准后进入规划的污水处理厂处理。扩建及新建污水处理厂的尾水排放标准应达到国家一级A标准。</w:t>
      </w:r>
    </w:p>
    <w:p w14:paraId="2E10DA75">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本次化工园区范围仅包含在乌鲁木齐管辖范围内，乌鲁木齐管辖范围内现有仅甘泉堡南区污水处理厂正在运行，2009年8月13日取得了《关于甘泉堡工业园污水处理及中水循环利用工程环境影响报告书的批复》(新环监函[2009]359号)，2012年2月24日取得了《关于甘泉堡工业园污水处理及中水循环利用工程变更的复函》(新环评价函[2012]120号)，2014年3月27日取得了《关于甘泉堡工业园污水处理及中水循环利用工程变更说明的复函》(新环函[2014]365号)，2016年6月22日甘泉堡南区污水处理厂取得了《关于甘泉堡工业园区污水处理及中水循环利用工程竣工环保验收意见》（乌环验[2015]248号）。污水处理工程目前建设规模为10.5万m³/d，采用A2/O+MBR膜生物处理+次氯酸钠消毒，2022年甘泉堡污水处理厂全年累计处理水量为2259.8268万方，日均处理量为6.1913万方。处理后的尾水中主要污染物pH、BOD</w:t>
      </w:r>
      <w:r>
        <w:rPr>
          <w:color w:val="000000" w:themeColor="text1"/>
          <w:vertAlign w:val="subscript"/>
          <w:lang w:val="zh-CN" w:bidi="zh-CN"/>
          <w14:textFill>
            <w14:solidFill>
              <w14:schemeClr w14:val="tx1"/>
            </w14:solidFill>
          </w14:textFill>
        </w:rPr>
        <w:t>5</w:t>
      </w:r>
      <w:r>
        <w:rPr>
          <w:color w:val="000000" w:themeColor="text1"/>
          <w:lang w:val="zh-CN" w:bidi="zh-CN"/>
          <w14:textFill>
            <w14:solidFill>
              <w14:schemeClr w14:val="tx1"/>
            </w14:solidFill>
          </w14:textFill>
        </w:rPr>
        <w:t>、COD</w:t>
      </w:r>
      <w:r>
        <w:rPr>
          <w:color w:val="000000" w:themeColor="text1"/>
          <w:vertAlign w:val="subscript"/>
          <w:lang w:val="zh-CN" w:bidi="zh-CN"/>
          <w14:textFill>
            <w14:solidFill>
              <w14:schemeClr w14:val="tx1"/>
            </w14:solidFill>
          </w14:textFill>
        </w:rPr>
        <w:t>cr</w:t>
      </w:r>
      <w:r>
        <w:rPr>
          <w:color w:val="000000" w:themeColor="text1"/>
          <w:lang w:val="zh-CN" w:bidi="zh-CN"/>
          <w14:textFill>
            <w14:solidFill>
              <w14:schemeClr w14:val="tx1"/>
            </w14:solidFill>
          </w14:textFill>
        </w:rPr>
        <w:t>、氨氮、总磷执行《地表水环境质量标准》(GB3838-2002)IV类水质标准；悬浮物、浊度、粪大肠杆菌执行《城市污水再生利用景观环境用水水质》(GB/T18921-2002)相关标准；其他污染物执行《城镇污水处理厂污染物排放标准》(GB18918-2002)一级A标准；</w:t>
      </w:r>
    </w:p>
    <w:p w14:paraId="57997CAA">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处理达标的水全部排入北沙窝，用于荒漠林灌溉。污水浓缩排放的污泥交由乌鲁木齐宝丰源生物科技有限公司处置。</w:t>
      </w:r>
    </w:p>
    <w:p w14:paraId="36506E8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3、供热工程规划</w:t>
      </w:r>
    </w:p>
    <w:p w14:paraId="46AC4885">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（1）目标</w:t>
      </w:r>
    </w:p>
    <w:p w14:paraId="5A66E13E">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以节约能源，保护城市环境为出发点，大幅度提高清洁能源占比达到70%以上，到2030年，园区规划热负荷约为4579兆瓦。</w:t>
      </w:r>
    </w:p>
    <w:p w14:paraId="37DBF9F1">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（2）供热分区和热源</w:t>
      </w:r>
    </w:p>
    <w:p w14:paraId="0D10540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园区南区米东大道以东利用南部兖矿等热电厂的余热进行供热。热电厂的总规模为1500MW。工业区南区米东大道以西利用神华热电厂的余热进行供热。神华热电厂的总规模为1200MW。工业区北区利用规划热电厂的余热进行供热。规划热电厂的总规模为3120MW。五家渠东工业园利用兵团第六师热电厂的余热供热，兵团第六师热电厂的总规模为540MW。阜康工业园利用阜康热电厂的余热供热，阜康热电厂的总规模为380MW。热电联产供热不到的建筑采用清洁能源进行供热。园区现状有一座甘泉堡管委会燃气锅炉房。热交换站按供暖20万m2规划一座，每座建筑面积为300m2，热交换站尽量靠近负荷中心。</w:t>
      </w:r>
    </w:p>
    <w:p w14:paraId="4674D408">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4、燃气工程规划</w:t>
      </w:r>
    </w:p>
    <w:p w14:paraId="0AF70CE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（1）目标</w:t>
      </w:r>
    </w:p>
    <w:p w14:paraId="42B7A7A8">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科学、合理和切实可行的指导工业区燃气工程建设，使规划具有前瞻性、合理性、可操作性，按照经济、能源、环保相互协调发展的原则，深入贯彻科学发展观，促进工业区的可持续发展。到2030年，天然气居民气化率达到95%，总天然气用气量预测为15357万m³。</w:t>
      </w:r>
    </w:p>
    <w:p w14:paraId="1AA79D6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（2）气源</w:t>
      </w:r>
    </w:p>
    <w:p w14:paraId="2B4ECCFE">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近期积极协调彩乌线5号阀室的供气衔接事宜，将其作为园区近期的主供气源，并建设LNG贮存设施，功能定位为乌鲁木齐市区的应急、事故储备设施，日常可供给LNG加注站。远期建设从乌鲁木齐米东门站接出的高压管道至工业园区，作为两个区域间的供气互补联络线，以保障供应安全。</w:t>
      </w:r>
    </w:p>
    <w:p w14:paraId="091AEBD1">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（3）燃气设施</w:t>
      </w:r>
    </w:p>
    <w:p w14:paraId="68D56599">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到2030年，园区共建成天然气门站3座。其中，新建甘泉堡北门站，保留甘泉堡南门站和新疆中泰化学阜康能源有限公司门站。园区现状有7座高中压调压站，规划7座高中压调压站。</w:t>
      </w:r>
    </w:p>
    <w:p w14:paraId="5DA79305">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天然气管网采用高（次高）压/中压两级制。园区有2条现状6.3MPa高压燃气管线，分别由彩乌线第五阀室接入新疆中泰化学阜康能源有限公司门站和甘泉堡南门站。依托门站、配气站建设次高压管网连接多座高中压调压站，衔接中压管网。</w:t>
      </w:r>
    </w:p>
    <w:p w14:paraId="00C00B00">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5、供电工程规划</w:t>
      </w:r>
    </w:p>
    <w:p w14:paraId="6272ACD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（1）规划目标</w:t>
      </w:r>
    </w:p>
    <w:p w14:paraId="645E2DB1">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改善电网布局、增加供电能力，满足前瞻性和适应性要求，确保电力供应充足、经济、安全可靠。</w:t>
      </w:r>
    </w:p>
    <w:p w14:paraId="0C0BC655">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（2）负荷预测</w:t>
      </w:r>
    </w:p>
    <w:p w14:paraId="3AC454F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至2030年，年最大用电负荷2489.3兆瓦。</w:t>
      </w:r>
    </w:p>
    <w:p w14:paraId="18FD4AE6">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（3）电网规划</w:t>
      </w:r>
    </w:p>
    <w:p w14:paraId="482F1CF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在规划区范围内规划五座220KV变电站（包括一座现状，一座规划位于中央生态绿地，不在六个单元用地中），十一座110kV变电站，九座电厂（包括现状阜康电厂、兖矿电厂、众和电厂、新特电厂、神华电厂、北区电厂、兵团第六师电厂和中电投电厂，规划甘泉堡电厂）配电设施用地，由变电站为工业园区供电。</w:t>
      </w:r>
    </w:p>
    <w:p w14:paraId="52780208">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6、环卫设施规划</w:t>
      </w:r>
    </w:p>
    <w:p w14:paraId="60F2CAD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（1）规划目标</w:t>
      </w:r>
    </w:p>
    <w:p w14:paraId="5D5D77F2">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建立区域性的垃圾无害化处理系统，形成垃圾分类、收集—处理—发电的废物再生利用系统，实现垃圾的无害化、减量化和资源化。</w:t>
      </w:r>
    </w:p>
    <w:p w14:paraId="65CF5BD3">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（2）垃圾产生量预测</w:t>
      </w:r>
    </w:p>
    <w:p w14:paraId="5F02907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2030年园区人均垃圾量按1.1千克/人•日计算，至2030年，生活垃圾产量约440吨/日。</w:t>
      </w:r>
    </w:p>
    <w:p w14:paraId="006DAEEE">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（3）处理方式</w:t>
      </w:r>
    </w:p>
    <w:p w14:paraId="0ADC97B0">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工业区生活垃圾采用分类回收并进行垃圾密闭化处理，生活垃圾无害化处理率及清运率均应达到100%。</w:t>
      </w:r>
    </w:p>
    <w:p w14:paraId="4BB3E965">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（4）处理设施</w:t>
      </w:r>
    </w:p>
    <w:p w14:paraId="500D9E58">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规划范围内共设置固定式垃圾转运站5座，移动式垃圾转运站可根据实际需要，结合防护绿地综合设置。所有垃圾必须封闭式运输。</w:t>
      </w:r>
    </w:p>
    <w:p w14:paraId="3580859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（5）收集设施</w:t>
      </w:r>
    </w:p>
    <w:p w14:paraId="1E92A43D">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规划要求生活垃圾逐步采用分类收集，减少垃圾处理量；实现垃圾收运的分类化、容器化、密闭化和机械化。危险废弃物必须单独收集、运输和处理。</w:t>
      </w:r>
    </w:p>
    <w:p w14:paraId="7AB38795">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（6）转运设施</w:t>
      </w:r>
    </w:p>
    <w:p w14:paraId="54654DA6">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小型转运站的一般设置标准为服务半径0.8-1公里、服务面积2-3平方公里，占地面积200-2000平方米。逐步建设中型垃圾转运站。</w:t>
      </w:r>
    </w:p>
    <w:p w14:paraId="4D60B025">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（7）公共厕所</w:t>
      </w:r>
    </w:p>
    <w:p w14:paraId="1152694A">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公共厕所：平均设置密度为4座/平方公里，各类城市用地公共厕所的设置标准应符合《城市环境卫生设施规划规范》。商业区、市场、客运交通枢纽、体育文化场馆、广场、大型社会停车场、公园等人流集散场所附近，以及人流较多的道路沿线、大型公共建筑及公共活动场所附近，应设置公共厕所。</w:t>
      </w:r>
    </w:p>
    <w:p w14:paraId="4A0097E0">
      <w:pPr>
        <w:pStyle w:val="4"/>
        <w:rPr>
          <w:rFonts w:ascii="Times New Roman" w:cs="Times New Roman"/>
          <w:snapToGrid w:val="0"/>
          <w:color w:val="000000" w:themeColor="text1"/>
          <w:lang w:val="zh-CN"/>
          <w14:textFill>
            <w14:solidFill>
              <w14:schemeClr w14:val="tx1"/>
            </w14:solidFill>
          </w14:textFill>
        </w:rPr>
      </w:pPr>
      <w:r>
        <w:rPr>
          <w:rFonts w:ascii="Times New Roman" w:cs="Times New Roman"/>
          <w:snapToGrid w:val="0"/>
          <w:color w:val="000000" w:themeColor="text1"/>
          <w:lang w:val="zh-CN"/>
          <w14:textFill>
            <w14:solidFill>
              <w14:schemeClr w14:val="tx1"/>
            </w14:solidFill>
          </w14:textFill>
        </w:rPr>
        <w:t>基础设施建设及运行情况</w:t>
      </w:r>
    </w:p>
    <w:p w14:paraId="13CF5354">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给水工程</w:t>
      </w:r>
    </w:p>
    <w:p w14:paraId="13BC8706">
      <w:pPr>
        <w:ind w:firstLine="480"/>
        <w:rPr>
          <w:color w:val="000000" w:themeColor="text1"/>
          <w14:textFill>
            <w14:solidFill>
              <w14:schemeClr w14:val="tx1"/>
            </w14:solidFill>
          </w14:textFill>
        </w:rPr>
      </w:pPr>
      <w:r>
        <w:rPr>
          <w:color w:val="000000" w:themeColor="text1"/>
          <w14:textFill>
            <w14:solidFill>
              <w14:schemeClr w14:val="tx1"/>
            </w14:solidFill>
          </w14:textFill>
        </w:rPr>
        <w:t>甘泉堡经开区目前有2 座净水厂，其中一水厂已投入使用，二水厂在建。有提升泵站一处，主要提升水库原水，用于工业用水。</w:t>
      </w:r>
    </w:p>
    <w:p w14:paraId="4294ABEC">
      <w:pPr>
        <w:ind w:firstLine="480"/>
        <w:rPr>
          <w:color w:val="000000" w:themeColor="text1"/>
          <w14:textFill>
            <w14:solidFill>
              <w14:schemeClr w14:val="tx1"/>
            </w14:solidFill>
          </w14:textFill>
        </w:rPr>
      </w:pPr>
      <w:r>
        <w:rPr>
          <w:color w:val="000000" w:themeColor="text1"/>
          <w14:textFill>
            <w14:solidFill>
              <w14:schemeClr w14:val="tx1"/>
            </w14:solidFill>
          </w14:textFill>
        </w:rPr>
        <w:t>甘泉堡经开区的主要道路甘泉堡路、瀚海街、四通路、月恒街、甘津路、众欣街（汀泉路）、博润路、净明东街、春晓路、玉泉东街、南部物流园等道路已修建道路均已敷设给水管线，并且和润水业为园区用水主要工业敷设了源水输水管线。</w:t>
      </w:r>
    </w:p>
    <w:p w14:paraId="5C946628">
      <w:pPr>
        <w:ind w:firstLine="480"/>
        <w:rPr>
          <w:color w:val="000000" w:themeColor="text1"/>
          <w14:textFill>
            <w14:solidFill>
              <w14:schemeClr w14:val="tx1"/>
            </w14:solidFill>
          </w14:textFill>
        </w:rPr>
      </w:pPr>
      <w:r>
        <w:rPr>
          <w:color w:val="000000" w:themeColor="text1"/>
          <w14:textFill>
            <w14:solidFill>
              <w14:schemeClr w14:val="tx1"/>
            </w14:solidFill>
          </w14:textFill>
        </w:rPr>
        <w:t>目前，化工园区内的企业用水均来源于一水厂。</w:t>
      </w:r>
    </w:p>
    <w:p w14:paraId="441FFC2D">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排水工程</w:t>
      </w:r>
    </w:p>
    <w:p w14:paraId="1A1A168D">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甘泉堡工业园区内目前已建成甘泉堡南区污水处理厂1座，甘泉堡南区污水处理厂位于禾润街，主要接收甘泉堡园区内经处理过后的生产废水及生活污水。污水处理工程建设规模为10.5万m³/d，采用A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MBR膜生物处理+次氯酸钠消毒。2022年甘泉堡污水处理厂全年累计处理水量为2259.8268万方，日均处理量为6.1913万方。众欣街（汀泉路）、博润路、渠水街、净明东街、月恒街、四通路等化工园区周边道路已敷设排水管线。2015年12月30日甘泉堡南区污水处理厂取得了《关于甘泉堡工业园区污水处理及中水循环利用工程竣工环保验收意见》（乌环验[2015]248号），主要污染物pH、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 CODcr、氨氮、总磷执行《地表水环境质量标准》(GB3838-2002)IV类水质标准；悬浮物、浊度、粪大肠杆菌执行《城市污水再生利用景观环境用水水质》(GB/T18921-2002)相关标准；其他污染物执行《城镇污水处理厂污染物排放标准》(GB18918-2002)一级A标准，处理达标的水全部排入北沙窝，用于荒漠林灌溉。</w:t>
      </w:r>
    </w:p>
    <w:p w14:paraId="75DFEEA5">
      <w:pPr>
        <w:ind w:firstLine="480"/>
        <w:rPr>
          <w:color w:val="000000" w:themeColor="text1"/>
          <w14:textFill>
            <w14:solidFill>
              <w14:schemeClr w14:val="tx1"/>
            </w14:solidFill>
          </w14:textFill>
        </w:rPr>
      </w:pPr>
      <w:r>
        <w:rPr>
          <w:color w:val="000000" w:themeColor="text1"/>
          <w14:textFill>
            <w14:solidFill>
              <w14:schemeClr w14:val="tx1"/>
            </w14:solidFill>
          </w14:textFill>
        </w:rPr>
        <w:t>甘泉堡南区污水处理厂2023年9月20日完成排污许可证变更，有效期为2021年12月21日至2026年12月20日。</w:t>
      </w:r>
    </w:p>
    <w:p w14:paraId="2AD31E76">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供热工程</w:t>
      </w:r>
    </w:p>
    <w:p w14:paraId="00446BB7">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 xml:space="preserve">化工园区规划范围内目前仅国家能源集团新疆化工有限公司正在生产，该公司的供热由企业自身的燃煤锅炉房进行供热，供热规模为4×480t。 </w:t>
      </w:r>
    </w:p>
    <w:p w14:paraId="5BE4EC99">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供电工程</w:t>
      </w:r>
    </w:p>
    <w:p w14:paraId="78558E5C">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甘泉堡经开区外有现状已建成公用750kV 变电站2座（乌北750kV 变电站、五家渠变电站）；甘泉堡经开区内现状已建成公用220kV变电站5座（龙岗变电站、博格达变电站、准噶尔变电站、合盛变电站、硅业变电站）。</w:t>
      </w:r>
    </w:p>
    <w:p w14:paraId="0543536A">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化工园区规划范围内目前仅国家能源集团新疆化工有限公司正在生产，该公司的供电由企业自备电厂进行供电，主要配备2台抽凝电机，2台供热电机，装机容量60MW×2+20MW×2（余热机组）。</w:t>
      </w:r>
    </w:p>
    <w:p w14:paraId="02E3C3E2">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燃气工程</w:t>
      </w:r>
    </w:p>
    <w:p w14:paraId="76DE5551">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甘泉堡工业园已建成一座门站，即新捷门站，通过甘泉堡南部的彩乌线接入门站调压后经管网输送至下游用户。</w:t>
      </w:r>
    </w:p>
    <w:p w14:paraId="4A7C08AD">
      <w:pPr>
        <w:pStyle w:val="5"/>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lang w:val="zh-CN"/>
          <w14:textFill>
            <w14:solidFill>
              <w14:schemeClr w14:val="tx1"/>
            </w14:solidFill>
          </w14:textFill>
        </w:rPr>
        <w:t>固体废物处理处置工程</w:t>
      </w:r>
    </w:p>
    <w:p w14:paraId="1365B62F">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甘泉堡工业园未设置垃圾转运站。甘泉堡工业园垃圾成分主要表现为生活垃圾、一般工业固废、危险废物。</w:t>
      </w:r>
    </w:p>
    <w:p w14:paraId="400ADAAD">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（1）生活垃圾</w:t>
      </w:r>
    </w:p>
    <w:p w14:paraId="7B740220">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生活垃圾由企业、市政进行运输，统一运送至米东区大黑沟垃圾处理厂进行处理。</w:t>
      </w:r>
    </w:p>
    <w:p w14:paraId="2C827951">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（2）一般工业固体废物</w:t>
      </w:r>
    </w:p>
    <w:p w14:paraId="2474DD49">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一般工业固体废物优先考虑综合利用，无法利用的交甘泉堡固废综合处置静脉产业园处置。甘泉堡固废综合处置静脉产业园位于甘泉堡工业园北部（地理坐标为N44°18′47.76″ ，E87°47′11.14″），甘泉堡固废综合处置静脉产业园一般工业固废贮存、处置场项目分二期建设，一期建设固废贮存场，二期建设处置工程。一期工程已于2014年12月23日取得原乌鲁木齐市环境保护局《关于甘泉堡固废综合处置静脉产业园一般工业固废贮存、处置场一期工程环境影响报告书》的批复（乌环评审〔2014〕 383号），建设尚未完成，目前仅建设了部分汽化炉渣贮存区，用于临时暂存约20万m³待处置的汽化炉渣，未开展验收。二期工程，是利用甘泉堡工业园内气化炉渣生产土壤改良营养基质和蒸压砖。二期工程已于2019年8月21日取得乌鲁木齐市生态环境局《关于甘泉堡经济技术开发区固废处置静脉产业园（PPP）建设项目环境影响报告表》的批复（乌环评审〔2019〕 252号），目前建设尚未完成，未开展验收。</w:t>
      </w:r>
    </w:p>
    <w:p w14:paraId="325A1096">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目前化工园区规划范围内目前仅国家能源集团新疆化工有限公司正在生产，根据《神华新疆68万吨/年煤基新材料项目环境影响后评价报告书》，国家能源集团新疆化工有限公司产生的一般工业固废废物主要为气化渣、锅炉渣、石灰污泥、粉煤灰和结晶盐，均已委托新疆云润循环经济有限公司及乌鲁木齐米东区宏帅矸石厂等企业进行处理。</w:t>
      </w:r>
    </w:p>
    <w:p w14:paraId="443B26E1">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（3）危险废物</w:t>
      </w:r>
    </w:p>
    <w:p w14:paraId="2C4F5E28">
      <w:pPr>
        <w:autoSpaceDE/>
        <w:autoSpaceDN/>
        <w:ind w:firstLine="480"/>
        <w:jc w:val="both"/>
        <w:rPr>
          <w:color w:val="000000" w:themeColor="text1"/>
          <w:lang w:val="zh-CN"/>
          <w14:textFill>
            <w14:solidFill>
              <w14:schemeClr w14:val="tx1"/>
            </w14:solidFill>
          </w14:textFill>
        </w:rPr>
      </w:pPr>
      <w:r>
        <w:rPr>
          <w:color w:val="000000" w:themeColor="text1"/>
          <w14:textFill>
            <w14:solidFill>
              <w14:schemeClr w14:val="tx1"/>
            </w14:solidFill>
          </w14:textFill>
        </w:rPr>
        <w:t>现状企业仅国家能源集团新疆化工有限公司正在生产，产生的危险废物由企业委托有相应危险废物处理资质的单位进行处理。有毒有害的残液、残渣也已按照《危险废物贮存污染控制标准》（GB18597-2023）中的规定执行，存放于防腐、防漏容器中，密封存放，按照环保部门要求进行处置。</w:t>
      </w:r>
    </w:p>
    <w:p w14:paraId="2482AD6C">
      <w:pPr>
        <w:pStyle w:val="3"/>
        <w:rPr>
          <w:rFonts w:ascii="Times New Roman" w:cs="Times New Roman"/>
          <w:color w:val="000000" w:themeColor="text1"/>
          <w:lang w:val="zh-CN"/>
          <w14:textFill>
            <w14:solidFill>
              <w14:schemeClr w14:val="tx1"/>
            </w14:solidFill>
          </w14:textFill>
        </w:rPr>
      </w:pPr>
      <w:bookmarkStart w:id="339" w:name="_Toc225268310"/>
      <w:r>
        <w:rPr>
          <w:rFonts w:ascii="Times New Roman" w:cs="Times New Roman"/>
          <w:color w:val="000000" w:themeColor="text1"/>
          <w:lang w:val="zh-CN"/>
          <w14:textFill>
            <w14:solidFill>
              <w14:schemeClr w14:val="tx1"/>
            </w14:solidFill>
          </w14:textFill>
        </w:rPr>
        <w:t>环境功能区划</w:t>
      </w:r>
      <w:bookmarkEnd w:id="339"/>
    </w:p>
    <w:p w14:paraId="4443BBB6">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项目所在区域属于《环境空气质量标准》(GB3095-2026)二类区；区域地下水功能以工农业用水为主，根据《地下水质量标准》(GB/T14848-2017)，区域地下水功能属Ⅲ类水质；项目区域声环境以工业生产为主要功能，根据《声环境质量标准》(GB3096-2008)，区域声环境功能属3类区。</w:t>
      </w:r>
      <w:r>
        <w:rPr>
          <w:color w:val="000000" w:themeColor="text1"/>
          <w14:textFill>
            <w14:solidFill>
              <w14:schemeClr w14:val="tx1"/>
            </w14:solidFill>
          </w14:textFill>
        </w:rPr>
        <w:t>根据《土壤环境质量建设用地土壤污染风险管控标准（试行）》（GB36600-2018）区域属于第二类用地。项目区域属于新疆生态功能区简表中的​“荒漠与绿洲生态功能区”。</w:t>
      </w:r>
    </w:p>
    <w:bookmarkEnd w:id="311"/>
    <w:bookmarkEnd w:id="312"/>
    <w:bookmarkEnd w:id="313"/>
    <w:bookmarkEnd w:id="336"/>
    <w:bookmarkEnd w:id="337"/>
    <w:bookmarkEnd w:id="338"/>
    <w:p w14:paraId="758506C9">
      <w:pPr>
        <w:pStyle w:val="3"/>
        <w:rPr>
          <w:rFonts w:ascii="Times New Roman" w:cs="Times New Roman"/>
          <w:color w:val="000000" w:themeColor="text1"/>
          <w:lang w:val="zh-CN"/>
          <w14:textFill>
            <w14:solidFill>
              <w14:schemeClr w14:val="tx1"/>
            </w14:solidFill>
          </w14:textFill>
        </w:rPr>
      </w:pPr>
      <w:bookmarkStart w:id="340" w:name="_Toc320518349"/>
      <w:bookmarkStart w:id="341" w:name="_Toc170531722"/>
      <w:bookmarkStart w:id="342" w:name="_Toc290048804"/>
      <w:bookmarkStart w:id="343" w:name="_Toc225268311"/>
      <w:bookmarkStart w:id="344" w:name="_Toc300393050"/>
      <w:bookmarkStart w:id="345" w:name="_Toc330460793"/>
      <w:bookmarkStart w:id="346" w:name="_Toc329793603"/>
      <w:bookmarkStart w:id="347" w:name="_Toc272851661"/>
      <w:bookmarkStart w:id="348" w:name="_Toc260131745"/>
      <w:bookmarkStart w:id="349" w:name="_Toc286617480"/>
      <w:bookmarkStart w:id="350" w:name="_Toc320518579"/>
      <w:bookmarkStart w:id="351" w:name="_Toc170532455"/>
      <w:bookmarkStart w:id="352" w:name="_Toc308023316"/>
      <w:r>
        <w:rPr>
          <w:rFonts w:ascii="Times New Roman" w:cs="Times New Roman"/>
          <w:color w:val="000000" w:themeColor="text1"/>
          <w:lang w:val="zh-CN"/>
          <w14:textFill>
            <w14:solidFill>
              <w14:schemeClr w14:val="tx1"/>
            </w14:solidFill>
          </w14:textFill>
        </w:rPr>
        <w:t>大气环境质量现状调查及评价</w:t>
      </w:r>
      <w:bookmarkEnd w:id="340"/>
      <w:bookmarkEnd w:id="341"/>
      <w:bookmarkEnd w:id="342"/>
      <w:bookmarkEnd w:id="343"/>
      <w:bookmarkEnd w:id="344"/>
      <w:bookmarkEnd w:id="345"/>
      <w:bookmarkEnd w:id="346"/>
      <w:bookmarkEnd w:id="347"/>
      <w:bookmarkEnd w:id="348"/>
      <w:bookmarkEnd w:id="349"/>
      <w:bookmarkEnd w:id="350"/>
      <w:bookmarkEnd w:id="351"/>
      <w:bookmarkEnd w:id="352"/>
    </w:p>
    <w:p w14:paraId="0B624CC7">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区域空气质量现状评价</w:t>
      </w:r>
    </w:p>
    <w:p w14:paraId="5528163B">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基本污染物现状监测与评价</w:t>
      </w:r>
    </w:p>
    <w:p w14:paraId="7DE9A827">
      <w:pPr>
        <w:ind w:firstLine="482"/>
        <w:rPr>
          <w:b/>
          <w:color w:val="000000" w:themeColor="text1"/>
          <w14:textFill>
            <w14:solidFill>
              <w14:schemeClr w14:val="tx1"/>
            </w14:solidFill>
          </w14:textFill>
        </w:rPr>
      </w:pPr>
      <w:r>
        <w:rPr>
          <w:b/>
          <w:color w:val="000000" w:themeColor="text1"/>
          <w14:textFill>
            <w14:solidFill>
              <w14:schemeClr w14:val="tx1"/>
            </w14:solidFill>
          </w14:textFill>
        </w:rPr>
        <w:t>一、 项目所在区域达标判断</w:t>
      </w:r>
    </w:p>
    <w:p w14:paraId="5153F06B">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根据《环境影响评价技术导则－大气环境》（H.J2.2-2018）对环境质量现状数据的要求，本评价选择离本项目最近的国控监测站点乌鲁木齐市的2023年数据进行统计分析，作为本项目环境空气现状评价基本污染物SO</w:t>
      </w:r>
      <w:r>
        <w:rPr>
          <w:color w:val="000000" w:themeColor="text1"/>
          <w:vertAlign w:val="subscript"/>
          <w:lang w:val="zh-CN" w:bidi="zh-CN"/>
          <w14:textFill>
            <w14:solidFill>
              <w14:schemeClr w14:val="tx1"/>
            </w14:solidFill>
          </w14:textFill>
        </w:rPr>
        <w:t>2</w:t>
      </w:r>
      <w:r>
        <w:rPr>
          <w:color w:val="000000" w:themeColor="text1"/>
          <w:lang w:val="zh-CN" w:bidi="zh-CN"/>
          <w14:textFill>
            <w14:solidFill>
              <w14:schemeClr w14:val="tx1"/>
            </w14:solidFill>
          </w14:textFill>
        </w:rPr>
        <w:t>、NO</w:t>
      </w:r>
      <w:r>
        <w:rPr>
          <w:color w:val="000000" w:themeColor="text1"/>
          <w:vertAlign w:val="subscript"/>
          <w:lang w:val="zh-CN" w:bidi="zh-CN"/>
          <w14:textFill>
            <w14:solidFill>
              <w14:schemeClr w14:val="tx1"/>
            </w14:solidFill>
          </w14:textFill>
        </w:rPr>
        <w:t>2</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、CO和O</w:t>
      </w:r>
      <w:r>
        <w:rPr>
          <w:color w:val="000000" w:themeColor="text1"/>
          <w:vertAlign w:val="subscript"/>
          <w:lang w:val="zh-CN" w:bidi="zh-CN"/>
          <w14:textFill>
            <w14:solidFill>
              <w14:schemeClr w14:val="tx1"/>
            </w14:solidFill>
          </w14:textFill>
        </w:rPr>
        <w:t>3</w:t>
      </w:r>
      <w:r>
        <w:rPr>
          <w:color w:val="000000" w:themeColor="text1"/>
          <w:lang w:val="zh-CN" w:bidi="zh-CN"/>
          <w14:textFill>
            <w14:solidFill>
              <w14:schemeClr w14:val="tx1"/>
            </w14:solidFill>
          </w14:textFill>
        </w:rPr>
        <w:t>的数据来源。符合大气导则要求。</w:t>
      </w:r>
    </w:p>
    <w:p w14:paraId="2CB66896">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评价标准：本项目环境空气质量评价标准采用《环境空气质量标准》（GB3095-2026）过渡阶段的二级标准，见下表。</w:t>
      </w:r>
    </w:p>
    <w:p w14:paraId="6CD7003B">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环境空气质量评价标准限值</w:t>
      </w:r>
    </w:p>
    <w:tbl>
      <w:tblPr>
        <w:tblStyle w:val="76"/>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7"/>
        <w:gridCol w:w="1497"/>
        <w:gridCol w:w="1146"/>
        <w:gridCol w:w="2867"/>
        <w:gridCol w:w="960"/>
        <w:gridCol w:w="2205"/>
      </w:tblGrid>
      <w:tr w14:paraId="6595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26" w:type="pct"/>
            <w:vMerge w:val="restart"/>
            <w:vAlign w:val="center"/>
          </w:tcPr>
          <w:p w14:paraId="0F30CB0D">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89" w:type="pct"/>
            <w:vMerge w:val="restart"/>
            <w:vAlign w:val="center"/>
          </w:tcPr>
          <w:p w14:paraId="5DEA6FB0">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621" w:type="pct"/>
            <w:gridSpan w:val="3"/>
            <w:vAlign w:val="center"/>
          </w:tcPr>
          <w:p w14:paraId="05CB9519">
            <w:pPr>
              <w:pStyle w:val="109"/>
              <w:rPr>
                <w:color w:val="000000" w:themeColor="text1"/>
                <w14:textFill>
                  <w14:solidFill>
                    <w14:schemeClr w14:val="tx1"/>
                  </w14:solidFill>
                </w14:textFill>
              </w:rPr>
            </w:pPr>
            <w:r>
              <w:rPr>
                <w:color w:val="000000" w:themeColor="text1"/>
                <w14:textFill>
                  <w14:solidFill>
                    <w14:schemeClr w14:val="tx1"/>
                  </w14:solidFill>
                </w14:textFill>
              </w:rPr>
              <w:t>浓度限值（μg/m³）</w:t>
            </w:r>
          </w:p>
        </w:tc>
        <w:tc>
          <w:tcPr>
            <w:tcW w:w="1162" w:type="pct"/>
            <w:vMerge w:val="restart"/>
            <w:vAlign w:val="center"/>
          </w:tcPr>
          <w:p w14:paraId="6E23919B">
            <w:pPr>
              <w:pStyle w:val="109"/>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5B32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426" w:type="pct"/>
            <w:vMerge w:val="continue"/>
            <w:vAlign w:val="center"/>
          </w:tcPr>
          <w:p w14:paraId="433E39FE">
            <w:pPr>
              <w:pStyle w:val="109"/>
              <w:rPr>
                <w:color w:val="000000" w:themeColor="text1"/>
                <w14:textFill>
                  <w14:solidFill>
                    <w14:schemeClr w14:val="tx1"/>
                  </w14:solidFill>
                </w14:textFill>
              </w:rPr>
            </w:pPr>
          </w:p>
        </w:tc>
        <w:tc>
          <w:tcPr>
            <w:tcW w:w="789" w:type="pct"/>
            <w:vMerge w:val="continue"/>
            <w:vAlign w:val="center"/>
          </w:tcPr>
          <w:p w14:paraId="4543B01F">
            <w:pPr>
              <w:pStyle w:val="109"/>
              <w:rPr>
                <w:color w:val="000000" w:themeColor="text1"/>
                <w14:textFill>
                  <w14:solidFill>
                    <w14:schemeClr w14:val="tx1"/>
                  </w14:solidFill>
                </w14:textFill>
              </w:rPr>
            </w:pPr>
          </w:p>
        </w:tc>
        <w:tc>
          <w:tcPr>
            <w:tcW w:w="604" w:type="pct"/>
            <w:vAlign w:val="center"/>
          </w:tcPr>
          <w:p w14:paraId="50C86FD9">
            <w:pPr>
              <w:pStyle w:val="109"/>
              <w:rPr>
                <w:color w:val="000000" w:themeColor="text1"/>
                <w14:textFill>
                  <w14:solidFill>
                    <w14:schemeClr w14:val="tx1"/>
                  </w14:solidFill>
                </w14:textFill>
              </w:rPr>
            </w:pPr>
            <w:r>
              <w:rPr>
                <w:color w:val="000000" w:themeColor="text1"/>
                <w14:textFill>
                  <w14:solidFill>
                    <w14:schemeClr w14:val="tx1"/>
                  </w14:solidFill>
                </w14:textFill>
              </w:rPr>
              <w:t>小时平均</w:t>
            </w:r>
          </w:p>
        </w:tc>
        <w:tc>
          <w:tcPr>
            <w:tcW w:w="1511" w:type="pct"/>
            <w:vAlign w:val="center"/>
          </w:tcPr>
          <w:p w14:paraId="3477C8D3">
            <w:pPr>
              <w:pStyle w:val="109"/>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505" w:type="pct"/>
            <w:vAlign w:val="center"/>
          </w:tcPr>
          <w:p w14:paraId="72601D31">
            <w:pPr>
              <w:pStyle w:val="109"/>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162" w:type="pct"/>
            <w:vMerge w:val="continue"/>
            <w:vAlign w:val="center"/>
          </w:tcPr>
          <w:p w14:paraId="6C4CD922">
            <w:pPr>
              <w:pStyle w:val="109"/>
              <w:rPr>
                <w:color w:val="000000" w:themeColor="text1"/>
                <w14:textFill>
                  <w14:solidFill>
                    <w14:schemeClr w14:val="tx1"/>
                  </w14:solidFill>
                </w14:textFill>
              </w:rPr>
            </w:pPr>
          </w:p>
        </w:tc>
      </w:tr>
      <w:tr w14:paraId="53AF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426" w:type="pct"/>
            <w:vAlign w:val="center"/>
          </w:tcPr>
          <w:p w14:paraId="4A3244F5">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789" w:type="pct"/>
            <w:vAlign w:val="center"/>
          </w:tcPr>
          <w:p w14:paraId="058C36FC">
            <w:pPr>
              <w:pStyle w:val="109"/>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604" w:type="pct"/>
            <w:vAlign w:val="center"/>
          </w:tcPr>
          <w:p w14:paraId="6F261C10">
            <w:pPr>
              <w:pStyle w:val="109"/>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511" w:type="pct"/>
            <w:vAlign w:val="center"/>
          </w:tcPr>
          <w:p w14:paraId="240F8CB2">
            <w:pPr>
              <w:pStyle w:val="109"/>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05" w:type="pct"/>
            <w:vAlign w:val="center"/>
          </w:tcPr>
          <w:p w14:paraId="03955E50">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162" w:type="pct"/>
            <w:vMerge w:val="restart"/>
            <w:vAlign w:val="center"/>
          </w:tcPr>
          <w:p w14:paraId="144FC7C8">
            <w:pPr>
              <w:pStyle w:val="109"/>
              <w:rPr>
                <w:color w:val="000000" w:themeColor="text1"/>
                <w14:textFill>
                  <w14:solidFill>
                    <w14:schemeClr w14:val="tx1"/>
                  </w14:solidFill>
                </w14:textFill>
              </w:rPr>
            </w:pPr>
            <w:r>
              <w:rPr>
                <w:color w:val="000000" w:themeColor="text1"/>
                <w14:textFill>
                  <w14:solidFill>
                    <w14:schemeClr w14:val="tx1"/>
                  </w14:solidFill>
                </w14:textFill>
              </w:rPr>
              <w:t>《环境空气质量标准》（GB3095-2026）过渡阶段的二级标准</w:t>
            </w:r>
          </w:p>
        </w:tc>
      </w:tr>
      <w:tr w14:paraId="1DC2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426" w:type="pct"/>
            <w:vAlign w:val="center"/>
          </w:tcPr>
          <w:p w14:paraId="20AE64C4">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789" w:type="pct"/>
            <w:vAlign w:val="center"/>
          </w:tcPr>
          <w:p w14:paraId="5D5C8459">
            <w:pPr>
              <w:pStyle w:val="109"/>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604" w:type="pct"/>
            <w:vAlign w:val="center"/>
          </w:tcPr>
          <w:p w14:paraId="414E3FAC">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511" w:type="pct"/>
            <w:vAlign w:val="center"/>
          </w:tcPr>
          <w:p w14:paraId="71ED6E31">
            <w:pPr>
              <w:pStyle w:val="109"/>
              <w:rPr>
                <w:color w:val="000000" w:themeColor="text1"/>
                <w14:textFill>
                  <w14:solidFill>
                    <w14:schemeClr w14:val="tx1"/>
                  </w14:solidFill>
                </w14:textFill>
              </w:rPr>
            </w:pPr>
            <w:r>
              <w:rPr>
                <w:color w:val="000000" w:themeColor="text1"/>
                <w14:textFill>
                  <w14:solidFill>
                    <w14:schemeClr w14:val="tx1"/>
                  </w14:solidFill>
                </w14:textFill>
              </w:rPr>
              <w:t>80</w:t>
            </w:r>
          </w:p>
        </w:tc>
        <w:tc>
          <w:tcPr>
            <w:tcW w:w="505" w:type="pct"/>
            <w:vAlign w:val="center"/>
          </w:tcPr>
          <w:p w14:paraId="3CA93D4B">
            <w:pPr>
              <w:pStyle w:val="109"/>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162" w:type="pct"/>
            <w:vMerge w:val="continue"/>
            <w:vAlign w:val="center"/>
          </w:tcPr>
          <w:p w14:paraId="43A14AE0">
            <w:pPr>
              <w:pStyle w:val="109"/>
              <w:rPr>
                <w:color w:val="000000" w:themeColor="text1"/>
                <w14:textFill>
                  <w14:solidFill>
                    <w14:schemeClr w14:val="tx1"/>
                  </w14:solidFill>
                </w14:textFill>
              </w:rPr>
            </w:pPr>
          </w:p>
        </w:tc>
      </w:tr>
      <w:tr w14:paraId="2A6D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426" w:type="pct"/>
            <w:vAlign w:val="center"/>
          </w:tcPr>
          <w:p w14:paraId="41C5AC67">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789" w:type="pct"/>
            <w:vAlign w:val="center"/>
          </w:tcPr>
          <w:p w14:paraId="5773C93A">
            <w:pPr>
              <w:pStyle w:val="109"/>
              <w:rPr>
                <w:color w:val="000000" w:themeColor="text1"/>
                <w14:textFill>
                  <w14:solidFill>
                    <w14:schemeClr w14:val="tx1"/>
                  </w14:solidFill>
                </w14:textFill>
              </w:rPr>
            </w:pPr>
            <w:r>
              <w:rPr>
                <w:color w:val="000000" w:themeColor="text1"/>
                <w14:textFill>
                  <w14:solidFill>
                    <w14:schemeClr w14:val="tx1"/>
                  </w14:solidFill>
                </w14:textFill>
              </w:rPr>
              <w:t>CO（mg/m³）</w:t>
            </w:r>
          </w:p>
        </w:tc>
        <w:tc>
          <w:tcPr>
            <w:tcW w:w="604" w:type="pct"/>
            <w:vAlign w:val="center"/>
          </w:tcPr>
          <w:p w14:paraId="0FFB9FCC">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511" w:type="pct"/>
            <w:vAlign w:val="center"/>
          </w:tcPr>
          <w:p w14:paraId="432E13E6">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505" w:type="pct"/>
            <w:vAlign w:val="center"/>
          </w:tcPr>
          <w:p w14:paraId="59BE40A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62" w:type="pct"/>
            <w:vMerge w:val="continue"/>
            <w:vAlign w:val="center"/>
          </w:tcPr>
          <w:p w14:paraId="72C27E22">
            <w:pPr>
              <w:pStyle w:val="109"/>
              <w:rPr>
                <w:color w:val="000000" w:themeColor="text1"/>
                <w14:textFill>
                  <w14:solidFill>
                    <w14:schemeClr w14:val="tx1"/>
                  </w14:solidFill>
                </w14:textFill>
              </w:rPr>
            </w:pPr>
          </w:p>
        </w:tc>
      </w:tr>
      <w:tr w14:paraId="0D65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26" w:type="pct"/>
            <w:vAlign w:val="center"/>
          </w:tcPr>
          <w:p w14:paraId="54FCB3F3">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789" w:type="pct"/>
            <w:vAlign w:val="center"/>
          </w:tcPr>
          <w:p w14:paraId="7D90669D">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604" w:type="pct"/>
            <w:vAlign w:val="center"/>
          </w:tcPr>
          <w:p w14:paraId="27BD801C">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511" w:type="pct"/>
            <w:vAlign w:val="center"/>
          </w:tcPr>
          <w:p w14:paraId="2BE87B61">
            <w:pPr>
              <w:pStyle w:val="109"/>
              <w:rPr>
                <w:color w:val="000000" w:themeColor="text1"/>
                <w14:textFill>
                  <w14:solidFill>
                    <w14:schemeClr w14:val="tx1"/>
                  </w14:solidFill>
                </w14:textFill>
              </w:rPr>
            </w:pPr>
            <w:r>
              <w:rPr>
                <w:color w:val="000000" w:themeColor="text1"/>
                <w14:textFill>
                  <w14:solidFill>
                    <w14:schemeClr w14:val="tx1"/>
                  </w14:solidFill>
                </w14:textFill>
              </w:rPr>
              <w:t>160（日最大8小时平均）</w:t>
            </w:r>
          </w:p>
        </w:tc>
        <w:tc>
          <w:tcPr>
            <w:tcW w:w="505" w:type="pct"/>
            <w:vAlign w:val="center"/>
          </w:tcPr>
          <w:p w14:paraId="10D1FD7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62" w:type="pct"/>
            <w:vMerge w:val="continue"/>
            <w:vAlign w:val="center"/>
          </w:tcPr>
          <w:p w14:paraId="62F5DE80">
            <w:pPr>
              <w:pStyle w:val="109"/>
              <w:rPr>
                <w:color w:val="000000" w:themeColor="text1"/>
                <w14:textFill>
                  <w14:solidFill>
                    <w14:schemeClr w14:val="tx1"/>
                  </w14:solidFill>
                </w14:textFill>
              </w:rPr>
            </w:pPr>
          </w:p>
        </w:tc>
      </w:tr>
      <w:tr w14:paraId="6778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426" w:type="pct"/>
            <w:vAlign w:val="center"/>
          </w:tcPr>
          <w:p w14:paraId="13E90E3C">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789" w:type="pct"/>
            <w:vAlign w:val="center"/>
          </w:tcPr>
          <w:p w14:paraId="6ED3C28D">
            <w:pPr>
              <w:pStyle w:val="109"/>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604" w:type="pct"/>
            <w:vAlign w:val="center"/>
          </w:tcPr>
          <w:p w14:paraId="4CDB824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11" w:type="pct"/>
            <w:vAlign w:val="center"/>
          </w:tcPr>
          <w:p w14:paraId="1C20A1CD">
            <w:pPr>
              <w:pStyle w:val="109"/>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05" w:type="pct"/>
            <w:vAlign w:val="center"/>
          </w:tcPr>
          <w:p w14:paraId="2AEBF311">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162" w:type="pct"/>
            <w:vMerge w:val="continue"/>
            <w:vAlign w:val="center"/>
          </w:tcPr>
          <w:p w14:paraId="38D8927E">
            <w:pPr>
              <w:pStyle w:val="109"/>
              <w:rPr>
                <w:color w:val="000000" w:themeColor="text1"/>
                <w14:textFill>
                  <w14:solidFill>
                    <w14:schemeClr w14:val="tx1"/>
                  </w14:solidFill>
                </w14:textFill>
              </w:rPr>
            </w:pPr>
          </w:p>
        </w:tc>
      </w:tr>
      <w:tr w14:paraId="7585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426" w:type="pct"/>
            <w:vAlign w:val="center"/>
          </w:tcPr>
          <w:p w14:paraId="1C4DEBB9">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789" w:type="pct"/>
            <w:vAlign w:val="center"/>
          </w:tcPr>
          <w:p w14:paraId="7458D4E5">
            <w:pPr>
              <w:pStyle w:val="109"/>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604" w:type="pct"/>
            <w:vAlign w:val="center"/>
          </w:tcPr>
          <w:p w14:paraId="0EEC5A5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11" w:type="pct"/>
            <w:vAlign w:val="center"/>
          </w:tcPr>
          <w:p w14:paraId="1C528CE8">
            <w:pPr>
              <w:pStyle w:val="109"/>
              <w:rPr>
                <w:color w:val="000000" w:themeColor="text1"/>
                <w14:textFill>
                  <w14:solidFill>
                    <w14:schemeClr w14:val="tx1"/>
                  </w14:solidFill>
                </w14:textFill>
              </w:rPr>
            </w:pPr>
            <w:r>
              <w:rPr>
                <w:color w:val="000000" w:themeColor="text1"/>
                <w14:textFill>
                  <w14:solidFill>
                    <w14:schemeClr w14:val="tx1"/>
                  </w14:solidFill>
                </w14:textFill>
              </w:rPr>
              <w:t>75</w:t>
            </w:r>
          </w:p>
        </w:tc>
        <w:tc>
          <w:tcPr>
            <w:tcW w:w="505" w:type="pct"/>
            <w:vAlign w:val="center"/>
          </w:tcPr>
          <w:p w14:paraId="25F456D5">
            <w:pPr>
              <w:pStyle w:val="109"/>
              <w:rPr>
                <w:color w:val="000000" w:themeColor="text1"/>
                <w14:textFill>
                  <w14:solidFill>
                    <w14:schemeClr w14:val="tx1"/>
                  </w14:solidFill>
                </w14:textFill>
              </w:rPr>
            </w:pPr>
            <w:r>
              <w:rPr>
                <w:color w:val="000000" w:themeColor="text1"/>
                <w14:textFill>
                  <w14:solidFill>
                    <w14:schemeClr w14:val="tx1"/>
                  </w14:solidFill>
                </w14:textFill>
              </w:rPr>
              <w:t>35</w:t>
            </w:r>
          </w:p>
        </w:tc>
        <w:tc>
          <w:tcPr>
            <w:tcW w:w="1162" w:type="pct"/>
            <w:vMerge w:val="continue"/>
            <w:vAlign w:val="center"/>
          </w:tcPr>
          <w:p w14:paraId="29B3E5D9">
            <w:pPr>
              <w:pStyle w:val="109"/>
              <w:rPr>
                <w:color w:val="000000" w:themeColor="text1"/>
                <w14:textFill>
                  <w14:solidFill>
                    <w14:schemeClr w14:val="tx1"/>
                  </w14:solidFill>
                </w14:textFill>
              </w:rPr>
            </w:pPr>
          </w:p>
        </w:tc>
      </w:tr>
    </w:tbl>
    <w:p w14:paraId="41126AD5">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区域空气质量现状评价表</w:t>
      </w:r>
    </w:p>
    <w:tbl>
      <w:tblPr>
        <w:tblStyle w:val="76"/>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2"/>
        <w:gridCol w:w="2974"/>
        <w:gridCol w:w="1405"/>
        <w:gridCol w:w="1152"/>
        <w:gridCol w:w="1291"/>
        <w:gridCol w:w="996"/>
        <w:gridCol w:w="831"/>
      </w:tblGrid>
      <w:tr w14:paraId="56DB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pct"/>
            <w:vAlign w:val="center"/>
          </w:tcPr>
          <w:p w14:paraId="7A99524E">
            <w:pPr>
              <w:pStyle w:val="109"/>
              <w:rPr>
                <w:color w:val="000000" w:themeColor="text1"/>
                <w14:textFill>
                  <w14:solidFill>
                    <w14:schemeClr w14:val="tx1"/>
                  </w14:solidFill>
                </w14:textFill>
              </w:rPr>
            </w:pPr>
            <w:r>
              <w:rPr>
                <w:color w:val="000000" w:themeColor="text1"/>
                <w14:textFill>
                  <w14:solidFill>
                    <w14:schemeClr w14:val="tx1"/>
                  </w14:solidFill>
                </w14:textFill>
              </w:rPr>
              <w:t>评价</w:t>
            </w:r>
          </w:p>
          <w:p w14:paraId="66F76DE0">
            <w:pPr>
              <w:pStyle w:val="109"/>
              <w:rPr>
                <w:color w:val="000000" w:themeColor="text1"/>
                <w14:textFill>
                  <w14:solidFill>
                    <w14:schemeClr w14:val="tx1"/>
                  </w14:solidFill>
                </w14:textFill>
              </w:rPr>
            </w:pPr>
            <w:r>
              <w:rPr>
                <w:color w:val="000000" w:themeColor="text1"/>
                <w14:textFill>
                  <w14:solidFill>
                    <w14:schemeClr w14:val="tx1"/>
                  </w14:solidFill>
                </w14:textFill>
              </w:rPr>
              <w:t>因子</w:t>
            </w:r>
          </w:p>
        </w:tc>
        <w:tc>
          <w:tcPr>
            <w:tcW w:w="1585" w:type="pct"/>
            <w:vAlign w:val="center"/>
          </w:tcPr>
          <w:p w14:paraId="3D3F07D0">
            <w:pPr>
              <w:pStyle w:val="109"/>
              <w:rPr>
                <w:color w:val="000000" w:themeColor="text1"/>
                <w14:textFill>
                  <w14:solidFill>
                    <w14:schemeClr w14:val="tx1"/>
                  </w14:solidFill>
                </w14:textFill>
              </w:rPr>
            </w:pPr>
            <w:r>
              <w:rPr>
                <w:color w:val="000000" w:themeColor="text1"/>
                <w14:textFill>
                  <w14:solidFill>
                    <w14:schemeClr w14:val="tx1"/>
                  </w14:solidFill>
                </w14:textFill>
              </w:rPr>
              <w:t>平均时段</w:t>
            </w:r>
          </w:p>
        </w:tc>
        <w:tc>
          <w:tcPr>
            <w:tcW w:w="749" w:type="pct"/>
            <w:vAlign w:val="center"/>
          </w:tcPr>
          <w:p w14:paraId="361B7D72">
            <w:pPr>
              <w:pStyle w:val="109"/>
              <w:rPr>
                <w:color w:val="000000" w:themeColor="text1"/>
                <w14:textFill>
                  <w14:solidFill>
                    <w14:schemeClr w14:val="tx1"/>
                  </w14:solidFill>
                </w14:textFill>
              </w:rPr>
            </w:pPr>
            <w:r>
              <w:rPr>
                <w:color w:val="000000" w:themeColor="text1"/>
                <w14:textFill>
                  <w14:solidFill>
                    <w14:schemeClr w14:val="tx1"/>
                  </w14:solidFill>
                </w14:textFill>
              </w:rPr>
              <w:t>百分位</w:t>
            </w:r>
          </w:p>
        </w:tc>
        <w:tc>
          <w:tcPr>
            <w:tcW w:w="614" w:type="pct"/>
            <w:vAlign w:val="center"/>
          </w:tcPr>
          <w:p w14:paraId="57A851CF">
            <w:pPr>
              <w:pStyle w:val="109"/>
              <w:rPr>
                <w:color w:val="000000" w:themeColor="text1"/>
                <w14:textFill>
                  <w14:solidFill>
                    <w14:schemeClr w14:val="tx1"/>
                  </w14:solidFill>
                </w14:textFill>
              </w:rPr>
            </w:pPr>
            <w:r>
              <w:rPr>
                <w:color w:val="000000" w:themeColor="text1"/>
                <w14:textFill>
                  <w14:solidFill>
                    <w14:schemeClr w14:val="tx1"/>
                  </w14:solidFill>
                </w14:textFill>
              </w:rPr>
              <w:t>现状浓度</w:t>
            </w:r>
          </w:p>
          <w:p w14:paraId="6F575268">
            <w:pPr>
              <w:pStyle w:val="109"/>
              <w:rPr>
                <w:color w:val="000000" w:themeColor="text1"/>
                <w14:textFill>
                  <w14:solidFill>
                    <w14:schemeClr w14:val="tx1"/>
                  </w14:solidFill>
                </w14:textFill>
              </w:rPr>
            </w:pPr>
            <w:r>
              <w:rPr>
                <w:color w:val="000000" w:themeColor="text1"/>
                <w14:textFill>
                  <w14:solidFill>
                    <w14:schemeClr w14:val="tx1"/>
                  </w14:solidFill>
                </w14:textFill>
              </w:rPr>
              <w:t>（微克/m³）</w:t>
            </w:r>
          </w:p>
        </w:tc>
        <w:tc>
          <w:tcPr>
            <w:tcW w:w="688" w:type="pct"/>
            <w:vAlign w:val="center"/>
          </w:tcPr>
          <w:p w14:paraId="04014251">
            <w:pPr>
              <w:pStyle w:val="109"/>
              <w:rPr>
                <w:color w:val="000000" w:themeColor="text1"/>
                <w14:textFill>
                  <w14:solidFill>
                    <w14:schemeClr w14:val="tx1"/>
                  </w14:solidFill>
                </w14:textFill>
              </w:rPr>
            </w:pPr>
            <w:r>
              <w:rPr>
                <w:color w:val="000000" w:themeColor="text1"/>
                <w14:textFill>
                  <w14:solidFill>
                    <w14:schemeClr w14:val="tx1"/>
                  </w14:solidFill>
                </w14:textFill>
              </w:rPr>
              <w:t>标准限值</w:t>
            </w:r>
          </w:p>
          <w:p w14:paraId="3F59CB82">
            <w:pPr>
              <w:pStyle w:val="109"/>
              <w:rPr>
                <w:color w:val="000000" w:themeColor="text1"/>
                <w14:textFill>
                  <w14:solidFill>
                    <w14:schemeClr w14:val="tx1"/>
                  </w14:solidFill>
                </w14:textFill>
              </w:rPr>
            </w:pPr>
            <w:r>
              <w:rPr>
                <w:color w:val="000000" w:themeColor="text1"/>
                <w14:textFill>
                  <w14:solidFill>
                    <w14:schemeClr w14:val="tx1"/>
                  </w14:solidFill>
                </w14:textFill>
              </w:rPr>
              <w:t>（微克/m³）</w:t>
            </w:r>
          </w:p>
        </w:tc>
        <w:tc>
          <w:tcPr>
            <w:tcW w:w="531" w:type="pct"/>
            <w:vAlign w:val="center"/>
          </w:tcPr>
          <w:p w14:paraId="72E108E6">
            <w:pPr>
              <w:pStyle w:val="109"/>
              <w:rPr>
                <w:color w:val="000000" w:themeColor="text1"/>
                <w14:textFill>
                  <w14:solidFill>
                    <w14:schemeClr w14:val="tx1"/>
                  </w14:solidFill>
                </w14:textFill>
              </w:rPr>
            </w:pPr>
            <w:r>
              <w:rPr>
                <w:color w:val="000000" w:themeColor="text1"/>
                <w14:textFill>
                  <w14:solidFill>
                    <w14:schemeClr w14:val="tx1"/>
                  </w14:solidFill>
                </w14:textFill>
              </w:rPr>
              <w:t>占标率</w:t>
            </w:r>
          </w:p>
          <w:p w14:paraId="3E1F551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443" w:type="pct"/>
            <w:vAlign w:val="center"/>
          </w:tcPr>
          <w:p w14:paraId="53113996">
            <w:pPr>
              <w:pStyle w:val="109"/>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14:paraId="0DFC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pct"/>
            <w:vAlign w:val="center"/>
          </w:tcPr>
          <w:p w14:paraId="2E71977D">
            <w:pPr>
              <w:pStyle w:val="109"/>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585" w:type="pct"/>
            <w:vAlign w:val="center"/>
          </w:tcPr>
          <w:p w14:paraId="56CD63E3">
            <w:pPr>
              <w:pStyle w:val="109"/>
              <w:rPr>
                <w:color w:val="000000" w:themeColor="text1"/>
                <w14:textFill>
                  <w14:solidFill>
                    <w14:schemeClr w14:val="tx1"/>
                  </w14:solidFill>
                </w14:textFill>
              </w:rPr>
            </w:pPr>
            <w:r>
              <w:rPr>
                <w:color w:val="000000" w:themeColor="text1"/>
                <w14:textFill>
                  <w14:solidFill>
                    <w14:schemeClr w14:val="tx1"/>
                  </w14:solidFill>
                </w14:textFill>
              </w:rPr>
              <w:t>年平均浓度</w:t>
            </w:r>
          </w:p>
        </w:tc>
        <w:tc>
          <w:tcPr>
            <w:tcW w:w="749" w:type="pct"/>
            <w:vAlign w:val="center"/>
          </w:tcPr>
          <w:p w14:paraId="207DCE4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614" w:type="pct"/>
            <w:vAlign w:val="center"/>
          </w:tcPr>
          <w:p w14:paraId="155EAF2B">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688" w:type="pct"/>
            <w:vAlign w:val="center"/>
          </w:tcPr>
          <w:p w14:paraId="6C72BB64">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31" w:type="pct"/>
            <w:vAlign w:val="center"/>
          </w:tcPr>
          <w:p w14:paraId="088BE311">
            <w:pPr>
              <w:pStyle w:val="109"/>
              <w:rPr>
                <w:color w:val="000000" w:themeColor="text1"/>
                <w14:textFill>
                  <w14:solidFill>
                    <w14:schemeClr w14:val="tx1"/>
                  </w14:solidFill>
                </w14:textFill>
              </w:rPr>
            </w:pPr>
            <w:r>
              <w:rPr>
                <w:color w:val="000000" w:themeColor="text1"/>
                <w14:textFill>
                  <w14:solidFill>
                    <w14:schemeClr w14:val="tx1"/>
                  </w14:solidFill>
                </w14:textFill>
              </w:rPr>
              <w:t>11.7</w:t>
            </w:r>
          </w:p>
        </w:tc>
        <w:tc>
          <w:tcPr>
            <w:tcW w:w="443" w:type="pct"/>
            <w:vAlign w:val="center"/>
          </w:tcPr>
          <w:p w14:paraId="7992C0D7">
            <w:pPr>
              <w:pStyle w:val="109"/>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5626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pct"/>
            <w:vAlign w:val="center"/>
          </w:tcPr>
          <w:p w14:paraId="39E08247">
            <w:pPr>
              <w:pStyle w:val="109"/>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1585" w:type="pct"/>
            <w:vAlign w:val="center"/>
          </w:tcPr>
          <w:p w14:paraId="74F2A02D">
            <w:pPr>
              <w:pStyle w:val="109"/>
              <w:rPr>
                <w:color w:val="000000" w:themeColor="text1"/>
                <w14:textFill>
                  <w14:solidFill>
                    <w14:schemeClr w14:val="tx1"/>
                  </w14:solidFill>
                </w14:textFill>
              </w:rPr>
            </w:pPr>
            <w:r>
              <w:rPr>
                <w:color w:val="000000" w:themeColor="text1"/>
                <w14:textFill>
                  <w14:solidFill>
                    <w14:schemeClr w14:val="tx1"/>
                  </w14:solidFill>
                </w14:textFill>
              </w:rPr>
              <w:t>年平均浓度</w:t>
            </w:r>
          </w:p>
        </w:tc>
        <w:tc>
          <w:tcPr>
            <w:tcW w:w="749" w:type="pct"/>
            <w:vAlign w:val="center"/>
          </w:tcPr>
          <w:p w14:paraId="1AF7DC0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614" w:type="pct"/>
            <w:vAlign w:val="center"/>
          </w:tcPr>
          <w:p w14:paraId="31BFDD5E">
            <w:pPr>
              <w:pStyle w:val="109"/>
              <w:rPr>
                <w:color w:val="000000" w:themeColor="text1"/>
                <w14:textFill>
                  <w14:solidFill>
                    <w14:schemeClr w14:val="tx1"/>
                  </w14:solidFill>
                </w14:textFill>
              </w:rPr>
            </w:pPr>
            <w:r>
              <w:rPr>
                <w:color w:val="000000" w:themeColor="text1"/>
                <w14:textFill>
                  <w14:solidFill>
                    <w14:schemeClr w14:val="tx1"/>
                  </w14:solidFill>
                </w14:textFill>
              </w:rPr>
              <w:t>31</w:t>
            </w:r>
          </w:p>
        </w:tc>
        <w:tc>
          <w:tcPr>
            <w:tcW w:w="688" w:type="pct"/>
            <w:vAlign w:val="center"/>
          </w:tcPr>
          <w:p w14:paraId="289C322C">
            <w:pPr>
              <w:pStyle w:val="109"/>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31" w:type="pct"/>
            <w:vAlign w:val="center"/>
          </w:tcPr>
          <w:p w14:paraId="0B3D7F5B">
            <w:pPr>
              <w:pStyle w:val="109"/>
              <w:rPr>
                <w:color w:val="000000" w:themeColor="text1"/>
                <w14:textFill>
                  <w14:solidFill>
                    <w14:schemeClr w14:val="tx1"/>
                  </w14:solidFill>
                </w14:textFill>
              </w:rPr>
            </w:pPr>
            <w:r>
              <w:rPr>
                <w:color w:val="000000" w:themeColor="text1"/>
                <w14:textFill>
                  <w14:solidFill>
                    <w14:schemeClr w14:val="tx1"/>
                  </w14:solidFill>
                </w14:textFill>
              </w:rPr>
              <w:t>77.5</w:t>
            </w:r>
          </w:p>
        </w:tc>
        <w:tc>
          <w:tcPr>
            <w:tcW w:w="443" w:type="pct"/>
            <w:vAlign w:val="center"/>
          </w:tcPr>
          <w:p w14:paraId="514B7078">
            <w:pPr>
              <w:pStyle w:val="109"/>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7AD4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pct"/>
            <w:vAlign w:val="center"/>
          </w:tcPr>
          <w:p w14:paraId="1DC011AC">
            <w:pPr>
              <w:pStyle w:val="109"/>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585" w:type="pct"/>
            <w:vAlign w:val="center"/>
          </w:tcPr>
          <w:p w14:paraId="6C72BABD">
            <w:pPr>
              <w:pStyle w:val="109"/>
              <w:rPr>
                <w:color w:val="000000" w:themeColor="text1"/>
                <w14:textFill>
                  <w14:solidFill>
                    <w14:schemeClr w14:val="tx1"/>
                  </w14:solidFill>
                </w14:textFill>
              </w:rPr>
            </w:pPr>
            <w:r>
              <w:rPr>
                <w:color w:val="000000" w:themeColor="text1"/>
                <w14:textFill>
                  <w14:solidFill>
                    <w14:schemeClr w14:val="tx1"/>
                  </w14:solidFill>
                </w14:textFill>
              </w:rPr>
              <w:t>百分位上日平均质量浓度</w:t>
            </w:r>
          </w:p>
          <w:p w14:paraId="0872DAE7">
            <w:pPr>
              <w:pStyle w:val="109"/>
              <w:rPr>
                <w:color w:val="000000" w:themeColor="text1"/>
                <w14:textFill>
                  <w14:solidFill>
                    <w14:schemeClr w14:val="tx1"/>
                  </w14:solidFill>
                </w14:textFill>
              </w:rPr>
            </w:pPr>
            <w:r>
              <w:rPr>
                <w:color w:val="000000" w:themeColor="text1"/>
                <w14:textFill>
                  <w14:solidFill>
                    <w14:schemeClr w14:val="tx1"/>
                  </w14:solidFill>
                </w14:textFill>
              </w:rPr>
              <w:t>（毫克/m³）</w:t>
            </w:r>
          </w:p>
        </w:tc>
        <w:tc>
          <w:tcPr>
            <w:tcW w:w="749" w:type="pct"/>
            <w:vAlign w:val="center"/>
          </w:tcPr>
          <w:p w14:paraId="3944754F">
            <w:pPr>
              <w:pStyle w:val="109"/>
              <w:rPr>
                <w:color w:val="000000" w:themeColor="text1"/>
                <w14:textFill>
                  <w14:solidFill>
                    <w14:schemeClr w14:val="tx1"/>
                  </w14:solidFill>
                </w14:textFill>
              </w:rPr>
            </w:pPr>
            <w:r>
              <w:rPr>
                <w:color w:val="000000" w:themeColor="text1"/>
                <w14:textFill>
                  <w14:solidFill>
                    <w14:schemeClr w14:val="tx1"/>
                  </w14:solidFill>
                </w14:textFill>
              </w:rPr>
              <w:t>95%（k=347）</w:t>
            </w:r>
          </w:p>
        </w:tc>
        <w:tc>
          <w:tcPr>
            <w:tcW w:w="614" w:type="pct"/>
            <w:vAlign w:val="center"/>
          </w:tcPr>
          <w:p w14:paraId="125523AE">
            <w:pPr>
              <w:pStyle w:val="10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688" w:type="pct"/>
            <w:vAlign w:val="center"/>
          </w:tcPr>
          <w:p w14:paraId="674684BA">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531" w:type="pct"/>
            <w:vAlign w:val="center"/>
          </w:tcPr>
          <w:p w14:paraId="175ECE75">
            <w:pPr>
              <w:pStyle w:val="109"/>
              <w:rPr>
                <w:color w:val="000000" w:themeColor="text1"/>
                <w14:textFill>
                  <w14:solidFill>
                    <w14:schemeClr w14:val="tx1"/>
                  </w14:solidFill>
                </w14:textFill>
              </w:rPr>
            </w:pPr>
            <w:r>
              <w:rPr>
                <w:color w:val="000000" w:themeColor="text1"/>
                <w14:textFill>
                  <w14:solidFill>
                    <w14:schemeClr w14:val="tx1"/>
                  </w14:solidFill>
                </w14:textFill>
              </w:rPr>
              <w:t>45</w:t>
            </w:r>
          </w:p>
        </w:tc>
        <w:tc>
          <w:tcPr>
            <w:tcW w:w="443" w:type="pct"/>
            <w:vAlign w:val="center"/>
          </w:tcPr>
          <w:p w14:paraId="2B230DC9">
            <w:pPr>
              <w:pStyle w:val="109"/>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58F4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pct"/>
            <w:vAlign w:val="center"/>
          </w:tcPr>
          <w:p w14:paraId="4A81D012">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1585" w:type="pct"/>
            <w:vAlign w:val="center"/>
          </w:tcPr>
          <w:p w14:paraId="71182238">
            <w:pPr>
              <w:pStyle w:val="109"/>
              <w:rPr>
                <w:color w:val="000000" w:themeColor="text1"/>
                <w14:textFill>
                  <w14:solidFill>
                    <w14:schemeClr w14:val="tx1"/>
                  </w14:solidFill>
                </w14:textFill>
              </w:rPr>
            </w:pPr>
            <w:r>
              <w:rPr>
                <w:color w:val="000000" w:themeColor="text1"/>
                <w14:textFill>
                  <w14:solidFill>
                    <w14:schemeClr w14:val="tx1"/>
                  </w14:solidFill>
                </w14:textFill>
              </w:rPr>
              <w:t>百分位上8小时平均质量浓度</w:t>
            </w:r>
          </w:p>
        </w:tc>
        <w:tc>
          <w:tcPr>
            <w:tcW w:w="749" w:type="pct"/>
            <w:vAlign w:val="center"/>
          </w:tcPr>
          <w:p w14:paraId="45E5BCD3">
            <w:pPr>
              <w:pStyle w:val="109"/>
              <w:rPr>
                <w:color w:val="000000" w:themeColor="text1"/>
                <w14:textFill>
                  <w14:solidFill>
                    <w14:schemeClr w14:val="tx1"/>
                  </w14:solidFill>
                </w14:textFill>
              </w:rPr>
            </w:pPr>
            <w:r>
              <w:rPr>
                <w:color w:val="000000" w:themeColor="text1"/>
                <w14:textFill>
                  <w14:solidFill>
                    <w14:schemeClr w14:val="tx1"/>
                  </w14:solidFill>
                </w14:textFill>
              </w:rPr>
              <w:t>90%（k=329）</w:t>
            </w:r>
          </w:p>
        </w:tc>
        <w:tc>
          <w:tcPr>
            <w:tcW w:w="614" w:type="pct"/>
            <w:vAlign w:val="center"/>
          </w:tcPr>
          <w:p w14:paraId="1989B582">
            <w:pPr>
              <w:pStyle w:val="109"/>
              <w:rPr>
                <w:color w:val="000000" w:themeColor="text1"/>
                <w14:textFill>
                  <w14:solidFill>
                    <w14:schemeClr w14:val="tx1"/>
                  </w14:solidFill>
                </w14:textFill>
              </w:rPr>
            </w:pPr>
            <w:r>
              <w:rPr>
                <w:color w:val="000000" w:themeColor="text1"/>
                <w14:textFill>
                  <w14:solidFill>
                    <w14:schemeClr w14:val="tx1"/>
                  </w14:solidFill>
                </w14:textFill>
              </w:rPr>
              <w:t>136</w:t>
            </w:r>
          </w:p>
        </w:tc>
        <w:tc>
          <w:tcPr>
            <w:tcW w:w="688" w:type="pct"/>
            <w:vAlign w:val="center"/>
          </w:tcPr>
          <w:p w14:paraId="5305014F">
            <w:pPr>
              <w:pStyle w:val="109"/>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531" w:type="pct"/>
            <w:vAlign w:val="center"/>
          </w:tcPr>
          <w:p w14:paraId="02101FAD">
            <w:pPr>
              <w:pStyle w:val="109"/>
              <w:rPr>
                <w:color w:val="000000" w:themeColor="text1"/>
                <w14:textFill>
                  <w14:solidFill>
                    <w14:schemeClr w14:val="tx1"/>
                  </w14:solidFill>
                </w14:textFill>
              </w:rPr>
            </w:pPr>
            <w:r>
              <w:rPr>
                <w:color w:val="000000" w:themeColor="text1"/>
                <w14:textFill>
                  <w14:solidFill>
                    <w14:schemeClr w14:val="tx1"/>
                  </w14:solidFill>
                </w14:textFill>
              </w:rPr>
              <w:t>85</w:t>
            </w:r>
          </w:p>
        </w:tc>
        <w:tc>
          <w:tcPr>
            <w:tcW w:w="443" w:type="pct"/>
            <w:vAlign w:val="center"/>
          </w:tcPr>
          <w:p w14:paraId="3F9BD982">
            <w:pPr>
              <w:pStyle w:val="109"/>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3E4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pct"/>
            <w:vAlign w:val="center"/>
          </w:tcPr>
          <w:p w14:paraId="29F3375F">
            <w:pPr>
              <w:pStyle w:val="109"/>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585" w:type="pct"/>
            <w:vAlign w:val="center"/>
          </w:tcPr>
          <w:p w14:paraId="729FF1F4">
            <w:pPr>
              <w:pStyle w:val="109"/>
              <w:rPr>
                <w:color w:val="000000" w:themeColor="text1"/>
                <w14:textFill>
                  <w14:solidFill>
                    <w14:schemeClr w14:val="tx1"/>
                  </w14:solidFill>
                </w14:textFill>
              </w:rPr>
            </w:pPr>
            <w:r>
              <w:rPr>
                <w:color w:val="000000" w:themeColor="text1"/>
                <w14:textFill>
                  <w14:solidFill>
                    <w14:schemeClr w14:val="tx1"/>
                  </w14:solidFill>
                </w14:textFill>
              </w:rPr>
              <w:t>年平均浓度</w:t>
            </w:r>
          </w:p>
        </w:tc>
        <w:tc>
          <w:tcPr>
            <w:tcW w:w="749" w:type="pct"/>
            <w:vAlign w:val="center"/>
          </w:tcPr>
          <w:p w14:paraId="7D12118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614" w:type="pct"/>
            <w:vAlign w:val="center"/>
          </w:tcPr>
          <w:p w14:paraId="39384E6D">
            <w:pPr>
              <w:pStyle w:val="10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688" w:type="pct"/>
            <w:vAlign w:val="center"/>
          </w:tcPr>
          <w:p w14:paraId="40257D5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531" w:type="pct"/>
            <w:vAlign w:val="center"/>
          </w:tcPr>
          <w:p w14:paraId="79467953">
            <w:pPr>
              <w:pStyle w:val="109"/>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0</w:t>
            </w:r>
          </w:p>
        </w:tc>
        <w:tc>
          <w:tcPr>
            <w:tcW w:w="443" w:type="pct"/>
            <w:vAlign w:val="center"/>
          </w:tcPr>
          <w:p w14:paraId="1FA9559F">
            <w:pPr>
              <w:pStyle w:val="109"/>
              <w:rPr>
                <w:color w:val="000000" w:themeColor="text1"/>
                <w14:textFill>
                  <w14:solidFill>
                    <w14:schemeClr w14:val="tx1"/>
                  </w14:solidFill>
                </w14:textFill>
              </w:rPr>
            </w:pPr>
            <w:r>
              <w:rPr>
                <w:color w:val="000000" w:themeColor="text1"/>
                <w14:textFill>
                  <w14:solidFill>
                    <w14:schemeClr w14:val="tx1"/>
                  </w14:solidFill>
                </w14:textFill>
              </w:rPr>
              <w:t>超标</w:t>
            </w:r>
          </w:p>
        </w:tc>
      </w:tr>
      <w:tr w14:paraId="083B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390" w:type="pct"/>
            <w:vAlign w:val="center"/>
          </w:tcPr>
          <w:p w14:paraId="31CE5328">
            <w:pPr>
              <w:pStyle w:val="109"/>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585" w:type="pct"/>
            <w:vAlign w:val="center"/>
          </w:tcPr>
          <w:p w14:paraId="5358EDB0">
            <w:pPr>
              <w:pStyle w:val="109"/>
              <w:rPr>
                <w:color w:val="000000" w:themeColor="text1"/>
                <w14:textFill>
                  <w14:solidFill>
                    <w14:schemeClr w14:val="tx1"/>
                  </w14:solidFill>
                </w14:textFill>
              </w:rPr>
            </w:pPr>
            <w:r>
              <w:rPr>
                <w:color w:val="000000" w:themeColor="text1"/>
                <w14:textFill>
                  <w14:solidFill>
                    <w14:schemeClr w14:val="tx1"/>
                  </w14:solidFill>
                </w14:textFill>
              </w:rPr>
              <w:t>年平均浓度</w:t>
            </w:r>
          </w:p>
        </w:tc>
        <w:tc>
          <w:tcPr>
            <w:tcW w:w="749" w:type="pct"/>
            <w:vAlign w:val="center"/>
          </w:tcPr>
          <w:p w14:paraId="15A34FB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614" w:type="pct"/>
            <w:vAlign w:val="center"/>
          </w:tcPr>
          <w:p w14:paraId="35359345">
            <w:pPr>
              <w:pStyle w:val="109"/>
              <w:rPr>
                <w:color w:val="000000" w:themeColor="text1"/>
                <w14:textFill>
                  <w14:solidFill>
                    <w14:schemeClr w14:val="tx1"/>
                  </w14:solidFill>
                </w14:textFill>
              </w:rPr>
            </w:pPr>
            <w:r>
              <w:rPr>
                <w:color w:val="000000" w:themeColor="text1"/>
                <w14:textFill>
                  <w14:solidFill>
                    <w14:schemeClr w14:val="tx1"/>
                  </w14:solidFill>
                </w14:textFill>
              </w:rPr>
              <w:t>72</w:t>
            </w:r>
          </w:p>
        </w:tc>
        <w:tc>
          <w:tcPr>
            <w:tcW w:w="688" w:type="pct"/>
            <w:vAlign w:val="center"/>
          </w:tcPr>
          <w:p w14:paraId="635F809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531" w:type="pct"/>
            <w:vAlign w:val="center"/>
          </w:tcPr>
          <w:p w14:paraId="61D5792C">
            <w:pPr>
              <w:pStyle w:val="109"/>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20</w:t>
            </w:r>
          </w:p>
        </w:tc>
        <w:tc>
          <w:tcPr>
            <w:tcW w:w="443" w:type="pct"/>
            <w:vAlign w:val="center"/>
          </w:tcPr>
          <w:p w14:paraId="55967608">
            <w:pPr>
              <w:pStyle w:val="109"/>
              <w:rPr>
                <w:color w:val="000000" w:themeColor="text1"/>
                <w14:textFill>
                  <w14:solidFill>
                    <w14:schemeClr w14:val="tx1"/>
                  </w14:solidFill>
                </w14:textFill>
              </w:rPr>
            </w:pPr>
            <w:r>
              <w:rPr>
                <w:color w:val="000000" w:themeColor="text1"/>
                <w14:textFill>
                  <w14:solidFill>
                    <w14:schemeClr w14:val="tx1"/>
                  </w14:solidFill>
                </w14:textFill>
              </w:rPr>
              <w:t>超标</w:t>
            </w:r>
          </w:p>
        </w:tc>
      </w:tr>
    </w:tbl>
    <w:p w14:paraId="5B180758">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按照《导则》要求，乌鲁木齐市超过《环境空气质量标准》（GB3095-2026）</w:t>
      </w:r>
      <w:r>
        <w:rPr>
          <w:rFonts w:hint="eastAsia"/>
          <w:color w:val="000000" w:themeColor="text1"/>
          <w:lang w:val="zh-CN" w:bidi="zh-CN"/>
          <w14:textFill>
            <w14:solidFill>
              <w14:schemeClr w14:val="tx1"/>
            </w14:solidFill>
          </w14:textFill>
        </w:rPr>
        <w:t>过渡阶段</w:t>
      </w:r>
      <w:r>
        <w:rPr>
          <w:color w:val="000000" w:themeColor="text1"/>
          <w:lang w:val="zh-CN" w:bidi="zh-CN"/>
          <w14:textFill>
            <w14:solidFill>
              <w14:schemeClr w14:val="tx1"/>
            </w14:solidFill>
          </w14:textFill>
        </w:rPr>
        <w:t>二级标准限值的污染物为PM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。因此判定乌鲁木齐市为环境空气质量不达标区。</w:t>
      </w:r>
    </w:p>
    <w:p w14:paraId="7C3C5865">
      <w:pPr>
        <w:ind w:firstLine="480"/>
        <w:rPr>
          <w:color w:val="000000" w:themeColor="text1"/>
          <w14:textFill>
            <w14:solidFill>
              <w14:schemeClr w14:val="tx1"/>
            </w14:solidFill>
          </w14:textFill>
        </w:rPr>
      </w:pPr>
      <w:r>
        <w:rPr>
          <w:color w:val="000000" w:themeColor="text1"/>
          <w:lang w:val="zh-CN" w:bidi="zh-CN"/>
          <w14:textFill>
            <w14:solidFill>
              <w14:schemeClr w14:val="tx1"/>
            </w14:solidFill>
          </w14:textFill>
        </w:rPr>
        <w:t>项目区环境空气质量PM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超标原因主要受项目区气候干燥、春秋两季风沙大造成PM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超标。</w:t>
      </w:r>
    </w:p>
    <w:p w14:paraId="69509845">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特征污染物现状监测</w:t>
      </w:r>
    </w:p>
    <w:p w14:paraId="53EE7FC2">
      <w:pPr>
        <w:ind w:firstLine="480"/>
        <w:outlineLvl w:val="4"/>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一、监测布点</w:t>
      </w:r>
    </w:p>
    <w:p w14:paraId="7FA81681">
      <w:pPr>
        <w:ind w:firstLine="480"/>
        <w:rPr>
          <w:color w:val="000000" w:themeColor="text1"/>
          <w14:textFill>
            <w14:solidFill>
              <w14:schemeClr w14:val="tx1"/>
            </w14:solidFill>
          </w14:textFill>
        </w:rPr>
      </w:pPr>
      <w:r>
        <w:rPr>
          <w:color w:val="000000" w:themeColor="text1"/>
          <w14:textFill>
            <w14:solidFill>
              <w14:schemeClr w14:val="tx1"/>
            </w14:solidFill>
          </w14:textFill>
        </w:rPr>
        <w:t>阜康市全年主导风向为</w:t>
      </w:r>
      <w:r>
        <w:rPr>
          <w:rFonts w:eastAsia="TimesNewRomanPSMT"/>
          <w:color w:val="000000" w:themeColor="text1"/>
          <w14:textFill>
            <w14:solidFill>
              <w14:schemeClr w14:val="tx1"/>
            </w14:solidFill>
          </w14:textFill>
        </w:rPr>
        <w:t>W</w:t>
      </w:r>
      <w:r>
        <w:rPr>
          <w:color w:val="000000" w:themeColor="text1"/>
          <w14:textFill>
            <w14:solidFill>
              <w14:schemeClr w14:val="tx1"/>
            </w14:solidFill>
          </w14:textFill>
        </w:rPr>
        <w:t>风，根据评价区常年主导风向，结合厂址周围环境特征及气象特点，本次评价在厂区下风向1000m处布设1个环境空气质量现状监测点位。监测点位具体位置见图4.4-1，各点与项目的相对位置、距离及功能见下表。</w:t>
      </w:r>
    </w:p>
    <w:p w14:paraId="6E745BAE">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环境空气质量现状监测点一览表</w:t>
      </w:r>
    </w:p>
    <w:tbl>
      <w:tblPr>
        <w:tblStyle w:val="76"/>
        <w:tblW w:w="504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10"/>
        <w:gridCol w:w="3550"/>
        <w:gridCol w:w="1416"/>
        <w:gridCol w:w="1844"/>
        <w:gridCol w:w="1824"/>
      </w:tblGrid>
      <w:tr w14:paraId="0ED28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477" w:type="pct"/>
            <w:vAlign w:val="center"/>
          </w:tcPr>
          <w:p w14:paraId="26D7A6D9">
            <w:pPr>
              <w:pStyle w:val="109"/>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1860" w:type="pct"/>
            <w:vAlign w:val="center"/>
          </w:tcPr>
          <w:p w14:paraId="3A28A58E">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监测点位</w:t>
            </w:r>
          </w:p>
        </w:tc>
        <w:tc>
          <w:tcPr>
            <w:tcW w:w="742" w:type="pct"/>
            <w:vAlign w:val="center"/>
          </w:tcPr>
          <w:p w14:paraId="44640071">
            <w:pPr>
              <w:pStyle w:val="109"/>
              <w:rPr>
                <w:color w:val="000000" w:themeColor="text1"/>
                <w14:textFill>
                  <w14:solidFill>
                    <w14:schemeClr w14:val="tx1"/>
                  </w14:solidFill>
                </w14:textFill>
              </w:rPr>
            </w:pPr>
            <w:r>
              <w:rPr>
                <w:color w:val="000000" w:themeColor="text1"/>
                <w14:textFill>
                  <w14:solidFill>
                    <w14:schemeClr w14:val="tx1"/>
                  </w14:solidFill>
                </w14:textFill>
              </w:rPr>
              <w:t>相对方位</w:t>
            </w:r>
          </w:p>
        </w:tc>
        <w:tc>
          <w:tcPr>
            <w:tcW w:w="966" w:type="pct"/>
            <w:vAlign w:val="center"/>
          </w:tcPr>
          <w:p w14:paraId="4B71D04F">
            <w:pPr>
              <w:pStyle w:val="109"/>
              <w:rPr>
                <w:color w:val="000000" w:themeColor="text1"/>
                <w14:textFill>
                  <w14:solidFill>
                    <w14:schemeClr w14:val="tx1"/>
                  </w14:solidFill>
                </w14:textFill>
              </w:rPr>
            </w:pPr>
            <w:r>
              <w:rPr>
                <w:color w:val="000000" w:themeColor="text1"/>
                <w14:textFill>
                  <w14:solidFill>
                    <w14:schemeClr w14:val="tx1"/>
                  </w14:solidFill>
                </w14:textFill>
              </w:rPr>
              <w:t>相对厂界距离(m)</w:t>
            </w:r>
          </w:p>
        </w:tc>
        <w:tc>
          <w:tcPr>
            <w:tcW w:w="955" w:type="pct"/>
            <w:vAlign w:val="center"/>
          </w:tcPr>
          <w:p w14:paraId="685137B2">
            <w:pPr>
              <w:pStyle w:val="109"/>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060D2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477" w:type="pct"/>
            <w:vAlign w:val="center"/>
          </w:tcPr>
          <w:p w14:paraId="3EC74C21">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860" w:type="pct"/>
            <w:vAlign w:val="center"/>
          </w:tcPr>
          <w:p w14:paraId="7EC0565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厂区东侧1000m</w:t>
            </w:r>
          </w:p>
          <w:p w14:paraId="33BE3FD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（E87°42′38.87108″，N44°8′24.93348″）</w:t>
            </w:r>
          </w:p>
        </w:tc>
        <w:tc>
          <w:tcPr>
            <w:tcW w:w="742" w:type="pct"/>
            <w:vAlign w:val="center"/>
          </w:tcPr>
          <w:p w14:paraId="24A335E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E</w:t>
            </w:r>
          </w:p>
        </w:tc>
        <w:tc>
          <w:tcPr>
            <w:tcW w:w="966" w:type="pct"/>
            <w:vAlign w:val="center"/>
          </w:tcPr>
          <w:p w14:paraId="2456C35E">
            <w:pPr>
              <w:pStyle w:val="109"/>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955" w:type="pct"/>
            <w:vAlign w:val="center"/>
          </w:tcPr>
          <w:p w14:paraId="2F91C3B1">
            <w:pPr>
              <w:pStyle w:val="109"/>
              <w:rPr>
                <w:color w:val="000000" w:themeColor="text1"/>
                <w14:textFill>
                  <w14:solidFill>
                    <w14:schemeClr w14:val="tx1"/>
                  </w14:solidFill>
                </w14:textFill>
              </w:rPr>
            </w:pPr>
            <w:r>
              <w:rPr>
                <w:color w:val="000000" w:themeColor="text1"/>
                <w14:textFill>
                  <w14:solidFill>
                    <w14:schemeClr w14:val="tx1"/>
                  </w14:solidFill>
                </w14:textFill>
              </w:rPr>
              <w:t>下风向背景值</w:t>
            </w:r>
          </w:p>
        </w:tc>
      </w:tr>
    </w:tbl>
    <w:p w14:paraId="49BC3508">
      <w:pPr>
        <w:ind w:firstLine="480"/>
        <w:outlineLvl w:val="4"/>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二、监测因子及频次</w:t>
      </w:r>
    </w:p>
    <w:p w14:paraId="71A97B17">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监测因子及频次一览表</w:t>
      </w:r>
    </w:p>
    <w:tbl>
      <w:tblPr>
        <w:tblStyle w:val="76"/>
        <w:tblW w:w="949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7"/>
        <w:gridCol w:w="4366"/>
      </w:tblGrid>
      <w:tr w14:paraId="5848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127" w:type="dxa"/>
            <w:noWrap/>
            <w:vAlign w:val="center"/>
          </w:tcPr>
          <w:p w14:paraId="0DE41772">
            <w:pPr>
              <w:pStyle w:val="109"/>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4366" w:type="dxa"/>
            <w:noWrap/>
            <w:vAlign w:val="center"/>
          </w:tcPr>
          <w:p w14:paraId="02642E16">
            <w:pPr>
              <w:pStyle w:val="109"/>
              <w:rPr>
                <w:color w:val="000000" w:themeColor="text1"/>
                <w14:textFill>
                  <w14:solidFill>
                    <w14:schemeClr w14:val="tx1"/>
                  </w14:solidFill>
                </w14:textFill>
              </w:rPr>
            </w:pPr>
            <w:r>
              <w:rPr>
                <w:color w:val="000000" w:themeColor="text1"/>
                <w14:textFill>
                  <w14:solidFill>
                    <w14:schemeClr w14:val="tx1"/>
                  </w14:solidFill>
                </w14:textFill>
              </w:rPr>
              <w:t>监测内容</w:t>
            </w:r>
          </w:p>
        </w:tc>
      </w:tr>
      <w:tr w14:paraId="35EB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127" w:type="dxa"/>
            <w:noWrap/>
            <w:vAlign w:val="center"/>
          </w:tcPr>
          <w:p w14:paraId="75785005">
            <w:pPr>
              <w:pStyle w:val="109"/>
              <w:rPr>
                <w:color w:val="000000" w:themeColor="text1"/>
                <w14:textFill>
                  <w14:solidFill>
                    <w14:schemeClr w14:val="tx1"/>
                  </w14:solidFill>
                </w14:textFill>
              </w:rPr>
            </w:pPr>
            <w:r>
              <w:rPr>
                <w:color w:val="000000" w:themeColor="text1"/>
                <w14:textFill>
                  <w14:solidFill>
                    <w14:schemeClr w14:val="tx1"/>
                  </w14:solidFill>
                </w14:textFill>
              </w:rPr>
              <w:t>氨、硫化氢、氯化氢、氟化物、非甲烷总烃</w:t>
            </w:r>
          </w:p>
        </w:tc>
        <w:tc>
          <w:tcPr>
            <w:tcW w:w="4366" w:type="dxa"/>
            <w:noWrap/>
            <w:vAlign w:val="center"/>
          </w:tcPr>
          <w:p w14:paraId="23A2C1A2">
            <w:pPr>
              <w:pStyle w:val="109"/>
              <w:rPr>
                <w:color w:val="000000" w:themeColor="text1"/>
                <w14:textFill>
                  <w14:solidFill>
                    <w14:schemeClr w14:val="tx1"/>
                  </w14:solidFill>
                </w14:textFill>
              </w:rPr>
            </w:pPr>
            <w:r>
              <w:rPr>
                <w:color w:val="000000" w:themeColor="text1"/>
                <w14:textFill>
                  <w14:solidFill>
                    <w14:schemeClr w14:val="tx1"/>
                  </w14:solidFill>
                </w14:textFill>
              </w:rPr>
              <w:t>监测1h平均值，每天监测4次，连续监测7天</w:t>
            </w:r>
          </w:p>
        </w:tc>
      </w:tr>
      <w:tr w14:paraId="3FBC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127" w:type="dxa"/>
            <w:noWrap/>
            <w:vAlign w:val="center"/>
          </w:tcPr>
          <w:p w14:paraId="1C2C06AA">
            <w:pPr>
              <w:pStyle w:val="109"/>
              <w:rPr>
                <w:color w:val="000000" w:themeColor="text1"/>
                <w14:textFill>
                  <w14:solidFill>
                    <w14:schemeClr w14:val="tx1"/>
                  </w14:solidFill>
                </w14:textFill>
              </w:rPr>
            </w:pPr>
            <w:r>
              <w:rPr>
                <w:color w:val="000000" w:themeColor="text1"/>
                <w14:textFill>
                  <w14:solidFill>
                    <w14:schemeClr w14:val="tx1"/>
                  </w14:solidFill>
                </w14:textFill>
              </w:rPr>
              <w:t>二噁英</w:t>
            </w:r>
          </w:p>
        </w:tc>
        <w:tc>
          <w:tcPr>
            <w:tcW w:w="4366" w:type="dxa"/>
            <w:vMerge w:val="restart"/>
            <w:noWrap/>
            <w:vAlign w:val="center"/>
          </w:tcPr>
          <w:p w14:paraId="600876A8">
            <w:pPr>
              <w:pStyle w:val="109"/>
              <w:rPr>
                <w:color w:val="000000" w:themeColor="text1"/>
                <w14:textFill>
                  <w14:solidFill>
                    <w14:schemeClr w14:val="tx1"/>
                  </w14:solidFill>
                </w14:textFill>
              </w:rPr>
            </w:pPr>
            <w:r>
              <w:rPr>
                <w:color w:val="000000" w:themeColor="text1"/>
                <w14:textFill>
                  <w14:solidFill>
                    <w14:schemeClr w14:val="tx1"/>
                  </w14:solidFill>
                </w14:textFill>
              </w:rPr>
              <w:t>监测日均值，连续监测7天</w:t>
            </w:r>
          </w:p>
        </w:tc>
      </w:tr>
      <w:tr w14:paraId="034F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127" w:type="dxa"/>
            <w:noWrap/>
            <w:vAlign w:val="center"/>
          </w:tcPr>
          <w:p w14:paraId="4E2EDEF7">
            <w:pPr>
              <w:pStyle w:val="109"/>
              <w:rPr>
                <w:color w:val="000000" w:themeColor="text1"/>
                <w14:textFill>
                  <w14:solidFill>
                    <w14:schemeClr w14:val="tx1"/>
                  </w14:solidFill>
                </w14:textFill>
              </w:rPr>
            </w:pPr>
            <w:r>
              <w:rPr>
                <w:color w:val="000000" w:themeColor="text1"/>
                <w14:textFill>
                  <w14:solidFill>
                    <w14:schemeClr w14:val="tx1"/>
                  </w14:solidFill>
                </w14:textFill>
              </w:rPr>
              <w:t>TSP、铅、镉、六价铬、砷、镍、汞、锰及其化合物</w:t>
            </w:r>
          </w:p>
        </w:tc>
        <w:tc>
          <w:tcPr>
            <w:tcW w:w="4366" w:type="dxa"/>
            <w:vMerge w:val="continue"/>
            <w:vAlign w:val="center"/>
          </w:tcPr>
          <w:p w14:paraId="772C8DFB">
            <w:pPr>
              <w:pStyle w:val="109"/>
              <w:rPr>
                <w:color w:val="000000" w:themeColor="text1"/>
                <w14:textFill>
                  <w14:solidFill>
                    <w14:schemeClr w14:val="tx1"/>
                  </w14:solidFill>
                </w14:textFill>
              </w:rPr>
            </w:pPr>
          </w:p>
        </w:tc>
      </w:tr>
      <w:tr w14:paraId="4776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127" w:type="dxa"/>
            <w:noWrap/>
            <w:vAlign w:val="center"/>
          </w:tcPr>
          <w:p w14:paraId="29142363">
            <w:pPr>
              <w:pStyle w:val="109"/>
              <w:rPr>
                <w:color w:val="000000" w:themeColor="text1"/>
                <w14:textFill>
                  <w14:solidFill>
                    <w14:schemeClr w14:val="tx1"/>
                  </w14:solidFill>
                </w14:textFill>
              </w:rPr>
            </w:pPr>
            <w:r>
              <w:rPr>
                <w:color w:val="000000" w:themeColor="text1"/>
                <w14:textFill>
                  <w14:solidFill>
                    <w14:schemeClr w14:val="tx1"/>
                  </w14:solidFill>
                </w14:textFill>
              </w:rPr>
              <w:t>臭气浓度</w:t>
            </w:r>
          </w:p>
        </w:tc>
        <w:tc>
          <w:tcPr>
            <w:tcW w:w="4366" w:type="dxa"/>
            <w:vAlign w:val="center"/>
          </w:tcPr>
          <w:p w14:paraId="049E4983">
            <w:pPr>
              <w:pStyle w:val="109"/>
              <w:rPr>
                <w:color w:val="000000" w:themeColor="text1"/>
                <w14:textFill>
                  <w14:solidFill>
                    <w14:schemeClr w14:val="tx1"/>
                  </w14:solidFill>
                </w14:textFill>
              </w:rPr>
            </w:pPr>
            <w:r>
              <w:rPr>
                <w:color w:val="000000" w:themeColor="text1"/>
                <w14:textFill>
                  <w14:solidFill>
                    <w14:schemeClr w14:val="tx1"/>
                  </w14:solidFill>
                </w14:textFill>
              </w:rPr>
              <w:t>一次值，连续监测7天</w:t>
            </w:r>
          </w:p>
        </w:tc>
      </w:tr>
      <w:tr w14:paraId="4642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493" w:type="dxa"/>
            <w:gridSpan w:val="2"/>
            <w:noWrap/>
            <w:vAlign w:val="center"/>
          </w:tcPr>
          <w:p w14:paraId="37B217AA">
            <w:pPr>
              <w:pStyle w:val="109"/>
              <w:rPr>
                <w:color w:val="000000" w:themeColor="text1"/>
                <w14:textFill>
                  <w14:solidFill>
                    <w14:schemeClr w14:val="tx1"/>
                  </w14:solidFill>
                </w14:textFill>
              </w:rPr>
            </w:pPr>
            <w:r>
              <w:rPr>
                <w:color w:val="000000" w:themeColor="text1"/>
                <w14:textFill>
                  <w14:solidFill>
                    <w14:schemeClr w14:val="tx1"/>
                  </w14:solidFill>
                </w14:textFill>
              </w:rPr>
              <w:t>同步监测各监测时间的地面风向、风速、气温、气压等气象资料。</w:t>
            </w:r>
          </w:p>
        </w:tc>
      </w:tr>
    </w:tbl>
    <w:p w14:paraId="1D1E19FC">
      <w:pPr>
        <w:ind w:firstLine="480"/>
        <w:rPr>
          <w:color w:val="000000" w:themeColor="text1"/>
          <w14:textFill>
            <w14:solidFill>
              <w14:schemeClr w14:val="tx1"/>
            </w14:solidFill>
          </w14:textFill>
        </w:rPr>
      </w:pPr>
    </w:p>
    <w:p w14:paraId="67FC6601">
      <w:pPr>
        <w:ind w:firstLine="480"/>
        <w:outlineLvl w:val="4"/>
        <w:rPr>
          <w:rFonts w:eastAsia="黑体"/>
          <w:color w:val="000000" w:themeColor="text1"/>
          <w14:textFill>
            <w14:solidFill>
              <w14:schemeClr w14:val="tx1"/>
            </w14:solidFill>
          </w14:textFill>
        </w:rPr>
        <w:sectPr>
          <w:headerReference r:id="rId18" w:type="default"/>
          <w:type w:val="nextColumn"/>
          <w:pgSz w:w="11906" w:h="16838"/>
          <w:pgMar w:top="1418" w:right="1247" w:bottom="1418" w:left="1247" w:header="964" w:footer="964" w:gutter="0"/>
          <w:cols w:space="720" w:num="1"/>
          <w:docGrid w:linePitch="312" w:charSpace="0"/>
        </w:sectPr>
      </w:pPr>
    </w:p>
    <w:p w14:paraId="77F93C80">
      <w:pPr>
        <w:ind w:firstLine="480"/>
        <w:outlineLvl w:val="4"/>
        <w:rPr>
          <w:rFonts w:eastAsia="黑体"/>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p>
    <w:p w14:paraId="22B93D42">
      <w:pPr>
        <w:ind w:firstLine="480"/>
        <w:outlineLvl w:val="4"/>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三、监测结果</w:t>
      </w:r>
    </w:p>
    <w:p w14:paraId="376FDB21">
      <w:pPr>
        <w:ind w:firstLine="480"/>
        <w:rPr>
          <w:color w:val="000000" w:themeColor="text1"/>
          <w14:textFill>
            <w14:solidFill>
              <w14:schemeClr w14:val="tx1"/>
            </w14:solidFill>
          </w14:textFill>
        </w:rPr>
      </w:pPr>
      <w:r>
        <w:rPr>
          <w:color w:val="000000" w:themeColor="text1"/>
          <w14:textFill>
            <w14:solidFill>
              <w14:schemeClr w14:val="tx1"/>
            </w14:solidFill>
          </w14:textFill>
        </w:rPr>
        <w:t>监测期间气象条件见下表，监测数据见</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表。</w:t>
      </w:r>
    </w:p>
    <w:p w14:paraId="593645C5">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现状监测期间同步气象资料一览表</w:t>
      </w:r>
    </w:p>
    <w:tbl>
      <w:tblPr>
        <w:tblStyle w:val="76"/>
        <w:tblW w:w="9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6"/>
        <w:gridCol w:w="1312"/>
        <w:gridCol w:w="1312"/>
        <w:gridCol w:w="1312"/>
        <w:gridCol w:w="1312"/>
        <w:gridCol w:w="1315"/>
      </w:tblGrid>
      <w:tr w14:paraId="60CF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76" w:type="dxa"/>
            <w:vMerge w:val="restart"/>
            <w:vAlign w:val="center"/>
          </w:tcPr>
          <w:p w14:paraId="6927A9A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采样</w:t>
            </w:r>
            <w:r>
              <w:rPr>
                <w:color w:val="000000" w:themeColor="text1"/>
                <w14:textFill>
                  <w14:solidFill>
                    <w14:schemeClr w14:val="tx1"/>
                  </w14:solidFill>
                </w14:textFill>
              </w:rPr>
              <w:t>日期</w:t>
            </w:r>
          </w:p>
        </w:tc>
        <w:tc>
          <w:tcPr>
            <w:tcW w:w="6563" w:type="dxa"/>
            <w:gridSpan w:val="5"/>
            <w:vAlign w:val="center"/>
          </w:tcPr>
          <w:p w14:paraId="31A34D0C">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r>
      <w:tr w14:paraId="15E1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76" w:type="dxa"/>
            <w:vMerge w:val="continue"/>
            <w:vAlign w:val="center"/>
          </w:tcPr>
          <w:p w14:paraId="150A7C82">
            <w:pPr>
              <w:pStyle w:val="109"/>
              <w:rPr>
                <w:color w:val="000000" w:themeColor="text1"/>
                <w14:textFill>
                  <w14:solidFill>
                    <w14:schemeClr w14:val="tx1"/>
                  </w14:solidFill>
                </w14:textFill>
              </w:rPr>
            </w:pPr>
          </w:p>
        </w:tc>
        <w:tc>
          <w:tcPr>
            <w:tcW w:w="1312" w:type="dxa"/>
            <w:vAlign w:val="center"/>
          </w:tcPr>
          <w:p w14:paraId="4E5746C4">
            <w:pPr>
              <w:pStyle w:val="109"/>
              <w:rPr>
                <w:color w:val="000000" w:themeColor="text1"/>
                <w14:textFill>
                  <w14:solidFill>
                    <w14:schemeClr w14:val="tx1"/>
                  </w14:solidFill>
                </w14:textFill>
              </w:rPr>
            </w:pPr>
            <w:r>
              <w:rPr>
                <w:color w:val="000000" w:themeColor="text1"/>
                <w14:textFill>
                  <w14:solidFill>
                    <w14:schemeClr w14:val="tx1"/>
                  </w14:solidFill>
                </w14:textFill>
              </w:rPr>
              <w:t>气温℃</w:t>
            </w:r>
          </w:p>
        </w:tc>
        <w:tc>
          <w:tcPr>
            <w:tcW w:w="1312" w:type="dxa"/>
            <w:vAlign w:val="center"/>
          </w:tcPr>
          <w:p w14:paraId="0542A83F">
            <w:pPr>
              <w:pStyle w:val="109"/>
              <w:rPr>
                <w:color w:val="000000" w:themeColor="text1"/>
                <w14:textFill>
                  <w14:solidFill>
                    <w14:schemeClr w14:val="tx1"/>
                  </w14:solidFill>
                </w14:textFill>
              </w:rPr>
            </w:pPr>
            <w:r>
              <w:rPr>
                <w:color w:val="000000" w:themeColor="text1"/>
                <w14:textFill>
                  <w14:solidFill>
                    <w14:schemeClr w14:val="tx1"/>
                  </w14:solidFill>
                </w14:textFill>
              </w:rPr>
              <w:t>气压KPa</w:t>
            </w:r>
          </w:p>
        </w:tc>
        <w:tc>
          <w:tcPr>
            <w:tcW w:w="1312" w:type="dxa"/>
            <w:vAlign w:val="center"/>
          </w:tcPr>
          <w:p w14:paraId="693D2099">
            <w:pPr>
              <w:pStyle w:val="109"/>
              <w:rPr>
                <w:color w:val="000000" w:themeColor="text1"/>
                <w14:textFill>
                  <w14:solidFill>
                    <w14:schemeClr w14:val="tx1"/>
                  </w14:solidFill>
                </w14:textFill>
              </w:rPr>
            </w:pPr>
            <w:r>
              <w:rPr>
                <w:color w:val="000000" w:themeColor="text1"/>
                <w14:textFill>
                  <w14:solidFill>
                    <w14:schemeClr w14:val="tx1"/>
                  </w14:solidFill>
                </w14:textFill>
              </w:rPr>
              <w:t>风速m/s</w:t>
            </w:r>
          </w:p>
        </w:tc>
        <w:tc>
          <w:tcPr>
            <w:tcW w:w="1312" w:type="dxa"/>
            <w:vAlign w:val="center"/>
          </w:tcPr>
          <w:p w14:paraId="691871C2">
            <w:pPr>
              <w:pStyle w:val="109"/>
              <w:rPr>
                <w:color w:val="000000" w:themeColor="text1"/>
                <w14:textFill>
                  <w14:solidFill>
                    <w14:schemeClr w14:val="tx1"/>
                  </w14:solidFill>
                </w14:textFill>
              </w:rPr>
            </w:pPr>
            <w:r>
              <w:rPr>
                <w:color w:val="000000" w:themeColor="text1"/>
                <w14:textFill>
                  <w14:solidFill>
                    <w14:schemeClr w14:val="tx1"/>
                  </w14:solidFill>
                </w14:textFill>
              </w:rPr>
              <w:t>风向</w:t>
            </w:r>
          </w:p>
        </w:tc>
        <w:tc>
          <w:tcPr>
            <w:tcW w:w="1315" w:type="dxa"/>
            <w:vAlign w:val="center"/>
          </w:tcPr>
          <w:p w14:paraId="69D11A0F">
            <w:pPr>
              <w:pStyle w:val="109"/>
              <w:rPr>
                <w:color w:val="000000" w:themeColor="text1"/>
                <w14:textFill>
                  <w14:solidFill>
                    <w14:schemeClr w14:val="tx1"/>
                  </w14:solidFill>
                </w14:textFill>
              </w:rPr>
            </w:pPr>
            <w:r>
              <w:rPr>
                <w:color w:val="000000" w:themeColor="text1"/>
                <w14:textFill>
                  <w14:solidFill>
                    <w14:schemeClr w14:val="tx1"/>
                  </w14:solidFill>
                </w14:textFill>
              </w:rPr>
              <w:t>天气状况</w:t>
            </w:r>
          </w:p>
        </w:tc>
      </w:tr>
      <w:tr w14:paraId="5F91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76" w:type="dxa"/>
            <w:vAlign w:val="center"/>
          </w:tcPr>
          <w:p w14:paraId="099ADCB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1月4日16:19-次日12:09</w:t>
            </w:r>
          </w:p>
        </w:tc>
        <w:tc>
          <w:tcPr>
            <w:tcW w:w="1312" w:type="dxa"/>
            <w:vAlign w:val="center"/>
          </w:tcPr>
          <w:p w14:paraId="15114AC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-13.4</w:t>
            </w:r>
          </w:p>
        </w:tc>
        <w:tc>
          <w:tcPr>
            <w:tcW w:w="1312" w:type="dxa"/>
            <w:vAlign w:val="center"/>
          </w:tcPr>
          <w:p w14:paraId="536F151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98.1</w:t>
            </w:r>
          </w:p>
        </w:tc>
        <w:tc>
          <w:tcPr>
            <w:tcW w:w="1312" w:type="dxa"/>
            <w:vAlign w:val="center"/>
          </w:tcPr>
          <w:p w14:paraId="6788771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1312" w:type="dxa"/>
            <w:vAlign w:val="center"/>
          </w:tcPr>
          <w:p w14:paraId="794E34A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315" w:type="dxa"/>
            <w:vAlign w:val="center"/>
          </w:tcPr>
          <w:p w14:paraId="4846CF7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晴</w:t>
            </w:r>
          </w:p>
        </w:tc>
      </w:tr>
      <w:tr w14:paraId="5796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76" w:type="dxa"/>
            <w:vAlign w:val="center"/>
          </w:tcPr>
          <w:p w14:paraId="5FA214D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1月5日13:18-次日09:18</w:t>
            </w:r>
          </w:p>
        </w:tc>
        <w:tc>
          <w:tcPr>
            <w:tcW w:w="1312" w:type="dxa"/>
            <w:vAlign w:val="center"/>
          </w:tcPr>
          <w:p w14:paraId="6806C9A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-12.8</w:t>
            </w:r>
          </w:p>
        </w:tc>
        <w:tc>
          <w:tcPr>
            <w:tcW w:w="1312" w:type="dxa"/>
            <w:vAlign w:val="center"/>
          </w:tcPr>
          <w:p w14:paraId="67722EE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98.2</w:t>
            </w:r>
          </w:p>
        </w:tc>
        <w:tc>
          <w:tcPr>
            <w:tcW w:w="1312" w:type="dxa"/>
            <w:vAlign w:val="center"/>
          </w:tcPr>
          <w:p w14:paraId="227E591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312" w:type="dxa"/>
            <w:vAlign w:val="center"/>
          </w:tcPr>
          <w:p w14:paraId="642BB26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315" w:type="dxa"/>
            <w:vAlign w:val="center"/>
          </w:tcPr>
          <w:p w14:paraId="7B67C8F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晴</w:t>
            </w:r>
          </w:p>
        </w:tc>
      </w:tr>
      <w:tr w14:paraId="191B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76" w:type="dxa"/>
            <w:vAlign w:val="center"/>
          </w:tcPr>
          <w:p w14:paraId="4E26FB8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1月6日12:42-次日08:42</w:t>
            </w:r>
          </w:p>
        </w:tc>
        <w:tc>
          <w:tcPr>
            <w:tcW w:w="1312" w:type="dxa"/>
            <w:vAlign w:val="center"/>
          </w:tcPr>
          <w:p w14:paraId="488B994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-13.6</w:t>
            </w:r>
          </w:p>
        </w:tc>
        <w:tc>
          <w:tcPr>
            <w:tcW w:w="1312" w:type="dxa"/>
            <w:vAlign w:val="center"/>
          </w:tcPr>
          <w:p w14:paraId="2E83CD4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98.4</w:t>
            </w:r>
          </w:p>
        </w:tc>
        <w:tc>
          <w:tcPr>
            <w:tcW w:w="1312" w:type="dxa"/>
            <w:vAlign w:val="center"/>
          </w:tcPr>
          <w:p w14:paraId="1165DA4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1312" w:type="dxa"/>
            <w:vAlign w:val="center"/>
          </w:tcPr>
          <w:p w14:paraId="0B73C15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315" w:type="dxa"/>
            <w:vAlign w:val="center"/>
          </w:tcPr>
          <w:p w14:paraId="72CC0D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晴</w:t>
            </w:r>
          </w:p>
        </w:tc>
      </w:tr>
      <w:tr w14:paraId="570E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876" w:type="dxa"/>
            <w:vAlign w:val="center"/>
          </w:tcPr>
          <w:p w14:paraId="558629B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1月7日11:58-次日07:58</w:t>
            </w:r>
          </w:p>
        </w:tc>
        <w:tc>
          <w:tcPr>
            <w:tcW w:w="1312" w:type="dxa"/>
            <w:vAlign w:val="center"/>
          </w:tcPr>
          <w:p w14:paraId="16FA4A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-13.3</w:t>
            </w:r>
          </w:p>
        </w:tc>
        <w:tc>
          <w:tcPr>
            <w:tcW w:w="1312" w:type="dxa"/>
            <w:vAlign w:val="center"/>
          </w:tcPr>
          <w:p w14:paraId="1B189DC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98.4</w:t>
            </w:r>
          </w:p>
        </w:tc>
        <w:tc>
          <w:tcPr>
            <w:tcW w:w="1312" w:type="dxa"/>
            <w:vAlign w:val="center"/>
          </w:tcPr>
          <w:p w14:paraId="1A6A43B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3.9</w:t>
            </w:r>
          </w:p>
        </w:tc>
        <w:tc>
          <w:tcPr>
            <w:tcW w:w="1312" w:type="dxa"/>
            <w:vAlign w:val="center"/>
          </w:tcPr>
          <w:p w14:paraId="79B4D4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1315" w:type="dxa"/>
            <w:vAlign w:val="center"/>
          </w:tcPr>
          <w:p w14:paraId="2959048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晴</w:t>
            </w:r>
          </w:p>
        </w:tc>
      </w:tr>
      <w:tr w14:paraId="49D0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76" w:type="dxa"/>
            <w:vAlign w:val="center"/>
          </w:tcPr>
          <w:p w14:paraId="6362D4A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1月8日11:46-次日07:46</w:t>
            </w:r>
          </w:p>
        </w:tc>
        <w:tc>
          <w:tcPr>
            <w:tcW w:w="1312" w:type="dxa"/>
            <w:vAlign w:val="center"/>
          </w:tcPr>
          <w:p w14:paraId="6184F87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-14.0</w:t>
            </w:r>
          </w:p>
        </w:tc>
        <w:tc>
          <w:tcPr>
            <w:tcW w:w="1312" w:type="dxa"/>
            <w:vAlign w:val="center"/>
          </w:tcPr>
          <w:p w14:paraId="453BBE7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98.4</w:t>
            </w:r>
          </w:p>
        </w:tc>
        <w:tc>
          <w:tcPr>
            <w:tcW w:w="1312" w:type="dxa"/>
            <w:vAlign w:val="center"/>
          </w:tcPr>
          <w:p w14:paraId="2007F7D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1312" w:type="dxa"/>
            <w:vAlign w:val="center"/>
          </w:tcPr>
          <w:p w14:paraId="6CBC981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1315" w:type="dxa"/>
            <w:vAlign w:val="center"/>
          </w:tcPr>
          <w:p w14:paraId="1A22F2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多云</w:t>
            </w:r>
          </w:p>
        </w:tc>
      </w:tr>
      <w:tr w14:paraId="3519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76" w:type="dxa"/>
            <w:vAlign w:val="center"/>
          </w:tcPr>
          <w:p w14:paraId="5E9381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1月9日12:19-次日08:19</w:t>
            </w:r>
          </w:p>
        </w:tc>
        <w:tc>
          <w:tcPr>
            <w:tcW w:w="1312" w:type="dxa"/>
            <w:vAlign w:val="center"/>
          </w:tcPr>
          <w:p w14:paraId="5BEB218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-14.1</w:t>
            </w:r>
          </w:p>
        </w:tc>
        <w:tc>
          <w:tcPr>
            <w:tcW w:w="1312" w:type="dxa"/>
            <w:vAlign w:val="center"/>
          </w:tcPr>
          <w:p w14:paraId="6671409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98.3</w:t>
            </w:r>
          </w:p>
        </w:tc>
        <w:tc>
          <w:tcPr>
            <w:tcW w:w="1312" w:type="dxa"/>
            <w:vAlign w:val="center"/>
          </w:tcPr>
          <w:p w14:paraId="21C865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1312" w:type="dxa"/>
            <w:vAlign w:val="center"/>
          </w:tcPr>
          <w:p w14:paraId="1FFD28B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1315" w:type="dxa"/>
            <w:vAlign w:val="center"/>
          </w:tcPr>
          <w:p w14:paraId="4E0F1EB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多云</w:t>
            </w:r>
          </w:p>
        </w:tc>
      </w:tr>
      <w:tr w14:paraId="71FA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76" w:type="dxa"/>
            <w:vAlign w:val="center"/>
          </w:tcPr>
          <w:p w14:paraId="2004858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1月10日12:29-次日08:29</w:t>
            </w:r>
          </w:p>
        </w:tc>
        <w:tc>
          <w:tcPr>
            <w:tcW w:w="1312" w:type="dxa"/>
            <w:vAlign w:val="center"/>
          </w:tcPr>
          <w:p w14:paraId="6883F7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-14.3</w:t>
            </w:r>
          </w:p>
        </w:tc>
        <w:tc>
          <w:tcPr>
            <w:tcW w:w="1312" w:type="dxa"/>
            <w:vAlign w:val="center"/>
          </w:tcPr>
          <w:p w14:paraId="29CAC4B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98.3</w:t>
            </w:r>
          </w:p>
        </w:tc>
        <w:tc>
          <w:tcPr>
            <w:tcW w:w="1312" w:type="dxa"/>
            <w:vAlign w:val="center"/>
          </w:tcPr>
          <w:p w14:paraId="62E9923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312" w:type="dxa"/>
            <w:vAlign w:val="center"/>
          </w:tcPr>
          <w:p w14:paraId="359B643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315" w:type="dxa"/>
            <w:vAlign w:val="center"/>
          </w:tcPr>
          <w:p w14:paraId="2560146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阴</w:t>
            </w:r>
          </w:p>
        </w:tc>
      </w:tr>
    </w:tbl>
    <w:p w14:paraId="5A39F9C4">
      <w:pPr>
        <w:pStyle w:val="343"/>
        <w:ind w:firstLine="0" w:firstLineChars="0"/>
        <w:jc w:val="center"/>
        <w:rPr>
          <w:rFonts w:ascii="Times New Roman" w:hAnsi="Times New Roman" w:eastAsia="黑体" w:cs="Times New Roman"/>
          <w:color w:val="000000" w:themeColor="text1"/>
          <w:szCs w:val="24"/>
          <w14:textFill>
            <w14:solidFill>
              <w14:schemeClr w14:val="tx1"/>
            </w14:solidFill>
          </w14:textFill>
        </w:rPr>
      </w:pPr>
    </w:p>
    <w:p w14:paraId="7D2FB53B">
      <w:pPr>
        <w:pStyle w:val="117"/>
        <w:rPr>
          <w:rFonts w:hint="eastAsia"/>
          <w:color w:val="000000" w:themeColor="text1"/>
          <w:vertAlign w:val="superscript"/>
          <w14:textFill>
            <w14:solidFill>
              <w14:schemeClr w14:val="tx1"/>
            </w14:solidFill>
          </w14:textFill>
        </w:rPr>
      </w:pPr>
      <w:r>
        <w:rPr>
          <w:color w:val="000000" w:themeColor="text1"/>
          <w14:textFill>
            <w14:solidFill>
              <w14:schemeClr w14:val="tx1"/>
            </w14:solidFill>
          </w14:textFill>
        </w:rPr>
        <w:t>环境空气检测结果表    单位：mg/m³</w:t>
      </w:r>
    </w:p>
    <w:tbl>
      <w:tblPr>
        <w:tblStyle w:val="76"/>
        <w:tblW w:w="9462" w:type="dxa"/>
        <w:tblInd w:w="0" w:type="dxa"/>
        <w:tblLayout w:type="autofit"/>
        <w:tblCellMar>
          <w:top w:w="0" w:type="dxa"/>
          <w:left w:w="108" w:type="dxa"/>
          <w:bottom w:w="0" w:type="dxa"/>
          <w:right w:w="108" w:type="dxa"/>
        </w:tblCellMar>
      </w:tblPr>
      <w:tblGrid>
        <w:gridCol w:w="2684"/>
        <w:gridCol w:w="2551"/>
        <w:gridCol w:w="1444"/>
        <w:gridCol w:w="2783"/>
      </w:tblGrid>
      <w:tr w14:paraId="6B8F5460">
        <w:tblPrEx>
          <w:tblCellMar>
            <w:top w:w="0" w:type="dxa"/>
            <w:left w:w="108" w:type="dxa"/>
            <w:bottom w:w="0" w:type="dxa"/>
            <w:right w:w="108" w:type="dxa"/>
          </w:tblCellMar>
        </w:tblPrEx>
        <w:tc>
          <w:tcPr>
            <w:tcW w:w="9462" w:type="dxa"/>
            <w:gridSpan w:val="4"/>
            <w:tcBorders>
              <w:top w:val="single" w:color="auto" w:sz="8" w:space="0"/>
              <w:left w:val="single" w:color="auto" w:sz="8" w:space="0"/>
              <w:bottom w:val="single" w:color="auto" w:sz="8" w:space="0"/>
              <w:right w:val="single" w:color="000000" w:sz="8" w:space="0"/>
            </w:tcBorders>
            <w:vAlign w:val="center"/>
          </w:tcPr>
          <w:p w14:paraId="7BFB1CDD">
            <w:pPr>
              <w:pStyle w:val="109"/>
              <w:rPr>
                <w:color w:val="000000" w:themeColor="text1"/>
                <w14:textFill>
                  <w14:solidFill>
                    <w14:schemeClr w14:val="tx1"/>
                  </w14:solidFill>
                </w14:textFill>
              </w:rPr>
            </w:pPr>
            <w:r>
              <w:rPr>
                <w:color w:val="000000" w:themeColor="text1"/>
                <w14:textFill>
                  <w14:solidFill>
                    <w14:schemeClr w14:val="tx1"/>
                  </w14:solidFill>
                </w14:textFill>
              </w:rPr>
              <w:t>总悬浮颗粒物</w:t>
            </w:r>
          </w:p>
        </w:tc>
      </w:tr>
      <w:tr w14:paraId="44D4FCA5">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74A4DE15">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73E8CB8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2026年1月14日</w:t>
            </w:r>
          </w:p>
        </w:tc>
      </w:tr>
      <w:tr w14:paraId="278919B5">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39ED107F">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569EA7B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1F94C73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29AB3125">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6A36A859">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51ABF03F">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C2C8344">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62B4B47F">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497D6273">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总悬浮颗粒物(μg/m³)</w:t>
            </w:r>
          </w:p>
        </w:tc>
      </w:tr>
      <w:tr w14:paraId="679C1839">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7465ADF6">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7BCFB5D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6A7F121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4DE53E9D">
            <w:pPr>
              <w:pStyle w:val="109"/>
              <w:rPr>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6E9FF68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4-5</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09C1B605">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770A5F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236</w:t>
            </w:r>
          </w:p>
        </w:tc>
      </w:tr>
      <w:tr w14:paraId="2E34533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A5A2995">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1FFA220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5-6</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59F84BC5">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257FAD9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244</w:t>
            </w:r>
          </w:p>
        </w:tc>
      </w:tr>
      <w:tr w14:paraId="4B7A5FC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868AC56">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52A82CC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6-7</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18CB4183">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89D094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225</w:t>
            </w:r>
          </w:p>
        </w:tc>
      </w:tr>
      <w:tr w14:paraId="21CA2BC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0B86354">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2CC75CC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7-8</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773F91F6">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CCF8FB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285</w:t>
            </w:r>
          </w:p>
        </w:tc>
      </w:tr>
      <w:tr w14:paraId="5F1FFB3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3FEADF6">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3C649E7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8-9</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7B1F3A5A">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80E7EB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200</w:t>
            </w:r>
          </w:p>
        </w:tc>
      </w:tr>
      <w:tr w14:paraId="345CD59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8F61505">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4391540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9-10</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395284DD">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2DBFDBB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191</w:t>
            </w:r>
          </w:p>
        </w:tc>
      </w:tr>
      <w:tr w14:paraId="754AB58B">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687BFBF1">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777D3BD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10-11</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1A6CB704">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7B5D21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188</w:t>
            </w:r>
          </w:p>
        </w:tc>
      </w:tr>
      <w:tr w14:paraId="2962940F">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4E237DDF">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nil"/>
              <w:bottom w:val="single" w:color="auto" w:sz="8" w:space="0"/>
              <w:right w:val="single" w:color="000000" w:sz="8" w:space="0"/>
            </w:tcBorders>
            <w:vAlign w:val="center"/>
          </w:tcPr>
          <w:p w14:paraId="42A0AEE6">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r>
      <w:tr w14:paraId="2080BAD8">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45D6C982">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5BFD53B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2026年1月13日</w:t>
            </w:r>
          </w:p>
        </w:tc>
      </w:tr>
      <w:tr w14:paraId="79AFE529">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058CA885">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0029A4B4">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58A02B3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13A69BB3">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11ACB2F9">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6BF74C81">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93EDF63">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4C0C8971">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1801A1E6">
            <w:pPr>
              <w:pStyle w:val="109"/>
              <w:rPr>
                <w:color w:val="000000" w:themeColor="text1"/>
                <w14:textFill>
                  <w14:solidFill>
                    <w14:schemeClr w14:val="tx1"/>
                  </w14:solidFill>
                </w14:textFill>
              </w:rPr>
            </w:pPr>
            <w:r>
              <w:rPr>
                <w:color w:val="000000" w:themeColor="text1"/>
                <w14:textFill>
                  <w14:solidFill>
                    <w14:schemeClr w14:val="tx1"/>
                  </w14:solidFill>
                </w14:textFill>
              </w:rPr>
              <w:t>砷(μg/m³)</w:t>
            </w:r>
          </w:p>
        </w:tc>
      </w:tr>
      <w:tr w14:paraId="0D5B8CC1">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69D3FACF">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0449B9C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1B69EF2D">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295AB9B3">
            <w:pPr>
              <w:pStyle w:val="109"/>
              <w:rPr>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1892C73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4-5</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51F0815C">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29F891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0.004L</w:t>
            </w:r>
          </w:p>
        </w:tc>
      </w:tr>
      <w:tr w14:paraId="57FC910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C338795">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2FE50CD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5-6</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012A3FF1">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CE3BDF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0.004L</w:t>
            </w:r>
          </w:p>
        </w:tc>
      </w:tr>
      <w:tr w14:paraId="33E0D8E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F54204C">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2967AEE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6-7</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09AE46C4">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DDD751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0.004L</w:t>
            </w:r>
          </w:p>
        </w:tc>
      </w:tr>
      <w:tr w14:paraId="727878A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3EEEE83">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1040FF7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7-8</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28946273">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F91ABC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0.004L</w:t>
            </w:r>
          </w:p>
        </w:tc>
      </w:tr>
      <w:tr w14:paraId="0649E73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2B9FD82">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043F1F8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8-9</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04A8189E">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FC511D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0.004L</w:t>
            </w:r>
          </w:p>
        </w:tc>
      </w:tr>
      <w:tr w14:paraId="4509E79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C379306">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5B1044E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9-10</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1A30A8E4">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7CBEB2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0.004L</w:t>
            </w:r>
          </w:p>
        </w:tc>
      </w:tr>
      <w:tr w14:paraId="78A6AFE6">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2806D903">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29C0084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10-11</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470B655D">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B3C702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0.004L</w:t>
            </w:r>
          </w:p>
        </w:tc>
      </w:tr>
      <w:tr w14:paraId="3617E389">
        <w:tblPrEx>
          <w:tblCellMar>
            <w:top w:w="0" w:type="dxa"/>
            <w:left w:w="108" w:type="dxa"/>
            <w:bottom w:w="0" w:type="dxa"/>
            <w:right w:w="108" w:type="dxa"/>
          </w:tblCellMar>
        </w:tblPrEx>
        <w:tc>
          <w:tcPr>
            <w:tcW w:w="2684" w:type="dxa"/>
            <w:tcBorders>
              <w:top w:val="nil"/>
              <w:left w:val="single" w:color="auto" w:sz="8" w:space="0"/>
              <w:bottom w:val="single" w:color="auto" w:sz="8" w:space="0"/>
              <w:right w:val="nil"/>
            </w:tcBorders>
            <w:vAlign w:val="center"/>
          </w:tcPr>
          <w:p w14:paraId="2DB70BCF">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single" w:color="auto" w:sz="8" w:space="0"/>
              <w:bottom w:val="nil"/>
              <w:right w:val="nil"/>
            </w:tcBorders>
            <w:vAlign w:val="center"/>
          </w:tcPr>
          <w:p w14:paraId="624CC469">
            <w:pPr>
              <w:pStyle w:val="109"/>
              <w:rPr>
                <w:color w:val="000000" w:themeColor="text1"/>
                <w14:textFill>
                  <w14:solidFill>
                    <w14:schemeClr w14:val="tx1"/>
                  </w14:solidFill>
                </w14:textFill>
              </w:rPr>
            </w:pPr>
            <w:r>
              <w:rPr>
                <w:color w:val="000000" w:themeColor="text1"/>
                <w14:textFill>
                  <w14:solidFill>
                    <w14:schemeClr w14:val="tx1"/>
                  </w14:solidFill>
                </w14:textFill>
              </w:rPr>
              <w:t>镍</w:t>
            </w:r>
          </w:p>
        </w:tc>
      </w:tr>
      <w:tr w14:paraId="29CBE2AB">
        <w:tblPrEx>
          <w:tblCellMar>
            <w:top w:w="0" w:type="dxa"/>
            <w:left w:w="108" w:type="dxa"/>
            <w:bottom w:w="0" w:type="dxa"/>
            <w:right w:w="108" w:type="dxa"/>
          </w:tblCellMar>
        </w:tblPrEx>
        <w:tc>
          <w:tcPr>
            <w:tcW w:w="2684" w:type="dxa"/>
            <w:tcBorders>
              <w:top w:val="nil"/>
              <w:left w:val="single" w:color="auto" w:sz="8" w:space="0"/>
              <w:bottom w:val="single" w:color="auto" w:sz="8" w:space="0"/>
              <w:right w:val="nil"/>
            </w:tcBorders>
            <w:vAlign w:val="center"/>
          </w:tcPr>
          <w:p w14:paraId="4D80CE1E">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nil"/>
              <w:left w:val="single" w:color="auto" w:sz="8" w:space="0"/>
              <w:bottom w:val="single" w:color="auto" w:sz="8" w:space="0"/>
              <w:right w:val="nil"/>
            </w:tcBorders>
            <w:vAlign w:val="center"/>
          </w:tcPr>
          <w:p w14:paraId="61703C7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2026年1月13日</w:t>
            </w:r>
          </w:p>
        </w:tc>
      </w:tr>
      <w:tr w14:paraId="35C7850B">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0DC37A43">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1F36226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7AD2768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7719D9DA">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6411C700">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4247D2C9">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86E300D">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1636440F">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3ADDA50D">
            <w:pPr>
              <w:pStyle w:val="109"/>
              <w:rPr>
                <w:color w:val="000000" w:themeColor="text1"/>
                <w14:textFill>
                  <w14:solidFill>
                    <w14:schemeClr w14:val="tx1"/>
                  </w14:solidFill>
                </w14:textFill>
              </w:rPr>
            </w:pPr>
            <w:r>
              <w:rPr>
                <w:color w:val="000000" w:themeColor="text1"/>
                <w14:textFill>
                  <w14:solidFill>
                    <w14:schemeClr w14:val="tx1"/>
                  </w14:solidFill>
                </w14:textFill>
              </w:rPr>
              <w:t>镍(μg/m³)</w:t>
            </w:r>
          </w:p>
        </w:tc>
      </w:tr>
      <w:tr w14:paraId="13332188">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77962BFE">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5722B28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692887B0">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190C3EB1">
            <w:pPr>
              <w:pStyle w:val="109"/>
              <w:rPr>
                <w:color w:val="000000" w:themeColor="text1"/>
                <w14:textFill>
                  <w14:solidFill>
                    <w14:schemeClr w14:val="tx1"/>
                  </w14:solidFill>
                </w14:textFill>
              </w:rPr>
            </w:pPr>
          </w:p>
        </w:tc>
        <w:tc>
          <w:tcPr>
            <w:tcW w:w="2551" w:type="dxa"/>
            <w:tcBorders>
              <w:top w:val="nil"/>
              <w:left w:val="nil"/>
              <w:bottom w:val="single" w:color="auto" w:sz="8" w:space="0"/>
              <w:right w:val="nil"/>
            </w:tcBorders>
            <w:vAlign w:val="center"/>
          </w:tcPr>
          <w:p w14:paraId="05CDD12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4-5</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43DDE8F6">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33F01C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0.04L</w:t>
            </w:r>
          </w:p>
        </w:tc>
      </w:tr>
      <w:tr w14:paraId="079F89A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B9A1EC5">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nil"/>
            </w:tcBorders>
            <w:vAlign w:val="center"/>
          </w:tcPr>
          <w:p w14:paraId="529B468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5-6</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29ED9684">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AB407E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0.04L</w:t>
            </w:r>
          </w:p>
        </w:tc>
      </w:tr>
      <w:tr w14:paraId="0ADAA1C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E716F24">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nil"/>
            </w:tcBorders>
            <w:vAlign w:val="center"/>
          </w:tcPr>
          <w:p w14:paraId="30C181E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6-7</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0AA091B9">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D0318C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0.04L</w:t>
            </w:r>
          </w:p>
        </w:tc>
      </w:tr>
      <w:tr w14:paraId="3EAE447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07DF398">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nil"/>
            </w:tcBorders>
            <w:vAlign w:val="center"/>
          </w:tcPr>
          <w:p w14:paraId="7AF6B19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7-8</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65079724">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F3E28C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0.04L</w:t>
            </w:r>
          </w:p>
        </w:tc>
      </w:tr>
      <w:tr w14:paraId="6B18FEA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E844BBD">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nil"/>
            </w:tcBorders>
            <w:vAlign w:val="center"/>
          </w:tcPr>
          <w:p w14:paraId="745A5D5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8-9</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49BB979D">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CB4471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0.04L</w:t>
            </w:r>
          </w:p>
        </w:tc>
      </w:tr>
      <w:tr w14:paraId="46E7C87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8EDFB59">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nil"/>
            </w:tcBorders>
            <w:vAlign w:val="center"/>
          </w:tcPr>
          <w:p w14:paraId="1CD0657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9-10</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01D161CC">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8A1813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0.04L</w:t>
            </w:r>
          </w:p>
        </w:tc>
      </w:tr>
      <w:tr w14:paraId="390D6C79">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4503779E">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nil"/>
            </w:tcBorders>
            <w:vAlign w:val="center"/>
          </w:tcPr>
          <w:p w14:paraId="3110CD2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10-11</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6C9C1CF3">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C0F7BC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0.04L</w:t>
            </w:r>
          </w:p>
        </w:tc>
      </w:tr>
      <w:tr w14:paraId="4F1A76F5">
        <w:tblPrEx>
          <w:tblCellMar>
            <w:top w:w="0" w:type="dxa"/>
            <w:left w:w="108" w:type="dxa"/>
            <w:bottom w:w="0" w:type="dxa"/>
            <w:right w:w="108" w:type="dxa"/>
          </w:tblCellMar>
        </w:tblPrEx>
        <w:tc>
          <w:tcPr>
            <w:tcW w:w="2684" w:type="dxa"/>
            <w:tcBorders>
              <w:top w:val="nil"/>
              <w:left w:val="single" w:color="auto" w:sz="8" w:space="0"/>
              <w:bottom w:val="single" w:color="auto" w:sz="8" w:space="0"/>
              <w:right w:val="nil"/>
            </w:tcBorders>
            <w:vAlign w:val="center"/>
          </w:tcPr>
          <w:p w14:paraId="5307213E">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single" w:color="auto" w:sz="8" w:space="0"/>
              <w:bottom w:val="nil"/>
              <w:right w:val="nil"/>
            </w:tcBorders>
            <w:vAlign w:val="center"/>
          </w:tcPr>
          <w:p w14:paraId="539325B5">
            <w:pPr>
              <w:pStyle w:val="109"/>
              <w:rPr>
                <w:color w:val="000000" w:themeColor="text1"/>
                <w14:textFill>
                  <w14:solidFill>
                    <w14:schemeClr w14:val="tx1"/>
                  </w14:solidFill>
                </w14:textFill>
              </w:rPr>
            </w:pPr>
            <w:r>
              <w:rPr>
                <w:color w:val="000000" w:themeColor="text1"/>
                <w14:textFill>
                  <w14:solidFill>
                    <w14:schemeClr w14:val="tx1"/>
                  </w14:solidFill>
                </w14:textFill>
              </w:rPr>
              <w:t>锰</w:t>
            </w:r>
          </w:p>
        </w:tc>
      </w:tr>
      <w:tr w14:paraId="206FC207">
        <w:tblPrEx>
          <w:tblCellMar>
            <w:top w:w="0" w:type="dxa"/>
            <w:left w:w="108" w:type="dxa"/>
            <w:bottom w:w="0" w:type="dxa"/>
            <w:right w:w="108" w:type="dxa"/>
          </w:tblCellMar>
        </w:tblPrEx>
        <w:tc>
          <w:tcPr>
            <w:tcW w:w="2684" w:type="dxa"/>
            <w:tcBorders>
              <w:top w:val="nil"/>
              <w:left w:val="single" w:color="auto" w:sz="8" w:space="0"/>
              <w:bottom w:val="single" w:color="auto" w:sz="8" w:space="0"/>
              <w:right w:val="nil"/>
            </w:tcBorders>
            <w:vAlign w:val="center"/>
          </w:tcPr>
          <w:p w14:paraId="4552658D">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nil"/>
              <w:left w:val="single" w:color="auto" w:sz="8" w:space="0"/>
              <w:bottom w:val="single" w:color="auto" w:sz="8" w:space="0"/>
              <w:right w:val="nil"/>
            </w:tcBorders>
            <w:vAlign w:val="center"/>
          </w:tcPr>
          <w:p w14:paraId="050EB62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2026年1月13日</w:t>
            </w:r>
          </w:p>
        </w:tc>
      </w:tr>
      <w:tr w14:paraId="1096948E">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7A734CAC">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3451634A">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315ACAA7">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031D2810">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7EB63272">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7BCDBB8A">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EA09791">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11E36806">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5C1A798E">
            <w:pPr>
              <w:pStyle w:val="109"/>
              <w:rPr>
                <w:color w:val="000000" w:themeColor="text1"/>
                <w14:textFill>
                  <w14:solidFill>
                    <w14:schemeClr w14:val="tx1"/>
                  </w14:solidFill>
                </w14:textFill>
              </w:rPr>
            </w:pPr>
            <w:r>
              <w:rPr>
                <w:color w:val="000000" w:themeColor="text1"/>
                <w14:textFill>
                  <w14:solidFill>
                    <w14:schemeClr w14:val="tx1"/>
                  </w14:solidFill>
                </w14:textFill>
              </w:rPr>
              <w:t>锰(μg/m³)</w:t>
            </w:r>
          </w:p>
        </w:tc>
      </w:tr>
      <w:tr w14:paraId="14E28300">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6C6A3977">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422B84A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1A8D401B">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2EBA34E7">
            <w:pPr>
              <w:pStyle w:val="109"/>
              <w:rPr>
                <w:color w:val="000000" w:themeColor="text1"/>
                <w14:textFill>
                  <w14:solidFill>
                    <w14:schemeClr w14:val="tx1"/>
                  </w14:solidFill>
                </w14:textFill>
              </w:rPr>
            </w:pPr>
          </w:p>
        </w:tc>
        <w:tc>
          <w:tcPr>
            <w:tcW w:w="2551" w:type="dxa"/>
            <w:tcBorders>
              <w:top w:val="nil"/>
              <w:left w:val="nil"/>
              <w:bottom w:val="single" w:color="auto" w:sz="8" w:space="0"/>
              <w:right w:val="nil"/>
            </w:tcBorders>
            <w:vAlign w:val="center"/>
          </w:tcPr>
          <w:p w14:paraId="388C549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4-5</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7A94FF8F">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11D1CB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75BE3FB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0C86287">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nil"/>
            </w:tcBorders>
            <w:vAlign w:val="center"/>
          </w:tcPr>
          <w:p w14:paraId="3278B27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5-6</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5B63DF90">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2184911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3EC8D70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EA064EB">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nil"/>
            </w:tcBorders>
            <w:vAlign w:val="center"/>
          </w:tcPr>
          <w:p w14:paraId="0A4C5FD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6-7</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2F04A39A">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0051A2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3D2159F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9EF1737">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nil"/>
            </w:tcBorders>
            <w:vAlign w:val="center"/>
          </w:tcPr>
          <w:p w14:paraId="245A7EB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7-8</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3EBCBF66">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A07825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1682E45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3844DD0">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nil"/>
            </w:tcBorders>
            <w:vAlign w:val="center"/>
          </w:tcPr>
          <w:p w14:paraId="45AA078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8-9</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26F03750">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886CD6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33AF2EB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67F14CE">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nil"/>
            </w:tcBorders>
            <w:vAlign w:val="center"/>
          </w:tcPr>
          <w:p w14:paraId="444E00F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9-10</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7F872325">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E5C3D7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7F8A2CE1">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629EE6C9">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nil"/>
            </w:tcBorders>
            <w:vAlign w:val="center"/>
          </w:tcPr>
          <w:p w14:paraId="0508867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10-11</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331C183E">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7DACA2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1024F2C7">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72E8B77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nil"/>
              <w:bottom w:val="single" w:color="auto" w:sz="8" w:space="0"/>
              <w:right w:val="single" w:color="000000" w:sz="8" w:space="0"/>
            </w:tcBorders>
            <w:vAlign w:val="center"/>
          </w:tcPr>
          <w:p w14:paraId="64D3104B">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r>
      <w:tr w14:paraId="7D11CEBC">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7482747C">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4BBBC21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2026年1月13日</w:t>
            </w:r>
          </w:p>
        </w:tc>
      </w:tr>
      <w:tr w14:paraId="59E2F4A0">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2F34EF18">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1CC53BAB">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558EE1B1">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65752395">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452981D3">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72CF94BC">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089DEBE">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6432EEF8">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11069908">
            <w:pPr>
              <w:pStyle w:val="109"/>
              <w:rPr>
                <w:color w:val="000000" w:themeColor="text1"/>
                <w14:textFill>
                  <w14:solidFill>
                    <w14:schemeClr w14:val="tx1"/>
                  </w14:solidFill>
                </w14:textFill>
              </w:rPr>
            </w:pPr>
            <w:r>
              <w:rPr>
                <w:color w:val="000000" w:themeColor="text1"/>
                <w14:textFill>
                  <w14:solidFill>
                    <w14:schemeClr w14:val="tx1"/>
                  </w14:solidFill>
                </w14:textFill>
              </w:rPr>
              <w:t>镉(μg/m³)</w:t>
            </w:r>
          </w:p>
        </w:tc>
      </w:tr>
      <w:tr w14:paraId="6C55A0C2">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3A35408D">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27FA257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427CCBBB">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64666526">
            <w:pPr>
              <w:pStyle w:val="109"/>
              <w:rPr>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4743596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4-5</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7DCA25F3">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F1ED17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5E9B157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C0521F9">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5BF50BB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5-6</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62CF8FDF">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FCF4BC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50D1F94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E935FF3">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76D4F8C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6-7</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635965FA">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7AA06C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44583AF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254C048">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2861596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7-8</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39B0B18B">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A98008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39263E4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7DBEBDB">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1AF3F24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8-9</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1BA2265F">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6A6D42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1CEB339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B30F128">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6FA0558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9-10</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74FF3A78">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E73009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6C042042">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0628113D">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4A2A06A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10-11</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494E4F65">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C48B2E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0.003L</w:t>
            </w:r>
          </w:p>
        </w:tc>
      </w:tr>
      <w:tr w14:paraId="5596F026">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755663BB">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nil"/>
              <w:bottom w:val="single" w:color="auto" w:sz="8" w:space="0"/>
              <w:right w:val="single" w:color="000000" w:sz="8" w:space="0"/>
            </w:tcBorders>
            <w:vAlign w:val="center"/>
          </w:tcPr>
          <w:p w14:paraId="0E3D0289">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r>
      <w:tr w14:paraId="2860F00B">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1A87CC5B">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66B77DC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2026年1月13日</w:t>
            </w:r>
          </w:p>
        </w:tc>
      </w:tr>
      <w:tr w14:paraId="0C24FEAB">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29E5AB0B">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6ADF7EB0">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1B0C20E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3B56CDE1">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1FF22C31">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024A9601">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2695A77">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1EC04041">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506DD0DA">
            <w:pPr>
              <w:pStyle w:val="109"/>
              <w:rPr>
                <w:color w:val="000000" w:themeColor="text1"/>
                <w14:textFill>
                  <w14:solidFill>
                    <w14:schemeClr w14:val="tx1"/>
                  </w14:solidFill>
                </w14:textFill>
              </w:rPr>
            </w:pPr>
            <w:r>
              <w:rPr>
                <w:color w:val="000000" w:themeColor="text1"/>
                <w14:textFill>
                  <w14:solidFill>
                    <w14:schemeClr w14:val="tx1"/>
                  </w14:solidFill>
                </w14:textFill>
              </w:rPr>
              <w:t>铅(μg/m³)</w:t>
            </w:r>
          </w:p>
        </w:tc>
      </w:tr>
      <w:tr w14:paraId="3078CC6E">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14EFF847">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5514781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0D50AC7B">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289603FB">
            <w:pPr>
              <w:pStyle w:val="109"/>
              <w:rPr>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1E23862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4-5</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53DE7B6E">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9320F1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0.05L</w:t>
            </w:r>
          </w:p>
        </w:tc>
      </w:tr>
      <w:tr w14:paraId="7E37E56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54755DB">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3CB5676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5-6</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164BF69E">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B40C0F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0.05L</w:t>
            </w:r>
          </w:p>
        </w:tc>
      </w:tr>
      <w:tr w14:paraId="016EC66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1695FD6">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028E7B7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6-7</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2F23858F">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0C7861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0.05L</w:t>
            </w:r>
          </w:p>
        </w:tc>
      </w:tr>
      <w:tr w14:paraId="6098346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1BDB51C">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35D9BCC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7-8</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7D2C52C1">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286FB5A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0.05L</w:t>
            </w:r>
          </w:p>
        </w:tc>
      </w:tr>
      <w:tr w14:paraId="64046AA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A1F8632">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366C152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8-9</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6B73CBE9">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4628E9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0.05L</w:t>
            </w:r>
          </w:p>
        </w:tc>
      </w:tr>
      <w:tr w14:paraId="0417F92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87C6CED">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786B74E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9-10</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4D715DBF">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126445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0.05L</w:t>
            </w:r>
          </w:p>
        </w:tc>
      </w:tr>
      <w:tr w14:paraId="04C5A43D">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26BCF35A">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39D09C6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10-11</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130D4462">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F052E1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0.05L</w:t>
            </w:r>
          </w:p>
        </w:tc>
      </w:tr>
      <w:tr w14:paraId="0D6DE234">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2D3A6C1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nil"/>
              <w:bottom w:val="single" w:color="auto" w:sz="8" w:space="0"/>
              <w:right w:val="single" w:color="000000" w:sz="8" w:space="0"/>
            </w:tcBorders>
            <w:vAlign w:val="center"/>
          </w:tcPr>
          <w:p w14:paraId="35515D1D">
            <w:pPr>
              <w:pStyle w:val="109"/>
              <w:rPr>
                <w:color w:val="000000" w:themeColor="text1"/>
                <w14:textFill>
                  <w14:solidFill>
                    <w14:schemeClr w14:val="tx1"/>
                  </w14:solidFill>
                </w14:textFill>
              </w:rPr>
            </w:pPr>
            <w:r>
              <w:rPr>
                <w:color w:val="000000" w:themeColor="text1"/>
                <w14:textFill>
                  <w14:solidFill>
                    <w14:schemeClr w14:val="tx1"/>
                  </w14:solidFill>
                </w14:textFill>
              </w:rPr>
              <w:t>六价铬</w:t>
            </w:r>
          </w:p>
        </w:tc>
      </w:tr>
      <w:tr w14:paraId="61ACE058">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4B8B8F00">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43F9CFF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6-12</w:t>
            </w:r>
            <w:r>
              <w:rPr>
                <w:color w:val="000000" w:themeColor="text1"/>
                <w14:textFill>
                  <w14:solidFill>
                    <w14:schemeClr w14:val="tx1"/>
                  </w14:solidFill>
                </w14:textFill>
              </w:rPr>
              <w:t>日</w:t>
            </w:r>
          </w:p>
        </w:tc>
      </w:tr>
      <w:tr w14:paraId="36C13FBB">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40277C17">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45D05C51">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657260B9">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6FF5761E">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1A74A21F">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2EB6B2E4">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1F99305">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4E89F783">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1DE94E7C">
            <w:pPr>
              <w:pStyle w:val="109"/>
              <w:rPr>
                <w:color w:val="000000" w:themeColor="text1"/>
                <w14:textFill>
                  <w14:solidFill>
                    <w14:schemeClr w14:val="tx1"/>
                  </w14:solidFill>
                </w14:textFill>
              </w:rPr>
            </w:pPr>
            <w:r>
              <w:rPr>
                <w:color w:val="000000" w:themeColor="text1"/>
                <w14:textFill>
                  <w14:solidFill>
                    <w14:schemeClr w14:val="tx1"/>
                  </w14:solidFill>
                </w14:textFill>
              </w:rPr>
              <w:t>六价铬(ng/m³)</w:t>
            </w:r>
          </w:p>
        </w:tc>
      </w:tr>
      <w:tr w14:paraId="57FDAA91">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7DDDE2C7">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4451F70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177FE394">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077C4626">
            <w:pPr>
              <w:pStyle w:val="109"/>
              <w:rPr>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459BCCD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4-5</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050E0DF4">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73A05D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2C22321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9856ABF">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4E5CF4B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5-6</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5F249CFE">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AA7A2E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40159B7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6E88DF3">
            <w:pPr>
              <w:pStyle w:val="109"/>
              <w:rPr>
                <w:rFonts w:eastAsia="等线"/>
                <w:color w:val="000000" w:themeColor="text1"/>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129A64D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6-7</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481B6379">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DC3EAD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469FEDC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7FAF2A3">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113B241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7-8</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24E46E22">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A61D7C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0076EF6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072724C">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4197702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8-9</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69B657E4">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356B55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5FE999A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DCBB389">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3AB37C8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9-10</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12BDA38F">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0386E3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3E63A7D6">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1FB7D1A4">
            <w:pPr>
              <w:pStyle w:val="109"/>
              <w:rPr>
                <w:rFonts w:eastAsia="等线"/>
                <w:color w:val="000000" w:themeColor="text1"/>
                <w:sz w:val="22"/>
                <w:szCs w:val="22"/>
                <w14:textFill>
                  <w14:solidFill>
                    <w14:schemeClr w14:val="tx1"/>
                  </w14:solidFill>
                </w14:textFill>
              </w:rPr>
            </w:pPr>
          </w:p>
        </w:tc>
        <w:tc>
          <w:tcPr>
            <w:tcW w:w="2551" w:type="dxa"/>
            <w:tcBorders>
              <w:top w:val="nil"/>
              <w:left w:val="nil"/>
              <w:bottom w:val="single" w:color="auto" w:sz="8" w:space="0"/>
              <w:right w:val="single" w:color="auto" w:sz="8" w:space="0"/>
            </w:tcBorders>
            <w:vAlign w:val="center"/>
          </w:tcPr>
          <w:p w14:paraId="69F248B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10-11</w:t>
            </w:r>
            <w:r>
              <w:rPr>
                <w:color w:val="000000" w:themeColor="text1"/>
                <w14:textFill>
                  <w14:solidFill>
                    <w14:schemeClr w14:val="tx1"/>
                  </w14:solidFill>
                </w14:textFill>
              </w:rPr>
              <w:t>日</w:t>
            </w:r>
          </w:p>
        </w:tc>
        <w:tc>
          <w:tcPr>
            <w:tcW w:w="1444" w:type="dxa"/>
            <w:tcBorders>
              <w:top w:val="nil"/>
              <w:left w:val="nil"/>
              <w:bottom w:val="single" w:color="auto" w:sz="8" w:space="0"/>
              <w:right w:val="single" w:color="auto" w:sz="8" w:space="0"/>
            </w:tcBorders>
            <w:vAlign w:val="center"/>
          </w:tcPr>
          <w:p w14:paraId="0EDD2B11">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5C9EBB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4E949025">
        <w:tblPrEx>
          <w:tblCellMar>
            <w:top w:w="0" w:type="dxa"/>
            <w:left w:w="108" w:type="dxa"/>
            <w:bottom w:w="0" w:type="dxa"/>
            <w:right w:w="108" w:type="dxa"/>
          </w:tblCellMar>
        </w:tblPrEx>
        <w:tc>
          <w:tcPr>
            <w:tcW w:w="9462" w:type="dxa"/>
            <w:gridSpan w:val="4"/>
            <w:tcBorders>
              <w:top w:val="single" w:color="auto" w:sz="8" w:space="0"/>
              <w:left w:val="single" w:color="auto" w:sz="8" w:space="0"/>
              <w:bottom w:val="single" w:color="auto" w:sz="8" w:space="0"/>
              <w:right w:val="single" w:color="000000" w:sz="8" w:space="0"/>
            </w:tcBorders>
            <w:vAlign w:val="center"/>
          </w:tcPr>
          <w:p w14:paraId="102AA1F9">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7AC53354">
        <w:tblPrEx>
          <w:tblCellMar>
            <w:top w:w="0" w:type="dxa"/>
            <w:left w:w="108" w:type="dxa"/>
            <w:bottom w:w="0" w:type="dxa"/>
            <w:right w:w="108" w:type="dxa"/>
          </w:tblCellMar>
        </w:tblPrEx>
        <w:tc>
          <w:tcPr>
            <w:tcW w:w="9462" w:type="dxa"/>
            <w:gridSpan w:val="4"/>
            <w:tcBorders>
              <w:top w:val="single" w:color="auto" w:sz="8" w:space="0"/>
              <w:left w:val="single" w:color="auto" w:sz="8" w:space="0"/>
              <w:bottom w:val="single" w:color="auto" w:sz="8" w:space="0"/>
              <w:right w:val="single" w:color="000000" w:sz="8" w:space="0"/>
            </w:tcBorders>
            <w:vAlign w:val="center"/>
          </w:tcPr>
          <w:p w14:paraId="346AA83E">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r>
      <w:tr w14:paraId="6612C438">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7A4F116D">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465C82C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2026年1月13日</w:t>
            </w:r>
          </w:p>
        </w:tc>
      </w:tr>
      <w:tr w14:paraId="3C500B10">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78FE78B3">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55695B7E">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45E7E357">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6C095007">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59CFFF47">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65C53BA7">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A8E6383">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238C7D5F">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5FB264C0">
            <w:pPr>
              <w:pStyle w:val="109"/>
              <w:rPr>
                <w:color w:val="000000" w:themeColor="text1"/>
                <w14:textFill>
                  <w14:solidFill>
                    <w14:schemeClr w14:val="tx1"/>
                  </w14:solidFill>
                </w14:textFill>
              </w:rPr>
            </w:pPr>
            <w:r>
              <w:rPr>
                <w:color w:val="000000" w:themeColor="text1"/>
                <w14:textFill>
                  <w14:solidFill>
                    <w14:schemeClr w14:val="tx1"/>
                  </w14:solidFill>
                </w14:textFill>
              </w:rPr>
              <w:t>汞及其化合物(mg/m³)</w:t>
            </w:r>
          </w:p>
        </w:tc>
      </w:tr>
      <w:tr w14:paraId="3FB62134">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04BABA5A">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0A8BBCE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2DDBACB6">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1B81255B">
            <w:pPr>
              <w:pStyle w:val="109"/>
              <w:rPr>
                <w:color w:val="000000" w:themeColor="text1"/>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4482D06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2026年1月4日</w:t>
            </w:r>
          </w:p>
        </w:tc>
        <w:tc>
          <w:tcPr>
            <w:tcW w:w="1444" w:type="dxa"/>
            <w:tcBorders>
              <w:top w:val="nil"/>
              <w:left w:val="nil"/>
              <w:bottom w:val="single" w:color="auto" w:sz="8" w:space="0"/>
              <w:right w:val="single" w:color="auto" w:sz="8" w:space="0"/>
            </w:tcBorders>
            <w:vAlign w:val="center"/>
          </w:tcPr>
          <w:p w14:paraId="6980D52E">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E7F2B8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0D18C5B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9249A16">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C3821CD">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07566DA">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22F7879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3DBDDC7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A665AAC">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3B133C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01B4098">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0089B3A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3E7403F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7C0AAE9">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569897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CCC0F8B">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6B7D3C0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27B17AE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3C8586C">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7F4E43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2026年1月5日</w:t>
            </w:r>
          </w:p>
        </w:tc>
        <w:tc>
          <w:tcPr>
            <w:tcW w:w="1444" w:type="dxa"/>
            <w:tcBorders>
              <w:top w:val="nil"/>
              <w:left w:val="nil"/>
              <w:bottom w:val="single" w:color="auto" w:sz="8" w:space="0"/>
              <w:right w:val="single" w:color="auto" w:sz="8" w:space="0"/>
            </w:tcBorders>
            <w:vAlign w:val="center"/>
          </w:tcPr>
          <w:p w14:paraId="48E4595D">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B452BE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678EB89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EC4EF3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41A287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A900187">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419761C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0421661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94BE2D3">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F49A96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7F555DF">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49EC2A5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7DC5C3A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057087B">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5ED1505">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34C65D1">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44EAC64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62F0F95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6F07F91">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735AAEA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2026年1月6日</w:t>
            </w:r>
          </w:p>
        </w:tc>
        <w:tc>
          <w:tcPr>
            <w:tcW w:w="1444" w:type="dxa"/>
            <w:tcBorders>
              <w:top w:val="nil"/>
              <w:left w:val="nil"/>
              <w:bottom w:val="single" w:color="auto" w:sz="8" w:space="0"/>
              <w:right w:val="single" w:color="auto" w:sz="8" w:space="0"/>
            </w:tcBorders>
            <w:vAlign w:val="center"/>
          </w:tcPr>
          <w:p w14:paraId="78EBE3E2">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C92486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5B67E54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199D7CB">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5F85D24">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419F21C">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226A19A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76990AF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BD3B00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315EC1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B0E1FFE">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27EE289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4D3D470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8469034">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616F91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A5E341A">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3B01C05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5007864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2DA23C5">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459B02B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2026年1月7日</w:t>
            </w:r>
          </w:p>
        </w:tc>
        <w:tc>
          <w:tcPr>
            <w:tcW w:w="1444" w:type="dxa"/>
            <w:tcBorders>
              <w:top w:val="nil"/>
              <w:left w:val="nil"/>
              <w:bottom w:val="single" w:color="auto" w:sz="8" w:space="0"/>
              <w:right w:val="single" w:color="auto" w:sz="8" w:space="0"/>
            </w:tcBorders>
            <w:vAlign w:val="center"/>
          </w:tcPr>
          <w:p w14:paraId="66C36777">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165234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70D73E5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BB82FA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40836C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A29B9AB">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2DC4C57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6B53CFA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C7E811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C2B3D4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1DA922D">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4926A9F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3B0A3F4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952593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7347BB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37A6621">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39ACF39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061D05F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32A4297">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57494C6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2026年1月8日</w:t>
            </w:r>
          </w:p>
        </w:tc>
        <w:tc>
          <w:tcPr>
            <w:tcW w:w="1444" w:type="dxa"/>
            <w:tcBorders>
              <w:top w:val="nil"/>
              <w:left w:val="nil"/>
              <w:bottom w:val="single" w:color="auto" w:sz="8" w:space="0"/>
              <w:right w:val="single" w:color="auto" w:sz="8" w:space="0"/>
            </w:tcBorders>
            <w:vAlign w:val="center"/>
          </w:tcPr>
          <w:p w14:paraId="320427EA">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47C0D7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3A5D490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27B9580">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A231A2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FAE3A88">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4A08457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7AB2B35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7C6B1B6">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C9C60BF">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63839C1">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160C8E1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6160B18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496B49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49A261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8B362FE">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14E99E0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537B776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587AEAF">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5145483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2026年1月9日</w:t>
            </w:r>
          </w:p>
        </w:tc>
        <w:tc>
          <w:tcPr>
            <w:tcW w:w="1444" w:type="dxa"/>
            <w:tcBorders>
              <w:top w:val="nil"/>
              <w:left w:val="nil"/>
              <w:bottom w:val="single" w:color="auto" w:sz="8" w:space="0"/>
              <w:right w:val="single" w:color="auto" w:sz="8" w:space="0"/>
            </w:tcBorders>
            <w:vAlign w:val="center"/>
          </w:tcPr>
          <w:p w14:paraId="69F03B3F">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01DD4D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569B035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2A16E55">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61295A2">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2035120">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644C1A5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2D97561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3DB55D4">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0787537">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8359899">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0B2BE25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3A4F7DD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1CE571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3F00A0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ABDDEB3">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115544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021CC2F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69C5F1B">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07F93DC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2026年1月10日</w:t>
            </w:r>
          </w:p>
        </w:tc>
        <w:tc>
          <w:tcPr>
            <w:tcW w:w="1444" w:type="dxa"/>
            <w:tcBorders>
              <w:top w:val="nil"/>
              <w:left w:val="nil"/>
              <w:bottom w:val="single" w:color="auto" w:sz="8" w:space="0"/>
              <w:right w:val="single" w:color="auto" w:sz="8" w:space="0"/>
            </w:tcBorders>
            <w:vAlign w:val="center"/>
          </w:tcPr>
          <w:p w14:paraId="7FC443F3">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276FABC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752D6FC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46F3107">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8B8AA1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F622F50">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34BDECA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784C5FD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B270C3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40BDCC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62115C1">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1E4C830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6D18CFFE">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2504A374">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DFF5A67">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83C0347">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015676D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6.6×10</w:t>
            </w:r>
            <w:r>
              <w:rPr>
                <w:rFonts w:eastAsia="等线"/>
                <w:color w:val="000000" w:themeColor="text1"/>
                <w:vertAlign w:val="superscript"/>
                <w14:textFill>
                  <w14:solidFill>
                    <w14:schemeClr w14:val="tx1"/>
                  </w14:solidFill>
                </w14:textFill>
              </w:rPr>
              <w:t>-6</w:t>
            </w:r>
            <w:r>
              <w:rPr>
                <w:rFonts w:eastAsia="等线"/>
                <w:color w:val="000000" w:themeColor="text1"/>
                <w14:textFill>
                  <w14:solidFill>
                    <w14:schemeClr w14:val="tx1"/>
                  </w14:solidFill>
                </w14:textFill>
              </w:rPr>
              <w:t>L</w:t>
            </w:r>
          </w:p>
        </w:tc>
      </w:tr>
      <w:tr w14:paraId="56BF8C20">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6BF0399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nil"/>
              <w:bottom w:val="single" w:color="auto" w:sz="8" w:space="0"/>
              <w:right w:val="single" w:color="000000" w:sz="8" w:space="0"/>
            </w:tcBorders>
            <w:vAlign w:val="center"/>
          </w:tcPr>
          <w:p w14:paraId="79DE0DAD">
            <w:pPr>
              <w:pStyle w:val="109"/>
              <w:rPr>
                <w:color w:val="000000" w:themeColor="text1"/>
                <w14:textFill>
                  <w14:solidFill>
                    <w14:schemeClr w14:val="tx1"/>
                  </w14:solidFill>
                </w14:textFill>
              </w:rPr>
            </w:pPr>
            <w:r>
              <w:rPr>
                <w:color w:val="000000" w:themeColor="text1"/>
                <w14:textFill>
                  <w14:solidFill>
                    <w14:schemeClr w14:val="tx1"/>
                  </w14:solidFill>
                </w14:textFill>
              </w:rPr>
              <w:t>氟化物</w:t>
            </w:r>
          </w:p>
        </w:tc>
      </w:tr>
      <w:tr w14:paraId="337EA597">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0D6F7F38">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097047C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2026年1月12日</w:t>
            </w:r>
          </w:p>
        </w:tc>
      </w:tr>
      <w:tr w14:paraId="5BB34179">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1CA354D8">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40FAA4C8">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6A905CFA">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3F4BD83C">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0122FD98">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06E3AA55">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70A3D84">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0EE6EB77">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4BE3E708">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氟化物(μg/m³)</w:t>
            </w:r>
          </w:p>
        </w:tc>
      </w:tr>
      <w:tr w14:paraId="72BB40CD">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1369C3DF">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5B8BEF5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2269D8B0">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366761F9">
            <w:pPr>
              <w:pStyle w:val="109"/>
              <w:rPr>
                <w:color w:val="000000" w:themeColor="text1"/>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726585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2026年1月4日</w:t>
            </w:r>
          </w:p>
        </w:tc>
        <w:tc>
          <w:tcPr>
            <w:tcW w:w="1444" w:type="dxa"/>
            <w:tcBorders>
              <w:top w:val="nil"/>
              <w:left w:val="nil"/>
              <w:bottom w:val="single" w:color="auto" w:sz="8" w:space="0"/>
              <w:right w:val="single" w:color="auto" w:sz="8" w:space="0"/>
            </w:tcBorders>
            <w:vAlign w:val="center"/>
          </w:tcPr>
          <w:p w14:paraId="5516C59C">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5A7D5A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2.1</w:t>
            </w:r>
          </w:p>
        </w:tc>
      </w:tr>
      <w:tr w14:paraId="7590ACE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4B1E4F9">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7A9D889">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9E4BC77">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771ED9A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r>
      <w:tr w14:paraId="5757B85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A457CC5">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6D07897">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6AF2FB1">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69C5764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2.3</w:t>
            </w:r>
          </w:p>
        </w:tc>
      </w:tr>
      <w:tr w14:paraId="20C40D4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B46E78C">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A2DC3D2">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8BE2096">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10F4F76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1.7</w:t>
            </w:r>
          </w:p>
        </w:tc>
      </w:tr>
      <w:tr w14:paraId="3CBFBAE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C3D1A22">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6F20419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2026年1月5日</w:t>
            </w:r>
          </w:p>
        </w:tc>
        <w:tc>
          <w:tcPr>
            <w:tcW w:w="1444" w:type="dxa"/>
            <w:tcBorders>
              <w:top w:val="nil"/>
              <w:left w:val="nil"/>
              <w:bottom w:val="single" w:color="auto" w:sz="8" w:space="0"/>
              <w:right w:val="single" w:color="auto" w:sz="8" w:space="0"/>
            </w:tcBorders>
            <w:vAlign w:val="center"/>
          </w:tcPr>
          <w:p w14:paraId="43807939">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2B74AD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w:t>
            </w:r>
          </w:p>
        </w:tc>
      </w:tr>
      <w:tr w14:paraId="725568A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271253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9ADF397">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166D9AC">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71B971F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2.1</w:t>
            </w:r>
          </w:p>
        </w:tc>
      </w:tr>
      <w:tr w14:paraId="75A94E0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19C5509">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577250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6D4EA9D">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61397E2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1.7</w:t>
            </w:r>
          </w:p>
        </w:tc>
      </w:tr>
      <w:tr w14:paraId="67EA358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B23FED1">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EF39DD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2FA71E8">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6CF0AB5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2.4</w:t>
            </w:r>
          </w:p>
        </w:tc>
      </w:tr>
      <w:tr w14:paraId="6D57061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F1508F7">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05059BB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2026年1月6日</w:t>
            </w:r>
          </w:p>
        </w:tc>
        <w:tc>
          <w:tcPr>
            <w:tcW w:w="1444" w:type="dxa"/>
            <w:tcBorders>
              <w:top w:val="nil"/>
              <w:left w:val="nil"/>
              <w:bottom w:val="single" w:color="auto" w:sz="8" w:space="0"/>
              <w:right w:val="single" w:color="auto" w:sz="8" w:space="0"/>
            </w:tcBorders>
            <w:vAlign w:val="center"/>
          </w:tcPr>
          <w:p w14:paraId="43326C01">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0663DA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2.7</w:t>
            </w:r>
          </w:p>
        </w:tc>
      </w:tr>
      <w:tr w14:paraId="1983933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E9211A0">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4BB0AD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69C4456">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03F6436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r>
      <w:tr w14:paraId="7F3C451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7B2860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6CDBD5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DE4E4C1">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3128A48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2.2</w:t>
            </w:r>
          </w:p>
        </w:tc>
      </w:tr>
      <w:tr w14:paraId="32AAC74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632E409">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9630A1B">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78789AB">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05B9597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2.6</w:t>
            </w:r>
          </w:p>
        </w:tc>
      </w:tr>
      <w:tr w14:paraId="2E91C4F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CAB0751">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28448E3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2026年1月7日</w:t>
            </w:r>
          </w:p>
        </w:tc>
        <w:tc>
          <w:tcPr>
            <w:tcW w:w="1444" w:type="dxa"/>
            <w:tcBorders>
              <w:top w:val="nil"/>
              <w:left w:val="nil"/>
              <w:bottom w:val="single" w:color="auto" w:sz="8" w:space="0"/>
              <w:right w:val="single" w:color="auto" w:sz="8" w:space="0"/>
            </w:tcBorders>
            <w:vAlign w:val="center"/>
          </w:tcPr>
          <w:p w14:paraId="690F8028">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2B46BA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2.4</w:t>
            </w:r>
          </w:p>
        </w:tc>
      </w:tr>
      <w:tr w14:paraId="346CC13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93D605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2A6B19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FF6E317">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7D72B3E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2.6</w:t>
            </w:r>
          </w:p>
        </w:tc>
      </w:tr>
      <w:tr w14:paraId="6453475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B3D5796">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B55F1F5">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B2FFD05">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7B0AB1C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p>
        </w:tc>
      </w:tr>
      <w:tr w14:paraId="6BE7432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9E55814">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E70F84B">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EF226D7">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AC8FEE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r>
      <w:tr w14:paraId="0732271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208E0BA">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49A20F3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2026年1月8日</w:t>
            </w:r>
          </w:p>
        </w:tc>
        <w:tc>
          <w:tcPr>
            <w:tcW w:w="1444" w:type="dxa"/>
            <w:tcBorders>
              <w:top w:val="nil"/>
              <w:left w:val="nil"/>
              <w:bottom w:val="single" w:color="auto" w:sz="8" w:space="0"/>
              <w:right w:val="single" w:color="auto" w:sz="8" w:space="0"/>
            </w:tcBorders>
            <w:vAlign w:val="center"/>
          </w:tcPr>
          <w:p w14:paraId="692EB467">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FCBC42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w:t>
            </w:r>
          </w:p>
        </w:tc>
      </w:tr>
      <w:tr w14:paraId="1D9442F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A11E23D">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B210BF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DD3BE7F">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0F3FCC7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p>
        </w:tc>
      </w:tr>
      <w:tr w14:paraId="5FAE56F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BD9744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04F191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5818761">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453364C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1.6</w:t>
            </w:r>
          </w:p>
        </w:tc>
      </w:tr>
      <w:tr w14:paraId="39A2D4E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E4B7423">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FB328D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732E745">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06DF253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1.5</w:t>
            </w:r>
          </w:p>
        </w:tc>
      </w:tr>
      <w:tr w14:paraId="1BDE550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6CF0879">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F84E04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2026年1月9日</w:t>
            </w:r>
          </w:p>
        </w:tc>
        <w:tc>
          <w:tcPr>
            <w:tcW w:w="1444" w:type="dxa"/>
            <w:tcBorders>
              <w:top w:val="nil"/>
              <w:left w:val="nil"/>
              <w:bottom w:val="single" w:color="auto" w:sz="8" w:space="0"/>
              <w:right w:val="single" w:color="auto" w:sz="8" w:space="0"/>
            </w:tcBorders>
            <w:vAlign w:val="center"/>
          </w:tcPr>
          <w:p w14:paraId="679CC0DC">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39F933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1.6</w:t>
            </w:r>
          </w:p>
        </w:tc>
      </w:tr>
      <w:tr w14:paraId="6DAFF73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B71D1E7">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88E6044">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90FBFE9">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5C4211C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p>
        </w:tc>
      </w:tr>
      <w:tr w14:paraId="579A068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2AC24F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112064B">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B8855CB">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185031F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w:t>
            </w:r>
          </w:p>
        </w:tc>
      </w:tr>
      <w:tr w14:paraId="5340C45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AF87607">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8D4CB5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68A093F">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08918FA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1.7</w:t>
            </w:r>
          </w:p>
        </w:tc>
      </w:tr>
      <w:tr w14:paraId="1DA4DB4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6BA4E05">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64500A0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2026年1月10日</w:t>
            </w:r>
          </w:p>
        </w:tc>
        <w:tc>
          <w:tcPr>
            <w:tcW w:w="1444" w:type="dxa"/>
            <w:tcBorders>
              <w:top w:val="nil"/>
              <w:left w:val="nil"/>
              <w:bottom w:val="single" w:color="auto" w:sz="8" w:space="0"/>
              <w:right w:val="single" w:color="auto" w:sz="8" w:space="0"/>
            </w:tcBorders>
            <w:vAlign w:val="center"/>
          </w:tcPr>
          <w:p w14:paraId="6D9DA441">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3B3392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1.6</w:t>
            </w:r>
          </w:p>
        </w:tc>
      </w:tr>
      <w:tr w14:paraId="7B8668A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87DC0AF">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B55DDC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8290955">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3957E20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w:t>
            </w:r>
          </w:p>
        </w:tc>
      </w:tr>
      <w:tr w14:paraId="42E6C44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E69A72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63E974D">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A3F42DD">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37F4BC4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1.7</w:t>
            </w:r>
          </w:p>
        </w:tc>
      </w:tr>
      <w:tr w14:paraId="42D0FE51">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2A04E09D">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829B47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2FBF885">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6779B2E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w:t>
            </w:r>
          </w:p>
        </w:tc>
      </w:tr>
      <w:tr w14:paraId="6B98A1E8">
        <w:tblPrEx>
          <w:tblCellMar>
            <w:top w:w="0" w:type="dxa"/>
            <w:left w:w="108" w:type="dxa"/>
            <w:bottom w:w="0" w:type="dxa"/>
            <w:right w:w="108" w:type="dxa"/>
          </w:tblCellMar>
        </w:tblPrEx>
        <w:tc>
          <w:tcPr>
            <w:tcW w:w="9462" w:type="dxa"/>
            <w:gridSpan w:val="4"/>
            <w:tcBorders>
              <w:top w:val="single" w:color="auto" w:sz="8" w:space="0"/>
              <w:left w:val="single" w:color="auto" w:sz="8" w:space="0"/>
              <w:bottom w:val="single" w:color="auto" w:sz="8" w:space="0"/>
              <w:right w:val="single" w:color="000000" w:sz="8" w:space="0"/>
            </w:tcBorders>
            <w:vAlign w:val="center"/>
          </w:tcPr>
          <w:p w14:paraId="66B93E51">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5BB7FE9F">
        <w:tblPrEx>
          <w:tblCellMar>
            <w:top w:w="0" w:type="dxa"/>
            <w:left w:w="108" w:type="dxa"/>
            <w:bottom w:w="0" w:type="dxa"/>
            <w:right w:w="108" w:type="dxa"/>
          </w:tblCellMar>
        </w:tblPrEx>
        <w:tc>
          <w:tcPr>
            <w:tcW w:w="9462" w:type="dxa"/>
            <w:gridSpan w:val="4"/>
            <w:tcBorders>
              <w:top w:val="single" w:color="auto" w:sz="8" w:space="0"/>
              <w:left w:val="single" w:color="auto" w:sz="8" w:space="0"/>
              <w:bottom w:val="single" w:color="auto" w:sz="8" w:space="0"/>
              <w:right w:val="single" w:color="000000" w:sz="8" w:space="0"/>
            </w:tcBorders>
            <w:vAlign w:val="center"/>
          </w:tcPr>
          <w:p w14:paraId="5988447B">
            <w:pPr>
              <w:pStyle w:val="109"/>
              <w:rPr>
                <w:color w:val="000000" w:themeColor="text1"/>
                <w14:textFill>
                  <w14:solidFill>
                    <w14:schemeClr w14:val="tx1"/>
                  </w14:solidFill>
                </w14:textFill>
              </w:rPr>
            </w:pPr>
            <w:r>
              <w:rPr>
                <w:color w:val="000000" w:themeColor="text1"/>
                <w14:textFill>
                  <w14:solidFill>
                    <w14:schemeClr w14:val="tx1"/>
                  </w14:solidFill>
                </w14:textFill>
              </w:rPr>
              <w:t>氯化氢</w:t>
            </w:r>
          </w:p>
        </w:tc>
      </w:tr>
      <w:tr w14:paraId="24D89FE6">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3CAFEEBB">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4466550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9</w:t>
            </w:r>
            <w:r>
              <w:rPr>
                <w:color w:val="000000" w:themeColor="text1"/>
                <w14:textFill>
                  <w14:solidFill>
                    <w14:schemeClr w14:val="tx1"/>
                  </w14:solidFill>
                </w14:textFill>
              </w:rPr>
              <w:t>日</w:t>
            </w:r>
            <w:r>
              <w:rPr>
                <w:rFonts w:eastAsia="等线"/>
                <w:color w:val="000000" w:themeColor="text1"/>
                <w14:textFill>
                  <w14:solidFill>
                    <w14:schemeClr w14:val="tx1"/>
                  </w14:solidFill>
                </w14:textFill>
              </w:rPr>
              <w:t>-15</w:t>
            </w:r>
            <w:r>
              <w:rPr>
                <w:color w:val="000000" w:themeColor="text1"/>
                <w14:textFill>
                  <w14:solidFill>
                    <w14:schemeClr w14:val="tx1"/>
                  </w14:solidFill>
                </w14:textFill>
              </w:rPr>
              <w:t>日</w:t>
            </w:r>
          </w:p>
        </w:tc>
      </w:tr>
      <w:tr w14:paraId="0893A6E9">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257AF06E">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78667670">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0DDA95A9">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15AC2853">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775F9DF2">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2376F94F">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6471C2D">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1110A0F9">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45FC33E4">
            <w:pPr>
              <w:pStyle w:val="109"/>
              <w:rPr>
                <w:color w:val="000000" w:themeColor="text1"/>
                <w14:textFill>
                  <w14:solidFill>
                    <w14:schemeClr w14:val="tx1"/>
                  </w14:solidFill>
                </w14:textFill>
              </w:rPr>
            </w:pPr>
            <w:r>
              <w:rPr>
                <w:color w:val="000000" w:themeColor="text1"/>
                <w14:textFill>
                  <w14:solidFill>
                    <w14:schemeClr w14:val="tx1"/>
                  </w14:solidFill>
                </w14:textFill>
              </w:rPr>
              <w:t>氯化氢(mg/m³)</w:t>
            </w:r>
          </w:p>
        </w:tc>
      </w:tr>
      <w:tr w14:paraId="6CAC3BE3">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539F1F61">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1A83B72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4A168173">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2A3B513D">
            <w:pPr>
              <w:pStyle w:val="109"/>
              <w:rPr>
                <w:color w:val="000000" w:themeColor="text1"/>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40A8629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2026年1月4日</w:t>
            </w:r>
          </w:p>
        </w:tc>
        <w:tc>
          <w:tcPr>
            <w:tcW w:w="1444" w:type="dxa"/>
            <w:tcBorders>
              <w:top w:val="nil"/>
              <w:left w:val="nil"/>
              <w:bottom w:val="single" w:color="auto" w:sz="8" w:space="0"/>
              <w:right w:val="single" w:color="auto" w:sz="8" w:space="0"/>
            </w:tcBorders>
            <w:vAlign w:val="center"/>
          </w:tcPr>
          <w:p w14:paraId="16DBBF29">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7413C2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3FEB960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682705F">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51DBE8E">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12449D2">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3830B70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20D9783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BE6C994">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FD02075">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E7A25B6">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4F057EA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24A71A7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1E650E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BBB06E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104F3AF">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6054EA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6127245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9AFDB44">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2A7B9FD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2026年1月5日</w:t>
            </w:r>
          </w:p>
        </w:tc>
        <w:tc>
          <w:tcPr>
            <w:tcW w:w="1444" w:type="dxa"/>
            <w:tcBorders>
              <w:top w:val="nil"/>
              <w:left w:val="nil"/>
              <w:bottom w:val="single" w:color="auto" w:sz="8" w:space="0"/>
              <w:right w:val="single" w:color="auto" w:sz="8" w:space="0"/>
            </w:tcBorders>
            <w:vAlign w:val="center"/>
          </w:tcPr>
          <w:p w14:paraId="63AFB04D">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60B78D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242203D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5AA412D">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F9322D4">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AAC03CC">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241A685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3B47D6A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7FAED7B">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0756A5E">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37E5418">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106CDC3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49855C1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E0258C9">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B14FB4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EF8879D">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1F77946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6C5CA4A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C2A669A">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21AED4A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2026年1月6日</w:t>
            </w:r>
          </w:p>
        </w:tc>
        <w:tc>
          <w:tcPr>
            <w:tcW w:w="1444" w:type="dxa"/>
            <w:tcBorders>
              <w:top w:val="nil"/>
              <w:left w:val="nil"/>
              <w:bottom w:val="single" w:color="auto" w:sz="8" w:space="0"/>
              <w:right w:val="single" w:color="auto" w:sz="8" w:space="0"/>
            </w:tcBorders>
            <w:vAlign w:val="center"/>
          </w:tcPr>
          <w:p w14:paraId="4B21A333">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47EB7C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7749739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926962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85C3D0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59CFE1F">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12CDABE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48A2841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7E38506">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E73210E">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1C7E2D0">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5C551F6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3E29C94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DB23FBF">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A44509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9D562CB">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A3BAB5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36C4923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41C89DA">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5E16C3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2026年1月7日</w:t>
            </w:r>
          </w:p>
        </w:tc>
        <w:tc>
          <w:tcPr>
            <w:tcW w:w="1444" w:type="dxa"/>
            <w:tcBorders>
              <w:top w:val="nil"/>
              <w:left w:val="nil"/>
              <w:bottom w:val="single" w:color="auto" w:sz="8" w:space="0"/>
              <w:right w:val="single" w:color="auto" w:sz="8" w:space="0"/>
            </w:tcBorders>
            <w:vAlign w:val="center"/>
          </w:tcPr>
          <w:p w14:paraId="2400D1F9">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E83F11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20CC3FE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E2AFF4F">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29148A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A9DD98E">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74B00C1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64E96CE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6BC0BE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7229E34">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61BE437">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070EFC1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2C93914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A038107">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379E2B4">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5FAE238">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4C5351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0D3A8C8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438E7F2">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06270DA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2026年1月8日</w:t>
            </w:r>
          </w:p>
        </w:tc>
        <w:tc>
          <w:tcPr>
            <w:tcW w:w="1444" w:type="dxa"/>
            <w:tcBorders>
              <w:top w:val="nil"/>
              <w:left w:val="nil"/>
              <w:bottom w:val="single" w:color="auto" w:sz="8" w:space="0"/>
              <w:right w:val="single" w:color="auto" w:sz="8" w:space="0"/>
            </w:tcBorders>
            <w:vAlign w:val="center"/>
          </w:tcPr>
          <w:p w14:paraId="23427D62">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8D0CC4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55A976A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A2ECA40">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011C89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5497D23">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3F525C3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6C8D423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13A1DD0">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D96AE6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8AD3FDE">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5978060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29AE9F9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2313C5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5E5079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E5FE201">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2F6DFDC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18295CC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B2CBF24">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6EADA1C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2026年1月9日</w:t>
            </w:r>
          </w:p>
        </w:tc>
        <w:tc>
          <w:tcPr>
            <w:tcW w:w="1444" w:type="dxa"/>
            <w:tcBorders>
              <w:top w:val="nil"/>
              <w:left w:val="nil"/>
              <w:bottom w:val="single" w:color="auto" w:sz="8" w:space="0"/>
              <w:right w:val="single" w:color="auto" w:sz="8" w:space="0"/>
            </w:tcBorders>
            <w:vAlign w:val="center"/>
          </w:tcPr>
          <w:p w14:paraId="1623C64E">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57B599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2619A43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5D95DF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EF6A97D">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7D11BAB">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0C1F415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2BB2788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0BE432D">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E23E3B9">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1E409E6">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445C804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4AE5C46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8C62D6D">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5C9A7C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4358C61">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155722F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7CDD782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BADBA93">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02DB9AF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2026年1月10日</w:t>
            </w:r>
          </w:p>
        </w:tc>
        <w:tc>
          <w:tcPr>
            <w:tcW w:w="1444" w:type="dxa"/>
            <w:tcBorders>
              <w:top w:val="nil"/>
              <w:left w:val="nil"/>
              <w:bottom w:val="single" w:color="auto" w:sz="8" w:space="0"/>
              <w:right w:val="single" w:color="auto" w:sz="8" w:space="0"/>
            </w:tcBorders>
            <w:vAlign w:val="center"/>
          </w:tcPr>
          <w:p w14:paraId="3DD45EBA">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742E87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072A88A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758006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61385B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5FCCC31">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1E32351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516FAAC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5C9EA81">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E361D4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D0EBC8E">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69648C8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5C9B4DE0">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43F658D3">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CBA5EA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4CE4239">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27CF73D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r>
      <w:tr w14:paraId="24E60FFF">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4D077D9D">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nil"/>
              <w:bottom w:val="single" w:color="auto" w:sz="8" w:space="0"/>
              <w:right w:val="single" w:color="000000" w:sz="8" w:space="0"/>
            </w:tcBorders>
            <w:vAlign w:val="center"/>
          </w:tcPr>
          <w:p w14:paraId="336AD7D0">
            <w:pPr>
              <w:pStyle w:val="109"/>
              <w:rPr>
                <w:color w:val="000000" w:themeColor="text1"/>
                <w14:textFill>
                  <w14:solidFill>
                    <w14:schemeClr w14:val="tx1"/>
                  </w14:solidFill>
                </w14:textFill>
              </w:rPr>
            </w:pPr>
            <w:r>
              <w:rPr>
                <w:color w:val="000000" w:themeColor="text1"/>
                <w14:textFill>
                  <w14:solidFill>
                    <w14:schemeClr w14:val="tx1"/>
                  </w14:solidFill>
                </w14:textFill>
              </w:rPr>
              <w:t>臭气浓度</w:t>
            </w:r>
          </w:p>
        </w:tc>
      </w:tr>
      <w:tr w14:paraId="0E98B936">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29005D6A">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0E0C72B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w:t>
            </w:r>
            <w:r>
              <w:rPr>
                <w:color w:val="000000" w:themeColor="text1"/>
                <w14:textFill>
                  <w14:solidFill>
                    <w14:schemeClr w14:val="tx1"/>
                  </w14:solidFill>
                </w14:textFill>
              </w:rPr>
              <w:t>日</w:t>
            </w:r>
            <w:r>
              <w:rPr>
                <w:rFonts w:eastAsia="等线"/>
                <w:color w:val="000000" w:themeColor="text1"/>
                <w14:textFill>
                  <w14:solidFill>
                    <w14:schemeClr w14:val="tx1"/>
                  </w14:solidFill>
                </w14:textFill>
              </w:rPr>
              <w:t>-12</w:t>
            </w:r>
            <w:r>
              <w:rPr>
                <w:color w:val="000000" w:themeColor="text1"/>
                <w14:textFill>
                  <w14:solidFill>
                    <w14:schemeClr w14:val="tx1"/>
                  </w14:solidFill>
                </w14:textFill>
              </w:rPr>
              <w:t>日</w:t>
            </w:r>
          </w:p>
        </w:tc>
      </w:tr>
      <w:tr w14:paraId="3372777A">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1405F5FB">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43BA5BDA">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5F62807A">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60E7B0B2">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0739CC38">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495E62DB">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50335BD">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273166C2">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2D3FE4D0">
            <w:pPr>
              <w:pStyle w:val="109"/>
              <w:rPr>
                <w:color w:val="000000" w:themeColor="text1"/>
                <w14:textFill>
                  <w14:solidFill>
                    <w14:schemeClr w14:val="tx1"/>
                  </w14:solidFill>
                </w14:textFill>
              </w:rPr>
            </w:pPr>
            <w:r>
              <w:rPr>
                <w:color w:val="000000" w:themeColor="text1"/>
                <w14:textFill>
                  <w14:solidFill>
                    <w14:schemeClr w14:val="tx1"/>
                  </w14:solidFill>
                </w14:textFill>
              </w:rPr>
              <w:t>臭气浓度(无量纲)</w:t>
            </w:r>
          </w:p>
        </w:tc>
      </w:tr>
      <w:tr w14:paraId="2E45DDE7">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1F2BBD01">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6BFEA39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22D66B44">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4F5C2CDA">
            <w:pPr>
              <w:pStyle w:val="109"/>
              <w:rPr>
                <w:color w:val="000000" w:themeColor="text1"/>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1E317CF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2026年1月4日</w:t>
            </w:r>
          </w:p>
        </w:tc>
        <w:tc>
          <w:tcPr>
            <w:tcW w:w="1444" w:type="dxa"/>
            <w:tcBorders>
              <w:top w:val="nil"/>
              <w:left w:val="nil"/>
              <w:bottom w:val="single" w:color="auto" w:sz="8" w:space="0"/>
              <w:right w:val="single" w:color="auto" w:sz="8" w:space="0"/>
            </w:tcBorders>
            <w:vAlign w:val="center"/>
          </w:tcPr>
          <w:p w14:paraId="6B94CEEC">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6D32BD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47FB4CE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95EB7FD">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1C55347">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A18B9FD">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41A3E7A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6C372FC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EC24C8E">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EFFA91E">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107D351">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6442A81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28429AC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C30D2B1">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80F8B4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75EAE09">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76474C2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1475505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E381611">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68B33AE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2026年1月5日</w:t>
            </w:r>
          </w:p>
        </w:tc>
        <w:tc>
          <w:tcPr>
            <w:tcW w:w="1444" w:type="dxa"/>
            <w:tcBorders>
              <w:top w:val="nil"/>
              <w:left w:val="nil"/>
              <w:bottom w:val="single" w:color="auto" w:sz="8" w:space="0"/>
              <w:right w:val="single" w:color="auto" w:sz="8" w:space="0"/>
            </w:tcBorders>
            <w:vAlign w:val="center"/>
          </w:tcPr>
          <w:p w14:paraId="3EE6A620">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17FF20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13B1A5D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398B46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44D0112">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92EF7EA">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79E9A6D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46D023D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13359E9">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A0CF35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DE05D8B">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537190E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7D2F844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9FACA1D">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528956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0F936BC">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3B5B6B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5781F62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2F3D83E">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7FBB7AA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2026年1月6日</w:t>
            </w:r>
          </w:p>
        </w:tc>
        <w:tc>
          <w:tcPr>
            <w:tcW w:w="1444" w:type="dxa"/>
            <w:tcBorders>
              <w:top w:val="nil"/>
              <w:left w:val="nil"/>
              <w:bottom w:val="single" w:color="auto" w:sz="8" w:space="0"/>
              <w:right w:val="single" w:color="auto" w:sz="8" w:space="0"/>
            </w:tcBorders>
            <w:vAlign w:val="center"/>
          </w:tcPr>
          <w:p w14:paraId="565CE7A7">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52FD81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5AFFA1E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FCDCD94">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5546735">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20817D3">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5B86BCA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4C91207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BF27827">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FF83F3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19E1306">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184C923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48A0A7A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6966331">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2684E55">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691CC59">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259586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608A10E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64C9BC4">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54008FD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2026年1月7日</w:t>
            </w:r>
          </w:p>
        </w:tc>
        <w:tc>
          <w:tcPr>
            <w:tcW w:w="1444" w:type="dxa"/>
            <w:tcBorders>
              <w:top w:val="nil"/>
              <w:left w:val="nil"/>
              <w:bottom w:val="single" w:color="auto" w:sz="8" w:space="0"/>
              <w:right w:val="single" w:color="auto" w:sz="8" w:space="0"/>
            </w:tcBorders>
            <w:vAlign w:val="center"/>
          </w:tcPr>
          <w:p w14:paraId="349AD238">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27F812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3BB9F65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BB74B0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1C7297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08E5162">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2ED4FB5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1BD4B35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82B5B7D">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261B0F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8CFA6EF">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3144148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37F9AA4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9F02BAD">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DC8725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DD7ACC1">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460B3B9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006E146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00750C0">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3B1842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2026年1月8日</w:t>
            </w:r>
          </w:p>
        </w:tc>
        <w:tc>
          <w:tcPr>
            <w:tcW w:w="1444" w:type="dxa"/>
            <w:tcBorders>
              <w:top w:val="nil"/>
              <w:left w:val="nil"/>
              <w:bottom w:val="single" w:color="auto" w:sz="8" w:space="0"/>
              <w:right w:val="single" w:color="auto" w:sz="8" w:space="0"/>
            </w:tcBorders>
            <w:vAlign w:val="center"/>
          </w:tcPr>
          <w:p w14:paraId="3C26D08A">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81B0A7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1EF2821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A11C010">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601D6F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FA0AD10">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521C338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12421DD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874717C">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6327B7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9B645E9">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40A4EDC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690FD36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D7EBBD0">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1F7C8B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9DC107D">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7A71567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2D12E47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F2DCFBE">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B875DC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2026年1月9日</w:t>
            </w:r>
          </w:p>
        </w:tc>
        <w:tc>
          <w:tcPr>
            <w:tcW w:w="1444" w:type="dxa"/>
            <w:tcBorders>
              <w:top w:val="nil"/>
              <w:left w:val="nil"/>
              <w:bottom w:val="single" w:color="auto" w:sz="8" w:space="0"/>
              <w:right w:val="single" w:color="auto" w:sz="8" w:space="0"/>
            </w:tcBorders>
            <w:vAlign w:val="center"/>
          </w:tcPr>
          <w:p w14:paraId="53256625">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CCC84E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19E92E9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8D26CB6">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BA15BA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8461832">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041AF9A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65D89A2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1AC973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532F73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F42128E">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64CE9FE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506FBE1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19FEB4B">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F127D8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3658EDC">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1A26755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3FDC763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9DCDA30">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58AB4F1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2026年1月10日</w:t>
            </w:r>
          </w:p>
        </w:tc>
        <w:tc>
          <w:tcPr>
            <w:tcW w:w="1444" w:type="dxa"/>
            <w:tcBorders>
              <w:top w:val="nil"/>
              <w:left w:val="nil"/>
              <w:bottom w:val="single" w:color="auto" w:sz="8" w:space="0"/>
              <w:right w:val="single" w:color="auto" w:sz="8" w:space="0"/>
            </w:tcBorders>
            <w:vAlign w:val="center"/>
          </w:tcPr>
          <w:p w14:paraId="3F06BFB0">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0F4869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3318C8F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7B1207D">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13812EF">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F3B2527">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2B0D2A3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7C5F224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8E338F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00C8E1B">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CB474C2">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51EFECE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56446719">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68B28330">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35FA547">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7544A4B">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67B2ED3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&lt;10</w:t>
            </w:r>
          </w:p>
        </w:tc>
      </w:tr>
      <w:tr w14:paraId="7224975B">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1934026D">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nil"/>
              <w:bottom w:val="single" w:color="auto" w:sz="8" w:space="0"/>
              <w:right w:val="single" w:color="000000" w:sz="8" w:space="0"/>
            </w:tcBorders>
            <w:vAlign w:val="center"/>
          </w:tcPr>
          <w:p w14:paraId="7B4DC8FD">
            <w:pPr>
              <w:pStyle w:val="109"/>
              <w:rPr>
                <w:color w:val="000000" w:themeColor="text1"/>
                <w14:textFill>
                  <w14:solidFill>
                    <w14:schemeClr w14:val="tx1"/>
                  </w14:solidFill>
                </w14:textFill>
              </w:rPr>
            </w:pPr>
            <w:r>
              <w:rPr>
                <w:color w:val="000000" w:themeColor="text1"/>
                <w14:textFill>
                  <w14:solidFill>
                    <w14:schemeClr w14:val="tx1"/>
                  </w14:solidFill>
                </w14:textFill>
              </w:rPr>
              <w:t>硫化氢</w:t>
            </w:r>
          </w:p>
        </w:tc>
      </w:tr>
      <w:tr w14:paraId="4218F61F">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00CF6B3C">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305182F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5</w:t>
            </w:r>
            <w:r>
              <w:rPr>
                <w:color w:val="000000" w:themeColor="text1"/>
                <w14:textFill>
                  <w14:solidFill>
                    <w14:schemeClr w14:val="tx1"/>
                  </w14:solidFill>
                </w14:textFill>
              </w:rPr>
              <w:t>日</w:t>
            </w:r>
            <w:r>
              <w:rPr>
                <w:rFonts w:eastAsia="等线"/>
                <w:color w:val="000000" w:themeColor="text1"/>
                <w14:textFill>
                  <w14:solidFill>
                    <w14:schemeClr w14:val="tx1"/>
                  </w14:solidFill>
                </w14:textFill>
              </w:rPr>
              <w:t>-11</w:t>
            </w:r>
            <w:r>
              <w:rPr>
                <w:color w:val="000000" w:themeColor="text1"/>
                <w14:textFill>
                  <w14:solidFill>
                    <w14:schemeClr w14:val="tx1"/>
                  </w14:solidFill>
                </w14:textFill>
              </w:rPr>
              <w:t>日</w:t>
            </w:r>
          </w:p>
        </w:tc>
      </w:tr>
      <w:tr w14:paraId="0C0AAED5">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52A6ECCC">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68D7350F">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231B7052">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6EB0B488">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65ACDA3C">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10E1EABD">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5F70178">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300023E6">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106DF717">
            <w:pPr>
              <w:pStyle w:val="109"/>
              <w:rPr>
                <w:color w:val="000000" w:themeColor="text1"/>
                <w14:textFill>
                  <w14:solidFill>
                    <w14:schemeClr w14:val="tx1"/>
                  </w14:solidFill>
                </w14:textFill>
              </w:rPr>
            </w:pPr>
            <w:r>
              <w:rPr>
                <w:color w:val="000000" w:themeColor="text1"/>
                <w14:textFill>
                  <w14:solidFill>
                    <w14:schemeClr w14:val="tx1"/>
                  </w14:solidFill>
                </w14:textFill>
              </w:rPr>
              <w:t>硫化氢(mg/m³)</w:t>
            </w:r>
          </w:p>
        </w:tc>
      </w:tr>
      <w:tr w14:paraId="7623866D">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3B087C69">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4F9988E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50251D8B">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333D286F">
            <w:pPr>
              <w:pStyle w:val="109"/>
              <w:rPr>
                <w:color w:val="000000" w:themeColor="text1"/>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4C44EEB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2026年1月4日</w:t>
            </w:r>
          </w:p>
        </w:tc>
        <w:tc>
          <w:tcPr>
            <w:tcW w:w="1444" w:type="dxa"/>
            <w:tcBorders>
              <w:top w:val="nil"/>
              <w:left w:val="nil"/>
              <w:bottom w:val="single" w:color="auto" w:sz="8" w:space="0"/>
              <w:right w:val="single" w:color="auto" w:sz="8" w:space="0"/>
            </w:tcBorders>
            <w:vAlign w:val="center"/>
          </w:tcPr>
          <w:p w14:paraId="0B8775EC">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66C3871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751368D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BE8FF74">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49CE8B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298C40B">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49A5B4B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3D92CA3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4AAB497">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3DEB14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14432B5">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205A26E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5717E8D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363EA6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B24767D">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0E28A06">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3DD608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442CBD5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B4C0341">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E25A03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2026年1月5日</w:t>
            </w:r>
          </w:p>
        </w:tc>
        <w:tc>
          <w:tcPr>
            <w:tcW w:w="1444" w:type="dxa"/>
            <w:tcBorders>
              <w:top w:val="nil"/>
              <w:left w:val="nil"/>
              <w:bottom w:val="single" w:color="auto" w:sz="8" w:space="0"/>
              <w:right w:val="single" w:color="auto" w:sz="8" w:space="0"/>
            </w:tcBorders>
            <w:vAlign w:val="center"/>
          </w:tcPr>
          <w:p w14:paraId="44804262">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77F92B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6C50CDC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3688F4C">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D4DFE2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41CB43B">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2C3AF18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6CDB5C4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2F3A0FC">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773E54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42E8BEA">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08BA445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0628A10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670A20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A04DF4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7F58BFE">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32085EC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42EE46C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FB768BB">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1A39B53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2026年1月6日</w:t>
            </w:r>
          </w:p>
        </w:tc>
        <w:tc>
          <w:tcPr>
            <w:tcW w:w="1444" w:type="dxa"/>
            <w:tcBorders>
              <w:top w:val="nil"/>
              <w:left w:val="nil"/>
              <w:bottom w:val="single" w:color="auto" w:sz="8" w:space="0"/>
              <w:right w:val="single" w:color="auto" w:sz="8" w:space="0"/>
            </w:tcBorders>
            <w:vAlign w:val="center"/>
          </w:tcPr>
          <w:p w14:paraId="32E8B174">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23EC7FC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68A705C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A1D8865">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A06778F">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525A63B">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6066F3E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1856BEC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A94C974">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9014925">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16000C2">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0B09F70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7345C80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2E0CB94">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4EEC1F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693C200">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0D86465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7D781CA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718A75D">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67D9726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2026年1月7日</w:t>
            </w:r>
          </w:p>
        </w:tc>
        <w:tc>
          <w:tcPr>
            <w:tcW w:w="1444" w:type="dxa"/>
            <w:tcBorders>
              <w:top w:val="nil"/>
              <w:left w:val="nil"/>
              <w:bottom w:val="single" w:color="auto" w:sz="8" w:space="0"/>
              <w:right w:val="single" w:color="auto" w:sz="8" w:space="0"/>
            </w:tcBorders>
            <w:vAlign w:val="center"/>
          </w:tcPr>
          <w:p w14:paraId="1C05B3AE">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21CAD5C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4C3D7F5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3EFA84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C169604">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985C71C">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0C3444B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2C69D20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E4A27E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DE9D52F">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EA4471C">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7F48F19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02F21F5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2AA2C3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56FB24C">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917BF97">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0F1DBD4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7FB3280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DA8ECFA">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7497F84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2026年1月8日</w:t>
            </w:r>
          </w:p>
        </w:tc>
        <w:tc>
          <w:tcPr>
            <w:tcW w:w="1444" w:type="dxa"/>
            <w:tcBorders>
              <w:top w:val="nil"/>
              <w:left w:val="nil"/>
              <w:bottom w:val="single" w:color="auto" w:sz="8" w:space="0"/>
              <w:right w:val="single" w:color="auto" w:sz="8" w:space="0"/>
            </w:tcBorders>
            <w:vAlign w:val="center"/>
          </w:tcPr>
          <w:p w14:paraId="051CBB40">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A4838A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0993998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7146772">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4D14979">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BFC5E40">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4BB8BF6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3EDAD94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E7591F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F6E1E0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E82D646">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3C630C4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69E7199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CCD8E2B">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4D3F59E">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2827ABF">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12ABF51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33F71D2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1CDE808">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34B78D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2026年1月9日</w:t>
            </w:r>
          </w:p>
        </w:tc>
        <w:tc>
          <w:tcPr>
            <w:tcW w:w="1444" w:type="dxa"/>
            <w:tcBorders>
              <w:top w:val="nil"/>
              <w:left w:val="nil"/>
              <w:bottom w:val="single" w:color="auto" w:sz="8" w:space="0"/>
              <w:right w:val="single" w:color="auto" w:sz="8" w:space="0"/>
            </w:tcBorders>
            <w:vAlign w:val="center"/>
          </w:tcPr>
          <w:p w14:paraId="716876B9">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F9F792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7EA2260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A25B75C">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3F810A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EA2998C">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1EE97E6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1A2A459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D98DB3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C1F9C22">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3B5B08C">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2C42CFC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3B27C49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2BB5C3C">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8CE491B">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CD76C73">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F6830D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6243C73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FAD85B5">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EEF5B1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2026年1月10日</w:t>
            </w:r>
          </w:p>
        </w:tc>
        <w:tc>
          <w:tcPr>
            <w:tcW w:w="1444" w:type="dxa"/>
            <w:tcBorders>
              <w:top w:val="nil"/>
              <w:left w:val="nil"/>
              <w:bottom w:val="single" w:color="auto" w:sz="8" w:space="0"/>
              <w:right w:val="single" w:color="auto" w:sz="8" w:space="0"/>
            </w:tcBorders>
            <w:vAlign w:val="center"/>
          </w:tcPr>
          <w:p w14:paraId="7F85DE83">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DB6360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0C029C4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D3E81E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20ACE4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398D662">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09653DD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0017BEA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B321F97">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CF2CEDB">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9F669B8">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7D42A09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4C3D563A">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29FA3256">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E69D805">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D9129EF">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050281E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0.005L</w:t>
            </w:r>
          </w:p>
        </w:tc>
      </w:tr>
      <w:tr w14:paraId="35DE3298">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6821BF77">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c>
          <w:tcPr>
            <w:tcW w:w="6778" w:type="dxa"/>
            <w:gridSpan w:val="3"/>
            <w:tcBorders>
              <w:top w:val="single" w:color="auto" w:sz="8" w:space="0"/>
              <w:left w:val="nil"/>
              <w:bottom w:val="single" w:color="auto" w:sz="8" w:space="0"/>
              <w:right w:val="single" w:color="000000" w:sz="8" w:space="0"/>
            </w:tcBorders>
            <w:vAlign w:val="center"/>
          </w:tcPr>
          <w:p w14:paraId="71BB349C">
            <w:pPr>
              <w:pStyle w:val="109"/>
              <w:rPr>
                <w:color w:val="000000" w:themeColor="text1"/>
                <w14:textFill>
                  <w14:solidFill>
                    <w14:schemeClr w14:val="tx1"/>
                  </w14:solidFill>
                </w14:textFill>
              </w:rPr>
            </w:pPr>
            <w:r>
              <w:rPr>
                <w:color w:val="000000" w:themeColor="text1"/>
                <w14:textFill>
                  <w14:solidFill>
                    <w14:schemeClr w14:val="tx1"/>
                  </w14:solidFill>
                </w14:textFill>
              </w:rPr>
              <w:t>氨</w:t>
            </w:r>
          </w:p>
        </w:tc>
      </w:tr>
      <w:tr w14:paraId="177D8C65">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2847B6AE">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6237F34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8</w:t>
            </w:r>
            <w:r>
              <w:rPr>
                <w:color w:val="000000" w:themeColor="text1"/>
                <w14:textFill>
                  <w14:solidFill>
                    <w14:schemeClr w14:val="tx1"/>
                  </w14:solidFill>
                </w14:textFill>
              </w:rPr>
              <w:t>日</w:t>
            </w:r>
            <w:r>
              <w:rPr>
                <w:rFonts w:eastAsia="等线"/>
                <w:color w:val="000000" w:themeColor="text1"/>
                <w14:textFill>
                  <w14:solidFill>
                    <w14:schemeClr w14:val="tx1"/>
                  </w14:solidFill>
                </w14:textFill>
              </w:rPr>
              <w:t>-13</w:t>
            </w:r>
            <w:r>
              <w:rPr>
                <w:color w:val="000000" w:themeColor="text1"/>
                <w14:textFill>
                  <w14:solidFill>
                    <w14:schemeClr w14:val="tx1"/>
                  </w14:solidFill>
                </w14:textFill>
              </w:rPr>
              <w:t>日</w:t>
            </w:r>
          </w:p>
        </w:tc>
      </w:tr>
      <w:tr w14:paraId="7D55BB8C">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467FB3BE">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2C1F4A94">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477CDF57">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1C90E2B3">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3BAEF1DC">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5D08F7D9">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C1921C4">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2B311F31">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16865D1D">
            <w:pPr>
              <w:pStyle w:val="109"/>
              <w:rPr>
                <w:color w:val="000000" w:themeColor="text1"/>
                <w14:textFill>
                  <w14:solidFill>
                    <w14:schemeClr w14:val="tx1"/>
                  </w14:solidFill>
                </w14:textFill>
              </w:rPr>
            </w:pPr>
            <w:r>
              <w:rPr>
                <w:color w:val="000000" w:themeColor="text1"/>
                <w14:textFill>
                  <w14:solidFill>
                    <w14:schemeClr w14:val="tx1"/>
                  </w14:solidFill>
                </w14:textFill>
              </w:rPr>
              <w:t>氨(mg/m³)</w:t>
            </w:r>
          </w:p>
        </w:tc>
      </w:tr>
      <w:tr w14:paraId="6F79FBC2">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17D53396">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6928BF8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5B48AD88">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418153F9">
            <w:pPr>
              <w:pStyle w:val="109"/>
              <w:rPr>
                <w:color w:val="000000" w:themeColor="text1"/>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197F432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2026年1月4日</w:t>
            </w:r>
          </w:p>
        </w:tc>
        <w:tc>
          <w:tcPr>
            <w:tcW w:w="1444" w:type="dxa"/>
            <w:tcBorders>
              <w:top w:val="nil"/>
              <w:left w:val="nil"/>
              <w:bottom w:val="single" w:color="auto" w:sz="8" w:space="0"/>
              <w:right w:val="single" w:color="auto" w:sz="8" w:space="0"/>
            </w:tcBorders>
            <w:vAlign w:val="center"/>
          </w:tcPr>
          <w:p w14:paraId="423F5AB9">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1388503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0.071</w:t>
            </w:r>
          </w:p>
        </w:tc>
      </w:tr>
      <w:tr w14:paraId="6523FDD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5BC4101">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216A33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97F9B38">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7F7275F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0.065</w:t>
            </w:r>
          </w:p>
        </w:tc>
      </w:tr>
      <w:tr w14:paraId="730351F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0CDDFAC">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50A96A9">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242AEAE">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3334288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0.076</w:t>
            </w:r>
          </w:p>
        </w:tc>
      </w:tr>
      <w:tr w14:paraId="39A9873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16BDD19">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20DF1CF">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C0250FD">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2FE9DBF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0.067</w:t>
            </w:r>
          </w:p>
        </w:tc>
      </w:tr>
      <w:tr w14:paraId="0E01835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7B486E5">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23A7D11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2026年1月5日</w:t>
            </w:r>
          </w:p>
        </w:tc>
        <w:tc>
          <w:tcPr>
            <w:tcW w:w="1444" w:type="dxa"/>
            <w:tcBorders>
              <w:top w:val="nil"/>
              <w:left w:val="nil"/>
              <w:bottom w:val="single" w:color="auto" w:sz="8" w:space="0"/>
              <w:right w:val="single" w:color="auto" w:sz="8" w:space="0"/>
            </w:tcBorders>
            <w:vAlign w:val="center"/>
          </w:tcPr>
          <w:p w14:paraId="780D2749">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2BA903B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0.074</w:t>
            </w:r>
          </w:p>
        </w:tc>
      </w:tr>
      <w:tr w14:paraId="05B688B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B1868FC">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2807739">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56A79EF">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50D4907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0.066</w:t>
            </w:r>
          </w:p>
        </w:tc>
      </w:tr>
      <w:tr w14:paraId="242E607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6A6738C">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AAB90C1">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2DD4695">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1DE98F6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0.064</w:t>
            </w:r>
          </w:p>
        </w:tc>
      </w:tr>
      <w:tr w14:paraId="4899897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2389CF7">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0EA656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B40162C">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149F916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0.069</w:t>
            </w:r>
          </w:p>
        </w:tc>
      </w:tr>
      <w:tr w14:paraId="2395EBF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53B4F6E">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0F63077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2026年1月6日</w:t>
            </w:r>
          </w:p>
        </w:tc>
        <w:tc>
          <w:tcPr>
            <w:tcW w:w="1444" w:type="dxa"/>
            <w:tcBorders>
              <w:top w:val="nil"/>
              <w:left w:val="nil"/>
              <w:bottom w:val="single" w:color="auto" w:sz="8" w:space="0"/>
              <w:right w:val="single" w:color="auto" w:sz="8" w:space="0"/>
            </w:tcBorders>
            <w:vAlign w:val="center"/>
          </w:tcPr>
          <w:p w14:paraId="6521B478">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59155CC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w:t>
            </w:r>
          </w:p>
        </w:tc>
      </w:tr>
      <w:tr w14:paraId="567D1CF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989D46B">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7A6F279">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AB0F17C">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212D009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0.072</w:t>
            </w:r>
          </w:p>
        </w:tc>
      </w:tr>
      <w:tr w14:paraId="00EA5B2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8CDF83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0B83BCF">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6DB4845">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4570514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0.068</w:t>
            </w:r>
          </w:p>
        </w:tc>
      </w:tr>
      <w:tr w14:paraId="2A60F06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9B7722F">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DA4437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1BC77EF">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2651C78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0.068</w:t>
            </w:r>
          </w:p>
        </w:tc>
      </w:tr>
      <w:tr w14:paraId="7728D7C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3F4194D">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267B966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2026年1月7日</w:t>
            </w:r>
          </w:p>
        </w:tc>
        <w:tc>
          <w:tcPr>
            <w:tcW w:w="1444" w:type="dxa"/>
            <w:tcBorders>
              <w:top w:val="nil"/>
              <w:left w:val="nil"/>
              <w:bottom w:val="single" w:color="auto" w:sz="8" w:space="0"/>
              <w:right w:val="single" w:color="auto" w:sz="8" w:space="0"/>
            </w:tcBorders>
            <w:vAlign w:val="center"/>
          </w:tcPr>
          <w:p w14:paraId="6E460226">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ECD5B0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0.073</w:t>
            </w:r>
          </w:p>
        </w:tc>
      </w:tr>
      <w:tr w14:paraId="0C26DBA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4E9EF43">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D8CC9C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D251163">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0218CAC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0.061</w:t>
            </w:r>
          </w:p>
        </w:tc>
      </w:tr>
      <w:tr w14:paraId="0EE54FA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9C650F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81D11C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E3ED13B">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7AEDC68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0.073</w:t>
            </w:r>
          </w:p>
        </w:tc>
      </w:tr>
      <w:tr w14:paraId="75264764">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E2D9F33">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7411FB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86ADEE3">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66F58CC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0.066</w:t>
            </w:r>
          </w:p>
        </w:tc>
      </w:tr>
      <w:tr w14:paraId="7493C5B8">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88DC1C3">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514F282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2026年1月8日</w:t>
            </w:r>
          </w:p>
        </w:tc>
        <w:tc>
          <w:tcPr>
            <w:tcW w:w="1444" w:type="dxa"/>
            <w:tcBorders>
              <w:top w:val="nil"/>
              <w:left w:val="nil"/>
              <w:bottom w:val="single" w:color="auto" w:sz="8" w:space="0"/>
              <w:right w:val="single" w:color="auto" w:sz="8" w:space="0"/>
            </w:tcBorders>
            <w:vAlign w:val="center"/>
          </w:tcPr>
          <w:p w14:paraId="64C584D0">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885156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0.078</w:t>
            </w:r>
          </w:p>
        </w:tc>
      </w:tr>
      <w:tr w14:paraId="05931D4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4151CD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900BE8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C99E0AA">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464CA64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0.073</w:t>
            </w:r>
          </w:p>
        </w:tc>
      </w:tr>
      <w:tr w14:paraId="5DD91A7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7D6E476">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A07818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CFFBE13">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5A2BD00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0.068</w:t>
            </w:r>
          </w:p>
        </w:tc>
      </w:tr>
      <w:tr w14:paraId="57672C9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CD9840C">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FABB65E">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98037A6">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36E3ACC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0.075</w:t>
            </w:r>
          </w:p>
        </w:tc>
      </w:tr>
      <w:tr w14:paraId="4A62B78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C26C42C">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6640969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2026年1月9日</w:t>
            </w:r>
          </w:p>
        </w:tc>
        <w:tc>
          <w:tcPr>
            <w:tcW w:w="1444" w:type="dxa"/>
            <w:tcBorders>
              <w:top w:val="nil"/>
              <w:left w:val="nil"/>
              <w:bottom w:val="single" w:color="auto" w:sz="8" w:space="0"/>
              <w:right w:val="single" w:color="auto" w:sz="8" w:space="0"/>
            </w:tcBorders>
            <w:vAlign w:val="center"/>
          </w:tcPr>
          <w:p w14:paraId="56DEDB94">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E9A8EB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0.072</w:t>
            </w:r>
          </w:p>
        </w:tc>
      </w:tr>
      <w:tr w14:paraId="2A4DDD2A">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828CD0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04F5F5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0094A7F">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5F7BC55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0.064</w:t>
            </w:r>
          </w:p>
        </w:tc>
      </w:tr>
      <w:tr w14:paraId="3E7BCE7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82A7033">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F1F0322">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3C80871">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6BF8AFC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0.072</w:t>
            </w:r>
          </w:p>
        </w:tc>
      </w:tr>
      <w:tr w14:paraId="2DB3239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EAB8F9B">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6B0FCE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EE24032">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8C58CB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0.071</w:t>
            </w:r>
          </w:p>
        </w:tc>
      </w:tr>
      <w:tr w14:paraId="0DE7590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C682D2B">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5399AD0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2026年1月10日</w:t>
            </w:r>
          </w:p>
        </w:tc>
        <w:tc>
          <w:tcPr>
            <w:tcW w:w="1444" w:type="dxa"/>
            <w:tcBorders>
              <w:top w:val="nil"/>
              <w:left w:val="nil"/>
              <w:bottom w:val="single" w:color="auto" w:sz="8" w:space="0"/>
              <w:right w:val="single" w:color="auto" w:sz="8" w:space="0"/>
            </w:tcBorders>
            <w:vAlign w:val="center"/>
          </w:tcPr>
          <w:p w14:paraId="498EC5CC">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546F31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0.075</w:t>
            </w:r>
          </w:p>
        </w:tc>
      </w:tr>
      <w:tr w14:paraId="74D317B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F4EF519">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31DA99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3FF8960">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2D46165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0.062</w:t>
            </w:r>
          </w:p>
        </w:tc>
      </w:tr>
      <w:tr w14:paraId="7FD073C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142803B">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F3E37DE">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0F210B9">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0178513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0.061</w:t>
            </w:r>
          </w:p>
        </w:tc>
      </w:tr>
      <w:tr w14:paraId="267AC8FA">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7AF7BB51">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CDA0632">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32C51B5">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7647404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0.074</w:t>
            </w:r>
          </w:p>
        </w:tc>
      </w:tr>
      <w:tr w14:paraId="07AFC4D4">
        <w:tblPrEx>
          <w:tblCellMar>
            <w:top w:w="0" w:type="dxa"/>
            <w:left w:w="108" w:type="dxa"/>
            <w:bottom w:w="0" w:type="dxa"/>
            <w:right w:w="108" w:type="dxa"/>
          </w:tblCellMar>
        </w:tblPrEx>
        <w:tc>
          <w:tcPr>
            <w:tcW w:w="9462" w:type="dxa"/>
            <w:gridSpan w:val="4"/>
            <w:tcBorders>
              <w:top w:val="single" w:color="auto" w:sz="8" w:space="0"/>
              <w:left w:val="single" w:color="auto" w:sz="8" w:space="0"/>
              <w:bottom w:val="single" w:color="auto" w:sz="8" w:space="0"/>
              <w:right w:val="single" w:color="000000" w:sz="8" w:space="0"/>
            </w:tcBorders>
            <w:vAlign w:val="center"/>
          </w:tcPr>
          <w:p w14:paraId="4F7CF42A">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1F4A52BD">
        <w:tblPrEx>
          <w:tblCellMar>
            <w:top w:w="0" w:type="dxa"/>
            <w:left w:w="108" w:type="dxa"/>
            <w:bottom w:w="0" w:type="dxa"/>
            <w:right w:w="108" w:type="dxa"/>
          </w:tblCellMar>
        </w:tblPrEx>
        <w:tc>
          <w:tcPr>
            <w:tcW w:w="9462" w:type="dxa"/>
            <w:gridSpan w:val="4"/>
            <w:tcBorders>
              <w:top w:val="single" w:color="auto" w:sz="8" w:space="0"/>
              <w:left w:val="single" w:color="auto" w:sz="8" w:space="0"/>
              <w:bottom w:val="single" w:color="auto" w:sz="8" w:space="0"/>
              <w:right w:val="single" w:color="000000" w:sz="8" w:space="0"/>
            </w:tcBorders>
            <w:vAlign w:val="center"/>
          </w:tcPr>
          <w:p w14:paraId="7D1EBD1F">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r>
      <w:tr w14:paraId="7C00977B">
        <w:tblPrEx>
          <w:tblCellMar>
            <w:top w:w="0" w:type="dxa"/>
            <w:left w:w="108" w:type="dxa"/>
            <w:bottom w:w="0" w:type="dxa"/>
            <w:right w:w="108" w:type="dxa"/>
          </w:tblCellMar>
        </w:tblPrEx>
        <w:tc>
          <w:tcPr>
            <w:tcW w:w="2684" w:type="dxa"/>
            <w:tcBorders>
              <w:top w:val="nil"/>
              <w:left w:val="single" w:color="auto" w:sz="8" w:space="0"/>
              <w:bottom w:val="single" w:color="auto" w:sz="8" w:space="0"/>
              <w:right w:val="single" w:color="auto" w:sz="8" w:space="0"/>
            </w:tcBorders>
            <w:vAlign w:val="center"/>
          </w:tcPr>
          <w:p w14:paraId="0154D589">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分析日期</w:t>
            </w:r>
          </w:p>
        </w:tc>
        <w:tc>
          <w:tcPr>
            <w:tcW w:w="6778" w:type="dxa"/>
            <w:gridSpan w:val="3"/>
            <w:tcBorders>
              <w:top w:val="single" w:color="auto" w:sz="8" w:space="0"/>
              <w:left w:val="nil"/>
              <w:bottom w:val="single" w:color="auto" w:sz="8" w:space="0"/>
              <w:right w:val="single" w:color="000000" w:sz="8" w:space="0"/>
            </w:tcBorders>
            <w:vAlign w:val="center"/>
          </w:tcPr>
          <w:p w14:paraId="2E90971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w:t>
            </w:r>
            <w:r>
              <w:rPr>
                <w:color w:val="000000" w:themeColor="text1"/>
                <w14:textFill>
                  <w14:solidFill>
                    <w14:schemeClr w14:val="tx1"/>
                  </w14:solidFill>
                </w14:textFill>
              </w:rPr>
              <w:t>年</w:t>
            </w:r>
            <w:r>
              <w:rPr>
                <w:rFonts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eastAsia="等线"/>
                <w:color w:val="000000" w:themeColor="text1"/>
                <w14:textFill>
                  <w14:solidFill>
                    <w14:schemeClr w14:val="tx1"/>
                  </w14:solidFill>
                </w14:textFill>
              </w:rPr>
              <w:t>6</w:t>
            </w:r>
            <w:r>
              <w:rPr>
                <w:color w:val="000000" w:themeColor="text1"/>
                <w14:textFill>
                  <w14:solidFill>
                    <w14:schemeClr w14:val="tx1"/>
                  </w14:solidFill>
                </w14:textFill>
              </w:rPr>
              <w:t>日</w:t>
            </w:r>
            <w:r>
              <w:rPr>
                <w:rFonts w:eastAsia="等线"/>
                <w:color w:val="000000" w:themeColor="text1"/>
                <w14:textFill>
                  <w14:solidFill>
                    <w14:schemeClr w14:val="tx1"/>
                  </w14:solidFill>
                </w14:textFill>
              </w:rPr>
              <w:t>-12</w:t>
            </w:r>
            <w:r>
              <w:rPr>
                <w:color w:val="000000" w:themeColor="text1"/>
                <w14:textFill>
                  <w14:solidFill>
                    <w14:schemeClr w14:val="tx1"/>
                  </w14:solidFill>
                </w14:textFill>
              </w:rPr>
              <w:t>日</w:t>
            </w:r>
          </w:p>
        </w:tc>
      </w:tr>
      <w:tr w14:paraId="261FFAFC">
        <w:tblPrEx>
          <w:tblCellMar>
            <w:top w:w="0" w:type="dxa"/>
            <w:left w:w="108" w:type="dxa"/>
            <w:bottom w:w="0" w:type="dxa"/>
            <w:right w:w="108" w:type="dxa"/>
          </w:tblCellMar>
        </w:tblPrEx>
        <w:tc>
          <w:tcPr>
            <w:tcW w:w="2684" w:type="dxa"/>
            <w:vMerge w:val="restart"/>
            <w:tcBorders>
              <w:top w:val="nil"/>
              <w:left w:val="single" w:color="auto" w:sz="8" w:space="0"/>
              <w:bottom w:val="single" w:color="000000" w:sz="8" w:space="0"/>
              <w:right w:val="single" w:color="auto" w:sz="8" w:space="0"/>
            </w:tcBorders>
            <w:vAlign w:val="center"/>
          </w:tcPr>
          <w:p w14:paraId="3DC03E63">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采样点位</w:t>
            </w:r>
          </w:p>
        </w:tc>
        <w:tc>
          <w:tcPr>
            <w:tcW w:w="2551" w:type="dxa"/>
            <w:vMerge w:val="restart"/>
            <w:tcBorders>
              <w:top w:val="nil"/>
              <w:left w:val="single" w:color="auto" w:sz="8" w:space="0"/>
              <w:bottom w:val="single" w:color="000000" w:sz="8" w:space="0"/>
              <w:right w:val="single" w:color="auto" w:sz="8" w:space="0"/>
            </w:tcBorders>
            <w:vAlign w:val="center"/>
          </w:tcPr>
          <w:p w14:paraId="13261F07">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采样日期</w:t>
            </w:r>
          </w:p>
        </w:tc>
        <w:tc>
          <w:tcPr>
            <w:tcW w:w="1444" w:type="dxa"/>
            <w:vMerge w:val="restart"/>
            <w:tcBorders>
              <w:top w:val="nil"/>
              <w:left w:val="single" w:color="auto" w:sz="8" w:space="0"/>
              <w:bottom w:val="single" w:color="000000" w:sz="8" w:space="0"/>
              <w:right w:val="single" w:color="auto" w:sz="8" w:space="0"/>
            </w:tcBorders>
            <w:vAlign w:val="center"/>
          </w:tcPr>
          <w:p w14:paraId="388118D3">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采样频次</w:t>
            </w:r>
          </w:p>
        </w:tc>
        <w:tc>
          <w:tcPr>
            <w:tcW w:w="2783" w:type="dxa"/>
            <w:tcBorders>
              <w:top w:val="nil"/>
              <w:left w:val="nil"/>
              <w:bottom w:val="single" w:color="auto" w:sz="8" w:space="0"/>
              <w:right w:val="single" w:color="auto" w:sz="8" w:space="0"/>
            </w:tcBorders>
            <w:vAlign w:val="center"/>
          </w:tcPr>
          <w:p w14:paraId="4BA222DB">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检测项目</w:t>
            </w:r>
          </w:p>
        </w:tc>
      </w:tr>
      <w:tr w14:paraId="6EC58870">
        <w:tblPrEx>
          <w:tblCellMar>
            <w:top w:w="0" w:type="dxa"/>
            <w:left w:w="108" w:type="dxa"/>
            <w:bottom w:w="0" w:type="dxa"/>
            <w:right w:w="108" w:type="dxa"/>
          </w:tblCellMar>
        </w:tblPrEx>
        <w:tc>
          <w:tcPr>
            <w:tcW w:w="2684" w:type="dxa"/>
            <w:vMerge w:val="continue"/>
            <w:tcBorders>
              <w:top w:val="nil"/>
              <w:left w:val="single" w:color="auto" w:sz="8" w:space="0"/>
              <w:bottom w:val="single" w:color="000000" w:sz="8" w:space="0"/>
              <w:right w:val="single" w:color="auto" w:sz="8" w:space="0"/>
            </w:tcBorders>
            <w:vAlign w:val="center"/>
          </w:tcPr>
          <w:p w14:paraId="33EC5DB4">
            <w:pPr>
              <w:pStyle w:val="109"/>
              <w:rPr>
                <w:b/>
                <w:bCs/>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DD39929">
            <w:pPr>
              <w:pStyle w:val="109"/>
              <w:rPr>
                <w:b/>
                <w:bCs/>
                <w:color w:val="000000" w:themeColor="text1"/>
                <w14:textFill>
                  <w14:solidFill>
                    <w14:schemeClr w14:val="tx1"/>
                  </w14:solidFill>
                </w14:textFill>
              </w:rPr>
            </w:pPr>
          </w:p>
        </w:tc>
        <w:tc>
          <w:tcPr>
            <w:tcW w:w="1444" w:type="dxa"/>
            <w:vMerge w:val="continue"/>
            <w:tcBorders>
              <w:top w:val="nil"/>
              <w:left w:val="single" w:color="auto" w:sz="8" w:space="0"/>
              <w:bottom w:val="single" w:color="000000" w:sz="8" w:space="0"/>
              <w:right w:val="single" w:color="auto" w:sz="8" w:space="0"/>
            </w:tcBorders>
            <w:vAlign w:val="center"/>
          </w:tcPr>
          <w:p w14:paraId="09A77A69">
            <w:pPr>
              <w:pStyle w:val="109"/>
              <w:rPr>
                <w:b/>
                <w:bCs/>
                <w:color w:val="000000" w:themeColor="text1"/>
                <w14:textFill>
                  <w14:solidFill>
                    <w14:schemeClr w14:val="tx1"/>
                  </w14:solidFill>
                </w14:textFill>
              </w:rPr>
            </w:pPr>
          </w:p>
        </w:tc>
        <w:tc>
          <w:tcPr>
            <w:tcW w:w="2783" w:type="dxa"/>
            <w:tcBorders>
              <w:top w:val="nil"/>
              <w:left w:val="nil"/>
              <w:bottom w:val="single" w:color="auto" w:sz="8" w:space="0"/>
              <w:right w:val="single" w:color="auto" w:sz="8" w:space="0"/>
            </w:tcBorders>
            <w:vAlign w:val="center"/>
          </w:tcPr>
          <w:p w14:paraId="790FD0AD">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非甲烷总烃(mg/m³)</w:t>
            </w:r>
          </w:p>
        </w:tc>
      </w:tr>
      <w:tr w14:paraId="44812764">
        <w:tblPrEx>
          <w:tblCellMar>
            <w:top w:w="0" w:type="dxa"/>
            <w:left w:w="108" w:type="dxa"/>
            <w:bottom w:w="0" w:type="dxa"/>
            <w:right w:w="108" w:type="dxa"/>
          </w:tblCellMar>
        </w:tblPrEx>
        <w:tc>
          <w:tcPr>
            <w:tcW w:w="2684" w:type="dxa"/>
            <w:vMerge w:val="restart"/>
            <w:tcBorders>
              <w:top w:val="nil"/>
              <w:left w:val="single" w:color="auto" w:sz="8" w:space="0"/>
              <w:right w:val="single" w:color="auto" w:sz="8" w:space="0"/>
            </w:tcBorders>
            <w:vAlign w:val="center"/>
          </w:tcPr>
          <w:p w14:paraId="5E6C5D24">
            <w:pPr>
              <w:pStyle w:val="109"/>
              <w:rPr>
                <w:color w:val="000000" w:themeColor="text1"/>
                <w14:textFill>
                  <w14:solidFill>
                    <w14:schemeClr w14:val="tx1"/>
                  </w14:solidFill>
                </w14:textFill>
              </w:rPr>
            </w:pPr>
            <w:r>
              <w:rPr>
                <w:color w:val="000000" w:themeColor="text1"/>
                <w14:textFill>
                  <w14:solidFill>
                    <w14:schemeClr w14:val="tx1"/>
                  </w14:solidFill>
                </w14:textFill>
              </w:rPr>
              <w:t>厂界东侧1000米1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xml:space="preserve"> </w:t>
            </w:r>
          </w:p>
          <w:p w14:paraId="7E3E274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E</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87°42′21.76″</w:t>
            </w:r>
          </w:p>
          <w:p w14:paraId="3176FDDB">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44°08′35.19″</w:t>
            </w:r>
          </w:p>
          <w:p w14:paraId="2B1019D0">
            <w:pPr>
              <w:pStyle w:val="109"/>
              <w:rPr>
                <w:color w:val="000000" w:themeColor="text1"/>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23BB146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2026年1月4日</w:t>
            </w:r>
          </w:p>
        </w:tc>
        <w:tc>
          <w:tcPr>
            <w:tcW w:w="1444" w:type="dxa"/>
            <w:tcBorders>
              <w:top w:val="nil"/>
              <w:left w:val="nil"/>
              <w:bottom w:val="single" w:color="auto" w:sz="8" w:space="0"/>
              <w:right w:val="single" w:color="auto" w:sz="8" w:space="0"/>
            </w:tcBorders>
            <w:vAlign w:val="center"/>
          </w:tcPr>
          <w:p w14:paraId="5B0ABD6F">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46123B7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0.76</w:t>
            </w:r>
          </w:p>
        </w:tc>
      </w:tr>
      <w:tr w14:paraId="4EC4776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9D10045">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20421D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3933FF4">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4309170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w:t>
            </w:r>
          </w:p>
        </w:tc>
      </w:tr>
      <w:tr w14:paraId="03A8D8F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2247AEF">
            <w:pPr>
              <w:pStyle w:val="109"/>
              <w:rPr>
                <w:rFonts w:eastAsia="等线"/>
                <w:color w:val="000000" w:themeColor="text1"/>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2C8D139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B356FDB">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0C1102E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w:t>
            </w:r>
          </w:p>
        </w:tc>
      </w:tr>
      <w:tr w14:paraId="7409C99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F986A65">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536AFC3">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E01841C">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4B360FD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0.82</w:t>
            </w:r>
          </w:p>
        </w:tc>
      </w:tr>
      <w:tr w14:paraId="5329FF59">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3688CCE7">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3929826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2026年1月5日</w:t>
            </w:r>
          </w:p>
        </w:tc>
        <w:tc>
          <w:tcPr>
            <w:tcW w:w="1444" w:type="dxa"/>
            <w:tcBorders>
              <w:top w:val="nil"/>
              <w:left w:val="nil"/>
              <w:bottom w:val="single" w:color="auto" w:sz="8" w:space="0"/>
              <w:right w:val="single" w:color="auto" w:sz="8" w:space="0"/>
            </w:tcBorders>
            <w:vAlign w:val="center"/>
          </w:tcPr>
          <w:p w14:paraId="087B6928">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17DD39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w:t>
            </w:r>
          </w:p>
        </w:tc>
      </w:tr>
      <w:tr w14:paraId="36BA0F5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D35D07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48BA0C6">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BA3BE92">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33D2BD6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0.78</w:t>
            </w:r>
          </w:p>
        </w:tc>
      </w:tr>
      <w:tr w14:paraId="5B4C06F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AEC1391">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DB75EA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EB79A6B">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54ABBB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0.83</w:t>
            </w:r>
          </w:p>
        </w:tc>
      </w:tr>
      <w:tr w14:paraId="02E9FA6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EB4C64B">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827EF6E">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3F19340A">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44EE3EB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w:t>
            </w:r>
          </w:p>
        </w:tc>
      </w:tr>
      <w:tr w14:paraId="3FB8184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5392E04">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5DA74A6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2026年1月6日</w:t>
            </w:r>
          </w:p>
        </w:tc>
        <w:tc>
          <w:tcPr>
            <w:tcW w:w="1444" w:type="dxa"/>
            <w:tcBorders>
              <w:top w:val="nil"/>
              <w:left w:val="nil"/>
              <w:bottom w:val="single" w:color="auto" w:sz="8" w:space="0"/>
              <w:right w:val="single" w:color="auto" w:sz="8" w:space="0"/>
            </w:tcBorders>
            <w:vAlign w:val="center"/>
          </w:tcPr>
          <w:p w14:paraId="75DE91C2">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68AA3B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0.73</w:t>
            </w:r>
          </w:p>
        </w:tc>
      </w:tr>
      <w:tr w14:paraId="7AB483C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487F91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F6BC205">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3FF0B6A">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0A65B3E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0.78</w:t>
            </w:r>
          </w:p>
        </w:tc>
      </w:tr>
      <w:tr w14:paraId="75105F17">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A316793">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545F686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B3587A4">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7FA1964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0.77</w:t>
            </w:r>
          </w:p>
        </w:tc>
      </w:tr>
      <w:tr w14:paraId="1816E5B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01CE214">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F19E252">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5F0C4173">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7437B49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0.82</w:t>
            </w:r>
          </w:p>
        </w:tc>
      </w:tr>
      <w:tr w14:paraId="7A955DB0">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1773216">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14C94DF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2026年1月7日</w:t>
            </w:r>
          </w:p>
        </w:tc>
        <w:tc>
          <w:tcPr>
            <w:tcW w:w="1444" w:type="dxa"/>
            <w:tcBorders>
              <w:top w:val="nil"/>
              <w:left w:val="nil"/>
              <w:bottom w:val="single" w:color="auto" w:sz="8" w:space="0"/>
              <w:right w:val="single" w:color="auto" w:sz="8" w:space="0"/>
            </w:tcBorders>
            <w:vAlign w:val="center"/>
          </w:tcPr>
          <w:p w14:paraId="09C0934A">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3BDF24D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0.85</w:t>
            </w:r>
          </w:p>
        </w:tc>
      </w:tr>
      <w:tr w14:paraId="0D94E0E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F38265E">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824C0B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500DFEC">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3D9B659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0.79</w:t>
            </w:r>
          </w:p>
        </w:tc>
      </w:tr>
      <w:tr w14:paraId="22DF4C2B">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23855E6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E8376C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46F7BB8">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63E9FEC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0.82</w:t>
            </w:r>
          </w:p>
        </w:tc>
      </w:tr>
      <w:tr w14:paraId="415C047F">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B79D27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3B8C8FC0">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A73954A">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F32F7D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0.84</w:t>
            </w:r>
          </w:p>
        </w:tc>
      </w:tr>
      <w:tr w14:paraId="3BD1763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22557DA">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6DA8064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2026年1月8日</w:t>
            </w:r>
          </w:p>
        </w:tc>
        <w:tc>
          <w:tcPr>
            <w:tcW w:w="1444" w:type="dxa"/>
            <w:tcBorders>
              <w:top w:val="nil"/>
              <w:left w:val="nil"/>
              <w:bottom w:val="single" w:color="auto" w:sz="8" w:space="0"/>
              <w:right w:val="single" w:color="auto" w:sz="8" w:space="0"/>
            </w:tcBorders>
            <w:vAlign w:val="center"/>
          </w:tcPr>
          <w:p w14:paraId="6204F76E">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39525A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0.87</w:t>
            </w:r>
          </w:p>
        </w:tc>
      </w:tr>
      <w:tr w14:paraId="2E9EBAF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6DB0146F">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70CCFFA">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619361CA">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6E1B768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0.76</w:t>
            </w:r>
          </w:p>
        </w:tc>
      </w:tr>
      <w:tr w14:paraId="451EA76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1A783A54">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16267C2">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7333CA5">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53AA3E2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0.79</w:t>
            </w:r>
          </w:p>
        </w:tc>
      </w:tr>
      <w:tr w14:paraId="08CBDD81">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408AFFF">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1C54AF77">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7DC3C4C">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5702282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0.76</w:t>
            </w:r>
          </w:p>
        </w:tc>
      </w:tr>
      <w:tr w14:paraId="471466B6">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FFD5636">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04E11FE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2026年1月9日</w:t>
            </w:r>
          </w:p>
        </w:tc>
        <w:tc>
          <w:tcPr>
            <w:tcW w:w="1444" w:type="dxa"/>
            <w:tcBorders>
              <w:top w:val="nil"/>
              <w:left w:val="nil"/>
              <w:bottom w:val="single" w:color="auto" w:sz="8" w:space="0"/>
              <w:right w:val="single" w:color="auto" w:sz="8" w:space="0"/>
            </w:tcBorders>
            <w:vAlign w:val="center"/>
          </w:tcPr>
          <w:p w14:paraId="4B908813">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02C1277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0.79</w:t>
            </w:r>
          </w:p>
        </w:tc>
      </w:tr>
      <w:tr w14:paraId="41B13733">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74B52377">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41E8AC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02BF12EC">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7745894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0.82</w:t>
            </w:r>
          </w:p>
        </w:tc>
      </w:tr>
      <w:tr w14:paraId="154ED1C2">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469F8368">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0810B7D">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21A2AB08">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788805A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0.75</w:t>
            </w:r>
          </w:p>
        </w:tc>
      </w:tr>
      <w:tr w14:paraId="52F9DE2C">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BD1C889">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0A06E712">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45DB52F7">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0A0A94C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0.82</w:t>
            </w:r>
          </w:p>
        </w:tc>
      </w:tr>
      <w:tr w14:paraId="08859EBD">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6CD15F3">
            <w:pPr>
              <w:pStyle w:val="109"/>
              <w:rPr>
                <w:rFonts w:eastAsia="等线"/>
                <w:color w:val="000000" w:themeColor="text1"/>
                <w:sz w:val="22"/>
                <w:szCs w:val="22"/>
                <w14:textFill>
                  <w14:solidFill>
                    <w14:schemeClr w14:val="tx1"/>
                  </w14:solidFill>
                </w14:textFill>
              </w:rPr>
            </w:pPr>
          </w:p>
        </w:tc>
        <w:tc>
          <w:tcPr>
            <w:tcW w:w="2551" w:type="dxa"/>
            <w:vMerge w:val="restart"/>
            <w:tcBorders>
              <w:top w:val="nil"/>
              <w:left w:val="single" w:color="auto" w:sz="8" w:space="0"/>
              <w:bottom w:val="single" w:color="000000" w:sz="8" w:space="0"/>
              <w:right w:val="single" w:color="auto" w:sz="8" w:space="0"/>
            </w:tcBorders>
            <w:vAlign w:val="center"/>
          </w:tcPr>
          <w:p w14:paraId="14CFEE8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2026年1月10日</w:t>
            </w:r>
          </w:p>
        </w:tc>
        <w:tc>
          <w:tcPr>
            <w:tcW w:w="1444" w:type="dxa"/>
            <w:tcBorders>
              <w:top w:val="nil"/>
              <w:left w:val="nil"/>
              <w:bottom w:val="single" w:color="auto" w:sz="8" w:space="0"/>
              <w:right w:val="single" w:color="auto" w:sz="8" w:space="0"/>
            </w:tcBorders>
            <w:vAlign w:val="center"/>
          </w:tcPr>
          <w:p w14:paraId="07FFB147">
            <w:pPr>
              <w:pStyle w:val="109"/>
              <w:rPr>
                <w:color w:val="000000" w:themeColor="text1"/>
                <w14:textFill>
                  <w14:solidFill>
                    <w14:schemeClr w14:val="tx1"/>
                  </w14:solidFill>
                </w14:textFill>
              </w:rPr>
            </w:pPr>
            <w:r>
              <w:rPr>
                <w:color w:val="000000" w:themeColor="text1"/>
                <w14:textFill>
                  <w14:solidFill>
                    <w14:schemeClr w14:val="tx1"/>
                  </w14:solidFill>
                </w14:textFill>
              </w:rPr>
              <w:t>第1次</w:t>
            </w:r>
          </w:p>
        </w:tc>
        <w:tc>
          <w:tcPr>
            <w:tcW w:w="2783" w:type="dxa"/>
            <w:tcBorders>
              <w:top w:val="nil"/>
              <w:left w:val="nil"/>
              <w:bottom w:val="single" w:color="auto" w:sz="8" w:space="0"/>
              <w:right w:val="single" w:color="auto" w:sz="8" w:space="0"/>
            </w:tcBorders>
            <w:vAlign w:val="center"/>
          </w:tcPr>
          <w:p w14:paraId="7740B5A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0.9</w:t>
            </w:r>
          </w:p>
        </w:tc>
      </w:tr>
      <w:tr w14:paraId="4283F58E">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09276ED6">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48D3C7BB">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FA22F6A">
            <w:pPr>
              <w:pStyle w:val="109"/>
              <w:rPr>
                <w:color w:val="000000" w:themeColor="text1"/>
                <w14:textFill>
                  <w14:solidFill>
                    <w14:schemeClr w14:val="tx1"/>
                  </w14:solidFill>
                </w14:textFill>
              </w:rPr>
            </w:pPr>
            <w:r>
              <w:rPr>
                <w:color w:val="000000" w:themeColor="text1"/>
                <w14:textFill>
                  <w14:solidFill>
                    <w14:schemeClr w14:val="tx1"/>
                  </w14:solidFill>
                </w14:textFill>
              </w:rPr>
              <w:t>第2次</w:t>
            </w:r>
          </w:p>
        </w:tc>
        <w:tc>
          <w:tcPr>
            <w:tcW w:w="2783" w:type="dxa"/>
            <w:tcBorders>
              <w:top w:val="nil"/>
              <w:left w:val="nil"/>
              <w:bottom w:val="single" w:color="auto" w:sz="8" w:space="0"/>
              <w:right w:val="single" w:color="auto" w:sz="8" w:space="0"/>
            </w:tcBorders>
            <w:vAlign w:val="center"/>
          </w:tcPr>
          <w:p w14:paraId="0C01F79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0.86</w:t>
            </w:r>
          </w:p>
        </w:tc>
      </w:tr>
      <w:tr w14:paraId="243CAAF5">
        <w:tblPrEx>
          <w:tblCellMar>
            <w:top w:w="0" w:type="dxa"/>
            <w:left w:w="108" w:type="dxa"/>
            <w:bottom w:w="0" w:type="dxa"/>
            <w:right w:w="108" w:type="dxa"/>
          </w:tblCellMar>
        </w:tblPrEx>
        <w:tc>
          <w:tcPr>
            <w:tcW w:w="2684" w:type="dxa"/>
            <w:vMerge w:val="continue"/>
            <w:tcBorders>
              <w:left w:val="single" w:color="auto" w:sz="8" w:space="0"/>
              <w:right w:val="single" w:color="auto" w:sz="8" w:space="0"/>
            </w:tcBorders>
            <w:vAlign w:val="center"/>
          </w:tcPr>
          <w:p w14:paraId="5B702E0A">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79A30D39">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7F3F2A81">
            <w:pPr>
              <w:pStyle w:val="109"/>
              <w:rPr>
                <w:color w:val="000000" w:themeColor="text1"/>
                <w14:textFill>
                  <w14:solidFill>
                    <w14:schemeClr w14:val="tx1"/>
                  </w14:solidFill>
                </w14:textFill>
              </w:rPr>
            </w:pPr>
            <w:r>
              <w:rPr>
                <w:color w:val="000000" w:themeColor="text1"/>
                <w14:textFill>
                  <w14:solidFill>
                    <w14:schemeClr w14:val="tx1"/>
                  </w14:solidFill>
                </w14:textFill>
              </w:rPr>
              <w:t>第3次</w:t>
            </w:r>
          </w:p>
        </w:tc>
        <w:tc>
          <w:tcPr>
            <w:tcW w:w="2783" w:type="dxa"/>
            <w:tcBorders>
              <w:top w:val="nil"/>
              <w:left w:val="nil"/>
              <w:bottom w:val="single" w:color="auto" w:sz="8" w:space="0"/>
              <w:right w:val="single" w:color="auto" w:sz="8" w:space="0"/>
            </w:tcBorders>
            <w:vAlign w:val="center"/>
          </w:tcPr>
          <w:p w14:paraId="354E9F2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0.83</w:t>
            </w:r>
          </w:p>
        </w:tc>
      </w:tr>
      <w:tr w14:paraId="7839EC7E">
        <w:tblPrEx>
          <w:tblCellMar>
            <w:top w:w="0" w:type="dxa"/>
            <w:left w:w="108" w:type="dxa"/>
            <w:bottom w:w="0" w:type="dxa"/>
            <w:right w:w="108" w:type="dxa"/>
          </w:tblCellMar>
        </w:tblPrEx>
        <w:tc>
          <w:tcPr>
            <w:tcW w:w="2684" w:type="dxa"/>
            <w:vMerge w:val="continue"/>
            <w:tcBorders>
              <w:left w:val="single" w:color="auto" w:sz="8" w:space="0"/>
              <w:bottom w:val="single" w:color="auto" w:sz="8" w:space="0"/>
              <w:right w:val="single" w:color="auto" w:sz="8" w:space="0"/>
            </w:tcBorders>
            <w:vAlign w:val="center"/>
          </w:tcPr>
          <w:p w14:paraId="46774249">
            <w:pPr>
              <w:pStyle w:val="109"/>
              <w:rPr>
                <w:rFonts w:eastAsia="等线"/>
                <w:color w:val="000000" w:themeColor="text1"/>
                <w:sz w:val="22"/>
                <w:szCs w:val="22"/>
                <w14:textFill>
                  <w14:solidFill>
                    <w14:schemeClr w14:val="tx1"/>
                  </w14:solidFill>
                </w14:textFill>
              </w:rPr>
            </w:pPr>
          </w:p>
        </w:tc>
        <w:tc>
          <w:tcPr>
            <w:tcW w:w="2551" w:type="dxa"/>
            <w:vMerge w:val="continue"/>
            <w:tcBorders>
              <w:top w:val="nil"/>
              <w:left w:val="single" w:color="auto" w:sz="8" w:space="0"/>
              <w:bottom w:val="single" w:color="000000" w:sz="8" w:space="0"/>
              <w:right w:val="single" w:color="auto" w:sz="8" w:space="0"/>
            </w:tcBorders>
            <w:vAlign w:val="center"/>
          </w:tcPr>
          <w:p w14:paraId="6836B6B8">
            <w:pPr>
              <w:pStyle w:val="109"/>
              <w:rPr>
                <w:rFonts w:eastAsia="等线"/>
                <w:color w:val="000000" w:themeColor="text1"/>
                <w14:textFill>
                  <w14:solidFill>
                    <w14:schemeClr w14:val="tx1"/>
                  </w14:solidFill>
                </w14:textFill>
              </w:rPr>
            </w:pPr>
          </w:p>
        </w:tc>
        <w:tc>
          <w:tcPr>
            <w:tcW w:w="1444" w:type="dxa"/>
            <w:tcBorders>
              <w:top w:val="nil"/>
              <w:left w:val="nil"/>
              <w:bottom w:val="single" w:color="auto" w:sz="8" w:space="0"/>
              <w:right w:val="single" w:color="auto" w:sz="8" w:space="0"/>
            </w:tcBorders>
            <w:vAlign w:val="center"/>
          </w:tcPr>
          <w:p w14:paraId="160CA6A2">
            <w:pPr>
              <w:pStyle w:val="109"/>
              <w:rPr>
                <w:color w:val="000000" w:themeColor="text1"/>
                <w14:textFill>
                  <w14:solidFill>
                    <w14:schemeClr w14:val="tx1"/>
                  </w14:solidFill>
                </w14:textFill>
              </w:rPr>
            </w:pPr>
            <w:r>
              <w:rPr>
                <w:color w:val="000000" w:themeColor="text1"/>
                <w14:textFill>
                  <w14:solidFill>
                    <w14:schemeClr w14:val="tx1"/>
                  </w14:solidFill>
                </w14:textFill>
              </w:rPr>
              <w:t>第4次</w:t>
            </w:r>
          </w:p>
        </w:tc>
        <w:tc>
          <w:tcPr>
            <w:tcW w:w="2783" w:type="dxa"/>
            <w:tcBorders>
              <w:top w:val="nil"/>
              <w:left w:val="nil"/>
              <w:bottom w:val="single" w:color="auto" w:sz="8" w:space="0"/>
              <w:right w:val="single" w:color="auto" w:sz="8" w:space="0"/>
            </w:tcBorders>
            <w:vAlign w:val="center"/>
          </w:tcPr>
          <w:p w14:paraId="7E615D0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0.84</w:t>
            </w:r>
          </w:p>
        </w:tc>
      </w:tr>
    </w:tbl>
    <w:p w14:paraId="6921D29C">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环境空气</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624"/>
        <w:gridCol w:w="6"/>
        <w:gridCol w:w="1618"/>
        <w:gridCol w:w="1624"/>
        <w:gridCol w:w="1916"/>
        <w:gridCol w:w="6"/>
      </w:tblGrid>
      <w:tr w14:paraId="38DE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49" w:hRule="atLeast"/>
        </w:trPr>
        <w:tc>
          <w:tcPr>
            <w:tcW w:w="2689" w:type="dxa"/>
            <w:vAlign w:val="center"/>
          </w:tcPr>
          <w:p w14:paraId="0A01A15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br w:type="page"/>
            </w:r>
            <w:r>
              <w:rPr>
                <w:rFonts w:hint="eastAsia"/>
                <w:color w:val="000000" w:themeColor="text1"/>
                <w14:textFill>
                  <w14:solidFill>
                    <w14:schemeClr w14:val="tx1"/>
                  </w14:solidFill>
                </w14:textFill>
              </w:rPr>
              <w:t>二噁英类</w:t>
            </w:r>
          </w:p>
          <w:p w14:paraId="7B9655B2">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PCDDs &amp; PCDFs</w:t>
            </w:r>
            <w:r>
              <w:rPr>
                <w:rFonts w:hint="eastAsia"/>
                <w:color w:val="000000" w:themeColor="text1"/>
                <w:szCs w:val="21"/>
                <w14:textFill>
                  <w14:solidFill>
                    <w14:schemeClr w14:val="tx1"/>
                  </w14:solidFill>
                </w14:textFill>
              </w:rPr>
              <w:t>）</w:t>
            </w:r>
          </w:p>
        </w:tc>
        <w:tc>
          <w:tcPr>
            <w:tcW w:w="1624" w:type="dxa"/>
            <w:vAlign w:val="center"/>
          </w:tcPr>
          <w:p w14:paraId="5162937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样品检出限</w:t>
            </w:r>
          </w:p>
          <w:p w14:paraId="4DC0E5C5">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gridSpan w:val="2"/>
            <w:vAlign w:val="center"/>
          </w:tcPr>
          <w:p w14:paraId="7C3B9BB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组分浓度</w:t>
            </w:r>
          </w:p>
          <w:p w14:paraId="15D1C3E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vAlign w:val="center"/>
          </w:tcPr>
          <w:p w14:paraId="2B562C19">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毒性当量因子</w:t>
            </w:r>
          </w:p>
          <w:p w14:paraId="23E67C1F">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I-TEF</w:t>
            </w:r>
          </w:p>
        </w:tc>
        <w:tc>
          <w:tcPr>
            <w:tcW w:w="1916" w:type="dxa"/>
            <w:vAlign w:val="center"/>
          </w:tcPr>
          <w:p w14:paraId="5C347E36">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毒性当量浓度</w:t>
            </w:r>
          </w:p>
          <w:p w14:paraId="64DACC5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 TEQ/m³)</w:t>
            </w:r>
          </w:p>
        </w:tc>
      </w:tr>
      <w:tr w14:paraId="40A0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708603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624" w:type="dxa"/>
            <w:vAlign w:val="center"/>
          </w:tcPr>
          <w:p w14:paraId="7760A17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511EE02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288AA35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1916" w:type="dxa"/>
            <w:vAlign w:val="center"/>
          </w:tcPr>
          <w:p w14:paraId="69AA2D8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0.0015</w:t>
            </w:r>
          </w:p>
        </w:tc>
      </w:tr>
      <w:tr w14:paraId="7E53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CE6EF0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624" w:type="dxa"/>
            <w:vAlign w:val="center"/>
          </w:tcPr>
          <w:p w14:paraId="726BE82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30B71F6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7C3D760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5CE5FE2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0.0015</w:t>
            </w:r>
          </w:p>
        </w:tc>
      </w:tr>
      <w:tr w14:paraId="5A50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56CC142">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683F01C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5434126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0.011</w:t>
            </w:r>
          </w:p>
        </w:tc>
        <w:tc>
          <w:tcPr>
            <w:tcW w:w="1624" w:type="dxa"/>
            <w:vAlign w:val="center"/>
          </w:tcPr>
          <w:p w14:paraId="6CB39EF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41E71D0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0.0011</w:t>
            </w:r>
          </w:p>
        </w:tc>
      </w:tr>
      <w:tr w14:paraId="5A74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9A7A314">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5F2833C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2456EFE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0.013</w:t>
            </w:r>
          </w:p>
        </w:tc>
        <w:tc>
          <w:tcPr>
            <w:tcW w:w="1624" w:type="dxa"/>
            <w:vAlign w:val="center"/>
          </w:tcPr>
          <w:p w14:paraId="363F050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AB0C4A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0.0013</w:t>
            </w:r>
          </w:p>
        </w:tc>
      </w:tr>
      <w:tr w14:paraId="2BDF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CC5197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406ED46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76D75C0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0.017</w:t>
            </w:r>
          </w:p>
        </w:tc>
        <w:tc>
          <w:tcPr>
            <w:tcW w:w="1624" w:type="dxa"/>
            <w:vAlign w:val="center"/>
          </w:tcPr>
          <w:p w14:paraId="3EF1F52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63576C3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0.0017</w:t>
            </w:r>
          </w:p>
        </w:tc>
      </w:tr>
      <w:tr w14:paraId="51EE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77C152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624" w:type="dxa"/>
            <w:vAlign w:val="center"/>
          </w:tcPr>
          <w:p w14:paraId="7E44BFE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2E81E97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0.075</w:t>
            </w:r>
          </w:p>
        </w:tc>
        <w:tc>
          <w:tcPr>
            <w:tcW w:w="1624" w:type="dxa"/>
            <w:vAlign w:val="center"/>
          </w:tcPr>
          <w:p w14:paraId="48E736A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6928812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0.00075</w:t>
            </w:r>
          </w:p>
        </w:tc>
      </w:tr>
      <w:tr w14:paraId="4F74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CA4551E">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624" w:type="dxa"/>
            <w:vAlign w:val="center"/>
          </w:tcPr>
          <w:p w14:paraId="57623B3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6E8756B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0.12</w:t>
            </w:r>
          </w:p>
        </w:tc>
        <w:tc>
          <w:tcPr>
            <w:tcW w:w="1624" w:type="dxa"/>
            <w:vAlign w:val="center"/>
          </w:tcPr>
          <w:p w14:paraId="5917B11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7CF1486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0.00012</w:t>
            </w:r>
          </w:p>
        </w:tc>
      </w:tr>
      <w:tr w14:paraId="2F06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76BD8FF">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624" w:type="dxa"/>
            <w:vAlign w:val="center"/>
          </w:tcPr>
          <w:p w14:paraId="3F708EF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0.009</w:t>
            </w:r>
          </w:p>
        </w:tc>
        <w:tc>
          <w:tcPr>
            <w:tcW w:w="1624" w:type="dxa"/>
            <w:gridSpan w:val="2"/>
            <w:vAlign w:val="center"/>
          </w:tcPr>
          <w:p w14:paraId="5C2A96B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68E5C32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517C779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0.00045</w:t>
            </w:r>
          </w:p>
        </w:tc>
      </w:tr>
      <w:tr w14:paraId="443A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470A2D0">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4022C99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119CC9B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46F3A19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w:t>
            </w:r>
          </w:p>
        </w:tc>
        <w:tc>
          <w:tcPr>
            <w:tcW w:w="1916" w:type="dxa"/>
            <w:vAlign w:val="center"/>
          </w:tcPr>
          <w:p w14:paraId="0B89E59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0.00015</w:t>
            </w:r>
          </w:p>
        </w:tc>
      </w:tr>
      <w:tr w14:paraId="7D81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C785D9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00AB1C5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3F6BB93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0.048</w:t>
            </w:r>
          </w:p>
        </w:tc>
        <w:tc>
          <w:tcPr>
            <w:tcW w:w="1624" w:type="dxa"/>
            <w:vAlign w:val="center"/>
          </w:tcPr>
          <w:p w14:paraId="22ADF50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069E2F1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0.024</w:t>
            </w:r>
          </w:p>
        </w:tc>
      </w:tr>
      <w:tr w14:paraId="05B3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4FA6C2F">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761522B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23E17F9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0.058</w:t>
            </w:r>
          </w:p>
        </w:tc>
        <w:tc>
          <w:tcPr>
            <w:tcW w:w="1624" w:type="dxa"/>
            <w:vAlign w:val="center"/>
          </w:tcPr>
          <w:p w14:paraId="1CE8142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0E58F4C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0.0058</w:t>
            </w:r>
          </w:p>
        </w:tc>
      </w:tr>
      <w:tr w14:paraId="0806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C522BCC">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0767118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1818D29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0.050</w:t>
            </w:r>
          </w:p>
        </w:tc>
        <w:tc>
          <w:tcPr>
            <w:tcW w:w="1624" w:type="dxa"/>
            <w:vAlign w:val="center"/>
          </w:tcPr>
          <w:p w14:paraId="0B52F30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0842DC3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0.0050</w:t>
            </w:r>
          </w:p>
        </w:tc>
      </w:tr>
      <w:tr w14:paraId="6786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B1C8BBC">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4129979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73A881A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0.011</w:t>
            </w:r>
          </w:p>
        </w:tc>
        <w:tc>
          <w:tcPr>
            <w:tcW w:w="1624" w:type="dxa"/>
            <w:vAlign w:val="center"/>
          </w:tcPr>
          <w:p w14:paraId="22828D5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0574A90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0.0011</w:t>
            </w:r>
          </w:p>
        </w:tc>
      </w:tr>
      <w:tr w14:paraId="6106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8410CC3">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6293619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4B12D18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0.059</w:t>
            </w:r>
          </w:p>
        </w:tc>
        <w:tc>
          <w:tcPr>
            <w:tcW w:w="1624" w:type="dxa"/>
            <w:vAlign w:val="center"/>
          </w:tcPr>
          <w:p w14:paraId="2BFC86A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11C5818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0.0059</w:t>
            </w:r>
          </w:p>
        </w:tc>
      </w:tr>
      <w:tr w14:paraId="0A61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F7D7776">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1B5CDC3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5478BE2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0.24</w:t>
            </w:r>
          </w:p>
        </w:tc>
        <w:tc>
          <w:tcPr>
            <w:tcW w:w="1624" w:type="dxa"/>
            <w:vAlign w:val="center"/>
          </w:tcPr>
          <w:p w14:paraId="3723193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588BE87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0.0024</w:t>
            </w:r>
          </w:p>
        </w:tc>
      </w:tr>
      <w:tr w14:paraId="4C88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69B85F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576FA76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7176F81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0.045</w:t>
            </w:r>
          </w:p>
        </w:tc>
        <w:tc>
          <w:tcPr>
            <w:tcW w:w="1624" w:type="dxa"/>
            <w:vAlign w:val="center"/>
          </w:tcPr>
          <w:p w14:paraId="7C19192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69E68BA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0.00045</w:t>
            </w:r>
          </w:p>
        </w:tc>
      </w:tr>
      <w:tr w14:paraId="56DD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79C8DE9">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624" w:type="dxa"/>
            <w:vAlign w:val="center"/>
          </w:tcPr>
          <w:p w14:paraId="0BFCF7F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02C0994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0.33</w:t>
            </w:r>
          </w:p>
        </w:tc>
        <w:tc>
          <w:tcPr>
            <w:tcW w:w="1624" w:type="dxa"/>
            <w:vAlign w:val="center"/>
          </w:tcPr>
          <w:p w14:paraId="31C5835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014BE00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0.00033</w:t>
            </w:r>
          </w:p>
        </w:tc>
      </w:tr>
      <w:tr w14:paraId="459E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1CE4D20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二噁英类总量(pg TEQ/m³)</w:t>
            </w:r>
          </w:p>
        </w:tc>
        <w:tc>
          <w:tcPr>
            <w:tcW w:w="5164" w:type="dxa"/>
            <w:gridSpan w:val="4"/>
            <w:vAlign w:val="center"/>
          </w:tcPr>
          <w:p w14:paraId="115A05D3">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0.054</w:t>
            </w:r>
          </w:p>
        </w:tc>
      </w:tr>
      <w:tr w14:paraId="4CCF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623FF1E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二噁英类标准值(pg TEQ/m³)</w:t>
            </w:r>
          </w:p>
        </w:tc>
        <w:tc>
          <w:tcPr>
            <w:tcW w:w="5164" w:type="dxa"/>
            <w:gridSpan w:val="4"/>
            <w:vAlign w:val="center"/>
          </w:tcPr>
          <w:p w14:paraId="4A30CA58">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r>
      <w:tr w14:paraId="737C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483" w:type="dxa"/>
            <w:gridSpan w:val="7"/>
            <w:vAlign w:val="center"/>
          </w:tcPr>
          <w:p w14:paraId="4B1A44DF">
            <w:pPr>
              <w:pStyle w:val="109"/>
              <w:jc w:val="left"/>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注：1、</w:t>
            </w:r>
            <w:r>
              <w:rPr>
                <w:rFonts w:hint="eastAsia"/>
                <w:color w:val="000000" w:themeColor="text1"/>
                <w:szCs w:val="21"/>
                <w14:textFill>
                  <w14:solidFill>
                    <w14:schemeClr w14:val="tx1"/>
                  </w14:solidFill>
                </w14:textFill>
              </w:rPr>
              <w:fldChar w:fldCharType="begin"/>
            </w:r>
            <w:r>
              <w:rPr>
                <w:color w:val="000000" w:themeColor="text1"/>
                <w14:textFill>
                  <w14:solidFill>
                    <w14:schemeClr w14:val="tx1"/>
                  </w14:solidFill>
                </w14:textFill>
              </w:rPr>
              <w:instrText xml:space="preserve"> LINK Word.Document.12 "C:\\Users\\Administrator\\Desktop\\二噁英模板-修改后\\ZTE2020-废气-采样模板.docx" "OLE_LINK1" \h \a  \* MERGEFORMAT </w:instrText>
            </w:r>
            <w:r>
              <w:rPr>
                <w:rFonts w:hint="eastAsia"/>
                <w:color w:val="000000" w:themeColor="text1"/>
                <w:szCs w:val="21"/>
                <w14:textFill>
                  <w14:solidFill>
                    <w14:schemeClr w14:val="tx1"/>
                  </w14:solidFill>
                </w14:textFill>
              </w:rPr>
              <w:fldChar w:fldCharType="separate"/>
            </w:r>
            <w:r>
              <w:rPr>
                <w:rFonts w:hint="eastAsia" w:ascii="宋体" w:hAnsi="宋体" w:cs="宋体"/>
                <w:color w:val="000000" w:themeColor="text1"/>
                <w:szCs w:val="21"/>
                <w:lang w:bidi="ar"/>
                <w14:textFill>
                  <w14:solidFill>
                    <w14:schemeClr w14:val="tx1"/>
                  </w14:solidFill>
                </w14:textFill>
              </w:rPr>
              <w:t>样品检出限：当浓度低于样品检出限时用</w:t>
            </w:r>
            <w:r>
              <w:rPr>
                <w:rFonts w:hint="eastAsia"/>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ND</w:t>
            </w:r>
            <w:r>
              <w:rPr>
                <w:rFonts w:hint="eastAsia" w:ascii="宋体" w:hAnsi="宋体" w:cs="宋体"/>
                <w:color w:val="000000" w:themeColor="text1"/>
                <w:szCs w:val="21"/>
                <w:lang w:bidi="ar"/>
                <w14:textFill>
                  <w14:solidFill>
                    <w14:schemeClr w14:val="tx1"/>
                  </w14:solidFill>
                </w14:textFill>
              </w:rPr>
              <w:t>”表示，计算毒性当量浓度时取样品检出限</w:t>
            </w:r>
            <w:r>
              <w:rPr>
                <w:rFonts w:hint="eastAsia"/>
                <w:color w:val="000000" w:themeColor="text1"/>
                <w:szCs w:val="21"/>
                <w:lang w:bidi="ar"/>
                <w14:textFill>
                  <w14:solidFill>
                    <w14:schemeClr w14:val="tx1"/>
                  </w14:solidFill>
                </w14:textFill>
              </w:rPr>
              <w:t>1/2</w:t>
            </w:r>
            <w:r>
              <w:rPr>
                <w:rFonts w:hint="eastAsia" w:ascii="宋体" w:hAnsi="宋体" w:cs="宋体"/>
                <w:color w:val="000000" w:themeColor="text1"/>
                <w:szCs w:val="21"/>
                <w:lang w:bidi="ar"/>
                <w14:textFill>
                  <w14:solidFill>
                    <w14:schemeClr w14:val="tx1"/>
                  </w14:solidFill>
                </w14:textFill>
              </w:rPr>
              <w:t>计算。</w:t>
            </w:r>
          </w:p>
          <w:p w14:paraId="49D10A15">
            <w:pPr>
              <w:pStyle w:val="109"/>
              <w:jc w:val="lef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 xml:space="preserve">    2、</w:t>
            </w:r>
            <w:r>
              <w:rPr>
                <w:rFonts w:hint="eastAsia"/>
                <w:color w:val="000000" w:themeColor="text1"/>
                <w14:textFill>
                  <w14:solidFill>
                    <w14:schemeClr w14:val="tx1"/>
                  </w14:solidFill>
                </w14:textFill>
              </w:rPr>
              <w:t>报告中二噁英类总量为17种2378取代二噁英毒性当量浓度的总和。</w:t>
            </w:r>
          </w:p>
        </w:tc>
      </w:tr>
    </w:tbl>
    <w:p w14:paraId="1A31EE97">
      <w:pPr>
        <w:pStyle w:val="117"/>
        <w:spacing w:line="440" w:lineRule="exact"/>
        <w:ind w:firstLine="480"/>
        <w:rPr>
          <w:rFonts w:hint="eastAsia" w:ascii="宋体" w:hAnsi="宋体"/>
          <w:b/>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624"/>
        <w:gridCol w:w="6"/>
        <w:gridCol w:w="1618"/>
        <w:gridCol w:w="1624"/>
        <w:gridCol w:w="1916"/>
        <w:gridCol w:w="6"/>
      </w:tblGrid>
      <w:tr w14:paraId="01BB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49" w:hRule="atLeast"/>
        </w:trPr>
        <w:tc>
          <w:tcPr>
            <w:tcW w:w="2689" w:type="dxa"/>
            <w:vAlign w:val="center"/>
          </w:tcPr>
          <w:p w14:paraId="089ACDA2">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br w:type="page"/>
            </w:r>
            <w:r>
              <w:rPr>
                <w:rFonts w:hint="eastAsia"/>
                <w:color w:val="000000" w:themeColor="text1"/>
                <w14:textFill>
                  <w14:solidFill>
                    <w14:schemeClr w14:val="tx1"/>
                  </w14:solidFill>
                </w14:textFill>
              </w:rPr>
              <w:t>二噁英类</w:t>
            </w:r>
          </w:p>
          <w:p w14:paraId="35CF6ADD">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PCDDs &amp; PCDFs</w:t>
            </w:r>
            <w:r>
              <w:rPr>
                <w:rFonts w:hint="eastAsia"/>
                <w:color w:val="000000" w:themeColor="text1"/>
                <w:szCs w:val="21"/>
                <w14:textFill>
                  <w14:solidFill>
                    <w14:schemeClr w14:val="tx1"/>
                  </w14:solidFill>
                </w14:textFill>
              </w:rPr>
              <w:t>）</w:t>
            </w:r>
          </w:p>
        </w:tc>
        <w:tc>
          <w:tcPr>
            <w:tcW w:w="1624" w:type="dxa"/>
            <w:vAlign w:val="center"/>
          </w:tcPr>
          <w:p w14:paraId="71435DC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样品检出限</w:t>
            </w:r>
          </w:p>
          <w:p w14:paraId="4072602F">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gridSpan w:val="2"/>
            <w:vAlign w:val="center"/>
          </w:tcPr>
          <w:p w14:paraId="7EE0B553">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组分浓度</w:t>
            </w:r>
          </w:p>
          <w:p w14:paraId="0D993195">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vAlign w:val="center"/>
          </w:tcPr>
          <w:p w14:paraId="490FE17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毒性当量因子</w:t>
            </w:r>
          </w:p>
          <w:p w14:paraId="014A79B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I-TEF</w:t>
            </w:r>
          </w:p>
        </w:tc>
        <w:tc>
          <w:tcPr>
            <w:tcW w:w="1916" w:type="dxa"/>
            <w:vAlign w:val="center"/>
          </w:tcPr>
          <w:p w14:paraId="212D0EC5">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毒性当量浓度</w:t>
            </w:r>
          </w:p>
          <w:p w14:paraId="589C5D81">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 TEQ/m³)</w:t>
            </w:r>
          </w:p>
        </w:tc>
      </w:tr>
      <w:tr w14:paraId="0E67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3EDCC99">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624" w:type="dxa"/>
            <w:vAlign w:val="center"/>
          </w:tcPr>
          <w:p w14:paraId="74CEC41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3B4604F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08396AC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1916" w:type="dxa"/>
            <w:vAlign w:val="center"/>
          </w:tcPr>
          <w:p w14:paraId="1DC0F44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0.0015</w:t>
            </w:r>
          </w:p>
        </w:tc>
      </w:tr>
      <w:tr w14:paraId="7A99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E852795">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624" w:type="dxa"/>
            <w:vAlign w:val="center"/>
          </w:tcPr>
          <w:p w14:paraId="454C50E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1BC781B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4FC8D36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6662E28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0.00050</w:t>
            </w:r>
          </w:p>
        </w:tc>
      </w:tr>
      <w:tr w14:paraId="638B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BCC38B3">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64A827E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2210CDD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0.013</w:t>
            </w:r>
          </w:p>
        </w:tc>
        <w:tc>
          <w:tcPr>
            <w:tcW w:w="1624" w:type="dxa"/>
            <w:vAlign w:val="center"/>
          </w:tcPr>
          <w:p w14:paraId="79B6B9E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7205CCB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0.0013</w:t>
            </w:r>
          </w:p>
        </w:tc>
      </w:tr>
      <w:tr w14:paraId="4931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EF5860E">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2C24B6E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1788AFE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0.019</w:t>
            </w:r>
          </w:p>
        </w:tc>
        <w:tc>
          <w:tcPr>
            <w:tcW w:w="1624" w:type="dxa"/>
            <w:vAlign w:val="center"/>
          </w:tcPr>
          <w:p w14:paraId="71D011E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564C53A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0.0019</w:t>
            </w:r>
          </w:p>
        </w:tc>
      </w:tr>
      <w:tr w14:paraId="106E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C966FE0">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024EA68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1E57BE8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0.017</w:t>
            </w:r>
          </w:p>
        </w:tc>
        <w:tc>
          <w:tcPr>
            <w:tcW w:w="1624" w:type="dxa"/>
            <w:vAlign w:val="center"/>
          </w:tcPr>
          <w:p w14:paraId="2734CB9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F74019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0.0017</w:t>
            </w:r>
          </w:p>
        </w:tc>
      </w:tr>
      <w:tr w14:paraId="6F90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48AD7E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624" w:type="dxa"/>
            <w:vAlign w:val="center"/>
          </w:tcPr>
          <w:p w14:paraId="0D8A491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0D21938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0.095</w:t>
            </w:r>
          </w:p>
        </w:tc>
        <w:tc>
          <w:tcPr>
            <w:tcW w:w="1624" w:type="dxa"/>
            <w:vAlign w:val="center"/>
          </w:tcPr>
          <w:p w14:paraId="5C24612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7AB0E6B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0.00095</w:t>
            </w:r>
          </w:p>
        </w:tc>
      </w:tr>
      <w:tr w14:paraId="25A1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33D29F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624" w:type="dxa"/>
            <w:vAlign w:val="center"/>
          </w:tcPr>
          <w:p w14:paraId="5C80350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3D80671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0.16</w:t>
            </w:r>
          </w:p>
        </w:tc>
        <w:tc>
          <w:tcPr>
            <w:tcW w:w="1624" w:type="dxa"/>
            <w:vAlign w:val="center"/>
          </w:tcPr>
          <w:p w14:paraId="02003B7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5DF5469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0.00016</w:t>
            </w:r>
          </w:p>
        </w:tc>
      </w:tr>
      <w:tr w14:paraId="7BEF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AA5EC7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624" w:type="dxa"/>
            <w:vAlign w:val="center"/>
          </w:tcPr>
          <w:p w14:paraId="0A6D531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w:t>
            </w:r>
          </w:p>
        </w:tc>
        <w:tc>
          <w:tcPr>
            <w:tcW w:w="1624" w:type="dxa"/>
            <w:gridSpan w:val="2"/>
            <w:vAlign w:val="center"/>
          </w:tcPr>
          <w:p w14:paraId="1F198C9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0.023</w:t>
            </w:r>
          </w:p>
        </w:tc>
        <w:tc>
          <w:tcPr>
            <w:tcW w:w="1624" w:type="dxa"/>
            <w:vAlign w:val="center"/>
          </w:tcPr>
          <w:p w14:paraId="32338AF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7E68221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0.0023</w:t>
            </w:r>
          </w:p>
        </w:tc>
      </w:tr>
      <w:tr w14:paraId="3FB1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7B1AAAF">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35EDCB8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w:t>
            </w:r>
          </w:p>
        </w:tc>
        <w:tc>
          <w:tcPr>
            <w:tcW w:w="1624" w:type="dxa"/>
            <w:gridSpan w:val="2"/>
            <w:vAlign w:val="center"/>
          </w:tcPr>
          <w:p w14:paraId="7EA5A63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0.036</w:t>
            </w:r>
          </w:p>
        </w:tc>
        <w:tc>
          <w:tcPr>
            <w:tcW w:w="1624" w:type="dxa"/>
            <w:vAlign w:val="center"/>
          </w:tcPr>
          <w:p w14:paraId="33E7C58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w:t>
            </w:r>
          </w:p>
        </w:tc>
        <w:tc>
          <w:tcPr>
            <w:tcW w:w="1916" w:type="dxa"/>
            <w:vAlign w:val="center"/>
          </w:tcPr>
          <w:p w14:paraId="5D91DBF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0.0018</w:t>
            </w:r>
          </w:p>
        </w:tc>
      </w:tr>
      <w:tr w14:paraId="4E49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4DC4A62">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121E3B6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w:t>
            </w:r>
          </w:p>
        </w:tc>
        <w:tc>
          <w:tcPr>
            <w:tcW w:w="1624" w:type="dxa"/>
            <w:gridSpan w:val="2"/>
            <w:vAlign w:val="center"/>
          </w:tcPr>
          <w:p w14:paraId="2CDA129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0.059</w:t>
            </w:r>
          </w:p>
        </w:tc>
        <w:tc>
          <w:tcPr>
            <w:tcW w:w="1624" w:type="dxa"/>
            <w:vAlign w:val="center"/>
          </w:tcPr>
          <w:p w14:paraId="450931A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0CC3CAD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0.030</w:t>
            </w:r>
          </w:p>
        </w:tc>
      </w:tr>
      <w:tr w14:paraId="159F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A2CE196">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56D7334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18D6E0F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0.060</w:t>
            </w:r>
          </w:p>
        </w:tc>
        <w:tc>
          <w:tcPr>
            <w:tcW w:w="1624" w:type="dxa"/>
            <w:vAlign w:val="center"/>
          </w:tcPr>
          <w:p w14:paraId="06814A1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903E61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0.0060</w:t>
            </w:r>
          </w:p>
        </w:tc>
      </w:tr>
      <w:tr w14:paraId="79EA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CEBD15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6DC9CF8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722AD28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0.058</w:t>
            </w:r>
          </w:p>
        </w:tc>
        <w:tc>
          <w:tcPr>
            <w:tcW w:w="1624" w:type="dxa"/>
            <w:vAlign w:val="center"/>
          </w:tcPr>
          <w:p w14:paraId="6FDC055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66C6F67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0.0058</w:t>
            </w:r>
          </w:p>
        </w:tc>
      </w:tr>
      <w:tr w14:paraId="7619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2861253">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2C79C33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5642A5E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0.013</w:t>
            </w:r>
          </w:p>
        </w:tc>
        <w:tc>
          <w:tcPr>
            <w:tcW w:w="1624" w:type="dxa"/>
            <w:vAlign w:val="center"/>
          </w:tcPr>
          <w:p w14:paraId="55E3DDC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1C0A22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0.0013</w:t>
            </w:r>
          </w:p>
        </w:tc>
      </w:tr>
      <w:tr w14:paraId="6FF9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CFD341C">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58C4F99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0.0007</w:t>
            </w:r>
          </w:p>
        </w:tc>
        <w:tc>
          <w:tcPr>
            <w:tcW w:w="1624" w:type="dxa"/>
            <w:gridSpan w:val="2"/>
            <w:vAlign w:val="center"/>
          </w:tcPr>
          <w:p w14:paraId="17A8643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0.066</w:t>
            </w:r>
          </w:p>
        </w:tc>
        <w:tc>
          <w:tcPr>
            <w:tcW w:w="1624" w:type="dxa"/>
            <w:vAlign w:val="center"/>
          </w:tcPr>
          <w:p w14:paraId="3219283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0A295D9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0.0066</w:t>
            </w:r>
          </w:p>
        </w:tc>
      </w:tr>
      <w:tr w14:paraId="5F82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41BCFCE">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79FFFC7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6C85008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0.32</w:t>
            </w:r>
          </w:p>
        </w:tc>
        <w:tc>
          <w:tcPr>
            <w:tcW w:w="1624" w:type="dxa"/>
            <w:vAlign w:val="center"/>
          </w:tcPr>
          <w:p w14:paraId="4572F85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66AEEB3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0.0032</w:t>
            </w:r>
          </w:p>
        </w:tc>
      </w:tr>
      <w:tr w14:paraId="35BF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B4BC58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14E4BDA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264D918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0.058</w:t>
            </w:r>
          </w:p>
        </w:tc>
        <w:tc>
          <w:tcPr>
            <w:tcW w:w="1624" w:type="dxa"/>
            <w:vAlign w:val="center"/>
          </w:tcPr>
          <w:p w14:paraId="08D5CA2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0CB924A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0.00058</w:t>
            </w:r>
          </w:p>
        </w:tc>
      </w:tr>
      <w:tr w14:paraId="6CE3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F78902D">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624" w:type="dxa"/>
            <w:vAlign w:val="center"/>
          </w:tcPr>
          <w:p w14:paraId="1F3FBCA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6B35363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0.44</w:t>
            </w:r>
          </w:p>
        </w:tc>
        <w:tc>
          <w:tcPr>
            <w:tcW w:w="1624" w:type="dxa"/>
            <w:vAlign w:val="center"/>
          </w:tcPr>
          <w:p w14:paraId="736EF81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03303EB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0.00044</w:t>
            </w:r>
          </w:p>
        </w:tc>
      </w:tr>
      <w:tr w14:paraId="1703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6A9630A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二噁英类总量(pg TEQ/m³)</w:t>
            </w:r>
          </w:p>
        </w:tc>
        <w:tc>
          <w:tcPr>
            <w:tcW w:w="5164" w:type="dxa"/>
            <w:gridSpan w:val="4"/>
            <w:vAlign w:val="center"/>
          </w:tcPr>
          <w:p w14:paraId="1ED61C2A">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0.066</w:t>
            </w:r>
          </w:p>
        </w:tc>
      </w:tr>
      <w:tr w14:paraId="00CD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7256FFC4">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二噁英类标准值(pg TEQ/m³)</w:t>
            </w:r>
          </w:p>
        </w:tc>
        <w:tc>
          <w:tcPr>
            <w:tcW w:w="5164" w:type="dxa"/>
            <w:gridSpan w:val="4"/>
            <w:vAlign w:val="center"/>
          </w:tcPr>
          <w:p w14:paraId="0E9EE543">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r>
      <w:tr w14:paraId="3F4E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483" w:type="dxa"/>
            <w:gridSpan w:val="7"/>
            <w:vAlign w:val="center"/>
          </w:tcPr>
          <w:p w14:paraId="781310CD">
            <w:pPr>
              <w:pStyle w:val="109"/>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注：1、</w:t>
            </w:r>
            <w:r>
              <w:rPr>
                <w:rFonts w:hint="eastAsia"/>
                <w:color w:val="000000" w:themeColor="text1"/>
                <w:szCs w:val="21"/>
                <w14:textFill>
                  <w14:solidFill>
                    <w14:schemeClr w14:val="tx1"/>
                  </w14:solidFill>
                </w14:textFill>
              </w:rPr>
              <w:fldChar w:fldCharType="begin"/>
            </w:r>
            <w:r>
              <w:rPr>
                <w:color w:val="000000" w:themeColor="text1"/>
                <w14:textFill>
                  <w14:solidFill>
                    <w14:schemeClr w14:val="tx1"/>
                  </w14:solidFill>
                </w14:textFill>
              </w:rPr>
              <w:instrText xml:space="preserve"> LINK Word.Document.12 "C:\\Users\\Administrator\\Desktop\\二噁英模板-修改后\\ZTE2020-废气-采样模板.docx" "OLE_LINK1" \h \a  \* MERGEFORMAT </w:instrText>
            </w:r>
            <w:r>
              <w:rPr>
                <w:rFonts w:hint="eastAsia"/>
                <w:color w:val="000000" w:themeColor="text1"/>
                <w:szCs w:val="21"/>
                <w14:textFill>
                  <w14:solidFill>
                    <w14:schemeClr w14:val="tx1"/>
                  </w14:solidFill>
                </w14:textFill>
              </w:rPr>
              <w:fldChar w:fldCharType="separate"/>
            </w:r>
            <w:r>
              <w:rPr>
                <w:rFonts w:hint="eastAsia" w:ascii="宋体" w:hAnsi="宋体" w:cs="宋体"/>
                <w:color w:val="000000" w:themeColor="text1"/>
                <w:szCs w:val="21"/>
                <w:lang w:bidi="ar"/>
                <w14:textFill>
                  <w14:solidFill>
                    <w14:schemeClr w14:val="tx1"/>
                  </w14:solidFill>
                </w14:textFill>
              </w:rPr>
              <w:t>样品检出限：当浓度低于样品检出限时用</w:t>
            </w:r>
            <w:r>
              <w:rPr>
                <w:rFonts w:hint="eastAsia"/>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ND</w:t>
            </w:r>
            <w:r>
              <w:rPr>
                <w:rFonts w:hint="eastAsia" w:ascii="宋体" w:hAnsi="宋体" w:cs="宋体"/>
                <w:color w:val="000000" w:themeColor="text1"/>
                <w:szCs w:val="21"/>
                <w:lang w:bidi="ar"/>
                <w14:textFill>
                  <w14:solidFill>
                    <w14:schemeClr w14:val="tx1"/>
                  </w14:solidFill>
                </w14:textFill>
              </w:rPr>
              <w:t>”表示，计算毒性当量浓度时取样品检出限</w:t>
            </w:r>
            <w:r>
              <w:rPr>
                <w:rFonts w:hint="eastAsia"/>
                <w:color w:val="000000" w:themeColor="text1"/>
                <w:szCs w:val="21"/>
                <w:lang w:bidi="ar"/>
                <w14:textFill>
                  <w14:solidFill>
                    <w14:schemeClr w14:val="tx1"/>
                  </w14:solidFill>
                </w14:textFill>
              </w:rPr>
              <w:t>1/2</w:t>
            </w:r>
            <w:r>
              <w:rPr>
                <w:rFonts w:hint="eastAsia" w:ascii="宋体" w:hAnsi="宋体" w:cs="宋体"/>
                <w:color w:val="000000" w:themeColor="text1"/>
                <w:szCs w:val="21"/>
                <w:lang w:bidi="ar"/>
                <w14:textFill>
                  <w14:solidFill>
                    <w14:schemeClr w14:val="tx1"/>
                  </w14:solidFill>
                </w14:textFill>
              </w:rPr>
              <w:t>计算。</w:t>
            </w:r>
          </w:p>
          <w:p w14:paraId="0E787C8B">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 xml:space="preserve">    2、</w:t>
            </w:r>
            <w:r>
              <w:rPr>
                <w:rFonts w:hint="eastAsia"/>
                <w:color w:val="000000" w:themeColor="text1"/>
                <w14:textFill>
                  <w14:solidFill>
                    <w14:schemeClr w14:val="tx1"/>
                  </w14:solidFill>
                </w14:textFill>
              </w:rPr>
              <w:t>报告中二噁英类总量为17种2378取代二噁英毒性当量浓度的总和。</w:t>
            </w:r>
          </w:p>
        </w:tc>
      </w:tr>
    </w:tbl>
    <w:p w14:paraId="6F1E0B7C">
      <w:pPr>
        <w:pStyle w:val="117"/>
        <w:spacing w:line="440" w:lineRule="exact"/>
        <w:ind w:firstLine="480"/>
        <w:rPr>
          <w:rFonts w:hint="eastAsia" w:ascii="宋体" w:hAnsi="宋体"/>
          <w:b/>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624"/>
        <w:gridCol w:w="6"/>
        <w:gridCol w:w="1618"/>
        <w:gridCol w:w="1624"/>
        <w:gridCol w:w="1916"/>
        <w:gridCol w:w="6"/>
      </w:tblGrid>
      <w:tr w14:paraId="7F46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49" w:hRule="atLeast"/>
        </w:trPr>
        <w:tc>
          <w:tcPr>
            <w:tcW w:w="2689" w:type="dxa"/>
            <w:vAlign w:val="center"/>
          </w:tcPr>
          <w:p w14:paraId="6EAB89E8">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br w:type="page"/>
            </w:r>
            <w:r>
              <w:rPr>
                <w:rFonts w:hint="eastAsia"/>
                <w:color w:val="000000" w:themeColor="text1"/>
                <w14:textFill>
                  <w14:solidFill>
                    <w14:schemeClr w14:val="tx1"/>
                  </w14:solidFill>
                </w14:textFill>
              </w:rPr>
              <w:t>二噁英类</w:t>
            </w:r>
          </w:p>
          <w:p w14:paraId="45D67ED8">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PCDDs &amp; PCDFs</w:t>
            </w:r>
            <w:r>
              <w:rPr>
                <w:rFonts w:hint="eastAsia"/>
                <w:color w:val="000000" w:themeColor="text1"/>
                <w:szCs w:val="21"/>
                <w14:textFill>
                  <w14:solidFill>
                    <w14:schemeClr w14:val="tx1"/>
                  </w14:solidFill>
                </w14:textFill>
              </w:rPr>
              <w:t>）</w:t>
            </w:r>
          </w:p>
        </w:tc>
        <w:tc>
          <w:tcPr>
            <w:tcW w:w="1624" w:type="dxa"/>
            <w:vAlign w:val="center"/>
          </w:tcPr>
          <w:p w14:paraId="50CCFE28">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样品检出限</w:t>
            </w:r>
          </w:p>
          <w:p w14:paraId="633F2EA1">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gridSpan w:val="2"/>
            <w:vAlign w:val="center"/>
          </w:tcPr>
          <w:p w14:paraId="09ECB820">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组分浓度</w:t>
            </w:r>
          </w:p>
          <w:p w14:paraId="59604ABD">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vAlign w:val="center"/>
          </w:tcPr>
          <w:p w14:paraId="5E200774">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毒性当量因子</w:t>
            </w:r>
          </w:p>
          <w:p w14:paraId="0DCAE255">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I-TEF</w:t>
            </w:r>
          </w:p>
        </w:tc>
        <w:tc>
          <w:tcPr>
            <w:tcW w:w="1916" w:type="dxa"/>
            <w:vAlign w:val="center"/>
          </w:tcPr>
          <w:p w14:paraId="3B598DA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毒性当量浓度</w:t>
            </w:r>
          </w:p>
          <w:p w14:paraId="759C110A">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 TEQ/m³)</w:t>
            </w:r>
          </w:p>
        </w:tc>
      </w:tr>
      <w:tr w14:paraId="6BB9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122D060">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624" w:type="dxa"/>
            <w:vAlign w:val="center"/>
          </w:tcPr>
          <w:p w14:paraId="3FA0C42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1592A8E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36663C0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1916" w:type="dxa"/>
            <w:vAlign w:val="center"/>
          </w:tcPr>
          <w:p w14:paraId="0B197C1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0.0030</w:t>
            </w:r>
          </w:p>
        </w:tc>
      </w:tr>
      <w:tr w14:paraId="00B6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968131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624" w:type="dxa"/>
            <w:vAlign w:val="center"/>
          </w:tcPr>
          <w:p w14:paraId="68B1248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6ED2702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0.020</w:t>
            </w:r>
          </w:p>
        </w:tc>
        <w:tc>
          <w:tcPr>
            <w:tcW w:w="1624" w:type="dxa"/>
            <w:vAlign w:val="center"/>
          </w:tcPr>
          <w:p w14:paraId="1A26969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556AE3E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0.010</w:t>
            </w:r>
          </w:p>
        </w:tc>
      </w:tr>
      <w:tr w14:paraId="64F5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8F84285">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171CDA1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48E64C6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0.012</w:t>
            </w:r>
          </w:p>
        </w:tc>
        <w:tc>
          <w:tcPr>
            <w:tcW w:w="1624" w:type="dxa"/>
            <w:vAlign w:val="center"/>
          </w:tcPr>
          <w:p w14:paraId="460E459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C91805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0.0012</w:t>
            </w:r>
          </w:p>
        </w:tc>
      </w:tr>
      <w:tr w14:paraId="4AD4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E4F2AA6">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2E23EC1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3325C4C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0.020</w:t>
            </w:r>
          </w:p>
        </w:tc>
        <w:tc>
          <w:tcPr>
            <w:tcW w:w="1624" w:type="dxa"/>
            <w:vAlign w:val="center"/>
          </w:tcPr>
          <w:p w14:paraId="4AFB525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69204E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0.0020</w:t>
            </w:r>
          </w:p>
        </w:tc>
      </w:tr>
      <w:tr w14:paraId="593A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281A148">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021516C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7E18B9E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0.016</w:t>
            </w:r>
          </w:p>
        </w:tc>
        <w:tc>
          <w:tcPr>
            <w:tcW w:w="1624" w:type="dxa"/>
            <w:vAlign w:val="center"/>
          </w:tcPr>
          <w:p w14:paraId="15A076F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4800940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0.0016</w:t>
            </w:r>
          </w:p>
        </w:tc>
      </w:tr>
      <w:tr w14:paraId="44D6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396363D">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624" w:type="dxa"/>
            <w:vAlign w:val="center"/>
          </w:tcPr>
          <w:p w14:paraId="74AB8A6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0.0007</w:t>
            </w:r>
          </w:p>
        </w:tc>
        <w:tc>
          <w:tcPr>
            <w:tcW w:w="1624" w:type="dxa"/>
            <w:gridSpan w:val="2"/>
            <w:vAlign w:val="center"/>
          </w:tcPr>
          <w:p w14:paraId="73E8FC1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0.083</w:t>
            </w:r>
          </w:p>
        </w:tc>
        <w:tc>
          <w:tcPr>
            <w:tcW w:w="1624" w:type="dxa"/>
            <w:vAlign w:val="center"/>
          </w:tcPr>
          <w:p w14:paraId="4C1AD4A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3C5C87E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0.00083</w:t>
            </w:r>
          </w:p>
        </w:tc>
      </w:tr>
      <w:tr w14:paraId="2364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A7EB015">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624" w:type="dxa"/>
            <w:vAlign w:val="center"/>
          </w:tcPr>
          <w:p w14:paraId="1936078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48CB56C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0.14</w:t>
            </w:r>
          </w:p>
        </w:tc>
        <w:tc>
          <w:tcPr>
            <w:tcW w:w="1624" w:type="dxa"/>
            <w:vAlign w:val="center"/>
          </w:tcPr>
          <w:p w14:paraId="3BCBF0F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19E93A0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0.00014</w:t>
            </w:r>
          </w:p>
        </w:tc>
      </w:tr>
      <w:tr w14:paraId="04B4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3F0AC1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624" w:type="dxa"/>
            <w:vAlign w:val="center"/>
          </w:tcPr>
          <w:p w14:paraId="5305DC8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22EAAE9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0.043</w:t>
            </w:r>
          </w:p>
        </w:tc>
        <w:tc>
          <w:tcPr>
            <w:tcW w:w="1624" w:type="dxa"/>
            <w:vAlign w:val="center"/>
          </w:tcPr>
          <w:p w14:paraId="2037C40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1666E6E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0.0043</w:t>
            </w:r>
          </w:p>
        </w:tc>
      </w:tr>
      <w:tr w14:paraId="6052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9580E8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12328F5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w:t>
            </w:r>
          </w:p>
        </w:tc>
        <w:tc>
          <w:tcPr>
            <w:tcW w:w="1624" w:type="dxa"/>
            <w:gridSpan w:val="2"/>
            <w:vAlign w:val="center"/>
          </w:tcPr>
          <w:p w14:paraId="38B2A45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0.054</w:t>
            </w:r>
          </w:p>
        </w:tc>
        <w:tc>
          <w:tcPr>
            <w:tcW w:w="1624" w:type="dxa"/>
            <w:vAlign w:val="center"/>
          </w:tcPr>
          <w:p w14:paraId="3857C1B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w:t>
            </w:r>
          </w:p>
        </w:tc>
        <w:tc>
          <w:tcPr>
            <w:tcW w:w="1916" w:type="dxa"/>
            <w:vAlign w:val="center"/>
          </w:tcPr>
          <w:p w14:paraId="19AEC1E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0.0027</w:t>
            </w:r>
          </w:p>
        </w:tc>
      </w:tr>
      <w:tr w14:paraId="4E14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49419C4">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50AD677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w:t>
            </w:r>
          </w:p>
        </w:tc>
        <w:tc>
          <w:tcPr>
            <w:tcW w:w="1624" w:type="dxa"/>
            <w:gridSpan w:val="2"/>
            <w:vAlign w:val="center"/>
          </w:tcPr>
          <w:p w14:paraId="276641D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0.067</w:t>
            </w:r>
          </w:p>
        </w:tc>
        <w:tc>
          <w:tcPr>
            <w:tcW w:w="1624" w:type="dxa"/>
            <w:vAlign w:val="center"/>
          </w:tcPr>
          <w:p w14:paraId="18F82B7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03A78E8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0.033</w:t>
            </w:r>
          </w:p>
        </w:tc>
      </w:tr>
      <w:tr w14:paraId="1153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901E27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285A0BA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217EF63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0.074</w:t>
            </w:r>
          </w:p>
        </w:tc>
        <w:tc>
          <w:tcPr>
            <w:tcW w:w="1624" w:type="dxa"/>
            <w:vAlign w:val="center"/>
          </w:tcPr>
          <w:p w14:paraId="1EB96EC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4ADCBD3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0.0074</w:t>
            </w:r>
          </w:p>
        </w:tc>
      </w:tr>
      <w:tr w14:paraId="0552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F7EAA7E">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495F945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72C9BA8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0.070</w:t>
            </w:r>
          </w:p>
        </w:tc>
        <w:tc>
          <w:tcPr>
            <w:tcW w:w="1624" w:type="dxa"/>
            <w:vAlign w:val="center"/>
          </w:tcPr>
          <w:p w14:paraId="40056B0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AE7451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0.0070</w:t>
            </w:r>
          </w:p>
        </w:tc>
      </w:tr>
      <w:tr w14:paraId="3D4E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9C1BC0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78564B6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219699F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0.018</w:t>
            </w:r>
          </w:p>
        </w:tc>
        <w:tc>
          <w:tcPr>
            <w:tcW w:w="1624" w:type="dxa"/>
            <w:vAlign w:val="center"/>
          </w:tcPr>
          <w:p w14:paraId="299E38F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35FCC64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0.0018</w:t>
            </w:r>
          </w:p>
        </w:tc>
      </w:tr>
      <w:tr w14:paraId="7665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B76216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4DEB4EF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57424E6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0.086</w:t>
            </w:r>
          </w:p>
        </w:tc>
        <w:tc>
          <w:tcPr>
            <w:tcW w:w="1624" w:type="dxa"/>
            <w:vAlign w:val="center"/>
          </w:tcPr>
          <w:p w14:paraId="25C7718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6F5A4DC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0.0086</w:t>
            </w:r>
          </w:p>
        </w:tc>
      </w:tr>
      <w:tr w14:paraId="7B8C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15700ED">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41CB66E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3338825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0.35</w:t>
            </w:r>
          </w:p>
        </w:tc>
        <w:tc>
          <w:tcPr>
            <w:tcW w:w="1624" w:type="dxa"/>
            <w:vAlign w:val="center"/>
          </w:tcPr>
          <w:p w14:paraId="19ED213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391F299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0.0035</w:t>
            </w:r>
          </w:p>
        </w:tc>
      </w:tr>
      <w:tr w14:paraId="270B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8AD88F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146C475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18FAC09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0.061</w:t>
            </w:r>
          </w:p>
        </w:tc>
        <w:tc>
          <w:tcPr>
            <w:tcW w:w="1624" w:type="dxa"/>
            <w:vAlign w:val="center"/>
          </w:tcPr>
          <w:p w14:paraId="66BBE3E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51222C5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0.00061</w:t>
            </w:r>
          </w:p>
        </w:tc>
      </w:tr>
      <w:tr w14:paraId="5FE2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D81DAEC">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624" w:type="dxa"/>
            <w:vAlign w:val="center"/>
          </w:tcPr>
          <w:p w14:paraId="29B8773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24C2269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0.46</w:t>
            </w:r>
          </w:p>
        </w:tc>
        <w:tc>
          <w:tcPr>
            <w:tcW w:w="1624" w:type="dxa"/>
            <w:vAlign w:val="center"/>
          </w:tcPr>
          <w:p w14:paraId="4750204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67F2924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0.00046</w:t>
            </w:r>
          </w:p>
        </w:tc>
      </w:tr>
      <w:tr w14:paraId="5B5E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7EDC0E6F">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二噁英类总量(pg TEQ/m³)</w:t>
            </w:r>
          </w:p>
        </w:tc>
        <w:tc>
          <w:tcPr>
            <w:tcW w:w="5164" w:type="dxa"/>
            <w:gridSpan w:val="4"/>
            <w:vAlign w:val="center"/>
          </w:tcPr>
          <w:p w14:paraId="5B22A69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0.088</w:t>
            </w:r>
          </w:p>
        </w:tc>
      </w:tr>
      <w:tr w14:paraId="4C22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624F3E00">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二噁英类标准值(pg TEQ/m³)</w:t>
            </w:r>
          </w:p>
        </w:tc>
        <w:tc>
          <w:tcPr>
            <w:tcW w:w="5164" w:type="dxa"/>
            <w:gridSpan w:val="4"/>
            <w:vAlign w:val="center"/>
          </w:tcPr>
          <w:p w14:paraId="150A6DC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r>
      <w:tr w14:paraId="5998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483" w:type="dxa"/>
            <w:gridSpan w:val="7"/>
            <w:vAlign w:val="center"/>
          </w:tcPr>
          <w:p w14:paraId="574D7758">
            <w:pPr>
              <w:pStyle w:val="109"/>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注：1、</w:t>
            </w:r>
            <w:r>
              <w:rPr>
                <w:rFonts w:hint="eastAsia"/>
                <w:color w:val="000000" w:themeColor="text1"/>
                <w:szCs w:val="21"/>
                <w14:textFill>
                  <w14:solidFill>
                    <w14:schemeClr w14:val="tx1"/>
                  </w14:solidFill>
                </w14:textFill>
              </w:rPr>
              <w:fldChar w:fldCharType="begin"/>
            </w:r>
            <w:r>
              <w:rPr>
                <w:color w:val="000000" w:themeColor="text1"/>
                <w14:textFill>
                  <w14:solidFill>
                    <w14:schemeClr w14:val="tx1"/>
                  </w14:solidFill>
                </w14:textFill>
              </w:rPr>
              <w:instrText xml:space="preserve"> LINK Word.Document.12 "C:\\Users\\Administrator\\Desktop\\二噁英模板-修改后\\ZTE2020-废气-采样模板.docx" "OLE_LINK1" \h \a  \* MERGEFORMAT </w:instrText>
            </w:r>
            <w:r>
              <w:rPr>
                <w:rFonts w:hint="eastAsia"/>
                <w:color w:val="000000" w:themeColor="text1"/>
                <w:szCs w:val="21"/>
                <w14:textFill>
                  <w14:solidFill>
                    <w14:schemeClr w14:val="tx1"/>
                  </w14:solidFill>
                </w14:textFill>
              </w:rPr>
              <w:fldChar w:fldCharType="separate"/>
            </w:r>
            <w:r>
              <w:rPr>
                <w:rFonts w:hint="eastAsia" w:ascii="宋体" w:hAnsi="宋体" w:cs="宋体"/>
                <w:color w:val="000000" w:themeColor="text1"/>
                <w:szCs w:val="21"/>
                <w:lang w:bidi="ar"/>
                <w14:textFill>
                  <w14:solidFill>
                    <w14:schemeClr w14:val="tx1"/>
                  </w14:solidFill>
                </w14:textFill>
              </w:rPr>
              <w:t>样品检出限：当浓度低于样品检出限时用</w:t>
            </w:r>
            <w:r>
              <w:rPr>
                <w:rFonts w:hint="eastAsia"/>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ND</w:t>
            </w:r>
            <w:r>
              <w:rPr>
                <w:rFonts w:hint="eastAsia" w:ascii="宋体" w:hAnsi="宋体" w:cs="宋体"/>
                <w:color w:val="000000" w:themeColor="text1"/>
                <w:szCs w:val="21"/>
                <w:lang w:bidi="ar"/>
                <w14:textFill>
                  <w14:solidFill>
                    <w14:schemeClr w14:val="tx1"/>
                  </w14:solidFill>
                </w14:textFill>
              </w:rPr>
              <w:t>”表示，计算毒性当量浓度时取样品检出限</w:t>
            </w:r>
            <w:r>
              <w:rPr>
                <w:rFonts w:hint="eastAsia"/>
                <w:color w:val="000000" w:themeColor="text1"/>
                <w:szCs w:val="21"/>
                <w:lang w:bidi="ar"/>
                <w14:textFill>
                  <w14:solidFill>
                    <w14:schemeClr w14:val="tx1"/>
                  </w14:solidFill>
                </w14:textFill>
              </w:rPr>
              <w:t>1/2</w:t>
            </w:r>
            <w:r>
              <w:rPr>
                <w:rFonts w:hint="eastAsia" w:ascii="宋体" w:hAnsi="宋体" w:cs="宋体"/>
                <w:color w:val="000000" w:themeColor="text1"/>
                <w:szCs w:val="21"/>
                <w:lang w:bidi="ar"/>
                <w14:textFill>
                  <w14:solidFill>
                    <w14:schemeClr w14:val="tx1"/>
                  </w14:solidFill>
                </w14:textFill>
              </w:rPr>
              <w:t>计算。</w:t>
            </w:r>
          </w:p>
          <w:p w14:paraId="51E85883">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 xml:space="preserve">    2、</w:t>
            </w:r>
            <w:r>
              <w:rPr>
                <w:rFonts w:hint="eastAsia"/>
                <w:color w:val="000000" w:themeColor="text1"/>
                <w14:textFill>
                  <w14:solidFill>
                    <w14:schemeClr w14:val="tx1"/>
                  </w14:solidFill>
                </w14:textFill>
              </w:rPr>
              <w:t>报告中二噁英类总量为17种2378取代二噁英毒性当量浓度的总和。</w:t>
            </w:r>
          </w:p>
        </w:tc>
      </w:tr>
    </w:tbl>
    <w:p w14:paraId="1356E6F0">
      <w:pPr>
        <w:pStyle w:val="117"/>
        <w:spacing w:line="440" w:lineRule="exact"/>
        <w:ind w:firstLine="480"/>
        <w:rPr>
          <w:rFonts w:hint="eastAsia" w:ascii="宋体" w:hAnsi="宋体"/>
          <w:b/>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624"/>
        <w:gridCol w:w="6"/>
        <w:gridCol w:w="1618"/>
        <w:gridCol w:w="1624"/>
        <w:gridCol w:w="1916"/>
        <w:gridCol w:w="6"/>
      </w:tblGrid>
      <w:tr w14:paraId="09FC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30" w:hRule="atLeast"/>
        </w:trPr>
        <w:tc>
          <w:tcPr>
            <w:tcW w:w="2689" w:type="dxa"/>
            <w:vAlign w:val="center"/>
          </w:tcPr>
          <w:p w14:paraId="07E6312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br w:type="page"/>
            </w:r>
            <w:r>
              <w:rPr>
                <w:rFonts w:hint="eastAsia"/>
                <w:color w:val="000000" w:themeColor="text1"/>
                <w14:textFill>
                  <w14:solidFill>
                    <w14:schemeClr w14:val="tx1"/>
                  </w14:solidFill>
                </w14:textFill>
              </w:rPr>
              <w:t>二噁英类</w:t>
            </w:r>
          </w:p>
          <w:p w14:paraId="24F9305D">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PCDDs &amp; PCDFs</w:t>
            </w:r>
            <w:r>
              <w:rPr>
                <w:rFonts w:hint="eastAsia"/>
                <w:color w:val="000000" w:themeColor="text1"/>
                <w:szCs w:val="21"/>
                <w14:textFill>
                  <w14:solidFill>
                    <w14:schemeClr w14:val="tx1"/>
                  </w14:solidFill>
                </w14:textFill>
              </w:rPr>
              <w:t>）</w:t>
            </w:r>
          </w:p>
        </w:tc>
        <w:tc>
          <w:tcPr>
            <w:tcW w:w="1624" w:type="dxa"/>
            <w:vAlign w:val="center"/>
          </w:tcPr>
          <w:p w14:paraId="06C12F4A">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样品检出限</w:t>
            </w:r>
          </w:p>
          <w:p w14:paraId="3C3FD2A5">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gridSpan w:val="2"/>
            <w:vAlign w:val="center"/>
          </w:tcPr>
          <w:p w14:paraId="7780D696">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组分浓度</w:t>
            </w:r>
          </w:p>
          <w:p w14:paraId="24B51FBF">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vAlign w:val="center"/>
          </w:tcPr>
          <w:p w14:paraId="538FA18D">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毒性当量因子</w:t>
            </w:r>
          </w:p>
          <w:p w14:paraId="48357CC8">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I-TEF</w:t>
            </w:r>
          </w:p>
        </w:tc>
        <w:tc>
          <w:tcPr>
            <w:tcW w:w="1916" w:type="dxa"/>
            <w:vAlign w:val="center"/>
          </w:tcPr>
          <w:p w14:paraId="4700E756">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毒性当量浓度</w:t>
            </w:r>
          </w:p>
          <w:p w14:paraId="08B7B08D">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 TEQ/m³)</w:t>
            </w:r>
          </w:p>
        </w:tc>
      </w:tr>
      <w:tr w14:paraId="474A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2DEC402">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624" w:type="dxa"/>
            <w:vAlign w:val="center"/>
          </w:tcPr>
          <w:p w14:paraId="771252E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0.007</w:t>
            </w:r>
          </w:p>
        </w:tc>
        <w:tc>
          <w:tcPr>
            <w:tcW w:w="1624" w:type="dxa"/>
            <w:gridSpan w:val="2"/>
            <w:vAlign w:val="center"/>
          </w:tcPr>
          <w:p w14:paraId="15040B8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573B84D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1916" w:type="dxa"/>
            <w:vAlign w:val="center"/>
          </w:tcPr>
          <w:p w14:paraId="216553C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0.0035</w:t>
            </w:r>
          </w:p>
        </w:tc>
      </w:tr>
      <w:tr w14:paraId="6DC4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AABA0C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624" w:type="dxa"/>
            <w:vAlign w:val="center"/>
          </w:tcPr>
          <w:p w14:paraId="454420A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w:t>
            </w:r>
          </w:p>
        </w:tc>
        <w:tc>
          <w:tcPr>
            <w:tcW w:w="1624" w:type="dxa"/>
            <w:gridSpan w:val="2"/>
            <w:vAlign w:val="center"/>
          </w:tcPr>
          <w:p w14:paraId="61A5742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2365823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08422CF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0.0010</w:t>
            </w:r>
          </w:p>
        </w:tc>
      </w:tr>
      <w:tr w14:paraId="4674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ABBB6F3">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7E6645F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0.0006</w:t>
            </w:r>
          </w:p>
        </w:tc>
        <w:tc>
          <w:tcPr>
            <w:tcW w:w="1624" w:type="dxa"/>
            <w:gridSpan w:val="2"/>
            <w:vAlign w:val="center"/>
          </w:tcPr>
          <w:p w14:paraId="34961B3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0.0050</w:t>
            </w:r>
          </w:p>
        </w:tc>
        <w:tc>
          <w:tcPr>
            <w:tcW w:w="1624" w:type="dxa"/>
            <w:vAlign w:val="center"/>
          </w:tcPr>
          <w:p w14:paraId="7D9E35B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397E89B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0.00050</w:t>
            </w:r>
          </w:p>
        </w:tc>
      </w:tr>
      <w:tr w14:paraId="2B0C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102EE1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3875459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0.0006</w:t>
            </w:r>
          </w:p>
        </w:tc>
        <w:tc>
          <w:tcPr>
            <w:tcW w:w="1624" w:type="dxa"/>
            <w:gridSpan w:val="2"/>
            <w:vAlign w:val="center"/>
          </w:tcPr>
          <w:p w14:paraId="05FCA70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0.0059</w:t>
            </w:r>
          </w:p>
        </w:tc>
        <w:tc>
          <w:tcPr>
            <w:tcW w:w="1624" w:type="dxa"/>
            <w:vAlign w:val="center"/>
          </w:tcPr>
          <w:p w14:paraId="489F745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83F9A3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0.00059</w:t>
            </w:r>
          </w:p>
        </w:tc>
      </w:tr>
      <w:tr w14:paraId="7A5C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CB2DF3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15292E0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0.0006</w:t>
            </w:r>
          </w:p>
        </w:tc>
        <w:tc>
          <w:tcPr>
            <w:tcW w:w="1624" w:type="dxa"/>
            <w:gridSpan w:val="2"/>
            <w:vAlign w:val="center"/>
          </w:tcPr>
          <w:p w14:paraId="67D854A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0.0047</w:t>
            </w:r>
          </w:p>
        </w:tc>
        <w:tc>
          <w:tcPr>
            <w:tcW w:w="1624" w:type="dxa"/>
            <w:vAlign w:val="center"/>
          </w:tcPr>
          <w:p w14:paraId="71338F4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620BD0F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0.00047</w:t>
            </w:r>
          </w:p>
        </w:tc>
      </w:tr>
      <w:tr w14:paraId="1509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F7B211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624" w:type="dxa"/>
            <w:vAlign w:val="center"/>
          </w:tcPr>
          <w:p w14:paraId="71B05ED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0.0007</w:t>
            </w:r>
          </w:p>
        </w:tc>
        <w:tc>
          <w:tcPr>
            <w:tcW w:w="1624" w:type="dxa"/>
            <w:gridSpan w:val="2"/>
            <w:vAlign w:val="center"/>
          </w:tcPr>
          <w:p w14:paraId="1632695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0.026</w:t>
            </w:r>
          </w:p>
        </w:tc>
        <w:tc>
          <w:tcPr>
            <w:tcW w:w="1624" w:type="dxa"/>
            <w:vAlign w:val="center"/>
          </w:tcPr>
          <w:p w14:paraId="2701154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6F9A7F1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0.00026</w:t>
            </w:r>
          </w:p>
        </w:tc>
      </w:tr>
      <w:tr w14:paraId="783D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7508D6E">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624" w:type="dxa"/>
            <w:vAlign w:val="center"/>
          </w:tcPr>
          <w:p w14:paraId="584E799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559BA4B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0.089</w:t>
            </w:r>
          </w:p>
        </w:tc>
        <w:tc>
          <w:tcPr>
            <w:tcW w:w="1624" w:type="dxa"/>
            <w:vAlign w:val="center"/>
          </w:tcPr>
          <w:p w14:paraId="4F0BF5C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18E0843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0.000090</w:t>
            </w:r>
          </w:p>
        </w:tc>
      </w:tr>
      <w:tr w14:paraId="2BFD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23EBE44">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624" w:type="dxa"/>
            <w:vAlign w:val="center"/>
          </w:tcPr>
          <w:p w14:paraId="1C161EA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w:t>
            </w:r>
          </w:p>
        </w:tc>
        <w:tc>
          <w:tcPr>
            <w:tcW w:w="1624" w:type="dxa"/>
            <w:gridSpan w:val="2"/>
            <w:vAlign w:val="center"/>
          </w:tcPr>
          <w:p w14:paraId="17A1DDD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37C8EC7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32240C7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0.00020</w:t>
            </w:r>
          </w:p>
        </w:tc>
      </w:tr>
      <w:tr w14:paraId="4CA1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6827C19">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16DFB2D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w:t>
            </w:r>
          </w:p>
        </w:tc>
        <w:tc>
          <w:tcPr>
            <w:tcW w:w="1624" w:type="dxa"/>
            <w:gridSpan w:val="2"/>
            <w:vAlign w:val="center"/>
          </w:tcPr>
          <w:p w14:paraId="1EDD6B5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0.017</w:t>
            </w:r>
          </w:p>
        </w:tc>
        <w:tc>
          <w:tcPr>
            <w:tcW w:w="1624" w:type="dxa"/>
            <w:vAlign w:val="center"/>
          </w:tcPr>
          <w:p w14:paraId="2F6C35D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w:t>
            </w:r>
          </w:p>
        </w:tc>
        <w:tc>
          <w:tcPr>
            <w:tcW w:w="1916" w:type="dxa"/>
            <w:vAlign w:val="center"/>
          </w:tcPr>
          <w:p w14:paraId="655A19E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0.00083</w:t>
            </w:r>
          </w:p>
        </w:tc>
      </w:tr>
      <w:tr w14:paraId="2358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6399016">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4959800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w:t>
            </w:r>
          </w:p>
        </w:tc>
        <w:tc>
          <w:tcPr>
            <w:tcW w:w="1624" w:type="dxa"/>
            <w:gridSpan w:val="2"/>
            <w:vAlign w:val="center"/>
          </w:tcPr>
          <w:p w14:paraId="09912C7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2163933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04148C5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0.0010</w:t>
            </w:r>
          </w:p>
        </w:tc>
      </w:tr>
      <w:tr w14:paraId="69ED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9D0027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5BFBAF0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6177706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0.017</w:t>
            </w:r>
          </w:p>
        </w:tc>
        <w:tc>
          <w:tcPr>
            <w:tcW w:w="1624" w:type="dxa"/>
            <w:vAlign w:val="center"/>
          </w:tcPr>
          <w:p w14:paraId="3E20ABE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066EF65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0.0017</w:t>
            </w:r>
          </w:p>
        </w:tc>
      </w:tr>
      <w:tr w14:paraId="0184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7998D49">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68CDFB4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412D401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0.017</w:t>
            </w:r>
          </w:p>
        </w:tc>
        <w:tc>
          <w:tcPr>
            <w:tcW w:w="1624" w:type="dxa"/>
            <w:vAlign w:val="center"/>
          </w:tcPr>
          <w:p w14:paraId="7FFF6FE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0575568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0.0017</w:t>
            </w:r>
          </w:p>
        </w:tc>
      </w:tr>
      <w:tr w14:paraId="062B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7F06748">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6CB70B8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4542EFB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33F35B6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1A067E6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0.00015</w:t>
            </w:r>
          </w:p>
        </w:tc>
      </w:tr>
      <w:tr w14:paraId="62DF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9371D0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3261FC1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7411216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0.020</w:t>
            </w:r>
          </w:p>
        </w:tc>
        <w:tc>
          <w:tcPr>
            <w:tcW w:w="1624" w:type="dxa"/>
            <w:vAlign w:val="center"/>
          </w:tcPr>
          <w:p w14:paraId="503B297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08B3556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0.0020</w:t>
            </w:r>
          </w:p>
        </w:tc>
      </w:tr>
      <w:tr w14:paraId="1142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26D46E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25467B1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1BECF36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0.098</w:t>
            </w:r>
          </w:p>
        </w:tc>
        <w:tc>
          <w:tcPr>
            <w:tcW w:w="1624" w:type="dxa"/>
            <w:vAlign w:val="center"/>
          </w:tcPr>
          <w:p w14:paraId="6C428C4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500CAC8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0.00098</w:t>
            </w:r>
          </w:p>
        </w:tc>
      </w:tr>
      <w:tr w14:paraId="426A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0" w:hRule="atLeast"/>
        </w:trPr>
        <w:tc>
          <w:tcPr>
            <w:tcW w:w="2689" w:type="dxa"/>
            <w:vAlign w:val="center"/>
          </w:tcPr>
          <w:p w14:paraId="43C9E203">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32F075E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4DE8704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0.025</w:t>
            </w:r>
          </w:p>
        </w:tc>
        <w:tc>
          <w:tcPr>
            <w:tcW w:w="1624" w:type="dxa"/>
            <w:vAlign w:val="center"/>
          </w:tcPr>
          <w:p w14:paraId="6927CDD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3711D6C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0.00025</w:t>
            </w:r>
          </w:p>
        </w:tc>
      </w:tr>
      <w:tr w14:paraId="5261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52A4CA2">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624" w:type="dxa"/>
            <w:vAlign w:val="center"/>
          </w:tcPr>
          <w:p w14:paraId="42CA946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70AB298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0.20</w:t>
            </w:r>
          </w:p>
        </w:tc>
        <w:tc>
          <w:tcPr>
            <w:tcW w:w="1624" w:type="dxa"/>
            <w:vAlign w:val="center"/>
          </w:tcPr>
          <w:p w14:paraId="7165D7A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6B0FA60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0.00020</w:t>
            </w:r>
          </w:p>
        </w:tc>
      </w:tr>
      <w:tr w14:paraId="4F8E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0E4D4F0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二噁英类总量(pg TEQ/m³)</w:t>
            </w:r>
          </w:p>
        </w:tc>
        <w:tc>
          <w:tcPr>
            <w:tcW w:w="5164" w:type="dxa"/>
            <w:gridSpan w:val="4"/>
            <w:vAlign w:val="center"/>
          </w:tcPr>
          <w:p w14:paraId="46DE0C66">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0.015</w:t>
            </w:r>
          </w:p>
        </w:tc>
      </w:tr>
      <w:tr w14:paraId="6FA0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266242FD">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二噁英类标准值(pg TEQ/m³)</w:t>
            </w:r>
          </w:p>
        </w:tc>
        <w:tc>
          <w:tcPr>
            <w:tcW w:w="5164" w:type="dxa"/>
            <w:gridSpan w:val="4"/>
            <w:vAlign w:val="center"/>
          </w:tcPr>
          <w:p w14:paraId="22B0B1C3">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r>
      <w:tr w14:paraId="0273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483" w:type="dxa"/>
            <w:gridSpan w:val="7"/>
            <w:vAlign w:val="center"/>
          </w:tcPr>
          <w:p w14:paraId="74EE1A1D">
            <w:pPr>
              <w:pStyle w:val="109"/>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注：1、</w:t>
            </w:r>
            <w:r>
              <w:rPr>
                <w:rFonts w:hint="eastAsia"/>
                <w:color w:val="000000" w:themeColor="text1"/>
                <w:szCs w:val="21"/>
                <w14:textFill>
                  <w14:solidFill>
                    <w14:schemeClr w14:val="tx1"/>
                  </w14:solidFill>
                </w14:textFill>
              </w:rPr>
              <w:fldChar w:fldCharType="begin"/>
            </w:r>
            <w:r>
              <w:rPr>
                <w:color w:val="000000" w:themeColor="text1"/>
                <w14:textFill>
                  <w14:solidFill>
                    <w14:schemeClr w14:val="tx1"/>
                  </w14:solidFill>
                </w14:textFill>
              </w:rPr>
              <w:instrText xml:space="preserve"> LINK Word.Document.12 "C:\\Users\\Administrator\\Desktop\\二噁英模板-修改后\\ZTE2020-废气-采样模板.docx" "OLE_LINK1" \h \a  \* MERGEFORMAT </w:instrText>
            </w:r>
            <w:r>
              <w:rPr>
                <w:rFonts w:hint="eastAsia"/>
                <w:color w:val="000000" w:themeColor="text1"/>
                <w:szCs w:val="21"/>
                <w14:textFill>
                  <w14:solidFill>
                    <w14:schemeClr w14:val="tx1"/>
                  </w14:solidFill>
                </w14:textFill>
              </w:rPr>
              <w:fldChar w:fldCharType="separate"/>
            </w:r>
            <w:r>
              <w:rPr>
                <w:rFonts w:hint="eastAsia" w:ascii="宋体" w:hAnsi="宋体" w:cs="宋体"/>
                <w:color w:val="000000" w:themeColor="text1"/>
                <w:szCs w:val="21"/>
                <w:lang w:bidi="ar"/>
                <w14:textFill>
                  <w14:solidFill>
                    <w14:schemeClr w14:val="tx1"/>
                  </w14:solidFill>
                </w14:textFill>
              </w:rPr>
              <w:t>样品检出限：当浓度低于样品检出限时用</w:t>
            </w:r>
            <w:r>
              <w:rPr>
                <w:rFonts w:hint="eastAsia"/>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ND</w:t>
            </w:r>
            <w:r>
              <w:rPr>
                <w:rFonts w:hint="eastAsia" w:ascii="宋体" w:hAnsi="宋体" w:cs="宋体"/>
                <w:color w:val="000000" w:themeColor="text1"/>
                <w:szCs w:val="21"/>
                <w:lang w:bidi="ar"/>
                <w14:textFill>
                  <w14:solidFill>
                    <w14:schemeClr w14:val="tx1"/>
                  </w14:solidFill>
                </w14:textFill>
              </w:rPr>
              <w:t>”表示，计算毒性当量浓度时取样品检出限</w:t>
            </w:r>
            <w:r>
              <w:rPr>
                <w:rFonts w:hint="eastAsia"/>
                <w:color w:val="000000" w:themeColor="text1"/>
                <w:szCs w:val="21"/>
                <w:lang w:bidi="ar"/>
                <w14:textFill>
                  <w14:solidFill>
                    <w14:schemeClr w14:val="tx1"/>
                  </w14:solidFill>
                </w14:textFill>
              </w:rPr>
              <w:t>1/2</w:t>
            </w:r>
            <w:r>
              <w:rPr>
                <w:rFonts w:hint="eastAsia" w:ascii="宋体" w:hAnsi="宋体" w:cs="宋体"/>
                <w:color w:val="000000" w:themeColor="text1"/>
                <w:szCs w:val="21"/>
                <w:lang w:bidi="ar"/>
                <w14:textFill>
                  <w14:solidFill>
                    <w14:schemeClr w14:val="tx1"/>
                  </w14:solidFill>
                </w14:textFill>
              </w:rPr>
              <w:t>计算。</w:t>
            </w:r>
          </w:p>
          <w:p w14:paraId="6D6CCFFB">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 xml:space="preserve">    2、</w:t>
            </w:r>
            <w:r>
              <w:rPr>
                <w:rFonts w:hint="eastAsia"/>
                <w:color w:val="000000" w:themeColor="text1"/>
                <w14:textFill>
                  <w14:solidFill>
                    <w14:schemeClr w14:val="tx1"/>
                  </w14:solidFill>
                </w14:textFill>
              </w:rPr>
              <w:t>报告中二噁英类总量为17种2378取代二噁英毒性当量浓度的总和。</w:t>
            </w:r>
          </w:p>
        </w:tc>
      </w:tr>
    </w:tbl>
    <w:p w14:paraId="12B228DA">
      <w:pPr>
        <w:pStyle w:val="117"/>
        <w:spacing w:line="440" w:lineRule="exact"/>
        <w:ind w:firstLine="480"/>
        <w:rPr>
          <w:rFonts w:hint="eastAsia" w:ascii="宋体" w:hAnsi="宋体"/>
          <w:b/>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624"/>
        <w:gridCol w:w="6"/>
        <w:gridCol w:w="1618"/>
        <w:gridCol w:w="1624"/>
        <w:gridCol w:w="1916"/>
        <w:gridCol w:w="6"/>
      </w:tblGrid>
      <w:tr w14:paraId="54F8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20" w:hRule="atLeast"/>
        </w:trPr>
        <w:tc>
          <w:tcPr>
            <w:tcW w:w="2689" w:type="dxa"/>
            <w:vAlign w:val="center"/>
          </w:tcPr>
          <w:p w14:paraId="57D5DBA8">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br w:type="page"/>
            </w:r>
            <w:r>
              <w:rPr>
                <w:rFonts w:hint="eastAsia"/>
                <w:color w:val="000000" w:themeColor="text1"/>
                <w14:textFill>
                  <w14:solidFill>
                    <w14:schemeClr w14:val="tx1"/>
                  </w14:solidFill>
                </w14:textFill>
              </w:rPr>
              <w:t>二噁英类</w:t>
            </w:r>
          </w:p>
          <w:p w14:paraId="4258992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PCDDs &amp; PCDFs</w:t>
            </w:r>
            <w:r>
              <w:rPr>
                <w:rFonts w:hint="eastAsia"/>
                <w:color w:val="000000" w:themeColor="text1"/>
                <w:szCs w:val="21"/>
                <w14:textFill>
                  <w14:solidFill>
                    <w14:schemeClr w14:val="tx1"/>
                  </w14:solidFill>
                </w14:textFill>
              </w:rPr>
              <w:t>）</w:t>
            </w:r>
          </w:p>
        </w:tc>
        <w:tc>
          <w:tcPr>
            <w:tcW w:w="1624" w:type="dxa"/>
            <w:vAlign w:val="center"/>
          </w:tcPr>
          <w:p w14:paraId="5BF8D7F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样品检出限</w:t>
            </w:r>
          </w:p>
          <w:p w14:paraId="74830F26">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gridSpan w:val="2"/>
            <w:vAlign w:val="center"/>
          </w:tcPr>
          <w:p w14:paraId="62E929E0">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组分浓度</w:t>
            </w:r>
          </w:p>
          <w:p w14:paraId="25F866F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vAlign w:val="center"/>
          </w:tcPr>
          <w:p w14:paraId="4593F856">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毒性当量因子</w:t>
            </w:r>
          </w:p>
          <w:p w14:paraId="58AAE1D1">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I-TEF</w:t>
            </w:r>
          </w:p>
        </w:tc>
        <w:tc>
          <w:tcPr>
            <w:tcW w:w="1916" w:type="dxa"/>
            <w:vAlign w:val="center"/>
          </w:tcPr>
          <w:p w14:paraId="2EA60251">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毒性当量浓度</w:t>
            </w:r>
          </w:p>
          <w:p w14:paraId="31B3ACC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 TEQ/m³)</w:t>
            </w:r>
          </w:p>
        </w:tc>
      </w:tr>
      <w:tr w14:paraId="5CA9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B76BC92">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624" w:type="dxa"/>
            <w:vAlign w:val="center"/>
          </w:tcPr>
          <w:p w14:paraId="252D138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w:t>
            </w:r>
          </w:p>
        </w:tc>
        <w:tc>
          <w:tcPr>
            <w:tcW w:w="1624" w:type="dxa"/>
            <w:gridSpan w:val="2"/>
            <w:vAlign w:val="center"/>
          </w:tcPr>
          <w:p w14:paraId="4D53818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179DF80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1916" w:type="dxa"/>
            <w:vAlign w:val="center"/>
          </w:tcPr>
          <w:p w14:paraId="2242184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0.0020</w:t>
            </w:r>
          </w:p>
        </w:tc>
      </w:tr>
      <w:tr w14:paraId="312B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288BA7E">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624" w:type="dxa"/>
            <w:vAlign w:val="center"/>
          </w:tcPr>
          <w:p w14:paraId="02675E5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529A550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05BC638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27422FA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0.00075</w:t>
            </w:r>
          </w:p>
        </w:tc>
      </w:tr>
      <w:tr w14:paraId="2FE3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E7B0EA8">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01EE431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2C9066C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0.015</w:t>
            </w:r>
          </w:p>
        </w:tc>
        <w:tc>
          <w:tcPr>
            <w:tcW w:w="1624" w:type="dxa"/>
            <w:vAlign w:val="center"/>
          </w:tcPr>
          <w:p w14:paraId="3AC4AF1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67D4C4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0.0015</w:t>
            </w:r>
          </w:p>
        </w:tc>
      </w:tr>
      <w:tr w14:paraId="569D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35D918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77A549F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1B12E1E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0.032</w:t>
            </w:r>
          </w:p>
        </w:tc>
        <w:tc>
          <w:tcPr>
            <w:tcW w:w="1624" w:type="dxa"/>
            <w:vAlign w:val="center"/>
          </w:tcPr>
          <w:p w14:paraId="3E71CAE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E8244F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0.0032</w:t>
            </w:r>
          </w:p>
        </w:tc>
      </w:tr>
      <w:tr w14:paraId="4469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4E4A9B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33505E8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2D48051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0.029</w:t>
            </w:r>
          </w:p>
        </w:tc>
        <w:tc>
          <w:tcPr>
            <w:tcW w:w="1624" w:type="dxa"/>
            <w:vAlign w:val="center"/>
          </w:tcPr>
          <w:p w14:paraId="3EF904B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7237093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0.0029</w:t>
            </w:r>
          </w:p>
        </w:tc>
      </w:tr>
      <w:tr w14:paraId="6ECD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F2AF034">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624" w:type="dxa"/>
            <w:vAlign w:val="center"/>
          </w:tcPr>
          <w:p w14:paraId="4D4DB49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3915B31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0.13</w:t>
            </w:r>
          </w:p>
        </w:tc>
        <w:tc>
          <w:tcPr>
            <w:tcW w:w="1624" w:type="dxa"/>
            <w:vAlign w:val="center"/>
          </w:tcPr>
          <w:p w14:paraId="10842F9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3A23144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0.0013</w:t>
            </w:r>
          </w:p>
        </w:tc>
      </w:tr>
      <w:tr w14:paraId="4419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55F1B43">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624" w:type="dxa"/>
            <w:vAlign w:val="center"/>
          </w:tcPr>
          <w:p w14:paraId="3CA5BC5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3D366D9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0.13</w:t>
            </w:r>
          </w:p>
        </w:tc>
        <w:tc>
          <w:tcPr>
            <w:tcW w:w="1624" w:type="dxa"/>
            <w:vAlign w:val="center"/>
          </w:tcPr>
          <w:p w14:paraId="6C17A8A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62ADE43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0.00013</w:t>
            </w:r>
          </w:p>
        </w:tc>
      </w:tr>
      <w:tr w14:paraId="6FA0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A5E40E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624" w:type="dxa"/>
            <w:vAlign w:val="center"/>
          </w:tcPr>
          <w:p w14:paraId="7CED4E5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36E41B3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0.021</w:t>
            </w:r>
          </w:p>
        </w:tc>
        <w:tc>
          <w:tcPr>
            <w:tcW w:w="1624" w:type="dxa"/>
            <w:vAlign w:val="center"/>
          </w:tcPr>
          <w:p w14:paraId="67F4766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87019F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0.0021</w:t>
            </w:r>
          </w:p>
        </w:tc>
      </w:tr>
      <w:tr w14:paraId="61D2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639DD8D">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24F550A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0.0003</w:t>
            </w:r>
          </w:p>
        </w:tc>
        <w:tc>
          <w:tcPr>
            <w:tcW w:w="1624" w:type="dxa"/>
            <w:gridSpan w:val="2"/>
            <w:vAlign w:val="center"/>
          </w:tcPr>
          <w:p w14:paraId="7223D5D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0.057</w:t>
            </w:r>
          </w:p>
        </w:tc>
        <w:tc>
          <w:tcPr>
            <w:tcW w:w="1624" w:type="dxa"/>
            <w:vAlign w:val="center"/>
          </w:tcPr>
          <w:p w14:paraId="63CF2AF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w:t>
            </w:r>
          </w:p>
        </w:tc>
        <w:tc>
          <w:tcPr>
            <w:tcW w:w="1916" w:type="dxa"/>
            <w:vAlign w:val="center"/>
          </w:tcPr>
          <w:p w14:paraId="1DAF1C0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0.0029</w:t>
            </w:r>
          </w:p>
        </w:tc>
      </w:tr>
      <w:tr w14:paraId="220A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B914B3F">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4000AB1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0.0003</w:t>
            </w:r>
          </w:p>
        </w:tc>
        <w:tc>
          <w:tcPr>
            <w:tcW w:w="1624" w:type="dxa"/>
            <w:gridSpan w:val="2"/>
            <w:vAlign w:val="center"/>
          </w:tcPr>
          <w:p w14:paraId="74AF9CB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0.11</w:t>
            </w:r>
          </w:p>
        </w:tc>
        <w:tc>
          <w:tcPr>
            <w:tcW w:w="1624" w:type="dxa"/>
            <w:vAlign w:val="center"/>
          </w:tcPr>
          <w:p w14:paraId="101B134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79BEA69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0.053</w:t>
            </w:r>
          </w:p>
        </w:tc>
      </w:tr>
      <w:tr w14:paraId="2734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FBB2F80">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1B1A004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4F89F8F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0.086</w:t>
            </w:r>
          </w:p>
        </w:tc>
        <w:tc>
          <w:tcPr>
            <w:tcW w:w="1624" w:type="dxa"/>
            <w:vAlign w:val="center"/>
          </w:tcPr>
          <w:p w14:paraId="7B20ECA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3923A31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0.0086</w:t>
            </w:r>
          </w:p>
        </w:tc>
      </w:tr>
      <w:tr w14:paraId="62A0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48BAF32">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6DCCD5D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6635BB8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0.086</w:t>
            </w:r>
          </w:p>
        </w:tc>
        <w:tc>
          <w:tcPr>
            <w:tcW w:w="1624" w:type="dxa"/>
            <w:vAlign w:val="center"/>
          </w:tcPr>
          <w:p w14:paraId="3667287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E89417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0.0086</w:t>
            </w:r>
          </w:p>
        </w:tc>
      </w:tr>
      <w:tr w14:paraId="79C9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BAE8D5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32701FC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1280472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0.020</w:t>
            </w:r>
          </w:p>
        </w:tc>
        <w:tc>
          <w:tcPr>
            <w:tcW w:w="1624" w:type="dxa"/>
            <w:vAlign w:val="center"/>
          </w:tcPr>
          <w:p w14:paraId="5E37451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09616E1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0.0020</w:t>
            </w:r>
          </w:p>
        </w:tc>
      </w:tr>
      <w:tr w14:paraId="01A1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579BA0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69E266B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2D8AB7C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0.13</w:t>
            </w:r>
          </w:p>
        </w:tc>
        <w:tc>
          <w:tcPr>
            <w:tcW w:w="1624" w:type="dxa"/>
            <w:vAlign w:val="center"/>
          </w:tcPr>
          <w:p w14:paraId="3DB9CDA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1C1235A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0.013</w:t>
            </w:r>
          </w:p>
        </w:tc>
      </w:tr>
      <w:tr w14:paraId="61E7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AC3B1D0">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3089455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1D36ED1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0.38</w:t>
            </w:r>
          </w:p>
        </w:tc>
        <w:tc>
          <w:tcPr>
            <w:tcW w:w="1624" w:type="dxa"/>
            <w:vAlign w:val="center"/>
          </w:tcPr>
          <w:p w14:paraId="5F328DE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317B4A8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0.0038</w:t>
            </w:r>
          </w:p>
        </w:tc>
      </w:tr>
      <w:tr w14:paraId="0A30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1F11BD9">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69C6129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6EC53FD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0.060</w:t>
            </w:r>
          </w:p>
        </w:tc>
        <w:tc>
          <w:tcPr>
            <w:tcW w:w="1624" w:type="dxa"/>
            <w:vAlign w:val="center"/>
          </w:tcPr>
          <w:p w14:paraId="202F126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48E166C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0.00060</w:t>
            </w:r>
          </w:p>
        </w:tc>
      </w:tr>
      <w:tr w14:paraId="26FD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2123403">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624" w:type="dxa"/>
            <w:vAlign w:val="center"/>
          </w:tcPr>
          <w:p w14:paraId="3F62464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382F274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0.31</w:t>
            </w:r>
          </w:p>
        </w:tc>
        <w:tc>
          <w:tcPr>
            <w:tcW w:w="1624" w:type="dxa"/>
            <w:vAlign w:val="center"/>
          </w:tcPr>
          <w:p w14:paraId="0402909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71716A0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0.00031</w:t>
            </w:r>
          </w:p>
        </w:tc>
      </w:tr>
      <w:tr w14:paraId="7F8B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70CE85A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二噁英类总量(pg TEQ/m³)</w:t>
            </w:r>
          </w:p>
        </w:tc>
        <w:tc>
          <w:tcPr>
            <w:tcW w:w="5164" w:type="dxa"/>
            <w:gridSpan w:val="4"/>
            <w:vAlign w:val="center"/>
          </w:tcPr>
          <w:p w14:paraId="3DEB1B82">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0.11</w:t>
            </w:r>
          </w:p>
        </w:tc>
      </w:tr>
      <w:tr w14:paraId="6A73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1843EE3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二噁英类标准值(pg TEQ/m³)</w:t>
            </w:r>
          </w:p>
        </w:tc>
        <w:tc>
          <w:tcPr>
            <w:tcW w:w="5164" w:type="dxa"/>
            <w:gridSpan w:val="4"/>
            <w:vAlign w:val="center"/>
          </w:tcPr>
          <w:p w14:paraId="01170050">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r>
      <w:tr w14:paraId="7BCA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483" w:type="dxa"/>
            <w:gridSpan w:val="7"/>
            <w:vAlign w:val="center"/>
          </w:tcPr>
          <w:p w14:paraId="7533F9B0">
            <w:pPr>
              <w:pStyle w:val="109"/>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注：1、</w:t>
            </w:r>
            <w:r>
              <w:rPr>
                <w:rFonts w:hint="eastAsia"/>
                <w:color w:val="000000" w:themeColor="text1"/>
                <w:szCs w:val="21"/>
                <w14:textFill>
                  <w14:solidFill>
                    <w14:schemeClr w14:val="tx1"/>
                  </w14:solidFill>
                </w14:textFill>
              </w:rPr>
              <w:fldChar w:fldCharType="begin"/>
            </w:r>
            <w:r>
              <w:rPr>
                <w:color w:val="000000" w:themeColor="text1"/>
                <w14:textFill>
                  <w14:solidFill>
                    <w14:schemeClr w14:val="tx1"/>
                  </w14:solidFill>
                </w14:textFill>
              </w:rPr>
              <w:instrText xml:space="preserve"> LINK Word.Document.12 "C:\\Users\\Administrator\\Desktop\\二噁英模板-修改后\\ZTE2020-废气-采样模板.docx" "OLE_LINK1" \h \a  \* MERGEFORMAT </w:instrText>
            </w:r>
            <w:r>
              <w:rPr>
                <w:rFonts w:hint="eastAsia"/>
                <w:color w:val="000000" w:themeColor="text1"/>
                <w:szCs w:val="21"/>
                <w14:textFill>
                  <w14:solidFill>
                    <w14:schemeClr w14:val="tx1"/>
                  </w14:solidFill>
                </w14:textFill>
              </w:rPr>
              <w:fldChar w:fldCharType="separate"/>
            </w:r>
            <w:r>
              <w:rPr>
                <w:rFonts w:hint="eastAsia" w:ascii="宋体" w:hAnsi="宋体" w:cs="宋体"/>
                <w:color w:val="000000" w:themeColor="text1"/>
                <w:szCs w:val="21"/>
                <w:lang w:bidi="ar"/>
                <w14:textFill>
                  <w14:solidFill>
                    <w14:schemeClr w14:val="tx1"/>
                  </w14:solidFill>
                </w14:textFill>
              </w:rPr>
              <w:t>样品检出限：当浓度低于样品检出限时用</w:t>
            </w:r>
            <w:r>
              <w:rPr>
                <w:rFonts w:hint="eastAsia"/>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ND</w:t>
            </w:r>
            <w:r>
              <w:rPr>
                <w:rFonts w:hint="eastAsia" w:ascii="宋体" w:hAnsi="宋体" w:cs="宋体"/>
                <w:color w:val="000000" w:themeColor="text1"/>
                <w:szCs w:val="21"/>
                <w:lang w:bidi="ar"/>
                <w14:textFill>
                  <w14:solidFill>
                    <w14:schemeClr w14:val="tx1"/>
                  </w14:solidFill>
                </w14:textFill>
              </w:rPr>
              <w:t>”表示，计算毒性当量浓度时取样品检出限</w:t>
            </w:r>
            <w:r>
              <w:rPr>
                <w:rFonts w:hint="eastAsia"/>
                <w:color w:val="000000" w:themeColor="text1"/>
                <w:szCs w:val="21"/>
                <w:lang w:bidi="ar"/>
                <w14:textFill>
                  <w14:solidFill>
                    <w14:schemeClr w14:val="tx1"/>
                  </w14:solidFill>
                </w14:textFill>
              </w:rPr>
              <w:t>1/2</w:t>
            </w:r>
            <w:r>
              <w:rPr>
                <w:rFonts w:hint="eastAsia" w:ascii="宋体" w:hAnsi="宋体" w:cs="宋体"/>
                <w:color w:val="000000" w:themeColor="text1"/>
                <w:szCs w:val="21"/>
                <w:lang w:bidi="ar"/>
                <w14:textFill>
                  <w14:solidFill>
                    <w14:schemeClr w14:val="tx1"/>
                  </w14:solidFill>
                </w14:textFill>
              </w:rPr>
              <w:t>计算。</w:t>
            </w:r>
          </w:p>
          <w:p w14:paraId="65FED1FE">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 xml:space="preserve">    2、</w:t>
            </w:r>
            <w:r>
              <w:rPr>
                <w:rFonts w:hint="eastAsia"/>
                <w:color w:val="000000" w:themeColor="text1"/>
                <w14:textFill>
                  <w14:solidFill>
                    <w14:schemeClr w14:val="tx1"/>
                  </w14:solidFill>
                </w14:textFill>
              </w:rPr>
              <w:t>报告中二噁英类总量为17种2378取代二噁英毒性当量浓度的总和。</w:t>
            </w:r>
          </w:p>
        </w:tc>
      </w:tr>
    </w:tbl>
    <w:p w14:paraId="0B3F714A">
      <w:pPr>
        <w:pStyle w:val="117"/>
        <w:spacing w:line="440" w:lineRule="exact"/>
        <w:ind w:firstLine="480"/>
        <w:rPr>
          <w:rFonts w:hint="eastAsia" w:ascii="宋体" w:hAnsi="宋体"/>
          <w:b/>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624"/>
        <w:gridCol w:w="6"/>
        <w:gridCol w:w="1618"/>
        <w:gridCol w:w="1624"/>
        <w:gridCol w:w="1916"/>
        <w:gridCol w:w="6"/>
      </w:tblGrid>
      <w:tr w14:paraId="5DD8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49" w:hRule="atLeast"/>
        </w:trPr>
        <w:tc>
          <w:tcPr>
            <w:tcW w:w="2689" w:type="dxa"/>
            <w:vAlign w:val="center"/>
          </w:tcPr>
          <w:p w14:paraId="1BE9EC3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br w:type="page"/>
            </w:r>
            <w:r>
              <w:rPr>
                <w:rFonts w:hint="eastAsia"/>
                <w:color w:val="000000" w:themeColor="text1"/>
                <w14:textFill>
                  <w14:solidFill>
                    <w14:schemeClr w14:val="tx1"/>
                  </w14:solidFill>
                </w14:textFill>
              </w:rPr>
              <w:t>二噁英类</w:t>
            </w:r>
          </w:p>
          <w:p w14:paraId="7816D223">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PCDDs &amp; PCDFs</w:t>
            </w:r>
            <w:r>
              <w:rPr>
                <w:rFonts w:hint="eastAsia"/>
                <w:color w:val="000000" w:themeColor="text1"/>
                <w:szCs w:val="21"/>
                <w14:textFill>
                  <w14:solidFill>
                    <w14:schemeClr w14:val="tx1"/>
                  </w14:solidFill>
                </w14:textFill>
              </w:rPr>
              <w:t>）</w:t>
            </w:r>
          </w:p>
        </w:tc>
        <w:tc>
          <w:tcPr>
            <w:tcW w:w="1624" w:type="dxa"/>
            <w:vAlign w:val="center"/>
          </w:tcPr>
          <w:p w14:paraId="1E888DB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样品检出限</w:t>
            </w:r>
          </w:p>
          <w:p w14:paraId="77B168D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gridSpan w:val="2"/>
            <w:vAlign w:val="center"/>
          </w:tcPr>
          <w:p w14:paraId="6C0FE542">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组分浓度</w:t>
            </w:r>
          </w:p>
          <w:p w14:paraId="38DAF735">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vAlign w:val="center"/>
          </w:tcPr>
          <w:p w14:paraId="434A8B30">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毒性当量因子</w:t>
            </w:r>
          </w:p>
          <w:p w14:paraId="1DCA8F99">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I-TEF</w:t>
            </w:r>
          </w:p>
        </w:tc>
        <w:tc>
          <w:tcPr>
            <w:tcW w:w="1916" w:type="dxa"/>
            <w:vAlign w:val="center"/>
          </w:tcPr>
          <w:p w14:paraId="7EF3AE4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毒性当量浓度</w:t>
            </w:r>
          </w:p>
          <w:p w14:paraId="6571E7D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 TEQ/m³)</w:t>
            </w:r>
          </w:p>
        </w:tc>
      </w:tr>
      <w:tr w14:paraId="6360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B4D7EDC">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624" w:type="dxa"/>
            <w:vAlign w:val="center"/>
          </w:tcPr>
          <w:p w14:paraId="4708AB1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3298842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201263C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1916" w:type="dxa"/>
            <w:vAlign w:val="center"/>
          </w:tcPr>
          <w:p w14:paraId="7C8A5EB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0.0010</w:t>
            </w:r>
          </w:p>
        </w:tc>
      </w:tr>
      <w:tr w14:paraId="7225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05D1679">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624" w:type="dxa"/>
            <w:vAlign w:val="center"/>
          </w:tcPr>
          <w:p w14:paraId="5E33D20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w:t>
            </w:r>
          </w:p>
        </w:tc>
        <w:tc>
          <w:tcPr>
            <w:tcW w:w="1624" w:type="dxa"/>
            <w:gridSpan w:val="2"/>
            <w:vAlign w:val="center"/>
          </w:tcPr>
          <w:p w14:paraId="050C7D7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4B35A61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643220E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0.0010</w:t>
            </w:r>
          </w:p>
        </w:tc>
      </w:tr>
      <w:tr w14:paraId="3253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7773F8C">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24CD9B3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7EC8D0D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0.0083</w:t>
            </w:r>
          </w:p>
        </w:tc>
        <w:tc>
          <w:tcPr>
            <w:tcW w:w="1624" w:type="dxa"/>
            <w:vAlign w:val="center"/>
          </w:tcPr>
          <w:p w14:paraId="7900C0F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CF79D1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0.00083</w:t>
            </w:r>
          </w:p>
        </w:tc>
      </w:tr>
      <w:tr w14:paraId="5799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7DE7308">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3BEFE82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7DA8F4E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0.011</w:t>
            </w:r>
          </w:p>
        </w:tc>
        <w:tc>
          <w:tcPr>
            <w:tcW w:w="1624" w:type="dxa"/>
            <w:vAlign w:val="center"/>
          </w:tcPr>
          <w:p w14:paraId="55C7531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5ACBCD8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0.0011</w:t>
            </w:r>
          </w:p>
        </w:tc>
      </w:tr>
      <w:tr w14:paraId="4C05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FA2C146">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61DD601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04BD0F8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0.010</w:t>
            </w:r>
          </w:p>
        </w:tc>
        <w:tc>
          <w:tcPr>
            <w:tcW w:w="1624" w:type="dxa"/>
            <w:vAlign w:val="center"/>
          </w:tcPr>
          <w:p w14:paraId="6409837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5C05226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0.0010</w:t>
            </w:r>
          </w:p>
        </w:tc>
      </w:tr>
      <w:tr w14:paraId="60D8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134F70E">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624" w:type="dxa"/>
            <w:vAlign w:val="center"/>
          </w:tcPr>
          <w:p w14:paraId="37F6897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08034DC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0.048</w:t>
            </w:r>
          </w:p>
        </w:tc>
        <w:tc>
          <w:tcPr>
            <w:tcW w:w="1624" w:type="dxa"/>
            <w:vAlign w:val="center"/>
          </w:tcPr>
          <w:p w14:paraId="01CAA43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560A367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0.00048</w:t>
            </w:r>
          </w:p>
        </w:tc>
      </w:tr>
      <w:tr w14:paraId="6AE0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E01D4F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624" w:type="dxa"/>
            <w:vAlign w:val="center"/>
          </w:tcPr>
          <w:p w14:paraId="2754817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6FF79BC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0.11</w:t>
            </w:r>
          </w:p>
        </w:tc>
        <w:tc>
          <w:tcPr>
            <w:tcW w:w="1624" w:type="dxa"/>
            <w:vAlign w:val="center"/>
          </w:tcPr>
          <w:p w14:paraId="0921050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52CBAE0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0.00011</w:t>
            </w:r>
          </w:p>
        </w:tc>
      </w:tr>
      <w:tr w14:paraId="5A5C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DF992E2">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624" w:type="dxa"/>
            <w:vAlign w:val="center"/>
          </w:tcPr>
          <w:p w14:paraId="7A84BC1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0.007</w:t>
            </w:r>
          </w:p>
        </w:tc>
        <w:tc>
          <w:tcPr>
            <w:tcW w:w="1624" w:type="dxa"/>
            <w:gridSpan w:val="2"/>
            <w:vAlign w:val="center"/>
          </w:tcPr>
          <w:p w14:paraId="5130D64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599A7CA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16ABDD7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0.00035</w:t>
            </w:r>
          </w:p>
        </w:tc>
      </w:tr>
      <w:tr w14:paraId="1DA1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C561A6B">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4E403CB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w:t>
            </w:r>
          </w:p>
        </w:tc>
        <w:tc>
          <w:tcPr>
            <w:tcW w:w="1624" w:type="dxa"/>
            <w:gridSpan w:val="2"/>
            <w:vAlign w:val="center"/>
          </w:tcPr>
          <w:p w14:paraId="1166C52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0.030</w:t>
            </w:r>
          </w:p>
        </w:tc>
        <w:tc>
          <w:tcPr>
            <w:tcW w:w="1624" w:type="dxa"/>
            <w:vAlign w:val="center"/>
          </w:tcPr>
          <w:p w14:paraId="2EA710C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w:t>
            </w:r>
          </w:p>
        </w:tc>
        <w:tc>
          <w:tcPr>
            <w:tcW w:w="1916" w:type="dxa"/>
            <w:vAlign w:val="center"/>
          </w:tcPr>
          <w:p w14:paraId="5A3AD24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0.0015</w:t>
            </w:r>
          </w:p>
        </w:tc>
      </w:tr>
      <w:tr w14:paraId="6B4F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700676F">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458CFC9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4CC322F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0.049</w:t>
            </w:r>
          </w:p>
        </w:tc>
        <w:tc>
          <w:tcPr>
            <w:tcW w:w="1624" w:type="dxa"/>
            <w:vAlign w:val="center"/>
          </w:tcPr>
          <w:p w14:paraId="75205B9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7566296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0.025</w:t>
            </w:r>
          </w:p>
        </w:tc>
      </w:tr>
      <w:tr w14:paraId="7A59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5614DF2">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60F81B3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w:t>
            </w:r>
          </w:p>
        </w:tc>
        <w:tc>
          <w:tcPr>
            <w:tcW w:w="1624" w:type="dxa"/>
            <w:gridSpan w:val="2"/>
            <w:vAlign w:val="center"/>
          </w:tcPr>
          <w:p w14:paraId="293A340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0.044</w:t>
            </w:r>
          </w:p>
        </w:tc>
        <w:tc>
          <w:tcPr>
            <w:tcW w:w="1624" w:type="dxa"/>
            <w:vAlign w:val="center"/>
          </w:tcPr>
          <w:p w14:paraId="38EAB8D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1FC2418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0.0044</w:t>
            </w:r>
          </w:p>
        </w:tc>
      </w:tr>
      <w:tr w14:paraId="56E0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3E4701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2DAC1A8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w:t>
            </w:r>
          </w:p>
        </w:tc>
        <w:tc>
          <w:tcPr>
            <w:tcW w:w="1624" w:type="dxa"/>
            <w:gridSpan w:val="2"/>
            <w:vAlign w:val="center"/>
          </w:tcPr>
          <w:p w14:paraId="3E81E15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0.039</w:t>
            </w:r>
          </w:p>
        </w:tc>
        <w:tc>
          <w:tcPr>
            <w:tcW w:w="1624" w:type="dxa"/>
            <w:vAlign w:val="center"/>
          </w:tcPr>
          <w:p w14:paraId="17AF9B7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46EB95D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0.0039</w:t>
            </w:r>
          </w:p>
        </w:tc>
      </w:tr>
      <w:tr w14:paraId="011C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886F51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6C7577E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7185BF3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0.010</w:t>
            </w:r>
          </w:p>
        </w:tc>
        <w:tc>
          <w:tcPr>
            <w:tcW w:w="1624" w:type="dxa"/>
            <w:vAlign w:val="center"/>
          </w:tcPr>
          <w:p w14:paraId="3304B8C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5730AAF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0.0010</w:t>
            </w:r>
          </w:p>
        </w:tc>
      </w:tr>
      <w:tr w14:paraId="0CF1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085AE6D">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638174A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w:t>
            </w:r>
          </w:p>
        </w:tc>
        <w:tc>
          <w:tcPr>
            <w:tcW w:w="1624" w:type="dxa"/>
            <w:gridSpan w:val="2"/>
            <w:vAlign w:val="center"/>
          </w:tcPr>
          <w:p w14:paraId="7864DC9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0.047</w:t>
            </w:r>
          </w:p>
        </w:tc>
        <w:tc>
          <w:tcPr>
            <w:tcW w:w="1624" w:type="dxa"/>
            <w:vAlign w:val="center"/>
          </w:tcPr>
          <w:p w14:paraId="506EA5D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3FDC994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0.0047</w:t>
            </w:r>
          </w:p>
        </w:tc>
      </w:tr>
      <w:tr w14:paraId="19A3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2434D0C">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5AEF9C6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3550DDF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0.22</w:t>
            </w:r>
          </w:p>
        </w:tc>
        <w:tc>
          <w:tcPr>
            <w:tcW w:w="1624" w:type="dxa"/>
            <w:vAlign w:val="center"/>
          </w:tcPr>
          <w:p w14:paraId="7A60E4F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723C981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0.0022</w:t>
            </w:r>
          </w:p>
        </w:tc>
      </w:tr>
      <w:tr w14:paraId="3160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3700FFA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3C5B884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1E87B58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0.042</w:t>
            </w:r>
          </w:p>
        </w:tc>
        <w:tc>
          <w:tcPr>
            <w:tcW w:w="1624" w:type="dxa"/>
            <w:vAlign w:val="center"/>
          </w:tcPr>
          <w:p w14:paraId="574BDC8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1458E54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0.00042</w:t>
            </w:r>
          </w:p>
        </w:tc>
      </w:tr>
      <w:tr w14:paraId="0310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08EDB0F">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624" w:type="dxa"/>
            <w:vAlign w:val="center"/>
          </w:tcPr>
          <w:p w14:paraId="1376BA0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4CCC31E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0.31</w:t>
            </w:r>
          </w:p>
        </w:tc>
        <w:tc>
          <w:tcPr>
            <w:tcW w:w="1624" w:type="dxa"/>
            <w:vAlign w:val="center"/>
          </w:tcPr>
          <w:p w14:paraId="50A3591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259C951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0.00031</w:t>
            </w:r>
          </w:p>
        </w:tc>
      </w:tr>
      <w:tr w14:paraId="0D1D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38C40A57">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二噁英类总量(pg TEQ/m³)</w:t>
            </w:r>
          </w:p>
        </w:tc>
        <w:tc>
          <w:tcPr>
            <w:tcW w:w="5164" w:type="dxa"/>
            <w:gridSpan w:val="4"/>
            <w:vAlign w:val="center"/>
          </w:tcPr>
          <w:p w14:paraId="53CD7C14">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0.049</w:t>
            </w:r>
          </w:p>
        </w:tc>
      </w:tr>
      <w:tr w14:paraId="0B0A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52D64158">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二噁英类标准值(pg TEQ/m³)</w:t>
            </w:r>
          </w:p>
        </w:tc>
        <w:tc>
          <w:tcPr>
            <w:tcW w:w="5164" w:type="dxa"/>
            <w:gridSpan w:val="4"/>
            <w:vAlign w:val="center"/>
          </w:tcPr>
          <w:p w14:paraId="0095B9E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r>
      <w:tr w14:paraId="15EE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483" w:type="dxa"/>
            <w:gridSpan w:val="7"/>
            <w:vAlign w:val="center"/>
          </w:tcPr>
          <w:p w14:paraId="1F0FD286">
            <w:pPr>
              <w:pStyle w:val="109"/>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注：1、</w:t>
            </w:r>
            <w:r>
              <w:rPr>
                <w:rFonts w:hint="eastAsia"/>
                <w:color w:val="000000" w:themeColor="text1"/>
                <w:szCs w:val="21"/>
                <w14:textFill>
                  <w14:solidFill>
                    <w14:schemeClr w14:val="tx1"/>
                  </w14:solidFill>
                </w14:textFill>
              </w:rPr>
              <w:fldChar w:fldCharType="begin"/>
            </w:r>
            <w:r>
              <w:rPr>
                <w:color w:val="000000" w:themeColor="text1"/>
                <w14:textFill>
                  <w14:solidFill>
                    <w14:schemeClr w14:val="tx1"/>
                  </w14:solidFill>
                </w14:textFill>
              </w:rPr>
              <w:instrText xml:space="preserve"> LINK Word.Document.12 "C:\\Users\\Administrator\\Desktop\\二噁英模板-修改后\\ZTE2020-废气-采样模板.docx" "OLE_LINK1" \h \a  \* MERGEFORMAT </w:instrText>
            </w:r>
            <w:r>
              <w:rPr>
                <w:rFonts w:hint="eastAsia"/>
                <w:color w:val="000000" w:themeColor="text1"/>
                <w:szCs w:val="21"/>
                <w14:textFill>
                  <w14:solidFill>
                    <w14:schemeClr w14:val="tx1"/>
                  </w14:solidFill>
                </w14:textFill>
              </w:rPr>
              <w:fldChar w:fldCharType="separate"/>
            </w:r>
            <w:r>
              <w:rPr>
                <w:rFonts w:hint="eastAsia" w:ascii="宋体" w:hAnsi="宋体" w:cs="宋体"/>
                <w:color w:val="000000" w:themeColor="text1"/>
                <w:szCs w:val="21"/>
                <w:lang w:bidi="ar"/>
                <w14:textFill>
                  <w14:solidFill>
                    <w14:schemeClr w14:val="tx1"/>
                  </w14:solidFill>
                </w14:textFill>
              </w:rPr>
              <w:t>样品检出限：当浓度低于样品检出限时用</w:t>
            </w:r>
            <w:r>
              <w:rPr>
                <w:rFonts w:hint="eastAsia"/>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ND</w:t>
            </w:r>
            <w:r>
              <w:rPr>
                <w:rFonts w:hint="eastAsia" w:ascii="宋体" w:hAnsi="宋体" w:cs="宋体"/>
                <w:color w:val="000000" w:themeColor="text1"/>
                <w:szCs w:val="21"/>
                <w:lang w:bidi="ar"/>
                <w14:textFill>
                  <w14:solidFill>
                    <w14:schemeClr w14:val="tx1"/>
                  </w14:solidFill>
                </w14:textFill>
              </w:rPr>
              <w:t>”表示，计算毒性当量浓度时取样品检出限</w:t>
            </w:r>
            <w:r>
              <w:rPr>
                <w:rFonts w:hint="eastAsia"/>
                <w:color w:val="000000" w:themeColor="text1"/>
                <w:szCs w:val="21"/>
                <w:lang w:bidi="ar"/>
                <w14:textFill>
                  <w14:solidFill>
                    <w14:schemeClr w14:val="tx1"/>
                  </w14:solidFill>
                </w14:textFill>
              </w:rPr>
              <w:t>1/2</w:t>
            </w:r>
            <w:r>
              <w:rPr>
                <w:rFonts w:hint="eastAsia" w:ascii="宋体" w:hAnsi="宋体" w:cs="宋体"/>
                <w:color w:val="000000" w:themeColor="text1"/>
                <w:szCs w:val="21"/>
                <w:lang w:bidi="ar"/>
                <w14:textFill>
                  <w14:solidFill>
                    <w14:schemeClr w14:val="tx1"/>
                  </w14:solidFill>
                </w14:textFill>
              </w:rPr>
              <w:t>计算。</w:t>
            </w:r>
          </w:p>
          <w:p w14:paraId="3D0C24DA">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 xml:space="preserve">    2、</w:t>
            </w:r>
            <w:r>
              <w:rPr>
                <w:rFonts w:hint="eastAsia"/>
                <w:color w:val="000000" w:themeColor="text1"/>
                <w14:textFill>
                  <w14:solidFill>
                    <w14:schemeClr w14:val="tx1"/>
                  </w14:solidFill>
                </w14:textFill>
              </w:rPr>
              <w:t>报告中二噁英类总量为17种2378取代二噁英毒性当量浓度的总和。</w:t>
            </w:r>
          </w:p>
        </w:tc>
      </w:tr>
    </w:tbl>
    <w:p w14:paraId="317C5D6F">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624"/>
        <w:gridCol w:w="6"/>
        <w:gridCol w:w="1618"/>
        <w:gridCol w:w="1624"/>
        <w:gridCol w:w="1916"/>
        <w:gridCol w:w="6"/>
      </w:tblGrid>
      <w:tr w14:paraId="7BCF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49" w:hRule="atLeast"/>
        </w:trPr>
        <w:tc>
          <w:tcPr>
            <w:tcW w:w="2689" w:type="dxa"/>
            <w:vAlign w:val="center"/>
          </w:tcPr>
          <w:p w14:paraId="5F04418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br w:type="page"/>
            </w:r>
            <w:r>
              <w:rPr>
                <w:rFonts w:hint="eastAsia"/>
                <w:color w:val="000000" w:themeColor="text1"/>
                <w14:textFill>
                  <w14:solidFill>
                    <w14:schemeClr w14:val="tx1"/>
                  </w14:solidFill>
                </w14:textFill>
              </w:rPr>
              <w:t>二噁英类</w:t>
            </w:r>
          </w:p>
          <w:p w14:paraId="4152D27A">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PCDDs &amp; PCDFs</w:t>
            </w:r>
            <w:r>
              <w:rPr>
                <w:rFonts w:hint="eastAsia"/>
                <w:color w:val="000000" w:themeColor="text1"/>
                <w:szCs w:val="21"/>
                <w14:textFill>
                  <w14:solidFill>
                    <w14:schemeClr w14:val="tx1"/>
                  </w14:solidFill>
                </w14:textFill>
              </w:rPr>
              <w:t>）</w:t>
            </w:r>
          </w:p>
        </w:tc>
        <w:tc>
          <w:tcPr>
            <w:tcW w:w="1624" w:type="dxa"/>
            <w:vAlign w:val="center"/>
          </w:tcPr>
          <w:p w14:paraId="21616485">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样品检出限</w:t>
            </w:r>
          </w:p>
          <w:p w14:paraId="3059FFC2">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gridSpan w:val="2"/>
            <w:vAlign w:val="center"/>
          </w:tcPr>
          <w:p w14:paraId="07B58D39">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组分浓度</w:t>
            </w:r>
          </w:p>
          <w:p w14:paraId="5AF76BB8">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(pg/m³)</w:t>
            </w:r>
          </w:p>
        </w:tc>
        <w:tc>
          <w:tcPr>
            <w:tcW w:w="1624" w:type="dxa"/>
            <w:vAlign w:val="center"/>
          </w:tcPr>
          <w:p w14:paraId="60EC4B88">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毒性当量因子</w:t>
            </w:r>
          </w:p>
          <w:p w14:paraId="641A8A81">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I-TEF</w:t>
            </w:r>
          </w:p>
        </w:tc>
        <w:tc>
          <w:tcPr>
            <w:tcW w:w="1916" w:type="dxa"/>
            <w:vAlign w:val="center"/>
          </w:tcPr>
          <w:p w14:paraId="6940587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毒性当量浓度</w:t>
            </w:r>
          </w:p>
          <w:p w14:paraId="648FCD9C">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(pg TEQ/m³)</w:t>
            </w:r>
          </w:p>
        </w:tc>
      </w:tr>
      <w:tr w14:paraId="1579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ED80433">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624" w:type="dxa"/>
            <w:vAlign w:val="center"/>
          </w:tcPr>
          <w:p w14:paraId="70261C0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010E09F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12A219D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1916" w:type="dxa"/>
            <w:vAlign w:val="center"/>
          </w:tcPr>
          <w:p w14:paraId="6FC5E1E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0.0030</w:t>
            </w:r>
          </w:p>
        </w:tc>
      </w:tr>
      <w:tr w14:paraId="145B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21E11D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624" w:type="dxa"/>
            <w:vAlign w:val="center"/>
          </w:tcPr>
          <w:p w14:paraId="069F519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w:t>
            </w:r>
          </w:p>
        </w:tc>
        <w:tc>
          <w:tcPr>
            <w:tcW w:w="1624" w:type="dxa"/>
            <w:gridSpan w:val="2"/>
            <w:vAlign w:val="center"/>
          </w:tcPr>
          <w:p w14:paraId="290A5B6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ND</w:t>
            </w:r>
          </w:p>
        </w:tc>
        <w:tc>
          <w:tcPr>
            <w:tcW w:w="1624" w:type="dxa"/>
            <w:vAlign w:val="center"/>
          </w:tcPr>
          <w:p w14:paraId="0D60A1A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4F2688D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0.0013</w:t>
            </w:r>
          </w:p>
        </w:tc>
      </w:tr>
      <w:tr w14:paraId="299B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6F606C0">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776DB45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46AC371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0.014</w:t>
            </w:r>
          </w:p>
        </w:tc>
        <w:tc>
          <w:tcPr>
            <w:tcW w:w="1624" w:type="dxa"/>
            <w:vAlign w:val="center"/>
          </w:tcPr>
          <w:p w14:paraId="57CB0E5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3F2831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0.0014</w:t>
            </w:r>
          </w:p>
        </w:tc>
      </w:tr>
      <w:tr w14:paraId="1342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94E6A87">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3059AF4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7BA7439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0.024</w:t>
            </w:r>
          </w:p>
        </w:tc>
        <w:tc>
          <w:tcPr>
            <w:tcW w:w="1624" w:type="dxa"/>
            <w:vAlign w:val="center"/>
          </w:tcPr>
          <w:p w14:paraId="5AD9B6A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6D41E03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0.0024</w:t>
            </w:r>
          </w:p>
        </w:tc>
      </w:tr>
      <w:tr w14:paraId="2DA2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B3639C5">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624" w:type="dxa"/>
            <w:vAlign w:val="center"/>
          </w:tcPr>
          <w:p w14:paraId="6A53269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12FD2C2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0.018</w:t>
            </w:r>
          </w:p>
        </w:tc>
        <w:tc>
          <w:tcPr>
            <w:tcW w:w="1624" w:type="dxa"/>
            <w:vAlign w:val="center"/>
          </w:tcPr>
          <w:p w14:paraId="15949DB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0172D6B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0.0018</w:t>
            </w:r>
          </w:p>
        </w:tc>
      </w:tr>
      <w:tr w14:paraId="0015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C456A4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624" w:type="dxa"/>
            <w:vAlign w:val="center"/>
          </w:tcPr>
          <w:p w14:paraId="6E0B7D3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624" w:type="dxa"/>
            <w:gridSpan w:val="2"/>
            <w:vAlign w:val="center"/>
          </w:tcPr>
          <w:p w14:paraId="49D0D2A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0.097</w:t>
            </w:r>
          </w:p>
        </w:tc>
        <w:tc>
          <w:tcPr>
            <w:tcW w:w="1624" w:type="dxa"/>
            <w:vAlign w:val="center"/>
          </w:tcPr>
          <w:p w14:paraId="6B2EE2D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00C0D0C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0.00097</w:t>
            </w:r>
          </w:p>
        </w:tc>
      </w:tr>
      <w:tr w14:paraId="04E8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51C812B0">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624" w:type="dxa"/>
            <w:vAlign w:val="center"/>
          </w:tcPr>
          <w:p w14:paraId="0381BFD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23A97CE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0.16</w:t>
            </w:r>
          </w:p>
        </w:tc>
        <w:tc>
          <w:tcPr>
            <w:tcW w:w="1624" w:type="dxa"/>
            <w:vAlign w:val="center"/>
          </w:tcPr>
          <w:p w14:paraId="3828EBE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14EDE14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0.00016</w:t>
            </w:r>
          </w:p>
        </w:tc>
      </w:tr>
      <w:tr w14:paraId="2C34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1935361">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624" w:type="dxa"/>
            <w:vAlign w:val="center"/>
          </w:tcPr>
          <w:p w14:paraId="3BF2A521">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66B5A44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0.029</w:t>
            </w:r>
          </w:p>
        </w:tc>
        <w:tc>
          <w:tcPr>
            <w:tcW w:w="1624" w:type="dxa"/>
            <w:vAlign w:val="center"/>
          </w:tcPr>
          <w:p w14:paraId="616B0D1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62E2A73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0.0029</w:t>
            </w:r>
          </w:p>
        </w:tc>
      </w:tr>
      <w:tr w14:paraId="2186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018D2C0">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5359BBF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348C864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0.046</w:t>
            </w:r>
          </w:p>
        </w:tc>
        <w:tc>
          <w:tcPr>
            <w:tcW w:w="1624" w:type="dxa"/>
            <w:vAlign w:val="center"/>
          </w:tcPr>
          <w:p w14:paraId="0E0895A9">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w:t>
            </w:r>
          </w:p>
        </w:tc>
        <w:tc>
          <w:tcPr>
            <w:tcW w:w="1916" w:type="dxa"/>
            <w:vAlign w:val="center"/>
          </w:tcPr>
          <w:p w14:paraId="7A62208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0.0023</w:t>
            </w:r>
          </w:p>
        </w:tc>
      </w:tr>
      <w:tr w14:paraId="0711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7C1F4AE">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624" w:type="dxa"/>
            <w:vAlign w:val="center"/>
          </w:tcPr>
          <w:p w14:paraId="76D4871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w:t>
            </w:r>
          </w:p>
        </w:tc>
        <w:tc>
          <w:tcPr>
            <w:tcW w:w="1624" w:type="dxa"/>
            <w:gridSpan w:val="2"/>
            <w:vAlign w:val="center"/>
          </w:tcPr>
          <w:p w14:paraId="524F229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0.058</w:t>
            </w:r>
          </w:p>
        </w:tc>
        <w:tc>
          <w:tcPr>
            <w:tcW w:w="1624" w:type="dxa"/>
            <w:vAlign w:val="center"/>
          </w:tcPr>
          <w:p w14:paraId="40EF05B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0.5</w:t>
            </w:r>
          </w:p>
        </w:tc>
        <w:tc>
          <w:tcPr>
            <w:tcW w:w="1916" w:type="dxa"/>
            <w:vAlign w:val="center"/>
          </w:tcPr>
          <w:p w14:paraId="2CBA6DC2">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0.029</w:t>
            </w:r>
          </w:p>
        </w:tc>
      </w:tr>
      <w:tr w14:paraId="04E9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44AD57B0">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4909C55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16E4829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0.061</w:t>
            </w:r>
          </w:p>
        </w:tc>
        <w:tc>
          <w:tcPr>
            <w:tcW w:w="1624" w:type="dxa"/>
            <w:vAlign w:val="center"/>
          </w:tcPr>
          <w:p w14:paraId="577352A4">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7E3651B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0.0061</w:t>
            </w:r>
          </w:p>
        </w:tc>
      </w:tr>
      <w:tr w14:paraId="7AE1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17B03E96">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5F5DBFB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2A914E7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0.051</w:t>
            </w:r>
          </w:p>
        </w:tc>
        <w:tc>
          <w:tcPr>
            <w:tcW w:w="1624" w:type="dxa"/>
            <w:vAlign w:val="center"/>
          </w:tcPr>
          <w:p w14:paraId="237BE36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62D0AF4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0.0051</w:t>
            </w:r>
          </w:p>
        </w:tc>
      </w:tr>
      <w:tr w14:paraId="2044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288CB9E9">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39C4F3C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53C9658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0.012</w:t>
            </w:r>
          </w:p>
        </w:tc>
        <w:tc>
          <w:tcPr>
            <w:tcW w:w="1624" w:type="dxa"/>
            <w:vAlign w:val="center"/>
          </w:tcPr>
          <w:p w14:paraId="70498B8A">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507B2B9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0.0012</w:t>
            </w:r>
          </w:p>
        </w:tc>
      </w:tr>
      <w:tr w14:paraId="299F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FDA1FEA">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624" w:type="dxa"/>
            <w:vAlign w:val="center"/>
          </w:tcPr>
          <w:p w14:paraId="3E07199E">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316E926C">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0.058</w:t>
            </w:r>
          </w:p>
        </w:tc>
        <w:tc>
          <w:tcPr>
            <w:tcW w:w="1624" w:type="dxa"/>
            <w:vAlign w:val="center"/>
          </w:tcPr>
          <w:p w14:paraId="79F412C5">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0.1</w:t>
            </w:r>
          </w:p>
        </w:tc>
        <w:tc>
          <w:tcPr>
            <w:tcW w:w="1916" w:type="dxa"/>
            <w:vAlign w:val="center"/>
          </w:tcPr>
          <w:p w14:paraId="2381121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0.0058</w:t>
            </w:r>
          </w:p>
        </w:tc>
      </w:tr>
      <w:tr w14:paraId="1740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7655F1E6">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5A2DFC8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313D2673">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0.29</w:t>
            </w:r>
          </w:p>
        </w:tc>
        <w:tc>
          <w:tcPr>
            <w:tcW w:w="1624" w:type="dxa"/>
            <w:vAlign w:val="center"/>
          </w:tcPr>
          <w:p w14:paraId="11F8E31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142CD6F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0.0029</w:t>
            </w:r>
          </w:p>
        </w:tc>
      </w:tr>
      <w:tr w14:paraId="5502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0E00EC45">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624" w:type="dxa"/>
            <w:vAlign w:val="center"/>
          </w:tcPr>
          <w:p w14:paraId="5474D11B">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0.002</w:t>
            </w:r>
          </w:p>
        </w:tc>
        <w:tc>
          <w:tcPr>
            <w:tcW w:w="1624" w:type="dxa"/>
            <w:gridSpan w:val="2"/>
            <w:vAlign w:val="center"/>
          </w:tcPr>
          <w:p w14:paraId="2086E1E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0.043</w:t>
            </w:r>
          </w:p>
        </w:tc>
        <w:tc>
          <w:tcPr>
            <w:tcW w:w="1624" w:type="dxa"/>
            <w:vAlign w:val="center"/>
          </w:tcPr>
          <w:p w14:paraId="71966197">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0.01</w:t>
            </w:r>
          </w:p>
        </w:tc>
        <w:tc>
          <w:tcPr>
            <w:tcW w:w="1916" w:type="dxa"/>
            <w:vAlign w:val="center"/>
          </w:tcPr>
          <w:p w14:paraId="312AE0E8">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0.00043</w:t>
            </w:r>
          </w:p>
        </w:tc>
      </w:tr>
      <w:tr w14:paraId="1C76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60" w:hRule="atLeast"/>
        </w:trPr>
        <w:tc>
          <w:tcPr>
            <w:tcW w:w="2689" w:type="dxa"/>
            <w:vAlign w:val="center"/>
          </w:tcPr>
          <w:p w14:paraId="6D15915D">
            <w:pPr>
              <w:pStyle w:val="109"/>
              <w:rPr>
                <w:color w:val="000000" w:themeColor="text1"/>
                <w:szCs w:val="2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624" w:type="dxa"/>
            <w:vAlign w:val="center"/>
          </w:tcPr>
          <w:p w14:paraId="6F769B7D">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0.003</w:t>
            </w:r>
          </w:p>
        </w:tc>
        <w:tc>
          <w:tcPr>
            <w:tcW w:w="1624" w:type="dxa"/>
            <w:gridSpan w:val="2"/>
            <w:vAlign w:val="center"/>
          </w:tcPr>
          <w:p w14:paraId="3437EA3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0.39</w:t>
            </w:r>
          </w:p>
        </w:tc>
        <w:tc>
          <w:tcPr>
            <w:tcW w:w="1624" w:type="dxa"/>
            <w:vAlign w:val="center"/>
          </w:tcPr>
          <w:p w14:paraId="602232A6">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0.001</w:t>
            </w:r>
          </w:p>
        </w:tc>
        <w:tc>
          <w:tcPr>
            <w:tcW w:w="1916" w:type="dxa"/>
            <w:vAlign w:val="center"/>
          </w:tcPr>
          <w:p w14:paraId="1AFDFA40">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0.00039</w:t>
            </w:r>
          </w:p>
        </w:tc>
      </w:tr>
      <w:tr w14:paraId="02DE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7C5B04AB">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二噁英类总量(pg TEQ/m³)</w:t>
            </w:r>
          </w:p>
        </w:tc>
        <w:tc>
          <w:tcPr>
            <w:tcW w:w="5164" w:type="dxa"/>
            <w:gridSpan w:val="4"/>
            <w:vAlign w:val="center"/>
          </w:tcPr>
          <w:p w14:paraId="4ACF0423">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0.067</w:t>
            </w:r>
          </w:p>
        </w:tc>
      </w:tr>
      <w:tr w14:paraId="6C07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319" w:type="dxa"/>
            <w:gridSpan w:val="3"/>
            <w:vAlign w:val="center"/>
          </w:tcPr>
          <w:p w14:paraId="31F35088">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二噁英类标准值(pg TEQ/m³)</w:t>
            </w:r>
          </w:p>
        </w:tc>
        <w:tc>
          <w:tcPr>
            <w:tcW w:w="5164" w:type="dxa"/>
            <w:gridSpan w:val="4"/>
            <w:vAlign w:val="center"/>
          </w:tcPr>
          <w:p w14:paraId="5E653751">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r>
      <w:tr w14:paraId="7317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483" w:type="dxa"/>
            <w:gridSpan w:val="7"/>
            <w:vAlign w:val="center"/>
          </w:tcPr>
          <w:p w14:paraId="093395B9">
            <w:pPr>
              <w:pStyle w:val="109"/>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注：1、</w:t>
            </w:r>
            <w:r>
              <w:rPr>
                <w:rFonts w:hint="eastAsia"/>
                <w:color w:val="000000" w:themeColor="text1"/>
                <w:szCs w:val="21"/>
                <w14:textFill>
                  <w14:solidFill>
                    <w14:schemeClr w14:val="tx1"/>
                  </w14:solidFill>
                </w14:textFill>
              </w:rPr>
              <w:fldChar w:fldCharType="begin"/>
            </w:r>
            <w:r>
              <w:rPr>
                <w:color w:val="000000" w:themeColor="text1"/>
                <w14:textFill>
                  <w14:solidFill>
                    <w14:schemeClr w14:val="tx1"/>
                  </w14:solidFill>
                </w14:textFill>
              </w:rPr>
              <w:instrText xml:space="preserve"> LINK Word.Document.12 "C:\\Users\\Administrator\\Desktop\\二噁英模板-修改后\\ZTE2020-废气-采样模板.docx" "OLE_LINK1" \h \a  \* MERGEFORMAT </w:instrText>
            </w:r>
            <w:r>
              <w:rPr>
                <w:rFonts w:hint="eastAsia"/>
                <w:color w:val="000000" w:themeColor="text1"/>
                <w:szCs w:val="21"/>
                <w14:textFill>
                  <w14:solidFill>
                    <w14:schemeClr w14:val="tx1"/>
                  </w14:solidFill>
                </w14:textFill>
              </w:rPr>
              <w:fldChar w:fldCharType="separate"/>
            </w:r>
            <w:r>
              <w:rPr>
                <w:rFonts w:hint="eastAsia" w:ascii="宋体" w:hAnsi="宋体" w:cs="宋体"/>
                <w:color w:val="000000" w:themeColor="text1"/>
                <w:szCs w:val="21"/>
                <w:lang w:bidi="ar"/>
                <w14:textFill>
                  <w14:solidFill>
                    <w14:schemeClr w14:val="tx1"/>
                  </w14:solidFill>
                </w14:textFill>
              </w:rPr>
              <w:t>样品检出限：当浓度低于样品检出限时用</w:t>
            </w:r>
            <w:r>
              <w:rPr>
                <w:rFonts w:hint="eastAsia"/>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ND</w:t>
            </w:r>
            <w:r>
              <w:rPr>
                <w:rFonts w:hint="eastAsia" w:ascii="宋体" w:hAnsi="宋体" w:cs="宋体"/>
                <w:color w:val="000000" w:themeColor="text1"/>
                <w:szCs w:val="21"/>
                <w:lang w:bidi="ar"/>
                <w14:textFill>
                  <w14:solidFill>
                    <w14:schemeClr w14:val="tx1"/>
                  </w14:solidFill>
                </w14:textFill>
              </w:rPr>
              <w:t>”表示，计算毒性当量浓度时取样品检出限</w:t>
            </w:r>
            <w:r>
              <w:rPr>
                <w:rFonts w:hint="eastAsia"/>
                <w:color w:val="000000" w:themeColor="text1"/>
                <w:szCs w:val="21"/>
                <w:lang w:bidi="ar"/>
                <w14:textFill>
                  <w14:solidFill>
                    <w14:schemeClr w14:val="tx1"/>
                  </w14:solidFill>
                </w14:textFill>
              </w:rPr>
              <w:t>1/2</w:t>
            </w:r>
            <w:r>
              <w:rPr>
                <w:rFonts w:hint="eastAsia" w:ascii="宋体" w:hAnsi="宋体" w:cs="宋体"/>
                <w:color w:val="000000" w:themeColor="text1"/>
                <w:szCs w:val="21"/>
                <w:lang w:bidi="ar"/>
                <w14:textFill>
                  <w14:solidFill>
                    <w14:schemeClr w14:val="tx1"/>
                  </w14:solidFill>
                </w14:textFill>
              </w:rPr>
              <w:t>计算。</w:t>
            </w:r>
          </w:p>
          <w:p w14:paraId="1B03927B">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 xml:space="preserve">    2、</w:t>
            </w:r>
            <w:r>
              <w:rPr>
                <w:rFonts w:hint="eastAsia"/>
                <w:color w:val="000000" w:themeColor="text1"/>
                <w14:textFill>
                  <w14:solidFill>
                    <w14:schemeClr w14:val="tx1"/>
                  </w14:solidFill>
                </w14:textFill>
              </w:rPr>
              <w:t>报告中二噁英类总量为17种2378取代二噁英毒性当量浓度的总和。</w:t>
            </w:r>
          </w:p>
        </w:tc>
      </w:tr>
    </w:tbl>
    <w:p w14:paraId="5FD125A9">
      <w:pPr>
        <w:ind w:firstLine="480"/>
        <w:outlineLvl w:val="4"/>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四、环境空气质量特征污染物现状评价</w:t>
      </w:r>
    </w:p>
    <w:p w14:paraId="759EB3CF">
      <w:pPr>
        <w:ind w:firstLine="482"/>
        <w:rPr>
          <w:b/>
          <w:color w:val="000000" w:themeColor="text1"/>
          <w14:textFill>
            <w14:solidFill>
              <w14:schemeClr w14:val="tx1"/>
            </w14:solidFill>
          </w14:textFill>
        </w:rPr>
      </w:pPr>
      <w:r>
        <w:rPr>
          <w:b/>
          <w:color w:val="000000" w:themeColor="text1"/>
          <w14:textFill>
            <w14:solidFill>
              <w14:schemeClr w14:val="tx1"/>
            </w14:solidFill>
          </w14:textFill>
        </w:rPr>
        <w:t>1、评价因子</w:t>
      </w:r>
    </w:p>
    <w:p w14:paraId="64651039">
      <w:pPr>
        <w:ind w:firstLine="480"/>
        <w:rPr>
          <w:color w:val="000000" w:themeColor="text1"/>
          <w14:textFill>
            <w14:solidFill>
              <w14:schemeClr w14:val="tx1"/>
            </w14:solidFill>
          </w14:textFill>
        </w:rPr>
      </w:pPr>
      <w:r>
        <w:rPr>
          <w:color w:val="000000" w:themeColor="text1"/>
          <w14:textFill>
            <w14:solidFill>
              <w14:schemeClr w14:val="tx1"/>
            </w14:solidFill>
          </w14:textFill>
        </w:rPr>
        <w:t>评价因子标准浓度限值见下表。</w:t>
      </w:r>
    </w:p>
    <w:p w14:paraId="142C36A6">
      <w:pPr>
        <w:pStyle w:val="117"/>
        <w:rPr>
          <w:rFonts w:hint="eastAsia"/>
          <w:b/>
          <w:color w:val="000000" w:themeColor="text1"/>
          <w14:textFill>
            <w14:solidFill>
              <w14:schemeClr w14:val="tx1"/>
            </w14:solidFill>
          </w14:textFill>
        </w:rPr>
      </w:pPr>
      <w:r>
        <w:rPr>
          <w:color w:val="000000" w:themeColor="text1"/>
          <w14:textFill>
            <w14:solidFill>
              <w14:schemeClr w14:val="tx1"/>
            </w14:solidFill>
          </w14:textFill>
        </w:rPr>
        <w:t xml:space="preserve">环境空气质量标准一览表 </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02"/>
        <w:gridCol w:w="1080"/>
        <w:gridCol w:w="1555"/>
        <w:gridCol w:w="1579"/>
        <w:gridCol w:w="3370"/>
      </w:tblGrid>
      <w:tr w14:paraId="00F6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Merge w:val="restart"/>
            <w:vAlign w:val="center"/>
          </w:tcPr>
          <w:p w14:paraId="66D9449D">
            <w:pPr>
              <w:pStyle w:val="109"/>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4214" w:type="dxa"/>
            <w:gridSpan w:val="3"/>
            <w:vAlign w:val="center"/>
          </w:tcPr>
          <w:p w14:paraId="382A1E04">
            <w:pPr>
              <w:pStyle w:val="109"/>
              <w:rPr>
                <w:color w:val="000000" w:themeColor="text1"/>
                <w14:textFill>
                  <w14:solidFill>
                    <w14:schemeClr w14:val="tx1"/>
                  </w14:solidFill>
                </w14:textFill>
              </w:rPr>
            </w:pPr>
            <w:r>
              <w:rPr>
                <w:color w:val="000000" w:themeColor="text1"/>
                <w14:textFill>
                  <w14:solidFill>
                    <w14:schemeClr w14:val="tx1"/>
                  </w14:solidFill>
                </w14:textFill>
              </w:rPr>
              <w:t>浓度限值</w:t>
            </w:r>
            <w:r>
              <w:rPr>
                <w:color w:val="000000" w:themeColor="text1"/>
                <w:lang w:eastAsia="en-US" w:bidi="en-US"/>
                <w14:textFill>
                  <w14:solidFill>
                    <w14:schemeClr w14:val="tx1"/>
                  </w14:solidFill>
                </w14:textFill>
              </w:rPr>
              <w:t>（</w:t>
            </w:r>
            <w:r>
              <w:rPr>
                <w:rFonts w:eastAsiaTheme="minorEastAsia"/>
                <w:color w:val="000000" w:themeColor="text1"/>
                <w:sz w:val="18"/>
                <w:szCs w:val="18"/>
                <w14:textFill>
                  <w14:solidFill>
                    <w14:schemeClr w14:val="tx1"/>
                  </w14:solidFill>
                </w14:textFill>
              </w:rPr>
              <w:t>g/m³</w:t>
            </w:r>
            <w:r>
              <w:rPr>
                <w:color w:val="000000" w:themeColor="text1"/>
                <w:lang w:eastAsia="en-US" w:bidi="en-US"/>
                <w14:textFill>
                  <w14:solidFill>
                    <w14:schemeClr w14:val="tx1"/>
                  </w14:solidFill>
                </w14:textFill>
              </w:rPr>
              <w:t>）</w:t>
            </w:r>
          </w:p>
        </w:tc>
        <w:tc>
          <w:tcPr>
            <w:tcW w:w="3370" w:type="dxa"/>
            <w:vMerge w:val="restart"/>
            <w:vAlign w:val="center"/>
          </w:tcPr>
          <w:p w14:paraId="42CE5745">
            <w:pPr>
              <w:pStyle w:val="109"/>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7A87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Merge w:val="continue"/>
            <w:vAlign w:val="center"/>
          </w:tcPr>
          <w:p w14:paraId="164CDCB7">
            <w:pPr>
              <w:pStyle w:val="109"/>
              <w:rPr>
                <w:color w:val="000000" w:themeColor="text1"/>
                <w14:textFill>
                  <w14:solidFill>
                    <w14:schemeClr w14:val="tx1"/>
                  </w14:solidFill>
                </w14:textFill>
              </w:rPr>
            </w:pPr>
          </w:p>
        </w:tc>
        <w:tc>
          <w:tcPr>
            <w:tcW w:w="1080" w:type="dxa"/>
            <w:vAlign w:val="center"/>
          </w:tcPr>
          <w:p w14:paraId="1DBC1C98">
            <w:pPr>
              <w:pStyle w:val="109"/>
              <w:rPr>
                <w:color w:val="000000" w:themeColor="text1"/>
                <w14:textFill>
                  <w14:solidFill>
                    <w14:schemeClr w14:val="tx1"/>
                  </w14:solidFill>
                </w14:textFill>
              </w:rPr>
            </w:pPr>
            <w:r>
              <w:rPr>
                <w:color w:val="000000" w:themeColor="text1"/>
                <w14:textFill>
                  <w14:solidFill>
                    <w14:schemeClr w14:val="tx1"/>
                  </w14:solidFill>
                </w14:textFill>
              </w:rPr>
              <w:t>小时</w:t>
            </w:r>
          </w:p>
        </w:tc>
        <w:tc>
          <w:tcPr>
            <w:tcW w:w="1555" w:type="dxa"/>
            <w:vAlign w:val="center"/>
          </w:tcPr>
          <w:p w14:paraId="54A1B677">
            <w:pPr>
              <w:pStyle w:val="109"/>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1579" w:type="dxa"/>
            <w:vAlign w:val="center"/>
          </w:tcPr>
          <w:p w14:paraId="5AE1E11D">
            <w:pPr>
              <w:pStyle w:val="109"/>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3370" w:type="dxa"/>
            <w:vMerge w:val="continue"/>
            <w:vAlign w:val="center"/>
          </w:tcPr>
          <w:p w14:paraId="2685EAA8">
            <w:pPr>
              <w:pStyle w:val="109"/>
              <w:rPr>
                <w:color w:val="000000" w:themeColor="text1"/>
                <w14:textFill>
                  <w14:solidFill>
                    <w14:schemeClr w14:val="tx1"/>
                  </w14:solidFill>
                </w14:textFill>
              </w:rPr>
            </w:pPr>
          </w:p>
        </w:tc>
      </w:tr>
      <w:tr w14:paraId="7C34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4C035023">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SO</w:t>
            </w:r>
            <w:r>
              <w:rPr>
                <w:rFonts w:eastAsia="Times New Roman"/>
                <w:color w:val="000000" w:themeColor="text1"/>
                <w:sz w:val="13"/>
                <w:szCs w:val="13"/>
                <w:lang w:eastAsia="en-US" w:bidi="en-US"/>
                <w14:textFill>
                  <w14:solidFill>
                    <w14:schemeClr w14:val="tx1"/>
                  </w14:solidFill>
                </w14:textFill>
              </w:rPr>
              <w:t>2</w:t>
            </w:r>
          </w:p>
        </w:tc>
        <w:tc>
          <w:tcPr>
            <w:tcW w:w="1080" w:type="dxa"/>
            <w:vAlign w:val="center"/>
          </w:tcPr>
          <w:p w14:paraId="36262BD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500</w:t>
            </w:r>
          </w:p>
        </w:tc>
        <w:tc>
          <w:tcPr>
            <w:tcW w:w="1555" w:type="dxa"/>
            <w:vAlign w:val="center"/>
          </w:tcPr>
          <w:p w14:paraId="716D1B9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150</w:t>
            </w:r>
          </w:p>
        </w:tc>
        <w:tc>
          <w:tcPr>
            <w:tcW w:w="1579" w:type="dxa"/>
            <w:vAlign w:val="center"/>
          </w:tcPr>
          <w:p w14:paraId="01C76D8F">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60</w:t>
            </w:r>
          </w:p>
        </w:tc>
        <w:tc>
          <w:tcPr>
            <w:tcW w:w="3370" w:type="dxa"/>
            <w:vMerge w:val="restart"/>
            <w:vAlign w:val="center"/>
          </w:tcPr>
          <w:p w14:paraId="5AC2BF5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《环境空气质量标准》 </w:t>
            </w:r>
            <w:r>
              <w:rPr>
                <w:color w:val="000000" w:themeColor="text1"/>
                <w:lang w:bidi="en-US"/>
                <w14:textFill>
                  <w14:solidFill>
                    <w14:schemeClr w14:val="tx1"/>
                  </w14:solidFill>
                </w14:textFill>
              </w:rPr>
              <w:t>（GB3095-2026）过渡阶段</w:t>
            </w:r>
          </w:p>
        </w:tc>
      </w:tr>
      <w:tr w14:paraId="0750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02D5C93F">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NO</w:t>
            </w:r>
            <w:r>
              <w:rPr>
                <w:rFonts w:eastAsia="Times New Roman"/>
                <w:color w:val="000000" w:themeColor="text1"/>
                <w:sz w:val="13"/>
                <w:szCs w:val="13"/>
                <w:lang w:eastAsia="en-US" w:bidi="en-US"/>
                <w14:textFill>
                  <w14:solidFill>
                    <w14:schemeClr w14:val="tx1"/>
                  </w14:solidFill>
                </w14:textFill>
              </w:rPr>
              <w:t>2</w:t>
            </w:r>
          </w:p>
        </w:tc>
        <w:tc>
          <w:tcPr>
            <w:tcW w:w="1080" w:type="dxa"/>
            <w:vAlign w:val="center"/>
          </w:tcPr>
          <w:p w14:paraId="5E962D8F">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w:t>
            </w:r>
          </w:p>
        </w:tc>
        <w:tc>
          <w:tcPr>
            <w:tcW w:w="1555" w:type="dxa"/>
            <w:vAlign w:val="center"/>
          </w:tcPr>
          <w:p w14:paraId="425E9F3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80</w:t>
            </w:r>
          </w:p>
        </w:tc>
        <w:tc>
          <w:tcPr>
            <w:tcW w:w="1579" w:type="dxa"/>
            <w:vAlign w:val="center"/>
          </w:tcPr>
          <w:p w14:paraId="430EF0C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40</w:t>
            </w:r>
          </w:p>
        </w:tc>
        <w:tc>
          <w:tcPr>
            <w:tcW w:w="3370" w:type="dxa"/>
            <w:vMerge w:val="continue"/>
            <w:vAlign w:val="center"/>
          </w:tcPr>
          <w:p w14:paraId="2F37B612">
            <w:pPr>
              <w:pStyle w:val="109"/>
              <w:rPr>
                <w:color w:val="000000" w:themeColor="text1"/>
                <w14:textFill>
                  <w14:solidFill>
                    <w14:schemeClr w14:val="tx1"/>
                  </w14:solidFill>
                </w14:textFill>
              </w:rPr>
            </w:pPr>
          </w:p>
        </w:tc>
      </w:tr>
      <w:tr w14:paraId="0658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39D95D1D">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PM</w:t>
            </w:r>
            <w:r>
              <w:rPr>
                <w:rFonts w:eastAsia="Times New Roman"/>
                <w:color w:val="000000" w:themeColor="text1"/>
                <w:sz w:val="13"/>
                <w:szCs w:val="13"/>
                <w:lang w:eastAsia="en-US" w:bidi="en-US"/>
                <w14:textFill>
                  <w14:solidFill>
                    <w14:schemeClr w14:val="tx1"/>
                  </w14:solidFill>
                </w14:textFill>
              </w:rPr>
              <w:t>10</w:t>
            </w:r>
          </w:p>
        </w:tc>
        <w:tc>
          <w:tcPr>
            <w:tcW w:w="1080" w:type="dxa"/>
            <w:vAlign w:val="center"/>
          </w:tcPr>
          <w:p w14:paraId="62D5F14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4495550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150</w:t>
            </w:r>
          </w:p>
        </w:tc>
        <w:tc>
          <w:tcPr>
            <w:tcW w:w="1579" w:type="dxa"/>
            <w:vAlign w:val="center"/>
          </w:tcPr>
          <w:p w14:paraId="2FEAF40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70</w:t>
            </w:r>
          </w:p>
        </w:tc>
        <w:tc>
          <w:tcPr>
            <w:tcW w:w="3370" w:type="dxa"/>
            <w:vMerge w:val="continue"/>
            <w:vAlign w:val="center"/>
          </w:tcPr>
          <w:p w14:paraId="639FD91A">
            <w:pPr>
              <w:pStyle w:val="109"/>
              <w:rPr>
                <w:color w:val="000000" w:themeColor="text1"/>
                <w14:textFill>
                  <w14:solidFill>
                    <w14:schemeClr w14:val="tx1"/>
                  </w14:solidFill>
                </w14:textFill>
              </w:rPr>
            </w:pPr>
          </w:p>
        </w:tc>
      </w:tr>
      <w:tr w14:paraId="38EF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0F62E483">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PM</w:t>
            </w:r>
            <w:r>
              <w:rPr>
                <w:rFonts w:eastAsia="Times New Roman"/>
                <w:color w:val="000000" w:themeColor="text1"/>
                <w:sz w:val="13"/>
                <w:szCs w:val="13"/>
                <w:lang w:eastAsia="en-US" w:bidi="en-US"/>
                <w14:textFill>
                  <w14:solidFill>
                    <w14:schemeClr w14:val="tx1"/>
                  </w14:solidFill>
                </w14:textFill>
              </w:rPr>
              <w:t>2.5</w:t>
            </w:r>
          </w:p>
        </w:tc>
        <w:tc>
          <w:tcPr>
            <w:tcW w:w="1080" w:type="dxa"/>
            <w:vAlign w:val="center"/>
          </w:tcPr>
          <w:p w14:paraId="5FE53FC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78CC3BA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75</w:t>
            </w:r>
          </w:p>
        </w:tc>
        <w:tc>
          <w:tcPr>
            <w:tcW w:w="1579" w:type="dxa"/>
            <w:vAlign w:val="center"/>
          </w:tcPr>
          <w:p w14:paraId="4E19AD1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35</w:t>
            </w:r>
          </w:p>
        </w:tc>
        <w:tc>
          <w:tcPr>
            <w:tcW w:w="3370" w:type="dxa"/>
            <w:vMerge w:val="continue"/>
            <w:vAlign w:val="center"/>
          </w:tcPr>
          <w:p w14:paraId="4A123E5F">
            <w:pPr>
              <w:pStyle w:val="109"/>
              <w:rPr>
                <w:color w:val="000000" w:themeColor="text1"/>
                <w14:textFill>
                  <w14:solidFill>
                    <w14:schemeClr w14:val="tx1"/>
                  </w14:solidFill>
                </w14:textFill>
              </w:rPr>
            </w:pPr>
          </w:p>
        </w:tc>
      </w:tr>
      <w:tr w14:paraId="267A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5A42A66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CO</w:t>
            </w:r>
          </w:p>
        </w:tc>
        <w:tc>
          <w:tcPr>
            <w:tcW w:w="1080" w:type="dxa"/>
            <w:vAlign w:val="center"/>
          </w:tcPr>
          <w:p w14:paraId="49F649B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10000</w:t>
            </w:r>
          </w:p>
        </w:tc>
        <w:tc>
          <w:tcPr>
            <w:tcW w:w="1555" w:type="dxa"/>
            <w:vAlign w:val="center"/>
          </w:tcPr>
          <w:p w14:paraId="0876768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4000</w:t>
            </w:r>
          </w:p>
        </w:tc>
        <w:tc>
          <w:tcPr>
            <w:tcW w:w="1579" w:type="dxa"/>
            <w:vAlign w:val="center"/>
          </w:tcPr>
          <w:p w14:paraId="43ACECDC">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370" w:type="dxa"/>
            <w:vMerge w:val="continue"/>
            <w:vAlign w:val="center"/>
          </w:tcPr>
          <w:p w14:paraId="5C077E06">
            <w:pPr>
              <w:pStyle w:val="109"/>
              <w:rPr>
                <w:color w:val="000000" w:themeColor="text1"/>
                <w14:textFill>
                  <w14:solidFill>
                    <w14:schemeClr w14:val="tx1"/>
                  </w14:solidFill>
                </w14:textFill>
              </w:rPr>
            </w:pPr>
          </w:p>
        </w:tc>
      </w:tr>
      <w:tr w14:paraId="44F2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4925F4F1">
            <w:pPr>
              <w:pStyle w:val="109"/>
              <w:rPr>
                <w:color w:val="000000" w:themeColor="text1"/>
                <w:sz w:val="13"/>
                <w:szCs w:val="13"/>
                <w14:textFill>
                  <w14:solidFill>
                    <w14:schemeClr w14:val="tx1"/>
                  </w14:solidFill>
                </w14:textFill>
              </w:rPr>
            </w:pPr>
            <w:r>
              <w:rPr>
                <w:rFonts w:eastAsia="Times New Roman"/>
                <w:color w:val="000000" w:themeColor="text1"/>
                <w:lang w:eastAsia="en-US" w:bidi="en-US"/>
                <w14:textFill>
                  <w14:solidFill>
                    <w14:schemeClr w14:val="tx1"/>
                  </w14:solidFill>
                </w14:textFill>
              </w:rPr>
              <w:t>O</w:t>
            </w:r>
            <w:r>
              <w:rPr>
                <w:rFonts w:eastAsia="Times New Roman"/>
                <w:color w:val="000000" w:themeColor="text1"/>
                <w:sz w:val="13"/>
                <w:szCs w:val="13"/>
                <w:lang w:eastAsia="en-US" w:bidi="en-US"/>
                <w14:textFill>
                  <w14:solidFill>
                    <w14:schemeClr w14:val="tx1"/>
                  </w14:solidFill>
                </w14:textFill>
              </w:rPr>
              <w:t>3</w:t>
            </w:r>
          </w:p>
        </w:tc>
        <w:tc>
          <w:tcPr>
            <w:tcW w:w="1080" w:type="dxa"/>
            <w:vAlign w:val="center"/>
          </w:tcPr>
          <w:p w14:paraId="50328DD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w:t>
            </w:r>
          </w:p>
        </w:tc>
        <w:tc>
          <w:tcPr>
            <w:tcW w:w="1555" w:type="dxa"/>
            <w:vAlign w:val="center"/>
          </w:tcPr>
          <w:p w14:paraId="3E77D469">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160</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8</w:t>
            </w:r>
            <w:r>
              <w:rPr>
                <w:color w:val="000000" w:themeColor="text1"/>
                <w14:textFill>
                  <w14:solidFill>
                    <w14:schemeClr w14:val="tx1"/>
                  </w14:solidFill>
                </w14:textFill>
              </w:rPr>
              <w:t>小时平均）</w:t>
            </w:r>
          </w:p>
        </w:tc>
        <w:tc>
          <w:tcPr>
            <w:tcW w:w="1579" w:type="dxa"/>
            <w:vAlign w:val="center"/>
          </w:tcPr>
          <w:p w14:paraId="161C842F">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370" w:type="dxa"/>
            <w:vMerge w:val="continue"/>
            <w:vAlign w:val="center"/>
          </w:tcPr>
          <w:p w14:paraId="5F07AFDA">
            <w:pPr>
              <w:pStyle w:val="109"/>
              <w:rPr>
                <w:color w:val="000000" w:themeColor="text1"/>
                <w14:textFill>
                  <w14:solidFill>
                    <w14:schemeClr w14:val="tx1"/>
                  </w14:solidFill>
                </w14:textFill>
              </w:rPr>
            </w:pPr>
          </w:p>
        </w:tc>
      </w:tr>
      <w:tr w14:paraId="52F7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17FDF28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TSP</w:t>
            </w:r>
          </w:p>
        </w:tc>
        <w:tc>
          <w:tcPr>
            <w:tcW w:w="1080" w:type="dxa"/>
            <w:vAlign w:val="center"/>
          </w:tcPr>
          <w:p w14:paraId="044D990F">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2FF5858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300</w:t>
            </w:r>
          </w:p>
        </w:tc>
        <w:tc>
          <w:tcPr>
            <w:tcW w:w="1579" w:type="dxa"/>
            <w:vAlign w:val="center"/>
          </w:tcPr>
          <w:p w14:paraId="791064E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w:t>
            </w:r>
          </w:p>
        </w:tc>
        <w:tc>
          <w:tcPr>
            <w:tcW w:w="3370" w:type="dxa"/>
            <w:vMerge w:val="continue"/>
            <w:vAlign w:val="center"/>
          </w:tcPr>
          <w:p w14:paraId="04FC0275">
            <w:pPr>
              <w:pStyle w:val="109"/>
              <w:rPr>
                <w:color w:val="000000" w:themeColor="text1"/>
                <w14:textFill>
                  <w14:solidFill>
                    <w14:schemeClr w14:val="tx1"/>
                  </w14:solidFill>
                </w14:textFill>
              </w:rPr>
            </w:pPr>
          </w:p>
        </w:tc>
      </w:tr>
      <w:tr w14:paraId="6F43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6980963F">
            <w:pPr>
              <w:pStyle w:val="109"/>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1080" w:type="dxa"/>
            <w:vAlign w:val="center"/>
          </w:tcPr>
          <w:p w14:paraId="0510E44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w:t>
            </w:r>
          </w:p>
        </w:tc>
        <w:tc>
          <w:tcPr>
            <w:tcW w:w="1555" w:type="dxa"/>
            <w:vAlign w:val="center"/>
          </w:tcPr>
          <w:p w14:paraId="741329A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7</w:t>
            </w:r>
          </w:p>
        </w:tc>
        <w:tc>
          <w:tcPr>
            <w:tcW w:w="1579" w:type="dxa"/>
            <w:vAlign w:val="center"/>
          </w:tcPr>
          <w:p w14:paraId="1E31B0A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370" w:type="dxa"/>
            <w:vMerge w:val="continue"/>
            <w:vAlign w:val="center"/>
          </w:tcPr>
          <w:p w14:paraId="7353C1EC">
            <w:pPr>
              <w:pStyle w:val="109"/>
              <w:rPr>
                <w:color w:val="000000" w:themeColor="text1"/>
                <w14:textFill>
                  <w14:solidFill>
                    <w14:schemeClr w14:val="tx1"/>
                  </w14:solidFill>
                </w14:textFill>
              </w:rPr>
            </w:pPr>
          </w:p>
        </w:tc>
      </w:tr>
      <w:tr w14:paraId="2EFE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0B00F8AA">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1080" w:type="dxa"/>
            <w:vAlign w:val="center"/>
          </w:tcPr>
          <w:p w14:paraId="3F504B8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066E559C">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51D6F3CC">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0.5</w:t>
            </w:r>
          </w:p>
        </w:tc>
        <w:tc>
          <w:tcPr>
            <w:tcW w:w="3370" w:type="dxa"/>
            <w:vMerge w:val="continue"/>
            <w:vAlign w:val="center"/>
          </w:tcPr>
          <w:p w14:paraId="3E53C6CE">
            <w:pPr>
              <w:pStyle w:val="109"/>
              <w:rPr>
                <w:color w:val="000000" w:themeColor="text1"/>
                <w14:textFill>
                  <w14:solidFill>
                    <w14:schemeClr w14:val="tx1"/>
                  </w14:solidFill>
                </w14:textFill>
              </w:rPr>
            </w:pPr>
          </w:p>
        </w:tc>
      </w:tr>
      <w:tr w14:paraId="660D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79DA11B0">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1080" w:type="dxa"/>
            <w:vAlign w:val="center"/>
          </w:tcPr>
          <w:p w14:paraId="3DE5981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2C081CF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4E4B360C">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0.005</w:t>
            </w:r>
          </w:p>
        </w:tc>
        <w:tc>
          <w:tcPr>
            <w:tcW w:w="3370" w:type="dxa"/>
            <w:vMerge w:val="continue"/>
            <w:vAlign w:val="center"/>
          </w:tcPr>
          <w:p w14:paraId="366544CC">
            <w:pPr>
              <w:pStyle w:val="109"/>
              <w:rPr>
                <w:color w:val="000000" w:themeColor="text1"/>
                <w14:textFill>
                  <w14:solidFill>
                    <w14:schemeClr w14:val="tx1"/>
                  </w14:solidFill>
                </w14:textFill>
              </w:rPr>
            </w:pPr>
          </w:p>
        </w:tc>
      </w:tr>
      <w:tr w14:paraId="2D47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21F10F0B">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1080" w:type="dxa"/>
            <w:vAlign w:val="center"/>
          </w:tcPr>
          <w:p w14:paraId="37DAEA3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64583C4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280DA37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0.05</w:t>
            </w:r>
          </w:p>
        </w:tc>
        <w:tc>
          <w:tcPr>
            <w:tcW w:w="3370" w:type="dxa"/>
            <w:vMerge w:val="continue"/>
            <w:vAlign w:val="center"/>
          </w:tcPr>
          <w:p w14:paraId="2E452277">
            <w:pPr>
              <w:pStyle w:val="109"/>
              <w:rPr>
                <w:color w:val="000000" w:themeColor="text1"/>
                <w14:textFill>
                  <w14:solidFill>
                    <w14:schemeClr w14:val="tx1"/>
                  </w14:solidFill>
                </w14:textFill>
              </w:rPr>
            </w:pPr>
          </w:p>
        </w:tc>
      </w:tr>
      <w:tr w14:paraId="153A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3AE7DEE2">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1080" w:type="dxa"/>
            <w:vAlign w:val="center"/>
          </w:tcPr>
          <w:p w14:paraId="6C5E4D6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78CB74CD">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304CD256">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0.006</w:t>
            </w:r>
          </w:p>
        </w:tc>
        <w:tc>
          <w:tcPr>
            <w:tcW w:w="3370" w:type="dxa"/>
            <w:vMerge w:val="continue"/>
            <w:vAlign w:val="center"/>
          </w:tcPr>
          <w:p w14:paraId="0E2DFC72">
            <w:pPr>
              <w:pStyle w:val="109"/>
              <w:rPr>
                <w:color w:val="000000" w:themeColor="text1"/>
                <w14:textFill>
                  <w14:solidFill>
                    <w14:schemeClr w14:val="tx1"/>
                  </w14:solidFill>
                </w14:textFill>
              </w:rPr>
            </w:pPr>
          </w:p>
        </w:tc>
      </w:tr>
      <w:tr w14:paraId="0352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79CEE0E2">
            <w:pPr>
              <w:pStyle w:val="109"/>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1080" w:type="dxa"/>
            <w:vAlign w:val="center"/>
          </w:tcPr>
          <w:p w14:paraId="10964A3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70AA1398">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47BE927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0.000025</w:t>
            </w:r>
          </w:p>
        </w:tc>
        <w:tc>
          <w:tcPr>
            <w:tcW w:w="3370" w:type="dxa"/>
            <w:vMerge w:val="continue"/>
            <w:vAlign w:val="center"/>
          </w:tcPr>
          <w:p w14:paraId="7506074B">
            <w:pPr>
              <w:pStyle w:val="109"/>
              <w:rPr>
                <w:color w:val="000000" w:themeColor="text1"/>
                <w14:textFill>
                  <w14:solidFill>
                    <w14:schemeClr w14:val="tx1"/>
                  </w14:solidFill>
                </w14:textFill>
              </w:rPr>
            </w:pPr>
          </w:p>
        </w:tc>
      </w:tr>
      <w:tr w14:paraId="43C2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168AFC03">
            <w:pPr>
              <w:pStyle w:val="109"/>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1080" w:type="dxa"/>
            <w:vAlign w:val="center"/>
          </w:tcPr>
          <w:p w14:paraId="6CF2BC6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50</w:t>
            </w:r>
          </w:p>
        </w:tc>
        <w:tc>
          <w:tcPr>
            <w:tcW w:w="1555" w:type="dxa"/>
            <w:vAlign w:val="center"/>
          </w:tcPr>
          <w:p w14:paraId="3731DC6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15</w:t>
            </w:r>
          </w:p>
        </w:tc>
        <w:tc>
          <w:tcPr>
            <w:tcW w:w="1579" w:type="dxa"/>
            <w:vAlign w:val="center"/>
          </w:tcPr>
          <w:p w14:paraId="0EE175B3">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370" w:type="dxa"/>
            <w:vMerge w:val="restart"/>
            <w:vAlign w:val="center"/>
          </w:tcPr>
          <w:p w14:paraId="7A6D076D">
            <w:pPr>
              <w:pStyle w:val="109"/>
              <w:rPr>
                <w:color w:val="000000" w:themeColor="text1"/>
                <w14:textFill>
                  <w14:solidFill>
                    <w14:schemeClr w14:val="tx1"/>
                  </w14:solidFill>
                </w14:textFill>
              </w:rPr>
            </w:pPr>
            <w:r>
              <w:rPr>
                <w:color w:val="000000" w:themeColor="text1"/>
                <w14:textFill>
                  <w14:solidFill>
                    <w14:schemeClr w14:val="tx1"/>
                  </w14:solidFill>
                </w14:textFill>
              </w:rPr>
              <w:t>《环境影响评价技术导则 大气环 境》</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HJ2.2-2018</w:t>
            </w:r>
            <w:r>
              <w:rPr>
                <w:color w:val="000000" w:themeColor="text1"/>
                <w:lang w:bidi="en-US"/>
                <w14:textFill>
                  <w14:solidFill>
                    <w14:schemeClr w14:val="tx1"/>
                  </w14:solidFill>
                </w14:textFill>
              </w:rPr>
              <w:t>）</w:t>
            </w:r>
            <w:r>
              <w:rPr>
                <w:color w:val="000000" w:themeColor="text1"/>
                <w14:textFill>
                  <w14:solidFill>
                    <w14:schemeClr w14:val="tx1"/>
                  </w14:solidFill>
                </w14:textFill>
              </w:rPr>
              <w:t xml:space="preserve">附录 </w:t>
            </w:r>
            <w:r>
              <w:rPr>
                <w:rFonts w:eastAsia="Times New Roman"/>
                <w:color w:val="000000" w:themeColor="text1"/>
                <w:lang w:bidi="en-US"/>
                <w14:textFill>
                  <w14:solidFill>
                    <w14:schemeClr w14:val="tx1"/>
                  </w14:solidFill>
                </w14:textFill>
              </w:rPr>
              <w:t>D</w:t>
            </w:r>
          </w:p>
        </w:tc>
      </w:tr>
      <w:tr w14:paraId="7109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23F24458">
            <w:pPr>
              <w:pStyle w:val="109"/>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080" w:type="dxa"/>
            <w:vAlign w:val="center"/>
          </w:tcPr>
          <w:p w14:paraId="2034B8C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w:t>
            </w:r>
          </w:p>
        </w:tc>
        <w:tc>
          <w:tcPr>
            <w:tcW w:w="1555" w:type="dxa"/>
            <w:vAlign w:val="center"/>
          </w:tcPr>
          <w:p w14:paraId="21A1E88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5B62B0B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370" w:type="dxa"/>
            <w:vMerge w:val="continue"/>
            <w:vAlign w:val="center"/>
          </w:tcPr>
          <w:p w14:paraId="7422AB0E">
            <w:pPr>
              <w:pStyle w:val="109"/>
              <w:rPr>
                <w:color w:val="000000" w:themeColor="text1"/>
                <w14:textFill>
                  <w14:solidFill>
                    <w14:schemeClr w14:val="tx1"/>
                  </w14:solidFill>
                </w14:textFill>
              </w:rPr>
            </w:pPr>
          </w:p>
        </w:tc>
      </w:tr>
      <w:tr w14:paraId="1289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08822EEA">
            <w:pPr>
              <w:pStyle w:val="109"/>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1080" w:type="dxa"/>
            <w:vAlign w:val="center"/>
          </w:tcPr>
          <w:p w14:paraId="054E773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10</w:t>
            </w:r>
          </w:p>
        </w:tc>
        <w:tc>
          <w:tcPr>
            <w:tcW w:w="1555" w:type="dxa"/>
            <w:vAlign w:val="center"/>
          </w:tcPr>
          <w:p w14:paraId="2E3F3E69">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4B4A110B">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370" w:type="dxa"/>
            <w:vMerge w:val="continue"/>
            <w:vAlign w:val="center"/>
          </w:tcPr>
          <w:p w14:paraId="737CB719">
            <w:pPr>
              <w:pStyle w:val="109"/>
              <w:rPr>
                <w:color w:val="000000" w:themeColor="text1"/>
                <w14:textFill>
                  <w14:solidFill>
                    <w14:schemeClr w14:val="tx1"/>
                  </w14:solidFill>
                </w14:textFill>
              </w:rPr>
            </w:pPr>
          </w:p>
        </w:tc>
      </w:tr>
      <w:tr w14:paraId="714A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33AAE9FE">
            <w:pPr>
              <w:pStyle w:val="109"/>
              <w:rPr>
                <w:color w:val="000000" w:themeColor="text1"/>
                <w14:textFill>
                  <w14:solidFill>
                    <w14:schemeClr w14:val="tx1"/>
                  </w14:solidFill>
                </w14:textFill>
              </w:rPr>
            </w:pPr>
            <w:r>
              <w:rPr>
                <w:color w:val="000000" w:themeColor="text1"/>
                <w14:textFill>
                  <w14:solidFill>
                    <w14:schemeClr w14:val="tx1"/>
                  </w14:solidFill>
                </w14:textFill>
              </w:rPr>
              <w:t>锰及其化合物</w:t>
            </w:r>
          </w:p>
        </w:tc>
        <w:tc>
          <w:tcPr>
            <w:tcW w:w="1080" w:type="dxa"/>
            <w:vAlign w:val="center"/>
          </w:tcPr>
          <w:p w14:paraId="3EDF976E">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22C12EDB">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10</w:t>
            </w:r>
          </w:p>
        </w:tc>
        <w:tc>
          <w:tcPr>
            <w:tcW w:w="1579" w:type="dxa"/>
            <w:vAlign w:val="center"/>
          </w:tcPr>
          <w:p w14:paraId="682F3D81">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370" w:type="dxa"/>
            <w:vMerge w:val="continue"/>
            <w:vAlign w:val="center"/>
          </w:tcPr>
          <w:p w14:paraId="775775AC">
            <w:pPr>
              <w:pStyle w:val="109"/>
              <w:rPr>
                <w:color w:val="000000" w:themeColor="text1"/>
                <w14:textFill>
                  <w14:solidFill>
                    <w14:schemeClr w14:val="tx1"/>
                  </w14:solidFill>
                </w14:textFill>
              </w:rPr>
            </w:pPr>
          </w:p>
        </w:tc>
      </w:tr>
      <w:tr w14:paraId="2616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4679C19E">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1080" w:type="dxa"/>
            <w:vAlign w:val="center"/>
          </w:tcPr>
          <w:p w14:paraId="4805A30A">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2000</w:t>
            </w:r>
          </w:p>
        </w:tc>
        <w:tc>
          <w:tcPr>
            <w:tcW w:w="1555" w:type="dxa"/>
            <w:vAlign w:val="center"/>
          </w:tcPr>
          <w:p w14:paraId="1B4C8BE7">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629FEB8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3370" w:type="dxa"/>
            <w:vAlign w:val="center"/>
          </w:tcPr>
          <w:p w14:paraId="2C1B158C">
            <w:pPr>
              <w:pStyle w:val="109"/>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《大气污染物综合排放标准详解》</w:t>
            </w:r>
          </w:p>
        </w:tc>
      </w:tr>
      <w:tr w14:paraId="6DDB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Align w:val="center"/>
          </w:tcPr>
          <w:p w14:paraId="47439EF9">
            <w:pPr>
              <w:pStyle w:val="109"/>
              <w:rPr>
                <w:color w:val="000000" w:themeColor="text1"/>
                <w14:textFill>
                  <w14:solidFill>
                    <w14:schemeClr w14:val="tx1"/>
                  </w14:solidFill>
                </w14:textFill>
              </w:rPr>
            </w:pPr>
            <w:r>
              <w:rPr>
                <w:color w:val="000000" w:themeColor="text1"/>
                <w14:textFill>
                  <w14:solidFill>
                    <w14:schemeClr w14:val="tx1"/>
                  </w14:solidFill>
                </w14:textFill>
              </w:rPr>
              <w:t>二噁英</w:t>
            </w:r>
          </w:p>
        </w:tc>
        <w:tc>
          <w:tcPr>
            <w:tcW w:w="1080" w:type="dxa"/>
            <w:vAlign w:val="center"/>
          </w:tcPr>
          <w:p w14:paraId="08369FBC">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55" w:type="dxa"/>
            <w:vAlign w:val="center"/>
          </w:tcPr>
          <w:p w14:paraId="329AAAA4">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w:t>
            </w:r>
          </w:p>
        </w:tc>
        <w:tc>
          <w:tcPr>
            <w:tcW w:w="1579" w:type="dxa"/>
            <w:vAlign w:val="center"/>
          </w:tcPr>
          <w:p w14:paraId="72912A05">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0.6pgTEQ/m³</w:t>
            </w:r>
          </w:p>
        </w:tc>
        <w:tc>
          <w:tcPr>
            <w:tcW w:w="3370" w:type="dxa"/>
            <w:vAlign w:val="center"/>
          </w:tcPr>
          <w:p w14:paraId="4605F6DB">
            <w:pPr>
              <w:pStyle w:val="109"/>
              <w:rPr>
                <w:color w:val="000000" w:themeColor="text1"/>
                <w14:textFill>
                  <w14:solidFill>
                    <w14:schemeClr w14:val="tx1"/>
                  </w14:solidFill>
                </w14:textFill>
              </w:rPr>
            </w:pPr>
            <w:r>
              <w:rPr>
                <w:color w:val="000000" w:themeColor="text1"/>
                <w14:textFill>
                  <w14:solidFill>
                    <w14:schemeClr w14:val="tx1"/>
                  </w14:solidFill>
                </w14:textFill>
              </w:rPr>
              <w:t>日本环境质量标准</w:t>
            </w:r>
          </w:p>
        </w:tc>
      </w:tr>
    </w:tbl>
    <w:p w14:paraId="24FE627E">
      <w:pPr>
        <w:pStyle w:val="343"/>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2、评价方法</w:t>
      </w:r>
    </w:p>
    <w:p w14:paraId="4E1542BB">
      <w:pPr>
        <w:ind w:firstLine="480"/>
        <w:rPr>
          <w:color w:val="000000" w:themeColor="text1"/>
          <w14:textFill>
            <w14:solidFill>
              <w14:schemeClr w14:val="tx1"/>
            </w14:solidFill>
          </w14:textFill>
        </w:rPr>
      </w:pPr>
      <w:r>
        <w:rPr>
          <w:color w:val="000000" w:themeColor="text1"/>
          <w14:textFill>
            <w14:solidFill>
              <w14:schemeClr w14:val="tx1"/>
            </w14:solidFill>
          </w14:textFill>
        </w:rPr>
        <w:t>评价方法采用单因子指数法。计算公式为：</w:t>
      </w:r>
    </w:p>
    <w:p w14:paraId="20ADDA4D">
      <w:pPr>
        <w:ind w:firstLine="480"/>
        <w:rPr>
          <w:color w:val="000000" w:themeColor="text1"/>
          <w14:textFill>
            <w14:solidFill>
              <w14:schemeClr w14:val="tx1"/>
            </w14:solidFill>
          </w14:textFill>
        </w:rPr>
      </w:pPr>
      <w:r>
        <w:rPr>
          <w:color w:val="000000" w:themeColor="text1"/>
          <w14:textFill>
            <w14:solidFill>
              <w14:schemeClr w14:val="tx1"/>
            </w14:solidFill>
          </w14:textFill>
        </w:rPr>
        <w:t>I</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/S</w:t>
      </w:r>
      <w:r>
        <w:rPr>
          <w:color w:val="000000" w:themeColor="text1"/>
          <w:vertAlign w:val="subscript"/>
          <w14:textFill>
            <w14:solidFill>
              <w14:schemeClr w14:val="tx1"/>
            </w14:solidFill>
          </w14:textFill>
        </w:rPr>
        <w:t>i</w:t>
      </w:r>
    </w:p>
    <w:p w14:paraId="489C71B2">
      <w:pPr>
        <w:ind w:firstLine="480"/>
        <w:rPr>
          <w:color w:val="000000" w:themeColor="text1"/>
          <w14:textFill>
            <w14:solidFill>
              <w14:schemeClr w14:val="tx1"/>
            </w14:solidFill>
          </w14:textFill>
        </w:rPr>
      </w:pPr>
      <w:r>
        <w:rPr>
          <w:color w:val="000000" w:themeColor="text1"/>
          <w14:textFill>
            <w14:solidFill>
              <w14:schemeClr w14:val="tx1"/>
            </w14:solidFill>
          </w14:textFill>
        </w:rPr>
        <w:t>式中，C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—i污染物的实测浓度，μg/m³；</w:t>
      </w:r>
    </w:p>
    <w:p w14:paraId="34C29C92">
      <w:pPr>
        <w:ind w:firstLine="480"/>
        <w:rPr>
          <w:color w:val="000000" w:themeColor="text1"/>
          <w14:textFill>
            <w14:solidFill>
              <w14:schemeClr w14:val="tx1"/>
            </w14:solidFill>
          </w14:textFill>
        </w:rPr>
      </w:pPr>
      <w:r>
        <w:rPr>
          <w:color w:val="000000" w:themeColor="text1"/>
          <w14:textFill>
            <w14:solidFill>
              <w14:schemeClr w14:val="tx1"/>
            </w14:solidFill>
          </w14:textFill>
        </w:rPr>
        <w:t>S</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—i污染物的评价标准，μg/m³。</w:t>
      </w:r>
    </w:p>
    <w:p w14:paraId="28FD5DE3">
      <w:pPr>
        <w:ind w:firstLine="480"/>
        <w:rPr>
          <w:color w:val="000000" w:themeColor="text1"/>
          <w14:textFill>
            <w14:solidFill>
              <w14:schemeClr w14:val="tx1"/>
            </w14:solidFill>
          </w14:textFill>
        </w:rPr>
      </w:pPr>
      <w:r>
        <w:rPr>
          <w:color w:val="000000" w:themeColor="text1"/>
          <w14:textFill>
            <w14:solidFill>
              <w14:schemeClr w14:val="tx1"/>
            </w14:solidFill>
          </w14:textFill>
        </w:rPr>
        <w:t>I</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≥1为超标，否则为不超标。</w:t>
      </w:r>
    </w:p>
    <w:p w14:paraId="1B07A6EF">
      <w:pPr>
        <w:ind w:firstLine="482"/>
        <w:rPr>
          <w:b/>
          <w:color w:val="000000" w:themeColor="text1"/>
          <w14:textFill>
            <w14:solidFill>
              <w14:schemeClr w14:val="tx1"/>
            </w14:solidFill>
          </w14:textFill>
        </w:rPr>
      </w:pPr>
      <w:r>
        <w:rPr>
          <w:b/>
          <w:color w:val="000000" w:themeColor="text1"/>
          <w14:textFill>
            <w14:solidFill>
              <w14:schemeClr w14:val="tx1"/>
            </w14:solidFill>
          </w14:textFill>
        </w:rPr>
        <w:t>3、评价结果</w:t>
      </w:r>
    </w:p>
    <w:p w14:paraId="0F9BCDA8">
      <w:pPr>
        <w:ind w:firstLine="480"/>
        <w:rPr>
          <w:color w:val="000000" w:themeColor="text1"/>
          <w14:textFill>
            <w14:solidFill>
              <w14:schemeClr w14:val="tx1"/>
            </w14:solidFill>
          </w14:textFill>
        </w:rPr>
      </w:pPr>
      <w:r>
        <w:rPr>
          <w:color w:val="000000" w:themeColor="text1"/>
          <w14:textFill>
            <w14:solidFill>
              <w14:schemeClr w14:val="tx1"/>
            </w14:solidFill>
          </w14:textFill>
        </w:rPr>
        <w:t>本次未检出项按照检出限一半进行评价，其余检出项环境空气质量现状评价结果见下表。</w:t>
      </w:r>
    </w:p>
    <w:p w14:paraId="672D6DA9">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特征污染物监测结果统计表</w:t>
      </w:r>
    </w:p>
    <w:tbl>
      <w:tblPr>
        <w:tblStyle w:val="76"/>
        <w:tblW w:w="9270" w:type="dxa"/>
        <w:tblInd w:w="0" w:type="dxa"/>
        <w:tblLayout w:type="autofit"/>
        <w:tblCellMar>
          <w:top w:w="0" w:type="dxa"/>
          <w:left w:w="108" w:type="dxa"/>
          <w:bottom w:w="0" w:type="dxa"/>
          <w:right w:w="108" w:type="dxa"/>
        </w:tblCellMar>
      </w:tblPr>
      <w:tblGrid>
        <w:gridCol w:w="1129"/>
        <w:gridCol w:w="1560"/>
        <w:gridCol w:w="1275"/>
        <w:gridCol w:w="1880"/>
        <w:gridCol w:w="1332"/>
        <w:gridCol w:w="1134"/>
        <w:gridCol w:w="960"/>
      </w:tblGrid>
      <w:tr w14:paraId="15EC388D">
        <w:tblPrEx>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noWrap/>
            <w:vAlign w:val="center"/>
          </w:tcPr>
          <w:p w14:paraId="79B7FE8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1560" w:type="dxa"/>
            <w:tcBorders>
              <w:top w:val="single" w:color="auto" w:sz="4" w:space="0"/>
              <w:left w:val="nil"/>
              <w:bottom w:val="single" w:color="auto" w:sz="4" w:space="0"/>
              <w:right w:val="single" w:color="auto" w:sz="4" w:space="0"/>
            </w:tcBorders>
            <w:noWrap/>
            <w:vAlign w:val="center"/>
          </w:tcPr>
          <w:p w14:paraId="22AC557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c>
          <w:tcPr>
            <w:tcW w:w="1275" w:type="dxa"/>
            <w:tcBorders>
              <w:top w:val="single" w:color="auto" w:sz="4" w:space="0"/>
              <w:left w:val="nil"/>
              <w:bottom w:val="single" w:color="auto" w:sz="4" w:space="0"/>
              <w:right w:val="single" w:color="auto" w:sz="4" w:space="0"/>
            </w:tcBorders>
            <w:noWrap/>
            <w:vAlign w:val="center"/>
          </w:tcPr>
          <w:p w14:paraId="48586B2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评价标准(μg/m³)</w:t>
            </w:r>
          </w:p>
        </w:tc>
        <w:tc>
          <w:tcPr>
            <w:tcW w:w="1880" w:type="dxa"/>
            <w:tcBorders>
              <w:top w:val="single" w:color="auto" w:sz="4" w:space="0"/>
              <w:left w:val="nil"/>
              <w:bottom w:val="single" w:color="auto" w:sz="4" w:space="0"/>
              <w:right w:val="single" w:color="auto" w:sz="4" w:space="0"/>
            </w:tcBorders>
            <w:noWrap/>
            <w:vAlign w:val="center"/>
          </w:tcPr>
          <w:p w14:paraId="4880F2C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浓度范围</w:t>
            </w:r>
          </w:p>
          <w:p w14:paraId="0313DA1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(μg/m³)</w:t>
            </w:r>
          </w:p>
        </w:tc>
        <w:tc>
          <w:tcPr>
            <w:tcW w:w="1332" w:type="dxa"/>
            <w:tcBorders>
              <w:top w:val="single" w:color="auto" w:sz="4" w:space="0"/>
              <w:left w:val="nil"/>
              <w:bottom w:val="single" w:color="auto" w:sz="4" w:space="0"/>
              <w:right w:val="single" w:color="auto" w:sz="4" w:space="0"/>
            </w:tcBorders>
            <w:noWrap/>
            <w:vAlign w:val="center"/>
          </w:tcPr>
          <w:p w14:paraId="2BA16D4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最大浓度占标率</w:t>
            </w:r>
          </w:p>
        </w:tc>
        <w:tc>
          <w:tcPr>
            <w:tcW w:w="1134" w:type="dxa"/>
            <w:tcBorders>
              <w:top w:val="single" w:color="auto" w:sz="4" w:space="0"/>
              <w:left w:val="nil"/>
              <w:bottom w:val="single" w:color="auto" w:sz="4" w:space="0"/>
              <w:right w:val="single" w:color="auto" w:sz="4" w:space="0"/>
            </w:tcBorders>
            <w:noWrap/>
            <w:vAlign w:val="center"/>
          </w:tcPr>
          <w:p w14:paraId="5D44877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超标率</w:t>
            </w:r>
          </w:p>
          <w:p w14:paraId="6AEB2CD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60" w:type="dxa"/>
            <w:tcBorders>
              <w:top w:val="single" w:color="auto" w:sz="4" w:space="0"/>
              <w:left w:val="nil"/>
              <w:bottom w:val="single" w:color="auto" w:sz="4" w:space="0"/>
              <w:right w:val="single" w:color="auto" w:sz="4" w:space="0"/>
            </w:tcBorders>
            <w:noWrap/>
            <w:vAlign w:val="center"/>
          </w:tcPr>
          <w:p w14:paraId="5B242D5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r>
      <w:tr w14:paraId="69632A81">
        <w:tblPrEx>
          <w:tblCellMar>
            <w:top w:w="0" w:type="dxa"/>
            <w:left w:w="108" w:type="dxa"/>
            <w:bottom w:w="0" w:type="dxa"/>
            <w:right w:w="108" w:type="dxa"/>
          </w:tblCellMar>
        </w:tblPrEx>
        <w:tc>
          <w:tcPr>
            <w:tcW w:w="1129" w:type="dxa"/>
            <w:vMerge w:val="restart"/>
            <w:tcBorders>
              <w:top w:val="nil"/>
              <w:left w:val="single" w:color="auto" w:sz="4" w:space="0"/>
              <w:bottom w:val="single" w:color="auto" w:sz="4" w:space="0"/>
              <w:right w:val="single" w:color="auto" w:sz="4" w:space="0"/>
            </w:tcBorders>
            <w:noWrap/>
            <w:vAlign w:val="center"/>
          </w:tcPr>
          <w:p w14:paraId="224239D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厂界东侧1000米</w:t>
            </w:r>
          </w:p>
        </w:tc>
        <w:tc>
          <w:tcPr>
            <w:tcW w:w="1560" w:type="dxa"/>
            <w:tcBorders>
              <w:top w:val="nil"/>
              <w:left w:val="nil"/>
              <w:bottom w:val="single" w:color="auto" w:sz="4" w:space="0"/>
              <w:right w:val="single" w:color="auto" w:sz="4" w:space="0"/>
            </w:tcBorders>
            <w:vAlign w:val="center"/>
          </w:tcPr>
          <w:p w14:paraId="61B0AA1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TSP</w:t>
            </w:r>
          </w:p>
        </w:tc>
        <w:tc>
          <w:tcPr>
            <w:tcW w:w="1275" w:type="dxa"/>
            <w:tcBorders>
              <w:top w:val="nil"/>
              <w:left w:val="nil"/>
              <w:bottom w:val="single" w:color="auto" w:sz="4" w:space="0"/>
              <w:right w:val="single" w:color="auto" w:sz="4" w:space="0"/>
            </w:tcBorders>
            <w:vAlign w:val="center"/>
          </w:tcPr>
          <w:p w14:paraId="51792F4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880" w:type="dxa"/>
            <w:tcBorders>
              <w:top w:val="nil"/>
              <w:left w:val="nil"/>
              <w:bottom w:val="single" w:color="auto" w:sz="4" w:space="0"/>
              <w:right w:val="single" w:color="auto" w:sz="4" w:space="0"/>
            </w:tcBorders>
            <w:noWrap/>
            <w:vAlign w:val="center"/>
          </w:tcPr>
          <w:p w14:paraId="3117C69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188-285</w:t>
            </w:r>
          </w:p>
        </w:tc>
        <w:tc>
          <w:tcPr>
            <w:tcW w:w="1332" w:type="dxa"/>
            <w:tcBorders>
              <w:top w:val="nil"/>
              <w:left w:val="nil"/>
              <w:bottom w:val="single" w:color="auto" w:sz="4" w:space="0"/>
              <w:right w:val="single" w:color="auto" w:sz="4" w:space="0"/>
            </w:tcBorders>
            <w:noWrap/>
            <w:vAlign w:val="center"/>
          </w:tcPr>
          <w:p w14:paraId="782A0B68">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95.00%</w:t>
            </w:r>
          </w:p>
        </w:tc>
        <w:tc>
          <w:tcPr>
            <w:tcW w:w="1134" w:type="dxa"/>
            <w:tcBorders>
              <w:top w:val="nil"/>
              <w:left w:val="nil"/>
              <w:bottom w:val="single" w:color="auto" w:sz="4" w:space="0"/>
              <w:right w:val="single" w:color="auto" w:sz="4" w:space="0"/>
            </w:tcBorders>
            <w:noWrap/>
            <w:vAlign w:val="center"/>
          </w:tcPr>
          <w:p w14:paraId="0004875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48C930D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53E1654">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1C627760">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088A4F8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氟化物</w:t>
            </w:r>
          </w:p>
        </w:tc>
        <w:tc>
          <w:tcPr>
            <w:tcW w:w="1275" w:type="dxa"/>
            <w:tcBorders>
              <w:top w:val="nil"/>
              <w:left w:val="nil"/>
              <w:bottom w:val="single" w:color="auto" w:sz="4" w:space="0"/>
              <w:right w:val="single" w:color="auto" w:sz="4" w:space="0"/>
            </w:tcBorders>
            <w:vAlign w:val="center"/>
          </w:tcPr>
          <w:p w14:paraId="3D1ABE7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880" w:type="dxa"/>
            <w:tcBorders>
              <w:top w:val="nil"/>
              <w:left w:val="nil"/>
              <w:bottom w:val="single" w:color="auto" w:sz="4" w:space="0"/>
              <w:right w:val="single" w:color="auto" w:sz="4" w:space="0"/>
            </w:tcBorders>
            <w:noWrap/>
            <w:vAlign w:val="center"/>
          </w:tcPr>
          <w:p w14:paraId="4609F12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1.5-2.7</w:t>
            </w:r>
          </w:p>
        </w:tc>
        <w:tc>
          <w:tcPr>
            <w:tcW w:w="1332" w:type="dxa"/>
            <w:tcBorders>
              <w:top w:val="nil"/>
              <w:left w:val="nil"/>
              <w:bottom w:val="single" w:color="auto" w:sz="4" w:space="0"/>
              <w:right w:val="single" w:color="auto" w:sz="4" w:space="0"/>
            </w:tcBorders>
            <w:noWrap/>
            <w:vAlign w:val="center"/>
          </w:tcPr>
          <w:p w14:paraId="06759D7F">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13.50%</w:t>
            </w:r>
          </w:p>
        </w:tc>
        <w:tc>
          <w:tcPr>
            <w:tcW w:w="1134" w:type="dxa"/>
            <w:tcBorders>
              <w:top w:val="nil"/>
              <w:left w:val="nil"/>
              <w:bottom w:val="single" w:color="auto" w:sz="4" w:space="0"/>
              <w:right w:val="single" w:color="auto" w:sz="4" w:space="0"/>
            </w:tcBorders>
            <w:noWrap/>
            <w:vAlign w:val="center"/>
          </w:tcPr>
          <w:p w14:paraId="6927BE5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34BD179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8F2C1DD">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49EB69A2">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674052E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铅</w:t>
            </w:r>
          </w:p>
        </w:tc>
        <w:tc>
          <w:tcPr>
            <w:tcW w:w="1275" w:type="dxa"/>
            <w:tcBorders>
              <w:top w:val="nil"/>
              <w:left w:val="nil"/>
              <w:bottom w:val="single" w:color="auto" w:sz="4" w:space="0"/>
              <w:right w:val="single" w:color="auto" w:sz="4" w:space="0"/>
            </w:tcBorders>
            <w:vAlign w:val="center"/>
          </w:tcPr>
          <w:p w14:paraId="29B8523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1880" w:type="dxa"/>
            <w:tcBorders>
              <w:top w:val="nil"/>
              <w:left w:val="nil"/>
              <w:bottom w:val="single" w:color="auto" w:sz="4" w:space="0"/>
              <w:right w:val="single" w:color="auto" w:sz="4" w:space="0"/>
            </w:tcBorders>
            <w:noWrap/>
            <w:vAlign w:val="center"/>
          </w:tcPr>
          <w:p w14:paraId="1F36BE9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0.025</w:t>
            </w:r>
          </w:p>
        </w:tc>
        <w:tc>
          <w:tcPr>
            <w:tcW w:w="1332" w:type="dxa"/>
            <w:tcBorders>
              <w:top w:val="nil"/>
              <w:left w:val="nil"/>
              <w:bottom w:val="single" w:color="auto" w:sz="4" w:space="0"/>
              <w:right w:val="single" w:color="auto" w:sz="4" w:space="0"/>
            </w:tcBorders>
            <w:noWrap/>
            <w:vAlign w:val="center"/>
          </w:tcPr>
          <w:p w14:paraId="123B03BF">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5.00%</w:t>
            </w:r>
          </w:p>
        </w:tc>
        <w:tc>
          <w:tcPr>
            <w:tcW w:w="1134" w:type="dxa"/>
            <w:tcBorders>
              <w:top w:val="nil"/>
              <w:left w:val="nil"/>
              <w:bottom w:val="single" w:color="auto" w:sz="4" w:space="0"/>
              <w:right w:val="single" w:color="auto" w:sz="4" w:space="0"/>
            </w:tcBorders>
            <w:noWrap/>
            <w:vAlign w:val="center"/>
          </w:tcPr>
          <w:p w14:paraId="7D0B7C2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3CA6756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81D214D">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74042621">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5E37C0F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镉</w:t>
            </w:r>
          </w:p>
        </w:tc>
        <w:tc>
          <w:tcPr>
            <w:tcW w:w="1275" w:type="dxa"/>
            <w:tcBorders>
              <w:top w:val="nil"/>
              <w:left w:val="nil"/>
              <w:bottom w:val="single" w:color="auto" w:sz="4" w:space="0"/>
              <w:right w:val="single" w:color="auto" w:sz="4" w:space="0"/>
            </w:tcBorders>
            <w:vAlign w:val="center"/>
          </w:tcPr>
          <w:p w14:paraId="1BF1A84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1880" w:type="dxa"/>
            <w:tcBorders>
              <w:top w:val="nil"/>
              <w:left w:val="nil"/>
              <w:bottom w:val="single" w:color="auto" w:sz="4" w:space="0"/>
              <w:right w:val="single" w:color="auto" w:sz="4" w:space="0"/>
            </w:tcBorders>
            <w:noWrap/>
            <w:vAlign w:val="center"/>
          </w:tcPr>
          <w:p w14:paraId="20D0A32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0.0015</w:t>
            </w:r>
          </w:p>
        </w:tc>
        <w:tc>
          <w:tcPr>
            <w:tcW w:w="1332" w:type="dxa"/>
            <w:tcBorders>
              <w:top w:val="nil"/>
              <w:left w:val="nil"/>
              <w:bottom w:val="single" w:color="auto" w:sz="4" w:space="0"/>
              <w:right w:val="single" w:color="auto" w:sz="4" w:space="0"/>
            </w:tcBorders>
            <w:noWrap/>
            <w:vAlign w:val="center"/>
          </w:tcPr>
          <w:p w14:paraId="7F0ED079">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30.00%</w:t>
            </w:r>
          </w:p>
        </w:tc>
        <w:tc>
          <w:tcPr>
            <w:tcW w:w="1134" w:type="dxa"/>
            <w:tcBorders>
              <w:top w:val="nil"/>
              <w:left w:val="nil"/>
              <w:bottom w:val="single" w:color="auto" w:sz="4" w:space="0"/>
              <w:right w:val="single" w:color="auto" w:sz="4" w:space="0"/>
            </w:tcBorders>
            <w:noWrap/>
            <w:vAlign w:val="center"/>
          </w:tcPr>
          <w:p w14:paraId="7660A79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750A52F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F31C6A0">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0093458B">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2CDF8C4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汞</w:t>
            </w:r>
          </w:p>
        </w:tc>
        <w:tc>
          <w:tcPr>
            <w:tcW w:w="1275" w:type="dxa"/>
            <w:tcBorders>
              <w:top w:val="nil"/>
              <w:left w:val="nil"/>
              <w:bottom w:val="single" w:color="auto" w:sz="4" w:space="0"/>
              <w:right w:val="single" w:color="auto" w:sz="4" w:space="0"/>
            </w:tcBorders>
            <w:vAlign w:val="center"/>
          </w:tcPr>
          <w:p w14:paraId="17168FF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880" w:type="dxa"/>
            <w:tcBorders>
              <w:top w:val="nil"/>
              <w:left w:val="nil"/>
              <w:bottom w:val="single" w:color="auto" w:sz="4" w:space="0"/>
              <w:right w:val="single" w:color="auto" w:sz="4" w:space="0"/>
            </w:tcBorders>
            <w:noWrap/>
            <w:vAlign w:val="center"/>
          </w:tcPr>
          <w:p w14:paraId="579EA15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0.0033</w:t>
            </w:r>
          </w:p>
        </w:tc>
        <w:tc>
          <w:tcPr>
            <w:tcW w:w="1332" w:type="dxa"/>
            <w:tcBorders>
              <w:top w:val="nil"/>
              <w:left w:val="nil"/>
              <w:bottom w:val="single" w:color="auto" w:sz="4" w:space="0"/>
              <w:right w:val="single" w:color="auto" w:sz="4" w:space="0"/>
            </w:tcBorders>
            <w:noWrap/>
            <w:vAlign w:val="center"/>
          </w:tcPr>
          <w:p w14:paraId="7BA10A57">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6.60%</w:t>
            </w:r>
          </w:p>
        </w:tc>
        <w:tc>
          <w:tcPr>
            <w:tcW w:w="1134" w:type="dxa"/>
            <w:tcBorders>
              <w:top w:val="nil"/>
              <w:left w:val="nil"/>
              <w:bottom w:val="single" w:color="auto" w:sz="4" w:space="0"/>
              <w:right w:val="single" w:color="auto" w:sz="4" w:space="0"/>
            </w:tcBorders>
            <w:noWrap/>
            <w:vAlign w:val="center"/>
          </w:tcPr>
          <w:p w14:paraId="6C16B1E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3DB2CB6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2894F09">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039D8EF1">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4E816A7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砷</w:t>
            </w:r>
          </w:p>
        </w:tc>
        <w:tc>
          <w:tcPr>
            <w:tcW w:w="1275" w:type="dxa"/>
            <w:tcBorders>
              <w:top w:val="nil"/>
              <w:left w:val="nil"/>
              <w:bottom w:val="single" w:color="auto" w:sz="4" w:space="0"/>
              <w:right w:val="single" w:color="auto" w:sz="4" w:space="0"/>
            </w:tcBorders>
            <w:vAlign w:val="center"/>
          </w:tcPr>
          <w:p w14:paraId="55DE834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0.006</w:t>
            </w:r>
          </w:p>
        </w:tc>
        <w:tc>
          <w:tcPr>
            <w:tcW w:w="1880" w:type="dxa"/>
            <w:tcBorders>
              <w:top w:val="nil"/>
              <w:left w:val="nil"/>
              <w:bottom w:val="single" w:color="auto" w:sz="4" w:space="0"/>
              <w:right w:val="single" w:color="auto" w:sz="4" w:space="0"/>
            </w:tcBorders>
            <w:noWrap/>
            <w:vAlign w:val="center"/>
          </w:tcPr>
          <w:p w14:paraId="545EA35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0.002</w:t>
            </w:r>
          </w:p>
        </w:tc>
        <w:tc>
          <w:tcPr>
            <w:tcW w:w="1332" w:type="dxa"/>
            <w:tcBorders>
              <w:top w:val="nil"/>
              <w:left w:val="nil"/>
              <w:bottom w:val="single" w:color="auto" w:sz="4" w:space="0"/>
              <w:right w:val="single" w:color="auto" w:sz="4" w:space="0"/>
            </w:tcBorders>
            <w:noWrap/>
            <w:vAlign w:val="center"/>
          </w:tcPr>
          <w:p w14:paraId="4DAD2010">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33.00%</w:t>
            </w:r>
          </w:p>
        </w:tc>
        <w:tc>
          <w:tcPr>
            <w:tcW w:w="1134" w:type="dxa"/>
            <w:tcBorders>
              <w:top w:val="nil"/>
              <w:left w:val="nil"/>
              <w:bottom w:val="single" w:color="auto" w:sz="4" w:space="0"/>
              <w:right w:val="single" w:color="auto" w:sz="4" w:space="0"/>
            </w:tcBorders>
            <w:noWrap/>
            <w:vAlign w:val="center"/>
          </w:tcPr>
          <w:p w14:paraId="05B3EF6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62F3802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4FF6E7E">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58A9DC71">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077AC28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铬（六价）</w:t>
            </w:r>
          </w:p>
        </w:tc>
        <w:tc>
          <w:tcPr>
            <w:tcW w:w="1275" w:type="dxa"/>
            <w:tcBorders>
              <w:top w:val="nil"/>
              <w:left w:val="nil"/>
              <w:bottom w:val="single" w:color="auto" w:sz="4" w:space="0"/>
              <w:right w:val="single" w:color="auto" w:sz="4" w:space="0"/>
            </w:tcBorders>
            <w:vAlign w:val="center"/>
          </w:tcPr>
          <w:p w14:paraId="0B8588F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0.025</w:t>
            </w:r>
          </w:p>
        </w:tc>
        <w:tc>
          <w:tcPr>
            <w:tcW w:w="1880" w:type="dxa"/>
            <w:tcBorders>
              <w:top w:val="nil"/>
              <w:left w:val="nil"/>
              <w:bottom w:val="single" w:color="auto" w:sz="4" w:space="0"/>
              <w:right w:val="single" w:color="auto" w:sz="4" w:space="0"/>
            </w:tcBorders>
            <w:noWrap/>
            <w:vAlign w:val="center"/>
          </w:tcPr>
          <w:p w14:paraId="1CE42FF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0.0000025</w:t>
            </w:r>
          </w:p>
        </w:tc>
        <w:tc>
          <w:tcPr>
            <w:tcW w:w="1332" w:type="dxa"/>
            <w:tcBorders>
              <w:top w:val="nil"/>
              <w:left w:val="nil"/>
              <w:bottom w:val="single" w:color="auto" w:sz="4" w:space="0"/>
              <w:right w:val="single" w:color="auto" w:sz="4" w:space="0"/>
            </w:tcBorders>
            <w:noWrap/>
            <w:vAlign w:val="center"/>
          </w:tcPr>
          <w:p w14:paraId="7911E8F4">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0.01%</w:t>
            </w:r>
          </w:p>
        </w:tc>
        <w:tc>
          <w:tcPr>
            <w:tcW w:w="1134" w:type="dxa"/>
            <w:tcBorders>
              <w:top w:val="nil"/>
              <w:left w:val="nil"/>
              <w:bottom w:val="single" w:color="auto" w:sz="4" w:space="0"/>
              <w:right w:val="single" w:color="auto" w:sz="4" w:space="0"/>
            </w:tcBorders>
            <w:noWrap/>
            <w:vAlign w:val="center"/>
          </w:tcPr>
          <w:p w14:paraId="3F22D5F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36786D2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6E0B10A">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163EBA02">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7F72973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氯化氢</w:t>
            </w:r>
          </w:p>
        </w:tc>
        <w:tc>
          <w:tcPr>
            <w:tcW w:w="1275" w:type="dxa"/>
            <w:tcBorders>
              <w:top w:val="nil"/>
              <w:left w:val="nil"/>
              <w:bottom w:val="single" w:color="auto" w:sz="4" w:space="0"/>
              <w:right w:val="single" w:color="auto" w:sz="4" w:space="0"/>
            </w:tcBorders>
            <w:vAlign w:val="center"/>
          </w:tcPr>
          <w:p w14:paraId="6A203DE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880" w:type="dxa"/>
            <w:tcBorders>
              <w:top w:val="nil"/>
              <w:left w:val="nil"/>
              <w:bottom w:val="single" w:color="auto" w:sz="4" w:space="0"/>
              <w:right w:val="single" w:color="auto" w:sz="4" w:space="0"/>
            </w:tcBorders>
            <w:noWrap/>
            <w:vAlign w:val="center"/>
          </w:tcPr>
          <w:p w14:paraId="71F3727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332" w:type="dxa"/>
            <w:tcBorders>
              <w:top w:val="nil"/>
              <w:left w:val="nil"/>
              <w:bottom w:val="single" w:color="auto" w:sz="4" w:space="0"/>
              <w:right w:val="single" w:color="auto" w:sz="4" w:space="0"/>
            </w:tcBorders>
            <w:noWrap/>
            <w:vAlign w:val="center"/>
          </w:tcPr>
          <w:p w14:paraId="237A9413">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20.00%</w:t>
            </w:r>
          </w:p>
        </w:tc>
        <w:tc>
          <w:tcPr>
            <w:tcW w:w="1134" w:type="dxa"/>
            <w:tcBorders>
              <w:top w:val="nil"/>
              <w:left w:val="nil"/>
              <w:bottom w:val="single" w:color="auto" w:sz="4" w:space="0"/>
              <w:right w:val="single" w:color="auto" w:sz="4" w:space="0"/>
            </w:tcBorders>
            <w:noWrap/>
            <w:vAlign w:val="center"/>
          </w:tcPr>
          <w:p w14:paraId="308F5EC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0733521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7D216CD">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04F4BC6E">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3BED7BB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氨</w:t>
            </w:r>
          </w:p>
        </w:tc>
        <w:tc>
          <w:tcPr>
            <w:tcW w:w="1275" w:type="dxa"/>
            <w:tcBorders>
              <w:top w:val="nil"/>
              <w:left w:val="nil"/>
              <w:bottom w:val="single" w:color="auto" w:sz="4" w:space="0"/>
              <w:right w:val="single" w:color="auto" w:sz="4" w:space="0"/>
            </w:tcBorders>
            <w:vAlign w:val="center"/>
          </w:tcPr>
          <w:p w14:paraId="20B0C8D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880" w:type="dxa"/>
            <w:tcBorders>
              <w:top w:val="nil"/>
              <w:left w:val="nil"/>
              <w:bottom w:val="single" w:color="auto" w:sz="4" w:space="0"/>
              <w:right w:val="single" w:color="auto" w:sz="4" w:space="0"/>
            </w:tcBorders>
            <w:noWrap/>
            <w:vAlign w:val="center"/>
          </w:tcPr>
          <w:p w14:paraId="3915CF6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61-78</w:t>
            </w:r>
          </w:p>
        </w:tc>
        <w:tc>
          <w:tcPr>
            <w:tcW w:w="1332" w:type="dxa"/>
            <w:tcBorders>
              <w:top w:val="nil"/>
              <w:left w:val="nil"/>
              <w:bottom w:val="single" w:color="auto" w:sz="4" w:space="0"/>
              <w:right w:val="single" w:color="auto" w:sz="4" w:space="0"/>
            </w:tcBorders>
            <w:noWrap/>
            <w:vAlign w:val="center"/>
          </w:tcPr>
          <w:p w14:paraId="14C1659A">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39.00%</w:t>
            </w:r>
          </w:p>
        </w:tc>
        <w:tc>
          <w:tcPr>
            <w:tcW w:w="1134" w:type="dxa"/>
            <w:tcBorders>
              <w:top w:val="nil"/>
              <w:left w:val="nil"/>
              <w:bottom w:val="single" w:color="auto" w:sz="4" w:space="0"/>
              <w:right w:val="single" w:color="auto" w:sz="4" w:space="0"/>
            </w:tcBorders>
            <w:noWrap/>
            <w:vAlign w:val="center"/>
          </w:tcPr>
          <w:p w14:paraId="5A63829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3696875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2257BF8">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61C19149">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59EF7D0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硫化氢</w:t>
            </w:r>
          </w:p>
        </w:tc>
        <w:tc>
          <w:tcPr>
            <w:tcW w:w="1275" w:type="dxa"/>
            <w:tcBorders>
              <w:top w:val="nil"/>
              <w:left w:val="nil"/>
              <w:bottom w:val="single" w:color="auto" w:sz="4" w:space="0"/>
              <w:right w:val="single" w:color="auto" w:sz="4" w:space="0"/>
            </w:tcBorders>
            <w:vAlign w:val="center"/>
          </w:tcPr>
          <w:p w14:paraId="539D4C4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880" w:type="dxa"/>
            <w:tcBorders>
              <w:top w:val="nil"/>
              <w:left w:val="nil"/>
              <w:bottom w:val="single" w:color="auto" w:sz="4" w:space="0"/>
              <w:right w:val="single" w:color="auto" w:sz="4" w:space="0"/>
            </w:tcBorders>
            <w:noWrap/>
            <w:vAlign w:val="center"/>
          </w:tcPr>
          <w:p w14:paraId="54839FC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332" w:type="dxa"/>
            <w:tcBorders>
              <w:top w:val="nil"/>
              <w:left w:val="nil"/>
              <w:bottom w:val="single" w:color="auto" w:sz="4" w:space="0"/>
              <w:right w:val="single" w:color="auto" w:sz="4" w:space="0"/>
            </w:tcBorders>
            <w:noWrap/>
            <w:vAlign w:val="center"/>
          </w:tcPr>
          <w:p w14:paraId="58963FCE">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25.00%</w:t>
            </w:r>
          </w:p>
        </w:tc>
        <w:tc>
          <w:tcPr>
            <w:tcW w:w="1134" w:type="dxa"/>
            <w:tcBorders>
              <w:top w:val="nil"/>
              <w:left w:val="nil"/>
              <w:bottom w:val="single" w:color="auto" w:sz="4" w:space="0"/>
              <w:right w:val="single" w:color="auto" w:sz="4" w:space="0"/>
            </w:tcBorders>
            <w:noWrap/>
            <w:vAlign w:val="center"/>
          </w:tcPr>
          <w:p w14:paraId="171AB4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7698E21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77177B2F">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5311B22F">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68ED8DC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锰及其化合物</w:t>
            </w:r>
          </w:p>
        </w:tc>
        <w:tc>
          <w:tcPr>
            <w:tcW w:w="1275" w:type="dxa"/>
            <w:tcBorders>
              <w:top w:val="nil"/>
              <w:left w:val="nil"/>
              <w:bottom w:val="single" w:color="auto" w:sz="4" w:space="0"/>
              <w:right w:val="single" w:color="auto" w:sz="4" w:space="0"/>
            </w:tcBorders>
            <w:vAlign w:val="center"/>
          </w:tcPr>
          <w:p w14:paraId="7C655A9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880" w:type="dxa"/>
            <w:tcBorders>
              <w:top w:val="nil"/>
              <w:left w:val="nil"/>
              <w:bottom w:val="single" w:color="auto" w:sz="4" w:space="0"/>
              <w:right w:val="single" w:color="auto" w:sz="4" w:space="0"/>
            </w:tcBorders>
            <w:noWrap/>
            <w:vAlign w:val="center"/>
          </w:tcPr>
          <w:p w14:paraId="5752503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0.0015</w:t>
            </w:r>
          </w:p>
        </w:tc>
        <w:tc>
          <w:tcPr>
            <w:tcW w:w="1332" w:type="dxa"/>
            <w:tcBorders>
              <w:top w:val="nil"/>
              <w:left w:val="nil"/>
              <w:bottom w:val="single" w:color="auto" w:sz="4" w:space="0"/>
              <w:right w:val="single" w:color="auto" w:sz="4" w:space="0"/>
            </w:tcBorders>
            <w:noWrap/>
            <w:vAlign w:val="center"/>
          </w:tcPr>
          <w:p w14:paraId="0BDD2348">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0.02%</w:t>
            </w:r>
          </w:p>
        </w:tc>
        <w:tc>
          <w:tcPr>
            <w:tcW w:w="1134" w:type="dxa"/>
            <w:tcBorders>
              <w:top w:val="nil"/>
              <w:left w:val="nil"/>
              <w:bottom w:val="single" w:color="auto" w:sz="4" w:space="0"/>
              <w:right w:val="single" w:color="auto" w:sz="4" w:space="0"/>
            </w:tcBorders>
            <w:noWrap/>
            <w:vAlign w:val="center"/>
          </w:tcPr>
          <w:p w14:paraId="3D9F42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21D803D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A79CF9D">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5ADDA97E">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04BC248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275" w:type="dxa"/>
            <w:tcBorders>
              <w:top w:val="nil"/>
              <w:left w:val="nil"/>
              <w:bottom w:val="single" w:color="auto" w:sz="4" w:space="0"/>
              <w:right w:val="single" w:color="auto" w:sz="4" w:space="0"/>
            </w:tcBorders>
            <w:vAlign w:val="center"/>
          </w:tcPr>
          <w:p w14:paraId="40D171F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2000</w:t>
            </w:r>
          </w:p>
        </w:tc>
        <w:tc>
          <w:tcPr>
            <w:tcW w:w="1880" w:type="dxa"/>
            <w:tcBorders>
              <w:top w:val="nil"/>
              <w:left w:val="nil"/>
              <w:bottom w:val="single" w:color="auto" w:sz="4" w:space="0"/>
              <w:right w:val="single" w:color="auto" w:sz="4" w:space="0"/>
            </w:tcBorders>
            <w:noWrap/>
            <w:vAlign w:val="center"/>
          </w:tcPr>
          <w:p w14:paraId="3E0E937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730-900</w:t>
            </w:r>
          </w:p>
        </w:tc>
        <w:tc>
          <w:tcPr>
            <w:tcW w:w="1332" w:type="dxa"/>
            <w:tcBorders>
              <w:top w:val="nil"/>
              <w:left w:val="nil"/>
              <w:bottom w:val="single" w:color="auto" w:sz="4" w:space="0"/>
              <w:right w:val="single" w:color="auto" w:sz="4" w:space="0"/>
            </w:tcBorders>
            <w:noWrap/>
            <w:vAlign w:val="center"/>
          </w:tcPr>
          <w:p w14:paraId="503BD136">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45.00%</w:t>
            </w:r>
          </w:p>
        </w:tc>
        <w:tc>
          <w:tcPr>
            <w:tcW w:w="1134" w:type="dxa"/>
            <w:tcBorders>
              <w:top w:val="nil"/>
              <w:left w:val="nil"/>
              <w:bottom w:val="single" w:color="auto" w:sz="4" w:space="0"/>
              <w:right w:val="single" w:color="auto" w:sz="4" w:space="0"/>
            </w:tcBorders>
            <w:noWrap/>
            <w:vAlign w:val="center"/>
          </w:tcPr>
          <w:p w14:paraId="21D5D91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23F5097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D1F7D71">
        <w:tblPrEx>
          <w:tblCellMar>
            <w:top w:w="0" w:type="dxa"/>
            <w:left w:w="108" w:type="dxa"/>
            <w:bottom w:w="0" w:type="dxa"/>
            <w:right w:w="108" w:type="dxa"/>
          </w:tblCellMar>
        </w:tblPrEx>
        <w:tc>
          <w:tcPr>
            <w:tcW w:w="1129" w:type="dxa"/>
            <w:vMerge w:val="continue"/>
            <w:tcBorders>
              <w:top w:val="nil"/>
              <w:left w:val="single" w:color="auto" w:sz="4" w:space="0"/>
              <w:bottom w:val="single" w:color="auto" w:sz="4" w:space="0"/>
              <w:right w:val="single" w:color="auto" w:sz="4" w:space="0"/>
            </w:tcBorders>
            <w:vAlign w:val="center"/>
          </w:tcPr>
          <w:p w14:paraId="7E1E6D48">
            <w:pPr>
              <w:pStyle w:val="109"/>
              <w:rPr>
                <w:color w:val="000000" w:themeColor="text1"/>
                <w:szCs w:val="21"/>
                <w14:textFill>
                  <w14:solidFill>
                    <w14:schemeClr w14:val="tx1"/>
                  </w14:solidFill>
                </w14:textFill>
              </w:rPr>
            </w:pPr>
          </w:p>
        </w:tc>
        <w:tc>
          <w:tcPr>
            <w:tcW w:w="1560" w:type="dxa"/>
            <w:tcBorders>
              <w:top w:val="nil"/>
              <w:left w:val="nil"/>
              <w:bottom w:val="single" w:color="auto" w:sz="4" w:space="0"/>
              <w:right w:val="single" w:color="auto" w:sz="4" w:space="0"/>
            </w:tcBorders>
            <w:vAlign w:val="center"/>
          </w:tcPr>
          <w:p w14:paraId="70536CA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二噁英</w:t>
            </w:r>
          </w:p>
        </w:tc>
        <w:tc>
          <w:tcPr>
            <w:tcW w:w="1275" w:type="dxa"/>
            <w:tcBorders>
              <w:top w:val="nil"/>
              <w:left w:val="nil"/>
              <w:bottom w:val="single" w:color="auto" w:sz="4" w:space="0"/>
              <w:right w:val="single" w:color="auto" w:sz="4" w:space="0"/>
            </w:tcBorders>
            <w:vAlign w:val="center"/>
          </w:tcPr>
          <w:p w14:paraId="4B7C022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r>
              <w:rPr>
                <w:rFonts w:eastAsia="Times New Roman"/>
                <w:color w:val="000000" w:themeColor="text1"/>
                <w:lang w:eastAsia="en-US" w:bidi="en-US"/>
                <w14:textFill>
                  <w14:solidFill>
                    <w14:schemeClr w14:val="tx1"/>
                  </w14:solidFill>
                </w14:textFill>
              </w:rPr>
              <w:t xml:space="preserve"> pgTEQ/m³</w:t>
            </w:r>
          </w:p>
        </w:tc>
        <w:tc>
          <w:tcPr>
            <w:tcW w:w="1880" w:type="dxa"/>
            <w:tcBorders>
              <w:top w:val="nil"/>
              <w:left w:val="nil"/>
              <w:bottom w:val="single" w:color="auto" w:sz="4" w:space="0"/>
              <w:right w:val="single" w:color="auto" w:sz="4" w:space="0"/>
            </w:tcBorders>
            <w:noWrap/>
            <w:vAlign w:val="center"/>
          </w:tcPr>
          <w:p w14:paraId="6F6AA67E">
            <w:pPr>
              <w:pStyle w:val="10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0.015-0.11</w:t>
            </w:r>
            <w:r>
              <w:rPr>
                <w:rFonts w:eastAsia="Times New Roman"/>
                <w:color w:val="000000" w:themeColor="text1"/>
                <w:lang w:eastAsia="en-US" w:bidi="en-US"/>
                <w14:textFill>
                  <w14:solidFill>
                    <w14:schemeClr w14:val="tx1"/>
                  </w14:solidFill>
                </w14:textFill>
              </w:rPr>
              <w:t xml:space="preserve"> pgTEQ/m³</w:t>
            </w:r>
          </w:p>
        </w:tc>
        <w:tc>
          <w:tcPr>
            <w:tcW w:w="1332" w:type="dxa"/>
            <w:tcBorders>
              <w:top w:val="nil"/>
              <w:left w:val="nil"/>
              <w:bottom w:val="single" w:color="auto" w:sz="4" w:space="0"/>
              <w:right w:val="single" w:color="auto" w:sz="4" w:space="0"/>
            </w:tcBorders>
            <w:noWrap/>
            <w:vAlign w:val="center"/>
          </w:tcPr>
          <w:p w14:paraId="69822F4D">
            <w:pPr>
              <w:pStyle w:val="10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0.00%</w:t>
            </w:r>
          </w:p>
        </w:tc>
        <w:tc>
          <w:tcPr>
            <w:tcW w:w="1134" w:type="dxa"/>
            <w:tcBorders>
              <w:top w:val="nil"/>
              <w:left w:val="nil"/>
              <w:bottom w:val="single" w:color="auto" w:sz="4" w:space="0"/>
              <w:right w:val="single" w:color="auto" w:sz="4" w:space="0"/>
            </w:tcBorders>
            <w:noWrap/>
            <w:vAlign w:val="center"/>
          </w:tcPr>
          <w:p w14:paraId="425D7CC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60" w:type="dxa"/>
            <w:tcBorders>
              <w:top w:val="nil"/>
              <w:left w:val="nil"/>
              <w:bottom w:val="single" w:color="auto" w:sz="4" w:space="0"/>
              <w:right w:val="single" w:color="auto" w:sz="4" w:space="0"/>
            </w:tcBorders>
            <w:noWrap/>
            <w:vAlign w:val="center"/>
          </w:tcPr>
          <w:p w14:paraId="1789D0E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199B1D9F">
      <w:pPr>
        <w:ind w:firstLine="480"/>
        <w:rPr>
          <w:color w:val="000000" w:themeColor="text1"/>
          <w14:textFill>
            <w14:solidFill>
              <w14:schemeClr w14:val="tx1"/>
            </w14:solidFill>
          </w14:textFill>
        </w:rPr>
      </w:pPr>
      <w:r>
        <w:rPr>
          <w:color w:val="000000" w:themeColor="text1"/>
          <w14:textFill>
            <w14:solidFill>
              <w14:schemeClr w14:val="tx1"/>
            </w14:solidFill>
          </w14:textFill>
        </w:rPr>
        <w:t>由监测数据可见，本次监测的各特征污染物均满足《环境空气质量标准》（GB3095-2026）过渡阶段二级标准及《环境影响评价技术导则 大气环境》（HJ2.2-2018）附录D其他污染物空气质量浓度参考限值的要求。</w:t>
      </w:r>
    </w:p>
    <w:p w14:paraId="3B29CD30">
      <w:pPr>
        <w:pStyle w:val="4"/>
        <w:rPr>
          <w:rFonts w:ascii="Times New Roman" w:cs="Times New Roman"/>
          <w:color w:val="000000" w:themeColor="text1"/>
          <w14:textFill>
            <w14:solidFill>
              <w14:schemeClr w14:val="tx1"/>
            </w14:solidFill>
          </w14:textFill>
        </w:rPr>
      </w:pPr>
      <w:bookmarkStart w:id="353" w:name="_Hlk62312976"/>
      <w:r>
        <w:rPr>
          <w:rFonts w:ascii="Times New Roman" w:cs="Times New Roman"/>
          <w:color w:val="000000" w:themeColor="text1"/>
          <w14:textFill>
            <w14:solidFill>
              <w14:schemeClr w14:val="tx1"/>
            </w14:solidFill>
          </w14:textFill>
        </w:rPr>
        <w:t>区域大气环境改善方案</w:t>
      </w:r>
    </w:p>
    <w:bookmarkEnd w:id="353"/>
    <w:p w14:paraId="59A78C27">
      <w:pPr>
        <w:ind w:firstLine="480"/>
        <w:rPr>
          <w:color w:val="000000" w:themeColor="text1"/>
          <w14:textFill>
            <w14:solidFill>
              <w14:schemeClr w14:val="tx1"/>
            </w14:solidFill>
          </w14:textFill>
        </w:rPr>
      </w:pPr>
      <w:r>
        <w:rPr>
          <w:color w:val="000000" w:themeColor="text1"/>
          <w14:textFill>
            <w14:solidFill>
              <w14:schemeClr w14:val="tx1"/>
            </w14:solidFill>
          </w14:textFill>
        </w:rPr>
        <w:t>《乌鲁木齐市环境空气质量达标规划(2018-2035)》 由乌鲁木齐市人民政府印发，基准年设定为2017年，分近期（2018-2020年）、中远期（2021-2035年）设定目标。其中近期目标聚焦空气质量优良率提升至75.2%以上，PM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年均浓度较2015年下降20%以上（至52μg/m³），PM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年均浓度控制在90μg/m³；中远期目标明确持续降低PM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浓度，完成国家、自治区下达的减排及达标任务，核心治理方向涵盖产业结构优化、能源调整、扬尘管控等，与本方案生态固沙、精准管控措施高度契合。</w:t>
      </w:r>
    </w:p>
    <w:p w14:paraId="25C14ECB">
      <w:pPr>
        <w:ind w:firstLine="480"/>
        <w:rPr>
          <w:color w:val="000000" w:themeColor="text1"/>
          <w14:textFill>
            <w14:solidFill>
              <w14:schemeClr w14:val="tx1"/>
            </w14:solidFill>
          </w14:textFill>
        </w:rPr>
      </w:pPr>
      <w:r>
        <w:rPr>
          <w:color w:val="000000" w:themeColor="text1"/>
          <w14:textFill>
            <w14:solidFill>
              <w14:schemeClr w14:val="tx1"/>
            </w14:solidFill>
          </w14:textFill>
        </w:rPr>
        <w:t>严格落实《乌鲁木齐市大气污染防治条例》要求，压实各部门监管责任，减少施工、道路、矿山等人为扬尘对PM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的叠加影响。</w:t>
      </w:r>
    </w:p>
    <w:p w14:paraId="03F89166">
      <w:pPr>
        <w:ind w:firstLine="482"/>
        <w:rPr>
          <w:color w:val="000000" w:themeColor="text1"/>
          <w14:textFill>
            <w14:solidFill>
              <w14:schemeClr w14:val="tx1"/>
            </w14:solidFill>
          </w14:textFill>
        </w:rPr>
      </w:pPr>
      <w:r>
        <w:rPr>
          <w:rStyle w:val="84"/>
          <w:color w:val="000000" w:themeColor="text1"/>
          <w14:textFill>
            <w14:solidFill>
              <w14:schemeClr w14:val="tx1"/>
            </w14:solidFill>
          </w14:textFill>
        </w:rPr>
        <w:t>施工扬尘全流程管控</w:t>
      </w:r>
      <w:r>
        <w:rPr>
          <w:color w:val="000000" w:themeColor="text1"/>
          <w14:textFill>
            <w14:solidFill>
              <w14:schemeClr w14:val="tx1"/>
            </w14:solidFill>
          </w14:textFill>
        </w:rPr>
        <w:t>：住建、城管、水务等部门分工负责，所有施工工地必须落实“七个百分之百”扬尘治理措施（围挡封闭、裸土覆盖、洒水降尘等），地铁、市政道路等重点工程严禁反复挖掘回填，夜间施工需依法取得许可并优化作业时段，配备雾炮机、喷淋系统等抑尘设施。对违规工地依法采取查封、扣押措施，将扬尘管控成效纳入施工单位信用评价。</w:t>
      </w:r>
    </w:p>
    <w:p w14:paraId="71EEACC0">
      <w:pPr>
        <w:ind w:firstLine="482"/>
        <w:rPr>
          <w:color w:val="000000" w:themeColor="text1"/>
          <w14:textFill>
            <w14:solidFill>
              <w14:schemeClr w14:val="tx1"/>
            </w14:solidFill>
          </w14:textFill>
        </w:rPr>
      </w:pPr>
      <w:r>
        <w:rPr>
          <w:rStyle w:val="84"/>
          <w:color w:val="000000" w:themeColor="text1"/>
          <w14:textFill>
            <w14:solidFill>
              <w14:schemeClr w14:val="tx1"/>
            </w14:solidFill>
          </w14:textFill>
        </w:rPr>
        <w:t>道路扬尘精细化治理</w:t>
      </w:r>
      <w:r>
        <w:rPr>
          <w:color w:val="000000" w:themeColor="text1"/>
          <w14:textFill>
            <w14:solidFill>
              <w14:schemeClr w14:val="tx1"/>
            </w14:solidFill>
          </w14:textFill>
        </w:rPr>
        <w:t>：城市管理部门优化道路清扫模式，推行“湿法清扫+吸尘车联合作业”，重点路段（如工业区、施工集中区）增加清扫频次，春秋季风沙天气加密洒水降尘次数。规范建筑垃圾处置与运输，实行密闭化运输、指定路线行驶，严查抛洒滴漏行为；公安机关交通管理部门强化货车限行管控，查处排放不合格车辆。</w:t>
      </w:r>
    </w:p>
    <w:p w14:paraId="6C663284">
      <w:pPr>
        <w:ind w:firstLine="482"/>
        <w:rPr>
          <w:color w:val="000000" w:themeColor="text1"/>
          <w14:textFill>
            <w14:solidFill>
              <w14:schemeClr w14:val="tx1"/>
            </w14:solidFill>
          </w14:textFill>
        </w:rPr>
      </w:pPr>
      <w:r>
        <w:rPr>
          <w:rStyle w:val="84"/>
          <w:color w:val="000000" w:themeColor="text1"/>
          <w14:textFill>
            <w14:solidFill>
              <w14:schemeClr w14:val="tx1"/>
            </w14:solidFill>
          </w14:textFill>
        </w:rPr>
        <w:t>矿山与工业扬尘治理</w:t>
      </w:r>
      <w:r>
        <w:rPr>
          <w:color w:val="000000" w:themeColor="text1"/>
          <w14:textFill>
            <w14:solidFill>
              <w14:schemeClr w14:val="tx1"/>
            </w14:solidFill>
          </w14:textFill>
        </w:rPr>
        <w:t>：自然资源部门推进矿山关停与生态修复，对正在开采的矿山实施湿法作业、边坡绿化、粉尘收集处理，严禁露天开采粉尘无组织排放。工业企业严格落实排污许可制度，确保除尘设施正常运行，重点排污单位公开排放信息，接受社会监督，杜绝粉尘无组织逸散。</w:t>
      </w:r>
    </w:p>
    <w:p w14:paraId="2D3523EC">
      <w:pPr>
        <w:ind w:firstLine="480"/>
        <w:rPr>
          <w:color w:val="000000" w:themeColor="text1"/>
          <w14:textFill>
            <w14:solidFill>
              <w14:schemeClr w14:val="tx1"/>
            </w14:solidFill>
          </w14:textFill>
        </w:rPr>
      </w:pPr>
      <w:r>
        <w:rPr>
          <w:color w:val="000000" w:themeColor="text1"/>
          <w14:textFill>
            <w14:solidFill>
              <w14:schemeClr w14:val="tx1"/>
            </w14:solidFill>
          </w14:textFill>
        </w:rPr>
        <w:t>依托“乌-昌-石”区域大气联防联控机制，打破行政边界，形成风沙污染共治合力。</w:t>
      </w:r>
    </w:p>
    <w:p w14:paraId="6AAFE55B">
      <w:pPr>
        <w:ind w:firstLine="482"/>
        <w:rPr>
          <w:color w:val="000000" w:themeColor="text1"/>
          <w14:textFill>
            <w14:solidFill>
              <w14:schemeClr w14:val="tx1"/>
            </w14:solidFill>
          </w14:textFill>
        </w:rPr>
      </w:pPr>
      <w:r>
        <w:rPr>
          <w:rStyle w:val="84"/>
          <w:color w:val="000000" w:themeColor="text1"/>
          <w14:textFill>
            <w14:solidFill>
              <w14:schemeClr w14:val="tx1"/>
            </w14:solidFill>
          </w14:textFill>
        </w:rPr>
        <w:t>强化兵地协同与跨区域联动</w:t>
      </w:r>
      <w:r>
        <w:rPr>
          <w:color w:val="000000" w:themeColor="text1"/>
          <w14:textFill>
            <w14:solidFill>
              <w14:schemeClr w14:val="tx1"/>
            </w14:solidFill>
          </w14:textFill>
        </w:rPr>
        <w:t>：落实自治区高层挂帅的协调小组机制，统筹乌鲁木齐市与周边兵团师市、昌吉、石河子等区域，实行“统一预警标准、统一管控要求、统一绩效分级”，重污染天气预警实现“统一发布、统一行动、统一解除”，同步开展风沙源联合治理、应急管控。</w:t>
      </w:r>
    </w:p>
    <w:p w14:paraId="78FEBEFA">
      <w:pPr>
        <w:ind w:firstLine="482"/>
        <w:rPr>
          <w:color w:val="000000" w:themeColor="text1"/>
          <w14:textFill>
            <w14:solidFill>
              <w14:schemeClr w14:val="tx1"/>
            </w14:solidFill>
          </w14:textFill>
        </w:rPr>
      </w:pPr>
      <w:r>
        <w:rPr>
          <w:rStyle w:val="84"/>
          <w:color w:val="000000" w:themeColor="text1"/>
          <w14:textFill>
            <w14:solidFill>
              <w14:schemeClr w14:val="tx1"/>
            </w14:solidFill>
          </w14:textFill>
        </w:rPr>
        <w:t>建立风沙天气应急响应体系</w:t>
      </w:r>
      <w:r>
        <w:rPr>
          <w:color w:val="000000" w:themeColor="text1"/>
          <w14:textFill>
            <w14:solidFill>
              <w14:schemeClr w14:val="tx1"/>
            </w14:solidFill>
          </w14:textFill>
        </w:rPr>
        <w:t>：生态环境部门完善大气监测网络，精准预判春秋季风沙天气，提前发布预警信息。预警期间，启动区域联动管控，暂停室外施工、矿山开采、渣土运输等易产生扬尘的作业，增加道路洒水降尘频次，引导公众减少户外活动，最大限度降低风沙对空气质量的影响。</w:t>
      </w:r>
    </w:p>
    <w:p w14:paraId="63016F3F">
      <w:pPr>
        <w:pStyle w:val="3"/>
        <w:rPr>
          <w:rFonts w:ascii="Times New Roman" w:cs="Times New Roman"/>
          <w:color w:val="000000" w:themeColor="text1"/>
          <w:lang w:val="zh-CN"/>
          <w14:textFill>
            <w14:solidFill>
              <w14:schemeClr w14:val="tx1"/>
            </w14:solidFill>
          </w14:textFill>
        </w:rPr>
      </w:pPr>
      <w:bookmarkStart w:id="354" w:name="_Toc225268312"/>
      <w:bookmarkStart w:id="355" w:name="_Toc330460795"/>
      <w:bookmarkStart w:id="356" w:name="_Toc320518581"/>
      <w:bookmarkStart w:id="357" w:name="_Toc170531724"/>
      <w:bookmarkStart w:id="358" w:name="_Toc286617483"/>
      <w:bookmarkStart w:id="359" w:name="_Toc260131747"/>
      <w:bookmarkStart w:id="360" w:name="_Toc329793609"/>
      <w:bookmarkStart w:id="361" w:name="_Toc272851664"/>
      <w:bookmarkStart w:id="362" w:name="_Toc308023327"/>
      <w:bookmarkStart w:id="363" w:name="_Toc170532457"/>
      <w:bookmarkStart w:id="364" w:name="_Toc290048807"/>
      <w:bookmarkStart w:id="365" w:name="_Toc300393053"/>
      <w:bookmarkStart w:id="366" w:name="_Toc320518355"/>
      <w:r>
        <w:rPr>
          <w:rFonts w:ascii="Times New Roman" w:cs="Times New Roman"/>
          <w:color w:val="000000" w:themeColor="text1"/>
          <w:lang w:val="zh-CN"/>
          <w14:textFill>
            <w14:solidFill>
              <w14:schemeClr w14:val="tx1"/>
            </w14:solidFill>
          </w14:textFill>
        </w:rPr>
        <w:t>地下水环境质量现状调查与评价</w:t>
      </w:r>
      <w:bookmarkEnd w:id="354"/>
    </w:p>
    <w:p w14:paraId="1619ED82">
      <w:pPr>
        <w:pStyle w:val="4"/>
        <w:rPr>
          <w:rFonts w:ascii="Times New Roman" w:cs="Times New Roman"/>
          <w:color w:val="000000" w:themeColor="text1"/>
          <w:lang w:val="zh-CN" w:bidi="zh-CN"/>
          <w14:textFill>
            <w14:solidFill>
              <w14:schemeClr w14:val="tx1"/>
            </w14:solidFill>
          </w14:textFill>
        </w:rPr>
      </w:pPr>
      <w:r>
        <w:rPr>
          <w:rFonts w:ascii="Times New Roman" w:cs="Times New Roman"/>
          <w:color w:val="000000" w:themeColor="text1"/>
          <w:lang w:val="zh-CN" w:bidi="zh-CN"/>
          <w14:textFill>
            <w14:solidFill>
              <w14:schemeClr w14:val="tx1"/>
            </w14:solidFill>
          </w14:textFill>
        </w:rPr>
        <w:t>数据来源</w:t>
      </w:r>
    </w:p>
    <w:p w14:paraId="19DAF8E8">
      <w:pPr>
        <w:ind w:firstLine="480"/>
        <w:jc w:val="both"/>
        <w:rPr>
          <w:color w:val="000000" w:themeColor="text1"/>
          <w:lang w:val="zh-CN" w:bidi="zh-CN"/>
          <w14:textFill>
            <w14:solidFill>
              <w14:schemeClr w14:val="tx1"/>
            </w14:solidFill>
          </w14:textFill>
        </w:rPr>
      </w:pPr>
      <w:r>
        <w:rPr>
          <w:rFonts w:hint="eastAsia"/>
          <w:color w:val="000000" w:themeColor="text1"/>
          <w:lang w:val="zh-CN" w:bidi="zh-CN"/>
          <w14:textFill>
            <w14:solidFill>
              <w14:schemeClr w14:val="tx1"/>
            </w14:solidFill>
          </w14:textFill>
        </w:rPr>
        <w:t>本项目地下水评价等级为二级评价，项目所在区域为戈壁平原，根据</w:t>
      </w:r>
      <w:r>
        <w:rPr>
          <w:color w:val="000000" w:themeColor="text1"/>
          <w:lang w:val="zh-CN" w:bidi="zh-CN"/>
          <w14:textFill>
            <w14:solidFill>
              <w14:schemeClr w14:val="tx1"/>
            </w14:solidFill>
          </w14:textFill>
        </w:rPr>
        <w:t>《环境影响评价技术导则</w:t>
      </w:r>
      <w:r>
        <w:rPr>
          <w:color w:val="000000" w:themeColor="text1"/>
          <w:lang w:bidi="zh-CN"/>
          <w14:textFill>
            <w14:solidFill>
              <w14:schemeClr w14:val="tx1"/>
            </w14:solidFill>
          </w14:textFill>
        </w:rPr>
        <w:t xml:space="preserve"> </w:t>
      </w:r>
      <w:r>
        <w:rPr>
          <w:color w:val="000000" w:themeColor="text1"/>
          <w:lang w:val="zh-CN" w:bidi="zh-CN"/>
          <w14:textFill>
            <w14:solidFill>
              <w14:schemeClr w14:val="tx1"/>
            </w14:solidFill>
          </w14:textFill>
        </w:rPr>
        <w:t>地下水环境》（HJ610-2016）</w:t>
      </w:r>
      <w:r>
        <w:rPr>
          <w:rFonts w:hint="eastAsia"/>
          <w:color w:val="000000" w:themeColor="text1"/>
          <w:lang w:val="zh-CN" w:bidi="zh-CN"/>
          <w14:textFill>
            <w14:solidFill>
              <w14:schemeClr w14:val="tx1"/>
            </w14:solidFill>
          </w14:textFill>
        </w:rPr>
        <w:t>表4，二级评价水位、水质监测频率为一期。</w:t>
      </w:r>
    </w:p>
    <w:p w14:paraId="7BB953EA">
      <w:pPr>
        <w:ind w:firstLine="480"/>
        <w:jc w:val="both"/>
        <w:rPr>
          <w:color w:val="000000" w:themeColor="text1"/>
          <w:lang w:bidi="zh-CN"/>
          <w14:textFill>
            <w14:solidFill>
              <w14:schemeClr w14:val="tx1"/>
            </w14:solidFill>
          </w14:textFill>
        </w:rPr>
      </w:pPr>
      <w:r>
        <w:rPr>
          <w:color w:val="000000" w:themeColor="text1"/>
          <w:lang w:val="zh-CN" w:bidi="zh-CN"/>
          <w14:textFill>
            <w14:solidFill>
              <w14:schemeClr w14:val="tx1"/>
            </w14:solidFill>
          </w14:textFill>
        </w:rPr>
        <w:t>根据《环境影响评价技术导则</w:t>
      </w:r>
      <w:r>
        <w:rPr>
          <w:color w:val="000000" w:themeColor="text1"/>
          <w:lang w:bidi="zh-CN"/>
          <w14:textFill>
            <w14:solidFill>
              <w14:schemeClr w14:val="tx1"/>
            </w14:solidFill>
          </w14:textFill>
        </w:rPr>
        <w:t xml:space="preserve"> </w:t>
      </w:r>
      <w:r>
        <w:rPr>
          <w:color w:val="000000" w:themeColor="text1"/>
          <w:lang w:val="zh-CN" w:bidi="zh-CN"/>
          <w14:textFill>
            <w14:solidFill>
              <w14:schemeClr w14:val="tx1"/>
            </w14:solidFill>
          </w14:textFill>
        </w:rPr>
        <w:t>地下水环境》（HJ610-2016）相关要求，对项目区周边地下水进行调查，地下水埋深约15m，含水层类型为潜水含水层。选取了项目区周边上下游共5口井，地下水径流为由东南向西北。</w:t>
      </w:r>
      <w:r>
        <w:rPr>
          <w:rFonts w:hint="eastAsia"/>
          <w:color w:val="000000" w:themeColor="text1"/>
          <w14:textFill>
            <w14:solidFill>
              <w14:schemeClr w14:val="tx1"/>
            </w14:solidFill>
          </w14:textFill>
        </w:rPr>
        <w:t>本次评价通过引用《甘泉堡经开区（工业区）地下水检测项目检测报告》（报告编号：WT202506160）中相关地下水监测数据</w:t>
      </w:r>
      <w:r>
        <w:rPr>
          <w:color w:val="000000" w:themeColor="text1"/>
          <w14:textFill>
            <w14:solidFill>
              <w14:schemeClr w14:val="tx1"/>
            </w14:solidFill>
          </w14:textFill>
        </w:rPr>
        <w:t>。</w:t>
      </w:r>
    </w:p>
    <w:p w14:paraId="7AF61731">
      <w:pPr>
        <w:ind w:firstLine="480"/>
        <w:rPr>
          <w:color w:val="000000" w:themeColor="text1"/>
          <w14:textFill>
            <w14:solidFill>
              <w14:schemeClr w14:val="tx1"/>
            </w14:solidFill>
          </w14:textFill>
        </w:rPr>
      </w:pPr>
      <w:bookmarkStart w:id="367" w:name="_Toc3235"/>
      <w:bookmarkStart w:id="368" w:name="_Toc26617"/>
      <w:bookmarkStart w:id="369" w:name="_Toc2374"/>
      <w:bookmarkStart w:id="370" w:name="_Toc28551"/>
      <w:bookmarkStart w:id="371" w:name="_Toc31479"/>
      <w:bookmarkStart w:id="372" w:name="_Toc12905"/>
      <w:bookmarkStart w:id="373" w:name="_Toc13496"/>
      <w:r>
        <w:rPr>
          <w:rFonts w:hint="eastAsia"/>
          <w:color w:val="000000" w:themeColor="text1"/>
          <w14:textFill>
            <w14:solidFill>
              <w14:schemeClr w14:val="tx1"/>
            </w14:solidFill>
          </w14:textFill>
        </w:rPr>
        <w:t>1、引用监测点位基本信息</w:t>
      </w:r>
      <w:bookmarkEnd w:id="367"/>
      <w:bookmarkEnd w:id="368"/>
      <w:bookmarkEnd w:id="369"/>
      <w:bookmarkEnd w:id="370"/>
      <w:bookmarkEnd w:id="371"/>
      <w:bookmarkEnd w:id="372"/>
      <w:bookmarkEnd w:id="373"/>
    </w:p>
    <w:p w14:paraId="4DE499E7">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引用监测点位基本信息</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088"/>
        <w:gridCol w:w="1987"/>
        <w:gridCol w:w="3976"/>
        <w:gridCol w:w="1425"/>
      </w:tblGrid>
      <w:tr w14:paraId="53F6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55F10A5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点位名称</w:t>
            </w:r>
          </w:p>
        </w:tc>
        <w:tc>
          <w:tcPr>
            <w:tcW w:w="1005" w:type="dxa"/>
            <w:vAlign w:val="center"/>
          </w:tcPr>
          <w:p w14:paraId="1B27444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1836" w:type="dxa"/>
            <w:vAlign w:val="center"/>
          </w:tcPr>
          <w:p w14:paraId="4C738EB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监测点坐标</w:t>
            </w:r>
          </w:p>
        </w:tc>
        <w:tc>
          <w:tcPr>
            <w:tcW w:w="3674" w:type="dxa"/>
            <w:vAlign w:val="center"/>
          </w:tcPr>
          <w:p w14:paraId="083604E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监测项目</w:t>
            </w:r>
          </w:p>
        </w:tc>
        <w:tc>
          <w:tcPr>
            <w:tcW w:w="1317" w:type="dxa"/>
            <w:vAlign w:val="center"/>
          </w:tcPr>
          <w:p w14:paraId="1B66DB4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监测时段</w:t>
            </w:r>
          </w:p>
        </w:tc>
      </w:tr>
      <w:tr w14:paraId="7F4C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40ECE24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WR35井2#</w:t>
            </w:r>
          </w:p>
        </w:tc>
        <w:tc>
          <w:tcPr>
            <w:tcW w:w="1005" w:type="dxa"/>
            <w:vAlign w:val="center"/>
          </w:tcPr>
          <w:p w14:paraId="5AB079C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DX1#</w:t>
            </w:r>
          </w:p>
        </w:tc>
        <w:tc>
          <w:tcPr>
            <w:tcW w:w="1836" w:type="dxa"/>
            <w:vAlign w:val="center"/>
          </w:tcPr>
          <w:p w14:paraId="3F3CC0E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E：87°47′09.88″</w:t>
            </w:r>
          </w:p>
          <w:p w14:paraId="18C1303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N：44°16′33.79″</w:t>
            </w:r>
          </w:p>
        </w:tc>
        <w:tc>
          <w:tcPr>
            <w:tcW w:w="3674" w:type="dxa"/>
            <w:vMerge w:val="restart"/>
            <w:vAlign w:val="center"/>
          </w:tcPr>
          <w:p w14:paraId="46628C3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水位</w:t>
            </w:r>
          </w:p>
          <w:p w14:paraId="4DA9C73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水质：</w:t>
            </w:r>
            <w:r>
              <w:rPr>
                <w:rFonts w:hint="eastAsia"/>
                <w:color w:val="000000" w:themeColor="text1"/>
                <w14:textFill>
                  <w14:solidFill>
                    <w14:schemeClr w14:val="tx1"/>
                  </w14:solidFill>
                </w14:textFill>
              </w:rPr>
              <w:t>色度、臭和味、肉眼可见物、浑浊度、pH值、总硬度、溶解性总固体、硫酸盐、氯化物、铁、锰、铜、锌、铝、挥发酚性、阴离子表面活性剂、耗氧量、氨氮、硫化物、钠、亚硝酸盐、硝酸盐、氰化物、氟化物、碘化物、汞、砷、硒、镉、六价铬、铅、三氯甲烷、四氯化碳、苯、甲苯、石油烃（C10-C40）、多环芳烃、多氯联苯、乙苯、二甲苯、苯乙烯、氯乙烯、1,1-二氯乙烯、1,2-二氯乙烯、三氯乙烯、四氯乙烯、1,2-二氯丙烷、二氯甲烷、1,2-二氯乙烷、1,1,1,-三氯乙烷、1,1,2-三氯乙烷、镍、钴、钼、镁、氯苯、三氯苯、邻苯二甲酸二（乙-乙基己基）酯、铊、钒</w:t>
            </w:r>
          </w:p>
        </w:tc>
        <w:tc>
          <w:tcPr>
            <w:tcW w:w="1317" w:type="dxa"/>
            <w:vMerge w:val="restart"/>
            <w:vAlign w:val="center"/>
          </w:tcPr>
          <w:p w14:paraId="054D3D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2025年6月30日，监测1次</w:t>
            </w:r>
          </w:p>
        </w:tc>
      </w:tr>
      <w:tr w14:paraId="0CEF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44B2A60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WR81井3#</w:t>
            </w:r>
          </w:p>
        </w:tc>
        <w:tc>
          <w:tcPr>
            <w:tcW w:w="1005" w:type="dxa"/>
            <w:vAlign w:val="center"/>
          </w:tcPr>
          <w:p w14:paraId="14994AA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DX2#</w:t>
            </w:r>
          </w:p>
        </w:tc>
        <w:tc>
          <w:tcPr>
            <w:tcW w:w="1836" w:type="dxa"/>
            <w:vAlign w:val="center"/>
          </w:tcPr>
          <w:p w14:paraId="57D244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E：87°42′14.34″</w:t>
            </w:r>
          </w:p>
          <w:p w14:paraId="38AC45B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N：44°14′40.70″</w:t>
            </w:r>
          </w:p>
        </w:tc>
        <w:tc>
          <w:tcPr>
            <w:tcW w:w="3674" w:type="dxa"/>
            <w:vMerge w:val="continue"/>
            <w:vAlign w:val="center"/>
          </w:tcPr>
          <w:p w14:paraId="43FC6297">
            <w:pPr>
              <w:pStyle w:val="109"/>
              <w:rPr>
                <w:color w:val="000000" w:themeColor="text1"/>
                <w14:textFill>
                  <w14:solidFill>
                    <w14:schemeClr w14:val="tx1"/>
                  </w14:solidFill>
                </w14:textFill>
              </w:rPr>
            </w:pPr>
          </w:p>
        </w:tc>
        <w:tc>
          <w:tcPr>
            <w:tcW w:w="1317" w:type="dxa"/>
            <w:vMerge w:val="continue"/>
            <w:vAlign w:val="center"/>
          </w:tcPr>
          <w:p w14:paraId="445F0928">
            <w:pPr>
              <w:pStyle w:val="109"/>
              <w:rPr>
                <w:color w:val="000000" w:themeColor="text1"/>
                <w14:textFill>
                  <w14:solidFill>
                    <w14:schemeClr w14:val="tx1"/>
                  </w14:solidFill>
                </w14:textFill>
              </w:rPr>
            </w:pPr>
          </w:p>
        </w:tc>
      </w:tr>
      <w:tr w14:paraId="3F4C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4B35837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WR25井4#</w:t>
            </w:r>
          </w:p>
        </w:tc>
        <w:tc>
          <w:tcPr>
            <w:tcW w:w="1005" w:type="dxa"/>
            <w:vAlign w:val="center"/>
          </w:tcPr>
          <w:p w14:paraId="5F0173D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DX3#</w:t>
            </w:r>
          </w:p>
        </w:tc>
        <w:tc>
          <w:tcPr>
            <w:tcW w:w="1836" w:type="dxa"/>
            <w:vAlign w:val="center"/>
          </w:tcPr>
          <w:p w14:paraId="55C6433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E：87°42′28.79″</w:t>
            </w:r>
          </w:p>
          <w:p w14:paraId="320C963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N：44°14′24.29″</w:t>
            </w:r>
          </w:p>
        </w:tc>
        <w:tc>
          <w:tcPr>
            <w:tcW w:w="3674" w:type="dxa"/>
            <w:vMerge w:val="continue"/>
            <w:vAlign w:val="center"/>
          </w:tcPr>
          <w:p w14:paraId="27EB15D8">
            <w:pPr>
              <w:pStyle w:val="109"/>
              <w:rPr>
                <w:color w:val="000000" w:themeColor="text1"/>
                <w14:textFill>
                  <w14:solidFill>
                    <w14:schemeClr w14:val="tx1"/>
                  </w14:solidFill>
                </w14:textFill>
              </w:rPr>
            </w:pPr>
          </w:p>
        </w:tc>
        <w:tc>
          <w:tcPr>
            <w:tcW w:w="1317" w:type="dxa"/>
            <w:vMerge w:val="continue"/>
            <w:vAlign w:val="center"/>
          </w:tcPr>
          <w:p w14:paraId="00B1C7DB">
            <w:pPr>
              <w:pStyle w:val="109"/>
              <w:rPr>
                <w:color w:val="000000" w:themeColor="text1"/>
                <w14:textFill>
                  <w14:solidFill>
                    <w14:schemeClr w14:val="tx1"/>
                  </w14:solidFill>
                </w14:textFill>
              </w:rPr>
            </w:pPr>
          </w:p>
        </w:tc>
      </w:tr>
      <w:tr w14:paraId="7FD3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7DC21E6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WR87井9#</w:t>
            </w:r>
          </w:p>
        </w:tc>
        <w:tc>
          <w:tcPr>
            <w:tcW w:w="1005" w:type="dxa"/>
            <w:vAlign w:val="center"/>
          </w:tcPr>
          <w:p w14:paraId="1B143E5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DX4#</w:t>
            </w:r>
          </w:p>
        </w:tc>
        <w:tc>
          <w:tcPr>
            <w:tcW w:w="1836" w:type="dxa"/>
            <w:vAlign w:val="center"/>
          </w:tcPr>
          <w:p w14:paraId="72A948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E：87°46′46.18″</w:t>
            </w:r>
          </w:p>
          <w:p w14:paraId="634C8B3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N：44°08′48.97″</w:t>
            </w:r>
          </w:p>
        </w:tc>
        <w:tc>
          <w:tcPr>
            <w:tcW w:w="3674" w:type="dxa"/>
            <w:vMerge w:val="restart"/>
            <w:vAlign w:val="center"/>
          </w:tcPr>
          <w:p w14:paraId="0A857C2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水位</w:t>
            </w:r>
          </w:p>
        </w:tc>
        <w:tc>
          <w:tcPr>
            <w:tcW w:w="1317" w:type="dxa"/>
            <w:vAlign w:val="center"/>
          </w:tcPr>
          <w:p w14:paraId="3DF876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2025年7月1日，监测1次</w:t>
            </w:r>
          </w:p>
        </w:tc>
      </w:tr>
      <w:tr w14:paraId="2664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7993B58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GY16井10#</w:t>
            </w:r>
          </w:p>
        </w:tc>
        <w:tc>
          <w:tcPr>
            <w:tcW w:w="1005" w:type="dxa"/>
            <w:vAlign w:val="center"/>
          </w:tcPr>
          <w:p w14:paraId="32A76EC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DX5#</w:t>
            </w:r>
          </w:p>
        </w:tc>
        <w:tc>
          <w:tcPr>
            <w:tcW w:w="1836" w:type="dxa"/>
            <w:vAlign w:val="center"/>
          </w:tcPr>
          <w:p w14:paraId="5C51C2C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E：87°46′50.80″</w:t>
            </w:r>
          </w:p>
          <w:p w14:paraId="47AB0BA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N：44°09′28.95″</w:t>
            </w:r>
          </w:p>
        </w:tc>
        <w:tc>
          <w:tcPr>
            <w:tcW w:w="3674" w:type="dxa"/>
            <w:vMerge w:val="continue"/>
            <w:vAlign w:val="center"/>
          </w:tcPr>
          <w:p w14:paraId="07EA4BE7">
            <w:pPr>
              <w:pStyle w:val="109"/>
              <w:rPr>
                <w:color w:val="000000" w:themeColor="text1"/>
                <w14:textFill>
                  <w14:solidFill>
                    <w14:schemeClr w14:val="tx1"/>
                  </w14:solidFill>
                </w14:textFill>
              </w:rPr>
            </w:pPr>
          </w:p>
        </w:tc>
        <w:tc>
          <w:tcPr>
            <w:tcW w:w="1317" w:type="dxa"/>
            <w:vMerge w:val="restart"/>
            <w:vAlign w:val="center"/>
          </w:tcPr>
          <w:p w14:paraId="426E8EA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2025年7月2日，监测1次</w:t>
            </w:r>
          </w:p>
        </w:tc>
      </w:tr>
      <w:tr w14:paraId="356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6B45F9B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GY15井11#</w:t>
            </w:r>
          </w:p>
        </w:tc>
        <w:tc>
          <w:tcPr>
            <w:tcW w:w="1005" w:type="dxa"/>
            <w:vAlign w:val="center"/>
          </w:tcPr>
          <w:p w14:paraId="7688C0E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DX6#</w:t>
            </w:r>
          </w:p>
        </w:tc>
        <w:tc>
          <w:tcPr>
            <w:tcW w:w="1836" w:type="dxa"/>
            <w:vAlign w:val="center"/>
          </w:tcPr>
          <w:p w14:paraId="775D7AB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E：87°46′50.80″</w:t>
            </w:r>
          </w:p>
          <w:p w14:paraId="583AAB9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N：44°09′18.95″</w:t>
            </w:r>
          </w:p>
        </w:tc>
        <w:tc>
          <w:tcPr>
            <w:tcW w:w="3674" w:type="dxa"/>
            <w:vMerge w:val="continue"/>
            <w:vAlign w:val="center"/>
          </w:tcPr>
          <w:p w14:paraId="5DD63864">
            <w:pPr>
              <w:pStyle w:val="109"/>
              <w:rPr>
                <w:color w:val="000000" w:themeColor="text1"/>
                <w14:textFill>
                  <w14:solidFill>
                    <w14:schemeClr w14:val="tx1"/>
                  </w14:solidFill>
                </w14:textFill>
              </w:rPr>
            </w:pPr>
          </w:p>
        </w:tc>
        <w:tc>
          <w:tcPr>
            <w:tcW w:w="1317" w:type="dxa"/>
            <w:vMerge w:val="continue"/>
            <w:vAlign w:val="center"/>
          </w:tcPr>
          <w:p w14:paraId="7E3E416C">
            <w:pPr>
              <w:pStyle w:val="109"/>
              <w:rPr>
                <w:color w:val="000000" w:themeColor="text1"/>
                <w14:textFill>
                  <w14:solidFill>
                    <w14:schemeClr w14:val="tx1"/>
                  </w14:solidFill>
                </w14:textFill>
              </w:rPr>
            </w:pPr>
          </w:p>
        </w:tc>
      </w:tr>
    </w:tbl>
    <w:p w14:paraId="5A81D99C">
      <w:pPr>
        <w:ind w:firstLine="480"/>
        <w:rPr>
          <w:color w:val="000000" w:themeColor="text1"/>
          <w14:textFill>
            <w14:solidFill>
              <w14:schemeClr w14:val="tx1"/>
            </w14:solidFill>
          </w14:textFill>
        </w:rPr>
      </w:pPr>
      <w:bookmarkStart w:id="374" w:name="_Toc5931"/>
      <w:bookmarkStart w:id="375" w:name="_Toc12306"/>
      <w:bookmarkStart w:id="376" w:name="_Toc5356"/>
      <w:bookmarkStart w:id="377" w:name="_Toc10269"/>
      <w:bookmarkStart w:id="378" w:name="_Toc15722"/>
      <w:bookmarkStart w:id="379" w:name="_Toc212"/>
      <w:bookmarkStart w:id="380" w:name="_Toc8434"/>
      <w:r>
        <w:rPr>
          <w:rFonts w:hint="eastAsia"/>
          <w:color w:val="000000" w:themeColor="text1"/>
          <w14:textFill>
            <w14:solidFill>
              <w14:schemeClr w14:val="tx1"/>
            </w14:solidFill>
          </w14:textFill>
        </w:rPr>
        <w:t>2、评价标准</w:t>
      </w:r>
      <w:bookmarkEnd w:id="374"/>
      <w:bookmarkEnd w:id="375"/>
      <w:bookmarkEnd w:id="376"/>
      <w:bookmarkEnd w:id="377"/>
      <w:bookmarkEnd w:id="378"/>
      <w:bookmarkEnd w:id="379"/>
      <w:bookmarkEnd w:id="380"/>
    </w:p>
    <w:p w14:paraId="42861E6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执行《地下水环境质量标准》（GB/T14848-2017）III类水标准限值。</w:t>
      </w:r>
    </w:p>
    <w:p w14:paraId="2E49EC87">
      <w:pPr>
        <w:ind w:firstLine="480"/>
        <w:rPr>
          <w:color w:val="000000" w:themeColor="text1"/>
          <w14:textFill>
            <w14:solidFill>
              <w14:schemeClr w14:val="tx1"/>
            </w14:solidFill>
          </w14:textFill>
        </w:rPr>
      </w:pPr>
      <w:bookmarkStart w:id="381" w:name="_Toc8499"/>
      <w:bookmarkStart w:id="382" w:name="_Toc22211"/>
      <w:bookmarkStart w:id="383" w:name="_Toc28510"/>
      <w:bookmarkStart w:id="384" w:name="_Toc31400"/>
      <w:bookmarkStart w:id="385" w:name="_Toc3611"/>
      <w:bookmarkStart w:id="386" w:name="_Toc13922"/>
      <w:bookmarkStart w:id="387" w:name="_Toc6729"/>
      <w:r>
        <w:rPr>
          <w:rFonts w:hint="eastAsia"/>
          <w:color w:val="000000" w:themeColor="text1"/>
          <w14:textFill>
            <w14:solidFill>
              <w14:schemeClr w14:val="tx1"/>
            </w14:solidFill>
          </w14:textFill>
        </w:rPr>
        <w:t>3、评价方法</w:t>
      </w:r>
      <w:bookmarkEnd w:id="381"/>
      <w:bookmarkEnd w:id="382"/>
      <w:bookmarkEnd w:id="383"/>
      <w:bookmarkEnd w:id="384"/>
      <w:bookmarkEnd w:id="385"/>
      <w:bookmarkEnd w:id="386"/>
      <w:bookmarkEnd w:id="387"/>
    </w:p>
    <w:p w14:paraId="6503C1F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对于评价标准为定值的水质因子，标准指数的计算公式如下：</w:t>
      </w:r>
    </w:p>
    <w:p w14:paraId="5C353982">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009650" cy="666750"/>
            <wp:effectExtent l="0" t="0" r="0" b="0"/>
            <wp:docPr id="12291177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17776" name="图片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009650" cy="666750"/>
                    </a:xfrm>
                    <a:prstGeom prst="rect">
                      <a:avLst/>
                    </a:prstGeom>
                    <a:noFill/>
                    <a:ln>
                      <a:noFill/>
                    </a:ln>
                  </pic:spPr>
                </pic:pic>
              </a:graphicData>
            </a:graphic>
          </wp:inline>
        </w:drawing>
      </w:r>
    </w:p>
    <w:p w14:paraId="00EC181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式中：Pi—第i个水质因子的标准指数，量纲为一；</w:t>
      </w:r>
    </w:p>
    <w:p w14:paraId="7C6487A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Ci—第i个水质因子的监测质量浓度值，mg/L；</w:t>
      </w:r>
    </w:p>
    <w:p w14:paraId="37B55A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Csi—第i个水质因子的标准质量浓度值，mg/L。</w:t>
      </w:r>
    </w:p>
    <w:p w14:paraId="4368576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对于pH值，标准指数的计算公式如下：</w:t>
      </w:r>
    </w:p>
    <w:p w14:paraId="14ED5BAA">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81275" cy="1247775"/>
            <wp:effectExtent l="0" t="0" r="9525" b="9525"/>
            <wp:docPr id="149813230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32309" name="图片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581275" cy="1247775"/>
                    </a:xfrm>
                    <a:prstGeom prst="rect">
                      <a:avLst/>
                    </a:prstGeom>
                    <a:noFill/>
                    <a:ln>
                      <a:noFill/>
                    </a:ln>
                  </pic:spPr>
                </pic:pic>
              </a:graphicData>
            </a:graphic>
          </wp:inline>
        </w:drawing>
      </w:r>
    </w:p>
    <w:p w14:paraId="70E255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式中：PpH—pH的标准指数，量纲为1；</w:t>
      </w:r>
    </w:p>
    <w:p w14:paraId="35F3700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pH—pH监测值；</w:t>
      </w:r>
    </w:p>
    <w:p w14:paraId="571D1F6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pHsu—标准中pH的上限值；</w:t>
      </w:r>
    </w:p>
    <w:p w14:paraId="134A4CA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pHsd—标准中pH的下限值。采用单项标准指数法。</w:t>
      </w:r>
    </w:p>
    <w:p w14:paraId="246B1F73">
      <w:pPr>
        <w:ind w:firstLine="480"/>
        <w:rPr>
          <w:color w:val="000000" w:themeColor="text1"/>
          <w14:textFill>
            <w14:solidFill>
              <w14:schemeClr w14:val="tx1"/>
            </w14:solidFill>
          </w14:textFill>
        </w:rPr>
      </w:pPr>
      <w:bookmarkStart w:id="388" w:name="_Toc12883"/>
      <w:bookmarkStart w:id="389" w:name="_Toc11684"/>
      <w:bookmarkStart w:id="390" w:name="_Toc1562"/>
      <w:bookmarkStart w:id="391" w:name="_Toc7524"/>
      <w:bookmarkStart w:id="392" w:name="_Toc11745"/>
      <w:bookmarkStart w:id="393" w:name="_Toc28495"/>
      <w:bookmarkStart w:id="394" w:name="_Toc31984"/>
      <w:r>
        <w:rPr>
          <w:rFonts w:hint="eastAsia"/>
          <w:color w:val="000000" w:themeColor="text1"/>
          <w14:textFill>
            <w14:solidFill>
              <w14:schemeClr w14:val="tx1"/>
            </w14:solidFill>
          </w14:textFill>
        </w:rPr>
        <w:t>4、评价结果</w:t>
      </w:r>
      <w:bookmarkEnd w:id="388"/>
      <w:bookmarkEnd w:id="389"/>
      <w:bookmarkEnd w:id="390"/>
      <w:bookmarkEnd w:id="391"/>
      <w:bookmarkEnd w:id="392"/>
      <w:bookmarkEnd w:id="393"/>
      <w:bookmarkEnd w:id="394"/>
    </w:p>
    <w:p w14:paraId="3CA2398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本项目地下水水位监测结果见下表。</w:t>
      </w:r>
    </w:p>
    <w:p w14:paraId="36858CBE">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地下水水位监测结果表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4"/>
        <w:gridCol w:w="2795"/>
        <w:gridCol w:w="3369"/>
      </w:tblGrid>
      <w:tr w14:paraId="3459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1" w:type="dxa"/>
            <w:vAlign w:val="center"/>
          </w:tcPr>
          <w:p w14:paraId="3C751E4E">
            <w:pPr>
              <w:pStyle w:val="109"/>
              <w:rPr>
                <w:color w:val="000000" w:themeColor="text1"/>
                <w14:textFill>
                  <w14:solidFill>
                    <w14:schemeClr w14:val="tx1"/>
                  </w14:solidFill>
                </w14:textFill>
              </w:rPr>
            </w:pPr>
            <w:r>
              <w:rPr>
                <w:color w:val="000000" w:themeColor="text1"/>
                <w14:textFill>
                  <w14:solidFill>
                    <w14:schemeClr w14:val="tx1"/>
                  </w14:solidFill>
                </w14:textFill>
              </w:rPr>
              <w:t>点位名称</w:t>
            </w:r>
          </w:p>
        </w:tc>
        <w:tc>
          <w:tcPr>
            <w:tcW w:w="2582" w:type="dxa"/>
            <w:vAlign w:val="center"/>
          </w:tcPr>
          <w:p w14:paraId="74186289">
            <w:pPr>
              <w:pStyle w:val="109"/>
              <w:rPr>
                <w:color w:val="000000" w:themeColor="text1"/>
                <w14:textFill>
                  <w14:solidFill>
                    <w14:schemeClr w14:val="tx1"/>
                  </w14:solidFill>
                </w14:textFill>
              </w:rPr>
            </w:pPr>
            <w:r>
              <w:rPr>
                <w:color w:val="000000" w:themeColor="text1"/>
                <w14:textFill>
                  <w14:solidFill>
                    <w14:schemeClr w14:val="tx1"/>
                  </w14:solidFill>
                </w14:textFill>
              </w:rPr>
              <w:t>监测点坐标</w:t>
            </w:r>
          </w:p>
        </w:tc>
        <w:tc>
          <w:tcPr>
            <w:tcW w:w="3113" w:type="dxa"/>
            <w:vAlign w:val="center"/>
          </w:tcPr>
          <w:p w14:paraId="6689178E">
            <w:pPr>
              <w:pStyle w:val="109"/>
              <w:rPr>
                <w:color w:val="000000" w:themeColor="text1"/>
                <w14:textFill>
                  <w14:solidFill>
                    <w14:schemeClr w14:val="tx1"/>
                  </w14:solidFill>
                </w14:textFill>
              </w:rPr>
            </w:pPr>
            <w:r>
              <w:rPr>
                <w:color w:val="000000" w:themeColor="text1"/>
                <w14:textFill>
                  <w14:solidFill>
                    <w14:schemeClr w14:val="tx1"/>
                  </w14:solidFill>
                </w14:textFill>
              </w:rPr>
              <w:t>水位</w:t>
            </w:r>
          </w:p>
        </w:tc>
      </w:tr>
      <w:tr w14:paraId="4730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1" w:type="dxa"/>
            <w:vAlign w:val="center"/>
          </w:tcPr>
          <w:p w14:paraId="6B208F93">
            <w:pPr>
              <w:pStyle w:val="109"/>
              <w:rPr>
                <w:color w:val="000000" w:themeColor="text1"/>
                <w14:textFill>
                  <w14:solidFill>
                    <w14:schemeClr w14:val="tx1"/>
                  </w14:solidFill>
                </w14:textFill>
              </w:rPr>
            </w:pPr>
            <w:r>
              <w:rPr>
                <w:color w:val="000000" w:themeColor="text1"/>
                <w14:textFill>
                  <w14:solidFill>
                    <w14:schemeClr w14:val="tx1"/>
                  </w14:solidFill>
                </w14:textFill>
              </w:rPr>
              <w:t>WR35井2#</w:t>
            </w:r>
          </w:p>
        </w:tc>
        <w:tc>
          <w:tcPr>
            <w:tcW w:w="2582" w:type="dxa"/>
            <w:vAlign w:val="center"/>
          </w:tcPr>
          <w:p w14:paraId="5B30E147">
            <w:pPr>
              <w:pStyle w:val="109"/>
              <w:rPr>
                <w:color w:val="000000" w:themeColor="text1"/>
                <w14:textFill>
                  <w14:solidFill>
                    <w14:schemeClr w14:val="tx1"/>
                  </w14:solidFill>
                </w14:textFill>
              </w:rPr>
            </w:pPr>
            <w:r>
              <w:rPr>
                <w:color w:val="000000" w:themeColor="text1"/>
                <w14:textFill>
                  <w14:solidFill>
                    <w14:schemeClr w14:val="tx1"/>
                  </w14:solidFill>
                </w14:textFill>
              </w:rPr>
              <w:t>E：87°47′09.88″</w:t>
            </w:r>
          </w:p>
          <w:p w14:paraId="7D3F49C4">
            <w:pPr>
              <w:pStyle w:val="109"/>
              <w:rPr>
                <w:color w:val="000000" w:themeColor="text1"/>
                <w14:textFill>
                  <w14:solidFill>
                    <w14:schemeClr w14:val="tx1"/>
                  </w14:solidFill>
                </w14:textFill>
              </w:rPr>
            </w:pPr>
            <w:r>
              <w:rPr>
                <w:color w:val="000000" w:themeColor="text1"/>
                <w14:textFill>
                  <w14:solidFill>
                    <w14:schemeClr w14:val="tx1"/>
                  </w14:solidFill>
                </w14:textFill>
              </w:rPr>
              <w:t>N：44°16′33.79″</w:t>
            </w:r>
          </w:p>
        </w:tc>
        <w:tc>
          <w:tcPr>
            <w:tcW w:w="3113" w:type="dxa"/>
            <w:vAlign w:val="center"/>
          </w:tcPr>
          <w:p w14:paraId="7FFDD065">
            <w:pPr>
              <w:pStyle w:val="109"/>
              <w:rPr>
                <w:color w:val="000000" w:themeColor="text1"/>
                <w14:textFill>
                  <w14:solidFill>
                    <w14:schemeClr w14:val="tx1"/>
                  </w14:solidFill>
                </w14:textFill>
              </w:rPr>
            </w:pPr>
            <w:r>
              <w:rPr>
                <w:color w:val="000000" w:themeColor="text1"/>
                <w14:textFill>
                  <w14:solidFill>
                    <w14:schemeClr w14:val="tx1"/>
                  </w14:solidFill>
                </w14:textFill>
              </w:rPr>
              <w:t>水位10m</w:t>
            </w:r>
          </w:p>
        </w:tc>
      </w:tr>
      <w:tr w14:paraId="2737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1" w:type="dxa"/>
            <w:vAlign w:val="center"/>
          </w:tcPr>
          <w:p w14:paraId="33F539CD">
            <w:pPr>
              <w:pStyle w:val="109"/>
              <w:rPr>
                <w:color w:val="000000" w:themeColor="text1"/>
                <w14:textFill>
                  <w14:solidFill>
                    <w14:schemeClr w14:val="tx1"/>
                  </w14:solidFill>
                </w14:textFill>
              </w:rPr>
            </w:pPr>
            <w:r>
              <w:rPr>
                <w:color w:val="000000" w:themeColor="text1"/>
                <w14:textFill>
                  <w14:solidFill>
                    <w14:schemeClr w14:val="tx1"/>
                  </w14:solidFill>
                </w14:textFill>
              </w:rPr>
              <w:t>WR81井3#</w:t>
            </w:r>
          </w:p>
        </w:tc>
        <w:tc>
          <w:tcPr>
            <w:tcW w:w="2582" w:type="dxa"/>
            <w:vAlign w:val="center"/>
          </w:tcPr>
          <w:p w14:paraId="61B72B5D">
            <w:pPr>
              <w:pStyle w:val="109"/>
              <w:rPr>
                <w:color w:val="000000" w:themeColor="text1"/>
                <w14:textFill>
                  <w14:solidFill>
                    <w14:schemeClr w14:val="tx1"/>
                  </w14:solidFill>
                </w14:textFill>
              </w:rPr>
            </w:pPr>
            <w:r>
              <w:rPr>
                <w:color w:val="000000" w:themeColor="text1"/>
                <w14:textFill>
                  <w14:solidFill>
                    <w14:schemeClr w14:val="tx1"/>
                  </w14:solidFill>
                </w14:textFill>
              </w:rPr>
              <w:t>E：87°42′14.34″</w:t>
            </w:r>
          </w:p>
          <w:p w14:paraId="4B0769F9">
            <w:pPr>
              <w:pStyle w:val="109"/>
              <w:rPr>
                <w:color w:val="000000" w:themeColor="text1"/>
                <w14:textFill>
                  <w14:solidFill>
                    <w14:schemeClr w14:val="tx1"/>
                  </w14:solidFill>
                </w14:textFill>
              </w:rPr>
            </w:pPr>
            <w:r>
              <w:rPr>
                <w:color w:val="000000" w:themeColor="text1"/>
                <w14:textFill>
                  <w14:solidFill>
                    <w14:schemeClr w14:val="tx1"/>
                  </w14:solidFill>
                </w14:textFill>
              </w:rPr>
              <w:t>N：44°14′40.70″</w:t>
            </w:r>
          </w:p>
        </w:tc>
        <w:tc>
          <w:tcPr>
            <w:tcW w:w="3113" w:type="dxa"/>
            <w:vAlign w:val="center"/>
          </w:tcPr>
          <w:p w14:paraId="76795177">
            <w:pPr>
              <w:pStyle w:val="109"/>
              <w:rPr>
                <w:color w:val="000000" w:themeColor="text1"/>
                <w14:textFill>
                  <w14:solidFill>
                    <w14:schemeClr w14:val="tx1"/>
                  </w14:solidFill>
                </w14:textFill>
              </w:rPr>
            </w:pPr>
            <w:r>
              <w:rPr>
                <w:color w:val="000000" w:themeColor="text1"/>
                <w14:textFill>
                  <w14:solidFill>
                    <w14:schemeClr w14:val="tx1"/>
                  </w14:solidFill>
                </w14:textFill>
              </w:rPr>
              <w:t>水位14m</w:t>
            </w:r>
          </w:p>
        </w:tc>
      </w:tr>
      <w:tr w14:paraId="0890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1" w:type="dxa"/>
            <w:vAlign w:val="center"/>
          </w:tcPr>
          <w:p w14:paraId="0E4CEA74">
            <w:pPr>
              <w:pStyle w:val="109"/>
              <w:rPr>
                <w:color w:val="000000" w:themeColor="text1"/>
                <w14:textFill>
                  <w14:solidFill>
                    <w14:schemeClr w14:val="tx1"/>
                  </w14:solidFill>
                </w14:textFill>
              </w:rPr>
            </w:pPr>
            <w:r>
              <w:rPr>
                <w:color w:val="000000" w:themeColor="text1"/>
                <w14:textFill>
                  <w14:solidFill>
                    <w14:schemeClr w14:val="tx1"/>
                  </w14:solidFill>
                </w14:textFill>
              </w:rPr>
              <w:t>WR25井4#</w:t>
            </w:r>
          </w:p>
        </w:tc>
        <w:tc>
          <w:tcPr>
            <w:tcW w:w="2582" w:type="dxa"/>
            <w:vAlign w:val="center"/>
          </w:tcPr>
          <w:p w14:paraId="37CB1DD6">
            <w:pPr>
              <w:pStyle w:val="109"/>
              <w:rPr>
                <w:color w:val="000000" w:themeColor="text1"/>
                <w14:textFill>
                  <w14:solidFill>
                    <w14:schemeClr w14:val="tx1"/>
                  </w14:solidFill>
                </w14:textFill>
              </w:rPr>
            </w:pPr>
            <w:r>
              <w:rPr>
                <w:color w:val="000000" w:themeColor="text1"/>
                <w14:textFill>
                  <w14:solidFill>
                    <w14:schemeClr w14:val="tx1"/>
                  </w14:solidFill>
                </w14:textFill>
              </w:rPr>
              <w:t>E：87°42′28.79″</w:t>
            </w:r>
          </w:p>
          <w:p w14:paraId="06446F57">
            <w:pPr>
              <w:pStyle w:val="109"/>
              <w:rPr>
                <w:color w:val="000000" w:themeColor="text1"/>
                <w14:textFill>
                  <w14:solidFill>
                    <w14:schemeClr w14:val="tx1"/>
                  </w14:solidFill>
                </w14:textFill>
              </w:rPr>
            </w:pPr>
            <w:r>
              <w:rPr>
                <w:color w:val="000000" w:themeColor="text1"/>
                <w14:textFill>
                  <w14:solidFill>
                    <w14:schemeClr w14:val="tx1"/>
                  </w14:solidFill>
                </w14:textFill>
              </w:rPr>
              <w:t>N：44°14′24.29″</w:t>
            </w:r>
          </w:p>
        </w:tc>
        <w:tc>
          <w:tcPr>
            <w:tcW w:w="3113" w:type="dxa"/>
            <w:vAlign w:val="center"/>
          </w:tcPr>
          <w:p w14:paraId="0A7012DB">
            <w:pPr>
              <w:pStyle w:val="109"/>
              <w:rPr>
                <w:color w:val="000000" w:themeColor="text1"/>
                <w14:textFill>
                  <w14:solidFill>
                    <w14:schemeClr w14:val="tx1"/>
                  </w14:solidFill>
                </w14:textFill>
              </w:rPr>
            </w:pPr>
            <w:r>
              <w:rPr>
                <w:color w:val="000000" w:themeColor="text1"/>
                <w14:textFill>
                  <w14:solidFill>
                    <w14:schemeClr w14:val="tx1"/>
                  </w14:solidFill>
                </w14:textFill>
              </w:rPr>
              <w:t>水位12m</w:t>
            </w:r>
          </w:p>
        </w:tc>
      </w:tr>
      <w:tr w14:paraId="1EBE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1" w:type="dxa"/>
            <w:vAlign w:val="center"/>
          </w:tcPr>
          <w:p w14:paraId="1C88FC52">
            <w:pPr>
              <w:pStyle w:val="109"/>
              <w:rPr>
                <w:color w:val="000000" w:themeColor="text1"/>
                <w14:textFill>
                  <w14:solidFill>
                    <w14:schemeClr w14:val="tx1"/>
                  </w14:solidFill>
                </w14:textFill>
              </w:rPr>
            </w:pPr>
            <w:r>
              <w:rPr>
                <w:color w:val="000000" w:themeColor="text1"/>
                <w14:textFill>
                  <w14:solidFill>
                    <w14:schemeClr w14:val="tx1"/>
                  </w14:solidFill>
                </w14:textFill>
              </w:rPr>
              <w:t>WR87井9#</w:t>
            </w:r>
          </w:p>
        </w:tc>
        <w:tc>
          <w:tcPr>
            <w:tcW w:w="2582" w:type="dxa"/>
            <w:vAlign w:val="center"/>
          </w:tcPr>
          <w:p w14:paraId="4E448B83">
            <w:pPr>
              <w:pStyle w:val="109"/>
              <w:rPr>
                <w:color w:val="000000" w:themeColor="text1"/>
                <w14:textFill>
                  <w14:solidFill>
                    <w14:schemeClr w14:val="tx1"/>
                  </w14:solidFill>
                </w14:textFill>
              </w:rPr>
            </w:pPr>
            <w:r>
              <w:rPr>
                <w:color w:val="000000" w:themeColor="text1"/>
                <w14:textFill>
                  <w14:solidFill>
                    <w14:schemeClr w14:val="tx1"/>
                  </w14:solidFill>
                </w14:textFill>
              </w:rPr>
              <w:t>E：87°46′46.18″</w:t>
            </w:r>
          </w:p>
          <w:p w14:paraId="36A9037F">
            <w:pPr>
              <w:pStyle w:val="109"/>
              <w:rPr>
                <w:color w:val="000000" w:themeColor="text1"/>
                <w14:textFill>
                  <w14:solidFill>
                    <w14:schemeClr w14:val="tx1"/>
                  </w14:solidFill>
                </w14:textFill>
              </w:rPr>
            </w:pPr>
            <w:r>
              <w:rPr>
                <w:color w:val="000000" w:themeColor="text1"/>
                <w14:textFill>
                  <w14:solidFill>
                    <w14:schemeClr w14:val="tx1"/>
                  </w14:solidFill>
                </w14:textFill>
              </w:rPr>
              <w:t>N：44°08′48.97″</w:t>
            </w:r>
          </w:p>
        </w:tc>
        <w:tc>
          <w:tcPr>
            <w:tcW w:w="3113" w:type="dxa"/>
            <w:vAlign w:val="center"/>
          </w:tcPr>
          <w:p w14:paraId="0CF7EFFD">
            <w:pPr>
              <w:pStyle w:val="109"/>
              <w:rPr>
                <w:color w:val="000000" w:themeColor="text1"/>
                <w14:textFill>
                  <w14:solidFill>
                    <w14:schemeClr w14:val="tx1"/>
                  </w14:solidFill>
                </w14:textFill>
              </w:rPr>
            </w:pPr>
            <w:r>
              <w:rPr>
                <w:color w:val="000000" w:themeColor="text1"/>
                <w14:textFill>
                  <w14:solidFill>
                    <w14:schemeClr w14:val="tx1"/>
                  </w14:solidFill>
                </w14:textFill>
              </w:rPr>
              <w:t>水位5m</w:t>
            </w:r>
          </w:p>
        </w:tc>
      </w:tr>
      <w:tr w14:paraId="4A7D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1" w:type="dxa"/>
            <w:vAlign w:val="center"/>
          </w:tcPr>
          <w:p w14:paraId="0ADBF849">
            <w:pPr>
              <w:pStyle w:val="109"/>
              <w:rPr>
                <w:color w:val="000000" w:themeColor="text1"/>
                <w14:textFill>
                  <w14:solidFill>
                    <w14:schemeClr w14:val="tx1"/>
                  </w14:solidFill>
                </w14:textFill>
              </w:rPr>
            </w:pPr>
            <w:r>
              <w:rPr>
                <w:color w:val="000000" w:themeColor="text1"/>
                <w14:textFill>
                  <w14:solidFill>
                    <w14:schemeClr w14:val="tx1"/>
                  </w14:solidFill>
                </w14:textFill>
              </w:rPr>
              <w:t>GY16井10#</w:t>
            </w:r>
          </w:p>
        </w:tc>
        <w:tc>
          <w:tcPr>
            <w:tcW w:w="2582" w:type="dxa"/>
            <w:vAlign w:val="center"/>
          </w:tcPr>
          <w:p w14:paraId="33D0D027">
            <w:pPr>
              <w:pStyle w:val="109"/>
              <w:rPr>
                <w:color w:val="000000" w:themeColor="text1"/>
                <w14:textFill>
                  <w14:solidFill>
                    <w14:schemeClr w14:val="tx1"/>
                  </w14:solidFill>
                </w14:textFill>
              </w:rPr>
            </w:pPr>
            <w:r>
              <w:rPr>
                <w:color w:val="000000" w:themeColor="text1"/>
                <w14:textFill>
                  <w14:solidFill>
                    <w14:schemeClr w14:val="tx1"/>
                  </w14:solidFill>
                </w14:textFill>
              </w:rPr>
              <w:t>E：87°46′50.80″</w:t>
            </w:r>
          </w:p>
          <w:p w14:paraId="6CCE3484">
            <w:pPr>
              <w:pStyle w:val="109"/>
              <w:rPr>
                <w:color w:val="000000" w:themeColor="text1"/>
                <w14:textFill>
                  <w14:solidFill>
                    <w14:schemeClr w14:val="tx1"/>
                  </w14:solidFill>
                </w14:textFill>
              </w:rPr>
            </w:pPr>
            <w:r>
              <w:rPr>
                <w:color w:val="000000" w:themeColor="text1"/>
                <w14:textFill>
                  <w14:solidFill>
                    <w14:schemeClr w14:val="tx1"/>
                  </w14:solidFill>
                </w14:textFill>
              </w:rPr>
              <w:t>N：44°09′28.95″</w:t>
            </w:r>
          </w:p>
        </w:tc>
        <w:tc>
          <w:tcPr>
            <w:tcW w:w="3113" w:type="dxa"/>
            <w:vAlign w:val="center"/>
          </w:tcPr>
          <w:p w14:paraId="3DC1AFAD">
            <w:pPr>
              <w:pStyle w:val="109"/>
              <w:rPr>
                <w:color w:val="000000" w:themeColor="text1"/>
                <w14:textFill>
                  <w14:solidFill>
                    <w14:schemeClr w14:val="tx1"/>
                  </w14:solidFill>
                </w14:textFill>
              </w:rPr>
            </w:pPr>
            <w:r>
              <w:rPr>
                <w:color w:val="000000" w:themeColor="text1"/>
                <w14:textFill>
                  <w14:solidFill>
                    <w14:schemeClr w14:val="tx1"/>
                  </w14:solidFill>
                </w14:textFill>
              </w:rPr>
              <w:t>水位13m</w:t>
            </w:r>
          </w:p>
        </w:tc>
      </w:tr>
      <w:tr w14:paraId="0A01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1" w:type="dxa"/>
            <w:vAlign w:val="center"/>
          </w:tcPr>
          <w:p w14:paraId="47C970E2">
            <w:pPr>
              <w:pStyle w:val="109"/>
              <w:rPr>
                <w:color w:val="000000" w:themeColor="text1"/>
                <w14:textFill>
                  <w14:solidFill>
                    <w14:schemeClr w14:val="tx1"/>
                  </w14:solidFill>
                </w14:textFill>
              </w:rPr>
            </w:pPr>
            <w:r>
              <w:rPr>
                <w:color w:val="000000" w:themeColor="text1"/>
                <w14:textFill>
                  <w14:solidFill>
                    <w14:schemeClr w14:val="tx1"/>
                  </w14:solidFill>
                </w14:textFill>
              </w:rPr>
              <w:t>GY15井11#</w:t>
            </w:r>
          </w:p>
        </w:tc>
        <w:tc>
          <w:tcPr>
            <w:tcW w:w="2582" w:type="dxa"/>
            <w:vAlign w:val="center"/>
          </w:tcPr>
          <w:p w14:paraId="15FC65B2">
            <w:pPr>
              <w:pStyle w:val="109"/>
              <w:rPr>
                <w:color w:val="000000" w:themeColor="text1"/>
                <w14:textFill>
                  <w14:solidFill>
                    <w14:schemeClr w14:val="tx1"/>
                  </w14:solidFill>
                </w14:textFill>
              </w:rPr>
            </w:pPr>
            <w:r>
              <w:rPr>
                <w:color w:val="000000" w:themeColor="text1"/>
                <w14:textFill>
                  <w14:solidFill>
                    <w14:schemeClr w14:val="tx1"/>
                  </w14:solidFill>
                </w14:textFill>
              </w:rPr>
              <w:t>E：87°46′50.80″</w:t>
            </w:r>
          </w:p>
          <w:p w14:paraId="0ED61E1B">
            <w:pPr>
              <w:pStyle w:val="109"/>
              <w:rPr>
                <w:color w:val="000000" w:themeColor="text1"/>
                <w14:textFill>
                  <w14:solidFill>
                    <w14:schemeClr w14:val="tx1"/>
                  </w14:solidFill>
                </w14:textFill>
              </w:rPr>
            </w:pPr>
            <w:r>
              <w:rPr>
                <w:color w:val="000000" w:themeColor="text1"/>
                <w14:textFill>
                  <w14:solidFill>
                    <w14:schemeClr w14:val="tx1"/>
                  </w14:solidFill>
                </w14:textFill>
              </w:rPr>
              <w:t>N：44°09′18.95″</w:t>
            </w:r>
          </w:p>
        </w:tc>
        <w:tc>
          <w:tcPr>
            <w:tcW w:w="3113" w:type="dxa"/>
            <w:vAlign w:val="center"/>
          </w:tcPr>
          <w:p w14:paraId="474DAD60">
            <w:pPr>
              <w:pStyle w:val="109"/>
              <w:rPr>
                <w:color w:val="000000" w:themeColor="text1"/>
                <w14:textFill>
                  <w14:solidFill>
                    <w14:schemeClr w14:val="tx1"/>
                  </w14:solidFill>
                </w14:textFill>
              </w:rPr>
            </w:pPr>
            <w:r>
              <w:rPr>
                <w:color w:val="000000" w:themeColor="text1"/>
                <w14:textFill>
                  <w14:solidFill>
                    <w14:schemeClr w14:val="tx1"/>
                  </w14:solidFill>
                </w14:textFill>
              </w:rPr>
              <w:t>水位14m</w:t>
            </w:r>
          </w:p>
        </w:tc>
      </w:tr>
    </w:tbl>
    <w:p w14:paraId="68FDE4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本项目地下水环境水质现状监测及评价结果见下表。</w:t>
      </w:r>
    </w:p>
    <w:p w14:paraId="6F2F53EC">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地下水环境现状监测及评价结果表（水质）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12"/>
        <w:gridCol w:w="963"/>
        <w:gridCol w:w="842"/>
        <w:gridCol w:w="1082"/>
        <w:gridCol w:w="794"/>
        <w:gridCol w:w="1424"/>
        <w:gridCol w:w="756"/>
        <w:gridCol w:w="1009"/>
        <w:gridCol w:w="855"/>
        <w:gridCol w:w="1381"/>
      </w:tblGrid>
      <w:tr w14:paraId="1269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gridSpan w:val="4"/>
            <w:vAlign w:val="center"/>
          </w:tcPr>
          <w:p w14:paraId="05B37A2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点位名称</w:t>
            </w:r>
          </w:p>
        </w:tc>
        <w:tc>
          <w:tcPr>
            <w:tcW w:w="1733" w:type="dxa"/>
            <w:gridSpan w:val="2"/>
            <w:vAlign w:val="center"/>
          </w:tcPr>
          <w:p w14:paraId="5161CF8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WR35井2#</w:t>
            </w:r>
          </w:p>
        </w:tc>
        <w:tc>
          <w:tcPr>
            <w:tcW w:w="2014" w:type="dxa"/>
            <w:gridSpan w:val="2"/>
            <w:vAlign w:val="center"/>
          </w:tcPr>
          <w:p w14:paraId="30646CE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WR81井3#</w:t>
            </w:r>
          </w:p>
        </w:tc>
        <w:tc>
          <w:tcPr>
            <w:tcW w:w="1722" w:type="dxa"/>
            <w:gridSpan w:val="2"/>
            <w:vAlign w:val="center"/>
          </w:tcPr>
          <w:p w14:paraId="17B3A0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WR25井4#</w:t>
            </w:r>
          </w:p>
        </w:tc>
        <w:tc>
          <w:tcPr>
            <w:tcW w:w="1276" w:type="dxa"/>
            <w:vMerge w:val="restart"/>
            <w:vAlign w:val="center"/>
          </w:tcPr>
          <w:p w14:paraId="613391B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《地下水质量标准》(GB/T 14848-2017)中</w:t>
            </w: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类水质标准</w:t>
            </w:r>
          </w:p>
        </w:tc>
      </w:tr>
      <w:tr w14:paraId="69B9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gridSpan w:val="4"/>
            <w:vAlign w:val="center"/>
          </w:tcPr>
          <w:p w14:paraId="73C83058">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733" w:type="dxa"/>
            <w:gridSpan w:val="2"/>
            <w:vAlign w:val="center"/>
          </w:tcPr>
          <w:p w14:paraId="61F3A052">
            <w:pPr>
              <w:pStyle w:val="109"/>
              <w:rPr>
                <w:color w:val="000000" w:themeColor="text1"/>
                <w14:textFill>
                  <w14:solidFill>
                    <w14:schemeClr w14:val="tx1"/>
                  </w14:solidFill>
                </w14:textFill>
              </w:rPr>
            </w:pPr>
            <w:r>
              <w:rPr>
                <w:color w:val="000000" w:themeColor="text1"/>
                <w14:textFill>
                  <w14:solidFill>
                    <w14:schemeClr w14:val="tx1"/>
                  </w14:solidFill>
                </w14:textFill>
              </w:rPr>
              <w:t>DXS-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#-1-1</w:t>
            </w:r>
          </w:p>
        </w:tc>
        <w:tc>
          <w:tcPr>
            <w:tcW w:w="2014" w:type="dxa"/>
            <w:gridSpan w:val="2"/>
            <w:vAlign w:val="center"/>
          </w:tcPr>
          <w:p w14:paraId="5A5A4979">
            <w:pPr>
              <w:pStyle w:val="109"/>
              <w:rPr>
                <w:color w:val="000000" w:themeColor="text1"/>
                <w14:textFill>
                  <w14:solidFill>
                    <w14:schemeClr w14:val="tx1"/>
                  </w14:solidFill>
                </w14:textFill>
              </w:rPr>
            </w:pPr>
            <w:r>
              <w:rPr>
                <w:color w:val="000000" w:themeColor="text1"/>
                <w14:textFill>
                  <w14:solidFill>
                    <w14:schemeClr w14:val="tx1"/>
                  </w14:solidFill>
                </w14:textFill>
              </w:rPr>
              <w:t>DXS-</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#-1-1</w:t>
            </w:r>
          </w:p>
        </w:tc>
        <w:tc>
          <w:tcPr>
            <w:tcW w:w="1722" w:type="dxa"/>
            <w:gridSpan w:val="2"/>
            <w:vAlign w:val="center"/>
          </w:tcPr>
          <w:p w14:paraId="54C17F12">
            <w:pPr>
              <w:pStyle w:val="109"/>
              <w:rPr>
                <w:color w:val="000000" w:themeColor="text1"/>
                <w14:textFill>
                  <w14:solidFill>
                    <w14:schemeClr w14:val="tx1"/>
                  </w14:solidFill>
                </w14:textFill>
              </w:rPr>
            </w:pPr>
            <w:r>
              <w:rPr>
                <w:color w:val="000000" w:themeColor="text1"/>
                <w14:textFill>
                  <w14:solidFill>
                    <w14:schemeClr w14:val="tx1"/>
                  </w14:solidFill>
                </w14:textFill>
              </w:rPr>
              <w:t>DXS-</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#-1-1</w:t>
            </w:r>
          </w:p>
        </w:tc>
        <w:tc>
          <w:tcPr>
            <w:tcW w:w="1276" w:type="dxa"/>
            <w:vMerge w:val="continue"/>
            <w:vAlign w:val="center"/>
          </w:tcPr>
          <w:p w14:paraId="1E34C6C2">
            <w:pPr>
              <w:pStyle w:val="109"/>
              <w:rPr>
                <w:color w:val="000000" w:themeColor="text1"/>
                <w14:textFill>
                  <w14:solidFill>
                    <w14:schemeClr w14:val="tx1"/>
                  </w14:solidFill>
                </w14:textFill>
              </w:rPr>
            </w:pPr>
          </w:p>
        </w:tc>
      </w:tr>
      <w:tr w14:paraId="01E4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gridSpan w:val="4"/>
            <w:vAlign w:val="center"/>
          </w:tcPr>
          <w:p w14:paraId="16DCEAEC">
            <w:pPr>
              <w:pStyle w:val="109"/>
              <w:rPr>
                <w:color w:val="000000" w:themeColor="text1"/>
                <w14:textFill>
                  <w14:solidFill>
                    <w14:schemeClr w14:val="tx1"/>
                  </w14:solidFill>
                </w14:textFill>
              </w:rPr>
            </w:pPr>
            <w:r>
              <w:rPr>
                <w:color w:val="000000" w:themeColor="text1"/>
                <w14:textFill>
                  <w14:solidFill>
                    <w14:schemeClr w14:val="tx1"/>
                  </w14:solidFill>
                </w14:textFill>
              </w:rPr>
              <w:t>采样地点</w:t>
            </w:r>
          </w:p>
        </w:tc>
        <w:tc>
          <w:tcPr>
            <w:tcW w:w="1733" w:type="dxa"/>
            <w:gridSpan w:val="2"/>
            <w:vAlign w:val="center"/>
          </w:tcPr>
          <w:p w14:paraId="342D2FC2">
            <w:pPr>
              <w:pStyle w:val="109"/>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：87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09.88</w:t>
            </w:r>
            <w:r>
              <w:rPr>
                <w:color w:val="000000" w:themeColor="text1"/>
                <w14:textFill>
                  <w14:solidFill>
                    <w14:schemeClr w14:val="tx1"/>
                  </w14:solidFill>
                </w14:textFill>
              </w:rPr>
              <w:t>″</w:t>
            </w:r>
          </w:p>
          <w:p w14:paraId="448DFF04">
            <w:pPr>
              <w:pStyle w:val="109"/>
              <w:rPr>
                <w:color w:val="000000" w:themeColor="text1"/>
                <w14:textFill>
                  <w14:solidFill>
                    <w14:schemeClr w14:val="tx1"/>
                  </w14:solidFill>
                </w14:textFill>
              </w:rPr>
            </w:pPr>
            <w:r>
              <w:rPr>
                <w:color w:val="000000" w:themeColor="text1"/>
                <w14:textFill>
                  <w14:solidFill>
                    <w14:schemeClr w14:val="tx1"/>
                  </w14:solidFill>
                </w14:textFill>
              </w:rPr>
              <w:t>N</w:t>
            </w:r>
            <w:r>
              <w:rPr>
                <w:rFonts w:hint="eastAsia"/>
                <w:color w:val="000000" w:themeColor="text1"/>
                <w14:textFill>
                  <w14:solidFill>
                    <w14:schemeClr w14:val="tx1"/>
                  </w14:solidFill>
                </w14:textFill>
              </w:rPr>
              <w:t>：44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33.79</w:t>
            </w:r>
            <w:r>
              <w:rPr>
                <w:color w:val="000000" w:themeColor="text1"/>
                <w14:textFill>
                  <w14:solidFill>
                    <w14:schemeClr w14:val="tx1"/>
                  </w14:solidFill>
                </w14:textFill>
              </w:rPr>
              <w:t>″</w:t>
            </w:r>
          </w:p>
        </w:tc>
        <w:tc>
          <w:tcPr>
            <w:tcW w:w="2014" w:type="dxa"/>
            <w:gridSpan w:val="2"/>
            <w:vAlign w:val="center"/>
          </w:tcPr>
          <w:p w14:paraId="167D189E">
            <w:pPr>
              <w:pStyle w:val="109"/>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：87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14.34</w:t>
            </w:r>
            <w:r>
              <w:rPr>
                <w:color w:val="000000" w:themeColor="text1"/>
                <w14:textFill>
                  <w14:solidFill>
                    <w14:schemeClr w14:val="tx1"/>
                  </w14:solidFill>
                </w14:textFill>
              </w:rPr>
              <w:t>″</w:t>
            </w:r>
          </w:p>
          <w:p w14:paraId="582628E8">
            <w:pPr>
              <w:pStyle w:val="109"/>
              <w:rPr>
                <w:color w:val="000000" w:themeColor="text1"/>
                <w14:textFill>
                  <w14:solidFill>
                    <w14:schemeClr w14:val="tx1"/>
                  </w14:solidFill>
                </w14:textFill>
              </w:rPr>
            </w:pPr>
            <w:r>
              <w:rPr>
                <w:color w:val="000000" w:themeColor="text1"/>
                <w14:textFill>
                  <w14:solidFill>
                    <w14:schemeClr w14:val="tx1"/>
                  </w14:solidFill>
                </w14:textFill>
              </w:rPr>
              <w:t>N</w:t>
            </w:r>
            <w:r>
              <w:rPr>
                <w:rFonts w:hint="eastAsia"/>
                <w:color w:val="000000" w:themeColor="text1"/>
                <w14:textFill>
                  <w14:solidFill>
                    <w14:schemeClr w14:val="tx1"/>
                  </w14:solidFill>
                </w14:textFill>
              </w:rPr>
              <w:t>：44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40.70</w:t>
            </w:r>
            <w:r>
              <w:rPr>
                <w:color w:val="000000" w:themeColor="text1"/>
                <w14:textFill>
                  <w14:solidFill>
                    <w14:schemeClr w14:val="tx1"/>
                  </w14:solidFill>
                </w14:textFill>
              </w:rPr>
              <w:t>″</w:t>
            </w:r>
          </w:p>
        </w:tc>
        <w:tc>
          <w:tcPr>
            <w:tcW w:w="1722" w:type="dxa"/>
            <w:gridSpan w:val="2"/>
            <w:vAlign w:val="center"/>
          </w:tcPr>
          <w:p w14:paraId="4AFC3F5F">
            <w:pPr>
              <w:pStyle w:val="109"/>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：87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28.79</w:t>
            </w:r>
            <w:r>
              <w:rPr>
                <w:color w:val="000000" w:themeColor="text1"/>
                <w14:textFill>
                  <w14:solidFill>
                    <w14:schemeClr w14:val="tx1"/>
                  </w14:solidFill>
                </w14:textFill>
              </w:rPr>
              <w:t>″</w:t>
            </w:r>
          </w:p>
          <w:p w14:paraId="4A17F95A">
            <w:pPr>
              <w:pStyle w:val="109"/>
              <w:rPr>
                <w:color w:val="000000" w:themeColor="text1"/>
                <w14:textFill>
                  <w14:solidFill>
                    <w14:schemeClr w14:val="tx1"/>
                  </w14:solidFill>
                </w14:textFill>
              </w:rPr>
            </w:pPr>
            <w:r>
              <w:rPr>
                <w:color w:val="000000" w:themeColor="text1"/>
                <w14:textFill>
                  <w14:solidFill>
                    <w14:schemeClr w14:val="tx1"/>
                  </w14:solidFill>
                </w14:textFill>
              </w:rPr>
              <w:t>N</w:t>
            </w:r>
            <w:r>
              <w:rPr>
                <w:rFonts w:hint="eastAsia"/>
                <w:color w:val="000000" w:themeColor="text1"/>
                <w14:textFill>
                  <w14:solidFill>
                    <w14:schemeClr w14:val="tx1"/>
                  </w14:solidFill>
                </w14:textFill>
              </w:rPr>
              <w:t>：44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24.29</w:t>
            </w:r>
            <w:r>
              <w:rPr>
                <w:color w:val="000000" w:themeColor="text1"/>
                <w14:textFill>
                  <w14:solidFill>
                    <w14:schemeClr w14:val="tx1"/>
                  </w14:solidFill>
                </w14:textFill>
              </w:rPr>
              <w:t>″</w:t>
            </w:r>
          </w:p>
        </w:tc>
        <w:tc>
          <w:tcPr>
            <w:tcW w:w="1276" w:type="dxa"/>
            <w:vMerge w:val="continue"/>
            <w:vAlign w:val="center"/>
          </w:tcPr>
          <w:p w14:paraId="14C5C35F">
            <w:pPr>
              <w:pStyle w:val="109"/>
              <w:rPr>
                <w:color w:val="000000" w:themeColor="text1"/>
                <w14:textFill>
                  <w14:solidFill>
                    <w14:schemeClr w14:val="tx1"/>
                  </w14:solidFill>
                </w14:textFill>
              </w:rPr>
            </w:pPr>
          </w:p>
        </w:tc>
      </w:tr>
      <w:tr w14:paraId="4C50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gridSpan w:val="4"/>
            <w:vAlign w:val="center"/>
          </w:tcPr>
          <w:p w14:paraId="40A16A5C">
            <w:pPr>
              <w:pStyle w:val="109"/>
              <w:rPr>
                <w:color w:val="000000" w:themeColor="text1"/>
                <w14:textFill>
                  <w14:solidFill>
                    <w14:schemeClr w14:val="tx1"/>
                  </w14:solidFill>
                </w14:textFill>
              </w:rPr>
            </w:pPr>
            <w:r>
              <w:rPr>
                <w:color w:val="000000" w:themeColor="text1"/>
                <w14:textFill>
                  <w14:solidFill>
                    <w14:schemeClr w14:val="tx1"/>
                  </w14:solidFill>
                </w14:textFill>
              </w:rPr>
              <w:t>样品状态</w:t>
            </w:r>
          </w:p>
        </w:tc>
        <w:tc>
          <w:tcPr>
            <w:tcW w:w="1733" w:type="dxa"/>
            <w:gridSpan w:val="2"/>
            <w:vAlign w:val="center"/>
          </w:tcPr>
          <w:p w14:paraId="0B7A172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清澈、透明、无色、无味</w:t>
            </w:r>
          </w:p>
        </w:tc>
        <w:tc>
          <w:tcPr>
            <w:tcW w:w="2014" w:type="dxa"/>
            <w:gridSpan w:val="2"/>
            <w:vAlign w:val="center"/>
          </w:tcPr>
          <w:p w14:paraId="65D7FC5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清澈、透明、无色、无味</w:t>
            </w:r>
          </w:p>
        </w:tc>
        <w:tc>
          <w:tcPr>
            <w:tcW w:w="1722" w:type="dxa"/>
            <w:gridSpan w:val="2"/>
            <w:vAlign w:val="center"/>
          </w:tcPr>
          <w:p w14:paraId="29F7FA5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清澈、透明、无色、无味</w:t>
            </w:r>
          </w:p>
        </w:tc>
        <w:tc>
          <w:tcPr>
            <w:tcW w:w="1276" w:type="dxa"/>
            <w:vMerge w:val="continue"/>
            <w:vAlign w:val="center"/>
          </w:tcPr>
          <w:p w14:paraId="294B6439">
            <w:pPr>
              <w:pStyle w:val="109"/>
              <w:rPr>
                <w:color w:val="000000" w:themeColor="text1"/>
                <w14:textFill>
                  <w14:solidFill>
                    <w14:schemeClr w14:val="tx1"/>
                  </w14:solidFill>
                </w14:textFill>
              </w:rPr>
            </w:pPr>
          </w:p>
        </w:tc>
      </w:tr>
      <w:tr w14:paraId="359D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4F20CBE7">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778" w:type="dxa"/>
            <w:vAlign w:val="center"/>
          </w:tcPr>
          <w:p w14:paraId="383B3B07">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000" w:type="dxa"/>
            <w:vAlign w:val="center"/>
          </w:tcPr>
          <w:p w14:paraId="53545AC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监测结果</w:t>
            </w:r>
          </w:p>
        </w:tc>
        <w:tc>
          <w:tcPr>
            <w:tcW w:w="733" w:type="dxa"/>
            <w:vAlign w:val="center"/>
          </w:tcPr>
          <w:p w14:paraId="662B58F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Pi</w:t>
            </w:r>
          </w:p>
        </w:tc>
        <w:tc>
          <w:tcPr>
            <w:tcW w:w="1316" w:type="dxa"/>
            <w:vAlign w:val="center"/>
          </w:tcPr>
          <w:p w14:paraId="2800B8F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监测结果</w:t>
            </w:r>
          </w:p>
        </w:tc>
        <w:tc>
          <w:tcPr>
            <w:tcW w:w="698" w:type="dxa"/>
            <w:vAlign w:val="center"/>
          </w:tcPr>
          <w:p w14:paraId="3EC4051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Pi</w:t>
            </w:r>
          </w:p>
        </w:tc>
        <w:tc>
          <w:tcPr>
            <w:tcW w:w="932" w:type="dxa"/>
            <w:vAlign w:val="center"/>
          </w:tcPr>
          <w:p w14:paraId="0105044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监测结果</w:t>
            </w:r>
          </w:p>
        </w:tc>
        <w:tc>
          <w:tcPr>
            <w:tcW w:w="790" w:type="dxa"/>
            <w:vAlign w:val="center"/>
          </w:tcPr>
          <w:p w14:paraId="3881C9F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Pi</w:t>
            </w:r>
          </w:p>
        </w:tc>
        <w:tc>
          <w:tcPr>
            <w:tcW w:w="1276" w:type="dxa"/>
            <w:vMerge w:val="continue"/>
            <w:vAlign w:val="center"/>
          </w:tcPr>
          <w:p w14:paraId="662F09F0">
            <w:pPr>
              <w:pStyle w:val="109"/>
              <w:rPr>
                <w:color w:val="000000" w:themeColor="text1"/>
                <w14:textFill>
                  <w14:solidFill>
                    <w14:schemeClr w14:val="tx1"/>
                  </w14:solidFill>
                </w14:textFill>
              </w:rPr>
            </w:pPr>
          </w:p>
        </w:tc>
      </w:tr>
      <w:tr w14:paraId="215E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70994B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pH值</w:t>
            </w:r>
          </w:p>
        </w:tc>
        <w:tc>
          <w:tcPr>
            <w:tcW w:w="778" w:type="dxa"/>
            <w:vAlign w:val="center"/>
          </w:tcPr>
          <w:p w14:paraId="759B0107">
            <w:pPr>
              <w:pStyle w:val="109"/>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1000" w:type="dxa"/>
            <w:vAlign w:val="center"/>
          </w:tcPr>
          <w:p w14:paraId="56834D7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7.9</w:t>
            </w:r>
          </w:p>
        </w:tc>
        <w:tc>
          <w:tcPr>
            <w:tcW w:w="733" w:type="dxa"/>
            <w:vAlign w:val="center"/>
          </w:tcPr>
          <w:p w14:paraId="0640E6F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1316" w:type="dxa"/>
            <w:vAlign w:val="center"/>
          </w:tcPr>
          <w:p w14:paraId="02E965C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7.9</w:t>
            </w:r>
          </w:p>
        </w:tc>
        <w:tc>
          <w:tcPr>
            <w:tcW w:w="698" w:type="dxa"/>
            <w:vAlign w:val="center"/>
          </w:tcPr>
          <w:p w14:paraId="4EF33BA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932" w:type="dxa"/>
            <w:vAlign w:val="center"/>
          </w:tcPr>
          <w:p w14:paraId="6444F2E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7.9</w:t>
            </w:r>
          </w:p>
        </w:tc>
        <w:tc>
          <w:tcPr>
            <w:tcW w:w="790" w:type="dxa"/>
            <w:vAlign w:val="center"/>
          </w:tcPr>
          <w:p w14:paraId="44285CD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1276" w:type="dxa"/>
            <w:vAlign w:val="center"/>
          </w:tcPr>
          <w:p w14:paraId="5B7E8FC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pH</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8.5</w:t>
            </w:r>
          </w:p>
        </w:tc>
      </w:tr>
      <w:tr w14:paraId="087D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46258BD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色度</w:t>
            </w:r>
          </w:p>
        </w:tc>
        <w:tc>
          <w:tcPr>
            <w:tcW w:w="778" w:type="dxa"/>
            <w:vAlign w:val="center"/>
          </w:tcPr>
          <w:p w14:paraId="2973519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度</w:t>
            </w:r>
          </w:p>
        </w:tc>
        <w:tc>
          <w:tcPr>
            <w:tcW w:w="1000" w:type="dxa"/>
            <w:vAlign w:val="center"/>
          </w:tcPr>
          <w:p w14:paraId="480DB91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518279C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158699A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67C0F3F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705BCD8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0CE79CF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2C7E688F">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15度</w:t>
            </w:r>
          </w:p>
        </w:tc>
      </w:tr>
      <w:tr w14:paraId="501A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373551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臭和味</w:t>
            </w:r>
          </w:p>
        </w:tc>
        <w:tc>
          <w:tcPr>
            <w:tcW w:w="778" w:type="dxa"/>
            <w:vAlign w:val="center"/>
          </w:tcPr>
          <w:p w14:paraId="5A9556E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0" w:type="dxa"/>
            <w:vAlign w:val="center"/>
          </w:tcPr>
          <w:p w14:paraId="2E33070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33" w:type="dxa"/>
            <w:vAlign w:val="center"/>
          </w:tcPr>
          <w:p w14:paraId="76A152B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25EFE32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698" w:type="dxa"/>
            <w:vAlign w:val="center"/>
          </w:tcPr>
          <w:p w14:paraId="7EEABF9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0EC5BF7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90" w:type="dxa"/>
            <w:vAlign w:val="center"/>
          </w:tcPr>
          <w:p w14:paraId="534EA1A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0A9D503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24EA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2686B5C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肉眼可见物</w:t>
            </w:r>
          </w:p>
        </w:tc>
        <w:tc>
          <w:tcPr>
            <w:tcW w:w="778" w:type="dxa"/>
            <w:vAlign w:val="center"/>
          </w:tcPr>
          <w:p w14:paraId="18F95FE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00" w:type="dxa"/>
            <w:vAlign w:val="center"/>
          </w:tcPr>
          <w:p w14:paraId="31E0E00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清澈、透明、无色、无味</w:t>
            </w:r>
          </w:p>
        </w:tc>
        <w:tc>
          <w:tcPr>
            <w:tcW w:w="733" w:type="dxa"/>
            <w:vAlign w:val="center"/>
          </w:tcPr>
          <w:p w14:paraId="1AFE845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3126FE3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清澈、透明、无色、无味</w:t>
            </w:r>
          </w:p>
        </w:tc>
        <w:tc>
          <w:tcPr>
            <w:tcW w:w="698" w:type="dxa"/>
            <w:vAlign w:val="center"/>
          </w:tcPr>
          <w:p w14:paraId="3FF3D9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08D8BE5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清澈、透明、无色、无味</w:t>
            </w:r>
          </w:p>
        </w:tc>
        <w:tc>
          <w:tcPr>
            <w:tcW w:w="790" w:type="dxa"/>
            <w:vAlign w:val="center"/>
          </w:tcPr>
          <w:p w14:paraId="7E0B450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11632E0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10A1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5201B29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浑浊度</w:t>
            </w:r>
          </w:p>
        </w:tc>
        <w:tc>
          <w:tcPr>
            <w:tcW w:w="778" w:type="dxa"/>
            <w:vAlign w:val="center"/>
          </w:tcPr>
          <w:p w14:paraId="262DCFA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度</w:t>
            </w:r>
          </w:p>
        </w:tc>
        <w:tc>
          <w:tcPr>
            <w:tcW w:w="1000" w:type="dxa"/>
            <w:vAlign w:val="center"/>
          </w:tcPr>
          <w:p w14:paraId="46852B3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7DD7B11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6B2F1C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9F2B23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5EABCE0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000BF1E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54B30EF">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3NTU</w:t>
            </w:r>
          </w:p>
        </w:tc>
      </w:tr>
      <w:tr w14:paraId="2135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113237E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总硬度</w:t>
            </w:r>
          </w:p>
        </w:tc>
        <w:tc>
          <w:tcPr>
            <w:tcW w:w="778" w:type="dxa"/>
            <w:vAlign w:val="center"/>
          </w:tcPr>
          <w:p w14:paraId="4E985EA1">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4673370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1998</w:t>
            </w:r>
          </w:p>
        </w:tc>
        <w:tc>
          <w:tcPr>
            <w:tcW w:w="733" w:type="dxa"/>
            <w:vAlign w:val="center"/>
          </w:tcPr>
          <w:p w14:paraId="4D1301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4.44</w:t>
            </w:r>
          </w:p>
        </w:tc>
        <w:tc>
          <w:tcPr>
            <w:tcW w:w="1316" w:type="dxa"/>
            <w:vAlign w:val="center"/>
          </w:tcPr>
          <w:p w14:paraId="6D1A47B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2167</w:t>
            </w:r>
          </w:p>
        </w:tc>
        <w:tc>
          <w:tcPr>
            <w:tcW w:w="698" w:type="dxa"/>
            <w:vAlign w:val="center"/>
          </w:tcPr>
          <w:p w14:paraId="243D6AA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4.82</w:t>
            </w:r>
          </w:p>
        </w:tc>
        <w:tc>
          <w:tcPr>
            <w:tcW w:w="932" w:type="dxa"/>
            <w:vAlign w:val="center"/>
          </w:tcPr>
          <w:p w14:paraId="6332682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5575</w:t>
            </w:r>
          </w:p>
        </w:tc>
        <w:tc>
          <w:tcPr>
            <w:tcW w:w="790" w:type="dxa"/>
            <w:vAlign w:val="center"/>
          </w:tcPr>
          <w:p w14:paraId="1FD2A34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12.39</w:t>
            </w:r>
          </w:p>
        </w:tc>
        <w:tc>
          <w:tcPr>
            <w:tcW w:w="1276" w:type="dxa"/>
            <w:vAlign w:val="center"/>
          </w:tcPr>
          <w:p w14:paraId="6ECF4923">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450</w:t>
            </w:r>
            <w:r>
              <w:rPr>
                <w:color w:val="000000" w:themeColor="text1"/>
                <w14:textFill>
                  <w14:solidFill>
                    <w14:schemeClr w14:val="tx1"/>
                  </w14:solidFill>
                </w14:textFill>
              </w:rPr>
              <w:t>mg/L</w:t>
            </w:r>
          </w:p>
        </w:tc>
      </w:tr>
      <w:tr w14:paraId="0A9C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2581CD5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溶解性总固体</w:t>
            </w:r>
          </w:p>
        </w:tc>
        <w:tc>
          <w:tcPr>
            <w:tcW w:w="778" w:type="dxa"/>
            <w:vAlign w:val="center"/>
          </w:tcPr>
          <w:p w14:paraId="7FB044A5">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2846624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15335</w:t>
            </w:r>
          </w:p>
        </w:tc>
        <w:tc>
          <w:tcPr>
            <w:tcW w:w="733" w:type="dxa"/>
            <w:vAlign w:val="center"/>
          </w:tcPr>
          <w:p w14:paraId="2F36279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15.34</w:t>
            </w:r>
          </w:p>
        </w:tc>
        <w:tc>
          <w:tcPr>
            <w:tcW w:w="1316" w:type="dxa"/>
            <w:vAlign w:val="center"/>
          </w:tcPr>
          <w:p w14:paraId="4B9ADE1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22768</w:t>
            </w:r>
          </w:p>
        </w:tc>
        <w:tc>
          <w:tcPr>
            <w:tcW w:w="698" w:type="dxa"/>
            <w:vAlign w:val="center"/>
          </w:tcPr>
          <w:p w14:paraId="0F46342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22.77</w:t>
            </w:r>
          </w:p>
        </w:tc>
        <w:tc>
          <w:tcPr>
            <w:tcW w:w="932" w:type="dxa"/>
            <w:vAlign w:val="center"/>
          </w:tcPr>
          <w:p w14:paraId="134C81C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91484</w:t>
            </w:r>
          </w:p>
        </w:tc>
        <w:tc>
          <w:tcPr>
            <w:tcW w:w="790" w:type="dxa"/>
            <w:vAlign w:val="center"/>
          </w:tcPr>
          <w:p w14:paraId="791CA56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91.48</w:t>
            </w:r>
          </w:p>
        </w:tc>
        <w:tc>
          <w:tcPr>
            <w:tcW w:w="1276" w:type="dxa"/>
            <w:vAlign w:val="center"/>
          </w:tcPr>
          <w:p w14:paraId="5B02845C">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1000</w:t>
            </w:r>
            <w:r>
              <w:rPr>
                <w:color w:val="000000" w:themeColor="text1"/>
                <w14:textFill>
                  <w14:solidFill>
                    <w14:schemeClr w14:val="tx1"/>
                  </w14:solidFill>
                </w14:textFill>
              </w:rPr>
              <w:t>mg/L</w:t>
            </w:r>
          </w:p>
        </w:tc>
      </w:tr>
      <w:tr w14:paraId="3F5A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36DC1A9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硫酸盐</w:t>
            </w:r>
          </w:p>
        </w:tc>
        <w:tc>
          <w:tcPr>
            <w:tcW w:w="778" w:type="dxa"/>
            <w:vAlign w:val="center"/>
          </w:tcPr>
          <w:p w14:paraId="34F3C76D">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0736748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6242</w:t>
            </w:r>
          </w:p>
        </w:tc>
        <w:tc>
          <w:tcPr>
            <w:tcW w:w="733" w:type="dxa"/>
            <w:vAlign w:val="center"/>
          </w:tcPr>
          <w:p w14:paraId="4F20D69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24.97</w:t>
            </w:r>
          </w:p>
        </w:tc>
        <w:tc>
          <w:tcPr>
            <w:tcW w:w="1316" w:type="dxa"/>
            <w:vAlign w:val="center"/>
          </w:tcPr>
          <w:p w14:paraId="39D4B17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4454</w:t>
            </w:r>
          </w:p>
        </w:tc>
        <w:tc>
          <w:tcPr>
            <w:tcW w:w="698" w:type="dxa"/>
            <w:vAlign w:val="center"/>
          </w:tcPr>
          <w:p w14:paraId="2FA85FC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17.82</w:t>
            </w:r>
          </w:p>
        </w:tc>
        <w:tc>
          <w:tcPr>
            <w:tcW w:w="932" w:type="dxa"/>
            <w:vAlign w:val="center"/>
          </w:tcPr>
          <w:p w14:paraId="696EDD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53615</w:t>
            </w:r>
          </w:p>
        </w:tc>
        <w:tc>
          <w:tcPr>
            <w:tcW w:w="790" w:type="dxa"/>
            <w:vAlign w:val="center"/>
          </w:tcPr>
          <w:p w14:paraId="5D46E91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214.46</w:t>
            </w:r>
          </w:p>
        </w:tc>
        <w:tc>
          <w:tcPr>
            <w:tcW w:w="1276" w:type="dxa"/>
            <w:vAlign w:val="center"/>
          </w:tcPr>
          <w:p w14:paraId="0468B0FC">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250</w:t>
            </w:r>
            <w:r>
              <w:rPr>
                <w:color w:val="000000" w:themeColor="text1"/>
                <w14:textFill>
                  <w14:solidFill>
                    <w14:schemeClr w14:val="tx1"/>
                  </w14:solidFill>
                </w14:textFill>
              </w:rPr>
              <w:t>mg/L</w:t>
            </w:r>
          </w:p>
        </w:tc>
      </w:tr>
      <w:tr w14:paraId="6403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0AE15AD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氯化物</w:t>
            </w:r>
          </w:p>
        </w:tc>
        <w:tc>
          <w:tcPr>
            <w:tcW w:w="778" w:type="dxa"/>
            <w:vAlign w:val="center"/>
          </w:tcPr>
          <w:p w14:paraId="026683CF">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31DB5B4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3325</w:t>
            </w:r>
          </w:p>
        </w:tc>
        <w:tc>
          <w:tcPr>
            <w:tcW w:w="733" w:type="dxa"/>
            <w:vAlign w:val="center"/>
          </w:tcPr>
          <w:p w14:paraId="4749FD7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7.39</w:t>
            </w:r>
          </w:p>
        </w:tc>
        <w:tc>
          <w:tcPr>
            <w:tcW w:w="1316" w:type="dxa"/>
            <w:vAlign w:val="center"/>
          </w:tcPr>
          <w:p w14:paraId="7C8E08C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10765</w:t>
            </w:r>
          </w:p>
        </w:tc>
        <w:tc>
          <w:tcPr>
            <w:tcW w:w="698" w:type="dxa"/>
            <w:vAlign w:val="center"/>
          </w:tcPr>
          <w:p w14:paraId="6FF2F9B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23.92</w:t>
            </w:r>
          </w:p>
        </w:tc>
        <w:tc>
          <w:tcPr>
            <w:tcW w:w="932" w:type="dxa"/>
            <w:vAlign w:val="center"/>
          </w:tcPr>
          <w:p w14:paraId="576258B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12630</w:t>
            </w:r>
          </w:p>
        </w:tc>
        <w:tc>
          <w:tcPr>
            <w:tcW w:w="790" w:type="dxa"/>
            <w:vAlign w:val="center"/>
          </w:tcPr>
          <w:p w14:paraId="72F234B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28.07</w:t>
            </w:r>
          </w:p>
        </w:tc>
        <w:tc>
          <w:tcPr>
            <w:tcW w:w="1276" w:type="dxa"/>
            <w:vAlign w:val="center"/>
          </w:tcPr>
          <w:p w14:paraId="50DDB204">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450</w:t>
            </w:r>
            <w:r>
              <w:rPr>
                <w:color w:val="000000" w:themeColor="text1"/>
                <w14:textFill>
                  <w14:solidFill>
                    <w14:schemeClr w14:val="tx1"/>
                  </w14:solidFill>
                </w14:textFill>
              </w:rPr>
              <w:t>mg/L</w:t>
            </w:r>
          </w:p>
        </w:tc>
      </w:tr>
      <w:tr w14:paraId="0B9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50C28FD">
            <w:pPr>
              <w:pStyle w:val="109"/>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778" w:type="dxa"/>
            <w:vAlign w:val="center"/>
          </w:tcPr>
          <w:p w14:paraId="1E8D5232">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2E970B4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7399593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D00A7C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7D31C05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78AC4F7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0570CF3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3CA1BC3">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0.3</w:t>
            </w:r>
            <w:r>
              <w:rPr>
                <w:color w:val="000000" w:themeColor="text1"/>
                <w14:textFill>
                  <w14:solidFill>
                    <w14:schemeClr w14:val="tx1"/>
                  </w14:solidFill>
                </w14:textFill>
              </w:rPr>
              <w:t>mg/L</w:t>
            </w:r>
          </w:p>
        </w:tc>
      </w:tr>
      <w:tr w14:paraId="49BD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0D8926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锰</w:t>
            </w:r>
          </w:p>
        </w:tc>
        <w:tc>
          <w:tcPr>
            <w:tcW w:w="778" w:type="dxa"/>
            <w:vAlign w:val="center"/>
          </w:tcPr>
          <w:p w14:paraId="6F76025D">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1D458E6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1075504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7F94759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7D7154D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7FCF99B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5A49A9F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70A85DB">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0.10</w:t>
            </w:r>
            <w:r>
              <w:rPr>
                <w:color w:val="000000" w:themeColor="text1"/>
                <w14:textFill>
                  <w14:solidFill>
                    <w14:schemeClr w14:val="tx1"/>
                  </w14:solidFill>
                </w14:textFill>
              </w:rPr>
              <w:t>mg/L</w:t>
            </w:r>
          </w:p>
        </w:tc>
      </w:tr>
      <w:tr w14:paraId="6979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17F60D5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778" w:type="dxa"/>
            <w:vAlign w:val="center"/>
          </w:tcPr>
          <w:p w14:paraId="5569EE89">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5BF0DF4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2B1802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2E8E333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04F465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C49E8B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5A70C8E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33D7663C">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mg/L</w:t>
            </w:r>
          </w:p>
        </w:tc>
      </w:tr>
      <w:tr w14:paraId="2016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04AD8CEB">
            <w:pPr>
              <w:pStyle w:val="109"/>
              <w:rPr>
                <w:color w:val="000000" w:themeColor="text1"/>
                <w14:textFill>
                  <w14:solidFill>
                    <w14:schemeClr w14:val="tx1"/>
                  </w14:solidFill>
                </w14:textFill>
              </w:rPr>
            </w:pPr>
            <w:r>
              <w:rPr>
                <w:color w:val="000000" w:themeColor="text1"/>
                <w14:textFill>
                  <w14:solidFill>
                    <w14:schemeClr w14:val="tx1"/>
                  </w14:solidFill>
                </w14:textFill>
              </w:rPr>
              <w:t>锌</w:t>
            </w:r>
          </w:p>
        </w:tc>
        <w:tc>
          <w:tcPr>
            <w:tcW w:w="778" w:type="dxa"/>
            <w:vAlign w:val="center"/>
          </w:tcPr>
          <w:p w14:paraId="1103B458">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562A447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2E90B74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00D343C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43DB28B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49B5DA0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607968C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2CB4686A">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mg/L</w:t>
            </w:r>
          </w:p>
        </w:tc>
      </w:tr>
      <w:tr w14:paraId="4147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19A3EA3B">
            <w:pPr>
              <w:pStyle w:val="109"/>
              <w:rPr>
                <w:color w:val="000000" w:themeColor="text1"/>
                <w14:textFill>
                  <w14:solidFill>
                    <w14:schemeClr w14:val="tx1"/>
                  </w14:solidFill>
                </w14:textFill>
              </w:rPr>
            </w:pPr>
            <w:r>
              <w:rPr>
                <w:color w:val="000000" w:themeColor="text1"/>
                <w14:textFill>
                  <w14:solidFill>
                    <w14:schemeClr w14:val="tx1"/>
                  </w14:solidFill>
                </w14:textFill>
              </w:rPr>
              <w:t>铝</w:t>
            </w:r>
          </w:p>
        </w:tc>
        <w:tc>
          <w:tcPr>
            <w:tcW w:w="778" w:type="dxa"/>
            <w:vAlign w:val="center"/>
          </w:tcPr>
          <w:p w14:paraId="405DABC8">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6493E30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18799FC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0CF317B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64E0B3F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B64322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6DE55AA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12D2EFD7">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0.2</w:t>
            </w:r>
            <w:r>
              <w:rPr>
                <w:color w:val="000000" w:themeColor="text1"/>
                <w14:textFill>
                  <w14:solidFill>
                    <w14:schemeClr w14:val="tx1"/>
                  </w14:solidFill>
                </w14:textFill>
              </w:rPr>
              <w:t>mg/L</w:t>
            </w:r>
          </w:p>
        </w:tc>
      </w:tr>
      <w:tr w14:paraId="1D3A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7AF68E5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挥发酚</w:t>
            </w:r>
          </w:p>
        </w:tc>
        <w:tc>
          <w:tcPr>
            <w:tcW w:w="778" w:type="dxa"/>
            <w:vAlign w:val="center"/>
          </w:tcPr>
          <w:p w14:paraId="5FBE7FEF">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2A3ECAD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5F7895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445CD18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7DE283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60B9A47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CE744F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F4CB7FA">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0.002</w:t>
            </w:r>
            <w:r>
              <w:rPr>
                <w:color w:val="000000" w:themeColor="text1"/>
                <w14:textFill>
                  <w14:solidFill>
                    <w14:schemeClr w14:val="tx1"/>
                  </w14:solidFill>
                </w14:textFill>
              </w:rPr>
              <w:t>mg/L</w:t>
            </w:r>
          </w:p>
        </w:tc>
      </w:tr>
      <w:tr w14:paraId="2081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75617005">
            <w:pPr>
              <w:pStyle w:val="109"/>
              <w:rPr>
                <w:color w:val="000000" w:themeColor="text1"/>
                <w14:textFill>
                  <w14:solidFill>
                    <w14:schemeClr w14:val="tx1"/>
                  </w14:solidFill>
                </w14:textFill>
              </w:rPr>
            </w:pPr>
            <w:r>
              <w:rPr>
                <w:color w:val="000000" w:themeColor="text1"/>
                <w14:textFill>
                  <w14:solidFill>
                    <w14:schemeClr w14:val="tx1"/>
                  </w14:solidFill>
                </w14:textFill>
              </w:rPr>
              <w:t>阴离子表面活性剂</w:t>
            </w:r>
          </w:p>
        </w:tc>
        <w:tc>
          <w:tcPr>
            <w:tcW w:w="778" w:type="dxa"/>
            <w:vAlign w:val="center"/>
          </w:tcPr>
          <w:p w14:paraId="3613569E">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1EEECD5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A47F8D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46231EF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4C6793B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C99BC5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0DB945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32D7EBE3">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0.3</w:t>
            </w:r>
            <w:r>
              <w:rPr>
                <w:color w:val="000000" w:themeColor="text1"/>
                <w14:textFill>
                  <w14:solidFill>
                    <w14:schemeClr w14:val="tx1"/>
                  </w14:solidFill>
                </w14:textFill>
              </w:rPr>
              <w:t>mg/L</w:t>
            </w:r>
          </w:p>
        </w:tc>
      </w:tr>
      <w:tr w14:paraId="6ADE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150919D4">
            <w:pPr>
              <w:pStyle w:val="109"/>
              <w:rPr>
                <w:color w:val="000000" w:themeColor="text1"/>
                <w14:textFill>
                  <w14:solidFill>
                    <w14:schemeClr w14:val="tx1"/>
                  </w14:solidFill>
                </w14:textFill>
              </w:rPr>
            </w:pPr>
            <w:r>
              <w:rPr>
                <w:color w:val="000000" w:themeColor="text1"/>
                <w14:textFill>
                  <w14:solidFill>
                    <w14:schemeClr w14:val="tx1"/>
                  </w14:solidFill>
                </w14:textFill>
              </w:rPr>
              <w:t>耗氧量</w:t>
            </w:r>
          </w:p>
        </w:tc>
        <w:tc>
          <w:tcPr>
            <w:tcW w:w="778" w:type="dxa"/>
            <w:vAlign w:val="center"/>
          </w:tcPr>
          <w:p w14:paraId="193088B3">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75F8F4B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733" w:type="dxa"/>
            <w:vAlign w:val="center"/>
          </w:tcPr>
          <w:p w14:paraId="6AD131C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0.93</w:t>
            </w:r>
          </w:p>
        </w:tc>
        <w:tc>
          <w:tcPr>
            <w:tcW w:w="1316" w:type="dxa"/>
            <w:vAlign w:val="center"/>
          </w:tcPr>
          <w:p w14:paraId="7670622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698" w:type="dxa"/>
            <w:vAlign w:val="center"/>
          </w:tcPr>
          <w:p w14:paraId="50728C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932" w:type="dxa"/>
            <w:vAlign w:val="center"/>
          </w:tcPr>
          <w:p w14:paraId="55940A7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790" w:type="dxa"/>
            <w:vAlign w:val="center"/>
          </w:tcPr>
          <w:p w14:paraId="2B62C9A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276" w:type="dxa"/>
            <w:vAlign w:val="center"/>
          </w:tcPr>
          <w:p w14:paraId="07DE0121">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3.0</w:t>
            </w:r>
            <w:r>
              <w:rPr>
                <w:color w:val="000000" w:themeColor="text1"/>
                <w14:textFill>
                  <w14:solidFill>
                    <w14:schemeClr w14:val="tx1"/>
                  </w14:solidFill>
                </w14:textFill>
              </w:rPr>
              <w:t>mg/L</w:t>
            </w:r>
          </w:p>
        </w:tc>
      </w:tr>
      <w:tr w14:paraId="5918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2E8F733">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778" w:type="dxa"/>
            <w:vAlign w:val="center"/>
          </w:tcPr>
          <w:p w14:paraId="1E605D2F">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71E39F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733" w:type="dxa"/>
            <w:vAlign w:val="center"/>
          </w:tcPr>
          <w:p w14:paraId="4457B56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c>
          <w:tcPr>
            <w:tcW w:w="1316" w:type="dxa"/>
            <w:vAlign w:val="center"/>
          </w:tcPr>
          <w:p w14:paraId="73D78B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0.29</w:t>
            </w:r>
          </w:p>
        </w:tc>
        <w:tc>
          <w:tcPr>
            <w:tcW w:w="698" w:type="dxa"/>
            <w:vAlign w:val="center"/>
          </w:tcPr>
          <w:p w14:paraId="2F0CF8B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0.58</w:t>
            </w:r>
          </w:p>
        </w:tc>
        <w:tc>
          <w:tcPr>
            <w:tcW w:w="932" w:type="dxa"/>
            <w:vAlign w:val="center"/>
          </w:tcPr>
          <w:p w14:paraId="1FAD705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0.37</w:t>
            </w:r>
          </w:p>
        </w:tc>
        <w:tc>
          <w:tcPr>
            <w:tcW w:w="790" w:type="dxa"/>
            <w:vAlign w:val="center"/>
          </w:tcPr>
          <w:p w14:paraId="5BBBDC3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0.74</w:t>
            </w:r>
          </w:p>
        </w:tc>
        <w:tc>
          <w:tcPr>
            <w:tcW w:w="1276" w:type="dxa"/>
            <w:vAlign w:val="center"/>
          </w:tcPr>
          <w:p w14:paraId="50FB7083">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0.50</w:t>
            </w:r>
            <w:r>
              <w:rPr>
                <w:color w:val="000000" w:themeColor="text1"/>
                <w14:textFill>
                  <w14:solidFill>
                    <w14:schemeClr w14:val="tx1"/>
                  </w14:solidFill>
                </w14:textFill>
              </w:rPr>
              <w:t>mg/L</w:t>
            </w:r>
          </w:p>
        </w:tc>
      </w:tr>
      <w:tr w14:paraId="4CC5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0D7261B7">
            <w:pPr>
              <w:pStyle w:val="109"/>
              <w:rPr>
                <w:color w:val="000000" w:themeColor="text1"/>
                <w14:textFill>
                  <w14:solidFill>
                    <w14:schemeClr w14:val="tx1"/>
                  </w14:solidFill>
                </w14:textFill>
              </w:rPr>
            </w:pPr>
            <w:r>
              <w:rPr>
                <w:color w:val="000000" w:themeColor="text1"/>
                <w14:textFill>
                  <w14:solidFill>
                    <w14:schemeClr w14:val="tx1"/>
                  </w14:solidFill>
                </w14:textFill>
              </w:rPr>
              <w:t>硫化物</w:t>
            </w:r>
          </w:p>
        </w:tc>
        <w:tc>
          <w:tcPr>
            <w:tcW w:w="778" w:type="dxa"/>
            <w:vAlign w:val="center"/>
          </w:tcPr>
          <w:p w14:paraId="781B700F">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4FA6F3B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0.004</w:t>
            </w:r>
          </w:p>
        </w:tc>
        <w:tc>
          <w:tcPr>
            <w:tcW w:w="733" w:type="dxa"/>
            <w:vAlign w:val="center"/>
          </w:tcPr>
          <w:p w14:paraId="52DFE4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316" w:type="dxa"/>
            <w:vAlign w:val="center"/>
          </w:tcPr>
          <w:p w14:paraId="724B37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0.004</w:t>
            </w:r>
          </w:p>
        </w:tc>
        <w:tc>
          <w:tcPr>
            <w:tcW w:w="698" w:type="dxa"/>
            <w:vAlign w:val="center"/>
          </w:tcPr>
          <w:p w14:paraId="4AAEB6B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932" w:type="dxa"/>
            <w:vAlign w:val="center"/>
          </w:tcPr>
          <w:p w14:paraId="2BA3E53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0.009</w:t>
            </w:r>
          </w:p>
        </w:tc>
        <w:tc>
          <w:tcPr>
            <w:tcW w:w="790" w:type="dxa"/>
            <w:vAlign w:val="center"/>
          </w:tcPr>
          <w:p w14:paraId="499E4AC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0.45</w:t>
            </w:r>
          </w:p>
        </w:tc>
        <w:tc>
          <w:tcPr>
            <w:tcW w:w="1276" w:type="dxa"/>
            <w:vAlign w:val="center"/>
          </w:tcPr>
          <w:p w14:paraId="58A854B1">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0.02</w:t>
            </w:r>
            <w:r>
              <w:rPr>
                <w:color w:val="000000" w:themeColor="text1"/>
                <w14:textFill>
                  <w14:solidFill>
                    <w14:schemeClr w14:val="tx1"/>
                  </w14:solidFill>
                </w14:textFill>
              </w:rPr>
              <w:t>mg/L</w:t>
            </w:r>
          </w:p>
        </w:tc>
      </w:tr>
      <w:tr w14:paraId="7A2B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5F9461D3">
            <w:pPr>
              <w:pStyle w:val="109"/>
              <w:rPr>
                <w:color w:val="000000" w:themeColor="text1"/>
                <w14:textFill>
                  <w14:solidFill>
                    <w14:schemeClr w14:val="tx1"/>
                  </w14:solidFill>
                </w14:textFill>
              </w:rPr>
            </w:pPr>
            <w:r>
              <w:rPr>
                <w:color w:val="000000" w:themeColor="text1"/>
                <w14:textFill>
                  <w14:solidFill>
                    <w14:schemeClr w14:val="tx1"/>
                  </w14:solidFill>
                </w14:textFill>
              </w:rPr>
              <w:t>钠</w:t>
            </w:r>
          </w:p>
        </w:tc>
        <w:tc>
          <w:tcPr>
            <w:tcW w:w="778" w:type="dxa"/>
            <w:vAlign w:val="center"/>
          </w:tcPr>
          <w:p w14:paraId="5A79CB98">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0D846E4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2740</w:t>
            </w:r>
          </w:p>
        </w:tc>
        <w:tc>
          <w:tcPr>
            <w:tcW w:w="733" w:type="dxa"/>
            <w:vAlign w:val="center"/>
          </w:tcPr>
          <w:p w14:paraId="2C88188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13.7</w:t>
            </w:r>
          </w:p>
        </w:tc>
        <w:tc>
          <w:tcPr>
            <w:tcW w:w="1316" w:type="dxa"/>
            <w:vAlign w:val="center"/>
          </w:tcPr>
          <w:p w14:paraId="7C22A2E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3160</w:t>
            </w:r>
          </w:p>
        </w:tc>
        <w:tc>
          <w:tcPr>
            <w:tcW w:w="698" w:type="dxa"/>
            <w:vAlign w:val="center"/>
          </w:tcPr>
          <w:p w14:paraId="57CF5A6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15.8</w:t>
            </w:r>
          </w:p>
        </w:tc>
        <w:tc>
          <w:tcPr>
            <w:tcW w:w="932" w:type="dxa"/>
            <w:vAlign w:val="center"/>
          </w:tcPr>
          <w:p w14:paraId="48CC9C3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8563</w:t>
            </w:r>
          </w:p>
        </w:tc>
        <w:tc>
          <w:tcPr>
            <w:tcW w:w="790" w:type="dxa"/>
            <w:vAlign w:val="center"/>
          </w:tcPr>
          <w:p w14:paraId="6C914ED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42.815</w:t>
            </w:r>
          </w:p>
        </w:tc>
        <w:tc>
          <w:tcPr>
            <w:tcW w:w="1276" w:type="dxa"/>
            <w:vAlign w:val="center"/>
          </w:tcPr>
          <w:p w14:paraId="1D8B0AD7">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200</w:t>
            </w:r>
            <w:r>
              <w:rPr>
                <w:color w:val="000000" w:themeColor="text1"/>
                <w14:textFill>
                  <w14:solidFill>
                    <w14:schemeClr w14:val="tx1"/>
                  </w14:solidFill>
                </w14:textFill>
              </w:rPr>
              <w:t>mg/L</w:t>
            </w:r>
          </w:p>
        </w:tc>
      </w:tr>
      <w:tr w14:paraId="24EA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77C5F20D">
            <w:pPr>
              <w:pStyle w:val="109"/>
              <w:rPr>
                <w:color w:val="000000" w:themeColor="text1"/>
                <w14:textFill>
                  <w14:solidFill>
                    <w14:schemeClr w14:val="tx1"/>
                  </w14:solidFill>
                </w14:textFill>
              </w:rPr>
            </w:pPr>
            <w:r>
              <w:rPr>
                <w:color w:val="000000" w:themeColor="text1"/>
                <w14:textFill>
                  <w14:solidFill>
                    <w14:schemeClr w14:val="tx1"/>
                  </w14:solidFill>
                </w14:textFill>
              </w:rPr>
              <w:t>硝酸盐</w:t>
            </w:r>
          </w:p>
        </w:tc>
        <w:tc>
          <w:tcPr>
            <w:tcW w:w="778" w:type="dxa"/>
            <w:vAlign w:val="center"/>
          </w:tcPr>
          <w:p w14:paraId="7FE3D607">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6296CDB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0.34</w:t>
            </w:r>
          </w:p>
        </w:tc>
        <w:tc>
          <w:tcPr>
            <w:tcW w:w="733" w:type="dxa"/>
            <w:vAlign w:val="center"/>
          </w:tcPr>
          <w:p w14:paraId="4E5FCDF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0.017</w:t>
            </w:r>
          </w:p>
        </w:tc>
        <w:tc>
          <w:tcPr>
            <w:tcW w:w="1316" w:type="dxa"/>
            <w:vAlign w:val="center"/>
          </w:tcPr>
          <w:p w14:paraId="4C6D2B5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0.29</w:t>
            </w:r>
          </w:p>
        </w:tc>
        <w:tc>
          <w:tcPr>
            <w:tcW w:w="698" w:type="dxa"/>
            <w:vAlign w:val="center"/>
          </w:tcPr>
          <w:p w14:paraId="13245B5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0.0145</w:t>
            </w:r>
          </w:p>
        </w:tc>
        <w:tc>
          <w:tcPr>
            <w:tcW w:w="932" w:type="dxa"/>
            <w:vAlign w:val="center"/>
          </w:tcPr>
          <w:p w14:paraId="74D0A49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0.43</w:t>
            </w:r>
          </w:p>
        </w:tc>
        <w:tc>
          <w:tcPr>
            <w:tcW w:w="790" w:type="dxa"/>
            <w:vAlign w:val="center"/>
          </w:tcPr>
          <w:p w14:paraId="0347377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0.0215</w:t>
            </w:r>
          </w:p>
        </w:tc>
        <w:tc>
          <w:tcPr>
            <w:tcW w:w="1276" w:type="dxa"/>
            <w:vAlign w:val="center"/>
          </w:tcPr>
          <w:p w14:paraId="5E274E0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20.0</w:t>
            </w:r>
            <w:r>
              <w:rPr>
                <w:color w:val="000000" w:themeColor="text1"/>
                <w14:textFill>
                  <w14:solidFill>
                    <w14:schemeClr w14:val="tx1"/>
                  </w14:solidFill>
                </w14:textFill>
              </w:rPr>
              <w:t>mg/L</w:t>
            </w:r>
          </w:p>
        </w:tc>
      </w:tr>
      <w:tr w14:paraId="6506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4F32844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亚</w:t>
            </w:r>
            <w:r>
              <w:rPr>
                <w:color w:val="000000" w:themeColor="text1"/>
                <w14:textFill>
                  <w14:solidFill>
                    <w14:schemeClr w14:val="tx1"/>
                  </w14:solidFill>
                </w14:textFill>
              </w:rPr>
              <w:t>硝酸盐</w:t>
            </w:r>
          </w:p>
        </w:tc>
        <w:tc>
          <w:tcPr>
            <w:tcW w:w="778" w:type="dxa"/>
            <w:vAlign w:val="center"/>
          </w:tcPr>
          <w:p w14:paraId="60095D40">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624B48B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7D30DCC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693CC9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7F1D6D9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270209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1430973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2725825B">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1.00</w:t>
            </w:r>
            <w:r>
              <w:rPr>
                <w:color w:val="000000" w:themeColor="text1"/>
                <w14:textFill>
                  <w14:solidFill>
                    <w14:schemeClr w14:val="tx1"/>
                  </w14:solidFill>
                </w14:textFill>
              </w:rPr>
              <w:t>mg/L</w:t>
            </w:r>
          </w:p>
        </w:tc>
      </w:tr>
      <w:tr w14:paraId="651C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48B85FDF">
            <w:pPr>
              <w:pStyle w:val="109"/>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778" w:type="dxa"/>
            <w:vAlign w:val="center"/>
          </w:tcPr>
          <w:p w14:paraId="6442C959">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7133454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56F5AED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2A41B6F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615E0E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0062B5D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65E6FFD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9F1321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0.05mg/L</w:t>
            </w:r>
          </w:p>
        </w:tc>
      </w:tr>
      <w:tr w14:paraId="633B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17A9FAF5">
            <w:pPr>
              <w:pStyle w:val="109"/>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778" w:type="dxa"/>
            <w:vAlign w:val="center"/>
          </w:tcPr>
          <w:p w14:paraId="6F0D3D4D">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69F5AAE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0.81</w:t>
            </w:r>
          </w:p>
        </w:tc>
        <w:tc>
          <w:tcPr>
            <w:tcW w:w="733" w:type="dxa"/>
            <w:vAlign w:val="center"/>
          </w:tcPr>
          <w:p w14:paraId="10AB655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0.81</w:t>
            </w:r>
          </w:p>
        </w:tc>
        <w:tc>
          <w:tcPr>
            <w:tcW w:w="1316" w:type="dxa"/>
            <w:vAlign w:val="center"/>
          </w:tcPr>
          <w:p w14:paraId="1A5AD41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0.91</w:t>
            </w:r>
          </w:p>
        </w:tc>
        <w:tc>
          <w:tcPr>
            <w:tcW w:w="698" w:type="dxa"/>
            <w:vAlign w:val="center"/>
          </w:tcPr>
          <w:p w14:paraId="2987D71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0.91</w:t>
            </w:r>
          </w:p>
        </w:tc>
        <w:tc>
          <w:tcPr>
            <w:tcW w:w="932" w:type="dxa"/>
            <w:vAlign w:val="center"/>
          </w:tcPr>
          <w:p w14:paraId="5B52770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0.94</w:t>
            </w:r>
          </w:p>
        </w:tc>
        <w:tc>
          <w:tcPr>
            <w:tcW w:w="790" w:type="dxa"/>
            <w:vAlign w:val="center"/>
          </w:tcPr>
          <w:p w14:paraId="05ADF95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0.94</w:t>
            </w:r>
          </w:p>
        </w:tc>
        <w:tc>
          <w:tcPr>
            <w:tcW w:w="1276" w:type="dxa"/>
            <w:vAlign w:val="center"/>
          </w:tcPr>
          <w:p w14:paraId="7E42C98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1.0mg/L</w:t>
            </w:r>
          </w:p>
        </w:tc>
      </w:tr>
      <w:tr w14:paraId="6E9E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71885AF6">
            <w:pPr>
              <w:pStyle w:val="109"/>
              <w:rPr>
                <w:color w:val="000000" w:themeColor="text1"/>
                <w14:textFill>
                  <w14:solidFill>
                    <w14:schemeClr w14:val="tx1"/>
                  </w14:solidFill>
                </w14:textFill>
              </w:rPr>
            </w:pPr>
            <w:r>
              <w:rPr>
                <w:color w:val="000000" w:themeColor="text1"/>
                <w14:textFill>
                  <w14:solidFill>
                    <w14:schemeClr w14:val="tx1"/>
                  </w14:solidFill>
                </w14:textFill>
              </w:rPr>
              <w:t>碘化物</w:t>
            </w:r>
          </w:p>
        </w:tc>
        <w:tc>
          <w:tcPr>
            <w:tcW w:w="778" w:type="dxa"/>
            <w:vAlign w:val="center"/>
          </w:tcPr>
          <w:p w14:paraId="17167306">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5347772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0.038</w:t>
            </w:r>
          </w:p>
        </w:tc>
        <w:tc>
          <w:tcPr>
            <w:tcW w:w="733" w:type="dxa"/>
            <w:vAlign w:val="center"/>
          </w:tcPr>
          <w:p w14:paraId="77B237E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0.475</w:t>
            </w:r>
          </w:p>
        </w:tc>
        <w:tc>
          <w:tcPr>
            <w:tcW w:w="1316" w:type="dxa"/>
            <w:vAlign w:val="center"/>
          </w:tcPr>
          <w:p w14:paraId="0B178F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0.041</w:t>
            </w:r>
          </w:p>
        </w:tc>
        <w:tc>
          <w:tcPr>
            <w:tcW w:w="698" w:type="dxa"/>
            <w:vAlign w:val="center"/>
          </w:tcPr>
          <w:p w14:paraId="21FB5BC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0.513</w:t>
            </w:r>
          </w:p>
        </w:tc>
        <w:tc>
          <w:tcPr>
            <w:tcW w:w="932" w:type="dxa"/>
            <w:vAlign w:val="center"/>
          </w:tcPr>
          <w:p w14:paraId="42FD126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0.070</w:t>
            </w:r>
          </w:p>
        </w:tc>
        <w:tc>
          <w:tcPr>
            <w:tcW w:w="790" w:type="dxa"/>
            <w:vAlign w:val="center"/>
          </w:tcPr>
          <w:p w14:paraId="01B8A25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0.875</w:t>
            </w:r>
          </w:p>
        </w:tc>
        <w:tc>
          <w:tcPr>
            <w:tcW w:w="1276" w:type="dxa"/>
            <w:vAlign w:val="center"/>
          </w:tcPr>
          <w:p w14:paraId="23397732">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0.08mg/L</w:t>
            </w:r>
          </w:p>
        </w:tc>
      </w:tr>
      <w:tr w14:paraId="213F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4F27F35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汞</w:t>
            </w:r>
          </w:p>
        </w:tc>
        <w:tc>
          <w:tcPr>
            <w:tcW w:w="778" w:type="dxa"/>
            <w:vAlign w:val="center"/>
          </w:tcPr>
          <w:p w14:paraId="4AAF1DDB">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3B193ED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528B8CC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4EA37DC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711C7DC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6D12104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6906B39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41241B7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0.001</w:t>
            </w:r>
            <w:r>
              <w:rPr>
                <w:color w:val="000000" w:themeColor="text1"/>
                <w14:textFill>
                  <w14:solidFill>
                    <w14:schemeClr w14:val="tx1"/>
                  </w14:solidFill>
                </w14:textFill>
              </w:rPr>
              <w:t>mg/L</w:t>
            </w:r>
          </w:p>
        </w:tc>
      </w:tr>
      <w:tr w14:paraId="354C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1DE098C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778" w:type="dxa"/>
            <w:vAlign w:val="center"/>
          </w:tcPr>
          <w:p w14:paraId="4C517F81">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6D954BB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0.8</w:t>
            </w:r>
          </w:p>
        </w:tc>
        <w:tc>
          <w:tcPr>
            <w:tcW w:w="733" w:type="dxa"/>
            <w:vAlign w:val="center"/>
          </w:tcPr>
          <w:p w14:paraId="1386426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1316" w:type="dxa"/>
            <w:vAlign w:val="center"/>
          </w:tcPr>
          <w:p w14:paraId="20AE801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0.9</w:t>
            </w:r>
          </w:p>
        </w:tc>
        <w:tc>
          <w:tcPr>
            <w:tcW w:w="698" w:type="dxa"/>
            <w:vAlign w:val="center"/>
          </w:tcPr>
          <w:p w14:paraId="617523A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0.09</w:t>
            </w:r>
          </w:p>
        </w:tc>
        <w:tc>
          <w:tcPr>
            <w:tcW w:w="932" w:type="dxa"/>
            <w:vAlign w:val="center"/>
          </w:tcPr>
          <w:p w14:paraId="65E4F4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790" w:type="dxa"/>
            <w:vAlign w:val="center"/>
          </w:tcPr>
          <w:p w14:paraId="1B94808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276" w:type="dxa"/>
            <w:vAlign w:val="center"/>
          </w:tcPr>
          <w:p w14:paraId="2B13E535">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0.01</w:t>
            </w:r>
            <w:r>
              <w:rPr>
                <w:color w:val="000000" w:themeColor="text1"/>
                <w14:textFill>
                  <w14:solidFill>
                    <w14:schemeClr w14:val="tx1"/>
                  </w14:solidFill>
                </w14:textFill>
              </w:rPr>
              <w:t>mg/L</w:t>
            </w:r>
          </w:p>
        </w:tc>
      </w:tr>
      <w:tr w14:paraId="6502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298B71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硒</w:t>
            </w:r>
          </w:p>
        </w:tc>
        <w:tc>
          <w:tcPr>
            <w:tcW w:w="778" w:type="dxa"/>
            <w:vAlign w:val="center"/>
          </w:tcPr>
          <w:p w14:paraId="17B58D62">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2AFDA4C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733" w:type="dxa"/>
            <w:vAlign w:val="center"/>
          </w:tcPr>
          <w:p w14:paraId="5FA6EDE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316" w:type="dxa"/>
            <w:vAlign w:val="center"/>
          </w:tcPr>
          <w:p w14:paraId="2202D7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0.7</w:t>
            </w:r>
          </w:p>
        </w:tc>
        <w:tc>
          <w:tcPr>
            <w:tcW w:w="698" w:type="dxa"/>
            <w:vAlign w:val="center"/>
          </w:tcPr>
          <w:p w14:paraId="62213F8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0.07</w:t>
            </w:r>
          </w:p>
        </w:tc>
        <w:tc>
          <w:tcPr>
            <w:tcW w:w="932" w:type="dxa"/>
            <w:vAlign w:val="center"/>
          </w:tcPr>
          <w:p w14:paraId="308E5DD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90" w:type="dxa"/>
            <w:vAlign w:val="center"/>
          </w:tcPr>
          <w:p w14:paraId="60B274A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0.11</w:t>
            </w:r>
          </w:p>
        </w:tc>
        <w:tc>
          <w:tcPr>
            <w:tcW w:w="1276" w:type="dxa"/>
            <w:vAlign w:val="center"/>
          </w:tcPr>
          <w:p w14:paraId="3932981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0.01mg/L</w:t>
            </w:r>
          </w:p>
        </w:tc>
      </w:tr>
      <w:tr w14:paraId="6FC7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2C46ED8D">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778" w:type="dxa"/>
            <w:vAlign w:val="center"/>
          </w:tcPr>
          <w:p w14:paraId="38141197">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4F39FC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144770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7A97C93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C0F5C9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645FA80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4BEF87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D4E4C09">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0.005</w:t>
            </w:r>
            <w:r>
              <w:rPr>
                <w:color w:val="000000" w:themeColor="text1"/>
                <w14:textFill>
                  <w14:solidFill>
                    <w14:schemeClr w14:val="tx1"/>
                  </w14:solidFill>
                </w14:textFill>
              </w:rPr>
              <w:t>mg/L</w:t>
            </w:r>
          </w:p>
        </w:tc>
      </w:tr>
      <w:tr w14:paraId="41ED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271F38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六价铬</w:t>
            </w:r>
          </w:p>
        </w:tc>
        <w:tc>
          <w:tcPr>
            <w:tcW w:w="778" w:type="dxa"/>
            <w:vAlign w:val="center"/>
          </w:tcPr>
          <w:p w14:paraId="4898C215">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275A8E6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0.006</w:t>
            </w:r>
          </w:p>
        </w:tc>
        <w:tc>
          <w:tcPr>
            <w:tcW w:w="733" w:type="dxa"/>
            <w:vAlign w:val="center"/>
          </w:tcPr>
          <w:p w14:paraId="5814BE2F">
            <w:pPr>
              <w:pStyle w:val="109"/>
              <w:rPr>
                <w:color w:val="000000" w:themeColor="text1"/>
                <w14:textFill>
                  <w14:solidFill>
                    <w14:schemeClr w14:val="tx1"/>
                  </w14:solidFill>
                </w14:textFill>
              </w:rPr>
            </w:pPr>
          </w:p>
        </w:tc>
        <w:tc>
          <w:tcPr>
            <w:tcW w:w="1316" w:type="dxa"/>
            <w:vAlign w:val="center"/>
          </w:tcPr>
          <w:p w14:paraId="2ED0EB9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0.007</w:t>
            </w:r>
          </w:p>
        </w:tc>
        <w:tc>
          <w:tcPr>
            <w:tcW w:w="698" w:type="dxa"/>
            <w:vAlign w:val="center"/>
          </w:tcPr>
          <w:p w14:paraId="1FEAC385">
            <w:pPr>
              <w:pStyle w:val="109"/>
              <w:rPr>
                <w:color w:val="000000" w:themeColor="text1"/>
                <w14:textFill>
                  <w14:solidFill>
                    <w14:schemeClr w14:val="tx1"/>
                  </w14:solidFill>
                </w14:textFill>
              </w:rPr>
            </w:pPr>
          </w:p>
        </w:tc>
        <w:tc>
          <w:tcPr>
            <w:tcW w:w="932" w:type="dxa"/>
            <w:vAlign w:val="center"/>
          </w:tcPr>
          <w:p w14:paraId="0C5B799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0.011</w:t>
            </w:r>
          </w:p>
        </w:tc>
        <w:tc>
          <w:tcPr>
            <w:tcW w:w="790" w:type="dxa"/>
            <w:vAlign w:val="center"/>
          </w:tcPr>
          <w:p w14:paraId="2C5573FF">
            <w:pPr>
              <w:pStyle w:val="109"/>
              <w:rPr>
                <w:color w:val="000000" w:themeColor="text1"/>
                <w14:textFill>
                  <w14:solidFill>
                    <w14:schemeClr w14:val="tx1"/>
                  </w14:solidFill>
                </w14:textFill>
              </w:rPr>
            </w:pPr>
          </w:p>
        </w:tc>
        <w:tc>
          <w:tcPr>
            <w:tcW w:w="1276" w:type="dxa"/>
            <w:vAlign w:val="center"/>
          </w:tcPr>
          <w:p w14:paraId="654FD00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0.05</w:t>
            </w:r>
            <w:r>
              <w:rPr>
                <w:color w:val="000000" w:themeColor="text1"/>
                <w14:textFill>
                  <w14:solidFill>
                    <w14:schemeClr w14:val="tx1"/>
                  </w14:solidFill>
                </w14:textFill>
              </w:rPr>
              <w:t>mg/L</w:t>
            </w:r>
          </w:p>
        </w:tc>
      </w:tr>
      <w:tr w14:paraId="2AC9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5464DA7C">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778" w:type="dxa"/>
            <w:vAlign w:val="center"/>
          </w:tcPr>
          <w:p w14:paraId="3C1EBCE9">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024205C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9E4293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010DE3E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0CEBB80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49FFD27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639F01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27BD78A1">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0.01</w:t>
            </w:r>
            <w:r>
              <w:rPr>
                <w:color w:val="000000" w:themeColor="text1"/>
                <w14:textFill>
                  <w14:solidFill>
                    <w14:schemeClr w14:val="tx1"/>
                  </w14:solidFill>
                </w14:textFill>
              </w:rPr>
              <w:t>mg/L</w:t>
            </w:r>
          </w:p>
        </w:tc>
      </w:tr>
      <w:tr w14:paraId="28D5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107883C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三氯甲烷</w:t>
            </w:r>
          </w:p>
        </w:tc>
        <w:tc>
          <w:tcPr>
            <w:tcW w:w="778" w:type="dxa"/>
            <w:vAlign w:val="center"/>
          </w:tcPr>
          <w:p w14:paraId="7A6433B2">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1201BA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77D2271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432919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3075D6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C96868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5B350D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7B312E9B">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60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595F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2F81C57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四氯化碳</w:t>
            </w:r>
          </w:p>
        </w:tc>
        <w:tc>
          <w:tcPr>
            <w:tcW w:w="778" w:type="dxa"/>
            <w:vAlign w:val="center"/>
          </w:tcPr>
          <w:p w14:paraId="2081C778">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2DCDFA8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5210956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6141AA5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F310F2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081FC19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553411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25F594EF">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1E94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38039C8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苯</w:t>
            </w:r>
          </w:p>
        </w:tc>
        <w:tc>
          <w:tcPr>
            <w:tcW w:w="778" w:type="dxa"/>
            <w:vAlign w:val="center"/>
          </w:tcPr>
          <w:p w14:paraId="7D98EA50">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6E62084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1E395E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2FBB01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1C9F3A0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2381BF9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39FBB4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1E162B2">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457A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3561D30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甲苯</w:t>
            </w:r>
          </w:p>
        </w:tc>
        <w:tc>
          <w:tcPr>
            <w:tcW w:w="778" w:type="dxa"/>
            <w:vAlign w:val="center"/>
          </w:tcPr>
          <w:p w14:paraId="04E8C4A7">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0CCF4B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01D5C7B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015C3F7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4AFB1B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E6A912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94F784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78C555D0">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700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1682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75121A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石油烃（C10-C40）</w:t>
            </w:r>
          </w:p>
        </w:tc>
        <w:tc>
          <w:tcPr>
            <w:tcW w:w="778" w:type="dxa"/>
            <w:vAlign w:val="center"/>
          </w:tcPr>
          <w:p w14:paraId="529F7A71">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4B292F9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0.32</w:t>
            </w:r>
          </w:p>
        </w:tc>
        <w:tc>
          <w:tcPr>
            <w:tcW w:w="733" w:type="dxa"/>
            <w:vAlign w:val="center"/>
          </w:tcPr>
          <w:p w14:paraId="0612CAC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19FB27B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0.34</w:t>
            </w:r>
          </w:p>
        </w:tc>
        <w:tc>
          <w:tcPr>
            <w:tcW w:w="698" w:type="dxa"/>
            <w:vAlign w:val="center"/>
          </w:tcPr>
          <w:p w14:paraId="532F5A0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5A9D30A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0.42</w:t>
            </w:r>
          </w:p>
        </w:tc>
        <w:tc>
          <w:tcPr>
            <w:tcW w:w="790" w:type="dxa"/>
            <w:vAlign w:val="center"/>
          </w:tcPr>
          <w:p w14:paraId="5B616C4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4383132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4AE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restart"/>
            <w:vAlign w:val="center"/>
          </w:tcPr>
          <w:p w14:paraId="1B00CE0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多环芳烃</w:t>
            </w:r>
          </w:p>
        </w:tc>
        <w:tc>
          <w:tcPr>
            <w:tcW w:w="889" w:type="dxa"/>
            <w:vAlign w:val="center"/>
          </w:tcPr>
          <w:p w14:paraId="08EC493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萘</w:t>
            </w:r>
          </w:p>
        </w:tc>
        <w:tc>
          <w:tcPr>
            <w:tcW w:w="778" w:type="dxa"/>
            <w:vAlign w:val="center"/>
          </w:tcPr>
          <w:p w14:paraId="6BC1B40B">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01250DE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0591F1D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4AF87A8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982AC0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650E6E9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5B5A63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4B591FF">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53E0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50512FDA">
            <w:pPr>
              <w:pStyle w:val="109"/>
              <w:rPr>
                <w:color w:val="000000" w:themeColor="text1"/>
                <w14:textFill>
                  <w14:solidFill>
                    <w14:schemeClr w14:val="tx1"/>
                  </w14:solidFill>
                </w14:textFill>
              </w:rPr>
            </w:pPr>
          </w:p>
        </w:tc>
        <w:tc>
          <w:tcPr>
            <w:tcW w:w="889" w:type="dxa"/>
            <w:vAlign w:val="center"/>
          </w:tcPr>
          <w:p w14:paraId="55A59B7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苊</w:t>
            </w:r>
          </w:p>
        </w:tc>
        <w:tc>
          <w:tcPr>
            <w:tcW w:w="778" w:type="dxa"/>
            <w:vAlign w:val="center"/>
          </w:tcPr>
          <w:p w14:paraId="4D4A9CFE">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427597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451A51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3B37C00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64CE570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5AEDB83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6CC17F9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64944C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6CD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6C740FAE">
            <w:pPr>
              <w:pStyle w:val="109"/>
              <w:rPr>
                <w:color w:val="000000" w:themeColor="text1"/>
                <w14:textFill>
                  <w14:solidFill>
                    <w14:schemeClr w14:val="tx1"/>
                  </w14:solidFill>
                </w14:textFill>
              </w:rPr>
            </w:pPr>
          </w:p>
        </w:tc>
        <w:tc>
          <w:tcPr>
            <w:tcW w:w="889" w:type="dxa"/>
            <w:vAlign w:val="center"/>
          </w:tcPr>
          <w:p w14:paraId="3B8A6E2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芴</w:t>
            </w:r>
          </w:p>
        </w:tc>
        <w:tc>
          <w:tcPr>
            <w:tcW w:w="778" w:type="dxa"/>
            <w:vAlign w:val="center"/>
          </w:tcPr>
          <w:p w14:paraId="48B00C28">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24CF336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BF393D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0A7C6DE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629066D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58C5597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2605CF2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47E9938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533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61DA30CC">
            <w:pPr>
              <w:pStyle w:val="109"/>
              <w:rPr>
                <w:color w:val="000000" w:themeColor="text1"/>
                <w14:textFill>
                  <w14:solidFill>
                    <w14:schemeClr w14:val="tx1"/>
                  </w14:solidFill>
                </w14:textFill>
              </w:rPr>
            </w:pPr>
          </w:p>
        </w:tc>
        <w:tc>
          <w:tcPr>
            <w:tcW w:w="889" w:type="dxa"/>
            <w:vAlign w:val="center"/>
          </w:tcPr>
          <w:p w14:paraId="0A8EECE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二氢苊</w:t>
            </w:r>
          </w:p>
        </w:tc>
        <w:tc>
          <w:tcPr>
            <w:tcW w:w="778" w:type="dxa"/>
            <w:vAlign w:val="center"/>
          </w:tcPr>
          <w:p w14:paraId="28226DB9">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4BD820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D752D2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352C67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99519D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580C95E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5DEDD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01F5FE9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58E2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34A29DC4">
            <w:pPr>
              <w:pStyle w:val="109"/>
              <w:rPr>
                <w:color w:val="000000" w:themeColor="text1"/>
                <w14:textFill>
                  <w14:solidFill>
                    <w14:schemeClr w14:val="tx1"/>
                  </w14:solidFill>
                </w14:textFill>
              </w:rPr>
            </w:pPr>
          </w:p>
        </w:tc>
        <w:tc>
          <w:tcPr>
            <w:tcW w:w="889" w:type="dxa"/>
            <w:vAlign w:val="center"/>
          </w:tcPr>
          <w:p w14:paraId="5D8B411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菲</w:t>
            </w:r>
          </w:p>
        </w:tc>
        <w:tc>
          <w:tcPr>
            <w:tcW w:w="778" w:type="dxa"/>
            <w:vAlign w:val="center"/>
          </w:tcPr>
          <w:p w14:paraId="424C1359">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7B8F25E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DAF0B2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7F4CB6F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D13A74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605135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BC4454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33A1951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54C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08B79C09">
            <w:pPr>
              <w:pStyle w:val="109"/>
              <w:rPr>
                <w:color w:val="000000" w:themeColor="text1"/>
                <w14:textFill>
                  <w14:solidFill>
                    <w14:schemeClr w14:val="tx1"/>
                  </w14:solidFill>
                </w14:textFill>
              </w:rPr>
            </w:pPr>
          </w:p>
        </w:tc>
        <w:tc>
          <w:tcPr>
            <w:tcW w:w="889" w:type="dxa"/>
            <w:vAlign w:val="center"/>
          </w:tcPr>
          <w:p w14:paraId="06E9BB72">
            <w:pPr>
              <w:pStyle w:val="109"/>
              <w:rPr>
                <w:color w:val="000000" w:themeColor="text1"/>
                <w14:textFill>
                  <w14:solidFill>
                    <w14:schemeClr w14:val="tx1"/>
                  </w14:solidFill>
                </w14:textFill>
              </w:rPr>
            </w:pPr>
            <w:r>
              <w:rPr>
                <w:color w:val="000000" w:themeColor="text1"/>
                <w14:textFill>
                  <w14:solidFill>
                    <w14:schemeClr w14:val="tx1"/>
                  </w14:solidFill>
                </w14:textFill>
              </w:rPr>
              <w:t>蒽</w:t>
            </w:r>
          </w:p>
        </w:tc>
        <w:tc>
          <w:tcPr>
            <w:tcW w:w="778" w:type="dxa"/>
            <w:vAlign w:val="center"/>
          </w:tcPr>
          <w:p w14:paraId="4FC8C467">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642381E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13B56A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1C7744E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69BAA7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CE7487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0FD3974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43606D44">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1800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3947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4A7DE266">
            <w:pPr>
              <w:pStyle w:val="109"/>
              <w:rPr>
                <w:color w:val="000000" w:themeColor="text1"/>
                <w14:textFill>
                  <w14:solidFill>
                    <w14:schemeClr w14:val="tx1"/>
                  </w14:solidFill>
                </w14:textFill>
              </w:rPr>
            </w:pPr>
          </w:p>
        </w:tc>
        <w:tc>
          <w:tcPr>
            <w:tcW w:w="889" w:type="dxa"/>
            <w:vAlign w:val="center"/>
          </w:tcPr>
          <w:p w14:paraId="5A633360">
            <w:pPr>
              <w:pStyle w:val="109"/>
              <w:rPr>
                <w:color w:val="000000" w:themeColor="text1"/>
                <w14:textFill>
                  <w14:solidFill>
                    <w14:schemeClr w14:val="tx1"/>
                  </w14:solidFill>
                </w14:textFill>
              </w:rPr>
            </w:pPr>
            <w:r>
              <w:rPr>
                <w:color w:val="000000" w:themeColor="text1"/>
                <w14:textFill>
                  <w14:solidFill>
                    <w14:schemeClr w14:val="tx1"/>
                  </w14:solidFill>
                </w14:textFill>
              </w:rPr>
              <w:t>荧蒽</w:t>
            </w:r>
          </w:p>
        </w:tc>
        <w:tc>
          <w:tcPr>
            <w:tcW w:w="778" w:type="dxa"/>
            <w:vAlign w:val="center"/>
          </w:tcPr>
          <w:p w14:paraId="2AB6DF4A">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44A0E58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6B938A5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162E50C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09DE4F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0ABB6F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6980D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25C481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240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1CC5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0AA37BFC">
            <w:pPr>
              <w:pStyle w:val="109"/>
              <w:rPr>
                <w:color w:val="000000" w:themeColor="text1"/>
                <w14:textFill>
                  <w14:solidFill>
                    <w14:schemeClr w14:val="tx1"/>
                  </w14:solidFill>
                </w14:textFill>
              </w:rPr>
            </w:pPr>
          </w:p>
        </w:tc>
        <w:tc>
          <w:tcPr>
            <w:tcW w:w="889" w:type="dxa"/>
            <w:vAlign w:val="center"/>
          </w:tcPr>
          <w:p w14:paraId="3CD8382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芘</w:t>
            </w:r>
          </w:p>
        </w:tc>
        <w:tc>
          <w:tcPr>
            <w:tcW w:w="778" w:type="dxa"/>
            <w:vAlign w:val="center"/>
          </w:tcPr>
          <w:p w14:paraId="4DEF268E">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6AA6EF1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21307AC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BE35AE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C22CFE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E8F443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9389D4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0BF6F94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226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697F98A7">
            <w:pPr>
              <w:pStyle w:val="109"/>
              <w:rPr>
                <w:color w:val="000000" w:themeColor="text1"/>
                <w14:textFill>
                  <w14:solidFill>
                    <w14:schemeClr w14:val="tx1"/>
                  </w14:solidFill>
                </w14:textFill>
              </w:rPr>
            </w:pPr>
          </w:p>
        </w:tc>
        <w:tc>
          <w:tcPr>
            <w:tcW w:w="889" w:type="dxa"/>
            <w:vAlign w:val="center"/>
          </w:tcPr>
          <w:p w14:paraId="5F102CE3">
            <w:pPr>
              <w:pStyle w:val="109"/>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778" w:type="dxa"/>
            <w:vAlign w:val="center"/>
          </w:tcPr>
          <w:p w14:paraId="0A96E1BA">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595E473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10DE7D4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4279733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484533E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21E536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17A092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71BE073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6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43422FC6">
            <w:pPr>
              <w:pStyle w:val="109"/>
              <w:rPr>
                <w:color w:val="000000" w:themeColor="text1"/>
                <w14:textFill>
                  <w14:solidFill>
                    <w14:schemeClr w14:val="tx1"/>
                  </w14:solidFill>
                </w14:textFill>
              </w:rPr>
            </w:pPr>
          </w:p>
        </w:tc>
        <w:tc>
          <w:tcPr>
            <w:tcW w:w="889" w:type="dxa"/>
            <w:vAlign w:val="center"/>
          </w:tcPr>
          <w:p w14:paraId="5D2F9432">
            <w:pPr>
              <w:pStyle w:val="109"/>
              <w:rPr>
                <w:color w:val="000000" w:themeColor="text1"/>
                <w14:textFill>
                  <w14:solidFill>
                    <w14:schemeClr w14:val="tx1"/>
                  </w14:solidFill>
                </w14:textFill>
              </w:rPr>
            </w:pPr>
            <w:r>
              <w:rPr>
                <w:color w:val="000000" w:themeColor="text1"/>
                <w14:textFill>
                  <w14:solidFill>
                    <w14:schemeClr w14:val="tx1"/>
                  </w14:solidFill>
                </w14:textFill>
              </w:rPr>
              <w:t>苯并[a]蒽</w:t>
            </w:r>
          </w:p>
        </w:tc>
        <w:tc>
          <w:tcPr>
            <w:tcW w:w="778" w:type="dxa"/>
            <w:vAlign w:val="center"/>
          </w:tcPr>
          <w:p w14:paraId="05553722">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3130B53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4A5031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3973F90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1251E1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78003A0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3BC04C4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B3A4EB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5CB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622E2727">
            <w:pPr>
              <w:pStyle w:val="109"/>
              <w:rPr>
                <w:color w:val="000000" w:themeColor="text1"/>
                <w14:textFill>
                  <w14:solidFill>
                    <w14:schemeClr w14:val="tx1"/>
                  </w14:solidFill>
                </w14:textFill>
              </w:rPr>
            </w:pPr>
          </w:p>
        </w:tc>
        <w:tc>
          <w:tcPr>
            <w:tcW w:w="889" w:type="dxa"/>
            <w:vAlign w:val="center"/>
          </w:tcPr>
          <w:p w14:paraId="1FA0E6AD">
            <w:pPr>
              <w:pStyle w:val="109"/>
              <w:rPr>
                <w:color w:val="000000" w:themeColor="text1"/>
                <w14:textFill>
                  <w14:solidFill>
                    <w14:schemeClr w14:val="tx1"/>
                  </w14:solidFill>
                </w14:textFill>
              </w:rPr>
            </w:pPr>
            <w:r>
              <w:rPr>
                <w:color w:val="000000" w:themeColor="text1"/>
                <w14:textFill>
                  <w14:solidFill>
                    <w14:schemeClr w14:val="tx1"/>
                  </w14:solidFill>
                </w14:textFill>
              </w:rPr>
              <w:t>苯并[a]芘</w:t>
            </w:r>
          </w:p>
        </w:tc>
        <w:tc>
          <w:tcPr>
            <w:tcW w:w="778" w:type="dxa"/>
            <w:vAlign w:val="center"/>
          </w:tcPr>
          <w:p w14:paraId="7ABE36B6">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6E45E95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0B1586F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3E6D1B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5909727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5A781BA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CCA0E9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7E9E9BC8">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0.01</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1396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00AACA9B">
            <w:pPr>
              <w:pStyle w:val="109"/>
              <w:rPr>
                <w:color w:val="000000" w:themeColor="text1"/>
                <w14:textFill>
                  <w14:solidFill>
                    <w14:schemeClr w14:val="tx1"/>
                  </w14:solidFill>
                </w14:textFill>
              </w:rPr>
            </w:pPr>
          </w:p>
        </w:tc>
        <w:tc>
          <w:tcPr>
            <w:tcW w:w="889" w:type="dxa"/>
            <w:vAlign w:val="center"/>
          </w:tcPr>
          <w:p w14:paraId="332B3CD4">
            <w:pPr>
              <w:pStyle w:val="109"/>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778" w:type="dxa"/>
            <w:vAlign w:val="center"/>
          </w:tcPr>
          <w:p w14:paraId="1CC9646A">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751DFBD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1A53CB6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1BADF6C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7BE0B5A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76A6FDC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F6270D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7E90C9B0">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6258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0CA45CF7">
            <w:pPr>
              <w:pStyle w:val="109"/>
              <w:rPr>
                <w:color w:val="000000" w:themeColor="text1"/>
                <w14:textFill>
                  <w14:solidFill>
                    <w14:schemeClr w14:val="tx1"/>
                  </w14:solidFill>
                </w14:textFill>
              </w:rPr>
            </w:pPr>
          </w:p>
        </w:tc>
        <w:tc>
          <w:tcPr>
            <w:tcW w:w="889" w:type="dxa"/>
            <w:vAlign w:val="center"/>
          </w:tcPr>
          <w:p w14:paraId="188F28D4">
            <w:pPr>
              <w:pStyle w:val="109"/>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778" w:type="dxa"/>
            <w:vAlign w:val="center"/>
          </w:tcPr>
          <w:p w14:paraId="471E103A">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6761584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1C84D2D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2E9978A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50B6130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7405D40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1EA314F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7168F3A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DE6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028D8814">
            <w:pPr>
              <w:pStyle w:val="109"/>
              <w:rPr>
                <w:color w:val="000000" w:themeColor="text1"/>
                <w14:textFill>
                  <w14:solidFill>
                    <w14:schemeClr w14:val="tx1"/>
                  </w14:solidFill>
                </w14:textFill>
              </w:rPr>
            </w:pPr>
          </w:p>
        </w:tc>
        <w:tc>
          <w:tcPr>
            <w:tcW w:w="889" w:type="dxa"/>
            <w:vAlign w:val="center"/>
          </w:tcPr>
          <w:p w14:paraId="0AAA2BC1">
            <w:pPr>
              <w:pStyle w:val="109"/>
              <w:rPr>
                <w:color w:val="000000" w:themeColor="text1"/>
                <w14:textFill>
                  <w14:solidFill>
                    <w14:schemeClr w14:val="tx1"/>
                  </w14:solidFill>
                </w14:textFill>
              </w:rPr>
            </w:pPr>
            <w:r>
              <w:rPr>
                <w:color w:val="000000" w:themeColor="text1"/>
                <w14:textFill>
                  <w14:solidFill>
                    <w14:schemeClr w14:val="tx1"/>
                  </w14:solidFill>
                </w14:textFill>
              </w:rPr>
              <w:t>二苯并[a,h]蒽</w:t>
            </w:r>
          </w:p>
        </w:tc>
        <w:tc>
          <w:tcPr>
            <w:tcW w:w="778" w:type="dxa"/>
            <w:vAlign w:val="center"/>
          </w:tcPr>
          <w:p w14:paraId="3D5D3F57">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3D53CE3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531B6BA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DFCA9D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410BCF2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7D17F52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1B2479B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15D287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E67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2DE5734E">
            <w:pPr>
              <w:pStyle w:val="109"/>
              <w:rPr>
                <w:color w:val="000000" w:themeColor="text1"/>
                <w14:textFill>
                  <w14:solidFill>
                    <w14:schemeClr w14:val="tx1"/>
                  </w14:solidFill>
                </w14:textFill>
              </w:rPr>
            </w:pPr>
          </w:p>
        </w:tc>
        <w:tc>
          <w:tcPr>
            <w:tcW w:w="889" w:type="dxa"/>
            <w:vAlign w:val="center"/>
          </w:tcPr>
          <w:p w14:paraId="56854C74">
            <w:pPr>
              <w:pStyle w:val="109"/>
              <w:rPr>
                <w:color w:val="000000" w:themeColor="text1"/>
                <w14:textFill>
                  <w14:solidFill>
                    <w14:schemeClr w14:val="tx1"/>
                  </w14:solidFill>
                </w14:textFill>
              </w:rPr>
            </w:pPr>
            <w:r>
              <w:rPr>
                <w:color w:val="000000" w:themeColor="text1"/>
                <w14:textFill>
                  <w14:solidFill>
                    <w14:schemeClr w14:val="tx1"/>
                  </w14:solidFill>
                </w14:textFill>
              </w:rPr>
              <w:t>茚并[1,2,3-cd]芘</w:t>
            </w:r>
          </w:p>
        </w:tc>
        <w:tc>
          <w:tcPr>
            <w:tcW w:w="778" w:type="dxa"/>
            <w:vAlign w:val="center"/>
          </w:tcPr>
          <w:p w14:paraId="52D2E52B">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7FAE731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62823CB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395FAF4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6D390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D58A5C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6CDD7B2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07CA13D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3C2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188C05EF">
            <w:pPr>
              <w:pStyle w:val="109"/>
              <w:rPr>
                <w:color w:val="000000" w:themeColor="text1"/>
                <w14:textFill>
                  <w14:solidFill>
                    <w14:schemeClr w14:val="tx1"/>
                  </w14:solidFill>
                </w14:textFill>
              </w:rPr>
            </w:pPr>
          </w:p>
        </w:tc>
        <w:tc>
          <w:tcPr>
            <w:tcW w:w="889" w:type="dxa"/>
            <w:vAlign w:val="center"/>
          </w:tcPr>
          <w:p w14:paraId="4ECC69A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苯并[g,h,i]芘</w:t>
            </w:r>
          </w:p>
        </w:tc>
        <w:tc>
          <w:tcPr>
            <w:tcW w:w="778" w:type="dxa"/>
            <w:vAlign w:val="center"/>
          </w:tcPr>
          <w:p w14:paraId="12FF1979">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5F80E19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6E5B454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3E7CC1E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53288F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5625F6A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097414B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454ADB1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4A5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restart"/>
            <w:vAlign w:val="center"/>
          </w:tcPr>
          <w:p w14:paraId="431732F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多氯联苯（总量）</w:t>
            </w:r>
          </w:p>
        </w:tc>
        <w:tc>
          <w:tcPr>
            <w:tcW w:w="889" w:type="dxa"/>
            <w:vAlign w:val="center"/>
          </w:tcPr>
          <w:p w14:paraId="6C0C34E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PCB-28</w:t>
            </w:r>
          </w:p>
        </w:tc>
        <w:tc>
          <w:tcPr>
            <w:tcW w:w="778" w:type="dxa"/>
            <w:vAlign w:val="center"/>
          </w:tcPr>
          <w:p w14:paraId="2B577590">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5545ECC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769880F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398E0F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AFC58F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2DED329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FBB0CF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Merge w:val="restart"/>
            <w:vAlign w:val="center"/>
          </w:tcPr>
          <w:p w14:paraId="45EE5E50">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0.5</w:t>
            </w:r>
            <w:r>
              <w:rPr>
                <w:color w:val="000000" w:themeColor="text1"/>
                <w14:textFill>
                  <w14:solidFill>
                    <w14:schemeClr w14:val="tx1"/>
                  </w14:solidFill>
                </w14:textFill>
              </w:rPr>
              <w:t>μg/L</w:t>
            </w:r>
          </w:p>
        </w:tc>
      </w:tr>
      <w:tr w14:paraId="7FD8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2B2D5D12">
            <w:pPr>
              <w:pStyle w:val="109"/>
              <w:rPr>
                <w:color w:val="000000" w:themeColor="text1"/>
                <w14:textFill>
                  <w14:solidFill>
                    <w14:schemeClr w14:val="tx1"/>
                  </w14:solidFill>
                </w14:textFill>
              </w:rPr>
            </w:pPr>
          </w:p>
        </w:tc>
        <w:tc>
          <w:tcPr>
            <w:tcW w:w="889" w:type="dxa"/>
            <w:vAlign w:val="center"/>
          </w:tcPr>
          <w:p w14:paraId="0658477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PCB-52</w:t>
            </w:r>
          </w:p>
        </w:tc>
        <w:tc>
          <w:tcPr>
            <w:tcW w:w="778" w:type="dxa"/>
            <w:vAlign w:val="center"/>
          </w:tcPr>
          <w:p w14:paraId="03B993F8">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016E436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7E1B68C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7C8F8F4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A77AAD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4BE11E0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1649769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Merge w:val="continue"/>
            <w:vAlign w:val="center"/>
          </w:tcPr>
          <w:p w14:paraId="1B57515B">
            <w:pPr>
              <w:pStyle w:val="109"/>
              <w:rPr>
                <w:color w:val="000000" w:themeColor="text1"/>
                <w14:textFill>
                  <w14:solidFill>
                    <w14:schemeClr w14:val="tx1"/>
                  </w14:solidFill>
                </w14:textFill>
              </w:rPr>
            </w:pPr>
          </w:p>
        </w:tc>
      </w:tr>
      <w:tr w14:paraId="292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39BE1159">
            <w:pPr>
              <w:pStyle w:val="109"/>
              <w:rPr>
                <w:color w:val="000000" w:themeColor="text1"/>
                <w14:textFill>
                  <w14:solidFill>
                    <w14:schemeClr w14:val="tx1"/>
                  </w14:solidFill>
                </w14:textFill>
              </w:rPr>
            </w:pPr>
          </w:p>
        </w:tc>
        <w:tc>
          <w:tcPr>
            <w:tcW w:w="889" w:type="dxa"/>
            <w:vAlign w:val="center"/>
          </w:tcPr>
          <w:p w14:paraId="4BAC534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PCB-101</w:t>
            </w:r>
          </w:p>
        </w:tc>
        <w:tc>
          <w:tcPr>
            <w:tcW w:w="778" w:type="dxa"/>
            <w:vAlign w:val="center"/>
          </w:tcPr>
          <w:p w14:paraId="2D03C3BB">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047896D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214012B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321A06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B88071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C84CD2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2DBF3C2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Merge w:val="continue"/>
            <w:vAlign w:val="center"/>
          </w:tcPr>
          <w:p w14:paraId="1C73FFC9">
            <w:pPr>
              <w:pStyle w:val="109"/>
              <w:rPr>
                <w:color w:val="000000" w:themeColor="text1"/>
                <w14:textFill>
                  <w14:solidFill>
                    <w14:schemeClr w14:val="tx1"/>
                  </w14:solidFill>
                </w14:textFill>
              </w:rPr>
            </w:pPr>
          </w:p>
        </w:tc>
      </w:tr>
      <w:tr w14:paraId="4605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126C6113">
            <w:pPr>
              <w:pStyle w:val="109"/>
              <w:rPr>
                <w:color w:val="000000" w:themeColor="text1"/>
                <w14:textFill>
                  <w14:solidFill>
                    <w14:schemeClr w14:val="tx1"/>
                  </w14:solidFill>
                </w14:textFill>
              </w:rPr>
            </w:pPr>
          </w:p>
        </w:tc>
        <w:tc>
          <w:tcPr>
            <w:tcW w:w="889" w:type="dxa"/>
            <w:vAlign w:val="center"/>
          </w:tcPr>
          <w:p w14:paraId="62D4E0D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PCB-118</w:t>
            </w:r>
          </w:p>
        </w:tc>
        <w:tc>
          <w:tcPr>
            <w:tcW w:w="778" w:type="dxa"/>
            <w:vAlign w:val="center"/>
          </w:tcPr>
          <w:p w14:paraId="1BC2176F">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0009BED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10EA01F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7C5A106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6337B2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200953A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20D9F8A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Merge w:val="continue"/>
            <w:vAlign w:val="center"/>
          </w:tcPr>
          <w:p w14:paraId="65248B69">
            <w:pPr>
              <w:pStyle w:val="109"/>
              <w:rPr>
                <w:color w:val="000000" w:themeColor="text1"/>
                <w14:textFill>
                  <w14:solidFill>
                    <w14:schemeClr w14:val="tx1"/>
                  </w14:solidFill>
                </w14:textFill>
              </w:rPr>
            </w:pPr>
          </w:p>
        </w:tc>
      </w:tr>
      <w:tr w14:paraId="4DC1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4DD76423">
            <w:pPr>
              <w:pStyle w:val="109"/>
              <w:rPr>
                <w:color w:val="000000" w:themeColor="text1"/>
                <w14:textFill>
                  <w14:solidFill>
                    <w14:schemeClr w14:val="tx1"/>
                  </w14:solidFill>
                </w14:textFill>
              </w:rPr>
            </w:pPr>
          </w:p>
        </w:tc>
        <w:tc>
          <w:tcPr>
            <w:tcW w:w="889" w:type="dxa"/>
            <w:vAlign w:val="center"/>
          </w:tcPr>
          <w:p w14:paraId="5B297E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PCB-138</w:t>
            </w:r>
          </w:p>
        </w:tc>
        <w:tc>
          <w:tcPr>
            <w:tcW w:w="778" w:type="dxa"/>
            <w:vAlign w:val="center"/>
          </w:tcPr>
          <w:p w14:paraId="61F69592">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4BD4F59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3DE0C0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38812E0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4ECFC48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3B3E7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7D6653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Merge w:val="continue"/>
            <w:vAlign w:val="center"/>
          </w:tcPr>
          <w:p w14:paraId="76F5C632">
            <w:pPr>
              <w:pStyle w:val="109"/>
              <w:rPr>
                <w:color w:val="000000" w:themeColor="text1"/>
                <w14:textFill>
                  <w14:solidFill>
                    <w14:schemeClr w14:val="tx1"/>
                  </w14:solidFill>
                </w14:textFill>
              </w:rPr>
            </w:pPr>
          </w:p>
        </w:tc>
      </w:tr>
      <w:tr w14:paraId="50F0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0D1FC9A9">
            <w:pPr>
              <w:pStyle w:val="109"/>
              <w:rPr>
                <w:color w:val="000000" w:themeColor="text1"/>
                <w14:textFill>
                  <w14:solidFill>
                    <w14:schemeClr w14:val="tx1"/>
                  </w14:solidFill>
                </w14:textFill>
              </w:rPr>
            </w:pPr>
          </w:p>
        </w:tc>
        <w:tc>
          <w:tcPr>
            <w:tcW w:w="889" w:type="dxa"/>
            <w:vAlign w:val="center"/>
          </w:tcPr>
          <w:p w14:paraId="1788207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PCB-153</w:t>
            </w:r>
          </w:p>
        </w:tc>
        <w:tc>
          <w:tcPr>
            <w:tcW w:w="778" w:type="dxa"/>
            <w:vAlign w:val="center"/>
          </w:tcPr>
          <w:p w14:paraId="5C52B81E">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6C6E41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5CE2D6B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0554134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0575759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062D356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0F6609C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Merge w:val="continue"/>
            <w:vAlign w:val="center"/>
          </w:tcPr>
          <w:p w14:paraId="58911571">
            <w:pPr>
              <w:pStyle w:val="109"/>
              <w:rPr>
                <w:color w:val="000000" w:themeColor="text1"/>
                <w14:textFill>
                  <w14:solidFill>
                    <w14:schemeClr w14:val="tx1"/>
                  </w14:solidFill>
                </w14:textFill>
              </w:rPr>
            </w:pPr>
          </w:p>
        </w:tc>
      </w:tr>
      <w:tr w14:paraId="435E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335A3325">
            <w:pPr>
              <w:pStyle w:val="109"/>
              <w:rPr>
                <w:color w:val="000000" w:themeColor="text1"/>
                <w14:textFill>
                  <w14:solidFill>
                    <w14:schemeClr w14:val="tx1"/>
                  </w14:solidFill>
                </w14:textFill>
              </w:rPr>
            </w:pPr>
          </w:p>
        </w:tc>
        <w:tc>
          <w:tcPr>
            <w:tcW w:w="889" w:type="dxa"/>
            <w:vAlign w:val="center"/>
          </w:tcPr>
          <w:p w14:paraId="2668EEC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PCB-180</w:t>
            </w:r>
          </w:p>
        </w:tc>
        <w:tc>
          <w:tcPr>
            <w:tcW w:w="778" w:type="dxa"/>
            <w:vAlign w:val="center"/>
          </w:tcPr>
          <w:p w14:paraId="229C3390">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5D72DFC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1B006FB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7AC9F0A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022339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2B21607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3A7DF1A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Merge w:val="continue"/>
            <w:vAlign w:val="center"/>
          </w:tcPr>
          <w:p w14:paraId="0CAC26EE">
            <w:pPr>
              <w:pStyle w:val="109"/>
              <w:rPr>
                <w:color w:val="000000" w:themeColor="text1"/>
                <w14:textFill>
                  <w14:solidFill>
                    <w14:schemeClr w14:val="tx1"/>
                  </w14:solidFill>
                </w14:textFill>
              </w:rPr>
            </w:pPr>
          </w:p>
        </w:tc>
      </w:tr>
      <w:tr w14:paraId="6568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0CF3DCF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乙苯</w:t>
            </w:r>
          </w:p>
        </w:tc>
        <w:tc>
          <w:tcPr>
            <w:tcW w:w="778" w:type="dxa"/>
            <w:vAlign w:val="center"/>
          </w:tcPr>
          <w:p w14:paraId="026FD023">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1690863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17A9C7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17D25F7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7CA471C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4BAEBA1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0924C39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26F5DA7">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300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3F00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dxa"/>
            <w:vMerge w:val="restart"/>
            <w:vAlign w:val="center"/>
          </w:tcPr>
          <w:p w14:paraId="7C49E5B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二甲苯</w:t>
            </w:r>
          </w:p>
        </w:tc>
        <w:tc>
          <w:tcPr>
            <w:tcW w:w="993" w:type="dxa"/>
            <w:gridSpan w:val="2"/>
            <w:vAlign w:val="center"/>
          </w:tcPr>
          <w:p w14:paraId="39FF7FA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间、对-二甲苯</w:t>
            </w:r>
          </w:p>
        </w:tc>
        <w:tc>
          <w:tcPr>
            <w:tcW w:w="778" w:type="dxa"/>
            <w:vAlign w:val="center"/>
          </w:tcPr>
          <w:p w14:paraId="19D18E47">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174BF46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57EB557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7A3A14A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2137893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6A97B32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58C0FDD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Merge w:val="restart"/>
            <w:vAlign w:val="center"/>
          </w:tcPr>
          <w:p w14:paraId="7ED7FC8B">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500</w:t>
            </w:r>
            <w:r>
              <w:rPr>
                <w:color w:val="000000" w:themeColor="text1"/>
                <w14:textFill>
                  <w14:solidFill>
                    <w14:schemeClr w14:val="tx1"/>
                  </w14:solidFill>
                </w14:textFill>
              </w:rPr>
              <w:t>μg/L</w:t>
            </w:r>
          </w:p>
        </w:tc>
      </w:tr>
      <w:tr w14:paraId="2519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dxa"/>
            <w:vMerge w:val="continue"/>
            <w:vAlign w:val="center"/>
          </w:tcPr>
          <w:p w14:paraId="0E1452FC">
            <w:pPr>
              <w:pStyle w:val="109"/>
              <w:rPr>
                <w:color w:val="000000" w:themeColor="text1"/>
                <w14:textFill>
                  <w14:solidFill>
                    <w14:schemeClr w14:val="tx1"/>
                  </w14:solidFill>
                </w14:textFill>
              </w:rPr>
            </w:pPr>
          </w:p>
        </w:tc>
        <w:tc>
          <w:tcPr>
            <w:tcW w:w="993" w:type="dxa"/>
            <w:gridSpan w:val="2"/>
            <w:vAlign w:val="center"/>
          </w:tcPr>
          <w:p w14:paraId="3CC04B7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邻-二甲苯</w:t>
            </w:r>
          </w:p>
        </w:tc>
        <w:tc>
          <w:tcPr>
            <w:tcW w:w="778" w:type="dxa"/>
            <w:vAlign w:val="center"/>
          </w:tcPr>
          <w:p w14:paraId="381AE2E0">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A7E876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631CBCE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6087BEF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52B5C36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2217013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6795916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Merge w:val="continue"/>
            <w:vAlign w:val="center"/>
          </w:tcPr>
          <w:p w14:paraId="6FF85676">
            <w:pPr>
              <w:pStyle w:val="109"/>
              <w:rPr>
                <w:color w:val="000000" w:themeColor="text1"/>
                <w14:textFill>
                  <w14:solidFill>
                    <w14:schemeClr w14:val="tx1"/>
                  </w14:solidFill>
                </w14:textFill>
              </w:rPr>
            </w:pPr>
          </w:p>
        </w:tc>
      </w:tr>
      <w:tr w14:paraId="341E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EBCBC7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苯乙烯</w:t>
            </w:r>
          </w:p>
        </w:tc>
        <w:tc>
          <w:tcPr>
            <w:tcW w:w="778" w:type="dxa"/>
            <w:vAlign w:val="center"/>
          </w:tcPr>
          <w:p w14:paraId="59969EFB">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025DF24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69255C1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94BFD8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534A4D4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64848FB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C89316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4639D7F2">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1898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0857001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氯乙烯</w:t>
            </w:r>
          </w:p>
        </w:tc>
        <w:tc>
          <w:tcPr>
            <w:tcW w:w="778" w:type="dxa"/>
            <w:vAlign w:val="center"/>
          </w:tcPr>
          <w:p w14:paraId="0CAA170B">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442C1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003A14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664E240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5EC95C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6DFE493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F4B6C0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1B7CAA28">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313F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2B3167B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1,1-二氯乙烯</w:t>
            </w:r>
          </w:p>
        </w:tc>
        <w:tc>
          <w:tcPr>
            <w:tcW w:w="778" w:type="dxa"/>
            <w:vAlign w:val="center"/>
          </w:tcPr>
          <w:p w14:paraId="216426EE">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1A36375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2CF5543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AAC1BB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17AF361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7BB9DB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339E9BF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6D26A29">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5241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CC757A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1,2-二氯乙烯</w:t>
            </w:r>
          </w:p>
        </w:tc>
        <w:tc>
          <w:tcPr>
            <w:tcW w:w="778" w:type="dxa"/>
            <w:vAlign w:val="center"/>
          </w:tcPr>
          <w:p w14:paraId="3679B120">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58CF95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C47050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0B97D56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5AE2825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EAE5C9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2227CF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402122D1">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1AB3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342EBEF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三氯乙烯</w:t>
            </w:r>
          </w:p>
        </w:tc>
        <w:tc>
          <w:tcPr>
            <w:tcW w:w="778" w:type="dxa"/>
            <w:vAlign w:val="center"/>
          </w:tcPr>
          <w:p w14:paraId="0061365F">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2C6F7AC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BC715B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2F97FB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74A75CC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53A011C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3ED7732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A6AB521">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70.0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58A7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75EC2A2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四氯乙烯</w:t>
            </w:r>
          </w:p>
        </w:tc>
        <w:tc>
          <w:tcPr>
            <w:tcW w:w="778" w:type="dxa"/>
            <w:vAlign w:val="center"/>
          </w:tcPr>
          <w:p w14:paraId="0019F01D">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E1D493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48DFA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15BCBCC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04A2CB8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7467AEF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48B05CA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30DE3BC5">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0A52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366FF6E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1,2-二氯丙烷</w:t>
            </w:r>
          </w:p>
        </w:tc>
        <w:tc>
          <w:tcPr>
            <w:tcW w:w="778" w:type="dxa"/>
            <w:vAlign w:val="center"/>
          </w:tcPr>
          <w:p w14:paraId="0060E813">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20B3CBB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2C99ED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2848FD1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1322B92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6258D1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59A2A49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4F910AA6">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09C1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14862A8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二氯甲烷</w:t>
            </w:r>
          </w:p>
        </w:tc>
        <w:tc>
          <w:tcPr>
            <w:tcW w:w="778" w:type="dxa"/>
            <w:vAlign w:val="center"/>
          </w:tcPr>
          <w:p w14:paraId="7A1AAA20">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6BFD7E1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76DB2AE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10A6F3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185A20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548A534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59A8A16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3543EBF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39D5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5536053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1,2-二氯乙烷</w:t>
            </w:r>
          </w:p>
        </w:tc>
        <w:tc>
          <w:tcPr>
            <w:tcW w:w="778" w:type="dxa"/>
            <w:vAlign w:val="center"/>
          </w:tcPr>
          <w:p w14:paraId="14720C3C">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64C0EB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5EDCA5A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1CB82D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076701B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5B8B4C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69FAEE3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A924E62">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621F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061FBC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1,1,1,-三氯乙烷</w:t>
            </w:r>
          </w:p>
        </w:tc>
        <w:tc>
          <w:tcPr>
            <w:tcW w:w="778" w:type="dxa"/>
            <w:vAlign w:val="center"/>
          </w:tcPr>
          <w:p w14:paraId="2A0439D0">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F2AAF7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239A25F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6BAF8EB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49029A0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03DB1A1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0783C1C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4AD2988">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2000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5D99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446877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1,1,2-三氯乙烷</w:t>
            </w:r>
          </w:p>
        </w:tc>
        <w:tc>
          <w:tcPr>
            <w:tcW w:w="778" w:type="dxa"/>
            <w:vAlign w:val="center"/>
          </w:tcPr>
          <w:p w14:paraId="00C76960">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D22417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263772C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383A8F1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991111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0D48A89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3778ACE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2B8D0F87">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5012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632D3B3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778" w:type="dxa"/>
            <w:vAlign w:val="center"/>
          </w:tcPr>
          <w:p w14:paraId="594644C3">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77C8D01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6DE5029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05A11FB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114A86A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731B651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7D03043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77C4B2F9">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0.02</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0ECA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03D92F2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钴</w:t>
            </w:r>
          </w:p>
        </w:tc>
        <w:tc>
          <w:tcPr>
            <w:tcW w:w="778" w:type="dxa"/>
            <w:vAlign w:val="center"/>
          </w:tcPr>
          <w:p w14:paraId="3DF1A5A8">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7A6CFF5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428D6AC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46452B2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66965EF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1C6597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2161F58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46142B35">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0.05</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7743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05B113C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钼</w:t>
            </w:r>
          </w:p>
        </w:tc>
        <w:tc>
          <w:tcPr>
            <w:tcW w:w="778" w:type="dxa"/>
            <w:vAlign w:val="center"/>
          </w:tcPr>
          <w:p w14:paraId="754FFDF2">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18CE328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974A05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4A37C76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58EA85A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381718F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69256A6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B701E34">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0.07</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0314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7464C2A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镁</w:t>
            </w:r>
          </w:p>
        </w:tc>
        <w:tc>
          <w:tcPr>
            <w:tcW w:w="778" w:type="dxa"/>
            <w:vAlign w:val="center"/>
          </w:tcPr>
          <w:p w14:paraId="588C945A">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24241B2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188</w:t>
            </w:r>
          </w:p>
        </w:tc>
        <w:tc>
          <w:tcPr>
            <w:tcW w:w="733" w:type="dxa"/>
            <w:vAlign w:val="center"/>
          </w:tcPr>
          <w:p w14:paraId="1831CA6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492ED69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292</w:t>
            </w:r>
          </w:p>
        </w:tc>
        <w:tc>
          <w:tcPr>
            <w:tcW w:w="698" w:type="dxa"/>
            <w:vAlign w:val="center"/>
          </w:tcPr>
          <w:p w14:paraId="24EA49E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4B21D27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1516</w:t>
            </w:r>
          </w:p>
        </w:tc>
        <w:tc>
          <w:tcPr>
            <w:tcW w:w="790" w:type="dxa"/>
            <w:vAlign w:val="center"/>
          </w:tcPr>
          <w:p w14:paraId="6B95391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6BBF0D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3C0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32AE1AD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氯苯</w:t>
            </w:r>
          </w:p>
        </w:tc>
        <w:tc>
          <w:tcPr>
            <w:tcW w:w="778" w:type="dxa"/>
            <w:vAlign w:val="center"/>
          </w:tcPr>
          <w:p w14:paraId="5C486F44">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61E1674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1F441E5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134D63C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1AFA61A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281F82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1F199C8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3496AEE6">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300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6B1A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restart"/>
            <w:vAlign w:val="center"/>
          </w:tcPr>
          <w:p w14:paraId="5D33928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三氯苯</w:t>
            </w:r>
          </w:p>
        </w:tc>
        <w:tc>
          <w:tcPr>
            <w:tcW w:w="889" w:type="dxa"/>
            <w:vAlign w:val="center"/>
          </w:tcPr>
          <w:p w14:paraId="1E8A5F5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1,2,4三氯苯</w:t>
            </w:r>
          </w:p>
        </w:tc>
        <w:tc>
          <w:tcPr>
            <w:tcW w:w="778" w:type="dxa"/>
            <w:vAlign w:val="center"/>
          </w:tcPr>
          <w:p w14:paraId="3D78CCA6">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5E4FC4A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539593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7421A06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4913531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0567010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5B9E5BE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653987C2">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6D39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gridSpan w:val="2"/>
            <w:vMerge w:val="continue"/>
            <w:vAlign w:val="center"/>
          </w:tcPr>
          <w:p w14:paraId="62E05A2B">
            <w:pPr>
              <w:pStyle w:val="109"/>
              <w:rPr>
                <w:color w:val="000000" w:themeColor="text1"/>
                <w14:textFill>
                  <w14:solidFill>
                    <w14:schemeClr w14:val="tx1"/>
                  </w14:solidFill>
                </w14:textFill>
              </w:rPr>
            </w:pPr>
          </w:p>
        </w:tc>
        <w:tc>
          <w:tcPr>
            <w:tcW w:w="889" w:type="dxa"/>
            <w:vAlign w:val="center"/>
          </w:tcPr>
          <w:p w14:paraId="53F004F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1,2,3三氯苯</w:t>
            </w:r>
          </w:p>
        </w:tc>
        <w:tc>
          <w:tcPr>
            <w:tcW w:w="778" w:type="dxa"/>
            <w:vAlign w:val="center"/>
          </w:tcPr>
          <w:p w14:paraId="39FADC9B">
            <w:pPr>
              <w:pStyle w:val="109"/>
              <w:rPr>
                <w:color w:val="000000" w:themeColor="text1"/>
                <w14:textFill>
                  <w14:solidFill>
                    <w14:schemeClr w14:val="tx1"/>
                  </w14:solidFill>
                </w14:textFill>
              </w:rPr>
            </w:pP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c>
          <w:tcPr>
            <w:tcW w:w="1000" w:type="dxa"/>
            <w:vAlign w:val="center"/>
          </w:tcPr>
          <w:p w14:paraId="67EE099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1F2B32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46D0D6E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54D265E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269BB83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3EF6EE6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22247F6C">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7447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3FC806D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邻苯二甲酸二（乙-乙基己基）酯</w:t>
            </w:r>
          </w:p>
        </w:tc>
        <w:tc>
          <w:tcPr>
            <w:tcW w:w="778" w:type="dxa"/>
            <w:vAlign w:val="center"/>
          </w:tcPr>
          <w:p w14:paraId="77BB9B34">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733E1B1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30A13AB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3456225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6771709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05F89D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2DD1733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73DADF7">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μg/</w:t>
            </w:r>
            <w:r>
              <w:rPr>
                <w:rFonts w:hint="eastAsia"/>
                <w:color w:val="000000" w:themeColor="text1"/>
                <w14:textFill>
                  <w14:solidFill>
                    <w14:schemeClr w14:val="tx1"/>
                  </w14:solidFill>
                </w14:textFill>
              </w:rPr>
              <w:t>L</w:t>
            </w:r>
          </w:p>
        </w:tc>
      </w:tr>
      <w:tr w14:paraId="52AB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0041D90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铊</w:t>
            </w:r>
          </w:p>
        </w:tc>
        <w:tc>
          <w:tcPr>
            <w:tcW w:w="778" w:type="dxa"/>
            <w:vAlign w:val="center"/>
          </w:tcPr>
          <w:p w14:paraId="79306192">
            <w:pPr>
              <w:pStyle w:val="109"/>
              <w:rPr>
                <w:color w:val="000000" w:themeColor="text1"/>
                <w14:textFill>
                  <w14:solidFill>
                    <w14:schemeClr w14:val="tx1"/>
                  </w14:solidFill>
                </w14:textFill>
              </w:rPr>
            </w:pPr>
            <w:r>
              <w:rPr>
                <w:color w:val="000000" w:themeColor="text1"/>
                <w14:textFill>
                  <w14:solidFill>
                    <w14:schemeClr w14:val="tx1"/>
                  </w14:solidFill>
                </w14:textFill>
              </w:rPr>
              <w:t>μg/L</w:t>
            </w:r>
          </w:p>
        </w:tc>
        <w:tc>
          <w:tcPr>
            <w:tcW w:w="1000" w:type="dxa"/>
            <w:vAlign w:val="center"/>
          </w:tcPr>
          <w:p w14:paraId="501C11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33" w:type="dxa"/>
            <w:vAlign w:val="center"/>
          </w:tcPr>
          <w:p w14:paraId="5FD586B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1D9D3D6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698" w:type="dxa"/>
            <w:vAlign w:val="center"/>
          </w:tcPr>
          <w:p w14:paraId="344A1B2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1A003C2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未检出</w:t>
            </w:r>
          </w:p>
        </w:tc>
        <w:tc>
          <w:tcPr>
            <w:tcW w:w="790" w:type="dxa"/>
            <w:vAlign w:val="center"/>
          </w:tcPr>
          <w:p w14:paraId="1610524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0B302FEE">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0.0001mg/L</w:t>
            </w:r>
          </w:p>
        </w:tc>
      </w:tr>
      <w:tr w14:paraId="59C8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gridSpan w:val="3"/>
            <w:vAlign w:val="center"/>
          </w:tcPr>
          <w:p w14:paraId="14804B3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钒</w:t>
            </w:r>
          </w:p>
        </w:tc>
        <w:tc>
          <w:tcPr>
            <w:tcW w:w="778" w:type="dxa"/>
            <w:vAlign w:val="center"/>
          </w:tcPr>
          <w:p w14:paraId="18D2ACD7">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000" w:type="dxa"/>
            <w:vAlign w:val="center"/>
          </w:tcPr>
          <w:p w14:paraId="653D737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0.013</w:t>
            </w:r>
          </w:p>
        </w:tc>
        <w:tc>
          <w:tcPr>
            <w:tcW w:w="733" w:type="dxa"/>
            <w:vAlign w:val="center"/>
          </w:tcPr>
          <w:p w14:paraId="01849C3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16" w:type="dxa"/>
            <w:vAlign w:val="center"/>
          </w:tcPr>
          <w:p w14:paraId="576AA67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0.012</w:t>
            </w:r>
          </w:p>
        </w:tc>
        <w:tc>
          <w:tcPr>
            <w:tcW w:w="698" w:type="dxa"/>
            <w:vAlign w:val="center"/>
          </w:tcPr>
          <w:p w14:paraId="318179C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dxa"/>
            <w:vAlign w:val="center"/>
          </w:tcPr>
          <w:p w14:paraId="4F28A17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0.011</w:t>
            </w:r>
          </w:p>
        </w:tc>
        <w:tc>
          <w:tcPr>
            <w:tcW w:w="790" w:type="dxa"/>
            <w:vAlign w:val="center"/>
          </w:tcPr>
          <w:p w14:paraId="64C7A04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76" w:type="dxa"/>
            <w:vAlign w:val="center"/>
          </w:tcPr>
          <w:p w14:paraId="595CD7A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7A3873EC">
      <w:pPr>
        <w:ind w:firstLine="480"/>
        <w:rPr>
          <w:color w:val="000000" w:themeColor="text1"/>
          <w14:textFill>
            <w14:solidFill>
              <w14:schemeClr w14:val="tx1"/>
            </w14:solidFill>
          </w14:textFill>
        </w:rPr>
      </w:pPr>
      <w:r>
        <w:rPr>
          <w:color w:val="000000" w:themeColor="text1"/>
          <w14:textFill>
            <w14:solidFill>
              <w14:schemeClr w14:val="tx1"/>
            </w14:solidFill>
          </w14:textFill>
        </w:rPr>
        <w:t>从地下水质量现状评价结果可知：</w:t>
      </w:r>
      <w:r>
        <w:rPr>
          <w:rFonts w:hint="eastAsia"/>
          <w:color w:val="000000" w:themeColor="text1"/>
          <w14:textFill>
            <w14:solidFill>
              <w14:schemeClr w14:val="tx1"/>
            </w14:solidFill>
          </w14:textFill>
        </w:rPr>
        <w:t>各监测点中</w:t>
      </w:r>
      <w:r>
        <w:rPr>
          <w:color w:val="000000" w:themeColor="text1"/>
          <w14:textFill>
            <w14:solidFill>
              <w14:schemeClr w14:val="tx1"/>
            </w14:solidFill>
          </w14:textFill>
        </w:rPr>
        <w:t>总硬度、溶解性总固体、耗氧量、氯化物、硫酸盐、</w:t>
      </w:r>
      <w:r>
        <w:rPr>
          <w:rFonts w:hint="eastAsia"/>
          <w:color w:val="000000" w:themeColor="text1"/>
          <w14:textFill>
            <w14:solidFill>
              <w14:schemeClr w14:val="tx1"/>
            </w14:solidFill>
          </w14:textFill>
        </w:rPr>
        <w:t>钠分别</w:t>
      </w:r>
      <w:r>
        <w:rPr>
          <w:color w:val="000000" w:themeColor="text1"/>
          <w14:textFill>
            <w14:solidFill>
              <w14:schemeClr w14:val="tx1"/>
            </w14:solidFill>
          </w14:textFill>
        </w:rPr>
        <w:t>超出《地下水质量标准》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GB/T14848-2017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中Ⅲ类水标准，其余指标均满足《地下水质量标准》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GB/T14848-2017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中Ⅲ类水标准的要求</w:t>
      </w:r>
      <w:r>
        <w:rPr>
          <w:rFonts w:hint="eastAsia"/>
          <w:color w:val="000000" w:themeColor="text1"/>
          <w14:textFill>
            <w14:solidFill>
              <w14:schemeClr w14:val="tx1"/>
            </w14:solidFill>
          </w14:textFill>
        </w:rPr>
        <w:t>。</w:t>
      </w:r>
    </w:p>
    <w:p w14:paraId="62C41593">
      <w:pPr>
        <w:pStyle w:val="3"/>
        <w:rPr>
          <w:rFonts w:ascii="Times New Roman" w:cs="Times New Roman"/>
          <w:color w:val="000000" w:themeColor="text1"/>
          <w:lang w:val="zh-CN"/>
          <w14:textFill>
            <w14:solidFill>
              <w14:schemeClr w14:val="tx1"/>
            </w14:solidFill>
          </w14:textFill>
        </w:rPr>
      </w:pPr>
      <w:bookmarkStart w:id="395" w:name="_Toc225268313"/>
      <w:r>
        <w:rPr>
          <w:rFonts w:ascii="Times New Roman" w:cs="Times New Roman"/>
          <w:color w:val="000000" w:themeColor="text1"/>
          <w:lang w:val="zh-CN"/>
          <w14:textFill>
            <w14:solidFill>
              <w14:schemeClr w14:val="tx1"/>
            </w14:solidFill>
          </w14:textFill>
        </w:rPr>
        <w:t>声环境质量现状调查与评价</w:t>
      </w:r>
      <w:bookmarkEnd w:id="355"/>
      <w:bookmarkEnd w:id="356"/>
      <w:bookmarkEnd w:id="357"/>
      <w:bookmarkEnd w:id="358"/>
      <w:bookmarkEnd w:id="359"/>
      <w:bookmarkEnd w:id="360"/>
      <w:bookmarkEnd w:id="361"/>
      <w:bookmarkEnd w:id="362"/>
      <w:bookmarkEnd w:id="363"/>
      <w:bookmarkEnd w:id="364"/>
      <w:bookmarkEnd w:id="365"/>
      <w:bookmarkEnd w:id="366"/>
      <w:bookmarkEnd w:id="395"/>
    </w:p>
    <w:p w14:paraId="177C9786">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声环境质量现状监测</w:t>
      </w:r>
    </w:p>
    <w:p w14:paraId="21CDB178">
      <w:pPr>
        <w:ind w:firstLine="480"/>
        <w:rPr>
          <w:rFonts w:eastAsia="黑体"/>
          <w:color w:val="000000" w:themeColor="text1"/>
          <w:lang w:val="zh-CN"/>
          <w14:textFill>
            <w14:solidFill>
              <w14:schemeClr w14:val="tx1"/>
            </w14:solidFill>
          </w14:textFill>
        </w:rPr>
      </w:pPr>
      <w:r>
        <w:rPr>
          <w:rFonts w:eastAsia="黑体"/>
          <w:color w:val="000000" w:themeColor="text1"/>
          <w14:textFill>
            <w14:solidFill>
              <w14:schemeClr w14:val="tx1"/>
            </w14:solidFill>
          </w14:textFill>
        </w:rPr>
        <w:t>1、监测布点</w:t>
      </w:r>
    </w:p>
    <w:p w14:paraId="6B1E0E80">
      <w:pPr>
        <w:ind w:firstLine="480"/>
        <w:rPr>
          <w:bCs/>
          <w:color w:val="000000" w:themeColor="text1"/>
          <w14:textFill>
            <w14:solidFill>
              <w14:schemeClr w14:val="tx1"/>
            </w14:solidFill>
          </w14:textFill>
        </w:rPr>
      </w:pPr>
      <w:r>
        <w:rPr>
          <w:color w:val="000000" w:themeColor="text1"/>
          <w14:textFill>
            <w14:solidFill>
              <w14:schemeClr w14:val="tx1"/>
            </w14:solidFill>
          </w14:textFill>
        </w:rPr>
        <w:t>厂区的东、南、西、北边界外1m处各布设1个监测点，监测布点图见图4.7-1</w:t>
      </w:r>
      <w:r>
        <w:rPr>
          <w:bCs/>
          <w:color w:val="000000" w:themeColor="text1"/>
          <w14:textFill>
            <w14:solidFill>
              <w14:schemeClr w14:val="tx1"/>
            </w14:solidFill>
          </w14:textFill>
        </w:rPr>
        <w:t>。</w:t>
      </w:r>
    </w:p>
    <w:p w14:paraId="7B1F3065">
      <w:pPr>
        <w:ind w:firstLine="480"/>
        <w:jc w:val="center"/>
        <w:rPr>
          <w:rFonts w:eastAsia="黑体"/>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20DC49E9">
      <w:pPr>
        <w:pStyle w:val="28"/>
        <w:ind w:firstLine="480"/>
        <w:jc w:val="center"/>
        <w:rPr>
          <w:rFonts w:ascii="Times New Roman" w:eastAsia="黑体" w:cs="Times New Roman"/>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p>
    <w:p w14:paraId="3E0C2C1D">
      <w:pPr>
        <w:pStyle w:val="117"/>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声环境现状监测布点情况</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4768"/>
        <w:gridCol w:w="3212"/>
      </w:tblGrid>
      <w:tr w14:paraId="2126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56" w:type="pct"/>
            <w:tcBorders>
              <w:top w:val="single" w:color="auto" w:sz="4" w:space="0"/>
              <w:left w:val="single" w:color="auto" w:sz="4" w:space="0"/>
              <w:bottom w:val="single" w:color="auto" w:sz="4" w:space="0"/>
              <w:right w:val="single" w:color="auto" w:sz="4" w:space="0"/>
            </w:tcBorders>
            <w:vAlign w:val="center"/>
          </w:tcPr>
          <w:p w14:paraId="74051E69">
            <w:pPr>
              <w:pStyle w:val="109"/>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测点序号</w:t>
            </w:r>
          </w:p>
        </w:tc>
        <w:tc>
          <w:tcPr>
            <w:tcW w:w="2476" w:type="pct"/>
            <w:tcBorders>
              <w:top w:val="single" w:color="auto" w:sz="4" w:space="0"/>
              <w:left w:val="single" w:color="auto" w:sz="4" w:space="0"/>
              <w:bottom w:val="single" w:color="auto" w:sz="4" w:space="0"/>
              <w:right w:val="single" w:color="auto" w:sz="4" w:space="0"/>
            </w:tcBorders>
            <w:vAlign w:val="center"/>
          </w:tcPr>
          <w:p w14:paraId="036CA619">
            <w:pPr>
              <w:pStyle w:val="109"/>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监测点位</w:t>
            </w:r>
          </w:p>
        </w:tc>
        <w:tc>
          <w:tcPr>
            <w:tcW w:w="1668" w:type="pct"/>
            <w:tcBorders>
              <w:top w:val="single" w:color="auto" w:sz="4" w:space="0"/>
              <w:left w:val="single" w:color="auto" w:sz="4" w:space="0"/>
              <w:bottom w:val="single" w:color="auto" w:sz="4" w:space="0"/>
              <w:right w:val="single" w:color="auto" w:sz="4" w:space="0"/>
            </w:tcBorders>
            <w:vAlign w:val="center"/>
          </w:tcPr>
          <w:p w14:paraId="7A2CBB9C">
            <w:pPr>
              <w:pStyle w:val="109"/>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备注</w:t>
            </w:r>
          </w:p>
        </w:tc>
      </w:tr>
      <w:tr w14:paraId="5C07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56" w:type="pct"/>
            <w:tcBorders>
              <w:top w:val="single" w:color="auto" w:sz="4" w:space="0"/>
              <w:left w:val="single" w:color="auto" w:sz="4" w:space="0"/>
              <w:bottom w:val="single" w:color="auto" w:sz="4" w:space="0"/>
              <w:right w:val="single" w:color="auto" w:sz="4" w:space="0"/>
            </w:tcBorders>
            <w:vAlign w:val="center"/>
          </w:tcPr>
          <w:p w14:paraId="54AB035E">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476" w:type="pct"/>
            <w:tcBorders>
              <w:top w:val="single" w:color="auto" w:sz="4" w:space="0"/>
              <w:left w:val="single" w:color="auto" w:sz="4" w:space="0"/>
              <w:bottom w:val="single" w:color="auto" w:sz="4" w:space="0"/>
              <w:right w:val="single" w:color="auto" w:sz="4" w:space="0"/>
            </w:tcBorders>
            <w:vAlign w:val="center"/>
          </w:tcPr>
          <w:p w14:paraId="3FAD0903">
            <w:pPr>
              <w:pStyle w:val="109"/>
              <w:rPr>
                <w:color w:val="000000" w:themeColor="text1"/>
                <w14:textFill>
                  <w14:solidFill>
                    <w14:schemeClr w14:val="tx1"/>
                  </w14:solidFill>
                </w14:textFill>
              </w:rPr>
            </w:pPr>
            <w:r>
              <w:rPr>
                <w:color w:val="000000" w:themeColor="text1"/>
                <w14:textFill>
                  <w14:solidFill>
                    <w14:schemeClr w14:val="tx1"/>
                  </w14:solidFill>
                </w14:textFill>
              </w:rPr>
              <w:t>东厂界外1m处</w:t>
            </w:r>
          </w:p>
        </w:tc>
        <w:tc>
          <w:tcPr>
            <w:tcW w:w="1668" w:type="pct"/>
            <w:tcBorders>
              <w:top w:val="single" w:color="auto" w:sz="4" w:space="0"/>
              <w:left w:val="single" w:color="auto" w:sz="4" w:space="0"/>
              <w:bottom w:val="single" w:color="auto" w:sz="4" w:space="0"/>
              <w:right w:val="single" w:color="auto" w:sz="4" w:space="0"/>
            </w:tcBorders>
            <w:vAlign w:val="center"/>
          </w:tcPr>
          <w:p w14:paraId="6C3F8616">
            <w:pPr>
              <w:pStyle w:val="109"/>
              <w:rPr>
                <w:color w:val="000000" w:themeColor="text1"/>
                <w14:textFill>
                  <w14:solidFill>
                    <w14:schemeClr w14:val="tx1"/>
                  </w14:solidFill>
                </w14:textFill>
              </w:rPr>
            </w:pPr>
            <w:r>
              <w:rPr>
                <w:color w:val="000000" w:themeColor="text1"/>
                <w14:textFill>
                  <w14:solidFill>
                    <w14:schemeClr w14:val="tx1"/>
                  </w14:solidFill>
                </w14:textFill>
              </w:rPr>
              <w:t>厂界区域声环境</w:t>
            </w:r>
          </w:p>
        </w:tc>
      </w:tr>
      <w:tr w14:paraId="3207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56" w:type="pct"/>
            <w:tcBorders>
              <w:top w:val="single" w:color="auto" w:sz="4" w:space="0"/>
              <w:left w:val="single" w:color="auto" w:sz="4" w:space="0"/>
              <w:bottom w:val="single" w:color="auto" w:sz="4" w:space="0"/>
              <w:right w:val="single" w:color="auto" w:sz="4" w:space="0"/>
            </w:tcBorders>
            <w:vAlign w:val="center"/>
          </w:tcPr>
          <w:p w14:paraId="39977C04">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476" w:type="pct"/>
            <w:tcBorders>
              <w:top w:val="single" w:color="auto" w:sz="4" w:space="0"/>
              <w:left w:val="single" w:color="auto" w:sz="4" w:space="0"/>
              <w:bottom w:val="single" w:color="auto" w:sz="4" w:space="0"/>
              <w:right w:val="single" w:color="auto" w:sz="4" w:space="0"/>
            </w:tcBorders>
            <w:vAlign w:val="center"/>
          </w:tcPr>
          <w:p w14:paraId="037D8537">
            <w:pPr>
              <w:pStyle w:val="109"/>
              <w:rPr>
                <w:color w:val="000000" w:themeColor="text1"/>
                <w14:textFill>
                  <w14:solidFill>
                    <w14:schemeClr w14:val="tx1"/>
                  </w14:solidFill>
                </w14:textFill>
              </w:rPr>
            </w:pPr>
            <w:r>
              <w:rPr>
                <w:color w:val="000000" w:themeColor="text1"/>
                <w14:textFill>
                  <w14:solidFill>
                    <w14:schemeClr w14:val="tx1"/>
                  </w14:solidFill>
                </w14:textFill>
              </w:rPr>
              <w:t>南厂界外1m处</w:t>
            </w:r>
          </w:p>
        </w:tc>
        <w:tc>
          <w:tcPr>
            <w:tcW w:w="1668" w:type="pct"/>
            <w:tcBorders>
              <w:top w:val="single" w:color="auto" w:sz="4" w:space="0"/>
              <w:left w:val="single" w:color="auto" w:sz="4" w:space="0"/>
              <w:bottom w:val="single" w:color="auto" w:sz="4" w:space="0"/>
              <w:right w:val="single" w:color="auto" w:sz="4" w:space="0"/>
            </w:tcBorders>
            <w:vAlign w:val="center"/>
          </w:tcPr>
          <w:p w14:paraId="016C47B5">
            <w:pPr>
              <w:pStyle w:val="109"/>
              <w:rPr>
                <w:color w:val="000000" w:themeColor="text1"/>
                <w14:textFill>
                  <w14:solidFill>
                    <w14:schemeClr w14:val="tx1"/>
                  </w14:solidFill>
                </w14:textFill>
              </w:rPr>
            </w:pPr>
            <w:r>
              <w:rPr>
                <w:color w:val="000000" w:themeColor="text1"/>
                <w14:textFill>
                  <w14:solidFill>
                    <w14:schemeClr w14:val="tx1"/>
                  </w14:solidFill>
                </w14:textFill>
              </w:rPr>
              <w:t>厂界区域声环境</w:t>
            </w:r>
          </w:p>
        </w:tc>
      </w:tr>
      <w:tr w14:paraId="7B16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56" w:type="pct"/>
            <w:tcBorders>
              <w:top w:val="single" w:color="auto" w:sz="4" w:space="0"/>
              <w:left w:val="single" w:color="auto" w:sz="4" w:space="0"/>
              <w:bottom w:val="single" w:color="auto" w:sz="4" w:space="0"/>
              <w:right w:val="single" w:color="auto" w:sz="4" w:space="0"/>
            </w:tcBorders>
            <w:vAlign w:val="center"/>
          </w:tcPr>
          <w:p w14:paraId="66711015">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476" w:type="pct"/>
            <w:tcBorders>
              <w:top w:val="single" w:color="auto" w:sz="4" w:space="0"/>
              <w:left w:val="single" w:color="auto" w:sz="4" w:space="0"/>
              <w:bottom w:val="single" w:color="auto" w:sz="4" w:space="0"/>
              <w:right w:val="single" w:color="auto" w:sz="4" w:space="0"/>
            </w:tcBorders>
            <w:vAlign w:val="center"/>
          </w:tcPr>
          <w:p w14:paraId="1A82E995">
            <w:pPr>
              <w:pStyle w:val="109"/>
              <w:rPr>
                <w:color w:val="000000" w:themeColor="text1"/>
                <w14:textFill>
                  <w14:solidFill>
                    <w14:schemeClr w14:val="tx1"/>
                  </w14:solidFill>
                </w14:textFill>
              </w:rPr>
            </w:pPr>
            <w:r>
              <w:rPr>
                <w:color w:val="000000" w:themeColor="text1"/>
                <w14:textFill>
                  <w14:solidFill>
                    <w14:schemeClr w14:val="tx1"/>
                  </w14:solidFill>
                </w14:textFill>
              </w:rPr>
              <w:t>西厂界外1m处</w:t>
            </w:r>
          </w:p>
        </w:tc>
        <w:tc>
          <w:tcPr>
            <w:tcW w:w="1668" w:type="pct"/>
            <w:tcBorders>
              <w:top w:val="single" w:color="auto" w:sz="4" w:space="0"/>
              <w:left w:val="single" w:color="auto" w:sz="4" w:space="0"/>
              <w:bottom w:val="single" w:color="auto" w:sz="4" w:space="0"/>
              <w:right w:val="single" w:color="auto" w:sz="4" w:space="0"/>
            </w:tcBorders>
            <w:vAlign w:val="center"/>
          </w:tcPr>
          <w:p w14:paraId="2B47C329">
            <w:pPr>
              <w:pStyle w:val="109"/>
              <w:rPr>
                <w:color w:val="000000" w:themeColor="text1"/>
                <w14:textFill>
                  <w14:solidFill>
                    <w14:schemeClr w14:val="tx1"/>
                  </w14:solidFill>
                </w14:textFill>
              </w:rPr>
            </w:pPr>
            <w:r>
              <w:rPr>
                <w:color w:val="000000" w:themeColor="text1"/>
                <w14:textFill>
                  <w14:solidFill>
                    <w14:schemeClr w14:val="tx1"/>
                  </w14:solidFill>
                </w14:textFill>
              </w:rPr>
              <w:t>厂界区域声环境</w:t>
            </w:r>
          </w:p>
        </w:tc>
      </w:tr>
      <w:tr w14:paraId="3A9C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56" w:type="pct"/>
            <w:tcBorders>
              <w:top w:val="single" w:color="auto" w:sz="4" w:space="0"/>
              <w:left w:val="single" w:color="auto" w:sz="4" w:space="0"/>
              <w:bottom w:val="single" w:color="auto" w:sz="4" w:space="0"/>
              <w:right w:val="single" w:color="auto" w:sz="4" w:space="0"/>
            </w:tcBorders>
            <w:vAlign w:val="center"/>
          </w:tcPr>
          <w:p w14:paraId="32F902AA">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476" w:type="pct"/>
            <w:tcBorders>
              <w:top w:val="single" w:color="auto" w:sz="4" w:space="0"/>
              <w:left w:val="single" w:color="auto" w:sz="4" w:space="0"/>
              <w:bottom w:val="single" w:color="auto" w:sz="4" w:space="0"/>
              <w:right w:val="single" w:color="auto" w:sz="4" w:space="0"/>
            </w:tcBorders>
            <w:vAlign w:val="center"/>
          </w:tcPr>
          <w:p w14:paraId="15E7FFD0">
            <w:pPr>
              <w:pStyle w:val="109"/>
              <w:rPr>
                <w:color w:val="000000" w:themeColor="text1"/>
                <w14:textFill>
                  <w14:solidFill>
                    <w14:schemeClr w14:val="tx1"/>
                  </w14:solidFill>
                </w14:textFill>
              </w:rPr>
            </w:pPr>
            <w:r>
              <w:rPr>
                <w:color w:val="000000" w:themeColor="text1"/>
                <w14:textFill>
                  <w14:solidFill>
                    <w14:schemeClr w14:val="tx1"/>
                  </w14:solidFill>
                </w14:textFill>
              </w:rPr>
              <w:t>北厂界外1m处</w:t>
            </w:r>
          </w:p>
        </w:tc>
        <w:tc>
          <w:tcPr>
            <w:tcW w:w="1668" w:type="pct"/>
            <w:tcBorders>
              <w:top w:val="single" w:color="auto" w:sz="4" w:space="0"/>
              <w:left w:val="single" w:color="auto" w:sz="4" w:space="0"/>
              <w:bottom w:val="single" w:color="auto" w:sz="4" w:space="0"/>
              <w:right w:val="single" w:color="auto" w:sz="4" w:space="0"/>
            </w:tcBorders>
            <w:vAlign w:val="center"/>
          </w:tcPr>
          <w:p w14:paraId="004D900E">
            <w:pPr>
              <w:pStyle w:val="109"/>
              <w:rPr>
                <w:color w:val="000000" w:themeColor="text1"/>
                <w14:textFill>
                  <w14:solidFill>
                    <w14:schemeClr w14:val="tx1"/>
                  </w14:solidFill>
                </w14:textFill>
              </w:rPr>
            </w:pPr>
            <w:r>
              <w:rPr>
                <w:color w:val="000000" w:themeColor="text1"/>
                <w14:textFill>
                  <w14:solidFill>
                    <w14:schemeClr w14:val="tx1"/>
                  </w14:solidFill>
                </w14:textFill>
              </w:rPr>
              <w:t>厂界区域声环境</w:t>
            </w:r>
          </w:p>
        </w:tc>
      </w:tr>
    </w:tbl>
    <w:p w14:paraId="10966249">
      <w:pPr>
        <w:ind w:firstLine="48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2、监测频率</w:t>
      </w:r>
    </w:p>
    <w:p w14:paraId="74453A19">
      <w:pPr>
        <w:pStyle w:val="43"/>
        <w:spacing w:before="72" w:after="72"/>
        <w:ind w:firstLineChars="0"/>
        <w:rPr>
          <w:rFonts w:ascii="Times New Roman" w:hAnsi="Times New Roman" w:eastAsia="宋体" w:cs="Times New Roman"/>
          <w:color w:val="000000" w:themeColor="text1"/>
          <w:kern w:val="0"/>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监测1天，昼、夜各1次。</w:t>
      </w:r>
    </w:p>
    <w:p w14:paraId="1ED2B809">
      <w:pPr>
        <w:ind w:firstLine="48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3、监测项目</w:t>
      </w:r>
    </w:p>
    <w:p w14:paraId="14EAFAED">
      <w:pPr>
        <w:ind w:firstLine="480"/>
        <w:rPr>
          <w:color w:val="000000" w:themeColor="text1"/>
          <w:lang w:val="zh-CN"/>
          <w14:textFill>
            <w14:solidFill>
              <w14:schemeClr w14:val="tx1"/>
            </w14:solidFill>
          </w14:textFill>
        </w:rPr>
      </w:pPr>
      <w:r>
        <w:rPr>
          <w:color w:val="000000" w:themeColor="text1"/>
          <w14:textFill>
            <w14:solidFill>
              <w14:schemeClr w14:val="tx1"/>
            </w14:solidFill>
          </w14:textFill>
        </w:rPr>
        <w:t>监测项目：等效连续 A 声级 LAeq。</w:t>
      </w:r>
    </w:p>
    <w:p w14:paraId="15A91EC8">
      <w:pPr>
        <w:ind w:firstLine="48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4、监测时间</w:t>
      </w:r>
    </w:p>
    <w:p w14:paraId="140E997A">
      <w:pPr>
        <w:pStyle w:val="43"/>
        <w:spacing w:before="72" w:after="72"/>
        <w:ind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2026年1月5日、2026年1月6日。</w:t>
      </w:r>
    </w:p>
    <w:p w14:paraId="0F22A75A">
      <w:pPr>
        <w:ind w:firstLine="48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5、监测方法</w:t>
      </w:r>
    </w:p>
    <w:p w14:paraId="3F7AECDB">
      <w:pPr>
        <w:ind w:firstLine="480"/>
        <w:rPr>
          <w:color w:val="000000" w:themeColor="text1"/>
          <w14:textFill>
            <w14:solidFill>
              <w14:schemeClr w14:val="tx1"/>
            </w14:solidFill>
          </w14:textFill>
        </w:rPr>
      </w:pPr>
      <w:r>
        <w:rPr>
          <w:color w:val="000000" w:themeColor="text1"/>
          <w14:textFill>
            <w14:solidFill>
              <w14:schemeClr w14:val="tx1"/>
            </w14:solidFill>
          </w14:textFill>
        </w:rPr>
        <w:t>按照《声环境质量标准》（GB3096-2008）进行。</w:t>
      </w:r>
    </w:p>
    <w:p w14:paraId="69DD5A22">
      <w:pPr>
        <w:ind w:firstLine="48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6、监测结果</w:t>
      </w:r>
    </w:p>
    <w:p w14:paraId="6BD7BC9D">
      <w:pPr>
        <w:ind w:firstLine="480"/>
        <w:rPr>
          <w:color w:val="000000" w:themeColor="text1"/>
          <w14:textFill>
            <w14:solidFill>
              <w14:schemeClr w14:val="tx1"/>
            </w14:solidFill>
          </w14:textFill>
        </w:rPr>
      </w:pPr>
      <w:r>
        <w:rPr>
          <w:color w:val="000000" w:themeColor="text1"/>
          <w14:textFill>
            <w14:solidFill>
              <w14:schemeClr w14:val="tx1"/>
            </w14:solidFill>
          </w14:textFill>
        </w:rPr>
        <w:t>噪声现状监测结果详见下表。</w:t>
      </w:r>
    </w:p>
    <w:p w14:paraId="4E6BD350">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声环境现状监测结果表  单位：dB(A)</w:t>
      </w:r>
    </w:p>
    <w:tbl>
      <w:tblPr>
        <w:tblStyle w:val="76"/>
        <w:tblW w:w="95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03"/>
        <w:gridCol w:w="1907"/>
        <w:gridCol w:w="1161"/>
        <w:gridCol w:w="1161"/>
        <w:gridCol w:w="1162"/>
        <w:gridCol w:w="1161"/>
        <w:gridCol w:w="1161"/>
        <w:gridCol w:w="1164"/>
      </w:tblGrid>
      <w:tr w14:paraId="32C43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Merge w:val="restart"/>
            <w:vAlign w:val="center"/>
          </w:tcPr>
          <w:p w14:paraId="3D27AF2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测点</w:t>
            </w:r>
            <w:r>
              <w:rPr>
                <w:color w:val="000000" w:themeColor="text1"/>
                <w:lang w:bidi="ar"/>
                <w14:textFill>
                  <w14:solidFill>
                    <w14:schemeClr w14:val="tx1"/>
                  </w14:solidFill>
                </w14:textFill>
              </w:rPr>
              <w:br w:type="textWrapping"/>
            </w:r>
            <w:r>
              <w:rPr>
                <w:color w:val="000000" w:themeColor="text1"/>
                <w:lang w:bidi="ar"/>
                <w14:textFill>
                  <w14:solidFill>
                    <w14:schemeClr w14:val="tx1"/>
                  </w14:solidFill>
                </w14:textFill>
              </w:rPr>
              <w:t>编号</w:t>
            </w:r>
          </w:p>
        </w:tc>
        <w:tc>
          <w:tcPr>
            <w:tcW w:w="1907" w:type="dxa"/>
            <w:vMerge w:val="restart"/>
            <w:vAlign w:val="center"/>
          </w:tcPr>
          <w:p w14:paraId="36773D2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测点位置</w:t>
            </w:r>
          </w:p>
        </w:tc>
        <w:tc>
          <w:tcPr>
            <w:tcW w:w="3484" w:type="dxa"/>
            <w:gridSpan w:val="3"/>
            <w:vAlign w:val="center"/>
          </w:tcPr>
          <w:p w14:paraId="17715CFB">
            <w:pPr>
              <w:pStyle w:val="109"/>
              <w:rPr>
                <w:color w:val="000000" w:themeColor="text1"/>
                <w14:textFill>
                  <w14:solidFill>
                    <w14:schemeClr w14:val="tx1"/>
                  </w14:solidFill>
                </w14:textFill>
              </w:rPr>
            </w:pPr>
            <w:r>
              <w:rPr>
                <w:color w:val="000000" w:themeColor="text1"/>
                <w14:textFill>
                  <w14:solidFill>
                    <w14:schemeClr w14:val="tx1"/>
                  </w14:solidFill>
                </w14:textFill>
              </w:rPr>
              <w:t>2026年1月5日</w:t>
            </w:r>
          </w:p>
        </w:tc>
        <w:tc>
          <w:tcPr>
            <w:tcW w:w="3485" w:type="dxa"/>
            <w:gridSpan w:val="3"/>
            <w:vAlign w:val="center"/>
          </w:tcPr>
          <w:p w14:paraId="7308C6EC">
            <w:pPr>
              <w:pStyle w:val="109"/>
              <w:rPr>
                <w:color w:val="000000" w:themeColor="text1"/>
                <w14:textFill>
                  <w14:solidFill>
                    <w14:schemeClr w14:val="tx1"/>
                  </w14:solidFill>
                </w14:textFill>
              </w:rPr>
            </w:pPr>
            <w:r>
              <w:rPr>
                <w:color w:val="000000" w:themeColor="text1"/>
                <w14:textFill>
                  <w14:solidFill>
                    <w14:schemeClr w14:val="tx1"/>
                  </w14:solidFill>
                </w14:textFill>
              </w:rPr>
              <w:t>2026年1月6日</w:t>
            </w:r>
          </w:p>
        </w:tc>
      </w:tr>
      <w:tr w14:paraId="45699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Merge w:val="continue"/>
            <w:vAlign w:val="center"/>
          </w:tcPr>
          <w:p w14:paraId="2DBF1DAA">
            <w:pPr>
              <w:pStyle w:val="109"/>
              <w:rPr>
                <w:color w:val="000000" w:themeColor="text1"/>
                <w:lang w:bidi="ar"/>
                <w14:textFill>
                  <w14:solidFill>
                    <w14:schemeClr w14:val="tx1"/>
                  </w14:solidFill>
                </w14:textFill>
              </w:rPr>
            </w:pPr>
          </w:p>
        </w:tc>
        <w:tc>
          <w:tcPr>
            <w:tcW w:w="1907" w:type="dxa"/>
            <w:vMerge w:val="continue"/>
            <w:vAlign w:val="center"/>
          </w:tcPr>
          <w:p w14:paraId="17E1BE8E">
            <w:pPr>
              <w:pStyle w:val="109"/>
              <w:rPr>
                <w:color w:val="000000" w:themeColor="text1"/>
                <w:lang w:bidi="ar"/>
                <w14:textFill>
                  <w14:solidFill>
                    <w14:schemeClr w14:val="tx1"/>
                  </w14:solidFill>
                </w14:textFill>
              </w:rPr>
            </w:pPr>
          </w:p>
        </w:tc>
        <w:tc>
          <w:tcPr>
            <w:tcW w:w="1161" w:type="dxa"/>
            <w:vAlign w:val="center"/>
          </w:tcPr>
          <w:p w14:paraId="4A57FF1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测量时间</w:t>
            </w:r>
          </w:p>
        </w:tc>
        <w:tc>
          <w:tcPr>
            <w:tcW w:w="1161" w:type="dxa"/>
            <w:vAlign w:val="center"/>
          </w:tcPr>
          <w:p w14:paraId="2CE2D7D9">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主要噪声源</w:t>
            </w:r>
          </w:p>
        </w:tc>
        <w:tc>
          <w:tcPr>
            <w:tcW w:w="1161" w:type="dxa"/>
            <w:vAlign w:val="center"/>
          </w:tcPr>
          <w:p w14:paraId="157F714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等效声级</w:t>
            </w:r>
          </w:p>
          <w:p w14:paraId="55299BA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  dB（A）</w:t>
            </w:r>
          </w:p>
        </w:tc>
        <w:tc>
          <w:tcPr>
            <w:tcW w:w="1161" w:type="dxa"/>
            <w:vAlign w:val="center"/>
          </w:tcPr>
          <w:p w14:paraId="3844BD2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测量时间</w:t>
            </w:r>
          </w:p>
        </w:tc>
        <w:tc>
          <w:tcPr>
            <w:tcW w:w="1161" w:type="dxa"/>
            <w:vAlign w:val="center"/>
          </w:tcPr>
          <w:p w14:paraId="4019E54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主要噪声源</w:t>
            </w:r>
          </w:p>
        </w:tc>
        <w:tc>
          <w:tcPr>
            <w:tcW w:w="1164" w:type="dxa"/>
            <w:vAlign w:val="center"/>
          </w:tcPr>
          <w:p w14:paraId="3C7C9EC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等效声级</w:t>
            </w:r>
          </w:p>
          <w:p w14:paraId="13E4A3B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 xml:space="preserve">  dB（A）</w:t>
            </w:r>
          </w:p>
        </w:tc>
      </w:tr>
      <w:tr w14:paraId="65696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Align w:val="center"/>
          </w:tcPr>
          <w:p w14:paraId="7F159520">
            <w:pPr>
              <w:pStyle w:val="109"/>
              <w:rPr>
                <w:color w:val="000000" w:themeColor="text1"/>
                <w:lang w:bidi="ar"/>
                <w14:textFill>
                  <w14:solidFill>
                    <w14:schemeClr w14:val="tx1"/>
                  </w14:solidFill>
                </w14:textFill>
              </w:rPr>
            </w:pPr>
            <w:r>
              <w:rPr>
                <w:color w:val="000000" w:themeColor="text1"/>
                <w:sz w:val="18"/>
                <w:szCs w:val="18"/>
                <w14:textFill>
                  <w14:solidFill>
                    <w14:schemeClr w14:val="tx1"/>
                  </w14:solidFill>
                </w14:textFill>
              </w:rPr>
              <w:t>1</w:t>
            </w:r>
            <w:r>
              <w:rPr>
                <w:color w:val="000000" w:themeColor="text1"/>
                <w:sz w:val="18"/>
                <w:szCs w:val="18"/>
                <w:vertAlign w:val="superscript"/>
                <w14:textFill>
                  <w14:solidFill>
                    <w14:schemeClr w14:val="tx1"/>
                  </w14:solidFill>
                </w14:textFill>
              </w:rPr>
              <w:t>#</w:t>
            </w:r>
          </w:p>
        </w:tc>
        <w:tc>
          <w:tcPr>
            <w:tcW w:w="1907" w:type="dxa"/>
            <w:vAlign w:val="center"/>
          </w:tcPr>
          <w:p w14:paraId="7A06E03C">
            <w:pPr>
              <w:pStyle w:val="109"/>
              <w:rPr>
                <w:color w:val="000000" w:themeColor="text1"/>
                <w:lang w:bidi="ar"/>
                <w14:textFill>
                  <w14:solidFill>
                    <w14:schemeClr w14:val="tx1"/>
                  </w14:solidFill>
                </w14:textFill>
              </w:rPr>
            </w:pPr>
            <w:r>
              <w:rPr>
                <w:bCs/>
                <w:color w:val="000000" w:themeColor="text1"/>
                <w14:textFill>
                  <w14:solidFill>
                    <w14:schemeClr w14:val="tx1"/>
                  </w14:solidFill>
                </w14:textFill>
              </w:rPr>
              <w:t>厂界东侧</w:t>
            </w:r>
          </w:p>
        </w:tc>
        <w:tc>
          <w:tcPr>
            <w:tcW w:w="1161" w:type="dxa"/>
            <w:vAlign w:val="center"/>
          </w:tcPr>
          <w:p w14:paraId="74D5687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11:44-11:54</w:t>
            </w:r>
          </w:p>
        </w:tc>
        <w:tc>
          <w:tcPr>
            <w:tcW w:w="1161" w:type="dxa"/>
            <w:vAlign w:val="center"/>
          </w:tcPr>
          <w:p w14:paraId="3A1665A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1" w:type="dxa"/>
            <w:vAlign w:val="center"/>
          </w:tcPr>
          <w:p w14:paraId="0846238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43</w:t>
            </w:r>
          </w:p>
        </w:tc>
        <w:tc>
          <w:tcPr>
            <w:tcW w:w="1161" w:type="dxa"/>
            <w:vAlign w:val="center"/>
          </w:tcPr>
          <w:p w14:paraId="05CD37C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15:38-15:48</w:t>
            </w:r>
          </w:p>
        </w:tc>
        <w:tc>
          <w:tcPr>
            <w:tcW w:w="1161" w:type="dxa"/>
            <w:vAlign w:val="center"/>
          </w:tcPr>
          <w:p w14:paraId="2CE08E7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4" w:type="dxa"/>
            <w:vAlign w:val="center"/>
          </w:tcPr>
          <w:p w14:paraId="3DC5B97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42</w:t>
            </w:r>
          </w:p>
        </w:tc>
      </w:tr>
      <w:tr w14:paraId="0729D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Align w:val="center"/>
          </w:tcPr>
          <w:p w14:paraId="178077B4">
            <w:pPr>
              <w:pStyle w:val="109"/>
              <w:rPr>
                <w:color w:val="000000" w:themeColor="text1"/>
                <w:lang w:bidi="ar"/>
                <w14:textFill>
                  <w14:solidFill>
                    <w14:schemeClr w14:val="tx1"/>
                  </w14:solidFill>
                </w14:textFill>
              </w:rPr>
            </w:pPr>
            <w:r>
              <w:rPr>
                <w:color w:val="000000" w:themeColor="text1"/>
                <w:sz w:val="18"/>
                <w:szCs w:val="18"/>
                <w14:textFill>
                  <w14:solidFill>
                    <w14:schemeClr w14:val="tx1"/>
                  </w14:solidFill>
                </w14:textFill>
              </w:rPr>
              <w:t>2</w:t>
            </w:r>
            <w:r>
              <w:rPr>
                <w:color w:val="000000" w:themeColor="text1"/>
                <w:sz w:val="18"/>
                <w:szCs w:val="18"/>
                <w:vertAlign w:val="superscript"/>
                <w14:textFill>
                  <w14:solidFill>
                    <w14:schemeClr w14:val="tx1"/>
                  </w14:solidFill>
                </w14:textFill>
              </w:rPr>
              <w:t>#</w:t>
            </w:r>
          </w:p>
        </w:tc>
        <w:tc>
          <w:tcPr>
            <w:tcW w:w="1907" w:type="dxa"/>
            <w:vAlign w:val="center"/>
          </w:tcPr>
          <w:p w14:paraId="367CFB33">
            <w:pPr>
              <w:pStyle w:val="109"/>
              <w:rPr>
                <w:color w:val="000000" w:themeColor="text1"/>
                <w:lang w:bidi="ar"/>
                <w14:textFill>
                  <w14:solidFill>
                    <w14:schemeClr w14:val="tx1"/>
                  </w14:solidFill>
                </w14:textFill>
              </w:rPr>
            </w:pPr>
            <w:r>
              <w:rPr>
                <w:bCs/>
                <w:color w:val="000000" w:themeColor="text1"/>
                <w14:textFill>
                  <w14:solidFill>
                    <w14:schemeClr w14:val="tx1"/>
                  </w14:solidFill>
                </w14:textFill>
              </w:rPr>
              <w:t>厂界南侧</w:t>
            </w:r>
          </w:p>
        </w:tc>
        <w:tc>
          <w:tcPr>
            <w:tcW w:w="1161" w:type="dxa"/>
            <w:vAlign w:val="center"/>
          </w:tcPr>
          <w:p w14:paraId="73BD9FF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12:17-12:27</w:t>
            </w:r>
          </w:p>
        </w:tc>
        <w:tc>
          <w:tcPr>
            <w:tcW w:w="1161" w:type="dxa"/>
            <w:vAlign w:val="center"/>
          </w:tcPr>
          <w:p w14:paraId="4CAE37F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1" w:type="dxa"/>
            <w:vAlign w:val="center"/>
          </w:tcPr>
          <w:p w14:paraId="52A6075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43</w:t>
            </w:r>
          </w:p>
        </w:tc>
        <w:tc>
          <w:tcPr>
            <w:tcW w:w="1161" w:type="dxa"/>
            <w:vAlign w:val="center"/>
          </w:tcPr>
          <w:p w14:paraId="4673DA0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16:08-16:18</w:t>
            </w:r>
          </w:p>
        </w:tc>
        <w:tc>
          <w:tcPr>
            <w:tcW w:w="1161" w:type="dxa"/>
            <w:vAlign w:val="center"/>
          </w:tcPr>
          <w:p w14:paraId="657F7D4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4" w:type="dxa"/>
            <w:vAlign w:val="center"/>
          </w:tcPr>
          <w:p w14:paraId="66F604F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43</w:t>
            </w:r>
          </w:p>
        </w:tc>
      </w:tr>
      <w:tr w14:paraId="4A775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Align w:val="center"/>
          </w:tcPr>
          <w:p w14:paraId="6A6FC1C9">
            <w:pPr>
              <w:pStyle w:val="109"/>
              <w:rPr>
                <w:color w:val="000000" w:themeColor="text1"/>
                <w:lang w:bidi="ar"/>
                <w14:textFill>
                  <w14:solidFill>
                    <w14:schemeClr w14:val="tx1"/>
                  </w14:solidFill>
                </w14:textFill>
              </w:rPr>
            </w:pPr>
            <w:r>
              <w:rPr>
                <w:color w:val="000000" w:themeColor="text1"/>
                <w:sz w:val="18"/>
                <w:szCs w:val="18"/>
                <w14:textFill>
                  <w14:solidFill>
                    <w14:schemeClr w14:val="tx1"/>
                  </w14:solidFill>
                </w14:textFill>
              </w:rPr>
              <w:t>3</w:t>
            </w:r>
            <w:r>
              <w:rPr>
                <w:color w:val="000000" w:themeColor="text1"/>
                <w:sz w:val="18"/>
                <w:szCs w:val="18"/>
                <w:vertAlign w:val="superscript"/>
                <w14:textFill>
                  <w14:solidFill>
                    <w14:schemeClr w14:val="tx1"/>
                  </w14:solidFill>
                </w14:textFill>
              </w:rPr>
              <w:t>#</w:t>
            </w:r>
          </w:p>
        </w:tc>
        <w:tc>
          <w:tcPr>
            <w:tcW w:w="1907" w:type="dxa"/>
            <w:vAlign w:val="center"/>
          </w:tcPr>
          <w:p w14:paraId="5C6A2EE2">
            <w:pPr>
              <w:pStyle w:val="109"/>
              <w:rPr>
                <w:color w:val="000000" w:themeColor="text1"/>
                <w:lang w:bidi="ar"/>
                <w14:textFill>
                  <w14:solidFill>
                    <w14:schemeClr w14:val="tx1"/>
                  </w14:solidFill>
                </w14:textFill>
              </w:rPr>
            </w:pPr>
            <w:r>
              <w:rPr>
                <w:bCs/>
                <w:color w:val="000000" w:themeColor="text1"/>
                <w14:textFill>
                  <w14:solidFill>
                    <w14:schemeClr w14:val="tx1"/>
                  </w14:solidFill>
                </w14:textFill>
              </w:rPr>
              <w:t>厂界西侧</w:t>
            </w:r>
          </w:p>
        </w:tc>
        <w:tc>
          <w:tcPr>
            <w:tcW w:w="1161" w:type="dxa"/>
            <w:vAlign w:val="center"/>
          </w:tcPr>
          <w:p w14:paraId="70957F65">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12:46-12:56</w:t>
            </w:r>
          </w:p>
        </w:tc>
        <w:tc>
          <w:tcPr>
            <w:tcW w:w="1161" w:type="dxa"/>
            <w:vAlign w:val="center"/>
          </w:tcPr>
          <w:p w14:paraId="32454A1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1" w:type="dxa"/>
            <w:vAlign w:val="center"/>
          </w:tcPr>
          <w:p w14:paraId="27382CB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42</w:t>
            </w:r>
          </w:p>
        </w:tc>
        <w:tc>
          <w:tcPr>
            <w:tcW w:w="1161" w:type="dxa"/>
            <w:vAlign w:val="center"/>
          </w:tcPr>
          <w:p w14:paraId="3117886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16:40-16:50</w:t>
            </w:r>
          </w:p>
        </w:tc>
        <w:tc>
          <w:tcPr>
            <w:tcW w:w="1161" w:type="dxa"/>
            <w:vAlign w:val="center"/>
          </w:tcPr>
          <w:p w14:paraId="6ED9765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4" w:type="dxa"/>
            <w:vAlign w:val="center"/>
          </w:tcPr>
          <w:p w14:paraId="279CEE86">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42</w:t>
            </w:r>
          </w:p>
        </w:tc>
      </w:tr>
      <w:tr w14:paraId="27072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Align w:val="center"/>
          </w:tcPr>
          <w:p w14:paraId="5E4A372A">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r>
              <w:rPr>
                <w:color w:val="000000" w:themeColor="text1"/>
                <w:sz w:val="18"/>
                <w:szCs w:val="18"/>
                <w:vertAlign w:val="superscript"/>
                <w14:textFill>
                  <w14:solidFill>
                    <w14:schemeClr w14:val="tx1"/>
                  </w14:solidFill>
                </w14:textFill>
              </w:rPr>
              <w:t>#</w:t>
            </w:r>
          </w:p>
        </w:tc>
        <w:tc>
          <w:tcPr>
            <w:tcW w:w="1907" w:type="dxa"/>
            <w:vAlign w:val="center"/>
          </w:tcPr>
          <w:p w14:paraId="6033280A">
            <w:pPr>
              <w:pStyle w:val="109"/>
              <w:rPr>
                <w:bCs/>
                <w:color w:val="000000" w:themeColor="text1"/>
                <w:highlight w:val="yellow"/>
                <w14:textFill>
                  <w14:solidFill>
                    <w14:schemeClr w14:val="tx1"/>
                  </w14:solidFill>
                </w14:textFill>
              </w:rPr>
            </w:pPr>
            <w:r>
              <w:rPr>
                <w:bCs/>
                <w:color w:val="000000" w:themeColor="text1"/>
                <w14:textFill>
                  <w14:solidFill>
                    <w14:schemeClr w14:val="tx1"/>
                  </w14:solidFill>
                </w14:textFill>
              </w:rPr>
              <w:t>厂界北侧</w:t>
            </w:r>
          </w:p>
        </w:tc>
        <w:tc>
          <w:tcPr>
            <w:tcW w:w="1161" w:type="dxa"/>
            <w:vAlign w:val="center"/>
          </w:tcPr>
          <w:p w14:paraId="2593E30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13:22-13:32</w:t>
            </w:r>
          </w:p>
        </w:tc>
        <w:tc>
          <w:tcPr>
            <w:tcW w:w="1161" w:type="dxa"/>
            <w:vAlign w:val="center"/>
          </w:tcPr>
          <w:p w14:paraId="357A0DEA">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1" w:type="dxa"/>
            <w:vAlign w:val="center"/>
          </w:tcPr>
          <w:p w14:paraId="26749995">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43</w:t>
            </w:r>
          </w:p>
        </w:tc>
        <w:tc>
          <w:tcPr>
            <w:tcW w:w="1161" w:type="dxa"/>
            <w:vAlign w:val="center"/>
          </w:tcPr>
          <w:p w14:paraId="6234BF3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17:10-17:20</w:t>
            </w:r>
          </w:p>
        </w:tc>
        <w:tc>
          <w:tcPr>
            <w:tcW w:w="1161" w:type="dxa"/>
            <w:vAlign w:val="center"/>
          </w:tcPr>
          <w:p w14:paraId="1C98BC3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4" w:type="dxa"/>
            <w:vAlign w:val="center"/>
          </w:tcPr>
          <w:p w14:paraId="2A7A0B1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43</w:t>
            </w:r>
          </w:p>
        </w:tc>
      </w:tr>
      <w:tr w14:paraId="2111C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Align w:val="center"/>
          </w:tcPr>
          <w:p w14:paraId="576F32B7">
            <w:pPr>
              <w:pStyle w:val="109"/>
              <w:rPr>
                <w:color w:val="000000" w:themeColor="text1"/>
                <w:lang w:bidi="ar"/>
                <w14:textFill>
                  <w14:solidFill>
                    <w14:schemeClr w14:val="tx1"/>
                  </w14:solidFill>
                </w14:textFill>
              </w:rPr>
            </w:pPr>
            <w:r>
              <w:rPr>
                <w:color w:val="000000" w:themeColor="text1"/>
                <w:sz w:val="18"/>
                <w:szCs w:val="18"/>
                <w14:textFill>
                  <w14:solidFill>
                    <w14:schemeClr w14:val="tx1"/>
                  </w14:solidFill>
                </w14:textFill>
              </w:rPr>
              <w:t>1</w:t>
            </w:r>
            <w:r>
              <w:rPr>
                <w:color w:val="000000" w:themeColor="text1"/>
                <w:sz w:val="18"/>
                <w:szCs w:val="18"/>
                <w:vertAlign w:val="superscript"/>
                <w14:textFill>
                  <w14:solidFill>
                    <w14:schemeClr w14:val="tx1"/>
                  </w14:solidFill>
                </w14:textFill>
              </w:rPr>
              <w:t>#</w:t>
            </w:r>
          </w:p>
        </w:tc>
        <w:tc>
          <w:tcPr>
            <w:tcW w:w="1907" w:type="dxa"/>
            <w:vAlign w:val="center"/>
          </w:tcPr>
          <w:p w14:paraId="5FF98346">
            <w:pPr>
              <w:pStyle w:val="109"/>
              <w:rPr>
                <w:color w:val="000000" w:themeColor="text1"/>
                <w:lang w:bidi="ar"/>
                <w14:textFill>
                  <w14:solidFill>
                    <w14:schemeClr w14:val="tx1"/>
                  </w14:solidFill>
                </w14:textFill>
              </w:rPr>
            </w:pPr>
            <w:r>
              <w:rPr>
                <w:bCs/>
                <w:color w:val="000000" w:themeColor="text1"/>
                <w14:textFill>
                  <w14:solidFill>
                    <w14:schemeClr w14:val="tx1"/>
                  </w14:solidFill>
                </w14:textFill>
              </w:rPr>
              <w:t>厂界东侧</w:t>
            </w:r>
          </w:p>
        </w:tc>
        <w:tc>
          <w:tcPr>
            <w:tcW w:w="1161" w:type="dxa"/>
            <w:vAlign w:val="center"/>
          </w:tcPr>
          <w:p w14:paraId="022E0AB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00:05-00:15</w:t>
            </w:r>
          </w:p>
        </w:tc>
        <w:tc>
          <w:tcPr>
            <w:tcW w:w="1161" w:type="dxa"/>
            <w:vAlign w:val="center"/>
          </w:tcPr>
          <w:p w14:paraId="3B5EED9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1" w:type="dxa"/>
            <w:vAlign w:val="center"/>
          </w:tcPr>
          <w:p w14:paraId="43CDC08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40</w:t>
            </w:r>
          </w:p>
        </w:tc>
        <w:tc>
          <w:tcPr>
            <w:tcW w:w="1161" w:type="dxa"/>
            <w:vAlign w:val="center"/>
          </w:tcPr>
          <w:p w14:paraId="475EEF0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00:03-00:13</w:t>
            </w:r>
          </w:p>
        </w:tc>
        <w:tc>
          <w:tcPr>
            <w:tcW w:w="1161" w:type="dxa"/>
            <w:vAlign w:val="center"/>
          </w:tcPr>
          <w:p w14:paraId="2003C08C">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4" w:type="dxa"/>
            <w:vAlign w:val="center"/>
          </w:tcPr>
          <w:p w14:paraId="4AFE83C4">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40</w:t>
            </w:r>
          </w:p>
        </w:tc>
      </w:tr>
      <w:tr w14:paraId="6A279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Align w:val="center"/>
          </w:tcPr>
          <w:p w14:paraId="41E2F921">
            <w:pPr>
              <w:pStyle w:val="109"/>
              <w:rPr>
                <w:color w:val="000000" w:themeColor="text1"/>
                <w:lang w:bidi="ar"/>
                <w14:textFill>
                  <w14:solidFill>
                    <w14:schemeClr w14:val="tx1"/>
                  </w14:solidFill>
                </w14:textFill>
              </w:rPr>
            </w:pPr>
            <w:r>
              <w:rPr>
                <w:color w:val="000000" w:themeColor="text1"/>
                <w:sz w:val="18"/>
                <w:szCs w:val="18"/>
                <w14:textFill>
                  <w14:solidFill>
                    <w14:schemeClr w14:val="tx1"/>
                  </w14:solidFill>
                </w14:textFill>
              </w:rPr>
              <w:t>2</w:t>
            </w:r>
            <w:r>
              <w:rPr>
                <w:color w:val="000000" w:themeColor="text1"/>
                <w:sz w:val="18"/>
                <w:szCs w:val="18"/>
                <w:vertAlign w:val="superscript"/>
                <w14:textFill>
                  <w14:solidFill>
                    <w14:schemeClr w14:val="tx1"/>
                  </w14:solidFill>
                </w14:textFill>
              </w:rPr>
              <w:t>#</w:t>
            </w:r>
          </w:p>
        </w:tc>
        <w:tc>
          <w:tcPr>
            <w:tcW w:w="1907" w:type="dxa"/>
            <w:vAlign w:val="center"/>
          </w:tcPr>
          <w:p w14:paraId="3B7C2D46">
            <w:pPr>
              <w:pStyle w:val="109"/>
              <w:rPr>
                <w:color w:val="000000" w:themeColor="text1"/>
                <w:lang w:bidi="ar"/>
                <w14:textFill>
                  <w14:solidFill>
                    <w14:schemeClr w14:val="tx1"/>
                  </w14:solidFill>
                </w14:textFill>
              </w:rPr>
            </w:pPr>
            <w:r>
              <w:rPr>
                <w:bCs/>
                <w:color w:val="000000" w:themeColor="text1"/>
                <w14:textFill>
                  <w14:solidFill>
                    <w14:schemeClr w14:val="tx1"/>
                  </w14:solidFill>
                </w14:textFill>
              </w:rPr>
              <w:t>厂界南侧</w:t>
            </w:r>
          </w:p>
        </w:tc>
        <w:tc>
          <w:tcPr>
            <w:tcW w:w="1161" w:type="dxa"/>
            <w:vAlign w:val="center"/>
          </w:tcPr>
          <w:p w14:paraId="25E1987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00:34-00:44</w:t>
            </w:r>
          </w:p>
        </w:tc>
        <w:tc>
          <w:tcPr>
            <w:tcW w:w="1161" w:type="dxa"/>
            <w:vAlign w:val="center"/>
          </w:tcPr>
          <w:p w14:paraId="5AA201DD">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1" w:type="dxa"/>
            <w:vAlign w:val="center"/>
          </w:tcPr>
          <w:p w14:paraId="142E5AD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39</w:t>
            </w:r>
          </w:p>
        </w:tc>
        <w:tc>
          <w:tcPr>
            <w:tcW w:w="1161" w:type="dxa"/>
            <w:vAlign w:val="center"/>
          </w:tcPr>
          <w:p w14:paraId="515EF478">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00:27-00:37</w:t>
            </w:r>
          </w:p>
        </w:tc>
        <w:tc>
          <w:tcPr>
            <w:tcW w:w="1161" w:type="dxa"/>
            <w:vAlign w:val="center"/>
          </w:tcPr>
          <w:p w14:paraId="42D572B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4" w:type="dxa"/>
            <w:vAlign w:val="center"/>
          </w:tcPr>
          <w:p w14:paraId="119DB4A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41</w:t>
            </w:r>
          </w:p>
        </w:tc>
      </w:tr>
      <w:tr w14:paraId="2C0A9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Align w:val="center"/>
          </w:tcPr>
          <w:p w14:paraId="0CE02086">
            <w:pPr>
              <w:pStyle w:val="109"/>
              <w:rPr>
                <w:color w:val="000000" w:themeColor="text1"/>
                <w:lang w:bidi="ar"/>
                <w14:textFill>
                  <w14:solidFill>
                    <w14:schemeClr w14:val="tx1"/>
                  </w14:solidFill>
                </w14:textFill>
              </w:rPr>
            </w:pPr>
            <w:r>
              <w:rPr>
                <w:color w:val="000000" w:themeColor="text1"/>
                <w:sz w:val="18"/>
                <w:szCs w:val="18"/>
                <w14:textFill>
                  <w14:solidFill>
                    <w14:schemeClr w14:val="tx1"/>
                  </w14:solidFill>
                </w14:textFill>
              </w:rPr>
              <w:t>3</w:t>
            </w:r>
            <w:r>
              <w:rPr>
                <w:color w:val="000000" w:themeColor="text1"/>
                <w:sz w:val="18"/>
                <w:szCs w:val="18"/>
                <w:vertAlign w:val="superscript"/>
                <w14:textFill>
                  <w14:solidFill>
                    <w14:schemeClr w14:val="tx1"/>
                  </w14:solidFill>
                </w14:textFill>
              </w:rPr>
              <w:t>#</w:t>
            </w:r>
          </w:p>
        </w:tc>
        <w:tc>
          <w:tcPr>
            <w:tcW w:w="1907" w:type="dxa"/>
            <w:vAlign w:val="center"/>
          </w:tcPr>
          <w:p w14:paraId="0D4C641D">
            <w:pPr>
              <w:pStyle w:val="109"/>
              <w:rPr>
                <w:color w:val="000000" w:themeColor="text1"/>
                <w:lang w:bidi="ar"/>
                <w14:textFill>
                  <w14:solidFill>
                    <w14:schemeClr w14:val="tx1"/>
                  </w14:solidFill>
                </w14:textFill>
              </w:rPr>
            </w:pPr>
            <w:r>
              <w:rPr>
                <w:bCs/>
                <w:color w:val="000000" w:themeColor="text1"/>
                <w14:textFill>
                  <w14:solidFill>
                    <w14:schemeClr w14:val="tx1"/>
                  </w14:solidFill>
                </w14:textFill>
              </w:rPr>
              <w:t>厂界西侧</w:t>
            </w:r>
          </w:p>
        </w:tc>
        <w:tc>
          <w:tcPr>
            <w:tcW w:w="1161" w:type="dxa"/>
            <w:vAlign w:val="center"/>
          </w:tcPr>
          <w:p w14:paraId="46A95F3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01:05-01:15</w:t>
            </w:r>
          </w:p>
        </w:tc>
        <w:tc>
          <w:tcPr>
            <w:tcW w:w="1161" w:type="dxa"/>
            <w:vAlign w:val="center"/>
          </w:tcPr>
          <w:p w14:paraId="6AB5862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1" w:type="dxa"/>
            <w:vAlign w:val="center"/>
          </w:tcPr>
          <w:p w14:paraId="50E9996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39</w:t>
            </w:r>
          </w:p>
        </w:tc>
        <w:tc>
          <w:tcPr>
            <w:tcW w:w="1161" w:type="dxa"/>
            <w:vAlign w:val="center"/>
          </w:tcPr>
          <w:p w14:paraId="2CB0016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00:53-01:03</w:t>
            </w:r>
          </w:p>
        </w:tc>
        <w:tc>
          <w:tcPr>
            <w:tcW w:w="1161" w:type="dxa"/>
            <w:vAlign w:val="center"/>
          </w:tcPr>
          <w:p w14:paraId="7733A516">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4" w:type="dxa"/>
            <w:vAlign w:val="center"/>
          </w:tcPr>
          <w:p w14:paraId="13512BD0">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41</w:t>
            </w:r>
          </w:p>
        </w:tc>
      </w:tr>
      <w:tr w14:paraId="05556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Align w:val="center"/>
          </w:tcPr>
          <w:p w14:paraId="2D4C6C5F">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r>
              <w:rPr>
                <w:color w:val="000000" w:themeColor="text1"/>
                <w:sz w:val="18"/>
                <w:szCs w:val="18"/>
                <w:vertAlign w:val="superscript"/>
                <w14:textFill>
                  <w14:solidFill>
                    <w14:schemeClr w14:val="tx1"/>
                  </w14:solidFill>
                </w14:textFill>
              </w:rPr>
              <w:t>#</w:t>
            </w:r>
          </w:p>
        </w:tc>
        <w:tc>
          <w:tcPr>
            <w:tcW w:w="1907" w:type="dxa"/>
            <w:vAlign w:val="center"/>
          </w:tcPr>
          <w:p w14:paraId="67E6386C">
            <w:pPr>
              <w:pStyle w:val="109"/>
              <w:rPr>
                <w:bCs/>
                <w:color w:val="000000" w:themeColor="text1"/>
                <w:highlight w:val="yellow"/>
                <w14:textFill>
                  <w14:solidFill>
                    <w14:schemeClr w14:val="tx1"/>
                  </w14:solidFill>
                </w14:textFill>
              </w:rPr>
            </w:pPr>
            <w:r>
              <w:rPr>
                <w:bCs/>
                <w:color w:val="000000" w:themeColor="text1"/>
                <w14:textFill>
                  <w14:solidFill>
                    <w14:schemeClr w14:val="tx1"/>
                  </w14:solidFill>
                </w14:textFill>
              </w:rPr>
              <w:t>厂界北侧</w:t>
            </w:r>
          </w:p>
        </w:tc>
        <w:tc>
          <w:tcPr>
            <w:tcW w:w="1161" w:type="dxa"/>
            <w:vAlign w:val="center"/>
          </w:tcPr>
          <w:p w14:paraId="060F851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01:33-01:43</w:t>
            </w:r>
          </w:p>
        </w:tc>
        <w:tc>
          <w:tcPr>
            <w:tcW w:w="1161" w:type="dxa"/>
            <w:vAlign w:val="center"/>
          </w:tcPr>
          <w:p w14:paraId="1C72895F">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1" w:type="dxa"/>
            <w:vAlign w:val="center"/>
          </w:tcPr>
          <w:p w14:paraId="710CC133">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40</w:t>
            </w:r>
          </w:p>
        </w:tc>
        <w:tc>
          <w:tcPr>
            <w:tcW w:w="1161" w:type="dxa"/>
            <w:vAlign w:val="center"/>
          </w:tcPr>
          <w:p w14:paraId="115CAA8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01:21-01:31</w:t>
            </w:r>
          </w:p>
        </w:tc>
        <w:tc>
          <w:tcPr>
            <w:tcW w:w="1161" w:type="dxa"/>
            <w:vAlign w:val="center"/>
          </w:tcPr>
          <w:p w14:paraId="2B05DCC6">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环境</w:t>
            </w:r>
          </w:p>
        </w:tc>
        <w:tc>
          <w:tcPr>
            <w:tcW w:w="1164" w:type="dxa"/>
            <w:vAlign w:val="center"/>
          </w:tcPr>
          <w:p w14:paraId="1AF35D7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41</w:t>
            </w:r>
          </w:p>
        </w:tc>
      </w:tr>
    </w:tbl>
    <w:p w14:paraId="1C820516">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声环境质量现状评价</w:t>
      </w:r>
    </w:p>
    <w:p w14:paraId="4309CB86">
      <w:pPr>
        <w:ind w:firstLine="48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1、评价标准</w:t>
      </w:r>
    </w:p>
    <w:p w14:paraId="69D1A5CD">
      <w:pPr>
        <w:ind w:firstLine="480"/>
        <w:rPr>
          <w:color w:val="000000" w:themeColor="text1"/>
          <w14:textFill>
            <w14:solidFill>
              <w14:schemeClr w14:val="tx1"/>
            </w14:solidFill>
          </w14:textFill>
        </w:rPr>
      </w:pPr>
      <w:r>
        <w:rPr>
          <w:color w:val="000000" w:themeColor="text1"/>
          <w14:textFill>
            <w14:solidFill>
              <w14:schemeClr w14:val="tx1"/>
            </w14:solidFill>
          </w14:textFill>
        </w:rPr>
        <w:t>拟建项目厂界声环境质量执行《声环境质量标准》（GB3096-2008）中的3类标准，即昼间65dB(A)，夜间55dB(A)。</w:t>
      </w:r>
    </w:p>
    <w:p w14:paraId="2AD2864F">
      <w:pPr>
        <w:ind w:firstLine="48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2、评价方法</w:t>
      </w:r>
    </w:p>
    <w:p w14:paraId="6977608F">
      <w:pPr>
        <w:ind w:firstLine="480"/>
        <w:rPr>
          <w:color w:val="000000" w:themeColor="text1"/>
          <w14:textFill>
            <w14:solidFill>
              <w14:schemeClr w14:val="tx1"/>
            </w14:solidFill>
          </w14:textFill>
        </w:rPr>
      </w:pPr>
      <w:r>
        <w:rPr>
          <w:color w:val="000000" w:themeColor="text1"/>
          <w14:textFill>
            <w14:solidFill>
              <w14:schemeClr w14:val="tx1"/>
            </w14:solidFill>
          </w14:textFill>
        </w:rPr>
        <w:t>采用超标值法对等效声级L</w:t>
      </w:r>
      <w:r>
        <w:rPr>
          <w:color w:val="000000" w:themeColor="text1"/>
          <w:vertAlign w:val="subscript"/>
          <w14:textFill>
            <w14:solidFill>
              <w14:schemeClr w14:val="tx1"/>
            </w14:solidFill>
          </w14:textFill>
        </w:rPr>
        <w:t>Aeq</w:t>
      </w:r>
      <w:r>
        <w:rPr>
          <w:color w:val="000000" w:themeColor="text1"/>
          <w14:textFill>
            <w14:solidFill>
              <w14:schemeClr w14:val="tx1"/>
            </w14:solidFill>
          </w14:textFill>
        </w:rPr>
        <w:t>[dB(A)]进行评价，计算方法为：</w:t>
      </w:r>
    </w:p>
    <w:p w14:paraId="23C04251">
      <w:pPr>
        <w:ind w:firstLine="480"/>
        <w:rPr>
          <w:color w:val="000000" w:themeColor="text1"/>
          <w14:textFill>
            <w14:solidFill>
              <w14:schemeClr w14:val="tx1"/>
            </w14:solidFill>
          </w14:textFill>
        </w:rPr>
      </w:pPr>
      <w:r>
        <w:rPr>
          <w:color w:val="000000" w:themeColor="text1"/>
          <w14:textFill>
            <w14:solidFill>
              <w14:schemeClr w14:val="tx1"/>
            </w14:solidFill>
          </w14:textFill>
        </w:rPr>
        <w:t>P=L</w:t>
      </w:r>
      <w:r>
        <w:rPr>
          <w:color w:val="000000" w:themeColor="text1"/>
          <w:vertAlign w:val="subscript"/>
          <w14:textFill>
            <w14:solidFill>
              <w14:schemeClr w14:val="tx1"/>
            </w14:solidFill>
          </w14:textFill>
        </w:rPr>
        <w:t>Aeq</w:t>
      </w: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b</w:t>
      </w:r>
    </w:p>
    <w:p w14:paraId="21BCD447">
      <w:pPr>
        <w:ind w:firstLine="480"/>
        <w:rPr>
          <w:color w:val="000000" w:themeColor="text1"/>
          <w14:textFill>
            <w14:solidFill>
              <w14:schemeClr w14:val="tx1"/>
            </w14:solidFill>
          </w14:textFill>
        </w:rPr>
      </w:pPr>
      <w:r>
        <w:rPr>
          <w:color w:val="000000" w:themeColor="text1"/>
          <w14:textFill>
            <w14:solidFill>
              <w14:schemeClr w14:val="tx1"/>
            </w14:solidFill>
          </w14:textFill>
        </w:rPr>
        <w:t>式中：P 为超标值，dB(A)；</w:t>
      </w:r>
    </w:p>
    <w:p w14:paraId="642859C5">
      <w:pPr>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Aeq</w:t>
      </w:r>
      <w:r>
        <w:rPr>
          <w:color w:val="000000" w:themeColor="text1"/>
          <w14:textFill>
            <w14:solidFill>
              <w14:schemeClr w14:val="tx1"/>
            </w14:solidFill>
          </w14:textFill>
        </w:rPr>
        <w:t>为测点等效A 声级，dB(A)；</w:t>
      </w:r>
    </w:p>
    <w:p w14:paraId="7B08BA52">
      <w:pPr>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为噪声评价标准，dB(A)。</w:t>
      </w:r>
    </w:p>
    <w:p w14:paraId="18E0E13D">
      <w:pPr>
        <w:ind w:firstLine="48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3、评价结果</w:t>
      </w:r>
    </w:p>
    <w:p w14:paraId="062DA7F9">
      <w:pPr>
        <w:ind w:firstLine="480"/>
        <w:rPr>
          <w:color w:val="000000" w:themeColor="text1"/>
          <w14:textFill>
            <w14:solidFill>
              <w14:schemeClr w14:val="tx1"/>
            </w14:solidFill>
          </w14:textFill>
        </w:rPr>
      </w:pPr>
      <w:r>
        <w:rPr>
          <w:color w:val="000000" w:themeColor="text1"/>
          <w14:textFill>
            <w14:solidFill>
              <w14:schemeClr w14:val="tx1"/>
            </w14:solidFill>
          </w14:textFill>
        </w:rPr>
        <w:t>根据监测结果及评价标准，评价结果见下表。</w:t>
      </w:r>
    </w:p>
    <w:p w14:paraId="2091A186">
      <w:pPr>
        <w:pStyle w:val="117"/>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噪声现状评价结果一览表    单位：</w:t>
      </w:r>
      <w:r>
        <w:rPr>
          <w:rFonts w:ascii="Times New Roman" w:hAnsi="Times New Roman" w:cs="Times New Roman"/>
          <w:b/>
          <w:bCs/>
          <w:color w:val="000000" w:themeColor="text1"/>
          <w14:textFill>
            <w14:solidFill>
              <w14:schemeClr w14:val="tx1"/>
            </w14:solidFill>
          </w14:textFill>
        </w:rPr>
        <w:t>dB(A)</w:t>
      </w:r>
    </w:p>
    <w:tbl>
      <w:tblPr>
        <w:tblStyle w:val="76"/>
        <w:tblW w:w="5000" w:type="pct"/>
        <w:tblInd w:w="0" w:type="dxa"/>
        <w:tblLayout w:type="autofit"/>
        <w:tblCellMar>
          <w:top w:w="0" w:type="dxa"/>
          <w:left w:w="108" w:type="dxa"/>
          <w:bottom w:w="0" w:type="dxa"/>
          <w:right w:w="108" w:type="dxa"/>
        </w:tblCellMar>
      </w:tblPr>
      <w:tblGrid>
        <w:gridCol w:w="1571"/>
        <w:gridCol w:w="1573"/>
        <w:gridCol w:w="1571"/>
        <w:gridCol w:w="2457"/>
        <w:gridCol w:w="2456"/>
      </w:tblGrid>
      <w:tr w14:paraId="6C59C7A7">
        <w:tblPrEx>
          <w:tblCellMar>
            <w:top w:w="0" w:type="dxa"/>
            <w:left w:w="108" w:type="dxa"/>
            <w:bottom w:w="0" w:type="dxa"/>
            <w:right w:w="108" w:type="dxa"/>
          </w:tblCellMar>
        </w:tblPrEx>
        <w:tc>
          <w:tcPr>
            <w:tcW w:w="1633" w:type="pct"/>
            <w:gridSpan w:val="2"/>
            <w:tcBorders>
              <w:top w:val="single" w:color="auto" w:sz="4" w:space="0"/>
              <w:left w:val="single" w:color="auto" w:sz="4" w:space="0"/>
              <w:bottom w:val="single" w:color="auto" w:sz="4" w:space="0"/>
              <w:right w:val="single" w:color="auto" w:sz="4" w:space="0"/>
            </w:tcBorders>
            <w:noWrap/>
            <w:vAlign w:val="center"/>
          </w:tcPr>
          <w:p w14:paraId="622D7E52">
            <w:pPr>
              <w:pStyle w:val="109"/>
              <w:rPr>
                <w:color w:val="000000" w:themeColor="text1"/>
                <w14:textFill>
                  <w14:solidFill>
                    <w14:schemeClr w14:val="tx1"/>
                  </w14:solidFill>
                </w14:textFill>
              </w:rPr>
            </w:pPr>
            <w:r>
              <w:rPr>
                <w:color w:val="000000" w:themeColor="text1"/>
                <w14:textFill>
                  <w14:solidFill>
                    <w14:schemeClr w14:val="tx1"/>
                  </w14:solidFill>
                </w14:textFill>
              </w:rPr>
              <w:t>测点位置</w:t>
            </w:r>
          </w:p>
        </w:tc>
        <w:tc>
          <w:tcPr>
            <w:tcW w:w="816" w:type="pct"/>
            <w:tcBorders>
              <w:top w:val="single" w:color="auto" w:sz="4" w:space="0"/>
              <w:left w:val="nil"/>
              <w:bottom w:val="single" w:color="auto" w:sz="4" w:space="0"/>
              <w:right w:val="single" w:color="auto" w:sz="4" w:space="0"/>
            </w:tcBorders>
            <w:noWrap/>
            <w:vAlign w:val="center"/>
          </w:tcPr>
          <w:p w14:paraId="0653FCD0">
            <w:pPr>
              <w:pStyle w:val="109"/>
              <w:rPr>
                <w:color w:val="000000" w:themeColor="text1"/>
                <w14:textFill>
                  <w14:solidFill>
                    <w14:schemeClr w14:val="tx1"/>
                  </w14:solidFill>
                </w14:textFill>
              </w:rPr>
            </w:pPr>
            <w:r>
              <w:rPr>
                <w:color w:val="000000" w:themeColor="text1"/>
                <w14:textFill>
                  <w14:solidFill>
                    <w14:schemeClr w14:val="tx1"/>
                  </w14:solidFill>
                </w14:textFill>
              </w:rPr>
              <w:t>测量时间</w:t>
            </w:r>
          </w:p>
        </w:tc>
        <w:tc>
          <w:tcPr>
            <w:tcW w:w="1276" w:type="pct"/>
            <w:tcBorders>
              <w:top w:val="single" w:color="auto" w:sz="4" w:space="0"/>
              <w:left w:val="nil"/>
              <w:bottom w:val="single" w:color="auto" w:sz="4" w:space="0"/>
              <w:right w:val="single" w:color="auto" w:sz="4" w:space="0"/>
            </w:tcBorders>
            <w:vAlign w:val="center"/>
          </w:tcPr>
          <w:p w14:paraId="5F16760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2026年1月5日</w:t>
            </w:r>
          </w:p>
        </w:tc>
        <w:tc>
          <w:tcPr>
            <w:tcW w:w="1276" w:type="pct"/>
            <w:tcBorders>
              <w:top w:val="single" w:color="auto" w:sz="4" w:space="0"/>
              <w:left w:val="nil"/>
              <w:bottom w:val="single" w:color="auto" w:sz="4" w:space="0"/>
              <w:right w:val="single" w:color="auto" w:sz="4" w:space="0"/>
            </w:tcBorders>
            <w:vAlign w:val="center"/>
          </w:tcPr>
          <w:p w14:paraId="7BBBBD4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2026年1月6日</w:t>
            </w:r>
          </w:p>
        </w:tc>
      </w:tr>
      <w:tr w14:paraId="72742524">
        <w:tblPrEx>
          <w:tblCellMar>
            <w:top w:w="0" w:type="dxa"/>
            <w:left w:w="108" w:type="dxa"/>
            <w:bottom w:w="0" w:type="dxa"/>
            <w:right w:w="108" w:type="dxa"/>
          </w:tblCellMar>
        </w:tblPrEx>
        <w:tc>
          <w:tcPr>
            <w:tcW w:w="816" w:type="pct"/>
            <w:tcBorders>
              <w:top w:val="nil"/>
              <w:left w:val="single" w:color="auto" w:sz="4" w:space="0"/>
              <w:bottom w:val="single" w:color="auto" w:sz="4" w:space="0"/>
              <w:right w:val="single" w:color="auto" w:sz="4" w:space="0"/>
            </w:tcBorders>
            <w:vAlign w:val="center"/>
          </w:tcPr>
          <w:p w14:paraId="4B4D309A">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color w:val="000000" w:themeColor="text1"/>
                <w:sz w:val="18"/>
                <w:szCs w:val="18"/>
                <w:vertAlign w:val="superscript"/>
                <w14:textFill>
                  <w14:solidFill>
                    <w14:schemeClr w14:val="tx1"/>
                  </w14:solidFill>
                </w14:textFill>
              </w:rPr>
              <w:t>#</w:t>
            </w:r>
          </w:p>
        </w:tc>
        <w:tc>
          <w:tcPr>
            <w:tcW w:w="816" w:type="pct"/>
            <w:tcBorders>
              <w:top w:val="nil"/>
              <w:left w:val="nil"/>
              <w:bottom w:val="single" w:color="auto" w:sz="4" w:space="0"/>
              <w:right w:val="single" w:color="auto" w:sz="4" w:space="0"/>
            </w:tcBorders>
            <w:vAlign w:val="center"/>
          </w:tcPr>
          <w:p w14:paraId="6B4E632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厂界东侧</w:t>
            </w:r>
          </w:p>
        </w:tc>
        <w:tc>
          <w:tcPr>
            <w:tcW w:w="816" w:type="pct"/>
            <w:vMerge w:val="restart"/>
            <w:tcBorders>
              <w:top w:val="nil"/>
              <w:left w:val="single" w:color="auto" w:sz="4" w:space="0"/>
              <w:bottom w:val="single" w:color="auto" w:sz="4" w:space="0"/>
              <w:right w:val="single" w:color="auto" w:sz="4" w:space="0"/>
            </w:tcBorders>
            <w:noWrap/>
            <w:vAlign w:val="center"/>
          </w:tcPr>
          <w:p w14:paraId="393FB061">
            <w:pPr>
              <w:pStyle w:val="109"/>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276" w:type="pct"/>
            <w:tcBorders>
              <w:top w:val="nil"/>
              <w:left w:val="nil"/>
              <w:bottom w:val="single" w:color="auto" w:sz="4" w:space="0"/>
              <w:right w:val="single" w:color="auto" w:sz="4" w:space="0"/>
            </w:tcBorders>
            <w:noWrap/>
            <w:vAlign w:val="center"/>
          </w:tcPr>
          <w:p w14:paraId="5B5E5CF7">
            <w:pPr>
              <w:pStyle w:val="109"/>
              <w:rPr>
                <w:color w:val="000000" w:themeColor="text1"/>
                <w14:textFill>
                  <w14:solidFill>
                    <w14:schemeClr w14:val="tx1"/>
                  </w14:solidFill>
                </w14:textFill>
              </w:rPr>
            </w:pPr>
            <w:r>
              <w:rPr>
                <w:color w:val="000000" w:themeColor="text1"/>
                <w14:textFill>
                  <w14:solidFill>
                    <w14:schemeClr w14:val="tx1"/>
                  </w14:solidFill>
                </w14:textFill>
              </w:rPr>
              <w:t>-22</w:t>
            </w:r>
          </w:p>
        </w:tc>
        <w:tc>
          <w:tcPr>
            <w:tcW w:w="1276" w:type="pct"/>
            <w:tcBorders>
              <w:top w:val="nil"/>
              <w:left w:val="nil"/>
              <w:bottom w:val="single" w:color="auto" w:sz="4" w:space="0"/>
              <w:right w:val="single" w:color="auto" w:sz="4" w:space="0"/>
            </w:tcBorders>
            <w:noWrap/>
            <w:vAlign w:val="center"/>
          </w:tcPr>
          <w:p w14:paraId="4E2166DE">
            <w:pPr>
              <w:pStyle w:val="109"/>
              <w:rPr>
                <w:color w:val="000000" w:themeColor="text1"/>
                <w14:textFill>
                  <w14:solidFill>
                    <w14:schemeClr w14:val="tx1"/>
                  </w14:solidFill>
                </w14:textFill>
              </w:rPr>
            </w:pPr>
            <w:r>
              <w:rPr>
                <w:color w:val="000000" w:themeColor="text1"/>
                <w14:textFill>
                  <w14:solidFill>
                    <w14:schemeClr w14:val="tx1"/>
                  </w14:solidFill>
                </w14:textFill>
              </w:rPr>
              <w:t>-23</w:t>
            </w:r>
          </w:p>
        </w:tc>
      </w:tr>
      <w:tr w14:paraId="5B9CB184">
        <w:tblPrEx>
          <w:tblCellMar>
            <w:top w:w="0" w:type="dxa"/>
            <w:left w:w="108" w:type="dxa"/>
            <w:bottom w:w="0" w:type="dxa"/>
            <w:right w:w="108" w:type="dxa"/>
          </w:tblCellMar>
        </w:tblPrEx>
        <w:tc>
          <w:tcPr>
            <w:tcW w:w="816" w:type="pct"/>
            <w:tcBorders>
              <w:top w:val="nil"/>
              <w:left w:val="single" w:color="auto" w:sz="4" w:space="0"/>
              <w:bottom w:val="single" w:color="auto" w:sz="4" w:space="0"/>
              <w:right w:val="single" w:color="auto" w:sz="4" w:space="0"/>
            </w:tcBorders>
            <w:vAlign w:val="center"/>
          </w:tcPr>
          <w:p w14:paraId="6CC1D5C1">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r>
              <w:rPr>
                <w:color w:val="000000" w:themeColor="text1"/>
                <w:sz w:val="18"/>
                <w:szCs w:val="18"/>
                <w:vertAlign w:val="superscript"/>
                <w14:textFill>
                  <w14:solidFill>
                    <w14:schemeClr w14:val="tx1"/>
                  </w14:solidFill>
                </w14:textFill>
              </w:rPr>
              <w:t>#</w:t>
            </w:r>
          </w:p>
        </w:tc>
        <w:tc>
          <w:tcPr>
            <w:tcW w:w="816" w:type="pct"/>
            <w:tcBorders>
              <w:top w:val="nil"/>
              <w:left w:val="nil"/>
              <w:bottom w:val="single" w:color="auto" w:sz="4" w:space="0"/>
              <w:right w:val="single" w:color="auto" w:sz="4" w:space="0"/>
            </w:tcBorders>
            <w:vAlign w:val="center"/>
          </w:tcPr>
          <w:p w14:paraId="63323AB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厂界南侧</w:t>
            </w:r>
          </w:p>
        </w:tc>
        <w:tc>
          <w:tcPr>
            <w:tcW w:w="816" w:type="pct"/>
            <w:vMerge w:val="continue"/>
            <w:tcBorders>
              <w:top w:val="nil"/>
              <w:left w:val="single" w:color="auto" w:sz="4" w:space="0"/>
              <w:bottom w:val="single" w:color="auto" w:sz="4" w:space="0"/>
              <w:right w:val="single" w:color="auto" w:sz="4" w:space="0"/>
            </w:tcBorders>
            <w:vAlign w:val="center"/>
          </w:tcPr>
          <w:p w14:paraId="19040E40">
            <w:pPr>
              <w:pStyle w:val="109"/>
              <w:rPr>
                <w:color w:val="000000" w:themeColor="text1"/>
                <w14:textFill>
                  <w14:solidFill>
                    <w14:schemeClr w14:val="tx1"/>
                  </w14:solidFill>
                </w14:textFill>
              </w:rPr>
            </w:pPr>
          </w:p>
        </w:tc>
        <w:tc>
          <w:tcPr>
            <w:tcW w:w="1276" w:type="pct"/>
            <w:tcBorders>
              <w:top w:val="nil"/>
              <w:left w:val="nil"/>
              <w:bottom w:val="single" w:color="auto" w:sz="4" w:space="0"/>
              <w:right w:val="single" w:color="auto" w:sz="4" w:space="0"/>
            </w:tcBorders>
            <w:noWrap/>
            <w:vAlign w:val="center"/>
          </w:tcPr>
          <w:p w14:paraId="4BA35975">
            <w:pPr>
              <w:pStyle w:val="109"/>
              <w:rPr>
                <w:color w:val="000000" w:themeColor="text1"/>
                <w14:textFill>
                  <w14:solidFill>
                    <w14:schemeClr w14:val="tx1"/>
                  </w14:solidFill>
                </w14:textFill>
              </w:rPr>
            </w:pPr>
            <w:r>
              <w:rPr>
                <w:color w:val="000000" w:themeColor="text1"/>
                <w14:textFill>
                  <w14:solidFill>
                    <w14:schemeClr w14:val="tx1"/>
                  </w14:solidFill>
                </w14:textFill>
              </w:rPr>
              <w:t>-22</w:t>
            </w:r>
          </w:p>
        </w:tc>
        <w:tc>
          <w:tcPr>
            <w:tcW w:w="1276" w:type="pct"/>
            <w:tcBorders>
              <w:top w:val="nil"/>
              <w:left w:val="nil"/>
              <w:bottom w:val="single" w:color="auto" w:sz="4" w:space="0"/>
              <w:right w:val="single" w:color="auto" w:sz="4" w:space="0"/>
            </w:tcBorders>
            <w:noWrap/>
            <w:vAlign w:val="center"/>
          </w:tcPr>
          <w:p w14:paraId="54ABBDC9">
            <w:pPr>
              <w:pStyle w:val="109"/>
              <w:rPr>
                <w:color w:val="000000" w:themeColor="text1"/>
                <w14:textFill>
                  <w14:solidFill>
                    <w14:schemeClr w14:val="tx1"/>
                  </w14:solidFill>
                </w14:textFill>
              </w:rPr>
            </w:pPr>
            <w:r>
              <w:rPr>
                <w:color w:val="000000" w:themeColor="text1"/>
                <w14:textFill>
                  <w14:solidFill>
                    <w14:schemeClr w14:val="tx1"/>
                  </w14:solidFill>
                </w14:textFill>
              </w:rPr>
              <w:t>-22</w:t>
            </w:r>
          </w:p>
        </w:tc>
      </w:tr>
      <w:tr w14:paraId="3324E0E7">
        <w:tblPrEx>
          <w:tblCellMar>
            <w:top w:w="0" w:type="dxa"/>
            <w:left w:w="108" w:type="dxa"/>
            <w:bottom w:w="0" w:type="dxa"/>
            <w:right w:w="108" w:type="dxa"/>
          </w:tblCellMar>
        </w:tblPrEx>
        <w:tc>
          <w:tcPr>
            <w:tcW w:w="816" w:type="pct"/>
            <w:tcBorders>
              <w:top w:val="nil"/>
              <w:left w:val="single" w:color="auto" w:sz="4" w:space="0"/>
              <w:bottom w:val="single" w:color="auto" w:sz="4" w:space="0"/>
              <w:right w:val="single" w:color="auto" w:sz="4" w:space="0"/>
            </w:tcBorders>
            <w:vAlign w:val="center"/>
          </w:tcPr>
          <w:p w14:paraId="25530B91">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r>
              <w:rPr>
                <w:color w:val="000000" w:themeColor="text1"/>
                <w:sz w:val="18"/>
                <w:szCs w:val="18"/>
                <w:vertAlign w:val="superscript"/>
                <w14:textFill>
                  <w14:solidFill>
                    <w14:schemeClr w14:val="tx1"/>
                  </w14:solidFill>
                </w14:textFill>
              </w:rPr>
              <w:t>#</w:t>
            </w:r>
          </w:p>
        </w:tc>
        <w:tc>
          <w:tcPr>
            <w:tcW w:w="816" w:type="pct"/>
            <w:tcBorders>
              <w:top w:val="nil"/>
              <w:left w:val="nil"/>
              <w:bottom w:val="single" w:color="auto" w:sz="4" w:space="0"/>
              <w:right w:val="single" w:color="auto" w:sz="4" w:space="0"/>
            </w:tcBorders>
            <w:vAlign w:val="center"/>
          </w:tcPr>
          <w:p w14:paraId="7DEF81C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厂界西侧</w:t>
            </w:r>
          </w:p>
        </w:tc>
        <w:tc>
          <w:tcPr>
            <w:tcW w:w="816" w:type="pct"/>
            <w:vMerge w:val="continue"/>
            <w:tcBorders>
              <w:top w:val="nil"/>
              <w:left w:val="single" w:color="auto" w:sz="4" w:space="0"/>
              <w:bottom w:val="single" w:color="auto" w:sz="4" w:space="0"/>
              <w:right w:val="single" w:color="auto" w:sz="4" w:space="0"/>
            </w:tcBorders>
            <w:vAlign w:val="center"/>
          </w:tcPr>
          <w:p w14:paraId="6851BF46">
            <w:pPr>
              <w:pStyle w:val="109"/>
              <w:rPr>
                <w:color w:val="000000" w:themeColor="text1"/>
                <w14:textFill>
                  <w14:solidFill>
                    <w14:schemeClr w14:val="tx1"/>
                  </w14:solidFill>
                </w14:textFill>
              </w:rPr>
            </w:pPr>
          </w:p>
        </w:tc>
        <w:tc>
          <w:tcPr>
            <w:tcW w:w="1276" w:type="pct"/>
            <w:tcBorders>
              <w:top w:val="nil"/>
              <w:left w:val="nil"/>
              <w:bottom w:val="single" w:color="auto" w:sz="4" w:space="0"/>
              <w:right w:val="single" w:color="auto" w:sz="4" w:space="0"/>
            </w:tcBorders>
            <w:noWrap/>
            <w:vAlign w:val="center"/>
          </w:tcPr>
          <w:p w14:paraId="2323CB81">
            <w:pPr>
              <w:pStyle w:val="109"/>
              <w:rPr>
                <w:color w:val="000000" w:themeColor="text1"/>
                <w14:textFill>
                  <w14:solidFill>
                    <w14:schemeClr w14:val="tx1"/>
                  </w14:solidFill>
                </w14:textFill>
              </w:rPr>
            </w:pPr>
            <w:r>
              <w:rPr>
                <w:color w:val="000000" w:themeColor="text1"/>
                <w14:textFill>
                  <w14:solidFill>
                    <w14:schemeClr w14:val="tx1"/>
                  </w14:solidFill>
                </w14:textFill>
              </w:rPr>
              <w:t>-23</w:t>
            </w:r>
          </w:p>
        </w:tc>
        <w:tc>
          <w:tcPr>
            <w:tcW w:w="1276" w:type="pct"/>
            <w:tcBorders>
              <w:top w:val="nil"/>
              <w:left w:val="nil"/>
              <w:bottom w:val="single" w:color="auto" w:sz="4" w:space="0"/>
              <w:right w:val="single" w:color="auto" w:sz="4" w:space="0"/>
            </w:tcBorders>
            <w:noWrap/>
            <w:vAlign w:val="center"/>
          </w:tcPr>
          <w:p w14:paraId="2F42DCFF">
            <w:pPr>
              <w:pStyle w:val="109"/>
              <w:rPr>
                <w:color w:val="000000" w:themeColor="text1"/>
                <w14:textFill>
                  <w14:solidFill>
                    <w14:schemeClr w14:val="tx1"/>
                  </w14:solidFill>
                </w14:textFill>
              </w:rPr>
            </w:pPr>
            <w:r>
              <w:rPr>
                <w:color w:val="000000" w:themeColor="text1"/>
                <w14:textFill>
                  <w14:solidFill>
                    <w14:schemeClr w14:val="tx1"/>
                  </w14:solidFill>
                </w14:textFill>
              </w:rPr>
              <w:t>-23</w:t>
            </w:r>
          </w:p>
        </w:tc>
      </w:tr>
      <w:tr w14:paraId="2D209779">
        <w:tblPrEx>
          <w:tblCellMar>
            <w:top w:w="0" w:type="dxa"/>
            <w:left w:w="108" w:type="dxa"/>
            <w:bottom w:w="0" w:type="dxa"/>
            <w:right w:w="108" w:type="dxa"/>
          </w:tblCellMar>
        </w:tblPrEx>
        <w:tc>
          <w:tcPr>
            <w:tcW w:w="816" w:type="pct"/>
            <w:tcBorders>
              <w:top w:val="nil"/>
              <w:left w:val="single" w:color="auto" w:sz="4" w:space="0"/>
              <w:bottom w:val="single" w:color="auto" w:sz="4" w:space="0"/>
              <w:right w:val="single" w:color="auto" w:sz="4" w:space="0"/>
            </w:tcBorders>
            <w:vAlign w:val="center"/>
          </w:tcPr>
          <w:p w14:paraId="28D4D596">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r>
              <w:rPr>
                <w:color w:val="000000" w:themeColor="text1"/>
                <w:sz w:val="18"/>
                <w:szCs w:val="18"/>
                <w:vertAlign w:val="superscript"/>
                <w14:textFill>
                  <w14:solidFill>
                    <w14:schemeClr w14:val="tx1"/>
                  </w14:solidFill>
                </w14:textFill>
              </w:rPr>
              <w:t>#</w:t>
            </w:r>
          </w:p>
        </w:tc>
        <w:tc>
          <w:tcPr>
            <w:tcW w:w="816" w:type="pct"/>
            <w:tcBorders>
              <w:top w:val="nil"/>
              <w:left w:val="nil"/>
              <w:bottom w:val="single" w:color="auto" w:sz="4" w:space="0"/>
              <w:right w:val="single" w:color="auto" w:sz="4" w:space="0"/>
            </w:tcBorders>
            <w:vAlign w:val="center"/>
          </w:tcPr>
          <w:p w14:paraId="0812A2E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厂界北侧</w:t>
            </w:r>
          </w:p>
        </w:tc>
        <w:tc>
          <w:tcPr>
            <w:tcW w:w="816" w:type="pct"/>
            <w:vMerge w:val="continue"/>
            <w:tcBorders>
              <w:top w:val="nil"/>
              <w:left w:val="single" w:color="auto" w:sz="4" w:space="0"/>
              <w:bottom w:val="single" w:color="auto" w:sz="4" w:space="0"/>
              <w:right w:val="single" w:color="auto" w:sz="4" w:space="0"/>
            </w:tcBorders>
            <w:vAlign w:val="center"/>
          </w:tcPr>
          <w:p w14:paraId="4E002F5D">
            <w:pPr>
              <w:pStyle w:val="109"/>
              <w:rPr>
                <w:color w:val="000000" w:themeColor="text1"/>
                <w14:textFill>
                  <w14:solidFill>
                    <w14:schemeClr w14:val="tx1"/>
                  </w14:solidFill>
                </w14:textFill>
              </w:rPr>
            </w:pPr>
          </w:p>
        </w:tc>
        <w:tc>
          <w:tcPr>
            <w:tcW w:w="1276" w:type="pct"/>
            <w:tcBorders>
              <w:top w:val="nil"/>
              <w:left w:val="nil"/>
              <w:bottom w:val="single" w:color="auto" w:sz="4" w:space="0"/>
              <w:right w:val="single" w:color="auto" w:sz="4" w:space="0"/>
            </w:tcBorders>
            <w:noWrap/>
            <w:vAlign w:val="center"/>
          </w:tcPr>
          <w:p w14:paraId="7825EC82">
            <w:pPr>
              <w:pStyle w:val="109"/>
              <w:rPr>
                <w:color w:val="000000" w:themeColor="text1"/>
                <w14:textFill>
                  <w14:solidFill>
                    <w14:schemeClr w14:val="tx1"/>
                  </w14:solidFill>
                </w14:textFill>
              </w:rPr>
            </w:pPr>
            <w:r>
              <w:rPr>
                <w:color w:val="000000" w:themeColor="text1"/>
                <w14:textFill>
                  <w14:solidFill>
                    <w14:schemeClr w14:val="tx1"/>
                  </w14:solidFill>
                </w14:textFill>
              </w:rPr>
              <w:t>-22</w:t>
            </w:r>
          </w:p>
        </w:tc>
        <w:tc>
          <w:tcPr>
            <w:tcW w:w="1276" w:type="pct"/>
            <w:tcBorders>
              <w:top w:val="nil"/>
              <w:left w:val="nil"/>
              <w:bottom w:val="single" w:color="auto" w:sz="4" w:space="0"/>
              <w:right w:val="single" w:color="auto" w:sz="4" w:space="0"/>
            </w:tcBorders>
            <w:noWrap/>
            <w:vAlign w:val="center"/>
          </w:tcPr>
          <w:p w14:paraId="61EF1C61">
            <w:pPr>
              <w:pStyle w:val="109"/>
              <w:rPr>
                <w:color w:val="000000" w:themeColor="text1"/>
                <w14:textFill>
                  <w14:solidFill>
                    <w14:schemeClr w14:val="tx1"/>
                  </w14:solidFill>
                </w14:textFill>
              </w:rPr>
            </w:pPr>
            <w:r>
              <w:rPr>
                <w:color w:val="000000" w:themeColor="text1"/>
                <w14:textFill>
                  <w14:solidFill>
                    <w14:schemeClr w14:val="tx1"/>
                  </w14:solidFill>
                </w14:textFill>
              </w:rPr>
              <w:t>-22</w:t>
            </w:r>
          </w:p>
        </w:tc>
      </w:tr>
      <w:tr w14:paraId="26BC325F">
        <w:tblPrEx>
          <w:tblCellMar>
            <w:top w:w="0" w:type="dxa"/>
            <w:left w:w="108" w:type="dxa"/>
            <w:bottom w:w="0" w:type="dxa"/>
            <w:right w:w="108" w:type="dxa"/>
          </w:tblCellMar>
        </w:tblPrEx>
        <w:tc>
          <w:tcPr>
            <w:tcW w:w="816" w:type="pct"/>
            <w:tcBorders>
              <w:top w:val="nil"/>
              <w:left w:val="single" w:color="auto" w:sz="4" w:space="0"/>
              <w:bottom w:val="single" w:color="auto" w:sz="4" w:space="0"/>
              <w:right w:val="single" w:color="auto" w:sz="4" w:space="0"/>
            </w:tcBorders>
            <w:vAlign w:val="center"/>
          </w:tcPr>
          <w:p w14:paraId="565FB574">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color w:val="000000" w:themeColor="text1"/>
                <w:sz w:val="18"/>
                <w:szCs w:val="18"/>
                <w:vertAlign w:val="superscript"/>
                <w14:textFill>
                  <w14:solidFill>
                    <w14:schemeClr w14:val="tx1"/>
                  </w14:solidFill>
                </w14:textFill>
              </w:rPr>
              <w:t>#</w:t>
            </w:r>
          </w:p>
        </w:tc>
        <w:tc>
          <w:tcPr>
            <w:tcW w:w="816" w:type="pct"/>
            <w:tcBorders>
              <w:top w:val="nil"/>
              <w:left w:val="nil"/>
              <w:bottom w:val="single" w:color="auto" w:sz="4" w:space="0"/>
              <w:right w:val="single" w:color="auto" w:sz="4" w:space="0"/>
            </w:tcBorders>
            <w:vAlign w:val="center"/>
          </w:tcPr>
          <w:p w14:paraId="30C0FB5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厂界东侧</w:t>
            </w:r>
          </w:p>
        </w:tc>
        <w:tc>
          <w:tcPr>
            <w:tcW w:w="816" w:type="pct"/>
            <w:vMerge w:val="restart"/>
            <w:tcBorders>
              <w:top w:val="nil"/>
              <w:left w:val="single" w:color="auto" w:sz="4" w:space="0"/>
              <w:bottom w:val="single" w:color="auto" w:sz="4" w:space="0"/>
              <w:right w:val="single" w:color="auto" w:sz="4" w:space="0"/>
            </w:tcBorders>
            <w:noWrap/>
            <w:vAlign w:val="center"/>
          </w:tcPr>
          <w:p w14:paraId="7676BDB3">
            <w:pPr>
              <w:pStyle w:val="109"/>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1276" w:type="pct"/>
            <w:tcBorders>
              <w:top w:val="nil"/>
              <w:left w:val="nil"/>
              <w:bottom w:val="single" w:color="auto" w:sz="4" w:space="0"/>
              <w:right w:val="single" w:color="auto" w:sz="4" w:space="0"/>
            </w:tcBorders>
            <w:noWrap/>
            <w:vAlign w:val="center"/>
          </w:tcPr>
          <w:p w14:paraId="4458635B">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76" w:type="pct"/>
            <w:tcBorders>
              <w:top w:val="nil"/>
              <w:left w:val="nil"/>
              <w:bottom w:val="single" w:color="auto" w:sz="4" w:space="0"/>
              <w:right w:val="single" w:color="auto" w:sz="4" w:space="0"/>
            </w:tcBorders>
            <w:noWrap/>
            <w:vAlign w:val="center"/>
          </w:tcPr>
          <w:p w14:paraId="0DE8601F">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1A9B55A7">
        <w:tblPrEx>
          <w:tblCellMar>
            <w:top w:w="0" w:type="dxa"/>
            <w:left w:w="108" w:type="dxa"/>
            <w:bottom w:w="0" w:type="dxa"/>
            <w:right w:w="108" w:type="dxa"/>
          </w:tblCellMar>
        </w:tblPrEx>
        <w:tc>
          <w:tcPr>
            <w:tcW w:w="816" w:type="pct"/>
            <w:tcBorders>
              <w:top w:val="nil"/>
              <w:left w:val="single" w:color="auto" w:sz="4" w:space="0"/>
              <w:bottom w:val="single" w:color="auto" w:sz="4" w:space="0"/>
              <w:right w:val="single" w:color="auto" w:sz="4" w:space="0"/>
            </w:tcBorders>
            <w:vAlign w:val="center"/>
          </w:tcPr>
          <w:p w14:paraId="1CE52754">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r>
              <w:rPr>
                <w:color w:val="000000" w:themeColor="text1"/>
                <w:sz w:val="18"/>
                <w:szCs w:val="18"/>
                <w:vertAlign w:val="superscript"/>
                <w14:textFill>
                  <w14:solidFill>
                    <w14:schemeClr w14:val="tx1"/>
                  </w14:solidFill>
                </w14:textFill>
              </w:rPr>
              <w:t>#</w:t>
            </w:r>
          </w:p>
        </w:tc>
        <w:tc>
          <w:tcPr>
            <w:tcW w:w="816" w:type="pct"/>
            <w:tcBorders>
              <w:top w:val="nil"/>
              <w:left w:val="nil"/>
              <w:bottom w:val="single" w:color="auto" w:sz="4" w:space="0"/>
              <w:right w:val="single" w:color="auto" w:sz="4" w:space="0"/>
            </w:tcBorders>
            <w:vAlign w:val="center"/>
          </w:tcPr>
          <w:p w14:paraId="1E22799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厂界南侧</w:t>
            </w:r>
          </w:p>
        </w:tc>
        <w:tc>
          <w:tcPr>
            <w:tcW w:w="816" w:type="pct"/>
            <w:vMerge w:val="continue"/>
            <w:tcBorders>
              <w:top w:val="nil"/>
              <w:left w:val="single" w:color="auto" w:sz="4" w:space="0"/>
              <w:bottom w:val="single" w:color="auto" w:sz="4" w:space="0"/>
              <w:right w:val="single" w:color="auto" w:sz="4" w:space="0"/>
            </w:tcBorders>
            <w:vAlign w:val="center"/>
          </w:tcPr>
          <w:p w14:paraId="2B9E5E0F">
            <w:pPr>
              <w:pStyle w:val="109"/>
              <w:rPr>
                <w:color w:val="000000" w:themeColor="text1"/>
                <w14:textFill>
                  <w14:solidFill>
                    <w14:schemeClr w14:val="tx1"/>
                  </w14:solidFill>
                </w14:textFill>
              </w:rPr>
            </w:pPr>
          </w:p>
        </w:tc>
        <w:tc>
          <w:tcPr>
            <w:tcW w:w="1276" w:type="pct"/>
            <w:tcBorders>
              <w:top w:val="nil"/>
              <w:left w:val="nil"/>
              <w:bottom w:val="single" w:color="auto" w:sz="4" w:space="0"/>
              <w:right w:val="single" w:color="auto" w:sz="4" w:space="0"/>
            </w:tcBorders>
            <w:noWrap/>
            <w:vAlign w:val="center"/>
          </w:tcPr>
          <w:p w14:paraId="758B29A2">
            <w:pPr>
              <w:pStyle w:val="109"/>
              <w:rPr>
                <w:color w:val="000000" w:themeColor="text1"/>
                <w14:textFill>
                  <w14:solidFill>
                    <w14:schemeClr w14:val="tx1"/>
                  </w14:solidFill>
                </w14:textFill>
              </w:rPr>
            </w:pPr>
            <w:r>
              <w:rPr>
                <w:color w:val="000000" w:themeColor="text1"/>
                <w14:textFill>
                  <w14:solidFill>
                    <w14:schemeClr w14:val="tx1"/>
                  </w14:solidFill>
                </w14:textFill>
              </w:rPr>
              <w:t>-16</w:t>
            </w:r>
          </w:p>
        </w:tc>
        <w:tc>
          <w:tcPr>
            <w:tcW w:w="1276" w:type="pct"/>
            <w:tcBorders>
              <w:top w:val="nil"/>
              <w:left w:val="nil"/>
              <w:bottom w:val="single" w:color="auto" w:sz="4" w:space="0"/>
              <w:right w:val="single" w:color="auto" w:sz="4" w:space="0"/>
            </w:tcBorders>
            <w:noWrap/>
            <w:vAlign w:val="center"/>
          </w:tcPr>
          <w:p w14:paraId="76C910ED">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r>
      <w:tr w14:paraId="115F5932">
        <w:tblPrEx>
          <w:tblCellMar>
            <w:top w:w="0" w:type="dxa"/>
            <w:left w:w="108" w:type="dxa"/>
            <w:bottom w:w="0" w:type="dxa"/>
            <w:right w:w="108" w:type="dxa"/>
          </w:tblCellMar>
        </w:tblPrEx>
        <w:tc>
          <w:tcPr>
            <w:tcW w:w="816" w:type="pct"/>
            <w:tcBorders>
              <w:top w:val="nil"/>
              <w:left w:val="single" w:color="auto" w:sz="4" w:space="0"/>
              <w:bottom w:val="single" w:color="auto" w:sz="4" w:space="0"/>
              <w:right w:val="single" w:color="auto" w:sz="4" w:space="0"/>
            </w:tcBorders>
            <w:vAlign w:val="center"/>
          </w:tcPr>
          <w:p w14:paraId="54319D64">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r>
              <w:rPr>
                <w:color w:val="000000" w:themeColor="text1"/>
                <w:sz w:val="18"/>
                <w:szCs w:val="18"/>
                <w:vertAlign w:val="superscript"/>
                <w14:textFill>
                  <w14:solidFill>
                    <w14:schemeClr w14:val="tx1"/>
                  </w14:solidFill>
                </w14:textFill>
              </w:rPr>
              <w:t>#</w:t>
            </w:r>
          </w:p>
        </w:tc>
        <w:tc>
          <w:tcPr>
            <w:tcW w:w="816" w:type="pct"/>
            <w:tcBorders>
              <w:top w:val="nil"/>
              <w:left w:val="nil"/>
              <w:bottom w:val="single" w:color="auto" w:sz="4" w:space="0"/>
              <w:right w:val="single" w:color="auto" w:sz="4" w:space="0"/>
            </w:tcBorders>
            <w:vAlign w:val="center"/>
          </w:tcPr>
          <w:p w14:paraId="0E6FE83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厂界西侧</w:t>
            </w:r>
          </w:p>
        </w:tc>
        <w:tc>
          <w:tcPr>
            <w:tcW w:w="816" w:type="pct"/>
            <w:vMerge w:val="continue"/>
            <w:tcBorders>
              <w:top w:val="nil"/>
              <w:left w:val="single" w:color="auto" w:sz="4" w:space="0"/>
              <w:bottom w:val="single" w:color="auto" w:sz="4" w:space="0"/>
              <w:right w:val="single" w:color="auto" w:sz="4" w:space="0"/>
            </w:tcBorders>
            <w:vAlign w:val="center"/>
          </w:tcPr>
          <w:p w14:paraId="762D16A4">
            <w:pPr>
              <w:pStyle w:val="109"/>
              <w:rPr>
                <w:color w:val="000000" w:themeColor="text1"/>
                <w14:textFill>
                  <w14:solidFill>
                    <w14:schemeClr w14:val="tx1"/>
                  </w14:solidFill>
                </w14:textFill>
              </w:rPr>
            </w:pPr>
          </w:p>
        </w:tc>
        <w:tc>
          <w:tcPr>
            <w:tcW w:w="1276" w:type="pct"/>
            <w:tcBorders>
              <w:top w:val="nil"/>
              <w:left w:val="nil"/>
              <w:bottom w:val="single" w:color="auto" w:sz="4" w:space="0"/>
              <w:right w:val="single" w:color="auto" w:sz="4" w:space="0"/>
            </w:tcBorders>
            <w:noWrap/>
            <w:vAlign w:val="center"/>
          </w:tcPr>
          <w:p w14:paraId="3ACA9168">
            <w:pPr>
              <w:pStyle w:val="109"/>
              <w:rPr>
                <w:color w:val="000000" w:themeColor="text1"/>
                <w14:textFill>
                  <w14:solidFill>
                    <w14:schemeClr w14:val="tx1"/>
                  </w14:solidFill>
                </w14:textFill>
              </w:rPr>
            </w:pPr>
            <w:r>
              <w:rPr>
                <w:color w:val="000000" w:themeColor="text1"/>
                <w14:textFill>
                  <w14:solidFill>
                    <w14:schemeClr w14:val="tx1"/>
                  </w14:solidFill>
                </w14:textFill>
              </w:rPr>
              <w:t>-16</w:t>
            </w:r>
          </w:p>
        </w:tc>
        <w:tc>
          <w:tcPr>
            <w:tcW w:w="1276" w:type="pct"/>
            <w:tcBorders>
              <w:top w:val="nil"/>
              <w:left w:val="nil"/>
              <w:bottom w:val="single" w:color="auto" w:sz="4" w:space="0"/>
              <w:right w:val="single" w:color="auto" w:sz="4" w:space="0"/>
            </w:tcBorders>
            <w:noWrap/>
            <w:vAlign w:val="center"/>
          </w:tcPr>
          <w:p w14:paraId="08391821">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r>
      <w:tr w14:paraId="55481010">
        <w:tblPrEx>
          <w:tblCellMar>
            <w:top w:w="0" w:type="dxa"/>
            <w:left w:w="108" w:type="dxa"/>
            <w:bottom w:w="0" w:type="dxa"/>
            <w:right w:w="108" w:type="dxa"/>
          </w:tblCellMar>
        </w:tblPrEx>
        <w:tc>
          <w:tcPr>
            <w:tcW w:w="816" w:type="pct"/>
            <w:tcBorders>
              <w:top w:val="nil"/>
              <w:left w:val="single" w:color="auto" w:sz="4" w:space="0"/>
              <w:bottom w:val="single" w:color="auto" w:sz="4" w:space="0"/>
              <w:right w:val="single" w:color="auto" w:sz="4" w:space="0"/>
            </w:tcBorders>
            <w:vAlign w:val="center"/>
          </w:tcPr>
          <w:p w14:paraId="11ED9747">
            <w:pPr>
              <w:pStyle w:val="109"/>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r>
              <w:rPr>
                <w:color w:val="000000" w:themeColor="text1"/>
                <w:sz w:val="18"/>
                <w:szCs w:val="18"/>
                <w:vertAlign w:val="superscript"/>
                <w14:textFill>
                  <w14:solidFill>
                    <w14:schemeClr w14:val="tx1"/>
                  </w14:solidFill>
                </w14:textFill>
              </w:rPr>
              <w:t>#</w:t>
            </w:r>
          </w:p>
        </w:tc>
        <w:tc>
          <w:tcPr>
            <w:tcW w:w="816" w:type="pct"/>
            <w:tcBorders>
              <w:top w:val="nil"/>
              <w:left w:val="nil"/>
              <w:bottom w:val="single" w:color="auto" w:sz="4" w:space="0"/>
              <w:right w:val="single" w:color="auto" w:sz="4" w:space="0"/>
            </w:tcBorders>
            <w:vAlign w:val="center"/>
          </w:tcPr>
          <w:p w14:paraId="62D1368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厂界北侧</w:t>
            </w:r>
          </w:p>
        </w:tc>
        <w:tc>
          <w:tcPr>
            <w:tcW w:w="816" w:type="pct"/>
            <w:vMerge w:val="continue"/>
            <w:tcBorders>
              <w:top w:val="nil"/>
              <w:left w:val="single" w:color="auto" w:sz="4" w:space="0"/>
              <w:bottom w:val="single" w:color="auto" w:sz="4" w:space="0"/>
              <w:right w:val="single" w:color="auto" w:sz="4" w:space="0"/>
            </w:tcBorders>
            <w:vAlign w:val="center"/>
          </w:tcPr>
          <w:p w14:paraId="0F262B5F">
            <w:pPr>
              <w:pStyle w:val="109"/>
              <w:rPr>
                <w:color w:val="000000" w:themeColor="text1"/>
                <w14:textFill>
                  <w14:solidFill>
                    <w14:schemeClr w14:val="tx1"/>
                  </w14:solidFill>
                </w14:textFill>
              </w:rPr>
            </w:pPr>
          </w:p>
        </w:tc>
        <w:tc>
          <w:tcPr>
            <w:tcW w:w="1276" w:type="pct"/>
            <w:tcBorders>
              <w:top w:val="nil"/>
              <w:left w:val="nil"/>
              <w:bottom w:val="single" w:color="auto" w:sz="4" w:space="0"/>
              <w:right w:val="single" w:color="auto" w:sz="4" w:space="0"/>
            </w:tcBorders>
            <w:noWrap/>
            <w:vAlign w:val="center"/>
          </w:tcPr>
          <w:p w14:paraId="465A89D1">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76" w:type="pct"/>
            <w:tcBorders>
              <w:top w:val="nil"/>
              <w:left w:val="nil"/>
              <w:bottom w:val="single" w:color="auto" w:sz="4" w:space="0"/>
              <w:right w:val="single" w:color="auto" w:sz="4" w:space="0"/>
            </w:tcBorders>
            <w:noWrap/>
            <w:vAlign w:val="center"/>
          </w:tcPr>
          <w:p w14:paraId="1A65FA82">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r>
    </w:tbl>
    <w:p w14:paraId="61CC8DBE">
      <w:pPr>
        <w:ind w:firstLine="480"/>
        <w:rPr>
          <w:color w:val="000000" w:themeColor="text1"/>
          <w14:textFill>
            <w14:solidFill>
              <w14:schemeClr w14:val="tx1"/>
            </w14:solidFill>
          </w14:textFill>
        </w:rPr>
      </w:pPr>
      <w:r>
        <w:rPr>
          <w:color w:val="000000" w:themeColor="text1"/>
          <w14:textFill>
            <w14:solidFill>
              <w14:schemeClr w14:val="tx1"/>
            </w14:solidFill>
          </w14:textFill>
        </w:rPr>
        <w:t>由</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可知，拟建项目厂址处声环境质量现状良好，监测点位昼间、夜间噪声的监测值均满足《声环境质量标准》（GB3096-2008）中的3类标准要求。</w:t>
      </w:r>
    </w:p>
    <w:p w14:paraId="7F66A7F5">
      <w:pPr>
        <w:pStyle w:val="3"/>
        <w:rPr>
          <w:rFonts w:ascii="Times New Roman" w:cs="Times New Roman"/>
          <w:bCs/>
          <w:color w:val="000000" w:themeColor="text1"/>
          <w:lang w:val="zh-CN"/>
          <w14:textFill>
            <w14:solidFill>
              <w14:schemeClr w14:val="tx1"/>
            </w14:solidFill>
          </w14:textFill>
        </w:rPr>
      </w:pPr>
      <w:bookmarkStart w:id="396" w:name="_Toc225268314"/>
      <w:r>
        <w:rPr>
          <w:rFonts w:ascii="Times New Roman" w:cs="Times New Roman"/>
          <w:color w:val="000000" w:themeColor="text1"/>
          <w14:textFill>
            <w14:solidFill>
              <w14:schemeClr w14:val="tx1"/>
            </w14:solidFill>
          </w14:textFill>
        </w:rPr>
        <w:t>土壤环境质量现状监测与评价</w:t>
      </w:r>
      <w:bookmarkEnd w:id="396"/>
    </w:p>
    <w:p w14:paraId="3E4A175C">
      <w:pPr>
        <w:ind w:firstLine="480"/>
        <w:rPr>
          <w:color w:val="000000" w:themeColor="text1"/>
          <w14:textFill>
            <w14:solidFill>
              <w14:schemeClr w14:val="tx1"/>
            </w14:solidFill>
          </w14:textFill>
        </w:rPr>
      </w:pPr>
      <w:bookmarkStart w:id="397" w:name="_Toc330460796"/>
      <w:bookmarkStart w:id="398" w:name="_Toc320518582"/>
      <w:bookmarkStart w:id="399" w:name="_Toc308023328"/>
      <w:bookmarkStart w:id="400" w:name="_Toc320518356"/>
      <w:bookmarkStart w:id="401" w:name="_Toc329793610"/>
      <w:r>
        <w:rPr>
          <w:color w:val="000000" w:themeColor="text1"/>
          <w14:textFill>
            <w14:solidFill>
              <w14:schemeClr w14:val="tx1"/>
            </w14:solidFill>
          </w14:textFill>
        </w:rPr>
        <w:t>本项目引用《</w:t>
      </w:r>
      <w:r>
        <w:rPr>
          <w:color w:val="000000" w:themeColor="text1"/>
          <w:szCs w:val="18"/>
          <w14:textFill>
            <w14:solidFill>
              <w14:schemeClr w14:val="tx1"/>
            </w14:solidFill>
          </w14:textFill>
        </w:rPr>
        <w:t>甘泉堡经开区华瑞化工年产5万吨煤基戊烯深加工项目环境影响报告书</w:t>
      </w:r>
      <w:r>
        <w:rPr>
          <w:color w:val="000000" w:themeColor="text1"/>
          <w14:textFill>
            <w14:solidFill>
              <w14:schemeClr w14:val="tx1"/>
            </w14:solidFill>
          </w14:textFill>
        </w:rPr>
        <w:t>》《新疆华瑞气体有限公司年产 3 万吨碳酸氢铵项目</w:t>
      </w:r>
      <w:r>
        <w:rPr>
          <w:color w:val="000000" w:themeColor="text1"/>
          <w:szCs w:val="18"/>
          <w14:textFill>
            <w14:solidFill>
              <w14:schemeClr w14:val="tx1"/>
            </w14:solidFill>
          </w14:textFill>
        </w:rPr>
        <w:t>环境影响报告书</w:t>
      </w:r>
      <w:r>
        <w:rPr>
          <w:color w:val="000000" w:themeColor="text1"/>
          <w14:textFill>
            <w14:solidFill>
              <w14:schemeClr w14:val="tx1"/>
            </w14:solidFill>
          </w14:textFill>
        </w:rPr>
        <w:t>》中的土壤现状监测数据，上述项目与本项目位于同一厂区，且评价范围一致，引用具有可行性。同时对厂界范围内及厂界范围外补充监测</w:t>
      </w:r>
      <w:r>
        <w:rPr>
          <w:color w:val="000000" w:themeColor="text1"/>
          <w:szCs w:val="21"/>
          <w14:textFill>
            <w14:solidFill>
              <w14:schemeClr w14:val="tx1"/>
            </w14:solidFill>
          </w14:textFill>
        </w:rPr>
        <w:t>二噁英、氟化物、锰，补充监测点位与引用点位一致。</w:t>
      </w:r>
    </w:p>
    <w:p w14:paraId="15156262">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监测项目及监测点位</w:t>
      </w:r>
    </w:p>
    <w:p w14:paraId="38FD1969">
      <w:pPr>
        <w:ind w:firstLine="480"/>
        <w:rPr>
          <w:color w:val="000000" w:themeColor="text1"/>
          <w14:textFill>
            <w14:solidFill>
              <w14:schemeClr w14:val="tx1"/>
            </w14:solidFill>
          </w14:textFill>
        </w:rPr>
      </w:pPr>
      <w:r>
        <w:rPr>
          <w:color w:val="000000" w:themeColor="text1"/>
          <w14:textFill>
            <w14:solidFill>
              <w14:schemeClr w14:val="tx1"/>
            </w14:solidFill>
          </w14:textFill>
        </w:rPr>
        <w:t>监测布点：《</w:t>
      </w:r>
      <w:r>
        <w:rPr>
          <w:color w:val="000000" w:themeColor="text1"/>
          <w:szCs w:val="18"/>
          <w14:textFill>
            <w14:solidFill>
              <w14:schemeClr w14:val="tx1"/>
            </w14:solidFill>
          </w14:textFill>
        </w:rPr>
        <w:t>甘泉堡经开区华瑞化工年产5万吨煤基戊烯深加工项目环境影响报告书</w:t>
      </w:r>
      <w:r>
        <w:rPr>
          <w:color w:val="000000" w:themeColor="text1"/>
          <w14:textFill>
            <w14:solidFill>
              <w14:schemeClr w14:val="tx1"/>
            </w14:solidFill>
          </w14:textFill>
        </w:rPr>
        <w:t>》委托新疆锡水金山环境科技有限公司于2025年1月21日和2025年5月24日对项目区厂址内土壤环境质量进行现状监测。</w:t>
      </w:r>
    </w:p>
    <w:p w14:paraId="72C6A3E4">
      <w:pPr>
        <w:ind w:firstLine="480"/>
        <w:rPr>
          <w:color w:val="000000" w:themeColor="text1"/>
          <w14:textFill>
            <w14:solidFill>
              <w14:schemeClr w14:val="tx1"/>
            </w14:solidFill>
          </w14:textFill>
        </w:rPr>
      </w:pPr>
      <w:r>
        <w:rPr>
          <w:color w:val="000000" w:themeColor="text1"/>
          <w14:textFill>
            <w14:solidFill>
              <w14:schemeClr w14:val="tx1"/>
            </w14:solidFill>
          </w14:textFill>
        </w:rPr>
        <w:t>厂外的土壤环境质量现状监测为引用《新疆华瑞气体有限公司年产 3 万吨碳酸氢铵项目</w:t>
      </w:r>
      <w:r>
        <w:rPr>
          <w:color w:val="000000" w:themeColor="text1"/>
          <w:szCs w:val="18"/>
          <w14:textFill>
            <w14:solidFill>
              <w14:schemeClr w14:val="tx1"/>
            </w14:solidFill>
          </w14:textFill>
        </w:rPr>
        <w:t>环境影响报告书</w:t>
      </w:r>
      <w:r>
        <w:rPr>
          <w:color w:val="000000" w:themeColor="text1"/>
          <w14:textFill>
            <w14:solidFill>
              <w14:schemeClr w14:val="tx1"/>
            </w14:solidFill>
          </w14:textFill>
        </w:rPr>
        <w:t>》监测数据，监测时间2024年9月14日。</w:t>
      </w:r>
    </w:p>
    <w:p w14:paraId="5A16BEB9">
      <w:pPr>
        <w:ind w:firstLine="480"/>
        <w:rPr>
          <w:color w:val="000000" w:themeColor="text1"/>
          <w14:textFill>
            <w14:solidFill>
              <w14:schemeClr w14:val="tx1"/>
            </w14:solidFill>
          </w14:textFill>
        </w:rPr>
      </w:pPr>
      <w:r>
        <w:rPr>
          <w:color w:val="000000" w:themeColor="text1"/>
          <w14:textFill>
            <w14:solidFill>
              <w14:schemeClr w14:val="tx1"/>
            </w14:solidFill>
          </w14:textFill>
        </w:rPr>
        <w:t>本次补充监测委托新疆锡水金山环境科技有限公司于</w:t>
      </w:r>
      <w:r>
        <w:rPr>
          <w:color w:val="000000" w:themeColor="text1"/>
          <w:szCs w:val="21"/>
          <w:lang w:bidi="ar"/>
          <w14:textFill>
            <w14:solidFill>
              <w14:schemeClr w14:val="tx1"/>
            </w14:solidFill>
          </w14:textFill>
        </w:rPr>
        <w:t>2026年1月8日</w:t>
      </w:r>
      <w:r>
        <w:rPr>
          <w:color w:val="000000" w:themeColor="text1"/>
          <w14:textFill>
            <w14:solidFill>
              <w14:schemeClr w14:val="tx1"/>
            </w14:solidFill>
          </w14:textFill>
        </w:rPr>
        <w:t>对项目区厂址内土壤环境质量进行现状监测。</w:t>
      </w:r>
    </w:p>
    <w:p w14:paraId="706BFBA7">
      <w:pPr>
        <w:ind w:firstLine="480"/>
        <w:rPr>
          <w:color w:val="000000" w:themeColor="text1"/>
          <w14:textFill>
            <w14:solidFill>
              <w14:schemeClr w14:val="tx1"/>
            </w14:solidFill>
          </w14:textFill>
        </w:rPr>
      </w:pPr>
      <w:r>
        <w:rPr>
          <w:color w:val="000000" w:themeColor="text1"/>
          <w14:textFill>
            <w14:solidFill>
              <w14:schemeClr w14:val="tx1"/>
            </w14:solidFill>
          </w14:textFill>
        </w:rPr>
        <w:t>监测布点见图4.2-3。</w:t>
      </w:r>
    </w:p>
    <w:p w14:paraId="79A21C64">
      <w:pPr>
        <w:pStyle w:val="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土壤监测点位图</w:t>
      </w:r>
    </w:p>
    <w:p w14:paraId="2ED5B91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土壤监测点位及监测因子</w:t>
      </w: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82"/>
        <w:gridCol w:w="5379"/>
        <w:gridCol w:w="1890"/>
      </w:tblGrid>
      <w:tr w14:paraId="60C2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gridSpan w:val="2"/>
            <w:vAlign w:val="center"/>
          </w:tcPr>
          <w:p w14:paraId="582A45C6">
            <w:pPr>
              <w:pStyle w:val="109"/>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2794" w:type="pct"/>
            <w:vAlign w:val="center"/>
          </w:tcPr>
          <w:p w14:paraId="68C3B364">
            <w:pPr>
              <w:pStyle w:val="109"/>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982" w:type="pct"/>
            <w:vAlign w:val="center"/>
          </w:tcPr>
          <w:p w14:paraId="36C5E3D6">
            <w:pPr>
              <w:pStyle w:val="109"/>
              <w:rPr>
                <w:color w:val="000000" w:themeColor="text1"/>
                <w14:textFill>
                  <w14:solidFill>
                    <w14:schemeClr w14:val="tx1"/>
                  </w14:solidFill>
                </w14:textFill>
              </w:rPr>
            </w:pPr>
            <w:r>
              <w:rPr>
                <w:color w:val="000000" w:themeColor="text1"/>
                <w14:textFill>
                  <w14:solidFill>
                    <w14:schemeClr w14:val="tx1"/>
                  </w14:solidFill>
                </w14:textFill>
              </w:rPr>
              <w:t>取样坐标</w:t>
            </w:r>
          </w:p>
        </w:tc>
      </w:tr>
      <w:tr w14:paraId="6456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vAlign w:val="center"/>
          </w:tcPr>
          <w:p w14:paraId="1C07C2E8">
            <w:pPr>
              <w:pStyle w:val="109"/>
              <w:rPr>
                <w:color w:val="000000" w:themeColor="text1"/>
                <w14:textFill>
                  <w14:solidFill>
                    <w14:schemeClr w14:val="tx1"/>
                  </w14:solidFill>
                </w14:textFill>
              </w:rPr>
            </w:pPr>
            <w:r>
              <w:rPr>
                <w:color w:val="000000" w:themeColor="text1"/>
                <w14:textFill>
                  <w14:solidFill>
                    <w14:schemeClr w14:val="tx1"/>
                  </w14:solidFill>
                </w14:textFill>
              </w:rPr>
              <w:t>TC-1#</w:t>
            </w:r>
          </w:p>
          <w:p w14:paraId="70CD077C">
            <w:pPr>
              <w:pStyle w:val="109"/>
              <w:rPr>
                <w:color w:val="000000" w:themeColor="text1"/>
                <w14:textFill>
                  <w14:solidFill>
                    <w14:schemeClr w14:val="tx1"/>
                  </w14:solidFill>
                </w14:textFill>
              </w:rPr>
            </w:pPr>
            <w:r>
              <w:rPr>
                <w:color w:val="000000" w:themeColor="text1"/>
                <w14:textFill>
                  <w14:solidFill>
                    <w14:schemeClr w14:val="tx1"/>
                  </w14:solidFill>
                </w14:textFill>
              </w:rPr>
              <w:t>（柱状样）</w:t>
            </w:r>
          </w:p>
        </w:tc>
        <w:tc>
          <w:tcPr>
            <w:tcW w:w="613" w:type="pct"/>
            <w:vAlign w:val="center"/>
          </w:tcPr>
          <w:p w14:paraId="04A50BA6">
            <w:pPr>
              <w:pStyle w:val="109"/>
              <w:rPr>
                <w:color w:val="000000" w:themeColor="text1"/>
                <w14:textFill>
                  <w14:solidFill>
                    <w14:schemeClr w14:val="tx1"/>
                  </w14:solidFill>
                </w14:textFill>
              </w:rPr>
            </w:pPr>
            <w:r>
              <w:rPr>
                <w:color w:val="000000" w:themeColor="text1"/>
                <w14:textFill>
                  <w14:solidFill>
                    <w14:schemeClr w14:val="tx1"/>
                  </w14:solidFill>
                </w14:textFill>
              </w:rPr>
              <w:t>项目区西南侧</w:t>
            </w:r>
          </w:p>
        </w:tc>
        <w:tc>
          <w:tcPr>
            <w:tcW w:w="2794" w:type="pct"/>
            <w:vMerge w:val="restart"/>
            <w:vAlign w:val="center"/>
          </w:tcPr>
          <w:p w14:paraId="4ABC8C7C">
            <w:pPr>
              <w:pStyle w:val="109"/>
              <w:rPr>
                <w:color w:val="000000" w:themeColor="text1"/>
                <w14:textFill>
                  <w14:solidFill>
                    <w14:schemeClr w14:val="tx1"/>
                  </w14:solidFill>
                </w14:textFill>
              </w:rPr>
            </w:pPr>
            <w:r>
              <w:rPr>
                <w:color w:val="000000" w:themeColor="text1"/>
                <w14:textFill>
                  <w14:solidFill>
                    <w14:schemeClr w14:val="tx1"/>
                  </w14:solidFill>
                </w14:textFill>
              </w:rPr>
              <w:t>镉、汞、砷、铅、六价铬、铜、镍、 四氯化碳、氯仿、氯甲烷、1，1-二 氯乙烷、1，2-二氯乙烷、1，1-二氯乙 烯、顺-1，2-二氯乙烯、反-1，2-二氯 乙烯、二氯甲烷、1，2-二氯丙烷、 1，1，1，2-四氯乙烷、1，1，2，2-四氯乙 烷、四氯乙稀、1，1，1-三氯乙烷、 1，1，2-三氣乙烷、三氯乙烯、1，2，3- 三氯丙烷、氯乙烯、苯、氯苯、1，2- 二氣苯、1，4-二氯苯、乙苯、苯乙 烯、甲苯、间二甲苯+对二甲苯、邻二甲苯、硝基苯、苯胺、2-氯苯 酚、苯并[a]蒽、苯并[a]芘、苯并[b] 荧恵、苯并[k]荧惠、窟、二苯并[a， h] 蒽、茚并[l，2，3-cd]芘、萘、pH、石油烃</w:t>
            </w:r>
          </w:p>
        </w:tc>
        <w:tc>
          <w:tcPr>
            <w:tcW w:w="982" w:type="pct"/>
            <w:vAlign w:val="center"/>
          </w:tcPr>
          <w:p w14:paraId="3E665F31">
            <w:pPr>
              <w:pStyle w:val="109"/>
              <w:rPr>
                <w:color w:val="000000" w:themeColor="text1"/>
                <w14:textFill>
                  <w14:solidFill>
                    <w14:schemeClr w14:val="tx1"/>
                  </w14:solidFill>
                </w14:textFill>
              </w:rPr>
            </w:pPr>
            <w:r>
              <w:rPr>
                <w:color w:val="000000" w:themeColor="text1"/>
                <w14:textFill>
                  <w14:solidFill>
                    <w14:schemeClr w14:val="tx1"/>
                  </w14:solidFill>
                </w14:textFill>
              </w:rPr>
              <w:t>E87°41′40.50″</w:t>
            </w:r>
          </w:p>
          <w:p w14:paraId="785EB516">
            <w:pPr>
              <w:pStyle w:val="109"/>
              <w:rPr>
                <w:color w:val="000000" w:themeColor="text1"/>
                <w14:textFill>
                  <w14:solidFill>
                    <w14:schemeClr w14:val="tx1"/>
                  </w14:solidFill>
                </w14:textFill>
              </w:rPr>
            </w:pPr>
            <w:r>
              <w:rPr>
                <w:color w:val="000000" w:themeColor="text1"/>
                <w14:textFill>
                  <w14:solidFill>
                    <w14:schemeClr w14:val="tx1"/>
                  </w14:solidFill>
                </w14:textFill>
              </w:rPr>
              <w:t>N44°8′21.34″</w:t>
            </w:r>
          </w:p>
        </w:tc>
      </w:tr>
      <w:tr w14:paraId="4539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vAlign w:val="center"/>
          </w:tcPr>
          <w:p w14:paraId="538FF0FC">
            <w:pPr>
              <w:pStyle w:val="109"/>
              <w:rPr>
                <w:color w:val="000000" w:themeColor="text1"/>
                <w14:textFill>
                  <w14:solidFill>
                    <w14:schemeClr w14:val="tx1"/>
                  </w14:solidFill>
                </w14:textFill>
              </w:rPr>
            </w:pPr>
            <w:r>
              <w:rPr>
                <w:color w:val="000000" w:themeColor="text1"/>
                <w14:textFill>
                  <w14:solidFill>
                    <w14:schemeClr w14:val="tx1"/>
                  </w14:solidFill>
                </w14:textFill>
              </w:rPr>
              <w:t>TC-2#</w:t>
            </w:r>
          </w:p>
          <w:p w14:paraId="541CC405">
            <w:pPr>
              <w:pStyle w:val="109"/>
              <w:rPr>
                <w:color w:val="000000" w:themeColor="text1"/>
                <w14:textFill>
                  <w14:solidFill>
                    <w14:schemeClr w14:val="tx1"/>
                  </w14:solidFill>
                </w14:textFill>
              </w:rPr>
            </w:pPr>
            <w:r>
              <w:rPr>
                <w:color w:val="000000" w:themeColor="text1"/>
                <w14:textFill>
                  <w14:solidFill>
                    <w14:schemeClr w14:val="tx1"/>
                  </w14:solidFill>
                </w14:textFill>
              </w:rPr>
              <w:t>（柱状样）</w:t>
            </w:r>
          </w:p>
        </w:tc>
        <w:tc>
          <w:tcPr>
            <w:tcW w:w="613" w:type="pct"/>
            <w:vAlign w:val="center"/>
          </w:tcPr>
          <w:p w14:paraId="6E98D0CD">
            <w:pPr>
              <w:pStyle w:val="109"/>
              <w:rPr>
                <w:color w:val="000000" w:themeColor="text1"/>
                <w14:textFill>
                  <w14:solidFill>
                    <w14:schemeClr w14:val="tx1"/>
                  </w14:solidFill>
                </w14:textFill>
              </w:rPr>
            </w:pPr>
            <w:r>
              <w:rPr>
                <w:color w:val="000000" w:themeColor="text1"/>
                <w14:textFill>
                  <w14:solidFill>
                    <w14:schemeClr w14:val="tx1"/>
                  </w14:solidFill>
                </w14:textFill>
              </w:rPr>
              <w:t>项目区西北侧</w:t>
            </w:r>
          </w:p>
        </w:tc>
        <w:tc>
          <w:tcPr>
            <w:tcW w:w="2794" w:type="pct"/>
            <w:vMerge w:val="continue"/>
            <w:vAlign w:val="center"/>
          </w:tcPr>
          <w:p w14:paraId="778F3245">
            <w:pPr>
              <w:pStyle w:val="109"/>
              <w:rPr>
                <w:color w:val="000000" w:themeColor="text1"/>
                <w14:textFill>
                  <w14:solidFill>
                    <w14:schemeClr w14:val="tx1"/>
                  </w14:solidFill>
                </w14:textFill>
              </w:rPr>
            </w:pPr>
          </w:p>
        </w:tc>
        <w:tc>
          <w:tcPr>
            <w:tcW w:w="982" w:type="pct"/>
            <w:vAlign w:val="center"/>
          </w:tcPr>
          <w:p w14:paraId="4B886D30">
            <w:pPr>
              <w:pStyle w:val="109"/>
              <w:rPr>
                <w:color w:val="000000" w:themeColor="text1"/>
                <w14:textFill>
                  <w14:solidFill>
                    <w14:schemeClr w14:val="tx1"/>
                  </w14:solidFill>
                </w14:textFill>
              </w:rPr>
            </w:pPr>
            <w:r>
              <w:rPr>
                <w:color w:val="000000" w:themeColor="text1"/>
                <w14:textFill>
                  <w14:solidFill>
                    <w14:schemeClr w14:val="tx1"/>
                  </w14:solidFill>
                </w14:textFill>
              </w:rPr>
              <w:t>E87°41′39.31″</w:t>
            </w:r>
          </w:p>
          <w:p w14:paraId="4BD1A879">
            <w:pPr>
              <w:pStyle w:val="109"/>
              <w:rPr>
                <w:color w:val="000000" w:themeColor="text1"/>
                <w14:textFill>
                  <w14:solidFill>
                    <w14:schemeClr w14:val="tx1"/>
                  </w14:solidFill>
                </w14:textFill>
              </w:rPr>
            </w:pPr>
            <w:r>
              <w:rPr>
                <w:color w:val="000000" w:themeColor="text1"/>
                <w14:textFill>
                  <w14:solidFill>
                    <w14:schemeClr w14:val="tx1"/>
                  </w14:solidFill>
                </w14:textFill>
              </w:rPr>
              <w:t>N44°8′24.29″</w:t>
            </w:r>
          </w:p>
        </w:tc>
      </w:tr>
      <w:tr w14:paraId="1867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vAlign w:val="center"/>
          </w:tcPr>
          <w:p w14:paraId="37171D7F">
            <w:pPr>
              <w:pStyle w:val="109"/>
              <w:rPr>
                <w:color w:val="000000" w:themeColor="text1"/>
                <w14:textFill>
                  <w14:solidFill>
                    <w14:schemeClr w14:val="tx1"/>
                  </w14:solidFill>
                </w14:textFill>
              </w:rPr>
            </w:pPr>
            <w:r>
              <w:rPr>
                <w:color w:val="000000" w:themeColor="text1"/>
                <w14:textFill>
                  <w14:solidFill>
                    <w14:schemeClr w14:val="tx1"/>
                  </w14:solidFill>
                </w14:textFill>
              </w:rPr>
              <w:t>TC-3#</w:t>
            </w:r>
          </w:p>
          <w:p w14:paraId="0CD37458">
            <w:pPr>
              <w:pStyle w:val="109"/>
              <w:rPr>
                <w:color w:val="000000" w:themeColor="text1"/>
                <w14:textFill>
                  <w14:solidFill>
                    <w14:schemeClr w14:val="tx1"/>
                  </w14:solidFill>
                </w14:textFill>
              </w:rPr>
            </w:pPr>
            <w:r>
              <w:rPr>
                <w:color w:val="000000" w:themeColor="text1"/>
                <w14:textFill>
                  <w14:solidFill>
                    <w14:schemeClr w14:val="tx1"/>
                  </w14:solidFill>
                </w14:textFill>
              </w:rPr>
              <w:t>（柱状样）</w:t>
            </w:r>
          </w:p>
        </w:tc>
        <w:tc>
          <w:tcPr>
            <w:tcW w:w="613" w:type="pct"/>
            <w:vAlign w:val="center"/>
          </w:tcPr>
          <w:p w14:paraId="27231A54">
            <w:pPr>
              <w:pStyle w:val="109"/>
              <w:rPr>
                <w:color w:val="000000" w:themeColor="text1"/>
                <w14:textFill>
                  <w14:solidFill>
                    <w14:schemeClr w14:val="tx1"/>
                  </w14:solidFill>
                </w14:textFill>
              </w:rPr>
            </w:pPr>
            <w:r>
              <w:rPr>
                <w:color w:val="000000" w:themeColor="text1"/>
                <w14:textFill>
                  <w14:solidFill>
                    <w14:schemeClr w14:val="tx1"/>
                  </w14:solidFill>
                </w14:textFill>
              </w:rPr>
              <w:t>项目区</w:t>
            </w:r>
          </w:p>
          <w:p w14:paraId="08B5D180">
            <w:pPr>
              <w:pStyle w:val="109"/>
              <w:rPr>
                <w:color w:val="000000" w:themeColor="text1"/>
                <w14:textFill>
                  <w14:solidFill>
                    <w14:schemeClr w14:val="tx1"/>
                  </w14:solidFill>
                </w14:textFill>
              </w:rPr>
            </w:pPr>
            <w:r>
              <w:rPr>
                <w:color w:val="000000" w:themeColor="text1"/>
                <w14:textFill>
                  <w14:solidFill>
                    <w14:schemeClr w14:val="tx1"/>
                  </w14:solidFill>
                </w14:textFill>
              </w:rPr>
              <w:t>中心</w:t>
            </w:r>
          </w:p>
        </w:tc>
        <w:tc>
          <w:tcPr>
            <w:tcW w:w="2794" w:type="pct"/>
            <w:vMerge w:val="continue"/>
            <w:vAlign w:val="center"/>
          </w:tcPr>
          <w:p w14:paraId="4232CBD4">
            <w:pPr>
              <w:pStyle w:val="109"/>
              <w:rPr>
                <w:color w:val="000000" w:themeColor="text1"/>
                <w14:textFill>
                  <w14:solidFill>
                    <w14:schemeClr w14:val="tx1"/>
                  </w14:solidFill>
                </w14:textFill>
              </w:rPr>
            </w:pPr>
          </w:p>
        </w:tc>
        <w:tc>
          <w:tcPr>
            <w:tcW w:w="982" w:type="pct"/>
            <w:vAlign w:val="center"/>
          </w:tcPr>
          <w:p w14:paraId="31C263ED">
            <w:pPr>
              <w:pStyle w:val="109"/>
              <w:rPr>
                <w:color w:val="000000" w:themeColor="text1"/>
                <w14:textFill>
                  <w14:solidFill>
                    <w14:schemeClr w14:val="tx1"/>
                  </w14:solidFill>
                </w14:textFill>
              </w:rPr>
            </w:pPr>
            <w:r>
              <w:rPr>
                <w:color w:val="000000" w:themeColor="text1"/>
                <w14:textFill>
                  <w14:solidFill>
                    <w14:schemeClr w14:val="tx1"/>
                  </w14:solidFill>
                </w14:textFill>
              </w:rPr>
              <w:t>E87°41′42.93″</w:t>
            </w:r>
          </w:p>
          <w:p w14:paraId="098041C2">
            <w:pPr>
              <w:pStyle w:val="109"/>
              <w:rPr>
                <w:color w:val="000000" w:themeColor="text1"/>
                <w14:textFill>
                  <w14:solidFill>
                    <w14:schemeClr w14:val="tx1"/>
                  </w14:solidFill>
                </w14:textFill>
              </w:rPr>
            </w:pPr>
            <w:r>
              <w:rPr>
                <w:color w:val="000000" w:themeColor="text1"/>
                <w14:textFill>
                  <w14:solidFill>
                    <w14:schemeClr w14:val="tx1"/>
                  </w14:solidFill>
                </w14:textFill>
              </w:rPr>
              <w:t>N44°8′23.98″</w:t>
            </w:r>
          </w:p>
        </w:tc>
      </w:tr>
      <w:tr w14:paraId="4681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vAlign w:val="center"/>
          </w:tcPr>
          <w:p w14:paraId="52F2894D">
            <w:pPr>
              <w:pStyle w:val="109"/>
              <w:rPr>
                <w:color w:val="000000" w:themeColor="text1"/>
                <w14:textFill>
                  <w14:solidFill>
                    <w14:schemeClr w14:val="tx1"/>
                  </w14:solidFill>
                </w14:textFill>
              </w:rPr>
            </w:pPr>
            <w:r>
              <w:rPr>
                <w:color w:val="000000" w:themeColor="text1"/>
                <w14:textFill>
                  <w14:solidFill>
                    <w14:schemeClr w14:val="tx1"/>
                  </w14:solidFill>
                </w14:textFill>
              </w:rPr>
              <w:t>TC-4#</w:t>
            </w:r>
          </w:p>
          <w:p w14:paraId="3D8A3061">
            <w:pPr>
              <w:pStyle w:val="109"/>
              <w:rPr>
                <w:color w:val="000000" w:themeColor="text1"/>
                <w14:textFill>
                  <w14:solidFill>
                    <w14:schemeClr w14:val="tx1"/>
                  </w14:solidFill>
                </w14:textFill>
              </w:rPr>
            </w:pPr>
            <w:r>
              <w:rPr>
                <w:color w:val="000000" w:themeColor="text1"/>
                <w14:textFill>
                  <w14:solidFill>
                    <w14:schemeClr w14:val="tx1"/>
                  </w14:solidFill>
                </w14:textFill>
              </w:rPr>
              <w:t>（表层样）</w:t>
            </w:r>
          </w:p>
        </w:tc>
        <w:tc>
          <w:tcPr>
            <w:tcW w:w="613" w:type="pct"/>
            <w:vAlign w:val="center"/>
          </w:tcPr>
          <w:p w14:paraId="796ED82B">
            <w:pPr>
              <w:pStyle w:val="109"/>
              <w:rPr>
                <w:color w:val="000000" w:themeColor="text1"/>
                <w14:textFill>
                  <w14:solidFill>
                    <w14:schemeClr w14:val="tx1"/>
                  </w14:solidFill>
                </w14:textFill>
              </w:rPr>
            </w:pPr>
            <w:r>
              <w:rPr>
                <w:color w:val="000000" w:themeColor="text1"/>
                <w14:textFill>
                  <w14:solidFill>
                    <w14:schemeClr w14:val="tx1"/>
                  </w14:solidFill>
                </w14:textFill>
              </w:rPr>
              <w:t>项目区东南侧</w:t>
            </w:r>
          </w:p>
        </w:tc>
        <w:tc>
          <w:tcPr>
            <w:tcW w:w="2794" w:type="pct"/>
            <w:vAlign w:val="center"/>
          </w:tcPr>
          <w:p w14:paraId="2C67EF25">
            <w:pPr>
              <w:pStyle w:val="109"/>
              <w:rPr>
                <w:color w:val="000000" w:themeColor="text1"/>
                <w14:textFill>
                  <w14:solidFill>
                    <w14:schemeClr w14:val="tx1"/>
                  </w14:solidFill>
                </w14:textFill>
              </w:rPr>
            </w:pPr>
            <w:r>
              <w:rPr>
                <w:color w:val="000000" w:themeColor="text1"/>
                <w14:textFill>
                  <w14:solidFill>
                    <w14:schemeClr w14:val="tx1"/>
                  </w14:solidFill>
                </w14:textFill>
              </w:rPr>
              <w:t>镉、汞、砷、铅、六价铬、铜、银、 四氯化碳、氯仿、氯甲烷、U-二 氯乙烷、1，2-二氯乙烷、1，1-二氯乙 烯、顺-1，2-二氯乙烯、反-1，2-二氯 乙稀、二氯甲焼、1，2-二氯丙烷、 1，1，1，2-四氯乙烷、1，1，2，2-四氯乙 烷、四氯乙烯、1，1，1-三氯乙烷、 1，1，2-三氯乙烷、三氯乙烯、1，2，3- 三氯丙烷、氯乙烯、苯、氯苯、1，2- 二氯苯、1，4-二氯苯、乙苯、苯乙 烯、甲苯、间二甲苯+对二甲苯、邻二甲苯、硝基苯、苯胺、2-氣苯 酚、苯并[a]蒽、苯并[a]芘、苯并冋 荧蒽、苯并[k]荧蒽、窟、二苯并[a， h] 蒽、茚并[l，2，3-cd]芘、萘、pH、渗滤率、土壤容重、总孔隙度、阳离 子交换量、氧化还原电位、石油烃、</w:t>
            </w:r>
            <w:r>
              <w:rPr>
                <w:color w:val="000000" w:themeColor="text1"/>
                <w:szCs w:val="21"/>
                <w14:textFill>
                  <w14:solidFill>
                    <w14:schemeClr w14:val="tx1"/>
                  </w14:solidFill>
                </w14:textFill>
              </w:rPr>
              <w:t>二噁英、氟化物、锰</w:t>
            </w:r>
          </w:p>
        </w:tc>
        <w:tc>
          <w:tcPr>
            <w:tcW w:w="982" w:type="pct"/>
            <w:vAlign w:val="center"/>
          </w:tcPr>
          <w:p w14:paraId="2A4E2C4B">
            <w:pPr>
              <w:pStyle w:val="109"/>
              <w:rPr>
                <w:color w:val="000000" w:themeColor="text1"/>
                <w14:textFill>
                  <w14:solidFill>
                    <w14:schemeClr w14:val="tx1"/>
                  </w14:solidFill>
                </w14:textFill>
              </w:rPr>
            </w:pPr>
            <w:r>
              <w:rPr>
                <w:color w:val="000000" w:themeColor="text1"/>
                <w14:textFill>
                  <w14:solidFill>
                    <w14:schemeClr w14:val="tx1"/>
                  </w14:solidFill>
                </w14:textFill>
              </w:rPr>
              <w:t>E87°41′46.72″</w:t>
            </w:r>
          </w:p>
          <w:p w14:paraId="14060886">
            <w:pPr>
              <w:pStyle w:val="109"/>
              <w:rPr>
                <w:color w:val="000000" w:themeColor="text1"/>
                <w14:textFill>
                  <w14:solidFill>
                    <w14:schemeClr w14:val="tx1"/>
                  </w14:solidFill>
                </w14:textFill>
              </w:rPr>
            </w:pPr>
            <w:r>
              <w:rPr>
                <w:color w:val="000000" w:themeColor="text1"/>
                <w14:textFill>
                  <w14:solidFill>
                    <w14:schemeClr w14:val="tx1"/>
                  </w14:solidFill>
                </w14:textFill>
              </w:rPr>
              <w:t>N44°8′23.80″</w:t>
            </w:r>
          </w:p>
        </w:tc>
      </w:tr>
      <w:tr w14:paraId="115F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vAlign w:val="center"/>
          </w:tcPr>
          <w:p w14:paraId="79527490">
            <w:pPr>
              <w:pStyle w:val="109"/>
              <w:rPr>
                <w:color w:val="000000" w:themeColor="text1"/>
                <w14:textFill>
                  <w14:solidFill>
                    <w14:schemeClr w14:val="tx1"/>
                  </w14:solidFill>
                </w14:textFill>
              </w:rPr>
            </w:pPr>
            <w:r>
              <w:rPr>
                <w:color w:val="000000" w:themeColor="text1"/>
                <w14:textFill>
                  <w14:solidFill>
                    <w14:schemeClr w14:val="tx1"/>
                  </w14:solidFill>
                </w14:textFill>
              </w:rPr>
              <w:t>5#表</w:t>
            </w:r>
          </w:p>
          <w:p w14:paraId="6B4E9E70">
            <w:pPr>
              <w:pStyle w:val="109"/>
              <w:rPr>
                <w:color w:val="000000" w:themeColor="text1"/>
                <w14:textFill>
                  <w14:solidFill>
                    <w14:schemeClr w14:val="tx1"/>
                  </w14:solidFill>
                </w14:textFill>
              </w:rPr>
            </w:pPr>
            <w:r>
              <w:rPr>
                <w:color w:val="000000" w:themeColor="text1"/>
                <w14:textFill>
                  <w14:solidFill>
                    <w14:schemeClr w14:val="tx1"/>
                  </w14:solidFill>
                </w14:textFill>
              </w:rPr>
              <w:t>层样</w:t>
            </w:r>
          </w:p>
        </w:tc>
        <w:tc>
          <w:tcPr>
            <w:tcW w:w="613" w:type="pct"/>
            <w:vAlign w:val="center"/>
          </w:tcPr>
          <w:p w14:paraId="42211EB5">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p w14:paraId="0BA3CE83">
            <w:pPr>
              <w:pStyle w:val="109"/>
              <w:rPr>
                <w:color w:val="000000" w:themeColor="text1"/>
                <w14:textFill>
                  <w14:solidFill>
                    <w14:schemeClr w14:val="tx1"/>
                  </w14:solidFill>
                </w14:textFill>
              </w:rPr>
            </w:pPr>
            <w:r>
              <w:rPr>
                <w:color w:val="000000" w:themeColor="text1"/>
                <w14:textFill>
                  <w14:solidFill>
                    <w14:schemeClr w14:val="tx1"/>
                  </w14:solidFill>
                </w14:textFill>
              </w:rPr>
              <w:t>区外</w:t>
            </w:r>
          </w:p>
        </w:tc>
        <w:tc>
          <w:tcPr>
            <w:tcW w:w="2794" w:type="pct"/>
            <w:vAlign w:val="center"/>
          </w:tcPr>
          <w:p w14:paraId="26363961">
            <w:pPr>
              <w:pStyle w:val="109"/>
              <w:rPr>
                <w:color w:val="000000" w:themeColor="text1"/>
                <w14:textFill>
                  <w14:solidFill>
                    <w14:schemeClr w14:val="tx1"/>
                  </w14:solidFill>
                </w14:textFill>
              </w:rPr>
            </w:pPr>
            <w:r>
              <w:rPr>
                <w:color w:val="000000" w:themeColor="text1"/>
                <w14:textFill>
                  <w14:solidFill>
                    <w14:schemeClr w14:val="tx1"/>
                  </w14:solidFill>
                </w14:textFill>
              </w:rPr>
              <w:t>表层土、黄棕色、砂土、干，采样深度：0-20cm；镉、汞、砷、铅、六价铬、铜、镍、石油烃、</w:t>
            </w:r>
            <w:r>
              <w:rPr>
                <w:color w:val="000000" w:themeColor="text1"/>
                <w:szCs w:val="21"/>
                <w14:textFill>
                  <w14:solidFill>
                    <w14:schemeClr w14:val="tx1"/>
                  </w14:solidFill>
                </w14:textFill>
              </w:rPr>
              <w:t>二噁英、氟化物、锰</w:t>
            </w:r>
          </w:p>
        </w:tc>
        <w:tc>
          <w:tcPr>
            <w:tcW w:w="982" w:type="pct"/>
            <w:vAlign w:val="center"/>
          </w:tcPr>
          <w:p w14:paraId="09440426">
            <w:pPr>
              <w:pStyle w:val="109"/>
              <w:rPr>
                <w:color w:val="000000" w:themeColor="text1"/>
                <w14:textFill>
                  <w14:solidFill>
                    <w14:schemeClr w14:val="tx1"/>
                  </w14:solidFill>
                </w14:textFill>
              </w:rPr>
            </w:pPr>
            <w:r>
              <w:rPr>
                <w:color w:val="000000" w:themeColor="text1"/>
                <w14:textFill>
                  <w14:solidFill>
                    <w14:schemeClr w14:val="tx1"/>
                  </w14:solidFill>
                </w14:textFill>
              </w:rPr>
              <w:t>E:87°41′35.41″N:44°8′20.78″</w:t>
            </w:r>
          </w:p>
        </w:tc>
      </w:tr>
      <w:tr w14:paraId="309C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pct"/>
            <w:vAlign w:val="center"/>
          </w:tcPr>
          <w:p w14:paraId="27D431AA">
            <w:pPr>
              <w:pStyle w:val="109"/>
              <w:rPr>
                <w:color w:val="000000" w:themeColor="text1"/>
                <w14:textFill>
                  <w14:solidFill>
                    <w14:schemeClr w14:val="tx1"/>
                  </w14:solidFill>
                </w14:textFill>
              </w:rPr>
            </w:pPr>
            <w:r>
              <w:rPr>
                <w:color w:val="000000" w:themeColor="text1"/>
                <w14:textFill>
                  <w14:solidFill>
                    <w14:schemeClr w14:val="tx1"/>
                  </w14:solidFill>
                </w14:textFill>
              </w:rPr>
              <w:t>6#表</w:t>
            </w:r>
          </w:p>
          <w:p w14:paraId="1281FE0F">
            <w:pPr>
              <w:pStyle w:val="109"/>
              <w:rPr>
                <w:color w:val="000000" w:themeColor="text1"/>
                <w14:textFill>
                  <w14:solidFill>
                    <w14:schemeClr w14:val="tx1"/>
                  </w14:solidFill>
                </w14:textFill>
              </w:rPr>
            </w:pPr>
            <w:r>
              <w:rPr>
                <w:color w:val="000000" w:themeColor="text1"/>
                <w14:textFill>
                  <w14:solidFill>
                    <w14:schemeClr w14:val="tx1"/>
                  </w14:solidFill>
                </w14:textFill>
              </w:rPr>
              <w:t>层样</w:t>
            </w:r>
          </w:p>
        </w:tc>
        <w:tc>
          <w:tcPr>
            <w:tcW w:w="613" w:type="pct"/>
            <w:vAlign w:val="center"/>
          </w:tcPr>
          <w:p w14:paraId="1FFC3AE0">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p w14:paraId="2A6B6A69">
            <w:pPr>
              <w:pStyle w:val="109"/>
              <w:rPr>
                <w:color w:val="000000" w:themeColor="text1"/>
                <w14:textFill>
                  <w14:solidFill>
                    <w14:schemeClr w14:val="tx1"/>
                  </w14:solidFill>
                </w14:textFill>
              </w:rPr>
            </w:pPr>
            <w:r>
              <w:rPr>
                <w:color w:val="000000" w:themeColor="text1"/>
                <w14:textFill>
                  <w14:solidFill>
                    <w14:schemeClr w14:val="tx1"/>
                  </w14:solidFill>
                </w14:textFill>
              </w:rPr>
              <w:t>区外</w:t>
            </w:r>
          </w:p>
        </w:tc>
        <w:tc>
          <w:tcPr>
            <w:tcW w:w="2794" w:type="pct"/>
            <w:vAlign w:val="center"/>
          </w:tcPr>
          <w:p w14:paraId="75DDF91C">
            <w:pPr>
              <w:pStyle w:val="109"/>
              <w:rPr>
                <w:color w:val="000000" w:themeColor="text1"/>
                <w14:textFill>
                  <w14:solidFill>
                    <w14:schemeClr w14:val="tx1"/>
                  </w14:solidFill>
                </w14:textFill>
              </w:rPr>
            </w:pPr>
            <w:r>
              <w:rPr>
                <w:color w:val="000000" w:themeColor="text1"/>
                <w14:textFill>
                  <w14:solidFill>
                    <w14:schemeClr w14:val="tx1"/>
                  </w14:solidFill>
                </w14:textFill>
              </w:rPr>
              <w:t>表层土、黄棕色、砂土、干，采样深度：0-20cm；镉、汞、砷、铅、六价铬、铜、镍、石油烃、</w:t>
            </w:r>
            <w:r>
              <w:rPr>
                <w:color w:val="000000" w:themeColor="text1"/>
                <w:szCs w:val="21"/>
                <w14:textFill>
                  <w14:solidFill>
                    <w14:schemeClr w14:val="tx1"/>
                  </w14:solidFill>
                </w14:textFill>
              </w:rPr>
              <w:t>二噁英、氟化物、锰</w:t>
            </w:r>
          </w:p>
        </w:tc>
        <w:tc>
          <w:tcPr>
            <w:tcW w:w="982" w:type="pct"/>
            <w:vAlign w:val="center"/>
          </w:tcPr>
          <w:p w14:paraId="5FAAA580">
            <w:pPr>
              <w:pStyle w:val="109"/>
              <w:rPr>
                <w:color w:val="000000" w:themeColor="text1"/>
                <w14:textFill>
                  <w14:solidFill>
                    <w14:schemeClr w14:val="tx1"/>
                  </w14:solidFill>
                </w14:textFill>
              </w:rPr>
            </w:pPr>
            <w:r>
              <w:rPr>
                <w:color w:val="000000" w:themeColor="text1"/>
                <w14:textFill>
                  <w14:solidFill>
                    <w14:schemeClr w14:val="tx1"/>
                  </w14:solidFill>
                </w14:textFill>
              </w:rPr>
              <w:t>E:87°41′37.49″N:44°8′12.28″</w:t>
            </w:r>
          </w:p>
        </w:tc>
      </w:tr>
    </w:tbl>
    <w:p w14:paraId="6C293FB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评价标准</w:t>
      </w:r>
    </w:p>
    <w:p w14:paraId="057E7F31">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本项目土壤环境执行《土壤环境质量</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建设用地土壤污染风险管控标准（试行）》（GB36600-2018）表1风险筛选值（基本项目）。</w:t>
      </w:r>
    </w:p>
    <w:p w14:paraId="60E22C54">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监测结果</w:t>
      </w:r>
    </w:p>
    <w:p w14:paraId="5FCB6ED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本项目土壤环境现状监测结果见下表。</w:t>
      </w:r>
    </w:p>
    <w:p w14:paraId="1A678C77">
      <w:pPr>
        <w:ind w:firstLine="480"/>
        <w:rPr>
          <w:color w:val="000000" w:themeColor="text1"/>
          <w14:textFill>
            <w14:solidFill>
              <w14:schemeClr w14:val="tx1"/>
            </w14:solidFill>
          </w14:textFill>
        </w:rPr>
      </w:pPr>
    </w:p>
    <w:p w14:paraId="118475B8">
      <w:pPr>
        <w:ind w:firstLine="480"/>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21A4C81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土壤现状监测结果1（引用）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649"/>
        <w:gridCol w:w="748"/>
        <w:gridCol w:w="1643"/>
        <w:gridCol w:w="1643"/>
        <w:gridCol w:w="1649"/>
        <w:gridCol w:w="1642"/>
        <w:gridCol w:w="1642"/>
        <w:gridCol w:w="1651"/>
        <w:gridCol w:w="2110"/>
      </w:tblGrid>
      <w:tr w14:paraId="2F29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833" w:type="pct"/>
            <w:gridSpan w:val="2"/>
            <w:vAlign w:val="center"/>
          </w:tcPr>
          <w:p w14:paraId="499C252B">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571" w:type="pct"/>
            <w:vAlign w:val="center"/>
          </w:tcPr>
          <w:p w14:paraId="064AB92B">
            <w:pPr>
              <w:pStyle w:val="109"/>
              <w:rPr>
                <w:color w:val="000000" w:themeColor="text1"/>
                <w14:textFill>
                  <w14:solidFill>
                    <w14:schemeClr w14:val="tx1"/>
                  </w14:solidFill>
                </w14:textFill>
              </w:rPr>
            </w:pPr>
            <w:r>
              <w:rPr>
                <w:color w:val="000000" w:themeColor="text1"/>
                <w14:textFill>
                  <w14:solidFill>
                    <w14:schemeClr w14:val="tx1"/>
                  </w14:solidFill>
                </w14:textFill>
              </w:rPr>
              <w:t>TC-1#-1</w:t>
            </w:r>
          </w:p>
        </w:tc>
        <w:tc>
          <w:tcPr>
            <w:tcW w:w="571" w:type="pct"/>
            <w:vAlign w:val="center"/>
          </w:tcPr>
          <w:p w14:paraId="7BAE523A">
            <w:pPr>
              <w:pStyle w:val="109"/>
              <w:rPr>
                <w:color w:val="000000" w:themeColor="text1"/>
                <w14:textFill>
                  <w14:solidFill>
                    <w14:schemeClr w14:val="tx1"/>
                  </w14:solidFill>
                </w14:textFill>
              </w:rPr>
            </w:pPr>
            <w:r>
              <w:rPr>
                <w:color w:val="000000" w:themeColor="text1"/>
                <w14:textFill>
                  <w14:solidFill>
                    <w14:schemeClr w14:val="tx1"/>
                  </w14:solidFill>
                </w14:textFill>
              </w:rPr>
              <w:t>TC-1#-1-1</w:t>
            </w:r>
          </w:p>
        </w:tc>
        <w:tc>
          <w:tcPr>
            <w:tcW w:w="571" w:type="pct"/>
            <w:vAlign w:val="center"/>
          </w:tcPr>
          <w:p w14:paraId="69957055">
            <w:pPr>
              <w:pStyle w:val="109"/>
              <w:rPr>
                <w:color w:val="000000" w:themeColor="text1"/>
                <w14:textFill>
                  <w14:solidFill>
                    <w14:schemeClr w14:val="tx1"/>
                  </w14:solidFill>
                </w14:textFill>
              </w:rPr>
            </w:pPr>
            <w:r>
              <w:rPr>
                <w:color w:val="000000" w:themeColor="text1"/>
                <w14:textFill>
                  <w14:solidFill>
                    <w14:schemeClr w14:val="tx1"/>
                  </w14:solidFill>
                </w14:textFill>
              </w:rPr>
              <w:t>TC-1#-1-1-1</w:t>
            </w:r>
          </w:p>
        </w:tc>
        <w:tc>
          <w:tcPr>
            <w:tcW w:w="571" w:type="pct"/>
            <w:vAlign w:val="center"/>
          </w:tcPr>
          <w:p w14:paraId="2503510F">
            <w:pPr>
              <w:pStyle w:val="109"/>
              <w:rPr>
                <w:color w:val="000000" w:themeColor="text1"/>
                <w14:textFill>
                  <w14:solidFill>
                    <w14:schemeClr w14:val="tx1"/>
                  </w14:solidFill>
                </w14:textFill>
              </w:rPr>
            </w:pPr>
            <w:r>
              <w:rPr>
                <w:color w:val="000000" w:themeColor="text1"/>
                <w14:textFill>
                  <w14:solidFill>
                    <w14:schemeClr w14:val="tx1"/>
                  </w14:solidFill>
                </w14:textFill>
              </w:rPr>
              <w:t>TC-1#-1</w:t>
            </w:r>
          </w:p>
        </w:tc>
        <w:tc>
          <w:tcPr>
            <w:tcW w:w="571" w:type="pct"/>
            <w:vAlign w:val="center"/>
          </w:tcPr>
          <w:p w14:paraId="0B4980AC">
            <w:pPr>
              <w:pStyle w:val="109"/>
              <w:rPr>
                <w:color w:val="000000" w:themeColor="text1"/>
                <w14:textFill>
                  <w14:solidFill>
                    <w14:schemeClr w14:val="tx1"/>
                  </w14:solidFill>
                </w14:textFill>
              </w:rPr>
            </w:pPr>
            <w:r>
              <w:rPr>
                <w:color w:val="000000" w:themeColor="text1"/>
                <w14:textFill>
                  <w14:solidFill>
                    <w14:schemeClr w14:val="tx1"/>
                  </w14:solidFill>
                </w14:textFill>
              </w:rPr>
              <w:t>TC-1#-1-1</w:t>
            </w:r>
          </w:p>
        </w:tc>
        <w:tc>
          <w:tcPr>
            <w:tcW w:w="571" w:type="pct"/>
            <w:vAlign w:val="center"/>
          </w:tcPr>
          <w:p w14:paraId="1DDA0042">
            <w:pPr>
              <w:pStyle w:val="109"/>
              <w:rPr>
                <w:color w:val="000000" w:themeColor="text1"/>
                <w14:textFill>
                  <w14:solidFill>
                    <w14:schemeClr w14:val="tx1"/>
                  </w14:solidFill>
                </w14:textFill>
              </w:rPr>
            </w:pPr>
            <w:r>
              <w:rPr>
                <w:color w:val="000000" w:themeColor="text1"/>
                <w14:textFill>
                  <w14:solidFill>
                    <w14:schemeClr w14:val="tx1"/>
                  </w14:solidFill>
                </w14:textFill>
              </w:rPr>
              <w:t>TC-1#-1-1-1</w:t>
            </w:r>
          </w:p>
        </w:tc>
        <w:tc>
          <w:tcPr>
            <w:tcW w:w="734" w:type="pct"/>
            <w:vMerge w:val="restart"/>
            <w:vAlign w:val="center"/>
          </w:tcPr>
          <w:p w14:paraId="4F48992D">
            <w:pPr>
              <w:pStyle w:val="109"/>
              <w:rPr>
                <w:color w:val="000000" w:themeColor="text1"/>
                <w14:textFill>
                  <w14:solidFill>
                    <w14:schemeClr w14:val="tx1"/>
                  </w14:solidFill>
                </w14:textFill>
              </w:rPr>
            </w:pPr>
            <w:r>
              <w:rPr>
                <w:color w:val="000000" w:themeColor="text1"/>
                <w14:textFill>
                  <w14:solidFill>
                    <w14:schemeClr w14:val="tx1"/>
                  </w14:solidFill>
                </w14:textFill>
              </w:rPr>
              <w:t>《土壤环境质量建设用地土壤污染风险管控标准（试行）》（GB36600-2018）表1第二类用地的筛选值质量标准（mg/kg）</w:t>
            </w:r>
          </w:p>
        </w:tc>
      </w:tr>
      <w:tr w14:paraId="78D1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833" w:type="pct"/>
            <w:gridSpan w:val="2"/>
            <w:vAlign w:val="center"/>
          </w:tcPr>
          <w:p w14:paraId="59839E70">
            <w:pPr>
              <w:pStyle w:val="109"/>
              <w:rPr>
                <w:color w:val="000000" w:themeColor="text1"/>
                <w14:textFill>
                  <w14:solidFill>
                    <w14:schemeClr w14:val="tx1"/>
                  </w14:solidFill>
                </w14:textFill>
              </w:rPr>
            </w:pPr>
            <w:r>
              <w:rPr>
                <w:color w:val="000000" w:themeColor="text1"/>
                <w14:textFill>
                  <w14:solidFill>
                    <w14:schemeClr w14:val="tx1"/>
                  </w14:solidFill>
                </w14:textFill>
              </w:rPr>
              <w:t>采样地点</w:t>
            </w:r>
          </w:p>
        </w:tc>
        <w:tc>
          <w:tcPr>
            <w:tcW w:w="3431" w:type="pct"/>
            <w:gridSpan w:val="6"/>
            <w:vAlign w:val="center"/>
          </w:tcPr>
          <w:p w14:paraId="29620588">
            <w:pPr>
              <w:pStyle w:val="109"/>
              <w:rPr>
                <w:color w:val="000000" w:themeColor="text1"/>
                <w14:textFill>
                  <w14:solidFill>
                    <w14:schemeClr w14:val="tx1"/>
                  </w14:solidFill>
                </w14:textFill>
              </w:rPr>
            </w:pPr>
            <w:r>
              <w:rPr>
                <w:color w:val="000000" w:themeColor="text1"/>
                <w14:textFill>
                  <w14:solidFill>
                    <w14:schemeClr w14:val="tx1"/>
                  </w14:solidFill>
                </w14:textFill>
              </w:rPr>
              <w:t>E:87°41′40.50″N:44°8′21.34″</w:t>
            </w:r>
          </w:p>
        </w:tc>
        <w:tc>
          <w:tcPr>
            <w:tcW w:w="734" w:type="pct"/>
            <w:vMerge w:val="continue"/>
            <w:vAlign w:val="center"/>
          </w:tcPr>
          <w:p w14:paraId="307AF9E4">
            <w:pPr>
              <w:pStyle w:val="109"/>
              <w:rPr>
                <w:color w:val="000000" w:themeColor="text1"/>
                <w14:textFill>
                  <w14:solidFill>
                    <w14:schemeClr w14:val="tx1"/>
                  </w14:solidFill>
                </w14:textFill>
              </w:rPr>
            </w:pPr>
          </w:p>
        </w:tc>
      </w:tr>
      <w:tr w14:paraId="5C9F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833" w:type="pct"/>
            <w:gridSpan w:val="2"/>
            <w:vAlign w:val="center"/>
          </w:tcPr>
          <w:p w14:paraId="13195621">
            <w:pPr>
              <w:pStyle w:val="109"/>
              <w:rPr>
                <w:color w:val="000000" w:themeColor="text1"/>
                <w14:textFill>
                  <w14:solidFill>
                    <w14:schemeClr w14:val="tx1"/>
                  </w14:solidFill>
                </w14:textFill>
              </w:rPr>
            </w:pPr>
            <w:r>
              <w:rPr>
                <w:color w:val="000000" w:themeColor="text1"/>
                <w14:textFill>
                  <w14:solidFill>
                    <w14:schemeClr w14:val="tx1"/>
                  </w14:solidFill>
                </w14:textFill>
              </w:rPr>
              <w:t>深度（cm）</w:t>
            </w:r>
          </w:p>
        </w:tc>
        <w:tc>
          <w:tcPr>
            <w:tcW w:w="571" w:type="pct"/>
            <w:vAlign w:val="center"/>
          </w:tcPr>
          <w:p w14:paraId="4E09EF27">
            <w:pPr>
              <w:pStyle w:val="10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571" w:type="pct"/>
            <w:vAlign w:val="center"/>
          </w:tcPr>
          <w:p w14:paraId="6E2889BA">
            <w:pPr>
              <w:pStyle w:val="109"/>
              <w:rPr>
                <w:color w:val="000000" w:themeColor="text1"/>
                <w14:textFill>
                  <w14:solidFill>
                    <w14:schemeClr w14:val="tx1"/>
                  </w14:solidFill>
                </w14:textFill>
              </w:rPr>
            </w:pPr>
            <w:r>
              <w:rPr>
                <w:color w:val="000000" w:themeColor="text1"/>
                <w14:textFill>
                  <w14:solidFill>
                    <w14:schemeClr w14:val="tx1"/>
                  </w14:solidFill>
                </w14:textFill>
              </w:rPr>
              <w:t>138</w:t>
            </w:r>
          </w:p>
        </w:tc>
        <w:tc>
          <w:tcPr>
            <w:tcW w:w="571" w:type="pct"/>
            <w:vAlign w:val="center"/>
          </w:tcPr>
          <w:p w14:paraId="24388741">
            <w:pPr>
              <w:pStyle w:val="109"/>
              <w:rPr>
                <w:color w:val="000000" w:themeColor="text1"/>
                <w14:textFill>
                  <w14:solidFill>
                    <w14:schemeClr w14:val="tx1"/>
                  </w14:solidFill>
                </w14:textFill>
              </w:rPr>
            </w:pPr>
            <w:r>
              <w:rPr>
                <w:color w:val="000000" w:themeColor="text1"/>
                <w14:textFill>
                  <w14:solidFill>
                    <w14:schemeClr w14:val="tx1"/>
                  </w14:solidFill>
                </w14:textFill>
              </w:rPr>
              <w:t>196</w:t>
            </w:r>
          </w:p>
        </w:tc>
        <w:tc>
          <w:tcPr>
            <w:tcW w:w="571" w:type="pct"/>
            <w:vAlign w:val="center"/>
          </w:tcPr>
          <w:p w14:paraId="27A984A2">
            <w:pPr>
              <w:pStyle w:val="10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571" w:type="pct"/>
            <w:vAlign w:val="center"/>
          </w:tcPr>
          <w:p w14:paraId="2D520149">
            <w:pPr>
              <w:pStyle w:val="109"/>
              <w:rPr>
                <w:color w:val="000000" w:themeColor="text1"/>
                <w14:textFill>
                  <w14:solidFill>
                    <w14:schemeClr w14:val="tx1"/>
                  </w14:solidFill>
                </w14:textFill>
              </w:rPr>
            </w:pPr>
            <w:r>
              <w:rPr>
                <w:color w:val="000000" w:themeColor="text1"/>
                <w14:textFill>
                  <w14:solidFill>
                    <w14:schemeClr w14:val="tx1"/>
                  </w14:solidFill>
                </w14:textFill>
              </w:rPr>
              <w:t>138</w:t>
            </w:r>
          </w:p>
        </w:tc>
        <w:tc>
          <w:tcPr>
            <w:tcW w:w="571" w:type="pct"/>
            <w:vAlign w:val="center"/>
          </w:tcPr>
          <w:p w14:paraId="3E081D78">
            <w:pPr>
              <w:pStyle w:val="109"/>
              <w:rPr>
                <w:color w:val="000000" w:themeColor="text1"/>
                <w14:textFill>
                  <w14:solidFill>
                    <w14:schemeClr w14:val="tx1"/>
                  </w14:solidFill>
                </w14:textFill>
              </w:rPr>
            </w:pPr>
            <w:r>
              <w:rPr>
                <w:color w:val="000000" w:themeColor="text1"/>
                <w14:textFill>
                  <w14:solidFill>
                    <w14:schemeClr w14:val="tx1"/>
                  </w14:solidFill>
                </w14:textFill>
              </w:rPr>
              <w:t>196</w:t>
            </w:r>
          </w:p>
        </w:tc>
        <w:tc>
          <w:tcPr>
            <w:tcW w:w="734" w:type="pct"/>
            <w:vMerge w:val="continue"/>
            <w:vAlign w:val="center"/>
          </w:tcPr>
          <w:p w14:paraId="585F572A">
            <w:pPr>
              <w:pStyle w:val="109"/>
              <w:rPr>
                <w:color w:val="000000" w:themeColor="text1"/>
                <w14:textFill>
                  <w14:solidFill>
                    <w14:schemeClr w14:val="tx1"/>
                  </w14:solidFill>
                </w14:textFill>
              </w:rPr>
            </w:pPr>
          </w:p>
        </w:tc>
      </w:tr>
      <w:tr w14:paraId="2DEC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833" w:type="pct"/>
            <w:gridSpan w:val="2"/>
            <w:vAlign w:val="center"/>
          </w:tcPr>
          <w:p w14:paraId="789085A1">
            <w:pPr>
              <w:pStyle w:val="109"/>
              <w:rPr>
                <w:color w:val="000000" w:themeColor="text1"/>
                <w14:textFill>
                  <w14:solidFill>
                    <w14:schemeClr w14:val="tx1"/>
                  </w14:solidFill>
                </w14:textFill>
              </w:rPr>
            </w:pPr>
            <w:r>
              <w:rPr>
                <w:color w:val="000000" w:themeColor="text1"/>
                <w14:textFill>
                  <w14:solidFill>
                    <w14:schemeClr w14:val="tx1"/>
                  </w14:solidFill>
                </w14:textFill>
              </w:rPr>
              <w:t>样品状态</w:t>
            </w:r>
          </w:p>
        </w:tc>
        <w:tc>
          <w:tcPr>
            <w:tcW w:w="571" w:type="pct"/>
            <w:vAlign w:val="center"/>
          </w:tcPr>
          <w:p w14:paraId="5B636819">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71" w:type="pct"/>
            <w:vAlign w:val="center"/>
          </w:tcPr>
          <w:p w14:paraId="0F9D759B">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71" w:type="pct"/>
            <w:vAlign w:val="center"/>
          </w:tcPr>
          <w:p w14:paraId="26B56BB7">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71" w:type="pct"/>
            <w:vAlign w:val="center"/>
          </w:tcPr>
          <w:p w14:paraId="18F20BFF">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71" w:type="pct"/>
            <w:vAlign w:val="center"/>
          </w:tcPr>
          <w:p w14:paraId="18C2F82D">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71" w:type="pct"/>
            <w:vAlign w:val="center"/>
          </w:tcPr>
          <w:p w14:paraId="0AB79537">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734" w:type="pct"/>
            <w:vMerge w:val="continue"/>
            <w:vAlign w:val="center"/>
          </w:tcPr>
          <w:p w14:paraId="3FE421AB">
            <w:pPr>
              <w:pStyle w:val="109"/>
              <w:rPr>
                <w:color w:val="000000" w:themeColor="text1"/>
                <w14:textFill>
                  <w14:solidFill>
                    <w14:schemeClr w14:val="tx1"/>
                  </w14:solidFill>
                </w14:textFill>
              </w:rPr>
            </w:pPr>
          </w:p>
        </w:tc>
      </w:tr>
      <w:tr w14:paraId="7645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73" w:type="pct"/>
            <w:vAlign w:val="center"/>
          </w:tcPr>
          <w:p w14:paraId="61A8638A">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260" w:type="pct"/>
            <w:vAlign w:val="center"/>
          </w:tcPr>
          <w:p w14:paraId="13FF990D">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715" w:type="pct"/>
            <w:gridSpan w:val="3"/>
            <w:vAlign w:val="center"/>
          </w:tcPr>
          <w:p w14:paraId="4F9F3B1F">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715" w:type="pct"/>
            <w:gridSpan w:val="3"/>
          </w:tcPr>
          <w:p w14:paraId="2AAC0555">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c>
          <w:tcPr>
            <w:tcW w:w="734" w:type="pct"/>
            <w:vMerge w:val="continue"/>
            <w:vAlign w:val="center"/>
          </w:tcPr>
          <w:p w14:paraId="24554507">
            <w:pPr>
              <w:pStyle w:val="109"/>
              <w:rPr>
                <w:color w:val="000000" w:themeColor="text1"/>
                <w14:textFill>
                  <w14:solidFill>
                    <w14:schemeClr w14:val="tx1"/>
                  </w14:solidFill>
                </w14:textFill>
              </w:rPr>
            </w:pPr>
          </w:p>
        </w:tc>
      </w:tr>
      <w:tr w14:paraId="3509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736450F6">
            <w:pPr>
              <w:pStyle w:val="109"/>
              <w:rPr>
                <w:color w:val="000000" w:themeColor="text1"/>
                <w14:textFill>
                  <w14:solidFill>
                    <w14:schemeClr w14:val="tx1"/>
                  </w14:solidFill>
                </w14:textFill>
              </w:rPr>
            </w:pPr>
            <w:r>
              <w:rPr>
                <w:color w:val="000000" w:themeColor="text1"/>
                <w14:textFill>
                  <w14:solidFill>
                    <w14:schemeClr w14:val="tx1"/>
                  </w14:solidFill>
                </w14:textFill>
              </w:rPr>
              <w:t>氯乙烯</w:t>
            </w:r>
          </w:p>
        </w:tc>
        <w:tc>
          <w:tcPr>
            <w:tcW w:w="260" w:type="pct"/>
            <w:vAlign w:val="center"/>
          </w:tcPr>
          <w:p w14:paraId="6A82F476">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3CE93FE3">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71" w:type="pct"/>
            <w:vAlign w:val="center"/>
          </w:tcPr>
          <w:p w14:paraId="5B44CC51">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71" w:type="pct"/>
            <w:vAlign w:val="center"/>
          </w:tcPr>
          <w:p w14:paraId="795F2BFE">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71" w:type="pct"/>
          </w:tcPr>
          <w:p w14:paraId="5327B70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35A5FFE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3C582C9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1DB49D77">
            <w:pPr>
              <w:pStyle w:val="109"/>
              <w:rPr>
                <w:color w:val="000000" w:themeColor="text1"/>
                <w14:textFill>
                  <w14:solidFill>
                    <w14:schemeClr w14:val="tx1"/>
                  </w14:solidFill>
                </w14:textFill>
              </w:rPr>
            </w:pPr>
            <w:r>
              <w:rPr>
                <w:color w:val="000000" w:themeColor="text1"/>
                <w14:textFill>
                  <w14:solidFill>
                    <w14:schemeClr w14:val="tx1"/>
                  </w14:solidFill>
                </w14:textFill>
              </w:rPr>
              <w:t>0.43</w:t>
            </w:r>
          </w:p>
        </w:tc>
      </w:tr>
      <w:tr w14:paraId="4513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trPr>
        <w:tc>
          <w:tcPr>
            <w:tcW w:w="573" w:type="pct"/>
            <w:vAlign w:val="center"/>
          </w:tcPr>
          <w:p w14:paraId="4D3B6680">
            <w:pPr>
              <w:pStyle w:val="109"/>
              <w:rPr>
                <w:color w:val="000000" w:themeColor="text1"/>
                <w14:textFill>
                  <w14:solidFill>
                    <w14:schemeClr w14:val="tx1"/>
                  </w14:solidFill>
                </w14:textFill>
              </w:rPr>
            </w:pPr>
            <w:r>
              <w:rPr>
                <w:color w:val="000000" w:themeColor="text1"/>
                <w14:textFill>
                  <w14:solidFill>
                    <w14:schemeClr w14:val="tx1"/>
                  </w14:solidFill>
                </w14:textFill>
              </w:rPr>
              <w:t>1，1-二氯乙烯</w:t>
            </w:r>
          </w:p>
        </w:tc>
        <w:tc>
          <w:tcPr>
            <w:tcW w:w="260" w:type="pct"/>
            <w:vAlign w:val="center"/>
          </w:tcPr>
          <w:p w14:paraId="7AD81AC2">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4F8771A5">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71" w:type="pct"/>
            <w:vAlign w:val="center"/>
          </w:tcPr>
          <w:p w14:paraId="1A1FB9CF">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71" w:type="pct"/>
            <w:vAlign w:val="center"/>
          </w:tcPr>
          <w:p w14:paraId="4E27FF22">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71" w:type="pct"/>
          </w:tcPr>
          <w:p w14:paraId="6F73996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40D0433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10B0076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4C17B8A7">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r>
      <w:tr w14:paraId="19B2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22325289">
            <w:pPr>
              <w:pStyle w:val="109"/>
              <w:rPr>
                <w:color w:val="000000" w:themeColor="text1"/>
                <w14:textFill>
                  <w14:solidFill>
                    <w14:schemeClr w14:val="tx1"/>
                  </w14:solidFill>
                </w14:textFill>
              </w:rPr>
            </w:pPr>
            <w:r>
              <w:rPr>
                <w:color w:val="000000" w:themeColor="text1"/>
                <w14:textFill>
                  <w14:solidFill>
                    <w14:schemeClr w14:val="tx1"/>
                  </w14:solidFill>
                </w14:textFill>
              </w:rPr>
              <w:t>二氯甲烷</w:t>
            </w:r>
          </w:p>
        </w:tc>
        <w:tc>
          <w:tcPr>
            <w:tcW w:w="260" w:type="pct"/>
            <w:vAlign w:val="center"/>
          </w:tcPr>
          <w:p w14:paraId="7F95216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172FE2EF">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571" w:type="pct"/>
            <w:vAlign w:val="center"/>
          </w:tcPr>
          <w:p w14:paraId="2321B561">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571" w:type="pct"/>
            <w:vAlign w:val="center"/>
          </w:tcPr>
          <w:p w14:paraId="5F3819D0">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571" w:type="pct"/>
          </w:tcPr>
          <w:p w14:paraId="064316A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6C8F98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71AA43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541A8D79">
            <w:pPr>
              <w:pStyle w:val="109"/>
              <w:rPr>
                <w:color w:val="000000" w:themeColor="text1"/>
                <w14:textFill>
                  <w14:solidFill>
                    <w14:schemeClr w14:val="tx1"/>
                  </w14:solidFill>
                </w14:textFill>
              </w:rPr>
            </w:pPr>
            <w:r>
              <w:rPr>
                <w:color w:val="000000" w:themeColor="text1"/>
                <w14:textFill>
                  <w14:solidFill>
                    <w14:schemeClr w14:val="tx1"/>
                  </w14:solidFill>
                </w14:textFill>
              </w:rPr>
              <w:t>616</w:t>
            </w:r>
          </w:p>
        </w:tc>
      </w:tr>
      <w:tr w14:paraId="4AEF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5EDB8C7">
            <w:pPr>
              <w:pStyle w:val="109"/>
              <w:rPr>
                <w:color w:val="000000" w:themeColor="text1"/>
                <w14:textFill>
                  <w14:solidFill>
                    <w14:schemeClr w14:val="tx1"/>
                  </w14:solidFill>
                </w14:textFill>
              </w:rPr>
            </w:pPr>
            <w:r>
              <w:rPr>
                <w:color w:val="000000" w:themeColor="text1"/>
                <w14:textFill>
                  <w14:solidFill>
                    <w14:schemeClr w14:val="tx1"/>
                  </w14:solidFill>
                </w14:textFill>
              </w:rPr>
              <w:t>反-1，2-二氯乙烯</w:t>
            </w:r>
          </w:p>
        </w:tc>
        <w:tc>
          <w:tcPr>
            <w:tcW w:w="260" w:type="pct"/>
            <w:vAlign w:val="center"/>
          </w:tcPr>
          <w:p w14:paraId="6BD6985C">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229FFB1C">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71" w:type="pct"/>
            <w:vAlign w:val="center"/>
          </w:tcPr>
          <w:p w14:paraId="6E71140C">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71" w:type="pct"/>
            <w:vAlign w:val="center"/>
          </w:tcPr>
          <w:p w14:paraId="031AF704">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71" w:type="pct"/>
          </w:tcPr>
          <w:p w14:paraId="3C83023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08F990F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93B240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1CE2FC23">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r>
      <w:tr w14:paraId="5E28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46965B3">
            <w:pPr>
              <w:pStyle w:val="109"/>
              <w:rPr>
                <w:color w:val="000000" w:themeColor="text1"/>
                <w14:textFill>
                  <w14:solidFill>
                    <w14:schemeClr w14:val="tx1"/>
                  </w14:solidFill>
                </w14:textFill>
              </w:rPr>
            </w:pPr>
            <w:r>
              <w:rPr>
                <w:color w:val="000000" w:themeColor="text1"/>
                <w14:textFill>
                  <w14:solidFill>
                    <w14:schemeClr w14:val="tx1"/>
                  </w14:solidFill>
                </w14:textFill>
              </w:rPr>
              <w:t>1，1-二氯乙烷</w:t>
            </w:r>
          </w:p>
        </w:tc>
        <w:tc>
          <w:tcPr>
            <w:tcW w:w="260" w:type="pct"/>
            <w:vAlign w:val="center"/>
          </w:tcPr>
          <w:p w14:paraId="3A6F6908">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5F1D2C0D">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71" w:type="pct"/>
            <w:vAlign w:val="center"/>
          </w:tcPr>
          <w:p w14:paraId="7D2FC7E2">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71" w:type="pct"/>
            <w:vAlign w:val="center"/>
          </w:tcPr>
          <w:p w14:paraId="2D142F26">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71" w:type="pct"/>
          </w:tcPr>
          <w:p w14:paraId="7A619CF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0DD0B47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1AA7D3D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3376585D">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r>
      <w:tr w14:paraId="1CFE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5A993FD1">
            <w:pPr>
              <w:pStyle w:val="109"/>
              <w:rPr>
                <w:color w:val="000000" w:themeColor="text1"/>
                <w14:textFill>
                  <w14:solidFill>
                    <w14:schemeClr w14:val="tx1"/>
                  </w14:solidFill>
                </w14:textFill>
              </w:rPr>
            </w:pPr>
            <w:r>
              <w:rPr>
                <w:color w:val="000000" w:themeColor="text1"/>
                <w14:textFill>
                  <w14:solidFill>
                    <w14:schemeClr w14:val="tx1"/>
                  </w14:solidFill>
                </w14:textFill>
              </w:rPr>
              <w:t>顺-1，2-二氯乙烯</w:t>
            </w:r>
          </w:p>
        </w:tc>
        <w:tc>
          <w:tcPr>
            <w:tcW w:w="260" w:type="pct"/>
            <w:vAlign w:val="center"/>
          </w:tcPr>
          <w:p w14:paraId="443212F6">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500E3FA2">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71" w:type="pct"/>
            <w:vAlign w:val="center"/>
          </w:tcPr>
          <w:p w14:paraId="4DAC02A4">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71" w:type="pct"/>
            <w:vAlign w:val="center"/>
          </w:tcPr>
          <w:p w14:paraId="5AEE30C8">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71" w:type="pct"/>
          </w:tcPr>
          <w:p w14:paraId="7ED2556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622333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4913C22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160D72EC">
            <w:pPr>
              <w:pStyle w:val="109"/>
              <w:rPr>
                <w:color w:val="000000" w:themeColor="text1"/>
                <w14:textFill>
                  <w14:solidFill>
                    <w14:schemeClr w14:val="tx1"/>
                  </w14:solidFill>
                </w14:textFill>
              </w:rPr>
            </w:pPr>
            <w:r>
              <w:rPr>
                <w:color w:val="000000" w:themeColor="text1"/>
                <w14:textFill>
                  <w14:solidFill>
                    <w14:schemeClr w14:val="tx1"/>
                  </w14:solidFill>
                </w14:textFill>
              </w:rPr>
              <w:t>596</w:t>
            </w:r>
          </w:p>
        </w:tc>
      </w:tr>
      <w:tr w14:paraId="3860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B6D4568">
            <w:pPr>
              <w:pStyle w:val="109"/>
              <w:rPr>
                <w:color w:val="000000" w:themeColor="text1"/>
                <w14:textFill>
                  <w14:solidFill>
                    <w14:schemeClr w14:val="tx1"/>
                  </w14:solidFill>
                </w14:textFill>
              </w:rPr>
            </w:pPr>
            <w:r>
              <w:rPr>
                <w:color w:val="000000" w:themeColor="text1"/>
                <w14:textFill>
                  <w14:solidFill>
                    <w14:schemeClr w14:val="tx1"/>
                  </w14:solidFill>
                </w14:textFill>
              </w:rPr>
              <w:t>氯仿</w:t>
            </w:r>
          </w:p>
        </w:tc>
        <w:tc>
          <w:tcPr>
            <w:tcW w:w="260" w:type="pct"/>
            <w:vAlign w:val="center"/>
          </w:tcPr>
          <w:p w14:paraId="5A0C8C4F">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2E6F9156">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71" w:type="pct"/>
            <w:vAlign w:val="center"/>
          </w:tcPr>
          <w:p w14:paraId="09275388">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71" w:type="pct"/>
            <w:vAlign w:val="center"/>
          </w:tcPr>
          <w:p w14:paraId="44BC403A">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71" w:type="pct"/>
          </w:tcPr>
          <w:p w14:paraId="04F8D74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96768F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F3322C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17C9EB9C">
            <w:pPr>
              <w:pStyle w:val="109"/>
              <w:rPr>
                <w:color w:val="000000" w:themeColor="text1"/>
                <w14:textFill>
                  <w14:solidFill>
                    <w14:schemeClr w14:val="tx1"/>
                  </w14:solidFill>
                </w14:textFill>
              </w:rPr>
            </w:pPr>
            <w:r>
              <w:rPr>
                <w:color w:val="000000" w:themeColor="text1"/>
                <w14:textFill>
                  <w14:solidFill>
                    <w14:schemeClr w14:val="tx1"/>
                  </w14:solidFill>
                </w14:textFill>
              </w:rPr>
              <w:t>0.9</w:t>
            </w:r>
          </w:p>
        </w:tc>
      </w:tr>
      <w:tr w14:paraId="4249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9FCEA25">
            <w:pPr>
              <w:pStyle w:val="109"/>
              <w:rPr>
                <w:color w:val="000000" w:themeColor="text1"/>
                <w14:textFill>
                  <w14:solidFill>
                    <w14:schemeClr w14:val="tx1"/>
                  </w14:solidFill>
                </w14:textFill>
              </w:rPr>
            </w:pPr>
            <w:r>
              <w:rPr>
                <w:color w:val="000000" w:themeColor="text1"/>
                <w14:textFill>
                  <w14:solidFill>
                    <w14:schemeClr w14:val="tx1"/>
                  </w14:solidFill>
                </w14:textFill>
              </w:rPr>
              <w:t>1，1，1-三氯乙烷</w:t>
            </w:r>
          </w:p>
        </w:tc>
        <w:tc>
          <w:tcPr>
            <w:tcW w:w="260" w:type="pct"/>
            <w:vAlign w:val="center"/>
          </w:tcPr>
          <w:p w14:paraId="26AF6C61">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32DD7E09">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71" w:type="pct"/>
            <w:vAlign w:val="center"/>
          </w:tcPr>
          <w:p w14:paraId="7638ECF8">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71" w:type="pct"/>
            <w:vAlign w:val="center"/>
          </w:tcPr>
          <w:p w14:paraId="00E7CDCC">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71" w:type="pct"/>
          </w:tcPr>
          <w:p w14:paraId="57CECD9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33B1384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30C9B43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4514994C">
            <w:pPr>
              <w:pStyle w:val="109"/>
              <w:rPr>
                <w:color w:val="000000" w:themeColor="text1"/>
                <w14:textFill>
                  <w14:solidFill>
                    <w14:schemeClr w14:val="tx1"/>
                  </w14:solidFill>
                </w14:textFill>
              </w:rPr>
            </w:pPr>
            <w:r>
              <w:rPr>
                <w:color w:val="000000" w:themeColor="text1"/>
                <w14:textFill>
                  <w14:solidFill>
                    <w14:schemeClr w14:val="tx1"/>
                  </w14:solidFill>
                </w14:textFill>
              </w:rPr>
              <w:t>840</w:t>
            </w:r>
          </w:p>
        </w:tc>
      </w:tr>
      <w:tr w14:paraId="134F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242CC22F">
            <w:pPr>
              <w:pStyle w:val="109"/>
              <w:rPr>
                <w:color w:val="000000" w:themeColor="text1"/>
                <w14:textFill>
                  <w14:solidFill>
                    <w14:schemeClr w14:val="tx1"/>
                  </w14:solidFill>
                </w14:textFill>
              </w:rPr>
            </w:pPr>
            <w:r>
              <w:rPr>
                <w:color w:val="000000" w:themeColor="text1"/>
                <w14:textFill>
                  <w14:solidFill>
                    <w14:schemeClr w14:val="tx1"/>
                  </w14:solidFill>
                </w14:textFill>
              </w:rPr>
              <w:t>四氯化碳</w:t>
            </w:r>
          </w:p>
        </w:tc>
        <w:tc>
          <w:tcPr>
            <w:tcW w:w="260" w:type="pct"/>
            <w:vAlign w:val="center"/>
          </w:tcPr>
          <w:p w14:paraId="64225B3D">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15132F05">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571" w:type="pct"/>
            <w:vAlign w:val="center"/>
          </w:tcPr>
          <w:p w14:paraId="1BFF8FF6">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571" w:type="pct"/>
            <w:vAlign w:val="center"/>
          </w:tcPr>
          <w:p w14:paraId="36428C3C">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571" w:type="pct"/>
          </w:tcPr>
          <w:p w14:paraId="320AB8A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05ADD3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18E5A58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3D0C135F">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6BD8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7BBD79A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1，2-二氯乙烷 </w:t>
            </w:r>
          </w:p>
        </w:tc>
        <w:tc>
          <w:tcPr>
            <w:tcW w:w="260" w:type="pct"/>
            <w:vAlign w:val="center"/>
          </w:tcPr>
          <w:p w14:paraId="2EF04D83">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53DA78A0">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71" w:type="pct"/>
            <w:vAlign w:val="center"/>
          </w:tcPr>
          <w:p w14:paraId="7F526A63">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71" w:type="pct"/>
            <w:vAlign w:val="center"/>
          </w:tcPr>
          <w:p w14:paraId="17C8571F">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71" w:type="pct"/>
          </w:tcPr>
          <w:p w14:paraId="7BC2FD2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02779B0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4183937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6FBE1FD7">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r>
      <w:tr w14:paraId="0B02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913CD7C">
            <w:pPr>
              <w:pStyle w:val="109"/>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260" w:type="pct"/>
            <w:vAlign w:val="center"/>
          </w:tcPr>
          <w:p w14:paraId="37BEF5AC">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33E3A957">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71" w:type="pct"/>
            <w:vAlign w:val="center"/>
          </w:tcPr>
          <w:p w14:paraId="3FE450FD">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71" w:type="pct"/>
            <w:vAlign w:val="center"/>
          </w:tcPr>
          <w:p w14:paraId="3503C058">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71" w:type="pct"/>
          </w:tcPr>
          <w:p w14:paraId="6BF6BFE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42D6CF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0DB939F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15F249B2">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r>
      <w:tr w14:paraId="2F88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6DF5849">
            <w:pPr>
              <w:pStyle w:val="109"/>
              <w:rPr>
                <w:color w:val="000000" w:themeColor="text1"/>
                <w14:textFill>
                  <w14:solidFill>
                    <w14:schemeClr w14:val="tx1"/>
                  </w14:solidFill>
                </w14:textFill>
              </w:rPr>
            </w:pPr>
            <w:r>
              <w:rPr>
                <w:color w:val="000000" w:themeColor="text1"/>
                <w14:textFill>
                  <w14:solidFill>
                    <w14:schemeClr w14:val="tx1"/>
                  </w14:solidFill>
                </w14:textFill>
              </w:rPr>
              <w:t>三氯乙烯</w:t>
            </w:r>
          </w:p>
        </w:tc>
        <w:tc>
          <w:tcPr>
            <w:tcW w:w="260" w:type="pct"/>
            <w:vAlign w:val="center"/>
          </w:tcPr>
          <w:p w14:paraId="214AD804">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4F4DCFB8">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71" w:type="pct"/>
            <w:vAlign w:val="center"/>
          </w:tcPr>
          <w:p w14:paraId="77269D82">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71" w:type="pct"/>
            <w:vAlign w:val="center"/>
          </w:tcPr>
          <w:p w14:paraId="1F757200">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71" w:type="pct"/>
          </w:tcPr>
          <w:p w14:paraId="77A3218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4849DC0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48A19C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510B09EE">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3EF0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3181F3E6">
            <w:pPr>
              <w:pStyle w:val="109"/>
              <w:rPr>
                <w:color w:val="000000" w:themeColor="text1"/>
                <w14:textFill>
                  <w14:solidFill>
                    <w14:schemeClr w14:val="tx1"/>
                  </w14:solidFill>
                </w14:textFill>
              </w:rPr>
            </w:pPr>
            <w:r>
              <w:rPr>
                <w:color w:val="000000" w:themeColor="text1"/>
                <w14:textFill>
                  <w14:solidFill>
                    <w14:schemeClr w14:val="tx1"/>
                  </w14:solidFill>
                </w14:textFill>
              </w:rPr>
              <w:t>1，2-二氯丙烷</w:t>
            </w:r>
          </w:p>
        </w:tc>
        <w:tc>
          <w:tcPr>
            <w:tcW w:w="260" w:type="pct"/>
            <w:vAlign w:val="center"/>
          </w:tcPr>
          <w:p w14:paraId="61769180">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1CB8B844">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571" w:type="pct"/>
            <w:vAlign w:val="center"/>
          </w:tcPr>
          <w:p w14:paraId="7581B73B">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571" w:type="pct"/>
            <w:vAlign w:val="center"/>
          </w:tcPr>
          <w:p w14:paraId="0C5F4AEC">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571" w:type="pct"/>
          </w:tcPr>
          <w:p w14:paraId="3EC9F63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4F72B1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93DEBE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578FB3C4">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r>
      <w:tr w14:paraId="40E4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219C3A4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甲苯 </w:t>
            </w:r>
          </w:p>
        </w:tc>
        <w:tc>
          <w:tcPr>
            <w:tcW w:w="260" w:type="pct"/>
            <w:vAlign w:val="center"/>
          </w:tcPr>
          <w:p w14:paraId="0173AEB4">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4E01CFC2">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571" w:type="pct"/>
            <w:vAlign w:val="center"/>
          </w:tcPr>
          <w:p w14:paraId="368C314D">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571" w:type="pct"/>
            <w:vAlign w:val="center"/>
          </w:tcPr>
          <w:p w14:paraId="3B4C2486">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571" w:type="pct"/>
          </w:tcPr>
          <w:p w14:paraId="7322027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AC49A1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3594E7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7424BFF0">
            <w:pPr>
              <w:pStyle w:val="109"/>
              <w:rPr>
                <w:color w:val="000000" w:themeColor="text1"/>
                <w14:textFill>
                  <w14:solidFill>
                    <w14:schemeClr w14:val="tx1"/>
                  </w14:solidFill>
                </w14:textFill>
              </w:rPr>
            </w:pPr>
            <w:r>
              <w:rPr>
                <w:color w:val="000000" w:themeColor="text1"/>
                <w14:textFill>
                  <w14:solidFill>
                    <w14:schemeClr w14:val="tx1"/>
                  </w14:solidFill>
                </w14:textFill>
              </w:rPr>
              <w:t>1200</w:t>
            </w:r>
          </w:p>
        </w:tc>
      </w:tr>
      <w:tr w14:paraId="1DD0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12446D53">
            <w:pPr>
              <w:pStyle w:val="109"/>
              <w:rPr>
                <w:color w:val="000000" w:themeColor="text1"/>
                <w14:textFill>
                  <w14:solidFill>
                    <w14:schemeClr w14:val="tx1"/>
                  </w14:solidFill>
                </w14:textFill>
              </w:rPr>
            </w:pPr>
            <w:r>
              <w:rPr>
                <w:color w:val="000000" w:themeColor="text1"/>
                <w14:textFill>
                  <w14:solidFill>
                    <w14:schemeClr w14:val="tx1"/>
                  </w14:solidFill>
                </w14:textFill>
              </w:rPr>
              <w:t>1，1，2-三氯乙烷</w:t>
            </w:r>
          </w:p>
        </w:tc>
        <w:tc>
          <w:tcPr>
            <w:tcW w:w="260" w:type="pct"/>
            <w:vAlign w:val="center"/>
          </w:tcPr>
          <w:p w14:paraId="6622BEA6">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5DF8DAAB">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571" w:type="pct"/>
            <w:vAlign w:val="center"/>
          </w:tcPr>
          <w:p w14:paraId="2EE9AF55">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571" w:type="pct"/>
            <w:vAlign w:val="center"/>
          </w:tcPr>
          <w:p w14:paraId="55F82838">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571" w:type="pct"/>
          </w:tcPr>
          <w:p w14:paraId="2C2BCC1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741E08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54F882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77269289">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7819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1ED9846">
            <w:pPr>
              <w:pStyle w:val="109"/>
              <w:rPr>
                <w:color w:val="000000" w:themeColor="text1"/>
                <w14:textFill>
                  <w14:solidFill>
                    <w14:schemeClr w14:val="tx1"/>
                  </w14:solidFill>
                </w14:textFill>
              </w:rPr>
            </w:pPr>
            <w:r>
              <w:rPr>
                <w:color w:val="000000" w:themeColor="text1"/>
                <w14:textFill>
                  <w14:solidFill>
                    <w14:schemeClr w14:val="tx1"/>
                  </w14:solidFill>
                </w14:textFill>
              </w:rPr>
              <w:t>四氯乙烯</w:t>
            </w:r>
          </w:p>
        </w:tc>
        <w:tc>
          <w:tcPr>
            <w:tcW w:w="260" w:type="pct"/>
            <w:vAlign w:val="center"/>
          </w:tcPr>
          <w:p w14:paraId="72F79EC7">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209320F8">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71" w:type="pct"/>
            <w:vAlign w:val="center"/>
          </w:tcPr>
          <w:p w14:paraId="47649A7E">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71" w:type="pct"/>
            <w:vAlign w:val="center"/>
          </w:tcPr>
          <w:p w14:paraId="7987A9CA">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71" w:type="pct"/>
          </w:tcPr>
          <w:p w14:paraId="6489984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0DA4ADC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01AC2D3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454EB8F2">
            <w:pPr>
              <w:pStyle w:val="109"/>
              <w:rPr>
                <w:color w:val="000000" w:themeColor="text1"/>
                <w14:textFill>
                  <w14:solidFill>
                    <w14:schemeClr w14:val="tx1"/>
                  </w14:solidFill>
                </w14:textFill>
              </w:rPr>
            </w:pPr>
            <w:r>
              <w:rPr>
                <w:color w:val="000000" w:themeColor="text1"/>
                <w14:textFill>
                  <w14:solidFill>
                    <w14:schemeClr w14:val="tx1"/>
                  </w14:solidFill>
                </w14:textFill>
              </w:rPr>
              <w:t>53</w:t>
            </w:r>
          </w:p>
        </w:tc>
      </w:tr>
      <w:tr w14:paraId="03D7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17323313">
            <w:pPr>
              <w:pStyle w:val="109"/>
              <w:rPr>
                <w:color w:val="000000" w:themeColor="text1"/>
                <w14:textFill>
                  <w14:solidFill>
                    <w14:schemeClr w14:val="tx1"/>
                  </w14:solidFill>
                </w14:textFill>
              </w:rPr>
            </w:pPr>
            <w:r>
              <w:rPr>
                <w:color w:val="000000" w:themeColor="text1"/>
                <w14:textFill>
                  <w14:solidFill>
                    <w14:schemeClr w14:val="tx1"/>
                  </w14:solidFill>
                </w14:textFill>
              </w:rPr>
              <w:t>氯苯</w:t>
            </w:r>
          </w:p>
        </w:tc>
        <w:tc>
          <w:tcPr>
            <w:tcW w:w="260" w:type="pct"/>
            <w:vAlign w:val="center"/>
          </w:tcPr>
          <w:p w14:paraId="7BDE268E">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147A20CE">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71" w:type="pct"/>
            <w:vAlign w:val="center"/>
          </w:tcPr>
          <w:p w14:paraId="2C494532">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71" w:type="pct"/>
            <w:vAlign w:val="center"/>
          </w:tcPr>
          <w:p w14:paraId="11F05826">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71" w:type="pct"/>
          </w:tcPr>
          <w:p w14:paraId="4C725A2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9F8AA4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33A8930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651C257D">
            <w:pPr>
              <w:pStyle w:val="109"/>
              <w:rPr>
                <w:color w:val="000000" w:themeColor="text1"/>
                <w14:textFill>
                  <w14:solidFill>
                    <w14:schemeClr w14:val="tx1"/>
                  </w14:solidFill>
                </w14:textFill>
              </w:rPr>
            </w:pPr>
            <w:r>
              <w:rPr>
                <w:color w:val="000000" w:themeColor="text1"/>
                <w14:textFill>
                  <w14:solidFill>
                    <w14:schemeClr w14:val="tx1"/>
                  </w14:solidFill>
                </w14:textFill>
              </w:rPr>
              <w:t>270</w:t>
            </w:r>
          </w:p>
        </w:tc>
      </w:tr>
      <w:tr w14:paraId="13F8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DE63697">
            <w:pPr>
              <w:pStyle w:val="109"/>
              <w:rPr>
                <w:color w:val="000000" w:themeColor="text1"/>
                <w14:textFill>
                  <w14:solidFill>
                    <w14:schemeClr w14:val="tx1"/>
                  </w14:solidFill>
                </w14:textFill>
              </w:rPr>
            </w:pPr>
            <w:r>
              <w:rPr>
                <w:color w:val="000000" w:themeColor="text1"/>
                <w14:textFill>
                  <w14:solidFill>
                    <w14:schemeClr w14:val="tx1"/>
                  </w14:solidFill>
                </w14:textFill>
              </w:rPr>
              <w:t>1，1，1，2-四氯乙烷</w:t>
            </w:r>
          </w:p>
        </w:tc>
        <w:tc>
          <w:tcPr>
            <w:tcW w:w="260" w:type="pct"/>
            <w:vAlign w:val="center"/>
          </w:tcPr>
          <w:p w14:paraId="33C91DC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4588AD9E">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vAlign w:val="center"/>
          </w:tcPr>
          <w:p w14:paraId="27795B12">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vAlign w:val="center"/>
          </w:tcPr>
          <w:p w14:paraId="75A77EC1">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tcPr>
          <w:p w14:paraId="35B69B5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397126C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44EA5F0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6E4CD0EE">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r>
      <w:tr w14:paraId="7A8B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33DE49B7">
            <w:pPr>
              <w:pStyle w:val="109"/>
              <w:rPr>
                <w:color w:val="000000" w:themeColor="text1"/>
                <w14:textFill>
                  <w14:solidFill>
                    <w14:schemeClr w14:val="tx1"/>
                  </w14:solidFill>
                </w14:textFill>
              </w:rPr>
            </w:pPr>
            <w:r>
              <w:rPr>
                <w:color w:val="000000" w:themeColor="text1"/>
                <w14:textFill>
                  <w14:solidFill>
                    <w14:schemeClr w14:val="tx1"/>
                  </w14:solidFill>
                </w14:textFill>
              </w:rPr>
              <w:t>乙苯</w:t>
            </w:r>
          </w:p>
        </w:tc>
        <w:tc>
          <w:tcPr>
            <w:tcW w:w="260" w:type="pct"/>
            <w:vAlign w:val="center"/>
          </w:tcPr>
          <w:p w14:paraId="71BED2BC">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40A76DA8">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71" w:type="pct"/>
            <w:vAlign w:val="center"/>
          </w:tcPr>
          <w:p w14:paraId="7226AD81">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71" w:type="pct"/>
            <w:vAlign w:val="center"/>
          </w:tcPr>
          <w:p w14:paraId="50DB2825">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71" w:type="pct"/>
          </w:tcPr>
          <w:p w14:paraId="029FFE1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4EE297D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5E8A9E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29CB626E">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75B0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4870823">
            <w:pPr>
              <w:pStyle w:val="109"/>
              <w:rPr>
                <w:color w:val="000000" w:themeColor="text1"/>
                <w14:textFill>
                  <w14:solidFill>
                    <w14:schemeClr w14:val="tx1"/>
                  </w14:solidFill>
                </w14:textFill>
              </w:rPr>
            </w:pPr>
            <w:r>
              <w:rPr>
                <w:color w:val="000000" w:themeColor="text1"/>
                <w14:textFill>
                  <w14:solidFill>
                    <w14:schemeClr w14:val="tx1"/>
                  </w14:solidFill>
                </w14:textFill>
              </w:rPr>
              <w:t>间，对-二甲苯</w:t>
            </w:r>
          </w:p>
        </w:tc>
        <w:tc>
          <w:tcPr>
            <w:tcW w:w="260" w:type="pct"/>
            <w:vAlign w:val="center"/>
          </w:tcPr>
          <w:p w14:paraId="2B500533">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37E4513E">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571" w:type="pct"/>
            <w:vAlign w:val="center"/>
          </w:tcPr>
          <w:p w14:paraId="4D0D7796">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571" w:type="pct"/>
            <w:vAlign w:val="center"/>
          </w:tcPr>
          <w:p w14:paraId="18B19AF3">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571" w:type="pct"/>
          </w:tcPr>
          <w:p w14:paraId="70920D8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E1CF4A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7E2FFB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4A77EC49">
            <w:pPr>
              <w:pStyle w:val="109"/>
              <w:rPr>
                <w:color w:val="000000" w:themeColor="text1"/>
                <w14:textFill>
                  <w14:solidFill>
                    <w14:schemeClr w14:val="tx1"/>
                  </w14:solidFill>
                </w14:textFill>
              </w:rPr>
            </w:pPr>
            <w:r>
              <w:rPr>
                <w:color w:val="000000" w:themeColor="text1"/>
                <w14:textFill>
                  <w14:solidFill>
                    <w14:schemeClr w14:val="tx1"/>
                  </w14:solidFill>
                </w14:textFill>
              </w:rPr>
              <w:t>570</w:t>
            </w:r>
          </w:p>
        </w:tc>
      </w:tr>
      <w:tr w14:paraId="0DED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12586F7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邻-二甲苯 </w:t>
            </w:r>
          </w:p>
        </w:tc>
        <w:tc>
          <w:tcPr>
            <w:tcW w:w="260" w:type="pct"/>
            <w:vAlign w:val="center"/>
          </w:tcPr>
          <w:p w14:paraId="65B9DD75">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2671C38C">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71" w:type="pct"/>
            <w:vAlign w:val="center"/>
          </w:tcPr>
          <w:p w14:paraId="756796DE">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71" w:type="pct"/>
            <w:vAlign w:val="center"/>
          </w:tcPr>
          <w:p w14:paraId="2213A7A7">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71" w:type="pct"/>
          </w:tcPr>
          <w:p w14:paraId="671385C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30155B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1542A04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380AB5CE">
            <w:pPr>
              <w:pStyle w:val="109"/>
              <w:rPr>
                <w:color w:val="000000" w:themeColor="text1"/>
                <w14:textFill>
                  <w14:solidFill>
                    <w14:schemeClr w14:val="tx1"/>
                  </w14:solidFill>
                </w14:textFill>
              </w:rPr>
            </w:pPr>
            <w:r>
              <w:rPr>
                <w:color w:val="000000" w:themeColor="text1"/>
                <w14:textFill>
                  <w14:solidFill>
                    <w14:schemeClr w14:val="tx1"/>
                  </w14:solidFill>
                </w14:textFill>
              </w:rPr>
              <w:t>640</w:t>
            </w:r>
          </w:p>
        </w:tc>
      </w:tr>
      <w:tr w14:paraId="04CB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92E215B">
            <w:pPr>
              <w:pStyle w:val="109"/>
              <w:rPr>
                <w:color w:val="000000" w:themeColor="text1"/>
                <w14:textFill>
                  <w14:solidFill>
                    <w14:schemeClr w14:val="tx1"/>
                  </w14:solidFill>
                </w14:textFill>
              </w:rPr>
            </w:pPr>
            <w:r>
              <w:rPr>
                <w:color w:val="000000" w:themeColor="text1"/>
                <w14:textFill>
                  <w14:solidFill>
                    <w14:schemeClr w14:val="tx1"/>
                  </w14:solidFill>
                </w14:textFill>
              </w:rPr>
              <w:t>苯乙烯</w:t>
            </w:r>
          </w:p>
        </w:tc>
        <w:tc>
          <w:tcPr>
            <w:tcW w:w="260" w:type="pct"/>
            <w:vAlign w:val="center"/>
          </w:tcPr>
          <w:p w14:paraId="29C28C68">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27913E49">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71" w:type="pct"/>
            <w:vAlign w:val="center"/>
          </w:tcPr>
          <w:p w14:paraId="0A0F3B75">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71" w:type="pct"/>
            <w:vAlign w:val="center"/>
          </w:tcPr>
          <w:p w14:paraId="0568AF2E">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71" w:type="pct"/>
          </w:tcPr>
          <w:p w14:paraId="1C15299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2EA44D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05F35D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7FA1FF47">
            <w:pPr>
              <w:pStyle w:val="109"/>
              <w:rPr>
                <w:color w:val="000000" w:themeColor="text1"/>
                <w14:textFill>
                  <w14:solidFill>
                    <w14:schemeClr w14:val="tx1"/>
                  </w14:solidFill>
                </w14:textFill>
              </w:rPr>
            </w:pPr>
            <w:r>
              <w:rPr>
                <w:color w:val="000000" w:themeColor="text1"/>
                <w14:textFill>
                  <w14:solidFill>
                    <w14:schemeClr w14:val="tx1"/>
                  </w14:solidFill>
                </w14:textFill>
              </w:rPr>
              <w:t>1290</w:t>
            </w:r>
          </w:p>
        </w:tc>
      </w:tr>
      <w:tr w14:paraId="2648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02E8B390">
            <w:pPr>
              <w:pStyle w:val="109"/>
              <w:rPr>
                <w:color w:val="000000" w:themeColor="text1"/>
                <w14:textFill>
                  <w14:solidFill>
                    <w14:schemeClr w14:val="tx1"/>
                  </w14:solidFill>
                </w14:textFill>
              </w:rPr>
            </w:pPr>
            <w:r>
              <w:rPr>
                <w:color w:val="000000" w:themeColor="text1"/>
                <w14:textFill>
                  <w14:solidFill>
                    <w14:schemeClr w14:val="tx1"/>
                  </w14:solidFill>
                </w14:textFill>
              </w:rPr>
              <w:t>1，1，2，2-四氯乙烷</w:t>
            </w:r>
          </w:p>
        </w:tc>
        <w:tc>
          <w:tcPr>
            <w:tcW w:w="260" w:type="pct"/>
            <w:vAlign w:val="center"/>
          </w:tcPr>
          <w:p w14:paraId="343D3C6F">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2C442CBE">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vAlign w:val="center"/>
          </w:tcPr>
          <w:p w14:paraId="4E754B44">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vAlign w:val="center"/>
          </w:tcPr>
          <w:p w14:paraId="04D54C2B">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tcPr>
          <w:p w14:paraId="05D7C6A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41EC642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4CC3A6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49E9B818">
            <w:pPr>
              <w:pStyle w:val="109"/>
              <w:rPr>
                <w:color w:val="000000" w:themeColor="text1"/>
                <w14:textFill>
                  <w14:solidFill>
                    <w14:schemeClr w14:val="tx1"/>
                  </w14:solidFill>
                </w14:textFill>
              </w:rPr>
            </w:pPr>
            <w:r>
              <w:rPr>
                <w:color w:val="000000" w:themeColor="text1"/>
                <w14:textFill>
                  <w14:solidFill>
                    <w14:schemeClr w14:val="tx1"/>
                  </w14:solidFill>
                </w14:textFill>
              </w:rPr>
              <w:t>6.8</w:t>
            </w:r>
          </w:p>
        </w:tc>
      </w:tr>
      <w:tr w14:paraId="1E87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3D756C3A">
            <w:pPr>
              <w:pStyle w:val="109"/>
              <w:rPr>
                <w:color w:val="000000" w:themeColor="text1"/>
                <w14:textFill>
                  <w14:solidFill>
                    <w14:schemeClr w14:val="tx1"/>
                  </w14:solidFill>
                </w14:textFill>
              </w:rPr>
            </w:pPr>
            <w:r>
              <w:rPr>
                <w:color w:val="000000" w:themeColor="text1"/>
                <w14:textFill>
                  <w14:solidFill>
                    <w14:schemeClr w14:val="tx1"/>
                  </w14:solidFill>
                </w14:textFill>
              </w:rPr>
              <w:t>1，2，3-三氯丙烷</w:t>
            </w:r>
          </w:p>
        </w:tc>
        <w:tc>
          <w:tcPr>
            <w:tcW w:w="260" w:type="pct"/>
            <w:vAlign w:val="center"/>
          </w:tcPr>
          <w:p w14:paraId="5CC5BF1E">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2941B7C5">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vAlign w:val="center"/>
          </w:tcPr>
          <w:p w14:paraId="5933BA2F">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vAlign w:val="center"/>
          </w:tcPr>
          <w:p w14:paraId="307A9111">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tcPr>
          <w:p w14:paraId="691BF38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05B087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F5FB4E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45AD2597">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r>
      <w:tr w14:paraId="2EE8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18C04C3">
            <w:pPr>
              <w:pStyle w:val="109"/>
              <w:rPr>
                <w:color w:val="000000" w:themeColor="text1"/>
                <w14:textFill>
                  <w14:solidFill>
                    <w14:schemeClr w14:val="tx1"/>
                  </w14:solidFill>
                </w14:textFill>
              </w:rPr>
            </w:pPr>
            <w:r>
              <w:rPr>
                <w:color w:val="000000" w:themeColor="text1"/>
                <w14:textFill>
                  <w14:solidFill>
                    <w14:schemeClr w14:val="tx1"/>
                  </w14:solidFill>
                </w14:textFill>
              </w:rPr>
              <w:t>1，4-二氯苯</w:t>
            </w:r>
          </w:p>
        </w:tc>
        <w:tc>
          <w:tcPr>
            <w:tcW w:w="260" w:type="pct"/>
            <w:vAlign w:val="center"/>
          </w:tcPr>
          <w:p w14:paraId="539F9CDB">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2D516C9B">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71" w:type="pct"/>
            <w:vAlign w:val="center"/>
          </w:tcPr>
          <w:p w14:paraId="27C03121">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71" w:type="pct"/>
            <w:vAlign w:val="center"/>
          </w:tcPr>
          <w:p w14:paraId="13298905">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71" w:type="pct"/>
          </w:tcPr>
          <w:p w14:paraId="3B7A49F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D74C86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438BCF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6FB5DCEA">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r>
      <w:tr w14:paraId="6543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3B18D46F">
            <w:pPr>
              <w:pStyle w:val="109"/>
              <w:rPr>
                <w:color w:val="000000" w:themeColor="text1"/>
                <w14:textFill>
                  <w14:solidFill>
                    <w14:schemeClr w14:val="tx1"/>
                  </w14:solidFill>
                </w14:textFill>
              </w:rPr>
            </w:pPr>
            <w:r>
              <w:rPr>
                <w:color w:val="000000" w:themeColor="text1"/>
                <w14:textFill>
                  <w14:solidFill>
                    <w14:schemeClr w14:val="tx1"/>
                  </w14:solidFill>
                </w14:textFill>
              </w:rPr>
              <w:t>1，2-二氯苯</w:t>
            </w:r>
          </w:p>
        </w:tc>
        <w:tc>
          <w:tcPr>
            <w:tcW w:w="260" w:type="pct"/>
            <w:vAlign w:val="center"/>
          </w:tcPr>
          <w:p w14:paraId="429A7BE4">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3B8FC44D">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vAlign w:val="center"/>
          </w:tcPr>
          <w:p w14:paraId="156A9C16">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vAlign w:val="center"/>
          </w:tcPr>
          <w:p w14:paraId="35F2B0DD">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71" w:type="pct"/>
          </w:tcPr>
          <w:p w14:paraId="3A77E2F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44A8E3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B3EE38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16AC263D">
            <w:pPr>
              <w:pStyle w:val="109"/>
              <w:rPr>
                <w:color w:val="000000" w:themeColor="text1"/>
                <w14:textFill>
                  <w14:solidFill>
                    <w14:schemeClr w14:val="tx1"/>
                  </w14:solidFill>
                </w14:textFill>
              </w:rPr>
            </w:pPr>
            <w:r>
              <w:rPr>
                <w:color w:val="000000" w:themeColor="text1"/>
                <w14:textFill>
                  <w14:solidFill>
                    <w14:schemeClr w14:val="tx1"/>
                  </w14:solidFill>
                </w14:textFill>
              </w:rPr>
              <w:t>560</w:t>
            </w:r>
          </w:p>
        </w:tc>
      </w:tr>
      <w:tr w14:paraId="5F00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F05521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氯甲烷 </w:t>
            </w:r>
          </w:p>
        </w:tc>
        <w:tc>
          <w:tcPr>
            <w:tcW w:w="260" w:type="pct"/>
            <w:vAlign w:val="center"/>
          </w:tcPr>
          <w:p w14:paraId="3A2AE8B7">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71" w:type="pct"/>
            <w:vAlign w:val="center"/>
          </w:tcPr>
          <w:p w14:paraId="1B2E7C57">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571" w:type="pct"/>
            <w:vAlign w:val="center"/>
          </w:tcPr>
          <w:p w14:paraId="6164D07F">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571" w:type="pct"/>
            <w:vAlign w:val="center"/>
          </w:tcPr>
          <w:p w14:paraId="739F8F7F">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571" w:type="pct"/>
          </w:tcPr>
          <w:p w14:paraId="4B50E28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90F951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5D7355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0C276956">
            <w:pPr>
              <w:pStyle w:val="109"/>
              <w:rPr>
                <w:color w:val="000000" w:themeColor="text1"/>
                <w14:textFill>
                  <w14:solidFill>
                    <w14:schemeClr w14:val="tx1"/>
                  </w14:solidFill>
                </w14:textFill>
              </w:rPr>
            </w:pPr>
            <w:r>
              <w:rPr>
                <w:color w:val="000000" w:themeColor="text1"/>
                <w14:textFill>
                  <w14:solidFill>
                    <w14:schemeClr w14:val="tx1"/>
                  </w14:solidFill>
                </w14:textFill>
              </w:rPr>
              <w:t>37</w:t>
            </w:r>
          </w:p>
        </w:tc>
      </w:tr>
      <w:tr w14:paraId="4DC3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3C5EDA4C">
            <w:pPr>
              <w:pStyle w:val="109"/>
              <w:rPr>
                <w:color w:val="000000" w:themeColor="text1"/>
                <w14:textFill>
                  <w14:solidFill>
                    <w14:schemeClr w14:val="tx1"/>
                  </w14:solidFill>
                </w14:textFill>
              </w:rPr>
            </w:pPr>
            <w:r>
              <w:rPr>
                <w:color w:val="000000" w:themeColor="text1"/>
                <w14:textFill>
                  <w14:solidFill>
                    <w14:schemeClr w14:val="tx1"/>
                  </w14:solidFill>
                </w14:textFill>
              </w:rPr>
              <w:t>硝基苯</w:t>
            </w:r>
          </w:p>
        </w:tc>
        <w:tc>
          <w:tcPr>
            <w:tcW w:w="260" w:type="pct"/>
            <w:vAlign w:val="center"/>
          </w:tcPr>
          <w:p w14:paraId="1DE97106">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1FA1BDBC">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71" w:type="pct"/>
            <w:vAlign w:val="center"/>
          </w:tcPr>
          <w:p w14:paraId="1AF8A4E0">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71" w:type="pct"/>
            <w:vAlign w:val="center"/>
          </w:tcPr>
          <w:p w14:paraId="4FD9D51B">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71" w:type="pct"/>
          </w:tcPr>
          <w:p w14:paraId="72D13B5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FDE138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59F1DC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2446DE19">
            <w:pPr>
              <w:pStyle w:val="109"/>
              <w:rPr>
                <w:color w:val="000000" w:themeColor="text1"/>
                <w14:textFill>
                  <w14:solidFill>
                    <w14:schemeClr w14:val="tx1"/>
                  </w14:solidFill>
                </w14:textFill>
              </w:rPr>
            </w:pPr>
            <w:r>
              <w:rPr>
                <w:color w:val="000000" w:themeColor="text1"/>
                <w14:textFill>
                  <w14:solidFill>
                    <w14:schemeClr w14:val="tx1"/>
                  </w14:solidFill>
                </w14:textFill>
              </w:rPr>
              <w:t>76</w:t>
            </w:r>
          </w:p>
        </w:tc>
      </w:tr>
      <w:tr w14:paraId="1196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52CB1E04">
            <w:pPr>
              <w:pStyle w:val="109"/>
              <w:rPr>
                <w:color w:val="000000" w:themeColor="text1"/>
                <w14:textFill>
                  <w14:solidFill>
                    <w14:schemeClr w14:val="tx1"/>
                  </w14:solidFill>
                </w14:textFill>
              </w:rPr>
            </w:pPr>
            <w:r>
              <w:rPr>
                <w:color w:val="000000" w:themeColor="text1"/>
                <w14:textFill>
                  <w14:solidFill>
                    <w14:schemeClr w14:val="tx1"/>
                  </w14:solidFill>
                </w14:textFill>
              </w:rPr>
              <w:t>苯胺</w:t>
            </w:r>
          </w:p>
        </w:tc>
        <w:tc>
          <w:tcPr>
            <w:tcW w:w="260" w:type="pct"/>
            <w:vAlign w:val="center"/>
          </w:tcPr>
          <w:p w14:paraId="554B4E8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450F768A">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571" w:type="pct"/>
            <w:vAlign w:val="center"/>
          </w:tcPr>
          <w:p w14:paraId="7D437780">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571" w:type="pct"/>
            <w:vAlign w:val="center"/>
          </w:tcPr>
          <w:p w14:paraId="204C74DE">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571" w:type="pct"/>
          </w:tcPr>
          <w:p w14:paraId="302C3CC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C2510E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5069A5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095B60A3">
            <w:pPr>
              <w:pStyle w:val="109"/>
              <w:rPr>
                <w:color w:val="000000" w:themeColor="text1"/>
                <w14:textFill>
                  <w14:solidFill>
                    <w14:schemeClr w14:val="tx1"/>
                  </w14:solidFill>
                </w14:textFill>
              </w:rPr>
            </w:pPr>
            <w:r>
              <w:rPr>
                <w:color w:val="000000" w:themeColor="text1"/>
                <w14:textFill>
                  <w14:solidFill>
                    <w14:schemeClr w14:val="tx1"/>
                  </w14:solidFill>
                </w14:textFill>
              </w:rPr>
              <w:t>260</w:t>
            </w:r>
          </w:p>
        </w:tc>
      </w:tr>
      <w:tr w14:paraId="019B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6C371D6">
            <w:pPr>
              <w:pStyle w:val="109"/>
              <w:rPr>
                <w:color w:val="000000" w:themeColor="text1"/>
                <w14:textFill>
                  <w14:solidFill>
                    <w14:schemeClr w14:val="tx1"/>
                  </w14:solidFill>
                </w14:textFill>
              </w:rPr>
            </w:pPr>
            <w:r>
              <w:rPr>
                <w:color w:val="000000" w:themeColor="text1"/>
                <w14:textFill>
                  <w14:solidFill>
                    <w14:schemeClr w14:val="tx1"/>
                  </w14:solidFill>
                </w14:textFill>
              </w:rPr>
              <w:t>2-氯苯酚</w:t>
            </w:r>
          </w:p>
        </w:tc>
        <w:tc>
          <w:tcPr>
            <w:tcW w:w="260" w:type="pct"/>
            <w:vAlign w:val="center"/>
          </w:tcPr>
          <w:p w14:paraId="72F30AB6">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70EEDE80">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571" w:type="pct"/>
            <w:vAlign w:val="center"/>
          </w:tcPr>
          <w:p w14:paraId="16DAD468">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571" w:type="pct"/>
            <w:vAlign w:val="center"/>
          </w:tcPr>
          <w:p w14:paraId="64134FA7">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571" w:type="pct"/>
          </w:tcPr>
          <w:p w14:paraId="53E3AA8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0112C3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0DD9546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6586DB63">
            <w:pPr>
              <w:pStyle w:val="109"/>
              <w:rPr>
                <w:color w:val="000000" w:themeColor="text1"/>
                <w14:textFill>
                  <w14:solidFill>
                    <w14:schemeClr w14:val="tx1"/>
                  </w14:solidFill>
                </w14:textFill>
              </w:rPr>
            </w:pPr>
            <w:r>
              <w:rPr>
                <w:color w:val="000000" w:themeColor="text1"/>
                <w14:textFill>
                  <w14:solidFill>
                    <w14:schemeClr w14:val="tx1"/>
                  </w14:solidFill>
                </w14:textFill>
              </w:rPr>
              <w:t>2256</w:t>
            </w:r>
          </w:p>
        </w:tc>
      </w:tr>
      <w:tr w14:paraId="3735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3E5D38A2">
            <w:pPr>
              <w:pStyle w:val="109"/>
              <w:rPr>
                <w:color w:val="000000" w:themeColor="text1"/>
                <w14:textFill>
                  <w14:solidFill>
                    <w14:schemeClr w14:val="tx1"/>
                  </w14:solidFill>
                </w14:textFill>
              </w:rPr>
            </w:pPr>
            <w:r>
              <w:rPr>
                <w:color w:val="000000" w:themeColor="text1"/>
                <w14:textFill>
                  <w14:solidFill>
                    <w14:schemeClr w14:val="tx1"/>
                  </w14:solidFill>
                </w14:textFill>
              </w:rPr>
              <w:t>苯并[a]蒽</w:t>
            </w:r>
          </w:p>
        </w:tc>
        <w:tc>
          <w:tcPr>
            <w:tcW w:w="260" w:type="pct"/>
            <w:vAlign w:val="center"/>
          </w:tcPr>
          <w:p w14:paraId="19527F5D">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0CECCFEE">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73F19953">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16940A61">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tcPr>
          <w:p w14:paraId="485EDD3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A5966B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2C73FB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40E54932">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2FD4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2669B83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苯并[a]芘 </w:t>
            </w:r>
          </w:p>
        </w:tc>
        <w:tc>
          <w:tcPr>
            <w:tcW w:w="260" w:type="pct"/>
            <w:vAlign w:val="center"/>
          </w:tcPr>
          <w:p w14:paraId="40CBC53B">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645A4053">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75628C76">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60B382AD">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tcPr>
          <w:p w14:paraId="61A911C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E1B942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30E562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080B2D46">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2CFA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06066E9D">
            <w:pPr>
              <w:pStyle w:val="109"/>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260" w:type="pct"/>
            <w:vAlign w:val="center"/>
          </w:tcPr>
          <w:p w14:paraId="3FCE3CA6">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65F98E4F">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571" w:type="pct"/>
            <w:vAlign w:val="center"/>
          </w:tcPr>
          <w:p w14:paraId="31D55D05">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571" w:type="pct"/>
            <w:vAlign w:val="center"/>
          </w:tcPr>
          <w:p w14:paraId="615E4701">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571" w:type="pct"/>
          </w:tcPr>
          <w:p w14:paraId="78D6E86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79F692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990CE0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733E02B1">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1BD4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169231BC">
            <w:pPr>
              <w:pStyle w:val="109"/>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260" w:type="pct"/>
            <w:vAlign w:val="center"/>
          </w:tcPr>
          <w:p w14:paraId="018ABC7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426BBE93">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3A7AD57C">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155CD150">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tcPr>
          <w:p w14:paraId="24D6A6A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9C5390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E2996E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1C8E5809">
            <w:pPr>
              <w:pStyle w:val="109"/>
              <w:rPr>
                <w:color w:val="000000" w:themeColor="text1"/>
                <w14:textFill>
                  <w14:solidFill>
                    <w14:schemeClr w14:val="tx1"/>
                  </w14:solidFill>
                </w14:textFill>
              </w:rPr>
            </w:pPr>
            <w:r>
              <w:rPr>
                <w:color w:val="000000" w:themeColor="text1"/>
                <w14:textFill>
                  <w14:solidFill>
                    <w14:schemeClr w14:val="tx1"/>
                  </w14:solidFill>
                </w14:textFill>
              </w:rPr>
              <w:t>151</w:t>
            </w:r>
          </w:p>
        </w:tc>
      </w:tr>
      <w:tr w14:paraId="2E70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324AC817">
            <w:pPr>
              <w:pStyle w:val="109"/>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260" w:type="pct"/>
            <w:vAlign w:val="center"/>
          </w:tcPr>
          <w:p w14:paraId="79EAF158">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4539B8C0">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52717A49">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666D28DF">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tcPr>
          <w:p w14:paraId="04C5D18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3402D0D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B12FB4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523DF86E">
            <w:pPr>
              <w:pStyle w:val="109"/>
              <w:rPr>
                <w:color w:val="000000" w:themeColor="text1"/>
                <w14:textFill>
                  <w14:solidFill>
                    <w14:schemeClr w14:val="tx1"/>
                  </w14:solidFill>
                </w14:textFill>
              </w:rPr>
            </w:pPr>
            <w:r>
              <w:rPr>
                <w:color w:val="000000" w:themeColor="text1"/>
                <w14:textFill>
                  <w14:solidFill>
                    <w14:schemeClr w14:val="tx1"/>
                  </w14:solidFill>
                </w14:textFill>
              </w:rPr>
              <w:t>1293</w:t>
            </w:r>
          </w:p>
        </w:tc>
      </w:tr>
      <w:tr w14:paraId="1414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29E0A6C4">
            <w:pPr>
              <w:pStyle w:val="109"/>
              <w:rPr>
                <w:color w:val="000000" w:themeColor="text1"/>
                <w14:textFill>
                  <w14:solidFill>
                    <w14:schemeClr w14:val="tx1"/>
                  </w14:solidFill>
                </w14:textFill>
              </w:rPr>
            </w:pPr>
            <w:r>
              <w:rPr>
                <w:color w:val="000000" w:themeColor="text1"/>
                <w14:textFill>
                  <w14:solidFill>
                    <w14:schemeClr w14:val="tx1"/>
                  </w14:solidFill>
                </w14:textFill>
              </w:rPr>
              <w:t>二苯并[a，h]蒽</w:t>
            </w:r>
          </w:p>
        </w:tc>
        <w:tc>
          <w:tcPr>
            <w:tcW w:w="260" w:type="pct"/>
            <w:vAlign w:val="center"/>
          </w:tcPr>
          <w:p w14:paraId="2A6A86E5">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53C5C2ED">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64D3DFBA">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2F3AD669">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tcPr>
          <w:p w14:paraId="7F404CF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60D4886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480A80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66BA4C76">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24E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5523418">
            <w:pPr>
              <w:pStyle w:val="109"/>
              <w:rPr>
                <w:color w:val="000000" w:themeColor="text1"/>
                <w14:textFill>
                  <w14:solidFill>
                    <w14:schemeClr w14:val="tx1"/>
                  </w14:solidFill>
                </w14:textFill>
              </w:rPr>
            </w:pPr>
            <w:r>
              <w:rPr>
                <w:color w:val="000000" w:themeColor="text1"/>
                <w14:textFill>
                  <w14:solidFill>
                    <w14:schemeClr w14:val="tx1"/>
                  </w14:solidFill>
                </w14:textFill>
              </w:rPr>
              <w:t>茚并[1，2，3-cd]芘</w:t>
            </w:r>
          </w:p>
        </w:tc>
        <w:tc>
          <w:tcPr>
            <w:tcW w:w="260" w:type="pct"/>
            <w:vAlign w:val="center"/>
          </w:tcPr>
          <w:p w14:paraId="1DA56D57">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6E60564E">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00DBD4EB">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vAlign w:val="center"/>
          </w:tcPr>
          <w:p w14:paraId="0C83E21D">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71" w:type="pct"/>
          </w:tcPr>
          <w:p w14:paraId="3A86227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46E6045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0141678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452E8648">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4C0B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18D267E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萘 </w:t>
            </w:r>
          </w:p>
        </w:tc>
        <w:tc>
          <w:tcPr>
            <w:tcW w:w="260" w:type="pct"/>
            <w:vAlign w:val="center"/>
          </w:tcPr>
          <w:p w14:paraId="5AE83D5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1A851BB4">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71" w:type="pct"/>
            <w:vAlign w:val="center"/>
          </w:tcPr>
          <w:p w14:paraId="7F84829B">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71" w:type="pct"/>
            <w:vAlign w:val="center"/>
          </w:tcPr>
          <w:p w14:paraId="199379AF">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71" w:type="pct"/>
          </w:tcPr>
          <w:p w14:paraId="49AFEE5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7D57492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189F782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38D12F2F">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r>
      <w:tr w14:paraId="12B3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00D10D97">
            <w:pPr>
              <w:pStyle w:val="109"/>
              <w:rPr>
                <w:color w:val="000000" w:themeColor="text1"/>
                <w14:textFill>
                  <w14:solidFill>
                    <w14:schemeClr w14:val="tx1"/>
                  </w14:solidFill>
                </w14:textFill>
              </w:rPr>
            </w:pPr>
            <w:r>
              <w:rPr>
                <w:color w:val="000000" w:themeColor="text1"/>
                <w14:textFill>
                  <w14:solidFill>
                    <w14:schemeClr w14:val="tx1"/>
                  </w14:solidFill>
                </w14:textFill>
              </w:rPr>
              <w:t>pH</w:t>
            </w:r>
          </w:p>
        </w:tc>
        <w:tc>
          <w:tcPr>
            <w:tcW w:w="260" w:type="pct"/>
            <w:vAlign w:val="center"/>
          </w:tcPr>
          <w:p w14:paraId="6F03150C">
            <w:pPr>
              <w:pStyle w:val="109"/>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571" w:type="pct"/>
            <w:vAlign w:val="center"/>
          </w:tcPr>
          <w:p w14:paraId="644B5A3B">
            <w:pPr>
              <w:pStyle w:val="109"/>
              <w:rPr>
                <w:color w:val="000000" w:themeColor="text1"/>
                <w14:textFill>
                  <w14:solidFill>
                    <w14:schemeClr w14:val="tx1"/>
                  </w14:solidFill>
                </w14:textFill>
              </w:rPr>
            </w:pPr>
            <w:r>
              <w:rPr>
                <w:color w:val="000000" w:themeColor="text1"/>
                <w14:textFill>
                  <w14:solidFill>
                    <w14:schemeClr w14:val="tx1"/>
                  </w14:solidFill>
                </w14:textFill>
              </w:rPr>
              <w:t>8.14</w:t>
            </w:r>
          </w:p>
        </w:tc>
        <w:tc>
          <w:tcPr>
            <w:tcW w:w="571" w:type="pct"/>
            <w:vAlign w:val="center"/>
          </w:tcPr>
          <w:p w14:paraId="39D16BF7">
            <w:pPr>
              <w:pStyle w:val="109"/>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571" w:type="pct"/>
            <w:vAlign w:val="center"/>
          </w:tcPr>
          <w:p w14:paraId="3227B71A">
            <w:pPr>
              <w:pStyle w:val="109"/>
              <w:rPr>
                <w:color w:val="000000" w:themeColor="text1"/>
                <w14:textFill>
                  <w14:solidFill>
                    <w14:schemeClr w14:val="tx1"/>
                  </w14:solidFill>
                </w14:textFill>
              </w:rPr>
            </w:pPr>
            <w:r>
              <w:rPr>
                <w:color w:val="000000" w:themeColor="text1"/>
                <w14:textFill>
                  <w14:solidFill>
                    <w14:schemeClr w14:val="tx1"/>
                  </w14:solidFill>
                </w14:textFill>
              </w:rPr>
              <w:t>7.84</w:t>
            </w:r>
          </w:p>
        </w:tc>
        <w:tc>
          <w:tcPr>
            <w:tcW w:w="571" w:type="pct"/>
          </w:tcPr>
          <w:p w14:paraId="38A8282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619337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2FD91BA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370695F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EEB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11DA473B">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260" w:type="pct"/>
            <w:vAlign w:val="center"/>
          </w:tcPr>
          <w:p w14:paraId="7DEB63FE">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4A680501">
            <w:pPr>
              <w:pStyle w:val="109"/>
              <w:rPr>
                <w:color w:val="000000" w:themeColor="text1"/>
                <w14:textFill>
                  <w14:solidFill>
                    <w14:schemeClr w14:val="tx1"/>
                  </w14:solidFill>
                </w14:textFill>
              </w:rPr>
            </w:pPr>
            <w:r>
              <w:rPr>
                <w:color w:val="000000" w:themeColor="text1"/>
                <w14:textFill>
                  <w14:solidFill>
                    <w14:schemeClr w14:val="tx1"/>
                  </w14:solidFill>
                </w14:textFill>
              </w:rPr>
              <w:t>10.1</w:t>
            </w:r>
          </w:p>
        </w:tc>
        <w:tc>
          <w:tcPr>
            <w:tcW w:w="571" w:type="pct"/>
            <w:vAlign w:val="center"/>
          </w:tcPr>
          <w:p w14:paraId="1394C96A">
            <w:pPr>
              <w:pStyle w:val="109"/>
              <w:rPr>
                <w:color w:val="000000" w:themeColor="text1"/>
                <w14:textFill>
                  <w14:solidFill>
                    <w14:schemeClr w14:val="tx1"/>
                  </w14:solidFill>
                </w14:textFill>
              </w:rPr>
            </w:pPr>
            <w:r>
              <w:rPr>
                <w:color w:val="000000" w:themeColor="text1"/>
                <w14:textFill>
                  <w14:solidFill>
                    <w14:schemeClr w14:val="tx1"/>
                  </w14:solidFill>
                </w14:textFill>
              </w:rPr>
              <w:t>9.41</w:t>
            </w:r>
          </w:p>
        </w:tc>
        <w:tc>
          <w:tcPr>
            <w:tcW w:w="571" w:type="pct"/>
            <w:vAlign w:val="center"/>
          </w:tcPr>
          <w:p w14:paraId="4DFF9703">
            <w:pPr>
              <w:pStyle w:val="109"/>
              <w:rPr>
                <w:color w:val="000000" w:themeColor="text1"/>
                <w14:textFill>
                  <w14:solidFill>
                    <w14:schemeClr w14:val="tx1"/>
                  </w14:solidFill>
                </w14:textFill>
              </w:rPr>
            </w:pPr>
            <w:r>
              <w:rPr>
                <w:color w:val="000000" w:themeColor="text1"/>
                <w14:textFill>
                  <w14:solidFill>
                    <w14:schemeClr w14:val="tx1"/>
                  </w14:solidFill>
                </w14:textFill>
              </w:rPr>
              <w:t>7.56</w:t>
            </w:r>
          </w:p>
        </w:tc>
        <w:tc>
          <w:tcPr>
            <w:tcW w:w="571" w:type="pct"/>
            <w:vAlign w:val="bottom"/>
          </w:tcPr>
          <w:p w14:paraId="61512E12">
            <w:pPr>
              <w:pStyle w:val="109"/>
              <w:rPr>
                <w:color w:val="000000" w:themeColor="text1"/>
                <w14:textFill>
                  <w14:solidFill>
                    <w14:schemeClr w14:val="tx1"/>
                  </w14:solidFill>
                </w14:textFill>
              </w:rPr>
            </w:pPr>
            <w:r>
              <w:rPr>
                <w:color w:val="000000" w:themeColor="text1"/>
                <w14:textFill>
                  <w14:solidFill>
                    <w14:schemeClr w14:val="tx1"/>
                  </w14:solidFill>
                </w14:textFill>
              </w:rPr>
              <w:t>1.68E-01</w:t>
            </w:r>
          </w:p>
        </w:tc>
        <w:tc>
          <w:tcPr>
            <w:tcW w:w="571" w:type="pct"/>
            <w:vAlign w:val="bottom"/>
          </w:tcPr>
          <w:p w14:paraId="02615C88">
            <w:pPr>
              <w:pStyle w:val="109"/>
              <w:rPr>
                <w:color w:val="000000" w:themeColor="text1"/>
                <w14:textFill>
                  <w14:solidFill>
                    <w14:schemeClr w14:val="tx1"/>
                  </w14:solidFill>
                </w14:textFill>
              </w:rPr>
            </w:pPr>
            <w:r>
              <w:rPr>
                <w:color w:val="000000" w:themeColor="text1"/>
                <w14:textFill>
                  <w14:solidFill>
                    <w14:schemeClr w14:val="tx1"/>
                  </w14:solidFill>
                </w14:textFill>
              </w:rPr>
              <w:t>1.57E-01</w:t>
            </w:r>
          </w:p>
        </w:tc>
        <w:tc>
          <w:tcPr>
            <w:tcW w:w="571" w:type="pct"/>
            <w:vAlign w:val="bottom"/>
          </w:tcPr>
          <w:p w14:paraId="6C2787C6">
            <w:pPr>
              <w:pStyle w:val="109"/>
              <w:rPr>
                <w:color w:val="000000" w:themeColor="text1"/>
                <w14:textFill>
                  <w14:solidFill>
                    <w14:schemeClr w14:val="tx1"/>
                  </w14:solidFill>
                </w14:textFill>
              </w:rPr>
            </w:pPr>
            <w:r>
              <w:rPr>
                <w:color w:val="000000" w:themeColor="text1"/>
                <w14:textFill>
                  <w14:solidFill>
                    <w14:schemeClr w14:val="tx1"/>
                  </w14:solidFill>
                </w14:textFill>
              </w:rPr>
              <w:t>1.26E-01</w:t>
            </w:r>
          </w:p>
        </w:tc>
        <w:tc>
          <w:tcPr>
            <w:tcW w:w="734" w:type="pct"/>
            <w:vAlign w:val="center"/>
          </w:tcPr>
          <w:p w14:paraId="4390A3E1">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r>
      <w:tr w14:paraId="0EED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54CB7AD6">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260" w:type="pct"/>
            <w:vAlign w:val="center"/>
          </w:tcPr>
          <w:p w14:paraId="1D34417B">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78C0C813">
            <w:pPr>
              <w:pStyle w:val="10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571" w:type="pct"/>
            <w:vAlign w:val="center"/>
          </w:tcPr>
          <w:p w14:paraId="16C86A2E">
            <w:pPr>
              <w:pStyle w:val="109"/>
              <w:rPr>
                <w:color w:val="000000" w:themeColor="text1"/>
                <w14:textFill>
                  <w14:solidFill>
                    <w14:schemeClr w14:val="tx1"/>
                  </w14:solidFill>
                </w14:textFill>
              </w:rPr>
            </w:pPr>
            <w:r>
              <w:rPr>
                <w:color w:val="000000" w:themeColor="text1"/>
                <w14:textFill>
                  <w14:solidFill>
                    <w14:schemeClr w14:val="tx1"/>
                  </w14:solidFill>
                </w14:textFill>
              </w:rPr>
              <w:t>38</w:t>
            </w:r>
          </w:p>
        </w:tc>
        <w:tc>
          <w:tcPr>
            <w:tcW w:w="571" w:type="pct"/>
            <w:vAlign w:val="center"/>
          </w:tcPr>
          <w:p w14:paraId="219E2222">
            <w:pPr>
              <w:pStyle w:val="109"/>
              <w:rPr>
                <w:color w:val="000000" w:themeColor="text1"/>
                <w14:textFill>
                  <w14:solidFill>
                    <w14:schemeClr w14:val="tx1"/>
                  </w14:solidFill>
                </w14:textFill>
              </w:rPr>
            </w:pPr>
            <w:r>
              <w:rPr>
                <w:color w:val="000000" w:themeColor="text1"/>
                <w14:textFill>
                  <w14:solidFill>
                    <w14:schemeClr w14:val="tx1"/>
                  </w14:solidFill>
                </w14:textFill>
              </w:rPr>
              <w:t>34</w:t>
            </w:r>
          </w:p>
        </w:tc>
        <w:tc>
          <w:tcPr>
            <w:tcW w:w="571" w:type="pct"/>
            <w:vAlign w:val="bottom"/>
          </w:tcPr>
          <w:p w14:paraId="4A902767">
            <w:pPr>
              <w:pStyle w:val="109"/>
              <w:rPr>
                <w:color w:val="000000" w:themeColor="text1"/>
                <w14:textFill>
                  <w14:solidFill>
                    <w14:schemeClr w14:val="tx1"/>
                  </w14:solidFill>
                </w14:textFill>
              </w:rPr>
            </w:pPr>
            <w:r>
              <w:rPr>
                <w:color w:val="000000" w:themeColor="text1"/>
                <w14:textFill>
                  <w14:solidFill>
                    <w14:schemeClr w14:val="tx1"/>
                  </w14:solidFill>
                </w14:textFill>
              </w:rPr>
              <w:t>5.25E-02</w:t>
            </w:r>
          </w:p>
        </w:tc>
        <w:tc>
          <w:tcPr>
            <w:tcW w:w="571" w:type="pct"/>
            <w:vAlign w:val="bottom"/>
          </w:tcPr>
          <w:p w14:paraId="174464F9">
            <w:pPr>
              <w:pStyle w:val="109"/>
              <w:rPr>
                <w:color w:val="000000" w:themeColor="text1"/>
                <w14:textFill>
                  <w14:solidFill>
                    <w14:schemeClr w14:val="tx1"/>
                  </w14:solidFill>
                </w14:textFill>
              </w:rPr>
            </w:pPr>
            <w:r>
              <w:rPr>
                <w:color w:val="000000" w:themeColor="text1"/>
                <w14:textFill>
                  <w14:solidFill>
                    <w14:schemeClr w14:val="tx1"/>
                  </w14:solidFill>
                </w14:textFill>
              </w:rPr>
              <w:t>4.75E-02</w:t>
            </w:r>
          </w:p>
        </w:tc>
        <w:tc>
          <w:tcPr>
            <w:tcW w:w="571" w:type="pct"/>
            <w:vAlign w:val="bottom"/>
          </w:tcPr>
          <w:p w14:paraId="35E27408">
            <w:pPr>
              <w:pStyle w:val="109"/>
              <w:rPr>
                <w:color w:val="000000" w:themeColor="text1"/>
                <w14:textFill>
                  <w14:solidFill>
                    <w14:schemeClr w14:val="tx1"/>
                  </w14:solidFill>
                </w14:textFill>
              </w:rPr>
            </w:pPr>
            <w:r>
              <w:rPr>
                <w:color w:val="000000" w:themeColor="text1"/>
                <w14:textFill>
                  <w14:solidFill>
                    <w14:schemeClr w14:val="tx1"/>
                  </w14:solidFill>
                </w14:textFill>
              </w:rPr>
              <w:t>4.25E-02</w:t>
            </w:r>
          </w:p>
        </w:tc>
        <w:tc>
          <w:tcPr>
            <w:tcW w:w="734" w:type="pct"/>
            <w:vAlign w:val="center"/>
          </w:tcPr>
          <w:p w14:paraId="4B8A2D00">
            <w:pPr>
              <w:pStyle w:val="109"/>
              <w:rPr>
                <w:color w:val="000000" w:themeColor="text1"/>
                <w14:textFill>
                  <w14:solidFill>
                    <w14:schemeClr w14:val="tx1"/>
                  </w14:solidFill>
                </w14:textFill>
              </w:rPr>
            </w:pPr>
            <w:r>
              <w:rPr>
                <w:color w:val="000000" w:themeColor="text1"/>
                <w14:textFill>
                  <w14:solidFill>
                    <w14:schemeClr w14:val="tx1"/>
                  </w14:solidFill>
                </w14:textFill>
              </w:rPr>
              <w:t>800</w:t>
            </w:r>
          </w:p>
        </w:tc>
      </w:tr>
      <w:tr w14:paraId="52D4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3B12274E">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260" w:type="pct"/>
            <w:vAlign w:val="center"/>
          </w:tcPr>
          <w:p w14:paraId="427ABD31">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79B8E32E">
            <w:pPr>
              <w:pStyle w:val="109"/>
              <w:rPr>
                <w:color w:val="000000" w:themeColor="text1"/>
                <w14:textFill>
                  <w14:solidFill>
                    <w14:schemeClr w14:val="tx1"/>
                  </w14:solidFill>
                </w14:textFill>
              </w:rPr>
            </w:pPr>
            <w:r>
              <w:rPr>
                <w:color w:val="000000" w:themeColor="text1"/>
                <w14:textFill>
                  <w14:solidFill>
                    <w14:schemeClr w14:val="tx1"/>
                  </w14:solidFill>
                </w14:textFill>
              </w:rPr>
              <w:t>0.082</w:t>
            </w:r>
          </w:p>
        </w:tc>
        <w:tc>
          <w:tcPr>
            <w:tcW w:w="571" w:type="pct"/>
            <w:vAlign w:val="center"/>
          </w:tcPr>
          <w:p w14:paraId="44F04882">
            <w:pPr>
              <w:pStyle w:val="109"/>
              <w:rPr>
                <w:color w:val="000000" w:themeColor="text1"/>
                <w14:textFill>
                  <w14:solidFill>
                    <w14:schemeClr w14:val="tx1"/>
                  </w14:solidFill>
                </w14:textFill>
              </w:rPr>
            </w:pPr>
            <w:r>
              <w:rPr>
                <w:color w:val="000000" w:themeColor="text1"/>
                <w14:textFill>
                  <w14:solidFill>
                    <w14:schemeClr w14:val="tx1"/>
                  </w14:solidFill>
                </w14:textFill>
              </w:rPr>
              <w:t>0.069</w:t>
            </w:r>
          </w:p>
        </w:tc>
        <w:tc>
          <w:tcPr>
            <w:tcW w:w="571" w:type="pct"/>
            <w:vAlign w:val="center"/>
          </w:tcPr>
          <w:p w14:paraId="511A732D">
            <w:pPr>
              <w:pStyle w:val="109"/>
              <w:rPr>
                <w:color w:val="000000" w:themeColor="text1"/>
                <w14:textFill>
                  <w14:solidFill>
                    <w14:schemeClr w14:val="tx1"/>
                  </w14:solidFill>
                </w14:textFill>
              </w:rPr>
            </w:pPr>
            <w:r>
              <w:rPr>
                <w:color w:val="000000" w:themeColor="text1"/>
                <w14:textFill>
                  <w14:solidFill>
                    <w14:schemeClr w14:val="tx1"/>
                  </w14:solidFill>
                </w14:textFill>
              </w:rPr>
              <w:t>0.055</w:t>
            </w:r>
          </w:p>
        </w:tc>
        <w:tc>
          <w:tcPr>
            <w:tcW w:w="571" w:type="pct"/>
            <w:vAlign w:val="bottom"/>
          </w:tcPr>
          <w:p w14:paraId="7EC157EA">
            <w:pPr>
              <w:pStyle w:val="109"/>
              <w:rPr>
                <w:color w:val="000000" w:themeColor="text1"/>
                <w14:textFill>
                  <w14:solidFill>
                    <w14:schemeClr w14:val="tx1"/>
                  </w14:solidFill>
                </w14:textFill>
              </w:rPr>
            </w:pPr>
            <w:r>
              <w:rPr>
                <w:color w:val="000000" w:themeColor="text1"/>
                <w14:textFill>
                  <w14:solidFill>
                    <w14:schemeClr w14:val="tx1"/>
                  </w14:solidFill>
                </w14:textFill>
              </w:rPr>
              <w:t>2.16E-03</w:t>
            </w:r>
          </w:p>
        </w:tc>
        <w:tc>
          <w:tcPr>
            <w:tcW w:w="571" w:type="pct"/>
            <w:vAlign w:val="bottom"/>
          </w:tcPr>
          <w:p w14:paraId="5A56B2A7">
            <w:pPr>
              <w:pStyle w:val="109"/>
              <w:rPr>
                <w:color w:val="000000" w:themeColor="text1"/>
                <w14:textFill>
                  <w14:solidFill>
                    <w14:schemeClr w14:val="tx1"/>
                  </w14:solidFill>
                </w14:textFill>
              </w:rPr>
            </w:pPr>
            <w:r>
              <w:rPr>
                <w:color w:val="000000" w:themeColor="text1"/>
                <w14:textFill>
                  <w14:solidFill>
                    <w14:schemeClr w14:val="tx1"/>
                  </w14:solidFill>
                </w14:textFill>
              </w:rPr>
              <w:t>1.82E-03</w:t>
            </w:r>
          </w:p>
        </w:tc>
        <w:tc>
          <w:tcPr>
            <w:tcW w:w="571" w:type="pct"/>
            <w:vAlign w:val="bottom"/>
          </w:tcPr>
          <w:p w14:paraId="4B109A3E">
            <w:pPr>
              <w:pStyle w:val="109"/>
              <w:rPr>
                <w:color w:val="000000" w:themeColor="text1"/>
                <w14:textFill>
                  <w14:solidFill>
                    <w14:schemeClr w14:val="tx1"/>
                  </w14:solidFill>
                </w14:textFill>
              </w:rPr>
            </w:pPr>
            <w:r>
              <w:rPr>
                <w:color w:val="000000" w:themeColor="text1"/>
                <w14:textFill>
                  <w14:solidFill>
                    <w14:schemeClr w14:val="tx1"/>
                  </w14:solidFill>
                </w14:textFill>
              </w:rPr>
              <w:t>1.45E-03</w:t>
            </w:r>
          </w:p>
        </w:tc>
        <w:tc>
          <w:tcPr>
            <w:tcW w:w="734" w:type="pct"/>
            <w:vAlign w:val="center"/>
          </w:tcPr>
          <w:p w14:paraId="56FA13BD">
            <w:pPr>
              <w:pStyle w:val="109"/>
              <w:rPr>
                <w:color w:val="000000" w:themeColor="text1"/>
                <w14:textFill>
                  <w14:solidFill>
                    <w14:schemeClr w14:val="tx1"/>
                  </w14:solidFill>
                </w14:textFill>
              </w:rPr>
            </w:pPr>
            <w:r>
              <w:rPr>
                <w:color w:val="000000" w:themeColor="text1"/>
                <w14:textFill>
                  <w14:solidFill>
                    <w14:schemeClr w14:val="tx1"/>
                  </w14:solidFill>
                </w14:textFill>
              </w:rPr>
              <w:t>38</w:t>
            </w:r>
          </w:p>
        </w:tc>
      </w:tr>
      <w:tr w14:paraId="5210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2F754AB9">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260" w:type="pct"/>
            <w:vAlign w:val="center"/>
          </w:tcPr>
          <w:p w14:paraId="41C05C52">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0BA289B6">
            <w:pPr>
              <w:pStyle w:val="109"/>
              <w:rPr>
                <w:color w:val="000000" w:themeColor="text1"/>
                <w14:textFill>
                  <w14:solidFill>
                    <w14:schemeClr w14:val="tx1"/>
                  </w14:solidFill>
                </w14:textFill>
              </w:rPr>
            </w:pPr>
            <w:r>
              <w:rPr>
                <w:color w:val="000000" w:themeColor="text1"/>
                <w14:textFill>
                  <w14:solidFill>
                    <w14:schemeClr w14:val="tx1"/>
                  </w14:solidFill>
                </w14:textFill>
              </w:rPr>
              <w:t>0.42</w:t>
            </w:r>
          </w:p>
        </w:tc>
        <w:tc>
          <w:tcPr>
            <w:tcW w:w="571" w:type="pct"/>
            <w:vAlign w:val="center"/>
          </w:tcPr>
          <w:p w14:paraId="7589CF60">
            <w:pPr>
              <w:pStyle w:val="109"/>
              <w:rPr>
                <w:color w:val="000000" w:themeColor="text1"/>
                <w14:textFill>
                  <w14:solidFill>
                    <w14:schemeClr w14:val="tx1"/>
                  </w14:solidFill>
                </w14:textFill>
              </w:rPr>
            </w:pPr>
            <w:r>
              <w:rPr>
                <w:color w:val="000000" w:themeColor="text1"/>
                <w14:textFill>
                  <w14:solidFill>
                    <w14:schemeClr w14:val="tx1"/>
                  </w14:solidFill>
                </w14:textFill>
              </w:rPr>
              <w:t>0.32</w:t>
            </w:r>
          </w:p>
        </w:tc>
        <w:tc>
          <w:tcPr>
            <w:tcW w:w="571" w:type="pct"/>
            <w:vAlign w:val="center"/>
          </w:tcPr>
          <w:p w14:paraId="42E581EC">
            <w:pPr>
              <w:pStyle w:val="109"/>
              <w:rPr>
                <w:color w:val="000000" w:themeColor="text1"/>
                <w14:textFill>
                  <w14:solidFill>
                    <w14:schemeClr w14:val="tx1"/>
                  </w14:solidFill>
                </w14:textFill>
              </w:rPr>
            </w:pPr>
            <w:r>
              <w:rPr>
                <w:color w:val="000000" w:themeColor="text1"/>
                <w14:textFill>
                  <w14:solidFill>
                    <w14:schemeClr w14:val="tx1"/>
                  </w14:solidFill>
                </w14:textFill>
              </w:rPr>
              <w:t>0.28</w:t>
            </w:r>
          </w:p>
        </w:tc>
        <w:tc>
          <w:tcPr>
            <w:tcW w:w="571" w:type="pct"/>
            <w:vAlign w:val="bottom"/>
          </w:tcPr>
          <w:p w14:paraId="79B611DF">
            <w:pPr>
              <w:pStyle w:val="109"/>
              <w:rPr>
                <w:color w:val="000000" w:themeColor="text1"/>
                <w14:textFill>
                  <w14:solidFill>
                    <w14:schemeClr w14:val="tx1"/>
                  </w14:solidFill>
                </w14:textFill>
              </w:rPr>
            </w:pPr>
            <w:r>
              <w:rPr>
                <w:color w:val="000000" w:themeColor="text1"/>
                <w14:textFill>
                  <w14:solidFill>
                    <w14:schemeClr w14:val="tx1"/>
                  </w14:solidFill>
                </w14:textFill>
              </w:rPr>
              <w:t>6.46E-03</w:t>
            </w:r>
          </w:p>
        </w:tc>
        <w:tc>
          <w:tcPr>
            <w:tcW w:w="571" w:type="pct"/>
            <w:vAlign w:val="bottom"/>
          </w:tcPr>
          <w:p w14:paraId="58D8A1BB">
            <w:pPr>
              <w:pStyle w:val="109"/>
              <w:rPr>
                <w:color w:val="000000" w:themeColor="text1"/>
                <w14:textFill>
                  <w14:solidFill>
                    <w14:schemeClr w14:val="tx1"/>
                  </w14:solidFill>
                </w14:textFill>
              </w:rPr>
            </w:pPr>
            <w:r>
              <w:rPr>
                <w:color w:val="000000" w:themeColor="text1"/>
                <w14:textFill>
                  <w14:solidFill>
                    <w14:schemeClr w14:val="tx1"/>
                  </w14:solidFill>
                </w14:textFill>
              </w:rPr>
              <w:t>4.92E-03</w:t>
            </w:r>
          </w:p>
        </w:tc>
        <w:tc>
          <w:tcPr>
            <w:tcW w:w="571" w:type="pct"/>
            <w:vAlign w:val="bottom"/>
          </w:tcPr>
          <w:p w14:paraId="09C15762">
            <w:pPr>
              <w:pStyle w:val="109"/>
              <w:rPr>
                <w:color w:val="000000" w:themeColor="text1"/>
                <w14:textFill>
                  <w14:solidFill>
                    <w14:schemeClr w14:val="tx1"/>
                  </w14:solidFill>
                </w14:textFill>
              </w:rPr>
            </w:pPr>
            <w:r>
              <w:rPr>
                <w:color w:val="000000" w:themeColor="text1"/>
                <w14:textFill>
                  <w14:solidFill>
                    <w14:schemeClr w14:val="tx1"/>
                  </w14:solidFill>
                </w14:textFill>
              </w:rPr>
              <w:t>4.31E-03</w:t>
            </w:r>
          </w:p>
        </w:tc>
        <w:tc>
          <w:tcPr>
            <w:tcW w:w="734" w:type="pct"/>
            <w:vAlign w:val="center"/>
          </w:tcPr>
          <w:p w14:paraId="5941F2E9">
            <w:pPr>
              <w:pStyle w:val="109"/>
              <w:rPr>
                <w:color w:val="000000" w:themeColor="text1"/>
                <w14:textFill>
                  <w14:solidFill>
                    <w14:schemeClr w14:val="tx1"/>
                  </w14:solidFill>
                </w14:textFill>
              </w:rPr>
            </w:pPr>
            <w:r>
              <w:rPr>
                <w:color w:val="000000" w:themeColor="text1"/>
                <w14:textFill>
                  <w14:solidFill>
                    <w14:schemeClr w14:val="tx1"/>
                  </w14:solidFill>
                </w14:textFill>
              </w:rPr>
              <w:t>65</w:t>
            </w:r>
          </w:p>
        </w:tc>
      </w:tr>
      <w:tr w14:paraId="40F1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692A2CDE">
            <w:pPr>
              <w:pStyle w:val="109"/>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260" w:type="pct"/>
            <w:vAlign w:val="center"/>
          </w:tcPr>
          <w:p w14:paraId="120823C8">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5D516F0B">
            <w:pPr>
              <w:pStyle w:val="109"/>
              <w:rPr>
                <w:color w:val="000000" w:themeColor="text1"/>
                <w14:textFill>
                  <w14:solidFill>
                    <w14:schemeClr w14:val="tx1"/>
                  </w14:solidFill>
                </w14:textFill>
              </w:rPr>
            </w:pPr>
            <w:r>
              <w:rPr>
                <w:color w:val="000000" w:themeColor="text1"/>
                <w14:textFill>
                  <w14:solidFill>
                    <w14:schemeClr w14:val="tx1"/>
                  </w14:solidFill>
                </w14:textFill>
              </w:rPr>
              <w:t>29</w:t>
            </w:r>
          </w:p>
        </w:tc>
        <w:tc>
          <w:tcPr>
            <w:tcW w:w="571" w:type="pct"/>
            <w:vAlign w:val="center"/>
          </w:tcPr>
          <w:p w14:paraId="181DEC77">
            <w:pPr>
              <w:pStyle w:val="109"/>
              <w:rPr>
                <w:color w:val="000000" w:themeColor="text1"/>
                <w14:textFill>
                  <w14:solidFill>
                    <w14:schemeClr w14:val="tx1"/>
                  </w14:solidFill>
                </w14:textFill>
              </w:rPr>
            </w:pPr>
            <w:r>
              <w:rPr>
                <w:color w:val="000000" w:themeColor="text1"/>
                <w14:textFill>
                  <w14:solidFill>
                    <w14:schemeClr w14:val="tx1"/>
                  </w14:solidFill>
                </w14:textFill>
              </w:rPr>
              <w:t>26</w:t>
            </w:r>
          </w:p>
        </w:tc>
        <w:tc>
          <w:tcPr>
            <w:tcW w:w="571" w:type="pct"/>
            <w:vAlign w:val="center"/>
          </w:tcPr>
          <w:p w14:paraId="4F05412F">
            <w:pPr>
              <w:pStyle w:val="109"/>
              <w:rPr>
                <w:color w:val="000000" w:themeColor="text1"/>
                <w14:textFill>
                  <w14:solidFill>
                    <w14:schemeClr w14:val="tx1"/>
                  </w14:solidFill>
                </w14:textFill>
              </w:rPr>
            </w:pPr>
            <w:r>
              <w:rPr>
                <w:color w:val="000000" w:themeColor="text1"/>
                <w14:textFill>
                  <w14:solidFill>
                    <w14:schemeClr w14:val="tx1"/>
                  </w14:solidFill>
                </w14:textFill>
              </w:rPr>
              <w:t>23</w:t>
            </w:r>
          </w:p>
        </w:tc>
        <w:tc>
          <w:tcPr>
            <w:tcW w:w="571" w:type="pct"/>
            <w:vAlign w:val="bottom"/>
          </w:tcPr>
          <w:p w14:paraId="17A28B82">
            <w:pPr>
              <w:pStyle w:val="109"/>
              <w:rPr>
                <w:color w:val="000000" w:themeColor="text1"/>
                <w14:textFill>
                  <w14:solidFill>
                    <w14:schemeClr w14:val="tx1"/>
                  </w14:solidFill>
                </w14:textFill>
              </w:rPr>
            </w:pPr>
            <w:r>
              <w:rPr>
                <w:color w:val="000000" w:themeColor="text1"/>
                <w14:textFill>
                  <w14:solidFill>
                    <w14:schemeClr w14:val="tx1"/>
                  </w14:solidFill>
                </w14:textFill>
              </w:rPr>
              <w:t>1.61E-03</w:t>
            </w:r>
          </w:p>
        </w:tc>
        <w:tc>
          <w:tcPr>
            <w:tcW w:w="571" w:type="pct"/>
            <w:vAlign w:val="bottom"/>
          </w:tcPr>
          <w:p w14:paraId="51CEAF20">
            <w:pPr>
              <w:pStyle w:val="109"/>
              <w:rPr>
                <w:color w:val="000000" w:themeColor="text1"/>
                <w14:textFill>
                  <w14:solidFill>
                    <w14:schemeClr w14:val="tx1"/>
                  </w14:solidFill>
                </w14:textFill>
              </w:rPr>
            </w:pPr>
            <w:r>
              <w:rPr>
                <w:color w:val="000000" w:themeColor="text1"/>
                <w14:textFill>
                  <w14:solidFill>
                    <w14:schemeClr w14:val="tx1"/>
                  </w14:solidFill>
                </w14:textFill>
              </w:rPr>
              <w:t>1.44E-03</w:t>
            </w:r>
          </w:p>
        </w:tc>
        <w:tc>
          <w:tcPr>
            <w:tcW w:w="571" w:type="pct"/>
            <w:vAlign w:val="bottom"/>
          </w:tcPr>
          <w:p w14:paraId="0121419C">
            <w:pPr>
              <w:pStyle w:val="109"/>
              <w:rPr>
                <w:color w:val="000000" w:themeColor="text1"/>
                <w14:textFill>
                  <w14:solidFill>
                    <w14:schemeClr w14:val="tx1"/>
                  </w14:solidFill>
                </w14:textFill>
              </w:rPr>
            </w:pPr>
            <w:r>
              <w:rPr>
                <w:color w:val="000000" w:themeColor="text1"/>
                <w14:textFill>
                  <w14:solidFill>
                    <w14:schemeClr w14:val="tx1"/>
                  </w14:solidFill>
                </w14:textFill>
              </w:rPr>
              <w:t>1.28E-03</w:t>
            </w:r>
          </w:p>
        </w:tc>
        <w:tc>
          <w:tcPr>
            <w:tcW w:w="734" w:type="pct"/>
            <w:vAlign w:val="center"/>
          </w:tcPr>
          <w:p w14:paraId="73DEAF1F">
            <w:pPr>
              <w:pStyle w:val="109"/>
              <w:rPr>
                <w:color w:val="000000" w:themeColor="text1"/>
                <w14:textFill>
                  <w14:solidFill>
                    <w14:schemeClr w14:val="tx1"/>
                  </w14:solidFill>
                </w14:textFill>
              </w:rPr>
            </w:pPr>
            <w:r>
              <w:rPr>
                <w:color w:val="000000" w:themeColor="text1"/>
                <w14:textFill>
                  <w14:solidFill>
                    <w14:schemeClr w14:val="tx1"/>
                  </w14:solidFill>
                </w14:textFill>
              </w:rPr>
              <w:t>18000</w:t>
            </w:r>
          </w:p>
        </w:tc>
      </w:tr>
      <w:tr w14:paraId="00C0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00639248">
            <w:pPr>
              <w:pStyle w:val="109"/>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260" w:type="pct"/>
            <w:vAlign w:val="center"/>
          </w:tcPr>
          <w:p w14:paraId="06EF77D3">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2BD49ED0">
            <w:pPr>
              <w:pStyle w:val="109"/>
              <w:rPr>
                <w:color w:val="000000" w:themeColor="text1"/>
                <w14:textFill>
                  <w14:solidFill>
                    <w14:schemeClr w14:val="tx1"/>
                  </w14:solidFill>
                </w14:textFill>
              </w:rPr>
            </w:pPr>
            <w:r>
              <w:rPr>
                <w:color w:val="000000" w:themeColor="text1"/>
                <w14:textFill>
                  <w14:solidFill>
                    <w14:schemeClr w14:val="tx1"/>
                  </w14:solidFill>
                </w14:textFill>
              </w:rPr>
              <w:t>48</w:t>
            </w:r>
          </w:p>
        </w:tc>
        <w:tc>
          <w:tcPr>
            <w:tcW w:w="571" w:type="pct"/>
            <w:vAlign w:val="center"/>
          </w:tcPr>
          <w:p w14:paraId="16DD6C85">
            <w:pPr>
              <w:pStyle w:val="109"/>
              <w:rPr>
                <w:color w:val="000000" w:themeColor="text1"/>
                <w14:textFill>
                  <w14:solidFill>
                    <w14:schemeClr w14:val="tx1"/>
                  </w14:solidFill>
                </w14:textFill>
              </w:rPr>
            </w:pPr>
            <w:r>
              <w:rPr>
                <w:color w:val="000000" w:themeColor="text1"/>
                <w14:textFill>
                  <w14:solidFill>
                    <w14:schemeClr w14:val="tx1"/>
                  </w14:solidFill>
                </w14:textFill>
              </w:rPr>
              <w:t>41</w:t>
            </w:r>
          </w:p>
        </w:tc>
        <w:tc>
          <w:tcPr>
            <w:tcW w:w="571" w:type="pct"/>
            <w:vAlign w:val="center"/>
          </w:tcPr>
          <w:p w14:paraId="4798E22D">
            <w:pPr>
              <w:pStyle w:val="109"/>
              <w:rPr>
                <w:color w:val="000000" w:themeColor="text1"/>
                <w14:textFill>
                  <w14:solidFill>
                    <w14:schemeClr w14:val="tx1"/>
                  </w14:solidFill>
                </w14:textFill>
              </w:rPr>
            </w:pPr>
            <w:r>
              <w:rPr>
                <w:color w:val="000000" w:themeColor="text1"/>
                <w14:textFill>
                  <w14:solidFill>
                    <w14:schemeClr w14:val="tx1"/>
                  </w14:solidFill>
                </w14:textFill>
              </w:rPr>
              <w:t>35</w:t>
            </w:r>
          </w:p>
        </w:tc>
        <w:tc>
          <w:tcPr>
            <w:tcW w:w="571" w:type="pct"/>
            <w:vAlign w:val="bottom"/>
          </w:tcPr>
          <w:p w14:paraId="4F29AEDA">
            <w:pPr>
              <w:pStyle w:val="109"/>
              <w:rPr>
                <w:color w:val="000000" w:themeColor="text1"/>
                <w14:textFill>
                  <w14:solidFill>
                    <w14:schemeClr w14:val="tx1"/>
                  </w14:solidFill>
                </w14:textFill>
              </w:rPr>
            </w:pPr>
            <w:r>
              <w:rPr>
                <w:color w:val="000000" w:themeColor="text1"/>
                <w14:textFill>
                  <w14:solidFill>
                    <w14:schemeClr w14:val="tx1"/>
                  </w14:solidFill>
                </w14:textFill>
              </w:rPr>
              <w:t>5.33E-02</w:t>
            </w:r>
          </w:p>
        </w:tc>
        <w:tc>
          <w:tcPr>
            <w:tcW w:w="571" w:type="pct"/>
            <w:vAlign w:val="bottom"/>
          </w:tcPr>
          <w:p w14:paraId="0D25C2E8">
            <w:pPr>
              <w:pStyle w:val="109"/>
              <w:rPr>
                <w:color w:val="000000" w:themeColor="text1"/>
                <w14:textFill>
                  <w14:solidFill>
                    <w14:schemeClr w14:val="tx1"/>
                  </w14:solidFill>
                </w14:textFill>
              </w:rPr>
            </w:pPr>
            <w:r>
              <w:rPr>
                <w:color w:val="000000" w:themeColor="text1"/>
                <w14:textFill>
                  <w14:solidFill>
                    <w14:schemeClr w14:val="tx1"/>
                  </w14:solidFill>
                </w14:textFill>
              </w:rPr>
              <w:t>4.56E-02</w:t>
            </w:r>
          </w:p>
        </w:tc>
        <w:tc>
          <w:tcPr>
            <w:tcW w:w="571" w:type="pct"/>
            <w:vAlign w:val="bottom"/>
          </w:tcPr>
          <w:p w14:paraId="7CB2EC5C">
            <w:pPr>
              <w:pStyle w:val="109"/>
              <w:rPr>
                <w:color w:val="000000" w:themeColor="text1"/>
                <w14:textFill>
                  <w14:solidFill>
                    <w14:schemeClr w14:val="tx1"/>
                  </w14:solidFill>
                </w14:textFill>
              </w:rPr>
            </w:pPr>
            <w:r>
              <w:rPr>
                <w:color w:val="000000" w:themeColor="text1"/>
                <w14:textFill>
                  <w14:solidFill>
                    <w14:schemeClr w14:val="tx1"/>
                  </w14:solidFill>
                </w14:textFill>
              </w:rPr>
              <w:t>3.89E-02</w:t>
            </w:r>
          </w:p>
        </w:tc>
        <w:tc>
          <w:tcPr>
            <w:tcW w:w="734" w:type="pct"/>
            <w:vAlign w:val="center"/>
          </w:tcPr>
          <w:p w14:paraId="77227A75">
            <w:pPr>
              <w:pStyle w:val="109"/>
              <w:rPr>
                <w:color w:val="000000" w:themeColor="text1"/>
                <w14:textFill>
                  <w14:solidFill>
                    <w14:schemeClr w14:val="tx1"/>
                  </w14:solidFill>
                </w14:textFill>
              </w:rPr>
            </w:pPr>
            <w:r>
              <w:rPr>
                <w:color w:val="000000" w:themeColor="text1"/>
                <w14:textFill>
                  <w14:solidFill>
                    <w14:schemeClr w14:val="tx1"/>
                  </w14:solidFill>
                </w14:textFill>
              </w:rPr>
              <w:t>900</w:t>
            </w:r>
          </w:p>
        </w:tc>
      </w:tr>
      <w:tr w14:paraId="7F92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573" w:type="pct"/>
            <w:vAlign w:val="center"/>
          </w:tcPr>
          <w:p w14:paraId="0000B59C">
            <w:pPr>
              <w:pStyle w:val="109"/>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260" w:type="pct"/>
            <w:vAlign w:val="center"/>
          </w:tcPr>
          <w:p w14:paraId="3643DD2B">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71" w:type="pct"/>
            <w:vAlign w:val="center"/>
          </w:tcPr>
          <w:p w14:paraId="64888223">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571" w:type="pct"/>
            <w:vAlign w:val="center"/>
          </w:tcPr>
          <w:p w14:paraId="63F55F71">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571" w:type="pct"/>
            <w:vAlign w:val="center"/>
          </w:tcPr>
          <w:p w14:paraId="575B4D03">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571" w:type="pct"/>
          </w:tcPr>
          <w:p w14:paraId="64A6598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5CC6AB3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71" w:type="pct"/>
          </w:tcPr>
          <w:p w14:paraId="4CA48A1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34" w:type="pct"/>
            <w:vAlign w:val="center"/>
          </w:tcPr>
          <w:p w14:paraId="5F529E5F">
            <w:pPr>
              <w:pStyle w:val="109"/>
              <w:rPr>
                <w:color w:val="000000" w:themeColor="text1"/>
                <w14:textFill>
                  <w14:solidFill>
                    <w14:schemeClr w14:val="tx1"/>
                  </w14:solidFill>
                </w14:textFill>
              </w:rPr>
            </w:pPr>
            <w:r>
              <w:rPr>
                <w:color w:val="000000" w:themeColor="text1"/>
                <w14:textFill>
                  <w14:solidFill>
                    <w14:schemeClr w14:val="tx1"/>
                  </w14:solidFill>
                </w14:textFill>
              </w:rPr>
              <w:t>5.7</w:t>
            </w:r>
          </w:p>
        </w:tc>
      </w:tr>
    </w:tbl>
    <w:p w14:paraId="401796CA">
      <w:pPr>
        <w:ind w:firstLine="480"/>
        <w:rPr>
          <w:color w:val="000000" w:themeColor="text1"/>
          <w14:textFill>
            <w14:solidFill>
              <w14:schemeClr w14:val="tx1"/>
            </w14:solidFill>
          </w14:textFill>
        </w:rPr>
      </w:pPr>
    </w:p>
    <w:p w14:paraId="6400A491">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土壤现状监测结果2（引用）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657"/>
        <w:gridCol w:w="817"/>
        <w:gridCol w:w="1602"/>
        <w:gridCol w:w="1602"/>
        <w:gridCol w:w="1607"/>
        <w:gridCol w:w="1601"/>
        <w:gridCol w:w="1601"/>
        <w:gridCol w:w="1607"/>
        <w:gridCol w:w="2277"/>
      </w:tblGrid>
      <w:tr w14:paraId="76EA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60" w:type="pct"/>
            <w:gridSpan w:val="2"/>
            <w:vAlign w:val="center"/>
          </w:tcPr>
          <w:p w14:paraId="07B62FB6">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557" w:type="pct"/>
            <w:vAlign w:val="center"/>
          </w:tcPr>
          <w:p w14:paraId="73511535">
            <w:pPr>
              <w:pStyle w:val="109"/>
              <w:rPr>
                <w:color w:val="000000" w:themeColor="text1"/>
                <w14:textFill>
                  <w14:solidFill>
                    <w14:schemeClr w14:val="tx1"/>
                  </w14:solidFill>
                </w14:textFill>
              </w:rPr>
            </w:pPr>
            <w:r>
              <w:rPr>
                <w:color w:val="000000" w:themeColor="text1"/>
                <w14:textFill>
                  <w14:solidFill>
                    <w14:schemeClr w14:val="tx1"/>
                  </w14:solidFill>
                </w14:textFill>
              </w:rPr>
              <w:t>TC-2#-1</w:t>
            </w:r>
          </w:p>
        </w:tc>
        <w:tc>
          <w:tcPr>
            <w:tcW w:w="557" w:type="pct"/>
            <w:vAlign w:val="center"/>
          </w:tcPr>
          <w:p w14:paraId="08A78606">
            <w:pPr>
              <w:pStyle w:val="109"/>
              <w:rPr>
                <w:color w:val="000000" w:themeColor="text1"/>
                <w14:textFill>
                  <w14:solidFill>
                    <w14:schemeClr w14:val="tx1"/>
                  </w14:solidFill>
                </w14:textFill>
              </w:rPr>
            </w:pPr>
            <w:r>
              <w:rPr>
                <w:color w:val="000000" w:themeColor="text1"/>
                <w14:textFill>
                  <w14:solidFill>
                    <w14:schemeClr w14:val="tx1"/>
                  </w14:solidFill>
                </w14:textFill>
              </w:rPr>
              <w:t>TC-2#-1-1</w:t>
            </w:r>
          </w:p>
        </w:tc>
        <w:tc>
          <w:tcPr>
            <w:tcW w:w="557" w:type="pct"/>
            <w:vAlign w:val="center"/>
          </w:tcPr>
          <w:p w14:paraId="1DCD39B9">
            <w:pPr>
              <w:pStyle w:val="109"/>
              <w:rPr>
                <w:color w:val="000000" w:themeColor="text1"/>
                <w14:textFill>
                  <w14:solidFill>
                    <w14:schemeClr w14:val="tx1"/>
                  </w14:solidFill>
                </w14:textFill>
              </w:rPr>
            </w:pPr>
            <w:r>
              <w:rPr>
                <w:color w:val="000000" w:themeColor="text1"/>
                <w14:textFill>
                  <w14:solidFill>
                    <w14:schemeClr w14:val="tx1"/>
                  </w14:solidFill>
                </w14:textFill>
              </w:rPr>
              <w:t>TC-2#-1-1-1</w:t>
            </w:r>
          </w:p>
        </w:tc>
        <w:tc>
          <w:tcPr>
            <w:tcW w:w="557" w:type="pct"/>
            <w:vAlign w:val="center"/>
          </w:tcPr>
          <w:p w14:paraId="652C21C1">
            <w:pPr>
              <w:pStyle w:val="109"/>
              <w:rPr>
                <w:color w:val="000000" w:themeColor="text1"/>
                <w14:textFill>
                  <w14:solidFill>
                    <w14:schemeClr w14:val="tx1"/>
                  </w14:solidFill>
                </w14:textFill>
              </w:rPr>
            </w:pPr>
            <w:r>
              <w:rPr>
                <w:color w:val="000000" w:themeColor="text1"/>
                <w14:textFill>
                  <w14:solidFill>
                    <w14:schemeClr w14:val="tx1"/>
                  </w14:solidFill>
                </w14:textFill>
              </w:rPr>
              <w:t>TC-2#-1</w:t>
            </w:r>
          </w:p>
        </w:tc>
        <w:tc>
          <w:tcPr>
            <w:tcW w:w="557" w:type="pct"/>
            <w:vAlign w:val="center"/>
          </w:tcPr>
          <w:p w14:paraId="6917E81D">
            <w:pPr>
              <w:pStyle w:val="109"/>
              <w:rPr>
                <w:color w:val="000000" w:themeColor="text1"/>
                <w14:textFill>
                  <w14:solidFill>
                    <w14:schemeClr w14:val="tx1"/>
                  </w14:solidFill>
                </w14:textFill>
              </w:rPr>
            </w:pPr>
            <w:r>
              <w:rPr>
                <w:color w:val="000000" w:themeColor="text1"/>
                <w14:textFill>
                  <w14:solidFill>
                    <w14:schemeClr w14:val="tx1"/>
                  </w14:solidFill>
                </w14:textFill>
              </w:rPr>
              <w:t>TC-2#-1-1</w:t>
            </w:r>
          </w:p>
        </w:tc>
        <w:tc>
          <w:tcPr>
            <w:tcW w:w="559" w:type="pct"/>
            <w:vAlign w:val="center"/>
          </w:tcPr>
          <w:p w14:paraId="55309C2A">
            <w:pPr>
              <w:pStyle w:val="109"/>
              <w:rPr>
                <w:color w:val="000000" w:themeColor="text1"/>
                <w14:textFill>
                  <w14:solidFill>
                    <w14:schemeClr w14:val="tx1"/>
                  </w14:solidFill>
                </w14:textFill>
              </w:rPr>
            </w:pPr>
            <w:r>
              <w:rPr>
                <w:color w:val="000000" w:themeColor="text1"/>
                <w14:textFill>
                  <w14:solidFill>
                    <w14:schemeClr w14:val="tx1"/>
                  </w14:solidFill>
                </w14:textFill>
              </w:rPr>
              <w:t>TC-2#-1-1-1</w:t>
            </w:r>
          </w:p>
        </w:tc>
        <w:tc>
          <w:tcPr>
            <w:tcW w:w="792" w:type="pct"/>
            <w:vMerge w:val="restart"/>
            <w:vAlign w:val="center"/>
          </w:tcPr>
          <w:p w14:paraId="44E3EC39">
            <w:pPr>
              <w:pStyle w:val="109"/>
              <w:rPr>
                <w:color w:val="000000" w:themeColor="text1"/>
                <w14:textFill>
                  <w14:solidFill>
                    <w14:schemeClr w14:val="tx1"/>
                  </w14:solidFill>
                </w14:textFill>
              </w:rPr>
            </w:pPr>
            <w:r>
              <w:rPr>
                <w:color w:val="000000" w:themeColor="text1"/>
                <w14:textFill>
                  <w14:solidFill>
                    <w14:schemeClr w14:val="tx1"/>
                  </w14:solidFill>
                </w14:textFill>
              </w:rPr>
              <w:t>《土壤环境质量建设用地土壤污染风险管控标准（试行）》（GB36600-2018）表1第二类用地的筛选值质量标准（mg/kg）</w:t>
            </w:r>
          </w:p>
        </w:tc>
      </w:tr>
      <w:tr w14:paraId="38B1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60" w:type="pct"/>
            <w:gridSpan w:val="2"/>
            <w:vAlign w:val="center"/>
          </w:tcPr>
          <w:p w14:paraId="0C4BEAED">
            <w:pPr>
              <w:pStyle w:val="109"/>
              <w:rPr>
                <w:color w:val="000000" w:themeColor="text1"/>
                <w14:textFill>
                  <w14:solidFill>
                    <w14:schemeClr w14:val="tx1"/>
                  </w14:solidFill>
                </w14:textFill>
              </w:rPr>
            </w:pPr>
            <w:r>
              <w:rPr>
                <w:color w:val="000000" w:themeColor="text1"/>
                <w14:textFill>
                  <w14:solidFill>
                    <w14:schemeClr w14:val="tx1"/>
                  </w14:solidFill>
                </w14:textFill>
              </w:rPr>
              <w:t>采样地点</w:t>
            </w:r>
          </w:p>
        </w:tc>
        <w:tc>
          <w:tcPr>
            <w:tcW w:w="3346" w:type="pct"/>
            <w:gridSpan w:val="6"/>
            <w:vAlign w:val="center"/>
          </w:tcPr>
          <w:p w14:paraId="57804290">
            <w:pPr>
              <w:pStyle w:val="109"/>
              <w:rPr>
                <w:color w:val="000000" w:themeColor="text1"/>
                <w14:textFill>
                  <w14:solidFill>
                    <w14:schemeClr w14:val="tx1"/>
                  </w14:solidFill>
                </w14:textFill>
              </w:rPr>
            </w:pPr>
            <w:r>
              <w:rPr>
                <w:color w:val="000000" w:themeColor="text1"/>
                <w14:textFill>
                  <w14:solidFill>
                    <w14:schemeClr w14:val="tx1"/>
                  </w14:solidFill>
                </w14:textFill>
              </w:rPr>
              <w:t>E:87°41′39.31″N:44°8′24.29″</w:t>
            </w:r>
          </w:p>
        </w:tc>
        <w:tc>
          <w:tcPr>
            <w:tcW w:w="792" w:type="pct"/>
            <w:vMerge w:val="continue"/>
            <w:vAlign w:val="center"/>
          </w:tcPr>
          <w:p w14:paraId="6E867E8D">
            <w:pPr>
              <w:pStyle w:val="109"/>
              <w:rPr>
                <w:color w:val="000000" w:themeColor="text1"/>
                <w14:textFill>
                  <w14:solidFill>
                    <w14:schemeClr w14:val="tx1"/>
                  </w14:solidFill>
                </w14:textFill>
              </w:rPr>
            </w:pPr>
          </w:p>
        </w:tc>
      </w:tr>
      <w:tr w14:paraId="601E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60" w:type="pct"/>
            <w:gridSpan w:val="2"/>
            <w:vAlign w:val="center"/>
          </w:tcPr>
          <w:p w14:paraId="1C97CBE1">
            <w:pPr>
              <w:pStyle w:val="109"/>
              <w:rPr>
                <w:color w:val="000000" w:themeColor="text1"/>
                <w14:textFill>
                  <w14:solidFill>
                    <w14:schemeClr w14:val="tx1"/>
                  </w14:solidFill>
                </w14:textFill>
              </w:rPr>
            </w:pPr>
            <w:r>
              <w:rPr>
                <w:color w:val="000000" w:themeColor="text1"/>
                <w14:textFill>
                  <w14:solidFill>
                    <w14:schemeClr w14:val="tx1"/>
                  </w14:solidFill>
                </w14:textFill>
              </w:rPr>
              <w:t>深度（cm）</w:t>
            </w:r>
          </w:p>
        </w:tc>
        <w:tc>
          <w:tcPr>
            <w:tcW w:w="557" w:type="pct"/>
            <w:vAlign w:val="center"/>
          </w:tcPr>
          <w:p w14:paraId="067548DD">
            <w:pPr>
              <w:pStyle w:val="109"/>
              <w:rPr>
                <w:color w:val="000000" w:themeColor="text1"/>
                <w14:textFill>
                  <w14:solidFill>
                    <w14:schemeClr w14:val="tx1"/>
                  </w14:solidFill>
                </w14:textFill>
              </w:rPr>
            </w:pPr>
            <w:r>
              <w:rPr>
                <w:color w:val="000000" w:themeColor="text1"/>
                <w14:textFill>
                  <w14:solidFill>
                    <w14:schemeClr w14:val="tx1"/>
                  </w14:solidFill>
                </w14:textFill>
              </w:rPr>
              <w:t>35</w:t>
            </w:r>
          </w:p>
        </w:tc>
        <w:tc>
          <w:tcPr>
            <w:tcW w:w="557" w:type="pct"/>
            <w:vAlign w:val="center"/>
          </w:tcPr>
          <w:p w14:paraId="5C78FCC2">
            <w:pPr>
              <w:pStyle w:val="109"/>
              <w:rPr>
                <w:color w:val="000000" w:themeColor="text1"/>
                <w14:textFill>
                  <w14:solidFill>
                    <w14:schemeClr w14:val="tx1"/>
                  </w14:solidFill>
                </w14:textFill>
              </w:rPr>
            </w:pPr>
            <w:r>
              <w:rPr>
                <w:color w:val="000000" w:themeColor="text1"/>
                <w14:textFill>
                  <w14:solidFill>
                    <w14:schemeClr w14:val="tx1"/>
                  </w14:solidFill>
                </w14:textFill>
              </w:rPr>
              <w:t>142</w:t>
            </w:r>
          </w:p>
        </w:tc>
        <w:tc>
          <w:tcPr>
            <w:tcW w:w="557" w:type="pct"/>
            <w:vAlign w:val="center"/>
          </w:tcPr>
          <w:p w14:paraId="28857A57">
            <w:pPr>
              <w:pStyle w:val="109"/>
              <w:rPr>
                <w:color w:val="000000" w:themeColor="text1"/>
                <w14:textFill>
                  <w14:solidFill>
                    <w14:schemeClr w14:val="tx1"/>
                  </w14:solidFill>
                </w14:textFill>
              </w:rPr>
            </w:pPr>
            <w:r>
              <w:rPr>
                <w:color w:val="000000" w:themeColor="text1"/>
                <w14:textFill>
                  <w14:solidFill>
                    <w14:schemeClr w14:val="tx1"/>
                  </w14:solidFill>
                </w14:textFill>
              </w:rPr>
              <w:t>237</w:t>
            </w:r>
          </w:p>
        </w:tc>
        <w:tc>
          <w:tcPr>
            <w:tcW w:w="557" w:type="pct"/>
            <w:vAlign w:val="center"/>
          </w:tcPr>
          <w:p w14:paraId="23B3299C">
            <w:pPr>
              <w:pStyle w:val="109"/>
              <w:rPr>
                <w:color w:val="000000" w:themeColor="text1"/>
                <w14:textFill>
                  <w14:solidFill>
                    <w14:schemeClr w14:val="tx1"/>
                  </w14:solidFill>
                </w14:textFill>
              </w:rPr>
            </w:pPr>
            <w:r>
              <w:rPr>
                <w:color w:val="000000" w:themeColor="text1"/>
                <w14:textFill>
                  <w14:solidFill>
                    <w14:schemeClr w14:val="tx1"/>
                  </w14:solidFill>
                </w14:textFill>
              </w:rPr>
              <w:t>35</w:t>
            </w:r>
          </w:p>
        </w:tc>
        <w:tc>
          <w:tcPr>
            <w:tcW w:w="557" w:type="pct"/>
            <w:vAlign w:val="center"/>
          </w:tcPr>
          <w:p w14:paraId="2B4FFC85">
            <w:pPr>
              <w:pStyle w:val="109"/>
              <w:rPr>
                <w:color w:val="000000" w:themeColor="text1"/>
                <w14:textFill>
                  <w14:solidFill>
                    <w14:schemeClr w14:val="tx1"/>
                  </w14:solidFill>
                </w14:textFill>
              </w:rPr>
            </w:pPr>
            <w:r>
              <w:rPr>
                <w:color w:val="000000" w:themeColor="text1"/>
                <w14:textFill>
                  <w14:solidFill>
                    <w14:schemeClr w14:val="tx1"/>
                  </w14:solidFill>
                </w14:textFill>
              </w:rPr>
              <w:t>142</w:t>
            </w:r>
          </w:p>
        </w:tc>
        <w:tc>
          <w:tcPr>
            <w:tcW w:w="559" w:type="pct"/>
            <w:vAlign w:val="center"/>
          </w:tcPr>
          <w:p w14:paraId="369752A8">
            <w:pPr>
              <w:pStyle w:val="109"/>
              <w:rPr>
                <w:color w:val="000000" w:themeColor="text1"/>
                <w14:textFill>
                  <w14:solidFill>
                    <w14:schemeClr w14:val="tx1"/>
                  </w14:solidFill>
                </w14:textFill>
              </w:rPr>
            </w:pPr>
            <w:r>
              <w:rPr>
                <w:color w:val="000000" w:themeColor="text1"/>
                <w14:textFill>
                  <w14:solidFill>
                    <w14:schemeClr w14:val="tx1"/>
                  </w14:solidFill>
                </w14:textFill>
              </w:rPr>
              <w:t>237</w:t>
            </w:r>
          </w:p>
        </w:tc>
        <w:tc>
          <w:tcPr>
            <w:tcW w:w="792" w:type="pct"/>
            <w:vMerge w:val="continue"/>
            <w:vAlign w:val="center"/>
          </w:tcPr>
          <w:p w14:paraId="664AD6CA">
            <w:pPr>
              <w:pStyle w:val="109"/>
              <w:rPr>
                <w:color w:val="000000" w:themeColor="text1"/>
                <w14:textFill>
                  <w14:solidFill>
                    <w14:schemeClr w14:val="tx1"/>
                  </w14:solidFill>
                </w14:textFill>
              </w:rPr>
            </w:pPr>
          </w:p>
        </w:tc>
      </w:tr>
      <w:tr w14:paraId="5BD7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60" w:type="pct"/>
            <w:gridSpan w:val="2"/>
            <w:vAlign w:val="center"/>
          </w:tcPr>
          <w:p w14:paraId="1BE2DC54">
            <w:pPr>
              <w:pStyle w:val="109"/>
              <w:rPr>
                <w:color w:val="000000" w:themeColor="text1"/>
                <w14:textFill>
                  <w14:solidFill>
                    <w14:schemeClr w14:val="tx1"/>
                  </w14:solidFill>
                </w14:textFill>
              </w:rPr>
            </w:pPr>
            <w:r>
              <w:rPr>
                <w:color w:val="000000" w:themeColor="text1"/>
                <w14:textFill>
                  <w14:solidFill>
                    <w14:schemeClr w14:val="tx1"/>
                  </w14:solidFill>
                </w14:textFill>
              </w:rPr>
              <w:t>样品状态</w:t>
            </w:r>
          </w:p>
        </w:tc>
        <w:tc>
          <w:tcPr>
            <w:tcW w:w="557" w:type="pct"/>
            <w:vAlign w:val="center"/>
          </w:tcPr>
          <w:p w14:paraId="692B47F9">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57" w:type="pct"/>
            <w:vAlign w:val="center"/>
          </w:tcPr>
          <w:p w14:paraId="3C7503E8">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57" w:type="pct"/>
            <w:vAlign w:val="center"/>
          </w:tcPr>
          <w:p w14:paraId="7023BD0F">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57" w:type="pct"/>
            <w:vAlign w:val="center"/>
          </w:tcPr>
          <w:p w14:paraId="2618EA3A">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57" w:type="pct"/>
            <w:vAlign w:val="center"/>
          </w:tcPr>
          <w:p w14:paraId="24DE7DA0">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59" w:type="pct"/>
            <w:vAlign w:val="center"/>
          </w:tcPr>
          <w:p w14:paraId="068632B4">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792" w:type="pct"/>
            <w:vMerge w:val="continue"/>
            <w:vAlign w:val="center"/>
          </w:tcPr>
          <w:p w14:paraId="6553D31E">
            <w:pPr>
              <w:pStyle w:val="109"/>
              <w:rPr>
                <w:color w:val="000000" w:themeColor="text1"/>
                <w14:textFill>
                  <w14:solidFill>
                    <w14:schemeClr w14:val="tx1"/>
                  </w14:solidFill>
                </w14:textFill>
              </w:rPr>
            </w:pPr>
          </w:p>
        </w:tc>
      </w:tr>
      <w:tr w14:paraId="5D0F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662B78A5">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283" w:type="pct"/>
            <w:vAlign w:val="center"/>
          </w:tcPr>
          <w:p w14:paraId="2CC033CD">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673" w:type="pct"/>
            <w:gridSpan w:val="3"/>
            <w:vAlign w:val="center"/>
          </w:tcPr>
          <w:p w14:paraId="648FFB7D">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673" w:type="pct"/>
            <w:gridSpan w:val="3"/>
          </w:tcPr>
          <w:p w14:paraId="02AFD736">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c>
          <w:tcPr>
            <w:tcW w:w="792" w:type="pct"/>
            <w:vMerge w:val="continue"/>
            <w:vAlign w:val="center"/>
          </w:tcPr>
          <w:p w14:paraId="2EDFDC34">
            <w:pPr>
              <w:pStyle w:val="109"/>
              <w:rPr>
                <w:color w:val="000000" w:themeColor="text1"/>
                <w14:textFill>
                  <w14:solidFill>
                    <w14:schemeClr w14:val="tx1"/>
                  </w14:solidFill>
                </w14:textFill>
              </w:rPr>
            </w:pPr>
          </w:p>
        </w:tc>
      </w:tr>
      <w:tr w14:paraId="1090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38196B27">
            <w:pPr>
              <w:pStyle w:val="109"/>
              <w:rPr>
                <w:color w:val="000000" w:themeColor="text1"/>
                <w14:textFill>
                  <w14:solidFill>
                    <w14:schemeClr w14:val="tx1"/>
                  </w14:solidFill>
                </w14:textFill>
              </w:rPr>
            </w:pPr>
            <w:r>
              <w:rPr>
                <w:color w:val="000000" w:themeColor="text1"/>
                <w14:textFill>
                  <w14:solidFill>
                    <w14:schemeClr w14:val="tx1"/>
                  </w14:solidFill>
                </w14:textFill>
              </w:rPr>
              <w:t>氯乙烯</w:t>
            </w:r>
          </w:p>
        </w:tc>
        <w:tc>
          <w:tcPr>
            <w:tcW w:w="283" w:type="pct"/>
            <w:vAlign w:val="center"/>
          </w:tcPr>
          <w:p w14:paraId="4230979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5D34C004">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57" w:type="pct"/>
            <w:vAlign w:val="center"/>
          </w:tcPr>
          <w:p w14:paraId="4BB747D2">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57" w:type="pct"/>
            <w:vAlign w:val="center"/>
          </w:tcPr>
          <w:p w14:paraId="514B327B">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57" w:type="pct"/>
          </w:tcPr>
          <w:p w14:paraId="4CDC87C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4352ABA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558EDF0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650F21CD">
            <w:pPr>
              <w:pStyle w:val="109"/>
              <w:rPr>
                <w:color w:val="000000" w:themeColor="text1"/>
                <w14:textFill>
                  <w14:solidFill>
                    <w14:schemeClr w14:val="tx1"/>
                  </w14:solidFill>
                </w14:textFill>
              </w:rPr>
            </w:pPr>
            <w:r>
              <w:rPr>
                <w:color w:val="000000" w:themeColor="text1"/>
                <w14:textFill>
                  <w14:solidFill>
                    <w14:schemeClr w14:val="tx1"/>
                  </w14:solidFill>
                </w14:textFill>
              </w:rPr>
              <w:t>0.43</w:t>
            </w:r>
          </w:p>
        </w:tc>
      </w:tr>
      <w:tr w14:paraId="413B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18129C7E">
            <w:pPr>
              <w:pStyle w:val="109"/>
              <w:rPr>
                <w:color w:val="000000" w:themeColor="text1"/>
                <w14:textFill>
                  <w14:solidFill>
                    <w14:schemeClr w14:val="tx1"/>
                  </w14:solidFill>
                </w14:textFill>
              </w:rPr>
            </w:pPr>
            <w:r>
              <w:rPr>
                <w:color w:val="000000" w:themeColor="text1"/>
                <w14:textFill>
                  <w14:solidFill>
                    <w14:schemeClr w14:val="tx1"/>
                  </w14:solidFill>
                </w14:textFill>
              </w:rPr>
              <w:t>1，1-二氯乙烯</w:t>
            </w:r>
          </w:p>
        </w:tc>
        <w:tc>
          <w:tcPr>
            <w:tcW w:w="283" w:type="pct"/>
            <w:vAlign w:val="center"/>
          </w:tcPr>
          <w:p w14:paraId="1D0A4333">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2DC0C290">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57" w:type="pct"/>
            <w:vAlign w:val="center"/>
          </w:tcPr>
          <w:p w14:paraId="56F4C948">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57" w:type="pct"/>
            <w:vAlign w:val="center"/>
          </w:tcPr>
          <w:p w14:paraId="07DAA720">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57" w:type="pct"/>
          </w:tcPr>
          <w:p w14:paraId="6A4A338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3BA828D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3D32EB8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6581D7A8">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r>
      <w:tr w14:paraId="72BA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14F0F54A">
            <w:pPr>
              <w:pStyle w:val="109"/>
              <w:rPr>
                <w:color w:val="000000" w:themeColor="text1"/>
                <w14:textFill>
                  <w14:solidFill>
                    <w14:schemeClr w14:val="tx1"/>
                  </w14:solidFill>
                </w14:textFill>
              </w:rPr>
            </w:pPr>
            <w:r>
              <w:rPr>
                <w:color w:val="000000" w:themeColor="text1"/>
                <w14:textFill>
                  <w14:solidFill>
                    <w14:schemeClr w14:val="tx1"/>
                  </w14:solidFill>
                </w14:textFill>
              </w:rPr>
              <w:t>二氯甲烷</w:t>
            </w:r>
          </w:p>
        </w:tc>
        <w:tc>
          <w:tcPr>
            <w:tcW w:w="283" w:type="pct"/>
            <w:vAlign w:val="center"/>
          </w:tcPr>
          <w:p w14:paraId="7AFED83E">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1DBAC3DA">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557" w:type="pct"/>
            <w:vAlign w:val="center"/>
          </w:tcPr>
          <w:p w14:paraId="20F84974">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557" w:type="pct"/>
            <w:vAlign w:val="center"/>
          </w:tcPr>
          <w:p w14:paraId="7026B703">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557" w:type="pct"/>
          </w:tcPr>
          <w:p w14:paraId="1847E00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186B5D9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69F14D6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69335E6E">
            <w:pPr>
              <w:pStyle w:val="109"/>
              <w:rPr>
                <w:color w:val="000000" w:themeColor="text1"/>
                <w14:textFill>
                  <w14:solidFill>
                    <w14:schemeClr w14:val="tx1"/>
                  </w14:solidFill>
                </w14:textFill>
              </w:rPr>
            </w:pPr>
            <w:r>
              <w:rPr>
                <w:color w:val="000000" w:themeColor="text1"/>
                <w14:textFill>
                  <w14:solidFill>
                    <w14:schemeClr w14:val="tx1"/>
                  </w14:solidFill>
                </w14:textFill>
              </w:rPr>
              <w:t>616</w:t>
            </w:r>
          </w:p>
        </w:tc>
      </w:tr>
      <w:tr w14:paraId="3E84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77A7D395">
            <w:pPr>
              <w:pStyle w:val="109"/>
              <w:rPr>
                <w:color w:val="000000" w:themeColor="text1"/>
                <w14:textFill>
                  <w14:solidFill>
                    <w14:schemeClr w14:val="tx1"/>
                  </w14:solidFill>
                </w14:textFill>
              </w:rPr>
            </w:pPr>
            <w:r>
              <w:rPr>
                <w:color w:val="000000" w:themeColor="text1"/>
                <w14:textFill>
                  <w14:solidFill>
                    <w14:schemeClr w14:val="tx1"/>
                  </w14:solidFill>
                </w14:textFill>
              </w:rPr>
              <w:t>反-1，2-二氯乙烯</w:t>
            </w:r>
          </w:p>
        </w:tc>
        <w:tc>
          <w:tcPr>
            <w:tcW w:w="283" w:type="pct"/>
            <w:vAlign w:val="center"/>
          </w:tcPr>
          <w:p w14:paraId="7C6CE333">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78552744">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57" w:type="pct"/>
            <w:vAlign w:val="center"/>
          </w:tcPr>
          <w:p w14:paraId="75D052C3">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57" w:type="pct"/>
            <w:vAlign w:val="center"/>
          </w:tcPr>
          <w:p w14:paraId="5403F4CE">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57" w:type="pct"/>
          </w:tcPr>
          <w:p w14:paraId="36D3675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672F582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1E55C62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5BA0AFC5">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r>
      <w:tr w14:paraId="60FA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6A66E9E1">
            <w:pPr>
              <w:pStyle w:val="109"/>
              <w:rPr>
                <w:color w:val="000000" w:themeColor="text1"/>
                <w14:textFill>
                  <w14:solidFill>
                    <w14:schemeClr w14:val="tx1"/>
                  </w14:solidFill>
                </w14:textFill>
              </w:rPr>
            </w:pPr>
            <w:r>
              <w:rPr>
                <w:color w:val="000000" w:themeColor="text1"/>
                <w14:textFill>
                  <w14:solidFill>
                    <w14:schemeClr w14:val="tx1"/>
                  </w14:solidFill>
                </w14:textFill>
              </w:rPr>
              <w:t>1，1-二氯乙烷</w:t>
            </w:r>
          </w:p>
        </w:tc>
        <w:tc>
          <w:tcPr>
            <w:tcW w:w="283" w:type="pct"/>
            <w:vAlign w:val="center"/>
          </w:tcPr>
          <w:p w14:paraId="09273B14">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411215AE">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57" w:type="pct"/>
            <w:vAlign w:val="center"/>
          </w:tcPr>
          <w:p w14:paraId="6DD67C84">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57" w:type="pct"/>
            <w:vAlign w:val="center"/>
          </w:tcPr>
          <w:p w14:paraId="5873B8A8">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57" w:type="pct"/>
          </w:tcPr>
          <w:p w14:paraId="6A7FE3A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474DDA6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10C0A5F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49ABDAEF">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r>
      <w:tr w14:paraId="0E53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118BC778">
            <w:pPr>
              <w:pStyle w:val="109"/>
              <w:rPr>
                <w:color w:val="000000" w:themeColor="text1"/>
                <w14:textFill>
                  <w14:solidFill>
                    <w14:schemeClr w14:val="tx1"/>
                  </w14:solidFill>
                </w14:textFill>
              </w:rPr>
            </w:pPr>
            <w:r>
              <w:rPr>
                <w:color w:val="000000" w:themeColor="text1"/>
                <w14:textFill>
                  <w14:solidFill>
                    <w14:schemeClr w14:val="tx1"/>
                  </w14:solidFill>
                </w14:textFill>
              </w:rPr>
              <w:t>顺-1，2-二氯乙烯</w:t>
            </w:r>
          </w:p>
        </w:tc>
        <w:tc>
          <w:tcPr>
            <w:tcW w:w="283" w:type="pct"/>
            <w:vAlign w:val="center"/>
          </w:tcPr>
          <w:p w14:paraId="3A7005E9">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769F81C6">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57" w:type="pct"/>
            <w:vAlign w:val="center"/>
          </w:tcPr>
          <w:p w14:paraId="604289BB">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57" w:type="pct"/>
            <w:vAlign w:val="center"/>
          </w:tcPr>
          <w:p w14:paraId="73AAAE10">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57" w:type="pct"/>
          </w:tcPr>
          <w:p w14:paraId="75E4819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5A4B64E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196BBC6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552883C1">
            <w:pPr>
              <w:pStyle w:val="109"/>
              <w:rPr>
                <w:color w:val="000000" w:themeColor="text1"/>
                <w14:textFill>
                  <w14:solidFill>
                    <w14:schemeClr w14:val="tx1"/>
                  </w14:solidFill>
                </w14:textFill>
              </w:rPr>
            </w:pPr>
            <w:r>
              <w:rPr>
                <w:color w:val="000000" w:themeColor="text1"/>
                <w14:textFill>
                  <w14:solidFill>
                    <w14:schemeClr w14:val="tx1"/>
                  </w14:solidFill>
                </w14:textFill>
              </w:rPr>
              <w:t>596</w:t>
            </w:r>
          </w:p>
        </w:tc>
      </w:tr>
      <w:tr w14:paraId="481F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2ED711AD">
            <w:pPr>
              <w:pStyle w:val="109"/>
              <w:rPr>
                <w:color w:val="000000" w:themeColor="text1"/>
                <w14:textFill>
                  <w14:solidFill>
                    <w14:schemeClr w14:val="tx1"/>
                  </w14:solidFill>
                </w14:textFill>
              </w:rPr>
            </w:pPr>
            <w:r>
              <w:rPr>
                <w:color w:val="000000" w:themeColor="text1"/>
                <w14:textFill>
                  <w14:solidFill>
                    <w14:schemeClr w14:val="tx1"/>
                  </w14:solidFill>
                </w14:textFill>
              </w:rPr>
              <w:t>氯仿</w:t>
            </w:r>
          </w:p>
        </w:tc>
        <w:tc>
          <w:tcPr>
            <w:tcW w:w="283" w:type="pct"/>
            <w:vAlign w:val="center"/>
          </w:tcPr>
          <w:p w14:paraId="0BCDEB4C">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75C88717">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57" w:type="pct"/>
            <w:vAlign w:val="center"/>
          </w:tcPr>
          <w:p w14:paraId="28F37E4F">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57" w:type="pct"/>
            <w:vAlign w:val="center"/>
          </w:tcPr>
          <w:p w14:paraId="20416768">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57" w:type="pct"/>
          </w:tcPr>
          <w:p w14:paraId="0828B7E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1D24F35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2D97135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17CDAAD4">
            <w:pPr>
              <w:pStyle w:val="109"/>
              <w:rPr>
                <w:color w:val="000000" w:themeColor="text1"/>
                <w14:textFill>
                  <w14:solidFill>
                    <w14:schemeClr w14:val="tx1"/>
                  </w14:solidFill>
                </w14:textFill>
              </w:rPr>
            </w:pPr>
            <w:r>
              <w:rPr>
                <w:color w:val="000000" w:themeColor="text1"/>
                <w14:textFill>
                  <w14:solidFill>
                    <w14:schemeClr w14:val="tx1"/>
                  </w14:solidFill>
                </w14:textFill>
              </w:rPr>
              <w:t>0.9</w:t>
            </w:r>
          </w:p>
        </w:tc>
      </w:tr>
      <w:tr w14:paraId="09BE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71DA1C85">
            <w:pPr>
              <w:pStyle w:val="109"/>
              <w:rPr>
                <w:color w:val="000000" w:themeColor="text1"/>
                <w14:textFill>
                  <w14:solidFill>
                    <w14:schemeClr w14:val="tx1"/>
                  </w14:solidFill>
                </w14:textFill>
              </w:rPr>
            </w:pPr>
            <w:r>
              <w:rPr>
                <w:color w:val="000000" w:themeColor="text1"/>
                <w14:textFill>
                  <w14:solidFill>
                    <w14:schemeClr w14:val="tx1"/>
                  </w14:solidFill>
                </w14:textFill>
              </w:rPr>
              <w:t>1，1，1-三氯乙烷</w:t>
            </w:r>
          </w:p>
        </w:tc>
        <w:tc>
          <w:tcPr>
            <w:tcW w:w="283" w:type="pct"/>
            <w:vAlign w:val="center"/>
          </w:tcPr>
          <w:p w14:paraId="57850A42">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25E76E34">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57" w:type="pct"/>
            <w:vAlign w:val="center"/>
          </w:tcPr>
          <w:p w14:paraId="3A7B8DC5">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57" w:type="pct"/>
            <w:vAlign w:val="center"/>
          </w:tcPr>
          <w:p w14:paraId="30FA7FFB">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57" w:type="pct"/>
          </w:tcPr>
          <w:p w14:paraId="150C899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1D08262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5CAD538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006A5151">
            <w:pPr>
              <w:pStyle w:val="109"/>
              <w:rPr>
                <w:color w:val="000000" w:themeColor="text1"/>
                <w14:textFill>
                  <w14:solidFill>
                    <w14:schemeClr w14:val="tx1"/>
                  </w14:solidFill>
                </w14:textFill>
              </w:rPr>
            </w:pPr>
            <w:r>
              <w:rPr>
                <w:color w:val="000000" w:themeColor="text1"/>
                <w14:textFill>
                  <w14:solidFill>
                    <w14:schemeClr w14:val="tx1"/>
                  </w14:solidFill>
                </w14:textFill>
              </w:rPr>
              <w:t>840</w:t>
            </w:r>
          </w:p>
        </w:tc>
      </w:tr>
      <w:tr w14:paraId="7261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61BBB80C">
            <w:pPr>
              <w:pStyle w:val="109"/>
              <w:rPr>
                <w:color w:val="000000" w:themeColor="text1"/>
                <w14:textFill>
                  <w14:solidFill>
                    <w14:schemeClr w14:val="tx1"/>
                  </w14:solidFill>
                </w14:textFill>
              </w:rPr>
            </w:pPr>
            <w:r>
              <w:rPr>
                <w:color w:val="000000" w:themeColor="text1"/>
                <w14:textFill>
                  <w14:solidFill>
                    <w14:schemeClr w14:val="tx1"/>
                  </w14:solidFill>
                </w14:textFill>
              </w:rPr>
              <w:t>四氯化碳</w:t>
            </w:r>
          </w:p>
        </w:tc>
        <w:tc>
          <w:tcPr>
            <w:tcW w:w="283" w:type="pct"/>
            <w:vAlign w:val="center"/>
          </w:tcPr>
          <w:p w14:paraId="79909C81">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3BD0F7DA">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557" w:type="pct"/>
            <w:vAlign w:val="center"/>
          </w:tcPr>
          <w:p w14:paraId="5AC12AC1">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557" w:type="pct"/>
            <w:vAlign w:val="center"/>
          </w:tcPr>
          <w:p w14:paraId="3F920FAC">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557" w:type="pct"/>
          </w:tcPr>
          <w:p w14:paraId="616FFFF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20BC8A3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7C0E483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4AF69FE8">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56CE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1EAF1EB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1，2-二氯乙烷 </w:t>
            </w:r>
          </w:p>
        </w:tc>
        <w:tc>
          <w:tcPr>
            <w:tcW w:w="283" w:type="pct"/>
            <w:vAlign w:val="center"/>
          </w:tcPr>
          <w:p w14:paraId="3F3A876F">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436A7A33">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57" w:type="pct"/>
            <w:vAlign w:val="center"/>
          </w:tcPr>
          <w:p w14:paraId="66DEDE4D">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57" w:type="pct"/>
            <w:vAlign w:val="center"/>
          </w:tcPr>
          <w:p w14:paraId="0F031FC5">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57" w:type="pct"/>
          </w:tcPr>
          <w:p w14:paraId="05E67C5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763D032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1DAEB81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52D880B3">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r>
      <w:tr w14:paraId="00CF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412E54B4">
            <w:pPr>
              <w:pStyle w:val="109"/>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283" w:type="pct"/>
            <w:vAlign w:val="center"/>
          </w:tcPr>
          <w:p w14:paraId="29746624">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717F4A5E">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57" w:type="pct"/>
            <w:vAlign w:val="center"/>
          </w:tcPr>
          <w:p w14:paraId="3B54E971">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57" w:type="pct"/>
            <w:vAlign w:val="center"/>
          </w:tcPr>
          <w:p w14:paraId="438C601A">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57" w:type="pct"/>
          </w:tcPr>
          <w:p w14:paraId="7B4FAD4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3AB80D0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41D7DBD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1118D5D1">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r>
      <w:tr w14:paraId="4020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31A9374C">
            <w:pPr>
              <w:pStyle w:val="109"/>
              <w:rPr>
                <w:color w:val="000000" w:themeColor="text1"/>
                <w14:textFill>
                  <w14:solidFill>
                    <w14:schemeClr w14:val="tx1"/>
                  </w14:solidFill>
                </w14:textFill>
              </w:rPr>
            </w:pPr>
            <w:r>
              <w:rPr>
                <w:color w:val="000000" w:themeColor="text1"/>
                <w14:textFill>
                  <w14:solidFill>
                    <w14:schemeClr w14:val="tx1"/>
                  </w14:solidFill>
                </w14:textFill>
              </w:rPr>
              <w:t>三氯乙烯</w:t>
            </w:r>
          </w:p>
        </w:tc>
        <w:tc>
          <w:tcPr>
            <w:tcW w:w="283" w:type="pct"/>
            <w:vAlign w:val="center"/>
          </w:tcPr>
          <w:p w14:paraId="43BB1AA1">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7BF9646B">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57" w:type="pct"/>
            <w:vAlign w:val="center"/>
          </w:tcPr>
          <w:p w14:paraId="298E61CC">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57" w:type="pct"/>
            <w:vAlign w:val="center"/>
          </w:tcPr>
          <w:p w14:paraId="564A8B93">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57" w:type="pct"/>
          </w:tcPr>
          <w:p w14:paraId="04D976A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25A9758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710E90D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56D83970">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0965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34DE9B4D">
            <w:pPr>
              <w:pStyle w:val="109"/>
              <w:rPr>
                <w:color w:val="000000" w:themeColor="text1"/>
                <w14:textFill>
                  <w14:solidFill>
                    <w14:schemeClr w14:val="tx1"/>
                  </w14:solidFill>
                </w14:textFill>
              </w:rPr>
            </w:pPr>
            <w:r>
              <w:rPr>
                <w:color w:val="000000" w:themeColor="text1"/>
                <w14:textFill>
                  <w14:solidFill>
                    <w14:schemeClr w14:val="tx1"/>
                  </w14:solidFill>
                </w14:textFill>
              </w:rPr>
              <w:t>1，2-二氯丙烷</w:t>
            </w:r>
          </w:p>
        </w:tc>
        <w:tc>
          <w:tcPr>
            <w:tcW w:w="283" w:type="pct"/>
            <w:vAlign w:val="center"/>
          </w:tcPr>
          <w:p w14:paraId="5AF8A65F">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10137CB5">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557" w:type="pct"/>
            <w:vAlign w:val="center"/>
          </w:tcPr>
          <w:p w14:paraId="56A3D856">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557" w:type="pct"/>
            <w:vAlign w:val="center"/>
          </w:tcPr>
          <w:p w14:paraId="66AF3800">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557" w:type="pct"/>
          </w:tcPr>
          <w:p w14:paraId="6B04534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1FFADD1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7600E4E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1B5AE73C">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r>
      <w:tr w14:paraId="019E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1E284D1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甲苯 </w:t>
            </w:r>
          </w:p>
        </w:tc>
        <w:tc>
          <w:tcPr>
            <w:tcW w:w="283" w:type="pct"/>
            <w:vAlign w:val="center"/>
          </w:tcPr>
          <w:p w14:paraId="0B212EE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13118128">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557" w:type="pct"/>
            <w:vAlign w:val="center"/>
          </w:tcPr>
          <w:p w14:paraId="21948D36">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557" w:type="pct"/>
            <w:vAlign w:val="center"/>
          </w:tcPr>
          <w:p w14:paraId="5AFA1480">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557" w:type="pct"/>
          </w:tcPr>
          <w:p w14:paraId="46F1621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354C11C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4252AC7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78AF8C19">
            <w:pPr>
              <w:pStyle w:val="109"/>
              <w:rPr>
                <w:color w:val="000000" w:themeColor="text1"/>
                <w14:textFill>
                  <w14:solidFill>
                    <w14:schemeClr w14:val="tx1"/>
                  </w14:solidFill>
                </w14:textFill>
              </w:rPr>
            </w:pPr>
            <w:r>
              <w:rPr>
                <w:color w:val="000000" w:themeColor="text1"/>
                <w14:textFill>
                  <w14:solidFill>
                    <w14:schemeClr w14:val="tx1"/>
                  </w14:solidFill>
                </w14:textFill>
              </w:rPr>
              <w:t>1200</w:t>
            </w:r>
          </w:p>
        </w:tc>
      </w:tr>
      <w:tr w14:paraId="61E0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3CC9507E">
            <w:pPr>
              <w:pStyle w:val="109"/>
              <w:rPr>
                <w:color w:val="000000" w:themeColor="text1"/>
                <w14:textFill>
                  <w14:solidFill>
                    <w14:schemeClr w14:val="tx1"/>
                  </w14:solidFill>
                </w14:textFill>
              </w:rPr>
            </w:pPr>
            <w:r>
              <w:rPr>
                <w:color w:val="000000" w:themeColor="text1"/>
                <w14:textFill>
                  <w14:solidFill>
                    <w14:schemeClr w14:val="tx1"/>
                  </w14:solidFill>
                </w14:textFill>
              </w:rPr>
              <w:t>1，1，2-三氯乙烷</w:t>
            </w:r>
          </w:p>
        </w:tc>
        <w:tc>
          <w:tcPr>
            <w:tcW w:w="283" w:type="pct"/>
            <w:vAlign w:val="center"/>
          </w:tcPr>
          <w:p w14:paraId="1221B969">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32D2A299">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557" w:type="pct"/>
            <w:vAlign w:val="center"/>
          </w:tcPr>
          <w:p w14:paraId="55B49CED">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557" w:type="pct"/>
            <w:vAlign w:val="center"/>
          </w:tcPr>
          <w:p w14:paraId="0CF505AB">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557" w:type="pct"/>
          </w:tcPr>
          <w:p w14:paraId="2EE7353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76F1F68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3B8C11B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079107AE">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7CCE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782BA1C4">
            <w:pPr>
              <w:pStyle w:val="109"/>
              <w:rPr>
                <w:color w:val="000000" w:themeColor="text1"/>
                <w14:textFill>
                  <w14:solidFill>
                    <w14:schemeClr w14:val="tx1"/>
                  </w14:solidFill>
                </w14:textFill>
              </w:rPr>
            </w:pPr>
            <w:r>
              <w:rPr>
                <w:color w:val="000000" w:themeColor="text1"/>
                <w14:textFill>
                  <w14:solidFill>
                    <w14:schemeClr w14:val="tx1"/>
                  </w14:solidFill>
                </w14:textFill>
              </w:rPr>
              <w:t>四氯乙烯</w:t>
            </w:r>
          </w:p>
        </w:tc>
        <w:tc>
          <w:tcPr>
            <w:tcW w:w="283" w:type="pct"/>
            <w:vAlign w:val="center"/>
          </w:tcPr>
          <w:p w14:paraId="3CE9DDAE">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72EA3140">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57" w:type="pct"/>
            <w:vAlign w:val="center"/>
          </w:tcPr>
          <w:p w14:paraId="1D706AAC">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57" w:type="pct"/>
            <w:vAlign w:val="center"/>
          </w:tcPr>
          <w:p w14:paraId="7CB91D3A">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57" w:type="pct"/>
          </w:tcPr>
          <w:p w14:paraId="64A3249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61C0A6A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36C5312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45FC5826">
            <w:pPr>
              <w:pStyle w:val="109"/>
              <w:rPr>
                <w:color w:val="000000" w:themeColor="text1"/>
                <w14:textFill>
                  <w14:solidFill>
                    <w14:schemeClr w14:val="tx1"/>
                  </w14:solidFill>
                </w14:textFill>
              </w:rPr>
            </w:pPr>
            <w:r>
              <w:rPr>
                <w:color w:val="000000" w:themeColor="text1"/>
                <w14:textFill>
                  <w14:solidFill>
                    <w14:schemeClr w14:val="tx1"/>
                  </w14:solidFill>
                </w14:textFill>
              </w:rPr>
              <w:t>53</w:t>
            </w:r>
          </w:p>
        </w:tc>
      </w:tr>
      <w:tr w14:paraId="0749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1AA87697">
            <w:pPr>
              <w:pStyle w:val="109"/>
              <w:rPr>
                <w:color w:val="000000" w:themeColor="text1"/>
                <w14:textFill>
                  <w14:solidFill>
                    <w14:schemeClr w14:val="tx1"/>
                  </w14:solidFill>
                </w14:textFill>
              </w:rPr>
            </w:pPr>
            <w:r>
              <w:rPr>
                <w:color w:val="000000" w:themeColor="text1"/>
                <w14:textFill>
                  <w14:solidFill>
                    <w14:schemeClr w14:val="tx1"/>
                  </w14:solidFill>
                </w14:textFill>
              </w:rPr>
              <w:t>氯苯</w:t>
            </w:r>
          </w:p>
        </w:tc>
        <w:tc>
          <w:tcPr>
            <w:tcW w:w="283" w:type="pct"/>
            <w:vAlign w:val="center"/>
          </w:tcPr>
          <w:p w14:paraId="4BDA3255">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0CC9B88E">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57" w:type="pct"/>
            <w:vAlign w:val="center"/>
          </w:tcPr>
          <w:p w14:paraId="31B9D29D">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57" w:type="pct"/>
            <w:vAlign w:val="center"/>
          </w:tcPr>
          <w:p w14:paraId="40D19F43">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57" w:type="pct"/>
          </w:tcPr>
          <w:p w14:paraId="44D7991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1E18F9B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3F30028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2FDE8961">
            <w:pPr>
              <w:pStyle w:val="109"/>
              <w:rPr>
                <w:color w:val="000000" w:themeColor="text1"/>
                <w14:textFill>
                  <w14:solidFill>
                    <w14:schemeClr w14:val="tx1"/>
                  </w14:solidFill>
                </w14:textFill>
              </w:rPr>
            </w:pPr>
            <w:r>
              <w:rPr>
                <w:color w:val="000000" w:themeColor="text1"/>
                <w14:textFill>
                  <w14:solidFill>
                    <w14:schemeClr w14:val="tx1"/>
                  </w14:solidFill>
                </w14:textFill>
              </w:rPr>
              <w:t>270</w:t>
            </w:r>
          </w:p>
        </w:tc>
      </w:tr>
      <w:tr w14:paraId="5C95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1BF2602F">
            <w:pPr>
              <w:pStyle w:val="109"/>
              <w:rPr>
                <w:color w:val="000000" w:themeColor="text1"/>
                <w14:textFill>
                  <w14:solidFill>
                    <w14:schemeClr w14:val="tx1"/>
                  </w14:solidFill>
                </w14:textFill>
              </w:rPr>
            </w:pPr>
            <w:r>
              <w:rPr>
                <w:color w:val="000000" w:themeColor="text1"/>
                <w14:textFill>
                  <w14:solidFill>
                    <w14:schemeClr w14:val="tx1"/>
                  </w14:solidFill>
                </w14:textFill>
              </w:rPr>
              <w:t>1，1，1，2-四氯乙烷</w:t>
            </w:r>
          </w:p>
        </w:tc>
        <w:tc>
          <w:tcPr>
            <w:tcW w:w="283" w:type="pct"/>
            <w:vAlign w:val="center"/>
          </w:tcPr>
          <w:p w14:paraId="3C609EB3">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61B518A2">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vAlign w:val="center"/>
          </w:tcPr>
          <w:p w14:paraId="7B7EF65C">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vAlign w:val="center"/>
          </w:tcPr>
          <w:p w14:paraId="50BE1CC2">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tcPr>
          <w:p w14:paraId="286229B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58E68F1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200C681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1702AC3A">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r>
      <w:tr w14:paraId="061E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7EC29649">
            <w:pPr>
              <w:pStyle w:val="109"/>
              <w:rPr>
                <w:color w:val="000000" w:themeColor="text1"/>
                <w14:textFill>
                  <w14:solidFill>
                    <w14:schemeClr w14:val="tx1"/>
                  </w14:solidFill>
                </w14:textFill>
              </w:rPr>
            </w:pPr>
            <w:r>
              <w:rPr>
                <w:color w:val="000000" w:themeColor="text1"/>
                <w14:textFill>
                  <w14:solidFill>
                    <w14:schemeClr w14:val="tx1"/>
                  </w14:solidFill>
                </w14:textFill>
              </w:rPr>
              <w:t>乙苯</w:t>
            </w:r>
          </w:p>
        </w:tc>
        <w:tc>
          <w:tcPr>
            <w:tcW w:w="283" w:type="pct"/>
            <w:vAlign w:val="center"/>
          </w:tcPr>
          <w:p w14:paraId="0A0C5BFE">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1731E14A">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57" w:type="pct"/>
            <w:vAlign w:val="center"/>
          </w:tcPr>
          <w:p w14:paraId="6F9C8854">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57" w:type="pct"/>
            <w:vAlign w:val="center"/>
          </w:tcPr>
          <w:p w14:paraId="63270469">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57" w:type="pct"/>
          </w:tcPr>
          <w:p w14:paraId="6AE120C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59B2B2E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37862EA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31B84AE8">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4609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58575744">
            <w:pPr>
              <w:pStyle w:val="109"/>
              <w:rPr>
                <w:color w:val="000000" w:themeColor="text1"/>
                <w14:textFill>
                  <w14:solidFill>
                    <w14:schemeClr w14:val="tx1"/>
                  </w14:solidFill>
                </w14:textFill>
              </w:rPr>
            </w:pPr>
            <w:r>
              <w:rPr>
                <w:color w:val="000000" w:themeColor="text1"/>
                <w14:textFill>
                  <w14:solidFill>
                    <w14:schemeClr w14:val="tx1"/>
                  </w14:solidFill>
                </w14:textFill>
              </w:rPr>
              <w:t>间，对-二甲苯</w:t>
            </w:r>
          </w:p>
        </w:tc>
        <w:tc>
          <w:tcPr>
            <w:tcW w:w="283" w:type="pct"/>
            <w:vAlign w:val="center"/>
          </w:tcPr>
          <w:p w14:paraId="29BB9F8D">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1DE4A184">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557" w:type="pct"/>
            <w:vAlign w:val="center"/>
          </w:tcPr>
          <w:p w14:paraId="67150EC1">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557" w:type="pct"/>
            <w:vAlign w:val="center"/>
          </w:tcPr>
          <w:p w14:paraId="2DE3FF18">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557" w:type="pct"/>
          </w:tcPr>
          <w:p w14:paraId="1EBE14A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7D2B622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0462167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42049D09">
            <w:pPr>
              <w:pStyle w:val="109"/>
              <w:rPr>
                <w:color w:val="000000" w:themeColor="text1"/>
                <w14:textFill>
                  <w14:solidFill>
                    <w14:schemeClr w14:val="tx1"/>
                  </w14:solidFill>
                </w14:textFill>
              </w:rPr>
            </w:pPr>
            <w:r>
              <w:rPr>
                <w:color w:val="000000" w:themeColor="text1"/>
                <w14:textFill>
                  <w14:solidFill>
                    <w14:schemeClr w14:val="tx1"/>
                  </w14:solidFill>
                </w14:textFill>
              </w:rPr>
              <w:t>570</w:t>
            </w:r>
          </w:p>
        </w:tc>
      </w:tr>
      <w:tr w14:paraId="0FA0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6AD8356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邻-二甲苯 </w:t>
            </w:r>
          </w:p>
        </w:tc>
        <w:tc>
          <w:tcPr>
            <w:tcW w:w="283" w:type="pct"/>
            <w:vAlign w:val="center"/>
          </w:tcPr>
          <w:p w14:paraId="0385A190">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3893CF94">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57" w:type="pct"/>
            <w:vAlign w:val="center"/>
          </w:tcPr>
          <w:p w14:paraId="198F386F">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57" w:type="pct"/>
            <w:vAlign w:val="center"/>
          </w:tcPr>
          <w:p w14:paraId="2674C1BC">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57" w:type="pct"/>
          </w:tcPr>
          <w:p w14:paraId="683900B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6DDE62B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077F1E8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32C3765D">
            <w:pPr>
              <w:pStyle w:val="109"/>
              <w:rPr>
                <w:color w:val="000000" w:themeColor="text1"/>
                <w14:textFill>
                  <w14:solidFill>
                    <w14:schemeClr w14:val="tx1"/>
                  </w14:solidFill>
                </w14:textFill>
              </w:rPr>
            </w:pPr>
            <w:r>
              <w:rPr>
                <w:color w:val="000000" w:themeColor="text1"/>
                <w14:textFill>
                  <w14:solidFill>
                    <w14:schemeClr w14:val="tx1"/>
                  </w14:solidFill>
                </w14:textFill>
              </w:rPr>
              <w:t>640</w:t>
            </w:r>
          </w:p>
        </w:tc>
      </w:tr>
      <w:tr w14:paraId="6E15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220C0E22">
            <w:pPr>
              <w:pStyle w:val="109"/>
              <w:rPr>
                <w:color w:val="000000" w:themeColor="text1"/>
                <w14:textFill>
                  <w14:solidFill>
                    <w14:schemeClr w14:val="tx1"/>
                  </w14:solidFill>
                </w14:textFill>
              </w:rPr>
            </w:pPr>
            <w:r>
              <w:rPr>
                <w:color w:val="000000" w:themeColor="text1"/>
                <w14:textFill>
                  <w14:solidFill>
                    <w14:schemeClr w14:val="tx1"/>
                  </w14:solidFill>
                </w14:textFill>
              </w:rPr>
              <w:t>苯乙烯</w:t>
            </w:r>
          </w:p>
        </w:tc>
        <w:tc>
          <w:tcPr>
            <w:tcW w:w="283" w:type="pct"/>
            <w:vAlign w:val="center"/>
          </w:tcPr>
          <w:p w14:paraId="4387002C">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2D1E7F50">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57" w:type="pct"/>
            <w:vAlign w:val="center"/>
          </w:tcPr>
          <w:p w14:paraId="0606E60D">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57" w:type="pct"/>
            <w:vAlign w:val="center"/>
          </w:tcPr>
          <w:p w14:paraId="51B426DC">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57" w:type="pct"/>
          </w:tcPr>
          <w:p w14:paraId="0743B13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4AF28F6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5673548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217DB1A8">
            <w:pPr>
              <w:pStyle w:val="109"/>
              <w:rPr>
                <w:color w:val="000000" w:themeColor="text1"/>
                <w14:textFill>
                  <w14:solidFill>
                    <w14:schemeClr w14:val="tx1"/>
                  </w14:solidFill>
                </w14:textFill>
              </w:rPr>
            </w:pPr>
            <w:r>
              <w:rPr>
                <w:color w:val="000000" w:themeColor="text1"/>
                <w14:textFill>
                  <w14:solidFill>
                    <w14:schemeClr w14:val="tx1"/>
                  </w14:solidFill>
                </w14:textFill>
              </w:rPr>
              <w:t>1290</w:t>
            </w:r>
          </w:p>
        </w:tc>
      </w:tr>
      <w:tr w14:paraId="29B4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3EE6F5BC">
            <w:pPr>
              <w:pStyle w:val="109"/>
              <w:rPr>
                <w:color w:val="000000" w:themeColor="text1"/>
                <w14:textFill>
                  <w14:solidFill>
                    <w14:schemeClr w14:val="tx1"/>
                  </w14:solidFill>
                </w14:textFill>
              </w:rPr>
            </w:pPr>
            <w:r>
              <w:rPr>
                <w:color w:val="000000" w:themeColor="text1"/>
                <w14:textFill>
                  <w14:solidFill>
                    <w14:schemeClr w14:val="tx1"/>
                  </w14:solidFill>
                </w14:textFill>
              </w:rPr>
              <w:t>1，1，2，2-四氯乙烷</w:t>
            </w:r>
          </w:p>
        </w:tc>
        <w:tc>
          <w:tcPr>
            <w:tcW w:w="283" w:type="pct"/>
            <w:vAlign w:val="center"/>
          </w:tcPr>
          <w:p w14:paraId="3D6DF65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3E90B85B">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vAlign w:val="center"/>
          </w:tcPr>
          <w:p w14:paraId="50FD56D8">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vAlign w:val="center"/>
          </w:tcPr>
          <w:p w14:paraId="21F989DE">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tcPr>
          <w:p w14:paraId="7D2AC49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6CC5B95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7865083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56F90151">
            <w:pPr>
              <w:pStyle w:val="109"/>
              <w:rPr>
                <w:color w:val="000000" w:themeColor="text1"/>
                <w14:textFill>
                  <w14:solidFill>
                    <w14:schemeClr w14:val="tx1"/>
                  </w14:solidFill>
                </w14:textFill>
              </w:rPr>
            </w:pPr>
            <w:r>
              <w:rPr>
                <w:color w:val="000000" w:themeColor="text1"/>
                <w14:textFill>
                  <w14:solidFill>
                    <w14:schemeClr w14:val="tx1"/>
                  </w14:solidFill>
                </w14:textFill>
              </w:rPr>
              <w:t>6.8</w:t>
            </w:r>
          </w:p>
        </w:tc>
      </w:tr>
      <w:tr w14:paraId="3964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09649872">
            <w:pPr>
              <w:pStyle w:val="109"/>
              <w:rPr>
                <w:color w:val="000000" w:themeColor="text1"/>
                <w14:textFill>
                  <w14:solidFill>
                    <w14:schemeClr w14:val="tx1"/>
                  </w14:solidFill>
                </w14:textFill>
              </w:rPr>
            </w:pPr>
            <w:r>
              <w:rPr>
                <w:color w:val="000000" w:themeColor="text1"/>
                <w14:textFill>
                  <w14:solidFill>
                    <w14:schemeClr w14:val="tx1"/>
                  </w14:solidFill>
                </w14:textFill>
              </w:rPr>
              <w:t>1，2，3-三氯丙烷</w:t>
            </w:r>
          </w:p>
        </w:tc>
        <w:tc>
          <w:tcPr>
            <w:tcW w:w="283" w:type="pct"/>
            <w:vAlign w:val="center"/>
          </w:tcPr>
          <w:p w14:paraId="7338F8A5">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6BA7CAB9">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vAlign w:val="center"/>
          </w:tcPr>
          <w:p w14:paraId="1F1913EB">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vAlign w:val="center"/>
          </w:tcPr>
          <w:p w14:paraId="201DE9D3">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tcPr>
          <w:p w14:paraId="36A01A1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3716E24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03F31DB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20C825F0">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r>
      <w:tr w14:paraId="3E64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54EA07DD">
            <w:pPr>
              <w:pStyle w:val="109"/>
              <w:rPr>
                <w:color w:val="000000" w:themeColor="text1"/>
                <w14:textFill>
                  <w14:solidFill>
                    <w14:schemeClr w14:val="tx1"/>
                  </w14:solidFill>
                </w14:textFill>
              </w:rPr>
            </w:pPr>
            <w:r>
              <w:rPr>
                <w:color w:val="000000" w:themeColor="text1"/>
                <w14:textFill>
                  <w14:solidFill>
                    <w14:schemeClr w14:val="tx1"/>
                  </w14:solidFill>
                </w14:textFill>
              </w:rPr>
              <w:t>1，4-二氯苯</w:t>
            </w:r>
          </w:p>
        </w:tc>
        <w:tc>
          <w:tcPr>
            <w:tcW w:w="283" w:type="pct"/>
            <w:vAlign w:val="center"/>
          </w:tcPr>
          <w:p w14:paraId="313C829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796B1533">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57" w:type="pct"/>
            <w:vAlign w:val="center"/>
          </w:tcPr>
          <w:p w14:paraId="1C193BC4">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57" w:type="pct"/>
            <w:vAlign w:val="center"/>
          </w:tcPr>
          <w:p w14:paraId="0F1699F5">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57" w:type="pct"/>
          </w:tcPr>
          <w:p w14:paraId="711D17F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042DD91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6DED35C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4034A32E">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r>
      <w:tr w14:paraId="494D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3F58947C">
            <w:pPr>
              <w:pStyle w:val="109"/>
              <w:rPr>
                <w:color w:val="000000" w:themeColor="text1"/>
                <w14:textFill>
                  <w14:solidFill>
                    <w14:schemeClr w14:val="tx1"/>
                  </w14:solidFill>
                </w14:textFill>
              </w:rPr>
            </w:pPr>
            <w:r>
              <w:rPr>
                <w:color w:val="000000" w:themeColor="text1"/>
                <w14:textFill>
                  <w14:solidFill>
                    <w14:schemeClr w14:val="tx1"/>
                  </w14:solidFill>
                </w14:textFill>
              </w:rPr>
              <w:t>1，2-二氯苯</w:t>
            </w:r>
          </w:p>
        </w:tc>
        <w:tc>
          <w:tcPr>
            <w:tcW w:w="283" w:type="pct"/>
            <w:vAlign w:val="center"/>
          </w:tcPr>
          <w:p w14:paraId="44453522">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2E143C42">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vAlign w:val="center"/>
          </w:tcPr>
          <w:p w14:paraId="595880D3">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vAlign w:val="center"/>
          </w:tcPr>
          <w:p w14:paraId="3352F81E">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57" w:type="pct"/>
          </w:tcPr>
          <w:p w14:paraId="11056C1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18109C5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504AF50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66A7AAB8">
            <w:pPr>
              <w:pStyle w:val="109"/>
              <w:rPr>
                <w:color w:val="000000" w:themeColor="text1"/>
                <w14:textFill>
                  <w14:solidFill>
                    <w14:schemeClr w14:val="tx1"/>
                  </w14:solidFill>
                </w14:textFill>
              </w:rPr>
            </w:pPr>
            <w:r>
              <w:rPr>
                <w:color w:val="000000" w:themeColor="text1"/>
                <w14:textFill>
                  <w14:solidFill>
                    <w14:schemeClr w14:val="tx1"/>
                  </w14:solidFill>
                </w14:textFill>
              </w:rPr>
              <w:t>560</w:t>
            </w:r>
          </w:p>
        </w:tc>
      </w:tr>
      <w:tr w14:paraId="6CCF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32E1EBC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氯甲烷 </w:t>
            </w:r>
          </w:p>
        </w:tc>
        <w:tc>
          <w:tcPr>
            <w:tcW w:w="283" w:type="pct"/>
            <w:vAlign w:val="center"/>
          </w:tcPr>
          <w:p w14:paraId="201F1121">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57" w:type="pct"/>
            <w:vAlign w:val="center"/>
          </w:tcPr>
          <w:p w14:paraId="62E0DEAD">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557" w:type="pct"/>
            <w:vAlign w:val="center"/>
          </w:tcPr>
          <w:p w14:paraId="67CB7BD2">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557" w:type="pct"/>
            <w:vAlign w:val="center"/>
          </w:tcPr>
          <w:p w14:paraId="045A137D">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557" w:type="pct"/>
          </w:tcPr>
          <w:p w14:paraId="0EAA60F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395723F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5F0CCAE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08D19F0C">
            <w:pPr>
              <w:pStyle w:val="109"/>
              <w:rPr>
                <w:color w:val="000000" w:themeColor="text1"/>
                <w14:textFill>
                  <w14:solidFill>
                    <w14:schemeClr w14:val="tx1"/>
                  </w14:solidFill>
                </w14:textFill>
              </w:rPr>
            </w:pPr>
            <w:r>
              <w:rPr>
                <w:color w:val="000000" w:themeColor="text1"/>
                <w14:textFill>
                  <w14:solidFill>
                    <w14:schemeClr w14:val="tx1"/>
                  </w14:solidFill>
                </w14:textFill>
              </w:rPr>
              <w:t>37</w:t>
            </w:r>
          </w:p>
        </w:tc>
      </w:tr>
      <w:tr w14:paraId="40B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6688DA4F">
            <w:pPr>
              <w:pStyle w:val="109"/>
              <w:rPr>
                <w:color w:val="000000" w:themeColor="text1"/>
                <w14:textFill>
                  <w14:solidFill>
                    <w14:schemeClr w14:val="tx1"/>
                  </w14:solidFill>
                </w14:textFill>
              </w:rPr>
            </w:pPr>
            <w:r>
              <w:rPr>
                <w:color w:val="000000" w:themeColor="text1"/>
                <w14:textFill>
                  <w14:solidFill>
                    <w14:schemeClr w14:val="tx1"/>
                  </w14:solidFill>
                </w14:textFill>
              </w:rPr>
              <w:t>硝基苯</w:t>
            </w:r>
          </w:p>
        </w:tc>
        <w:tc>
          <w:tcPr>
            <w:tcW w:w="283" w:type="pct"/>
            <w:vAlign w:val="center"/>
          </w:tcPr>
          <w:p w14:paraId="2B2BF26D">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4FFFFE63">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57" w:type="pct"/>
            <w:vAlign w:val="center"/>
          </w:tcPr>
          <w:p w14:paraId="2ACEFE0C">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57" w:type="pct"/>
            <w:vAlign w:val="center"/>
          </w:tcPr>
          <w:p w14:paraId="61F4E348">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57" w:type="pct"/>
          </w:tcPr>
          <w:p w14:paraId="0AC0219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07D56EE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220D687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776D8C6C">
            <w:pPr>
              <w:pStyle w:val="109"/>
              <w:rPr>
                <w:color w:val="000000" w:themeColor="text1"/>
                <w14:textFill>
                  <w14:solidFill>
                    <w14:schemeClr w14:val="tx1"/>
                  </w14:solidFill>
                </w14:textFill>
              </w:rPr>
            </w:pPr>
            <w:r>
              <w:rPr>
                <w:color w:val="000000" w:themeColor="text1"/>
                <w14:textFill>
                  <w14:solidFill>
                    <w14:schemeClr w14:val="tx1"/>
                  </w14:solidFill>
                </w14:textFill>
              </w:rPr>
              <w:t>76</w:t>
            </w:r>
          </w:p>
        </w:tc>
      </w:tr>
      <w:tr w14:paraId="0E5D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608136EB">
            <w:pPr>
              <w:pStyle w:val="109"/>
              <w:rPr>
                <w:color w:val="000000" w:themeColor="text1"/>
                <w14:textFill>
                  <w14:solidFill>
                    <w14:schemeClr w14:val="tx1"/>
                  </w14:solidFill>
                </w14:textFill>
              </w:rPr>
            </w:pPr>
            <w:r>
              <w:rPr>
                <w:color w:val="000000" w:themeColor="text1"/>
                <w14:textFill>
                  <w14:solidFill>
                    <w14:schemeClr w14:val="tx1"/>
                  </w14:solidFill>
                </w14:textFill>
              </w:rPr>
              <w:t>苯胺</w:t>
            </w:r>
          </w:p>
        </w:tc>
        <w:tc>
          <w:tcPr>
            <w:tcW w:w="283" w:type="pct"/>
            <w:vAlign w:val="center"/>
          </w:tcPr>
          <w:p w14:paraId="5824C89C">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1630F073">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557" w:type="pct"/>
            <w:vAlign w:val="center"/>
          </w:tcPr>
          <w:p w14:paraId="6E853534">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557" w:type="pct"/>
            <w:vAlign w:val="center"/>
          </w:tcPr>
          <w:p w14:paraId="07570C65">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557" w:type="pct"/>
          </w:tcPr>
          <w:p w14:paraId="318345F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141F4B2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0F92E2C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111283F9">
            <w:pPr>
              <w:pStyle w:val="109"/>
              <w:rPr>
                <w:color w:val="000000" w:themeColor="text1"/>
                <w14:textFill>
                  <w14:solidFill>
                    <w14:schemeClr w14:val="tx1"/>
                  </w14:solidFill>
                </w14:textFill>
              </w:rPr>
            </w:pPr>
            <w:r>
              <w:rPr>
                <w:color w:val="000000" w:themeColor="text1"/>
                <w14:textFill>
                  <w14:solidFill>
                    <w14:schemeClr w14:val="tx1"/>
                  </w14:solidFill>
                </w14:textFill>
              </w:rPr>
              <w:t>260</w:t>
            </w:r>
          </w:p>
        </w:tc>
      </w:tr>
      <w:tr w14:paraId="2EEE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3A57FA1D">
            <w:pPr>
              <w:pStyle w:val="109"/>
              <w:rPr>
                <w:color w:val="000000" w:themeColor="text1"/>
                <w14:textFill>
                  <w14:solidFill>
                    <w14:schemeClr w14:val="tx1"/>
                  </w14:solidFill>
                </w14:textFill>
              </w:rPr>
            </w:pPr>
            <w:r>
              <w:rPr>
                <w:color w:val="000000" w:themeColor="text1"/>
                <w14:textFill>
                  <w14:solidFill>
                    <w14:schemeClr w14:val="tx1"/>
                  </w14:solidFill>
                </w14:textFill>
              </w:rPr>
              <w:t>2-氯苯酚</w:t>
            </w:r>
          </w:p>
        </w:tc>
        <w:tc>
          <w:tcPr>
            <w:tcW w:w="283" w:type="pct"/>
            <w:vAlign w:val="center"/>
          </w:tcPr>
          <w:p w14:paraId="5C230738">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46D8E3A2">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557" w:type="pct"/>
            <w:vAlign w:val="center"/>
          </w:tcPr>
          <w:p w14:paraId="09A19419">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557" w:type="pct"/>
            <w:vAlign w:val="center"/>
          </w:tcPr>
          <w:p w14:paraId="16BB392F">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557" w:type="pct"/>
          </w:tcPr>
          <w:p w14:paraId="278D791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796B705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29C0FB7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6B7CD46E">
            <w:pPr>
              <w:pStyle w:val="109"/>
              <w:rPr>
                <w:color w:val="000000" w:themeColor="text1"/>
                <w14:textFill>
                  <w14:solidFill>
                    <w14:schemeClr w14:val="tx1"/>
                  </w14:solidFill>
                </w14:textFill>
              </w:rPr>
            </w:pPr>
            <w:r>
              <w:rPr>
                <w:color w:val="000000" w:themeColor="text1"/>
                <w14:textFill>
                  <w14:solidFill>
                    <w14:schemeClr w14:val="tx1"/>
                  </w14:solidFill>
                </w14:textFill>
              </w:rPr>
              <w:t>2256</w:t>
            </w:r>
          </w:p>
        </w:tc>
      </w:tr>
      <w:tr w14:paraId="110E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0ED73BA9">
            <w:pPr>
              <w:pStyle w:val="109"/>
              <w:rPr>
                <w:color w:val="000000" w:themeColor="text1"/>
                <w14:textFill>
                  <w14:solidFill>
                    <w14:schemeClr w14:val="tx1"/>
                  </w14:solidFill>
                </w14:textFill>
              </w:rPr>
            </w:pPr>
            <w:r>
              <w:rPr>
                <w:color w:val="000000" w:themeColor="text1"/>
                <w14:textFill>
                  <w14:solidFill>
                    <w14:schemeClr w14:val="tx1"/>
                  </w14:solidFill>
                </w14:textFill>
              </w:rPr>
              <w:t>苯并[a]蒽</w:t>
            </w:r>
          </w:p>
        </w:tc>
        <w:tc>
          <w:tcPr>
            <w:tcW w:w="283" w:type="pct"/>
            <w:vAlign w:val="center"/>
          </w:tcPr>
          <w:p w14:paraId="72187C63">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3068D26F">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405DB887">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667CE277">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tcPr>
          <w:p w14:paraId="6008DDC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4F2FE58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7B84DFD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338BB0EB">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4BCB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03A374D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苯并[a]芘 </w:t>
            </w:r>
          </w:p>
        </w:tc>
        <w:tc>
          <w:tcPr>
            <w:tcW w:w="283" w:type="pct"/>
            <w:vAlign w:val="center"/>
          </w:tcPr>
          <w:p w14:paraId="30C675A3">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489BA8A9">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16A228F3">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6609A5AD">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tcPr>
          <w:p w14:paraId="1B25CEE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147FC48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04A2F02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79E470E4">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1318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67A14803">
            <w:pPr>
              <w:pStyle w:val="109"/>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283" w:type="pct"/>
            <w:vAlign w:val="center"/>
          </w:tcPr>
          <w:p w14:paraId="3154883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12F95EE6">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557" w:type="pct"/>
            <w:vAlign w:val="center"/>
          </w:tcPr>
          <w:p w14:paraId="03BA5FA5">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557" w:type="pct"/>
            <w:vAlign w:val="center"/>
          </w:tcPr>
          <w:p w14:paraId="1FF3F85D">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557" w:type="pct"/>
          </w:tcPr>
          <w:p w14:paraId="6D8BBCD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24D8284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138EBB4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65B2B009">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52DD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23775346">
            <w:pPr>
              <w:pStyle w:val="109"/>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283" w:type="pct"/>
            <w:vAlign w:val="center"/>
          </w:tcPr>
          <w:p w14:paraId="33C25C67">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425FA932">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6AEAAB78">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47C0FF4C">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tcPr>
          <w:p w14:paraId="520EE53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207D652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059F272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45AE82D3">
            <w:pPr>
              <w:pStyle w:val="109"/>
              <w:rPr>
                <w:color w:val="000000" w:themeColor="text1"/>
                <w14:textFill>
                  <w14:solidFill>
                    <w14:schemeClr w14:val="tx1"/>
                  </w14:solidFill>
                </w14:textFill>
              </w:rPr>
            </w:pPr>
            <w:r>
              <w:rPr>
                <w:color w:val="000000" w:themeColor="text1"/>
                <w14:textFill>
                  <w14:solidFill>
                    <w14:schemeClr w14:val="tx1"/>
                  </w14:solidFill>
                </w14:textFill>
              </w:rPr>
              <w:t>151</w:t>
            </w:r>
          </w:p>
        </w:tc>
      </w:tr>
      <w:tr w14:paraId="59EF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1CB0ED7C">
            <w:pPr>
              <w:pStyle w:val="109"/>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283" w:type="pct"/>
            <w:vAlign w:val="center"/>
          </w:tcPr>
          <w:p w14:paraId="4A936D5C">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14D74EEC">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22FB67D0">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21CA5342">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tcPr>
          <w:p w14:paraId="69E8C36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219CF14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1CE106B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7FCC413F">
            <w:pPr>
              <w:pStyle w:val="109"/>
              <w:rPr>
                <w:color w:val="000000" w:themeColor="text1"/>
                <w14:textFill>
                  <w14:solidFill>
                    <w14:schemeClr w14:val="tx1"/>
                  </w14:solidFill>
                </w14:textFill>
              </w:rPr>
            </w:pPr>
            <w:r>
              <w:rPr>
                <w:color w:val="000000" w:themeColor="text1"/>
                <w14:textFill>
                  <w14:solidFill>
                    <w14:schemeClr w14:val="tx1"/>
                  </w14:solidFill>
                </w14:textFill>
              </w:rPr>
              <w:t>1293</w:t>
            </w:r>
          </w:p>
        </w:tc>
      </w:tr>
      <w:tr w14:paraId="45B3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66E6B64B">
            <w:pPr>
              <w:pStyle w:val="109"/>
              <w:rPr>
                <w:color w:val="000000" w:themeColor="text1"/>
                <w14:textFill>
                  <w14:solidFill>
                    <w14:schemeClr w14:val="tx1"/>
                  </w14:solidFill>
                </w14:textFill>
              </w:rPr>
            </w:pPr>
            <w:r>
              <w:rPr>
                <w:color w:val="000000" w:themeColor="text1"/>
                <w14:textFill>
                  <w14:solidFill>
                    <w14:schemeClr w14:val="tx1"/>
                  </w14:solidFill>
                </w14:textFill>
              </w:rPr>
              <w:t>二苯并[a，h]蒽</w:t>
            </w:r>
          </w:p>
        </w:tc>
        <w:tc>
          <w:tcPr>
            <w:tcW w:w="283" w:type="pct"/>
            <w:vAlign w:val="center"/>
          </w:tcPr>
          <w:p w14:paraId="3BEC4BA4">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731E97BC">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77AFFA3C">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351FC237">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tcPr>
          <w:p w14:paraId="1E6A798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75C5A0D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39B9102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0BAEA315">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6C90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04B0E8A0">
            <w:pPr>
              <w:pStyle w:val="109"/>
              <w:rPr>
                <w:color w:val="000000" w:themeColor="text1"/>
                <w14:textFill>
                  <w14:solidFill>
                    <w14:schemeClr w14:val="tx1"/>
                  </w14:solidFill>
                </w14:textFill>
              </w:rPr>
            </w:pPr>
            <w:r>
              <w:rPr>
                <w:color w:val="000000" w:themeColor="text1"/>
                <w14:textFill>
                  <w14:solidFill>
                    <w14:schemeClr w14:val="tx1"/>
                  </w14:solidFill>
                </w14:textFill>
              </w:rPr>
              <w:t>茚并[1，2，3-cd]芘</w:t>
            </w:r>
          </w:p>
        </w:tc>
        <w:tc>
          <w:tcPr>
            <w:tcW w:w="283" w:type="pct"/>
            <w:vAlign w:val="center"/>
          </w:tcPr>
          <w:p w14:paraId="11D903EA">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4D77EDEA">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0CEF15E8">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vAlign w:val="center"/>
          </w:tcPr>
          <w:p w14:paraId="4B282E56">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57" w:type="pct"/>
          </w:tcPr>
          <w:p w14:paraId="5F8676E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448C57B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570D81C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3C38DD5A">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31F7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02FD3FA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萘 </w:t>
            </w:r>
          </w:p>
        </w:tc>
        <w:tc>
          <w:tcPr>
            <w:tcW w:w="283" w:type="pct"/>
            <w:vAlign w:val="center"/>
          </w:tcPr>
          <w:p w14:paraId="48809D4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091D6C15">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57" w:type="pct"/>
            <w:vAlign w:val="center"/>
          </w:tcPr>
          <w:p w14:paraId="48C82537">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57" w:type="pct"/>
            <w:vAlign w:val="center"/>
          </w:tcPr>
          <w:p w14:paraId="414882AD">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57" w:type="pct"/>
          </w:tcPr>
          <w:p w14:paraId="15C9FC9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00EB18B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5620471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2F5383E3">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r>
      <w:tr w14:paraId="693A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7D3F444C">
            <w:pPr>
              <w:pStyle w:val="109"/>
              <w:rPr>
                <w:color w:val="000000" w:themeColor="text1"/>
                <w14:textFill>
                  <w14:solidFill>
                    <w14:schemeClr w14:val="tx1"/>
                  </w14:solidFill>
                </w14:textFill>
              </w:rPr>
            </w:pPr>
            <w:r>
              <w:rPr>
                <w:color w:val="000000" w:themeColor="text1"/>
                <w14:textFill>
                  <w14:solidFill>
                    <w14:schemeClr w14:val="tx1"/>
                  </w14:solidFill>
                </w14:textFill>
              </w:rPr>
              <w:t>pH</w:t>
            </w:r>
          </w:p>
        </w:tc>
        <w:tc>
          <w:tcPr>
            <w:tcW w:w="283" w:type="pct"/>
            <w:vAlign w:val="center"/>
          </w:tcPr>
          <w:p w14:paraId="7F2C1A35">
            <w:pPr>
              <w:pStyle w:val="109"/>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557" w:type="pct"/>
            <w:vAlign w:val="center"/>
          </w:tcPr>
          <w:p w14:paraId="59F6542B">
            <w:pPr>
              <w:pStyle w:val="109"/>
              <w:rPr>
                <w:color w:val="000000" w:themeColor="text1"/>
                <w14:textFill>
                  <w14:solidFill>
                    <w14:schemeClr w14:val="tx1"/>
                  </w14:solidFill>
                </w14:textFill>
              </w:rPr>
            </w:pPr>
            <w:r>
              <w:rPr>
                <w:color w:val="000000" w:themeColor="text1"/>
                <w14:textFill>
                  <w14:solidFill>
                    <w14:schemeClr w14:val="tx1"/>
                  </w14:solidFill>
                </w14:textFill>
              </w:rPr>
              <w:t>8.19</w:t>
            </w:r>
          </w:p>
        </w:tc>
        <w:tc>
          <w:tcPr>
            <w:tcW w:w="557" w:type="pct"/>
            <w:vAlign w:val="center"/>
          </w:tcPr>
          <w:p w14:paraId="5A07EBA2">
            <w:pPr>
              <w:pStyle w:val="109"/>
              <w:rPr>
                <w:color w:val="000000" w:themeColor="text1"/>
                <w14:textFill>
                  <w14:solidFill>
                    <w14:schemeClr w14:val="tx1"/>
                  </w14:solidFill>
                </w14:textFill>
              </w:rPr>
            </w:pPr>
            <w:r>
              <w:rPr>
                <w:color w:val="000000" w:themeColor="text1"/>
                <w14:textFill>
                  <w14:solidFill>
                    <w14:schemeClr w14:val="tx1"/>
                  </w14:solidFill>
                </w14:textFill>
              </w:rPr>
              <w:t>7.93</w:t>
            </w:r>
          </w:p>
        </w:tc>
        <w:tc>
          <w:tcPr>
            <w:tcW w:w="557" w:type="pct"/>
            <w:vAlign w:val="center"/>
          </w:tcPr>
          <w:p w14:paraId="7CE782E9">
            <w:pPr>
              <w:pStyle w:val="109"/>
              <w:rPr>
                <w:color w:val="000000" w:themeColor="text1"/>
                <w14:textFill>
                  <w14:solidFill>
                    <w14:schemeClr w14:val="tx1"/>
                  </w14:solidFill>
                </w14:textFill>
              </w:rPr>
            </w:pPr>
            <w:r>
              <w:rPr>
                <w:color w:val="000000" w:themeColor="text1"/>
                <w14:textFill>
                  <w14:solidFill>
                    <w14:schemeClr w14:val="tx1"/>
                  </w14:solidFill>
                </w14:textFill>
              </w:rPr>
              <w:t>7.85</w:t>
            </w:r>
          </w:p>
        </w:tc>
        <w:tc>
          <w:tcPr>
            <w:tcW w:w="557" w:type="pct"/>
          </w:tcPr>
          <w:p w14:paraId="5896156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10C0453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3B2C5AA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2F9E5BF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16C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0C406E8B">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283" w:type="pct"/>
            <w:vAlign w:val="center"/>
          </w:tcPr>
          <w:p w14:paraId="1EDD9487">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3597C434">
            <w:pPr>
              <w:pStyle w:val="109"/>
              <w:rPr>
                <w:color w:val="000000" w:themeColor="text1"/>
                <w14:textFill>
                  <w14:solidFill>
                    <w14:schemeClr w14:val="tx1"/>
                  </w14:solidFill>
                </w14:textFill>
              </w:rPr>
            </w:pPr>
            <w:r>
              <w:rPr>
                <w:color w:val="000000" w:themeColor="text1"/>
                <w14:textFill>
                  <w14:solidFill>
                    <w14:schemeClr w14:val="tx1"/>
                  </w14:solidFill>
                </w14:textFill>
              </w:rPr>
              <w:t>9.39</w:t>
            </w:r>
          </w:p>
        </w:tc>
        <w:tc>
          <w:tcPr>
            <w:tcW w:w="557" w:type="pct"/>
            <w:vAlign w:val="center"/>
          </w:tcPr>
          <w:p w14:paraId="1A4ECB78">
            <w:pPr>
              <w:pStyle w:val="109"/>
              <w:rPr>
                <w:color w:val="000000" w:themeColor="text1"/>
                <w14:textFill>
                  <w14:solidFill>
                    <w14:schemeClr w14:val="tx1"/>
                  </w14:solidFill>
                </w14:textFill>
              </w:rPr>
            </w:pPr>
            <w:r>
              <w:rPr>
                <w:color w:val="000000" w:themeColor="text1"/>
                <w14:textFill>
                  <w14:solidFill>
                    <w14:schemeClr w14:val="tx1"/>
                  </w14:solidFill>
                </w14:textFill>
              </w:rPr>
              <w:t>8.36</w:t>
            </w:r>
          </w:p>
        </w:tc>
        <w:tc>
          <w:tcPr>
            <w:tcW w:w="557" w:type="pct"/>
            <w:vAlign w:val="center"/>
          </w:tcPr>
          <w:p w14:paraId="5BE0867F">
            <w:pPr>
              <w:pStyle w:val="109"/>
              <w:rPr>
                <w:color w:val="000000" w:themeColor="text1"/>
                <w14:textFill>
                  <w14:solidFill>
                    <w14:schemeClr w14:val="tx1"/>
                  </w14:solidFill>
                </w14:textFill>
              </w:rPr>
            </w:pPr>
            <w:r>
              <w:rPr>
                <w:color w:val="000000" w:themeColor="text1"/>
                <w14:textFill>
                  <w14:solidFill>
                    <w14:schemeClr w14:val="tx1"/>
                  </w14:solidFill>
                </w14:textFill>
              </w:rPr>
              <w:t>6.84</w:t>
            </w:r>
          </w:p>
        </w:tc>
        <w:tc>
          <w:tcPr>
            <w:tcW w:w="557" w:type="pct"/>
            <w:vAlign w:val="bottom"/>
          </w:tcPr>
          <w:p w14:paraId="4F94900D">
            <w:pPr>
              <w:pStyle w:val="109"/>
              <w:rPr>
                <w:color w:val="000000" w:themeColor="text1"/>
                <w14:textFill>
                  <w14:solidFill>
                    <w14:schemeClr w14:val="tx1"/>
                  </w14:solidFill>
                </w14:textFill>
              </w:rPr>
            </w:pPr>
            <w:r>
              <w:rPr>
                <w:color w:val="000000" w:themeColor="text1"/>
                <w14:textFill>
                  <w14:solidFill>
                    <w14:schemeClr w14:val="tx1"/>
                  </w14:solidFill>
                </w14:textFill>
              </w:rPr>
              <w:t>1.57E-01</w:t>
            </w:r>
          </w:p>
        </w:tc>
        <w:tc>
          <w:tcPr>
            <w:tcW w:w="557" w:type="pct"/>
            <w:vAlign w:val="bottom"/>
          </w:tcPr>
          <w:p w14:paraId="11671B5E">
            <w:pPr>
              <w:pStyle w:val="109"/>
              <w:rPr>
                <w:color w:val="000000" w:themeColor="text1"/>
                <w14:textFill>
                  <w14:solidFill>
                    <w14:schemeClr w14:val="tx1"/>
                  </w14:solidFill>
                </w14:textFill>
              </w:rPr>
            </w:pPr>
            <w:r>
              <w:rPr>
                <w:color w:val="000000" w:themeColor="text1"/>
                <w14:textFill>
                  <w14:solidFill>
                    <w14:schemeClr w14:val="tx1"/>
                  </w14:solidFill>
                </w14:textFill>
              </w:rPr>
              <w:t>1.39E-01</w:t>
            </w:r>
          </w:p>
        </w:tc>
        <w:tc>
          <w:tcPr>
            <w:tcW w:w="559" w:type="pct"/>
            <w:vAlign w:val="bottom"/>
          </w:tcPr>
          <w:p w14:paraId="3B91940E">
            <w:pPr>
              <w:pStyle w:val="109"/>
              <w:rPr>
                <w:color w:val="000000" w:themeColor="text1"/>
                <w14:textFill>
                  <w14:solidFill>
                    <w14:schemeClr w14:val="tx1"/>
                  </w14:solidFill>
                </w14:textFill>
              </w:rPr>
            </w:pPr>
            <w:r>
              <w:rPr>
                <w:color w:val="000000" w:themeColor="text1"/>
                <w14:textFill>
                  <w14:solidFill>
                    <w14:schemeClr w14:val="tx1"/>
                  </w14:solidFill>
                </w14:textFill>
              </w:rPr>
              <w:t>1.14E-01</w:t>
            </w:r>
          </w:p>
        </w:tc>
        <w:tc>
          <w:tcPr>
            <w:tcW w:w="792" w:type="pct"/>
            <w:vAlign w:val="center"/>
          </w:tcPr>
          <w:p w14:paraId="5AE9ABAF">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r>
      <w:tr w14:paraId="155D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41F31A5B">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283" w:type="pct"/>
            <w:vAlign w:val="center"/>
          </w:tcPr>
          <w:p w14:paraId="2646F7D1">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0B9DCFD7">
            <w:pPr>
              <w:pStyle w:val="10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557" w:type="pct"/>
            <w:vAlign w:val="center"/>
          </w:tcPr>
          <w:p w14:paraId="403B2673">
            <w:pPr>
              <w:pStyle w:val="109"/>
              <w:rPr>
                <w:color w:val="000000" w:themeColor="text1"/>
                <w14:textFill>
                  <w14:solidFill>
                    <w14:schemeClr w14:val="tx1"/>
                  </w14:solidFill>
                </w14:textFill>
              </w:rPr>
            </w:pPr>
            <w:r>
              <w:rPr>
                <w:color w:val="000000" w:themeColor="text1"/>
                <w14:textFill>
                  <w14:solidFill>
                    <w14:schemeClr w14:val="tx1"/>
                  </w14:solidFill>
                </w14:textFill>
              </w:rPr>
              <w:t>37</w:t>
            </w:r>
          </w:p>
        </w:tc>
        <w:tc>
          <w:tcPr>
            <w:tcW w:w="557" w:type="pct"/>
            <w:vAlign w:val="center"/>
          </w:tcPr>
          <w:p w14:paraId="383EDE39">
            <w:pPr>
              <w:pStyle w:val="109"/>
              <w:rPr>
                <w:color w:val="000000" w:themeColor="text1"/>
                <w14:textFill>
                  <w14:solidFill>
                    <w14:schemeClr w14:val="tx1"/>
                  </w14:solidFill>
                </w14:textFill>
              </w:rPr>
            </w:pPr>
            <w:r>
              <w:rPr>
                <w:color w:val="000000" w:themeColor="text1"/>
                <w14:textFill>
                  <w14:solidFill>
                    <w14:schemeClr w14:val="tx1"/>
                  </w14:solidFill>
                </w14:textFill>
              </w:rPr>
              <w:t>33</w:t>
            </w:r>
          </w:p>
        </w:tc>
        <w:tc>
          <w:tcPr>
            <w:tcW w:w="557" w:type="pct"/>
            <w:vAlign w:val="bottom"/>
          </w:tcPr>
          <w:p w14:paraId="5EDFFF61">
            <w:pPr>
              <w:pStyle w:val="109"/>
              <w:rPr>
                <w:color w:val="000000" w:themeColor="text1"/>
                <w14:textFill>
                  <w14:solidFill>
                    <w14:schemeClr w14:val="tx1"/>
                  </w14:solidFill>
                </w14:textFill>
              </w:rPr>
            </w:pPr>
            <w:r>
              <w:rPr>
                <w:color w:val="000000" w:themeColor="text1"/>
                <w14:textFill>
                  <w14:solidFill>
                    <w14:schemeClr w14:val="tx1"/>
                  </w14:solidFill>
                </w14:textFill>
              </w:rPr>
              <w:t>5.25E-02</w:t>
            </w:r>
          </w:p>
        </w:tc>
        <w:tc>
          <w:tcPr>
            <w:tcW w:w="557" w:type="pct"/>
            <w:vAlign w:val="bottom"/>
          </w:tcPr>
          <w:p w14:paraId="525521CD">
            <w:pPr>
              <w:pStyle w:val="109"/>
              <w:rPr>
                <w:color w:val="000000" w:themeColor="text1"/>
                <w14:textFill>
                  <w14:solidFill>
                    <w14:schemeClr w14:val="tx1"/>
                  </w14:solidFill>
                </w14:textFill>
              </w:rPr>
            </w:pPr>
            <w:r>
              <w:rPr>
                <w:color w:val="000000" w:themeColor="text1"/>
                <w14:textFill>
                  <w14:solidFill>
                    <w14:schemeClr w14:val="tx1"/>
                  </w14:solidFill>
                </w14:textFill>
              </w:rPr>
              <w:t>4.63E-02</w:t>
            </w:r>
          </w:p>
        </w:tc>
        <w:tc>
          <w:tcPr>
            <w:tcW w:w="559" w:type="pct"/>
            <w:vAlign w:val="bottom"/>
          </w:tcPr>
          <w:p w14:paraId="26FE8F17">
            <w:pPr>
              <w:pStyle w:val="109"/>
              <w:rPr>
                <w:color w:val="000000" w:themeColor="text1"/>
                <w14:textFill>
                  <w14:solidFill>
                    <w14:schemeClr w14:val="tx1"/>
                  </w14:solidFill>
                </w14:textFill>
              </w:rPr>
            </w:pPr>
            <w:r>
              <w:rPr>
                <w:color w:val="000000" w:themeColor="text1"/>
                <w14:textFill>
                  <w14:solidFill>
                    <w14:schemeClr w14:val="tx1"/>
                  </w14:solidFill>
                </w14:textFill>
              </w:rPr>
              <w:t>4.13E-02</w:t>
            </w:r>
          </w:p>
        </w:tc>
        <w:tc>
          <w:tcPr>
            <w:tcW w:w="792" w:type="pct"/>
            <w:vAlign w:val="center"/>
          </w:tcPr>
          <w:p w14:paraId="0EC42220">
            <w:pPr>
              <w:pStyle w:val="109"/>
              <w:rPr>
                <w:color w:val="000000" w:themeColor="text1"/>
                <w14:textFill>
                  <w14:solidFill>
                    <w14:schemeClr w14:val="tx1"/>
                  </w14:solidFill>
                </w14:textFill>
              </w:rPr>
            </w:pPr>
            <w:r>
              <w:rPr>
                <w:color w:val="000000" w:themeColor="text1"/>
                <w14:textFill>
                  <w14:solidFill>
                    <w14:schemeClr w14:val="tx1"/>
                  </w14:solidFill>
                </w14:textFill>
              </w:rPr>
              <w:t>800</w:t>
            </w:r>
          </w:p>
        </w:tc>
      </w:tr>
      <w:tr w14:paraId="79CF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4E27978E">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283" w:type="pct"/>
            <w:vAlign w:val="center"/>
          </w:tcPr>
          <w:p w14:paraId="5FEDF8E7">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47729959">
            <w:pPr>
              <w:pStyle w:val="109"/>
              <w:rPr>
                <w:color w:val="000000" w:themeColor="text1"/>
                <w14:textFill>
                  <w14:solidFill>
                    <w14:schemeClr w14:val="tx1"/>
                  </w14:solidFill>
                </w14:textFill>
              </w:rPr>
            </w:pPr>
            <w:r>
              <w:rPr>
                <w:color w:val="000000" w:themeColor="text1"/>
                <w14:textFill>
                  <w14:solidFill>
                    <w14:schemeClr w14:val="tx1"/>
                  </w14:solidFill>
                </w14:textFill>
              </w:rPr>
              <w:t>0.099</w:t>
            </w:r>
          </w:p>
        </w:tc>
        <w:tc>
          <w:tcPr>
            <w:tcW w:w="557" w:type="pct"/>
            <w:vAlign w:val="center"/>
          </w:tcPr>
          <w:p w14:paraId="1271C699">
            <w:pPr>
              <w:pStyle w:val="109"/>
              <w:rPr>
                <w:color w:val="000000" w:themeColor="text1"/>
                <w14:textFill>
                  <w14:solidFill>
                    <w14:schemeClr w14:val="tx1"/>
                  </w14:solidFill>
                </w14:textFill>
              </w:rPr>
            </w:pPr>
            <w:r>
              <w:rPr>
                <w:color w:val="000000" w:themeColor="text1"/>
                <w14:textFill>
                  <w14:solidFill>
                    <w14:schemeClr w14:val="tx1"/>
                  </w14:solidFill>
                </w14:textFill>
              </w:rPr>
              <w:t>0.081</w:t>
            </w:r>
          </w:p>
        </w:tc>
        <w:tc>
          <w:tcPr>
            <w:tcW w:w="557" w:type="pct"/>
            <w:vAlign w:val="center"/>
          </w:tcPr>
          <w:p w14:paraId="31DC9833">
            <w:pPr>
              <w:pStyle w:val="109"/>
              <w:rPr>
                <w:color w:val="000000" w:themeColor="text1"/>
                <w14:textFill>
                  <w14:solidFill>
                    <w14:schemeClr w14:val="tx1"/>
                  </w14:solidFill>
                </w14:textFill>
              </w:rPr>
            </w:pPr>
            <w:r>
              <w:rPr>
                <w:color w:val="000000" w:themeColor="text1"/>
                <w14:textFill>
                  <w14:solidFill>
                    <w14:schemeClr w14:val="tx1"/>
                  </w14:solidFill>
                </w14:textFill>
              </w:rPr>
              <w:t>0.062</w:t>
            </w:r>
          </w:p>
        </w:tc>
        <w:tc>
          <w:tcPr>
            <w:tcW w:w="557" w:type="pct"/>
            <w:vAlign w:val="bottom"/>
          </w:tcPr>
          <w:p w14:paraId="76C7B457">
            <w:pPr>
              <w:pStyle w:val="109"/>
              <w:rPr>
                <w:color w:val="000000" w:themeColor="text1"/>
                <w14:textFill>
                  <w14:solidFill>
                    <w14:schemeClr w14:val="tx1"/>
                  </w14:solidFill>
                </w14:textFill>
              </w:rPr>
            </w:pPr>
            <w:r>
              <w:rPr>
                <w:color w:val="000000" w:themeColor="text1"/>
                <w14:textFill>
                  <w14:solidFill>
                    <w14:schemeClr w14:val="tx1"/>
                  </w14:solidFill>
                </w14:textFill>
              </w:rPr>
              <w:t>2.61E-03</w:t>
            </w:r>
          </w:p>
        </w:tc>
        <w:tc>
          <w:tcPr>
            <w:tcW w:w="557" w:type="pct"/>
            <w:vAlign w:val="bottom"/>
          </w:tcPr>
          <w:p w14:paraId="665E694F">
            <w:pPr>
              <w:pStyle w:val="109"/>
              <w:rPr>
                <w:color w:val="000000" w:themeColor="text1"/>
                <w14:textFill>
                  <w14:solidFill>
                    <w14:schemeClr w14:val="tx1"/>
                  </w14:solidFill>
                </w14:textFill>
              </w:rPr>
            </w:pPr>
            <w:r>
              <w:rPr>
                <w:color w:val="000000" w:themeColor="text1"/>
                <w14:textFill>
                  <w14:solidFill>
                    <w14:schemeClr w14:val="tx1"/>
                  </w14:solidFill>
                </w14:textFill>
              </w:rPr>
              <w:t>2.13E-03</w:t>
            </w:r>
          </w:p>
        </w:tc>
        <w:tc>
          <w:tcPr>
            <w:tcW w:w="559" w:type="pct"/>
            <w:vAlign w:val="bottom"/>
          </w:tcPr>
          <w:p w14:paraId="4EFAF7B4">
            <w:pPr>
              <w:pStyle w:val="109"/>
              <w:rPr>
                <w:color w:val="000000" w:themeColor="text1"/>
                <w14:textFill>
                  <w14:solidFill>
                    <w14:schemeClr w14:val="tx1"/>
                  </w14:solidFill>
                </w14:textFill>
              </w:rPr>
            </w:pPr>
            <w:r>
              <w:rPr>
                <w:color w:val="000000" w:themeColor="text1"/>
                <w14:textFill>
                  <w14:solidFill>
                    <w14:schemeClr w14:val="tx1"/>
                  </w14:solidFill>
                </w14:textFill>
              </w:rPr>
              <w:t>1.63E-03</w:t>
            </w:r>
          </w:p>
        </w:tc>
        <w:tc>
          <w:tcPr>
            <w:tcW w:w="792" w:type="pct"/>
            <w:vAlign w:val="center"/>
          </w:tcPr>
          <w:p w14:paraId="0CFDA5D6">
            <w:pPr>
              <w:pStyle w:val="109"/>
              <w:rPr>
                <w:color w:val="000000" w:themeColor="text1"/>
                <w14:textFill>
                  <w14:solidFill>
                    <w14:schemeClr w14:val="tx1"/>
                  </w14:solidFill>
                </w14:textFill>
              </w:rPr>
            </w:pPr>
            <w:r>
              <w:rPr>
                <w:color w:val="000000" w:themeColor="text1"/>
                <w14:textFill>
                  <w14:solidFill>
                    <w14:schemeClr w14:val="tx1"/>
                  </w14:solidFill>
                </w14:textFill>
              </w:rPr>
              <w:t>38</w:t>
            </w:r>
          </w:p>
        </w:tc>
      </w:tr>
      <w:tr w14:paraId="0472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309413C2">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283" w:type="pct"/>
            <w:vAlign w:val="center"/>
          </w:tcPr>
          <w:p w14:paraId="3BC6CAA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54582B19">
            <w:pPr>
              <w:pStyle w:val="109"/>
              <w:rPr>
                <w:color w:val="000000" w:themeColor="text1"/>
                <w14:textFill>
                  <w14:solidFill>
                    <w14:schemeClr w14:val="tx1"/>
                  </w14:solidFill>
                </w14:textFill>
              </w:rPr>
            </w:pPr>
            <w:r>
              <w:rPr>
                <w:color w:val="000000" w:themeColor="text1"/>
                <w14:textFill>
                  <w14:solidFill>
                    <w14:schemeClr w14:val="tx1"/>
                  </w14:solidFill>
                </w14:textFill>
              </w:rPr>
              <w:t>0.37</w:t>
            </w:r>
          </w:p>
        </w:tc>
        <w:tc>
          <w:tcPr>
            <w:tcW w:w="557" w:type="pct"/>
            <w:vAlign w:val="center"/>
          </w:tcPr>
          <w:p w14:paraId="557A4927">
            <w:pPr>
              <w:pStyle w:val="109"/>
              <w:rPr>
                <w:color w:val="000000" w:themeColor="text1"/>
                <w14:textFill>
                  <w14:solidFill>
                    <w14:schemeClr w14:val="tx1"/>
                  </w14:solidFill>
                </w14:textFill>
              </w:rPr>
            </w:pPr>
            <w:r>
              <w:rPr>
                <w:color w:val="000000" w:themeColor="text1"/>
                <w14:textFill>
                  <w14:solidFill>
                    <w14:schemeClr w14:val="tx1"/>
                  </w14:solidFill>
                </w14:textFill>
              </w:rPr>
              <w:t>0.31</w:t>
            </w:r>
          </w:p>
        </w:tc>
        <w:tc>
          <w:tcPr>
            <w:tcW w:w="557" w:type="pct"/>
            <w:vAlign w:val="center"/>
          </w:tcPr>
          <w:p w14:paraId="4F554CA9">
            <w:pPr>
              <w:pStyle w:val="109"/>
              <w:rPr>
                <w:color w:val="000000" w:themeColor="text1"/>
                <w14:textFill>
                  <w14:solidFill>
                    <w14:schemeClr w14:val="tx1"/>
                  </w14:solidFill>
                </w14:textFill>
              </w:rPr>
            </w:pPr>
            <w:r>
              <w:rPr>
                <w:color w:val="000000" w:themeColor="text1"/>
                <w14:textFill>
                  <w14:solidFill>
                    <w14:schemeClr w14:val="tx1"/>
                  </w14:solidFill>
                </w14:textFill>
              </w:rPr>
              <w:t>0.26</w:t>
            </w:r>
          </w:p>
        </w:tc>
        <w:tc>
          <w:tcPr>
            <w:tcW w:w="557" w:type="pct"/>
            <w:vAlign w:val="bottom"/>
          </w:tcPr>
          <w:p w14:paraId="166AD407">
            <w:pPr>
              <w:pStyle w:val="109"/>
              <w:rPr>
                <w:color w:val="000000" w:themeColor="text1"/>
                <w14:textFill>
                  <w14:solidFill>
                    <w14:schemeClr w14:val="tx1"/>
                  </w14:solidFill>
                </w14:textFill>
              </w:rPr>
            </w:pPr>
            <w:r>
              <w:rPr>
                <w:color w:val="000000" w:themeColor="text1"/>
                <w14:textFill>
                  <w14:solidFill>
                    <w14:schemeClr w14:val="tx1"/>
                  </w14:solidFill>
                </w14:textFill>
              </w:rPr>
              <w:t>5.69E-03</w:t>
            </w:r>
          </w:p>
        </w:tc>
        <w:tc>
          <w:tcPr>
            <w:tcW w:w="557" w:type="pct"/>
            <w:vAlign w:val="bottom"/>
          </w:tcPr>
          <w:p w14:paraId="1B54C1D9">
            <w:pPr>
              <w:pStyle w:val="109"/>
              <w:rPr>
                <w:color w:val="000000" w:themeColor="text1"/>
                <w14:textFill>
                  <w14:solidFill>
                    <w14:schemeClr w14:val="tx1"/>
                  </w14:solidFill>
                </w14:textFill>
              </w:rPr>
            </w:pPr>
            <w:r>
              <w:rPr>
                <w:color w:val="000000" w:themeColor="text1"/>
                <w14:textFill>
                  <w14:solidFill>
                    <w14:schemeClr w14:val="tx1"/>
                  </w14:solidFill>
                </w14:textFill>
              </w:rPr>
              <w:t>4.77E-03</w:t>
            </w:r>
          </w:p>
        </w:tc>
        <w:tc>
          <w:tcPr>
            <w:tcW w:w="559" w:type="pct"/>
            <w:vAlign w:val="bottom"/>
          </w:tcPr>
          <w:p w14:paraId="1D9D693E">
            <w:pPr>
              <w:pStyle w:val="109"/>
              <w:rPr>
                <w:color w:val="000000" w:themeColor="text1"/>
                <w14:textFill>
                  <w14:solidFill>
                    <w14:schemeClr w14:val="tx1"/>
                  </w14:solidFill>
                </w14:textFill>
              </w:rPr>
            </w:pPr>
            <w:r>
              <w:rPr>
                <w:color w:val="000000" w:themeColor="text1"/>
                <w14:textFill>
                  <w14:solidFill>
                    <w14:schemeClr w14:val="tx1"/>
                  </w14:solidFill>
                </w14:textFill>
              </w:rPr>
              <w:t>4.00E-03</w:t>
            </w:r>
          </w:p>
        </w:tc>
        <w:tc>
          <w:tcPr>
            <w:tcW w:w="792" w:type="pct"/>
            <w:vAlign w:val="center"/>
          </w:tcPr>
          <w:p w14:paraId="3ADB26F9">
            <w:pPr>
              <w:pStyle w:val="109"/>
              <w:rPr>
                <w:color w:val="000000" w:themeColor="text1"/>
                <w14:textFill>
                  <w14:solidFill>
                    <w14:schemeClr w14:val="tx1"/>
                  </w14:solidFill>
                </w14:textFill>
              </w:rPr>
            </w:pPr>
            <w:r>
              <w:rPr>
                <w:color w:val="000000" w:themeColor="text1"/>
                <w14:textFill>
                  <w14:solidFill>
                    <w14:schemeClr w14:val="tx1"/>
                  </w14:solidFill>
                </w14:textFill>
              </w:rPr>
              <w:t>65</w:t>
            </w:r>
          </w:p>
        </w:tc>
      </w:tr>
      <w:tr w14:paraId="226E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464DF414">
            <w:pPr>
              <w:pStyle w:val="109"/>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283" w:type="pct"/>
            <w:vAlign w:val="center"/>
          </w:tcPr>
          <w:p w14:paraId="37998559">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179D7842">
            <w:pPr>
              <w:pStyle w:val="109"/>
              <w:rPr>
                <w:color w:val="000000" w:themeColor="text1"/>
                <w14:textFill>
                  <w14:solidFill>
                    <w14:schemeClr w14:val="tx1"/>
                  </w14:solidFill>
                </w14:textFill>
              </w:rPr>
            </w:pPr>
            <w:r>
              <w:rPr>
                <w:color w:val="000000" w:themeColor="text1"/>
                <w14:textFill>
                  <w14:solidFill>
                    <w14:schemeClr w14:val="tx1"/>
                  </w14:solidFill>
                </w14:textFill>
              </w:rPr>
              <w:t>31</w:t>
            </w:r>
          </w:p>
        </w:tc>
        <w:tc>
          <w:tcPr>
            <w:tcW w:w="557" w:type="pct"/>
            <w:vAlign w:val="center"/>
          </w:tcPr>
          <w:p w14:paraId="0F1B360D">
            <w:pPr>
              <w:pStyle w:val="109"/>
              <w:rPr>
                <w:color w:val="000000" w:themeColor="text1"/>
                <w14:textFill>
                  <w14:solidFill>
                    <w14:schemeClr w14:val="tx1"/>
                  </w14:solidFill>
                </w14:textFill>
              </w:rPr>
            </w:pPr>
            <w:r>
              <w:rPr>
                <w:color w:val="000000" w:themeColor="text1"/>
                <w14:textFill>
                  <w14:solidFill>
                    <w14:schemeClr w14:val="tx1"/>
                  </w14:solidFill>
                </w14:textFill>
              </w:rPr>
              <w:t>27</w:t>
            </w:r>
          </w:p>
        </w:tc>
        <w:tc>
          <w:tcPr>
            <w:tcW w:w="557" w:type="pct"/>
            <w:vAlign w:val="center"/>
          </w:tcPr>
          <w:p w14:paraId="21F53B6F">
            <w:pPr>
              <w:pStyle w:val="109"/>
              <w:rPr>
                <w:color w:val="000000" w:themeColor="text1"/>
                <w14:textFill>
                  <w14:solidFill>
                    <w14:schemeClr w14:val="tx1"/>
                  </w14:solidFill>
                </w14:textFill>
              </w:rPr>
            </w:pPr>
            <w:r>
              <w:rPr>
                <w:color w:val="000000" w:themeColor="text1"/>
                <w14:textFill>
                  <w14:solidFill>
                    <w14:schemeClr w14:val="tx1"/>
                  </w14:solidFill>
                </w14:textFill>
              </w:rPr>
              <w:t>24</w:t>
            </w:r>
          </w:p>
        </w:tc>
        <w:tc>
          <w:tcPr>
            <w:tcW w:w="557" w:type="pct"/>
            <w:vAlign w:val="bottom"/>
          </w:tcPr>
          <w:p w14:paraId="57F5D954">
            <w:pPr>
              <w:pStyle w:val="109"/>
              <w:rPr>
                <w:color w:val="000000" w:themeColor="text1"/>
                <w14:textFill>
                  <w14:solidFill>
                    <w14:schemeClr w14:val="tx1"/>
                  </w14:solidFill>
                </w14:textFill>
              </w:rPr>
            </w:pPr>
            <w:r>
              <w:rPr>
                <w:color w:val="000000" w:themeColor="text1"/>
                <w14:textFill>
                  <w14:solidFill>
                    <w14:schemeClr w14:val="tx1"/>
                  </w14:solidFill>
                </w14:textFill>
              </w:rPr>
              <w:t>1.72E-03</w:t>
            </w:r>
          </w:p>
        </w:tc>
        <w:tc>
          <w:tcPr>
            <w:tcW w:w="557" w:type="pct"/>
            <w:vAlign w:val="bottom"/>
          </w:tcPr>
          <w:p w14:paraId="0D9F5AB6">
            <w:pPr>
              <w:pStyle w:val="109"/>
              <w:rPr>
                <w:color w:val="000000" w:themeColor="text1"/>
                <w14:textFill>
                  <w14:solidFill>
                    <w14:schemeClr w14:val="tx1"/>
                  </w14:solidFill>
                </w14:textFill>
              </w:rPr>
            </w:pPr>
            <w:r>
              <w:rPr>
                <w:color w:val="000000" w:themeColor="text1"/>
                <w14:textFill>
                  <w14:solidFill>
                    <w14:schemeClr w14:val="tx1"/>
                  </w14:solidFill>
                </w14:textFill>
              </w:rPr>
              <w:t>1.50E-03</w:t>
            </w:r>
          </w:p>
        </w:tc>
        <w:tc>
          <w:tcPr>
            <w:tcW w:w="559" w:type="pct"/>
            <w:vAlign w:val="bottom"/>
          </w:tcPr>
          <w:p w14:paraId="3567C0E0">
            <w:pPr>
              <w:pStyle w:val="109"/>
              <w:rPr>
                <w:color w:val="000000" w:themeColor="text1"/>
                <w14:textFill>
                  <w14:solidFill>
                    <w14:schemeClr w14:val="tx1"/>
                  </w14:solidFill>
                </w14:textFill>
              </w:rPr>
            </w:pPr>
            <w:r>
              <w:rPr>
                <w:color w:val="000000" w:themeColor="text1"/>
                <w14:textFill>
                  <w14:solidFill>
                    <w14:schemeClr w14:val="tx1"/>
                  </w14:solidFill>
                </w14:textFill>
              </w:rPr>
              <w:t>1.33E-03</w:t>
            </w:r>
          </w:p>
        </w:tc>
        <w:tc>
          <w:tcPr>
            <w:tcW w:w="792" w:type="pct"/>
            <w:vAlign w:val="center"/>
          </w:tcPr>
          <w:p w14:paraId="685F1329">
            <w:pPr>
              <w:pStyle w:val="109"/>
              <w:rPr>
                <w:color w:val="000000" w:themeColor="text1"/>
                <w14:textFill>
                  <w14:solidFill>
                    <w14:schemeClr w14:val="tx1"/>
                  </w14:solidFill>
                </w14:textFill>
              </w:rPr>
            </w:pPr>
            <w:r>
              <w:rPr>
                <w:color w:val="000000" w:themeColor="text1"/>
                <w14:textFill>
                  <w14:solidFill>
                    <w14:schemeClr w14:val="tx1"/>
                  </w14:solidFill>
                </w14:textFill>
              </w:rPr>
              <w:t>18000</w:t>
            </w:r>
          </w:p>
        </w:tc>
      </w:tr>
      <w:tr w14:paraId="0632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16334F28">
            <w:pPr>
              <w:pStyle w:val="109"/>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283" w:type="pct"/>
            <w:vAlign w:val="center"/>
          </w:tcPr>
          <w:p w14:paraId="49707A96">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7B1BAA26">
            <w:pPr>
              <w:pStyle w:val="109"/>
              <w:rPr>
                <w:color w:val="000000" w:themeColor="text1"/>
                <w14:textFill>
                  <w14:solidFill>
                    <w14:schemeClr w14:val="tx1"/>
                  </w14:solidFill>
                </w14:textFill>
              </w:rPr>
            </w:pPr>
            <w:r>
              <w:rPr>
                <w:color w:val="000000" w:themeColor="text1"/>
                <w14:textFill>
                  <w14:solidFill>
                    <w14:schemeClr w14:val="tx1"/>
                  </w14:solidFill>
                </w14:textFill>
              </w:rPr>
              <w:t>48</w:t>
            </w:r>
          </w:p>
        </w:tc>
        <w:tc>
          <w:tcPr>
            <w:tcW w:w="557" w:type="pct"/>
            <w:vAlign w:val="center"/>
          </w:tcPr>
          <w:p w14:paraId="6F5B75F4">
            <w:pPr>
              <w:pStyle w:val="109"/>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57" w:type="pct"/>
            <w:vAlign w:val="center"/>
          </w:tcPr>
          <w:p w14:paraId="22C8FF1D">
            <w:pPr>
              <w:pStyle w:val="109"/>
              <w:rPr>
                <w:color w:val="000000" w:themeColor="text1"/>
                <w14:textFill>
                  <w14:solidFill>
                    <w14:schemeClr w14:val="tx1"/>
                  </w14:solidFill>
                </w14:textFill>
              </w:rPr>
            </w:pPr>
            <w:r>
              <w:rPr>
                <w:color w:val="000000" w:themeColor="text1"/>
                <w14:textFill>
                  <w14:solidFill>
                    <w14:schemeClr w14:val="tx1"/>
                  </w14:solidFill>
                </w14:textFill>
              </w:rPr>
              <w:t>33</w:t>
            </w:r>
          </w:p>
        </w:tc>
        <w:tc>
          <w:tcPr>
            <w:tcW w:w="557" w:type="pct"/>
            <w:vAlign w:val="bottom"/>
          </w:tcPr>
          <w:p w14:paraId="13EFBD8D">
            <w:pPr>
              <w:pStyle w:val="109"/>
              <w:rPr>
                <w:color w:val="000000" w:themeColor="text1"/>
                <w14:textFill>
                  <w14:solidFill>
                    <w14:schemeClr w14:val="tx1"/>
                  </w14:solidFill>
                </w14:textFill>
              </w:rPr>
            </w:pPr>
            <w:r>
              <w:rPr>
                <w:color w:val="000000" w:themeColor="text1"/>
                <w14:textFill>
                  <w14:solidFill>
                    <w14:schemeClr w14:val="tx1"/>
                  </w14:solidFill>
                </w14:textFill>
              </w:rPr>
              <w:t>5.33E-02</w:t>
            </w:r>
          </w:p>
        </w:tc>
        <w:tc>
          <w:tcPr>
            <w:tcW w:w="557" w:type="pct"/>
            <w:vAlign w:val="bottom"/>
          </w:tcPr>
          <w:p w14:paraId="6F477EAB">
            <w:pPr>
              <w:pStyle w:val="109"/>
              <w:rPr>
                <w:color w:val="000000" w:themeColor="text1"/>
                <w14:textFill>
                  <w14:solidFill>
                    <w14:schemeClr w14:val="tx1"/>
                  </w14:solidFill>
                </w14:textFill>
              </w:rPr>
            </w:pPr>
            <w:r>
              <w:rPr>
                <w:color w:val="000000" w:themeColor="text1"/>
                <w14:textFill>
                  <w14:solidFill>
                    <w14:schemeClr w14:val="tx1"/>
                  </w14:solidFill>
                </w14:textFill>
              </w:rPr>
              <w:t>4.44E-02</w:t>
            </w:r>
          </w:p>
        </w:tc>
        <w:tc>
          <w:tcPr>
            <w:tcW w:w="559" w:type="pct"/>
            <w:vAlign w:val="bottom"/>
          </w:tcPr>
          <w:p w14:paraId="24D36C05">
            <w:pPr>
              <w:pStyle w:val="109"/>
              <w:rPr>
                <w:color w:val="000000" w:themeColor="text1"/>
                <w14:textFill>
                  <w14:solidFill>
                    <w14:schemeClr w14:val="tx1"/>
                  </w14:solidFill>
                </w14:textFill>
              </w:rPr>
            </w:pPr>
            <w:r>
              <w:rPr>
                <w:color w:val="000000" w:themeColor="text1"/>
                <w14:textFill>
                  <w14:solidFill>
                    <w14:schemeClr w14:val="tx1"/>
                  </w14:solidFill>
                </w14:textFill>
              </w:rPr>
              <w:t>3.67E-02</w:t>
            </w:r>
          </w:p>
        </w:tc>
        <w:tc>
          <w:tcPr>
            <w:tcW w:w="792" w:type="pct"/>
            <w:vAlign w:val="center"/>
          </w:tcPr>
          <w:p w14:paraId="5DE3C612">
            <w:pPr>
              <w:pStyle w:val="109"/>
              <w:rPr>
                <w:color w:val="000000" w:themeColor="text1"/>
                <w14:textFill>
                  <w14:solidFill>
                    <w14:schemeClr w14:val="tx1"/>
                  </w14:solidFill>
                </w14:textFill>
              </w:rPr>
            </w:pPr>
            <w:r>
              <w:rPr>
                <w:color w:val="000000" w:themeColor="text1"/>
                <w14:textFill>
                  <w14:solidFill>
                    <w14:schemeClr w14:val="tx1"/>
                  </w14:solidFill>
                </w14:textFill>
              </w:rPr>
              <w:t>900</w:t>
            </w:r>
          </w:p>
        </w:tc>
      </w:tr>
      <w:tr w14:paraId="42C8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6" w:type="pct"/>
            <w:vAlign w:val="center"/>
          </w:tcPr>
          <w:p w14:paraId="59964C85">
            <w:pPr>
              <w:pStyle w:val="109"/>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283" w:type="pct"/>
            <w:vAlign w:val="center"/>
          </w:tcPr>
          <w:p w14:paraId="76027DB4">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57" w:type="pct"/>
            <w:vAlign w:val="center"/>
          </w:tcPr>
          <w:p w14:paraId="589D581A">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557" w:type="pct"/>
            <w:vAlign w:val="center"/>
          </w:tcPr>
          <w:p w14:paraId="2749C513">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557" w:type="pct"/>
            <w:vAlign w:val="center"/>
          </w:tcPr>
          <w:p w14:paraId="541A2565">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557" w:type="pct"/>
          </w:tcPr>
          <w:p w14:paraId="0A19761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7" w:type="pct"/>
          </w:tcPr>
          <w:p w14:paraId="0DD37D5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59" w:type="pct"/>
          </w:tcPr>
          <w:p w14:paraId="057C1C3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92" w:type="pct"/>
            <w:vAlign w:val="center"/>
          </w:tcPr>
          <w:p w14:paraId="05525660">
            <w:pPr>
              <w:pStyle w:val="109"/>
              <w:rPr>
                <w:color w:val="000000" w:themeColor="text1"/>
                <w14:textFill>
                  <w14:solidFill>
                    <w14:schemeClr w14:val="tx1"/>
                  </w14:solidFill>
                </w14:textFill>
              </w:rPr>
            </w:pPr>
            <w:r>
              <w:rPr>
                <w:color w:val="000000" w:themeColor="text1"/>
                <w14:textFill>
                  <w14:solidFill>
                    <w14:schemeClr w14:val="tx1"/>
                  </w14:solidFill>
                </w14:textFill>
              </w:rPr>
              <w:t>5.7</w:t>
            </w:r>
          </w:p>
        </w:tc>
      </w:tr>
    </w:tbl>
    <w:p w14:paraId="682FAE43">
      <w:pPr>
        <w:ind w:firstLine="480"/>
        <w:rPr>
          <w:color w:val="000000" w:themeColor="text1"/>
          <w14:textFill>
            <w14:solidFill>
              <w14:schemeClr w14:val="tx1"/>
            </w14:solidFill>
          </w14:textFill>
        </w:rPr>
      </w:pPr>
    </w:p>
    <w:p w14:paraId="083D226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土壤现状监测结果3（引用）</w:t>
      </w:r>
    </w:p>
    <w:tbl>
      <w:tblPr>
        <w:tblStyle w:val="76"/>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126"/>
        <w:gridCol w:w="772"/>
        <w:gridCol w:w="8"/>
        <w:gridCol w:w="1615"/>
        <w:gridCol w:w="9"/>
        <w:gridCol w:w="1615"/>
        <w:gridCol w:w="9"/>
        <w:gridCol w:w="1618"/>
        <w:gridCol w:w="9"/>
        <w:gridCol w:w="1615"/>
        <w:gridCol w:w="9"/>
        <w:gridCol w:w="1615"/>
        <w:gridCol w:w="9"/>
        <w:gridCol w:w="1620"/>
        <w:gridCol w:w="12"/>
        <w:gridCol w:w="2195"/>
        <w:gridCol w:w="12"/>
      </w:tblGrid>
      <w:tr w14:paraId="52B1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gridSpan w:val="3"/>
            <w:vAlign w:val="center"/>
          </w:tcPr>
          <w:p w14:paraId="2C5E5A29">
            <w:pPr>
              <w:pStyle w:val="109"/>
              <w:ind w:left="-4" w:leftChars="-12" w:hanging="25" w:hangingChars="12"/>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546" w:type="pct"/>
            <w:gridSpan w:val="2"/>
            <w:vAlign w:val="center"/>
          </w:tcPr>
          <w:p w14:paraId="3AB590F7">
            <w:pPr>
              <w:pStyle w:val="109"/>
              <w:rPr>
                <w:color w:val="000000" w:themeColor="text1"/>
                <w14:textFill>
                  <w14:solidFill>
                    <w14:schemeClr w14:val="tx1"/>
                  </w14:solidFill>
                </w14:textFill>
              </w:rPr>
            </w:pPr>
            <w:r>
              <w:rPr>
                <w:color w:val="000000" w:themeColor="text1"/>
                <w14:textFill>
                  <w14:solidFill>
                    <w14:schemeClr w14:val="tx1"/>
                  </w14:solidFill>
                </w14:textFill>
              </w:rPr>
              <w:t>TC-3#-1</w:t>
            </w:r>
          </w:p>
        </w:tc>
        <w:tc>
          <w:tcPr>
            <w:tcW w:w="546" w:type="pct"/>
            <w:gridSpan w:val="2"/>
            <w:vAlign w:val="center"/>
          </w:tcPr>
          <w:p w14:paraId="628724CD">
            <w:pPr>
              <w:pStyle w:val="109"/>
              <w:rPr>
                <w:color w:val="000000" w:themeColor="text1"/>
                <w14:textFill>
                  <w14:solidFill>
                    <w14:schemeClr w14:val="tx1"/>
                  </w14:solidFill>
                </w14:textFill>
              </w:rPr>
            </w:pPr>
            <w:r>
              <w:rPr>
                <w:color w:val="000000" w:themeColor="text1"/>
                <w14:textFill>
                  <w14:solidFill>
                    <w14:schemeClr w14:val="tx1"/>
                  </w14:solidFill>
                </w14:textFill>
              </w:rPr>
              <w:t>TC-3#-1-1</w:t>
            </w:r>
          </w:p>
        </w:tc>
        <w:tc>
          <w:tcPr>
            <w:tcW w:w="547" w:type="pct"/>
            <w:gridSpan w:val="2"/>
            <w:vAlign w:val="center"/>
          </w:tcPr>
          <w:p w14:paraId="759BBAD7">
            <w:pPr>
              <w:pStyle w:val="109"/>
              <w:rPr>
                <w:color w:val="000000" w:themeColor="text1"/>
                <w14:textFill>
                  <w14:solidFill>
                    <w14:schemeClr w14:val="tx1"/>
                  </w14:solidFill>
                </w14:textFill>
              </w:rPr>
            </w:pPr>
            <w:r>
              <w:rPr>
                <w:color w:val="000000" w:themeColor="text1"/>
                <w14:textFill>
                  <w14:solidFill>
                    <w14:schemeClr w14:val="tx1"/>
                  </w14:solidFill>
                </w14:textFill>
              </w:rPr>
              <w:t>TC-3#-1-1-1</w:t>
            </w:r>
          </w:p>
        </w:tc>
        <w:tc>
          <w:tcPr>
            <w:tcW w:w="546" w:type="pct"/>
            <w:gridSpan w:val="2"/>
            <w:vAlign w:val="center"/>
          </w:tcPr>
          <w:p w14:paraId="725BB94C">
            <w:pPr>
              <w:pStyle w:val="109"/>
              <w:rPr>
                <w:color w:val="000000" w:themeColor="text1"/>
                <w14:textFill>
                  <w14:solidFill>
                    <w14:schemeClr w14:val="tx1"/>
                  </w14:solidFill>
                </w14:textFill>
              </w:rPr>
            </w:pPr>
            <w:r>
              <w:rPr>
                <w:color w:val="000000" w:themeColor="text1"/>
                <w14:textFill>
                  <w14:solidFill>
                    <w14:schemeClr w14:val="tx1"/>
                  </w14:solidFill>
                </w14:textFill>
              </w:rPr>
              <w:t>TC-3#-1</w:t>
            </w:r>
          </w:p>
        </w:tc>
        <w:tc>
          <w:tcPr>
            <w:tcW w:w="546" w:type="pct"/>
            <w:gridSpan w:val="2"/>
            <w:vAlign w:val="center"/>
          </w:tcPr>
          <w:p w14:paraId="43E087BA">
            <w:pPr>
              <w:pStyle w:val="109"/>
              <w:rPr>
                <w:color w:val="000000" w:themeColor="text1"/>
                <w14:textFill>
                  <w14:solidFill>
                    <w14:schemeClr w14:val="tx1"/>
                  </w14:solidFill>
                </w14:textFill>
              </w:rPr>
            </w:pPr>
            <w:r>
              <w:rPr>
                <w:color w:val="000000" w:themeColor="text1"/>
                <w14:textFill>
                  <w14:solidFill>
                    <w14:schemeClr w14:val="tx1"/>
                  </w14:solidFill>
                </w14:textFill>
              </w:rPr>
              <w:t>TC-3#-1-1</w:t>
            </w:r>
          </w:p>
        </w:tc>
        <w:tc>
          <w:tcPr>
            <w:tcW w:w="548" w:type="pct"/>
            <w:gridSpan w:val="2"/>
            <w:vAlign w:val="center"/>
          </w:tcPr>
          <w:p w14:paraId="17C3D2CC">
            <w:pPr>
              <w:pStyle w:val="109"/>
              <w:rPr>
                <w:color w:val="000000" w:themeColor="text1"/>
                <w14:textFill>
                  <w14:solidFill>
                    <w14:schemeClr w14:val="tx1"/>
                  </w14:solidFill>
                </w14:textFill>
              </w:rPr>
            </w:pPr>
            <w:r>
              <w:rPr>
                <w:color w:val="000000" w:themeColor="text1"/>
                <w14:textFill>
                  <w14:solidFill>
                    <w14:schemeClr w14:val="tx1"/>
                  </w14:solidFill>
                </w14:textFill>
              </w:rPr>
              <w:t>TC-3#-1-1-1</w:t>
            </w:r>
          </w:p>
        </w:tc>
        <w:tc>
          <w:tcPr>
            <w:tcW w:w="742" w:type="pct"/>
            <w:gridSpan w:val="2"/>
            <w:vMerge w:val="restart"/>
            <w:vAlign w:val="center"/>
          </w:tcPr>
          <w:p w14:paraId="4E7AA8FC">
            <w:pPr>
              <w:pStyle w:val="109"/>
              <w:rPr>
                <w:color w:val="000000" w:themeColor="text1"/>
                <w14:textFill>
                  <w14:solidFill>
                    <w14:schemeClr w14:val="tx1"/>
                  </w14:solidFill>
                </w14:textFill>
              </w:rPr>
            </w:pPr>
            <w:r>
              <w:rPr>
                <w:color w:val="000000" w:themeColor="text1"/>
                <w14:textFill>
                  <w14:solidFill>
                    <w14:schemeClr w14:val="tx1"/>
                  </w14:solidFill>
                </w14:textFill>
              </w:rPr>
              <w:t>《土壤环境质量建设用地土壤污染风险管控标准（试行）》（GB36600-2018）表1第二类用地的筛选值质量标准（mg/kg）</w:t>
            </w:r>
          </w:p>
        </w:tc>
      </w:tr>
      <w:tr w14:paraId="13A3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gridSpan w:val="3"/>
            <w:vAlign w:val="center"/>
          </w:tcPr>
          <w:p w14:paraId="06394096">
            <w:pPr>
              <w:pStyle w:val="109"/>
              <w:rPr>
                <w:color w:val="000000" w:themeColor="text1"/>
                <w14:textFill>
                  <w14:solidFill>
                    <w14:schemeClr w14:val="tx1"/>
                  </w14:solidFill>
                </w14:textFill>
              </w:rPr>
            </w:pPr>
            <w:r>
              <w:rPr>
                <w:color w:val="000000" w:themeColor="text1"/>
                <w14:textFill>
                  <w14:solidFill>
                    <w14:schemeClr w14:val="tx1"/>
                  </w14:solidFill>
                </w14:textFill>
              </w:rPr>
              <w:t>采样地点</w:t>
            </w:r>
          </w:p>
        </w:tc>
        <w:tc>
          <w:tcPr>
            <w:tcW w:w="3280" w:type="pct"/>
            <w:gridSpan w:val="12"/>
            <w:vAlign w:val="center"/>
          </w:tcPr>
          <w:p w14:paraId="5D6F6E44">
            <w:pPr>
              <w:pStyle w:val="109"/>
              <w:rPr>
                <w:color w:val="000000" w:themeColor="text1"/>
                <w14:textFill>
                  <w14:solidFill>
                    <w14:schemeClr w14:val="tx1"/>
                  </w14:solidFill>
                </w14:textFill>
              </w:rPr>
            </w:pPr>
            <w:r>
              <w:rPr>
                <w:color w:val="000000" w:themeColor="text1"/>
                <w14:textFill>
                  <w14:solidFill>
                    <w14:schemeClr w14:val="tx1"/>
                  </w14:solidFill>
                </w14:textFill>
              </w:rPr>
              <w:t>E:87°41′42.93″N:44°8′23.98″</w:t>
            </w:r>
          </w:p>
        </w:tc>
        <w:tc>
          <w:tcPr>
            <w:tcW w:w="742" w:type="pct"/>
            <w:gridSpan w:val="2"/>
            <w:vMerge w:val="continue"/>
            <w:vAlign w:val="center"/>
          </w:tcPr>
          <w:p w14:paraId="16E61440">
            <w:pPr>
              <w:pStyle w:val="109"/>
              <w:rPr>
                <w:color w:val="000000" w:themeColor="text1"/>
                <w14:textFill>
                  <w14:solidFill>
                    <w14:schemeClr w14:val="tx1"/>
                  </w14:solidFill>
                </w14:textFill>
              </w:rPr>
            </w:pPr>
          </w:p>
        </w:tc>
      </w:tr>
      <w:tr w14:paraId="4736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gridSpan w:val="3"/>
            <w:vAlign w:val="center"/>
          </w:tcPr>
          <w:p w14:paraId="07DD6242">
            <w:pPr>
              <w:pStyle w:val="109"/>
              <w:rPr>
                <w:color w:val="000000" w:themeColor="text1"/>
                <w14:textFill>
                  <w14:solidFill>
                    <w14:schemeClr w14:val="tx1"/>
                  </w14:solidFill>
                </w14:textFill>
              </w:rPr>
            </w:pPr>
            <w:r>
              <w:rPr>
                <w:color w:val="000000" w:themeColor="text1"/>
                <w14:textFill>
                  <w14:solidFill>
                    <w14:schemeClr w14:val="tx1"/>
                  </w14:solidFill>
                </w14:textFill>
              </w:rPr>
              <w:t>深度（cm）</w:t>
            </w:r>
          </w:p>
        </w:tc>
        <w:tc>
          <w:tcPr>
            <w:tcW w:w="546" w:type="pct"/>
            <w:gridSpan w:val="2"/>
            <w:vAlign w:val="center"/>
          </w:tcPr>
          <w:p w14:paraId="530F3BA4">
            <w:pPr>
              <w:pStyle w:val="109"/>
              <w:rPr>
                <w:color w:val="000000" w:themeColor="text1"/>
                <w14:textFill>
                  <w14:solidFill>
                    <w14:schemeClr w14:val="tx1"/>
                  </w14:solidFill>
                </w14:textFill>
              </w:rPr>
            </w:pPr>
            <w:r>
              <w:rPr>
                <w:color w:val="000000" w:themeColor="text1"/>
                <w14:textFill>
                  <w14:solidFill>
                    <w14:schemeClr w14:val="tx1"/>
                  </w14:solidFill>
                </w14:textFill>
              </w:rPr>
              <w:t>36</w:t>
            </w:r>
          </w:p>
        </w:tc>
        <w:tc>
          <w:tcPr>
            <w:tcW w:w="546" w:type="pct"/>
            <w:gridSpan w:val="2"/>
            <w:vAlign w:val="center"/>
          </w:tcPr>
          <w:p w14:paraId="0A6FEF3A">
            <w:pPr>
              <w:pStyle w:val="109"/>
              <w:rPr>
                <w:color w:val="000000" w:themeColor="text1"/>
                <w14:textFill>
                  <w14:solidFill>
                    <w14:schemeClr w14:val="tx1"/>
                  </w14:solidFill>
                </w14:textFill>
              </w:rPr>
            </w:pPr>
            <w:r>
              <w:rPr>
                <w:color w:val="000000" w:themeColor="text1"/>
                <w14:textFill>
                  <w14:solidFill>
                    <w14:schemeClr w14:val="tx1"/>
                  </w14:solidFill>
                </w14:textFill>
              </w:rPr>
              <w:t>133</w:t>
            </w:r>
          </w:p>
        </w:tc>
        <w:tc>
          <w:tcPr>
            <w:tcW w:w="547" w:type="pct"/>
            <w:gridSpan w:val="2"/>
            <w:vAlign w:val="center"/>
          </w:tcPr>
          <w:p w14:paraId="03394616">
            <w:pPr>
              <w:pStyle w:val="109"/>
              <w:rPr>
                <w:color w:val="000000" w:themeColor="text1"/>
                <w14:textFill>
                  <w14:solidFill>
                    <w14:schemeClr w14:val="tx1"/>
                  </w14:solidFill>
                </w14:textFill>
              </w:rPr>
            </w:pPr>
            <w:r>
              <w:rPr>
                <w:color w:val="000000" w:themeColor="text1"/>
                <w14:textFill>
                  <w14:solidFill>
                    <w14:schemeClr w14:val="tx1"/>
                  </w14:solidFill>
                </w14:textFill>
              </w:rPr>
              <w:t>275</w:t>
            </w:r>
          </w:p>
        </w:tc>
        <w:tc>
          <w:tcPr>
            <w:tcW w:w="546" w:type="pct"/>
            <w:gridSpan w:val="2"/>
            <w:vAlign w:val="center"/>
          </w:tcPr>
          <w:p w14:paraId="47426E71">
            <w:pPr>
              <w:pStyle w:val="109"/>
              <w:rPr>
                <w:color w:val="000000" w:themeColor="text1"/>
                <w14:textFill>
                  <w14:solidFill>
                    <w14:schemeClr w14:val="tx1"/>
                  </w14:solidFill>
                </w14:textFill>
              </w:rPr>
            </w:pPr>
            <w:r>
              <w:rPr>
                <w:color w:val="000000" w:themeColor="text1"/>
                <w14:textFill>
                  <w14:solidFill>
                    <w14:schemeClr w14:val="tx1"/>
                  </w14:solidFill>
                </w14:textFill>
              </w:rPr>
              <w:t>36</w:t>
            </w:r>
          </w:p>
        </w:tc>
        <w:tc>
          <w:tcPr>
            <w:tcW w:w="546" w:type="pct"/>
            <w:gridSpan w:val="2"/>
            <w:vAlign w:val="center"/>
          </w:tcPr>
          <w:p w14:paraId="5A93C496">
            <w:pPr>
              <w:pStyle w:val="109"/>
              <w:rPr>
                <w:color w:val="000000" w:themeColor="text1"/>
                <w14:textFill>
                  <w14:solidFill>
                    <w14:schemeClr w14:val="tx1"/>
                  </w14:solidFill>
                </w14:textFill>
              </w:rPr>
            </w:pPr>
            <w:r>
              <w:rPr>
                <w:color w:val="000000" w:themeColor="text1"/>
                <w14:textFill>
                  <w14:solidFill>
                    <w14:schemeClr w14:val="tx1"/>
                  </w14:solidFill>
                </w14:textFill>
              </w:rPr>
              <w:t>133</w:t>
            </w:r>
          </w:p>
        </w:tc>
        <w:tc>
          <w:tcPr>
            <w:tcW w:w="548" w:type="pct"/>
            <w:gridSpan w:val="2"/>
            <w:vAlign w:val="center"/>
          </w:tcPr>
          <w:p w14:paraId="71E98FAC">
            <w:pPr>
              <w:pStyle w:val="109"/>
              <w:rPr>
                <w:color w:val="000000" w:themeColor="text1"/>
                <w14:textFill>
                  <w14:solidFill>
                    <w14:schemeClr w14:val="tx1"/>
                  </w14:solidFill>
                </w14:textFill>
              </w:rPr>
            </w:pPr>
            <w:r>
              <w:rPr>
                <w:color w:val="000000" w:themeColor="text1"/>
                <w14:textFill>
                  <w14:solidFill>
                    <w14:schemeClr w14:val="tx1"/>
                  </w14:solidFill>
                </w14:textFill>
              </w:rPr>
              <w:t>275</w:t>
            </w:r>
          </w:p>
        </w:tc>
        <w:tc>
          <w:tcPr>
            <w:tcW w:w="742" w:type="pct"/>
            <w:gridSpan w:val="2"/>
            <w:vMerge w:val="continue"/>
            <w:vAlign w:val="center"/>
          </w:tcPr>
          <w:p w14:paraId="2839A9E1">
            <w:pPr>
              <w:pStyle w:val="109"/>
              <w:rPr>
                <w:color w:val="000000" w:themeColor="text1"/>
                <w14:textFill>
                  <w14:solidFill>
                    <w14:schemeClr w14:val="tx1"/>
                  </w14:solidFill>
                </w14:textFill>
              </w:rPr>
            </w:pPr>
          </w:p>
        </w:tc>
      </w:tr>
      <w:tr w14:paraId="68C0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gridSpan w:val="3"/>
            <w:vAlign w:val="center"/>
          </w:tcPr>
          <w:p w14:paraId="1F850122">
            <w:pPr>
              <w:pStyle w:val="109"/>
              <w:ind w:left="-312" w:leftChars="-130" w:firstLine="1"/>
              <w:rPr>
                <w:color w:val="000000" w:themeColor="text1"/>
                <w14:textFill>
                  <w14:solidFill>
                    <w14:schemeClr w14:val="tx1"/>
                  </w14:solidFill>
                </w14:textFill>
              </w:rPr>
            </w:pPr>
            <w:r>
              <w:rPr>
                <w:color w:val="000000" w:themeColor="text1"/>
                <w14:textFill>
                  <w14:solidFill>
                    <w14:schemeClr w14:val="tx1"/>
                  </w14:solidFill>
                </w14:textFill>
              </w:rPr>
              <w:t>样品状态</w:t>
            </w:r>
          </w:p>
        </w:tc>
        <w:tc>
          <w:tcPr>
            <w:tcW w:w="546" w:type="pct"/>
            <w:gridSpan w:val="2"/>
            <w:vAlign w:val="center"/>
          </w:tcPr>
          <w:p w14:paraId="4C894141">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46" w:type="pct"/>
            <w:gridSpan w:val="2"/>
            <w:vAlign w:val="center"/>
          </w:tcPr>
          <w:p w14:paraId="48993487">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47" w:type="pct"/>
            <w:gridSpan w:val="2"/>
            <w:vAlign w:val="center"/>
          </w:tcPr>
          <w:p w14:paraId="3880F7AF">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46" w:type="pct"/>
            <w:gridSpan w:val="2"/>
            <w:vAlign w:val="center"/>
          </w:tcPr>
          <w:p w14:paraId="46AAC9D8">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46" w:type="pct"/>
            <w:gridSpan w:val="2"/>
            <w:vAlign w:val="center"/>
          </w:tcPr>
          <w:p w14:paraId="210E3212">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548" w:type="pct"/>
            <w:gridSpan w:val="2"/>
            <w:vAlign w:val="center"/>
          </w:tcPr>
          <w:p w14:paraId="38A3A4C5">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742" w:type="pct"/>
            <w:gridSpan w:val="2"/>
            <w:vMerge w:val="continue"/>
            <w:vAlign w:val="center"/>
          </w:tcPr>
          <w:p w14:paraId="78F4F74C">
            <w:pPr>
              <w:pStyle w:val="109"/>
              <w:rPr>
                <w:color w:val="000000" w:themeColor="text1"/>
                <w14:textFill>
                  <w14:solidFill>
                    <w14:schemeClr w14:val="tx1"/>
                  </w14:solidFill>
                </w14:textFill>
              </w:rPr>
            </w:pPr>
          </w:p>
        </w:tc>
      </w:tr>
      <w:tr w14:paraId="0920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2EC0F3FF">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260" w:type="pct"/>
            <w:vAlign w:val="center"/>
          </w:tcPr>
          <w:p w14:paraId="3B5D46EB">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639" w:type="pct"/>
            <w:gridSpan w:val="6"/>
            <w:vAlign w:val="center"/>
          </w:tcPr>
          <w:p w14:paraId="04767194">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640" w:type="pct"/>
            <w:gridSpan w:val="6"/>
          </w:tcPr>
          <w:p w14:paraId="4EEFE3D3">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c>
          <w:tcPr>
            <w:tcW w:w="742" w:type="pct"/>
            <w:gridSpan w:val="2"/>
            <w:vAlign w:val="center"/>
          </w:tcPr>
          <w:p w14:paraId="6404042B">
            <w:pPr>
              <w:pStyle w:val="109"/>
              <w:rPr>
                <w:color w:val="000000" w:themeColor="text1"/>
                <w14:textFill>
                  <w14:solidFill>
                    <w14:schemeClr w14:val="tx1"/>
                  </w14:solidFill>
                </w14:textFill>
              </w:rPr>
            </w:pPr>
          </w:p>
        </w:tc>
      </w:tr>
      <w:tr w14:paraId="51CA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4DA7C6A0">
            <w:pPr>
              <w:pStyle w:val="109"/>
              <w:rPr>
                <w:color w:val="000000" w:themeColor="text1"/>
                <w14:textFill>
                  <w14:solidFill>
                    <w14:schemeClr w14:val="tx1"/>
                  </w14:solidFill>
                </w14:textFill>
              </w:rPr>
            </w:pPr>
            <w:r>
              <w:rPr>
                <w:color w:val="000000" w:themeColor="text1"/>
                <w14:textFill>
                  <w14:solidFill>
                    <w14:schemeClr w14:val="tx1"/>
                  </w14:solidFill>
                </w14:textFill>
              </w:rPr>
              <w:t>氯乙烯</w:t>
            </w:r>
          </w:p>
        </w:tc>
        <w:tc>
          <w:tcPr>
            <w:tcW w:w="260" w:type="pct"/>
            <w:vAlign w:val="center"/>
          </w:tcPr>
          <w:p w14:paraId="387BD107">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010EB869">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46" w:type="pct"/>
            <w:gridSpan w:val="2"/>
            <w:vAlign w:val="center"/>
          </w:tcPr>
          <w:p w14:paraId="2CC556D5">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47" w:type="pct"/>
            <w:gridSpan w:val="2"/>
            <w:vAlign w:val="center"/>
          </w:tcPr>
          <w:p w14:paraId="29A0F62F">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46" w:type="pct"/>
            <w:gridSpan w:val="2"/>
          </w:tcPr>
          <w:p w14:paraId="1F112F0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7145AF0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195806A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61032C5F">
            <w:pPr>
              <w:pStyle w:val="109"/>
              <w:rPr>
                <w:color w:val="000000" w:themeColor="text1"/>
                <w14:textFill>
                  <w14:solidFill>
                    <w14:schemeClr w14:val="tx1"/>
                  </w14:solidFill>
                </w14:textFill>
              </w:rPr>
            </w:pPr>
            <w:r>
              <w:rPr>
                <w:color w:val="000000" w:themeColor="text1"/>
                <w14:textFill>
                  <w14:solidFill>
                    <w14:schemeClr w14:val="tx1"/>
                  </w14:solidFill>
                </w14:textFill>
              </w:rPr>
              <w:t>0.43</w:t>
            </w:r>
          </w:p>
        </w:tc>
      </w:tr>
      <w:tr w14:paraId="18F2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539B90EC">
            <w:pPr>
              <w:pStyle w:val="109"/>
              <w:rPr>
                <w:color w:val="000000" w:themeColor="text1"/>
                <w14:textFill>
                  <w14:solidFill>
                    <w14:schemeClr w14:val="tx1"/>
                  </w14:solidFill>
                </w14:textFill>
              </w:rPr>
            </w:pPr>
            <w:r>
              <w:rPr>
                <w:color w:val="000000" w:themeColor="text1"/>
                <w14:textFill>
                  <w14:solidFill>
                    <w14:schemeClr w14:val="tx1"/>
                  </w14:solidFill>
                </w14:textFill>
              </w:rPr>
              <w:t>1，1-二氯乙烯</w:t>
            </w:r>
          </w:p>
        </w:tc>
        <w:tc>
          <w:tcPr>
            <w:tcW w:w="260" w:type="pct"/>
            <w:vAlign w:val="center"/>
          </w:tcPr>
          <w:p w14:paraId="12139031">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138F7534">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46" w:type="pct"/>
            <w:gridSpan w:val="2"/>
            <w:vAlign w:val="center"/>
          </w:tcPr>
          <w:p w14:paraId="019017B9">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47" w:type="pct"/>
            <w:gridSpan w:val="2"/>
            <w:vAlign w:val="center"/>
          </w:tcPr>
          <w:p w14:paraId="0FEAC0CB">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46" w:type="pct"/>
            <w:gridSpan w:val="2"/>
          </w:tcPr>
          <w:p w14:paraId="3BF2E22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6FDA85D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2D4D438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082545C7">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r>
      <w:tr w14:paraId="0919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2D8BF55E">
            <w:pPr>
              <w:pStyle w:val="109"/>
              <w:rPr>
                <w:color w:val="000000" w:themeColor="text1"/>
                <w14:textFill>
                  <w14:solidFill>
                    <w14:schemeClr w14:val="tx1"/>
                  </w14:solidFill>
                </w14:textFill>
              </w:rPr>
            </w:pPr>
            <w:r>
              <w:rPr>
                <w:color w:val="000000" w:themeColor="text1"/>
                <w14:textFill>
                  <w14:solidFill>
                    <w14:schemeClr w14:val="tx1"/>
                  </w14:solidFill>
                </w14:textFill>
              </w:rPr>
              <w:t>二氯甲烷</w:t>
            </w:r>
          </w:p>
        </w:tc>
        <w:tc>
          <w:tcPr>
            <w:tcW w:w="260" w:type="pct"/>
            <w:vAlign w:val="center"/>
          </w:tcPr>
          <w:p w14:paraId="6D50F4A8">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55C6C53E">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546" w:type="pct"/>
            <w:gridSpan w:val="2"/>
            <w:vAlign w:val="center"/>
          </w:tcPr>
          <w:p w14:paraId="4589D13C">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547" w:type="pct"/>
            <w:gridSpan w:val="2"/>
            <w:vAlign w:val="center"/>
          </w:tcPr>
          <w:p w14:paraId="532CD259">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546" w:type="pct"/>
            <w:gridSpan w:val="2"/>
          </w:tcPr>
          <w:p w14:paraId="798E7B3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6A19F9D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192BFE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75D8614C">
            <w:pPr>
              <w:pStyle w:val="109"/>
              <w:rPr>
                <w:color w:val="000000" w:themeColor="text1"/>
                <w14:textFill>
                  <w14:solidFill>
                    <w14:schemeClr w14:val="tx1"/>
                  </w14:solidFill>
                </w14:textFill>
              </w:rPr>
            </w:pPr>
            <w:r>
              <w:rPr>
                <w:color w:val="000000" w:themeColor="text1"/>
                <w14:textFill>
                  <w14:solidFill>
                    <w14:schemeClr w14:val="tx1"/>
                  </w14:solidFill>
                </w14:textFill>
              </w:rPr>
              <w:t>616</w:t>
            </w:r>
          </w:p>
        </w:tc>
      </w:tr>
      <w:tr w14:paraId="16A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337B140B">
            <w:pPr>
              <w:pStyle w:val="109"/>
              <w:rPr>
                <w:color w:val="000000" w:themeColor="text1"/>
                <w14:textFill>
                  <w14:solidFill>
                    <w14:schemeClr w14:val="tx1"/>
                  </w14:solidFill>
                </w14:textFill>
              </w:rPr>
            </w:pPr>
            <w:r>
              <w:rPr>
                <w:color w:val="000000" w:themeColor="text1"/>
                <w14:textFill>
                  <w14:solidFill>
                    <w14:schemeClr w14:val="tx1"/>
                  </w14:solidFill>
                </w14:textFill>
              </w:rPr>
              <w:t>反-1，2-二氯乙烯</w:t>
            </w:r>
          </w:p>
        </w:tc>
        <w:tc>
          <w:tcPr>
            <w:tcW w:w="260" w:type="pct"/>
            <w:vAlign w:val="center"/>
          </w:tcPr>
          <w:p w14:paraId="13BCC4A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4BD158FE">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46" w:type="pct"/>
            <w:gridSpan w:val="2"/>
            <w:vAlign w:val="center"/>
          </w:tcPr>
          <w:p w14:paraId="394FDAB2">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47" w:type="pct"/>
            <w:gridSpan w:val="2"/>
            <w:vAlign w:val="center"/>
          </w:tcPr>
          <w:p w14:paraId="4785B103">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46" w:type="pct"/>
            <w:gridSpan w:val="2"/>
          </w:tcPr>
          <w:p w14:paraId="6EE48B7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50C74A1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87249E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238A95FD">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r>
      <w:tr w14:paraId="19D4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64011D99">
            <w:pPr>
              <w:pStyle w:val="109"/>
              <w:rPr>
                <w:color w:val="000000" w:themeColor="text1"/>
                <w14:textFill>
                  <w14:solidFill>
                    <w14:schemeClr w14:val="tx1"/>
                  </w14:solidFill>
                </w14:textFill>
              </w:rPr>
            </w:pPr>
            <w:r>
              <w:rPr>
                <w:color w:val="000000" w:themeColor="text1"/>
                <w14:textFill>
                  <w14:solidFill>
                    <w14:schemeClr w14:val="tx1"/>
                  </w14:solidFill>
                </w14:textFill>
              </w:rPr>
              <w:t>1，1-二氯乙烷</w:t>
            </w:r>
          </w:p>
        </w:tc>
        <w:tc>
          <w:tcPr>
            <w:tcW w:w="260" w:type="pct"/>
            <w:vAlign w:val="center"/>
          </w:tcPr>
          <w:p w14:paraId="19D96A0D">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44C624AD">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46" w:type="pct"/>
            <w:gridSpan w:val="2"/>
            <w:vAlign w:val="center"/>
          </w:tcPr>
          <w:p w14:paraId="0079E448">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47" w:type="pct"/>
            <w:gridSpan w:val="2"/>
            <w:vAlign w:val="center"/>
          </w:tcPr>
          <w:p w14:paraId="5F37530E">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46" w:type="pct"/>
            <w:gridSpan w:val="2"/>
          </w:tcPr>
          <w:p w14:paraId="687A231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30A0267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AF023D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399B673D">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r>
      <w:tr w14:paraId="4201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04629B76">
            <w:pPr>
              <w:pStyle w:val="109"/>
              <w:rPr>
                <w:color w:val="000000" w:themeColor="text1"/>
                <w14:textFill>
                  <w14:solidFill>
                    <w14:schemeClr w14:val="tx1"/>
                  </w14:solidFill>
                </w14:textFill>
              </w:rPr>
            </w:pPr>
            <w:r>
              <w:rPr>
                <w:color w:val="000000" w:themeColor="text1"/>
                <w14:textFill>
                  <w14:solidFill>
                    <w14:schemeClr w14:val="tx1"/>
                  </w14:solidFill>
                </w14:textFill>
              </w:rPr>
              <w:t>顺-1，2-二氯乙烯</w:t>
            </w:r>
          </w:p>
        </w:tc>
        <w:tc>
          <w:tcPr>
            <w:tcW w:w="260" w:type="pct"/>
            <w:vAlign w:val="center"/>
          </w:tcPr>
          <w:p w14:paraId="55F2AFEB">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5A53B119">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46" w:type="pct"/>
            <w:gridSpan w:val="2"/>
            <w:vAlign w:val="center"/>
          </w:tcPr>
          <w:p w14:paraId="57BDE70B">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47" w:type="pct"/>
            <w:gridSpan w:val="2"/>
            <w:vAlign w:val="center"/>
          </w:tcPr>
          <w:p w14:paraId="2B557E78">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46" w:type="pct"/>
            <w:gridSpan w:val="2"/>
          </w:tcPr>
          <w:p w14:paraId="09E1838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B7FCC4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60CB96E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7D690C15">
            <w:pPr>
              <w:pStyle w:val="109"/>
              <w:rPr>
                <w:color w:val="000000" w:themeColor="text1"/>
                <w14:textFill>
                  <w14:solidFill>
                    <w14:schemeClr w14:val="tx1"/>
                  </w14:solidFill>
                </w14:textFill>
              </w:rPr>
            </w:pPr>
            <w:r>
              <w:rPr>
                <w:color w:val="000000" w:themeColor="text1"/>
                <w14:textFill>
                  <w14:solidFill>
                    <w14:schemeClr w14:val="tx1"/>
                  </w14:solidFill>
                </w14:textFill>
              </w:rPr>
              <w:t>596</w:t>
            </w:r>
          </w:p>
        </w:tc>
      </w:tr>
      <w:tr w14:paraId="2156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4E62FF9C">
            <w:pPr>
              <w:pStyle w:val="109"/>
              <w:rPr>
                <w:color w:val="000000" w:themeColor="text1"/>
                <w14:textFill>
                  <w14:solidFill>
                    <w14:schemeClr w14:val="tx1"/>
                  </w14:solidFill>
                </w14:textFill>
              </w:rPr>
            </w:pPr>
            <w:r>
              <w:rPr>
                <w:color w:val="000000" w:themeColor="text1"/>
                <w14:textFill>
                  <w14:solidFill>
                    <w14:schemeClr w14:val="tx1"/>
                  </w14:solidFill>
                </w14:textFill>
              </w:rPr>
              <w:t>氯仿</w:t>
            </w:r>
          </w:p>
        </w:tc>
        <w:tc>
          <w:tcPr>
            <w:tcW w:w="260" w:type="pct"/>
            <w:vAlign w:val="center"/>
          </w:tcPr>
          <w:p w14:paraId="46F4F4D0">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3E60B40B">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46" w:type="pct"/>
            <w:gridSpan w:val="2"/>
            <w:vAlign w:val="center"/>
          </w:tcPr>
          <w:p w14:paraId="1EE7D3BA">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47" w:type="pct"/>
            <w:gridSpan w:val="2"/>
            <w:vAlign w:val="center"/>
          </w:tcPr>
          <w:p w14:paraId="3EB25638">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546" w:type="pct"/>
            <w:gridSpan w:val="2"/>
          </w:tcPr>
          <w:p w14:paraId="5AA27F6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6FE833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CFB8A1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28ECD93D">
            <w:pPr>
              <w:pStyle w:val="109"/>
              <w:rPr>
                <w:color w:val="000000" w:themeColor="text1"/>
                <w14:textFill>
                  <w14:solidFill>
                    <w14:schemeClr w14:val="tx1"/>
                  </w14:solidFill>
                </w14:textFill>
              </w:rPr>
            </w:pPr>
            <w:r>
              <w:rPr>
                <w:color w:val="000000" w:themeColor="text1"/>
                <w14:textFill>
                  <w14:solidFill>
                    <w14:schemeClr w14:val="tx1"/>
                  </w14:solidFill>
                </w14:textFill>
              </w:rPr>
              <w:t>0.9</w:t>
            </w:r>
          </w:p>
        </w:tc>
      </w:tr>
      <w:tr w14:paraId="1ADE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91AAD7F">
            <w:pPr>
              <w:pStyle w:val="109"/>
              <w:rPr>
                <w:color w:val="000000" w:themeColor="text1"/>
                <w14:textFill>
                  <w14:solidFill>
                    <w14:schemeClr w14:val="tx1"/>
                  </w14:solidFill>
                </w14:textFill>
              </w:rPr>
            </w:pPr>
            <w:r>
              <w:rPr>
                <w:color w:val="000000" w:themeColor="text1"/>
                <w14:textFill>
                  <w14:solidFill>
                    <w14:schemeClr w14:val="tx1"/>
                  </w14:solidFill>
                </w14:textFill>
              </w:rPr>
              <w:t>1，1，1-三氯乙烷</w:t>
            </w:r>
          </w:p>
        </w:tc>
        <w:tc>
          <w:tcPr>
            <w:tcW w:w="260" w:type="pct"/>
            <w:vAlign w:val="center"/>
          </w:tcPr>
          <w:p w14:paraId="2F7E9F7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27B8E9F5">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46" w:type="pct"/>
            <w:gridSpan w:val="2"/>
            <w:vAlign w:val="center"/>
          </w:tcPr>
          <w:p w14:paraId="7BF41F49">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47" w:type="pct"/>
            <w:gridSpan w:val="2"/>
            <w:vAlign w:val="center"/>
          </w:tcPr>
          <w:p w14:paraId="5F613811">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46" w:type="pct"/>
            <w:gridSpan w:val="2"/>
          </w:tcPr>
          <w:p w14:paraId="2FB0CA7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C539BA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1E875BD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49DC1356">
            <w:pPr>
              <w:pStyle w:val="109"/>
              <w:rPr>
                <w:color w:val="000000" w:themeColor="text1"/>
                <w14:textFill>
                  <w14:solidFill>
                    <w14:schemeClr w14:val="tx1"/>
                  </w14:solidFill>
                </w14:textFill>
              </w:rPr>
            </w:pPr>
            <w:r>
              <w:rPr>
                <w:color w:val="000000" w:themeColor="text1"/>
                <w14:textFill>
                  <w14:solidFill>
                    <w14:schemeClr w14:val="tx1"/>
                  </w14:solidFill>
                </w14:textFill>
              </w:rPr>
              <w:t>840</w:t>
            </w:r>
          </w:p>
        </w:tc>
      </w:tr>
      <w:tr w14:paraId="60C6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6C8E312D">
            <w:pPr>
              <w:pStyle w:val="109"/>
              <w:rPr>
                <w:color w:val="000000" w:themeColor="text1"/>
                <w14:textFill>
                  <w14:solidFill>
                    <w14:schemeClr w14:val="tx1"/>
                  </w14:solidFill>
                </w14:textFill>
              </w:rPr>
            </w:pPr>
            <w:r>
              <w:rPr>
                <w:color w:val="000000" w:themeColor="text1"/>
                <w14:textFill>
                  <w14:solidFill>
                    <w14:schemeClr w14:val="tx1"/>
                  </w14:solidFill>
                </w14:textFill>
              </w:rPr>
              <w:t>四氯化碳</w:t>
            </w:r>
          </w:p>
        </w:tc>
        <w:tc>
          <w:tcPr>
            <w:tcW w:w="260" w:type="pct"/>
            <w:vAlign w:val="center"/>
          </w:tcPr>
          <w:p w14:paraId="26017047">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203D210C">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546" w:type="pct"/>
            <w:gridSpan w:val="2"/>
            <w:vAlign w:val="center"/>
          </w:tcPr>
          <w:p w14:paraId="64298740">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547" w:type="pct"/>
            <w:gridSpan w:val="2"/>
            <w:vAlign w:val="center"/>
          </w:tcPr>
          <w:p w14:paraId="28367D71">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546" w:type="pct"/>
            <w:gridSpan w:val="2"/>
          </w:tcPr>
          <w:p w14:paraId="4D770DB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6B5567F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468243B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0E6C0345">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11A7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2DED2D0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1，2-二氯乙烷 </w:t>
            </w:r>
          </w:p>
        </w:tc>
        <w:tc>
          <w:tcPr>
            <w:tcW w:w="260" w:type="pct"/>
            <w:vAlign w:val="center"/>
          </w:tcPr>
          <w:p w14:paraId="7EE63D4F">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61CB0DFC">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46" w:type="pct"/>
            <w:gridSpan w:val="2"/>
            <w:vAlign w:val="center"/>
          </w:tcPr>
          <w:p w14:paraId="45E47A5A">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47" w:type="pct"/>
            <w:gridSpan w:val="2"/>
            <w:vAlign w:val="center"/>
          </w:tcPr>
          <w:p w14:paraId="6936A78F">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46" w:type="pct"/>
            <w:gridSpan w:val="2"/>
          </w:tcPr>
          <w:p w14:paraId="70C7031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1DCFA4D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41F47BA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5B3815BF">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r>
      <w:tr w14:paraId="724A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56380B9E">
            <w:pPr>
              <w:pStyle w:val="109"/>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260" w:type="pct"/>
            <w:vAlign w:val="center"/>
          </w:tcPr>
          <w:p w14:paraId="3F227FA5">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2987AF37">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46" w:type="pct"/>
            <w:gridSpan w:val="2"/>
            <w:vAlign w:val="center"/>
          </w:tcPr>
          <w:p w14:paraId="55599564">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47" w:type="pct"/>
            <w:gridSpan w:val="2"/>
            <w:vAlign w:val="center"/>
          </w:tcPr>
          <w:p w14:paraId="68C4F0F2">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46" w:type="pct"/>
            <w:gridSpan w:val="2"/>
          </w:tcPr>
          <w:p w14:paraId="665C690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023607B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6DD2A69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454E922E">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r>
      <w:tr w14:paraId="0F38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38F426CB">
            <w:pPr>
              <w:pStyle w:val="109"/>
              <w:rPr>
                <w:color w:val="000000" w:themeColor="text1"/>
                <w14:textFill>
                  <w14:solidFill>
                    <w14:schemeClr w14:val="tx1"/>
                  </w14:solidFill>
                </w14:textFill>
              </w:rPr>
            </w:pPr>
            <w:r>
              <w:rPr>
                <w:color w:val="000000" w:themeColor="text1"/>
                <w14:textFill>
                  <w14:solidFill>
                    <w14:schemeClr w14:val="tx1"/>
                  </w14:solidFill>
                </w14:textFill>
              </w:rPr>
              <w:t>三氯乙烯</w:t>
            </w:r>
          </w:p>
        </w:tc>
        <w:tc>
          <w:tcPr>
            <w:tcW w:w="260" w:type="pct"/>
            <w:vAlign w:val="center"/>
          </w:tcPr>
          <w:p w14:paraId="09810ECB">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37213B71">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46" w:type="pct"/>
            <w:gridSpan w:val="2"/>
            <w:vAlign w:val="center"/>
          </w:tcPr>
          <w:p w14:paraId="10F232A6">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47" w:type="pct"/>
            <w:gridSpan w:val="2"/>
            <w:vAlign w:val="center"/>
          </w:tcPr>
          <w:p w14:paraId="368DC08E">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546" w:type="pct"/>
            <w:gridSpan w:val="2"/>
          </w:tcPr>
          <w:p w14:paraId="7720CE8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40A084D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6915C82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03AC9761">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51BD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735D76E5">
            <w:pPr>
              <w:pStyle w:val="109"/>
              <w:rPr>
                <w:color w:val="000000" w:themeColor="text1"/>
                <w14:textFill>
                  <w14:solidFill>
                    <w14:schemeClr w14:val="tx1"/>
                  </w14:solidFill>
                </w14:textFill>
              </w:rPr>
            </w:pPr>
            <w:r>
              <w:rPr>
                <w:color w:val="000000" w:themeColor="text1"/>
                <w14:textFill>
                  <w14:solidFill>
                    <w14:schemeClr w14:val="tx1"/>
                  </w14:solidFill>
                </w14:textFill>
              </w:rPr>
              <w:t>1，2-二氯丙烷</w:t>
            </w:r>
          </w:p>
        </w:tc>
        <w:tc>
          <w:tcPr>
            <w:tcW w:w="260" w:type="pct"/>
            <w:vAlign w:val="center"/>
          </w:tcPr>
          <w:p w14:paraId="63A723B4">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1E119B9E">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546" w:type="pct"/>
            <w:gridSpan w:val="2"/>
            <w:vAlign w:val="center"/>
          </w:tcPr>
          <w:p w14:paraId="248BAD1B">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547" w:type="pct"/>
            <w:gridSpan w:val="2"/>
            <w:vAlign w:val="center"/>
          </w:tcPr>
          <w:p w14:paraId="1D7C9AD6">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546" w:type="pct"/>
            <w:gridSpan w:val="2"/>
          </w:tcPr>
          <w:p w14:paraId="504CB5C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9E7137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20E2E3E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3B4E9BD8">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r>
      <w:tr w14:paraId="57DB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6B67BCA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甲苯 </w:t>
            </w:r>
          </w:p>
        </w:tc>
        <w:tc>
          <w:tcPr>
            <w:tcW w:w="260" w:type="pct"/>
            <w:vAlign w:val="center"/>
          </w:tcPr>
          <w:p w14:paraId="05BC29C9">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1E9BA79D">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546" w:type="pct"/>
            <w:gridSpan w:val="2"/>
            <w:vAlign w:val="center"/>
          </w:tcPr>
          <w:p w14:paraId="5479F03A">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547" w:type="pct"/>
            <w:gridSpan w:val="2"/>
            <w:vAlign w:val="center"/>
          </w:tcPr>
          <w:p w14:paraId="6501B1C4">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546" w:type="pct"/>
            <w:gridSpan w:val="2"/>
          </w:tcPr>
          <w:p w14:paraId="0D0D9E1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5E76DC2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10E8B16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49EB02E7">
            <w:pPr>
              <w:pStyle w:val="109"/>
              <w:rPr>
                <w:color w:val="000000" w:themeColor="text1"/>
                <w14:textFill>
                  <w14:solidFill>
                    <w14:schemeClr w14:val="tx1"/>
                  </w14:solidFill>
                </w14:textFill>
              </w:rPr>
            </w:pPr>
            <w:r>
              <w:rPr>
                <w:color w:val="000000" w:themeColor="text1"/>
                <w14:textFill>
                  <w14:solidFill>
                    <w14:schemeClr w14:val="tx1"/>
                  </w14:solidFill>
                </w14:textFill>
              </w:rPr>
              <w:t>1200</w:t>
            </w:r>
          </w:p>
        </w:tc>
      </w:tr>
      <w:tr w14:paraId="3302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0050629">
            <w:pPr>
              <w:pStyle w:val="109"/>
              <w:rPr>
                <w:color w:val="000000" w:themeColor="text1"/>
                <w14:textFill>
                  <w14:solidFill>
                    <w14:schemeClr w14:val="tx1"/>
                  </w14:solidFill>
                </w14:textFill>
              </w:rPr>
            </w:pPr>
            <w:r>
              <w:rPr>
                <w:color w:val="000000" w:themeColor="text1"/>
                <w14:textFill>
                  <w14:solidFill>
                    <w14:schemeClr w14:val="tx1"/>
                  </w14:solidFill>
                </w14:textFill>
              </w:rPr>
              <w:t>1，1，2-三氯乙烷</w:t>
            </w:r>
          </w:p>
        </w:tc>
        <w:tc>
          <w:tcPr>
            <w:tcW w:w="260" w:type="pct"/>
            <w:vAlign w:val="center"/>
          </w:tcPr>
          <w:p w14:paraId="2BCA00E7">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7F91659F">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546" w:type="pct"/>
            <w:gridSpan w:val="2"/>
            <w:vAlign w:val="center"/>
          </w:tcPr>
          <w:p w14:paraId="07F47E73">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547" w:type="pct"/>
            <w:gridSpan w:val="2"/>
            <w:vAlign w:val="center"/>
          </w:tcPr>
          <w:p w14:paraId="49A3B4A7">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546" w:type="pct"/>
            <w:gridSpan w:val="2"/>
          </w:tcPr>
          <w:p w14:paraId="2856515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127A8AC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22B0C4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4881B4D0">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7525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7E33A15B">
            <w:pPr>
              <w:pStyle w:val="109"/>
              <w:rPr>
                <w:color w:val="000000" w:themeColor="text1"/>
                <w14:textFill>
                  <w14:solidFill>
                    <w14:schemeClr w14:val="tx1"/>
                  </w14:solidFill>
                </w14:textFill>
              </w:rPr>
            </w:pPr>
            <w:r>
              <w:rPr>
                <w:color w:val="000000" w:themeColor="text1"/>
                <w14:textFill>
                  <w14:solidFill>
                    <w14:schemeClr w14:val="tx1"/>
                  </w14:solidFill>
                </w14:textFill>
              </w:rPr>
              <w:t>四氯乙烯</w:t>
            </w:r>
          </w:p>
        </w:tc>
        <w:tc>
          <w:tcPr>
            <w:tcW w:w="260" w:type="pct"/>
            <w:vAlign w:val="center"/>
          </w:tcPr>
          <w:p w14:paraId="1DC22BA7">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3D11686E">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46" w:type="pct"/>
            <w:gridSpan w:val="2"/>
            <w:vAlign w:val="center"/>
          </w:tcPr>
          <w:p w14:paraId="5FE017BB">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47" w:type="pct"/>
            <w:gridSpan w:val="2"/>
            <w:vAlign w:val="center"/>
          </w:tcPr>
          <w:p w14:paraId="32FB3D9F">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546" w:type="pct"/>
            <w:gridSpan w:val="2"/>
          </w:tcPr>
          <w:p w14:paraId="6B77CAA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6DA7982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5185F93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1BB7CC51">
            <w:pPr>
              <w:pStyle w:val="109"/>
              <w:rPr>
                <w:color w:val="000000" w:themeColor="text1"/>
                <w14:textFill>
                  <w14:solidFill>
                    <w14:schemeClr w14:val="tx1"/>
                  </w14:solidFill>
                </w14:textFill>
              </w:rPr>
            </w:pPr>
            <w:r>
              <w:rPr>
                <w:color w:val="000000" w:themeColor="text1"/>
                <w14:textFill>
                  <w14:solidFill>
                    <w14:schemeClr w14:val="tx1"/>
                  </w14:solidFill>
                </w14:textFill>
              </w:rPr>
              <w:t>53</w:t>
            </w:r>
          </w:p>
        </w:tc>
      </w:tr>
      <w:tr w14:paraId="2AA2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4DA1E58B">
            <w:pPr>
              <w:pStyle w:val="109"/>
              <w:rPr>
                <w:color w:val="000000" w:themeColor="text1"/>
                <w14:textFill>
                  <w14:solidFill>
                    <w14:schemeClr w14:val="tx1"/>
                  </w14:solidFill>
                </w14:textFill>
              </w:rPr>
            </w:pPr>
            <w:r>
              <w:rPr>
                <w:color w:val="000000" w:themeColor="text1"/>
                <w14:textFill>
                  <w14:solidFill>
                    <w14:schemeClr w14:val="tx1"/>
                  </w14:solidFill>
                </w14:textFill>
              </w:rPr>
              <w:t>氯苯</w:t>
            </w:r>
          </w:p>
        </w:tc>
        <w:tc>
          <w:tcPr>
            <w:tcW w:w="260" w:type="pct"/>
            <w:vAlign w:val="center"/>
          </w:tcPr>
          <w:p w14:paraId="56EFEC5F">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4D4BE169">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46" w:type="pct"/>
            <w:gridSpan w:val="2"/>
            <w:vAlign w:val="center"/>
          </w:tcPr>
          <w:p w14:paraId="73135E5F">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47" w:type="pct"/>
            <w:gridSpan w:val="2"/>
            <w:vAlign w:val="center"/>
          </w:tcPr>
          <w:p w14:paraId="49184B90">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546" w:type="pct"/>
            <w:gridSpan w:val="2"/>
          </w:tcPr>
          <w:p w14:paraId="4417A04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596C191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230B264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7DC9327C">
            <w:pPr>
              <w:pStyle w:val="109"/>
              <w:rPr>
                <w:color w:val="000000" w:themeColor="text1"/>
                <w14:textFill>
                  <w14:solidFill>
                    <w14:schemeClr w14:val="tx1"/>
                  </w14:solidFill>
                </w14:textFill>
              </w:rPr>
            </w:pPr>
            <w:r>
              <w:rPr>
                <w:color w:val="000000" w:themeColor="text1"/>
                <w14:textFill>
                  <w14:solidFill>
                    <w14:schemeClr w14:val="tx1"/>
                  </w14:solidFill>
                </w14:textFill>
              </w:rPr>
              <w:t>270</w:t>
            </w:r>
          </w:p>
        </w:tc>
      </w:tr>
      <w:tr w14:paraId="736A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3D3CF247">
            <w:pPr>
              <w:pStyle w:val="109"/>
              <w:rPr>
                <w:color w:val="000000" w:themeColor="text1"/>
                <w14:textFill>
                  <w14:solidFill>
                    <w14:schemeClr w14:val="tx1"/>
                  </w14:solidFill>
                </w14:textFill>
              </w:rPr>
            </w:pPr>
            <w:r>
              <w:rPr>
                <w:color w:val="000000" w:themeColor="text1"/>
                <w14:textFill>
                  <w14:solidFill>
                    <w14:schemeClr w14:val="tx1"/>
                  </w14:solidFill>
                </w14:textFill>
              </w:rPr>
              <w:t>1，1，1，2-四氯乙烷</w:t>
            </w:r>
          </w:p>
        </w:tc>
        <w:tc>
          <w:tcPr>
            <w:tcW w:w="260" w:type="pct"/>
            <w:vAlign w:val="center"/>
          </w:tcPr>
          <w:p w14:paraId="6627665B">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108EA5BA">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6" w:type="pct"/>
            <w:gridSpan w:val="2"/>
            <w:vAlign w:val="center"/>
          </w:tcPr>
          <w:p w14:paraId="4B787CED">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7" w:type="pct"/>
            <w:gridSpan w:val="2"/>
            <w:vAlign w:val="center"/>
          </w:tcPr>
          <w:p w14:paraId="685D7E51">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6" w:type="pct"/>
            <w:gridSpan w:val="2"/>
          </w:tcPr>
          <w:p w14:paraId="65C3CAA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3436C9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6CA9047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2B1C3001">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r>
      <w:tr w14:paraId="30DD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52C46A91">
            <w:pPr>
              <w:pStyle w:val="109"/>
              <w:rPr>
                <w:color w:val="000000" w:themeColor="text1"/>
                <w14:textFill>
                  <w14:solidFill>
                    <w14:schemeClr w14:val="tx1"/>
                  </w14:solidFill>
                </w14:textFill>
              </w:rPr>
            </w:pPr>
            <w:r>
              <w:rPr>
                <w:color w:val="000000" w:themeColor="text1"/>
                <w14:textFill>
                  <w14:solidFill>
                    <w14:schemeClr w14:val="tx1"/>
                  </w14:solidFill>
                </w14:textFill>
              </w:rPr>
              <w:t>乙苯</w:t>
            </w:r>
          </w:p>
        </w:tc>
        <w:tc>
          <w:tcPr>
            <w:tcW w:w="260" w:type="pct"/>
            <w:vAlign w:val="center"/>
          </w:tcPr>
          <w:p w14:paraId="54391338">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2CA31D51">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46" w:type="pct"/>
            <w:gridSpan w:val="2"/>
            <w:vAlign w:val="center"/>
          </w:tcPr>
          <w:p w14:paraId="08A87B54">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47" w:type="pct"/>
            <w:gridSpan w:val="2"/>
            <w:vAlign w:val="center"/>
          </w:tcPr>
          <w:p w14:paraId="42900342">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46" w:type="pct"/>
            <w:gridSpan w:val="2"/>
          </w:tcPr>
          <w:p w14:paraId="29D9C83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2E33D5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2B4745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5FE0099E">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19E5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4841A537">
            <w:pPr>
              <w:pStyle w:val="109"/>
              <w:rPr>
                <w:color w:val="000000" w:themeColor="text1"/>
                <w14:textFill>
                  <w14:solidFill>
                    <w14:schemeClr w14:val="tx1"/>
                  </w14:solidFill>
                </w14:textFill>
              </w:rPr>
            </w:pPr>
            <w:r>
              <w:rPr>
                <w:color w:val="000000" w:themeColor="text1"/>
                <w14:textFill>
                  <w14:solidFill>
                    <w14:schemeClr w14:val="tx1"/>
                  </w14:solidFill>
                </w14:textFill>
              </w:rPr>
              <w:t>间，对-二甲苯</w:t>
            </w:r>
          </w:p>
        </w:tc>
        <w:tc>
          <w:tcPr>
            <w:tcW w:w="260" w:type="pct"/>
            <w:vAlign w:val="center"/>
          </w:tcPr>
          <w:p w14:paraId="196BFF02">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5F22A2E7">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546" w:type="pct"/>
            <w:gridSpan w:val="2"/>
            <w:vAlign w:val="center"/>
          </w:tcPr>
          <w:p w14:paraId="4ED05414">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547" w:type="pct"/>
            <w:gridSpan w:val="2"/>
            <w:vAlign w:val="center"/>
          </w:tcPr>
          <w:p w14:paraId="29366D24">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546" w:type="pct"/>
            <w:gridSpan w:val="2"/>
          </w:tcPr>
          <w:p w14:paraId="2805CAC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01421AA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6006308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688037B4">
            <w:pPr>
              <w:pStyle w:val="109"/>
              <w:rPr>
                <w:color w:val="000000" w:themeColor="text1"/>
                <w14:textFill>
                  <w14:solidFill>
                    <w14:schemeClr w14:val="tx1"/>
                  </w14:solidFill>
                </w14:textFill>
              </w:rPr>
            </w:pPr>
            <w:r>
              <w:rPr>
                <w:color w:val="000000" w:themeColor="text1"/>
                <w14:textFill>
                  <w14:solidFill>
                    <w14:schemeClr w14:val="tx1"/>
                  </w14:solidFill>
                </w14:textFill>
              </w:rPr>
              <w:t>570</w:t>
            </w:r>
          </w:p>
        </w:tc>
      </w:tr>
      <w:tr w14:paraId="5A4C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25DF7D2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邻-二甲苯 </w:t>
            </w:r>
          </w:p>
        </w:tc>
        <w:tc>
          <w:tcPr>
            <w:tcW w:w="260" w:type="pct"/>
            <w:vAlign w:val="center"/>
          </w:tcPr>
          <w:p w14:paraId="09D0FC71">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3171222A">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46" w:type="pct"/>
            <w:gridSpan w:val="2"/>
            <w:vAlign w:val="center"/>
          </w:tcPr>
          <w:p w14:paraId="5C38780D">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47" w:type="pct"/>
            <w:gridSpan w:val="2"/>
            <w:vAlign w:val="center"/>
          </w:tcPr>
          <w:p w14:paraId="7D627FE8">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546" w:type="pct"/>
            <w:gridSpan w:val="2"/>
          </w:tcPr>
          <w:p w14:paraId="46D1EAC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7E28CC1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7E2AEC4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4FB7D3FC">
            <w:pPr>
              <w:pStyle w:val="109"/>
              <w:rPr>
                <w:color w:val="000000" w:themeColor="text1"/>
                <w14:textFill>
                  <w14:solidFill>
                    <w14:schemeClr w14:val="tx1"/>
                  </w14:solidFill>
                </w14:textFill>
              </w:rPr>
            </w:pPr>
            <w:r>
              <w:rPr>
                <w:color w:val="000000" w:themeColor="text1"/>
                <w14:textFill>
                  <w14:solidFill>
                    <w14:schemeClr w14:val="tx1"/>
                  </w14:solidFill>
                </w14:textFill>
              </w:rPr>
              <w:t>640</w:t>
            </w:r>
          </w:p>
        </w:tc>
      </w:tr>
      <w:tr w14:paraId="7FCE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3ABA5DB5">
            <w:pPr>
              <w:pStyle w:val="109"/>
              <w:rPr>
                <w:color w:val="000000" w:themeColor="text1"/>
                <w14:textFill>
                  <w14:solidFill>
                    <w14:schemeClr w14:val="tx1"/>
                  </w14:solidFill>
                </w14:textFill>
              </w:rPr>
            </w:pPr>
            <w:r>
              <w:rPr>
                <w:color w:val="000000" w:themeColor="text1"/>
                <w14:textFill>
                  <w14:solidFill>
                    <w14:schemeClr w14:val="tx1"/>
                  </w14:solidFill>
                </w14:textFill>
              </w:rPr>
              <w:t>苯乙烯</w:t>
            </w:r>
          </w:p>
        </w:tc>
        <w:tc>
          <w:tcPr>
            <w:tcW w:w="260" w:type="pct"/>
            <w:vAlign w:val="center"/>
          </w:tcPr>
          <w:p w14:paraId="1AA9B75B">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7BEBE649">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46" w:type="pct"/>
            <w:gridSpan w:val="2"/>
            <w:vAlign w:val="center"/>
          </w:tcPr>
          <w:p w14:paraId="23EE829F">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47" w:type="pct"/>
            <w:gridSpan w:val="2"/>
            <w:vAlign w:val="center"/>
          </w:tcPr>
          <w:p w14:paraId="1015CA3B">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546" w:type="pct"/>
            <w:gridSpan w:val="2"/>
          </w:tcPr>
          <w:p w14:paraId="2EFC035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1517F1A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529E421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1C5B90C8">
            <w:pPr>
              <w:pStyle w:val="109"/>
              <w:rPr>
                <w:color w:val="000000" w:themeColor="text1"/>
                <w14:textFill>
                  <w14:solidFill>
                    <w14:schemeClr w14:val="tx1"/>
                  </w14:solidFill>
                </w14:textFill>
              </w:rPr>
            </w:pPr>
            <w:r>
              <w:rPr>
                <w:color w:val="000000" w:themeColor="text1"/>
                <w14:textFill>
                  <w14:solidFill>
                    <w14:schemeClr w14:val="tx1"/>
                  </w14:solidFill>
                </w14:textFill>
              </w:rPr>
              <w:t>1290</w:t>
            </w:r>
          </w:p>
        </w:tc>
      </w:tr>
      <w:tr w14:paraId="6DAA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D5F89BD">
            <w:pPr>
              <w:pStyle w:val="109"/>
              <w:rPr>
                <w:color w:val="000000" w:themeColor="text1"/>
                <w14:textFill>
                  <w14:solidFill>
                    <w14:schemeClr w14:val="tx1"/>
                  </w14:solidFill>
                </w14:textFill>
              </w:rPr>
            </w:pPr>
            <w:r>
              <w:rPr>
                <w:color w:val="000000" w:themeColor="text1"/>
                <w14:textFill>
                  <w14:solidFill>
                    <w14:schemeClr w14:val="tx1"/>
                  </w14:solidFill>
                </w14:textFill>
              </w:rPr>
              <w:t>1，1，2，2-四氯乙烷</w:t>
            </w:r>
          </w:p>
        </w:tc>
        <w:tc>
          <w:tcPr>
            <w:tcW w:w="260" w:type="pct"/>
            <w:vAlign w:val="center"/>
          </w:tcPr>
          <w:p w14:paraId="7533E941">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63885B65">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6" w:type="pct"/>
            <w:gridSpan w:val="2"/>
            <w:vAlign w:val="center"/>
          </w:tcPr>
          <w:p w14:paraId="01272A68">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7" w:type="pct"/>
            <w:gridSpan w:val="2"/>
            <w:vAlign w:val="center"/>
          </w:tcPr>
          <w:p w14:paraId="56927CCB">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6" w:type="pct"/>
            <w:gridSpan w:val="2"/>
          </w:tcPr>
          <w:p w14:paraId="4CCA6D9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0CDBD44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686AD8F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661278A2">
            <w:pPr>
              <w:pStyle w:val="109"/>
              <w:rPr>
                <w:color w:val="000000" w:themeColor="text1"/>
                <w14:textFill>
                  <w14:solidFill>
                    <w14:schemeClr w14:val="tx1"/>
                  </w14:solidFill>
                </w14:textFill>
              </w:rPr>
            </w:pPr>
            <w:r>
              <w:rPr>
                <w:color w:val="000000" w:themeColor="text1"/>
                <w14:textFill>
                  <w14:solidFill>
                    <w14:schemeClr w14:val="tx1"/>
                  </w14:solidFill>
                </w14:textFill>
              </w:rPr>
              <w:t>6.8</w:t>
            </w:r>
          </w:p>
        </w:tc>
      </w:tr>
      <w:tr w14:paraId="0010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4E0E1B56">
            <w:pPr>
              <w:pStyle w:val="109"/>
              <w:rPr>
                <w:color w:val="000000" w:themeColor="text1"/>
                <w14:textFill>
                  <w14:solidFill>
                    <w14:schemeClr w14:val="tx1"/>
                  </w14:solidFill>
                </w14:textFill>
              </w:rPr>
            </w:pPr>
            <w:r>
              <w:rPr>
                <w:color w:val="000000" w:themeColor="text1"/>
                <w14:textFill>
                  <w14:solidFill>
                    <w14:schemeClr w14:val="tx1"/>
                  </w14:solidFill>
                </w14:textFill>
              </w:rPr>
              <w:t>1，2，3-三氯丙烷</w:t>
            </w:r>
          </w:p>
        </w:tc>
        <w:tc>
          <w:tcPr>
            <w:tcW w:w="260" w:type="pct"/>
            <w:vAlign w:val="center"/>
          </w:tcPr>
          <w:p w14:paraId="0E3B966D">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1F068175">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6" w:type="pct"/>
            <w:gridSpan w:val="2"/>
            <w:vAlign w:val="center"/>
          </w:tcPr>
          <w:p w14:paraId="57A11F46">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7" w:type="pct"/>
            <w:gridSpan w:val="2"/>
            <w:vAlign w:val="center"/>
          </w:tcPr>
          <w:p w14:paraId="5B399BFE">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6" w:type="pct"/>
            <w:gridSpan w:val="2"/>
          </w:tcPr>
          <w:p w14:paraId="4C2237C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57C2218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4D8D5B9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43005D84">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r>
      <w:tr w14:paraId="5615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2816C8A">
            <w:pPr>
              <w:pStyle w:val="109"/>
              <w:rPr>
                <w:color w:val="000000" w:themeColor="text1"/>
                <w14:textFill>
                  <w14:solidFill>
                    <w14:schemeClr w14:val="tx1"/>
                  </w14:solidFill>
                </w14:textFill>
              </w:rPr>
            </w:pPr>
            <w:r>
              <w:rPr>
                <w:color w:val="000000" w:themeColor="text1"/>
                <w14:textFill>
                  <w14:solidFill>
                    <w14:schemeClr w14:val="tx1"/>
                  </w14:solidFill>
                </w14:textFill>
              </w:rPr>
              <w:t>1，4-二氯苯</w:t>
            </w:r>
          </w:p>
        </w:tc>
        <w:tc>
          <w:tcPr>
            <w:tcW w:w="260" w:type="pct"/>
            <w:vAlign w:val="center"/>
          </w:tcPr>
          <w:p w14:paraId="0A2DA94D">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14C4B4D4">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46" w:type="pct"/>
            <w:gridSpan w:val="2"/>
            <w:vAlign w:val="center"/>
          </w:tcPr>
          <w:p w14:paraId="5959DFBB">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47" w:type="pct"/>
            <w:gridSpan w:val="2"/>
            <w:vAlign w:val="center"/>
          </w:tcPr>
          <w:p w14:paraId="67E8F1DA">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546" w:type="pct"/>
            <w:gridSpan w:val="2"/>
          </w:tcPr>
          <w:p w14:paraId="6E93158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1BAECED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1C42CBE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4994372D">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r>
      <w:tr w14:paraId="645C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5F2DC25">
            <w:pPr>
              <w:pStyle w:val="109"/>
              <w:rPr>
                <w:color w:val="000000" w:themeColor="text1"/>
                <w14:textFill>
                  <w14:solidFill>
                    <w14:schemeClr w14:val="tx1"/>
                  </w14:solidFill>
                </w14:textFill>
              </w:rPr>
            </w:pPr>
            <w:r>
              <w:rPr>
                <w:color w:val="000000" w:themeColor="text1"/>
                <w14:textFill>
                  <w14:solidFill>
                    <w14:schemeClr w14:val="tx1"/>
                  </w14:solidFill>
                </w14:textFill>
              </w:rPr>
              <w:t>1，2-二氯苯</w:t>
            </w:r>
          </w:p>
        </w:tc>
        <w:tc>
          <w:tcPr>
            <w:tcW w:w="260" w:type="pct"/>
            <w:vAlign w:val="center"/>
          </w:tcPr>
          <w:p w14:paraId="20F439C1">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5458716F">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6" w:type="pct"/>
            <w:gridSpan w:val="2"/>
            <w:vAlign w:val="center"/>
          </w:tcPr>
          <w:p w14:paraId="6004A4BC">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7" w:type="pct"/>
            <w:gridSpan w:val="2"/>
            <w:vAlign w:val="center"/>
          </w:tcPr>
          <w:p w14:paraId="2D30B257">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546" w:type="pct"/>
            <w:gridSpan w:val="2"/>
          </w:tcPr>
          <w:p w14:paraId="4036789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04BE040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8ADC7C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0DD5F676">
            <w:pPr>
              <w:pStyle w:val="109"/>
              <w:rPr>
                <w:color w:val="000000" w:themeColor="text1"/>
                <w14:textFill>
                  <w14:solidFill>
                    <w14:schemeClr w14:val="tx1"/>
                  </w14:solidFill>
                </w14:textFill>
              </w:rPr>
            </w:pPr>
            <w:r>
              <w:rPr>
                <w:color w:val="000000" w:themeColor="text1"/>
                <w14:textFill>
                  <w14:solidFill>
                    <w14:schemeClr w14:val="tx1"/>
                  </w14:solidFill>
                </w14:textFill>
              </w:rPr>
              <w:t>560</w:t>
            </w:r>
          </w:p>
        </w:tc>
      </w:tr>
      <w:tr w14:paraId="5DB6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562BF78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氯甲烷 </w:t>
            </w:r>
          </w:p>
        </w:tc>
        <w:tc>
          <w:tcPr>
            <w:tcW w:w="260" w:type="pct"/>
            <w:vAlign w:val="center"/>
          </w:tcPr>
          <w:p w14:paraId="6FC4CD70">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546" w:type="pct"/>
            <w:gridSpan w:val="2"/>
            <w:vAlign w:val="center"/>
          </w:tcPr>
          <w:p w14:paraId="6C0A2D22">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546" w:type="pct"/>
            <w:gridSpan w:val="2"/>
            <w:vAlign w:val="center"/>
          </w:tcPr>
          <w:p w14:paraId="5D725D79">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547" w:type="pct"/>
            <w:gridSpan w:val="2"/>
            <w:vAlign w:val="center"/>
          </w:tcPr>
          <w:p w14:paraId="0778C8FF">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546" w:type="pct"/>
            <w:gridSpan w:val="2"/>
          </w:tcPr>
          <w:p w14:paraId="3FC3908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4C8CD6E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521DFEF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63CA29E8">
            <w:pPr>
              <w:pStyle w:val="109"/>
              <w:rPr>
                <w:color w:val="000000" w:themeColor="text1"/>
                <w14:textFill>
                  <w14:solidFill>
                    <w14:schemeClr w14:val="tx1"/>
                  </w14:solidFill>
                </w14:textFill>
              </w:rPr>
            </w:pPr>
            <w:r>
              <w:rPr>
                <w:color w:val="000000" w:themeColor="text1"/>
                <w14:textFill>
                  <w14:solidFill>
                    <w14:schemeClr w14:val="tx1"/>
                  </w14:solidFill>
                </w14:textFill>
              </w:rPr>
              <w:t>37</w:t>
            </w:r>
          </w:p>
        </w:tc>
      </w:tr>
      <w:tr w14:paraId="0001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410A08D1">
            <w:pPr>
              <w:pStyle w:val="109"/>
              <w:rPr>
                <w:color w:val="000000" w:themeColor="text1"/>
                <w14:textFill>
                  <w14:solidFill>
                    <w14:schemeClr w14:val="tx1"/>
                  </w14:solidFill>
                </w14:textFill>
              </w:rPr>
            </w:pPr>
            <w:r>
              <w:rPr>
                <w:color w:val="000000" w:themeColor="text1"/>
                <w14:textFill>
                  <w14:solidFill>
                    <w14:schemeClr w14:val="tx1"/>
                  </w14:solidFill>
                </w14:textFill>
              </w:rPr>
              <w:t>硝基苯</w:t>
            </w:r>
          </w:p>
        </w:tc>
        <w:tc>
          <w:tcPr>
            <w:tcW w:w="260" w:type="pct"/>
            <w:vAlign w:val="center"/>
          </w:tcPr>
          <w:p w14:paraId="390119D6">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7A48ED65">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46" w:type="pct"/>
            <w:gridSpan w:val="2"/>
            <w:vAlign w:val="center"/>
          </w:tcPr>
          <w:p w14:paraId="5AC846E8">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47" w:type="pct"/>
            <w:gridSpan w:val="2"/>
            <w:vAlign w:val="center"/>
          </w:tcPr>
          <w:p w14:paraId="50551F00">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46" w:type="pct"/>
            <w:gridSpan w:val="2"/>
          </w:tcPr>
          <w:p w14:paraId="6C93325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65FF30A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9FAA36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6F5A8DDD">
            <w:pPr>
              <w:pStyle w:val="109"/>
              <w:rPr>
                <w:color w:val="000000" w:themeColor="text1"/>
                <w14:textFill>
                  <w14:solidFill>
                    <w14:schemeClr w14:val="tx1"/>
                  </w14:solidFill>
                </w14:textFill>
              </w:rPr>
            </w:pPr>
            <w:r>
              <w:rPr>
                <w:color w:val="000000" w:themeColor="text1"/>
                <w14:textFill>
                  <w14:solidFill>
                    <w14:schemeClr w14:val="tx1"/>
                  </w14:solidFill>
                </w14:textFill>
              </w:rPr>
              <w:t>76</w:t>
            </w:r>
          </w:p>
        </w:tc>
      </w:tr>
      <w:tr w14:paraId="05B1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49CEDE79">
            <w:pPr>
              <w:pStyle w:val="109"/>
              <w:rPr>
                <w:color w:val="000000" w:themeColor="text1"/>
                <w14:textFill>
                  <w14:solidFill>
                    <w14:schemeClr w14:val="tx1"/>
                  </w14:solidFill>
                </w14:textFill>
              </w:rPr>
            </w:pPr>
            <w:r>
              <w:rPr>
                <w:color w:val="000000" w:themeColor="text1"/>
                <w14:textFill>
                  <w14:solidFill>
                    <w14:schemeClr w14:val="tx1"/>
                  </w14:solidFill>
                </w14:textFill>
              </w:rPr>
              <w:t>苯胺</w:t>
            </w:r>
          </w:p>
        </w:tc>
        <w:tc>
          <w:tcPr>
            <w:tcW w:w="260" w:type="pct"/>
            <w:vAlign w:val="center"/>
          </w:tcPr>
          <w:p w14:paraId="2039ACD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5FA77BA1">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546" w:type="pct"/>
            <w:gridSpan w:val="2"/>
            <w:vAlign w:val="center"/>
          </w:tcPr>
          <w:p w14:paraId="373EC80C">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547" w:type="pct"/>
            <w:gridSpan w:val="2"/>
            <w:vAlign w:val="center"/>
          </w:tcPr>
          <w:p w14:paraId="7E8D5829">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546" w:type="pct"/>
            <w:gridSpan w:val="2"/>
          </w:tcPr>
          <w:p w14:paraId="0F7C1B0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7249D7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42B9256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53DDF94D">
            <w:pPr>
              <w:pStyle w:val="109"/>
              <w:rPr>
                <w:color w:val="000000" w:themeColor="text1"/>
                <w14:textFill>
                  <w14:solidFill>
                    <w14:schemeClr w14:val="tx1"/>
                  </w14:solidFill>
                </w14:textFill>
              </w:rPr>
            </w:pPr>
            <w:r>
              <w:rPr>
                <w:color w:val="000000" w:themeColor="text1"/>
                <w14:textFill>
                  <w14:solidFill>
                    <w14:schemeClr w14:val="tx1"/>
                  </w14:solidFill>
                </w14:textFill>
              </w:rPr>
              <w:t>260</w:t>
            </w:r>
          </w:p>
        </w:tc>
      </w:tr>
      <w:tr w14:paraId="1FBF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410C724">
            <w:pPr>
              <w:pStyle w:val="109"/>
              <w:rPr>
                <w:color w:val="000000" w:themeColor="text1"/>
                <w14:textFill>
                  <w14:solidFill>
                    <w14:schemeClr w14:val="tx1"/>
                  </w14:solidFill>
                </w14:textFill>
              </w:rPr>
            </w:pPr>
            <w:r>
              <w:rPr>
                <w:color w:val="000000" w:themeColor="text1"/>
                <w14:textFill>
                  <w14:solidFill>
                    <w14:schemeClr w14:val="tx1"/>
                  </w14:solidFill>
                </w14:textFill>
              </w:rPr>
              <w:t>2-氯苯酚</w:t>
            </w:r>
          </w:p>
        </w:tc>
        <w:tc>
          <w:tcPr>
            <w:tcW w:w="260" w:type="pct"/>
            <w:vAlign w:val="center"/>
          </w:tcPr>
          <w:p w14:paraId="62B46E44">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3EF71DC4">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546" w:type="pct"/>
            <w:gridSpan w:val="2"/>
            <w:vAlign w:val="center"/>
          </w:tcPr>
          <w:p w14:paraId="293DB3BC">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547" w:type="pct"/>
            <w:gridSpan w:val="2"/>
            <w:vAlign w:val="center"/>
          </w:tcPr>
          <w:p w14:paraId="3F24EA5F">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546" w:type="pct"/>
            <w:gridSpan w:val="2"/>
          </w:tcPr>
          <w:p w14:paraId="0640056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611BC71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1B1773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1036C210">
            <w:pPr>
              <w:pStyle w:val="109"/>
              <w:rPr>
                <w:color w:val="000000" w:themeColor="text1"/>
                <w14:textFill>
                  <w14:solidFill>
                    <w14:schemeClr w14:val="tx1"/>
                  </w14:solidFill>
                </w14:textFill>
              </w:rPr>
            </w:pPr>
            <w:r>
              <w:rPr>
                <w:color w:val="000000" w:themeColor="text1"/>
                <w14:textFill>
                  <w14:solidFill>
                    <w14:schemeClr w14:val="tx1"/>
                  </w14:solidFill>
                </w14:textFill>
              </w:rPr>
              <w:t>2256</w:t>
            </w:r>
          </w:p>
        </w:tc>
      </w:tr>
      <w:tr w14:paraId="67E7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2B09000">
            <w:pPr>
              <w:pStyle w:val="109"/>
              <w:rPr>
                <w:color w:val="000000" w:themeColor="text1"/>
                <w14:textFill>
                  <w14:solidFill>
                    <w14:schemeClr w14:val="tx1"/>
                  </w14:solidFill>
                </w14:textFill>
              </w:rPr>
            </w:pPr>
            <w:r>
              <w:rPr>
                <w:color w:val="000000" w:themeColor="text1"/>
                <w14:textFill>
                  <w14:solidFill>
                    <w14:schemeClr w14:val="tx1"/>
                  </w14:solidFill>
                </w14:textFill>
              </w:rPr>
              <w:t>苯并[a]蒽</w:t>
            </w:r>
          </w:p>
        </w:tc>
        <w:tc>
          <w:tcPr>
            <w:tcW w:w="260" w:type="pct"/>
            <w:vAlign w:val="center"/>
          </w:tcPr>
          <w:p w14:paraId="1A911A42">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4BA909AD">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vAlign w:val="center"/>
          </w:tcPr>
          <w:p w14:paraId="2EE5186D">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7" w:type="pct"/>
            <w:gridSpan w:val="2"/>
            <w:vAlign w:val="center"/>
          </w:tcPr>
          <w:p w14:paraId="25E6DAA0">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tcPr>
          <w:p w14:paraId="245DFB7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4485388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45D5AE1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3185750A">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5900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41BE47C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苯并[a]芘 </w:t>
            </w:r>
          </w:p>
        </w:tc>
        <w:tc>
          <w:tcPr>
            <w:tcW w:w="260" w:type="pct"/>
            <w:vAlign w:val="center"/>
          </w:tcPr>
          <w:p w14:paraId="3BD437BE">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576B526F">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vAlign w:val="center"/>
          </w:tcPr>
          <w:p w14:paraId="4B464111">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7" w:type="pct"/>
            <w:gridSpan w:val="2"/>
            <w:vAlign w:val="center"/>
          </w:tcPr>
          <w:p w14:paraId="613B13B9">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tcPr>
          <w:p w14:paraId="3270854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1B61CA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627547E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4853FC40">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4CE5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530F615">
            <w:pPr>
              <w:pStyle w:val="109"/>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260" w:type="pct"/>
            <w:vAlign w:val="center"/>
          </w:tcPr>
          <w:p w14:paraId="125D4A97">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200336DC">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546" w:type="pct"/>
            <w:gridSpan w:val="2"/>
            <w:vAlign w:val="center"/>
          </w:tcPr>
          <w:p w14:paraId="365C4BA5">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547" w:type="pct"/>
            <w:gridSpan w:val="2"/>
            <w:vAlign w:val="center"/>
          </w:tcPr>
          <w:p w14:paraId="0DCEDBDA">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546" w:type="pct"/>
            <w:gridSpan w:val="2"/>
          </w:tcPr>
          <w:p w14:paraId="53D4E4A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955C0A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59CD820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3C02A7A1">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0BD4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EFEF078">
            <w:pPr>
              <w:pStyle w:val="109"/>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260" w:type="pct"/>
            <w:vAlign w:val="center"/>
          </w:tcPr>
          <w:p w14:paraId="355BEB82">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2266B1BF">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vAlign w:val="center"/>
          </w:tcPr>
          <w:p w14:paraId="58BDA5DB">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7" w:type="pct"/>
            <w:gridSpan w:val="2"/>
            <w:vAlign w:val="center"/>
          </w:tcPr>
          <w:p w14:paraId="7E90A89C">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tcPr>
          <w:p w14:paraId="0EA151A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5DC6133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12DBEA8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19C09303">
            <w:pPr>
              <w:pStyle w:val="109"/>
              <w:rPr>
                <w:color w:val="000000" w:themeColor="text1"/>
                <w14:textFill>
                  <w14:solidFill>
                    <w14:schemeClr w14:val="tx1"/>
                  </w14:solidFill>
                </w14:textFill>
              </w:rPr>
            </w:pPr>
            <w:r>
              <w:rPr>
                <w:color w:val="000000" w:themeColor="text1"/>
                <w14:textFill>
                  <w14:solidFill>
                    <w14:schemeClr w14:val="tx1"/>
                  </w14:solidFill>
                </w14:textFill>
              </w:rPr>
              <w:t>151</w:t>
            </w:r>
          </w:p>
        </w:tc>
      </w:tr>
      <w:tr w14:paraId="7899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74DA5EC0">
            <w:pPr>
              <w:pStyle w:val="109"/>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260" w:type="pct"/>
            <w:vAlign w:val="center"/>
          </w:tcPr>
          <w:p w14:paraId="7871D924">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42A441C6">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vAlign w:val="center"/>
          </w:tcPr>
          <w:p w14:paraId="327C20F9">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7" w:type="pct"/>
            <w:gridSpan w:val="2"/>
            <w:vAlign w:val="center"/>
          </w:tcPr>
          <w:p w14:paraId="5F09B457">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tcPr>
          <w:p w14:paraId="12585D2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62FB4C9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5DB5C3A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21208BA2">
            <w:pPr>
              <w:pStyle w:val="109"/>
              <w:rPr>
                <w:color w:val="000000" w:themeColor="text1"/>
                <w14:textFill>
                  <w14:solidFill>
                    <w14:schemeClr w14:val="tx1"/>
                  </w14:solidFill>
                </w14:textFill>
              </w:rPr>
            </w:pPr>
            <w:r>
              <w:rPr>
                <w:color w:val="000000" w:themeColor="text1"/>
                <w14:textFill>
                  <w14:solidFill>
                    <w14:schemeClr w14:val="tx1"/>
                  </w14:solidFill>
                </w14:textFill>
              </w:rPr>
              <w:t>1293</w:t>
            </w:r>
          </w:p>
        </w:tc>
      </w:tr>
      <w:tr w14:paraId="0492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32E19C6A">
            <w:pPr>
              <w:pStyle w:val="109"/>
              <w:rPr>
                <w:color w:val="000000" w:themeColor="text1"/>
                <w14:textFill>
                  <w14:solidFill>
                    <w14:schemeClr w14:val="tx1"/>
                  </w14:solidFill>
                </w14:textFill>
              </w:rPr>
            </w:pPr>
            <w:r>
              <w:rPr>
                <w:color w:val="000000" w:themeColor="text1"/>
                <w14:textFill>
                  <w14:solidFill>
                    <w14:schemeClr w14:val="tx1"/>
                  </w14:solidFill>
                </w14:textFill>
              </w:rPr>
              <w:t>二苯并[a，h]蒽</w:t>
            </w:r>
          </w:p>
        </w:tc>
        <w:tc>
          <w:tcPr>
            <w:tcW w:w="260" w:type="pct"/>
            <w:vAlign w:val="center"/>
          </w:tcPr>
          <w:p w14:paraId="143A4F2D">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1BFC1B76">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vAlign w:val="center"/>
          </w:tcPr>
          <w:p w14:paraId="31B6347E">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7" w:type="pct"/>
            <w:gridSpan w:val="2"/>
            <w:vAlign w:val="center"/>
          </w:tcPr>
          <w:p w14:paraId="36088936">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tcPr>
          <w:p w14:paraId="0084A26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7B561AD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3150550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71DB4928">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5357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0050DD9A">
            <w:pPr>
              <w:pStyle w:val="109"/>
              <w:rPr>
                <w:color w:val="000000" w:themeColor="text1"/>
                <w14:textFill>
                  <w14:solidFill>
                    <w14:schemeClr w14:val="tx1"/>
                  </w14:solidFill>
                </w14:textFill>
              </w:rPr>
            </w:pPr>
            <w:r>
              <w:rPr>
                <w:color w:val="000000" w:themeColor="text1"/>
                <w14:textFill>
                  <w14:solidFill>
                    <w14:schemeClr w14:val="tx1"/>
                  </w14:solidFill>
                </w14:textFill>
              </w:rPr>
              <w:t>茚并[1，2，3-cd]芘</w:t>
            </w:r>
          </w:p>
        </w:tc>
        <w:tc>
          <w:tcPr>
            <w:tcW w:w="260" w:type="pct"/>
            <w:vAlign w:val="center"/>
          </w:tcPr>
          <w:p w14:paraId="39520F73">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1C277297">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vAlign w:val="center"/>
          </w:tcPr>
          <w:p w14:paraId="3063DB7B">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7" w:type="pct"/>
            <w:gridSpan w:val="2"/>
            <w:vAlign w:val="center"/>
          </w:tcPr>
          <w:p w14:paraId="01E7C23F">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546" w:type="pct"/>
            <w:gridSpan w:val="2"/>
          </w:tcPr>
          <w:p w14:paraId="3313A61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13D73A2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42DE3EA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6315B899">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2BF2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64B0F6B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萘 </w:t>
            </w:r>
          </w:p>
        </w:tc>
        <w:tc>
          <w:tcPr>
            <w:tcW w:w="260" w:type="pct"/>
            <w:vAlign w:val="center"/>
          </w:tcPr>
          <w:p w14:paraId="73F5A584">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31DBAD65">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46" w:type="pct"/>
            <w:gridSpan w:val="2"/>
            <w:vAlign w:val="center"/>
          </w:tcPr>
          <w:p w14:paraId="5397B9A8">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47" w:type="pct"/>
            <w:gridSpan w:val="2"/>
            <w:vAlign w:val="center"/>
          </w:tcPr>
          <w:p w14:paraId="7EBA442F">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546" w:type="pct"/>
            <w:gridSpan w:val="2"/>
          </w:tcPr>
          <w:p w14:paraId="4AD6BD5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2B2A1BE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097D455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25D9B49C">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r>
      <w:tr w14:paraId="57B4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1023398A">
            <w:pPr>
              <w:pStyle w:val="109"/>
              <w:rPr>
                <w:color w:val="000000" w:themeColor="text1"/>
                <w14:textFill>
                  <w14:solidFill>
                    <w14:schemeClr w14:val="tx1"/>
                  </w14:solidFill>
                </w14:textFill>
              </w:rPr>
            </w:pPr>
            <w:r>
              <w:rPr>
                <w:color w:val="000000" w:themeColor="text1"/>
                <w14:textFill>
                  <w14:solidFill>
                    <w14:schemeClr w14:val="tx1"/>
                  </w14:solidFill>
                </w14:textFill>
              </w:rPr>
              <w:t>pH</w:t>
            </w:r>
          </w:p>
        </w:tc>
        <w:tc>
          <w:tcPr>
            <w:tcW w:w="260" w:type="pct"/>
            <w:vAlign w:val="center"/>
          </w:tcPr>
          <w:p w14:paraId="32632512">
            <w:pPr>
              <w:pStyle w:val="109"/>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546" w:type="pct"/>
            <w:gridSpan w:val="2"/>
            <w:vAlign w:val="center"/>
          </w:tcPr>
          <w:p w14:paraId="2091F763">
            <w:pPr>
              <w:pStyle w:val="109"/>
              <w:rPr>
                <w:color w:val="000000" w:themeColor="text1"/>
                <w14:textFill>
                  <w14:solidFill>
                    <w14:schemeClr w14:val="tx1"/>
                  </w14:solidFill>
                </w14:textFill>
              </w:rPr>
            </w:pPr>
            <w:r>
              <w:rPr>
                <w:color w:val="000000" w:themeColor="text1"/>
                <w14:textFill>
                  <w14:solidFill>
                    <w14:schemeClr w14:val="tx1"/>
                  </w14:solidFill>
                </w14:textFill>
              </w:rPr>
              <w:t>8.22</w:t>
            </w:r>
          </w:p>
        </w:tc>
        <w:tc>
          <w:tcPr>
            <w:tcW w:w="546" w:type="pct"/>
            <w:gridSpan w:val="2"/>
            <w:vAlign w:val="center"/>
          </w:tcPr>
          <w:p w14:paraId="1ACC4E42">
            <w:pPr>
              <w:pStyle w:val="109"/>
              <w:rPr>
                <w:color w:val="000000" w:themeColor="text1"/>
                <w14:textFill>
                  <w14:solidFill>
                    <w14:schemeClr w14:val="tx1"/>
                  </w14:solidFill>
                </w14:textFill>
              </w:rPr>
            </w:pPr>
            <w:r>
              <w:rPr>
                <w:color w:val="000000" w:themeColor="text1"/>
                <w14:textFill>
                  <w14:solidFill>
                    <w14:schemeClr w14:val="tx1"/>
                  </w14:solidFill>
                </w14:textFill>
              </w:rPr>
              <w:t>7.98</w:t>
            </w:r>
          </w:p>
        </w:tc>
        <w:tc>
          <w:tcPr>
            <w:tcW w:w="547" w:type="pct"/>
            <w:gridSpan w:val="2"/>
            <w:vAlign w:val="center"/>
          </w:tcPr>
          <w:p w14:paraId="2AE303C8">
            <w:pPr>
              <w:pStyle w:val="109"/>
              <w:rPr>
                <w:color w:val="000000" w:themeColor="text1"/>
                <w14:textFill>
                  <w14:solidFill>
                    <w14:schemeClr w14:val="tx1"/>
                  </w14:solidFill>
                </w14:textFill>
              </w:rPr>
            </w:pPr>
            <w:r>
              <w:rPr>
                <w:color w:val="000000" w:themeColor="text1"/>
                <w14:textFill>
                  <w14:solidFill>
                    <w14:schemeClr w14:val="tx1"/>
                  </w14:solidFill>
                </w14:textFill>
              </w:rPr>
              <w:t>7.84</w:t>
            </w:r>
          </w:p>
        </w:tc>
        <w:tc>
          <w:tcPr>
            <w:tcW w:w="546" w:type="pct"/>
            <w:gridSpan w:val="2"/>
          </w:tcPr>
          <w:p w14:paraId="6214E64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56D2E45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738FDB4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70DC8A5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0A12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5059068C">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260" w:type="pct"/>
            <w:vAlign w:val="center"/>
          </w:tcPr>
          <w:p w14:paraId="025D08C6">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46263439">
            <w:pPr>
              <w:pStyle w:val="109"/>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546" w:type="pct"/>
            <w:gridSpan w:val="2"/>
            <w:vAlign w:val="center"/>
          </w:tcPr>
          <w:p w14:paraId="42AE5390">
            <w:pPr>
              <w:pStyle w:val="109"/>
              <w:rPr>
                <w:color w:val="000000" w:themeColor="text1"/>
                <w14:textFill>
                  <w14:solidFill>
                    <w14:schemeClr w14:val="tx1"/>
                  </w14:solidFill>
                </w14:textFill>
              </w:rPr>
            </w:pPr>
            <w:r>
              <w:rPr>
                <w:color w:val="000000" w:themeColor="text1"/>
                <w14:textFill>
                  <w14:solidFill>
                    <w14:schemeClr w14:val="tx1"/>
                  </w14:solidFill>
                </w14:textFill>
              </w:rPr>
              <w:t>8.48</w:t>
            </w:r>
          </w:p>
        </w:tc>
        <w:tc>
          <w:tcPr>
            <w:tcW w:w="547" w:type="pct"/>
            <w:gridSpan w:val="2"/>
            <w:vAlign w:val="center"/>
          </w:tcPr>
          <w:p w14:paraId="34C89886">
            <w:pPr>
              <w:pStyle w:val="109"/>
              <w:rPr>
                <w:color w:val="000000" w:themeColor="text1"/>
                <w14:textFill>
                  <w14:solidFill>
                    <w14:schemeClr w14:val="tx1"/>
                  </w14:solidFill>
                </w14:textFill>
              </w:rPr>
            </w:pPr>
            <w:r>
              <w:rPr>
                <w:color w:val="000000" w:themeColor="text1"/>
                <w14:textFill>
                  <w14:solidFill>
                    <w14:schemeClr w14:val="tx1"/>
                  </w14:solidFill>
                </w14:textFill>
              </w:rPr>
              <w:t>8.10</w:t>
            </w:r>
          </w:p>
        </w:tc>
        <w:tc>
          <w:tcPr>
            <w:tcW w:w="546" w:type="pct"/>
            <w:gridSpan w:val="2"/>
            <w:vAlign w:val="bottom"/>
          </w:tcPr>
          <w:p w14:paraId="0E902506">
            <w:pPr>
              <w:pStyle w:val="109"/>
              <w:rPr>
                <w:color w:val="000000" w:themeColor="text1"/>
                <w14:textFill>
                  <w14:solidFill>
                    <w14:schemeClr w14:val="tx1"/>
                  </w14:solidFill>
                </w14:textFill>
              </w:rPr>
            </w:pPr>
            <w:r>
              <w:rPr>
                <w:color w:val="000000" w:themeColor="text1"/>
                <w14:textFill>
                  <w14:solidFill>
                    <w14:schemeClr w14:val="tx1"/>
                  </w14:solidFill>
                </w14:textFill>
              </w:rPr>
              <w:t>1.70E-01</w:t>
            </w:r>
          </w:p>
        </w:tc>
        <w:tc>
          <w:tcPr>
            <w:tcW w:w="546" w:type="pct"/>
            <w:gridSpan w:val="2"/>
            <w:vAlign w:val="bottom"/>
          </w:tcPr>
          <w:p w14:paraId="4AE91093">
            <w:pPr>
              <w:pStyle w:val="109"/>
              <w:rPr>
                <w:color w:val="000000" w:themeColor="text1"/>
                <w14:textFill>
                  <w14:solidFill>
                    <w14:schemeClr w14:val="tx1"/>
                  </w14:solidFill>
                </w14:textFill>
              </w:rPr>
            </w:pPr>
            <w:r>
              <w:rPr>
                <w:color w:val="000000" w:themeColor="text1"/>
                <w14:textFill>
                  <w14:solidFill>
                    <w14:schemeClr w14:val="tx1"/>
                  </w14:solidFill>
                </w14:textFill>
              </w:rPr>
              <w:t>1.41E-01</w:t>
            </w:r>
          </w:p>
        </w:tc>
        <w:tc>
          <w:tcPr>
            <w:tcW w:w="548" w:type="pct"/>
            <w:gridSpan w:val="2"/>
            <w:vAlign w:val="bottom"/>
          </w:tcPr>
          <w:p w14:paraId="6A2DB67C">
            <w:pPr>
              <w:pStyle w:val="109"/>
              <w:rPr>
                <w:color w:val="000000" w:themeColor="text1"/>
                <w14:textFill>
                  <w14:solidFill>
                    <w14:schemeClr w14:val="tx1"/>
                  </w14:solidFill>
                </w14:textFill>
              </w:rPr>
            </w:pPr>
            <w:r>
              <w:rPr>
                <w:color w:val="000000" w:themeColor="text1"/>
                <w14:textFill>
                  <w14:solidFill>
                    <w14:schemeClr w14:val="tx1"/>
                  </w14:solidFill>
                </w14:textFill>
              </w:rPr>
              <w:t>1.35E-01</w:t>
            </w:r>
          </w:p>
        </w:tc>
        <w:tc>
          <w:tcPr>
            <w:tcW w:w="742" w:type="pct"/>
            <w:gridSpan w:val="2"/>
            <w:vAlign w:val="center"/>
          </w:tcPr>
          <w:p w14:paraId="76BEA024">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r>
      <w:tr w14:paraId="6954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00821015">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260" w:type="pct"/>
            <w:vAlign w:val="center"/>
          </w:tcPr>
          <w:p w14:paraId="18AFB805">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283348BF">
            <w:pPr>
              <w:pStyle w:val="109"/>
              <w:rPr>
                <w:color w:val="000000" w:themeColor="text1"/>
                <w14:textFill>
                  <w14:solidFill>
                    <w14:schemeClr w14:val="tx1"/>
                  </w14:solidFill>
                </w14:textFill>
              </w:rPr>
            </w:pPr>
            <w:r>
              <w:rPr>
                <w:color w:val="000000" w:themeColor="text1"/>
                <w14:textFill>
                  <w14:solidFill>
                    <w14:schemeClr w14:val="tx1"/>
                  </w14:solidFill>
                </w14:textFill>
              </w:rPr>
              <w:t>35</w:t>
            </w:r>
          </w:p>
        </w:tc>
        <w:tc>
          <w:tcPr>
            <w:tcW w:w="546" w:type="pct"/>
            <w:gridSpan w:val="2"/>
            <w:vAlign w:val="center"/>
          </w:tcPr>
          <w:p w14:paraId="527A9DD1">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547" w:type="pct"/>
            <w:gridSpan w:val="2"/>
            <w:vAlign w:val="center"/>
          </w:tcPr>
          <w:p w14:paraId="450535A0">
            <w:pPr>
              <w:pStyle w:val="10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546" w:type="pct"/>
            <w:gridSpan w:val="2"/>
            <w:vAlign w:val="bottom"/>
          </w:tcPr>
          <w:p w14:paraId="73E7236C">
            <w:pPr>
              <w:pStyle w:val="109"/>
              <w:rPr>
                <w:color w:val="000000" w:themeColor="text1"/>
                <w14:textFill>
                  <w14:solidFill>
                    <w14:schemeClr w14:val="tx1"/>
                  </w14:solidFill>
                </w14:textFill>
              </w:rPr>
            </w:pPr>
            <w:r>
              <w:rPr>
                <w:color w:val="000000" w:themeColor="text1"/>
                <w14:textFill>
                  <w14:solidFill>
                    <w14:schemeClr w14:val="tx1"/>
                  </w14:solidFill>
                </w14:textFill>
              </w:rPr>
              <w:t>4.38E-02</w:t>
            </w:r>
          </w:p>
        </w:tc>
        <w:tc>
          <w:tcPr>
            <w:tcW w:w="546" w:type="pct"/>
            <w:gridSpan w:val="2"/>
            <w:vAlign w:val="bottom"/>
          </w:tcPr>
          <w:p w14:paraId="0546E072">
            <w:pPr>
              <w:pStyle w:val="109"/>
              <w:rPr>
                <w:color w:val="000000" w:themeColor="text1"/>
                <w14:textFill>
                  <w14:solidFill>
                    <w14:schemeClr w14:val="tx1"/>
                  </w14:solidFill>
                </w14:textFill>
              </w:rPr>
            </w:pPr>
            <w:r>
              <w:rPr>
                <w:color w:val="000000" w:themeColor="text1"/>
                <w14:textFill>
                  <w14:solidFill>
                    <w14:schemeClr w14:val="tx1"/>
                  </w14:solidFill>
                </w14:textFill>
              </w:rPr>
              <w:t>3.75E-02</w:t>
            </w:r>
          </w:p>
        </w:tc>
        <w:tc>
          <w:tcPr>
            <w:tcW w:w="548" w:type="pct"/>
            <w:gridSpan w:val="2"/>
            <w:vAlign w:val="bottom"/>
          </w:tcPr>
          <w:p w14:paraId="0B1D32C9">
            <w:pPr>
              <w:pStyle w:val="109"/>
              <w:rPr>
                <w:color w:val="000000" w:themeColor="text1"/>
                <w14:textFill>
                  <w14:solidFill>
                    <w14:schemeClr w14:val="tx1"/>
                  </w14:solidFill>
                </w14:textFill>
              </w:rPr>
            </w:pPr>
            <w:r>
              <w:rPr>
                <w:color w:val="000000" w:themeColor="text1"/>
                <w14:textFill>
                  <w14:solidFill>
                    <w14:schemeClr w14:val="tx1"/>
                  </w14:solidFill>
                </w14:textFill>
              </w:rPr>
              <w:t>5.25E-02</w:t>
            </w:r>
          </w:p>
        </w:tc>
        <w:tc>
          <w:tcPr>
            <w:tcW w:w="742" w:type="pct"/>
            <w:gridSpan w:val="2"/>
            <w:vAlign w:val="center"/>
          </w:tcPr>
          <w:p w14:paraId="7A31F36D">
            <w:pPr>
              <w:pStyle w:val="109"/>
              <w:rPr>
                <w:color w:val="000000" w:themeColor="text1"/>
                <w14:textFill>
                  <w14:solidFill>
                    <w14:schemeClr w14:val="tx1"/>
                  </w14:solidFill>
                </w14:textFill>
              </w:rPr>
            </w:pPr>
            <w:r>
              <w:rPr>
                <w:color w:val="000000" w:themeColor="text1"/>
                <w14:textFill>
                  <w14:solidFill>
                    <w14:schemeClr w14:val="tx1"/>
                  </w14:solidFill>
                </w14:textFill>
              </w:rPr>
              <w:t>800</w:t>
            </w:r>
          </w:p>
        </w:tc>
      </w:tr>
      <w:tr w14:paraId="2819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6CF682E4">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260" w:type="pct"/>
            <w:vAlign w:val="center"/>
          </w:tcPr>
          <w:p w14:paraId="4808596B">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035B29A1">
            <w:pPr>
              <w:pStyle w:val="109"/>
              <w:rPr>
                <w:color w:val="000000" w:themeColor="text1"/>
                <w14:textFill>
                  <w14:solidFill>
                    <w14:schemeClr w14:val="tx1"/>
                  </w14:solidFill>
                </w14:textFill>
              </w:rPr>
            </w:pPr>
            <w:r>
              <w:rPr>
                <w:color w:val="000000" w:themeColor="text1"/>
                <w14:textFill>
                  <w14:solidFill>
                    <w14:schemeClr w14:val="tx1"/>
                  </w14:solidFill>
                </w14:textFill>
              </w:rPr>
              <w:t>0.123</w:t>
            </w:r>
          </w:p>
        </w:tc>
        <w:tc>
          <w:tcPr>
            <w:tcW w:w="546" w:type="pct"/>
            <w:gridSpan w:val="2"/>
            <w:vAlign w:val="center"/>
          </w:tcPr>
          <w:p w14:paraId="5B58AB1A">
            <w:pPr>
              <w:pStyle w:val="109"/>
              <w:rPr>
                <w:color w:val="000000" w:themeColor="text1"/>
                <w14:textFill>
                  <w14:solidFill>
                    <w14:schemeClr w14:val="tx1"/>
                  </w14:solidFill>
                </w14:textFill>
              </w:rPr>
            </w:pPr>
            <w:r>
              <w:rPr>
                <w:color w:val="000000" w:themeColor="text1"/>
                <w14:textFill>
                  <w14:solidFill>
                    <w14:schemeClr w14:val="tx1"/>
                  </w14:solidFill>
                </w14:textFill>
              </w:rPr>
              <w:t>0.096</w:t>
            </w:r>
          </w:p>
        </w:tc>
        <w:tc>
          <w:tcPr>
            <w:tcW w:w="547" w:type="pct"/>
            <w:gridSpan w:val="2"/>
            <w:vAlign w:val="center"/>
          </w:tcPr>
          <w:p w14:paraId="73A8E553">
            <w:pPr>
              <w:pStyle w:val="109"/>
              <w:rPr>
                <w:color w:val="000000" w:themeColor="text1"/>
                <w14:textFill>
                  <w14:solidFill>
                    <w14:schemeClr w14:val="tx1"/>
                  </w14:solidFill>
                </w14:textFill>
              </w:rPr>
            </w:pPr>
            <w:r>
              <w:rPr>
                <w:color w:val="000000" w:themeColor="text1"/>
                <w14:textFill>
                  <w14:solidFill>
                    <w14:schemeClr w14:val="tx1"/>
                  </w14:solidFill>
                </w14:textFill>
              </w:rPr>
              <w:t>0.052</w:t>
            </w:r>
          </w:p>
        </w:tc>
        <w:tc>
          <w:tcPr>
            <w:tcW w:w="546" w:type="pct"/>
            <w:gridSpan w:val="2"/>
            <w:vAlign w:val="bottom"/>
          </w:tcPr>
          <w:p w14:paraId="31729C09">
            <w:pPr>
              <w:pStyle w:val="109"/>
              <w:rPr>
                <w:color w:val="000000" w:themeColor="text1"/>
                <w14:textFill>
                  <w14:solidFill>
                    <w14:schemeClr w14:val="tx1"/>
                  </w14:solidFill>
                </w14:textFill>
              </w:rPr>
            </w:pPr>
            <w:r>
              <w:rPr>
                <w:color w:val="000000" w:themeColor="text1"/>
                <w14:textFill>
                  <w14:solidFill>
                    <w14:schemeClr w14:val="tx1"/>
                  </w14:solidFill>
                </w14:textFill>
              </w:rPr>
              <w:t>3.24E-03</w:t>
            </w:r>
          </w:p>
        </w:tc>
        <w:tc>
          <w:tcPr>
            <w:tcW w:w="546" w:type="pct"/>
            <w:gridSpan w:val="2"/>
            <w:vAlign w:val="bottom"/>
          </w:tcPr>
          <w:p w14:paraId="14D8DAEA">
            <w:pPr>
              <w:pStyle w:val="109"/>
              <w:rPr>
                <w:color w:val="000000" w:themeColor="text1"/>
                <w14:textFill>
                  <w14:solidFill>
                    <w14:schemeClr w14:val="tx1"/>
                  </w14:solidFill>
                </w14:textFill>
              </w:rPr>
            </w:pPr>
            <w:r>
              <w:rPr>
                <w:color w:val="000000" w:themeColor="text1"/>
                <w14:textFill>
                  <w14:solidFill>
                    <w14:schemeClr w14:val="tx1"/>
                  </w14:solidFill>
                </w14:textFill>
              </w:rPr>
              <w:t>2.53E-03</w:t>
            </w:r>
          </w:p>
        </w:tc>
        <w:tc>
          <w:tcPr>
            <w:tcW w:w="548" w:type="pct"/>
            <w:gridSpan w:val="2"/>
            <w:vAlign w:val="bottom"/>
          </w:tcPr>
          <w:p w14:paraId="5E530E16">
            <w:pPr>
              <w:pStyle w:val="109"/>
              <w:rPr>
                <w:color w:val="000000" w:themeColor="text1"/>
                <w14:textFill>
                  <w14:solidFill>
                    <w14:schemeClr w14:val="tx1"/>
                  </w14:solidFill>
                </w14:textFill>
              </w:rPr>
            </w:pPr>
            <w:r>
              <w:rPr>
                <w:color w:val="000000" w:themeColor="text1"/>
                <w14:textFill>
                  <w14:solidFill>
                    <w14:schemeClr w14:val="tx1"/>
                  </w14:solidFill>
                </w14:textFill>
              </w:rPr>
              <w:t>1.37E-03</w:t>
            </w:r>
          </w:p>
        </w:tc>
        <w:tc>
          <w:tcPr>
            <w:tcW w:w="742" w:type="pct"/>
            <w:gridSpan w:val="2"/>
            <w:vAlign w:val="center"/>
          </w:tcPr>
          <w:p w14:paraId="33503BFB">
            <w:pPr>
              <w:pStyle w:val="109"/>
              <w:rPr>
                <w:color w:val="000000" w:themeColor="text1"/>
                <w14:textFill>
                  <w14:solidFill>
                    <w14:schemeClr w14:val="tx1"/>
                  </w14:solidFill>
                </w14:textFill>
              </w:rPr>
            </w:pPr>
            <w:r>
              <w:rPr>
                <w:color w:val="000000" w:themeColor="text1"/>
                <w14:textFill>
                  <w14:solidFill>
                    <w14:schemeClr w14:val="tx1"/>
                  </w14:solidFill>
                </w14:textFill>
              </w:rPr>
              <w:t>38</w:t>
            </w:r>
          </w:p>
        </w:tc>
      </w:tr>
      <w:tr w14:paraId="7AE2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05779BE6">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260" w:type="pct"/>
            <w:vAlign w:val="center"/>
          </w:tcPr>
          <w:p w14:paraId="58A46F2A">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37498955">
            <w:pPr>
              <w:pStyle w:val="109"/>
              <w:rPr>
                <w:color w:val="000000" w:themeColor="text1"/>
                <w14:textFill>
                  <w14:solidFill>
                    <w14:schemeClr w14:val="tx1"/>
                  </w14:solidFill>
                </w14:textFill>
              </w:rPr>
            </w:pPr>
            <w:r>
              <w:rPr>
                <w:color w:val="000000" w:themeColor="text1"/>
                <w14:textFill>
                  <w14:solidFill>
                    <w14:schemeClr w14:val="tx1"/>
                  </w14:solidFill>
                </w14:textFill>
              </w:rPr>
              <w:t>0.41</w:t>
            </w:r>
          </w:p>
        </w:tc>
        <w:tc>
          <w:tcPr>
            <w:tcW w:w="546" w:type="pct"/>
            <w:gridSpan w:val="2"/>
            <w:vAlign w:val="center"/>
          </w:tcPr>
          <w:p w14:paraId="1B264B03">
            <w:pPr>
              <w:pStyle w:val="109"/>
              <w:rPr>
                <w:color w:val="000000" w:themeColor="text1"/>
                <w14:textFill>
                  <w14:solidFill>
                    <w14:schemeClr w14:val="tx1"/>
                  </w14:solidFill>
                </w14:textFill>
              </w:rPr>
            </w:pPr>
            <w:r>
              <w:rPr>
                <w:color w:val="000000" w:themeColor="text1"/>
                <w14:textFill>
                  <w14:solidFill>
                    <w14:schemeClr w14:val="tx1"/>
                  </w14:solidFill>
                </w14:textFill>
              </w:rPr>
              <w:t>0.33</w:t>
            </w:r>
          </w:p>
        </w:tc>
        <w:tc>
          <w:tcPr>
            <w:tcW w:w="547" w:type="pct"/>
            <w:gridSpan w:val="2"/>
            <w:vAlign w:val="center"/>
          </w:tcPr>
          <w:p w14:paraId="2718705B">
            <w:pPr>
              <w:pStyle w:val="109"/>
              <w:rPr>
                <w:color w:val="000000" w:themeColor="text1"/>
                <w14:textFill>
                  <w14:solidFill>
                    <w14:schemeClr w14:val="tx1"/>
                  </w14:solidFill>
                </w14:textFill>
              </w:rPr>
            </w:pPr>
            <w:r>
              <w:rPr>
                <w:color w:val="000000" w:themeColor="text1"/>
                <w14:textFill>
                  <w14:solidFill>
                    <w14:schemeClr w14:val="tx1"/>
                  </w14:solidFill>
                </w14:textFill>
              </w:rPr>
              <w:t>0.29</w:t>
            </w:r>
          </w:p>
        </w:tc>
        <w:tc>
          <w:tcPr>
            <w:tcW w:w="546" w:type="pct"/>
            <w:gridSpan w:val="2"/>
            <w:vAlign w:val="bottom"/>
          </w:tcPr>
          <w:p w14:paraId="6F9B2AB9">
            <w:pPr>
              <w:pStyle w:val="109"/>
              <w:rPr>
                <w:color w:val="000000" w:themeColor="text1"/>
                <w14:textFill>
                  <w14:solidFill>
                    <w14:schemeClr w14:val="tx1"/>
                  </w14:solidFill>
                </w14:textFill>
              </w:rPr>
            </w:pPr>
            <w:r>
              <w:rPr>
                <w:color w:val="000000" w:themeColor="text1"/>
                <w14:textFill>
                  <w14:solidFill>
                    <w14:schemeClr w14:val="tx1"/>
                  </w14:solidFill>
                </w14:textFill>
              </w:rPr>
              <w:t>6.31E-03</w:t>
            </w:r>
          </w:p>
        </w:tc>
        <w:tc>
          <w:tcPr>
            <w:tcW w:w="546" w:type="pct"/>
            <w:gridSpan w:val="2"/>
            <w:vAlign w:val="bottom"/>
          </w:tcPr>
          <w:p w14:paraId="2EC2E8FA">
            <w:pPr>
              <w:pStyle w:val="109"/>
              <w:rPr>
                <w:color w:val="000000" w:themeColor="text1"/>
                <w14:textFill>
                  <w14:solidFill>
                    <w14:schemeClr w14:val="tx1"/>
                  </w14:solidFill>
                </w14:textFill>
              </w:rPr>
            </w:pPr>
            <w:r>
              <w:rPr>
                <w:color w:val="000000" w:themeColor="text1"/>
                <w14:textFill>
                  <w14:solidFill>
                    <w14:schemeClr w14:val="tx1"/>
                  </w14:solidFill>
                </w14:textFill>
              </w:rPr>
              <w:t>5.08E-03</w:t>
            </w:r>
          </w:p>
        </w:tc>
        <w:tc>
          <w:tcPr>
            <w:tcW w:w="548" w:type="pct"/>
            <w:gridSpan w:val="2"/>
            <w:vAlign w:val="bottom"/>
          </w:tcPr>
          <w:p w14:paraId="06709CB6">
            <w:pPr>
              <w:pStyle w:val="109"/>
              <w:rPr>
                <w:color w:val="000000" w:themeColor="text1"/>
                <w14:textFill>
                  <w14:solidFill>
                    <w14:schemeClr w14:val="tx1"/>
                  </w14:solidFill>
                </w14:textFill>
              </w:rPr>
            </w:pPr>
            <w:r>
              <w:rPr>
                <w:color w:val="000000" w:themeColor="text1"/>
                <w14:textFill>
                  <w14:solidFill>
                    <w14:schemeClr w14:val="tx1"/>
                  </w14:solidFill>
                </w14:textFill>
              </w:rPr>
              <w:t>4.46E-03</w:t>
            </w:r>
          </w:p>
        </w:tc>
        <w:tc>
          <w:tcPr>
            <w:tcW w:w="742" w:type="pct"/>
            <w:gridSpan w:val="2"/>
            <w:vAlign w:val="center"/>
          </w:tcPr>
          <w:p w14:paraId="29389616">
            <w:pPr>
              <w:pStyle w:val="109"/>
              <w:rPr>
                <w:color w:val="000000" w:themeColor="text1"/>
                <w14:textFill>
                  <w14:solidFill>
                    <w14:schemeClr w14:val="tx1"/>
                  </w14:solidFill>
                </w14:textFill>
              </w:rPr>
            </w:pPr>
            <w:r>
              <w:rPr>
                <w:color w:val="000000" w:themeColor="text1"/>
                <w14:textFill>
                  <w14:solidFill>
                    <w14:schemeClr w14:val="tx1"/>
                  </w14:solidFill>
                </w14:textFill>
              </w:rPr>
              <w:t>65</w:t>
            </w:r>
          </w:p>
        </w:tc>
      </w:tr>
      <w:tr w14:paraId="3448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5F0829D9">
            <w:pPr>
              <w:pStyle w:val="109"/>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260" w:type="pct"/>
            <w:vAlign w:val="center"/>
          </w:tcPr>
          <w:p w14:paraId="573A5DBF">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752B4226">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546" w:type="pct"/>
            <w:gridSpan w:val="2"/>
            <w:vAlign w:val="center"/>
          </w:tcPr>
          <w:p w14:paraId="17959CE0">
            <w:pPr>
              <w:pStyle w:val="109"/>
              <w:rPr>
                <w:color w:val="000000" w:themeColor="text1"/>
                <w14:textFill>
                  <w14:solidFill>
                    <w14:schemeClr w14:val="tx1"/>
                  </w14:solidFill>
                </w14:textFill>
              </w:rPr>
            </w:pPr>
            <w:r>
              <w:rPr>
                <w:color w:val="000000" w:themeColor="text1"/>
                <w14:textFill>
                  <w14:solidFill>
                    <w14:schemeClr w14:val="tx1"/>
                  </w14:solidFill>
                </w14:textFill>
              </w:rPr>
              <w:t>26</w:t>
            </w:r>
          </w:p>
        </w:tc>
        <w:tc>
          <w:tcPr>
            <w:tcW w:w="547" w:type="pct"/>
            <w:gridSpan w:val="2"/>
            <w:vAlign w:val="center"/>
          </w:tcPr>
          <w:p w14:paraId="61AFF498">
            <w:pPr>
              <w:pStyle w:val="109"/>
              <w:rPr>
                <w:color w:val="000000" w:themeColor="text1"/>
                <w14:textFill>
                  <w14:solidFill>
                    <w14:schemeClr w14:val="tx1"/>
                  </w14:solidFill>
                </w14:textFill>
              </w:rPr>
            </w:pPr>
            <w:r>
              <w:rPr>
                <w:color w:val="000000" w:themeColor="text1"/>
                <w14:textFill>
                  <w14:solidFill>
                    <w14:schemeClr w14:val="tx1"/>
                  </w14:solidFill>
                </w14:textFill>
              </w:rPr>
              <w:t>22</w:t>
            </w:r>
          </w:p>
        </w:tc>
        <w:tc>
          <w:tcPr>
            <w:tcW w:w="546" w:type="pct"/>
            <w:gridSpan w:val="2"/>
            <w:vAlign w:val="bottom"/>
          </w:tcPr>
          <w:p w14:paraId="36476667">
            <w:pPr>
              <w:pStyle w:val="109"/>
              <w:rPr>
                <w:color w:val="000000" w:themeColor="text1"/>
                <w14:textFill>
                  <w14:solidFill>
                    <w14:schemeClr w14:val="tx1"/>
                  </w14:solidFill>
                </w14:textFill>
              </w:rPr>
            </w:pPr>
            <w:r>
              <w:rPr>
                <w:color w:val="000000" w:themeColor="text1"/>
                <w14:textFill>
                  <w14:solidFill>
                    <w14:schemeClr w14:val="tx1"/>
                  </w14:solidFill>
                </w14:textFill>
              </w:rPr>
              <w:t>1.67E-03</w:t>
            </w:r>
          </w:p>
        </w:tc>
        <w:tc>
          <w:tcPr>
            <w:tcW w:w="546" w:type="pct"/>
            <w:gridSpan w:val="2"/>
            <w:vAlign w:val="bottom"/>
          </w:tcPr>
          <w:p w14:paraId="6C304892">
            <w:pPr>
              <w:pStyle w:val="109"/>
              <w:rPr>
                <w:color w:val="000000" w:themeColor="text1"/>
                <w14:textFill>
                  <w14:solidFill>
                    <w14:schemeClr w14:val="tx1"/>
                  </w14:solidFill>
                </w14:textFill>
              </w:rPr>
            </w:pPr>
            <w:r>
              <w:rPr>
                <w:color w:val="000000" w:themeColor="text1"/>
                <w14:textFill>
                  <w14:solidFill>
                    <w14:schemeClr w14:val="tx1"/>
                  </w14:solidFill>
                </w14:textFill>
              </w:rPr>
              <w:t>1.44E-03</w:t>
            </w:r>
          </w:p>
        </w:tc>
        <w:tc>
          <w:tcPr>
            <w:tcW w:w="548" w:type="pct"/>
            <w:gridSpan w:val="2"/>
            <w:vAlign w:val="bottom"/>
          </w:tcPr>
          <w:p w14:paraId="135CEA00">
            <w:pPr>
              <w:pStyle w:val="109"/>
              <w:rPr>
                <w:color w:val="000000" w:themeColor="text1"/>
                <w14:textFill>
                  <w14:solidFill>
                    <w14:schemeClr w14:val="tx1"/>
                  </w14:solidFill>
                </w14:textFill>
              </w:rPr>
            </w:pPr>
            <w:r>
              <w:rPr>
                <w:color w:val="000000" w:themeColor="text1"/>
                <w14:textFill>
                  <w14:solidFill>
                    <w14:schemeClr w14:val="tx1"/>
                  </w14:solidFill>
                </w14:textFill>
              </w:rPr>
              <w:t>1.22E-03</w:t>
            </w:r>
          </w:p>
        </w:tc>
        <w:tc>
          <w:tcPr>
            <w:tcW w:w="742" w:type="pct"/>
            <w:gridSpan w:val="2"/>
            <w:vAlign w:val="center"/>
          </w:tcPr>
          <w:p w14:paraId="6E89B746">
            <w:pPr>
              <w:pStyle w:val="109"/>
              <w:rPr>
                <w:color w:val="000000" w:themeColor="text1"/>
                <w14:textFill>
                  <w14:solidFill>
                    <w14:schemeClr w14:val="tx1"/>
                  </w14:solidFill>
                </w14:textFill>
              </w:rPr>
            </w:pPr>
            <w:r>
              <w:rPr>
                <w:color w:val="000000" w:themeColor="text1"/>
                <w14:textFill>
                  <w14:solidFill>
                    <w14:schemeClr w14:val="tx1"/>
                  </w14:solidFill>
                </w14:textFill>
              </w:rPr>
              <w:t>18000</w:t>
            </w:r>
          </w:p>
        </w:tc>
      </w:tr>
      <w:tr w14:paraId="67C0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698F0930">
            <w:pPr>
              <w:pStyle w:val="109"/>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260" w:type="pct"/>
            <w:vAlign w:val="center"/>
          </w:tcPr>
          <w:p w14:paraId="2F605B98">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1EA691F0">
            <w:pPr>
              <w:pStyle w:val="109"/>
              <w:rPr>
                <w:color w:val="000000" w:themeColor="text1"/>
                <w14:textFill>
                  <w14:solidFill>
                    <w14:schemeClr w14:val="tx1"/>
                  </w14:solidFill>
                </w14:textFill>
              </w:rPr>
            </w:pPr>
            <w:r>
              <w:rPr>
                <w:color w:val="000000" w:themeColor="text1"/>
                <w14:textFill>
                  <w14:solidFill>
                    <w14:schemeClr w14:val="tx1"/>
                  </w14:solidFill>
                </w14:textFill>
              </w:rPr>
              <w:t>50</w:t>
            </w:r>
          </w:p>
        </w:tc>
        <w:tc>
          <w:tcPr>
            <w:tcW w:w="546" w:type="pct"/>
            <w:gridSpan w:val="2"/>
            <w:vAlign w:val="center"/>
          </w:tcPr>
          <w:p w14:paraId="7739751B">
            <w:pPr>
              <w:pStyle w:val="109"/>
              <w:rPr>
                <w:color w:val="000000" w:themeColor="text1"/>
                <w14:textFill>
                  <w14:solidFill>
                    <w14:schemeClr w14:val="tx1"/>
                  </w14:solidFill>
                </w14:textFill>
              </w:rPr>
            </w:pPr>
            <w:r>
              <w:rPr>
                <w:color w:val="000000" w:themeColor="text1"/>
                <w14:textFill>
                  <w14:solidFill>
                    <w14:schemeClr w14:val="tx1"/>
                  </w14:solidFill>
                </w14:textFill>
              </w:rPr>
              <w:t>45</w:t>
            </w:r>
          </w:p>
        </w:tc>
        <w:tc>
          <w:tcPr>
            <w:tcW w:w="547" w:type="pct"/>
            <w:gridSpan w:val="2"/>
            <w:vAlign w:val="center"/>
          </w:tcPr>
          <w:p w14:paraId="724E939A">
            <w:pPr>
              <w:pStyle w:val="109"/>
              <w:rPr>
                <w:color w:val="000000" w:themeColor="text1"/>
                <w14:textFill>
                  <w14:solidFill>
                    <w14:schemeClr w14:val="tx1"/>
                  </w14:solidFill>
                </w14:textFill>
              </w:rPr>
            </w:pPr>
            <w:r>
              <w:rPr>
                <w:color w:val="000000" w:themeColor="text1"/>
                <w14:textFill>
                  <w14:solidFill>
                    <w14:schemeClr w14:val="tx1"/>
                  </w14:solidFill>
                </w14:textFill>
              </w:rPr>
              <w:t>37</w:t>
            </w:r>
          </w:p>
        </w:tc>
        <w:tc>
          <w:tcPr>
            <w:tcW w:w="546" w:type="pct"/>
            <w:gridSpan w:val="2"/>
            <w:vAlign w:val="bottom"/>
          </w:tcPr>
          <w:p w14:paraId="4B817275">
            <w:pPr>
              <w:pStyle w:val="109"/>
              <w:rPr>
                <w:color w:val="000000" w:themeColor="text1"/>
                <w14:textFill>
                  <w14:solidFill>
                    <w14:schemeClr w14:val="tx1"/>
                  </w14:solidFill>
                </w14:textFill>
              </w:rPr>
            </w:pPr>
            <w:r>
              <w:rPr>
                <w:color w:val="000000" w:themeColor="text1"/>
                <w14:textFill>
                  <w14:solidFill>
                    <w14:schemeClr w14:val="tx1"/>
                  </w14:solidFill>
                </w14:textFill>
              </w:rPr>
              <w:t>5.56E-02</w:t>
            </w:r>
          </w:p>
        </w:tc>
        <w:tc>
          <w:tcPr>
            <w:tcW w:w="546" w:type="pct"/>
            <w:gridSpan w:val="2"/>
            <w:vAlign w:val="bottom"/>
          </w:tcPr>
          <w:p w14:paraId="4010C18E">
            <w:pPr>
              <w:pStyle w:val="109"/>
              <w:rPr>
                <w:color w:val="000000" w:themeColor="text1"/>
                <w14:textFill>
                  <w14:solidFill>
                    <w14:schemeClr w14:val="tx1"/>
                  </w14:solidFill>
                </w14:textFill>
              </w:rPr>
            </w:pPr>
            <w:r>
              <w:rPr>
                <w:color w:val="000000" w:themeColor="text1"/>
                <w14:textFill>
                  <w14:solidFill>
                    <w14:schemeClr w14:val="tx1"/>
                  </w14:solidFill>
                </w14:textFill>
              </w:rPr>
              <w:t>5.00E-02</w:t>
            </w:r>
          </w:p>
        </w:tc>
        <w:tc>
          <w:tcPr>
            <w:tcW w:w="548" w:type="pct"/>
            <w:gridSpan w:val="2"/>
            <w:vAlign w:val="bottom"/>
          </w:tcPr>
          <w:p w14:paraId="5DDE3043">
            <w:pPr>
              <w:pStyle w:val="109"/>
              <w:rPr>
                <w:color w:val="000000" w:themeColor="text1"/>
                <w14:textFill>
                  <w14:solidFill>
                    <w14:schemeClr w14:val="tx1"/>
                  </w14:solidFill>
                </w14:textFill>
              </w:rPr>
            </w:pPr>
            <w:r>
              <w:rPr>
                <w:color w:val="000000" w:themeColor="text1"/>
                <w14:textFill>
                  <w14:solidFill>
                    <w14:schemeClr w14:val="tx1"/>
                  </w14:solidFill>
                </w14:textFill>
              </w:rPr>
              <w:t>4.11E-02</w:t>
            </w:r>
          </w:p>
        </w:tc>
        <w:tc>
          <w:tcPr>
            <w:tcW w:w="742" w:type="pct"/>
            <w:gridSpan w:val="2"/>
            <w:vAlign w:val="center"/>
          </w:tcPr>
          <w:p w14:paraId="2FEE65B7">
            <w:pPr>
              <w:pStyle w:val="109"/>
              <w:rPr>
                <w:color w:val="000000" w:themeColor="text1"/>
                <w14:textFill>
                  <w14:solidFill>
                    <w14:schemeClr w14:val="tx1"/>
                  </w14:solidFill>
                </w14:textFill>
              </w:rPr>
            </w:pPr>
            <w:r>
              <w:rPr>
                <w:color w:val="000000" w:themeColor="text1"/>
                <w14:textFill>
                  <w14:solidFill>
                    <w14:schemeClr w14:val="tx1"/>
                  </w14:solidFill>
                </w14:textFill>
              </w:rPr>
              <w:t>900</w:t>
            </w:r>
          </w:p>
        </w:tc>
      </w:tr>
      <w:tr w14:paraId="7AD2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3" w:type="pct"/>
          <w:jc w:val="center"/>
        </w:trPr>
        <w:tc>
          <w:tcPr>
            <w:tcW w:w="715" w:type="pct"/>
            <w:vAlign w:val="center"/>
          </w:tcPr>
          <w:p w14:paraId="6CC96567">
            <w:pPr>
              <w:pStyle w:val="109"/>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260" w:type="pct"/>
            <w:vAlign w:val="center"/>
          </w:tcPr>
          <w:p w14:paraId="05441FF3">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546" w:type="pct"/>
            <w:gridSpan w:val="2"/>
            <w:vAlign w:val="center"/>
          </w:tcPr>
          <w:p w14:paraId="218A66C0">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546" w:type="pct"/>
            <w:gridSpan w:val="2"/>
            <w:vAlign w:val="center"/>
          </w:tcPr>
          <w:p w14:paraId="55949370">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547" w:type="pct"/>
            <w:gridSpan w:val="2"/>
            <w:vAlign w:val="center"/>
          </w:tcPr>
          <w:p w14:paraId="3FE918AA">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546" w:type="pct"/>
            <w:gridSpan w:val="2"/>
          </w:tcPr>
          <w:p w14:paraId="6C63F79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gridSpan w:val="2"/>
          </w:tcPr>
          <w:p w14:paraId="521E40C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548" w:type="pct"/>
            <w:gridSpan w:val="2"/>
          </w:tcPr>
          <w:p w14:paraId="6DA82C4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gridSpan w:val="2"/>
            <w:vAlign w:val="center"/>
          </w:tcPr>
          <w:p w14:paraId="67B73752">
            <w:pPr>
              <w:pStyle w:val="109"/>
              <w:rPr>
                <w:color w:val="000000" w:themeColor="text1"/>
                <w14:textFill>
                  <w14:solidFill>
                    <w14:schemeClr w14:val="tx1"/>
                  </w14:solidFill>
                </w14:textFill>
              </w:rPr>
            </w:pPr>
            <w:r>
              <w:rPr>
                <w:color w:val="000000" w:themeColor="text1"/>
                <w14:textFill>
                  <w14:solidFill>
                    <w14:schemeClr w14:val="tx1"/>
                  </w14:solidFill>
                </w14:textFill>
              </w:rPr>
              <w:t>5.7</w:t>
            </w:r>
          </w:p>
        </w:tc>
      </w:tr>
    </w:tbl>
    <w:p w14:paraId="6A275592">
      <w:pPr>
        <w:ind w:firstLine="480"/>
        <w:rPr>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p>
    <w:p w14:paraId="020ABC40">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土壤现状监测结果4（引用）</w:t>
      </w:r>
    </w:p>
    <w:tbl>
      <w:tblPr>
        <w:tblStyle w:val="7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875"/>
        <w:gridCol w:w="1346"/>
        <w:gridCol w:w="1024"/>
        <w:gridCol w:w="772"/>
        <w:gridCol w:w="1462"/>
        <w:gridCol w:w="2959"/>
      </w:tblGrid>
      <w:tr w14:paraId="0A97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70E4A08A">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1255" w:type="pct"/>
            <w:gridSpan w:val="2"/>
            <w:vAlign w:val="center"/>
          </w:tcPr>
          <w:p w14:paraId="0DEFBE4E">
            <w:pPr>
              <w:pStyle w:val="109"/>
              <w:rPr>
                <w:color w:val="000000" w:themeColor="text1"/>
                <w14:textFill>
                  <w14:solidFill>
                    <w14:schemeClr w14:val="tx1"/>
                  </w14:solidFill>
                </w14:textFill>
              </w:rPr>
            </w:pPr>
            <w:r>
              <w:rPr>
                <w:color w:val="000000" w:themeColor="text1"/>
                <w14:textFill>
                  <w14:solidFill>
                    <w14:schemeClr w14:val="tx1"/>
                  </w14:solidFill>
                </w14:textFill>
              </w:rPr>
              <w:t>TC-4#-1</w:t>
            </w:r>
          </w:p>
        </w:tc>
        <w:tc>
          <w:tcPr>
            <w:tcW w:w="1182" w:type="pct"/>
            <w:gridSpan w:val="2"/>
            <w:vAlign w:val="center"/>
          </w:tcPr>
          <w:p w14:paraId="41647D98">
            <w:pPr>
              <w:pStyle w:val="109"/>
              <w:rPr>
                <w:color w:val="000000" w:themeColor="text1"/>
                <w14:textFill>
                  <w14:solidFill>
                    <w14:schemeClr w14:val="tx1"/>
                  </w14:solidFill>
                </w14:textFill>
              </w:rPr>
            </w:pPr>
            <w:r>
              <w:rPr>
                <w:color w:val="000000" w:themeColor="text1"/>
                <w14:textFill>
                  <w14:solidFill>
                    <w14:schemeClr w14:val="tx1"/>
                  </w14:solidFill>
                </w14:textFill>
              </w:rPr>
              <w:t>TC-4#-1</w:t>
            </w:r>
          </w:p>
        </w:tc>
        <w:tc>
          <w:tcPr>
            <w:tcW w:w="1567" w:type="pct"/>
            <w:vMerge w:val="restart"/>
            <w:vAlign w:val="center"/>
          </w:tcPr>
          <w:p w14:paraId="47330018">
            <w:pPr>
              <w:pStyle w:val="109"/>
              <w:rPr>
                <w:color w:val="000000" w:themeColor="text1"/>
                <w14:textFill>
                  <w14:solidFill>
                    <w14:schemeClr w14:val="tx1"/>
                  </w14:solidFill>
                </w14:textFill>
              </w:rPr>
            </w:pPr>
            <w:r>
              <w:rPr>
                <w:color w:val="000000" w:themeColor="text1"/>
                <w14:textFill>
                  <w14:solidFill>
                    <w14:schemeClr w14:val="tx1"/>
                  </w14:solidFill>
                </w14:textFill>
              </w:rPr>
              <w:t>《土壤环境质量建设用地土壤污染风险管控标准（试行）》（GB36600-2018）表1第二类用地的筛选值质量标准（mg/kg）</w:t>
            </w:r>
          </w:p>
        </w:tc>
      </w:tr>
      <w:tr w14:paraId="4B13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6CF08231">
            <w:pPr>
              <w:pStyle w:val="109"/>
              <w:rPr>
                <w:color w:val="000000" w:themeColor="text1"/>
                <w14:textFill>
                  <w14:solidFill>
                    <w14:schemeClr w14:val="tx1"/>
                  </w14:solidFill>
                </w14:textFill>
              </w:rPr>
            </w:pPr>
            <w:r>
              <w:rPr>
                <w:color w:val="000000" w:themeColor="text1"/>
                <w14:textFill>
                  <w14:solidFill>
                    <w14:schemeClr w14:val="tx1"/>
                  </w14:solidFill>
                </w14:textFill>
              </w:rPr>
              <w:t>采样地点</w:t>
            </w:r>
          </w:p>
        </w:tc>
        <w:tc>
          <w:tcPr>
            <w:tcW w:w="2438" w:type="pct"/>
            <w:gridSpan w:val="4"/>
            <w:vAlign w:val="center"/>
          </w:tcPr>
          <w:p w14:paraId="61BF7AEC">
            <w:pPr>
              <w:pStyle w:val="109"/>
              <w:rPr>
                <w:color w:val="000000" w:themeColor="text1"/>
                <w14:textFill>
                  <w14:solidFill>
                    <w14:schemeClr w14:val="tx1"/>
                  </w14:solidFill>
                </w14:textFill>
              </w:rPr>
            </w:pPr>
            <w:r>
              <w:rPr>
                <w:color w:val="000000" w:themeColor="text1"/>
                <w14:textFill>
                  <w14:solidFill>
                    <w14:schemeClr w14:val="tx1"/>
                  </w14:solidFill>
                </w14:textFill>
              </w:rPr>
              <w:t>E:87°41′46.72″N:44°8′23.80″</w:t>
            </w:r>
          </w:p>
        </w:tc>
        <w:tc>
          <w:tcPr>
            <w:tcW w:w="1567" w:type="pct"/>
            <w:vMerge w:val="continue"/>
            <w:vAlign w:val="center"/>
          </w:tcPr>
          <w:p w14:paraId="09DBA9F2">
            <w:pPr>
              <w:pStyle w:val="109"/>
              <w:rPr>
                <w:color w:val="000000" w:themeColor="text1"/>
                <w14:textFill>
                  <w14:solidFill>
                    <w14:schemeClr w14:val="tx1"/>
                  </w14:solidFill>
                </w14:textFill>
              </w:rPr>
            </w:pPr>
          </w:p>
        </w:tc>
      </w:tr>
      <w:tr w14:paraId="526E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244C90F">
            <w:pPr>
              <w:pStyle w:val="109"/>
              <w:rPr>
                <w:color w:val="000000" w:themeColor="text1"/>
                <w14:textFill>
                  <w14:solidFill>
                    <w14:schemeClr w14:val="tx1"/>
                  </w14:solidFill>
                </w14:textFill>
              </w:rPr>
            </w:pPr>
            <w:r>
              <w:rPr>
                <w:color w:val="000000" w:themeColor="text1"/>
                <w14:textFill>
                  <w14:solidFill>
                    <w14:schemeClr w14:val="tx1"/>
                  </w14:solidFill>
                </w14:textFill>
              </w:rPr>
              <w:t>样品状态</w:t>
            </w:r>
          </w:p>
        </w:tc>
        <w:tc>
          <w:tcPr>
            <w:tcW w:w="1255" w:type="pct"/>
            <w:gridSpan w:val="2"/>
            <w:vAlign w:val="center"/>
          </w:tcPr>
          <w:p w14:paraId="63E21B11">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1182" w:type="pct"/>
            <w:gridSpan w:val="2"/>
            <w:vAlign w:val="center"/>
          </w:tcPr>
          <w:p w14:paraId="7435341D">
            <w:pPr>
              <w:pStyle w:val="109"/>
              <w:rPr>
                <w:color w:val="000000" w:themeColor="text1"/>
                <w14:textFill>
                  <w14:solidFill>
                    <w14:schemeClr w14:val="tx1"/>
                  </w14:solidFill>
                </w14:textFill>
              </w:rPr>
            </w:pPr>
            <w:r>
              <w:rPr>
                <w:color w:val="000000" w:themeColor="text1"/>
                <w14:textFill>
                  <w14:solidFill>
                    <w14:schemeClr w14:val="tx1"/>
                  </w14:solidFill>
                </w14:textFill>
              </w:rPr>
              <w:t>黄棕、潮、无根系</w:t>
            </w:r>
          </w:p>
        </w:tc>
        <w:tc>
          <w:tcPr>
            <w:tcW w:w="1567" w:type="pct"/>
            <w:vMerge w:val="continue"/>
            <w:vAlign w:val="center"/>
          </w:tcPr>
          <w:p w14:paraId="381D2DAD">
            <w:pPr>
              <w:pStyle w:val="109"/>
              <w:rPr>
                <w:color w:val="000000" w:themeColor="text1"/>
                <w14:textFill>
                  <w14:solidFill>
                    <w14:schemeClr w14:val="tx1"/>
                  </w14:solidFill>
                </w14:textFill>
              </w:rPr>
            </w:pPr>
          </w:p>
        </w:tc>
      </w:tr>
      <w:tr w14:paraId="246F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676061FC">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713" w:type="pct"/>
            <w:vAlign w:val="center"/>
          </w:tcPr>
          <w:p w14:paraId="779BEE50">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951" w:type="pct"/>
            <w:gridSpan w:val="2"/>
            <w:vAlign w:val="center"/>
          </w:tcPr>
          <w:p w14:paraId="3412773D">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773" w:type="pct"/>
            <w:vAlign w:val="center"/>
          </w:tcPr>
          <w:p w14:paraId="43752285">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c>
          <w:tcPr>
            <w:tcW w:w="1567" w:type="pct"/>
            <w:vMerge w:val="continue"/>
            <w:vAlign w:val="center"/>
          </w:tcPr>
          <w:p w14:paraId="7FBA2D77">
            <w:pPr>
              <w:pStyle w:val="109"/>
              <w:rPr>
                <w:color w:val="000000" w:themeColor="text1"/>
                <w14:textFill>
                  <w14:solidFill>
                    <w14:schemeClr w14:val="tx1"/>
                  </w14:solidFill>
                </w14:textFill>
              </w:rPr>
            </w:pPr>
          </w:p>
        </w:tc>
      </w:tr>
      <w:tr w14:paraId="4F64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59915BD8">
            <w:pPr>
              <w:pStyle w:val="109"/>
              <w:rPr>
                <w:color w:val="000000" w:themeColor="text1"/>
                <w14:textFill>
                  <w14:solidFill>
                    <w14:schemeClr w14:val="tx1"/>
                  </w14:solidFill>
                </w14:textFill>
              </w:rPr>
            </w:pPr>
            <w:r>
              <w:rPr>
                <w:color w:val="000000" w:themeColor="text1"/>
                <w14:textFill>
                  <w14:solidFill>
                    <w14:schemeClr w14:val="tx1"/>
                  </w14:solidFill>
                </w14:textFill>
              </w:rPr>
              <w:t>氯乙烯</w:t>
            </w:r>
          </w:p>
        </w:tc>
        <w:tc>
          <w:tcPr>
            <w:tcW w:w="713" w:type="pct"/>
            <w:vAlign w:val="center"/>
          </w:tcPr>
          <w:p w14:paraId="387D54DF">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3B2DBBF7">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773" w:type="pct"/>
          </w:tcPr>
          <w:p w14:paraId="6490BB1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1F670CD9">
            <w:pPr>
              <w:pStyle w:val="109"/>
              <w:rPr>
                <w:color w:val="000000" w:themeColor="text1"/>
                <w14:textFill>
                  <w14:solidFill>
                    <w14:schemeClr w14:val="tx1"/>
                  </w14:solidFill>
                </w14:textFill>
              </w:rPr>
            </w:pPr>
            <w:r>
              <w:rPr>
                <w:color w:val="000000" w:themeColor="text1"/>
                <w14:textFill>
                  <w14:solidFill>
                    <w14:schemeClr w14:val="tx1"/>
                  </w14:solidFill>
                </w14:textFill>
              </w:rPr>
              <w:t>0.43</w:t>
            </w:r>
          </w:p>
        </w:tc>
      </w:tr>
      <w:tr w14:paraId="6831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60B44B35">
            <w:pPr>
              <w:pStyle w:val="109"/>
              <w:rPr>
                <w:color w:val="000000" w:themeColor="text1"/>
                <w14:textFill>
                  <w14:solidFill>
                    <w14:schemeClr w14:val="tx1"/>
                  </w14:solidFill>
                </w14:textFill>
              </w:rPr>
            </w:pPr>
            <w:r>
              <w:rPr>
                <w:color w:val="000000" w:themeColor="text1"/>
                <w14:textFill>
                  <w14:solidFill>
                    <w14:schemeClr w14:val="tx1"/>
                  </w14:solidFill>
                </w14:textFill>
              </w:rPr>
              <w:t>1，1-二氯乙烯</w:t>
            </w:r>
          </w:p>
        </w:tc>
        <w:tc>
          <w:tcPr>
            <w:tcW w:w="713" w:type="pct"/>
            <w:vAlign w:val="center"/>
          </w:tcPr>
          <w:p w14:paraId="7FB60AE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05CDAAF9">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773" w:type="pct"/>
          </w:tcPr>
          <w:p w14:paraId="3E24BE9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22B0802C">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r>
      <w:tr w14:paraId="77B3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5C4E1D65">
            <w:pPr>
              <w:pStyle w:val="109"/>
              <w:rPr>
                <w:color w:val="000000" w:themeColor="text1"/>
                <w14:textFill>
                  <w14:solidFill>
                    <w14:schemeClr w14:val="tx1"/>
                  </w14:solidFill>
                </w14:textFill>
              </w:rPr>
            </w:pPr>
            <w:r>
              <w:rPr>
                <w:color w:val="000000" w:themeColor="text1"/>
                <w14:textFill>
                  <w14:solidFill>
                    <w14:schemeClr w14:val="tx1"/>
                  </w14:solidFill>
                </w14:textFill>
              </w:rPr>
              <w:t>二氯甲烷</w:t>
            </w:r>
          </w:p>
        </w:tc>
        <w:tc>
          <w:tcPr>
            <w:tcW w:w="713" w:type="pct"/>
            <w:vAlign w:val="center"/>
          </w:tcPr>
          <w:p w14:paraId="3BCA9DA8">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670F1A6F">
            <w:pPr>
              <w:pStyle w:val="109"/>
              <w:rPr>
                <w:color w:val="000000" w:themeColor="text1"/>
                <w14:textFill>
                  <w14:solidFill>
                    <w14:schemeClr w14:val="tx1"/>
                  </w14:solidFill>
                </w14:textFill>
              </w:rPr>
            </w:pPr>
            <w:r>
              <w:rPr>
                <w:color w:val="000000" w:themeColor="text1"/>
                <w14:textFill>
                  <w14:solidFill>
                    <w14:schemeClr w14:val="tx1"/>
                  </w14:solidFill>
                </w14:textFill>
              </w:rPr>
              <w:t>&lt;2.6</w:t>
            </w:r>
          </w:p>
        </w:tc>
        <w:tc>
          <w:tcPr>
            <w:tcW w:w="773" w:type="pct"/>
          </w:tcPr>
          <w:p w14:paraId="4975FD7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4E88F88C">
            <w:pPr>
              <w:pStyle w:val="109"/>
              <w:rPr>
                <w:color w:val="000000" w:themeColor="text1"/>
                <w14:textFill>
                  <w14:solidFill>
                    <w14:schemeClr w14:val="tx1"/>
                  </w14:solidFill>
                </w14:textFill>
              </w:rPr>
            </w:pPr>
            <w:r>
              <w:rPr>
                <w:color w:val="000000" w:themeColor="text1"/>
                <w14:textFill>
                  <w14:solidFill>
                    <w14:schemeClr w14:val="tx1"/>
                  </w14:solidFill>
                </w14:textFill>
              </w:rPr>
              <w:t>616</w:t>
            </w:r>
          </w:p>
        </w:tc>
      </w:tr>
      <w:tr w14:paraId="6ECA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CF99BC9">
            <w:pPr>
              <w:pStyle w:val="109"/>
              <w:rPr>
                <w:color w:val="000000" w:themeColor="text1"/>
                <w14:textFill>
                  <w14:solidFill>
                    <w14:schemeClr w14:val="tx1"/>
                  </w14:solidFill>
                </w14:textFill>
              </w:rPr>
            </w:pPr>
            <w:r>
              <w:rPr>
                <w:color w:val="000000" w:themeColor="text1"/>
                <w14:textFill>
                  <w14:solidFill>
                    <w14:schemeClr w14:val="tx1"/>
                  </w14:solidFill>
                </w14:textFill>
              </w:rPr>
              <w:t>反-1，2-二氯乙烯</w:t>
            </w:r>
          </w:p>
        </w:tc>
        <w:tc>
          <w:tcPr>
            <w:tcW w:w="713" w:type="pct"/>
            <w:vAlign w:val="center"/>
          </w:tcPr>
          <w:p w14:paraId="1EDA4444">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36799ACD">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773" w:type="pct"/>
          </w:tcPr>
          <w:p w14:paraId="723489D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6499792A">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r>
      <w:tr w14:paraId="58A1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5A91802B">
            <w:pPr>
              <w:pStyle w:val="109"/>
              <w:rPr>
                <w:color w:val="000000" w:themeColor="text1"/>
                <w14:textFill>
                  <w14:solidFill>
                    <w14:schemeClr w14:val="tx1"/>
                  </w14:solidFill>
                </w14:textFill>
              </w:rPr>
            </w:pPr>
            <w:r>
              <w:rPr>
                <w:color w:val="000000" w:themeColor="text1"/>
                <w14:textFill>
                  <w14:solidFill>
                    <w14:schemeClr w14:val="tx1"/>
                  </w14:solidFill>
                </w14:textFill>
              </w:rPr>
              <w:t>1，1-二氯乙烷</w:t>
            </w:r>
          </w:p>
        </w:tc>
        <w:tc>
          <w:tcPr>
            <w:tcW w:w="713" w:type="pct"/>
            <w:vAlign w:val="center"/>
          </w:tcPr>
          <w:p w14:paraId="1AEEC578">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551A49E2">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773" w:type="pct"/>
          </w:tcPr>
          <w:p w14:paraId="6C91534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1E3454B0">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r>
      <w:tr w14:paraId="7BBC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A1810BB">
            <w:pPr>
              <w:pStyle w:val="109"/>
              <w:rPr>
                <w:color w:val="000000" w:themeColor="text1"/>
                <w14:textFill>
                  <w14:solidFill>
                    <w14:schemeClr w14:val="tx1"/>
                  </w14:solidFill>
                </w14:textFill>
              </w:rPr>
            </w:pPr>
            <w:r>
              <w:rPr>
                <w:color w:val="000000" w:themeColor="text1"/>
                <w14:textFill>
                  <w14:solidFill>
                    <w14:schemeClr w14:val="tx1"/>
                  </w14:solidFill>
                </w14:textFill>
              </w:rPr>
              <w:t>顺-1，2-二氯乙烯</w:t>
            </w:r>
          </w:p>
        </w:tc>
        <w:tc>
          <w:tcPr>
            <w:tcW w:w="713" w:type="pct"/>
            <w:vAlign w:val="center"/>
          </w:tcPr>
          <w:p w14:paraId="1846BA6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6C6A3E3C">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773" w:type="pct"/>
          </w:tcPr>
          <w:p w14:paraId="42E279C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0567D757">
            <w:pPr>
              <w:pStyle w:val="109"/>
              <w:rPr>
                <w:color w:val="000000" w:themeColor="text1"/>
                <w14:textFill>
                  <w14:solidFill>
                    <w14:schemeClr w14:val="tx1"/>
                  </w14:solidFill>
                </w14:textFill>
              </w:rPr>
            </w:pPr>
            <w:r>
              <w:rPr>
                <w:color w:val="000000" w:themeColor="text1"/>
                <w14:textFill>
                  <w14:solidFill>
                    <w14:schemeClr w14:val="tx1"/>
                  </w14:solidFill>
                </w14:textFill>
              </w:rPr>
              <w:t>596</w:t>
            </w:r>
          </w:p>
        </w:tc>
      </w:tr>
      <w:tr w14:paraId="6236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15759DEB">
            <w:pPr>
              <w:pStyle w:val="109"/>
              <w:rPr>
                <w:color w:val="000000" w:themeColor="text1"/>
                <w14:textFill>
                  <w14:solidFill>
                    <w14:schemeClr w14:val="tx1"/>
                  </w14:solidFill>
                </w14:textFill>
              </w:rPr>
            </w:pPr>
            <w:r>
              <w:rPr>
                <w:color w:val="000000" w:themeColor="text1"/>
                <w14:textFill>
                  <w14:solidFill>
                    <w14:schemeClr w14:val="tx1"/>
                  </w14:solidFill>
                </w14:textFill>
              </w:rPr>
              <w:t>氯仿</w:t>
            </w:r>
          </w:p>
        </w:tc>
        <w:tc>
          <w:tcPr>
            <w:tcW w:w="713" w:type="pct"/>
            <w:vAlign w:val="center"/>
          </w:tcPr>
          <w:p w14:paraId="5C37F8CA">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6A5054F7">
            <w:pPr>
              <w:pStyle w:val="109"/>
              <w:rPr>
                <w:color w:val="000000" w:themeColor="text1"/>
                <w14:textFill>
                  <w14:solidFill>
                    <w14:schemeClr w14:val="tx1"/>
                  </w14:solidFill>
                </w14:textFill>
              </w:rPr>
            </w:pPr>
            <w:r>
              <w:rPr>
                <w:color w:val="000000" w:themeColor="text1"/>
                <w14:textFill>
                  <w14:solidFill>
                    <w14:schemeClr w14:val="tx1"/>
                  </w14:solidFill>
                </w14:textFill>
              </w:rPr>
              <w:t>&lt;1.5</w:t>
            </w:r>
          </w:p>
        </w:tc>
        <w:tc>
          <w:tcPr>
            <w:tcW w:w="773" w:type="pct"/>
          </w:tcPr>
          <w:p w14:paraId="26D8840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5B4E3438">
            <w:pPr>
              <w:pStyle w:val="109"/>
              <w:rPr>
                <w:color w:val="000000" w:themeColor="text1"/>
                <w14:textFill>
                  <w14:solidFill>
                    <w14:schemeClr w14:val="tx1"/>
                  </w14:solidFill>
                </w14:textFill>
              </w:rPr>
            </w:pPr>
            <w:r>
              <w:rPr>
                <w:color w:val="000000" w:themeColor="text1"/>
                <w14:textFill>
                  <w14:solidFill>
                    <w14:schemeClr w14:val="tx1"/>
                  </w14:solidFill>
                </w14:textFill>
              </w:rPr>
              <w:t>0.9</w:t>
            </w:r>
          </w:p>
        </w:tc>
      </w:tr>
      <w:tr w14:paraId="2BAF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551750B9">
            <w:pPr>
              <w:pStyle w:val="109"/>
              <w:rPr>
                <w:color w:val="000000" w:themeColor="text1"/>
                <w14:textFill>
                  <w14:solidFill>
                    <w14:schemeClr w14:val="tx1"/>
                  </w14:solidFill>
                </w14:textFill>
              </w:rPr>
            </w:pPr>
            <w:r>
              <w:rPr>
                <w:color w:val="000000" w:themeColor="text1"/>
                <w14:textFill>
                  <w14:solidFill>
                    <w14:schemeClr w14:val="tx1"/>
                  </w14:solidFill>
                </w14:textFill>
              </w:rPr>
              <w:t>1，1，1-三氯乙烷</w:t>
            </w:r>
          </w:p>
        </w:tc>
        <w:tc>
          <w:tcPr>
            <w:tcW w:w="713" w:type="pct"/>
            <w:vAlign w:val="center"/>
          </w:tcPr>
          <w:p w14:paraId="7A80B2A1">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3651BA22">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773" w:type="pct"/>
          </w:tcPr>
          <w:p w14:paraId="785E76B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5AFCB4C0">
            <w:pPr>
              <w:pStyle w:val="109"/>
              <w:rPr>
                <w:color w:val="000000" w:themeColor="text1"/>
                <w14:textFill>
                  <w14:solidFill>
                    <w14:schemeClr w14:val="tx1"/>
                  </w14:solidFill>
                </w14:textFill>
              </w:rPr>
            </w:pPr>
            <w:r>
              <w:rPr>
                <w:color w:val="000000" w:themeColor="text1"/>
                <w14:textFill>
                  <w14:solidFill>
                    <w14:schemeClr w14:val="tx1"/>
                  </w14:solidFill>
                </w14:textFill>
              </w:rPr>
              <w:t>840</w:t>
            </w:r>
          </w:p>
        </w:tc>
      </w:tr>
      <w:tr w14:paraId="1D32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760C73CC">
            <w:pPr>
              <w:pStyle w:val="109"/>
              <w:rPr>
                <w:color w:val="000000" w:themeColor="text1"/>
                <w14:textFill>
                  <w14:solidFill>
                    <w14:schemeClr w14:val="tx1"/>
                  </w14:solidFill>
                </w14:textFill>
              </w:rPr>
            </w:pPr>
            <w:r>
              <w:rPr>
                <w:color w:val="000000" w:themeColor="text1"/>
                <w14:textFill>
                  <w14:solidFill>
                    <w14:schemeClr w14:val="tx1"/>
                  </w14:solidFill>
                </w14:textFill>
              </w:rPr>
              <w:t>四氯化碳</w:t>
            </w:r>
          </w:p>
        </w:tc>
        <w:tc>
          <w:tcPr>
            <w:tcW w:w="713" w:type="pct"/>
            <w:vAlign w:val="center"/>
          </w:tcPr>
          <w:p w14:paraId="56C35710">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1EEFE7B1">
            <w:pPr>
              <w:pStyle w:val="109"/>
              <w:rPr>
                <w:color w:val="000000" w:themeColor="text1"/>
                <w14:textFill>
                  <w14:solidFill>
                    <w14:schemeClr w14:val="tx1"/>
                  </w14:solidFill>
                </w14:textFill>
              </w:rPr>
            </w:pPr>
            <w:r>
              <w:rPr>
                <w:color w:val="000000" w:themeColor="text1"/>
                <w14:textFill>
                  <w14:solidFill>
                    <w14:schemeClr w14:val="tx1"/>
                  </w14:solidFill>
                </w14:textFill>
              </w:rPr>
              <w:t>&lt;2.1</w:t>
            </w:r>
          </w:p>
        </w:tc>
        <w:tc>
          <w:tcPr>
            <w:tcW w:w="773" w:type="pct"/>
          </w:tcPr>
          <w:p w14:paraId="749833D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0E097DF9">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1EF8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4D4441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1，2-二氯乙烷 </w:t>
            </w:r>
          </w:p>
        </w:tc>
        <w:tc>
          <w:tcPr>
            <w:tcW w:w="713" w:type="pct"/>
            <w:vAlign w:val="center"/>
          </w:tcPr>
          <w:p w14:paraId="4E45E939">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6B10FDA1">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773" w:type="pct"/>
          </w:tcPr>
          <w:p w14:paraId="05DF061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57F9A341">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r>
      <w:tr w14:paraId="56AA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BF51437">
            <w:pPr>
              <w:pStyle w:val="109"/>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713" w:type="pct"/>
            <w:vAlign w:val="center"/>
          </w:tcPr>
          <w:p w14:paraId="14155DB2">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12B835BB">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773" w:type="pct"/>
          </w:tcPr>
          <w:p w14:paraId="3FF2060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42DDEBC5">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r>
      <w:tr w14:paraId="5CE0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7148B714">
            <w:pPr>
              <w:pStyle w:val="109"/>
              <w:rPr>
                <w:color w:val="000000" w:themeColor="text1"/>
                <w14:textFill>
                  <w14:solidFill>
                    <w14:schemeClr w14:val="tx1"/>
                  </w14:solidFill>
                </w14:textFill>
              </w:rPr>
            </w:pPr>
            <w:r>
              <w:rPr>
                <w:color w:val="000000" w:themeColor="text1"/>
                <w14:textFill>
                  <w14:solidFill>
                    <w14:schemeClr w14:val="tx1"/>
                  </w14:solidFill>
                </w14:textFill>
              </w:rPr>
              <w:t>三氯乙烯</w:t>
            </w:r>
          </w:p>
        </w:tc>
        <w:tc>
          <w:tcPr>
            <w:tcW w:w="713" w:type="pct"/>
            <w:vAlign w:val="center"/>
          </w:tcPr>
          <w:p w14:paraId="0DA4639E">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768E66DB">
            <w:pPr>
              <w:pStyle w:val="109"/>
              <w:rPr>
                <w:color w:val="000000" w:themeColor="text1"/>
                <w14:textFill>
                  <w14:solidFill>
                    <w14:schemeClr w14:val="tx1"/>
                  </w14:solidFill>
                </w14:textFill>
              </w:rPr>
            </w:pPr>
            <w:r>
              <w:rPr>
                <w:color w:val="000000" w:themeColor="text1"/>
                <w14:textFill>
                  <w14:solidFill>
                    <w14:schemeClr w14:val="tx1"/>
                  </w14:solidFill>
                </w14:textFill>
              </w:rPr>
              <w:t>&lt;0.9</w:t>
            </w:r>
          </w:p>
        </w:tc>
        <w:tc>
          <w:tcPr>
            <w:tcW w:w="773" w:type="pct"/>
          </w:tcPr>
          <w:p w14:paraId="500CE42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199AA609">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3E43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261A4228">
            <w:pPr>
              <w:pStyle w:val="109"/>
              <w:rPr>
                <w:color w:val="000000" w:themeColor="text1"/>
                <w14:textFill>
                  <w14:solidFill>
                    <w14:schemeClr w14:val="tx1"/>
                  </w14:solidFill>
                </w14:textFill>
              </w:rPr>
            </w:pPr>
            <w:r>
              <w:rPr>
                <w:color w:val="000000" w:themeColor="text1"/>
                <w14:textFill>
                  <w14:solidFill>
                    <w14:schemeClr w14:val="tx1"/>
                  </w14:solidFill>
                </w14:textFill>
              </w:rPr>
              <w:t>1，2-二氯丙烷</w:t>
            </w:r>
          </w:p>
        </w:tc>
        <w:tc>
          <w:tcPr>
            <w:tcW w:w="713" w:type="pct"/>
            <w:vAlign w:val="center"/>
          </w:tcPr>
          <w:p w14:paraId="5868B512">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43F76AC0">
            <w:pPr>
              <w:pStyle w:val="109"/>
              <w:rPr>
                <w:color w:val="000000" w:themeColor="text1"/>
                <w14:textFill>
                  <w14:solidFill>
                    <w14:schemeClr w14:val="tx1"/>
                  </w14:solidFill>
                </w14:textFill>
              </w:rPr>
            </w:pPr>
            <w:r>
              <w:rPr>
                <w:color w:val="000000" w:themeColor="text1"/>
                <w14:textFill>
                  <w14:solidFill>
                    <w14:schemeClr w14:val="tx1"/>
                  </w14:solidFill>
                </w14:textFill>
              </w:rPr>
              <w:t>&lt;1.9</w:t>
            </w:r>
          </w:p>
        </w:tc>
        <w:tc>
          <w:tcPr>
            <w:tcW w:w="773" w:type="pct"/>
          </w:tcPr>
          <w:p w14:paraId="05C7213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4352102D">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r>
      <w:tr w14:paraId="7F93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8464A8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甲苯 </w:t>
            </w:r>
          </w:p>
        </w:tc>
        <w:tc>
          <w:tcPr>
            <w:tcW w:w="713" w:type="pct"/>
            <w:vAlign w:val="center"/>
          </w:tcPr>
          <w:p w14:paraId="7BA64720">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3503A344">
            <w:pPr>
              <w:pStyle w:val="109"/>
              <w:rPr>
                <w:color w:val="000000" w:themeColor="text1"/>
                <w14:textFill>
                  <w14:solidFill>
                    <w14:schemeClr w14:val="tx1"/>
                  </w14:solidFill>
                </w14:textFill>
              </w:rPr>
            </w:pPr>
            <w:r>
              <w:rPr>
                <w:color w:val="000000" w:themeColor="text1"/>
                <w14:textFill>
                  <w14:solidFill>
                    <w14:schemeClr w14:val="tx1"/>
                  </w14:solidFill>
                </w14:textFill>
              </w:rPr>
              <w:t>&lt;2.0</w:t>
            </w:r>
          </w:p>
        </w:tc>
        <w:tc>
          <w:tcPr>
            <w:tcW w:w="773" w:type="pct"/>
          </w:tcPr>
          <w:p w14:paraId="679B3F4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49D8070C">
            <w:pPr>
              <w:pStyle w:val="109"/>
              <w:rPr>
                <w:color w:val="000000" w:themeColor="text1"/>
                <w14:textFill>
                  <w14:solidFill>
                    <w14:schemeClr w14:val="tx1"/>
                  </w14:solidFill>
                </w14:textFill>
              </w:rPr>
            </w:pPr>
            <w:r>
              <w:rPr>
                <w:color w:val="000000" w:themeColor="text1"/>
                <w14:textFill>
                  <w14:solidFill>
                    <w14:schemeClr w14:val="tx1"/>
                  </w14:solidFill>
                </w14:textFill>
              </w:rPr>
              <w:t>1200</w:t>
            </w:r>
          </w:p>
        </w:tc>
      </w:tr>
      <w:tr w14:paraId="66AE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E09B53B">
            <w:pPr>
              <w:pStyle w:val="109"/>
              <w:rPr>
                <w:color w:val="000000" w:themeColor="text1"/>
                <w14:textFill>
                  <w14:solidFill>
                    <w14:schemeClr w14:val="tx1"/>
                  </w14:solidFill>
                </w14:textFill>
              </w:rPr>
            </w:pPr>
            <w:r>
              <w:rPr>
                <w:color w:val="000000" w:themeColor="text1"/>
                <w14:textFill>
                  <w14:solidFill>
                    <w14:schemeClr w14:val="tx1"/>
                  </w14:solidFill>
                </w14:textFill>
              </w:rPr>
              <w:t>1，1，2-三氯乙烷</w:t>
            </w:r>
          </w:p>
        </w:tc>
        <w:tc>
          <w:tcPr>
            <w:tcW w:w="713" w:type="pct"/>
            <w:vAlign w:val="center"/>
          </w:tcPr>
          <w:p w14:paraId="657A8142">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27BD9F3D">
            <w:pPr>
              <w:pStyle w:val="109"/>
              <w:rPr>
                <w:color w:val="000000" w:themeColor="text1"/>
                <w14:textFill>
                  <w14:solidFill>
                    <w14:schemeClr w14:val="tx1"/>
                  </w14:solidFill>
                </w14:textFill>
              </w:rPr>
            </w:pPr>
            <w:r>
              <w:rPr>
                <w:color w:val="000000" w:themeColor="text1"/>
                <w14:textFill>
                  <w14:solidFill>
                    <w14:schemeClr w14:val="tx1"/>
                  </w14:solidFill>
                </w14:textFill>
              </w:rPr>
              <w:t>&lt;1.4</w:t>
            </w:r>
          </w:p>
        </w:tc>
        <w:tc>
          <w:tcPr>
            <w:tcW w:w="773" w:type="pct"/>
          </w:tcPr>
          <w:p w14:paraId="3092ADF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0628CF86">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3A05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D1B6D19">
            <w:pPr>
              <w:pStyle w:val="109"/>
              <w:rPr>
                <w:color w:val="000000" w:themeColor="text1"/>
                <w14:textFill>
                  <w14:solidFill>
                    <w14:schemeClr w14:val="tx1"/>
                  </w14:solidFill>
                </w14:textFill>
              </w:rPr>
            </w:pPr>
            <w:r>
              <w:rPr>
                <w:color w:val="000000" w:themeColor="text1"/>
                <w14:textFill>
                  <w14:solidFill>
                    <w14:schemeClr w14:val="tx1"/>
                  </w14:solidFill>
                </w14:textFill>
              </w:rPr>
              <w:t>四氯乙烯</w:t>
            </w:r>
          </w:p>
        </w:tc>
        <w:tc>
          <w:tcPr>
            <w:tcW w:w="713" w:type="pct"/>
            <w:vAlign w:val="center"/>
          </w:tcPr>
          <w:p w14:paraId="60352FF9">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737E3FC4">
            <w:pPr>
              <w:pStyle w:val="109"/>
              <w:rPr>
                <w:color w:val="000000" w:themeColor="text1"/>
                <w14:textFill>
                  <w14:solidFill>
                    <w14:schemeClr w14:val="tx1"/>
                  </w14:solidFill>
                </w14:textFill>
              </w:rPr>
            </w:pPr>
            <w:r>
              <w:rPr>
                <w:color w:val="000000" w:themeColor="text1"/>
                <w14:textFill>
                  <w14:solidFill>
                    <w14:schemeClr w14:val="tx1"/>
                  </w14:solidFill>
                </w14:textFill>
              </w:rPr>
              <w:t>&lt;0.8</w:t>
            </w:r>
          </w:p>
        </w:tc>
        <w:tc>
          <w:tcPr>
            <w:tcW w:w="773" w:type="pct"/>
          </w:tcPr>
          <w:p w14:paraId="4D613A0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25FB7004">
            <w:pPr>
              <w:pStyle w:val="109"/>
              <w:rPr>
                <w:color w:val="000000" w:themeColor="text1"/>
                <w14:textFill>
                  <w14:solidFill>
                    <w14:schemeClr w14:val="tx1"/>
                  </w14:solidFill>
                </w14:textFill>
              </w:rPr>
            </w:pPr>
            <w:r>
              <w:rPr>
                <w:color w:val="000000" w:themeColor="text1"/>
                <w14:textFill>
                  <w14:solidFill>
                    <w14:schemeClr w14:val="tx1"/>
                  </w14:solidFill>
                </w14:textFill>
              </w:rPr>
              <w:t>53</w:t>
            </w:r>
          </w:p>
        </w:tc>
      </w:tr>
      <w:tr w14:paraId="78D0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6D901ACF">
            <w:pPr>
              <w:pStyle w:val="109"/>
              <w:rPr>
                <w:color w:val="000000" w:themeColor="text1"/>
                <w14:textFill>
                  <w14:solidFill>
                    <w14:schemeClr w14:val="tx1"/>
                  </w14:solidFill>
                </w14:textFill>
              </w:rPr>
            </w:pPr>
            <w:r>
              <w:rPr>
                <w:color w:val="000000" w:themeColor="text1"/>
                <w14:textFill>
                  <w14:solidFill>
                    <w14:schemeClr w14:val="tx1"/>
                  </w14:solidFill>
                </w14:textFill>
              </w:rPr>
              <w:t>氯苯</w:t>
            </w:r>
          </w:p>
        </w:tc>
        <w:tc>
          <w:tcPr>
            <w:tcW w:w="713" w:type="pct"/>
            <w:vAlign w:val="center"/>
          </w:tcPr>
          <w:p w14:paraId="4C61747B">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51BE6122">
            <w:pPr>
              <w:pStyle w:val="109"/>
              <w:rPr>
                <w:color w:val="000000" w:themeColor="text1"/>
                <w14:textFill>
                  <w14:solidFill>
                    <w14:schemeClr w14:val="tx1"/>
                  </w14:solidFill>
                </w14:textFill>
              </w:rPr>
            </w:pPr>
            <w:r>
              <w:rPr>
                <w:color w:val="000000" w:themeColor="text1"/>
                <w14:textFill>
                  <w14:solidFill>
                    <w14:schemeClr w14:val="tx1"/>
                  </w14:solidFill>
                </w14:textFill>
              </w:rPr>
              <w:t>&lt;1.1</w:t>
            </w:r>
          </w:p>
        </w:tc>
        <w:tc>
          <w:tcPr>
            <w:tcW w:w="773" w:type="pct"/>
          </w:tcPr>
          <w:p w14:paraId="0FA1360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36A1D0B4">
            <w:pPr>
              <w:pStyle w:val="109"/>
              <w:rPr>
                <w:color w:val="000000" w:themeColor="text1"/>
                <w14:textFill>
                  <w14:solidFill>
                    <w14:schemeClr w14:val="tx1"/>
                  </w14:solidFill>
                </w14:textFill>
              </w:rPr>
            </w:pPr>
            <w:r>
              <w:rPr>
                <w:color w:val="000000" w:themeColor="text1"/>
                <w14:textFill>
                  <w14:solidFill>
                    <w14:schemeClr w14:val="tx1"/>
                  </w14:solidFill>
                </w14:textFill>
              </w:rPr>
              <w:t>270</w:t>
            </w:r>
          </w:p>
        </w:tc>
      </w:tr>
      <w:tr w14:paraId="4C3C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6EB4F202">
            <w:pPr>
              <w:pStyle w:val="109"/>
              <w:rPr>
                <w:color w:val="000000" w:themeColor="text1"/>
                <w14:textFill>
                  <w14:solidFill>
                    <w14:schemeClr w14:val="tx1"/>
                  </w14:solidFill>
                </w14:textFill>
              </w:rPr>
            </w:pPr>
            <w:r>
              <w:rPr>
                <w:color w:val="000000" w:themeColor="text1"/>
                <w14:textFill>
                  <w14:solidFill>
                    <w14:schemeClr w14:val="tx1"/>
                  </w14:solidFill>
                </w14:textFill>
              </w:rPr>
              <w:t>1，1，1，2-四氯乙烷</w:t>
            </w:r>
          </w:p>
        </w:tc>
        <w:tc>
          <w:tcPr>
            <w:tcW w:w="713" w:type="pct"/>
            <w:vAlign w:val="center"/>
          </w:tcPr>
          <w:p w14:paraId="2EB51B5B">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74E749CC">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773" w:type="pct"/>
          </w:tcPr>
          <w:p w14:paraId="68070BD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715E5DAB">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r>
      <w:tr w14:paraId="3862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3681512">
            <w:pPr>
              <w:pStyle w:val="109"/>
              <w:rPr>
                <w:color w:val="000000" w:themeColor="text1"/>
                <w14:textFill>
                  <w14:solidFill>
                    <w14:schemeClr w14:val="tx1"/>
                  </w14:solidFill>
                </w14:textFill>
              </w:rPr>
            </w:pPr>
            <w:r>
              <w:rPr>
                <w:color w:val="000000" w:themeColor="text1"/>
                <w14:textFill>
                  <w14:solidFill>
                    <w14:schemeClr w14:val="tx1"/>
                  </w14:solidFill>
                </w14:textFill>
              </w:rPr>
              <w:t>乙苯</w:t>
            </w:r>
          </w:p>
        </w:tc>
        <w:tc>
          <w:tcPr>
            <w:tcW w:w="713" w:type="pct"/>
            <w:vAlign w:val="center"/>
          </w:tcPr>
          <w:p w14:paraId="0AFD2FB4">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2E1BCFE7">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773" w:type="pct"/>
          </w:tcPr>
          <w:p w14:paraId="7C039DA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31C39CC8">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r>
      <w:tr w14:paraId="3372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4652DC7">
            <w:pPr>
              <w:pStyle w:val="109"/>
              <w:rPr>
                <w:color w:val="000000" w:themeColor="text1"/>
                <w14:textFill>
                  <w14:solidFill>
                    <w14:schemeClr w14:val="tx1"/>
                  </w14:solidFill>
                </w14:textFill>
              </w:rPr>
            </w:pPr>
            <w:r>
              <w:rPr>
                <w:color w:val="000000" w:themeColor="text1"/>
                <w14:textFill>
                  <w14:solidFill>
                    <w14:schemeClr w14:val="tx1"/>
                  </w14:solidFill>
                </w14:textFill>
              </w:rPr>
              <w:t>间，对-二甲苯</w:t>
            </w:r>
          </w:p>
        </w:tc>
        <w:tc>
          <w:tcPr>
            <w:tcW w:w="713" w:type="pct"/>
            <w:vAlign w:val="center"/>
          </w:tcPr>
          <w:p w14:paraId="2899F566">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3568162F">
            <w:pPr>
              <w:pStyle w:val="109"/>
              <w:rPr>
                <w:color w:val="000000" w:themeColor="text1"/>
                <w14:textFill>
                  <w14:solidFill>
                    <w14:schemeClr w14:val="tx1"/>
                  </w14:solidFill>
                </w14:textFill>
              </w:rPr>
            </w:pPr>
            <w:r>
              <w:rPr>
                <w:color w:val="000000" w:themeColor="text1"/>
                <w14:textFill>
                  <w14:solidFill>
                    <w14:schemeClr w14:val="tx1"/>
                  </w14:solidFill>
                </w14:textFill>
              </w:rPr>
              <w:t>&lt;3.6</w:t>
            </w:r>
          </w:p>
        </w:tc>
        <w:tc>
          <w:tcPr>
            <w:tcW w:w="773" w:type="pct"/>
          </w:tcPr>
          <w:p w14:paraId="7527D18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139E1AB0">
            <w:pPr>
              <w:pStyle w:val="109"/>
              <w:rPr>
                <w:color w:val="000000" w:themeColor="text1"/>
                <w14:textFill>
                  <w14:solidFill>
                    <w14:schemeClr w14:val="tx1"/>
                  </w14:solidFill>
                </w14:textFill>
              </w:rPr>
            </w:pPr>
            <w:r>
              <w:rPr>
                <w:color w:val="000000" w:themeColor="text1"/>
                <w14:textFill>
                  <w14:solidFill>
                    <w14:schemeClr w14:val="tx1"/>
                  </w14:solidFill>
                </w14:textFill>
              </w:rPr>
              <w:t>570</w:t>
            </w:r>
          </w:p>
        </w:tc>
      </w:tr>
      <w:tr w14:paraId="5EE9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AF68AD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邻-二甲苯 </w:t>
            </w:r>
          </w:p>
        </w:tc>
        <w:tc>
          <w:tcPr>
            <w:tcW w:w="713" w:type="pct"/>
            <w:vAlign w:val="center"/>
          </w:tcPr>
          <w:p w14:paraId="6F3A5BE9">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2CE4DDC0">
            <w:pPr>
              <w:pStyle w:val="109"/>
              <w:rPr>
                <w:color w:val="000000" w:themeColor="text1"/>
                <w14:textFill>
                  <w14:solidFill>
                    <w14:schemeClr w14:val="tx1"/>
                  </w14:solidFill>
                </w14:textFill>
              </w:rPr>
            </w:pPr>
            <w:r>
              <w:rPr>
                <w:color w:val="000000" w:themeColor="text1"/>
                <w14:textFill>
                  <w14:solidFill>
                    <w14:schemeClr w14:val="tx1"/>
                  </w14:solidFill>
                </w14:textFill>
              </w:rPr>
              <w:t>&lt;1.3</w:t>
            </w:r>
          </w:p>
        </w:tc>
        <w:tc>
          <w:tcPr>
            <w:tcW w:w="773" w:type="pct"/>
          </w:tcPr>
          <w:p w14:paraId="631BDC0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3ED3D041">
            <w:pPr>
              <w:pStyle w:val="109"/>
              <w:rPr>
                <w:color w:val="000000" w:themeColor="text1"/>
                <w14:textFill>
                  <w14:solidFill>
                    <w14:schemeClr w14:val="tx1"/>
                  </w14:solidFill>
                </w14:textFill>
              </w:rPr>
            </w:pPr>
            <w:r>
              <w:rPr>
                <w:color w:val="000000" w:themeColor="text1"/>
                <w14:textFill>
                  <w14:solidFill>
                    <w14:schemeClr w14:val="tx1"/>
                  </w14:solidFill>
                </w14:textFill>
              </w:rPr>
              <w:t>640</w:t>
            </w:r>
          </w:p>
        </w:tc>
      </w:tr>
      <w:tr w14:paraId="53EC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1CF1C7C">
            <w:pPr>
              <w:pStyle w:val="109"/>
              <w:rPr>
                <w:color w:val="000000" w:themeColor="text1"/>
                <w14:textFill>
                  <w14:solidFill>
                    <w14:schemeClr w14:val="tx1"/>
                  </w14:solidFill>
                </w14:textFill>
              </w:rPr>
            </w:pPr>
            <w:r>
              <w:rPr>
                <w:color w:val="000000" w:themeColor="text1"/>
                <w14:textFill>
                  <w14:solidFill>
                    <w14:schemeClr w14:val="tx1"/>
                  </w14:solidFill>
                </w14:textFill>
              </w:rPr>
              <w:t>苯乙烯</w:t>
            </w:r>
          </w:p>
        </w:tc>
        <w:tc>
          <w:tcPr>
            <w:tcW w:w="713" w:type="pct"/>
            <w:vAlign w:val="center"/>
          </w:tcPr>
          <w:p w14:paraId="71849CFB">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07874485">
            <w:pPr>
              <w:pStyle w:val="109"/>
              <w:rPr>
                <w:color w:val="000000" w:themeColor="text1"/>
                <w14:textFill>
                  <w14:solidFill>
                    <w14:schemeClr w14:val="tx1"/>
                  </w14:solidFill>
                </w14:textFill>
              </w:rPr>
            </w:pPr>
            <w:r>
              <w:rPr>
                <w:color w:val="000000" w:themeColor="text1"/>
                <w14:textFill>
                  <w14:solidFill>
                    <w14:schemeClr w14:val="tx1"/>
                  </w14:solidFill>
                </w14:textFill>
              </w:rPr>
              <w:t>&lt;1.6</w:t>
            </w:r>
          </w:p>
        </w:tc>
        <w:tc>
          <w:tcPr>
            <w:tcW w:w="773" w:type="pct"/>
          </w:tcPr>
          <w:p w14:paraId="6B5C553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503D1F74">
            <w:pPr>
              <w:pStyle w:val="109"/>
              <w:rPr>
                <w:color w:val="000000" w:themeColor="text1"/>
                <w14:textFill>
                  <w14:solidFill>
                    <w14:schemeClr w14:val="tx1"/>
                  </w14:solidFill>
                </w14:textFill>
              </w:rPr>
            </w:pPr>
            <w:r>
              <w:rPr>
                <w:color w:val="000000" w:themeColor="text1"/>
                <w14:textFill>
                  <w14:solidFill>
                    <w14:schemeClr w14:val="tx1"/>
                  </w14:solidFill>
                </w14:textFill>
              </w:rPr>
              <w:t>1290</w:t>
            </w:r>
          </w:p>
        </w:tc>
      </w:tr>
      <w:tr w14:paraId="7755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1F5BEAF">
            <w:pPr>
              <w:pStyle w:val="109"/>
              <w:rPr>
                <w:color w:val="000000" w:themeColor="text1"/>
                <w14:textFill>
                  <w14:solidFill>
                    <w14:schemeClr w14:val="tx1"/>
                  </w14:solidFill>
                </w14:textFill>
              </w:rPr>
            </w:pPr>
            <w:r>
              <w:rPr>
                <w:color w:val="000000" w:themeColor="text1"/>
                <w14:textFill>
                  <w14:solidFill>
                    <w14:schemeClr w14:val="tx1"/>
                  </w14:solidFill>
                </w14:textFill>
              </w:rPr>
              <w:t>1，1，2，2-四氯乙烷</w:t>
            </w:r>
          </w:p>
        </w:tc>
        <w:tc>
          <w:tcPr>
            <w:tcW w:w="713" w:type="pct"/>
            <w:vAlign w:val="center"/>
          </w:tcPr>
          <w:p w14:paraId="3BA11F42">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2F38FF18">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773" w:type="pct"/>
          </w:tcPr>
          <w:p w14:paraId="389F069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47CBFA7C">
            <w:pPr>
              <w:pStyle w:val="109"/>
              <w:rPr>
                <w:color w:val="000000" w:themeColor="text1"/>
                <w14:textFill>
                  <w14:solidFill>
                    <w14:schemeClr w14:val="tx1"/>
                  </w14:solidFill>
                </w14:textFill>
              </w:rPr>
            </w:pPr>
            <w:r>
              <w:rPr>
                <w:color w:val="000000" w:themeColor="text1"/>
                <w14:textFill>
                  <w14:solidFill>
                    <w14:schemeClr w14:val="tx1"/>
                  </w14:solidFill>
                </w14:textFill>
              </w:rPr>
              <w:t>6.8</w:t>
            </w:r>
          </w:p>
        </w:tc>
      </w:tr>
      <w:tr w14:paraId="0B6B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1F5EB6D8">
            <w:pPr>
              <w:pStyle w:val="109"/>
              <w:rPr>
                <w:color w:val="000000" w:themeColor="text1"/>
                <w14:textFill>
                  <w14:solidFill>
                    <w14:schemeClr w14:val="tx1"/>
                  </w14:solidFill>
                </w14:textFill>
              </w:rPr>
            </w:pPr>
            <w:r>
              <w:rPr>
                <w:color w:val="000000" w:themeColor="text1"/>
                <w14:textFill>
                  <w14:solidFill>
                    <w14:schemeClr w14:val="tx1"/>
                  </w14:solidFill>
                </w14:textFill>
              </w:rPr>
              <w:t>1，2，3-三氯丙烷</w:t>
            </w:r>
          </w:p>
        </w:tc>
        <w:tc>
          <w:tcPr>
            <w:tcW w:w="713" w:type="pct"/>
            <w:vAlign w:val="center"/>
          </w:tcPr>
          <w:p w14:paraId="0F992FA6">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02C5A91B">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773" w:type="pct"/>
          </w:tcPr>
          <w:p w14:paraId="73F5345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20E4FA85">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r>
      <w:tr w14:paraId="18D7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7BB5C96">
            <w:pPr>
              <w:pStyle w:val="109"/>
              <w:rPr>
                <w:color w:val="000000" w:themeColor="text1"/>
                <w14:textFill>
                  <w14:solidFill>
                    <w14:schemeClr w14:val="tx1"/>
                  </w14:solidFill>
                </w14:textFill>
              </w:rPr>
            </w:pPr>
            <w:r>
              <w:rPr>
                <w:color w:val="000000" w:themeColor="text1"/>
                <w14:textFill>
                  <w14:solidFill>
                    <w14:schemeClr w14:val="tx1"/>
                  </w14:solidFill>
                </w14:textFill>
              </w:rPr>
              <w:t>1，4-二氯苯</w:t>
            </w:r>
          </w:p>
        </w:tc>
        <w:tc>
          <w:tcPr>
            <w:tcW w:w="713" w:type="pct"/>
            <w:vAlign w:val="center"/>
          </w:tcPr>
          <w:p w14:paraId="29DBBC96">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6DDE9504">
            <w:pPr>
              <w:pStyle w:val="109"/>
              <w:rPr>
                <w:color w:val="000000" w:themeColor="text1"/>
                <w14:textFill>
                  <w14:solidFill>
                    <w14:schemeClr w14:val="tx1"/>
                  </w14:solidFill>
                </w14:textFill>
              </w:rPr>
            </w:pPr>
            <w:r>
              <w:rPr>
                <w:color w:val="000000" w:themeColor="text1"/>
                <w14:textFill>
                  <w14:solidFill>
                    <w14:schemeClr w14:val="tx1"/>
                  </w14:solidFill>
                </w14:textFill>
              </w:rPr>
              <w:t>&lt;1.2</w:t>
            </w:r>
          </w:p>
        </w:tc>
        <w:tc>
          <w:tcPr>
            <w:tcW w:w="773" w:type="pct"/>
          </w:tcPr>
          <w:p w14:paraId="0F07A21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32E1BB33">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r>
      <w:tr w14:paraId="261C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181EC844">
            <w:pPr>
              <w:pStyle w:val="109"/>
              <w:rPr>
                <w:color w:val="000000" w:themeColor="text1"/>
                <w14:textFill>
                  <w14:solidFill>
                    <w14:schemeClr w14:val="tx1"/>
                  </w14:solidFill>
                </w14:textFill>
              </w:rPr>
            </w:pPr>
            <w:r>
              <w:rPr>
                <w:color w:val="000000" w:themeColor="text1"/>
                <w14:textFill>
                  <w14:solidFill>
                    <w14:schemeClr w14:val="tx1"/>
                  </w14:solidFill>
                </w14:textFill>
              </w:rPr>
              <w:t>1，2-二氯苯</w:t>
            </w:r>
          </w:p>
        </w:tc>
        <w:tc>
          <w:tcPr>
            <w:tcW w:w="713" w:type="pct"/>
            <w:vAlign w:val="center"/>
          </w:tcPr>
          <w:p w14:paraId="6FF5A906">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vAlign w:val="center"/>
          </w:tcPr>
          <w:p w14:paraId="3E624098">
            <w:pPr>
              <w:pStyle w:val="109"/>
              <w:rPr>
                <w:color w:val="000000" w:themeColor="text1"/>
                <w14:textFill>
                  <w14:solidFill>
                    <w14:schemeClr w14:val="tx1"/>
                  </w14:solidFill>
                </w14:textFill>
              </w:rPr>
            </w:pPr>
            <w:r>
              <w:rPr>
                <w:color w:val="000000" w:themeColor="text1"/>
                <w14:textFill>
                  <w14:solidFill>
                    <w14:schemeClr w14:val="tx1"/>
                  </w14:solidFill>
                </w14:textFill>
              </w:rPr>
              <w:t>&lt;1.0</w:t>
            </w:r>
          </w:p>
        </w:tc>
        <w:tc>
          <w:tcPr>
            <w:tcW w:w="773" w:type="pct"/>
          </w:tcPr>
          <w:p w14:paraId="5A54D2F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032E6670">
            <w:pPr>
              <w:pStyle w:val="109"/>
              <w:rPr>
                <w:color w:val="000000" w:themeColor="text1"/>
                <w14:textFill>
                  <w14:solidFill>
                    <w14:schemeClr w14:val="tx1"/>
                  </w14:solidFill>
                </w14:textFill>
              </w:rPr>
            </w:pPr>
            <w:r>
              <w:rPr>
                <w:color w:val="000000" w:themeColor="text1"/>
                <w14:textFill>
                  <w14:solidFill>
                    <w14:schemeClr w14:val="tx1"/>
                  </w14:solidFill>
                </w14:textFill>
              </w:rPr>
              <w:t>560</w:t>
            </w:r>
          </w:p>
        </w:tc>
      </w:tr>
      <w:tr w14:paraId="7931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0FB72C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氯甲烷 </w:t>
            </w:r>
          </w:p>
        </w:tc>
        <w:tc>
          <w:tcPr>
            <w:tcW w:w="713" w:type="pct"/>
            <w:vAlign w:val="center"/>
          </w:tcPr>
          <w:p w14:paraId="396F0294">
            <w:pPr>
              <w:pStyle w:val="109"/>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951" w:type="pct"/>
            <w:gridSpan w:val="2"/>
          </w:tcPr>
          <w:p w14:paraId="72C2A9C6">
            <w:pPr>
              <w:pStyle w:val="109"/>
              <w:rPr>
                <w:color w:val="000000" w:themeColor="text1"/>
                <w14:textFill>
                  <w14:solidFill>
                    <w14:schemeClr w14:val="tx1"/>
                  </w14:solidFill>
                </w14:textFill>
              </w:rPr>
            </w:pPr>
            <w:r>
              <w:rPr>
                <w:color w:val="000000" w:themeColor="text1"/>
                <w14:textFill>
                  <w14:solidFill>
                    <w14:schemeClr w14:val="tx1"/>
                  </w14:solidFill>
                </w14:textFill>
              </w:rPr>
              <w:t>&lt;3.0</w:t>
            </w:r>
          </w:p>
        </w:tc>
        <w:tc>
          <w:tcPr>
            <w:tcW w:w="773" w:type="pct"/>
          </w:tcPr>
          <w:p w14:paraId="30F8121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37DB7558">
            <w:pPr>
              <w:pStyle w:val="109"/>
              <w:rPr>
                <w:color w:val="000000" w:themeColor="text1"/>
                <w14:textFill>
                  <w14:solidFill>
                    <w14:schemeClr w14:val="tx1"/>
                  </w14:solidFill>
                </w14:textFill>
              </w:rPr>
            </w:pPr>
            <w:r>
              <w:rPr>
                <w:color w:val="000000" w:themeColor="text1"/>
                <w14:textFill>
                  <w14:solidFill>
                    <w14:schemeClr w14:val="tx1"/>
                  </w14:solidFill>
                </w14:textFill>
              </w:rPr>
              <w:t>37</w:t>
            </w:r>
          </w:p>
        </w:tc>
      </w:tr>
      <w:tr w14:paraId="61F9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7A4E33E6">
            <w:pPr>
              <w:pStyle w:val="109"/>
              <w:rPr>
                <w:color w:val="000000" w:themeColor="text1"/>
                <w14:textFill>
                  <w14:solidFill>
                    <w14:schemeClr w14:val="tx1"/>
                  </w14:solidFill>
                </w14:textFill>
              </w:rPr>
            </w:pPr>
            <w:r>
              <w:rPr>
                <w:color w:val="000000" w:themeColor="text1"/>
                <w14:textFill>
                  <w14:solidFill>
                    <w14:schemeClr w14:val="tx1"/>
                  </w14:solidFill>
                </w14:textFill>
              </w:rPr>
              <w:t>硝基苯</w:t>
            </w:r>
          </w:p>
        </w:tc>
        <w:tc>
          <w:tcPr>
            <w:tcW w:w="713" w:type="pct"/>
            <w:vAlign w:val="center"/>
          </w:tcPr>
          <w:p w14:paraId="2529E954">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53E90F36">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773" w:type="pct"/>
          </w:tcPr>
          <w:p w14:paraId="2EF9605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2FF1954A">
            <w:pPr>
              <w:pStyle w:val="109"/>
              <w:rPr>
                <w:color w:val="000000" w:themeColor="text1"/>
                <w14:textFill>
                  <w14:solidFill>
                    <w14:schemeClr w14:val="tx1"/>
                  </w14:solidFill>
                </w14:textFill>
              </w:rPr>
            </w:pPr>
            <w:r>
              <w:rPr>
                <w:color w:val="000000" w:themeColor="text1"/>
                <w14:textFill>
                  <w14:solidFill>
                    <w14:schemeClr w14:val="tx1"/>
                  </w14:solidFill>
                </w14:textFill>
              </w:rPr>
              <w:t>76</w:t>
            </w:r>
          </w:p>
        </w:tc>
      </w:tr>
      <w:tr w14:paraId="4163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2A915EBC">
            <w:pPr>
              <w:pStyle w:val="109"/>
              <w:rPr>
                <w:color w:val="000000" w:themeColor="text1"/>
                <w14:textFill>
                  <w14:solidFill>
                    <w14:schemeClr w14:val="tx1"/>
                  </w14:solidFill>
                </w14:textFill>
              </w:rPr>
            </w:pPr>
            <w:r>
              <w:rPr>
                <w:color w:val="000000" w:themeColor="text1"/>
                <w14:textFill>
                  <w14:solidFill>
                    <w14:schemeClr w14:val="tx1"/>
                  </w14:solidFill>
                </w14:textFill>
              </w:rPr>
              <w:t>苯胺</w:t>
            </w:r>
          </w:p>
        </w:tc>
        <w:tc>
          <w:tcPr>
            <w:tcW w:w="713" w:type="pct"/>
            <w:vAlign w:val="center"/>
          </w:tcPr>
          <w:p w14:paraId="25EC1FED">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6E918177">
            <w:pPr>
              <w:pStyle w:val="109"/>
              <w:rPr>
                <w:color w:val="000000" w:themeColor="text1"/>
                <w14:textFill>
                  <w14:solidFill>
                    <w14:schemeClr w14:val="tx1"/>
                  </w14:solidFill>
                </w14:textFill>
              </w:rPr>
            </w:pPr>
            <w:r>
              <w:rPr>
                <w:color w:val="000000" w:themeColor="text1"/>
                <w14:textFill>
                  <w14:solidFill>
                    <w14:schemeClr w14:val="tx1"/>
                  </w14:solidFill>
                </w14:textFill>
              </w:rPr>
              <w:t>&lt;3.78</w:t>
            </w:r>
          </w:p>
        </w:tc>
        <w:tc>
          <w:tcPr>
            <w:tcW w:w="773" w:type="pct"/>
          </w:tcPr>
          <w:p w14:paraId="5F209F2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01875F63">
            <w:pPr>
              <w:pStyle w:val="109"/>
              <w:rPr>
                <w:color w:val="000000" w:themeColor="text1"/>
                <w14:textFill>
                  <w14:solidFill>
                    <w14:schemeClr w14:val="tx1"/>
                  </w14:solidFill>
                </w14:textFill>
              </w:rPr>
            </w:pPr>
            <w:r>
              <w:rPr>
                <w:color w:val="000000" w:themeColor="text1"/>
                <w14:textFill>
                  <w14:solidFill>
                    <w14:schemeClr w14:val="tx1"/>
                  </w14:solidFill>
                </w14:textFill>
              </w:rPr>
              <w:t>260</w:t>
            </w:r>
          </w:p>
        </w:tc>
      </w:tr>
      <w:tr w14:paraId="68BD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0FA4BF71">
            <w:pPr>
              <w:pStyle w:val="109"/>
              <w:rPr>
                <w:color w:val="000000" w:themeColor="text1"/>
                <w14:textFill>
                  <w14:solidFill>
                    <w14:schemeClr w14:val="tx1"/>
                  </w14:solidFill>
                </w14:textFill>
              </w:rPr>
            </w:pPr>
            <w:r>
              <w:rPr>
                <w:color w:val="000000" w:themeColor="text1"/>
                <w14:textFill>
                  <w14:solidFill>
                    <w14:schemeClr w14:val="tx1"/>
                  </w14:solidFill>
                </w14:textFill>
              </w:rPr>
              <w:t>2-氯苯酚</w:t>
            </w:r>
          </w:p>
        </w:tc>
        <w:tc>
          <w:tcPr>
            <w:tcW w:w="713" w:type="pct"/>
            <w:vAlign w:val="center"/>
          </w:tcPr>
          <w:p w14:paraId="3E511A5B">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486CF9C3">
            <w:pPr>
              <w:pStyle w:val="109"/>
              <w:rPr>
                <w:color w:val="000000" w:themeColor="text1"/>
                <w14:textFill>
                  <w14:solidFill>
                    <w14:schemeClr w14:val="tx1"/>
                  </w14:solidFill>
                </w14:textFill>
              </w:rPr>
            </w:pPr>
            <w:r>
              <w:rPr>
                <w:color w:val="000000" w:themeColor="text1"/>
                <w14:textFill>
                  <w14:solidFill>
                    <w14:schemeClr w14:val="tx1"/>
                  </w14:solidFill>
                </w14:textFill>
              </w:rPr>
              <w:t>&lt;0.06</w:t>
            </w:r>
          </w:p>
        </w:tc>
        <w:tc>
          <w:tcPr>
            <w:tcW w:w="773" w:type="pct"/>
          </w:tcPr>
          <w:p w14:paraId="17B68C7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5137E79B">
            <w:pPr>
              <w:pStyle w:val="109"/>
              <w:rPr>
                <w:color w:val="000000" w:themeColor="text1"/>
                <w14:textFill>
                  <w14:solidFill>
                    <w14:schemeClr w14:val="tx1"/>
                  </w14:solidFill>
                </w14:textFill>
              </w:rPr>
            </w:pPr>
            <w:r>
              <w:rPr>
                <w:color w:val="000000" w:themeColor="text1"/>
                <w14:textFill>
                  <w14:solidFill>
                    <w14:schemeClr w14:val="tx1"/>
                  </w14:solidFill>
                </w14:textFill>
              </w:rPr>
              <w:t>2256</w:t>
            </w:r>
          </w:p>
        </w:tc>
      </w:tr>
      <w:tr w14:paraId="2F08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63BDEFA">
            <w:pPr>
              <w:pStyle w:val="109"/>
              <w:rPr>
                <w:color w:val="000000" w:themeColor="text1"/>
                <w14:textFill>
                  <w14:solidFill>
                    <w14:schemeClr w14:val="tx1"/>
                  </w14:solidFill>
                </w14:textFill>
              </w:rPr>
            </w:pPr>
            <w:r>
              <w:rPr>
                <w:color w:val="000000" w:themeColor="text1"/>
                <w14:textFill>
                  <w14:solidFill>
                    <w14:schemeClr w14:val="tx1"/>
                  </w14:solidFill>
                </w14:textFill>
              </w:rPr>
              <w:t>苯并[a]蒽</w:t>
            </w:r>
          </w:p>
        </w:tc>
        <w:tc>
          <w:tcPr>
            <w:tcW w:w="713" w:type="pct"/>
            <w:vAlign w:val="center"/>
          </w:tcPr>
          <w:p w14:paraId="31E5ED5F">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5CD0131A">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773" w:type="pct"/>
          </w:tcPr>
          <w:p w14:paraId="3579B22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18B33BC3">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66DD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6EBB030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苯并[a]芘 </w:t>
            </w:r>
          </w:p>
        </w:tc>
        <w:tc>
          <w:tcPr>
            <w:tcW w:w="713" w:type="pct"/>
            <w:vAlign w:val="center"/>
          </w:tcPr>
          <w:p w14:paraId="17715B99">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72D3CDE0">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773" w:type="pct"/>
          </w:tcPr>
          <w:p w14:paraId="428E0DA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5EAE7C22">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22A1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A6BE8CE">
            <w:pPr>
              <w:pStyle w:val="109"/>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713" w:type="pct"/>
            <w:vAlign w:val="center"/>
          </w:tcPr>
          <w:p w14:paraId="28CEFBA8">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27992730">
            <w:pPr>
              <w:pStyle w:val="109"/>
              <w:rPr>
                <w:color w:val="000000" w:themeColor="text1"/>
                <w14:textFill>
                  <w14:solidFill>
                    <w14:schemeClr w14:val="tx1"/>
                  </w14:solidFill>
                </w14:textFill>
              </w:rPr>
            </w:pPr>
            <w:r>
              <w:rPr>
                <w:color w:val="000000" w:themeColor="text1"/>
                <w14:textFill>
                  <w14:solidFill>
                    <w14:schemeClr w14:val="tx1"/>
                  </w14:solidFill>
                </w14:textFill>
              </w:rPr>
              <w:t>&lt;0.2</w:t>
            </w:r>
          </w:p>
        </w:tc>
        <w:tc>
          <w:tcPr>
            <w:tcW w:w="773" w:type="pct"/>
          </w:tcPr>
          <w:p w14:paraId="3981170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285D6965">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6676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19511E70">
            <w:pPr>
              <w:pStyle w:val="109"/>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713" w:type="pct"/>
            <w:vAlign w:val="center"/>
          </w:tcPr>
          <w:p w14:paraId="58095ECA">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7A865CBF">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773" w:type="pct"/>
          </w:tcPr>
          <w:p w14:paraId="0FA104C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2F40DD4C">
            <w:pPr>
              <w:pStyle w:val="109"/>
              <w:rPr>
                <w:color w:val="000000" w:themeColor="text1"/>
                <w14:textFill>
                  <w14:solidFill>
                    <w14:schemeClr w14:val="tx1"/>
                  </w14:solidFill>
                </w14:textFill>
              </w:rPr>
            </w:pPr>
            <w:r>
              <w:rPr>
                <w:color w:val="000000" w:themeColor="text1"/>
                <w14:textFill>
                  <w14:solidFill>
                    <w14:schemeClr w14:val="tx1"/>
                  </w14:solidFill>
                </w14:textFill>
              </w:rPr>
              <w:t>151</w:t>
            </w:r>
          </w:p>
        </w:tc>
      </w:tr>
      <w:tr w14:paraId="4B93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6AB4EB18">
            <w:pPr>
              <w:pStyle w:val="109"/>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713" w:type="pct"/>
            <w:vAlign w:val="center"/>
          </w:tcPr>
          <w:p w14:paraId="39ABF766">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153ECB50">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773" w:type="pct"/>
          </w:tcPr>
          <w:p w14:paraId="250A8BF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20A741CB">
            <w:pPr>
              <w:pStyle w:val="109"/>
              <w:rPr>
                <w:color w:val="000000" w:themeColor="text1"/>
                <w14:textFill>
                  <w14:solidFill>
                    <w14:schemeClr w14:val="tx1"/>
                  </w14:solidFill>
                </w14:textFill>
              </w:rPr>
            </w:pPr>
            <w:r>
              <w:rPr>
                <w:color w:val="000000" w:themeColor="text1"/>
                <w14:textFill>
                  <w14:solidFill>
                    <w14:schemeClr w14:val="tx1"/>
                  </w14:solidFill>
                </w14:textFill>
              </w:rPr>
              <w:t>1293</w:t>
            </w:r>
          </w:p>
        </w:tc>
      </w:tr>
      <w:tr w14:paraId="1CD2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7F3DF624">
            <w:pPr>
              <w:pStyle w:val="109"/>
              <w:rPr>
                <w:color w:val="000000" w:themeColor="text1"/>
                <w14:textFill>
                  <w14:solidFill>
                    <w14:schemeClr w14:val="tx1"/>
                  </w14:solidFill>
                </w14:textFill>
              </w:rPr>
            </w:pPr>
            <w:r>
              <w:rPr>
                <w:color w:val="000000" w:themeColor="text1"/>
                <w14:textFill>
                  <w14:solidFill>
                    <w14:schemeClr w14:val="tx1"/>
                  </w14:solidFill>
                </w14:textFill>
              </w:rPr>
              <w:t>二苯并[a，h]蒽</w:t>
            </w:r>
          </w:p>
        </w:tc>
        <w:tc>
          <w:tcPr>
            <w:tcW w:w="713" w:type="pct"/>
            <w:vAlign w:val="center"/>
          </w:tcPr>
          <w:p w14:paraId="0718BD37">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5B1F9D74">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773" w:type="pct"/>
          </w:tcPr>
          <w:p w14:paraId="66E8470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77F8BF5C">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00AA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68821FA">
            <w:pPr>
              <w:pStyle w:val="109"/>
              <w:rPr>
                <w:color w:val="000000" w:themeColor="text1"/>
                <w14:textFill>
                  <w14:solidFill>
                    <w14:schemeClr w14:val="tx1"/>
                  </w14:solidFill>
                </w14:textFill>
              </w:rPr>
            </w:pPr>
            <w:r>
              <w:rPr>
                <w:color w:val="000000" w:themeColor="text1"/>
                <w14:textFill>
                  <w14:solidFill>
                    <w14:schemeClr w14:val="tx1"/>
                  </w14:solidFill>
                </w14:textFill>
              </w:rPr>
              <w:t>茚并[1，2，3-cd]芘</w:t>
            </w:r>
          </w:p>
        </w:tc>
        <w:tc>
          <w:tcPr>
            <w:tcW w:w="713" w:type="pct"/>
            <w:vAlign w:val="center"/>
          </w:tcPr>
          <w:p w14:paraId="6F8C5393">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756F33D9">
            <w:pPr>
              <w:pStyle w:val="109"/>
              <w:rPr>
                <w:color w:val="000000" w:themeColor="text1"/>
                <w14:textFill>
                  <w14:solidFill>
                    <w14:schemeClr w14:val="tx1"/>
                  </w14:solidFill>
                </w14:textFill>
              </w:rPr>
            </w:pPr>
            <w:r>
              <w:rPr>
                <w:color w:val="000000" w:themeColor="text1"/>
                <w14:textFill>
                  <w14:solidFill>
                    <w14:schemeClr w14:val="tx1"/>
                  </w14:solidFill>
                </w14:textFill>
              </w:rPr>
              <w:t>&lt;0.1</w:t>
            </w:r>
          </w:p>
        </w:tc>
        <w:tc>
          <w:tcPr>
            <w:tcW w:w="773" w:type="pct"/>
          </w:tcPr>
          <w:p w14:paraId="4624F90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137167DE">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r>
      <w:tr w14:paraId="6CC5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2647562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萘 </w:t>
            </w:r>
          </w:p>
        </w:tc>
        <w:tc>
          <w:tcPr>
            <w:tcW w:w="713" w:type="pct"/>
            <w:vAlign w:val="center"/>
          </w:tcPr>
          <w:p w14:paraId="19C16187">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2AC735F9">
            <w:pPr>
              <w:pStyle w:val="109"/>
              <w:rPr>
                <w:color w:val="000000" w:themeColor="text1"/>
                <w14:textFill>
                  <w14:solidFill>
                    <w14:schemeClr w14:val="tx1"/>
                  </w14:solidFill>
                </w14:textFill>
              </w:rPr>
            </w:pPr>
            <w:r>
              <w:rPr>
                <w:color w:val="000000" w:themeColor="text1"/>
                <w14:textFill>
                  <w14:solidFill>
                    <w14:schemeClr w14:val="tx1"/>
                  </w14:solidFill>
                </w14:textFill>
              </w:rPr>
              <w:t>&lt;0.09</w:t>
            </w:r>
          </w:p>
        </w:tc>
        <w:tc>
          <w:tcPr>
            <w:tcW w:w="773" w:type="pct"/>
          </w:tcPr>
          <w:p w14:paraId="376E5CF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1FF09D0D">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r>
      <w:tr w14:paraId="046A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77382530">
            <w:pPr>
              <w:pStyle w:val="109"/>
              <w:rPr>
                <w:color w:val="000000" w:themeColor="text1"/>
                <w14:textFill>
                  <w14:solidFill>
                    <w14:schemeClr w14:val="tx1"/>
                  </w14:solidFill>
                </w14:textFill>
              </w:rPr>
            </w:pPr>
            <w:r>
              <w:rPr>
                <w:color w:val="000000" w:themeColor="text1"/>
                <w14:textFill>
                  <w14:solidFill>
                    <w14:schemeClr w14:val="tx1"/>
                  </w14:solidFill>
                </w14:textFill>
              </w:rPr>
              <w:t>pH</w:t>
            </w:r>
          </w:p>
        </w:tc>
        <w:tc>
          <w:tcPr>
            <w:tcW w:w="713" w:type="pct"/>
            <w:vAlign w:val="center"/>
          </w:tcPr>
          <w:p w14:paraId="3FF7959A">
            <w:pPr>
              <w:pStyle w:val="109"/>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951" w:type="pct"/>
            <w:gridSpan w:val="2"/>
            <w:vAlign w:val="center"/>
          </w:tcPr>
          <w:p w14:paraId="183315D5">
            <w:pPr>
              <w:pStyle w:val="109"/>
              <w:rPr>
                <w:color w:val="000000" w:themeColor="text1"/>
                <w14:textFill>
                  <w14:solidFill>
                    <w14:schemeClr w14:val="tx1"/>
                  </w14:solidFill>
                </w14:textFill>
              </w:rPr>
            </w:pPr>
            <w:r>
              <w:rPr>
                <w:color w:val="000000" w:themeColor="text1"/>
                <w14:textFill>
                  <w14:solidFill>
                    <w14:schemeClr w14:val="tx1"/>
                  </w14:solidFill>
                </w14:textFill>
              </w:rPr>
              <w:t>8.17</w:t>
            </w:r>
          </w:p>
        </w:tc>
        <w:tc>
          <w:tcPr>
            <w:tcW w:w="773" w:type="pct"/>
          </w:tcPr>
          <w:p w14:paraId="7AD93A8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7AA76F6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3EFF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71A8346D">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713" w:type="pct"/>
            <w:vAlign w:val="center"/>
          </w:tcPr>
          <w:p w14:paraId="5CF01C0D">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027112A4">
            <w:pPr>
              <w:pStyle w:val="109"/>
              <w:rPr>
                <w:color w:val="000000" w:themeColor="text1"/>
                <w14:textFill>
                  <w14:solidFill>
                    <w14:schemeClr w14:val="tx1"/>
                  </w14:solidFill>
                </w14:textFill>
              </w:rPr>
            </w:pPr>
            <w:r>
              <w:rPr>
                <w:color w:val="000000" w:themeColor="text1"/>
                <w14:textFill>
                  <w14:solidFill>
                    <w14:schemeClr w14:val="tx1"/>
                  </w14:solidFill>
                </w14:textFill>
              </w:rPr>
              <w:t>10.7</w:t>
            </w:r>
          </w:p>
        </w:tc>
        <w:tc>
          <w:tcPr>
            <w:tcW w:w="773" w:type="pct"/>
            <w:vAlign w:val="bottom"/>
          </w:tcPr>
          <w:p w14:paraId="46E4D0FB">
            <w:pPr>
              <w:pStyle w:val="109"/>
              <w:rPr>
                <w:color w:val="000000" w:themeColor="text1"/>
                <w14:textFill>
                  <w14:solidFill>
                    <w14:schemeClr w14:val="tx1"/>
                  </w14:solidFill>
                </w14:textFill>
              </w:rPr>
            </w:pPr>
            <w:r>
              <w:rPr>
                <w:color w:val="000000" w:themeColor="text1"/>
                <w14:textFill>
                  <w14:solidFill>
                    <w14:schemeClr w14:val="tx1"/>
                  </w14:solidFill>
                </w14:textFill>
              </w:rPr>
              <w:t>1.78E-01</w:t>
            </w:r>
          </w:p>
        </w:tc>
        <w:tc>
          <w:tcPr>
            <w:tcW w:w="1567" w:type="pct"/>
            <w:vAlign w:val="center"/>
          </w:tcPr>
          <w:p w14:paraId="5331F7E3">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r>
      <w:tr w14:paraId="7905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72A868F7">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713" w:type="pct"/>
            <w:vAlign w:val="center"/>
          </w:tcPr>
          <w:p w14:paraId="41CFC231">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5A59B262">
            <w:pPr>
              <w:pStyle w:val="109"/>
              <w:rPr>
                <w:color w:val="000000" w:themeColor="text1"/>
                <w14:textFill>
                  <w14:solidFill>
                    <w14:schemeClr w14:val="tx1"/>
                  </w14:solidFill>
                </w14:textFill>
              </w:rPr>
            </w:pPr>
            <w:r>
              <w:rPr>
                <w:color w:val="000000" w:themeColor="text1"/>
                <w14:textFill>
                  <w14:solidFill>
                    <w14:schemeClr w14:val="tx1"/>
                  </w14:solidFill>
                </w14:textFill>
              </w:rPr>
              <w:t>35</w:t>
            </w:r>
          </w:p>
        </w:tc>
        <w:tc>
          <w:tcPr>
            <w:tcW w:w="773" w:type="pct"/>
            <w:vAlign w:val="bottom"/>
          </w:tcPr>
          <w:p w14:paraId="3E1D389C">
            <w:pPr>
              <w:pStyle w:val="109"/>
              <w:rPr>
                <w:color w:val="000000" w:themeColor="text1"/>
                <w14:textFill>
                  <w14:solidFill>
                    <w14:schemeClr w14:val="tx1"/>
                  </w14:solidFill>
                </w14:textFill>
              </w:rPr>
            </w:pPr>
            <w:r>
              <w:rPr>
                <w:color w:val="000000" w:themeColor="text1"/>
                <w14:textFill>
                  <w14:solidFill>
                    <w14:schemeClr w14:val="tx1"/>
                  </w14:solidFill>
                </w14:textFill>
              </w:rPr>
              <w:t>4.38E-02</w:t>
            </w:r>
          </w:p>
        </w:tc>
        <w:tc>
          <w:tcPr>
            <w:tcW w:w="1567" w:type="pct"/>
            <w:vAlign w:val="center"/>
          </w:tcPr>
          <w:p w14:paraId="02119ECE">
            <w:pPr>
              <w:pStyle w:val="109"/>
              <w:rPr>
                <w:color w:val="000000" w:themeColor="text1"/>
                <w14:textFill>
                  <w14:solidFill>
                    <w14:schemeClr w14:val="tx1"/>
                  </w14:solidFill>
                </w14:textFill>
              </w:rPr>
            </w:pPr>
            <w:r>
              <w:rPr>
                <w:color w:val="000000" w:themeColor="text1"/>
                <w14:textFill>
                  <w14:solidFill>
                    <w14:schemeClr w14:val="tx1"/>
                  </w14:solidFill>
                </w14:textFill>
              </w:rPr>
              <w:t>800</w:t>
            </w:r>
          </w:p>
        </w:tc>
      </w:tr>
      <w:tr w14:paraId="3A56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72A422CC">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713" w:type="pct"/>
            <w:vAlign w:val="center"/>
          </w:tcPr>
          <w:p w14:paraId="1DD7E86B">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7EFC1188">
            <w:pPr>
              <w:pStyle w:val="109"/>
              <w:rPr>
                <w:color w:val="000000" w:themeColor="text1"/>
                <w14:textFill>
                  <w14:solidFill>
                    <w14:schemeClr w14:val="tx1"/>
                  </w14:solidFill>
                </w14:textFill>
              </w:rPr>
            </w:pPr>
            <w:r>
              <w:rPr>
                <w:color w:val="000000" w:themeColor="text1"/>
                <w14:textFill>
                  <w14:solidFill>
                    <w14:schemeClr w14:val="tx1"/>
                  </w14:solidFill>
                </w14:textFill>
              </w:rPr>
              <w:t>0.105</w:t>
            </w:r>
          </w:p>
        </w:tc>
        <w:tc>
          <w:tcPr>
            <w:tcW w:w="773" w:type="pct"/>
            <w:vAlign w:val="bottom"/>
          </w:tcPr>
          <w:p w14:paraId="2739853F">
            <w:pPr>
              <w:pStyle w:val="109"/>
              <w:rPr>
                <w:color w:val="000000" w:themeColor="text1"/>
                <w14:textFill>
                  <w14:solidFill>
                    <w14:schemeClr w14:val="tx1"/>
                  </w14:solidFill>
                </w14:textFill>
              </w:rPr>
            </w:pPr>
            <w:r>
              <w:rPr>
                <w:color w:val="000000" w:themeColor="text1"/>
                <w14:textFill>
                  <w14:solidFill>
                    <w14:schemeClr w14:val="tx1"/>
                  </w14:solidFill>
                </w14:textFill>
              </w:rPr>
              <w:t>2.76E-03</w:t>
            </w:r>
          </w:p>
        </w:tc>
        <w:tc>
          <w:tcPr>
            <w:tcW w:w="1567" w:type="pct"/>
            <w:vAlign w:val="center"/>
          </w:tcPr>
          <w:p w14:paraId="64B978A8">
            <w:pPr>
              <w:pStyle w:val="109"/>
              <w:rPr>
                <w:color w:val="000000" w:themeColor="text1"/>
                <w14:textFill>
                  <w14:solidFill>
                    <w14:schemeClr w14:val="tx1"/>
                  </w14:solidFill>
                </w14:textFill>
              </w:rPr>
            </w:pPr>
            <w:r>
              <w:rPr>
                <w:color w:val="000000" w:themeColor="text1"/>
                <w14:textFill>
                  <w14:solidFill>
                    <w14:schemeClr w14:val="tx1"/>
                  </w14:solidFill>
                </w14:textFill>
              </w:rPr>
              <w:t>38</w:t>
            </w:r>
          </w:p>
        </w:tc>
      </w:tr>
      <w:tr w14:paraId="5290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2C948F16">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713" w:type="pct"/>
            <w:vAlign w:val="center"/>
          </w:tcPr>
          <w:p w14:paraId="5A41F756">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2FBA8EDC">
            <w:pPr>
              <w:pStyle w:val="109"/>
              <w:rPr>
                <w:color w:val="000000" w:themeColor="text1"/>
                <w14:textFill>
                  <w14:solidFill>
                    <w14:schemeClr w14:val="tx1"/>
                  </w14:solidFill>
                </w14:textFill>
              </w:rPr>
            </w:pPr>
            <w:r>
              <w:rPr>
                <w:color w:val="000000" w:themeColor="text1"/>
                <w14:textFill>
                  <w14:solidFill>
                    <w14:schemeClr w14:val="tx1"/>
                  </w14:solidFill>
                </w14:textFill>
              </w:rPr>
              <w:t>0.38</w:t>
            </w:r>
          </w:p>
        </w:tc>
        <w:tc>
          <w:tcPr>
            <w:tcW w:w="773" w:type="pct"/>
            <w:vAlign w:val="bottom"/>
          </w:tcPr>
          <w:p w14:paraId="230767FD">
            <w:pPr>
              <w:pStyle w:val="109"/>
              <w:rPr>
                <w:color w:val="000000" w:themeColor="text1"/>
                <w14:textFill>
                  <w14:solidFill>
                    <w14:schemeClr w14:val="tx1"/>
                  </w14:solidFill>
                </w14:textFill>
              </w:rPr>
            </w:pPr>
            <w:r>
              <w:rPr>
                <w:color w:val="000000" w:themeColor="text1"/>
                <w14:textFill>
                  <w14:solidFill>
                    <w14:schemeClr w14:val="tx1"/>
                  </w14:solidFill>
                </w14:textFill>
              </w:rPr>
              <w:t>5.85E-03</w:t>
            </w:r>
          </w:p>
        </w:tc>
        <w:tc>
          <w:tcPr>
            <w:tcW w:w="1567" w:type="pct"/>
            <w:vAlign w:val="center"/>
          </w:tcPr>
          <w:p w14:paraId="6E2D151F">
            <w:pPr>
              <w:pStyle w:val="109"/>
              <w:rPr>
                <w:color w:val="000000" w:themeColor="text1"/>
                <w14:textFill>
                  <w14:solidFill>
                    <w14:schemeClr w14:val="tx1"/>
                  </w14:solidFill>
                </w14:textFill>
              </w:rPr>
            </w:pPr>
            <w:r>
              <w:rPr>
                <w:color w:val="000000" w:themeColor="text1"/>
                <w14:textFill>
                  <w14:solidFill>
                    <w14:schemeClr w14:val="tx1"/>
                  </w14:solidFill>
                </w14:textFill>
              </w:rPr>
              <w:t>65</w:t>
            </w:r>
          </w:p>
        </w:tc>
      </w:tr>
      <w:tr w14:paraId="6C92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02008B05">
            <w:pPr>
              <w:pStyle w:val="109"/>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713" w:type="pct"/>
            <w:vAlign w:val="center"/>
          </w:tcPr>
          <w:p w14:paraId="69E2000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1E270142">
            <w:pPr>
              <w:pStyle w:val="109"/>
              <w:rPr>
                <w:color w:val="000000" w:themeColor="text1"/>
                <w14:textFill>
                  <w14:solidFill>
                    <w14:schemeClr w14:val="tx1"/>
                  </w14:solidFill>
                </w14:textFill>
              </w:rPr>
            </w:pPr>
            <w:r>
              <w:rPr>
                <w:color w:val="000000" w:themeColor="text1"/>
                <w14:textFill>
                  <w14:solidFill>
                    <w14:schemeClr w14:val="tx1"/>
                  </w14:solidFill>
                </w14:textFill>
              </w:rPr>
              <w:t>29</w:t>
            </w:r>
          </w:p>
        </w:tc>
        <w:tc>
          <w:tcPr>
            <w:tcW w:w="773" w:type="pct"/>
            <w:vAlign w:val="bottom"/>
          </w:tcPr>
          <w:p w14:paraId="5967F1C1">
            <w:pPr>
              <w:pStyle w:val="109"/>
              <w:rPr>
                <w:color w:val="000000" w:themeColor="text1"/>
                <w14:textFill>
                  <w14:solidFill>
                    <w14:schemeClr w14:val="tx1"/>
                  </w14:solidFill>
                </w14:textFill>
              </w:rPr>
            </w:pPr>
            <w:r>
              <w:rPr>
                <w:color w:val="000000" w:themeColor="text1"/>
                <w14:textFill>
                  <w14:solidFill>
                    <w14:schemeClr w14:val="tx1"/>
                  </w14:solidFill>
                </w14:textFill>
              </w:rPr>
              <w:t>1.61E-03</w:t>
            </w:r>
          </w:p>
        </w:tc>
        <w:tc>
          <w:tcPr>
            <w:tcW w:w="1567" w:type="pct"/>
            <w:vAlign w:val="center"/>
          </w:tcPr>
          <w:p w14:paraId="03B25C79">
            <w:pPr>
              <w:pStyle w:val="109"/>
              <w:rPr>
                <w:color w:val="000000" w:themeColor="text1"/>
                <w14:textFill>
                  <w14:solidFill>
                    <w14:schemeClr w14:val="tx1"/>
                  </w14:solidFill>
                </w14:textFill>
              </w:rPr>
            </w:pPr>
            <w:r>
              <w:rPr>
                <w:color w:val="000000" w:themeColor="text1"/>
                <w14:textFill>
                  <w14:solidFill>
                    <w14:schemeClr w14:val="tx1"/>
                  </w14:solidFill>
                </w14:textFill>
              </w:rPr>
              <w:t>18000</w:t>
            </w:r>
          </w:p>
        </w:tc>
      </w:tr>
      <w:tr w14:paraId="79F1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41105A91">
            <w:pPr>
              <w:pStyle w:val="109"/>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713" w:type="pct"/>
            <w:vAlign w:val="center"/>
          </w:tcPr>
          <w:p w14:paraId="2B6F441E">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66950BC3">
            <w:pPr>
              <w:pStyle w:val="109"/>
              <w:rPr>
                <w:color w:val="000000" w:themeColor="text1"/>
                <w14:textFill>
                  <w14:solidFill>
                    <w14:schemeClr w14:val="tx1"/>
                  </w14:solidFill>
                </w14:textFill>
              </w:rPr>
            </w:pPr>
            <w:r>
              <w:rPr>
                <w:color w:val="000000" w:themeColor="text1"/>
                <w14:textFill>
                  <w14:solidFill>
                    <w14:schemeClr w14:val="tx1"/>
                  </w14:solidFill>
                </w14:textFill>
              </w:rPr>
              <w:t>44</w:t>
            </w:r>
          </w:p>
        </w:tc>
        <w:tc>
          <w:tcPr>
            <w:tcW w:w="773" w:type="pct"/>
            <w:vAlign w:val="bottom"/>
          </w:tcPr>
          <w:p w14:paraId="7EF12202">
            <w:pPr>
              <w:pStyle w:val="109"/>
              <w:rPr>
                <w:color w:val="000000" w:themeColor="text1"/>
                <w14:textFill>
                  <w14:solidFill>
                    <w14:schemeClr w14:val="tx1"/>
                  </w14:solidFill>
                </w14:textFill>
              </w:rPr>
            </w:pPr>
            <w:r>
              <w:rPr>
                <w:color w:val="000000" w:themeColor="text1"/>
                <w14:textFill>
                  <w14:solidFill>
                    <w14:schemeClr w14:val="tx1"/>
                  </w14:solidFill>
                </w14:textFill>
              </w:rPr>
              <w:t>4.89E-02</w:t>
            </w:r>
          </w:p>
        </w:tc>
        <w:tc>
          <w:tcPr>
            <w:tcW w:w="1567" w:type="pct"/>
            <w:vAlign w:val="center"/>
          </w:tcPr>
          <w:p w14:paraId="03B2B5B2">
            <w:pPr>
              <w:pStyle w:val="109"/>
              <w:rPr>
                <w:color w:val="000000" w:themeColor="text1"/>
                <w14:textFill>
                  <w14:solidFill>
                    <w14:schemeClr w14:val="tx1"/>
                  </w14:solidFill>
                </w14:textFill>
              </w:rPr>
            </w:pPr>
            <w:r>
              <w:rPr>
                <w:color w:val="000000" w:themeColor="text1"/>
                <w14:textFill>
                  <w14:solidFill>
                    <w14:schemeClr w14:val="tx1"/>
                  </w14:solidFill>
                </w14:textFill>
              </w:rPr>
              <w:t>900</w:t>
            </w:r>
          </w:p>
        </w:tc>
      </w:tr>
      <w:tr w14:paraId="2E6D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93" w:type="pct"/>
            <w:vAlign w:val="center"/>
          </w:tcPr>
          <w:p w14:paraId="3018D034">
            <w:pPr>
              <w:pStyle w:val="109"/>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713" w:type="pct"/>
            <w:vAlign w:val="center"/>
          </w:tcPr>
          <w:p w14:paraId="42F82658">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951" w:type="pct"/>
            <w:gridSpan w:val="2"/>
            <w:vAlign w:val="center"/>
          </w:tcPr>
          <w:p w14:paraId="44E3D470">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773" w:type="pct"/>
          </w:tcPr>
          <w:p w14:paraId="735997B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7" w:type="pct"/>
            <w:vAlign w:val="center"/>
          </w:tcPr>
          <w:p w14:paraId="4F1D3452">
            <w:pPr>
              <w:pStyle w:val="109"/>
              <w:rPr>
                <w:color w:val="000000" w:themeColor="text1"/>
                <w14:textFill>
                  <w14:solidFill>
                    <w14:schemeClr w14:val="tx1"/>
                  </w14:solidFill>
                </w14:textFill>
              </w:rPr>
            </w:pPr>
            <w:r>
              <w:rPr>
                <w:color w:val="000000" w:themeColor="text1"/>
                <w14:textFill>
                  <w14:solidFill>
                    <w14:schemeClr w14:val="tx1"/>
                  </w14:solidFill>
                </w14:textFill>
              </w:rPr>
              <w:t>5.7</w:t>
            </w:r>
          </w:p>
        </w:tc>
      </w:tr>
    </w:tbl>
    <w:p w14:paraId="2945EC17">
      <w:pPr>
        <w:ind w:firstLine="480"/>
        <w:rPr>
          <w:color w:val="000000" w:themeColor="text1"/>
          <w14:textFill>
            <w14:solidFill>
              <w14:schemeClr w14:val="tx1"/>
            </w14:solidFill>
          </w14:textFill>
        </w:rPr>
      </w:pPr>
    </w:p>
    <w:p w14:paraId="7A7F00D9">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土壤现状监测结果5（引用）</w:t>
      </w:r>
    </w:p>
    <w:tbl>
      <w:tblPr>
        <w:tblStyle w:val="7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876"/>
        <w:gridCol w:w="3775"/>
        <w:gridCol w:w="3787"/>
      </w:tblGrid>
      <w:tr w14:paraId="4F0E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Align w:val="center"/>
          </w:tcPr>
          <w:p w14:paraId="75508482">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4005" w:type="pct"/>
            <w:gridSpan w:val="2"/>
            <w:vAlign w:val="center"/>
          </w:tcPr>
          <w:p w14:paraId="2CF85CD9">
            <w:pPr>
              <w:pStyle w:val="109"/>
              <w:rPr>
                <w:color w:val="000000" w:themeColor="text1"/>
                <w14:textFill>
                  <w14:solidFill>
                    <w14:schemeClr w14:val="tx1"/>
                  </w14:solidFill>
                </w14:textFill>
              </w:rPr>
            </w:pPr>
            <w:r>
              <w:rPr>
                <w:color w:val="000000" w:themeColor="text1"/>
                <w14:textFill>
                  <w14:solidFill>
                    <w14:schemeClr w14:val="tx1"/>
                  </w14:solidFill>
                </w14:textFill>
              </w:rPr>
              <w:t>TC-4#-1</w:t>
            </w:r>
          </w:p>
        </w:tc>
      </w:tr>
      <w:tr w14:paraId="5838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Align w:val="center"/>
          </w:tcPr>
          <w:p w14:paraId="04068B3B">
            <w:pPr>
              <w:pStyle w:val="109"/>
              <w:rPr>
                <w:color w:val="000000" w:themeColor="text1"/>
                <w14:textFill>
                  <w14:solidFill>
                    <w14:schemeClr w14:val="tx1"/>
                  </w14:solidFill>
                </w14:textFill>
              </w:rPr>
            </w:pPr>
            <w:r>
              <w:rPr>
                <w:color w:val="000000" w:themeColor="text1"/>
                <w14:textFill>
                  <w14:solidFill>
                    <w14:schemeClr w14:val="tx1"/>
                  </w14:solidFill>
                </w14:textFill>
              </w:rPr>
              <w:t>采样地点</w:t>
            </w:r>
          </w:p>
        </w:tc>
        <w:tc>
          <w:tcPr>
            <w:tcW w:w="4005" w:type="pct"/>
            <w:gridSpan w:val="2"/>
            <w:vAlign w:val="center"/>
          </w:tcPr>
          <w:p w14:paraId="0A18105B">
            <w:pPr>
              <w:pStyle w:val="109"/>
              <w:rPr>
                <w:color w:val="000000" w:themeColor="text1"/>
                <w14:textFill>
                  <w14:solidFill>
                    <w14:schemeClr w14:val="tx1"/>
                  </w14:solidFill>
                </w14:textFill>
              </w:rPr>
            </w:pPr>
            <w:r>
              <w:rPr>
                <w:color w:val="000000" w:themeColor="text1"/>
                <w14:textFill>
                  <w14:solidFill>
                    <w14:schemeClr w14:val="tx1"/>
                  </w14:solidFill>
                </w14:textFill>
              </w:rPr>
              <w:t>E:87°41′46.72″N:44°8′23.80″</w:t>
            </w:r>
          </w:p>
        </w:tc>
      </w:tr>
      <w:tr w14:paraId="4D99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Align w:val="center"/>
          </w:tcPr>
          <w:p w14:paraId="7F83EC69">
            <w:pPr>
              <w:pStyle w:val="109"/>
              <w:rPr>
                <w:color w:val="000000" w:themeColor="text1"/>
                <w14:textFill>
                  <w14:solidFill>
                    <w14:schemeClr w14:val="tx1"/>
                  </w14:solidFill>
                </w14:textFill>
              </w:rPr>
            </w:pPr>
            <w:r>
              <w:rPr>
                <w:color w:val="000000" w:themeColor="text1"/>
                <w14:textFill>
                  <w14:solidFill>
                    <w14:schemeClr w14:val="tx1"/>
                  </w14:solidFill>
                </w14:textFill>
              </w:rPr>
              <w:t>深度</w:t>
            </w:r>
          </w:p>
        </w:tc>
        <w:tc>
          <w:tcPr>
            <w:tcW w:w="4005" w:type="pct"/>
            <w:gridSpan w:val="2"/>
            <w:vAlign w:val="center"/>
          </w:tcPr>
          <w:p w14:paraId="03116698">
            <w:pPr>
              <w:pStyle w:val="109"/>
              <w:rPr>
                <w:color w:val="000000" w:themeColor="text1"/>
                <w14:textFill>
                  <w14:solidFill>
                    <w14:schemeClr w14:val="tx1"/>
                  </w14:solidFill>
                </w14:textFill>
              </w:rPr>
            </w:pPr>
            <w:r>
              <w:rPr>
                <w:color w:val="000000" w:themeColor="text1"/>
                <w14:textFill>
                  <w14:solidFill>
                    <w14:schemeClr w14:val="tx1"/>
                  </w14:solidFill>
                </w14:textFill>
              </w:rPr>
              <w:t>16</w:t>
            </w:r>
          </w:p>
        </w:tc>
      </w:tr>
      <w:tr w14:paraId="37CB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000" w:type="pct"/>
            <w:gridSpan w:val="3"/>
            <w:vAlign w:val="center"/>
          </w:tcPr>
          <w:p w14:paraId="14A2776A">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r>
      <w:tr w14:paraId="578B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restart"/>
            <w:vAlign w:val="center"/>
          </w:tcPr>
          <w:p w14:paraId="1FC7149C">
            <w:pPr>
              <w:pStyle w:val="109"/>
              <w:rPr>
                <w:color w:val="000000" w:themeColor="text1"/>
                <w14:textFill>
                  <w14:solidFill>
                    <w14:schemeClr w14:val="tx1"/>
                  </w14:solidFill>
                </w14:textFill>
              </w:rPr>
            </w:pPr>
            <w:r>
              <w:rPr>
                <w:color w:val="000000" w:themeColor="text1"/>
                <w14:textFill>
                  <w14:solidFill>
                    <w14:schemeClr w14:val="tx1"/>
                  </w14:solidFill>
                </w14:textFill>
              </w:rPr>
              <w:t>现场记录</w:t>
            </w:r>
          </w:p>
        </w:tc>
        <w:tc>
          <w:tcPr>
            <w:tcW w:w="2000" w:type="pct"/>
            <w:vAlign w:val="center"/>
          </w:tcPr>
          <w:p w14:paraId="336E75BF">
            <w:pPr>
              <w:pStyle w:val="109"/>
              <w:rPr>
                <w:color w:val="000000" w:themeColor="text1"/>
                <w14:textFill>
                  <w14:solidFill>
                    <w14:schemeClr w14:val="tx1"/>
                  </w14:solidFill>
                </w14:textFill>
              </w:rPr>
            </w:pPr>
            <w:r>
              <w:rPr>
                <w:color w:val="000000" w:themeColor="text1"/>
                <w14:textFill>
                  <w14:solidFill>
                    <w14:schemeClr w14:val="tx1"/>
                  </w14:solidFill>
                </w14:textFill>
              </w:rPr>
              <w:t>颜色</w:t>
            </w:r>
          </w:p>
        </w:tc>
        <w:tc>
          <w:tcPr>
            <w:tcW w:w="2004" w:type="pct"/>
            <w:vAlign w:val="center"/>
          </w:tcPr>
          <w:p w14:paraId="2FA7E865">
            <w:pPr>
              <w:pStyle w:val="109"/>
              <w:rPr>
                <w:color w:val="000000" w:themeColor="text1"/>
                <w14:textFill>
                  <w14:solidFill>
                    <w14:schemeClr w14:val="tx1"/>
                  </w14:solidFill>
                </w14:textFill>
              </w:rPr>
            </w:pPr>
            <w:r>
              <w:rPr>
                <w:color w:val="000000" w:themeColor="text1"/>
                <w14:textFill>
                  <w14:solidFill>
                    <w14:schemeClr w14:val="tx1"/>
                  </w14:solidFill>
                </w14:textFill>
              </w:rPr>
              <w:t>黄棕</w:t>
            </w:r>
          </w:p>
        </w:tc>
      </w:tr>
      <w:tr w14:paraId="55FB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continue"/>
            <w:vAlign w:val="center"/>
          </w:tcPr>
          <w:p w14:paraId="12446470">
            <w:pPr>
              <w:pStyle w:val="109"/>
              <w:rPr>
                <w:color w:val="000000" w:themeColor="text1"/>
                <w14:textFill>
                  <w14:solidFill>
                    <w14:schemeClr w14:val="tx1"/>
                  </w14:solidFill>
                </w14:textFill>
              </w:rPr>
            </w:pPr>
          </w:p>
        </w:tc>
        <w:tc>
          <w:tcPr>
            <w:tcW w:w="2000" w:type="pct"/>
            <w:vAlign w:val="center"/>
          </w:tcPr>
          <w:p w14:paraId="64CDDE79">
            <w:pPr>
              <w:pStyle w:val="109"/>
              <w:rPr>
                <w:color w:val="000000" w:themeColor="text1"/>
                <w14:textFill>
                  <w14:solidFill>
                    <w14:schemeClr w14:val="tx1"/>
                  </w14:solidFill>
                </w14:textFill>
              </w:rPr>
            </w:pPr>
            <w:r>
              <w:rPr>
                <w:color w:val="000000" w:themeColor="text1"/>
                <w14:textFill>
                  <w14:solidFill>
                    <w14:schemeClr w14:val="tx1"/>
                  </w14:solidFill>
                </w14:textFill>
              </w:rPr>
              <w:t>结构</w:t>
            </w:r>
          </w:p>
        </w:tc>
        <w:tc>
          <w:tcPr>
            <w:tcW w:w="2004" w:type="pct"/>
            <w:vAlign w:val="center"/>
          </w:tcPr>
          <w:p w14:paraId="48DCB43A">
            <w:pPr>
              <w:pStyle w:val="109"/>
              <w:rPr>
                <w:color w:val="000000" w:themeColor="text1"/>
                <w14:textFill>
                  <w14:solidFill>
                    <w14:schemeClr w14:val="tx1"/>
                  </w14:solidFill>
                </w14:textFill>
              </w:rPr>
            </w:pPr>
            <w:r>
              <w:rPr>
                <w:color w:val="000000" w:themeColor="text1"/>
                <w14:textFill>
                  <w14:solidFill>
                    <w14:schemeClr w14:val="tx1"/>
                  </w14:solidFill>
                </w14:textFill>
              </w:rPr>
              <w:t>块状</w:t>
            </w:r>
          </w:p>
        </w:tc>
      </w:tr>
      <w:tr w14:paraId="2F5B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continue"/>
            <w:vAlign w:val="center"/>
          </w:tcPr>
          <w:p w14:paraId="1960F327">
            <w:pPr>
              <w:pStyle w:val="109"/>
              <w:rPr>
                <w:color w:val="000000" w:themeColor="text1"/>
                <w14:textFill>
                  <w14:solidFill>
                    <w14:schemeClr w14:val="tx1"/>
                  </w14:solidFill>
                </w14:textFill>
              </w:rPr>
            </w:pPr>
          </w:p>
        </w:tc>
        <w:tc>
          <w:tcPr>
            <w:tcW w:w="2000" w:type="pct"/>
            <w:vAlign w:val="center"/>
          </w:tcPr>
          <w:p w14:paraId="375CD677">
            <w:pPr>
              <w:pStyle w:val="109"/>
              <w:rPr>
                <w:color w:val="000000" w:themeColor="text1"/>
                <w14:textFill>
                  <w14:solidFill>
                    <w14:schemeClr w14:val="tx1"/>
                  </w14:solidFill>
                </w14:textFill>
              </w:rPr>
            </w:pPr>
            <w:r>
              <w:rPr>
                <w:color w:val="000000" w:themeColor="text1"/>
                <w14:textFill>
                  <w14:solidFill>
                    <w14:schemeClr w14:val="tx1"/>
                  </w14:solidFill>
                </w14:textFill>
              </w:rPr>
              <w:t>质地</w:t>
            </w:r>
          </w:p>
        </w:tc>
        <w:tc>
          <w:tcPr>
            <w:tcW w:w="2004" w:type="pct"/>
            <w:vAlign w:val="center"/>
          </w:tcPr>
          <w:p w14:paraId="7F9C6F04">
            <w:pPr>
              <w:pStyle w:val="109"/>
              <w:rPr>
                <w:color w:val="000000" w:themeColor="text1"/>
                <w14:textFill>
                  <w14:solidFill>
                    <w14:schemeClr w14:val="tx1"/>
                  </w14:solidFill>
                </w14:textFill>
              </w:rPr>
            </w:pPr>
            <w:r>
              <w:rPr>
                <w:color w:val="000000" w:themeColor="text1"/>
                <w14:textFill>
                  <w14:solidFill>
                    <w14:schemeClr w14:val="tx1"/>
                  </w14:solidFill>
                </w14:textFill>
              </w:rPr>
              <w:t>壤土</w:t>
            </w:r>
          </w:p>
        </w:tc>
      </w:tr>
      <w:tr w14:paraId="6FEA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continue"/>
            <w:vAlign w:val="center"/>
          </w:tcPr>
          <w:p w14:paraId="71C13B29">
            <w:pPr>
              <w:pStyle w:val="109"/>
              <w:rPr>
                <w:color w:val="000000" w:themeColor="text1"/>
                <w14:textFill>
                  <w14:solidFill>
                    <w14:schemeClr w14:val="tx1"/>
                  </w14:solidFill>
                </w14:textFill>
              </w:rPr>
            </w:pPr>
          </w:p>
        </w:tc>
        <w:tc>
          <w:tcPr>
            <w:tcW w:w="2000" w:type="pct"/>
            <w:vAlign w:val="center"/>
          </w:tcPr>
          <w:p w14:paraId="1D07923A">
            <w:pPr>
              <w:pStyle w:val="109"/>
              <w:rPr>
                <w:color w:val="000000" w:themeColor="text1"/>
                <w14:textFill>
                  <w14:solidFill>
                    <w14:schemeClr w14:val="tx1"/>
                  </w14:solidFill>
                </w14:textFill>
              </w:rPr>
            </w:pPr>
            <w:r>
              <w:rPr>
                <w:color w:val="000000" w:themeColor="text1"/>
                <w14:textFill>
                  <w14:solidFill>
                    <w14:schemeClr w14:val="tx1"/>
                  </w14:solidFill>
                </w14:textFill>
              </w:rPr>
              <w:t>砂砾含量（％)</w:t>
            </w:r>
          </w:p>
        </w:tc>
        <w:tc>
          <w:tcPr>
            <w:tcW w:w="2004" w:type="pct"/>
            <w:vAlign w:val="center"/>
          </w:tcPr>
          <w:p w14:paraId="46817823">
            <w:pPr>
              <w:pStyle w:val="109"/>
              <w:rPr>
                <w:color w:val="000000" w:themeColor="text1"/>
                <w14:textFill>
                  <w14:solidFill>
                    <w14:schemeClr w14:val="tx1"/>
                  </w14:solidFill>
                </w14:textFill>
              </w:rPr>
            </w:pPr>
            <w:r>
              <w:rPr>
                <w:color w:val="000000" w:themeColor="text1"/>
                <w14:textFill>
                  <w14:solidFill>
                    <w14:schemeClr w14:val="tx1"/>
                  </w14:solidFill>
                </w14:textFill>
              </w:rPr>
              <w:t>90</w:t>
            </w:r>
          </w:p>
        </w:tc>
      </w:tr>
      <w:tr w14:paraId="00ED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continue"/>
            <w:vAlign w:val="center"/>
          </w:tcPr>
          <w:p w14:paraId="19BAA6CE">
            <w:pPr>
              <w:pStyle w:val="109"/>
              <w:rPr>
                <w:color w:val="000000" w:themeColor="text1"/>
                <w14:textFill>
                  <w14:solidFill>
                    <w14:schemeClr w14:val="tx1"/>
                  </w14:solidFill>
                </w14:textFill>
              </w:rPr>
            </w:pPr>
          </w:p>
        </w:tc>
        <w:tc>
          <w:tcPr>
            <w:tcW w:w="2000" w:type="pct"/>
            <w:vAlign w:val="center"/>
          </w:tcPr>
          <w:p w14:paraId="289DDE5E">
            <w:pPr>
              <w:pStyle w:val="109"/>
              <w:rPr>
                <w:color w:val="000000" w:themeColor="text1"/>
                <w14:textFill>
                  <w14:solidFill>
                    <w14:schemeClr w14:val="tx1"/>
                  </w14:solidFill>
                </w14:textFill>
              </w:rPr>
            </w:pPr>
            <w:r>
              <w:rPr>
                <w:color w:val="000000" w:themeColor="text1"/>
                <w14:textFill>
                  <w14:solidFill>
                    <w14:schemeClr w14:val="tx1"/>
                  </w14:solidFill>
                </w14:textFill>
              </w:rPr>
              <w:t>其他异物</w:t>
            </w:r>
          </w:p>
        </w:tc>
        <w:tc>
          <w:tcPr>
            <w:tcW w:w="2004" w:type="pct"/>
            <w:vAlign w:val="center"/>
          </w:tcPr>
          <w:p w14:paraId="4B687219">
            <w:pPr>
              <w:pStyle w:val="109"/>
              <w:rPr>
                <w:color w:val="000000" w:themeColor="text1"/>
                <w14:textFill>
                  <w14:solidFill>
                    <w14:schemeClr w14:val="tx1"/>
                  </w14:solidFill>
                </w14:textFill>
              </w:rPr>
            </w:pPr>
            <w:r>
              <w:rPr>
                <w:color w:val="000000" w:themeColor="text1"/>
                <w14:textFill>
                  <w14:solidFill>
                    <w14:schemeClr w14:val="tx1"/>
                  </w14:solidFill>
                </w14:textFill>
              </w:rPr>
              <w:t>少量根系</w:t>
            </w:r>
          </w:p>
        </w:tc>
      </w:tr>
      <w:tr w14:paraId="34AB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continue"/>
            <w:vAlign w:val="center"/>
          </w:tcPr>
          <w:p w14:paraId="44B0F7E4">
            <w:pPr>
              <w:pStyle w:val="109"/>
              <w:rPr>
                <w:color w:val="000000" w:themeColor="text1"/>
                <w14:textFill>
                  <w14:solidFill>
                    <w14:schemeClr w14:val="tx1"/>
                  </w14:solidFill>
                </w14:textFill>
              </w:rPr>
            </w:pPr>
          </w:p>
        </w:tc>
        <w:tc>
          <w:tcPr>
            <w:tcW w:w="2000" w:type="pct"/>
            <w:vAlign w:val="center"/>
          </w:tcPr>
          <w:p w14:paraId="5422C06B">
            <w:pPr>
              <w:pStyle w:val="109"/>
              <w:rPr>
                <w:color w:val="000000" w:themeColor="text1"/>
                <w14:textFill>
                  <w14:solidFill>
                    <w14:schemeClr w14:val="tx1"/>
                  </w14:solidFill>
                </w14:textFill>
              </w:rPr>
            </w:pPr>
            <w:r>
              <w:rPr>
                <w:color w:val="000000" w:themeColor="text1"/>
                <w14:textFill>
                  <w14:solidFill>
                    <w14:schemeClr w14:val="tx1"/>
                  </w14:solidFill>
                </w14:textFill>
              </w:rPr>
              <w:t>氧化还原电位(mv)</w:t>
            </w:r>
          </w:p>
        </w:tc>
        <w:tc>
          <w:tcPr>
            <w:tcW w:w="2004" w:type="pct"/>
            <w:vAlign w:val="center"/>
          </w:tcPr>
          <w:p w14:paraId="543C9EF6">
            <w:pPr>
              <w:pStyle w:val="109"/>
              <w:rPr>
                <w:color w:val="000000" w:themeColor="text1"/>
                <w14:textFill>
                  <w14:solidFill>
                    <w14:schemeClr w14:val="tx1"/>
                  </w14:solidFill>
                </w14:textFill>
              </w:rPr>
            </w:pPr>
            <w:r>
              <w:rPr>
                <w:color w:val="000000" w:themeColor="text1"/>
                <w14:textFill>
                  <w14:solidFill>
                    <w14:schemeClr w14:val="tx1"/>
                  </w14:solidFill>
                </w14:textFill>
              </w:rPr>
              <w:t>558</w:t>
            </w:r>
          </w:p>
        </w:tc>
      </w:tr>
      <w:tr w14:paraId="0AB7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restart"/>
            <w:vAlign w:val="center"/>
          </w:tcPr>
          <w:p w14:paraId="2799FD3E">
            <w:pPr>
              <w:pStyle w:val="109"/>
              <w:rPr>
                <w:color w:val="000000" w:themeColor="text1"/>
                <w14:textFill>
                  <w14:solidFill>
                    <w14:schemeClr w14:val="tx1"/>
                  </w14:solidFill>
                </w14:textFill>
              </w:rPr>
            </w:pPr>
            <w:r>
              <w:rPr>
                <w:color w:val="000000" w:themeColor="text1"/>
                <w14:textFill>
                  <w14:solidFill>
                    <w14:schemeClr w14:val="tx1"/>
                  </w14:solidFill>
                </w14:textFill>
              </w:rPr>
              <w:t>实验室测定</w:t>
            </w:r>
          </w:p>
        </w:tc>
        <w:tc>
          <w:tcPr>
            <w:tcW w:w="2000" w:type="pct"/>
            <w:vAlign w:val="center"/>
          </w:tcPr>
          <w:p w14:paraId="5994EF04">
            <w:pPr>
              <w:pStyle w:val="109"/>
              <w:rPr>
                <w:color w:val="000000" w:themeColor="text1"/>
                <w14:textFill>
                  <w14:solidFill>
                    <w14:schemeClr w14:val="tx1"/>
                  </w14:solidFill>
                </w14:textFill>
              </w:rPr>
            </w:pPr>
            <w:r>
              <w:rPr>
                <w:color w:val="000000" w:themeColor="text1"/>
                <w14:textFill>
                  <w14:solidFill>
                    <w14:schemeClr w14:val="tx1"/>
                  </w14:solidFill>
                </w14:textFill>
              </w:rPr>
              <w:t>pH (无量纲）</w:t>
            </w:r>
          </w:p>
        </w:tc>
        <w:tc>
          <w:tcPr>
            <w:tcW w:w="2004" w:type="pct"/>
            <w:vAlign w:val="center"/>
          </w:tcPr>
          <w:p w14:paraId="41A24ED6">
            <w:pPr>
              <w:pStyle w:val="109"/>
              <w:rPr>
                <w:color w:val="000000" w:themeColor="text1"/>
                <w14:textFill>
                  <w14:solidFill>
                    <w14:schemeClr w14:val="tx1"/>
                  </w14:solidFill>
                </w14:textFill>
              </w:rPr>
            </w:pPr>
            <w:r>
              <w:rPr>
                <w:color w:val="000000" w:themeColor="text1"/>
                <w14:textFill>
                  <w14:solidFill>
                    <w14:schemeClr w14:val="tx1"/>
                  </w14:solidFill>
                </w14:textFill>
              </w:rPr>
              <w:t>8.17</w:t>
            </w:r>
          </w:p>
        </w:tc>
      </w:tr>
      <w:tr w14:paraId="5BB9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continue"/>
            <w:vAlign w:val="center"/>
          </w:tcPr>
          <w:p w14:paraId="3073444C">
            <w:pPr>
              <w:pStyle w:val="109"/>
              <w:rPr>
                <w:color w:val="000000" w:themeColor="text1"/>
                <w14:textFill>
                  <w14:solidFill>
                    <w14:schemeClr w14:val="tx1"/>
                  </w14:solidFill>
                </w14:textFill>
              </w:rPr>
            </w:pPr>
          </w:p>
        </w:tc>
        <w:tc>
          <w:tcPr>
            <w:tcW w:w="2000" w:type="pct"/>
            <w:vAlign w:val="bottom"/>
          </w:tcPr>
          <w:p w14:paraId="510FEA2E">
            <w:pPr>
              <w:pStyle w:val="109"/>
              <w:rPr>
                <w:color w:val="000000" w:themeColor="text1"/>
                <w14:textFill>
                  <w14:solidFill>
                    <w14:schemeClr w14:val="tx1"/>
                  </w14:solidFill>
                </w14:textFill>
              </w:rPr>
            </w:pPr>
            <w:r>
              <w:rPr>
                <w:color w:val="000000" w:themeColor="text1"/>
                <w14:textFill>
                  <w14:solidFill>
                    <w14:schemeClr w14:val="tx1"/>
                  </w14:solidFill>
                </w14:textFill>
              </w:rPr>
              <w:t>阳离子交换量 (cmol+/kg)</w:t>
            </w:r>
          </w:p>
        </w:tc>
        <w:tc>
          <w:tcPr>
            <w:tcW w:w="2004" w:type="pct"/>
            <w:vAlign w:val="center"/>
          </w:tcPr>
          <w:p w14:paraId="6A97C6FE">
            <w:pPr>
              <w:pStyle w:val="109"/>
              <w:rPr>
                <w:color w:val="000000" w:themeColor="text1"/>
                <w14:textFill>
                  <w14:solidFill>
                    <w14:schemeClr w14:val="tx1"/>
                  </w14:solidFill>
                </w14:textFill>
              </w:rPr>
            </w:pPr>
            <w:r>
              <w:rPr>
                <w:color w:val="000000" w:themeColor="text1"/>
                <w14:textFill>
                  <w14:solidFill>
                    <w14:schemeClr w14:val="tx1"/>
                  </w14:solidFill>
                </w14:textFill>
              </w:rPr>
              <w:t>11.0</w:t>
            </w:r>
          </w:p>
        </w:tc>
      </w:tr>
      <w:tr w14:paraId="7C71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continue"/>
            <w:vAlign w:val="center"/>
          </w:tcPr>
          <w:p w14:paraId="05FD672F">
            <w:pPr>
              <w:pStyle w:val="109"/>
              <w:rPr>
                <w:color w:val="000000" w:themeColor="text1"/>
                <w14:textFill>
                  <w14:solidFill>
                    <w14:schemeClr w14:val="tx1"/>
                  </w14:solidFill>
                </w14:textFill>
              </w:rPr>
            </w:pPr>
          </w:p>
        </w:tc>
        <w:tc>
          <w:tcPr>
            <w:tcW w:w="2000" w:type="pct"/>
            <w:vAlign w:val="center"/>
          </w:tcPr>
          <w:p w14:paraId="656C17CA">
            <w:pPr>
              <w:pStyle w:val="109"/>
              <w:rPr>
                <w:color w:val="000000" w:themeColor="text1"/>
                <w14:textFill>
                  <w14:solidFill>
                    <w14:schemeClr w14:val="tx1"/>
                  </w14:solidFill>
                </w14:textFill>
              </w:rPr>
            </w:pPr>
            <w:r>
              <w:rPr>
                <w:color w:val="000000" w:themeColor="text1"/>
                <w14:textFill>
                  <w14:solidFill>
                    <w14:schemeClr w14:val="tx1"/>
                  </w14:solidFill>
                </w14:textFill>
              </w:rPr>
              <w:t>渗滤率(mm/min)</w:t>
            </w:r>
          </w:p>
        </w:tc>
        <w:tc>
          <w:tcPr>
            <w:tcW w:w="2004" w:type="pct"/>
            <w:vAlign w:val="center"/>
          </w:tcPr>
          <w:p w14:paraId="7ED9968B">
            <w:pPr>
              <w:pStyle w:val="109"/>
              <w:rPr>
                <w:color w:val="000000" w:themeColor="text1"/>
                <w14:textFill>
                  <w14:solidFill>
                    <w14:schemeClr w14:val="tx1"/>
                  </w14:solidFill>
                </w14:textFill>
              </w:rPr>
            </w:pPr>
            <w:r>
              <w:rPr>
                <w:color w:val="000000" w:themeColor="text1"/>
                <w14:textFill>
                  <w14:solidFill>
                    <w14:schemeClr w14:val="tx1"/>
                  </w14:solidFill>
                </w14:textFill>
              </w:rPr>
              <w:t>0.418</w:t>
            </w:r>
          </w:p>
        </w:tc>
      </w:tr>
      <w:tr w14:paraId="6377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continue"/>
            <w:vAlign w:val="center"/>
          </w:tcPr>
          <w:p w14:paraId="1F50F34D">
            <w:pPr>
              <w:pStyle w:val="109"/>
              <w:rPr>
                <w:color w:val="000000" w:themeColor="text1"/>
                <w14:textFill>
                  <w14:solidFill>
                    <w14:schemeClr w14:val="tx1"/>
                  </w14:solidFill>
                </w14:textFill>
              </w:rPr>
            </w:pPr>
          </w:p>
        </w:tc>
        <w:tc>
          <w:tcPr>
            <w:tcW w:w="2000" w:type="pct"/>
            <w:vAlign w:val="center"/>
          </w:tcPr>
          <w:p w14:paraId="7F92936E">
            <w:pPr>
              <w:pStyle w:val="109"/>
              <w:rPr>
                <w:color w:val="000000" w:themeColor="text1"/>
                <w14:textFill>
                  <w14:solidFill>
                    <w14:schemeClr w14:val="tx1"/>
                  </w14:solidFill>
                </w14:textFill>
              </w:rPr>
            </w:pPr>
            <w:r>
              <w:rPr>
                <w:color w:val="000000" w:themeColor="text1"/>
                <w14:textFill>
                  <w14:solidFill>
                    <w14:schemeClr w14:val="tx1"/>
                  </w14:solidFill>
                </w14:textFill>
              </w:rPr>
              <w:t>土壤容重(g/cm³)</w:t>
            </w:r>
          </w:p>
        </w:tc>
        <w:tc>
          <w:tcPr>
            <w:tcW w:w="2004" w:type="pct"/>
            <w:vAlign w:val="center"/>
          </w:tcPr>
          <w:p w14:paraId="352EE796">
            <w:pPr>
              <w:pStyle w:val="109"/>
              <w:rPr>
                <w:color w:val="000000" w:themeColor="text1"/>
                <w14:textFill>
                  <w14:solidFill>
                    <w14:schemeClr w14:val="tx1"/>
                  </w14:solidFill>
                </w14:textFill>
              </w:rPr>
            </w:pPr>
            <w:r>
              <w:rPr>
                <w:color w:val="000000" w:themeColor="text1"/>
                <w14:textFill>
                  <w14:solidFill>
                    <w14:schemeClr w14:val="tx1"/>
                  </w14:solidFill>
                </w14:textFill>
              </w:rPr>
              <w:t>1.38</w:t>
            </w:r>
          </w:p>
        </w:tc>
      </w:tr>
      <w:tr w14:paraId="55F9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4" w:type="pct"/>
            <w:vMerge w:val="continue"/>
            <w:vAlign w:val="center"/>
          </w:tcPr>
          <w:p w14:paraId="6DF11223">
            <w:pPr>
              <w:pStyle w:val="109"/>
              <w:rPr>
                <w:color w:val="000000" w:themeColor="text1"/>
                <w14:textFill>
                  <w14:solidFill>
                    <w14:schemeClr w14:val="tx1"/>
                  </w14:solidFill>
                </w14:textFill>
              </w:rPr>
            </w:pPr>
          </w:p>
        </w:tc>
        <w:tc>
          <w:tcPr>
            <w:tcW w:w="2000" w:type="pct"/>
            <w:vAlign w:val="center"/>
          </w:tcPr>
          <w:p w14:paraId="5451CB2A">
            <w:pPr>
              <w:pStyle w:val="109"/>
              <w:rPr>
                <w:color w:val="000000" w:themeColor="text1"/>
                <w14:textFill>
                  <w14:solidFill>
                    <w14:schemeClr w14:val="tx1"/>
                  </w14:solidFill>
                </w14:textFill>
              </w:rPr>
            </w:pPr>
            <w:r>
              <w:rPr>
                <w:color w:val="000000" w:themeColor="text1"/>
                <w14:textFill>
                  <w14:solidFill>
                    <w14:schemeClr w14:val="tx1"/>
                  </w14:solidFill>
                </w14:textFill>
              </w:rPr>
              <w:t>总孔隙度(％)</w:t>
            </w:r>
          </w:p>
        </w:tc>
        <w:tc>
          <w:tcPr>
            <w:tcW w:w="2004" w:type="pct"/>
            <w:vAlign w:val="center"/>
          </w:tcPr>
          <w:p w14:paraId="60EBED3D">
            <w:pPr>
              <w:pStyle w:val="109"/>
              <w:rPr>
                <w:color w:val="000000" w:themeColor="text1"/>
                <w14:textFill>
                  <w14:solidFill>
                    <w14:schemeClr w14:val="tx1"/>
                  </w14:solidFill>
                </w14:textFill>
              </w:rPr>
            </w:pPr>
            <w:r>
              <w:rPr>
                <w:color w:val="000000" w:themeColor="text1"/>
                <w14:textFill>
                  <w14:solidFill>
                    <w14:schemeClr w14:val="tx1"/>
                  </w14:solidFill>
                </w14:textFill>
              </w:rPr>
              <w:t>31.8</w:t>
            </w:r>
          </w:p>
        </w:tc>
      </w:tr>
    </w:tbl>
    <w:p w14:paraId="43F570D3">
      <w:pPr>
        <w:ind w:firstLine="480"/>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39F63920">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土壤现状监测结果</w:t>
      </w:r>
    </w:p>
    <w:tbl>
      <w:tblPr>
        <w:tblStyle w:val="7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386"/>
        <w:gridCol w:w="1415"/>
        <w:gridCol w:w="4158"/>
        <w:gridCol w:w="4158"/>
        <w:gridCol w:w="2254"/>
      </w:tblGrid>
      <w:tr w14:paraId="184D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322" w:type="pct"/>
            <w:gridSpan w:val="2"/>
            <w:vAlign w:val="center"/>
          </w:tcPr>
          <w:p w14:paraId="35FA5EBC">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1446" w:type="pct"/>
            <w:vAlign w:val="center"/>
          </w:tcPr>
          <w:p w14:paraId="61113187">
            <w:pPr>
              <w:pStyle w:val="109"/>
              <w:rPr>
                <w:color w:val="000000" w:themeColor="text1"/>
                <w14:textFill>
                  <w14:solidFill>
                    <w14:schemeClr w14:val="tx1"/>
                  </w14:solidFill>
                </w14:textFill>
              </w:rPr>
            </w:pPr>
            <w:r>
              <w:rPr>
                <w:color w:val="000000" w:themeColor="text1"/>
                <w14:textFill>
                  <w14:solidFill>
                    <w14:schemeClr w14:val="tx1"/>
                  </w14:solidFill>
                </w14:textFill>
              </w:rPr>
              <w:t>TC-5#-1</w:t>
            </w:r>
          </w:p>
        </w:tc>
        <w:tc>
          <w:tcPr>
            <w:tcW w:w="1446" w:type="pct"/>
            <w:vAlign w:val="center"/>
          </w:tcPr>
          <w:p w14:paraId="6BA60313">
            <w:pPr>
              <w:pStyle w:val="109"/>
              <w:rPr>
                <w:color w:val="000000" w:themeColor="text1"/>
                <w14:textFill>
                  <w14:solidFill>
                    <w14:schemeClr w14:val="tx1"/>
                  </w14:solidFill>
                </w14:textFill>
              </w:rPr>
            </w:pPr>
            <w:r>
              <w:rPr>
                <w:color w:val="000000" w:themeColor="text1"/>
                <w14:textFill>
                  <w14:solidFill>
                    <w14:schemeClr w14:val="tx1"/>
                  </w14:solidFill>
                </w14:textFill>
              </w:rPr>
              <w:t>TC-6#-1</w:t>
            </w:r>
          </w:p>
        </w:tc>
        <w:tc>
          <w:tcPr>
            <w:tcW w:w="784" w:type="pct"/>
            <w:vMerge w:val="restart"/>
            <w:vAlign w:val="center"/>
          </w:tcPr>
          <w:p w14:paraId="5AD0D37B">
            <w:pPr>
              <w:pStyle w:val="109"/>
              <w:rPr>
                <w:color w:val="000000" w:themeColor="text1"/>
                <w14:textFill>
                  <w14:solidFill>
                    <w14:schemeClr w14:val="tx1"/>
                  </w14:solidFill>
                </w14:textFill>
              </w:rPr>
            </w:pPr>
            <w:r>
              <w:rPr>
                <w:color w:val="000000" w:themeColor="text1"/>
                <w14:textFill>
                  <w14:solidFill>
                    <w14:schemeClr w14:val="tx1"/>
                  </w14:solidFill>
                </w14:textFill>
              </w:rPr>
              <w:t>《土壤环境质量建设用地土壤污染风险管控标准（试行）》（GB36600-2018）表1第二类用地的筛选值质量标准（mg/kg）</w:t>
            </w:r>
          </w:p>
        </w:tc>
      </w:tr>
      <w:tr w14:paraId="3239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322" w:type="pct"/>
            <w:gridSpan w:val="2"/>
            <w:vAlign w:val="center"/>
          </w:tcPr>
          <w:p w14:paraId="033ADEB7">
            <w:pPr>
              <w:pStyle w:val="109"/>
              <w:rPr>
                <w:color w:val="000000" w:themeColor="text1"/>
                <w14:textFill>
                  <w14:solidFill>
                    <w14:schemeClr w14:val="tx1"/>
                  </w14:solidFill>
                </w14:textFill>
              </w:rPr>
            </w:pPr>
            <w:r>
              <w:rPr>
                <w:color w:val="000000" w:themeColor="text1"/>
                <w14:textFill>
                  <w14:solidFill>
                    <w14:schemeClr w14:val="tx1"/>
                  </w14:solidFill>
                </w14:textFill>
              </w:rPr>
              <w:t>采样地点</w:t>
            </w:r>
          </w:p>
        </w:tc>
        <w:tc>
          <w:tcPr>
            <w:tcW w:w="1446" w:type="pct"/>
            <w:vAlign w:val="center"/>
          </w:tcPr>
          <w:p w14:paraId="047EC091">
            <w:pPr>
              <w:pStyle w:val="109"/>
              <w:rPr>
                <w:color w:val="000000" w:themeColor="text1"/>
                <w14:textFill>
                  <w14:solidFill>
                    <w14:schemeClr w14:val="tx1"/>
                  </w14:solidFill>
                </w14:textFill>
              </w:rPr>
            </w:pPr>
            <w:r>
              <w:rPr>
                <w:color w:val="000000" w:themeColor="text1"/>
                <w14:textFill>
                  <w14:solidFill>
                    <w14:schemeClr w14:val="tx1"/>
                  </w14:solidFill>
                </w14:textFill>
              </w:rPr>
              <w:t>E:87°41′35.41″N:44°8′20.78″</w:t>
            </w:r>
          </w:p>
        </w:tc>
        <w:tc>
          <w:tcPr>
            <w:tcW w:w="1446" w:type="pct"/>
            <w:vAlign w:val="center"/>
          </w:tcPr>
          <w:p w14:paraId="0DAE22FE">
            <w:pPr>
              <w:pStyle w:val="109"/>
              <w:rPr>
                <w:color w:val="000000" w:themeColor="text1"/>
                <w14:textFill>
                  <w14:solidFill>
                    <w14:schemeClr w14:val="tx1"/>
                  </w14:solidFill>
                </w14:textFill>
              </w:rPr>
            </w:pPr>
            <w:r>
              <w:rPr>
                <w:color w:val="000000" w:themeColor="text1"/>
                <w14:textFill>
                  <w14:solidFill>
                    <w14:schemeClr w14:val="tx1"/>
                  </w14:solidFill>
                </w14:textFill>
              </w:rPr>
              <w:t>E:87°41′37.49″N:44°8′12.28″</w:t>
            </w:r>
          </w:p>
        </w:tc>
        <w:tc>
          <w:tcPr>
            <w:tcW w:w="784" w:type="pct"/>
            <w:vMerge w:val="continue"/>
            <w:vAlign w:val="center"/>
          </w:tcPr>
          <w:p w14:paraId="6C812A1A">
            <w:pPr>
              <w:pStyle w:val="109"/>
              <w:rPr>
                <w:color w:val="000000" w:themeColor="text1"/>
                <w14:textFill>
                  <w14:solidFill>
                    <w14:schemeClr w14:val="tx1"/>
                  </w14:solidFill>
                </w14:textFill>
              </w:rPr>
            </w:pPr>
          </w:p>
        </w:tc>
      </w:tr>
      <w:tr w14:paraId="52B5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322" w:type="pct"/>
            <w:gridSpan w:val="2"/>
            <w:vAlign w:val="center"/>
          </w:tcPr>
          <w:p w14:paraId="5205775E">
            <w:pPr>
              <w:pStyle w:val="109"/>
              <w:rPr>
                <w:color w:val="000000" w:themeColor="text1"/>
                <w14:textFill>
                  <w14:solidFill>
                    <w14:schemeClr w14:val="tx1"/>
                  </w14:solidFill>
                </w14:textFill>
              </w:rPr>
            </w:pPr>
            <w:r>
              <w:rPr>
                <w:color w:val="000000" w:themeColor="text1"/>
                <w14:textFill>
                  <w14:solidFill>
                    <w14:schemeClr w14:val="tx1"/>
                  </w14:solidFill>
                </w14:textFill>
              </w:rPr>
              <w:t>深度（cm）</w:t>
            </w:r>
          </w:p>
        </w:tc>
        <w:tc>
          <w:tcPr>
            <w:tcW w:w="1446" w:type="pct"/>
            <w:vAlign w:val="center"/>
          </w:tcPr>
          <w:p w14:paraId="36C134F4">
            <w:pPr>
              <w:pStyle w:val="109"/>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446" w:type="pct"/>
            <w:vAlign w:val="center"/>
          </w:tcPr>
          <w:p w14:paraId="2D194C62">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784" w:type="pct"/>
            <w:vMerge w:val="continue"/>
            <w:vAlign w:val="center"/>
          </w:tcPr>
          <w:p w14:paraId="3E9419FA">
            <w:pPr>
              <w:pStyle w:val="109"/>
              <w:rPr>
                <w:color w:val="000000" w:themeColor="text1"/>
                <w14:textFill>
                  <w14:solidFill>
                    <w14:schemeClr w14:val="tx1"/>
                  </w14:solidFill>
                </w14:textFill>
              </w:rPr>
            </w:pPr>
          </w:p>
        </w:tc>
      </w:tr>
      <w:tr w14:paraId="170A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322" w:type="pct"/>
            <w:gridSpan w:val="2"/>
            <w:vAlign w:val="center"/>
          </w:tcPr>
          <w:p w14:paraId="14041654">
            <w:pPr>
              <w:pStyle w:val="109"/>
              <w:rPr>
                <w:color w:val="000000" w:themeColor="text1"/>
                <w14:textFill>
                  <w14:solidFill>
                    <w14:schemeClr w14:val="tx1"/>
                  </w14:solidFill>
                </w14:textFill>
              </w:rPr>
            </w:pPr>
            <w:r>
              <w:rPr>
                <w:color w:val="000000" w:themeColor="text1"/>
                <w14:textFill>
                  <w14:solidFill>
                    <w14:schemeClr w14:val="tx1"/>
                  </w14:solidFill>
                </w14:textFill>
              </w:rPr>
              <w:t>样品状态</w:t>
            </w:r>
          </w:p>
        </w:tc>
        <w:tc>
          <w:tcPr>
            <w:tcW w:w="1446" w:type="pct"/>
            <w:vAlign w:val="center"/>
          </w:tcPr>
          <w:p w14:paraId="7BD94FC8">
            <w:pPr>
              <w:pStyle w:val="109"/>
              <w:rPr>
                <w:color w:val="000000" w:themeColor="text1"/>
                <w14:textFill>
                  <w14:solidFill>
                    <w14:schemeClr w14:val="tx1"/>
                  </w14:solidFill>
                </w14:textFill>
              </w:rPr>
            </w:pPr>
            <w:r>
              <w:rPr>
                <w:color w:val="000000" w:themeColor="text1"/>
                <w14:textFill>
                  <w14:solidFill>
                    <w14:schemeClr w14:val="tx1"/>
                  </w14:solidFill>
                </w14:textFill>
              </w:rPr>
              <w:t>浅棕、干、无根系</w:t>
            </w:r>
          </w:p>
        </w:tc>
        <w:tc>
          <w:tcPr>
            <w:tcW w:w="1446" w:type="pct"/>
            <w:vAlign w:val="center"/>
          </w:tcPr>
          <w:p w14:paraId="5AD69F7E">
            <w:pPr>
              <w:pStyle w:val="109"/>
              <w:rPr>
                <w:color w:val="000000" w:themeColor="text1"/>
                <w14:textFill>
                  <w14:solidFill>
                    <w14:schemeClr w14:val="tx1"/>
                  </w14:solidFill>
                </w14:textFill>
              </w:rPr>
            </w:pPr>
            <w:r>
              <w:rPr>
                <w:color w:val="000000" w:themeColor="text1"/>
                <w14:textFill>
                  <w14:solidFill>
                    <w14:schemeClr w14:val="tx1"/>
                  </w14:solidFill>
                </w14:textFill>
              </w:rPr>
              <w:t>浅棕、干、无根系</w:t>
            </w:r>
          </w:p>
        </w:tc>
        <w:tc>
          <w:tcPr>
            <w:tcW w:w="784" w:type="pct"/>
            <w:vMerge w:val="continue"/>
            <w:vAlign w:val="center"/>
          </w:tcPr>
          <w:p w14:paraId="76B19E14">
            <w:pPr>
              <w:pStyle w:val="109"/>
              <w:rPr>
                <w:color w:val="000000" w:themeColor="text1"/>
                <w14:textFill>
                  <w14:solidFill>
                    <w14:schemeClr w14:val="tx1"/>
                  </w14:solidFill>
                </w14:textFill>
              </w:rPr>
            </w:pPr>
          </w:p>
        </w:tc>
      </w:tr>
      <w:tr w14:paraId="58E8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830" w:type="pct"/>
            <w:vAlign w:val="center"/>
          </w:tcPr>
          <w:p w14:paraId="05539960">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492" w:type="pct"/>
            <w:vAlign w:val="center"/>
          </w:tcPr>
          <w:p w14:paraId="732FB191">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2892" w:type="pct"/>
            <w:gridSpan w:val="2"/>
            <w:vAlign w:val="center"/>
          </w:tcPr>
          <w:p w14:paraId="07BC02A3">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784" w:type="pct"/>
            <w:vMerge w:val="continue"/>
            <w:vAlign w:val="center"/>
          </w:tcPr>
          <w:p w14:paraId="52BDDD89">
            <w:pPr>
              <w:pStyle w:val="109"/>
              <w:rPr>
                <w:color w:val="000000" w:themeColor="text1"/>
                <w14:textFill>
                  <w14:solidFill>
                    <w14:schemeClr w14:val="tx1"/>
                  </w14:solidFill>
                </w14:textFill>
              </w:rPr>
            </w:pPr>
          </w:p>
        </w:tc>
      </w:tr>
      <w:tr w14:paraId="166C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830" w:type="pct"/>
            <w:vAlign w:val="center"/>
          </w:tcPr>
          <w:p w14:paraId="74DCA6B0">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492" w:type="pct"/>
            <w:vAlign w:val="center"/>
          </w:tcPr>
          <w:p w14:paraId="4FF3B0C3">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446" w:type="pct"/>
            <w:vAlign w:val="center"/>
          </w:tcPr>
          <w:p w14:paraId="52D1085F">
            <w:pPr>
              <w:pStyle w:val="109"/>
              <w:rPr>
                <w:color w:val="000000" w:themeColor="text1"/>
                <w14:textFill>
                  <w14:solidFill>
                    <w14:schemeClr w14:val="tx1"/>
                  </w14:solidFill>
                </w14:textFill>
              </w:rPr>
            </w:pPr>
            <w:r>
              <w:rPr>
                <w:color w:val="000000" w:themeColor="text1"/>
                <w14:textFill>
                  <w14:solidFill>
                    <w14:schemeClr w14:val="tx1"/>
                  </w14:solidFill>
                </w14:textFill>
              </w:rPr>
              <w:t>27</w:t>
            </w:r>
          </w:p>
        </w:tc>
        <w:tc>
          <w:tcPr>
            <w:tcW w:w="1446" w:type="pct"/>
            <w:vAlign w:val="center"/>
          </w:tcPr>
          <w:p w14:paraId="383B150E">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c>
          <w:tcPr>
            <w:tcW w:w="784" w:type="pct"/>
            <w:vAlign w:val="center"/>
          </w:tcPr>
          <w:p w14:paraId="4DA38D2E">
            <w:pPr>
              <w:pStyle w:val="109"/>
              <w:rPr>
                <w:color w:val="000000" w:themeColor="text1"/>
                <w14:textFill>
                  <w14:solidFill>
                    <w14:schemeClr w14:val="tx1"/>
                  </w14:solidFill>
                </w14:textFill>
              </w:rPr>
            </w:pPr>
            <w:r>
              <w:rPr>
                <w:color w:val="000000" w:themeColor="text1"/>
                <w14:textFill>
                  <w14:solidFill>
                    <w14:schemeClr w14:val="tx1"/>
                  </w14:solidFill>
                </w14:textFill>
              </w:rPr>
              <w:t>800</w:t>
            </w:r>
          </w:p>
        </w:tc>
      </w:tr>
      <w:tr w14:paraId="3AFE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830" w:type="pct"/>
            <w:vAlign w:val="center"/>
          </w:tcPr>
          <w:p w14:paraId="498B70CC">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492" w:type="pct"/>
            <w:vAlign w:val="center"/>
          </w:tcPr>
          <w:p w14:paraId="057314FC">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446" w:type="pct"/>
            <w:vAlign w:val="center"/>
          </w:tcPr>
          <w:p w14:paraId="2AF8B6FA">
            <w:pPr>
              <w:pStyle w:val="109"/>
              <w:rPr>
                <w:color w:val="000000" w:themeColor="text1"/>
                <w14:textFill>
                  <w14:solidFill>
                    <w14:schemeClr w14:val="tx1"/>
                  </w14:solidFill>
                </w14:textFill>
              </w:rPr>
            </w:pPr>
            <w:r>
              <w:rPr>
                <w:color w:val="000000" w:themeColor="text1"/>
                <w14:textFill>
                  <w14:solidFill>
                    <w14:schemeClr w14:val="tx1"/>
                  </w14:solidFill>
                </w14:textFill>
              </w:rPr>
              <w:t>0.176</w:t>
            </w:r>
          </w:p>
        </w:tc>
        <w:tc>
          <w:tcPr>
            <w:tcW w:w="1446" w:type="pct"/>
            <w:vAlign w:val="center"/>
          </w:tcPr>
          <w:p w14:paraId="22906DD6">
            <w:pPr>
              <w:pStyle w:val="109"/>
              <w:rPr>
                <w:color w:val="000000" w:themeColor="text1"/>
                <w14:textFill>
                  <w14:solidFill>
                    <w14:schemeClr w14:val="tx1"/>
                  </w14:solidFill>
                </w14:textFill>
              </w:rPr>
            </w:pPr>
            <w:r>
              <w:rPr>
                <w:color w:val="000000" w:themeColor="text1"/>
                <w14:textFill>
                  <w14:solidFill>
                    <w14:schemeClr w14:val="tx1"/>
                  </w14:solidFill>
                </w14:textFill>
              </w:rPr>
              <w:t>0.164</w:t>
            </w:r>
          </w:p>
        </w:tc>
        <w:tc>
          <w:tcPr>
            <w:tcW w:w="784" w:type="pct"/>
            <w:vAlign w:val="center"/>
          </w:tcPr>
          <w:p w14:paraId="19D27C7E">
            <w:pPr>
              <w:pStyle w:val="109"/>
              <w:rPr>
                <w:color w:val="000000" w:themeColor="text1"/>
                <w14:textFill>
                  <w14:solidFill>
                    <w14:schemeClr w14:val="tx1"/>
                  </w14:solidFill>
                </w14:textFill>
              </w:rPr>
            </w:pPr>
            <w:r>
              <w:rPr>
                <w:color w:val="000000" w:themeColor="text1"/>
                <w14:textFill>
                  <w14:solidFill>
                    <w14:schemeClr w14:val="tx1"/>
                  </w14:solidFill>
                </w14:textFill>
              </w:rPr>
              <w:t>38</w:t>
            </w:r>
          </w:p>
        </w:tc>
      </w:tr>
      <w:tr w14:paraId="6C07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830" w:type="pct"/>
            <w:vAlign w:val="center"/>
          </w:tcPr>
          <w:p w14:paraId="5676FAAB">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492" w:type="pct"/>
            <w:vAlign w:val="center"/>
          </w:tcPr>
          <w:p w14:paraId="2D7B649D">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446" w:type="pct"/>
            <w:vAlign w:val="center"/>
          </w:tcPr>
          <w:p w14:paraId="71CFA37D">
            <w:pPr>
              <w:pStyle w:val="109"/>
              <w:rPr>
                <w:color w:val="000000" w:themeColor="text1"/>
                <w14:textFill>
                  <w14:solidFill>
                    <w14:schemeClr w14:val="tx1"/>
                  </w14:solidFill>
                </w14:textFill>
              </w:rPr>
            </w:pPr>
            <w:r>
              <w:rPr>
                <w:color w:val="000000" w:themeColor="text1"/>
                <w14:textFill>
                  <w14:solidFill>
                    <w14:schemeClr w14:val="tx1"/>
                  </w14:solidFill>
                </w14:textFill>
              </w:rPr>
              <w:t>0.37</w:t>
            </w:r>
          </w:p>
        </w:tc>
        <w:tc>
          <w:tcPr>
            <w:tcW w:w="1446" w:type="pct"/>
            <w:vAlign w:val="center"/>
          </w:tcPr>
          <w:p w14:paraId="45BFE50D">
            <w:pPr>
              <w:pStyle w:val="109"/>
              <w:rPr>
                <w:color w:val="000000" w:themeColor="text1"/>
                <w14:textFill>
                  <w14:solidFill>
                    <w14:schemeClr w14:val="tx1"/>
                  </w14:solidFill>
                </w14:textFill>
              </w:rPr>
            </w:pPr>
            <w:r>
              <w:rPr>
                <w:color w:val="000000" w:themeColor="text1"/>
                <w14:textFill>
                  <w14:solidFill>
                    <w14:schemeClr w14:val="tx1"/>
                  </w14:solidFill>
                </w14:textFill>
              </w:rPr>
              <w:t>0.32</w:t>
            </w:r>
          </w:p>
        </w:tc>
        <w:tc>
          <w:tcPr>
            <w:tcW w:w="784" w:type="pct"/>
            <w:vAlign w:val="center"/>
          </w:tcPr>
          <w:p w14:paraId="6DC2FA43">
            <w:pPr>
              <w:pStyle w:val="109"/>
              <w:rPr>
                <w:color w:val="000000" w:themeColor="text1"/>
                <w14:textFill>
                  <w14:solidFill>
                    <w14:schemeClr w14:val="tx1"/>
                  </w14:solidFill>
                </w14:textFill>
              </w:rPr>
            </w:pPr>
            <w:r>
              <w:rPr>
                <w:color w:val="000000" w:themeColor="text1"/>
                <w14:textFill>
                  <w14:solidFill>
                    <w14:schemeClr w14:val="tx1"/>
                  </w14:solidFill>
                </w14:textFill>
              </w:rPr>
              <w:t>65</w:t>
            </w:r>
          </w:p>
        </w:tc>
      </w:tr>
      <w:tr w14:paraId="6C76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830" w:type="pct"/>
            <w:vAlign w:val="center"/>
          </w:tcPr>
          <w:p w14:paraId="0376BFE7">
            <w:pPr>
              <w:pStyle w:val="109"/>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492" w:type="pct"/>
            <w:vAlign w:val="center"/>
          </w:tcPr>
          <w:p w14:paraId="7DACA64E">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446" w:type="pct"/>
            <w:vAlign w:val="center"/>
          </w:tcPr>
          <w:p w14:paraId="6374F0AD">
            <w:pPr>
              <w:pStyle w:val="10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1446" w:type="pct"/>
            <w:vAlign w:val="center"/>
          </w:tcPr>
          <w:p w14:paraId="1841FDE2">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784" w:type="pct"/>
            <w:vAlign w:val="center"/>
          </w:tcPr>
          <w:p w14:paraId="36B58332">
            <w:pPr>
              <w:pStyle w:val="109"/>
              <w:rPr>
                <w:color w:val="000000" w:themeColor="text1"/>
                <w14:textFill>
                  <w14:solidFill>
                    <w14:schemeClr w14:val="tx1"/>
                  </w14:solidFill>
                </w14:textFill>
              </w:rPr>
            </w:pPr>
            <w:r>
              <w:rPr>
                <w:color w:val="000000" w:themeColor="text1"/>
                <w14:textFill>
                  <w14:solidFill>
                    <w14:schemeClr w14:val="tx1"/>
                  </w14:solidFill>
                </w14:textFill>
              </w:rPr>
              <w:t>18000</w:t>
            </w:r>
          </w:p>
        </w:tc>
      </w:tr>
      <w:tr w14:paraId="0DB1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830" w:type="pct"/>
            <w:vAlign w:val="center"/>
          </w:tcPr>
          <w:p w14:paraId="27DEA081">
            <w:pPr>
              <w:pStyle w:val="109"/>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492" w:type="pct"/>
            <w:vAlign w:val="center"/>
          </w:tcPr>
          <w:p w14:paraId="22C047D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446" w:type="pct"/>
            <w:vAlign w:val="center"/>
          </w:tcPr>
          <w:p w14:paraId="458FACF6">
            <w:pPr>
              <w:pStyle w:val="109"/>
              <w:rPr>
                <w:color w:val="000000" w:themeColor="text1"/>
                <w14:textFill>
                  <w14:solidFill>
                    <w14:schemeClr w14:val="tx1"/>
                  </w14:solidFill>
                </w14:textFill>
              </w:rPr>
            </w:pPr>
            <w:r>
              <w:rPr>
                <w:color w:val="000000" w:themeColor="text1"/>
                <w14:textFill>
                  <w14:solidFill>
                    <w14:schemeClr w14:val="tx1"/>
                  </w14:solidFill>
                </w14:textFill>
              </w:rPr>
              <w:t>35</w:t>
            </w:r>
          </w:p>
        </w:tc>
        <w:tc>
          <w:tcPr>
            <w:tcW w:w="1446" w:type="pct"/>
            <w:vAlign w:val="center"/>
          </w:tcPr>
          <w:p w14:paraId="33EB2E43">
            <w:pPr>
              <w:pStyle w:val="109"/>
              <w:rPr>
                <w:color w:val="000000" w:themeColor="text1"/>
                <w14:textFill>
                  <w14:solidFill>
                    <w14:schemeClr w14:val="tx1"/>
                  </w14:solidFill>
                </w14:textFill>
              </w:rPr>
            </w:pPr>
            <w:r>
              <w:rPr>
                <w:color w:val="000000" w:themeColor="text1"/>
                <w14:textFill>
                  <w14:solidFill>
                    <w14:schemeClr w14:val="tx1"/>
                  </w14:solidFill>
                </w14:textFill>
              </w:rPr>
              <w:t>36</w:t>
            </w:r>
          </w:p>
        </w:tc>
        <w:tc>
          <w:tcPr>
            <w:tcW w:w="784" w:type="pct"/>
            <w:vAlign w:val="center"/>
          </w:tcPr>
          <w:p w14:paraId="605A9276">
            <w:pPr>
              <w:pStyle w:val="109"/>
              <w:rPr>
                <w:color w:val="000000" w:themeColor="text1"/>
                <w14:textFill>
                  <w14:solidFill>
                    <w14:schemeClr w14:val="tx1"/>
                  </w14:solidFill>
                </w14:textFill>
              </w:rPr>
            </w:pPr>
            <w:r>
              <w:rPr>
                <w:color w:val="000000" w:themeColor="text1"/>
                <w14:textFill>
                  <w14:solidFill>
                    <w14:schemeClr w14:val="tx1"/>
                  </w14:solidFill>
                </w14:textFill>
              </w:rPr>
              <w:t>900</w:t>
            </w:r>
          </w:p>
        </w:tc>
      </w:tr>
      <w:tr w14:paraId="7BF0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830" w:type="pct"/>
            <w:vAlign w:val="center"/>
          </w:tcPr>
          <w:p w14:paraId="70C8F640">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492" w:type="pct"/>
            <w:vAlign w:val="center"/>
          </w:tcPr>
          <w:p w14:paraId="689BE99D">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446" w:type="pct"/>
            <w:vAlign w:val="center"/>
          </w:tcPr>
          <w:p w14:paraId="405E0952">
            <w:pPr>
              <w:pStyle w:val="109"/>
              <w:rPr>
                <w:color w:val="000000" w:themeColor="text1"/>
                <w14:textFill>
                  <w14:solidFill>
                    <w14:schemeClr w14:val="tx1"/>
                  </w14:solidFill>
                </w14:textFill>
              </w:rPr>
            </w:pPr>
            <w:r>
              <w:rPr>
                <w:color w:val="000000" w:themeColor="text1"/>
                <w14:textFill>
                  <w14:solidFill>
                    <w14:schemeClr w14:val="tx1"/>
                  </w14:solidFill>
                </w14:textFill>
              </w:rPr>
              <w:t>9.12</w:t>
            </w:r>
          </w:p>
        </w:tc>
        <w:tc>
          <w:tcPr>
            <w:tcW w:w="1446" w:type="pct"/>
            <w:vAlign w:val="center"/>
          </w:tcPr>
          <w:p w14:paraId="72986E18">
            <w:pPr>
              <w:pStyle w:val="109"/>
              <w:rPr>
                <w:color w:val="000000" w:themeColor="text1"/>
                <w14:textFill>
                  <w14:solidFill>
                    <w14:schemeClr w14:val="tx1"/>
                  </w14:solidFill>
                </w14:textFill>
              </w:rPr>
            </w:pPr>
            <w:r>
              <w:rPr>
                <w:color w:val="000000" w:themeColor="text1"/>
                <w14:textFill>
                  <w14:solidFill>
                    <w14:schemeClr w14:val="tx1"/>
                  </w14:solidFill>
                </w14:textFill>
              </w:rPr>
              <w:t>9.44</w:t>
            </w:r>
          </w:p>
        </w:tc>
        <w:tc>
          <w:tcPr>
            <w:tcW w:w="784" w:type="pct"/>
            <w:vAlign w:val="center"/>
          </w:tcPr>
          <w:p w14:paraId="5CC490B8">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r>
      <w:tr w14:paraId="71F9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830" w:type="pct"/>
            <w:vAlign w:val="center"/>
          </w:tcPr>
          <w:p w14:paraId="5E5DCD6A">
            <w:pPr>
              <w:pStyle w:val="109"/>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492" w:type="pct"/>
            <w:vAlign w:val="center"/>
          </w:tcPr>
          <w:p w14:paraId="4F9E551E">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446" w:type="pct"/>
            <w:vAlign w:val="center"/>
          </w:tcPr>
          <w:p w14:paraId="0834322C">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1446" w:type="pct"/>
            <w:vAlign w:val="center"/>
          </w:tcPr>
          <w:p w14:paraId="55758665">
            <w:pPr>
              <w:pStyle w:val="109"/>
              <w:rPr>
                <w:color w:val="000000" w:themeColor="text1"/>
                <w14:textFill>
                  <w14:solidFill>
                    <w14:schemeClr w14:val="tx1"/>
                  </w14:solidFill>
                </w14:textFill>
              </w:rPr>
            </w:pPr>
            <w:r>
              <w:rPr>
                <w:color w:val="000000" w:themeColor="text1"/>
                <w14:textFill>
                  <w14:solidFill>
                    <w14:schemeClr w14:val="tx1"/>
                  </w14:solidFill>
                </w14:textFill>
              </w:rPr>
              <w:t>&lt;0.5</w:t>
            </w:r>
          </w:p>
        </w:tc>
        <w:tc>
          <w:tcPr>
            <w:tcW w:w="784" w:type="pct"/>
            <w:vAlign w:val="center"/>
          </w:tcPr>
          <w:p w14:paraId="18B1A450">
            <w:pPr>
              <w:pStyle w:val="109"/>
              <w:rPr>
                <w:color w:val="000000" w:themeColor="text1"/>
                <w14:textFill>
                  <w14:solidFill>
                    <w14:schemeClr w14:val="tx1"/>
                  </w14:solidFill>
                </w14:textFill>
              </w:rPr>
            </w:pPr>
            <w:r>
              <w:rPr>
                <w:color w:val="000000" w:themeColor="text1"/>
                <w14:textFill>
                  <w14:solidFill>
                    <w14:schemeClr w14:val="tx1"/>
                  </w14:solidFill>
                </w14:textFill>
              </w:rPr>
              <w:t>5.7</w:t>
            </w:r>
          </w:p>
        </w:tc>
      </w:tr>
    </w:tbl>
    <w:p w14:paraId="06DD84BC">
      <w:pPr>
        <w:ind w:firstLine="480"/>
        <w:rPr>
          <w:color w:val="000000" w:themeColor="text1"/>
          <w14:textFill>
            <w14:solidFill>
              <w14:schemeClr w14:val="tx1"/>
            </w14:solidFill>
          </w14:textFill>
        </w:rPr>
      </w:pPr>
    </w:p>
    <w:p w14:paraId="7B39CF93">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土壤现状监测结果（石油烃）</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2"/>
        <w:gridCol w:w="869"/>
        <w:gridCol w:w="907"/>
        <w:gridCol w:w="1806"/>
        <w:gridCol w:w="1806"/>
        <w:gridCol w:w="1806"/>
        <w:gridCol w:w="1806"/>
        <w:gridCol w:w="1806"/>
        <w:gridCol w:w="1806"/>
      </w:tblGrid>
      <w:tr w14:paraId="3C2B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26" w:type="pct"/>
            <w:gridSpan w:val="3"/>
            <w:noWrap/>
            <w:vAlign w:val="center"/>
          </w:tcPr>
          <w:p w14:paraId="73DD2BD7">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629" w:type="pct"/>
            <w:noWrap/>
            <w:vAlign w:val="center"/>
          </w:tcPr>
          <w:p w14:paraId="06E7D79C">
            <w:pPr>
              <w:pStyle w:val="109"/>
              <w:rPr>
                <w:color w:val="000000" w:themeColor="text1"/>
                <w14:textFill>
                  <w14:solidFill>
                    <w14:schemeClr w14:val="tx1"/>
                  </w14:solidFill>
                </w14:textFill>
              </w:rPr>
            </w:pPr>
            <w:r>
              <w:rPr>
                <w:color w:val="000000" w:themeColor="text1"/>
                <w14:textFill>
                  <w14:solidFill>
                    <w14:schemeClr w14:val="tx1"/>
                  </w14:solidFill>
                </w14:textFill>
              </w:rPr>
              <w:t>TC-1#-1</w:t>
            </w:r>
          </w:p>
        </w:tc>
        <w:tc>
          <w:tcPr>
            <w:tcW w:w="629" w:type="pct"/>
            <w:noWrap/>
            <w:vAlign w:val="center"/>
          </w:tcPr>
          <w:p w14:paraId="074742EF">
            <w:pPr>
              <w:pStyle w:val="109"/>
              <w:rPr>
                <w:color w:val="000000" w:themeColor="text1"/>
                <w14:textFill>
                  <w14:solidFill>
                    <w14:schemeClr w14:val="tx1"/>
                  </w14:solidFill>
                </w14:textFill>
              </w:rPr>
            </w:pPr>
            <w:r>
              <w:rPr>
                <w:color w:val="000000" w:themeColor="text1"/>
                <w14:textFill>
                  <w14:solidFill>
                    <w14:schemeClr w14:val="tx1"/>
                  </w14:solidFill>
                </w14:textFill>
              </w:rPr>
              <w:t>TC-1#-1-1</w:t>
            </w:r>
          </w:p>
        </w:tc>
        <w:tc>
          <w:tcPr>
            <w:tcW w:w="629" w:type="pct"/>
          </w:tcPr>
          <w:p w14:paraId="53DF7455">
            <w:pPr>
              <w:pStyle w:val="109"/>
              <w:rPr>
                <w:color w:val="000000" w:themeColor="text1"/>
                <w14:textFill>
                  <w14:solidFill>
                    <w14:schemeClr w14:val="tx1"/>
                  </w14:solidFill>
                </w14:textFill>
              </w:rPr>
            </w:pPr>
            <w:r>
              <w:rPr>
                <w:color w:val="000000" w:themeColor="text1"/>
                <w14:textFill>
                  <w14:solidFill>
                    <w14:schemeClr w14:val="tx1"/>
                  </w14:solidFill>
                </w14:textFill>
              </w:rPr>
              <w:t>TC-1#-1-1-1</w:t>
            </w:r>
          </w:p>
        </w:tc>
        <w:tc>
          <w:tcPr>
            <w:tcW w:w="629" w:type="pct"/>
            <w:noWrap/>
            <w:vAlign w:val="center"/>
          </w:tcPr>
          <w:p w14:paraId="3E7ED2D8">
            <w:pPr>
              <w:pStyle w:val="109"/>
              <w:rPr>
                <w:color w:val="000000" w:themeColor="text1"/>
                <w14:textFill>
                  <w14:solidFill>
                    <w14:schemeClr w14:val="tx1"/>
                  </w14:solidFill>
                </w14:textFill>
              </w:rPr>
            </w:pPr>
            <w:r>
              <w:rPr>
                <w:color w:val="000000" w:themeColor="text1"/>
                <w14:textFill>
                  <w14:solidFill>
                    <w14:schemeClr w14:val="tx1"/>
                  </w14:solidFill>
                </w14:textFill>
              </w:rPr>
              <w:t>TC-1#-1</w:t>
            </w:r>
          </w:p>
        </w:tc>
        <w:tc>
          <w:tcPr>
            <w:tcW w:w="629" w:type="pct"/>
            <w:noWrap/>
            <w:vAlign w:val="center"/>
          </w:tcPr>
          <w:p w14:paraId="226B8CE0">
            <w:pPr>
              <w:pStyle w:val="109"/>
              <w:rPr>
                <w:color w:val="000000" w:themeColor="text1"/>
                <w14:textFill>
                  <w14:solidFill>
                    <w14:schemeClr w14:val="tx1"/>
                  </w14:solidFill>
                </w14:textFill>
              </w:rPr>
            </w:pPr>
            <w:r>
              <w:rPr>
                <w:color w:val="000000" w:themeColor="text1"/>
                <w14:textFill>
                  <w14:solidFill>
                    <w14:schemeClr w14:val="tx1"/>
                  </w14:solidFill>
                </w14:textFill>
              </w:rPr>
              <w:t>TC-1#-1-1</w:t>
            </w:r>
          </w:p>
        </w:tc>
        <w:tc>
          <w:tcPr>
            <w:tcW w:w="629" w:type="pct"/>
          </w:tcPr>
          <w:p w14:paraId="13083024">
            <w:pPr>
              <w:pStyle w:val="109"/>
              <w:rPr>
                <w:color w:val="000000" w:themeColor="text1"/>
                <w14:textFill>
                  <w14:solidFill>
                    <w14:schemeClr w14:val="tx1"/>
                  </w14:solidFill>
                </w14:textFill>
              </w:rPr>
            </w:pPr>
            <w:r>
              <w:rPr>
                <w:color w:val="000000" w:themeColor="text1"/>
                <w14:textFill>
                  <w14:solidFill>
                    <w14:schemeClr w14:val="tx1"/>
                  </w14:solidFill>
                </w14:textFill>
              </w:rPr>
              <w:t>TC-1#-1-1-1</w:t>
            </w:r>
          </w:p>
        </w:tc>
      </w:tr>
      <w:tr w14:paraId="0182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6C39ABBB">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303" w:type="pct"/>
          </w:tcPr>
          <w:p w14:paraId="7B7E1938">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316" w:type="pct"/>
            <w:noWrap/>
            <w:vAlign w:val="center"/>
          </w:tcPr>
          <w:p w14:paraId="2F9A75F3">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887" w:type="pct"/>
            <w:gridSpan w:val="3"/>
            <w:noWrap/>
            <w:vAlign w:val="center"/>
          </w:tcPr>
          <w:p w14:paraId="53ABC7D0">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887" w:type="pct"/>
            <w:gridSpan w:val="3"/>
          </w:tcPr>
          <w:p w14:paraId="001D5CEB">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r>
      <w:tr w14:paraId="2373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00FCCC7E">
            <w:pPr>
              <w:pStyle w:val="109"/>
              <w:rPr>
                <w:color w:val="000000" w:themeColor="text1"/>
                <w14:textFill>
                  <w14:solidFill>
                    <w14:schemeClr w14:val="tx1"/>
                  </w14:solidFill>
                </w14:textFill>
              </w:rPr>
            </w:pPr>
            <w:r>
              <w:rPr>
                <w:color w:val="000000" w:themeColor="text1"/>
                <w14:textFill>
                  <w14:solidFill>
                    <w14:schemeClr w14:val="tx1"/>
                  </w14:solidFill>
                </w14:textFill>
              </w:rPr>
              <w:t>石油烃（C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w:t>
            </w:r>
          </w:p>
        </w:tc>
        <w:tc>
          <w:tcPr>
            <w:tcW w:w="303" w:type="pct"/>
            <w:vAlign w:val="center"/>
          </w:tcPr>
          <w:p w14:paraId="7D3DA5D8">
            <w:pPr>
              <w:pStyle w:val="109"/>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316" w:type="pct"/>
            <w:noWrap/>
            <w:vAlign w:val="center"/>
          </w:tcPr>
          <w:p w14:paraId="41104B1A">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629" w:type="pct"/>
            <w:noWrap/>
            <w:vAlign w:val="center"/>
          </w:tcPr>
          <w:p w14:paraId="291E0A20">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629" w:type="pct"/>
            <w:vAlign w:val="center"/>
          </w:tcPr>
          <w:p w14:paraId="007733C3">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629" w:type="pct"/>
          </w:tcPr>
          <w:p w14:paraId="780973E9">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29" w:type="pct"/>
            <w:noWrap/>
            <w:vAlign w:val="center"/>
          </w:tcPr>
          <w:p w14:paraId="1DB0BB11">
            <w:pPr>
              <w:pStyle w:val="109"/>
              <w:rPr>
                <w:color w:val="000000" w:themeColor="text1"/>
                <w14:textFill>
                  <w14:solidFill>
                    <w14:schemeClr w14:val="tx1"/>
                  </w14:solidFill>
                </w14:textFill>
              </w:rPr>
            </w:pPr>
            <w:r>
              <w:rPr>
                <w:color w:val="000000" w:themeColor="text1"/>
                <w14:textFill>
                  <w14:solidFill>
                    <w14:schemeClr w14:val="tx1"/>
                  </w14:solidFill>
                </w14:textFill>
              </w:rPr>
              <w:t>2.22E-03</w:t>
            </w:r>
          </w:p>
        </w:tc>
        <w:tc>
          <w:tcPr>
            <w:tcW w:w="629" w:type="pct"/>
            <w:noWrap/>
            <w:vAlign w:val="center"/>
          </w:tcPr>
          <w:p w14:paraId="20053F23">
            <w:pPr>
              <w:pStyle w:val="109"/>
              <w:rPr>
                <w:color w:val="000000" w:themeColor="text1"/>
                <w14:textFill>
                  <w14:solidFill>
                    <w14:schemeClr w14:val="tx1"/>
                  </w14:solidFill>
                </w14:textFill>
              </w:rPr>
            </w:pPr>
            <w:r>
              <w:rPr>
                <w:color w:val="000000" w:themeColor="text1"/>
                <w14:textFill>
                  <w14:solidFill>
                    <w14:schemeClr w14:val="tx1"/>
                  </w14:solidFill>
                </w14:textFill>
              </w:rPr>
              <w:t>3.11E-03</w:t>
            </w:r>
          </w:p>
        </w:tc>
        <w:tc>
          <w:tcPr>
            <w:tcW w:w="629" w:type="pct"/>
          </w:tcPr>
          <w:p w14:paraId="0453F1E4">
            <w:pPr>
              <w:pStyle w:val="109"/>
              <w:rPr>
                <w:color w:val="000000" w:themeColor="text1"/>
                <w14:textFill>
                  <w14:solidFill>
                    <w14:schemeClr w14:val="tx1"/>
                  </w14:solidFill>
                </w14:textFill>
              </w:rPr>
            </w:pPr>
            <w:r>
              <w:rPr>
                <w:color w:val="000000" w:themeColor="text1"/>
                <w14:textFill>
                  <w14:solidFill>
                    <w14:schemeClr w14:val="tx1"/>
                  </w14:solidFill>
                </w14:textFill>
              </w:rPr>
              <w:t>1.00E-02</w:t>
            </w:r>
          </w:p>
        </w:tc>
      </w:tr>
      <w:tr w14:paraId="2E54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26" w:type="pct"/>
            <w:gridSpan w:val="3"/>
            <w:noWrap/>
            <w:vAlign w:val="center"/>
          </w:tcPr>
          <w:p w14:paraId="1FF38979">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629" w:type="pct"/>
            <w:noWrap/>
            <w:vAlign w:val="center"/>
          </w:tcPr>
          <w:p w14:paraId="5CEDAB37">
            <w:pPr>
              <w:pStyle w:val="109"/>
              <w:rPr>
                <w:color w:val="000000" w:themeColor="text1"/>
                <w14:textFill>
                  <w14:solidFill>
                    <w14:schemeClr w14:val="tx1"/>
                  </w14:solidFill>
                </w14:textFill>
              </w:rPr>
            </w:pPr>
            <w:r>
              <w:rPr>
                <w:color w:val="000000" w:themeColor="text1"/>
                <w14:textFill>
                  <w14:solidFill>
                    <w14:schemeClr w14:val="tx1"/>
                  </w14:solidFill>
                </w14:textFill>
              </w:rPr>
              <w:t>TC-2#-1</w:t>
            </w:r>
          </w:p>
        </w:tc>
        <w:tc>
          <w:tcPr>
            <w:tcW w:w="629" w:type="pct"/>
            <w:noWrap/>
            <w:vAlign w:val="center"/>
          </w:tcPr>
          <w:p w14:paraId="24CE4907">
            <w:pPr>
              <w:pStyle w:val="109"/>
              <w:rPr>
                <w:color w:val="000000" w:themeColor="text1"/>
                <w14:textFill>
                  <w14:solidFill>
                    <w14:schemeClr w14:val="tx1"/>
                  </w14:solidFill>
                </w14:textFill>
              </w:rPr>
            </w:pPr>
            <w:r>
              <w:rPr>
                <w:color w:val="000000" w:themeColor="text1"/>
                <w14:textFill>
                  <w14:solidFill>
                    <w14:schemeClr w14:val="tx1"/>
                  </w14:solidFill>
                </w14:textFill>
              </w:rPr>
              <w:t>TC-2#-1-1</w:t>
            </w:r>
          </w:p>
        </w:tc>
        <w:tc>
          <w:tcPr>
            <w:tcW w:w="629" w:type="pct"/>
          </w:tcPr>
          <w:p w14:paraId="18D4688A">
            <w:pPr>
              <w:pStyle w:val="109"/>
              <w:rPr>
                <w:color w:val="000000" w:themeColor="text1"/>
                <w14:textFill>
                  <w14:solidFill>
                    <w14:schemeClr w14:val="tx1"/>
                  </w14:solidFill>
                </w14:textFill>
              </w:rPr>
            </w:pPr>
            <w:r>
              <w:rPr>
                <w:color w:val="000000" w:themeColor="text1"/>
                <w14:textFill>
                  <w14:solidFill>
                    <w14:schemeClr w14:val="tx1"/>
                  </w14:solidFill>
                </w14:textFill>
              </w:rPr>
              <w:t>TC-2#-1-1-1</w:t>
            </w:r>
          </w:p>
        </w:tc>
        <w:tc>
          <w:tcPr>
            <w:tcW w:w="629" w:type="pct"/>
            <w:noWrap/>
            <w:vAlign w:val="center"/>
          </w:tcPr>
          <w:p w14:paraId="27BB2531">
            <w:pPr>
              <w:pStyle w:val="109"/>
              <w:rPr>
                <w:color w:val="000000" w:themeColor="text1"/>
                <w14:textFill>
                  <w14:solidFill>
                    <w14:schemeClr w14:val="tx1"/>
                  </w14:solidFill>
                </w14:textFill>
              </w:rPr>
            </w:pPr>
            <w:r>
              <w:rPr>
                <w:color w:val="000000" w:themeColor="text1"/>
                <w14:textFill>
                  <w14:solidFill>
                    <w14:schemeClr w14:val="tx1"/>
                  </w14:solidFill>
                </w14:textFill>
              </w:rPr>
              <w:t>TC-2#-1</w:t>
            </w:r>
          </w:p>
        </w:tc>
        <w:tc>
          <w:tcPr>
            <w:tcW w:w="629" w:type="pct"/>
            <w:noWrap/>
            <w:vAlign w:val="center"/>
          </w:tcPr>
          <w:p w14:paraId="518E7EF9">
            <w:pPr>
              <w:pStyle w:val="109"/>
              <w:rPr>
                <w:color w:val="000000" w:themeColor="text1"/>
                <w14:textFill>
                  <w14:solidFill>
                    <w14:schemeClr w14:val="tx1"/>
                  </w14:solidFill>
                </w14:textFill>
              </w:rPr>
            </w:pPr>
            <w:r>
              <w:rPr>
                <w:color w:val="000000" w:themeColor="text1"/>
                <w14:textFill>
                  <w14:solidFill>
                    <w14:schemeClr w14:val="tx1"/>
                  </w14:solidFill>
                </w14:textFill>
              </w:rPr>
              <w:t>TC-2#-1-1</w:t>
            </w:r>
          </w:p>
        </w:tc>
        <w:tc>
          <w:tcPr>
            <w:tcW w:w="629" w:type="pct"/>
          </w:tcPr>
          <w:p w14:paraId="62A9FCCF">
            <w:pPr>
              <w:pStyle w:val="109"/>
              <w:rPr>
                <w:color w:val="000000" w:themeColor="text1"/>
                <w14:textFill>
                  <w14:solidFill>
                    <w14:schemeClr w14:val="tx1"/>
                  </w14:solidFill>
                </w14:textFill>
              </w:rPr>
            </w:pPr>
            <w:r>
              <w:rPr>
                <w:color w:val="000000" w:themeColor="text1"/>
                <w14:textFill>
                  <w14:solidFill>
                    <w14:schemeClr w14:val="tx1"/>
                  </w14:solidFill>
                </w14:textFill>
              </w:rPr>
              <w:t>TC-2#-1-1-1</w:t>
            </w:r>
          </w:p>
        </w:tc>
      </w:tr>
      <w:tr w14:paraId="2F8E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784D6849">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303" w:type="pct"/>
          </w:tcPr>
          <w:p w14:paraId="4CA69EF2">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316" w:type="pct"/>
            <w:noWrap/>
            <w:vAlign w:val="center"/>
          </w:tcPr>
          <w:p w14:paraId="2F2C8F71">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887" w:type="pct"/>
            <w:gridSpan w:val="3"/>
            <w:noWrap/>
            <w:vAlign w:val="center"/>
          </w:tcPr>
          <w:p w14:paraId="5B87C09C">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887" w:type="pct"/>
            <w:gridSpan w:val="3"/>
            <w:noWrap/>
            <w:vAlign w:val="center"/>
          </w:tcPr>
          <w:p w14:paraId="01F5035B">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r>
      <w:tr w14:paraId="0D71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0751C3D5">
            <w:pPr>
              <w:pStyle w:val="109"/>
              <w:rPr>
                <w:color w:val="000000" w:themeColor="text1"/>
                <w14:textFill>
                  <w14:solidFill>
                    <w14:schemeClr w14:val="tx1"/>
                  </w14:solidFill>
                </w14:textFill>
              </w:rPr>
            </w:pPr>
            <w:r>
              <w:rPr>
                <w:color w:val="000000" w:themeColor="text1"/>
                <w14:textFill>
                  <w14:solidFill>
                    <w14:schemeClr w14:val="tx1"/>
                  </w14:solidFill>
                </w14:textFill>
              </w:rPr>
              <w:t>石油烃（C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w:t>
            </w:r>
          </w:p>
        </w:tc>
        <w:tc>
          <w:tcPr>
            <w:tcW w:w="303" w:type="pct"/>
            <w:vAlign w:val="center"/>
          </w:tcPr>
          <w:p w14:paraId="66D28716">
            <w:pPr>
              <w:pStyle w:val="109"/>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316" w:type="pct"/>
            <w:noWrap/>
            <w:vAlign w:val="center"/>
          </w:tcPr>
          <w:p w14:paraId="3595467D">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629" w:type="pct"/>
            <w:noWrap/>
            <w:vAlign w:val="center"/>
          </w:tcPr>
          <w:p w14:paraId="3ABDE7AD">
            <w:pPr>
              <w:pStyle w:val="109"/>
              <w:rPr>
                <w:color w:val="000000" w:themeColor="text1"/>
                <w14:textFill>
                  <w14:solidFill>
                    <w14:schemeClr w14:val="tx1"/>
                  </w14:solidFill>
                </w14:textFill>
              </w:rPr>
            </w:pPr>
            <w:r>
              <w:rPr>
                <w:color w:val="000000" w:themeColor="text1"/>
                <w14:textFill>
                  <w14:solidFill>
                    <w14:schemeClr w14:val="tx1"/>
                  </w14:solidFill>
                </w14:textFill>
              </w:rPr>
              <w:t>39</w:t>
            </w:r>
          </w:p>
        </w:tc>
        <w:tc>
          <w:tcPr>
            <w:tcW w:w="629" w:type="pct"/>
            <w:vAlign w:val="center"/>
          </w:tcPr>
          <w:p w14:paraId="226DAF84">
            <w:pPr>
              <w:pStyle w:val="109"/>
              <w:rPr>
                <w:color w:val="000000" w:themeColor="text1"/>
                <w14:textFill>
                  <w14:solidFill>
                    <w14:schemeClr w14:val="tx1"/>
                  </w14:solidFill>
                </w14:textFill>
              </w:rPr>
            </w:pPr>
            <w:r>
              <w:rPr>
                <w:color w:val="000000" w:themeColor="text1"/>
                <w14:textFill>
                  <w14:solidFill>
                    <w14:schemeClr w14:val="tx1"/>
                  </w14:solidFill>
                </w14:textFill>
              </w:rPr>
              <w:t>125</w:t>
            </w:r>
          </w:p>
        </w:tc>
        <w:tc>
          <w:tcPr>
            <w:tcW w:w="629" w:type="pct"/>
          </w:tcPr>
          <w:p w14:paraId="64F3225C">
            <w:pPr>
              <w:pStyle w:val="109"/>
              <w:rPr>
                <w:color w:val="000000" w:themeColor="text1"/>
                <w14:textFill>
                  <w14:solidFill>
                    <w14:schemeClr w14:val="tx1"/>
                  </w14:solidFill>
                </w14:textFill>
              </w:rPr>
            </w:pPr>
            <w:r>
              <w:rPr>
                <w:color w:val="000000" w:themeColor="text1"/>
                <w14:textFill>
                  <w14:solidFill>
                    <w14:schemeClr w14:val="tx1"/>
                  </w14:solidFill>
                </w14:textFill>
              </w:rPr>
              <w:t>283</w:t>
            </w:r>
          </w:p>
        </w:tc>
        <w:tc>
          <w:tcPr>
            <w:tcW w:w="629" w:type="pct"/>
            <w:noWrap/>
            <w:vAlign w:val="center"/>
          </w:tcPr>
          <w:p w14:paraId="5E7A013B">
            <w:pPr>
              <w:pStyle w:val="109"/>
              <w:rPr>
                <w:color w:val="000000" w:themeColor="text1"/>
                <w14:textFill>
                  <w14:solidFill>
                    <w14:schemeClr w14:val="tx1"/>
                  </w14:solidFill>
                </w14:textFill>
              </w:rPr>
            </w:pPr>
            <w:r>
              <w:rPr>
                <w:color w:val="000000" w:themeColor="text1"/>
                <w14:textFill>
                  <w14:solidFill>
                    <w14:schemeClr w14:val="tx1"/>
                  </w14:solidFill>
                </w14:textFill>
              </w:rPr>
              <w:t>8.67E-03</w:t>
            </w:r>
          </w:p>
        </w:tc>
        <w:tc>
          <w:tcPr>
            <w:tcW w:w="629" w:type="pct"/>
            <w:noWrap/>
            <w:vAlign w:val="center"/>
          </w:tcPr>
          <w:p w14:paraId="098E1E29">
            <w:pPr>
              <w:pStyle w:val="109"/>
              <w:rPr>
                <w:color w:val="000000" w:themeColor="text1"/>
                <w14:textFill>
                  <w14:solidFill>
                    <w14:schemeClr w14:val="tx1"/>
                  </w14:solidFill>
                </w14:textFill>
              </w:rPr>
            </w:pPr>
            <w:r>
              <w:rPr>
                <w:color w:val="000000" w:themeColor="text1"/>
                <w14:textFill>
                  <w14:solidFill>
                    <w14:schemeClr w14:val="tx1"/>
                  </w14:solidFill>
                </w14:textFill>
              </w:rPr>
              <w:t>2.78E-02</w:t>
            </w:r>
          </w:p>
        </w:tc>
        <w:tc>
          <w:tcPr>
            <w:tcW w:w="629" w:type="pct"/>
          </w:tcPr>
          <w:p w14:paraId="2C27C9B0">
            <w:pPr>
              <w:pStyle w:val="109"/>
              <w:rPr>
                <w:color w:val="000000" w:themeColor="text1"/>
                <w14:textFill>
                  <w14:solidFill>
                    <w14:schemeClr w14:val="tx1"/>
                  </w14:solidFill>
                </w14:textFill>
              </w:rPr>
            </w:pPr>
            <w:r>
              <w:rPr>
                <w:color w:val="000000" w:themeColor="text1"/>
                <w14:textFill>
                  <w14:solidFill>
                    <w14:schemeClr w14:val="tx1"/>
                  </w14:solidFill>
                </w14:textFill>
              </w:rPr>
              <w:t>6.29E-02</w:t>
            </w:r>
          </w:p>
        </w:tc>
      </w:tr>
      <w:tr w14:paraId="1CD5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26" w:type="pct"/>
            <w:gridSpan w:val="3"/>
            <w:noWrap/>
            <w:vAlign w:val="center"/>
          </w:tcPr>
          <w:p w14:paraId="47FE9DF4">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629" w:type="pct"/>
            <w:noWrap/>
            <w:vAlign w:val="center"/>
          </w:tcPr>
          <w:p w14:paraId="0DFE7A14">
            <w:pPr>
              <w:pStyle w:val="109"/>
              <w:rPr>
                <w:color w:val="000000" w:themeColor="text1"/>
                <w14:textFill>
                  <w14:solidFill>
                    <w14:schemeClr w14:val="tx1"/>
                  </w14:solidFill>
                </w14:textFill>
              </w:rPr>
            </w:pPr>
            <w:r>
              <w:rPr>
                <w:color w:val="000000" w:themeColor="text1"/>
                <w14:textFill>
                  <w14:solidFill>
                    <w14:schemeClr w14:val="tx1"/>
                  </w14:solidFill>
                </w14:textFill>
              </w:rPr>
              <w:t>TC-3#-1</w:t>
            </w:r>
          </w:p>
        </w:tc>
        <w:tc>
          <w:tcPr>
            <w:tcW w:w="629" w:type="pct"/>
            <w:vAlign w:val="center"/>
          </w:tcPr>
          <w:p w14:paraId="769DFBF9">
            <w:pPr>
              <w:pStyle w:val="109"/>
              <w:rPr>
                <w:color w:val="000000" w:themeColor="text1"/>
                <w14:textFill>
                  <w14:solidFill>
                    <w14:schemeClr w14:val="tx1"/>
                  </w14:solidFill>
                </w14:textFill>
              </w:rPr>
            </w:pPr>
            <w:r>
              <w:rPr>
                <w:color w:val="000000" w:themeColor="text1"/>
                <w14:textFill>
                  <w14:solidFill>
                    <w14:schemeClr w14:val="tx1"/>
                  </w14:solidFill>
                </w14:textFill>
              </w:rPr>
              <w:t>TC-3#-1-1</w:t>
            </w:r>
          </w:p>
        </w:tc>
        <w:tc>
          <w:tcPr>
            <w:tcW w:w="629" w:type="pct"/>
          </w:tcPr>
          <w:p w14:paraId="25D86DD4">
            <w:pPr>
              <w:pStyle w:val="109"/>
              <w:rPr>
                <w:color w:val="000000" w:themeColor="text1"/>
                <w14:textFill>
                  <w14:solidFill>
                    <w14:schemeClr w14:val="tx1"/>
                  </w14:solidFill>
                </w14:textFill>
              </w:rPr>
            </w:pPr>
            <w:r>
              <w:rPr>
                <w:color w:val="000000" w:themeColor="text1"/>
                <w14:textFill>
                  <w14:solidFill>
                    <w14:schemeClr w14:val="tx1"/>
                  </w14:solidFill>
                </w14:textFill>
              </w:rPr>
              <w:t>TC-3#-1-1</w:t>
            </w:r>
          </w:p>
        </w:tc>
        <w:tc>
          <w:tcPr>
            <w:tcW w:w="629" w:type="pct"/>
            <w:noWrap/>
            <w:vAlign w:val="center"/>
          </w:tcPr>
          <w:p w14:paraId="7AFA26EB">
            <w:pPr>
              <w:pStyle w:val="109"/>
              <w:rPr>
                <w:color w:val="000000" w:themeColor="text1"/>
                <w14:textFill>
                  <w14:solidFill>
                    <w14:schemeClr w14:val="tx1"/>
                  </w14:solidFill>
                </w14:textFill>
              </w:rPr>
            </w:pPr>
            <w:r>
              <w:rPr>
                <w:color w:val="000000" w:themeColor="text1"/>
                <w14:textFill>
                  <w14:solidFill>
                    <w14:schemeClr w14:val="tx1"/>
                  </w14:solidFill>
                </w14:textFill>
              </w:rPr>
              <w:t>TC-3#-1</w:t>
            </w:r>
          </w:p>
        </w:tc>
        <w:tc>
          <w:tcPr>
            <w:tcW w:w="629" w:type="pct"/>
            <w:vAlign w:val="center"/>
          </w:tcPr>
          <w:p w14:paraId="69B3FB75">
            <w:pPr>
              <w:pStyle w:val="109"/>
              <w:rPr>
                <w:color w:val="000000" w:themeColor="text1"/>
                <w14:textFill>
                  <w14:solidFill>
                    <w14:schemeClr w14:val="tx1"/>
                  </w14:solidFill>
                </w14:textFill>
              </w:rPr>
            </w:pPr>
            <w:r>
              <w:rPr>
                <w:color w:val="000000" w:themeColor="text1"/>
                <w14:textFill>
                  <w14:solidFill>
                    <w14:schemeClr w14:val="tx1"/>
                  </w14:solidFill>
                </w14:textFill>
              </w:rPr>
              <w:t>TC-3#-1-1</w:t>
            </w:r>
          </w:p>
        </w:tc>
        <w:tc>
          <w:tcPr>
            <w:tcW w:w="629" w:type="pct"/>
          </w:tcPr>
          <w:p w14:paraId="38C29B89">
            <w:pPr>
              <w:pStyle w:val="109"/>
              <w:rPr>
                <w:color w:val="000000" w:themeColor="text1"/>
                <w14:textFill>
                  <w14:solidFill>
                    <w14:schemeClr w14:val="tx1"/>
                  </w14:solidFill>
                </w14:textFill>
              </w:rPr>
            </w:pPr>
            <w:r>
              <w:rPr>
                <w:color w:val="000000" w:themeColor="text1"/>
                <w14:textFill>
                  <w14:solidFill>
                    <w14:schemeClr w14:val="tx1"/>
                  </w14:solidFill>
                </w14:textFill>
              </w:rPr>
              <w:t>TC-3#-1-1</w:t>
            </w:r>
          </w:p>
        </w:tc>
      </w:tr>
      <w:tr w14:paraId="3114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49F6E419">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303" w:type="pct"/>
          </w:tcPr>
          <w:p w14:paraId="1F996DE6">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316" w:type="pct"/>
            <w:noWrap/>
            <w:vAlign w:val="center"/>
          </w:tcPr>
          <w:p w14:paraId="5C19C9B9">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887" w:type="pct"/>
            <w:gridSpan w:val="3"/>
            <w:noWrap/>
            <w:vAlign w:val="center"/>
          </w:tcPr>
          <w:p w14:paraId="645CAEBF">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887" w:type="pct"/>
            <w:gridSpan w:val="3"/>
            <w:noWrap/>
            <w:vAlign w:val="center"/>
          </w:tcPr>
          <w:p w14:paraId="52A8CED8">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r>
      <w:tr w14:paraId="103B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6BFC8145">
            <w:pPr>
              <w:pStyle w:val="109"/>
              <w:rPr>
                <w:color w:val="000000" w:themeColor="text1"/>
                <w14:textFill>
                  <w14:solidFill>
                    <w14:schemeClr w14:val="tx1"/>
                  </w14:solidFill>
                </w14:textFill>
              </w:rPr>
            </w:pPr>
            <w:r>
              <w:rPr>
                <w:color w:val="000000" w:themeColor="text1"/>
                <w14:textFill>
                  <w14:solidFill>
                    <w14:schemeClr w14:val="tx1"/>
                  </w14:solidFill>
                </w14:textFill>
              </w:rPr>
              <w:t>石油烃（C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w:t>
            </w:r>
          </w:p>
        </w:tc>
        <w:tc>
          <w:tcPr>
            <w:tcW w:w="303" w:type="pct"/>
            <w:vAlign w:val="center"/>
          </w:tcPr>
          <w:p w14:paraId="50F82D4D">
            <w:pPr>
              <w:pStyle w:val="109"/>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316" w:type="pct"/>
            <w:noWrap/>
            <w:vAlign w:val="center"/>
          </w:tcPr>
          <w:p w14:paraId="5BEEB8EA">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629" w:type="pct"/>
            <w:noWrap/>
            <w:vAlign w:val="center"/>
          </w:tcPr>
          <w:p w14:paraId="7038CFF5">
            <w:pPr>
              <w:pStyle w:val="109"/>
              <w:rPr>
                <w:color w:val="000000" w:themeColor="text1"/>
                <w14:textFill>
                  <w14:solidFill>
                    <w14:schemeClr w14:val="tx1"/>
                  </w14:solidFill>
                </w14:textFill>
              </w:rPr>
            </w:pPr>
            <w:r>
              <w:rPr>
                <w:color w:val="000000" w:themeColor="text1"/>
                <w14:textFill>
                  <w14:solidFill>
                    <w14:schemeClr w14:val="tx1"/>
                  </w14:solidFill>
                </w14:textFill>
              </w:rPr>
              <w:t>41</w:t>
            </w:r>
          </w:p>
        </w:tc>
        <w:tc>
          <w:tcPr>
            <w:tcW w:w="629" w:type="pct"/>
            <w:vAlign w:val="center"/>
          </w:tcPr>
          <w:p w14:paraId="4E8ED9DF">
            <w:pPr>
              <w:pStyle w:val="109"/>
              <w:rPr>
                <w:color w:val="000000" w:themeColor="text1"/>
                <w14:textFill>
                  <w14:solidFill>
                    <w14:schemeClr w14:val="tx1"/>
                  </w14:solidFill>
                </w14:textFill>
              </w:rPr>
            </w:pPr>
            <w:r>
              <w:rPr>
                <w:color w:val="000000" w:themeColor="text1"/>
                <w14:textFill>
                  <w14:solidFill>
                    <w14:schemeClr w14:val="tx1"/>
                  </w14:solidFill>
                </w14:textFill>
              </w:rPr>
              <w:t>135</w:t>
            </w:r>
          </w:p>
        </w:tc>
        <w:tc>
          <w:tcPr>
            <w:tcW w:w="629" w:type="pct"/>
          </w:tcPr>
          <w:p w14:paraId="59492131">
            <w:pPr>
              <w:pStyle w:val="109"/>
              <w:rPr>
                <w:color w:val="000000" w:themeColor="text1"/>
                <w14:textFill>
                  <w14:solidFill>
                    <w14:schemeClr w14:val="tx1"/>
                  </w14:solidFill>
                </w14:textFill>
              </w:rPr>
            </w:pPr>
            <w:r>
              <w:rPr>
                <w:color w:val="000000" w:themeColor="text1"/>
                <w14:textFill>
                  <w14:solidFill>
                    <w14:schemeClr w14:val="tx1"/>
                  </w14:solidFill>
                </w14:textFill>
              </w:rPr>
              <w:t>285</w:t>
            </w:r>
          </w:p>
        </w:tc>
        <w:tc>
          <w:tcPr>
            <w:tcW w:w="629" w:type="pct"/>
            <w:noWrap/>
            <w:vAlign w:val="center"/>
          </w:tcPr>
          <w:p w14:paraId="658B4531">
            <w:pPr>
              <w:pStyle w:val="109"/>
              <w:rPr>
                <w:color w:val="000000" w:themeColor="text1"/>
                <w14:textFill>
                  <w14:solidFill>
                    <w14:schemeClr w14:val="tx1"/>
                  </w14:solidFill>
                </w14:textFill>
              </w:rPr>
            </w:pPr>
            <w:r>
              <w:rPr>
                <w:color w:val="000000" w:themeColor="text1"/>
                <w14:textFill>
                  <w14:solidFill>
                    <w14:schemeClr w14:val="tx1"/>
                  </w14:solidFill>
                </w14:textFill>
              </w:rPr>
              <w:t>9.11E-03</w:t>
            </w:r>
          </w:p>
        </w:tc>
        <w:tc>
          <w:tcPr>
            <w:tcW w:w="629" w:type="pct"/>
            <w:noWrap/>
            <w:vAlign w:val="center"/>
          </w:tcPr>
          <w:p w14:paraId="2AEA5453">
            <w:pPr>
              <w:pStyle w:val="109"/>
              <w:rPr>
                <w:color w:val="000000" w:themeColor="text1"/>
                <w14:textFill>
                  <w14:solidFill>
                    <w14:schemeClr w14:val="tx1"/>
                  </w14:solidFill>
                </w14:textFill>
              </w:rPr>
            </w:pPr>
            <w:r>
              <w:rPr>
                <w:color w:val="000000" w:themeColor="text1"/>
                <w14:textFill>
                  <w14:solidFill>
                    <w14:schemeClr w14:val="tx1"/>
                  </w14:solidFill>
                </w14:textFill>
              </w:rPr>
              <w:t>3.00E-02</w:t>
            </w:r>
          </w:p>
        </w:tc>
        <w:tc>
          <w:tcPr>
            <w:tcW w:w="629" w:type="pct"/>
          </w:tcPr>
          <w:p w14:paraId="7AB1C0BA">
            <w:pPr>
              <w:pStyle w:val="109"/>
              <w:rPr>
                <w:color w:val="000000" w:themeColor="text1"/>
                <w14:textFill>
                  <w14:solidFill>
                    <w14:schemeClr w14:val="tx1"/>
                  </w14:solidFill>
                </w14:textFill>
              </w:rPr>
            </w:pPr>
            <w:r>
              <w:rPr>
                <w:color w:val="000000" w:themeColor="text1"/>
                <w14:textFill>
                  <w14:solidFill>
                    <w14:schemeClr w14:val="tx1"/>
                  </w14:solidFill>
                </w14:textFill>
              </w:rPr>
              <w:t>6.33E-02</w:t>
            </w:r>
          </w:p>
        </w:tc>
      </w:tr>
      <w:tr w14:paraId="78CC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585698BB">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619" w:type="pct"/>
            <w:gridSpan w:val="2"/>
            <w:vAlign w:val="center"/>
          </w:tcPr>
          <w:p w14:paraId="0D2E1D8C">
            <w:pPr>
              <w:pStyle w:val="109"/>
              <w:rPr>
                <w:color w:val="000000" w:themeColor="text1"/>
                <w14:textFill>
                  <w14:solidFill>
                    <w14:schemeClr w14:val="tx1"/>
                  </w14:solidFill>
                </w14:textFill>
              </w:rPr>
            </w:pPr>
            <w:r>
              <w:rPr>
                <w:color w:val="000000" w:themeColor="text1"/>
                <w14:textFill>
                  <w14:solidFill>
                    <w14:schemeClr w14:val="tx1"/>
                  </w14:solidFill>
                </w14:textFill>
              </w:rPr>
              <w:t>TC-4#-1</w:t>
            </w:r>
          </w:p>
        </w:tc>
        <w:tc>
          <w:tcPr>
            <w:tcW w:w="1887" w:type="pct"/>
            <w:gridSpan w:val="3"/>
            <w:noWrap/>
          </w:tcPr>
          <w:p w14:paraId="3D302EA5">
            <w:pPr>
              <w:pStyle w:val="109"/>
              <w:rPr>
                <w:color w:val="000000" w:themeColor="text1"/>
                <w14:textFill>
                  <w14:solidFill>
                    <w14:schemeClr w14:val="tx1"/>
                  </w14:solidFill>
                </w14:textFill>
              </w:rPr>
            </w:pPr>
            <w:r>
              <w:rPr>
                <w:color w:val="000000" w:themeColor="text1"/>
                <w14:textFill>
                  <w14:solidFill>
                    <w14:schemeClr w14:val="tx1"/>
                  </w14:solidFill>
                </w14:textFill>
              </w:rPr>
              <w:t>TC-4#-1</w:t>
            </w:r>
          </w:p>
        </w:tc>
        <w:tc>
          <w:tcPr>
            <w:tcW w:w="1887" w:type="pct"/>
            <w:gridSpan w:val="3"/>
            <w:noWrap/>
          </w:tcPr>
          <w:p w14:paraId="7C7A3EEA">
            <w:pPr>
              <w:pStyle w:val="109"/>
              <w:rPr>
                <w:color w:val="000000" w:themeColor="text1"/>
                <w14:textFill>
                  <w14:solidFill>
                    <w14:schemeClr w14:val="tx1"/>
                  </w14:solidFill>
                </w14:textFill>
              </w:rPr>
            </w:pPr>
            <w:r>
              <w:rPr>
                <w:color w:val="000000" w:themeColor="text1"/>
                <w14:textFill>
                  <w14:solidFill>
                    <w14:schemeClr w14:val="tx1"/>
                  </w14:solidFill>
                </w14:textFill>
              </w:rPr>
              <w:t>TC-4#-1</w:t>
            </w:r>
          </w:p>
        </w:tc>
      </w:tr>
      <w:tr w14:paraId="03E5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58A728D5">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303" w:type="pct"/>
          </w:tcPr>
          <w:p w14:paraId="1FD65F0E">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316" w:type="pct"/>
            <w:noWrap/>
            <w:vAlign w:val="center"/>
          </w:tcPr>
          <w:p w14:paraId="7E09503C">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887" w:type="pct"/>
            <w:gridSpan w:val="3"/>
            <w:noWrap/>
            <w:vAlign w:val="center"/>
          </w:tcPr>
          <w:p w14:paraId="4657F7D2">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887" w:type="pct"/>
            <w:gridSpan w:val="3"/>
            <w:noWrap/>
            <w:vAlign w:val="center"/>
          </w:tcPr>
          <w:p w14:paraId="37CB0E07">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r>
      <w:tr w14:paraId="74E7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28DF2F79">
            <w:pPr>
              <w:pStyle w:val="109"/>
              <w:rPr>
                <w:color w:val="000000" w:themeColor="text1"/>
                <w14:textFill>
                  <w14:solidFill>
                    <w14:schemeClr w14:val="tx1"/>
                  </w14:solidFill>
                </w14:textFill>
              </w:rPr>
            </w:pPr>
            <w:r>
              <w:rPr>
                <w:color w:val="000000" w:themeColor="text1"/>
                <w14:textFill>
                  <w14:solidFill>
                    <w14:schemeClr w14:val="tx1"/>
                  </w14:solidFill>
                </w14:textFill>
              </w:rPr>
              <w:t>石油烃（C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w:t>
            </w:r>
          </w:p>
        </w:tc>
        <w:tc>
          <w:tcPr>
            <w:tcW w:w="303" w:type="pct"/>
            <w:vAlign w:val="center"/>
          </w:tcPr>
          <w:p w14:paraId="152D07AE">
            <w:pPr>
              <w:pStyle w:val="109"/>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316" w:type="pct"/>
            <w:noWrap/>
            <w:vAlign w:val="center"/>
          </w:tcPr>
          <w:p w14:paraId="7B8C6610">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887" w:type="pct"/>
            <w:gridSpan w:val="3"/>
            <w:noWrap/>
            <w:vAlign w:val="center"/>
          </w:tcPr>
          <w:p w14:paraId="54347B6F">
            <w:pPr>
              <w:pStyle w:val="10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887" w:type="pct"/>
            <w:gridSpan w:val="3"/>
            <w:noWrap/>
            <w:vAlign w:val="center"/>
          </w:tcPr>
          <w:p w14:paraId="7C702278">
            <w:pPr>
              <w:pStyle w:val="109"/>
              <w:rPr>
                <w:color w:val="000000" w:themeColor="text1"/>
                <w14:textFill>
                  <w14:solidFill>
                    <w14:schemeClr w14:val="tx1"/>
                  </w14:solidFill>
                </w14:textFill>
              </w:rPr>
            </w:pPr>
            <w:r>
              <w:rPr>
                <w:color w:val="000000" w:themeColor="text1"/>
                <w14:textFill>
                  <w14:solidFill>
                    <w14:schemeClr w14:val="tx1"/>
                  </w14:solidFill>
                </w14:textFill>
              </w:rPr>
              <w:t>4.00E-03</w:t>
            </w:r>
          </w:p>
        </w:tc>
      </w:tr>
      <w:tr w14:paraId="25D8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683277AE">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619" w:type="pct"/>
            <w:gridSpan w:val="2"/>
            <w:vAlign w:val="center"/>
          </w:tcPr>
          <w:p w14:paraId="73264BB7">
            <w:pPr>
              <w:pStyle w:val="109"/>
              <w:rPr>
                <w:color w:val="000000" w:themeColor="text1"/>
                <w14:textFill>
                  <w14:solidFill>
                    <w14:schemeClr w14:val="tx1"/>
                  </w14:solidFill>
                </w14:textFill>
              </w:rPr>
            </w:pPr>
            <w:r>
              <w:rPr>
                <w:color w:val="000000" w:themeColor="text1"/>
                <w14:textFill>
                  <w14:solidFill>
                    <w14:schemeClr w14:val="tx1"/>
                  </w14:solidFill>
                </w14:textFill>
              </w:rPr>
              <w:t>TC-5#-1</w:t>
            </w:r>
          </w:p>
        </w:tc>
        <w:tc>
          <w:tcPr>
            <w:tcW w:w="1887" w:type="pct"/>
            <w:gridSpan w:val="3"/>
            <w:noWrap/>
          </w:tcPr>
          <w:p w14:paraId="1F338ED6">
            <w:pPr>
              <w:pStyle w:val="109"/>
              <w:rPr>
                <w:color w:val="000000" w:themeColor="text1"/>
                <w14:textFill>
                  <w14:solidFill>
                    <w14:schemeClr w14:val="tx1"/>
                  </w14:solidFill>
                </w14:textFill>
              </w:rPr>
            </w:pPr>
            <w:r>
              <w:rPr>
                <w:color w:val="000000" w:themeColor="text1"/>
                <w14:textFill>
                  <w14:solidFill>
                    <w14:schemeClr w14:val="tx1"/>
                  </w14:solidFill>
                </w14:textFill>
              </w:rPr>
              <w:t>TC-5#-1</w:t>
            </w:r>
          </w:p>
        </w:tc>
        <w:tc>
          <w:tcPr>
            <w:tcW w:w="1887" w:type="pct"/>
            <w:gridSpan w:val="3"/>
            <w:noWrap/>
          </w:tcPr>
          <w:p w14:paraId="17FB7C30">
            <w:pPr>
              <w:pStyle w:val="109"/>
              <w:rPr>
                <w:color w:val="000000" w:themeColor="text1"/>
                <w14:textFill>
                  <w14:solidFill>
                    <w14:schemeClr w14:val="tx1"/>
                  </w14:solidFill>
                </w14:textFill>
              </w:rPr>
            </w:pPr>
            <w:r>
              <w:rPr>
                <w:color w:val="000000" w:themeColor="text1"/>
                <w14:textFill>
                  <w14:solidFill>
                    <w14:schemeClr w14:val="tx1"/>
                  </w14:solidFill>
                </w14:textFill>
              </w:rPr>
              <w:t>TC-5#-1</w:t>
            </w:r>
          </w:p>
        </w:tc>
      </w:tr>
      <w:tr w14:paraId="79AB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6C5583BB">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303" w:type="pct"/>
          </w:tcPr>
          <w:p w14:paraId="27AB9CEA">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316" w:type="pct"/>
            <w:noWrap/>
            <w:vAlign w:val="center"/>
          </w:tcPr>
          <w:p w14:paraId="7DAF79C5">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887" w:type="pct"/>
            <w:gridSpan w:val="3"/>
            <w:noWrap/>
            <w:vAlign w:val="center"/>
          </w:tcPr>
          <w:p w14:paraId="4FDF86AF">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887" w:type="pct"/>
            <w:gridSpan w:val="3"/>
            <w:noWrap/>
            <w:vAlign w:val="center"/>
          </w:tcPr>
          <w:p w14:paraId="4D3EB4D3">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r>
      <w:tr w14:paraId="011D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52C62D78">
            <w:pPr>
              <w:pStyle w:val="109"/>
              <w:rPr>
                <w:color w:val="000000" w:themeColor="text1"/>
                <w14:textFill>
                  <w14:solidFill>
                    <w14:schemeClr w14:val="tx1"/>
                  </w14:solidFill>
                </w14:textFill>
              </w:rPr>
            </w:pPr>
            <w:r>
              <w:rPr>
                <w:color w:val="000000" w:themeColor="text1"/>
                <w14:textFill>
                  <w14:solidFill>
                    <w14:schemeClr w14:val="tx1"/>
                  </w14:solidFill>
                </w14:textFill>
              </w:rPr>
              <w:t>石油烃（C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w:t>
            </w:r>
          </w:p>
        </w:tc>
        <w:tc>
          <w:tcPr>
            <w:tcW w:w="303" w:type="pct"/>
            <w:vAlign w:val="center"/>
          </w:tcPr>
          <w:p w14:paraId="17CB30AF">
            <w:pPr>
              <w:pStyle w:val="109"/>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316" w:type="pct"/>
            <w:noWrap/>
            <w:vAlign w:val="center"/>
          </w:tcPr>
          <w:p w14:paraId="6917661D">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887" w:type="pct"/>
            <w:gridSpan w:val="3"/>
            <w:noWrap/>
            <w:vAlign w:val="center"/>
          </w:tcPr>
          <w:p w14:paraId="41B55DBF">
            <w:pPr>
              <w:pStyle w:val="109"/>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887" w:type="pct"/>
            <w:gridSpan w:val="3"/>
            <w:noWrap/>
            <w:vAlign w:val="center"/>
          </w:tcPr>
          <w:p w14:paraId="65DA41D9">
            <w:pPr>
              <w:pStyle w:val="109"/>
              <w:rPr>
                <w:color w:val="000000" w:themeColor="text1"/>
                <w14:textFill>
                  <w14:solidFill>
                    <w14:schemeClr w14:val="tx1"/>
                  </w14:solidFill>
                </w14:textFill>
              </w:rPr>
            </w:pPr>
            <w:r>
              <w:rPr>
                <w:color w:val="000000" w:themeColor="text1"/>
                <w14:textFill>
                  <w14:solidFill>
                    <w14:schemeClr w14:val="tx1"/>
                  </w14:solidFill>
                </w14:textFill>
              </w:rPr>
              <w:t>4.22E-03</w:t>
            </w:r>
          </w:p>
        </w:tc>
      </w:tr>
      <w:tr w14:paraId="14C2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54FD4CF5">
            <w:pPr>
              <w:pStyle w:val="109"/>
              <w:rPr>
                <w:color w:val="000000" w:themeColor="text1"/>
                <w14:textFill>
                  <w14:solidFill>
                    <w14:schemeClr w14:val="tx1"/>
                  </w14:solidFill>
                </w14:textFill>
              </w:rPr>
            </w:pPr>
            <w:r>
              <w:rPr>
                <w:color w:val="000000" w:themeColor="text1"/>
                <w14:textFill>
                  <w14:solidFill>
                    <w14:schemeClr w14:val="tx1"/>
                  </w14:solidFill>
                </w14:textFill>
              </w:rPr>
              <w:t>样品编码</w:t>
            </w:r>
          </w:p>
        </w:tc>
        <w:tc>
          <w:tcPr>
            <w:tcW w:w="619" w:type="pct"/>
            <w:gridSpan w:val="2"/>
            <w:vAlign w:val="center"/>
          </w:tcPr>
          <w:p w14:paraId="147E45B9">
            <w:pPr>
              <w:pStyle w:val="109"/>
              <w:rPr>
                <w:color w:val="000000" w:themeColor="text1"/>
                <w14:textFill>
                  <w14:solidFill>
                    <w14:schemeClr w14:val="tx1"/>
                  </w14:solidFill>
                </w14:textFill>
              </w:rPr>
            </w:pPr>
            <w:r>
              <w:rPr>
                <w:color w:val="000000" w:themeColor="text1"/>
                <w14:textFill>
                  <w14:solidFill>
                    <w14:schemeClr w14:val="tx1"/>
                  </w14:solidFill>
                </w14:textFill>
              </w:rPr>
              <w:t>TC-6#-1</w:t>
            </w:r>
          </w:p>
        </w:tc>
        <w:tc>
          <w:tcPr>
            <w:tcW w:w="1887" w:type="pct"/>
            <w:gridSpan w:val="3"/>
            <w:noWrap/>
          </w:tcPr>
          <w:p w14:paraId="4B458CAB">
            <w:pPr>
              <w:pStyle w:val="109"/>
              <w:rPr>
                <w:color w:val="000000" w:themeColor="text1"/>
                <w14:textFill>
                  <w14:solidFill>
                    <w14:schemeClr w14:val="tx1"/>
                  </w14:solidFill>
                </w14:textFill>
              </w:rPr>
            </w:pPr>
            <w:r>
              <w:rPr>
                <w:color w:val="000000" w:themeColor="text1"/>
                <w14:textFill>
                  <w14:solidFill>
                    <w14:schemeClr w14:val="tx1"/>
                  </w14:solidFill>
                </w14:textFill>
              </w:rPr>
              <w:t>TC-6#-1</w:t>
            </w:r>
          </w:p>
        </w:tc>
        <w:tc>
          <w:tcPr>
            <w:tcW w:w="1887" w:type="pct"/>
            <w:gridSpan w:val="3"/>
            <w:noWrap/>
          </w:tcPr>
          <w:p w14:paraId="46325A61">
            <w:pPr>
              <w:pStyle w:val="109"/>
              <w:rPr>
                <w:color w:val="000000" w:themeColor="text1"/>
                <w14:textFill>
                  <w14:solidFill>
                    <w14:schemeClr w14:val="tx1"/>
                  </w14:solidFill>
                </w14:textFill>
              </w:rPr>
            </w:pPr>
            <w:r>
              <w:rPr>
                <w:color w:val="000000" w:themeColor="text1"/>
                <w14:textFill>
                  <w14:solidFill>
                    <w14:schemeClr w14:val="tx1"/>
                  </w14:solidFill>
                </w14:textFill>
              </w:rPr>
              <w:t>TC-6#-1</w:t>
            </w:r>
          </w:p>
        </w:tc>
      </w:tr>
      <w:tr w14:paraId="5581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77951091">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303" w:type="pct"/>
          </w:tcPr>
          <w:p w14:paraId="2CA9955F">
            <w:pPr>
              <w:pStyle w:val="109"/>
              <w:rPr>
                <w:color w:val="000000" w:themeColor="text1"/>
                <w14:textFill>
                  <w14:solidFill>
                    <w14:schemeClr w14:val="tx1"/>
                  </w14:solidFill>
                </w14:textFill>
              </w:rPr>
            </w:pPr>
            <w:r>
              <w:rPr>
                <w:color w:val="000000" w:themeColor="text1"/>
                <w14:textFill>
                  <w14:solidFill>
                    <w14:schemeClr w14:val="tx1"/>
                  </w14:solidFill>
                </w14:textFill>
              </w:rPr>
              <w:t>限值</w:t>
            </w:r>
          </w:p>
        </w:tc>
        <w:tc>
          <w:tcPr>
            <w:tcW w:w="316" w:type="pct"/>
            <w:noWrap/>
            <w:vAlign w:val="center"/>
          </w:tcPr>
          <w:p w14:paraId="00D41962">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887" w:type="pct"/>
            <w:gridSpan w:val="3"/>
            <w:noWrap/>
            <w:vAlign w:val="center"/>
          </w:tcPr>
          <w:p w14:paraId="63DE7D18">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w:t>
            </w:r>
          </w:p>
        </w:tc>
        <w:tc>
          <w:tcPr>
            <w:tcW w:w="1887" w:type="pct"/>
            <w:gridSpan w:val="3"/>
            <w:noWrap/>
            <w:vAlign w:val="center"/>
          </w:tcPr>
          <w:p w14:paraId="69720046">
            <w:pPr>
              <w:pStyle w:val="109"/>
              <w:rPr>
                <w:color w:val="000000" w:themeColor="text1"/>
                <w14:textFill>
                  <w14:solidFill>
                    <w14:schemeClr w14:val="tx1"/>
                  </w14:solidFill>
                </w14:textFill>
              </w:rPr>
            </w:pPr>
            <w:r>
              <w:rPr>
                <w:color w:val="000000" w:themeColor="text1"/>
                <w14:textFill>
                  <w14:solidFill>
                    <w14:schemeClr w14:val="tx1"/>
                  </w14:solidFill>
                </w14:textFill>
              </w:rPr>
              <w:t>评价结果</w:t>
            </w:r>
          </w:p>
        </w:tc>
      </w:tr>
      <w:tr w14:paraId="0CF0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7" w:type="pct"/>
            <w:noWrap/>
            <w:vAlign w:val="center"/>
          </w:tcPr>
          <w:p w14:paraId="5E81FDCA">
            <w:pPr>
              <w:pStyle w:val="109"/>
              <w:rPr>
                <w:color w:val="000000" w:themeColor="text1"/>
                <w14:textFill>
                  <w14:solidFill>
                    <w14:schemeClr w14:val="tx1"/>
                  </w14:solidFill>
                </w14:textFill>
              </w:rPr>
            </w:pPr>
            <w:r>
              <w:rPr>
                <w:color w:val="000000" w:themeColor="text1"/>
                <w14:textFill>
                  <w14:solidFill>
                    <w14:schemeClr w14:val="tx1"/>
                  </w14:solidFill>
                </w14:textFill>
              </w:rPr>
              <w:t>石油烃（C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w:t>
            </w:r>
          </w:p>
        </w:tc>
        <w:tc>
          <w:tcPr>
            <w:tcW w:w="303" w:type="pct"/>
            <w:vAlign w:val="center"/>
          </w:tcPr>
          <w:p w14:paraId="3BF20A05">
            <w:pPr>
              <w:pStyle w:val="109"/>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316" w:type="pct"/>
            <w:noWrap/>
            <w:vAlign w:val="center"/>
          </w:tcPr>
          <w:p w14:paraId="4F774146">
            <w:pPr>
              <w:pStyle w:val="109"/>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1887" w:type="pct"/>
            <w:gridSpan w:val="3"/>
            <w:noWrap/>
            <w:vAlign w:val="center"/>
          </w:tcPr>
          <w:p w14:paraId="2D100401">
            <w:pPr>
              <w:pStyle w:val="10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887" w:type="pct"/>
            <w:gridSpan w:val="3"/>
            <w:noWrap/>
            <w:vAlign w:val="center"/>
          </w:tcPr>
          <w:p w14:paraId="5A767194">
            <w:pPr>
              <w:pStyle w:val="109"/>
              <w:rPr>
                <w:color w:val="000000" w:themeColor="text1"/>
                <w14:textFill>
                  <w14:solidFill>
                    <w14:schemeClr w14:val="tx1"/>
                  </w14:solidFill>
                </w14:textFill>
              </w:rPr>
            </w:pPr>
            <w:r>
              <w:rPr>
                <w:color w:val="000000" w:themeColor="text1"/>
                <w14:textFill>
                  <w14:solidFill>
                    <w14:schemeClr w14:val="tx1"/>
                  </w14:solidFill>
                </w14:textFill>
              </w:rPr>
              <w:t>4.00E-03</w:t>
            </w:r>
          </w:p>
        </w:tc>
      </w:tr>
    </w:tbl>
    <w:p w14:paraId="73CBB387">
      <w:pPr>
        <w:ind w:firstLine="480"/>
        <w:rPr>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p>
    <w:p w14:paraId="2818D53C">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2765"/>
        <w:gridCol w:w="2288"/>
        <w:gridCol w:w="2555"/>
      </w:tblGrid>
      <w:tr w14:paraId="2513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1049" w:type="pct"/>
            <w:vAlign w:val="center"/>
          </w:tcPr>
          <w:p w14:paraId="5BB92C1F">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接</w:t>
            </w:r>
            <w:r>
              <w:rPr>
                <w:color w:val="000000" w:themeColor="text1"/>
                <w14:textFill>
                  <w14:solidFill>
                    <w14:schemeClr w14:val="tx1"/>
                  </w14:solidFill>
                </w14:textFill>
              </w:rPr>
              <w:t>样日期</w:t>
            </w:r>
          </w:p>
        </w:tc>
        <w:tc>
          <w:tcPr>
            <w:tcW w:w="1436" w:type="pct"/>
            <w:vAlign w:val="center"/>
          </w:tcPr>
          <w:p w14:paraId="009B5CED">
            <w:pPr>
              <w:pStyle w:val="109"/>
              <w:rPr>
                <w:color w:val="000000" w:themeColor="text1"/>
                <w14:textFill>
                  <w14:solidFill>
                    <w14:schemeClr w14:val="tx1"/>
                  </w14:solidFill>
                </w14:textFill>
              </w:rPr>
            </w:pPr>
            <w:r>
              <w:rPr>
                <w:color w:val="000000" w:themeColor="text1"/>
                <w14:textFill>
                  <w14:solidFill>
                    <w14:schemeClr w14:val="tx1"/>
                  </w14:solidFill>
                </w14:textFill>
              </w:rPr>
              <w:t>样品状态</w:t>
            </w:r>
          </w:p>
        </w:tc>
        <w:tc>
          <w:tcPr>
            <w:tcW w:w="1188" w:type="pct"/>
            <w:vAlign w:val="center"/>
          </w:tcPr>
          <w:p w14:paraId="6348A226">
            <w:pPr>
              <w:pStyle w:val="109"/>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1327" w:type="pct"/>
            <w:vAlign w:val="center"/>
          </w:tcPr>
          <w:p w14:paraId="74817288">
            <w:pPr>
              <w:pStyle w:val="109"/>
              <w:rPr>
                <w:color w:val="000000" w:themeColor="text1"/>
                <w14:textFill>
                  <w14:solidFill>
                    <w14:schemeClr w14:val="tx1"/>
                  </w14:solidFill>
                </w14:textFill>
              </w:rPr>
            </w:pPr>
            <w:r>
              <w:rPr>
                <w:color w:val="000000" w:themeColor="text1"/>
                <w14:textFill>
                  <w14:solidFill>
                    <w14:schemeClr w14:val="tx1"/>
                  </w14:solidFill>
                </w14:textFill>
              </w:rPr>
              <w:t>检测结果(ng/kg)</w:t>
            </w:r>
          </w:p>
        </w:tc>
      </w:tr>
      <w:tr w14:paraId="75AB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7F9A1DE7">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5919F611">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1188" w:type="pct"/>
            <w:vAlign w:val="center"/>
          </w:tcPr>
          <w:p w14:paraId="5401C7C3">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635958A8">
            <w:pPr>
              <w:pStyle w:val="109"/>
              <w:rPr>
                <w:color w:val="000000" w:themeColor="text1"/>
                <w14:textFill>
                  <w14:solidFill>
                    <w14:schemeClr w14:val="tx1"/>
                  </w14:solidFill>
                </w14:textFill>
              </w:rPr>
            </w:pPr>
            <w:r>
              <w:rPr>
                <w:color w:val="000000" w:themeColor="text1"/>
                <w14:textFill>
                  <w14:solidFill>
                    <w14:schemeClr w14:val="tx1"/>
                  </w14:solidFill>
                </w14:textFill>
              </w:rPr>
              <w:t>0.065</w:t>
            </w:r>
          </w:p>
        </w:tc>
      </w:tr>
      <w:tr w14:paraId="2443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3F8CD9D1">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3BF0C824">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1188" w:type="pct"/>
            <w:vAlign w:val="center"/>
          </w:tcPr>
          <w:p w14:paraId="1F3AE44C">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3154FB92">
            <w:pPr>
              <w:pStyle w:val="109"/>
              <w:rPr>
                <w:color w:val="000000" w:themeColor="text1"/>
                <w14:textFill>
                  <w14:solidFill>
                    <w14:schemeClr w14:val="tx1"/>
                  </w14:solidFill>
                </w14:textFill>
              </w:rPr>
            </w:pPr>
            <w:r>
              <w:rPr>
                <w:color w:val="000000" w:themeColor="text1"/>
                <w14:textFill>
                  <w14:solidFill>
                    <w14:schemeClr w14:val="tx1"/>
                  </w14:solidFill>
                </w14:textFill>
              </w:rPr>
              <w:t>0.41</w:t>
            </w:r>
          </w:p>
        </w:tc>
      </w:tr>
      <w:tr w14:paraId="6F4B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5AFD5F18">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7C733FC9">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1188" w:type="pct"/>
            <w:vAlign w:val="center"/>
          </w:tcPr>
          <w:p w14:paraId="6C62FF5F">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2CEBDB5F">
            <w:pPr>
              <w:pStyle w:val="109"/>
              <w:rPr>
                <w:color w:val="000000" w:themeColor="text1"/>
                <w14:textFill>
                  <w14:solidFill>
                    <w14:schemeClr w14:val="tx1"/>
                  </w14:solidFill>
                </w14:textFill>
              </w:rPr>
            </w:pPr>
            <w:r>
              <w:rPr>
                <w:color w:val="000000" w:themeColor="text1"/>
                <w14:textFill>
                  <w14:solidFill>
                    <w14:schemeClr w14:val="tx1"/>
                  </w14:solidFill>
                </w14:textFill>
              </w:rPr>
              <w:t>0.090</w:t>
            </w:r>
          </w:p>
        </w:tc>
      </w:tr>
      <w:tr w14:paraId="68C7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3FC930C5">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50DC2438">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1188" w:type="pct"/>
            <w:vAlign w:val="center"/>
          </w:tcPr>
          <w:p w14:paraId="28664B11">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775A9307">
            <w:pPr>
              <w:pStyle w:val="109"/>
              <w:rPr>
                <w:color w:val="000000" w:themeColor="text1"/>
                <w14:textFill>
                  <w14:solidFill>
                    <w14:schemeClr w14:val="tx1"/>
                  </w14:solidFill>
                </w14:textFill>
              </w:rPr>
            </w:pPr>
            <w:r>
              <w:rPr>
                <w:color w:val="000000" w:themeColor="text1"/>
                <w14:textFill>
                  <w14:solidFill>
                    <w14:schemeClr w14:val="tx1"/>
                  </w14:solidFill>
                </w14:textFill>
              </w:rPr>
              <w:t>0.18</w:t>
            </w:r>
          </w:p>
        </w:tc>
      </w:tr>
      <w:tr w14:paraId="72BD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47CCCB68">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40E79091">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1188" w:type="pct"/>
            <w:vAlign w:val="center"/>
          </w:tcPr>
          <w:p w14:paraId="0EA1EF4F">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75665B00">
            <w:pPr>
              <w:pStyle w:val="109"/>
              <w:rPr>
                <w:color w:val="000000" w:themeColor="text1"/>
                <w14:textFill>
                  <w14:solidFill>
                    <w14:schemeClr w14:val="tx1"/>
                  </w14:solidFill>
                </w14:textFill>
              </w:rPr>
            </w:pPr>
            <w:r>
              <w:rPr>
                <w:color w:val="000000" w:themeColor="text1"/>
                <w14:textFill>
                  <w14:solidFill>
                    <w14:schemeClr w14:val="tx1"/>
                  </w14:solidFill>
                </w14:textFill>
              </w:rPr>
              <w:t>0.016</w:t>
            </w:r>
          </w:p>
        </w:tc>
      </w:tr>
      <w:tr w14:paraId="0144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7D96EF73">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39234958">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1188" w:type="pct"/>
            <w:vAlign w:val="center"/>
          </w:tcPr>
          <w:p w14:paraId="19C17EA0">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2F2388CF">
            <w:pPr>
              <w:pStyle w:val="109"/>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72B0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2EC011D9">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4184453F">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1188" w:type="pct"/>
            <w:vAlign w:val="center"/>
          </w:tcPr>
          <w:p w14:paraId="0A615C41">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541CDF56">
            <w:pPr>
              <w:pStyle w:val="109"/>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6C8C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032187A8">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7555DF62">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1188" w:type="pct"/>
            <w:vAlign w:val="center"/>
          </w:tcPr>
          <w:p w14:paraId="7A679C9F">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73F080DC">
            <w:pPr>
              <w:pStyle w:val="109"/>
              <w:rPr>
                <w:color w:val="000000" w:themeColor="text1"/>
                <w14:textFill>
                  <w14:solidFill>
                    <w14:schemeClr w14:val="tx1"/>
                  </w14:solidFill>
                </w14:textFill>
              </w:rPr>
            </w:pPr>
            <w:r>
              <w:rPr>
                <w:color w:val="000000" w:themeColor="text1"/>
                <w14:textFill>
                  <w14:solidFill>
                    <w14:schemeClr w14:val="tx1"/>
                  </w14:solidFill>
                </w14:textFill>
              </w:rPr>
              <w:t>0.014</w:t>
            </w:r>
          </w:p>
        </w:tc>
      </w:tr>
      <w:tr w14:paraId="4B4E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63BB3770">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5EDC8503">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1188" w:type="pct"/>
            <w:vAlign w:val="center"/>
          </w:tcPr>
          <w:p w14:paraId="4CE7A3C6">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6D82BB0B">
            <w:pPr>
              <w:pStyle w:val="109"/>
              <w:rPr>
                <w:color w:val="000000" w:themeColor="text1"/>
                <w14:textFill>
                  <w14:solidFill>
                    <w14:schemeClr w14:val="tx1"/>
                  </w14:solidFill>
                </w14:textFill>
              </w:rPr>
            </w:pPr>
            <w:r>
              <w:rPr>
                <w:color w:val="000000" w:themeColor="text1"/>
                <w14:textFill>
                  <w14:solidFill>
                    <w14:schemeClr w14:val="tx1"/>
                  </w14:solidFill>
                </w14:textFill>
              </w:rPr>
              <w:t>0.050</w:t>
            </w:r>
          </w:p>
        </w:tc>
      </w:tr>
      <w:tr w14:paraId="62C2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1E7FB124">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1707B0BE">
            <w:pPr>
              <w:pStyle w:val="109"/>
              <w:rPr>
                <w:color w:val="000000" w:themeColor="text1"/>
                <w14:textFill>
                  <w14:solidFill>
                    <w14:schemeClr w14:val="tx1"/>
                  </w14:solidFill>
                </w14:textFill>
              </w:rPr>
            </w:pPr>
            <w:r>
              <w:rPr>
                <w:color w:val="000000" w:themeColor="text1"/>
                <w14:textFill>
                  <w14:solidFill>
                    <w14:schemeClr w14:val="tx1"/>
                  </w14:solidFill>
                </w14:textFill>
              </w:rPr>
              <w:t>浅黄色 潮 无根系</w:t>
            </w:r>
          </w:p>
        </w:tc>
        <w:tc>
          <w:tcPr>
            <w:tcW w:w="1188" w:type="pct"/>
            <w:vAlign w:val="center"/>
          </w:tcPr>
          <w:p w14:paraId="1D141B4E">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27682E3E">
            <w:pPr>
              <w:pStyle w:val="109"/>
              <w:rPr>
                <w:color w:val="000000" w:themeColor="text1"/>
                <w14:textFill>
                  <w14:solidFill>
                    <w14:schemeClr w14:val="tx1"/>
                  </w14:solidFill>
                </w14:textFill>
              </w:rPr>
            </w:pPr>
            <w:r>
              <w:rPr>
                <w:color w:val="000000" w:themeColor="text1"/>
                <w14:textFill>
                  <w14:solidFill>
                    <w14:schemeClr w14:val="tx1"/>
                  </w14:solidFill>
                </w14:textFill>
              </w:rPr>
              <w:t>0.084</w:t>
            </w:r>
          </w:p>
        </w:tc>
      </w:tr>
      <w:tr w14:paraId="2D9F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6690C6DB">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7725CE45">
            <w:pPr>
              <w:pStyle w:val="109"/>
              <w:rPr>
                <w:color w:val="000000" w:themeColor="text1"/>
                <w14:textFill>
                  <w14:solidFill>
                    <w14:schemeClr w14:val="tx1"/>
                  </w14:solidFill>
                </w14:textFill>
              </w:rPr>
            </w:pPr>
            <w:r>
              <w:rPr>
                <w:color w:val="000000" w:themeColor="text1"/>
                <w14:textFill>
                  <w14:solidFill>
                    <w14:schemeClr w14:val="tx1"/>
                  </w14:solidFill>
                </w14:textFill>
              </w:rPr>
              <w:t>浅黄色 潮 无根系</w:t>
            </w:r>
          </w:p>
        </w:tc>
        <w:tc>
          <w:tcPr>
            <w:tcW w:w="1188" w:type="pct"/>
            <w:vAlign w:val="center"/>
          </w:tcPr>
          <w:p w14:paraId="00673524">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126E542A">
            <w:pPr>
              <w:pStyle w:val="109"/>
              <w:rPr>
                <w:color w:val="000000" w:themeColor="text1"/>
                <w14:textFill>
                  <w14:solidFill>
                    <w14:schemeClr w14:val="tx1"/>
                  </w14:solidFill>
                </w14:textFill>
              </w:rPr>
            </w:pPr>
            <w:r>
              <w:rPr>
                <w:color w:val="000000" w:themeColor="text1"/>
                <w14:textFill>
                  <w14:solidFill>
                    <w14:schemeClr w14:val="tx1"/>
                  </w14:solidFill>
                </w14:textFill>
              </w:rPr>
              <w:t>0.25</w:t>
            </w:r>
          </w:p>
        </w:tc>
      </w:tr>
      <w:tr w14:paraId="1E28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9" w:type="pct"/>
            <w:vAlign w:val="center"/>
          </w:tcPr>
          <w:p w14:paraId="59BAF99B">
            <w:pPr>
              <w:pStyle w:val="109"/>
              <w:rPr>
                <w:color w:val="000000" w:themeColor="text1"/>
                <w14:textFill>
                  <w14:solidFill>
                    <w14:schemeClr w14:val="tx1"/>
                  </w14:solidFill>
                </w14:textFill>
              </w:rPr>
            </w:pPr>
            <w:r>
              <w:rPr>
                <w:color w:val="000000" w:themeColor="text1"/>
                <w14:textFill>
                  <w14:solidFill>
                    <w14:schemeClr w14:val="tx1"/>
                  </w14:solidFill>
                </w14:textFill>
              </w:rPr>
              <w:t>2026-01-13</w:t>
            </w:r>
          </w:p>
        </w:tc>
        <w:tc>
          <w:tcPr>
            <w:tcW w:w="1436" w:type="pct"/>
            <w:vAlign w:val="center"/>
          </w:tcPr>
          <w:p w14:paraId="7B05018D">
            <w:pPr>
              <w:pStyle w:val="109"/>
              <w:rPr>
                <w:color w:val="000000" w:themeColor="text1"/>
                <w14:textFill>
                  <w14:solidFill>
                    <w14:schemeClr w14:val="tx1"/>
                  </w14:solidFill>
                </w14:textFill>
              </w:rPr>
            </w:pPr>
            <w:r>
              <w:rPr>
                <w:color w:val="000000" w:themeColor="text1"/>
                <w14:textFill>
                  <w14:solidFill>
                    <w14:schemeClr w14:val="tx1"/>
                  </w14:solidFill>
                </w14:textFill>
              </w:rPr>
              <w:t>浅黄色 潮 无根系</w:t>
            </w:r>
          </w:p>
        </w:tc>
        <w:tc>
          <w:tcPr>
            <w:tcW w:w="1188" w:type="pct"/>
            <w:vAlign w:val="center"/>
          </w:tcPr>
          <w:p w14:paraId="0A19810D">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二噁英类（TEQ）</w:t>
            </w:r>
          </w:p>
        </w:tc>
        <w:tc>
          <w:tcPr>
            <w:tcW w:w="1327" w:type="pct"/>
            <w:vAlign w:val="center"/>
          </w:tcPr>
          <w:p w14:paraId="0F7888E5">
            <w:pPr>
              <w:pStyle w:val="109"/>
              <w:rPr>
                <w:color w:val="000000" w:themeColor="text1"/>
                <w14:textFill>
                  <w14:solidFill>
                    <w14:schemeClr w14:val="tx1"/>
                  </w14:solidFill>
                </w14:textFill>
              </w:rPr>
            </w:pPr>
            <w:r>
              <w:rPr>
                <w:color w:val="000000" w:themeColor="text1"/>
                <w14:textFill>
                  <w14:solidFill>
                    <w14:schemeClr w14:val="tx1"/>
                  </w14:solidFill>
                </w14:textFill>
              </w:rPr>
              <w:t>0.38</w:t>
            </w:r>
          </w:p>
        </w:tc>
      </w:tr>
    </w:tbl>
    <w:p w14:paraId="7C0ACF77">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7834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45C5F181">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55CEC3A5">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73ED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0E2DA99E">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08D0BBB0">
            <w:pPr>
              <w:pStyle w:val="109"/>
              <w:rPr>
                <w:color w:val="000000" w:themeColor="text1"/>
                <w14:textFill>
                  <w14:solidFill>
                    <w14:schemeClr w14:val="tx1"/>
                  </w14:solidFill>
                </w14:textFill>
              </w:rPr>
            </w:pPr>
            <w:r>
              <w:rPr>
                <w:color w:val="000000" w:themeColor="text1"/>
                <w14:textFill>
                  <w14:solidFill>
                    <w14:schemeClr w14:val="tx1"/>
                  </w14:solidFill>
                </w14:textFill>
              </w:rPr>
              <w:t>TZK2601043501</w:t>
            </w:r>
          </w:p>
        </w:tc>
        <w:tc>
          <w:tcPr>
            <w:tcW w:w="2279" w:type="dxa"/>
            <w:vAlign w:val="center"/>
          </w:tcPr>
          <w:p w14:paraId="4ABD05A3">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508E089E">
            <w:pPr>
              <w:pStyle w:val="109"/>
              <w:rPr>
                <w:color w:val="000000" w:themeColor="text1"/>
                <w14:textFill>
                  <w14:solidFill>
                    <w14:schemeClr w14:val="tx1"/>
                  </w14:solidFill>
                </w14:textFill>
              </w:rPr>
            </w:pPr>
            <w:r>
              <w:rPr>
                <w:color w:val="000000" w:themeColor="text1"/>
                <w14:textFill>
                  <w14:solidFill>
                    <w14:schemeClr w14:val="tx1"/>
                  </w14:solidFill>
                </w14:textFill>
              </w:rPr>
              <w:t>19.687</w:t>
            </w:r>
          </w:p>
        </w:tc>
      </w:tr>
      <w:tr w14:paraId="0B64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78F09063">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3FE01A2E">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13592610">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5E15F500">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7B53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375479F8">
            <w:pPr>
              <w:pStyle w:val="109"/>
              <w:rPr>
                <w:color w:val="000000" w:themeColor="text1"/>
                <w14:textFill>
                  <w14:solidFill>
                    <w14:schemeClr w14:val="tx1"/>
                  </w14:solidFill>
                </w14:textFill>
              </w:rPr>
            </w:pPr>
          </w:p>
        </w:tc>
        <w:tc>
          <w:tcPr>
            <w:tcW w:w="1945" w:type="dxa"/>
            <w:vAlign w:val="center"/>
          </w:tcPr>
          <w:p w14:paraId="3ED7E527">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7B7EDCA3">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4CE34064">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452A1AD0">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090F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4C6058D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73DAF17">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0472BD8E">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40DEACE7">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399BFC39">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3027FC89">
            <w:pPr>
              <w:pStyle w:val="109"/>
              <w:rPr>
                <w:color w:val="000000" w:themeColor="text1"/>
                <w14:textFill>
                  <w14:solidFill>
                    <w14:schemeClr w14:val="tx1"/>
                  </w14:solidFill>
                </w14:textFill>
              </w:rPr>
            </w:pPr>
            <w:r>
              <w:rPr>
                <w:color w:val="000000" w:themeColor="text1"/>
                <w14:textFill>
                  <w14:solidFill>
                    <w14:schemeClr w14:val="tx1"/>
                  </w14:solidFill>
                </w14:textFill>
              </w:rPr>
              <w:t>0.0026</w:t>
            </w:r>
          </w:p>
        </w:tc>
      </w:tr>
      <w:tr w14:paraId="38DA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23DF54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5DF86EC7">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1EBEA009">
            <w:pPr>
              <w:pStyle w:val="109"/>
              <w:rPr>
                <w:color w:val="000000" w:themeColor="text1"/>
                <w14:textFill>
                  <w14:solidFill>
                    <w14:schemeClr w14:val="tx1"/>
                  </w14:solidFill>
                </w14:textFill>
              </w:rPr>
            </w:pPr>
            <w:r>
              <w:rPr>
                <w:color w:val="000000" w:themeColor="text1"/>
                <w14:textFill>
                  <w14:solidFill>
                    <w14:schemeClr w14:val="tx1"/>
                  </w14:solidFill>
                </w14:textFill>
              </w:rPr>
              <w:t>0.0041</w:t>
            </w:r>
          </w:p>
        </w:tc>
        <w:tc>
          <w:tcPr>
            <w:tcW w:w="2279" w:type="dxa"/>
            <w:vAlign w:val="center"/>
          </w:tcPr>
          <w:p w14:paraId="120E47A6">
            <w:pPr>
              <w:pStyle w:val="109"/>
              <w:rPr>
                <w:color w:val="000000" w:themeColor="text1"/>
                <w14:textFill>
                  <w14:solidFill>
                    <w14:schemeClr w14:val="tx1"/>
                  </w14:solidFill>
                </w14:textFill>
              </w:rPr>
            </w:pPr>
            <w:r>
              <w:rPr>
                <w:color w:val="000000" w:themeColor="text1"/>
                <w14:textFill>
                  <w14:solidFill>
                    <w14:schemeClr w14:val="tx1"/>
                  </w14:solidFill>
                </w14:textFill>
              </w:rPr>
              <w:t>N.D.(&lt;0.0041)</w:t>
            </w:r>
          </w:p>
        </w:tc>
        <w:tc>
          <w:tcPr>
            <w:tcW w:w="1235" w:type="dxa"/>
            <w:vAlign w:val="center"/>
          </w:tcPr>
          <w:p w14:paraId="48DF5EA1">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3C3E3096">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4E11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CD5B51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D91793D">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00E50E5A">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E644977">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186351F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54C6026">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5887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DEE040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7F1CFAD8">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15D0382B">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0077B4C">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A11FCDB">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F1E4D47">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1538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EDF220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1297BCD">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1F7F3AB8">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EFC771D">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6727E4E">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51647065">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076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9A19631">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70BABAC">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65C59F1A">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9759C6F">
            <w:pPr>
              <w:pStyle w:val="109"/>
              <w:rPr>
                <w:color w:val="000000" w:themeColor="text1"/>
                <w14:textFill>
                  <w14:solidFill>
                    <w14:schemeClr w14:val="tx1"/>
                  </w14:solidFill>
                </w14:textFill>
              </w:rPr>
            </w:pPr>
            <w:r>
              <w:rPr>
                <w:color w:val="000000" w:themeColor="text1"/>
                <w14:textFill>
                  <w14:solidFill>
                    <w14:schemeClr w14:val="tx1"/>
                  </w14:solidFill>
                </w14:textFill>
              </w:rPr>
              <w:t>3.8</w:t>
            </w:r>
          </w:p>
        </w:tc>
        <w:tc>
          <w:tcPr>
            <w:tcW w:w="1235" w:type="dxa"/>
            <w:vAlign w:val="center"/>
          </w:tcPr>
          <w:p w14:paraId="5FFF2F0E">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5BBD1908">
            <w:pPr>
              <w:pStyle w:val="109"/>
              <w:rPr>
                <w:color w:val="000000" w:themeColor="text1"/>
                <w14:textFill>
                  <w14:solidFill>
                    <w14:schemeClr w14:val="tx1"/>
                  </w14:solidFill>
                </w14:textFill>
              </w:rPr>
            </w:pPr>
            <w:r>
              <w:rPr>
                <w:color w:val="000000" w:themeColor="text1"/>
                <w14:textFill>
                  <w14:solidFill>
                    <w14:schemeClr w14:val="tx1"/>
                  </w14:solidFill>
                </w14:textFill>
              </w:rPr>
              <w:t>0.038</w:t>
            </w:r>
          </w:p>
        </w:tc>
      </w:tr>
      <w:tr w14:paraId="19FC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F94A713">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14DA64F0">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195F12B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F5EEEC5">
            <w:pPr>
              <w:pStyle w:val="109"/>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235" w:type="dxa"/>
            <w:vAlign w:val="center"/>
          </w:tcPr>
          <w:p w14:paraId="27FADD0D">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5DFEFB56">
            <w:pPr>
              <w:pStyle w:val="109"/>
              <w:rPr>
                <w:color w:val="000000" w:themeColor="text1"/>
                <w14:textFill>
                  <w14:solidFill>
                    <w14:schemeClr w14:val="tx1"/>
                  </w14:solidFill>
                </w14:textFill>
              </w:rPr>
            </w:pPr>
            <w:r>
              <w:rPr>
                <w:color w:val="000000" w:themeColor="text1"/>
                <w14:textFill>
                  <w14:solidFill>
                    <w14:schemeClr w14:val="tx1"/>
                  </w14:solidFill>
                </w14:textFill>
              </w:rPr>
              <w:t>0.019</w:t>
            </w:r>
          </w:p>
        </w:tc>
      </w:tr>
      <w:tr w14:paraId="6902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1833053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85B8071">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695B661C">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72693223">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48B54D1E">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E5C6105">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6C43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1C8A51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9732565">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516E880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8665E60">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A3F41D2">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57CCF0ED">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48E6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780982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B5A3430">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6E90E070">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46FF2212">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44CAF045">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387057D7">
            <w:pPr>
              <w:pStyle w:val="109"/>
              <w:rPr>
                <w:color w:val="000000" w:themeColor="text1"/>
                <w14:textFill>
                  <w14:solidFill>
                    <w14:schemeClr w14:val="tx1"/>
                  </w14:solidFill>
                </w14:textFill>
              </w:rPr>
            </w:pPr>
            <w:r>
              <w:rPr>
                <w:color w:val="000000" w:themeColor="text1"/>
                <w14:textFill>
                  <w14:solidFill>
                    <w14:schemeClr w14:val="tx1"/>
                  </w14:solidFill>
                </w14:textFill>
              </w:rPr>
              <w:t>0.0013</w:t>
            </w:r>
          </w:p>
        </w:tc>
      </w:tr>
      <w:tr w14:paraId="09D3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36BDE42">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C3A7798">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1A0AF875">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31EA6C42">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0947EBF5">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2733D086">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2A7E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0DD6F2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9FEB611">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5B9B5DCD">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726A6114">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761B33C6">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C9E2859">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57C0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2901C2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D9617F4">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0221E687">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9957852">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2635D33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9F56F6C">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315E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EDA5A21">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9C0537E">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124FE8C2">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EA1281B">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78C4E2E">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CA0014B">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611A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0337AA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1F6463F">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7FF19AFA">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2D35C95">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193B265">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0A2FA6AF">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0A19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735897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BE65CA9">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7F7DAA77">
            <w:pPr>
              <w:pStyle w:val="109"/>
              <w:rPr>
                <w:color w:val="000000" w:themeColor="text1"/>
                <w14:textFill>
                  <w14:solidFill>
                    <w14:schemeClr w14:val="tx1"/>
                  </w14:solidFill>
                </w14:textFill>
              </w:rPr>
            </w:pPr>
            <w:r>
              <w:rPr>
                <w:color w:val="000000" w:themeColor="text1"/>
                <w14:textFill>
                  <w14:solidFill>
                    <w14:schemeClr w14:val="tx1"/>
                  </w14:solidFill>
                </w14:textFill>
              </w:rPr>
              <w:t>0.0041</w:t>
            </w:r>
          </w:p>
        </w:tc>
        <w:tc>
          <w:tcPr>
            <w:tcW w:w="2279" w:type="dxa"/>
            <w:vAlign w:val="center"/>
          </w:tcPr>
          <w:p w14:paraId="130186CD">
            <w:pPr>
              <w:pStyle w:val="109"/>
              <w:rPr>
                <w:color w:val="000000" w:themeColor="text1"/>
                <w14:textFill>
                  <w14:solidFill>
                    <w14:schemeClr w14:val="tx1"/>
                  </w14:solidFill>
                </w14:textFill>
              </w:rPr>
            </w:pPr>
            <w:r>
              <w:rPr>
                <w:color w:val="000000" w:themeColor="text1"/>
                <w14:textFill>
                  <w14:solidFill>
                    <w14:schemeClr w14:val="tx1"/>
                  </w14:solidFill>
                </w14:textFill>
              </w:rPr>
              <w:t>N.D.(&lt;0.0041)</w:t>
            </w:r>
          </w:p>
        </w:tc>
        <w:tc>
          <w:tcPr>
            <w:tcW w:w="1235" w:type="dxa"/>
            <w:vAlign w:val="center"/>
          </w:tcPr>
          <w:p w14:paraId="3C9D2BC8">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74A5722B">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7FEC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9C025A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B725CC6">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6D5E0C97">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C15F604">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18BC65B">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6A454ECC">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633F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3CB637ED">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358C5258">
            <w:pPr>
              <w:pStyle w:val="109"/>
              <w:rPr>
                <w:color w:val="000000" w:themeColor="text1"/>
                <w14:textFill>
                  <w14:solidFill>
                    <w14:schemeClr w14:val="tx1"/>
                  </w14:solidFill>
                </w14:textFill>
              </w:rPr>
            </w:pPr>
            <w:r>
              <w:rPr>
                <w:color w:val="000000" w:themeColor="text1"/>
                <w14:textFill>
                  <w14:solidFill>
                    <w14:schemeClr w14:val="tx1"/>
                  </w14:solidFill>
                </w14:textFill>
              </w:rPr>
              <w:t>0.065</w:t>
            </w:r>
          </w:p>
        </w:tc>
      </w:tr>
      <w:tr w14:paraId="72FA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218B2AEF">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7832E85A">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4DD0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5408AE0B">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6C09C4D2">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5229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54600A2E">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03736114">
            <w:pPr>
              <w:pStyle w:val="109"/>
              <w:rPr>
                <w:color w:val="000000" w:themeColor="text1"/>
                <w14:textFill>
                  <w14:solidFill>
                    <w14:schemeClr w14:val="tx1"/>
                  </w14:solidFill>
                </w14:textFill>
              </w:rPr>
            </w:pPr>
            <w:r>
              <w:rPr>
                <w:color w:val="000000" w:themeColor="text1"/>
                <w14:textFill>
                  <w14:solidFill>
                    <w14:schemeClr w14:val="tx1"/>
                  </w14:solidFill>
                </w14:textFill>
              </w:rPr>
              <w:t>TZK2601043601</w:t>
            </w:r>
          </w:p>
        </w:tc>
        <w:tc>
          <w:tcPr>
            <w:tcW w:w="2279" w:type="dxa"/>
            <w:vAlign w:val="center"/>
          </w:tcPr>
          <w:p w14:paraId="7C5FF1FC">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07D359D2">
            <w:pPr>
              <w:pStyle w:val="109"/>
              <w:rPr>
                <w:color w:val="000000" w:themeColor="text1"/>
                <w14:textFill>
                  <w14:solidFill>
                    <w14:schemeClr w14:val="tx1"/>
                  </w14:solidFill>
                </w14:textFill>
              </w:rPr>
            </w:pPr>
            <w:r>
              <w:rPr>
                <w:color w:val="000000" w:themeColor="text1"/>
                <w14:textFill>
                  <w14:solidFill>
                    <w14:schemeClr w14:val="tx1"/>
                  </w14:solidFill>
                </w14:textFill>
              </w:rPr>
              <w:t>20.054</w:t>
            </w:r>
          </w:p>
        </w:tc>
      </w:tr>
      <w:tr w14:paraId="41A0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1BE4C066">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31B5B7E3">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235C4719">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26205670">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62AF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4E99C8DA">
            <w:pPr>
              <w:pStyle w:val="109"/>
              <w:rPr>
                <w:color w:val="000000" w:themeColor="text1"/>
                <w14:textFill>
                  <w14:solidFill>
                    <w14:schemeClr w14:val="tx1"/>
                  </w14:solidFill>
                </w14:textFill>
              </w:rPr>
            </w:pPr>
          </w:p>
        </w:tc>
        <w:tc>
          <w:tcPr>
            <w:tcW w:w="1945" w:type="dxa"/>
            <w:vAlign w:val="center"/>
          </w:tcPr>
          <w:p w14:paraId="7CBB2AB5">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336267F4">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613ABB67">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25344E5D">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6686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6FBF787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1F7C50B5">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7F30F881">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14BA7B61">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511BFE4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39F77D15">
            <w:pPr>
              <w:pStyle w:val="109"/>
              <w:rPr>
                <w:color w:val="000000" w:themeColor="text1"/>
                <w14:textFill>
                  <w14:solidFill>
                    <w14:schemeClr w14:val="tx1"/>
                  </w14:solidFill>
                </w14:textFill>
              </w:rPr>
            </w:pPr>
            <w:r>
              <w:rPr>
                <w:color w:val="000000" w:themeColor="text1"/>
                <w14:textFill>
                  <w14:solidFill>
                    <w14:schemeClr w14:val="tx1"/>
                  </w14:solidFill>
                </w14:textFill>
              </w:rPr>
              <w:t>0.0025</w:t>
            </w:r>
          </w:p>
        </w:tc>
      </w:tr>
      <w:tr w14:paraId="4958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9A2807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7A27039C">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45C26238">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4D3EE392">
            <w:pPr>
              <w:pStyle w:val="109"/>
              <w:rPr>
                <w:color w:val="000000" w:themeColor="text1"/>
                <w14:textFill>
                  <w14:solidFill>
                    <w14:schemeClr w14:val="tx1"/>
                  </w14:solidFill>
                </w14:textFill>
              </w:rPr>
            </w:pPr>
            <w:r>
              <w:rPr>
                <w:color w:val="000000" w:themeColor="text1"/>
                <w14:textFill>
                  <w14:solidFill>
                    <w14:schemeClr w14:val="tx1"/>
                  </w14:solidFill>
                </w14:textFill>
              </w:rPr>
              <w:t>0.79</w:t>
            </w:r>
          </w:p>
        </w:tc>
        <w:tc>
          <w:tcPr>
            <w:tcW w:w="1235" w:type="dxa"/>
            <w:vAlign w:val="center"/>
          </w:tcPr>
          <w:p w14:paraId="00AD4118">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11A6DC29">
            <w:pPr>
              <w:pStyle w:val="109"/>
              <w:rPr>
                <w:color w:val="000000" w:themeColor="text1"/>
                <w14:textFill>
                  <w14:solidFill>
                    <w14:schemeClr w14:val="tx1"/>
                  </w14:solidFill>
                </w14:textFill>
              </w:rPr>
            </w:pPr>
            <w:r>
              <w:rPr>
                <w:color w:val="000000" w:themeColor="text1"/>
                <w14:textFill>
                  <w14:solidFill>
                    <w14:schemeClr w14:val="tx1"/>
                  </w14:solidFill>
                </w14:textFill>
              </w:rPr>
              <w:t>0.40</w:t>
            </w:r>
          </w:p>
        </w:tc>
      </w:tr>
      <w:tr w14:paraId="6C69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E7DA1A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4AF927B">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3E935A9E">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36082263">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711BF246">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582A5E1D">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482F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491FCF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FA2082A">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561FFFD5">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4A680A6">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2A213D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EE09133">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B01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3F02EB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03CC459">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7645681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5FB636EE">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C6631E2">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27949ABF">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3F68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E75F90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1EDF1B19">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701F3F3B">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9C9C0A1">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4BEFC69D">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48A3650E">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1E96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9D34A63">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9D981FF">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185CD8CC">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CF5D6B0">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E39E9D7">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4ECCB705">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4192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7E7544C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3DC2E87">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60F1DFB6">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3A202DE5">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7F8D8FCA">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4D24445">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2C78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B7F1F8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6E9AFEB">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7E0ED2D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9BA6CED">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1FF18136">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0EF6C88A">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0277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6995A61">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42CEBDF">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1A617912">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286E5DB7">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2D0DF579">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0B8EDB15">
            <w:pPr>
              <w:pStyle w:val="109"/>
              <w:rPr>
                <w:color w:val="000000" w:themeColor="text1"/>
                <w14:textFill>
                  <w14:solidFill>
                    <w14:schemeClr w14:val="tx1"/>
                  </w14:solidFill>
                </w14:textFill>
              </w:rPr>
            </w:pPr>
            <w:r>
              <w:rPr>
                <w:color w:val="000000" w:themeColor="text1"/>
                <w14:textFill>
                  <w14:solidFill>
                    <w14:schemeClr w14:val="tx1"/>
                  </w14:solidFill>
                </w14:textFill>
              </w:rPr>
              <w:t>0.0012</w:t>
            </w:r>
          </w:p>
        </w:tc>
      </w:tr>
      <w:tr w14:paraId="0ECB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A29823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5769057">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108C4834">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0BAAA43">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4422AF1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1A41526">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52AD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19E866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9974511">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3B419A4F">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5EC9895C">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74A78541">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59B011F6">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28DB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67FBB3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D3F6017">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2356241B">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3AB3D9CE">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20B77DF1">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A6752AE">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16BE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D6F5D6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45EE873">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480847D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0B7CDB5">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65B55BF">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8F554AF">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155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6B9D6A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426C9DF2">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5BF423D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010E0CD">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28CFA8D">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5574EA82">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50D2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2F6ED7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600DC9B">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3A1BD43E">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58AA0F43">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0F1854C9">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33795586">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64C4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F22D903">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6EC1172">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19661596">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C56E6CB">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CE0E8A4">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4B49AED3">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6315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67449681">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4D4ECCD9">
            <w:pPr>
              <w:pStyle w:val="109"/>
              <w:rPr>
                <w:color w:val="000000" w:themeColor="text1"/>
                <w14:textFill>
                  <w14:solidFill>
                    <w14:schemeClr w14:val="tx1"/>
                  </w14:solidFill>
                </w14:textFill>
              </w:rPr>
            </w:pPr>
            <w:r>
              <w:rPr>
                <w:color w:val="000000" w:themeColor="text1"/>
                <w14:textFill>
                  <w14:solidFill>
                    <w14:schemeClr w14:val="tx1"/>
                  </w14:solidFill>
                </w14:textFill>
              </w:rPr>
              <w:t>0.41</w:t>
            </w:r>
          </w:p>
        </w:tc>
      </w:tr>
      <w:tr w14:paraId="1EE1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48667D4C">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35858F41">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6BA9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5FD58EA6">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1ECE4E93">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559C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4FD11B38">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240E2011">
            <w:pPr>
              <w:pStyle w:val="109"/>
              <w:rPr>
                <w:color w:val="000000" w:themeColor="text1"/>
                <w14:textFill>
                  <w14:solidFill>
                    <w14:schemeClr w14:val="tx1"/>
                  </w14:solidFill>
                </w14:textFill>
              </w:rPr>
            </w:pPr>
            <w:r>
              <w:rPr>
                <w:color w:val="000000" w:themeColor="text1"/>
                <w14:textFill>
                  <w14:solidFill>
                    <w14:schemeClr w14:val="tx1"/>
                  </w14:solidFill>
                </w14:textFill>
              </w:rPr>
              <w:t>TZK2601043701</w:t>
            </w:r>
          </w:p>
        </w:tc>
        <w:tc>
          <w:tcPr>
            <w:tcW w:w="2279" w:type="dxa"/>
            <w:vAlign w:val="center"/>
          </w:tcPr>
          <w:p w14:paraId="4CF0F528">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52F9D639">
            <w:pPr>
              <w:pStyle w:val="109"/>
              <w:rPr>
                <w:color w:val="000000" w:themeColor="text1"/>
                <w14:textFill>
                  <w14:solidFill>
                    <w14:schemeClr w14:val="tx1"/>
                  </w14:solidFill>
                </w14:textFill>
              </w:rPr>
            </w:pPr>
            <w:r>
              <w:rPr>
                <w:color w:val="000000" w:themeColor="text1"/>
                <w14:textFill>
                  <w14:solidFill>
                    <w14:schemeClr w14:val="tx1"/>
                  </w14:solidFill>
                </w14:textFill>
              </w:rPr>
              <w:t>19.789</w:t>
            </w:r>
          </w:p>
        </w:tc>
      </w:tr>
      <w:tr w14:paraId="37C9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62CEFC0E">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39A889F1">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11C0A8C3">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2716FBE3">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650E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5870F46D">
            <w:pPr>
              <w:pStyle w:val="109"/>
              <w:rPr>
                <w:color w:val="000000" w:themeColor="text1"/>
                <w14:textFill>
                  <w14:solidFill>
                    <w14:schemeClr w14:val="tx1"/>
                  </w14:solidFill>
                </w14:textFill>
              </w:rPr>
            </w:pPr>
          </w:p>
        </w:tc>
        <w:tc>
          <w:tcPr>
            <w:tcW w:w="1945" w:type="dxa"/>
            <w:vAlign w:val="center"/>
          </w:tcPr>
          <w:p w14:paraId="005DEDAA">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2E735419">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196E058C">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2CD79225">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0D9E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723DD7F3">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9928B2D">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15F2079B">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011A7903">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6FA1284D">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1494055E">
            <w:pPr>
              <w:pStyle w:val="109"/>
              <w:rPr>
                <w:color w:val="000000" w:themeColor="text1"/>
                <w14:textFill>
                  <w14:solidFill>
                    <w14:schemeClr w14:val="tx1"/>
                  </w14:solidFill>
                </w14:textFill>
              </w:rPr>
            </w:pPr>
            <w:r>
              <w:rPr>
                <w:color w:val="000000" w:themeColor="text1"/>
                <w14:textFill>
                  <w14:solidFill>
                    <w14:schemeClr w14:val="tx1"/>
                  </w14:solidFill>
                </w14:textFill>
              </w:rPr>
              <w:t>0.0026</w:t>
            </w:r>
          </w:p>
        </w:tc>
      </w:tr>
      <w:tr w14:paraId="7485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8C6FBF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4BDDEF8">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231FA391">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0FD2B27E">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211643D2">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6E34A408">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3D38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7F5945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349C346">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2FD52833">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1F740937">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419250E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2536AA87">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0D41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33D4B7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184D07A">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7F3E8D4B">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DBF6032">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51DA3202">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ABD5A62">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2407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82B0B6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66120FF">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173BA16B">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5AC43FC">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1CB90AA4">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1DA053B">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47AB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9D965C2">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4219C1E">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086F002C">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5664039">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5EBA92F0">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36A3DEEC">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007F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8B632B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70C34547">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0E45AF9B">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26E75B2">
            <w:pPr>
              <w:pStyle w:val="109"/>
              <w:rPr>
                <w:color w:val="000000" w:themeColor="text1"/>
                <w14:textFill>
                  <w14:solidFill>
                    <w14:schemeClr w14:val="tx1"/>
                  </w14:solidFill>
                </w14:textFill>
              </w:rPr>
            </w:pPr>
            <w:r>
              <w:rPr>
                <w:color w:val="000000" w:themeColor="text1"/>
                <w14:textFill>
                  <w14:solidFill>
                    <w14:schemeClr w14:val="tx1"/>
                  </w14:solidFill>
                </w14:textFill>
              </w:rPr>
              <w:t>3.3</w:t>
            </w:r>
          </w:p>
        </w:tc>
        <w:tc>
          <w:tcPr>
            <w:tcW w:w="1235" w:type="dxa"/>
            <w:vAlign w:val="center"/>
          </w:tcPr>
          <w:p w14:paraId="02A603D6">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35EDD7DF">
            <w:pPr>
              <w:pStyle w:val="109"/>
              <w:rPr>
                <w:color w:val="000000" w:themeColor="text1"/>
                <w14:textFill>
                  <w14:solidFill>
                    <w14:schemeClr w14:val="tx1"/>
                  </w14:solidFill>
                </w14:textFill>
              </w:rPr>
            </w:pPr>
            <w:r>
              <w:rPr>
                <w:color w:val="000000" w:themeColor="text1"/>
                <w14:textFill>
                  <w14:solidFill>
                    <w14:schemeClr w14:val="tx1"/>
                  </w14:solidFill>
                </w14:textFill>
              </w:rPr>
              <w:t>0.0033</w:t>
            </w:r>
          </w:p>
        </w:tc>
      </w:tr>
      <w:tr w14:paraId="159D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32FFE63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E2E953C">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7C1FDCF2">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D6C36AC">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6B7A455D">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CC3FBBE">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32C2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6F9080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AB6643D">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3230549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32B3726">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BEF690C">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1A9DCCB4">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315D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5BD7D0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1724C17">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18DDBA0B">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0D36E781">
            <w:pPr>
              <w:pStyle w:val="109"/>
              <w:rPr>
                <w:color w:val="000000" w:themeColor="text1"/>
                <w14:textFill>
                  <w14:solidFill>
                    <w14:schemeClr w14:val="tx1"/>
                  </w14:solidFill>
                </w14:textFill>
              </w:rPr>
            </w:pPr>
            <w:r>
              <w:rPr>
                <w:color w:val="000000" w:themeColor="text1"/>
                <w14:textFill>
                  <w14:solidFill>
                    <w14:schemeClr w14:val="tx1"/>
                  </w14:solidFill>
                </w14:textFill>
              </w:rPr>
              <w:t>0.16</w:t>
            </w:r>
          </w:p>
        </w:tc>
        <w:tc>
          <w:tcPr>
            <w:tcW w:w="1235" w:type="dxa"/>
            <w:vAlign w:val="center"/>
          </w:tcPr>
          <w:p w14:paraId="0E5C04FD">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7B3813D1">
            <w:pPr>
              <w:pStyle w:val="109"/>
              <w:rPr>
                <w:color w:val="000000" w:themeColor="text1"/>
                <w14:textFill>
                  <w14:solidFill>
                    <w14:schemeClr w14:val="tx1"/>
                  </w14:solidFill>
                </w14:textFill>
              </w:rPr>
            </w:pPr>
            <w:r>
              <w:rPr>
                <w:color w:val="000000" w:themeColor="text1"/>
                <w14:textFill>
                  <w14:solidFill>
                    <w14:schemeClr w14:val="tx1"/>
                  </w14:solidFill>
                </w14:textFill>
              </w:rPr>
              <w:t>0.080</w:t>
            </w:r>
          </w:p>
        </w:tc>
      </w:tr>
      <w:tr w14:paraId="13CE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17DBC2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FA868EE">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ACE4BD9">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0740B86D">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58EFD2F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37DFFE4">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4BB9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55192D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57B8AD6">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7F8A2541">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71C435EE">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0F55ED77">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E83A766">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53EE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58394D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3F15B4A">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2D47EA4B">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3AF412DE">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40849D66">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A972839">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27FB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F4ED00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D8FA523">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ABF0E92">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E9EF598">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73409A0A">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06258F6">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29D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A867811">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3B90B5B">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3CF55A2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B91726D">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5DF7FAA">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6A315BD8">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2EBE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C2EF50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07B3C34">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72C170E0">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0214475A">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5F01F27A">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68C027A8">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7B4F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793A43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6107740">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50BBA9D7">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A6F83E8">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3243D37">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104D29F8">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521A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4021531B">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597E01DB">
            <w:pPr>
              <w:pStyle w:val="109"/>
              <w:rPr>
                <w:color w:val="000000" w:themeColor="text1"/>
                <w14:textFill>
                  <w14:solidFill>
                    <w14:schemeClr w14:val="tx1"/>
                  </w14:solidFill>
                </w14:textFill>
              </w:rPr>
            </w:pPr>
            <w:r>
              <w:rPr>
                <w:color w:val="000000" w:themeColor="text1"/>
                <w14:textFill>
                  <w14:solidFill>
                    <w14:schemeClr w14:val="tx1"/>
                  </w14:solidFill>
                </w14:textFill>
              </w:rPr>
              <w:t>0.090</w:t>
            </w:r>
          </w:p>
        </w:tc>
      </w:tr>
      <w:tr w14:paraId="696A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4F6178F4">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51D19592">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19F7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7063DE33">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42503467">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3BC7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389BE527">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4FB2D6B8">
            <w:pPr>
              <w:pStyle w:val="109"/>
              <w:rPr>
                <w:color w:val="000000" w:themeColor="text1"/>
                <w14:textFill>
                  <w14:solidFill>
                    <w14:schemeClr w14:val="tx1"/>
                  </w14:solidFill>
                </w14:textFill>
              </w:rPr>
            </w:pPr>
            <w:r>
              <w:rPr>
                <w:color w:val="000000" w:themeColor="text1"/>
                <w14:textFill>
                  <w14:solidFill>
                    <w14:schemeClr w14:val="tx1"/>
                  </w14:solidFill>
                </w14:textFill>
              </w:rPr>
              <w:t>TZK2601043801</w:t>
            </w:r>
          </w:p>
        </w:tc>
        <w:tc>
          <w:tcPr>
            <w:tcW w:w="2279" w:type="dxa"/>
            <w:vAlign w:val="center"/>
          </w:tcPr>
          <w:p w14:paraId="1AE42A9C">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3E436D60">
            <w:pPr>
              <w:pStyle w:val="109"/>
              <w:rPr>
                <w:color w:val="000000" w:themeColor="text1"/>
                <w14:textFill>
                  <w14:solidFill>
                    <w14:schemeClr w14:val="tx1"/>
                  </w14:solidFill>
                </w14:textFill>
              </w:rPr>
            </w:pPr>
            <w:r>
              <w:rPr>
                <w:color w:val="000000" w:themeColor="text1"/>
                <w14:textFill>
                  <w14:solidFill>
                    <w14:schemeClr w14:val="tx1"/>
                  </w14:solidFill>
                </w14:textFill>
              </w:rPr>
              <w:t>19.991</w:t>
            </w:r>
          </w:p>
        </w:tc>
      </w:tr>
      <w:tr w14:paraId="67D3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7CEB78D0">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7086B933">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7B7BBA42">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54A562FF">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3B62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3FE948DA">
            <w:pPr>
              <w:pStyle w:val="109"/>
              <w:rPr>
                <w:color w:val="000000" w:themeColor="text1"/>
                <w14:textFill>
                  <w14:solidFill>
                    <w14:schemeClr w14:val="tx1"/>
                  </w14:solidFill>
                </w14:textFill>
              </w:rPr>
            </w:pPr>
          </w:p>
        </w:tc>
        <w:tc>
          <w:tcPr>
            <w:tcW w:w="1945" w:type="dxa"/>
            <w:vAlign w:val="center"/>
          </w:tcPr>
          <w:p w14:paraId="739CB07A">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5D2B3DFE">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5EF614E9">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218D0E1B">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27D7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5BF8C80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721EC53A">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2181389C">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56579EE">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5103A7AE">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1444A0BF">
            <w:pPr>
              <w:pStyle w:val="109"/>
              <w:rPr>
                <w:color w:val="000000" w:themeColor="text1"/>
                <w14:textFill>
                  <w14:solidFill>
                    <w14:schemeClr w14:val="tx1"/>
                  </w14:solidFill>
                </w14:textFill>
              </w:rPr>
            </w:pPr>
            <w:r>
              <w:rPr>
                <w:color w:val="000000" w:themeColor="text1"/>
                <w14:textFill>
                  <w14:solidFill>
                    <w14:schemeClr w14:val="tx1"/>
                  </w14:solidFill>
                </w14:textFill>
              </w:rPr>
              <w:t>0.0025</w:t>
            </w:r>
          </w:p>
        </w:tc>
      </w:tr>
      <w:tr w14:paraId="0719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E8C836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F99B360">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0683431E">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74B2962F">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02388370">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4D1704A0">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4B73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312731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5D51C62">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7BAEA0E8">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55FE528">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7AE7198D">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ECC3754">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06FA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FFC980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860A00E">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6DE9015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EE45E2A">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9FD2DBA">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0D00273">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5715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F8B6B9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2ABE477">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176863D4">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ACA7125">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3635A9A">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597AEB1">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7CF1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78BB701">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5F89ABF">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6D55751D">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27AD0AD">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CA42921">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00CABE3F">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7B16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A606A0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FD16C15">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502C4907">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DFA84DB">
            <w:pPr>
              <w:pStyle w:val="109"/>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235" w:type="dxa"/>
            <w:vAlign w:val="center"/>
          </w:tcPr>
          <w:p w14:paraId="1EC7B44E">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6E5CD9A4">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r>
      <w:tr w14:paraId="3BA8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25D8712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B7A32FE">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1A033934">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08B64E58">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54E84043">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CF63051">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3425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8ADED4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374A159">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3C5EA408">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5C79270">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44989C3">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3436C4B9">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0432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75AB42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DBE1EB2">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61AC8D65">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33B949C3">
            <w:pPr>
              <w:pStyle w:val="109"/>
              <w:rPr>
                <w:color w:val="000000" w:themeColor="text1"/>
                <w14:textFill>
                  <w14:solidFill>
                    <w14:schemeClr w14:val="tx1"/>
                  </w14:solidFill>
                </w14:textFill>
              </w:rPr>
            </w:pPr>
            <w:r>
              <w:rPr>
                <w:color w:val="000000" w:themeColor="text1"/>
                <w14:textFill>
                  <w14:solidFill>
                    <w14:schemeClr w14:val="tx1"/>
                  </w14:solidFill>
                </w14:textFill>
              </w:rPr>
              <w:t>0.24</w:t>
            </w:r>
          </w:p>
        </w:tc>
        <w:tc>
          <w:tcPr>
            <w:tcW w:w="1235" w:type="dxa"/>
            <w:vAlign w:val="center"/>
          </w:tcPr>
          <w:p w14:paraId="664F9128">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1580AB23">
            <w:pPr>
              <w:pStyle w:val="109"/>
              <w:rPr>
                <w:color w:val="000000" w:themeColor="text1"/>
                <w14:textFill>
                  <w14:solidFill>
                    <w14:schemeClr w14:val="tx1"/>
                  </w14:solidFill>
                </w14:textFill>
              </w:rPr>
            </w:pPr>
            <w:r>
              <w:rPr>
                <w:color w:val="000000" w:themeColor="text1"/>
                <w14:textFill>
                  <w14:solidFill>
                    <w14:schemeClr w14:val="tx1"/>
                  </w14:solidFill>
                </w14:textFill>
              </w:rPr>
              <w:t>0.12</w:t>
            </w:r>
          </w:p>
        </w:tc>
      </w:tr>
      <w:tr w14:paraId="3A55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1B5E05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96CF4A7">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33F26C3B">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62EEACC">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00F28C60">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3FFE084">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6538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D65E11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879632E">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3DED984">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74B75E4">
            <w:pPr>
              <w:pStyle w:val="109"/>
              <w:rPr>
                <w:color w:val="000000" w:themeColor="text1"/>
                <w14:textFill>
                  <w14:solidFill>
                    <w14:schemeClr w14:val="tx1"/>
                  </w14:solidFill>
                </w14:textFill>
              </w:rPr>
            </w:pPr>
            <w:r>
              <w:rPr>
                <w:color w:val="000000" w:themeColor="text1"/>
                <w14:textFill>
                  <w14:solidFill>
                    <w14:schemeClr w14:val="tx1"/>
                  </w14:solidFill>
                </w14:textFill>
              </w:rPr>
              <w:t>0.23</w:t>
            </w:r>
          </w:p>
        </w:tc>
        <w:tc>
          <w:tcPr>
            <w:tcW w:w="1235" w:type="dxa"/>
            <w:vAlign w:val="center"/>
          </w:tcPr>
          <w:p w14:paraId="24F69CF9">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23F0BAB9">
            <w:pPr>
              <w:pStyle w:val="109"/>
              <w:rPr>
                <w:color w:val="000000" w:themeColor="text1"/>
                <w14:textFill>
                  <w14:solidFill>
                    <w14:schemeClr w14:val="tx1"/>
                  </w14:solidFill>
                </w14:textFill>
              </w:rPr>
            </w:pPr>
            <w:r>
              <w:rPr>
                <w:color w:val="000000" w:themeColor="text1"/>
                <w14:textFill>
                  <w14:solidFill>
                    <w14:schemeClr w14:val="tx1"/>
                  </w14:solidFill>
                </w14:textFill>
              </w:rPr>
              <w:t>0.023</w:t>
            </w:r>
          </w:p>
        </w:tc>
      </w:tr>
      <w:tr w14:paraId="6C33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59EB2C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43D8078">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6763EF4">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6159FBCB">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541D7CD4">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A4AA1F1">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1682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84228D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D2561E5">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4E298B52">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AD2AFD1">
            <w:pPr>
              <w:pStyle w:val="109"/>
              <w:rPr>
                <w:color w:val="000000" w:themeColor="text1"/>
                <w14:textFill>
                  <w14:solidFill>
                    <w14:schemeClr w14:val="tx1"/>
                  </w14:solidFill>
                </w14:textFill>
              </w:rPr>
            </w:pPr>
            <w:r>
              <w:rPr>
                <w:color w:val="000000" w:themeColor="text1"/>
                <w14:textFill>
                  <w14:solidFill>
                    <w14:schemeClr w14:val="tx1"/>
                  </w14:solidFill>
                </w14:textFill>
              </w:rPr>
              <w:t>0.23</w:t>
            </w:r>
          </w:p>
        </w:tc>
        <w:tc>
          <w:tcPr>
            <w:tcW w:w="1235" w:type="dxa"/>
            <w:vAlign w:val="center"/>
          </w:tcPr>
          <w:p w14:paraId="6FAFB565">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2CEE70A">
            <w:pPr>
              <w:pStyle w:val="109"/>
              <w:rPr>
                <w:color w:val="000000" w:themeColor="text1"/>
                <w14:textFill>
                  <w14:solidFill>
                    <w14:schemeClr w14:val="tx1"/>
                  </w14:solidFill>
                </w14:textFill>
              </w:rPr>
            </w:pPr>
            <w:r>
              <w:rPr>
                <w:color w:val="000000" w:themeColor="text1"/>
                <w14:textFill>
                  <w14:solidFill>
                    <w14:schemeClr w14:val="tx1"/>
                  </w14:solidFill>
                </w14:textFill>
              </w:rPr>
              <w:t>0.023</w:t>
            </w:r>
          </w:p>
        </w:tc>
      </w:tr>
      <w:tr w14:paraId="425B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0F0CBF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0CD297B">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69BD255A">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84EED73">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6F82301">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1863A91E">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0030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2770542">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B11897F">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2AD4A2C8">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3A759DBC">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4D310F49">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6E244320">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073E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0677FC3">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D9D4DE2">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06C1AA8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EB6AA58">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50B1D480">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513206DE">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07A9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7F114629">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54BD927F">
            <w:pPr>
              <w:pStyle w:val="109"/>
              <w:rPr>
                <w:color w:val="000000" w:themeColor="text1"/>
                <w14:textFill>
                  <w14:solidFill>
                    <w14:schemeClr w14:val="tx1"/>
                  </w14:solidFill>
                </w14:textFill>
              </w:rPr>
            </w:pPr>
            <w:r>
              <w:rPr>
                <w:color w:val="000000" w:themeColor="text1"/>
                <w14:textFill>
                  <w14:solidFill>
                    <w14:schemeClr w14:val="tx1"/>
                  </w14:solidFill>
                </w14:textFill>
              </w:rPr>
              <w:t>0.18</w:t>
            </w:r>
          </w:p>
        </w:tc>
      </w:tr>
      <w:tr w14:paraId="564B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1EBD1140">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2D7F7F0E">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140A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0F3A0BBD">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40E1085C">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7FEA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713D35A6">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54402600">
            <w:pPr>
              <w:pStyle w:val="109"/>
              <w:rPr>
                <w:color w:val="000000" w:themeColor="text1"/>
                <w14:textFill>
                  <w14:solidFill>
                    <w14:schemeClr w14:val="tx1"/>
                  </w14:solidFill>
                </w14:textFill>
              </w:rPr>
            </w:pPr>
            <w:r>
              <w:rPr>
                <w:color w:val="000000" w:themeColor="text1"/>
                <w14:textFill>
                  <w14:solidFill>
                    <w14:schemeClr w14:val="tx1"/>
                  </w14:solidFill>
                </w14:textFill>
              </w:rPr>
              <w:t>TZK2601043901</w:t>
            </w:r>
          </w:p>
        </w:tc>
        <w:tc>
          <w:tcPr>
            <w:tcW w:w="2279" w:type="dxa"/>
            <w:vAlign w:val="center"/>
          </w:tcPr>
          <w:p w14:paraId="3BFEC237">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376D8741">
            <w:pPr>
              <w:pStyle w:val="109"/>
              <w:rPr>
                <w:color w:val="000000" w:themeColor="text1"/>
                <w14:textFill>
                  <w14:solidFill>
                    <w14:schemeClr w14:val="tx1"/>
                  </w14:solidFill>
                </w14:textFill>
              </w:rPr>
            </w:pPr>
            <w:r>
              <w:rPr>
                <w:color w:val="000000" w:themeColor="text1"/>
                <w14:textFill>
                  <w14:solidFill>
                    <w14:schemeClr w14:val="tx1"/>
                  </w14:solidFill>
                </w14:textFill>
              </w:rPr>
              <w:t>19.941</w:t>
            </w:r>
          </w:p>
        </w:tc>
      </w:tr>
      <w:tr w14:paraId="6BAD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6869C22C">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3C4AF81D">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231D3A1E">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334B529D">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7209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694AB379">
            <w:pPr>
              <w:pStyle w:val="109"/>
              <w:rPr>
                <w:color w:val="000000" w:themeColor="text1"/>
                <w14:textFill>
                  <w14:solidFill>
                    <w14:schemeClr w14:val="tx1"/>
                  </w14:solidFill>
                </w14:textFill>
              </w:rPr>
            </w:pPr>
          </w:p>
        </w:tc>
        <w:tc>
          <w:tcPr>
            <w:tcW w:w="1945" w:type="dxa"/>
            <w:vAlign w:val="center"/>
          </w:tcPr>
          <w:p w14:paraId="71D41813">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70AC790D">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23ACD425">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385362FD">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5747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69A99F9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B5C390D">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0C056F5C">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478DC269">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2468138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47C12224">
            <w:pPr>
              <w:pStyle w:val="109"/>
              <w:rPr>
                <w:color w:val="000000" w:themeColor="text1"/>
                <w14:textFill>
                  <w14:solidFill>
                    <w14:schemeClr w14:val="tx1"/>
                  </w14:solidFill>
                </w14:textFill>
              </w:rPr>
            </w:pPr>
            <w:r>
              <w:rPr>
                <w:color w:val="000000" w:themeColor="text1"/>
                <w14:textFill>
                  <w14:solidFill>
                    <w14:schemeClr w14:val="tx1"/>
                  </w14:solidFill>
                </w14:textFill>
              </w:rPr>
              <w:t>0.0025</w:t>
            </w:r>
          </w:p>
        </w:tc>
      </w:tr>
      <w:tr w14:paraId="29DE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069250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CBF49C7">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217E1A0E">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7DBA5EDA">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71D5D43E">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333C42E3">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3661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5A1340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7456FF15">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4884CE73">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29F0FB81">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1CED42A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5522E2C0">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0E70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CC396E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56818671">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420F8B6C">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9647710">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4E388FEE">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AF6859C">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1CDD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168128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09B6EB4">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45F2C8E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E132EA0">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10F073A3">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39100F0">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6892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A68891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75F7E42">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557B9A71">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1E0D38C">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92043F4">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55DBB3EB">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4B60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AA5DF8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587D62BC">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5D41A993">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B136018">
            <w:pPr>
              <w:pStyle w:val="109"/>
              <w:rPr>
                <w:color w:val="000000" w:themeColor="text1"/>
                <w14:textFill>
                  <w14:solidFill>
                    <w14:schemeClr w14:val="tx1"/>
                  </w14:solidFill>
                </w14:textFill>
              </w:rPr>
            </w:pPr>
            <w:r>
              <w:rPr>
                <w:color w:val="000000" w:themeColor="text1"/>
                <w14:textFill>
                  <w14:solidFill>
                    <w14:schemeClr w14:val="tx1"/>
                  </w14:solidFill>
                </w14:textFill>
              </w:rPr>
              <w:t>7.2</w:t>
            </w:r>
          </w:p>
        </w:tc>
        <w:tc>
          <w:tcPr>
            <w:tcW w:w="1235" w:type="dxa"/>
            <w:vAlign w:val="center"/>
          </w:tcPr>
          <w:p w14:paraId="715A3D93">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2DF92DD5">
            <w:pPr>
              <w:pStyle w:val="109"/>
              <w:rPr>
                <w:color w:val="000000" w:themeColor="text1"/>
                <w14:textFill>
                  <w14:solidFill>
                    <w14:schemeClr w14:val="tx1"/>
                  </w14:solidFill>
                </w14:textFill>
              </w:rPr>
            </w:pPr>
            <w:r>
              <w:rPr>
                <w:color w:val="000000" w:themeColor="text1"/>
                <w14:textFill>
                  <w14:solidFill>
                    <w14:schemeClr w14:val="tx1"/>
                  </w14:solidFill>
                </w14:textFill>
              </w:rPr>
              <w:t>0.0072</w:t>
            </w:r>
          </w:p>
        </w:tc>
      </w:tr>
      <w:tr w14:paraId="545A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41DB975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04A82E9">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658CD9FE">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6793CBB3">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2BFA777B">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2C68146">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06B7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585565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74F1723">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00375C08">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6D248DD">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C423BB3">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03F91C18">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7F15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97391D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1AF278B">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678CE70B">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23889266">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49652121">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47B4D32B">
            <w:pPr>
              <w:pStyle w:val="109"/>
              <w:rPr>
                <w:color w:val="000000" w:themeColor="text1"/>
                <w14:textFill>
                  <w14:solidFill>
                    <w14:schemeClr w14:val="tx1"/>
                  </w14:solidFill>
                </w14:textFill>
              </w:rPr>
            </w:pPr>
            <w:r>
              <w:rPr>
                <w:color w:val="000000" w:themeColor="text1"/>
                <w14:textFill>
                  <w14:solidFill>
                    <w14:schemeClr w14:val="tx1"/>
                  </w14:solidFill>
                </w14:textFill>
              </w:rPr>
              <w:t>0.0012</w:t>
            </w:r>
          </w:p>
        </w:tc>
      </w:tr>
      <w:tr w14:paraId="785E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72BD43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77A03CC">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5EF08891">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4CB40C40">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3246CA7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0D2218D">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660C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C4F3DF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7088DA3">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3E2E7171">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16C2E3FB">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4DB0C530">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1899456">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6BF6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611D33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4E08B7E">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554488C">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6D7012BA">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7F8B4AA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DBCB846">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6C8C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C07D83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3FD9B41">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2339E315">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EC967A1">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F9984E0">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F8B42BF">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2EA8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C11BB9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F5702B3">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380F5B41">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02C985E">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9DE1A21">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289D1E82">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0B6A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622B60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CAE1BFB">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3E746C89">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1374A375">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7CAF7141">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7198BBD4">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597C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4773DC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D8A1AE4">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7636729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1D816C7">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235" w:type="dxa"/>
            <w:vAlign w:val="center"/>
          </w:tcPr>
          <w:p w14:paraId="79EEA209">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52CB39FD">
            <w:pPr>
              <w:pStyle w:val="109"/>
              <w:rPr>
                <w:color w:val="000000" w:themeColor="text1"/>
                <w14:textFill>
                  <w14:solidFill>
                    <w14:schemeClr w14:val="tx1"/>
                  </w14:solidFill>
                </w14:textFill>
              </w:rPr>
            </w:pPr>
            <w:r>
              <w:rPr>
                <w:color w:val="000000" w:themeColor="text1"/>
                <w14:textFill>
                  <w14:solidFill>
                    <w14:schemeClr w14:val="tx1"/>
                  </w14:solidFill>
                </w14:textFill>
              </w:rPr>
              <w:t>0.0011</w:t>
            </w:r>
          </w:p>
        </w:tc>
      </w:tr>
      <w:tr w14:paraId="44D0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1A9B081C">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4892DA63">
            <w:pPr>
              <w:pStyle w:val="109"/>
              <w:rPr>
                <w:color w:val="000000" w:themeColor="text1"/>
                <w14:textFill>
                  <w14:solidFill>
                    <w14:schemeClr w14:val="tx1"/>
                  </w14:solidFill>
                </w14:textFill>
              </w:rPr>
            </w:pPr>
            <w:r>
              <w:rPr>
                <w:color w:val="000000" w:themeColor="text1"/>
                <w14:textFill>
                  <w14:solidFill>
                    <w14:schemeClr w14:val="tx1"/>
                  </w14:solidFill>
                </w14:textFill>
              </w:rPr>
              <w:t>0.016</w:t>
            </w:r>
          </w:p>
        </w:tc>
      </w:tr>
      <w:tr w14:paraId="6A34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1A87E3A0">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718CCEDE">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pPr w:leftFromText="180" w:rightFromText="180" w:vertAnchor="text" w:horzAnchor="page" w:tblpX="1092" w:tblpY="311"/>
        <w:tblOverlap w:val="never"/>
        <w:tblW w:w="9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06"/>
        <w:gridCol w:w="1945"/>
        <w:gridCol w:w="2279"/>
        <w:gridCol w:w="1235"/>
        <w:gridCol w:w="1235"/>
      </w:tblGrid>
      <w:tr w14:paraId="4DBB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trPr>
        <w:tc>
          <w:tcPr>
            <w:tcW w:w="3226" w:type="dxa"/>
            <w:gridSpan w:val="2"/>
            <w:vAlign w:val="center"/>
          </w:tcPr>
          <w:p w14:paraId="41E91C20">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6694" w:type="dxa"/>
            <w:gridSpan w:val="4"/>
            <w:vAlign w:val="center"/>
          </w:tcPr>
          <w:p w14:paraId="26E8D836">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0EDE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trPr>
        <w:tc>
          <w:tcPr>
            <w:tcW w:w="3226" w:type="dxa"/>
            <w:gridSpan w:val="2"/>
            <w:vAlign w:val="center"/>
          </w:tcPr>
          <w:p w14:paraId="24D01878">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5E477D2C">
            <w:pPr>
              <w:pStyle w:val="109"/>
              <w:rPr>
                <w:color w:val="000000" w:themeColor="text1"/>
                <w14:textFill>
                  <w14:solidFill>
                    <w14:schemeClr w14:val="tx1"/>
                  </w14:solidFill>
                </w14:textFill>
              </w:rPr>
            </w:pPr>
            <w:r>
              <w:rPr>
                <w:color w:val="000000" w:themeColor="text1"/>
                <w14:textFill>
                  <w14:solidFill>
                    <w14:schemeClr w14:val="tx1"/>
                  </w14:solidFill>
                </w14:textFill>
              </w:rPr>
              <w:t>TZK2601044001</w:t>
            </w:r>
          </w:p>
        </w:tc>
        <w:tc>
          <w:tcPr>
            <w:tcW w:w="2279" w:type="dxa"/>
            <w:vAlign w:val="center"/>
          </w:tcPr>
          <w:p w14:paraId="7799E90F">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2470" w:type="dxa"/>
            <w:gridSpan w:val="2"/>
            <w:vAlign w:val="center"/>
          </w:tcPr>
          <w:p w14:paraId="668EC9C0">
            <w:pPr>
              <w:pStyle w:val="109"/>
              <w:rPr>
                <w:color w:val="000000" w:themeColor="text1"/>
                <w14:textFill>
                  <w14:solidFill>
                    <w14:schemeClr w14:val="tx1"/>
                  </w14:solidFill>
                </w14:textFill>
              </w:rPr>
            </w:pPr>
            <w:r>
              <w:rPr>
                <w:color w:val="000000" w:themeColor="text1"/>
                <w14:textFill>
                  <w14:solidFill>
                    <w14:schemeClr w14:val="tx1"/>
                  </w14:solidFill>
                </w14:textFill>
              </w:rPr>
              <w:t>19.881</w:t>
            </w:r>
          </w:p>
        </w:tc>
      </w:tr>
      <w:tr w14:paraId="0E38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trPr>
        <w:tc>
          <w:tcPr>
            <w:tcW w:w="3226" w:type="dxa"/>
            <w:gridSpan w:val="2"/>
            <w:vMerge w:val="restart"/>
            <w:vAlign w:val="center"/>
          </w:tcPr>
          <w:p w14:paraId="11AFE040">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233AB212">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1DCE2692">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2470" w:type="dxa"/>
            <w:gridSpan w:val="2"/>
            <w:vAlign w:val="center"/>
          </w:tcPr>
          <w:p w14:paraId="08AA7434">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3CC4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trPr>
        <w:tc>
          <w:tcPr>
            <w:tcW w:w="3226" w:type="dxa"/>
            <w:gridSpan w:val="2"/>
            <w:vMerge w:val="continue"/>
            <w:vAlign w:val="center"/>
          </w:tcPr>
          <w:p w14:paraId="2BBCF8B6">
            <w:pPr>
              <w:pStyle w:val="109"/>
              <w:rPr>
                <w:color w:val="000000" w:themeColor="text1"/>
                <w14:textFill>
                  <w14:solidFill>
                    <w14:schemeClr w14:val="tx1"/>
                  </w14:solidFill>
                </w14:textFill>
              </w:rPr>
            </w:pPr>
          </w:p>
        </w:tc>
        <w:tc>
          <w:tcPr>
            <w:tcW w:w="1945" w:type="dxa"/>
            <w:vAlign w:val="center"/>
          </w:tcPr>
          <w:p w14:paraId="0B9E3809">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4FD8638C">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3B6FC721">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4A370B96">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6B3B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restart"/>
            <w:vAlign w:val="center"/>
          </w:tcPr>
          <w:p w14:paraId="55D9F1B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51B4F54">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23BF0C6E">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34C934D">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5BBBEBC7">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53512668">
            <w:pPr>
              <w:pStyle w:val="109"/>
              <w:rPr>
                <w:color w:val="000000" w:themeColor="text1"/>
                <w14:textFill>
                  <w14:solidFill>
                    <w14:schemeClr w14:val="tx1"/>
                  </w14:solidFill>
                </w14:textFill>
              </w:rPr>
            </w:pPr>
            <w:r>
              <w:rPr>
                <w:color w:val="000000" w:themeColor="text1"/>
                <w14:textFill>
                  <w14:solidFill>
                    <w14:schemeClr w14:val="tx1"/>
                  </w14:solidFill>
                </w14:textFill>
              </w:rPr>
              <w:t>0.0025</w:t>
            </w:r>
          </w:p>
        </w:tc>
      </w:tr>
      <w:tr w14:paraId="1EB6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5A2AF4C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CFD0D26">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52EE2DA4">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1659C752">
            <w:pPr>
              <w:pStyle w:val="109"/>
              <w:rPr>
                <w:color w:val="000000" w:themeColor="text1"/>
                <w14:textFill>
                  <w14:solidFill>
                    <w14:schemeClr w14:val="tx1"/>
                  </w14:solidFill>
                </w14:textFill>
              </w:rPr>
            </w:pPr>
            <w:r>
              <w:rPr>
                <w:color w:val="000000" w:themeColor="text1"/>
                <w14:textFill>
                  <w14:solidFill>
                    <w14:schemeClr w14:val="tx1"/>
                  </w14:solidFill>
                </w14:textFill>
              </w:rPr>
              <w:t>0.23</w:t>
            </w:r>
          </w:p>
        </w:tc>
        <w:tc>
          <w:tcPr>
            <w:tcW w:w="1235" w:type="dxa"/>
            <w:vAlign w:val="center"/>
          </w:tcPr>
          <w:p w14:paraId="0D4046FF">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75F04C92">
            <w:pPr>
              <w:pStyle w:val="109"/>
              <w:rPr>
                <w:color w:val="000000" w:themeColor="text1"/>
                <w14:textFill>
                  <w14:solidFill>
                    <w14:schemeClr w14:val="tx1"/>
                  </w14:solidFill>
                </w14:textFill>
              </w:rPr>
            </w:pPr>
            <w:r>
              <w:rPr>
                <w:color w:val="000000" w:themeColor="text1"/>
                <w14:textFill>
                  <w14:solidFill>
                    <w14:schemeClr w14:val="tx1"/>
                  </w14:solidFill>
                </w14:textFill>
              </w:rPr>
              <w:t>0.12</w:t>
            </w:r>
          </w:p>
        </w:tc>
      </w:tr>
      <w:tr w14:paraId="61BD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58DE717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8B45CF0">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6A5E5A8C">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40C49443">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50789B4A">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DEA54A1">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1FB0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3A9091A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572F6AC9">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51207BA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635BA2B">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633FC6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366F422">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9A7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4C9422A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A02096D">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6B30939B">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19B888F">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6D2BB7B">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5D6F15E1">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5B1D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6F9F5A2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F53562D">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4B1DD07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51D44AF0">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584BB8DF">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6C001B20">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2AFA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178AA2A1">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C8DC711">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261AA314">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6EF102D">
            <w:pPr>
              <w:pStyle w:val="109"/>
              <w:rPr>
                <w:color w:val="000000" w:themeColor="text1"/>
                <w14:textFill>
                  <w14:solidFill>
                    <w14:schemeClr w14:val="tx1"/>
                  </w14:solidFill>
                </w14:textFill>
              </w:rPr>
            </w:pPr>
            <w:r>
              <w:rPr>
                <w:color w:val="000000" w:themeColor="text1"/>
                <w14:textFill>
                  <w14:solidFill>
                    <w14:schemeClr w14:val="tx1"/>
                  </w14:solidFill>
                </w14:textFill>
              </w:rPr>
              <w:t>3.7</w:t>
            </w:r>
          </w:p>
        </w:tc>
        <w:tc>
          <w:tcPr>
            <w:tcW w:w="1235" w:type="dxa"/>
            <w:vAlign w:val="center"/>
          </w:tcPr>
          <w:p w14:paraId="7C4C8D59">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1FD78AF7">
            <w:pPr>
              <w:pStyle w:val="109"/>
              <w:rPr>
                <w:color w:val="000000" w:themeColor="text1"/>
                <w14:textFill>
                  <w14:solidFill>
                    <w14:schemeClr w14:val="tx1"/>
                  </w14:solidFill>
                </w14:textFill>
              </w:rPr>
            </w:pPr>
            <w:r>
              <w:rPr>
                <w:color w:val="000000" w:themeColor="text1"/>
                <w14:textFill>
                  <w14:solidFill>
                    <w14:schemeClr w14:val="tx1"/>
                  </w14:solidFill>
                </w14:textFill>
              </w:rPr>
              <w:t>0.0037</w:t>
            </w:r>
          </w:p>
        </w:tc>
      </w:tr>
      <w:tr w14:paraId="21F6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restart"/>
            <w:vAlign w:val="center"/>
          </w:tcPr>
          <w:p w14:paraId="7881E8D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ACEC8B1">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59F5EB84">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4A591027">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55CD82E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823D6D9">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33BC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77FC1812">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D3458C3">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7C3DEBC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E8C3C2A">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14ECFAB1">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625A0D46">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5B0D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5332FCE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61E328A">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2F85D08B">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3B9E3A5D">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4031E1C5">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54AF1031">
            <w:pPr>
              <w:pStyle w:val="109"/>
              <w:rPr>
                <w:color w:val="000000" w:themeColor="text1"/>
                <w14:textFill>
                  <w14:solidFill>
                    <w14:schemeClr w14:val="tx1"/>
                  </w14:solidFill>
                </w14:textFill>
              </w:rPr>
            </w:pPr>
            <w:r>
              <w:rPr>
                <w:color w:val="000000" w:themeColor="text1"/>
                <w14:textFill>
                  <w14:solidFill>
                    <w14:schemeClr w14:val="tx1"/>
                  </w14:solidFill>
                </w14:textFill>
              </w:rPr>
              <w:t>0.0012</w:t>
            </w:r>
          </w:p>
        </w:tc>
      </w:tr>
      <w:tr w14:paraId="674C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1E0D365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BEAF894">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004F3676">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9E90788">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7BD2F539">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7168DDB">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6F63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0ED40CD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7FD8E4F">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554976B7">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E5C3ACB">
            <w:pPr>
              <w:pStyle w:val="109"/>
              <w:rPr>
                <w:color w:val="000000" w:themeColor="text1"/>
                <w14:textFill>
                  <w14:solidFill>
                    <w14:schemeClr w14:val="tx1"/>
                  </w14:solidFill>
                </w14:textFill>
              </w:rPr>
            </w:pPr>
            <w:r>
              <w:rPr>
                <w:color w:val="000000" w:themeColor="text1"/>
                <w14:textFill>
                  <w14:solidFill>
                    <w14:schemeClr w14:val="tx1"/>
                  </w14:solidFill>
                </w14:textFill>
              </w:rPr>
              <w:t>0.19</w:t>
            </w:r>
          </w:p>
        </w:tc>
        <w:tc>
          <w:tcPr>
            <w:tcW w:w="1235" w:type="dxa"/>
            <w:vAlign w:val="center"/>
          </w:tcPr>
          <w:p w14:paraId="334888AA">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0AFB29C">
            <w:pPr>
              <w:pStyle w:val="109"/>
              <w:rPr>
                <w:color w:val="000000" w:themeColor="text1"/>
                <w14:textFill>
                  <w14:solidFill>
                    <w14:schemeClr w14:val="tx1"/>
                  </w14:solidFill>
                </w14:textFill>
              </w:rPr>
            </w:pPr>
            <w:r>
              <w:rPr>
                <w:color w:val="000000" w:themeColor="text1"/>
                <w14:textFill>
                  <w14:solidFill>
                    <w14:schemeClr w14:val="tx1"/>
                  </w14:solidFill>
                </w14:textFill>
              </w:rPr>
              <w:t>0.019</w:t>
            </w:r>
          </w:p>
        </w:tc>
      </w:tr>
      <w:tr w14:paraId="4C68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60742A1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380E0DE">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23F9D48">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3D81BDEE">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35602715">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4C81F61">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49C5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652B454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480D71EF">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46D8C00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44CB7F3">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E39971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5266B8A1">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4661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47281AE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89D2925">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70405BBC">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00C3FB1">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0F46802">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5B46CE32">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1196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1B0338F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5ACD4D6">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326DFAAC">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403665A9">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01E6E1AF">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116CAF86">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50C1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Merge w:val="continue"/>
            <w:vAlign w:val="center"/>
          </w:tcPr>
          <w:p w14:paraId="5078F31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4B130CF4">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34E4C4A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75A3176">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A284512">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25EEAF23">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30FC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71" w:type="dxa"/>
            <w:gridSpan w:val="3"/>
            <w:vAlign w:val="center"/>
          </w:tcPr>
          <w:p w14:paraId="2FEDC31F">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4749" w:type="dxa"/>
            <w:gridSpan w:val="3"/>
            <w:vAlign w:val="center"/>
          </w:tcPr>
          <w:p w14:paraId="4F63568D">
            <w:pPr>
              <w:pStyle w:val="109"/>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419A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920" w:type="dxa"/>
            <w:gridSpan w:val="6"/>
            <w:vAlign w:val="center"/>
          </w:tcPr>
          <w:p w14:paraId="5670D4A1">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4BC17E9E">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3A46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592341D9">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38A2027E">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60DC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382CC6F9">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28DA086A">
            <w:pPr>
              <w:pStyle w:val="109"/>
              <w:rPr>
                <w:color w:val="000000" w:themeColor="text1"/>
                <w14:textFill>
                  <w14:solidFill>
                    <w14:schemeClr w14:val="tx1"/>
                  </w14:solidFill>
                </w14:textFill>
              </w:rPr>
            </w:pPr>
            <w:r>
              <w:rPr>
                <w:color w:val="000000" w:themeColor="text1"/>
                <w14:textFill>
                  <w14:solidFill>
                    <w14:schemeClr w14:val="tx1"/>
                  </w14:solidFill>
                </w14:textFill>
              </w:rPr>
              <w:t>TZK2601044101</w:t>
            </w:r>
          </w:p>
        </w:tc>
        <w:tc>
          <w:tcPr>
            <w:tcW w:w="2279" w:type="dxa"/>
            <w:vAlign w:val="center"/>
          </w:tcPr>
          <w:p w14:paraId="4F8188B3">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37660BBA">
            <w:pPr>
              <w:pStyle w:val="109"/>
              <w:rPr>
                <w:color w:val="000000" w:themeColor="text1"/>
                <w14:textFill>
                  <w14:solidFill>
                    <w14:schemeClr w14:val="tx1"/>
                  </w14:solidFill>
                </w14:textFill>
              </w:rPr>
            </w:pPr>
            <w:r>
              <w:rPr>
                <w:color w:val="000000" w:themeColor="text1"/>
                <w14:textFill>
                  <w14:solidFill>
                    <w14:schemeClr w14:val="tx1"/>
                  </w14:solidFill>
                </w14:textFill>
              </w:rPr>
              <w:t>19.786</w:t>
            </w:r>
          </w:p>
        </w:tc>
      </w:tr>
      <w:tr w14:paraId="1D31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0C765E85">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3414DB33">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1F2A06ED">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2A586BF2">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5B3D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1D47FD00">
            <w:pPr>
              <w:pStyle w:val="109"/>
              <w:rPr>
                <w:color w:val="000000" w:themeColor="text1"/>
                <w14:textFill>
                  <w14:solidFill>
                    <w14:schemeClr w14:val="tx1"/>
                  </w14:solidFill>
                </w14:textFill>
              </w:rPr>
            </w:pPr>
          </w:p>
        </w:tc>
        <w:tc>
          <w:tcPr>
            <w:tcW w:w="1945" w:type="dxa"/>
            <w:vAlign w:val="center"/>
          </w:tcPr>
          <w:p w14:paraId="6DC1B0B4">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3AA4E313">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62A82924">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683F30BA">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7BCF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5949FAB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62319DE">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0BA40AA8">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2F397A91">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4B1FD49B">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1F2C2689">
            <w:pPr>
              <w:pStyle w:val="109"/>
              <w:rPr>
                <w:color w:val="000000" w:themeColor="text1"/>
                <w14:textFill>
                  <w14:solidFill>
                    <w14:schemeClr w14:val="tx1"/>
                  </w14:solidFill>
                </w14:textFill>
              </w:rPr>
            </w:pPr>
            <w:r>
              <w:rPr>
                <w:color w:val="000000" w:themeColor="text1"/>
                <w14:textFill>
                  <w14:solidFill>
                    <w14:schemeClr w14:val="tx1"/>
                  </w14:solidFill>
                </w14:textFill>
              </w:rPr>
              <w:t>0.0026</w:t>
            </w:r>
          </w:p>
        </w:tc>
      </w:tr>
      <w:tr w14:paraId="38B5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470FBB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D758B5A">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716FB670">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65B6D01C">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315AB1E4">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7F674AFF">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572C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4591AF2">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96B69C4">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68C5525A">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74F531D7">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7D85FB90">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810CA43">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746F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3969D8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5426C951">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6F0610E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56C24328">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75973104">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4405E57">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3A15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6FF44E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A03B687">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4B7E13A3">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EC42FB4">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766DDEB">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05C2577">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B8B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7980C3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1F1A9FE9">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5B756B02">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29722DD">
            <w:pPr>
              <w:pStyle w:val="109"/>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235" w:type="dxa"/>
            <w:vAlign w:val="center"/>
          </w:tcPr>
          <w:p w14:paraId="3B214AC8">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073EB3F9">
            <w:pPr>
              <w:pStyle w:val="109"/>
              <w:rPr>
                <w:color w:val="000000" w:themeColor="text1"/>
                <w14:textFill>
                  <w14:solidFill>
                    <w14:schemeClr w14:val="tx1"/>
                  </w14:solidFill>
                </w14:textFill>
              </w:rPr>
            </w:pPr>
            <w:r>
              <w:rPr>
                <w:color w:val="000000" w:themeColor="text1"/>
                <w14:textFill>
                  <w14:solidFill>
                    <w14:schemeClr w14:val="tx1"/>
                  </w14:solidFill>
                </w14:textFill>
              </w:rPr>
              <w:t>0.028</w:t>
            </w:r>
          </w:p>
        </w:tc>
      </w:tr>
      <w:tr w14:paraId="6202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326225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1900C8AA">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4E1EDFD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17F5E1C">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1235" w:type="dxa"/>
            <w:vAlign w:val="center"/>
          </w:tcPr>
          <w:p w14:paraId="5E4A0175">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5826C290">
            <w:pPr>
              <w:pStyle w:val="109"/>
              <w:rPr>
                <w:color w:val="000000" w:themeColor="text1"/>
                <w14:textFill>
                  <w14:solidFill>
                    <w14:schemeClr w14:val="tx1"/>
                  </w14:solidFill>
                </w14:textFill>
              </w:rPr>
            </w:pPr>
            <w:r>
              <w:rPr>
                <w:color w:val="000000" w:themeColor="text1"/>
                <w14:textFill>
                  <w14:solidFill>
                    <w14:schemeClr w14:val="tx1"/>
                  </w14:solidFill>
                </w14:textFill>
              </w:rPr>
              <w:t>0.058</w:t>
            </w:r>
          </w:p>
        </w:tc>
      </w:tr>
      <w:tr w14:paraId="550D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28008A4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7C5310A">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22F71A69">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7CBCF672">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78477E7A">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9CC1351">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4C80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35C3AF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44EAB16">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69063BEA">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F356071">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DC1A020">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7828B3A1">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4F4C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8F3005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4D607EAA">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09E82C08">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2AEDF471">
            <w:pPr>
              <w:pStyle w:val="109"/>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235" w:type="dxa"/>
            <w:vAlign w:val="center"/>
          </w:tcPr>
          <w:p w14:paraId="05C75C1C">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4C255578">
            <w:pPr>
              <w:pStyle w:val="109"/>
              <w:rPr>
                <w:color w:val="000000" w:themeColor="text1"/>
                <w14:textFill>
                  <w14:solidFill>
                    <w14:schemeClr w14:val="tx1"/>
                  </w14:solidFill>
                </w14:textFill>
              </w:rPr>
            </w:pPr>
            <w:r>
              <w:rPr>
                <w:color w:val="000000" w:themeColor="text1"/>
                <w14:textFill>
                  <w14:solidFill>
                    <w14:schemeClr w14:val="tx1"/>
                  </w14:solidFill>
                </w14:textFill>
              </w:rPr>
              <w:t>0.055</w:t>
            </w:r>
          </w:p>
        </w:tc>
      </w:tr>
      <w:tr w14:paraId="259E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D4A4EA2">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6B77E2F">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3870A90A">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5511C7E9">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262F2956">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A518D19">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744A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E3D7F2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842D4F9">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36F1594E">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3FBE11F">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50F84FA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114C15D">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6BBF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8367D0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D67694E">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33FC79A">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20D938DD">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48672890">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88BF195">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142D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3C5612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62D65FE">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06AEA408">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4D789D0">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BCEF8A3">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E25334C">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15B1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929F4B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99E1076">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5FEA3BA2">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7FE9B9B">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DA45669">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6493D076">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276D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77D98D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85E85FE">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1D473918">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5065FCB3">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739C3498">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4A9A95B1">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3853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FA6CC4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CF683CD">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082B0D11">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6A1047D">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1A361BE9">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28D96DB9">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4524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656F6C56">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7E9C16D3">
            <w:pPr>
              <w:pStyle w:val="109"/>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0F7B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280CD608">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2284308F">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04D3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4447A3B5">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0B6034B8">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4020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32C3AC35">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17B229B9">
            <w:pPr>
              <w:pStyle w:val="109"/>
              <w:rPr>
                <w:color w:val="000000" w:themeColor="text1"/>
                <w14:textFill>
                  <w14:solidFill>
                    <w14:schemeClr w14:val="tx1"/>
                  </w14:solidFill>
                </w14:textFill>
              </w:rPr>
            </w:pPr>
            <w:r>
              <w:rPr>
                <w:color w:val="000000" w:themeColor="text1"/>
                <w14:textFill>
                  <w14:solidFill>
                    <w14:schemeClr w14:val="tx1"/>
                  </w14:solidFill>
                </w14:textFill>
              </w:rPr>
              <w:t>TZK2601044201</w:t>
            </w:r>
          </w:p>
        </w:tc>
        <w:tc>
          <w:tcPr>
            <w:tcW w:w="2279" w:type="dxa"/>
            <w:vAlign w:val="center"/>
          </w:tcPr>
          <w:p w14:paraId="28F76817">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3660F194">
            <w:pPr>
              <w:pStyle w:val="109"/>
              <w:rPr>
                <w:color w:val="000000" w:themeColor="text1"/>
                <w14:textFill>
                  <w14:solidFill>
                    <w14:schemeClr w14:val="tx1"/>
                  </w14:solidFill>
                </w14:textFill>
              </w:rPr>
            </w:pPr>
            <w:r>
              <w:rPr>
                <w:color w:val="000000" w:themeColor="text1"/>
                <w14:textFill>
                  <w14:solidFill>
                    <w14:schemeClr w14:val="tx1"/>
                  </w14:solidFill>
                </w14:textFill>
              </w:rPr>
              <w:t>19.880</w:t>
            </w:r>
          </w:p>
        </w:tc>
      </w:tr>
      <w:tr w14:paraId="123D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3C3138A5">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4756F2E6">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6DB13D0A">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437FA085">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6DB7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69D83108">
            <w:pPr>
              <w:pStyle w:val="109"/>
              <w:rPr>
                <w:color w:val="000000" w:themeColor="text1"/>
                <w14:textFill>
                  <w14:solidFill>
                    <w14:schemeClr w14:val="tx1"/>
                  </w14:solidFill>
                </w14:textFill>
              </w:rPr>
            </w:pPr>
          </w:p>
        </w:tc>
        <w:tc>
          <w:tcPr>
            <w:tcW w:w="1945" w:type="dxa"/>
            <w:vAlign w:val="center"/>
          </w:tcPr>
          <w:p w14:paraId="25DDF146">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4E7DDD73">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4DA56882">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5DA713FF">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6F89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23E6DF7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B172C65">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730F14ED">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24A2BA37">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11CE9C09">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3E44C6C2">
            <w:pPr>
              <w:pStyle w:val="109"/>
              <w:rPr>
                <w:color w:val="000000" w:themeColor="text1"/>
                <w14:textFill>
                  <w14:solidFill>
                    <w14:schemeClr w14:val="tx1"/>
                  </w14:solidFill>
                </w14:textFill>
              </w:rPr>
            </w:pPr>
            <w:r>
              <w:rPr>
                <w:color w:val="000000" w:themeColor="text1"/>
                <w14:textFill>
                  <w14:solidFill>
                    <w14:schemeClr w14:val="tx1"/>
                  </w14:solidFill>
                </w14:textFill>
              </w:rPr>
              <w:t>0.0025</w:t>
            </w:r>
          </w:p>
        </w:tc>
      </w:tr>
      <w:tr w14:paraId="3A66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51EF76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005A53F">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53A14DA2">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6E2C2155">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2E079FC8">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758996B1">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4920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B614EF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7F202210">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0EC7BE12">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1FD36E91">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0D4562BB">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9E9604C">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4D14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041B482">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3B6C787">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361159E3">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52B23D1E">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1ADF9812">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ED99ACC">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3603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B82C8B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35AF8F7">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540DBF19">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E68F1BB">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B0E7000">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3EB540A">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1AF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F73843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1DA2F337">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0F594D4A">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FF6CE38">
            <w:pPr>
              <w:pStyle w:val="109"/>
              <w:rPr>
                <w:color w:val="000000" w:themeColor="text1"/>
                <w14:textFill>
                  <w14:solidFill>
                    <w14:schemeClr w14:val="tx1"/>
                  </w14:solidFill>
                </w14:textFill>
              </w:rPr>
            </w:pPr>
            <w:r>
              <w:rPr>
                <w:color w:val="000000" w:themeColor="text1"/>
                <w14:textFill>
                  <w14:solidFill>
                    <w14:schemeClr w14:val="tx1"/>
                  </w14:solidFill>
                </w14:textFill>
              </w:rPr>
              <w:t>0.56</w:t>
            </w:r>
          </w:p>
        </w:tc>
        <w:tc>
          <w:tcPr>
            <w:tcW w:w="1235" w:type="dxa"/>
            <w:vAlign w:val="center"/>
          </w:tcPr>
          <w:p w14:paraId="6A523F57">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7054D654">
            <w:pPr>
              <w:pStyle w:val="109"/>
              <w:rPr>
                <w:color w:val="000000" w:themeColor="text1"/>
                <w14:textFill>
                  <w14:solidFill>
                    <w14:schemeClr w14:val="tx1"/>
                  </w14:solidFill>
                </w14:textFill>
              </w:rPr>
            </w:pPr>
            <w:r>
              <w:rPr>
                <w:color w:val="000000" w:themeColor="text1"/>
                <w14:textFill>
                  <w14:solidFill>
                    <w14:schemeClr w14:val="tx1"/>
                  </w14:solidFill>
                </w14:textFill>
              </w:rPr>
              <w:t>0.0056</w:t>
            </w:r>
          </w:p>
        </w:tc>
      </w:tr>
      <w:tr w14:paraId="7FDD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A44375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60C568E">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026174C9">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FC9E569">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F72D54C">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636DA198">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44E4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633B3B93">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269546F">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4DD924F4">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1E6B7D95">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1CBD87E9">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2E13B3C3">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793A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B4FF5A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45913E00">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7004508D">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0932728">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58522623">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628DE940">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32A5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64E4C6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44D6F3C0">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0551D3C9">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2F3680FD">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58FF41E0">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538F11A7">
            <w:pPr>
              <w:pStyle w:val="109"/>
              <w:rPr>
                <w:color w:val="000000" w:themeColor="text1"/>
                <w14:textFill>
                  <w14:solidFill>
                    <w14:schemeClr w14:val="tx1"/>
                  </w14:solidFill>
                </w14:textFill>
              </w:rPr>
            </w:pPr>
            <w:r>
              <w:rPr>
                <w:color w:val="000000" w:themeColor="text1"/>
                <w14:textFill>
                  <w14:solidFill>
                    <w14:schemeClr w14:val="tx1"/>
                  </w14:solidFill>
                </w14:textFill>
              </w:rPr>
              <w:t>0.0012</w:t>
            </w:r>
          </w:p>
        </w:tc>
      </w:tr>
      <w:tr w14:paraId="2BC8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4E3B94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F47D639">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71F22517">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185E222">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38411914">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46BEF4E">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0903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EE80D53">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753FD5F">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1C2C05A6">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5FE16681">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65263B5A">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6BFD965">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6F52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C57677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0292502">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757DA367">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6FF292FD">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47FDD564">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FF0434E">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18CC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ACE9EE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43B3A85D">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5E4ECF73">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0795C8D">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1AE044A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28B73DD9">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97A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56FF1D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29DBC64">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585128C2">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C9591EA">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510B8603">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42211049">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06AB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CF12A9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AFB5C0A">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6806B12A">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63C787AD">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78ACD581">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1987B804">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2757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1A5AE3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C1AA117">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24A2F973">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B4881A1">
            <w:pPr>
              <w:pStyle w:val="109"/>
              <w:rPr>
                <w:color w:val="000000" w:themeColor="text1"/>
                <w14:textFill>
                  <w14:solidFill>
                    <w14:schemeClr w14:val="tx1"/>
                  </w14:solidFill>
                </w14:textFill>
              </w:rPr>
            </w:pPr>
            <w:r>
              <w:rPr>
                <w:color w:val="000000" w:themeColor="text1"/>
                <w14:textFill>
                  <w14:solidFill>
                    <w14:schemeClr w14:val="tx1"/>
                  </w14:solidFill>
                </w14:textFill>
              </w:rPr>
              <w:t>0.74</w:t>
            </w:r>
          </w:p>
        </w:tc>
        <w:tc>
          <w:tcPr>
            <w:tcW w:w="1235" w:type="dxa"/>
            <w:vAlign w:val="center"/>
          </w:tcPr>
          <w:p w14:paraId="47A1B097">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2100660D">
            <w:pPr>
              <w:pStyle w:val="109"/>
              <w:rPr>
                <w:color w:val="000000" w:themeColor="text1"/>
                <w14:textFill>
                  <w14:solidFill>
                    <w14:schemeClr w14:val="tx1"/>
                  </w14:solidFill>
                </w14:textFill>
              </w:rPr>
            </w:pPr>
            <w:r>
              <w:rPr>
                <w:color w:val="000000" w:themeColor="text1"/>
                <w14:textFill>
                  <w14:solidFill>
                    <w14:schemeClr w14:val="tx1"/>
                  </w14:solidFill>
                </w14:textFill>
              </w:rPr>
              <w:t>0.00074</w:t>
            </w:r>
          </w:p>
        </w:tc>
      </w:tr>
      <w:tr w14:paraId="00E4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6DAE1768">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4AC4F481">
            <w:pPr>
              <w:pStyle w:val="109"/>
              <w:rPr>
                <w:color w:val="000000" w:themeColor="text1"/>
                <w14:textFill>
                  <w14:solidFill>
                    <w14:schemeClr w14:val="tx1"/>
                  </w14:solidFill>
                </w14:textFill>
              </w:rPr>
            </w:pPr>
            <w:r>
              <w:rPr>
                <w:color w:val="000000" w:themeColor="text1"/>
                <w14:textFill>
                  <w14:solidFill>
                    <w14:schemeClr w14:val="tx1"/>
                  </w14:solidFill>
                </w14:textFill>
              </w:rPr>
              <w:t>0.014</w:t>
            </w:r>
          </w:p>
        </w:tc>
      </w:tr>
      <w:tr w14:paraId="0F8E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6756FF55">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091A17BD">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750B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490D6901">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22821FCF">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723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45795E93">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5C2E0717">
            <w:pPr>
              <w:pStyle w:val="109"/>
              <w:rPr>
                <w:color w:val="000000" w:themeColor="text1"/>
                <w14:textFill>
                  <w14:solidFill>
                    <w14:schemeClr w14:val="tx1"/>
                  </w14:solidFill>
                </w14:textFill>
              </w:rPr>
            </w:pPr>
            <w:r>
              <w:rPr>
                <w:color w:val="000000" w:themeColor="text1"/>
                <w14:textFill>
                  <w14:solidFill>
                    <w14:schemeClr w14:val="tx1"/>
                  </w14:solidFill>
                </w14:textFill>
              </w:rPr>
              <w:t>TZK2601044301</w:t>
            </w:r>
          </w:p>
        </w:tc>
        <w:tc>
          <w:tcPr>
            <w:tcW w:w="2279" w:type="dxa"/>
            <w:vAlign w:val="center"/>
          </w:tcPr>
          <w:p w14:paraId="6CD2E774">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72062EC5">
            <w:pPr>
              <w:pStyle w:val="109"/>
              <w:rPr>
                <w:color w:val="000000" w:themeColor="text1"/>
                <w14:textFill>
                  <w14:solidFill>
                    <w14:schemeClr w14:val="tx1"/>
                  </w14:solidFill>
                </w14:textFill>
              </w:rPr>
            </w:pPr>
            <w:r>
              <w:rPr>
                <w:color w:val="000000" w:themeColor="text1"/>
                <w14:textFill>
                  <w14:solidFill>
                    <w14:schemeClr w14:val="tx1"/>
                  </w14:solidFill>
                </w14:textFill>
              </w:rPr>
              <w:t>20.010</w:t>
            </w:r>
          </w:p>
        </w:tc>
      </w:tr>
      <w:tr w14:paraId="6541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30535B86">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08EAF56E">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38D636F5">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0D071F1D">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141F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1372EF6E">
            <w:pPr>
              <w:pStyle w:val="109"/>
              <w:rPr>
                <w:color w:val="000000" w:themeColor="text1"/>
                <w14:textFill>
                  <w14:solidFill>
                    <w14:schemeClr w14:val="tx1"/>
                  </w14:solidFill>
                </w14:textFill>
              </w:rPr>
            </w:pPr>
          </w:p>
        </w:tc>
        <w:tc>
          <w:tcPr>
            <w:tcW w:w="1945" w:type="dxa"/>
            <w:vAlign w:val="center"/>
          </w:tcPr>
          <w:p w14:paraId="3B581B3D">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3E19C98E">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7E56109E">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46C87AE7">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4AAA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23FBD89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FB12234">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1979D659">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7220C34F">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6DF1A9A1">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6B05701C">
            <w:pPr>
              <w:pStyle w:val="109"/>
              <w:rPr>
                <w:color w:val="000000" w:themeColor="text1"/>
                <w14:textFill>
                  <w14:solidFill>
                    <w14:schemeClr w14:val="tx1"/>
                  </w14:solidFill>
                </w14:textFill>
              </w:rPr>
            </w:pPr>
            <w:r>
              <w:rPr>
                <w:color w:val="000000" w:themeColor="text1"/>
                <w14:textFill>
                  <w14:solidFill>
                    <w14:schemeClr w14:val="tx1"/>
                  </w14:solidFill>
                </w14:textFill>
              </w:rPr>
              <w:t>0.0025</w:t>
            </w:r>
          </w:p>
        </w:tc>
      </w:tr>
      <w:tr w14:paraId="2FC8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5B8F14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730D2F6B">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5BE11B06">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65D69875">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74A3B431">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4744A706">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5FB3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656F52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10760BC">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5316F366">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3284677F">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1C834C01">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407862C">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0291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80EF9D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7193CD00">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4E2C6AD1">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90AAA78">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493A8F91">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6A27C93">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4364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4D1037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517F4393">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1A505098">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630AA2B">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3FCEA04">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8AA96B5">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7221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4E47F0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CE8D880">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1BC67481">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7702FB6">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15E33176">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47ED3543">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730B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D655E5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4E0A857">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29A6D3C5">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016EEF5">
            <w:pPr>
              <w:pStyle w:val="10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1235" w:type="dxa"/>
            <w:vAlign w:val="center"/>
          </w:tcPr>
          <w:p w14:paraId="0AD9DDF0">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6323E4C1">
            <w:pPr>
              <w:pStyle w:val="109"/>
              <w:rPr>
                <w:color w:val="000000" w:themeColor="text1"/>
                <w14:textFill>
                  <w14:solidFill>
                    <w14:schemeClr w14:val="tx1"/>
                  </w14:solidFill>
                </w14:textFill>
              </w:rPr>
            </w:pPr>
            <w:r>
              <w:rPr>
                <w:color w:val="000000" w:themeColor="text1"/>
                <w14:textFill>
                  <w14:solidFill>
                    <w14:schemeClr w14:val="tx1"/>
                  </w14:solidFill>
                </w14:textFill>
              </w:rPr>
              <w:t>0.042</w:t>
            </w:r>
          </w:p>
        </w:tc>
      </w:tr>
      <w:tr w14:paraId="60F2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1F18EF8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AA9A041">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78759668">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521807D8">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7EF1D13E">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DF52752">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3A79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50B09D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38605D4">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579A65BD">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593DE7B0">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6EE3796">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6BD73780">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0AD7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5670E61">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D9F8FC7">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1D5BBEC1">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63B1B685">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33B4064D">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1C6286BA">
            <w:pPr>
              <w:pStyle w:val="109"/>
              <w:rPr>
                <w:color w:val="000000" w:themeColor="text1"/>
                <w14:textFill>
                  <w14:solidFill>
                    <w14:schemeClr w14:val="tx1"/>
                  </w14:solidFill>
                </w14:textFill>
              </w:rPr>
            </w:pPr>
            <w:r>
              <w:rPr>
                <w:color w:val="000000" w:themeColor="text1"/>
                <w14:textFill>
                  <w14:solidFill>
                    <w14:schemeClr w14:val="tx1"/>
                  </w14:solidFill>
                </w14:textFill>
              </w:rPr>
              <w:t>0.0012</w:t>
            </w:r>
          </w:p>
        </w:tc>
      </w:tr>
      <w:tr w14:paraId="41F7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E5A615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C5636A7">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427B86E6">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17F3047E">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61000E91">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5A3BC4BD">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1BA2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C51A83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3B05725">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4F0C139D">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1D593A8A">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03278512">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E28BB37">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63E8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24D73E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063F256">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15546E10">
            <w:pPr>
              <w:pStyle w:val="109"/>
              <w:rPr>
                <w:color w:val="000000" w:themeColor="text1"/>
                <w14:textFill>
                  <w14:solidFill>
                    <w14:schemeClr w14:val="tx1"/>
                  </w14:solidFill>
                </w14:textFill>
              </w:rPr>
            </w:pPr>
            <w:r>
              <w:rPr>
                <w:color w:val="000000" w:themeColor="text1"/>
                <w14:textFill>
                  <w14:solidFill>
                    <w14:schemeClr w14:val="tx1"/>
                  </w14:solidFill>
                </w14:textFill>
              </w:rPr>
              <w:t>0.0050</w:t>
            </w:r>
          </w:p>
        </w:tc>
        <w:tc>
          <w:tcPr>
            <w:tcW w:w="2279" w:type="dxa"/>
            <w:vAlign w:val="center"/>
          </w:tcPr>
          <w:p w14:paraId="630F24B8">
            <w:pPr>
              <w:pStyle w:val="109"/>
              <w:rPr>
                <w:color w:val="000000" w:themeColor="text1"/>
                <w14:textFill>
                  <w14:solidFill>
                    <w14:schemeClr w14:val="tx1"/>
                  </w14:solidFill>
                </w14:textFill>
              </w:rPr>
            </w:pPr>
            <w:r>
              <w:rPr>
                <w:color w:val="000000" w:themeColor="text1"/>
                <w14:textFill>
                  <w14:solidFill>
                    <w14:schemeClr w14:val="tx1"/>
                  </w14:solidFill>
                </w14:textFill>
              </w:rPr>
              <w:t>N.D.(&lt;0.0050)</w:t>
            </w:r>
          </w:p>
        </w:tc>
        <w:tc>
          <w:tcPr>
            <w:tcW w:w="1235" w:type="dxa"/>
            <w:vAlign w:val="center"/>
          </w:tcPr>
          <w:p w14:paraId="570084EF">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9F8ABED">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50A0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8B1D8F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9DE98D0">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3B9925CD">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D4BF2D3">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5AF822F">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92236E5">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6C9B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D0BF19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E40E70F">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6AECE7D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D860DB3">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AC85EAD">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33E4D3BD">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2111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D08957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D5B0784">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683C3482">
            <w:pPr>
              <w:pStyle w:val="109"/>
              <w:rPr>
                <w:color w:val="000000" w:themeColor="text1"/>
                <w14:textFill>
                  <w14:solidFill>
                    <w14:schemeClr w14:val="tx1"/>
                  </w14:solidFill>
                </w14:textFill>
              </w:rPr>
            </w:pPr>
            <w:r>
              <w:rPr>
                <w:color w:val="000000" w:themeColor="text1"/>
                <w14:textFill>
                  <w14:solidFill>
                    <w14:schemeClr w14:val="tx1"/>
                  </w14:solidFill>
                </w14:textFill>
              </w:rPr>
              <w:t>0.0040</w:t>
            </w:r>
          </w:p>
        </w:tc>
        <w:tc>
          <w:tcPr>
            <w:tcW w:w="2279" w:type="dxa"/>
            <w:vAlign w:val="center"/>
          </w:tcPr>
          <w:p w14:paraId="68B74C18">
            <w:pPr>
              <w:pStyle w:val="109"/>
              <w:rPr>
                <w:color w:val="000000" w:themeColor="text1"/>
                <w14:textFill>
                  <w14:solidFill>
                    <w14:schemeClr w14:val="tx1"/>
                  </w14:solidFill>
                </w14:textFill>
              </w:rPr>
            </w:pPr>
            <w:r>
              <w:rPr>
                <w:color w:val="000000" w:themeColor="text1"/>
                <w14:textFill>
                  <w14:solidFill>
                    <w14:schemeClr w14:val="tx1"/>
                  </w14:solidFill>
                </w14:textFill>
              </w:rPr>
              <w:t>N.D.(&lt;0.0040)</w:t>
            </w:r>
          </w:p>
        </w:tc>
        <w:tc>
          <w:tcPr>
            <w:tcW w:w="1235" w:type="dxa"/>
            <w:vAlign w:val="center"/>
          </w:tcPr>
          <w:p w14:paraId="5AEF31FF">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255DF874">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28FF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C156C4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4CE8A7FA">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14811224">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6A1AD45">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738100C3">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37072ABB">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320C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5F497464">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20031A17">
            <w:pPr>
              <w:pStyle w:val="109"/>
              <w:rPr>
                <w:color w:val="000000" w:themeColor="text1"/>
                <w14:textFill>
                  <w14:solidFill>
                    <w14:schemeClr w14:val="tx1"/>
                  </w14:solidFill>
                </w14:textFill>
              </w:rPr>
            </w:pPr>
            <w:r>
              <w:rPr>
                <w:color w:val="000000" w:themeColor="text1"/>
                <w14:textFill>
                  <w14:solidFill>
                    <w14:schemeClr w14:val="tx1"/>
                  </w14:solidFill>
                </w14:textFill>
              </w:rPr>
              <w:t>0.050</w:t>
            </w:r>
          </w:p>
        </w:tc>
      </w:tr>
      <w:tr w14:paraId="7C1C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291DED0F">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71CF3106">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04D5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3498AD8A">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6046526F">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4920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08194698">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4CB5E120">
            <w:pPr>
              <w:pStyle w:val="109"/>
              <w:rPr>
                <w:color w:val="000000" w:themeColor="text1"/>
                <w14:textFill>
                  <w14:solidFill>
                    <w14:schemeClr w14:val="tx1"/>
                  </w14:solidFill>
                </w14:textFill>
              </w:rPr>
            </w:pPr>
            <w:r>
              <w:rPr>
                <w:color w:val="000000" w:themeColor="text1"/>
                <w14:textFill>
                  <w14:solidFill>
                    <w14:schemeClr w14:val="tx1"/>
                  </w14:solidFill>
                </w14:textFill>
              </w:rPr>
              <w:t>TZK2601044401</w:t>
            </w:r>
          </w:p>
        </w:tc>
        <w:tc>
          <w:tcPr>
            <w:tcW w:w="2279" w:type="dxa"/>
            <w:vAlign w:val="center"/>
          </w:tcPr>
          <w:p w14:paraId="788A7365">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7279E3AC">
            <w:pPr>
              <w:pStyle w:val="109"/>
              <w:rPr>
                <w:color w:val="000000" w:themeColor="text1"/>
                <w14:textFill>
                  <w14:solidFill>
                    <w14:schemeClr w14:val="tx1"/>
                  </w14:solidFill>
                </w14:textFill>
              </w:rPr>
            </w:pPr>
            <w:r>
              <w:rPr>
                <w:color w:val="000000" w:themeColor="text1"/>
                <w14:textFill>
                  <w14:solidFill>
                    <w14:schemeClr w14:val="tx1"/>
                  </w14:solidFill>
                </w14:textFill>
              </w:rPr>
              <w:t>19.695</w:t>
            </w:r>
          </w:p>
        </w:tc>
      </w:tr>
      <w:tr w14:paraId="6331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7341EDD2">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434D941D">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1237FC12">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08CE08B9">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0FA4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7587DAE2">
            <w:pPr>
              <w:pStyle w:val="109"/>
              <w:rPr>
                <w:color w:val="000000" w:themeColor="text1"/>
                <w14:textFill>
                  <w14:solidFill>
                    <w14:schemeClr w14:val="tx1"/>
                  </w14:solidFill>
                </w14:textFill>
              </w:rPr>
            </w:pPr>
          </w:p>
        </w:tc>
        <w:tc>
          <w:tcPr>
            <w:tcW w:w="1945" w:type="dxa"/>
            <w:vAlign w:val="center"/>
          </w:tcPr>
          <w:p w14:paraId="77E5031D">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27B568D9">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7584034D">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647FA332">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75DD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3B0E3CF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C46D2BD">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340F56CE">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4B81F4E0">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539C1F9F">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27760655">
            <w:pPr>
              <w:pStyle w:val="109"/>
              <w:rPr>
                <w:color w:val="000000" w:themeColor="text1"/>
                <w14:textFill>
                  <w14:solidFill>
                    <w14:schemeClr w14:val="tx1"/>
                  </w14:solidFill>
                </w14:textFill>
              </w:rPr>
            </w:pPr>
            <w:r>
              <w:rPr>
                <w:color w:val="000000" w:themeColor="text1"/>
                <w14:textFill>
                  <w14:solidFill>
                    <w14:schemeClr w14:val="tx1"/>
                  </w14:solidFill>
                </w14:textFill>
              </w:rPr>
              <w:t>0.0026</w:t>
            </w:r>
          </w:p>
        </w:tc>
      </w:tr>
      <w:tr w14:paraId="2DD6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4BA1C1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2D4197D">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1DE28B4E">
            <w:pPr>
              <w:pStyle w:val="109"/>
              <w:rPr>
                <w:color w:val="000000" w:themeColor="text1"/>
                <w14:textFill>
                  <w14:solidFill>
                    <w14:schemeClr w14:val="tx1"/>
                  </w14:solidFill>
                </w14:textFill>
              </w:rPr>
            </w:pPr>
            <w:r>
              <w:rPr>
                <w:color w:val="000000" w:themeColor="text1"/>
                <w14:textFill>
                  <w14:solidFill>
                    <w14:schemeClr w14:val="tx1"/>
                  </w14:solidFill>
                </w14:textFill>
              </w:rPr>
              <w:t>0.0041</w:t>
            </w:r>
          </w:p>
        </w:tc>
        <w:tc>
          <w:tcPr>
            <w:tcW w:w="2279" w:type="dxa"/>
            <w:vAlign w:val="center"/>
          </w:tcPr>
          <w:p w14:paraId="17070057">
            <w:pPr>
              <w:pStyle w:val="109"/>
              <w:rPr>
                <w:color w:val="000000" w:themeColor="text1"/>
                <w14:textFill>
                  <w14:solidFill>
                    <w14:schemeClr w14:val="tx1"/>
                  </w14:solidFill>
                </w14:textFill>
              </w:rPr>
            </w:pPr>
            <w:r>
              <w:rPr>
                <w:color w:val="000000" w:themeColor="text1"/>
                <w14:textFill>
                  <w14:solidFill>
                    <w14:schemeClr w14:val="tx1"/>
                  </w14:solidFill>
                </w14:textFill>
              </w:rPr>
              <w:t>N.D.(&lt;0.0041)</w:t>
            </w:r>
          </w:p>
        </w:tc>
        <w:tc>
          <w:tcPr>
            <w:tcW w:w="1235" w:type="dxa"/>
            <w:vAlign w:val="center"/>
          </w:tcPr>
          <w:p w14:paraId="02A4BB49">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04B1A369">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7C6A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C44E72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1A640B50">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0B12B2E0">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764FD0C">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284CAA5D">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20306A49">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3386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F013C28">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D6D8B7F">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2E8D4D1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DD46AC3">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5910A623">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EC26ABF">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40AE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B87126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7D97778">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7CC91B12">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A2071A2">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59B42380">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EC2C28F">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C31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EBCCC8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7C0048E3">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31F91C7C">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CC689CE">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7A165A0">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75C47108">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212B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56A46E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92E767C">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36847533">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290EC90">
            <w:pPr>
              <w:pStyle w:val="109"/>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235" w:type="dxa"/>
            <w:vAlign w:val="center"/>
          </w:tcPr>
          <w:p w14:paraId="5CD00B48">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344DA120">
            <w:pPr>
              <w:pStyle w:val="109"/>
              <w:rPr>
                <w:color w:val="000000" w:themeColor="text1"/>
                <w14:textFill>
                  <w14:solidFill>
                    <w14:schemeClr w14:val="tx1"/>
                  </w14:solidFill>
                </w14:textFill>
              </w:rPr>
            </w:pPr>
            <w:r>
              <w:rPr>
                <w:color w:val="000000" w:themeColor="text1"/>
                <w14:textFill>
                  <w14:solidFill>
                    <w14:schemeClr w14:val="tx1"/>
                  </w14:solidFill>
                </w14:textFill>
              </w:rPr>
              <w:t>0.019</w:t>
            </w:r>
          </w:p>
        </w:tc>
      </w:tr>
      <w:tr w14:paraId="0592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0A8072D3">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CC1CD82">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31F5F1A8">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43449691">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39511F07">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8202E06">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44C1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4CE0A0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4F640716">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4B70AE95">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CE670EE">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F873C64">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3224B1AE">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3F1E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05BFEB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448AC32">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1302C698">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C89732F">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7014B43A">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65531379">
            <w:pPr>
              <w:pStyle w:val="109"/>
              <w:rPr>
                <w:color w:val="000000" w:themeColor="text1"/>
                <w14:textFill>
                  <w14:solidFill>
                    <w14:schemeClr w14:val="tx1"/>
                  </w14:solidFill>
                </w14:textFill>
              </w:rPr>
            </w:pPr>
            <w:r>
              <w:rPr>
                <w:color w:val="000000" w:themeColor="text1"/>
                <w14:textFill>
                  <w14:solidFill>
                    <w14:schemeClr w14:val="tx1"/>
                  </w14:solidFill>
                </w14:textFill>
              </w:rPr>
              <w:t>0.0013</w:t>
            </w:r>
          </w:p>
        </w:tc>
      </w:tr>
      <w:tr w14:paraId="22EE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167E15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93C3AFE">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06AFF632">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2784A06D">
            <w:pPr>
              <w:pStyle w:val="109"/>
              <w:rPr>
                <w:color w:val="000000" w:themeColor="text1"/>
                <w14:textFill>
                  <w14:solidFill>
                    <w14:schemeClr w14:val="tx1"/>
                  </w14:solidFill>
                </w14:textFill>
              </w:rPr>
            </w:pPr>
            <w:r>
              <w:rPr>
                <w:color w:val="000000" w:themeColor="text1"/>
                <w14:textFill>
                  <w14:solidFill>
                    <w14:schemeClr w14:val="tx1"/>
                  </w14:solidFill>
                </w14:textFill>
              </w:rPr>
              <w:t>0.57</w:t>
            </w:r>
          </w:p>
        </w:tc>
        <w:tc>
          <w:tcPr>
            <w:tcW w:w="1235" w:type="dxa"/>
            <w:vAlign w:val="center"/>
          </w:tcPr>
          <w:p w14:paraId="260B3B4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7EE1027">
            <w:pPr>
              <w:pStyle w:val="109"/>
              <w:rPr>
                <w:color w:val="000000" w:themeColor="text1"/>
                <w14:textFill>
                  <w14:solidFill>
                    <w14:schemeClr w14:val="tx1"/>
                  </w14:solidFill>
                </w14:textFill>
              </w:rPr>
            </w:pPr>
            <w:r>
              <w:rPr>
                <w:color w:val="000000" w:themeColor="text1"/>
                <w14:textFill>
                  <w14:solidFill>
                    <w14:schemeClr w14:val="tx1"/>
                  </w14:solidFill>
                </w14:textFill>
              </w:rPr>
              <w:t>0.057</w:t>
            </w:r>
          </w:p>
        </w:tc>
      </w:tr>
      <w:tr w14:paraId="3BF5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C95023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B83EAE0">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3ED671DC">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43DAE0B6">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3EEB6D26">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8C72C22">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16DA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3DA807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0802F1A">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409BBD4E">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31BA3067">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4EDFBBCE">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834A640">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5EF6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2D010D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32395FF">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73E3BD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59899525">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E2B8C94">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7BCBEF7">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3850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0516C0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EAA927A">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40C219CD">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164B240">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3F1726DA">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763A5EB8">
            <w:pPr>
              <w:pStyle w:val="109"/>
              <w:rPr>
                <w:color w:val="000000" w:themeColor="text1"/>
                <w14:textFill>
                  <w14:solidFill>
                    <w14:schemeClr w14:val="tx1"/>
                  </w14:solidFill>
                </w14:textFill>
              </w:rPr>
            </w:pPr>
            <w:r>
              <w:rPr>
                <w:color w:val="000000" w:themeColor="text1"/>
                <w14:textFill>
                  <w14:solidFill>
                    <w14:schemeClr w14:val="tx1"/>
                  </w14:solidFill>
                </w14:textFill>
              </w:rPr>
              <w:t>0.000050</w:t>
            </w:r>
          </w:p>
        </w:tc>
      </w:tr>
      <w:tr w14:paraId="42AF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C8CEB0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5218227">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418AC964">
            <w:pPr>
              <w:pStyle w:val="109"/>
              <w:rPr>
                <w:color w:val="000000" w:themeColor="text1"/>
                <w14:textFill>
                  <w14:solidFill>
                    <w14:schemeClr w14:val="tx1"/>
                  </w14:solidFill>
                </w14:textFill>
              </w:rPr>
            </w:pPr>
            <w:r>
              <w:rPr>
                <w:color w:val="000000" w:themeColor="text1"/>
                <w14:textFill>
                  <w14:solidFill>
                    <w14:schemeClr w14:val="tx1"/>
                  </w14:solidFill>
                </w14:textFill>
              </w:rPr>
              <w:t>0.0041</w:t>
            </w:r>
          </w:p>
        </w:tc>
        <w:tc>
          <w:tcPr>
            <w:tcW w:w="2279" w:type="dxa"/>
            <w:vAlign w:val="center"/>
          </w:tcPr>
          <w:p w14:paraId="045CD627">
            <w:pPr>
              <w:pStyle w:val="109"/>
              <w:rPr>
                <w:color w:val="000000" w:themeColor="text1"/>
                <w14:textFill>
                  <w14:solidFill>
                    <w14:schemeClr w14:val="tx1"/>
                  </w14:solidFill>
                </w14:textFill>
              </w:rPr>
            </w:pPr>
            <w:r>
              <w:rPr>
                <w:color w:val="000000" w:themeColor="text1"/>
                <w14:textFill>
                  <w14:solidFill>
                    <w14:schemeClr w14:val="tx1"/>
                  </w14:solidFill>
                </w14:textFill>
              </w:rPr>
              <w:t>N.D.(&lt;0.0041)</w:t>
            </w:r>
          </w:p>
        </w:tc>
        <w:tc>
          <w:tcPr>
            <w:tcW w:w="1235" w:type="dxa"/>
            <w:vAlign w:val="center"/>
          </w:tcPr>
          <w:p w14:paraId="78903AF4">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5032A9F6">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6B40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31EEBD2">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449C0DC">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7C78B58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DD7D9D3">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1CCC43E7">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6355BCFF">
            <w:pPr>
              <w:pStyle w:val="109"/>
              <w:rPr>
                <w:color w:val="000000" w:themeColor="text1"/>
                <w14:textFill>
                  <w14:solidFill>
                    <w14:schemeClr w14:val="tx1"/>
                  </w14:solidFill>
                </w14:textFill>
              </w:rPr>
            </w:pPr>
            <w:r>
              <w:rPr>
                <w:color w:val="000000" w:themeColor="text1"/>
                <w14:textFill>
                  <w14:solidFill>
                    <w14:schemeClr w14:val="tx1"/>
                  </w14:solidFill>
                </w14:textFill>
              </w:rPr>
              <w:t>0.0000050</w:t>
            </w:r>
          </w:p>
        </w:tc>
      </w:tr>
      <w:tr w14:paraId="05EA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2367151C">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44A19555">
            <w:pPr>
              <w:pStyle w:val="109"/>
              <w:rPr>
                <w:color w:val="000000" w:themeColor="text1"/>
                <w14:textFill>
                  <w14:solidFill>
                    <w14:schemeClr w14:val="tx1"/>
                  </w14:solidFill>
                </w14:textFill>
              </w:rPr>
            </w:pPr>
            <w:r>
              <w:rPr>
                <w:color w:val="000000" w:themeColor="text1"/>
                <w14:textFill>
                  <w14:solidFill>
                    <w14:schemeClr w14:val="tx1"/>
                  </w14:solidFill>
                </w14:textFill>
              </w:rPr>
              <w:t>0.084</w:t>
            </w:r>
          </w:p>
        </w:tc>
      </w:tr>
      <w:tr w14:paraId="27C5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1AD2E5C8">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4EE3FF64">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585D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1BC9878E">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1D621F77">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121D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23735860">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1B120EA7">
            <w:pPr>
              <w:pStyle w:val="109"/>
              <w:rPr>
                <w:color w:val="000000" w:themeColor="text1"/>
                <w14:textFill>
                  <w14:solidFill>
                    <w14:schemeClr w14:val="tx1"/>
                  </w14:solidFill>
                </w14:textFill>
              </w:rPr>
            </w:pPr>
            <w:r>
              <w:rPr>
                <w:color w:val="000000" w:themeColor="text1"/>
                <w14:textFill>
                  <w14:solidFill>
                    <w14:schemeClr w14:val="tx1"/>
                  </w14:solidFill>
                </w14:textFill>
              </w:rPr>
              <w:t>TZK2601044501</w:t>
            </w:r>
          </w:p>
        </w:tc>
        <w:tc>
          <w:tcPr>
            <w:tcW w:w="2279" w:type="dxa"/>
            <w:vAlign w:val="center"/>
          </w:tcPr>
          <w:p w14:paraId="1EC8E3DA">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1BD9EB1A">
            <w:pPr>
              <w:pStyle w:val="109"/>
              <w:rPr>
                <w:color w:val="000000" w:themeColor="text1"/>
                <w14:textFill>
                  <w14:solidFill>
                    <w14:schemeClr w14:val="tx1"/>
                  </w14:solidFill>
                </w14:textFill>
              </w:rPr>
            </w:pPr>
            <w:r>
              <w:rPr>
                <w:color w:val="000000" w:themeColor="text1"/>
                <w14:textFill>
                  <w14:solidFill>
                    <w14:schemeClr w14:val="tx1"/>
                  </w14:solidFill>
                </w14:textFill>
              </w:rPr>
              <w:t>19.684</w:t>
            </w:r>
          </w:p>
        </w:tc>
      </w:tr>
      <w:tr w14:paraId="76FC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009B99A8">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6C6261F3">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15548FA8">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6817E018">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1A16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5DE41593">
            <w:pPr>
              <w:pStyle w:val="109"/>
              <w:rPr>
                <w:color w:val="000000" w:themeColor="text1"/>
                <w14:textFill>
                  <w14:solidFill>
                    <w14:schemeClr w14:val="tx1"/>
                  </w14:solidFill>
                </w14:textFill>
              </w:rPr>
            </w:pPr>
          </w:p>
        </w:tc>
        <w:tc>
          <w:tcPr>
            <w:tcW w:w="1945" w:type="dxa"/>
            <w:vAlign w:val="center"/>
          </w:tcPr>
          <w:p w14:paraId="121C8F48">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6CB17FB1">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707C8E87">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7574BA2A">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4098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7954D3F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6545524">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2C5318BA">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0AE85876">
            <w:pPr>
              <w:pStyle w:val="109"/>
              <w:rPr>
                <w:color w:val="000000" w:themeColor="text1"/>
                <w14:textFill>
                  <w14:solidFill>
                    <w14:schemeClr w14:val="tx1"/>
                  </w14:solidFill>
                </w14:textFill>
              </w:rPr>
            </w:pPr>
            <w:r>
              <w:rPr>
                <w:color w:val="000000" w:themeColor="text1"/>
                <w14:textFill>
                  <w14:solidFill>
                    <w14:schemeClr w14:val="tx1"/>
                  </w14:solidFill>
                </w14:textFill>
              </w:rPr>
              <w:t>0.15</w:t>
            </w:r>
          </w:p>
        </w:tc>
        <w:tc>
          <w:tcPr>
            <w:tcW w:w="1235" w:type="dxa"/>
            <w:vAlign w:val="center"/>
          </w:tcPr>
          <w:p w14:paraId="0E9665E3">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3ACF5FBA">
            <w:pPr>
              <w:pStyle w:val="109"/>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612D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821FE8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B2F075E">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163A7811">
            <w:pPr>
              <w:pStyle w:val="109"/>
              <w:rPr>
                <w:color w:val="000000" w:themeColor="text1"/>
                <w14:textFill>
                  <w14:solidFill>
                    <w14:schemeClr w14:val="tx1"/>
                  </w14:solidFill>
                </w14:textFill>
              </w:rPr>
            </w:pPr>
            <w:r>
              <w:rPr>
                <w:color w:val="000000" w:themeColor="text1"/>
                <w14:textFill>
                  <w14:solidFill>
                    <w14:schemeClr w14:val="tx1"/>
                  </w14:solidFill>
                </w14:textFill>
              </w:rPr>
              <w:t>0.0041</w:t>
            </w:r>
          </w:p>
        </w:tc>
        <w:tc>
          <w:tcPr>
            <w:tcW w:w="2279" w:type="dxa"/>
            <w:vAlign w:val="center"/>
          </w:tcPr>
          <w:p w14:paraId="5C1CF2A0">
            <w:pPr>
              <w:pStyle w:val="109"/>
              <w:rPr>
                <w:color w:val="000000" w:themeColor="text1"/>
                <w14:textFill>
                  <w14:solidFill>
                    <w14:schemeClr w14:val="tx1"/>
                  </w14:solidFill>
                </w14:textFill>
              </w:rPr>
            </w:pPr>
            <w:r>
              <w:rPr>
                <w:color w:val="000000" w:themeColor="text1"/>
                <w14:textFill>
                  <w14:solidFill>
                    <w14:schemeClr w14:val="tx1"/>
                  </w14:solidFill>
                </w14:textFill>
              </w:rPr>
              <w:t>N.D.(&lt;0.0041)</w:t>
            </w:r>
          </w:p>
        </w:tc>
        <w:tc>
          <w:tcPr>
            <w:tcW w:w="1235" w:type="dxa"/>
            <w:vAlign w:val="center"/>
          </w:tcPr>
          <w:p w14:paraId="5D94C4C8">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2F4E12A3">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118B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1336BE1">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1CBE54EE">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4CCCFF29">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F65936B">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26D573A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5C35471">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4A85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825B79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A012520">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28FA0D79">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BE3B46D">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98D686E">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0EC0B98">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3A71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154C86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C98D755">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7E89AF65">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31AA108">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2FA057FF">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355C8BEF">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0472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1DC95F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672FC0E">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243C6334">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3BB68B9F">
            <w:pPr>
              <w:pStyle w:val="109"/>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235" w:type="dxa"/>
            <w:vAlign w:val="center"/>
          </w:tcPr>
          <w:p w14:paraId="65172269">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438FF335">
            <w:pPr>
              <w:pStyle w:val="109"/>
              <w:rPr>
                <w:color w:val="000000" w:themeColor="text1"/>
                <w14:textFill>
                  <w14:solidFill>
                    <w14:schemeClr w14:val="tx1"/>
                  </w14:solidFill>
                </w14:textFill>
              </w:rPr>
            </w:pPr>
            <w:r>
              <w:rPr>
                <w:color w:val="000000" w:themeColor="text1"/>
                <w14:textFill>
                  <w14:solidFill>
                    <w14:schemeClr w14:val="tx1"/>
                  </w14:solidFill>
                </w14:textFill>
              </w:rPr>
              <w:t>0.019</w:t>
            </w:r>
          </w:p>
        </w:tc>
      </w:tr>
      <w:tr w14:paraId="568A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4DCCF0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5FF443E">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6CE9CC4C">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04F6E47">
            <w:pPr>
              <w:pStyle w:val="109"/>
              <w:rPr>
                <w:color w:val="000000" w:themeColor="text1"/>
                <w14:textFill>
                  <w14:solidFill>
                    <w14:schemeClr w14:val="tx1"/>
                  </w14:solidFill>
                </w14:textFill>
              </w:rPr>
            </w:pPr>
            <w:r>
              <w:rPr>
                <w:color w:val="000000" w:themeColor="text1"/>
                <w14:textFill>
                  <w14:solidFill>
                    <w14:schemeClr w14:val="tx1"/>
                  </w14:solidFill>
                </w14:textFill>
              </w:rPr>
              <w:t>52</w:t>
            </w:r>
          </w:p>
        </w:tc>
        <w:tc>
          <w:tcPr>
            <w:tcW w:w="1235" w:type="dxa"/>
            <w:vAlign w:val="center"/>
          </w:tcPr>
          <w:p w14:paraId="62467E92">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45728CA4">
            <w:pPr>
              <w:pStyle w:val="109"/>
              <w:rPr>
                <w:color w:val="000000" w:themeColor="text1"/>
                <w14:textFill>
                  <w14:solidFill>
                    <w14:schemeClr w14:val="tx1"/>
                  </w14:solidFill>
                </w14:textFill>
              </w:rPr>
            </w:pPr>
            <w:r>
              <w:rPr>
                <w:color w:val="000000" w:themeColor="text1"/>
                <w14:textFill>
                  <w14:solidFill>
                    <w14:schemeClr w14:val="tx1"/>
                  </w14:solidFill>
                </w14:textFill>
              </w:rPr>
              <w:t>0.052</w:t>
            </w:r>
          </w:p>
        </w:tc>
      </w:tr>
      <w:tr w14:paraId="35FD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13EFCB5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159B7D4">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19EE2253">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5FA7899D">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3957467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4373BCA">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4691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CC4412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0055015">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16DE35A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5BE3E62">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4E6C1E33">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24CF7A3F">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2518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A3688C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9291CA4">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393CB930">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99938C8">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36244266">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2814128E">
            <w:pPr>
              <w:pStyle w:val="109"/>
              <w:rPr>
                <w:color w:val="000000" w:themeColor="text1"/>
                <w14:textFill>
                  <w14:solidFill>
                    <w14:schemeClr w14:val="tx1"/>
                  </w14:solidFill>
                </w14:textFill>
              </w:rPr>
            </w:pPr>
            <w:r>
              <w:rPr>
                <w:color w:val="000000" w:themeColor="text1"/>
                <w14:textFill>
                  <w14:solidFill>
                    <w14:schemeClr w14:val="tx1"/>
                  </w14:solidFill>
                </w14:textFill>
              </w:rPr>
              <w:t>0.0013</w:t>
            </w:r>
          </w:p>
        </w:tc>
      </w:tr>
      <w:tr w14:paraId="3F9E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CDA38C3">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AC07818">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4CBEFBB">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7EB8CFEB">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130D554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18DFFE2">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4627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317998C7">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0E6E495">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54DBFD3F">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168F40EA">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10BA217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FA348AB">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1504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BE1707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2A56FBD">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6FBC50BE">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267273E0">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0FD40CC1">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54F9FA50">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747D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2D5894A">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500CA1B">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0A5628C8">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6673243">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5FFFF141">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8D73E4D">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451B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201A844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45287C4">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5D2F4577">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988C935">
            <w:pPr>
              <w:pStyle w:val="109"/>
              <w:rPr>
                <w:color w:val="000000" w:themeColor="text1"/>
                <w14:textFill>
                  <w14:solidFill>
                    <w14:schemeClr w14:val="tx1"/>
                  </w14:solidFill>
                </w14:textFill>
              </w:rPr>
            </w:pPr>
            <w:r>
              <w:rPr>
                <w:color w:val="000000" w:themeColor="text1"/>
                <w14:textFill>
                  <w14:solidFill>
                    <w14:schemeClr w14:val="tx1"/>
                  </w14:solidFill>
                </w14:textFill>
              </w:rPr>
              <w:t>1.7</w:t>
            </w:r>
          </w:p>
        </w:tc>
        <w:tc>
          <w:tcPr>
            <w:tcW w:w="1235" w:type="dxa"/>
            <w:vAlign w:val="center"/>
          </w:tcPr>
          <w:p w14:paraId="0F9BF470">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6CFD1BAA">
            <w:pPr>
              <w:pStyle w:val="109"/>
              <w:rPr>
                <w:color w:val="000000" w:themeColor="text1"/>
                <w14:textFill>
                  <w14:solidFill>
                    <w14:schemeClr w14:val="tx1"/>
                  </w14:solidFill>
                </w14:textFill>
              </w:rPr>
            </w:pPr>
            <w:r>
              <w:rPr>
                <w:color w:val="000000" w:themeColor="text1"/>
                <w14:textFill>
                  <w14:solidFill>
                    <w14:schemeClr w14:val="tx1"/>
                  </w14:solidFill>
                </w14:textFill>
              </w:rPr>
              <w:t>0.017</w:t>
            </w:r>
          </w:p>
        </w:tc>
      </w:tr>
      <w:tr w14:paraId="14A9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226FE9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D009FFE">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4C06D0A1">
            <w:pPr>
              <w:pStyle w:val="109"/>
              <w:rPr>
                <w:color w:val="000000" w:themeColor="text1"/>
                <w14:textFill>
                  <w14:solidFill>
                    <w14:schemeClr w14:val="tx1"/>
                  </w14:solidFill>
                </w14:textFill>
              </w:rPr>
            </w:pPr>
            <w:r>
              <w:rPr>
                <w:color w:val="000000" w:themeColor="text1"/>
                <w14:textFill>
                  <w14:solidFill>
                    <w14:schemeClr w14:val="tx1"/>
                  </w14:solidFill>
                </w14:textFill>
              </w:rPr>
              <w:t>0.0041</w:t>
            </w:r>
          </w:p>
        </w:tc>
        <w:tc>
          <w:tcPr>
            <w:tcW w:w="2279" w:type="dxa"/>
            <w:vAlign w:val="center"/>
          </w:tcPr>
          <w:p w14:paraId="3C7E85FB">
            <w:pPr>
              <w:pStyle w:val="109"/>
              <w:rPr>
                <w:color w:val="000000" w:themeColor="text1"/>
                <w14:textFill>
                  <w14:solidFill>
                    <w14:schemeClr w14:val="tx1"/>
                  </w14:solidFill>
                </w14:textFill>
              </w:rPr>
            </w:pPr>
            <w:r>
              <w:rPr>
                <w:color w:val="000000" w:themeColor="text1"/>
                <w14:textFill>
                  <w14:solidFill>
                    <w14:schemeClr w14:val="tx1"/>
                  </w14:solidFill>
                </w14:textFill>
              </w:rPr>
              <w:t>N.D.(&lt;0.0041)</w:t>
            </w:r>
          </w:p>
        </w:tc>
        <w:tc>
          <w:tcPr>
            <w:tcW w:w="1235" w:type="dxa"/>
            <w:vAlign w:val="center"/>
          </w:tcPr>
          <w:p w14:paraId="5CE6D1B0">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1E072F2C">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1618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15A3DE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3E048C32">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4F83417D">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97444C1">
            <w:pPr>
              <w:pStyle w:val="109"/>
              <w:rPr>
                <w:color w:val="000000" w:themeColor="text1"/>
                <w14:textFill>
                  <w14:solidFill>
                    <w14:schemeClr w14:val="tx1"/>
                  </w14:solidFill>
                </w14:textFill>
              </w:rPr>
            </w:pPr>
            <w:r>
              <w:rPr>
                <w:color w:val="000000" w:themeColor="text1"/>
                <w14:textFill>
                  <w14:solidFill>
                    <w14:schemeClr w14:val="tx1"/>
                  </w14:solidFill>
                </w14:textFill>
              </w:rPr>
              <w:t>9.0</w:t>
            </w:r>
          </w:p>
        </w:tc>
        <w:tc>
          <w:tcPr>
            <w:tcW w:w="1235" w:type="dxa"/>
            <w:vAlign w:val="center"/>
          </w:tcPr>
          <w:p w14:paraId="7C7E92FA">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1ED96C32">
            <w:pPr>
              <w:pStyle w:val="109"/>
              <w:rPr>
                <w:color w:val="000000" w:themeColor="text1"/>
                <w14:textFill>
                  <w14:solidFill>
                    <w14:schemeClr w14:val="tx1"/>
                  </w14:solidFill>
                </w14:textFill>
              </w:rPr>
            </w:pPr>
            <w:r>
              <w:rPr>
                <w:color w:val="000000" w:themeColor="text1"/>
                <w14:textFill>
                  <w14:solidFill>
                    <w14:schemeClr w14:val="tx1"/>
                  </w14:solidFill>
                </w14:textFill>
              </w:rPr>
              <w:t>0.0090</w:t>
            </w:r>
          </w:p>
        </w:tc>
      </w:tr>
      <w:tr w14:paraId="5732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43E22ADA">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5692C23D">
            <w:pPr>
              <w:pStyle w:val="109"/>
              <w:rPr>
                <w:color w:val="000000" w:themeColor="text1"/>
                <w14:textFill>
                  <w14:solidFill>
                    <w14:schemeClr w14:val="tx1"/>
                  </w14:solidFill>
                </w14:textFill>
              </w:rPr>
            </w:pPr>
            <w:r>
              <w:rPr>
                <w:color w:val="000000" w:themeColor="text1"/>
                <w14:textFill>
                  <w14:solidFill>
                    <w14:schemeClr w14:val="tx1"/>
                  </w14:solidFill>
                </w14:textFill>
              </w:rPr>
              <w:t>0.25</w:t>
            </w:r>
          </w:p>
        </w:tc>
      </w:tr>
      <w:tr w14:paraId="57E1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4720FEF0">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367A1932">
      <w:pPr>
        <w:pStyle w:val="117"/>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检测结果报告</w:t>
      </w:r>
      <w:r>
        <w:rPr>
          <w:rFonts w:hint="eastAsia"/>
          <w:color w:val="000000" w:themeColor="text1"/>
          <w14:textFill>
            <w14:solidFill>
              <w14:schemeClr w14:val="tx1"/>
            </w14:solidFill>
          </w14:textFill>
        </w:rPr>
        <w:t>（二噁英类）</w:t>
      </w:r>
    </w:p>
    <w:tbl>
      <w:tblPr>
        <w:tblStyle w:val="7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506"/>
        <w:gridCol w:w="1945"/>
        <w:gridCol w:w="2279"/>
        <w:gridCol w:w="1235"/>
        <w:gridCol w:w="1235"/>
      </w:tblGrid>
      <w:tr w14:paraId="4E8A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0525704E">
            <w:pPr>
              <w:pStyle w:val="109"/>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样</w:t>
            </w:r>
            <w:r>
              <w:rPr>
                <w:color w:val="000000" w:themeColor="text1"/>
                <w14:textFill>
                  <w14:solidFill>
                    <w14:schemeClr w14:val="tx1"/>
                  </w14:solidFill>
                </w14:textFill>
              </w:rPr>
              <w:t>品类型</w:t>
            </w:r>
          </w:p>
        </w:tc>
        <w:tc>
          <w:tcPr>
            <w:tcW w:w="1945" w:type="dxa"/>
            <w:gridSpan w:val="4"/>
            <w:vAlign w:val="center"/>
          </w:tcPr>
          <w:p w14:paraId="08520B59">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62D7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Align w:val="center"/>
          </w:tcPr>
          <w:p w14:paraId="2201ED8B">
            <w:pPr>
              <w:pStyle w:val="109"/>
              <w:rPr>
                <w:color w:val="000000" w:themeColor="text1"/>
                <w14:textFill>
                  <w14:solidFill>
                    <w14:schemeClr w14:val="tx1"/>
                  </w14:solidFill>
                </w14:textFill>
              </w:rPr>
            </w:pPr>
            <w:r>
              <w:rPr>
                <w:color w:val="000000" w:themeColor="text1"/>
                <w14:textFill>
                  <w14:solidFill>
                    <w14:schemeClr w14:val="tx1"/>
                  </w14:solidFill>
                </w14:textFill>
              </w:rPr>
              <w:t>样品编号</w:t>
            </w:r>
          </w:p>
        </w:tc>
        <w:tc>
          <w:tcPr>
            <w:tcW w:w="1945" w:type="dxa"/>
            <w:vAlign w:val="center"/>
          </w:tcPr>
          <w:p w14:paraId="3F02B7C0">
            <w:pPr>
              <w:pStyle w:val="109"/>
              <w:rPr>
                <w:color w:val="000000" w:themeColor="text1"/>
                <w14:textFill>
                  <w14:solidFill>
                    <w14:schemeClr w14:val="tx1"/>
                  </w14:solidFill>
                </w14:textFill>
              </w:rPr>
            </w:pPr>
            <w:r>
              <w:rPr>
                <w:color w:val="000000" w:themeColor="text1"/>
                <w14:textFill>
                  <w14:solidFill>
                    <w14:schemeClr w14:val="tx1"/>
                  </w14:solidFill>
                </w14:textFill>
              </w:rPr>
              <w:t>TZK2601044601</w:t>
            </w:r>
          </w:p>
        </w:tc>
        <w:tc>
          <w:tcPr>
            <w:tcW w:w="2279" w:type="dxa"/>
            <w:vAlign w:val="center"/>
          </w:tcPr>
          <w:p w14:paraId="66501AD0">
            <w:pPr>
              <w:pStyle w:val="109"/>
              <w:rPr>
                <w:color w:val="000000" w:themeColor="text1"/>
                <w14:textFill>
                  <w14:solidFill>
                    <w14:schemeClr w14:val="tx1"/>
                  </w14:solidFill>
                </w14:textFill>
              </w:rPr>
            </w:pPr>
            <w:r>
              <w:rPr>
                <w:color w:val="000000" w:themeColor="text1"/>
                <w14:textFill>
                  <w14:solidFill>
                    <w14:schemeClr w14:val="tx1"/>
                  </w14:solidFill>
                </w14:textFill>
              </w:rPr>
              <w:t>取样量(g)</w:t>
            </w:r>
          </w:p>
        </w:tc>
        <w:tc>
          <w:tcPr>
            <w:tcW w:w="1235" w:type="dxa"/>
            <w:gridSpan w:val="2"/>
            <w:vAlign w:val="center"/>
          </w:tcPr>
          <w:p w14:paraId="2A218424">
            <w:pPr>
              <w:pStyle w:val="109"/>
              <w:rPr>
                <w:color w:val="000000" w:themeColor="text1"/>
                <w14:textFill>
                  <w14:solidFill>
                    <w14:schemeClr w14:val="tx1"/>
                  </w14:solidFill>
                </w14:textFill>
              </w:rPr>
            </w:pPr>
            <w:r>
              <w:rPr>
                <w:color w:val="000000" w:themeColor="text1"/>
                <w14:textFill>
                  <w14:solidFill>
                    <w14:schemeClr w14:val="tx1"/>
                  </w14:solidFill>
                </w14:textFill>
              </w:rPr>
              <w:t>19.608</w:t>
            </w:r>
          </w:p>
        </w:tc>
      </w:tr>
      <w:tr w14:paraId="2EF2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restart"/>
            <w:vAlign w:val="center"/>
          </w:tcPr>
          <w:p w14:paraId="72DDA928">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w:t>
            </w:r>
          </w:p>
        </w:tc>
        <w:tc>
          <w:tcPr>
            <w:tcW w:w="1945" w:type="dxa"/>
            <w:vAlign w:val="center"/>
          </w:tcPr>
          <w:p w14:paraId="3CAF4B15">
            <w:pPr>
              <w:pStyle w:val="109"/>
              <w:rPr>
                <w:color w:val="000000" w:themeColor="text1"/>
                <w14:textFill>
                  <w14:solidFill>
                    <w14:schemeClr w14:val="tx1"/>
                  </w14:solidFill>
                </w14:textFill>
              </w:rPr>
            </w:pPr>
            <w:r>
              <w:rPr>
                <w:color w:val="000000" w:themeColor="text1"/>
                <w14:textFill>
                  <w14:solidFill>
                    <w14:schemeClr w14:val="tx1"/>
                  </w14:solidFill>
                </w14:textFill>
              </w:rPr>
              <w:t>检出限</w:t>
            </w:r>
          </w:p>
        </w:tc>
        <w:tc>
          <w:tcPr>
            <w:tcW w:w="2279" w:type="dxa"/>
            <w:vAlign w:val="center"/>
          </w:tcPr>
          <w:p w14:paraId="2BE03FAB">
            <w:pPr>
              <w:pStyle w:val="109"/>
              <w:rPr>
                <w:color w:val="000000" w:themeColor="text1"/>
                <w14:textFill>
                  <w14:solidFill>
                    <w14:schemeClr w14:val="tx1"/>
                  </w14:solidFill>
                </w14:textFill>
              </w:rPr>
            </w:pPr>
            <w:r>
              <w:rPr>
                <w:color w:val="000000" w:themeColor="text1"/>
                <w14:textFill>
                  <w14:solidFill>
                    <w14:schemeClr w14:val="tx1"/>
                  </w14:solidFill>
                </w14:textFill>
              </w:rPr>
              <w:t>组份浓度</w:t>
            </w:r>
          </w:p>
        </w:tc>
        <w:tc>
          <w:tcPr>
            <w:tcW w:w="1235" w:type="dxa"/>
            <w:gridSpan w:val="2"/>
            <w:vAlign w:val="center"/>
          </w:tcPr>
          <w:p w14:paraId="54F75132">
            <w:pPr>
              <w:pStyle w:val="109"/>
              <w:rPr>
                <w:color w:val="000000" w:themeColor="text1"/>
                <w14:textFill>
                  <w14:solidFill>
                    <w14:schemeClr w14:val="tx1"/>
                  </w14:solidFill>
                </w14:textFill>
              </w:rPr>
            </w:pPr>
            <w:r>
              <w:rPr>
                <w:color w:val="000000" w:themeColor="text1"/>
                <w14:textFill>
                  <w14:solidFill>
                    <w14:schemeClr w14:val="tx1"/>
                  </w14:solidFill>
                </w14:textFill>
              </w:rPr>
              <w:t>毒性当量浓度</w:t>
            </w:r>
          </w:p>
        </w:tc>
      </w:tr>
      <w:tr w14:paraId="004D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0" w:type="dxa"/>
            <w:gridSpan w:val="2"/>
            <w:vMerge w:val="continue"/>
            <w:vAlign w:val="center"/>
          </w:tcPr>
          <w:p w14:paraId="34093730">
            <w:pPr>
              <w:pStyle w:val="109"/>
              <w:rPr>
                <w:color w:val="000000" w:themeColor="text1"/>
                <w14:textFill>
                  <w14:solidFill>
                    <w14:schemeClr w14:val="tx1"/>
                  </w14:solidFill>
                </w14:textFill>
              </w:rPr>
            </w:pPr>
          </w:p>
        </w:tc>
        <w:tc>
          <w:tcPr>
            <w:tcW w:w="1945" w:type="dxa"/>
            <w:vAlign w:val="center"/>
          </w:tcPr>
          <w:p w14:paraId="60970C92">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2279" w:type="dxa"/>
            <w:vAlign w:val="center"/>
          </w:tcPr>
          <w:p w14:paraId="1DCA189B">
            <w:pPr>
              <w:pStyle w:val="109"/>
              <w:rPr>
                <w:color w:val="000000" w:themeColor="text1"/>
                <w14:textFill>
                  <w14:solidFill>
                    <w14:schemeClr w14:val="tx1"/>
                  </w14:solidFill>
                </w14:textFill>
              </w:rPr>
            </w:pPr>
            <w:r>
              <w:rPr>
                <w:color w:val="000000" w:themeColor="text1"/>
                <w14:textFill>
                  <w14:solidFill>
                    <w14:schemeClr w14:val="tx1"/>
                  </w14:solidFill>
                </w14:textFill>
              </w:rPr>
              <w:t>单位:ng/kg</w:t>
            </w:r>
          </w:p>
        </w:tc>
        <w:tc>
          <w:tcPr>
            <w:tcW w:w="1235" w:type="dxa"/>
            <w:vAlign w:val="center"/>
          </w:tcPr>
          <w:p w14:paraId="6D1EA46F">
            <w:pPr>
              <w:pStyle w:val="109"/>
              <w:rPr>
                <w:color w:val="000000" w:themeColor="text1"/>
                <w14:textFill>
                  <w14:solidFill>
                    <w14:schemeClr w14:val="tx1"/>
                  </w14:solidFill>
                </w14:textFill>
              </w:rPr>
            </w:pPr>
            <w:r>
              <w:rPr>
                <w:color w:val="000000" w:themeColor="text1"/>
                <w14:textFill>
                  <w14:solidFill>
                    <w14:schemeClr w14:val="tx1"/>
                  </w14:solidFill>
                </w14:textFill>
              </w:rPr>
              <w:t>I-TEF</w:t>
            </w:r>
          </w:p>
        </w:tc>
        <w:tc>
          <w:tcPr>
            <w:tcW w:w="1235" w:type="dxa"/>
            <w:vAlign w:val="center"/>
          </w:tcPr>
          <w:p w14:paraId="4B972405">
            <w:pPr>
              <w:pStyle w:val="109"/>
              <w:rPr>
                <w:color w:val="000000" w:themeColor="text1"/>
                <w14:textFill>
                  <w14:solidFill>
                    <w14:schemeClr w14:val="tx1"/>
                  </w14:solidFill>
                </w14:textFill>
              </w:rPr>
            </w:pPr>
            <w:r>
              <w:rPr>
                <w:color w:val="000000" w:themeColor="text1"/>
                <w14:textFill>
                  <w14:solidFill>
                    <w14:schemeClr w14:val="tx1"/>
                  </w14:solidFill>
                </w14:textFill>
              </w:rPr>
              <w:t>单位: ng/kg</w:t>
            </w:r>
          </w:p>
        </w:tc>
      </w:tr>
      <w:tr w14:paraId="5314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3E98DCE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095E6229">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CDD</w:t>
            </w:r>
          </w:p>
        </w:tc>
        <w:tc>
          <w:tcPr>
            <w:tcW w:w="1945" w:type="dxa"/>
            <w:vAlign w:val="center"/>
          </w:tcPr>
          <w:p w14:paraId="04E86629">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2A3ED43">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45D21049">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5" w:type="dxa"/>
            <w:vAlign w:val="center"/>
          </w:tcPr>
          <w:p w14:paraId="26C79E68">
            <w:pPr>
              <w:pStyle w:val="109"/>
              <w:rPr>
                <w:color w:val="000000" w:themeColor="text1"/>
                <w14:textFill>
                  <w14:solidFill>
                    <w14:schemeClr w14:val="tx1"/>
                  </w14:solidFill>
                </w14:textFill>
              </w:rPr>
            </w:pPr>
            <w:r>
              <w:rPr>
                <w:color w:val="000000" w:themeColor="text1"/>
                <w14:textFill>
                  <w14:solidFill>
                    <w14:schemeClr w14:val="tx1"/>
                  </w14:solidFill>
                </w14:textFill>
              </w:rPr>
              <w:t>0.0026</w:t>
            </w:r>
          </w:p>
        </w:tc>
      </w:tr>
      <w:tr w14:paraId="2D64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F010134">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44980A59">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CDD</w:t>
            </w:r>
          </w:p>
        </w:tc>
        <w:tc>
          <w:tcPr>
            <w:tcW w:w="1945" w:type="dxa"/>
            <w:vAlign w:val="center"/>
          </w:tcPr>
          <w:p w14:paraId="17D1C5BC">
            <w:pPr>
              <w:pStyle w:val="109"/>
              <w:rPr>
                <w:color w:val="000000" w:themeColor="text1"/>
                <w14:textFill>
                  <w14:solidFill>
                    <w14:schemeClr w14:val="tx1"/>
                  </w14:solidFill>
                </w14:textFill>
              </w:rPr>
            </w:pPr>
            <w:r>
              <w:rPr>
                <w:color w:val="000000" w:themeColor="text1"/>
                <w14:textFill>
                  <w14:solidFill>
                    <w14:schemeClr w14:val="tx1"/>
                  </w14:solidFill>
                </w14:textFill>
              </w:rPr>
              <w:t>0.0041</w:t>
            </w:r>
          </w:p>
        </w:tc>
        <w:tc>
          <w:tcPr>
            <w:tcW w:w="2279" w:type="dxa"/>
            <w:vAlign w:val="center"/>
          </w:tcPr>
          <w:p w14:paraId="659B891F">
            <w:pPr>
              <w:pStyle w:val="109"/>
              <w:rPr>
                <w:color w:val="000000" w:themeColor="text1"/>
                <w14:textFill>
                  <w14:solidFill>
                    <w14:schemeClr w14:val="tx1"/>
                  </w14:solidFill>
                </w14:textFill>
              </w:rPr>
            </w:pPr>
            <w:r>
              <w:rPr>
                <w:color w:val="000000" w:themeColor="text1"/>
                <w14:textFill>
                  <w14:solidFill>
                    <w14:schemeClr w14:val="tx1"/>
                  </w14:solidFill>
                </w14:textFill>
              </w:rPr>
              <w:t>N.D.(&lt;0.0041)</w:t>
            </w:r>
          </w:p>
        </w:tc>
        <w:tc>
          <w:tcPr>
            <w:tcW w:w="1235" w:type="dxa"/>
            <w:vAlign w:val="center"/>
          </w:tcPr>
          <w:p w14:paraId="1AE86393">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6040B4CC">
            <w:pPr>
              <w:pStyle w:val="109"/>
              <w:rPr>
                <w:color w:val="000000" w:themeColor="text1"/>
                <w14:textFill>
                  <w14:solidFill>
                    <w14:schemeClr w14:val="tx1"/>
                  </w14:solidFill>
                </w14:textFill>
              </w:rPr>
            </w:pPr>
            <w:r>
              <w:rPr>
                <w:color w:val="000000" w:themeColor="text1"/>
                <w14:textFill>
                  <w14:solidFill>
                    <w14:schemeClr w14:val="tx1"/>
                  </w14:solidFill>
                </w14:textFill>
              </w:rPr>
              <w:t>0.0010</w:t>
            </w:r>
          </w:p>
        </w:tc>
      </w:tr>
      <w:tr w14:paraId="5FC9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48C754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B7BB4E6">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03D7DDC9">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0B640FCF">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18BF3CFC">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B935FA4">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47E9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17B9CD1">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3E3BE82D">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1B46CF8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6953FD3">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235" w:type="dxa"/>
            <w:vAlign w:val="center"/>
          </w:tcPr>
          <w:p w14:paraId="26BE2ED6">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9178F85">
            <w:pPr>
              <w:pStyle w:val="109"/>
              <w:rPr>
                <w:color w:val="000000" w:themeColor="text1"/>
                <w14:textFill>
                  <w14:solidFill>
                    <w14:schemeClr w14:val="tx1"/>
                  </w14:solidFill>
                </w14:textFill>
              </w:rPr>
            </w:pPr>
            <w:r>
              <w:rPr>
                <w:color w:val="000000" w:themeColor="text1"/>
                <w14:textFill>
                  <w14:solidFill>
                    <w14:schemeClr w14:val="tx1"/>
                  </w14:solidFill>
                </w14:textFill>
              </w:rPr>
              <w:t>0.12</w:t>
            </w:r>
          </w:p>
        </w:tc>
      </w:tr>
      <w:tr w14:paraId="4536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28EBC36">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68D74AA4">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CDD</w:t>
            </w:r>
          </w:p>
        </w:tc>
        <w:tc>
          <w:tcPr>
            <w:tcW w:w="1945" w:type="dxa"/>
            <w:vAlign w:val="center"/>
          </w:tcPr>
          <w:p w14:paraId="26576C7E">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02E9DB5E">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0916476">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44C7EF5E">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2FC3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5EACEF0F">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2B5BF20F">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CDD</w:t>
            </w:r>
          </w:p>
        </w:tc>
        <w:tc>
          <w:tcPr>
            <w:tcW w:w="1945" w:type="dxa"/>
            <w:vAlign w:val="center"/>
          </w:tcPr>
          <w:p w14:paraId="0161FA9A">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26D78E8F">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235" w:type="dxa"/>
            <w:vAlign w:val="center"/>
          </w:tcPr>
          <w:p w14:paraId="3684C8A9">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1F12D007">
            <w:pPr>
              <w:pStyle w:val="109"/>
              <w:rPr>
                <w:color w:val="000000" w:themeColor="text1"/>
                <w14:textFill>
                  <w14:solidFill>
                    <w14:schemeClr w14:val="tx1"/>
                  </w14:solidFill>
                </w14:textFill>
              </w:rPr>
            </w:pPr>
            <w:r>
              <w:rPr>
                <w:color w:val="000000" w:themeColor="text1"/>
                <w14:textFill>
                  <w14:solidFill>
                    <w14:schemeClr w14:val="tx1"/>
                  </w14:solidFill>
                </w14:textFill>
              </w:rPr>
              <w:t>0.12</w:t>
            </w:r>
          </w:p>
        </w:tc>
      </w:tr>
      <w:tr w14:paraId="3FEC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6B015A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多氯代二苯并-对-二噁英</w:t>
            </w:r>
          </w:p>
        </w:tc>
        <w:tc>
          <w:tcPr>
            <w:tcW w:w="2506" w:type="dxa"/>
            <w:vAlign w:val="center"/>
          </w:tcPr>
          <w:p w14:paraId="5C3B4ABC">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CDD</w:t>
            </w:r>
          </w:p>
        </w:tc>
        <w:tc>
          <w:tcPr>
            <w:tcW w:w="1945" w:type="dxa"/>
            <w:vAlign w:val="center"/>
          </w:tcPr>
          <w:p w14:paraId="69AEE86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7617D7DE">
            <w:pPr>
              <w:pStyle w:val="109"/>
              <w:rPr>
                <w:color w:val="000000" w:themeColor="text1"/>
                <w14:textFill>
                  <w14:solidFill>
                    <w14:schemeClr w14:val="tx1"/>
                  </w14:solidFill>
                </w14:textFill>
              </w:rPr>
            </w:pPr>
            <w:r>
              <w:rPr>
                <w:color w:val="000000" w:themeColor="text1"/>
                <w14:textFill>
                  <w14:solidFill>
                    <w14:schemeClr w14:val="tx1"/>
                  </w14:solidFill>
                </w14:textFill>
              </w:rPr>
              <w:t>53</w:t>
            </w:r>
          </w:p>
        </w:tc>
        <w:tc>
          <w:tcPr>
            <w:tcW w:w="1235" w:type="dxa"/>
            <w:vAlign w:val="center"/>
          </w:tcPr>
          <w:p w14:paraId="0BC14EEC">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11FD5D2C">
            <w:pPr>
              <w:pStyle w:val="109"/>
              <w:rPr>
                <w:color w:val="000000" w:themeColor="text1"/>
                <w14:textFill>
                  <w14:solidFill>
                    <w14:schemeClr w14:val="tx1"/>
                  </w14:solidFill>
                </w14:textFill>
              </w:rPr>
            </w:pPr>
            <w:r>
              <w:rPr>
                <w:color w:val="000000" w:themeColor="text1"/>
                <w14:textFill>
                  <w14:solidFill>
                    <w14:schemeClr w14:val="tx1"/>
                  </w14:solidFill>
                </w14:textFill>
              </w:rPr>
              <w:t>0.053</w:t>
            </w:r>
          </w:p>
        </w:tc>
      </w:tr>
      <w:tr w14:paraId="38A3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restart"/>
            <w:vAlign w:val="center"/>
          </w:tcPr>
          <w:p w14:paraId="616C06E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852747D">
            <w:pPr>
              <w:pStyle w:val="109"/>
              <w:rPr>
                <w:color w:val="000000" w:themeColor="text1"/>
                <w14:textFill>
                  <w14:solidFill>
                    <w14:schemeClr w14:val="tx1"/>
                  </w14:solidFill>
                </w14:textFill>
              </w:rPr>
            </w:pPr>
            <w:r>
              <w:rPr>
                <w:color w:val="000000" w:themeColor="text1"/>
                <w14:textFill>
                  <w14:solidFill>
                    <w14:schemeClr w14:val="tx1"/>
                  </w14:solidFill>
                </w14:textFill>
              </w:rPr>
              <w:t>2，3，7，8-T</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CDF</w:t>
            </w:r>
          </w:p>
        </w:tc>
        <w:tc>
          <w:tcPr>
            <w:tcW w:w="1945" w:type="dxa"/>
            <w:vAlign w:val="center"/>
          </w:tcPr>
          <w:p w14:paraId="5E4B9056">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13ED2489">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0B9F67D3">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D5ECB23">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3C9D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4E6C26B">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23BD2B09">
            <w:pPr>
              <w:pStyle w:val="109"/>
              <w:rPr>
                <w:color w:val="000000" w:themeColor="text1"/>
                <w14:textFill>
                  <w14:solidFill>
                    <w14:schemeClr w14:val="tx1"/>
                  </w14:solidFill>
                </w14:textFill>
              </w:rPr>
            </w:pPr>
            <w:r>
              <w:rPr>
                <w:color w:val="000000" w:themeColor="text1"/>
                <w14:textFill>
                  <w14:solidFill>
                    <w14:schemeClr w14:val="tx1"/>
                  </w14:solidFill>
                </w14:textFill>
              </w:rPr>
              <w:t>1，2，3，7，8-P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2B28B989">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54627843">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60AC84B8">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235" w:type="dxa"/>
            <w:vAlign w:val="center"/>
          </w:tcPr>
          <w:p w14:paraId="556C73A3">
            <w:pPr>
              <w:pStyle w:val="109"/>
              <w:rPr>
                <w:color w:val="000000" w:themeColor="text1"/>
                <w14:textFill>
                  <w14:solidFill>
                    <w14:schemeClr w14:val="tx1"/>
                  </w14:solidFill>
                </w14:textFill>
              </w:rPr>
            </w:pPr>
            <w:r>
              <w:rPr>
                <w:color w:val="000000" w:themeColor="text1"/>
                <w14:textFill>
                  <w14:solidFill>
                    <w14:schemeClr w14:val="tx1"/>
                  </w14:solidFill>
                </w14:textFill>
              </w:rPr>
              <w:t>0.00025</w:t>
            </w:r>
          </w:p>
        </w:tc>
      </w:tr>
      <w:tr w14:paraId="010E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74754F9C">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537C1A51">
            <w:pPr>
              <w:pStyle w:val="109"/>
              <w:rPr>
                <w:color w:val="000000" w:themeColor="text1"/>
                <w14:textFill>
                  <w14:solidFill>
                    <w14:schemeClr w14:val="tx1"/>
                  </w14:solidFill>
                </w14:textFill>
              </w:rPr>
            </w:pPr>
            <w:r>
              <w:rPr>
                <w:color w:val="000000" w:themeColor="text1"/>
                <w14:textFill>
                  <w14:solidFill>
                    <w14:schemeClr w14:val="tx1"/>
                  </w14:solidFill>
                </w14:textFill>
              </w:rPr>
              <w:t>2，3，4，7，8-P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CDF</w:t>
            </w:r>
          </w:p>
        </w:tc>
        <w:tc>
          <w:tcPr>
            <w:tcW w:w="1945" w:type="dxa"/>
            <w:vAlign w:val="center"/>
          </w:tcPr>
          <w:p w14:paraId="5B0A7F00">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3CB6FA38">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52A9FA4E">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35" w:type="dxa"/>
            <w:vAlign w:val="center"/>
          </w:tcPr>
          <w:p w14:paraId="5DF45282">
            <w:pPr>
              <w:pStyle w:val="109"/>
              <w:rPr>
                <w:color w:val="000000" w:themeColor="text1"/>
                <w14:textFill>
                  <w14:solidFill>
                    <w14:schemeClr w14:val="tx1"/>
                  </w14:solidFill>
                </w14:textFill>
              </w:rPr>
            </w:pPr>
            <w:r>
              <w:rPr>
                <w:color w:val="000000" w:themeColor="text1"/>
                <w14:textFill>
                  <w14:solidFill>
                    <w14:schemeClr w14:val="tx1"/>
                  </w14:solidFill>
                </w14:textFill>
              </w:rPr>
              <w:t>0.0013</w:t>
            </w:r>
          </w:p>
        </w:tc>
      </w:tr>
      <w:tr w14:paraId="256B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7D5C950">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F98C652">
            <w:pPr>
              <w:pStyle w:val="109"/>
              <w:rPr>
                <w:color w:val="000000" w:themeColor="text1"/>
                <w14:textFill>
                  <w14:solidFill>
                    <w14:schemeClr w14:val="tx1"/>
                  </w14:solidFill>
                </w14:textFill>
              </w:rPr>
            </w:pPr>
            <w:r>
              <w:rPr>
                <w:color w:val="000000" w:themeColor="text1"/>
                <w14:textFill>
                  <w14:solidFill>
                    <w14:schemeClr w14:val="tx1"/>
                  </w14:solidFill>
                </w14:textFill>
              </w:rPr>
              <w:t>1，2，3，4，7，8-H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22FD2F57">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660DDBEB">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3CBAB2DE">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616CC916">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1946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1CB88F2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6F584FA9">
            <w:pPr>
              <w:pStyle w:val="109"/>
              <w:rPr>
                <w:color w:val="000000" w:themeColor="text1"/>
                <w14:textFill>
                  <w14:solidFill>
                    <w14:schemeClr w14:val="tx1"/>
                  </w14:solidFill>
                </w14:textFill>
              </w:rPr>
            </w:pPr>
            <w:r>
              <w:rPr>
                <w:color w:val="000000" w:themeColor="text1"/>
                <w14:textFill>
                  <w14:solidFill>
                    <w14:schemeClr w14:val="tx1"/>
                  </w14:solidFill>
                </w14:textFill>
              </w:rPr>
              <w:t>1，2，3，6，7，8-H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29F502B4">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3775740E">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2FF20D8F">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73FF03EF">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371F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CE4ACE2">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BC9380F">
            <w:pPr>
              <w:pStyle w:val="109"/>
              <w:rPr>
                <w:color w:val="000000" w:themeColor="text1"/>
                <w14:textFill>
                  <w14:solidFill>
                    <w14:schemeClr w14:val="tx1"/>
                  </w14:solidFill>
                </w14:textFill>
              </w:rPr>
            </w:pPr>
            <w:r>
              <w:rPr>
                <w:color w:val="000000" w:themeColor="text1"/>
                <w14:textFill>
                  <w14:solidFill>
                    <w14:schemeClr w14:val="tx1"/>
                  </w14:solidFill>
                </w14:textFill>
              </w:rPr>
              <w:t>1，2，3，7，8，9-H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71788F1B">
            <w:pPr>
              <w:pStyle w:val="109"/>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2279" w:type="dxa"/>
            <w:vAlign w:val="center"/>
          </w:tcPr>
          <w:p w14:paraId="39170229">
            <w:pPr>
              <w:pStyle w:val="109"/>
              <w:rPr>
                <w:color w:val="000000" w:themeColor="text1"/>
                <w14:textFill>
                  <w14:solidFill>
                    <w14:schemeClr w14:val="tx1"/>
                  </w14:solidFill>
                </w14:textFill>
              </w:rPr>
            </w:pPr>
            <w:r>
              <w:rPr>
                <w:color w:val="000000" w:themeColor="text1"/>
                <w14:textFill>
                  <w14:solidFill>
                    <w14:schemeClr w14:val="tx1"/>
                  </w14:solidFill>
                </w14:textFill>
              </w:rPr>
              <w:t>N.D.(&lt;0.0051)</w:t>
            </w:r>
          </w:p>
        </w:tc>
        <w:tc>
          <w:tcPr>
            <w:tcW w:w="1235" w:type="dxa"/>
            <w:vAlign w:val="center"/>
          </w:tcPr>
          <w:p w14:paraId="42BAA268">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0CF53C83">
            <w:pPr>
              <w:pStyle w:val="109"/>
              <w:rPr>
                <w:color w:val="000000" w:themeColor="text1"/>
                <w14:textFill>
                  <w14:solidFill>
                    <w14:schemeClr w14:val="tx1"/>
                  </w14:solidFill>
                </w14:textFill>
              </w:rPr>
            </w:pPr>
            <w:r>
              <w:rPr>
                <w:color w:val="000000" w:themeColor="text1"/>
                <w14:textFill>
                  <w14:solidFill>
                    <w14:schemeClr w14:val="tx1"/>
                  </w14:solidFill>
                </w14:textFill>
              </w:rPr>
              <w:t>0.00026</w:t>
            </w:r>
          </w:p>
        </w:tc>
      </w:tr>
      <w:tr w14:paraId="3C32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0445AD9">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95E1039">
            <w:pPr>
              <w:pStyle w:val="109"/>
              <w:rPr>
                <w:color w:val="000000" w:themeColor="text1"/>
                <w14:textFill>
                  <w14:solidFill>
                    <w14:schemeClr w14:val="tx1"/>
                  </w14:solidFill>
                </w14:textFill>
              </w:rPr>
            </w:pPr>
            <w:r>
              <w:rPr>
                <w:color w:val="000000" w:themeColor="text1"/>
                <w14:textFill>
                  <w14:solidFill>
                    <w14:schemeClr w14:val="tx1"/>
                  </w14:solidFill>
                </w14:textFill>
              </w:rPr>
              <w:t>2，3，4，6，7，8-H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CDF</w:t>
            </w:r>
          </w:p>
        </w:tc>
        <w:tc>
          <w:tcPr>
            <w:tcW w:w="1945" w:type="dxa"/>
            <w:vAlign w:val="center"/>
          </w:tcPr>
          <w:p w14:paraId="48A128E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69AC2493">
            <w:pPr>
              <w:pStyle w:val="109"/>
              <w:rPr>
                <w:color w:val="000000" w:themeColor="text1"/>
                <w14:textFill>
                  <w14:solidFill>
                    <w14:schemeClr w14:val="tx1"/>
                  </w14:solidFill>
                </w14:textFill>
              </w:rPr>
            </w:pPr>
            <w:r>
              <w:rPr>
                <w:color w:val="000000" w:themeColor="text1"/>
                <w14:textFill>
                  <w14:solidFill>
                    <w14:schemeClr w14:val="tx1"/>
                  </w14:solidFill>
                </w14:textFill>
              </w:rPr>
              <w:t>N.D.(&lt;0.010)</w:t>
            </w:r>
          </w:p>
        </w:tc>
        <w:tc>
          <w:tcPr>
            <w:tcW w:w="1235" w:type="dxa"/>
            <w:vAlign w:val="center"/>
          </w:tcPr>
          <w:p w14:paraId="0C040DBF">
            <w:pPr>
              <w:pStyle w:val="109"/>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235" w:type="dxa"/>
            <w:vAlign w:val="center"/>
          </w:tcPr>
          <w:p w14:paraId="129012E9">
            <w:pPr>
              <w:pStyle w:val="109"/>
              <w:rPr>
                <w:color w:val="000000" w:themeColor="text1"/>
                <w14:textFill>
                  <w14:solidFill>
                    <w14:schemeClr w14:val="tx1"/>
                  </w14:solidFill>
                </w14:textFill>
              </w:rPr>
            </w:pPr>
            <w:r>
              <w:rPr>
                <w:color w:val="000000" w:themeColor="text1"/>
                <w14:textFill>
                  <w14:solidFill>
                    <w14:schemeClr w14:val="tx1"/>
                  </w14:solidFill>
                </w14:textFill>
              </w:rPr>
              <w:t>0.00050</w:t>
            </w:r>
          </w:p>
        </w:tc>
      </w:tr>
      <w:tr w14:paraId="7996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6A6DE81D">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156E91FB">
            <w:pPr>
              <w:pStyle w:val="109"/>
              <w:rPr>
                <w:color w:val="000000" w:themeColor="text1"/>
                <w14:textFill>
                  <w14:solidFill>
                    <w14:schemeClr w14:val="tx1"/>
                  </w14:solidFill>
                </w14:textFill>
              </w:rPr>
            </w:pPr>
            <w:r>
              <w:rPr>
                <w:color w:val="000000" w:themeColor="text1"/>
                <w14:textFill>
                  <w14:solidFill>
                    <w14:schemeClr w14:val="tx1"/>
                  </w14:solidFill>
                </w14:textFill>
              </w:rPr>
              <w:t>1，2，3，4，6，7，8-H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4DE2FDCF">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182FCDCF">
            <w:pPr>
              <w:pStyle w:val="109"/>
              <w:rPr>
                <w:color w:val="000000" w:themeColor="text1"/>
                <w14:textFill>
                  <w14:solidFill>
                    <w14:schemeClr w14:val="tx1"/>
                  </w14:solidFill>
                </w14:textFill>
              </w:rPr>
            </w:pPr>
            <w:r>
              <w:rPr>
                <w:color w:val="000000" w:themeColor="text1"/>
                <w14:textFill>
                  <w14:solidFill>
                    <w14:schemeClr w14:val="tx1"/>
                  </w14:solidFill>
                </w14:textFill>
              </w:rPr>
              <w:t>7.2</w:t>
            </w:r>
          </w:p>
        </w:tc>
        <w:tc>
          <w:tcPr>
            <w:tcW w:w="1235" w:type="dxa"/>
            <w:vAlign w:val="center"/>
          </w:tcPr>
          <w:p w14:paraId="7CF74F58">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36ABD84F">
            <w:pPr>
              <w:pStyle w:val="109"/>
              <w:rPr>
                <w:color w:val="000000" w:themeColor="text1"/>
                <w14:textFill>
                  <w14:solidFill>
                    <w14:schemeClr w14:val="tx1"/>
                  </w14:solidFill>
                </w14:textFill>
              </w:rPr>
            </w:pPr>
            <w:r>
              <w:rPr>
                <w:color w:val="000000" w:themeColor="text1"/>
                <w14:textFill>
                  <w14:solidFill>
                    <w14:schemeClr w14:val="tx1"/>
                  </w14:solidFill>
                </w14:textFill>
              </w:rPr>
              <w:t>0.072</w:t>
            </w:r>
          </w:p>
        </w:tc>
      </w:tr>
      <w:tr w14:paraId="0704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0D792C05">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7C9A71FC">
            <w:pPr>
              <w:pStyle w:val="109"/>
              <w:rPr>
                <w:color w:val="000000" w:themeColor="text1"/>
                <w14:textFill>
                  <w14:solidFill>
                    <w14:schemeClr w14:val="tx1"/>
                  </w14:solidFill>
                </w14:textFill>
              </w:rPr>
            </w:pPr>
            <w:r>
              <w:rPr>
                <w:color w:val="000000" w:themeColor="text1"/>
                <w14:textFill>
                  <w14:solidFill>
                    <w14:schemeClr w14:val="tx1"/>
                  </w14:solidFill>
                </w14:textFill>
              </w:rPr>
              <w:t>1，2，3，4，7，8，9-H</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CDF</w:t>
            </w:r>
          </w:p>
        </w:tc>
        <w:tc>
          <w:tcPr>
            <w:tcW w:w="1945" w:type="dxa"/>
            <w:vAlign w:val="center"/>
          </w:tcPr>
          <w:p w14:paraId="4C13DD43">
            <w:pPr>
              <w:pStyle w:val="109"/>
              <w:rPr>
                <w:color w:val="000000" w:themeColor="text1"/>
                <w14:textFill>
                  <w14:solidFill>
                    <w14:schemeClr w14:val="tx1"/>
                  </w14:solidFill>
                </w14:textFill>
              </w:rPr>
            </w:pPr>
            <w:r>
              <w:rPr>
                <w:color w:val="000000" w:themeColor="text1"/>
                <w14:textFill>
                  <w14:solidFill>
                    <w14:schemeClr w14:val="tx1"/>
                  </w14:solidFill>
                </w14:textFill>
              </w:rPr>
              <w:t>0.0041</w:t>
            </w:r>
          </w:p>
        </w:tc>
        <w:tc>
          <w:tcPr>
            <w:tcW w:w="2279" w:type="dxa"/>
            <w:vAlign w:val="center"/>
          </w:tcPr>
          <w:p w14:paraId="311C31FA">
            <w:pPr>
              <w:pStyle w:val="109"/>
              <w:rPr>
                <w:color w:val="000000" w:themeColor="text1"/>
                <w14:textFill>
                  <w14:solidFill>
                    <w14:schemeClr w14:val="tx1"/>
                  </w14:solidFill>
                </w14:textFill>
              </w:rPr>
            </w:pPr>
            <w:r>
              <w:rPr>
                <w:color w:val="000000" w:themeColor="text1"/>
                <w14:textFill>
                  <w14:solidFill>
                    <w14:schemeClr w14:val="tx1"/>
                  </w14:solidFill>
                </w14:textFill>
              </w:rPr>
              <w:t>N.D.(&lt;0.0041)</w:t>
            </w:r>
          </w:p>
        </w:tc>
        <w:tc>
          <w:tcPr>
            <w:tcW w:w="1235" w:type="dxa"/>
            <w:vAlign w:val="center"/>
          </w:tcPr>
          <w:p w14:paraId="21B6071C">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235" w:type="dxa"/>
            <w:vAlign w:val="center"/>
          </w:tcPr>
          <w:p w14:paraId="5F3B74FE">
            <w:pPr>
              <w:pStyle w:val="109"/>
              <w:rPr>
                <w:color w:val="000000" w:themeColor="text1"/>
                <w14:textFill>
                  <w14:solidFill>
                    <w14:schemeClr w14:val="tx1"/>
                  </w14:solidFill>
                </w14:textFill>
              </w:rPr>
            </w:pPr>
            <w:r>
              <w:rPr>
                <w:color w:val="000000" w:themeColor="text1"/>
                <w14:textFill>
                  <w14:solidFill>
                    <w14:schemeClr w14:val="tx1"/>
                  </w14:solidFill>
                </w14:textFill>
              </w:rPr>
              <w:t>0.000020</w:t>
            </w:r>
          </w:p>
        </w:tc>
      </w:tr>
      <w:tr w14:paraId="00AB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Merge w:val="continue"/>
            <w:vAlign w:val="center"/>
          </w:tcPr>
          <w:p w14:paraId="43788ADE">
            <w:pPr>
              <w:pStyle w:val="109"/>
              <w:rPr>
                <w:color w:val="000000" w:themeColor="text1"/>
                <w14:textFill>
                  <w14:solidFill>
                    <w14:schemeClr w14:val="tx1"/>
                  </w14:solidFill>
                </w14:textFill>
              </w:rPr>
            </w:pPr>
            <w:r>
              <w:rPr>
                <w:color w:val="000000" w:themeColor="text1"/>
                <w14:textFill>
                  <w14:solidFill>
                    <w14:schemeClr w14:val="tx1"/>
                  </w14:solidFill>
                </w14:textFill>
              </w:rPr>
              <w:t>多氯代二苯并呋喃</w:t>
            </w:r>
          </w:p>
        </w:tc>
        <w:tc>
          <w:tcPr>
            <w:tcW w:w="2506" w:type="dxa"/>
            <w:vAlign w:val="center"/>
          </w:tcPr>
          <w:p w14:paraId="02744A9B">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CDF</w:t>
            </w:r>
          </w:p>
        </w:tc>
        <w:tc>
          <w:tcPr>
            <w:tcW w:w="1945" w:type="dxa"/>
            <w:vAlign w:val="center"/>
          </w:tcPr>
          <w:p w14:paraId="425EDBA0">
            <w:pPr>
              <w:pStyle w:val="109"/>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279" w:type="dxa"/>
            <w:vAlign w:val="center"/>
          </w:tcPr>
          <w:p w14:paraId="4C1C4F43">
            <w:pPr>
              <w:pStyle w:val="109"/>
              <w:rPr>
                <w:color w:val="000000" w:themeColor="text1"/>
                <w14:textFill>
                  <w14:solidFill>
                    <w14:schemeClr w14:val="tx1"/>
                  </w14:solidFill>
                </w14:textFill>
              </w:rPr>
            </w:pPr>
            <w:r>
              <w:rPr>
                <w:color w:val="000000" w:themeColor="text1"/>
                <w14:textFill>
                  <w14:solidFill>
                    <w14:schemeClr w14:val="tx1"/>
                  </w14:solidFill>
                </w14:textFill>
              </w:rPr>
              <w:t>8.3</w:t>
            </w:r>
          </w:p>
        </w:tc>
        <w:tc>
          <w:tcPr>
            <w:tcW w:w="1235" w:type="dxa"/>
            <w:vAlign w:val="center"/>
          </w:tcPr>
          <w:p w14:paraId="7519886A">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235" w:type="dxa"/>
            <w:vAlign w:val="center"/>
          </w:tcPr>
          <w:p w14:paraId="6F934ADB">
            <w:pPr>
              <w:pStyle w:val="109"/>
              <w:rPr>
                <w:color w:val="000000" w:themeColor="text1"/>
                <w14:textFill>
                  <w14:solidFill>
                    <w14:schemeClr w14:val="tx1"/>
                  </w14:solidFill>
                </w14:textFill>
              </w:rPr>
            </w:pPr>
            <w:r>
              <w:rPr>
                <w:color w:val="000000" w:themeColor="text1"/>
                <w14:textFill>
                  <w14:solidFill>
                    <w14:schemeClr w14:val="tx1"/>
                  </w14:solidFill>
                </w14:textFill>
              </w:rPr>
              <w:t>0.0083</w:t>
            </w:r>
          </w:p>
        </w:tc>
      </w:tr>
      <w:tr w14:paraId="3B37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3"/>
            <w:vAlign w:val="center"/>
          </w:tcPr>
          <w:p w14:paraId="56FC4780">
            <w:pPr>
              <w:pStyle w:val="109"/>
              <w:rPr>
                <w:color w:val="000000" w:themeColor="text1"/>
                <w14:textFill>
                  <w14:solidFill>
                    <w14:schemeClr w14:val="tx1"/>
                  </w14:solidFill>
                </w14:textFill>
              </w:rPr>
            </w:pPr>
            <w:r>
              <w:rPr>
                <w:color w:val="000000" w:themeColor="text1"/>
                <w14:textFill>
                  <w14:solidFill>
                    <w14:schemeClr w14:val="tx1"/>
                  </w14:solidFill>
                </w14:textFill>
              </w:rPr>
              <w:t>二噁英类测定浓度 单位：ng/kg</w:t>
            </w:r>
          </w:p>
        </w:tc>
        <w:tc>
          <w:tcPr>
            <w:tcW w:w="2279" w:type="dxa"/>
            <w:gridSpan w:val="3"/>
            <w:vAlign w:val="center"/>
          </w:tcPr>
          <w:p w14:paraId="274FCB53">
            <w:pPr>
              <w:pStyle w:val="109"/>
              <w:rPr>
                <w:color w:val="000000" w:themeColor="text1"/>
                <w14:textFill>
                  <w14:solidFill>
                    <w14:schemeClr w14:val="tx1"/>
                  </w14:solidFill>
                </w14:textFill>
              </w:rPr>
            </w:pPr>
            <w:r>
              <w:rPr>
                <w:color w:val="000000" w:themeColor="text1"/>
                <w14:textFill>
                  <w14:solidFill>
                    <w14:schemeClr w14:val="tx1"/>
                  </w14:solidFill>
                </w14:textFill>
              </w:rPr>
              <w:t>0.38</w:t>
            </w:r>
          </w:p>
        </w:tc>
      </w:tr>
      <w:tr w14:paraId="43BD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gridSpan w:val="6"/>
            <w:vAlign w:val="center"/>
          </w:tcPr>
          <w:p w14:paraId="6DBB4118">
            <w:pPr>
              <w:pStyle w:val="109"/>
              <w:rPr>
                <w:color w:val="000000" w:themeColor="text1"/>
                <w14:textFill>
                  <w14:solidFill>
                    <w14:schemeClr w14:val="tx1"/>
                  </w14:solidFill>
                </w14:textFill>
              </w:rPr>
            </w:pPr>
            <w:r>
              <w:rPr>
                <w:color w:val="000000" w:themeColor="text1"/>
                <w14:textFill>
                  <w14:solidFill>
                    <w14:schemeClr w14:val="tx1"/>
                  </w14:solidFill>
                </w14:textFill>
              </w:rPr>
              <w:t>[注]: N.D.指低于检出限，计算毒性当量浓度时以 1/2 检出限计。</w:t>
            </w:r>
          </w:p>
        </w:tc>
      </w:tr>
    </w:tbl>
    <w:p w14:paraId="29D7BA8F">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土壤检测结果1（补测）</w:t>
      </w:r>
    </w:p>
    <w:tbl>
      <w:tblPr>
        <w:tblStyle w:val="76"/>
        <w:tblpPr w:leftFromText="180" w:rightFromText="180" w:vertAnchor="text" w:horzAnchor="page" w:tblpX="1042" w:tblpY="63"/>
        <w:tblOverlap w:val="never"/>
        <w:tblW w:w="9552" w:type="dxa"/>
        <w:tblInd w:w="0" w:type="dxa"/>
        <w:tblLayout w:type="fixed"/>
        <w:tblCellMar>
          <w:top w:w="15" w:type="dxa"/>
          <w:left w:w="15" w:type="dxa"/>
          <w:bottom w:w="15" w:type="dxa"/>
          <w:right w:w="15" w:type="dxa"/>
        </w:tblCellMar>
      </w:tblPr>
      <w:tblGrid>
        <w:gridCol w:w="1360"/>
        <w:gridCol w:w="1761"/>
        <w:gridCol w:w="1927"/>
        <w:gridCol w:w="958"/>
        <w:gridCol w:w="1502"/>
        <w:gridCol w:w="71"/>
        <w:gridCol w:w="1973"/>
      </w:tblGrid>
      <w:tr w14:paraId="25902797">
        <w:tblPrEx>
          <w:tblCellMar>
            <w:top w:w="15" w:type="dxa"/>
            <w:left w:w="15" w:type="dxa"/>
            <w:bottom w:w="15" w:type="dxa"/>
            <w:right w:w="15" w:type="dxa"/>
          </w:tblCellMar>
        </w:tblPrEx>
        <w:trPr>
          <w:trHeight w:val="397" w:hRule="atLeast"/>
        </w:trPr>
        <w:tc>
          <w:tcPr>
            <w:tcW w:w="5048" w:type="dxa"/>
            <w:gridSpan w:val="3"/>
            <w:tcBorders>
              <w:top w:val="single" w:color="000000" w:sz="4" w:space="0"/>
              <w:left w:val="single" w:color="000000" w:sz="4" w:space="0"/>
              <w:bottom w:val="single" w:color="000000" w:sz="4" w:space="0"/>
              <w:right w:val="single" w:color="auto" w:sz="4" w:space="0"/>
            </w:tcBorders>
            <w:vAlign w:val="center"/>
          </w:tcPr>
          <w:p w14:paraId="541CBD9D">
            <w:pPr>
              <w:pStyle w:val="109"/>
              <w:rPr>
                <w:color w:val="000000" w:themeColor="text1"/>
                <w14:textFill>
                  <w14:solidFill>
                    <w14:schemeClr w14:val="tx1"/>
                  </w14:solidFill>
                </w14:textFill>
              </w:rPr>
            </w:pPr>
            <w:bookmarkStart w:id="402" w:name="_Hlk220328456"/>
            <w:r>
              <w:rPr>
                <w:color w:val="000000" w:themeColor="text1"/>
                <w14:textFill>
                  <w14:solidFill>
                    <w14:schemeClr w14:val="tx1"/>
                  </w14:solidFill>
                </w14:textFill>
              </w:rPr>
              <w:t xml:space="preserve">样品类型 </w:t>
            </w:r>
          </w:p>
        </w:tc>
        <w:tc>
          <w:tcPr>
            <w:tcW w:w="4504" w:type="dxa"/>
            <w:gridSpan w:val="4"/>
            <w:tcBorders>
              <w:top w:val="single" w:color="000000" w:sz="4" w:space="0"/>
              <w:left w:val="single" w:color="auto" w:sz="4" w:space="0"/>
              <w:bottom w:val="single" w:color="000000" w:sz="4" w:space="0"/>
              <w:right w:val="single" w:color="000000" w:sz="4" w:space="0"/>
            </w:tcBorders>
            <w:vAlign w:val="center"/>
          </w:tcPr>
          <w:p w14:paraId="6DA31CAE">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r>
      <w:tr w14:paraId="2E1E3D42">
        <w:tblPrEx>
          <w:tblCellMar>
            <w:top w:w="15" w:type="dxa"/>
            <w:left w:w="15" w:type="dxa"/>
            <w:bottom w:w="15" w:type="dxa"/>
            <w:right w:w="15" w:type="dxa"/>
          </w:tblCellMar>
        </w:tblPrEx>
        <w:trPr>
          <w:trHeight w:val="397" w:hRule="atLeast"/>
        </w:trPr>
        <w:tc>
          <w:tcPr>
            <w:tcW w:w="3121" w:type="dxa"/>
            <w:gridSpan w:val="2"/>
            <w:tcBorders>
              <w:top w:val="single" w:color="000000" w:sz="4" w:space="0"/>
              <w:left w:val="single" w:color="000000" w:sz="4" w:space="0"/>
              <w:bottom w:val="single" w:color="000000" w:sz="4" w:space="0"/>
              <w:right w:val="single" w:color="auto" w:sz="4" w:space="0"/>
            </w:tcBorders>
            <w:vAlign w:val="center"/>
          </w:tcPr>
          <w:p w14:paraId="264B8062">
            <w:pPr>
              <w:pStyle w:val="109"/>
              <w:rPr>
                <w:color w:val="000000" w:themeColor="text1"/>
                <w14:textFill>
                  <w14:solidFill>
                    <w14:schemeClr w14:val="tx1"/>
                  </w14:solidFill>
                </w14:textFill>
              </w:rPr>
            </w:pPr>
            <w:r>
              <w:rPr>
                <w:color w:val="000000" w:themeColor="text1"/>
                <w14:textFill>
                  <w14:solidFill>
                    <w14:schemeClr w14:val="tx1"/>
                  </w14:solidFill>
                </w14:textFill>
              </w:rPr>
              <w:t>采样日期</w:t>
            </w:r>
          </w:p>
        </w:tc>
        <w:tc>
          <w:tcPr>
            <w:tcW w:w="2885" w:type="dxa"/>
            <w:gridSpan w:val="2"/>
            <w:tcBorders>
              <w:top w:val="single" w:color="000000" w:sz="4" w:space="0"/>
              <w:left w:val="single" w:color="auto" w:sz="4" w:space="0"/>
              <w:bottom w:val="single" w:color="auto" w:sz="4" w:space="0"/>
              <w:right w:val="single" w:color="000000" w:sz="4" w:space="0"/>
            </w:tcBorders>
            <w:vAlign w:val="center"/>
          </w:tcPr>
          <w:p w14:paraId="3988EFBE">
            <w:pPr>
              <w:pStyle w:val="109"/>
              <w:rPr>
                <w:color w:val="000000" w:themeColor="text1"/>
                <w:lang w:bidi="ar"/>
                <w14:textFill>
                  <w14:solidFill>
                    <w14:schemeClr w14:val="tx1"/>
                  </w14:solidFill>
                </w14:textFill>
              </w:rPr>
            </w:pPr>
            <w:bookmarkStart w:id="403" w:name="_Hlk220328275"/>
            <w:r>
              <w:rPr>
                <w:color w:val="000000" w:themeColor="text1"/>
                <w:lang w:bidi="ar"/>
                <w14:textFill>
                  <w14:solidFill>
                    <w14:schemeClr w14:val="tx1"/>
                  </w14:solidFill>
                </w14:textFill>
              </w:rPr>
              <w:t>2026年1月8日</w:t>
            </w:r>
            <w:bookmarkEnd w:id="403"/>
          </w:p>
        </w:tc>
        <w:tc>
          <w:tcPr>
            <w:tcW w:w="1502" w:type="dxa"/>
            <w:tcBorders>
              <w:top w:val="single" w:color="000000" w:sz="4" w:space="0"/>
              <w:left w:val="single" w:color="000000" w:sz="4" w:space="0"/>
              <w:bottom w:val="single" w:color="auto" w:sz="4" w:space="0"/>
              <w:right w:val="single" w:color="000000" w:sz="4" w:space="0"/>
            </w:tcBorders>
            <w:vAlign w:val="center"/>
          </w:tcPr>
          <w:p w14:paraId="55621215">
            <w:pPr>
              <w:pStyle w:val="109"/>
              <w:rPr>
                <w:color w:val="000000" w:themeColor="text1"/>
                <w14:textFill>
                  <w14:solidFill>
                    <w14:schemeClr w14:val="tx1"/>
                  </w14:solidFill>
                </w14:textFill>
              </w:rPr>
            </w:pPr>
            <w:r>
              <w:rPr>
                <w:color w:val="000000" w:themeColor="text1"/>
                <w14:textFill>
                  <w14:solidFill>
                    <w14:schemeClr w14:val="tx1"/>
                  </w14:solidFill>
                </w14:textFill>
              </w:rPr>
              <w:t>分析日期</w:t>
            </w:r>
          </w:p>
        </w:tc>
        <w:tc>
          <w:tcPr>
            <w:tcW w:w="2042" w:type="dxa"/>
            <w:gridSpan w:val="2"/>
            <w:tcBorders>
              <w:top w:val="single" w:color="000000" w:sz="4" w:space="0"/>
              <w:left w:val="single" w:color="000000" w:sz="4" w:space="0"/>
              <w:bottom w:val="single" w:color="auto" w:sz="4" w:space="0"/>
              <w:right w:val="single" w:color="000000" w:sz="4" w:space="0"/>
            </w:tcBorders>
            <w:vAlign w:val="center"/>
          </w:tcPr>
          <w:p w14:paraId="2E5C831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2026年1月10-13日</w:t>
            </w:r>
          </w:p>
        </w:tc>
      </w:tr>
      <w:tr w14:paraId="1B97220E">
        <w:tblPrEx>
          <w:tblCellMar>
            <w:top w:w="15" w:type="dxa"/>
            <w:left w:w="15" w:type="dxa"/>
            <w:bottom w:w="15" w:type="dxa"/>
            <w:right w:w="15" w:type="dxa"/>
          </w:tblCellMar>
        </w:tblPrEx>
        <w:trPr>
          <w:trHeight w:val="387" w:hRule="atLeast"/>
        </w:trPr>
        <w:tc>
          <w:tcPr>
            <w:tcW w:w="6006" w:type="dxa"/>
            <w:gridSpan w:val="4"/>
            <w:tcBorders>
              <w:top w:val="single" w:color="000000" w:sz="4" w:space="0"/>
              <w:left w:val="single" w:color="000000" w:sz="4" w:space="0"/>
              <w:bottom w:val="single" w:color="000000" w:sz="4" w:space="0"/>
              <w:right w:val="single" w:color="auto" w:sz="4" w:space="0"/>
            </w:tcBorders>
            <w:vAlign w:val="center"/>
          </w:tcPr>
          <w:p w14:paraId="5920EB63">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检测项目</w:t>
            </w:r>
          </w:p>
        </w:tc>
        <w:tc>
          <w:tcPr>
            <w:tcW w:w="1502" w:type="dxa"/>
            <w:tcBorders>
              <w:top w:val="single" w:color="auto" w:sz="4" w:space="0"/>
              <w:left w:val="single" w:color="auto" w:sz="4" w:space="0"/>
              <w:bottom w:val="single" w:color="auto" w:sz="4" w:space="0"/>
              <w:right w:val="single" w:color="auto" w:sz="4" w:space="0"/>
            </w:tcBorders>
            <w:vAlign w:val="center"/>
          </w:tcPr>
          <w:p w14:paraId="5EF309B5">
            <w:pPr>
              <w:pStyle w:val="109"/>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2042" w:type="dxa"/>
            <w:gridSpan w:val="2"/>
            <w:tcBorders>
              <w:top w:val="single" w:color="auto" w:sz="4" w:space="0"/>
              <w:left w:val="single" w:color="auto" w:sz="4" w:space="0"/>
              <w:bottom w:val="single" w:color="auto" w:sz="4" w:space="0"/>
              <w:right w:val="single" w:color="auto" w:sz="4" w:space="0"/>
            </w:tcBorders>
            <w:vAlign w:val="center"/>
          </w:tcPr>
          <w:p w14:paraId="2CC84F4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锰</w:t>
            </w:r>
          </w:p>
        </w:tc>
      </w:tr>
      <w:tr w14:paraId="1519CFDD">
        <w:tblPrEx>
          <w:tblCellMar>
            <w:top w:w="15" w:type="dxa"/>
            <w:left w:w="15" w:type="dxa"/>
            <w:bottom w:w="15" w:type="dxa"/>
            <w:right w:w="15" w:type="dxa"/>
          </w:tblCellMar>
        </w:tblPrEx>
        <w:trPr>
          <w:trHeight w:val="387" w:hRule="atLeast"/>
        </w:trPr>
        <w:tc>
          <w:tcPr>
            <w:tcW w:w="6006" w:type="dxa"/>
            <w:gridSpan w:val="4"/>
            <w:tcBorders>
              <w:top w:val="single" w:color="000000" w:sz="4" w:space="0"/>
              <w:left w:val="single" w:color="000000" w:sz="4" w:space="0"/>
              <w:bottom w:val="single" w:color="000000" w:sz="4" w:space="0"/>
              <w:right w:val="single" w:color="auto" w:sz="4" w:space="0"/>
            </w:tcBorders>
            <w:vAlign w:val="center"/>
          </w:tcPr>
          <w:p w14:paraId="100227D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单位</w:t>
            </w:r>
          </w:p>
        </w:tc>
        <w:tc>
          <w:tcPr>
            <w:tcW w:w="1502" w:type="dxa"/>
            <w:tcBorders>
              <w:top w:val="single" w:color="auto" w:sz="4" w:space="0"/>
              <w:left w:val="single" w:color="auto" w:sz="4" w:space="0"/>
              <w:bottom w:val="single" w:color="auto" w:sz="4" w:space="0"/>
              <w:right w:val="single" w:color="auto" w:sz="4" w:space="0"/>
            </w:tcBorders>
            <w:vAlign w:val="center"/>
          </w:tcPr>
          <w:p w14:paraId="3DBF11C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m</w:t>
            </w:r>
            <w:r>
              <w:rPr>
                <w:color w:val="000000" w:themeColor="text1"/>
                <w14:textFill>
                  <w14:solidFill>
                    <w14:schemeClr w14:val="tx1"/>
                  </w14:solidFill>
                </w14:textFill>
              </w:rPr>
              <w:t>g/kg</w:t>
            </w:r>
          </w:p>
        </w:tc>
        <w:tc>
          <w:tcPr>
            <w:tcW w:w="2042" w:type="dxa"/>
            <w:gridSpan w:val="2"/>
            <w:tcBorders>
              <w:top w:val="single" w:color="auto" w:sz="4" w:space="0"/>
              <w:left w:val="single" w:color="auto" w:sz="4" w:space="0"/>
              <w:bottom w:val="single" w:color="auto" w:sz="4" w:space="0"/>
              <w:right w:val="single" w:color="auto" w:sz="4" w:space="0"/>
            </w:tcBorders>
            <w:vAlign w:val="center"/>
          </w:tcPr>
          <w:p w14:paraId="661A2C13">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g/kg</w:t>
            </w:r>
          </w:p>
        </w:tc>
      </w:tr>
      <w:tr w14:paraId="564F1EE5">
        <w:tblPrEx>
          <w:tblCellMar>
            <w:top w:w="15" w:type="dxa"/>
            <w:left w:w="15" w:type="dxa"/>
            <w:bottom w:w="15" w:type="dxa"/>
            <w:right w:w="15" w:type="dxa"/>
          </w:tblCellMar>
        </w:tblPrEx>
        <w:trPr>
          <w:trHeight w:val="599" w:hRule="atLeast"/>
        </w:trPr>
        <w:tc>
          <w:tcPr>
            <w:tcW w:w="1360" w:type="dxa"/>
            <w:tcBorders>
              <w:top w:val="single" w:color="auto" w:sz="4" w:space="0"/>
              <w:left w:val="single" w:color="auto" w:sz="4" w:space="0"/>
              <w:bottom w:val="single" w:color="auto" w:sz="4" w:space="0"/>
              <w:right w:val="single" w:color="auto" w:sz="4" w:space="0"/>
            </w:tcBorders>
            <w:vAlign w:val="center"/>
          </w:tcPr>
          <w:p w14:paraId="1A48078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样品编码</w:t>
            </w:r>
          </w:p>
        </w:tc>
        <w:tc>
          <w:tcPr>
            <w:tcW w:w="1761" w:type="dxa"/>
            <w:tcBorders>
              <w:top w:val="single" w:color="auto" w:sz="4" w:space="0"/>
              <w:left w:val="single" w:color="auto" w:sz="4" w:space="0"/>
              <w:bottom w:val="single" w:color="auto" w:sz="4" w:space="0"/>
              <w:right w:val="single" w:color="auto" w:sz="4" w:space="0"/>
            </w:tcBorders>
            <w:vAlign w:val="center"/>
          </w:tcPr>
          <w:p w14:paraId="5855D9B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采样地点</w:t>
            </w:r>
          </w:p>
        </w:tc>
        <w:tc>
          <w:tcPr>
            <w:tcW w:w="1927" w:type="dxa"/>
            <w:tcBorders>
              <w:top w:val="single" w:color="auto" w:sz="4" w:space="0"/>
              <w:left w:val="single" w:color="auto" w:sz="4" w:space="0"/>
              <w:bottom w:val="single" w:color="auto" w:sz="4" w:space="0"/>
              <w:right w:val="single" w:color="auto" w:sz="4" w:space="0"/>
            </w:tcBorders>
            <w:vAlign w:val="center"/>
          </w:tcPr>
          <w:p w14:paraId="708E8EEE">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样品状态</w:t>
            </w:r>
          </w:p>
        </w:tc>
        <w:tc>
          <w:tcPr>
            <w:tcW w:w="958" w:type="dxa"/>
            <w:tcBorders>
              <w:top w:val="single" w:color="auto" w:sz="4" w:space="0"/>
              <w:left w:val="single" w:color="auto" w:sz="4" w:space="0"/>
              <w:bottom w:val="single" w:color="auto" w:sz="4" w:space="0"/>
              <w:right w:val="single" w:color="auto" w:sz="4" w:space="0"/>
            </w:tcBorders>
            <w:vAlign w:val="center"/>
          </w:tcPr>
          <w:p w14:paraId="280E42EA">
            <w:pPr>
              <w:pStyle w:val="109"/>
              <w:rPr>
                <w:color w:val="000000" w:themeColor="text1"/>
                <w14:textFill>
                  <w14:solidFill>
                    <w14:schemeClr w14:val="tx1"/>
                  </w14:solidFill>
                </w14:textFill>
              </w:rPr>
            </w:pPr>
            <w:r>
              <w:rPr>
                <w:color w:val="000000" w:themeColor="text1"/>
                <w14:textFill>
                  <w14:solidFill>
                    <w14:schemeClr w14:val="tx1"/>
                  </w14:solidFill>
                </w14:textFill>
              </w:rPr>
              <w:t>深度</w:t>
            </w:r>
          </w:p>
          <w:p w14:paraId="4629C7A0">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（cm）</w:t>
            </w:r>
          </w:p>
        </w:tc>
        <w:tc>
          <w:tcPr>
            <w:tcW w:w="3546" w:type="dxa"/>
            <w:gridSpan w:val="3"/>
            <w:tcBorders>
              <w:top w:val="single" w:color="auto" w:sz="4" w:space="0"/>
              <w:left w:val="single" w:color="auto" w:sz="4" w:space="0"/>
              <w:bottom w:val="single" w:color="auto" w:sz="4" w:space="0"/>
              <w:right w:val="single" w:color="auto" w:sz="4" w:space="0"/>
            </w:tcBorders>
            <w:vAlign w:val="center"/>
          </w:tcPr>
          <w:p w14:paraId="4BDC1CF1">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检测结果</w:t>
            </w:r>
          </w:p>
        </w:tc>
      </w:tr>
      <w:tr w14:paraId="32F6DAA6">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34610CC3">
            <w:pPr>
              <w:pStyle w:val="109"/>
              <w:rPr>
                <w:color w:val="000000" w:themeColor="text1"/>
                <w14:textFill>
                  <w14:solidFill>
                    <w14:schemeClr w14:val="tx1"/>
                  </w14:solidFill>
                </w14:textFill>
              </w:rPr>
            </w:pPr>
            <w:r>
              <w:rPr>
                <w:color w:val="000000" w:themeColor="text1"/>
                <w14:textFill>
                  <w14:solidFill>
                    <w14:schemeClr w14:val="tx1"/>
                  </w14:solidFill>
                </w14:textFill>
              </w:rPr>
              <w:t>TC-1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w:t>
            </w:r>
          </w:p>
        </w:tc>
        <w:tc>
          <w:tcPr>
            <w:tcW w:w="1761" w:type="dxa"/>
            <w:vMerge w:val="restart"/>
            <w:tcBorders>
              <w:top w:val="single" w:color="auto" w:sz="4" w:space="0"/>
              <w:left w:val="single" w:color="auto" w:sz="4" w:space="0"/>
              <w:right w:val="single" w:color="auto" w:sz="4" w:space="0"/>
            </w:tcBorders>
            <w:vAlign w:val="center"/>
          </w:tcPr>
          <w:p w14:paraId="0A3358F4">
            <w:pPr>
              <w:pStyle w:val="109"/>
              <w:rPr>
                <w:color w:val="000000" w:themeColor="text1"/>
                <w:spacing w:val="-6"/>
                <w14:textFill>
                  <w14:solidFill>
                    <w14:schemeClr w14:val="tx1"/>
                  </w14:solidFill>
                </w14:textFill>
              </w:rPr>
            </w:pPr>
            <w:r>
              <w:rPr>
                <w:color w:val="000000" w:themeColor="text1"/>
                <w:spacing w:val="-6"/>
                <w14:textFill>
                  <w14:solidFill>
                    <w14:schemeClr w14:val="tx1"/>
                  </w14:solidFill>
                </w14:textFill>
              </w:rPr>
              <w:t>E：87°41′39.82″</w:t>
            </w:r>
          </w:p>
          <w:p w14:paraId="6EE84062">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N：44°08′22.21″</w:t>
            </w:r>
          </w:p>
        </w:tc>
        <w:tc>
          <w:tcPr>
            <w:tcW w:w="1927" w:type="dxa"/>
            <w:tcBorders>
              <w:top w:val="single" w:color="auto" w:sz="4" w:space="0"/>
              <w:left w:val="single" w:color="auto" w:sz="4" w:space="0"/>
              <w:bottom w:val="single" w:color="auto" w:sz="4" w:space="0"/>
              <w:right w:val="single" w:color="auto" w:sz="4" w:space="0"/>
            </w:tcBorders>
            <w:vAlign w:val="center"/>
          </w:tcPr>
          <w:p w14:paraId="5EFAF532">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5C9D7A45">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37</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2068939E">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201</w:t>
            </w:r>
          </w:p>
        </w:tc>
        <w:tc>
          <w:tcPr>
            <w:tcW w:w="1973" w:type="dxa"/>
            <w:tcBorders>
              <w:top w:val="single" w:color="auto" w:sz="4" w:space="0"/>
              <w:left w:val="single" w:color="auto" w:sz="4" w:space="0"/>
              <w:bottom w:val="single" w:color="auto" w:sz="4" w:space="0"/>
              <w:right w:val="single" w:color="auto" w:sz="4" w:space="0"/>
            </w:tcBorders>
            <w:vAlign w:val="center"/>
          </w:tcPr>
          <w:p w14:paraId="66F3D31D">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0.64</w:t>
            </w:r>
          </w:p>
        </w:tc>
      </w:tr>
      <w:tr w14:paraId="449B6E2D">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432EE759">
            <w:pPr>
              <w:pStyle w:val="109"/>
              <w:rPr>
                <w:color w:val="000000" w:themeColor="text1"/>
                <w14:textFill>
                  <w14:solidFill>
                    <w14:schemeClr w14:val="tx1"/>
                  </w14:solidFill>
                </w14:textFill>
              </w:rPr>
            </w:pPr>
            <w:r>
              <w:rPr>
                <w:color w:val="000000" w:themeColor="text1"/>
                <w14:textFill>
                  <w14:solidFill>
                    <w14:schemeClr w14:val="tx1"/>
                  </w14:solidFill>
                </w14:textFill>
              </w:rPr>
              <w:t>TC-1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w:t>
            </w:r>
          </w:p>
        </w:tc>
        <w:tc>
          <w:tcPr>
            <w:tcW w:w="1761" w:type="dxa"/>
            <w:vMerge w:val="continue"/>
            <w:tcBorders>
              <w:left w:val="single" w:color="auto" w:sz="4" w:space="0"/>
              <w:right w:val="single" w:color="auto" w:sz="4" w:space="0"/>
            </w:tcBorders>
            <w:vAlign w:val="center"/>
          </w:tcPr>
          <w:p w14:paraId="796E2163">
            <w:pPr>
              <w:pStyle w:val="109"/>
              <w:rPr>
                <w:color w:val="000000" w:themeColor="text1"/>
                <w14:textFill>
                  <w14:solidFill>
                    <w14:schemeClr w14:val="tx1"/>
                  </w14:solidFill>
                </w14:textFill>
              </w:rPr>
            </w:pPr>
          </w:p>
        </w:tc>
        <w:tc>
          <w:tcPr>
            <w:tcW w:w="1927" w:type="dxa"/>
            <w:tcBorders>
              <w:top w:val="single" w:color="auto" w:sz="4" w:space="0"/>
              <w:left w:val="single" w:color="auto" w:sz="4" w:space="0"/>
              <w:bottom w:val="single" w:color="auto" w:sz="4" w:space="0"/>
              <w:right w:val="single" w:color="auto" w:sz="4" w:space="0"/>
            </w:tcBorders>
            <w:vAlign w:val="center"/>
          </w:tcPr>
          <w:p w14:paraId="1103CDED">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59FFB36B">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122</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41930429">
            <w:pPr>
              <w:pStyle w:val="109"/>
              <w:rPr>
                <w:color w:val="000000" w:themeColor="text1"/>
                <w14:textFill>
                  <w14:solidFill>
                    <w14:schemeClr w14:val="tx1"/>
                  </w14:solidFill>
                </w14:textFill>
              </w:rPr>
            </w:pPr>
            <w:r>
              <w:rPr>
                <w:color w:val="000000" w:themeColor="text1"/>
                <w14:textFill>
                  <w14:solidFill>
                    <w14:schemeClr w14:val="tx1"/>
                  </w14:solidFill>
                </w14:textFill>
              </w:rPr>
              <w:t>181</w:t>
            </w:r>
          </w:p>
        </w:tc>
        <w:tc>
          <w:tcPr>
            <w:tcW w:w="1973" w:type="dxa"/>
            <w:tcBorders>
              <w:top w:val="single" w:color="auto" w:sz="4" w:space="0"/>
              <w:left w:val="single" w:color="auto" w:sz="4" w:space="0"/>
              <w:bottom w:val="single" w:color="auto" w:sz="4" w:space="0"/>
              <w:right w:val="single" w:color="auto" w:sz="4" w:space="0"/>
            </w:tcBorders>
            <w:vAlign w:val="center"/>
          </w:tcPr>
          <w:p w14:paraId="40136F23">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0.47</w:t>
            </w:r>
          </w:p>
        </w:tc>
      </w:tr>
      <w:tr w14:paraId="3905765D">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19DE93BC">
            <w:pPr>
              <w:pStyle w:val="109"/>
              <w:rPr>
                <w:color w:val="000000" w:themeColor="text1"/>
                <w14:textFill>
                  <w14:solidFill>
                    <w14:schemeClr w14:val="tx1"/>
                  </w14:solidFill>
                </w14:textFill>
              </w:rPr>
            </w:pPr>
            <w:r>
              <w:rPr>
                <w:color w:val="000000" w:themeColor="text1"/>
                <w14:textFill>
                  <w14:solidFill>
                    <w14:schemeClr w14:val="tx1"/>
                  </w14:solidFill>
                </w14:textFill>
              </w:rPr>
              <w:t>TC-1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-1-1-1</w:t>
            </w:r>
          </w:p>
        </w:tc>
        <w:tc>
          <w:tcPr>
            <w:tcW w:w="1761" w:type="dxa"/>
            <w:vMerge w:val="continue"/>
            <w:tcBorders>
              <w:left w:val="single" w:color="auto" w:sz="4" w:space="0"/>
              <w:bottom w:val="single" w:color="auto" w:sz="4" w:space="0"/>
              <w:right w:val="single" w:color="auto" w:sz="4" w:space="0"/>
            </w:tcBorders>
            <w:vAlign w:val="center"/>
          </w:tcPr>
          <w:p w14:paraId="0AD64F8B">
            <w:pPr>
              <w:pStyle w:val="109"/>
              <w:rPr>
                <w:color w:val="000000" w:themeColor="text1"/>
                <w14:textFill>
                  <w14:solidFill>
                    <w14:schemeClr w14:val="tx1"/>
                  </w14:solidFill>
                </w14:textFill>
              </w:rPr>
            </w:pPr>
          </w:p>
        </w:tc>
        <w:tc>
          <w:tcPr>
            <w:tcW w:w="1927" w:type="dxa"/>
            <w:tcBorders>
              <w:top w:val="single" w:color="auto" w:sz="4" w:space="0"/>
              <w:left w:val="single" w:color="auto" w:sz="4" w:space="0"/>
              <w:bottom w:val="single" w:color="auto" w:sz="4" w:space="0"/>
              <w:right w:val="single" w:color="auto" w:sz="4" w:space="0"/>
            </w:tcBorders>
            <w:vAlign w:val="center"/>
          </w:tcPr>
          <w:p w14:paraId="5AB63C78">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1C3AB18B">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189</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12B9F532">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188</w:t>
            </w:r>
          </w:p>
        </w:tc>
        <w:tc>
          <w:tcPr>
            <w:tcW w:w="1973" w:type="dxa"/>
            <w:tcBorders>
              <w:top w:val="single" w:color="auto" w:sz="4" w:space="0"/>
              <w:left w:val="single" w:color="auto" w:sz="4" w:space="0"/>
              <w:bottom w:val="single" w:color="auto" w:sz="4" w:space="0"/>
              <w:right w:val="single" w:color="auto" w:sz="4" w:space="0"/>
            </w:tcBorders>
            <w:vAlign w:val="center"/>
          </w:tcPr>
          <w:p w14:paraId="03002E86">
            <w:pPr>
              <w:pStyle w:val="109"/>
              <w:rPr>
                <w:color w:val="000000" w:themeColor="text1"/>
                <w14:textFill>
                  <w14:solidFill>
                    <w14:schemeClr w14:val="tx1"/>
                  </w14:solidFill>
                </w14:textFill>
              </w:rPr>
            </w:pPr>
            <w:r>
              <w:rPr>
                <w:color w:val="000000" w:themeColor="text1"/>
                <w14:textFill>
                  <w14:solidFill>
                    <w14:schemeClr w14:val="tx1"/>
                  </w14:solidFill>
                </w14:textFill>
              </w:rPr>
              <w:t>0.37</w:t>
            </w:r>
          </w:p>
        </w:tc>
      </w:tr>
      <w:tr w14:paraId="54FDF006">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219AA3A8">
            <w:pPr>
              <w:pStyle w:val="109"/>
              <w:rPr>
                <w:color w:val="000000" w:themeColor="text1"/>
                <w14:textFill>
                  <w14:solidFill>
                    <w14:schemeClr w14:val="tx1"/>
                  </w14:solidFill>
                </w14:textFill>
              </w:rPr>
            </w:pPr>
            <w:r>
              <w:rPr>
                <w:color w:val="000000" w:themeColor="text1"/>
                <w14:textFill>
                  <w14:solidFill>
                    <w14:schemeClr w14:val="tx1"/>
                  </w14:solidFill>
                </w14:textFill>
              </w:rPr>
              <w:t>TC-2</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w:t>
            </w:r>
          </w:p>
        </w:tc>
        <w:tc>
          <w:tcPr>
            <w:tcW w:w="1761" w:type="dxa"/>
            <w:vMerge w:val="restart"/>
            <w:tcBorders>
              <w:top w:val="single" w:color="auto" w:sz="4" w:space="0"/>
              <w:left w:val="single" w:color="auto" w:sz="4" w:space="0"/>
              <w:right w:val="single" w:color="auto" w:sz="4" w:space="0"/>
            </w:tcBorders>
            <w:vAlign w:val="center"/>
          </w:tcPr>
          <w:p w14:paraId="448534A7">
            <w:pPr>
              <w:pStyle w:val="109"/>
              <w:rPr>
                <w:color w:val="000000" w:themeColor="text1"/>
                <w:spacing w:val="-6"/>
                <w14:textFill>
                  <w14:solidFill>
                    <w14:schemeClr w14:val="tx1"/>
                  </w14:solidFill>
                </w14:textFill>
              </w:rPr>
            </w:pPr>
            <w:r>
              <w:rPr>
                <w:color w:val="000000" w:themeColor="text1"/>
                <w:spacing w:val="-6"/>
                <w14:textFill>
                  <w14:solidFill>
                    <w14:schemeClr w14:val="tx1"/>
                  </w14:solidFill>
                </w14:textFill>
              </w:rPr>
              <w:t>E：87°41′38.89″</w:t>
            </w:r>
          </w:p>
          <w:p w14:paraId="4541D597">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N：44°08′24.87″</w:t>
            </w:r>
          </w:p>
        </w:tc>
        <w:tc>
          <w:tcPr>
            <w:tcW w:w="1927" w:type="dxa"/>
            <w:tcBorders>
              <w:top w:val="single" w:color="auto" w:sz="4" w:space="0"/>
              <w:left w:val="single" w:color="auto" w:sz="4" w:space="0"/>
              <w:bottom w:val="single" w:color="auto" w:sz="4" w:space="0"/>
              <w:right w:val="single" w:color="auto" w:sz="4" w:space="0"/>
            </w:tcBorders>
            <w:vAlign w:val="center"/>
          </w:tcPr>
          <w:p w14:paraId="09ABE36A">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22402004">
            <w:pPr>
              <w:pStyle w:val="109"/>
              <w:rPr>
                <w:color w:val="000000" w:themeColor="text1"/>
                <w14:textFill>
                  <w14:solidFill>
                    <w14:schemeClr w14:val="tx1"/>
                  </w14:solidFill>
                </w14:textFill>
              </w:rPr>
            </w:pPr>
            <w:r>
              <w:rPr>
                <w:color w:val="000000" w:themeColor="text1"/>
                <w14:textFill>
                  <w14:solidFill>
                    <w14:schemeClr w14:val="tx1"/>
                  </w14:solidFill>
                </w14:textFill>
              </w:rPr>
              <w:t>40</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11191060">
            <w:pPr>
              <w:pStyle w:val="109"/>
              <w:rPr>
                <w:color w:val="000000" w:themeColor="text1"/>
                <w14:textFill>
                  <w14:solidFill>
                    <w14:schemeClr w14:val="tx1"/>
                  </w14:solidFill>
                </w14:textFill>
              </w:rPr>
            </w:pPr>
            <w:r>
              <w:rPr>
                <w:color w:val="000000" w:themeColor="text1"/>
                <w14:textFill>
                  <w14:solidFill>
                    <w14:schemeClr w14:val="tx1"/>
                  </w14:solidFill>
                </w14:textFill>
              </w:rPr>
              <w:t>214</w:t>
            </w:r>
          </w:p>
        </w:tc>
        <w:tc>
          <w:tcPr>
            <w:tcW w:w="1973" w:type="dxa"/>
            <w:tcBorders>
              <w:top w:val="single" w:color="auto" w:sz="4" w:space="0"/>
              <w:left w:val="single" w:color="auto" w:sz="4" w:space="0"/>
              <w:bottom w:val="single" w:color="auto" w:sz="4" w:space="0"/>
              <w:right w:val="single" w:color="auto" w:sz="4" w:space="0"/>
            </w:tcBorders>
            <w:vAlign w:val="center"/>
          </w:tcPr>
          <w:p w14:paraId="0995DAF7">
            <w:pPr>
              <w:pStyle w:val="109"/>
              <w:rPr>
                <w:color w:val="000000" w:themeColor="text1"/>
                <w14:textFill>
                  <w14:solidFill>
                    <w14:schemeClr w14:val="tx1"/>
                  </w14:solidFill>
                </w14:textFill>
              </w:rPr>
            </w:pPr>
            <w:r>
              <w:rPr>
                <w:color w:val="000000" w:themeColor="text1"/>
                <w14:textFill>
                  <w14:solidFill>
                    <w14:schemeClr w14:val="tx1"/>
                  </w14:solidFill>
                </w14:textFill>
              </w:rPr>
              <w:t>0.59</w:t>
            </w:r>
          </w:p>
        </w:tc>
      </w:tr>
      <w:tr w14:paraId="73CE21C1">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2CEDFC29">
            <w:pPr>
              <w:pStyle w:val="109"/>
              <w:rPr>
                <w:color w:val="000000" w:themeColor="text1"/>
                <w14:textFill>
                  <w14:solidFill>
                    <w14:schemeClr w14:val="tx1"/>
                  </w14:solidFill>
                </w14:textFill>
              </w:rPr>
            </w:pPr>
            <w:r>
              <w:rPr>
                <w:color w:val="000000" w:themeColor="text1"/>
                <w14:textFill>
                  <w14:solidFill>
                    <w14:schemeClr w14:val="tx1"/>
                  </w14:solidFill>
                </w14:textFill>
              </w:rPr>
              <w:t>TC-2</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w:t>
            </w:r>
          </w:p>
        </w:tc>
        <w:tc>
          <w:tcPr>
            <w:tcW w:w="1761" w:type="dxa"/>
            <w:vMerge w:val="continue"/>
            <w:tcBorders>
              <w:left w:val="single" w:color="auto" w:sz="4" w:space="0"/>
              <w:right w:val="single" w:color="auto" w:sz="4" w:space="0"/>
            </w:tcBorders>
            <w:vAlign w:val="center"/>
          </w:tcPr>
          <w:p w14:paraId="40EF6C8A">
            <w:pPr>
              <w:pStyle w:val="109"/>
              <w:rPr>
                <w:color w:val="000000" w:themeColor="text1"/>
                <w14:textFill>
                  <w14:solidFill>
                    <w14:schemeClr w14:val="tx1"/>
                  </w14:solidFill>
                </w14:textFill>
              </w:rPr>
            </w:pPr>
          </w:p>
        </w:tc>
        <w:tc>
          <w:tcPr>
            <w:tcW w:w="1927" w:type="dxa"/>
            <w:tcBorders>
              <w:top w:val="single" w:color="auto" w:sz="4" w:space="0"/>
              <w:left w:val="single" w:color="auto" w:sz="4" w:space="0"/>
              <w:bottom w:val="single" w:color="auto" w:sz="4" w:space="0"/>
              <w:right w:val="single" w:color="auto" w:sz="4" w:space="0"/>
            </w:tcBorders>
            <w:vAlign w:val="center"/>
          </w:tcPr>
          <w:p w14:paraId="3C23B416">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40C0948C">
            <w:pPr>
              <w:pStyle w:val="109"/>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370F8F8F">
            <w:pPr>
              <w:pStyle w:val="109"/>
              <w:rPr>
                <w:color w:val="000000" w:themeColor="text1"/>
                <w14:textFill>
                  <w14:solidFill>
                    <w14:schemeClr w14:val="tx1"/>
                  </w14:solidFill>
                </w14:textFill>
              </w:rPr>
            </w:pPr>
            <w:r>
              <w:rPr>
                <w:color w:val="000000" w:themeColor="text1"/>
                <w14:textFill>
                  <w14:solidFill>
                    <w14:schemeClr w14:val="tx1"/>
                  </w14:solidFill>
                </w14:textFill>
              </w:rPr>
              <w:t>181</w:t>
            </w:r>
          </w:p>
        </w:tc>
        <w:tc>
          <w:tcPr>
            <w:tcW w:w="1973" w:type="dxa"/>
            <w:tcBorders>
              <w:top w:val="single" w:color="auto" w:sz="4" w:space="0"/>
              <w:left w:val="single" w:color="auto" w:sz="4" w:space="0"/>
              <w:bottom w:val="single" w:color="auto" w:sz="4" w:space="0"/>
              <w:right w:val="single" w:color="auto" w:sz="4" w:space="0"/>
            </w:tcBorders>
            <w:vAlign w:val="center"/>
          </w:tcPr>
          <w:p w14:paraId="6B032C7A">
            <w:pPr>
              <w:pStyle w:val="109"/>
              <w:rPr>
                <w:color w:val="000000" w:themeColor="text1"/>
                <w14:textFill>
                  <w14:solidFill>
                    <w14:schemeClr w14:val="tx1"/>
                  </w14:solidFill>
                </w14:textFill>
              </w:rPr>
            </w:pPr>
            <w:r>
              <w:rPr>
                <w:color w:val="000000" w:themeColor="text1"/>
                <w14:textFill>
                  <w14:solidFill>
                    <w14:schemeClr w14:val="tx1"/>
                  </w14:solidFill>
                </w14:textFill>
              </w:rPr>
              <w:t>0.47</w:t>
            </w:r>
          </w:p>
        </w:tc>
      </w:tr>
      <w:tr w14:paraId="5F5C06F9">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45F1D66F">
            <w:pPr>
              <w:pStyle w:val="109"/>
              <w:rPr>
                <w:color w:val="000000" w:themeColor="text1"/>
                <w14:textFill>
                  <w14:solidFill>
                    <w14:schemeClr w14:val="tx1"/>
                  </w14:solidFill>
                </w14:textFill>
              </w:rPr>
            </w:pPr>
            <w:r>
              <w:rPr>
                <w:color w:val="000000" w:themeColor="text1"/>
                <w14:textFill>
                  <w14:solidFill>
                    <w14:schemeClr w14:val="tx1"/>
                  </w14:solidFill>
                </w14:textFill>
              </w:rPr>
              <w:t>TC-2</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-1-1-1</w:t>
            </w:r>
          </w:p>
        </w:tc>
        <w:tc>
          <w:tcPr>
            <w:tcW w:w="1761" w:type="dxa"/>
            <w:vMerge w:val="continue"/>
            <w:tcBorders>
              <w:left w:val="single" w:color="auto" w:sz="4" w:space="0"/>
              <w:bottom w:val="single" w:color="auto" w:sz="4" w:space="0"/>
              <w:right w:val="single" w:color="auto" w:sz="4" w:space="0"/>
            </w:tcBorders>
            <w:vAlign w:val="center"/>
          </w:tcPr>
          <w:p w14:paraId="69BC3AC3">
            <w:pPr>
              <w:pStyle w:val="109"/>
              <w:rPr>
                <w:color w:val="000000" w:themeColor="text1"/>
                <w14:textFill>
                  <w14:solidFill>
                    <w14:schemeClr w14:val="tx1"/>
                  </w14:solidFill>
                </w14:textFill>
              </w:rPr>
            </w:pPr>
          </w:p>
        </w:tc>
        <w:tc>
          <w:tcPr>
            <w:tcW w:w="1927" w:type="dxa"/>
            <w:tcBorders>
              <w:top w:val="single" w:color="auto" w:sz="4" w:space="0"/>
              <w:left w:val="single" w:color="auto" w:sz="4" w:space="0"/>
              <w:bottom w:val="single" w:color="auto" w:sz="4" w:space="0"/>
              <w:right w:val="single" w:color="auto" w:sz="4" w:space="0"/>
            </w:tcBorders>
            <w:vAlign w:val="center"/>
          </w:tcPr>
          <w:p w14:paraId="75272DE4">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7B1888F9">
            <w:pPr>
              <w:pStyle w:val="109"/>
              <w:rPr>
                <w:color w:val="000000" w:themeColor="text1"/>
                <w14:textFill>
                  <w14:solidFill>
                    <w14:schemeClr w14:val="tx1"/>
                  </w14:solidFill>
                </w14:textFill>
              </w:rPr>
            </w:pPr>
            <w:r>
              <w:rPr>
                <w:color w:val="000000" w:themeColor="text1"/>
                <w14:textFill>
                  <w14:solidFill>
                    <w14:schemeClr w14:val="tx1"/>
                  </w14:solidFill>
                </w14:textFill>
              </w:rPr>
              <w:t>192</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774BB01D">
            <w:pPr>
              <w:pStyle w:val="109"/>
              <w:rPr>
                <w:color w:val="000000" w:themeColor="text1"/>
                <w14:textFill>
                  <w14:solidFill>
                    <w14:schemeClr w14:val="tx1"/>
                  </w14:solidFill>
                </w14:textFill>
              </w:rPr>
            </w:pPr>
            <w:r>
              <w:rPr>
                <w:color w:val="000000" w:themeColor="text1"/>
                <w14:textFill>
                  <w14:solidFill>
                    <w14:schemeClr w14:val="tx1"/>
                  </w14:solidFill>
                </w14:textFill>
              </w:rPr>
              <w:t>159</w:t>
            </w:r>
          </w:p>
        </w:tc>
        <w:tc>
          <w:tcPr>
            <w:tcW w:w="1973" w:type="dxa"/>
            <w:tcBorders>
              <w:top w:val="single" w:color="auto" w:sz="4" w:space="0"/>
              <w:left w:val="single" w:color="auto" w:sz="4" w:space="0"/>
              <w:bottom w:val="single" w:color="auto" w:sz="4" w:space="0"/>
              <w:right w:val="single" w:color="auto" w:sz="4" w:space="0"/>
            </w:tcBorders>
            <w:vAlign w:val="center"/>
          </w:tcPr>
          <w:p w14:paraId="2DB04BE3">
            <w:pPr>
              <w:pStyle w:val="109"/>
              <w:rPr>
                <w:color w:val="000000" w:themeColor="text1"/>
                <w14:textFill>
                  <w14:solidFill>
                    <w14:schemeClr w14:val="tx1"/>
                  </w14:solidFill>
                </w14:textFill>
              </w:rPr>
            </w:pPr>
            <w:r>
              <w:rPr>
                <w:color w:val="000000" w:themeColor="text1"/>
                <w14:textFill>
                  <w14:solidFill>
                    <w14:schemeClr w14:val="tx1"/>
                  </w14:solidFill>
                </w14:textFill>
              </w:rPr>
              <w:t>0.32</w:t>
            </w:r>
          </w:p>
        </w:tc>
      </w:tr>
      <w:tr w14:paraId="65AD82E0">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6884718B">
            <w:pPr>
              <w:pStyle w:val="109"/>
              <w:rPr>
                <w:color w:val="000000" w:themeColor="text1"/>
                <w14:textFill>
                  <w14:solidFill>
                    <w14:schemeClr w14:val="tx1"/>
                  </w14:solidFill>
                </w14:textFill>
              </w:rPr>
            </w:pPr>
            <w:r>
              <w:rPr>
                <w:color w:val="000000" w:themeColor="text1"/>
                <w14:textFill>
                  <w14:solidFill>
                    <w14:schemeClr w14:val="tx1"/>
                  </w14:solidFill>
                </w14:textFill>
              </w:rPr>
              <w:t>TC-3</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w:t>
            </w:r>
          </w:p>
        </w:tc>
        <w:tc>
          <w:tcPr>
            <w:tcW w:w="1761" w:type="dxa"/>
            <w:vMerge w:val="restart"/>
            <w:tcBorders>
              <w:top w:val="single" w:color="auto" w:sz="4" w:space="0"/>
              <w:left w:val="single" w:color="auto" w:sz="4" w:space="0"/>
              <w:right w:val="single" w:color="auto" w:sz="4" w:space="0"/>
            </w:tcBorders>
            <w:vAlign w:val="center"/>
          </w:tcPr>
          <w:p w14:paraId="3C04E1B3">
            <w:pPr>
              <w:pStyle w:val="109"/>
              <w:rPr>
                <w:color w:val="000000" w:themeColor="text1"/>
                <w:spacing w:val="-6"/>
                <w14:textFill>
                  <w14:solidFill>
                    <w14:schemeClr w14:val="tx1"/>
                  </w14:solidFill>
                </w14:textFill>
              </w:rPr>
            </w:pPr>
            <w:r>
              <w:rPr>
                <w:color w:val="000000" w:themeColor="text1"/>
                <w:spacing w:val="-6"/>
                <w14:textFill>
                  <w14:solidFill>
                    <w14:schemeClr w14:val="tx1"/>
                  </w14:solidFill>
                </w14:textFill>
              </w:rPr>
              <w:t>E：87°41′42.44″</w:t>
            </w:r>
          </w:p>
          <w:p w14:paraId="225361B4">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N：44°08′24.41″</w:t>
            </w:r>
          </w:p>
        </w:tc>
        <w:tc>
          <w:tcPr>
            <w:tcW w:w="1927" w:type="dxa"/>
            <w:tcBorders>
              <w:top w:val="single" w:color="auto" w:sz="4" w:space="0"/>
              <w:left w:val="single" w:color="auto" w:sz="4" w:space="0"/>
              <w:bottom w:val="single" w:color="auto" w:sz="4" w:space="0"/>
              <w:right w:val="single" w:color="auto" w:sz="4" w:space="0"/>
            </w:tcBorders>
            <w:vAlign w:val="center"/>
          </w:tcPr>
          <w:p w14:paraId="73D7E96A">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3D227C19">
            <w:pPr>
              <w:pStyle w:val="109"/>
              <w:rPr>
                <w:color w:val="000000" w:themeColor="text1"/>
                <w14:textFill>
                  <w14:solidFill>
                    <w14:schemeClr w14:val="tx1"/>
                  </w14:solidFill>
                </w14:textFill>
              </w:rPr>
            </w:pPr>
            <w:r>
              <w:rPr>
                <w:color w:val="000000" w:themeColor="text1"/>
                <w14:textFill>
                  <w14:solidFill>
                    <w14:schemeClr w14:val="tx1"/>
                  </w14:solidFill>
                </w14:textFill>
              </w:rPr>
              <w:t>42</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6EFF96D5">
            <w:pPr>
              <w:pStyle w:val="109"/>
              <w:rPr>
                <w:color w:val="000000" w:themeColor="text1"/>
                <w14:textFill>
                  <w14:solidFill>
                    <w14:schemeClr w14:val="tx1"/>
                  </w14:solidFill>
                </w14:textFill>
              </w:rPr>
            </w:pPr>
            <w:r>
              <w:rPr>
                <w:color w:val="000000" w:themeColor="text1"/>
                <w14:textFill>
                  <w14:solidFill>
                    <w14:schemeClr w14:val="tx1"/>
                  </w14:solidFill>
                </w14:textFill>
              </w:rPr>
              <w:t>181</w:t>
            </w:r>
          </w:p>
        </w:tc>
        <w:tc>
          <w:tcPr>
            <w:tcW w:w="1973" w:type="dxa"/>
            <w:tcBorders>
              <w:top w:val="single" w:color="auto" w:sz="4" w:space="0"/>
              <w:left w:val="single" w:color="auto" w:sz="4" w:space="0"/>
              <w:bottom w:val="single" w:color="auto" w:sz="4" w:space="0"/>
              <w:right w:val="single" w:color="auto" w:sz="4" w:space="0"/>
            </w:tcBorders>
            <w:vAlign w:val="center"/>
          </w:tcPr>
          <w:p w14:paraId="5E4A5BB8">
            <w:pPr>
              <w:pStyle w:val="109"/>
              <w:rPr>
                <w:color w:val="000000" w:themeColor="text1"/>
                <w14:textFill>
                  <w14:solidFill>
                    <w14:schemeClr w14:val="tx1"/>
                  </w14:solidFill>
                </w14:textFill>
              </w:rPr>
            </w:pPr>
            <w:r>
              <w:rPr>
                <w:color w:val="000000" w:themeColor="text1"/>
                <w14:textFill>
                  <w14:solidFill>
                    <w14:schemeClr w14:val="tx1"/>
                  </w14:solidFill>
                </w14:textFill>
              </w:rPr>
              <w:t>0.51</w:t>
            </w:r>
          </w:p>
        </w:tc>
      </w:tr>
      <w:tr w14:paraId="3EB72C61">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4C82ADD5">
            <w:pPr>
              <w:pStyle w:val="109"/>
              <w:rPr>
                <w:color w:val="000000" w:themeColor="text1"/>
                <w14:textFill>
                  <w14:solidFill>
                    <w14:schemeClr w14:val="tx1"/>
                  </w14:solidFill>
                </w14:textFill>
              </w:rPr>
            </w:pPr>
            <w:r>
              <w:rPr>
                <w:color w:val="000000" w:themeColor="text1"/>
                <w14:textFill>
                  <w14:solidFill>
                    <w14:schemeClr w14:val="tx1"/>
                  </w14:solidFill>
                </w14:textFill>
              </w:rPr>
              <w:t>TC-3</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w:t>
            </w:r>
          </w:p>
        </w:tc>
        <w:tc>
          <w:tcPr>
            <w:tcW w:w="1761" w:type="dxa"/>
            <w:vMerge w:val="continue"/>
            <w:tcBorders>
              <w:left w:val="single" w:color="auto" w:sz="4" w:space="0"/>
              <w:right w:val="single" w:color="auto" w:sz="4" w:space="0"/>
            </w:tcBorders>
            <w:vAlign w:val="center"/>
          </w:tcPr>
          <w:p w14:paraId="4C5391C8">
            <w:pPr>
              <w:pStyle w:val="109"/>
              <w:rPr>
                <w:color w:val="000000" w:themeColor="text1"/>
                <w14:textFill>
                  <w14:solidFill>
                    <w14:schemeClr w14:val="tx1"/>
                  </w14:solidFill>
                </w14:textFill>
              </w:rPr>
            </w:pPr>
          </w:p>
        </w:tc>
        <w:tc>
          <w:tcPr>
            <w:tcW w:w="1927" w:type="dxa"/>
            <w:tcBorders>
              <w:top w:val="single" w:color="auto" w:sz="4" w:space="0"/>
              <w:left w:val="single" w:color="auto" w:sz="4" w:space="0"/>
              <w:bottom w:val="single" w:color="auto" w:sz="4" w:space="0"/>
              <w:right w:val="single" w:color="auto" w:sz="4" w:space="0"/>
            </w:tcBorders>
            <w:vAlign w:val="center"/>
          </w:tcPr>
          <w:p w14:paraId="3D0C717C">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216A74FF">
            <w:pPr>
              <w:pStyle w:val="109"/>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0C17110A">
            <w:pPr>
              <w:pStyle w:val="109"/>
              <w:rPr>
                <w:color w:val="000000" w:themeColor="text1"/>
                <w14:textFill>
                  <w14:solidFill>
                    <w14:schemeClr w14:val="tx1"/>
                  </w14:solidFill>
                </w14:textFill>
              </w:rPr>
            </w:pPr>
            <w:r>
              <w:rPr>
                <w:color w:val="000000" w:themeColor="text1"/>
                <w14:textFill>
                  <w14:solidFill>
                    <w14:schemeClr w14:val="tx1"/>
                  </w14:solidFill>
                </w14:textFill>
              </w:rPr>
              <w:t>197</w:t>
            </w:r>
          </w:p>
        </w:tc>
        <w:tc>
          <w:tcPr>
            <w:tcW w:w="1973" w:type="dxa"/>
            <w:tcBorders>
              <w:top w:val="single" w:color="auto" w:sz="4" w:space="0"/>
              <w:left w:val="single" w:color="auto" w:sz="4" w:space="0"/>
              <w:bottom w:val="single" w:color="auto" w:sz="4" w:space="0"/>
              <w:right w:val="single" w:color="auto" w:sz="4" w:space="0"/>
            </w:tcBorders>
            <w:vAlign w:val="center"/>
          </w:tcPr>
          <w:p w14:paraId="6BF55B29">
            <w:pPr>
              <w:pStyle w:val="109"/>
              <w:rPr>
                <w:color w:val="000000" w:themeColor="text1"/>
                <w14:textFill>
                  <w14:solidFill>
                    <w14:schemeClr w14:val="tx1"/>
                  </w14:solidFill>
                </w14:textFill>
              </w:rPr>
            </w:pPr>
            <w:r>
              <w:rPr>
                <w:color w:val="000000" w:themeColor="text1"/>
                <w14:textFill>
                  <w14:solidFill>
                    <w14:schemeClr w14:val="tx1"/>
                  </w14:solidFill>
                </w14:textFill>
              </w:rPr>
              <w:t>0.38</w:t>
            </w:r>
          </w:p>
        </w:tc>
      </w:tr>
      <w:tr w14:paraId="623C9760">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142E6214">
            <w:pPr>
              <w:pStyle w:val="109"/>
              <w:rPr>
                <w:color w:val="000000" w:themeColor="text1"/>
                <w14:textFill>
                  <w14:solidFill>
                    <w14:schemeClr w14:val="tx1"/>
                  </w14:solidFill>
                </w14:textFill>
              </w:rPr>
            </w:pPr>
            <w:r>
              <w:rPr>
                <w:color w:val="000000" w:themeColor="text1"/>
                <w14:textFill>
                  <w14:solidFill>
                    <w14:schemeClr w14:val="tx1"/>
                  </w14:solidFill>
                </w14:textFill>
              </w:rPr>
              <w:t>TC-3</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-1-1-1</w:t>
            </w:r>
          </w:p>
        </w:tc>
        <w:tc>
          <w:tcPr>
            <w:tcW w:w="1761" w:type="dxa"/>
            <w:vMerge w:val="continue"/>
            <w:tcBorders>
              <w:left w:val="single" w:color="auto" w:sz="4" w:space="0"/>
              <w:bottom w:val="single" w:color="auto" w:sz="4" w:space="0"/>
              <w:right w:val="single" w:color="auto" w:sz="4" w:space="0"/>
            </w:tcBorders>
            <w:vAlign w:val="center"/>
          </w:tcPr>
          <w:p w14:paraId="52754EC3">
            <w:pPr>
              <w:pStyle w:val="109"/>
              <w:rPr>
                <w:color w:val="000000" w:themeColor="text1"/>
                <w14:textFill>
                  <w14:solidFill>
                    <w14:schemeClr w14:val="tx1"/>
                  </w14:solidFill>
                </w14:textFill>
              </w:rPr>
            </w:pPr>
          </w:p>
        </w:tc>
        <w:tc>
          <w:tcPr>
            <w:tcW w:w="1927" w:type="dxa"/>
            <w:tcBorders>
              <w:top w:val="single" w:color="auto" w:sz="4" w:space="0"/>
              <w:left w:val="single" w:color="auto" w:sz="4" w:space="0"/>
              <w:bottom w:val="single" w:color="auto" w:sz="4" w:space="0"/>
              <w:right w:val="single" w:color="auto" w:sz="4" w:space="0"/>
            </w:tcBorders>
            <w:vAlign w:val="center"/>
          </w:tcPr>
          <w:p w14:paraId="795B8333">
            <w:pPr>
              <w:pStyle w:val="109"/>
              <w:rPr>
                <w:color w:val="000000" w:themeColor="text1"/>
                <w14:textFill>
                  <w14:solidFill>
                    <w14:schemeClr w14:val="tx1"/>
                  </w14:solidFill>
                </w14:textFill>
              </w:rPr>
            </w:pPr>
            <w:r>
              <w:rPr>
                <w:color w:val="000000" w:themeColor="text1"/>
                <w14:textFill>
                  <w14:solidFill>
                    <w14:schemeClr w14:val="tx1"/>
                  </w14:solidFill>
                </w14:textFill>
              </w:rPr>
              <w:t>黄棕色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46C53F1A">
            <w:pPr>
              <w:pStyle w:val="109"/>
              <w:rPr>
                <w:color w:val="000000" w:themeColor="text1"/>
                <w14:textFill>
                  <w14:solidFill>
                    <w14:schemeClr w14:val="tx1"/>
                  </w14:solidFill>
                </w14:textFill>
              </w:rPr>
            </w:pPr>
            <w:r>
              <w:rPr>
                <w:color w:val="000000" w:themeColor="text1"/>
                <w14:textFill>
                  <w14:solidFill>
                    <w14:schemeClr w14:val="tx1"/>
                  </w14:solidFill>
                </w14:textFill>
              </w:rPr>
              <w:t>184</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1812A0CA">
            <w:pPr>
              <w:pStyle w:val="109"/>
              <w:rPr>
                <w:color w:val="000000" w:themeColor="text1"/>
                <w14:textFill>
                  <w14:solidFill>
                    <w14:schemeClr w14:val="tx1"/>
                  </w14:solidFill>
                </w14:textFill>
              </w:rPr>
            </w:pPr>
            <w:r>
              <w:rPr>
                <w:color w:val="000000" w:themeColor="text1"/>
                <w14:textFill>
                  <w14:solidFill>
                    <w14:schemeClr w14:val="tx1"/>
                  </w14:solidFill>
                </w14:textFill>
              </w:rPr>
              <w:t>214</w:t>
            </w:r>
          </w:p>
        </w:tc>
        <w:tc>
          <w:tcPr>
            <w:tcW w:w="1973" w:type="dxa"/>
            <w:tcBorders>
              <w:top w:val="single" w:color="auto" w:sz="4" w:space="0"/>
              <w:left w:val="single" w:color="auto" w:sz="4" w:space="0"/>
              <w:bottom w:val="single" w:color="auto" w:sz="4" w:space="0"/>
              <w:right w:val="single" w:color="auto" w:sz="4" w:space="0"/>
            </w:tcBorders>
            <w:vAlign w:val="center"/>
          </w:tcPr>
          <w:p w14:paraId="1DAF1EC8">
            <w:pPr>
              <w:pStyle w:val="109"/>
              <w:rPr>
                <w:color w:val="000000" w:themeColor="text1"/>
                <w14:textFill>
                  <w14:solidFill>
                    <w14:schemeClr w14:val="tx1"/>
                  </w14:solidFill>
                </w14:textFill>
              </w:rPr>
            </w:pPr>
            <w:r>
              <w:rPr>
                <w:color w:val="000000" w:themeColor="text1"/>
                <w14:textFill>
                  <w14:solidFill>
                    <w14:schemeClr w14:val="tx1"/>
                  </w14:solidFill>
                </w14:textFill>
              </w:rPr>
              <w:t>0.30</w:t>
            </w:r>
          </w:p>
        </w:tc>
      </w:tr>
      <w:tr w14:paraId="66A831A7">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49882AF8">
            <w:pPr>
              <w:pStyle w:val="109"/>
              <w:rPr>
                <w:color w:val="000000" w:themeColor="text1"/>
                <w14:textFill>
                  <w14:solidFill>
                    <w14:schemeClr w14:val="tx1"/>
                  </w14:solidFill>
                </w14:textFill>
              </w:rPr>
            </w:pPr>
            <w:r>
              <w:rPr>
                <w:color w:val="000000" w:themeColor="text1"/>
                <w14:textFill>
                  <w14:solidFill>
                    <w14:schemeClr w14:val="tx1"/>
                  </w14:solidFill>
                </w14:textFill>
              </w:rPr>
              <w:t>TC-4</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w:t>
            </w:r>
          </w:p>
        </w:tc>
        <w:tc>
          <w:tcPr>
            <w:tcW w:w="1761" w:type="dxa"/>
            <w:tcBorders>
              <w:top w:val="single" w:color="auto" w:sz="4" w:space="0"/>
              <w:left w:val="single" w:color="auto" w:sz="4" w:space="0"/>
              <w:bottom w:val="single" w:color="auto" w:sz="4" w:space="0"/>
              <w:right w:val="single" w:color="auto" w:sz="4" w:space="0"/>
            </w:tcBorders>
            <w:vAlign w:val="center"/>
          </w:tcPr>
          <w:p w14:paraId="07E557EB">
            <w:pPr>
              <w:pStyle w:val="109"/>
              <w:rPr>
                <w:color w:val="000000" w:themeColor="text1"/>
                <w:spacing w:val="-6"/>
                <w14:textFill>
                  <w14:solidFill>
                    <w14:schemeClr w14:val="tx1"/>
                  </w14:solidFill>
                </w14:textFill>
              </w:rPr>
            </w:pPr>
            <w:r>
              <w:rPr>
                <w:color w:val="000000" w:themeColor="text1"/>
                <w:spacing w:val="-6"/>
                <w14:textFill>
                  <w14:solidFill>
                    <w14:schemeClr w14:val="tx1"/>
                  </w14:solidFill>
                </w14:textFill>
              </w:rPr>
              <w:t>E：87°41′46.96″</w:t>
            </w:r>
          </w:p>
          <w:p w14:paraId="046A9476">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N：44°08′24.91″</w:t>
            </w:r>
          </w:p>
        </w:tc>
        <w:tc>
          <w:tcPr>
            <w:tcW w:w="1927" w:type="dxa"/>
            <w:tcBorders>
              <w:top w:val="single" w:color="auto" w:sz="4" w:space="0"/>
              <w:left w:val="single" w:color="auto" w:sz="4" w:space="0"/>
              <w:bottom w:val="single" w:color="auto" w:sz="4" w:space="0"/>
              <w:right w:val="single" w:color="auto" w:sz="4" w:space="0"/>
            </w:tcBorders>
            <w:vAlign w:val="center"/>
          </w:tcPr>
          <w:p w14:paraId="07CE2E4A">
            <w:pPr>
              <w:pStyle w:val="109"/>
              <w:rPr>
                <w:color w:val="000000" w:themeColor="text1"/>
                <w14:textFill>
                  <w14:solidFill>
                    <w14:schemeClr w14:val="tx1"/>
                  </w14:solidFill>
                </w14:textFill>
              </w:rPr>
            </w:pPr>
            <w:r>
              <w:rPr>
                <w:color w:val="000000" w:themeColor="text1"/>
                <w14:textFill>
                  <w14:solidFill>
                    <w14:schemeClr w14:val="tx1"/>
                  </w14:solidFill>
                </w14:textFill>
              </w:rPr>
              <w:t>浅黄色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0BD281F0">
            <w:pPr>
              <w:pStyle w:val="109"/>
              <w:rPr>
                <w:color w:val="000000" w:themeColor="text1"/>
                <w14:textFill>
                  <w14:solidFill>
                    <w14:schemeClr w14:val="tx1"/>
                  </w14:solidFill>
                </w14:textFill>
              </w:rPr>
            </w:pPr>
            <w:r>
              <w:rPr>
                <w:color w:val="000000" w:themeColor="text1"/>
                <w14:textFill>
                  <w14:solidFill>
                    <w14:schemeClr w14:val="tx1"/>
                  </w14:solidFill>
                </w14:textFill>
              </w:rPr>
              <w:t>17</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25CF7861">
            <w:pPr>
              <w:pStyle w:val="109"/>
              <w:rPr>
                <w:color w:val="000000" w:themeColor="text1"/>
                <w14:textFill>
                  <w14:solidFill>
                    <w14:schemeClr w14:val="tx1"/>
                  </w14:solidFill>
                </w14:textFill>
              </w:rPr>
            </w:pPr>
            <w:r>
              <w:rPr>
                <w:color w:val="000000" w:themeColor="text1"/>
                <w14:textFill>
                  <w14:solidFill>
                    <w14:schemeClr w14:val="tx1"/>
                  </w14:solidFill>
                </w14:textFill>
              </w:rPr>
              <w:t>233</w:t>
            </w:r>
          </w:p>
        </w:tc>
        <w:tc>
          <w:tcPr>
            <w:tcW w:w="1973" w:type="dxa"/>
            <w:tcBorders>
              <w:top w:val="single" w:color="auto" w:sz="4" w:space="0"/>
              <w:left w:val="single" w:color="auto" w:sz="4" w:space="0"/>
              <w:bottom w:val="single" w:color="auto" w:sz="4" w:space="0"/>
              <w:right w:val="single" w:color="auto" w:sz="4" w:space="0"/>
            </w:tcBorders>
            <w:vAlign w:val="center"/>
          </w:tcPr>
          <w:p w14:paraId="2349F0D0">
            <w:pPr>
              <w:pStyle w:val="109"/>
              <w:rPr>
                <w:color w:val="000000" w:themeColor="text1"/>
                <w14:textFill>
                  <w14:solidFill>
                    <w14:schemeClr w14:val="tx1"/>
                  </w14:solidFill>
                </w14:textFill>
              </w:rPr>
            </w:pPr>
            <w:r>
              <w:rPr>
                <w:color w:val="000000" w:themeColor="text1"/>
                <w14:textFill>
                  <w14:solidFill>
                    <w14:schemeClr w14:val="tx1"/>
                  </w14:solidFill>
                </w14:textFill>
              </w:rPr>
              <w:t>0.42</w:t>
            </w:r>
          </w:p>
        </w:tc>
      </w:tr>
      <w:tr w14:paraId="431B5F41">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5D85C88E">
            <w:pPr>
              <w:pStyle w:val="109"/>
              <w:rPr>
                <w:color w:val="000000" w:themeColor="text1"/>
                <w14:textFill>
                  <w14:solidFill>
                    <w14:schemeClr w14:val="tx1"/>
                  </w14:solidFill>
                </w14:textFill>
              </w:rPr>
            </w:pPr>
            <w:r>
              <w:rPr>
                <w:color w:val="000000" w:themeColor="text1"/>
                <w14:textFill>
                  <w14:solidFill>
                    <w14:schemeClr w14:val="tx1"/>
                  </w14:solidFill>
                </w14:textFill>
              </w:rPr>
              <w:t>TC-5</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w:t>
            </w:r>
          </w:p>
        </w:tc>
        <w:tc>
          <w:tcPr>
            <w:tcW w:w="1761" w:type="dxa"/>
            <w:tcBorders>
              <w:top w:val="single" w:color="auto" w:sz="4" w:space="0"/>
              <w:left w:val="single" w:color="auto" w:sz="4" w:space="0"/>
              <w:bottom w:val="single" w:color="auto" w:sz="4" w:space="0"/>
              <w:right w:val="single" w:color="auto" w:sz="4" w:space="0"/>
            </w:tcBorders>
            <w:vAlign w:val="center"/>
          </w:tcPr>
          <w:p w14:paraId="706BD736">
            <w:pPr>
              <w:pStyle w:val="109"/>
              <w:rPr>
                <w:color w:val="000000" w:themeColor="text1"/>
                <w:spacing w:val="-6"/>
                <w14:textFill>
                  <w14:solidFill>
                    <w14:schemeClr w14:val="tx1"/>
                  </w14:solidFill>
                </w14:textFill>
              </w:rPr>
            </w:pPr>
            <w:r>
              <w:rPr>
                <w:color w:val="000000" w:themeColor="text1"/>
                <w:spacing w:val="-6"/>
                <w14:textFill>
                  <w14:solidFill>
                    <w14:schemeClr w14:val="tx1"/>
                  </w14:solidFill>
                </w14:textFill>
              </w:rPr>
              <w:t>E：87°41′34.33″</w:t>
            </w:r>
          </w:p>
          <w:p w14:paraId="742C1478">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N：44°08′20.66″</w:t>
            </w:r>
          </w:p>
        </w:tc>
        <w:tc>
          <w:tcPr>
            <w:tcW w:w="1927" w:type="dxa"/>
            <w:tcBorders>
              <w:top w:val="single" w:color="auto" w:sz="4" w:space="0"/>
              <w:left w:val="single" w:color="auto" w:sz="4" w:space="0"/>
              <w:bottom w:val="single" w:color="auto" w:sz="4" w:space="0"/>
              <w:right w:val="single" w:color="auto" w:sz="4" w:space="0"/>
            </w:tcBorders>
            <w:vAlign w:val="center"/>
          </w:tcPr>
          <w:p w14:paraId="5A1A487D">
            <w:pPr>
              <w:pStyle w:val="109"/>
              <w:rPr>
                <w:color w:val="000000" w:themeColor="text1"/>
                <w14:textFill>
                  <w14:solidFill>
                    <w14:schemeClr w14:val="tx1"/>
                  </w14:solidFill>
                </w14:textFill>
              </w:rPr>
            </w:pPr>
            <w:r>
              <w:rPr>
                <w:color w:val="000000" w:themeColor="text1"/>
                <w14:textFill>
                  <w14:solidFill>
                    <w14:schemeClr w14:val="tx1"/>
                  </w14:solidFill>
                </w14:textFill>
              </w:rPr>
              <w:t>浅黄色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3D5BB7DB">
            <w:pPr>
              <w:pStyle w:val="10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02A91B3D">
            <w:pPr>
              <w:pStyle w:val="109"/>
              <w:rPr>
                <w:color w:val="000000" w:themeColor="text1"/>
                <w14:textFill>
                  <w14:solidFill>
                    <w14:schemeClr w14:val="tx1"/>
                  </w14:solidFill>
                </w14:textFill>
              </w:rPr>
            </w:pPr>
            <w:r>
              <w:rPr>
                <w:color w:val="000000" w:themeColor="text1"/>
                <w14:textFill>
                  <w14:solidFill>
                    <w14:schemeClr w14:val="tx1"/>
                  </w14:solidFill>
                </w14:textFill>
              </w:rPr>
              <w:t>223</w:t>
            </w:r>
          </w:p>
        </w:tc>
        <w:tc>
          <w:tcPr>
            <w:tcW w:w="1973" w:type="dxa"/>
            <w:tcBorders>
              <w:top w:val="single" w:color="auto" w:sz="4" w:space="0"/>
              <w:left w:val="single" w:color="auto" w:sz="4" w:space="0"/>
              <w:bottom w:val="single" w:color="auto" w:sz="4" w:space="0"/>
              <w:right w:val="single" w:color="auto" w:sz="4" w:space="0"/>
            </w:tcBorders>
            <w:vAlign w:val="center"/>
          </w:tcPr>
          <w:p w14:paraId="2C869BFF">
            <w:pPr>
              <w:pStyle w:val="109"/>
              <w:rPr>
                <w:color w:val="000000" w:themeColor="text1"/>
                <w14:textFill>
                  <w14:solidFill>
                    <w14:schemeClr w14:val="tx1"/>
                  </w14:solidFill>
                </w14:textFill>
              </w:rPr>
            </w:pPr>
            <w:r>
              <w:rPr>
                <w:color w:val="000000" w:themeColor="text1"/>
                <w14:textFill>
                  <w14:solidFill>
                    <w14:schemeClr w14:val="tx1"/>
                  </w14:solidFill>
                </w14:textFill>
              </w:rPr>
              <w:t>0.47</w:t>
            </w:r>
          </w:p>
        </w:tc>
      </w:tr>
      <w:tr w14:paraId="6CF06E26">
        <w:tblPrEx>
          <w:tblCellMar>
            <w:top w:w="15" w:type="dxa"/>
            <w:left w:w="15" w:type="dxa"/>
            <w:bottom w:w="15" w:type="dxa"/>
            <w:right w:w="15" w:type="dxa"/>
          </w:tblCellMar>
        </w:tblPrEx>
        <w:trPr>
          <w:trHeight w:val="397" w:hRule="atLeast"/>
        </w:trPr>
        <w:tc>
          <w:tcPr>
            <w:tcW w:w="1360" w:type="dxa"/>
            <w:tcBorders>
              <w:top w:val="single" w:color="auto" w:sz="4" w:space="0"/>
              <w:left w:val="single" w:color="auto" w:sz="4" w:space="0"/>
              <w:bottom w:val="single" w:color="auto" w:sz="4" w:space="0"/>
              <w:right w:val="single" w:color="auto" w:sz="4" w:space="0"/>
            </w:tcBorders>
            <w:vAlign w:val="center"/>
          </w:tcPr>
          <w:p w14:paraId="0C221463">
            <w:pPr>
              <w:pStyle w:val="109"/>
              <w:rPr>
                <w:color w:val="000000" w:themeColor="text1"/>
                <w14:textFill>
                  <w14:solidFill>
                    <w14:schemeClr w14:val="tx1"/>
                  </w14:solidFill>
                </w14:textFill>
              </w:rPr>
            </w:pPr>
            <w:r>
              <w:rPr>
                <w:color w:val="000000" w:themeColor="text1"/>
                <w14:textFill>
                  <w14:solidFill>
                    <w14:schemeClr w14:val="tx1"/>
                  </w14:solidFill>
                </w14:textFill>
              </w:rPr>
              <w:t>TC-6</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w:t>
            </w:r>
          </w:p>
        </w:tc>
        <w:tc>
          <w:tcPr>
            <w:tcW w:w="1761" w:type="dxa"/>
            <w:tcBorders>
              <w:top w:val="single" w:color="auto" w:sz="4" w:space="0"/>
              <w:left w:val="single" w:color="auto" w:sz="4" w:space="0"/>
              <w:bottom w:val="single" w:color="auto" w:sz="4" w:space="0"/>
              <w:right w:val="single" w:color="auto" w:sz="4" w:space="0"/>
            </w:tcBorders>
            <w:vAlign w:val="center"/>
          </w:tcPr>
          <w:p w14:paraId="1274D04A">
            <w:pPr>
              <w:pStyle w:val="109"/>
              <w:rPr>
                <w:color w:val="000000" w:themeColor="text1"/>
                <w:spacing w:val="-6"/>
                <w14:textFill>
                  <w14:solidFill>
                    <w14:schemeClr w14:val="tx1"/>
                  </w14:solidFill>
                </w14:textFill>
              </w:rPr>
            </w:pPr>
            <w:r>
              <w:rPr>
                <w:color w:val="000000" w:themeColor="text1"/>
                <w:spacing w:val="-6"/>
                <w14:textFill>
                  <w14:solidFill>
                    <w14:schemeClr w14:val="tx1"/>
                  </w14:solidFill>
                </w14:textFill>
              </w:rPr>
              <w:t>E：87°41′57.58″</w:t>
            </w:r>
          </w:p>
          <w:p w14:paraId="266774CF">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N：44°8′25.57″</w:t>
            </w:r>
          </w:p>
        </w:tc>
        <w:tc>
          <w:tcPr>
            <w:tcW w:w="1927" w:type="dxa"/>
            <w:tcBorders>
              <w:top w:val="single" w:color="auto" w:sz="4" w:space="0"/>
              <w:left w:val="single" w:color="auto" w:sz="4" w:space="0"/>
              <w:bottom w:val="single" w:color="auto" w:sz="4" w:space="0"/>
              <w:right w:val="single" w:color="auto" w:sz="4" w:space="0"/>
            </w:tcBorders>
            <w:vAlign w:val="center"/>
          </w:tcPr>
          <w:p w14:paraId="69F8FF70">
            <w:pPr>
              <w:pStyle w:val="109"/>
              <w:rPr>
                <w:color w:val="000000" w:themeColor="text1"/>
                <w14:textFill>
                  <w14:solidFill>
                    <w14:schemeClr w14:val="tx1"/>
                  </w14:solidFill>
                </w14:textFill>
              </w:rPr>
            </w:pPr>
            <w:r>
              <w:rPr>
                <w:color w:val="000000" w:themeColor="text1"/>
                <w14:textFill>
                  <w14:solidFill>
                    <w14:schemeClr w14:val="tx1"/>
                  </w14:solidFill>
                </w14:textFill>
              </w:rPr>
              <w:t>浅黄色 潮 无根系</w:t>
            </w:r>
          </w:p>
        </w:tc>
        <w:tc>
          <w:tcPr>
            <w:tcW w:w="958" w:type="dxa"/>
            <w:tcBorders>
              <w:top w:val="single" w:color="auto" w:sz="4" w:space="0"/>
              <w:left w:val="single" w:color="auto" w:sz="4" w:space="0"/>
              <w:bottom w:val="single" w:color="auto" w:sz="4" w:space="0"/>
              <w:right w:val="single" w:color="auto" w:sz="4" w:space="0"/>
            </w:tcBorders>
            <w:vAlign w:val="center"/>
          </w:tcPr>
          <w:p w14:paraId="106C6E84">
            <w:pPr>
              <w:pStyle w:val="10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2AD876FA">
            <w:pPr>
              <w:pStyle w:val="109"/>
              <w:rPr>
                <w:color w:val="000000" w:themeColor="text1"/>
                <w14:textFill>
                  <w14:solidFill>
                    <w14:schemeClr w14:val="tx1"/>
                  </w14:solidFill>
                </w14:textFill>
              </w:rPr>
            </w:pPr>
            <w:r>
              <w:rPr>
                <w:color w:val="000000" w:themeColor="text1"/>
                <w14:textFill>
                  <w14:solidFill>
                    <w14:schemeClr w14:val="tx1"/>
                  </w14:solidFill>
                </w14:textFill>
              </w:rPr>
              <w:t>193</w:t>
            </w:r>
          </w:p>
        </w:tc>
        <w:tc>
          <w:tcPr>
            <w:tcW w:w="1973" w:type="dxa"/>
            <w:tcBorders>
              <w:top w:val="single" w:color="auto" w:sz="4" w:space="0"/>
              <w:left w:val="single" w:color="auto" w:sz="4" w:space="0"/>
              <w:bottom w:val="single" w:color="auto" w:sz="4" w:space="0"/>
              <w:right w:val="single" w:color="auto" w:sz="4" w:space="0"/>
            </w:tcBorders>
            <w:vAlign w:val="center"/>
          </w:tcPr>
          <w:p w14:paraId="4D591110">
            <w:pPr>
              <w:pStyle w:val="109"/>
              <w:rPr>
                <w:color w:val="000000" w:themeColor="text1"/>
                <w14:textFill>
                  <w14:solidFill>
                    <w14:schemeClr w14:val="tx1"/>
                  </w14:solidFill>
                </w14:textFill>
              </w:rPr>
            </w:pPr>
            <w:r>
              <w:rPr>
                <w:color w:val="000000" w:themeColor="text1"/>
                <w14:textFill>
                  <w14:solidFill>
                    <w14:schemeClr w14:val="tx1"/>
                  </w14:solidFill>
                </w14:textFill>
              </w:rPr>
              <w:t>0.53</w:t>
            </w:r>
          </w:p>
        </w:tc>
      </w:tr>
      <w:bookmarkEnd w:id="402"/>
    </w:tbl>
    <w:p w14:paraId="68961F9B">
      <w:pPr>
        <w:spacing w:line="500" w:lineRule="exact"/>
        <w:ind w:firstLine="883"/>
        <w:rPr>
          <w:b/>
          <w:bCs/>
          <w:color w:val="000000" w:themeColor="text1"/>
          <w:sz w:val="44"/>
          <w14:textFill>
            <w14:solidFill>
              <w14:schemeClr w14:val="tx1"/>
            </w14:solidFill>
          </w14:textFill>
        </w:rPr>
      </w:pPr>
    </w:p>
    <w:p w14:paraId="6247662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土壤检测结果2（补测）</w:t>
      </w:r>
    </w:p>
    <w:tbl>
      <w:tblPr>
        <w:tblStyle w:val="76"/>
        <w:tblpPr w:leftFromText="180" w:rightFromText="180" w:vertAnchor="text" w:horzAnchor="page" w:tblpX="1192" w:tblpY="63"/>
        <w:tblOverlap w:val="never"/>
        <w:tblW w:w="9195" w:type="dxa"/>
        <w:tblInd w:w="0" w:type="dxa"/>
        <w:tblLayout w:type="fixed"/>
        <w:tblCellMar>
          <w:top w:w="15" w:type="dxa"/>
          <w:left w:w="15" w:type="dxa"/>
          <w:bottom w:w="15" w:type="dxa"/>
          <w:right w:w="15" w:type="dxa"/>
        </w:tblCellMar>
      </w:tblPr>
      <w:tblGrid>
        <w:gridCol w:w="1980"/>
        <w:gridCol w:w="181"/>
        <w:gridCol w:w="1994"/>
        <w:gridCol w:w="6"/>
        <w:gridCol w:w="420"/>
        <w:gridCol w:w="1252"/>
        <w:gridCol w:w="6"/>
        <w:gridCol w:w="1162"/>
        <w:gridCol w:w="510"/>
        <w:gridCol w:w="6"/>
        <w:gridCol w:w="1672"/>
        <w:gridCol w:w="6"/>
      </w:tblGrid>
      <w:tr w14:paraId="2D9847E6">
        <w:tblPrEx>
          <w:tblCellMar>
            <w:top w:w="15" w:type="dxa"/>
            <w:left w:w="15" w:type="dxa"/>
            <w:bottom w:w="15" w:type="dxa"/>
            <w:right w:w="15" w:type="dxa"/>
          </w:tblCellMar>
        </w:tblPrEx>
        <w:tc>
          <w:tcPr>
            <w:tcW w:w="2161" w:type="dxa"/>
            <w:gridSpan w:val="2"/>
            <w:tcBorders>
              <w:top w:val="single" w:color="000000" w:sz="4" w:space="0"/>
              <w:left w:val="single" w:color="000000" w:sz="4" w:space="0"/>
              <w:bottom w:val="single" w:color="000000" w:sz="4" w:space="0"/>
              <w:right w:val="single" w:color="000000" w:sz="4" w:space="0"/>
            </w:tcBorders>
            <w:vAlign w:val="center"/>
          </w:tcPr>
          <w:p w14:paraId="6826049C">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 xml:space="preserve">样品类型 </w:t>
            </w:r>
          </w:p>
        </w:tc>
        <w:tc>
          <w:tcPr>
            <w:tcW w:w="7034" w:type="dxa"/>
            <w:gridSpan w:val="10"/>
            <w:tcBorders>
              <w:top w:val="single" w:color="000000" w:sz="4" w:space="0"/>
              <w:left w:val="single" w:color="000000" w:sz="4" w:space="0"/>
              <w:bottom w:val="single" w:color="000000" w:sz="4" w:space="0"/>
              <w:right w:val="single" w:color="000000" w:sz="4" w:space="0"/>
            </w:tcBorders>
            <w:vAlign w:val="center"/>
          </w:tcPr>
          <w:p w14:paraId="158BC1D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土壤 </w:t>
            </w:r>
          </w:p>
        </w:tc>
      </w:tr>
      <w:tr w14:paraId="5D3A2AE3">
        <w:tblPrEx>
          <w:tblCellMar>
            <w:top w:w="15" w:type="dxa"/>
            <w:left w:w="15" w:type="dxa"/>
            <w:bottom w:w="15" w:type="dxa"/>
            <w:right w:w="15" w:type="dxa"/>
          </w:tblCellMar>
        </w:tblPrEx>
        <w:tc>
          <w:tcPr>
            <w:tcW w:w="2161" w:type="dxa"/>
            <w:gridSpan w:val="2"/>
            <w:tcBorders>
              <w:top w:val="single" w:color="000000" w:sz="4" w:space="0"/>
              <w:left w:val="single" w:color="000000" w:sz="4" w:space="0"/>
              <w:bottom w:val="single" w:color="000000" w:sz="4" w:space="0"/>
              <w:right w:val="single" w:color="000000" w:sz="4" w:space="0"/>
            </w:tcBorders>
            <w:vAlign w:val="center"/>
          </w:tcPr>
          <w:p w14:paraId="460B0085">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采样日期</w:t>
            </w:r>
          </w:p>
        </w:tc>
        <w:tc>
          <w:tcPr>
            <w:tcW w:w="2420" w:type="dxa"/>
            <w:gridSpan w:val="3"/>
            <w:tcBorders>
              <w:top w:val="single" w:color="000000" w:sz="4" w:space="0"/>
              <w:left w:val="single" w:color="000000" w:sz="4" w:space="0"/>
              <w:bottom w:val="single" w:color="auto" w:sz="4" w:space="0"/>
              <w:right w:val="single" w:color="000000" w:sz="4" w:space="0"/>
            </w:tcBorders>
            <w:vAlign w:val="center"/>
          </w:tcPr>
          <w:p w14:paraId="2F1FD079">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2026年1月8日</w:t>
            </w:r>
          </w:p>
        </w:tc>
        <w:tc>
          <w:tcPr>
            <w:tcW w:w="2420" w:type="dxa"/>
            <w:gridSpan w:val="3"/>
            <w:tcBorders>
              <w:top w:val="single" w:color="000000" w:sz="4" w:space="0"/>
              <w:left w:val="single" w:color="000000" w:sz="4" w:space="0"/>
              <w:bottom w:val="single" w:color="auto" w:sz="4" w:space="0"/>
              <w:right w:val="single" w:color="000000" w:sz="4" w:space="0"/>
            </w:tcBorders>
            <w:vAlign w:val="center"/>
          </w:tcPr>
          <w:p w14:paraId="728D89D8">
            <w:pPr>
              <w:pStyle w:val="109"/>
              <w:rPr>
                <w:color w:val="000000" w:themeColor="text1"/>
                <w14:textFill>
                  <w14:solidFill>
                    <w14:schemeClr w14:val="tx1"/>
                  </w14:solidFill>
                </w14:textFill>
              </w:rPr>
            </w:pPr>
            <w:r>
              <w:rPr>
                <w:color w:val="000000" w:themeColor="text1"/>
                <w14:textFill>
                  <w14:solidFill>
                    <w14:schemeClr w14:val="tx1"/>
                  </w14:solidFill>
                </w14:textFill>
              </w:rPr>
              <w:t>分析日期</w:t>
            </w:r>
          </w:p>
        </w:tc>
        <w:tc>
          <w:tcPr>
            <w:tcW w:w="2194" w:type="dxa"/>
            <w:gridSpan w:val="4"/>
            <w:tcBorders>
              <w:top w:val="single" w:color="000000" w:sz="4" w:space="0"/>
              <w:left w:val="single" w:color="000000" w:sz="4" w:space="0"/>
              <w:bottom w:val="single" w:color="auto" w:sz="4" w:space="0"/>
              <w:right w:val="single" w:color="000000" w:sz="4" w:space="0"/>
            </w:tcBorders>
            <w:vAlign w:val="center"/>
          </w:tcPr>
          <w:p w14:paraId="3AEE2625">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2026年1月8日-12日</w:t>
            </w:r>
          </w:p>
        </w:tc>
      </w:tr>
      <w:tr w14:paraId="60190923">
        <w:tblPrEx>
          <w:tblCellMar>
            <w:top w:w="15" w:type="dxa"/>
            <w:left w:w="15" w:type="dxa"/>
            <w:bottom w:w="15" w:type="dxa"/>
            <w:right w:w="15" w:type="dxa"/>
          </w:tblCellMar>
        </w:tblPrEx>
        <w:tc>
          <w:tcPr>
            <w:tcW w:w="4161" w:type="dxa"/>
            <w:gridSpan w:val="4"/>
            <w:tcBorders>
              <w:top w:val="single" w:color="000000" w:sz="4" w:space="0"/>
              <w:left w:val="single" w:color="000000" w:sz="4" w:space="0"/>
              <w:bottom w:val="single" w:color="000000" w:sz="4" w:space="0"/>
              <w:right w:val="single" w:color="auto" w:sz="4" w:space="0"/>
            </w:tcBorders>
            <w:vAlign w:val="center"/>
          </w:tcPr>
          <w:p w14:paraId="1B8C315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样品编码</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6C4CA4A6">
            <w:pPr>
              <w:pStyle w:val="109"/>
              <w:rPr>
                <w:color w:val="000000" w:themeColor="text1"/>
                <w14:textFill>
                  <w14:solidFill>
                    <w14:schemeClr w14:val="tx1"/>
                  </w14:solidFill>
                </w14:textFill>
              </w:rPr>
            </w:pPr>
            <w:r>
              <w:rPr>
                <w:color w:val="000000" w:themeColor="text1"/>
                <w14:textFill>
                  <w14:solidFill>
                    <w14:schemeClr w14:val="tx1"/>
                  </w14:solidFill>
                </w14:textFill>
              </w:rPr>
              <w:t>TC-1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5355654C">
            <w:pPr>
              <w:pStyle w:val="109"/>
              <w:rPr>
                <w:color w:val="000000" w:themeColor="text1"/>
                <w14:textFill>
                  <w14:solidFill>
                    <w14:schemeClr w14:val="tx1"/>
                  </w14:solidFill>
                </w14:textFill>
              </w:rPr>
            </w:pPr>
            <w:r>
              <w:rPr>
                <w:color w:val="000000" w:themeColor="text1"/>
                <w14:textFill>
                  <w14:solidFill>
                    <w14:schemeClr w14:val="tx1"/>
                  </w14:solidFill>
                </w14:textFill>
              </w:rPr>
              <w:t>TC-1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0E1BEB28">
            <w:pPr>
              <w:pStyle w:val="109"/>
              <w:rPr>
                <w:color w:val="000000" w:themeColor="text1"/>
                <w14:textFill>
                  <w14:solidFill>
                    <w14:schemeClr w14:val="tx1"/>
                  </w14:solidFill>
                </w14:textFill>
              </w:rPr>
            </w:pPr>
            <w:r>
              <w:rPr>
                <w:color w:val="000000" w:themeColor="text1"/>
                <w14:textFill>
                  <w14:solidFill>
                    <w14:schemeClr w14:val="tx1"/>
                  </w14:solidFill>
                </w14:textFill>
              </w:rPr>
              <w:t>TC-1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-1-1-1</w:t>
            </w:r>
          </w:p>
        </w:tc>
      </w:tr>
      <w:tr w14:paraId="43EAA996">
        <w:tblPrEx>
          <w:tblCellMar>
            <w:top w:w="15" w:type="dxa"/>
            <w:left w:w="15" w:type="dxa"/>
            <w:bottom w:w="15" w:type="dxa"/>
            <w:right w:w="15" w:type="dxa"/>
          </w:tblCellMar>
        </w:tblPrEx>
        <w:tc>
          <w:tcPr>
            <w:tcW w:w="4161" w:type="dxa"/>
            <w:gridSpan w:val="4"/>
            <w:tcBorders>
              <w:top w:val="single" w:color="000000" w:sz="4" w:space="0"/>
              <w:left w:val="single" w:color="000000" w:sz="4" w:space="0"/>
              <w:bottom w:val="single" w:color="000000" w:sz="4" w:space="0"/>
              <w:right w:val="single" w:color="auto" w:sz="4" w:space="0"/>
            </w:tcBorders>
            <w:vAlign w:val="center"/>
          </w:tcPr>
          <w:p w14:paraId="3B8078F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采样地点</w:t>
            </w:r>
          </w:p>
        </w:tc>
        <w:tc>
          <w:tcPr>
            <w:tcW w:w="5034" w:type="dxa"/>
            <w:gridSpan w:val="8"/>
            <w:tcBorders>
              <w:top w:val="single" w:color="auto" w:sz="4" w:space="0"/>
              <w:left w:val="single" w:color="auto" w:sz="4" w:space="0"/>
              <w:bottom w:val="single" w:color="auto" w:sz="4" w:space="0"/>
              <w:right w:val="single" w:color="auto" w:sz="4" w:space="0"/>
            </w:tcBorders>
            <w:vAlign w:val="center"/>
          </w:tcPr>
          <w:p w14:paraId="4AADF2ED">
            <w:pPr>
              <w:pStyle w:val="109"/>
              <w:rPr>
                <w:color w:val="000000" w:themeColor="text1"/>
                <w:spacing w:val="-6"/>
                <w14:textFill>
                  <w14:solidFill>
                    <w14:schemeClr w14:val="tx1"/>
                  </w14:solidFill>
                </w14:textFill>
              </w:rPr>
            </w:pPr>
            <w:r>
              <w:rPr>
                <w:color w:val="000000" w:themeColor="text1"/>
                <w:spacing w:val="-6"/>
                <w14:textFill>
                  <w14:solidFill>
                    <w14:schemeClr w14:val="tx1"/>
                  </w14:solidFill>
                </w14:textFill>
              </w:rPr>
              <w:t>E：87°41′39.82″</w:t>
            </w:r>
          </w:p>
          <w:p w14:paraId="0E4D3B5A">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N：44°08′22.21″</w:t>
            </w:r>
          </w:p>
        </w:tc>
      </w:tr>
      <w:tr w14:paraId="35E3F4BD">
        <w:tblPrEx>
          <w:tblCellMar>
            <w:top w:w="15" w:type="dxa"/>
            <w:left w:w="15" w:type="dxa"/>
            <w:bottom w:w="15" w:type="dxa"/>
            <w:right w:w="15" w:type="dxa"/>
          </w:tblCellMar>
        </w:tblPrEx>
        <w:tc>
          <w:tcPr>
            <w:tcW w:w="4161" w:type="dxa"/>
            <w:gridSpan w:val="4"/>
            <w:tcBorders>
              <w:top w:val="single" w:color="000000" w:sz="4" w:space="0"/>
              <w:left w:val="single" w:color="000000" w:sz="4" w:space="0"/>
              <w:bottom w:val="single" w:color="000000" w:sz="4" w:space="0"/>
              <w:right w:val="single" w:color="auto" w:sz="4" w:space="0"/>
            </w:tcBorders>
            <w:vAlign w:val="center"/>
          </w:tcPr>
          <w:p w14:paraId="1C78BAAF">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深度（cm）</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5E9E8139">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37</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01D043A6">
            <w:pPr>
              <w:pStyle w:val="109"/>
              <w:rPr>
                <w:color w:val="000000" w:themeColor="text1"/>
                <w:lang w:bidi="ar"/>
                <w14:textFill>
                  <w14:solidFill>
                    <w14:schemeClr w14:val="tx1"/>
                  </w14:solidFill>
                </w14:textFill>
              </w:rPr>
            </w:pPr>
            <w:r>
              <w:rPr>
                <w:color w:val="000000" w:themeColor="text1"/>
                <w:kern w:val="2"/>
                <w14:textFill>
                  <w14:solidFill>
                    <w14:schemeClr w14:val="tx1"/>
                  </w14:solidFill>
                </w14:textFill>
              </w:rPr>
              <w:t>122</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2DBFE5E9">
            <w:pPr>
              <w:pStyle w:val="109"/>
              <w:rPr>
                <w:color w:val="000000" w:themeColor="text1"/>
                <w:lang w:bidi="ar"/>
                <w14:textFill>
                  <w14:solidFill>
                    <w14:schemeClr w14:val="tx1"/>
                  </w14:solidFill>
                </w14:textFill>
              </w:rPr>
            </w:pPr>
            <w:r>
              <w:rPr>
                <w:color w:val="000000" w:themeColor="text1"/>
                <w:kern w:val="2"/>
                <w14:textFill>
                  <w14:solidFill>
                    <w14:schemeClr w14:val="tx1"/>
                  </w14:solidFill>
                </w14:textFill>
              </w:rPr>
              <w:t>189</w:t>
            </w:r>
          </w:p>
        </w:tc>
      </w:tr>
      <w:tr w14:paraId="3A432CA0">
        <w:tblPrEx>
          <w:tblCellMar>
            <w:top w:w="15" w:type="dxa"/>
            <w:left w:w="15" w:type="dxa"/>
            <w:bottom w:w="15" w:type="dxa"/>
            <w:right w:w="15" w:type="dxa"/>
          </w:tblCellMar>
        </w:tblPrEx>
        <w:tc>
          <w:tcPr>
            <w:tcW w:w="9195" w:type="dxa"/>
            <w:gridSpan w:val="12"/>
            <w:tcBorders>
              <w:top w:val="single" w:color="auto" w:sz="4" w:space="0"/>
              <w:left w:val="single" w:color="auto" w:sz="4" w:space="0"/>
              <w:right w:val="single" w:color="auto" w:sz="4" w:space="0"/>
            </w:tcBorders>
            <w:vAlign w:val="center"/>
          </w:tcPr>
          <w:p w14:paraId="0530C005">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检测结果</w:t>
            </w:r>
          </w:p>
        </w:tc>
      </w:tr>
      <w:tr w14:paraId="15D02CD3">
        <w:tblPrEx>
          <w:tblCellMar>
            <w:top w:w="15" w:type="dxa"/>
            <w:left w:w="15" w:type="dxa"/>
            <w:bottom w:w="15" w:type="dxa"/>
            <w:right w:w="15" w:type="dxa"/>
          </w:tblCellMar>
        </w:tblPrEx>
        <w:trPr>
          <w:gridAfter w:val="1"/>
          <w:wAfter w:w="6" w:type="dxa"/>
        </w:trPr>
        <w:tc>
          <w:tcPr>
            <w:tcW w:w="1980" w:type="dxa"/>
            <w:vMerge w:val="restart"/>
            <w:tcBorders>
              <w:top w:val="single" w:color="auto" w:sz="4" w:space="0"/>
              <w:left w:val="single" w:color="auto" w:sz="4" w:space="0"/>
              <w:right w:val="single" w:color="auto" w:sz="4" w:space="0"/>
            </w:tcBorders>
            <w:vAlign w:val="center"/>
          </w:tcPr>
          <w:p w14:paraId="3E13C16E">
            <w:pPr>
              <w:pStyle w:val="109"/>
              <w:rPr>
                <w:color w:val="000000" w:themeColor="text1"/>
                <w14:textFill>
                  <w14:solidFill>
                    <w14:schemeClr w14:val="tx1"/>
                  </w14:solidFill>
                </w14:textFill>
              </w:rPr>
            </w:pPr>
            <w:r>
              <w:rPr>
                <w:color w:val="000000" w:themeColor="text1"/>
                <w14:textFill>
                  <w14:solidFill>
                    <w14:schemeClr w14:val="tx1"/>
                  </w14:solidFill>
                </w14:textFill>
              </w:rPr>
              <w:t>现场记录</w:t>
            </w: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16F0617F">
            <w:pPr>
              <w:pStyle w:val="109"/>
              <w:rPr>
                <w:color w:val="000000" w:themeColor="text1"/>
                <w14:textFill>
                  <w14:solidFill>
                    <w14:schemeClr w14:val="tx1"/>
                  </w14:solidFill>
                </w14:textFill>
              </w:rPr>
            </w:pPr>
            <w:r>
              <w:rPr>
                <w:color w:val="000000" w:themeColor="text1"/>
                <w14:textFill>
                  <w14:solidFill>
                    <w14:schemeClr w14:val="tx1"/>
                  </w14:solidFill>
                </w14:textFill>
              </w:rPr>
              <w:t>颜色</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1ED8F205">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黄棕</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03C97C17">
            <w:pPr>
              <w:pStyle w:val="109"/>
              <w:rPr>
                <w:color w:val="000000" w:themeColor="text1"/>
                <w:lang w:bidi="ar"/>
                <w14:textFill>
                  <w14:solidFill>
                    <w14:schemeClr w14:val="tx1"/>
                  </w14:solidFill>
                </w14:textFill>
              </w:rPr>
            </w:pPr>
            <w:r>
              <w:rPr>
                <w:color w:val="000000" w:themeColor="text1"/>
                <w:kern w:val="2"/>
                <w14:textFill>
                  <w14:solidFill>
                    <w14:schemeClr w14:val="tx1"/>
                  </w14:solidFill>
                </w14:textFill>
              </w:rPr>
              <w:t>黄棕</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63AA42C3">
            <w:pPr>
              <w:pStyle w:val="109"/>
              <w:rPr>
                <w:color w:val="000000" w:themeColor="text1"/>
                <w:lang w:bidi="ar"/>
                <w14:textFill>
                  <w14:solidFill>
                    <w14:schemeClr w14:val="tx1"/>
                  </w14:solidFill>
                </w14:textFill>
              </w:rPr>
            </w:pPr>
            <w:r>
              <w:rPr>
                <w:color w:val="000000" w:themeColor="text1"/>
                <w:kern w:val="2"/>
                <w14:textFill>
                  <w14:solidFill>
                    <w14:schemeClr w14:val="tx1"/>
                  </w14:solidFill>
                </w14:textFill>
              </w:rPr>
              <w:t>黄棕</w:t>
            </w:r>
          </w:p>
        </w:tc>
      </w:tr>
      <w:tr w14:paraId="5E3C07B8">
        <w:tblPrEx>
          <w:tblCellMar>
            <w:top w:w="15" w:type="dxa"/>
            <w:left w:w="15" w:type="dxa"/>
            <w:bottom w:w="15" w:type="dxa"/>
            <w:right w:w="15" w:type="dxa"/>
          </w:tblCellMar>
        </w:tblPrEx>
        <w:trPr>
          <w:gridAfter w:val="1"/>
          <w:wAfter w:w="6" w:type="dxa"/>
        </w:trPr>
        <w:tc>
          <w:tcPr>
            <w:tcW w:w="1980" w:type="dxa"/>
            <w:vMerge w:val="continue"/>
            <w:tcBorders>
              <w:left w:val="single" w:color="auto" w:sz="4" w:space="0"/>
              <w:right w:val="single" w:color="auto" w:sz="4" w:space="0"/>
            </w:tcBorders>
            <w:vAlign w:val="center"/>
          </w:tcPr>
          <w:p w14:paraId="6E546966">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375C6A96">
            <w:pPr>
              <w:pStyle w:val="109"/>
              <w:rPr>
                <w:color w:val="000000" w:themeColor="text1"/>
                <w14:textFill>
                  <w14:solidFill>
                    <w14:schemeClr w14:val="tx1"/>
                  </w14:solidFill>
                </w14:textFill>
              </w:rPr>
            </w:pPr>
            <w:r>
              <w:rPr>
                <w:color w:val="000000" w:themeColor="text1"/>
                <w14:textFill>
                  <w14:solidFill>
                    <w14:schemeClr w14:val="tx1"/>
                  </w14:solidFill>
                </w14:textFill>
              </w:rPr>
              <w:t>结构</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6F71D222">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颗粒</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7C9753CA">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颗粒</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54766CE2">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颗粒</w:t>
            </w:r>
          </w:p>
        </w:tc>
      </w:tr>
      <w:tr w14:paraId="4B7CD38F">
        <w:tblPrEx>
          <w:tblCellMar>
            <w:top w:w="15" w:type="dxa"/>
            <w:left w:w="15" w:type="dxa"/>
            <w:bottom w:w="15" w:type="dxa"/>
            <w:right w:w="15" w:type="dxa"/>
          </w:tblCellMar>
        </w:tblPrEx>
        <w:trPr>
          <w:gridAfter w:val="1"/>
          <w:wAfter w:w="6" w:type="dxa"/>
        </w:trPr>
        <w:tc>
          <w:tcPr>
            <w:tcW w:w="1980" w:type="dxa"/>
            <w:vMerge w:val="continue"/>
            <w:tcBorders>
              <w:left w:val="single" w:color="auto" w:sz="4" w:space="0"/>
              <w:right w:val="single" w:color="auto" w:sz="4" w:space="0"/>
            </w:tcBorders>
            <w:vAlign w:val="center"/>
          </w:tcPr>
          <w:p w14:paraId="40011415">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046C353C">
            <w:pPr>
              <w:pStyle w:val="109"/>
              <w:rPr>
                <w:color w:val="000000" w:themeColor="text1"/>
                <w14:textFill>
                  <w14:solidFill>
                    <w14:schemeClr w14:val="tx1"/>
                  </w14:solidFill>
                </w14:textFill>
              </w:rPr>
            </w:pPr>
            <w:r>
              <w:rPr>
                <w:color w:val="000000" w:themeColor="text1"/>
                <w14:textFill>
                  <w14:solidFill>
                    <w14:schemeClr w14:val="tx1"/>
                  </w14:solidFill>
                </w14:textFill>
              </w:rPr>
              <w:t>质地</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642FCD6">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砂土</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12EA86DF">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砂土</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4A44C66B">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砂土</w:t>
            </w:r>
          </w:p>
        </w:tc>
      </w:tr>
      <w:tr w14:paraId="3039CFE4">
        <w:tblPrEx>
          <w:tblCellMar>
            <w:top w:w="15" w:type="dxa"/>
            <w:left w:w="15" w:type="dxa"/>
            <w:bottom w:w="15" w:type="dxa"/>
            <w:right w:w="15" w:type="dxa"/>
          </w:tblCellMar>
        </w:tblPrEx>
        <w:trPr>
          <w:gridAfter w:val="1"/>
          <w:wAfter w:w="6" w:type="dxa"/>
        </w:trPr>
        <w:tc>
          <w:tcPr>
            <w:tcW w:w="1980" w:type="dxa"/>
            <w:vMerge w:val="continue"/>
            <w:tcBorders>
              <w:left w:val="single" w:color="auto" w:sz="4" w:space="0"/>
              <w:right w:val="single" w:color="auto" w:sz="4" w:space="0"/>
            </w:tcBorders>
            <w:vAlign w:val="center"/>
          </w:tcPr>
          <w:p w14:paraId="0ECCE2E1">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6528819E">
            <w:pPr>
              <w:pStyle w:val="109"/>
              <w:rPr>
                <w:color w:val="000000" w:themeColor="text1"/>
                <w14:textFill>
                  <w14:solidFill>
                    <w14:schemeClr w14:val="tx1"/>
                  </w14:solidFill>
                </w14:textFill>
              </w:rPr>
            </w:pPr>
            <w:r>
              <w:rPr>
                <w:color w:val="000000" w:themeColor="text1"/>
                <w14:textFill>
                  <w14:solidFill>
                    <w14:schemeClr w14:val="tx1"/>
                  </w14:solidFill>
                </w14:textFill>
              </w:rPr>
              <w:t>砂砾含量（%）</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5E0166DC">
            <w:pPr>
              <w:pStyle w:val="109"/>
              <w:rPr>
                <w:color w:val="000000" w:themeColor="text1"/>
                <w14:textFill>
                  <w14:solidFill>
                    <w14:schemeClr w14:val="tx1"/>
                  </w14:solidFill>
                </w14:textFill>
              </w:rPr>
            </w:pPr>
            <w:r>
              <w:rPr>
                <w:rFonts w:hint="eastAsia"/>
                <w:bCs/>
                <w:color w:val="000000" w:themeColor="text1"/>
                <w:kern w:val="2"/>
                <w:szCs w:val="21"/>
                <w14:textFill>
                  <w14:solidFill>
                    <w14:schemeClr w14:val="tx1"/>
                  </w14:solidFill>
                </w14:textFill>
              </w:rPr>
              <w:t>55</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76D3E54D">
            <w:pPr>
              <w:pStyle w:val="109"/>
              <w:rPr>
                <w:color w:val="000000" w:themeColor="text1"/>
                <w14:textFill>
                  <w14:solidFill>
                    <w14:schemeClr w14:val="tx1"/>
                  </w14:solidFill>
                </w14:textFill>
              </w:rPr>
            </w:pPr>
            <w:r>
              <w:rPr>
                <w:rFonts w:hint="eastAsia"/>
                <w:bCs/>
                <w:color w:val="000000" w:themeColor="text1"/>
                <w:kern w:val="2"/>
                <w:szCs w:val="21"/>
                <w14:textFill>
                  <w14:solidFill>
                    <w14:schemeClr w14:val="tx1"/>
                  </w14:solidFill>
                </w14:textFill>
              </w:rPr>
              <w:t>60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3A10C3F1">
            <w:pPr>
              <w:pStyle w:val="109"/>
              <w:rPr>
                <w:color w:val="000000" w:themeColor="text1"/>
                <w14:textFill>
                  <w14:solidFill>
                    <w14:schemeClr w14:val="tx1"/>
                  </w14:solidFill>
                </w14:textFill>
              </w:rPr>
            </w:pPr>
            <w:r>
              <w:rPr>
                <w:rFonts w:hint="eastAsia"/>
                <w:bCs/>
                <w:color w:val="000000" w:themeColor="text1"/>
                <w:kern w:val="2"/>
                <w:szCs w:val="21"/>
                <w14:textFill>
                  <w14:solidFill>
                    <w14:schemeClr w14:val="tx1"/>
                  </w14:solidFill>
                </w14:textFill>
              </w:rPr>
              <w:t>60</w:t>
            </w:r>
          </w:p>
        </w:tc>
      </w:tr>
      <w:tr w14:paraId="60BF52F8">
        <w:tblPrEx>
          <w:tblCellMar>
            <w:top w:w="15" w:type="dxa"/>
            <w:left w:w="15" w:type="dxa"/>
            <w:bottom w:w="15" w:type="dxa"/>
            <w:right w:w="15" w:type="dxa"/>
          </w:tblCellMar>
        </w:tblPrEx>
        <w:trPr>
          <w:gridAfter w:val="1"/>
          <w:wAfter w:w="6" w:type="dxa"/>
        </w:trPr>
        <w:tc>
          <w:tcPr>
            <w:tcW w:w="1980" w:type="dxa"/>
            <w:vMerge w:val="continue"/>
            <w:tcBorders>
              <w:left w:val="single" w:color="auto" w:sz="4" w:space="0"/>
              <w:right w:val="single" w:color="auto" w:sz="4" w:space="0"/>
            </w:tcBorders>
            <w:vAlign w:val="center"/>
          </w:tcPr>
          <w:p w14:paraId="34E9216A">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6EB3B333">
            <w:pPr>
              <w:pStyle w:val="109"/>
              <w:rPr>
                <w:color w:val="000000" w:themeColor="text1"/>
                <w14:textFill>
                  <w14:solidFill>
                    <w14:schemeClr w14:val="tx1"/>
                  </w14:solidFill>
                </w14:textFill>
              </w:rPr>
            </w:pPr>
            <w:r>
              <w:rPr>
                <w:color w:val="000000" w:themeColor="text1"/>
                <w14:textFill>
                  <w14:solidFill>
                    <w14:schemeClr w14:val="tx1"/>
                  </w14:solidFill>
                </w14:textFill>
              </w:rPr>
              <w:t>其他异物</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7EEEA79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24A0DDB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4A66B1C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45BEF5C3">
        <w:tblPrEx>
          <w:tblCellMar>
            <w:top w:w="15" w:type="dxa"/>
            <w:left w:w="15" w:type="dxa"/>
            <w:bottom w:w="15" w:type="dxa"/>
            <w:right w:w="15" w:type="dxa"/>
          </w:tblCellMar>
        </w:tblPrEx>
        <w:trPr>
          <w:gridAfter w:val="1"/>
          <w:wAfter w:w="6" w:type="dxa"/>
        </w:trPr>
        <w:tc>
          <w:tcPr>
            <w:tcW w:w="1980" w:type="dxa"/>
            <w:vMerge w:val="continue"/>
            <w:tcBorders>
              <w:left w:val="single" w:color="auto" w:sz="4" w:space="0"/>
              <w:bottom w:val="single" w:color="auto" w:sz="4" w:space="0"/>
              <w:right w:val="single" w:color="auto" w:sz="4" w:space="0"/>
            </w:tcBorders>
            <w:vAlign w:val="center"/>
          </w:tcPr>
          <w:p w14:paraId="26DEE3F7">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4FDC3579">
            <w:pPr>
              <w:pStyle w:val="109"/>
              <w:rPr>
                <w:color w:val="000000" w:themeColor="text1"/>
                <w14:textFill>
                  <w14:solidFill>
                    <w14:schemeClr w14:val="tx1"/>
                  </w14:solidFill>
                </w14:textFill>
              </w:rPr>
            </w:pPr>
            <w:r>
              <w:rPr>
                <w:color w:val="000000" w:themeColor="text1"/>
                <w14:textFill>
                  <w14:solidFill>
                    <w14:schemeClr w14:val="tx1"/>
                  </w14:solidFill>
                </w14:textFill>
              </w:rPr>
              <w:t>氧化还原电位(mv)</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DFC4C61">
            <w:pPr>
              <w:pStyle w:val="109"/>
              <w:rPr>
                <w:color w:val="000000" w:themeColor="text1"/>
                <w14:textFill>
                  <w14:solidFill>
                    <w14:schemeClr w14:val="tx1"/>
                  </w14:solidFill>
                </w14:textFill>
              </w:rPr>
            </w:pPr>
            <w:r>
              <w:rPr>
                <w:color w:val="000000" w:themeColor="text1"/>
                <w14:textFill>
                  <w14:solidFill>
                    <w14:schemeClr w14:val="tx1"/>
                  </w14:solidFill>
                </w14:textFill>
              </w:rPr>
              <w:t>498</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630B14E1">
            <w:pPr>
              <w:pStyle w:val="109"/>
              <w:rPr>
                <w:color w:val="000000" w:themeColor="text1"/>
                <w14:textFill>
                  <w14:solidFill>
                    <w14:schemeClr w14:val="tx1"/>
                  </w14:solidFill>
                </w14:textFill>
              </w:rPr>
            </w:pPr>
            <w:r>
              <w:rPr>
                <w:color w:val="000000" w:themeColor="text1"/>
                <w14:textFill>
                  <w14:solidFill>
                    <w14:schemeClr w14:val="tx1"/>
                  </w14:solidFill>
                </w14:textFill>
              </w:rPr>
              <w:t>510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3B2CEE4E">
            <w:pPr>
              <w:pStyle w:val="109"/>
              <w:rPr>
                <w:color w:val="000000" w:themeColor="text1"/>
                <w14:textFill>
                  <w14:solidFill>
                    <w14:schemeClr w14:val="tx1"/>
                  </w14:solidFill>
                </w14:textFill>
              </w:rPr>
            </w:pPr>
            <w:r>
              <w:rPr>
                <w:color w:val="000000" w:themeColor="text1"/>
                <w14:textFill>
                  <w14:solidFill>
                    <w14:schemeClr w14:val="tx1"/>
                  </w14:solidFill>
                </w14:textFill>
              </w:rPr>
              <w:t>517</w:t>
            </w:r>
          </w:p>
        </w:tc>
      </w:tr>
      <w:tr w14:paraId="4ABB472C">
        <w:tblPrEx>
          <w:tblCellMar>
            <w:top w:w="15" w:type="dxa"/>
            <w:left w:w="15" w:type="dxa"/>
            <w:bottom w:w="15" w:type="dxa"/>
            <w:right w:w="15" w:type="dxa"/>
          </w:tblCellMar>
        </w:tblPrEx>
        <w:trPr>
          <w:gridAfter w:val="1"/>
          <w:wAfter w:w="6" w:type="dxa"/>
        </w:trPr>
        <w:tc>
          <w:tcPr>
            <w:tcW w:w="1980" w:type="dxa"/>
            <w:vMerge w:val="restart"/>
            <w:tcBorders>
              <w:top w:val="single" w:color="auto" w:sz="4" w:space="0"/>
              <w:left w:val="single" w:color="auto" w:sz="4" w:space="0"/>
              <w:right w:val="single" w:color="auto" w:sz="4" w:space="0"/>
            </w:tcBorders>
            <w:vAlign w:val="center"/>
          </w:tcPr>
          <w:p w14:paraId="49E701FF">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实验室测定</w:t>
            </w: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3E446A67">
            <w:pPr>
              <w:pStyle w:val="109"/>
              <w:rPr>
                <w:color w:val="000000" w:themeColor="text1"/>
                <w14:textFill>
                  <w14:solidFill>
                    <w14:schemeClr w14:val="tx1"/>
                  </w14:solidFill>
                </w14:textFill>
              </w:rPr>
            </w:pPr>
            <w:r>
              <w:rPr>
                <w:color w:val="000000" w:themeColor="text1"/>
                <w14:textFill>
                  <w14:solidFill>
                    <w14:schemeClr w14:val="tx1"/>
                  </w14:solidFill>
                </w14:textFill>
              </w:rPr>
              <w:t>pH（无量纲）</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61B2D84B">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8.13</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25209E26">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7.95</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6F5FD6AB">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7.86</w:t>
            </w:r>
          </w:p>
        </w:tc>
      </w:tr>
      <w:tr w14:paraId="1E284E70">
        <w:tblPrEx>
          <w:tblCellMar>
            <w:top w:w="15" w:type="dxa"/>
            <w:left w:w="15" w:type="dxa"/>
            <w:bottom w:w="15" w:type="dxa"/>
            <w:right w:w="15" w:type="dxa"/>
          </w:tblCellMar>
        </w:tblPrEx>
        <w:trPr>
          <w:gridAfter w:val="1"/>
          <w:wAfter w:w="6" w:type="dxa"/>
        </w:trPr>
        <w:tc>
          <w:tcPr>
            <w:tcW w:w="1980" w:type="dxa"/>
            <w:vMerge w:val="continue"/>
            <w:tcBorders>
              <w:left w:val="single" w:color="auto" w:sz="4" w:space="0"/>
              <w:right w:val="single" w:color="auto" w:sz="4" w:space="0"/>
            </w:tcBorders>
            <w:vAlign w:val="center"/>
          </w:tcPr>
          <w:p w14:paraId="0DA62FF0">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3B89D292">
            <w:pPr>
              <w:pStyle w:val="109"/>
              <w:rPr>
                <w:color w:val="000000" w:themeColor="text1"/>
                <w14:textFill>
                  <w14:solidFill>
                    <w14:schemeClr w14:val="tx1"/>
                  </w14:solidFill>
                </w14:textFill>
              </w:rPr>
            </w:pPr>
            <w:r>
              <w:rPr>
                <w:color w:val="000000" w:themeColor="text1"/>
                <w14:textFill>
                  <w14:solidFill>
                    <w14:schemeClr w14:val="tx1"/>
                  </w14:solidFill>
                </w14:textFill>
              </w:rPr>
              <w:t>阳离子交换量</w:t>
            </w:r>
          </w:p>
          <w:p w14:paraId="315FF059">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color w:val="000000" w:themeColor="text1"/>
                <w:kern w:val="2"/>
                <w:lang w:bidi="ar"/>
                <w14:textFill>
                  <w14:solidFill>
                    <w14:schemeClr w14:val="tx1"/>
                  </w14:solidFill>
                </w14:textFill>
              </w:rPr>
              <w:t>cmol</w:t>
            </w:r>
            <w:r>
              <w:rPr>
                <w:color w:val="000000" w:themeColor="text1"/>
                <w:kern w:val="2"/>
                <w:vertAlign w:val="superscript"/>
                <w:lang w:bidi="ar"/>
                <w14:textFill>
                  <w14:solidFill>
                    <w14:schemeClr w14:val="tx1"/>
                  </w14:solidFill>
                </w14:textFill>
              </w:rPr>
              <w:t>＋</w:t>
            </w:r>
            <w:r>
              <w:rPr>
                <w:color w:val="000000" w:themeColor="text1"/>
                <w:kern w:val="2"/>
                <w:lang w:bidi="ar"/>
                <w14:textFill>
                  <w14:solidFill>
                    <w14:schemeClr w14:val="tx1"/>
                  </w14:solidFill>
                </w14:textFill>
              </w:rPr>
              <w:t>/kg</w:t>
            </w:r>
            <w:r>
              <w:rPr>
                <w:color w:val="000000" w:themeColor="text1"/>
                <w14:textFill>
                  <w14:solidFill>
                    <w14:schemeClr w14:val="tx1"/>
                  </w14:solidFill>
                </w14:textFill>
              </w:rPr>
              <w:t>）</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89460D8">
            <w:pPr>
              <w:pStyle w:val="109"/>
              <w:rPr>
                <w:color w:val="000000" w:themeColor="text1"/>
                <w14:textFill>
                  <w14:solidFill>
                    <w14:schemeClr w14:val="tx1"/>
                  </w14:solidFill>
                </w14:textFill>
              </w:rPr>
            </w:pPr>
            <w:r>
              <w:rPr>
                <w:color w:val="000000" w:themeColor="text1"/>
                <w14:textFill>
                  <w14:solidFill>
                    <w14:schemeClr w14:val="tx1"/>
                  </w14:solidFill>
                </w14:textFill>
              </w:rPr>
              <w:t>11.4</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7F54287D">
            <w:pPr>
              <w:pStyle w:val="109"/>
              <w:rPr>
                <w:color w:val="000000" w:themeColor="text1"/>
                <w14:textFill>
                  <w14:solidFill>
                    <w14:schemeClr w14:val="tx1"/>
                  </w14:solidFill>
                </w14:textFill>
              </w:rPr>
            </w:pPr>
            <w:r>
              <w:rPr>
                <w:color w:val="000000" w:themeColor="text1"/>
                <w14:textFill>
                  <w14:solidFill>
                    <w14:schemeClr w14:val="tx1"/>
                  </w14:solidFill>
                </w14:textFill>
              </w:rPr>
              <w:t>10.7</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5AA2446F">
            <w:pPr>
              <w:pStyle w:val="109"/>
              <w:rPr>
                <w:color w:val="000000" w:themeColor="text1"/>
                <w14:textFill>
                  <w14:solidFill>
                    <w14:schemeClr w14:val="tx1"/>
                  </w14:solidFill>
                </w14:textFill>
              </w:rPr>
            </w:pPr>
            <w:r>
              <w:rPr>
                <w:color w:val="000000" w:themeColor="text1"/>
                <w14:textFill>
                  <w14:solidFill>
                    <w14:schemeClr w14:val="tx1"/>
                  </w14:solidFill>
                </w14:textFill>
              </w:rPr>
              <w:t>9.1</w:t>
            </w:r>
          </w:p>
        </w:tc>
      </w:tr>
      <w:tr w14:paraId="7F731ABF">
        <w:tblPrEx>
          <w:tblCellMar>
            <w:top w:w="15" w:type="dxa"/>
            <w:left w:w="15" w:type="dxa"/>
            <w:bottom w:w="15" w:type="dxa"/>
            <w:right w:w="15" w:type="dxa"/>
          </w:tblCellMar>
        </w:tblPrEx>
        <w:trPr>
          <w:gridAfter w:val="1"/>
          <w:wAfter w:w="6" w:type="dxa"/>
        </w:trPr>
        <w:tc>
          <w:tcPr>
            <w:tcW w:w="1980" w:type="dxa"/>
            <w:vMerge w:val="continue"/>
            <w:tcBorders>
              <w:left w:val="single" w:color="auto" w:sz="4" w:space="0"/>
              <w:right w:val="single" w:color="auto" w:sz="4" w:space="0"/>
            </w:tcBorders>
            <w:vAlign w:val="center"/>
          </w:tcPr>
          <w:p w14:paraId="0B55D8AF">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77667BAD">
            <w:pPr>
              <w:pStyle w:val="109"/>
              <w:rPr>
                <w:color w:val="000000" w:themeColor="text1"/>
                <w14:textFill>
                  <w14:solidFill>
                    <w14:schemeClr w14:val="tx1"/>
                  </w14:solidFill>
                </w14:textFill>
              </w:rPr>
            </w:pPr>
            <w:r>
              <w:rPr>
                <w:color w:val="000000" w:themeColor="text1"/>
                <w14:textFill>
                  <w14:solidFill>
                    <w14:schemeClr w14:val="tx1"/>
                  </w14:solidFill>
                </w14:textFill>
              </w:rPr>
              <w:t>渗滤率(mm/min)</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31A38E57">
            <w:pPr>
              <w:pStyle w:val="109"/>
              <w:rPr>
                <w:color w:val="000000" w:themeColor="text1"/>
                <w14:textFill>
                  <w14:solidFill>
                    <w14:schemeClr w14:val="tx1"/>
                  </w14:solidFill>
                </w14:textFill>
              </w:rPr>
            </w:pPr>
            <w:r>
              <w:rPr>
                <w:color w:val="000000" w:themeColor="text1"/>
                <w14:textFill>
                  <w14:solidFill>
                    <w14:schemeClr w14:val="tx1"/>
                  </w14:solidFill>
                </w14:textFill>
              </w:rPr>
              <w:t>0.442</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6A98680F">
            <w:pPr>
              <w:pStyle w:val="109"/>
              <w:rPr>
                <w:color w:val="000000" w:themeColor="text1"/>
                <w14:textFill>
                  <w14:solidFill>
                    <w14:schemeClr w14:val="tx1"/>
                  </w14:solidFill>
                </w14:textFill>
              </w:rPr>
            </w:pPr>
            <w:r>
              <w:rPr>
                <w:color w:val="000000" w:themeColor="text1"/>
                <w14:textFill>
                  <w14:solidFill>
                    <w14:schemeClr w14:val="tx1"/>
                  </w14:solidFill>
                </w14:textFill>
              </w:rPr>
              <w:t>0.422</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3DCFA16">
            <w:pPr>
              <w:pStyle w:val="109"/>
              <w:rPr>
                <w:color w:val="000000" w:themeColor="text1"/>
                <w14:textFill>
                  <w14:solidFill>
                    <w14:schemeClr w14:val="tx1"/>
                  </w14:solidFill>
                </w14:textFill>
              </w:rPr>
            </w:pPr>
            <w:r>
              <w:rPr>
                <w:color w:val="000000" w:themeColor="text1"/>
                <w14:textFill>
                  <w14:solidFill>
                    <w14:schemeClr w14:val="tx1"/>
                  </w14:solidFill>
                </w14:textFill>
              </w:rPr>
              <w:t>0.437</w:t>
            </w:r>
          </w:p>
        </w:tc>
      </w:tr>
      <w:tr w14:paraId="632C7E80">
        <w:tblPrEx>
          <w:tblCellMar>
            <w:top w:w="15" w:type="dxa"/>
            <w:left w:w="15" w:type="dxa"/>
            <w:bottom w:w="15" w:type="dxa"/>
            <w:right w:w="15" w:type="dxa"/>
          </w:tblCellMar>
        </w:tblPrEx>
        <w:trPr>
          <w:gridAfter w:val="1"/>
          <w:wAfter w:w="6" w:type="dxa"/>
        </w:trPr>
        <w:tc>
          <w:tcPr>
            <w:tcW w:w="1980" w:type="dxa"/>
            <w:vMerge w:val="continue"/>
            <w:tcBorders>
              <w:left w:val="single" w:color="auto" w:sz="4" w:space="0"/>
              <w:right w:val="single" w:color="auto" w:sz="4" w:space="0"/>
            </w:tcBorders>
            <w:vAlign w:val="center"/>
          </w:tcPr>
          <w:p w14:paraId="7DD5FBDB">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152C051C">
            <w:pPr>
              <w:pStyle w:val="109"/>
              <w:rPr>
                <w:color w:val="000000" w:themeColor="text1"/>
                <w14:textFill>
                  <w14:solidFill>
                    <w14:schemeClr w14:val="tx1"/>
                  </w14:solidFill>
                </w14:textFill>
              </w:rPr>
            </w:pPr>
            <w:r>
              <w:rPr>
                <w:color w:val="000000" w:themeColor="text1"/>
                <w14:textFill>
                  <w14:solidFill>
                    <w14:schemeClr w14:val="tx1"/>
                  </w14:solidFill>
                </w14:textFill>
              </w:rPr>
              <w:t>土壤容重(g/cm³)</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54CCC316">
            <w:pPr>
              <w:pStyle w:val="109"/>
              <w:rPr>
                <w:color w:val="000000" w:themeColor="text1"/>
                <w14:textFill>
                  <w14:solidFill>
                    <w14:schemeClr w14:val="tx1"/>
                  </w14:solidFill>
                </w14:textFill>
              </w:rPr>
            </w:pPr>
            <w:r>
              <w:rPr>
                <w:color w:val="000000" w:themeColor="text1"/>
                <w14:textFill>
                  <w14:solidFill>
                    <w14:schemeClr w14:val="tx1"/>
                  </w14:solidFill>
                </w14:textFill>
              </w:rPr>
              <w:t>1.22</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E64FA82">
            <w:pPr>
              <w:pStyle w:val="109"/>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12EB2D10">
            <w:pPr>
              <w:pStyle w:val="109"/>
              <w:rPr>
                <w:color w:val="000000" w:themeColor="text1"/>
                <w14:textFill>
                  <w14:solidFill>
                    <w14:schemeClr w14:val="tx1"/>
                  </w14:solidFill>
                </w14:textFill>
              </w:rPr>
            </w:pPr>
            <w:r>
              <w:rPr>
                <w:color w:val="000000" w:themeColor="text1"/>
                <w14:textFill>
                  <w14:solidFill>
                    <w14:schemeClr w14:val="tx1"/>
                  </w14:solidFill>
                </w14:textFill>
              </w:rPr>
              <w:t>1.33</w:t>
            </w:r>
          </w:p>
        </w:tc>
      </w:tr>
      <w:tr w14:paraId="1CF5148B">
        <w:tblPrEx>
          <w:tblCellMar>
            <w:top w:w="15" w:type="dxa"/>
            <w:left w:w="15" w:type="dxa"/>
            <w:bottom w:w="15" w:type="dxa"/>
            <w:right w:w="15" w:type="dxa"/>
          </w:tblCellMar>
        </w:tblPrEx>
        <w:trPr>
          <w:gridAfter w:val="1"/>
          <w:wAfter w:w="6" w:type="dxa"/>
        </w:trPr>
        <w:tc>
          <w:tcPr>
            <w:tcW w:w="1980" w:type="dxa"/>
            <w:vMerge w:val="continue"/>
            <w:tcBorders>
              <w:left w:val="single" w:color="auto" w:sz="4" w:space="0"/>
              <w:bottom w:val="single" w:color="auto" w:sz="4" w:space="0"/>
              <w:right w:val="single" w:color="auto" w:sz="4" w:space="0"/>
            </w:tcBorders>
            <w:vAlign w:val="center"/>
          </w:tcPr>
          <w:p w14:paraId="3CFDDD7A">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72265727">
            <w:pPr>
              <w:pStyle w:val="109"/>
              <w:rPr>
                <w:color w:val="000000" w:themeColor="text1"/>
                <w14:textFill>
                  <w14:solidFill>
                    <w14:schemeClr w14:val="tx1"/>
                  </w14:solidFill>
                </w14:textFill>
              </w:rPr>
            </w:pPr>
            <w:r>
              <w:rPr>
                <w:color w:val="000000" w:themeColor="text1"/>
                <w14:textFill>
                  <w14:solidFill>
                    <w14:schemeClr w14:val="tx1"/>
                  </w14:solidFill>
                </w14:textFill>
              </w:rPr>
              <w:t>总孔隙度(%)</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3EA5819">
            <w:pPr>
              <w:pStyle w:val="109"/>
              <w:rPr>
                <w:color w:val="000000" w:themeColor="text1"/>
                <w14:textFill>
                  <w14:solidFill>
                    <w14:schemeClr w14:val="tx1"/>
                  </w14:solidFill>
                </w14:textFill>
              </w:rPr>
            </w:pPr>
            <w:r>
              <w:rPr>
                <w:color w:val="000000" w:themeColor="text1"/>
                <w14:textFill>
                  <w14:solidFill>
                    <w14:schemeClr w14:val="tx1"/>
                  </w14:solidFill>
                </w14:textFill>
              </w:rPr>
              <w:t>33.0</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10428456">
            <w:pPr>
              <w:pStyle w:val="109"/>
              <w:rPr>
                <w:color w:val="000000" w:themeColor="text1"/>
                <w14:textFill>
                  <w14:solidFill>
                    <w14:schemeClr w14:val="tx1"/>
                  </w14:solidFill>
                </w14:textFill>
              </w:rPr>
            </w:pPr>
            <w:r>
              <w:rPr>
                <w:color w:val="000000" w:themeColor="text1"/>
                <w14:textFill>
                  <w14:solidFill>
                    <w14:schemeClr w14:val="tx1"/>
                  </w14:solidFill>
                </w14:textFill>
              </w:rPr>
              <w:t>33.4</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62DB9522">
            <w:pPr>
              <w:pStyle w:val="109"/>
              <w:rPr>
                <w:color w:val="000000" w:themeColor="text1"/>
                <w14:textFill>
                  <w14:solidFill>
                    <w14:schemeClr w14:val="tx1"/>
                  </w14:solidFill>
                </w14:textFill>
              </w:rPr>
            </w:pPr>
            <w:r>
              <w:rPr>
                <w:color w:val="000000" w:themeColor="text1"/>
                <w14:textFill>
                  <w14:solidFill>
                    <w14:schemeClr w14:val="tx1"/>
                  </w14:solidFill>
                </w14:textFill>
              </w:rPr>
              <w:t>33.0</w:t>
            </w:r>
          </w:p>
        </w:tc>
      </w:tr>
    </w:tbl>
    <w:p w14:paraId="4DE91CA7">
      <w:pPr>
        <w:spacing w:line="500" w:lineRule="exact"/>
        <w:ind w:firstLine="883"/>
        <w:jc w:val="center"/>
        <w:rPr>
          <w:b/>
          <w:bCs/>
          <w:color w:val="000000" w:themeColor="text1"/>
          <w:sz w:val="44"/>
          <w14:textFill>
            <w14:solidFill>
              <w14:schemeClr w14:val="tx1"/>
            </w14:solidFill>
          </w14:textFill>
        </w:rPr>
      </w:pPr>
    </w:p>
    <w:p w14:paraId="7D384834">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土壤检测结果3（补测）</w:t>
      </w:r>
    </w:p>
    <w:tbl>
      <w:tblPr>
        <w:tblStyle w:val="76"/>
        <w:tblpPr w:leftFromText="180" w:rightFromText="180" w:vertAnchor="text" w:horzAnchor="page" w:tblpX="1192" w:tblpY="63"/>
        <w:tblOverlap w:val="never"/>
        <w:tblW w:w="9053" w:type="dxa"/>
        <w:tblInd w:w="0" w:type="dxa"/>
        <w:tblLayout w:type="fixed"/>
        <w:tblCellMar>
          <w:top w:w="15" w:type="dxa"/>
          <w:left w:w="15" w:type="dxa"/>
          <w:bottom w:w="15" w:type="dxa"/>
          <w:right w:w="15" w:type="dxa"/>
        </w:tblCellMar>
      </w:tblPr>
      <w:tblGrid>
        <w:gridCol w:w="1838"/>
        <w:gridCol w:w="181"/>
        <w:gridCol w:w="1994"/>
        <w:gridCol w:w="6"/>
        <w:gridCol w:w="420"/>
        <w:gridCol w:w="1252"/>
        <w:gridCol w:w="6"/>
        <w:gridCol w:w="1162"/>
        <w:gridCol w:w="510"/>
        <w:gridCol w:w="6"/>
        <w:gridCol w:w="1672"/>
        <w:gridCol w:w="6"/>
      </w:tblGrid>
      <w:tr w14:paraId="71666F54">
        <w:tblPrEx>
          <w:tblCellMar>
            <w:top w:w="15" w:type="dxa"/>
            <w:left w:w="15" w:type="dxa"/>
            <w:bottom w:w="15" w:type="dxa"/>
            <w:right w:w="15" w:type="dxa"/>
          </w:tblCellMar>
        </w:tblPrEx>
        <w:tc>
          <w:tcPr>
            <w:tcW w:w="2019" w:type="dxa"/>
            <w:gridSpan w:val="2"/>
            <w:tcBorders>
              <w:top w:val="single" w:color="000000" w:sz="4" w:space="0"/>
              <w:left w:val="single" w:color="000000" w:sz="4" w:space="0"/>
              <w:bottom w:val="single" w:color="000000" w:sz="4" w:space="0"/>
              <w:right w:val="single" w:color="000000" w:sz="4" w:space="0"/>
            </w:tcBorders>
            <w:vAlign w:val="center"/>
          </w:tcPr>
          <w:p w14:paraId="7336F3EA">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 xml:space="preserve">样品类型 </w:t>
            </w:r>
          </w:p>
        </w:tc>
        <w:tc>
          <w:tcPr>
            <w:tcW w:w="7034" w:type="dxa"/>
            <w:gridSpan w:val="10"/>
            <w:tcBorders>
              <w:top w:val="single" w:color="000000" w:sz="4" w:space="0"/>
              <w:left w:val="single" w:color="000000" w:sz="4" w:space="0"/>
              <w:bottom w:val="single" w:color="000000" w:sz="4" w:space="0"/>
              <w:right w:val="single" w:color="000000" w:sz="4" w:space="0"/>
            </w:tcBorders>
            <w:vAlign w:val="center"/>
          </w:tcPr>
          <w:p w14:paraId="1E38501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土壤 </w:t>
            </w:r>
          </w:p>
        </w:tc>
      </w:tr>
      <w:tr w14:paraId="28BDD073">
        <w:tblPrEx>
          <w:tblCellMar>
            <w:top w:w="15" w:type="dxa"/>
            <w:left w:w="15" w:type="dxa"/>
            <w:bottom w:w="15" w:type="dxa"/>
            <w:right w:w="15" w:type="dxa"/>
          </w:tblCellMar>
        </w:tblPrEx>
        <w:tc>
          <w:tcPr>
            <w:tcW w:w="2019" w:type="dxa"/>
            <w:gridSpan w:val="2"/>
            <w:tcBorders>
              <w:top w:val="single" w:color="000000" w:sz="4" w:space="0"/>
              <w:left w:val="single" w:color="000000" w:sz="4" w:space="0"/>
              <w:bottom w:val="single" w:color="000000" w:sz="4" w:space="0"/>
              <w:right w:val="single" w:color="000000" w:sz="4" w:space="0"/>
            </w:tcBorders>
            <w:vAlign w:val="center"/>
          </w:tcPr>
          <w:p w14:paraId="01C9E0F5">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采样日期</w:t>
            </w:r>
          </w:p>
        </w:tc>
        <w:tc>
          <w:tcPr>
            <w:tcW w:w="2420" w:type="dxa"/>
            <w:gridSpan w:val="3"/>
            <w:tcBorders>
              <w:top w:val="single" w:color="000000" w:sz="4" w:space="0"/>
              <w:left w:val="single" w:color="000000" w:sz="4" w:space="0"/>
              <w:bottom w:val="single" w:color="auto" w:sz="4" w:space="0"/>
              <w:right w:val="single" w:color="000000" w:sz="4" w:space="0"/>
            </w:tcBorders>
            <w:vAlign w:val="center"/>
          </w:tcPr>
          <w:p w14:paraId="38C7B8CC">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2026年1月8日</w:t>
            </w:r>
          </w:p>
        </w:tc>
        <w:tc>
          <w:tcPr>
            <w:tcW w:w="2420" w:type="dxa"/>
            <w:gridSpan w:val="3"/>
            <w:tcBorders>
              <w:top w:val="single" w:color="000000" w:sz="4" w:space="0"/>
              <w:left w:val="single" w:color="000000" w:sz="4" w:space="0"/>
              <w:bottom w:val="single" w:color="auto" w:sz="4" w:space="0"/>
              <w:right w:val="single" w:color="000000" w:sz="4" w:space="0"/>
            </w:tcBorders>
            <w:vAlign w:val="center"/>
          </w:tcPr>
          <w:p w14:paraId="610940E1">
            <w:pPr>
              <w:pStyle w:val="109"/>
              <w:rPr>
                <w:color w:val="000000" w:themeColor="text1"/>
                <w14:textFill>
                  <w14:solidFill>
                    <w14:schemeClr w14:val="tx1"/>
                  </w14:solidFill>
                </w14:textFill>
              </w:rPr>
            </w:pPr>
            <w:r>
              <w:rPr>
                <w:color w:val="000000" w:themeColor="text1"/>
                <w14:textFill>
                  <w14:solidFill>
                    <w14:schemeClr w14:val="tx1"/>
                  </w14:solidFill>
                </w14:textFill>
              </w:rPr>
              <w:t>分析日期</w:t>
            </w:r>
          </w:p>
        </w:tc>
        <w:tc>
          <w:tcPr>
            <w:tcW w:w="2194" w:type="dxa"/>
            <w:gridSpan w:val="4"/>
            <w:tcBorders>
              <w:top w:val="single" w:color="000000" w:sz="4" w:space="0"/>
              <w:left w:val="single" w:color="000000" w:sz="4" w:space="0"/>
              <w:bottom w:val="single" w:color="auto" w:sz="4" w:space="0"/>
              <w:right w:val="single" w:color="000000" w:sz="4" w:space="0"/>
            </w:tcBorders>
            <w:vAlign w:val="center"/>
          </w:tcPr>
          <w:p w14:paraId="3B0ACF41">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2026年1月8日-12日</w:t>
            </w:r>
          </w:p>
        </w:tc>
      </w:tr>
      <w:tr w14:paraId="248A7AEA">
        <w:tblPrEx>
          <w:tblCellMar>
            <w:top w:w="15" w:type="dxa"/>
            <w:left w:w="15" w:type="dxa"/>
            <w:bottom w:w="15" w:type="dxa"/>
            <w:right w:w="15" w:type="dxa"/>
          </w:tblCellMar>
        </w:tblPrEx>
        <w:tc>
          <w:tcPr>
            <w:tcW w:w="4019" w:type="dxa"/>
            <w:gridSpan w:val="4"/>
            <w:tcBorders>
              <w:top w:val="single" w:color="000000" w:sz="4" w:space="0"/>
              <w:left w:val="single" w:color="000000" w:sz="4" w:space="0"/>
              <w:bottom w:val="single" w:color="000000" w:sz="4" w:space="0"/>
              <w:right w:val="single" w:color="auto" w:sz="4" w:space="0"/>
            </w:tcBorders>
            <w:vAlign w:val="center"/>
          </w:tcPr>
          <w:p w14:paraId="14F28B78">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样品编码</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37DD3D35">
            <w:pPr>
              <w:pStyle w:val="109"/>
              <w:rPr>
                <w:color w:val="000000" w:themeColor="text1"/>
                <w14:textFill>
                  <w14:solidFill>
                    <w14:schemeClr w14:val="tx1"/>
                  </w14:solidFill>
                </w14:textFill>
              </w:rPr>
            </w:pPr>
            <w:r>
              <w:rPr>
                <w:color w:val="000000" w:themeColor="text1"/>
                <w14:textFill>
                  <w14:solidFill>
                    <w14:schemeClr w14:val="tx1"/>
                  </w14:solidFill>
                </w14:textFill>
              </w:rPr>
              <w:t>TC-2</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3D81E016">
            <w:pPr>
              <w:pStyle w:val="109"/>
              <w:rPr>
                <w:color w:val="000000" w:themeColor="text1"/>
                <w14:textFill>
                  <w14:solidFill>
                    <w14:schemeClr w14:val="tx1"/>
                  </w14:solidFill>
                </w14:textFill>
              </w:rPr>
            </w:pPr>
            <w:r>
              <w:rPr>
                <w:color w:val="000000" w:themeColor="text1"/>
                <w14:textFill>
                  <w14:solidFill>
                    <w14:schemeClr w14:val="tx1"/>
                  </w14:solidFill>
                </w14:textFill>
              </w:rPr>
              <w:t>TC-2</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3A7E90EC">
            <w:pPr>
              <w:pStyle w:val="109"/>
              <w:rPr>
                <w:color w:val="000000" w:themeColor="text1"/>
                <w14:textFill>
                  <w14:solidFill>
                    <w14:schemeClr w14:val="tx1"/>
                  </w14:solidFill>
                </w14:textFill>
              </w:rPr>
            </w:pPr>
            <w:r>
              <w:rPr>
                <w:color w:val="000000" w:themeColor="text1"/>
                <w14:textFill>
                  <w14:solidFill>
                    <w14:schemeClr w14:val="tx1"/>
                  </w14:solidFill>
                </w14:textFill>
              </w:rPr>
              <w:t>TC-2</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-1-1-1</w:t>
            </w:r>
          </w:p>
        </w:tc>
      </w:tr>
      <w:tr w14:paraId="55AAF559">
        <w:tblPrEx>
          <w:tblCellMar>
            <w:top w:w="15" w:type="dxa"/>
            <w:left w:w="15" w:type="dxa"/>
            <w:bottom w:w="15" w:type="dxa"/>
            <w:right w:w="15" w:type="dxa"/>
          </w:tblCellMar>
        </w:tblPrEx>
        <w:tc>
          <w:tcPr>
            <w:tcW w:w="4019" w:type="dxa"/>
            <w:gridSpan w:val="4"/>
            <w:tcBorders>
              <w:top w:val="single" w:color="000000" w:sz="4" w:space="0"/>
              <w:left w:val="single" w:color="000000" w:sz="4" w:space="0"/>
              <w:bottom w:val="single" w:color="000000" w:sz="4" w:space="0"/>
              <w:right w:val="single" w:color="auto" w:sz="4" w:space="0"/>
            </w:tcBorders>
            <w:vAlign w:val="center"/>
          </w:tcPr>
          <w:p w14:paraId="6F9A19ED">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采样地点</w:t>
            </w:r>
          </w:p>
        </w:tc>
        <w:tc>
          <w:tcPr>
            <w:tcW w:w="5034" w:type="dxa"/>
            <w:gridSpan w:val="8"/>
            <w:tcBorders>
              <w:top w:val="single" w:color="auto" w:sz="4" w:space="0"/>
              <w:left w:val="single" w:color="auto" w:sz="4" w:space="0"/>
              <w:bottom w:val="single" w:color="auto" w:sz="4" w:space="0"/>
              <w:right w:val="single" w:color="auto" w:sz="4" w:space="0"/>
            </w:tcBorders>
            <w:vAlign w:val="center"/>
          </w:tcPr>
          <w:p w14:paraId="05E19EC6">
            <w:pPr>
              <w:pStyle w:val="109"/>
              <w:rPr>
                <w:color w:val="000000" w:themeColor="text1"/>
                <w:spacing w:val="-6"/>
                <w14:textFill>
                  <w14:solidFill>
                    <w14:schemeClr w14:val="tx1"/>
                  </w14:solidFill>
                </w14:textFill>
              </w:rPr>
            </w:pPr>
            <w:r>
              <w:rPr>
                <w:color w:val="000000" w:themeColor="text1"/>
                <w:spacing w:val="-6"/>
                <w14:textFill>
                  <w14:solidFill>
                    <w14:schemeClr w14:val="tx1"/>
                  </w14:solidFill>
                </w14:textFill>
              </w:rPr>
              <w:t>E：87°41′38.89″</w:t>
            </w:r>
          </w:p>
          <w:p w14:paraId="3B94C734">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N：44°08′24.87″</w:t>
            </w:r>
          </w:p>
        </w:tc>
      </w:tr>
      <w:tr w14:paraId="56B8D31C">
        <w:tblPrEx>
          <w:tblCellMar>
            <w:top w:w="15" w:type="dxa"/>
            <w:left w:w="15" w:type="dxa"/>
            <w:bottom w:w="15" w:type="dxa"/>
            <w:right w:w="15" w:type="dxa"/>
          </w:tblCellMar>
        </w:tblPrEx>
        <w:tc>
          <w:tcPr>
            <w:tcW w:w="4019" w:type="dxa"/>
            <w:gridSpan w:val="4"/>
            <w:tcBorders>
              <w:top w:val="single" w:color="000000" w:sz="4" w:space="0"/>
              <w:left w:val="single" w:color="000000" w:sz="4" w:space="0"/>
              <w:bottom w:val="single" w:color="000000" w:sz="4" w:space="0"/>
              <w:right w:val="single" w:color="auto" w:sz="4" w:space="0"/>
            </w:tcBorders>
            <w:vAlign w:val="center"/>
          </w:tcPr>
          <w:p w14:paraId="1A9340E9">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深度（cm）</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1E2DDB80">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40</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604A8175">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130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25555C0B">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192</w:t>
            </w:r>
          </w:p>
        </w:tc>
      </w:tr>
      <w:tr w14:paraId="6F0835FA">
        <w:tblPrEx>
          <w:tblCellMar>
            <w:top w:w="15" w:type="dxa"/>
            <w:left w:w="15" w:type="dxa"/>
            <w:bottom w:w="15" w:type="dxa"/>
            <w:right w:w="15" w:type="dxa"/>
          </w:tblCellMar>
        </w:tblPrEx>
        <w:tc>
          <w:tcPr>
            <w:tcW w:w="9053" w:type="dxa"/>
            <w:gridSpan w:val="12"/>
            <w:tcBorders>
              <w:top w:val="single" w:color="auto" w:sz="4" w:space="0"/>
              <w:left w:val="single" w:color="auto" w:sz="4" w:space="0"/>
              <w:right w:val="single" w:color="auto" w:sz="4" w:space="0"/>
            </w:tcBorders>
            <w:vAlign w:val="center"/>
          </w:tcPr>
          <w:p w14:paraId="0B87AD18">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检测结果</w:t>
            </w:r>
          </w:p>
        </w:tc>
      </w:tr>
      <w:tr w14:paraId="0C3B1B78">
        <w:tblPrEx>
          <w:tblCellMar>
            <w:top w:w="15" w:type="dxa"/>
            <w:left w:w="15" w:type="dxa"/>
            <w:bottom w:w="15" w:type="dxa"/>
            <w:right w:w="15" w:type="dxa"/>
          </w:tblCellMar>
        </w:tblPrEx>
        <w:trPr>
          <w:gridAfter w:val="1"/>
          <w:wAfter w:w="6" w:type="dxa"/>
        </w:trPr>
        <w:tc>
          <w:tcPr>
            <w:tcW w:w="1838" w:type="dxa"/>
            <w:vMerge w:val="restart"/>
            <w:tcBorders>
              <w:top w:val="single" w:color="auto" w:sz="4" w:space="0"/>
              <w:left w:val="single" w:color="auto" w:sz="4" w:space="0"/>
              <w:right w:val="single" w:color="auto" w:sz="4" w:space="0"/>
            </w:tcBorders>
            <w:vAlign w:val="center"/>
          </w:tcPr>
          <w:p w14:paraId="290BA3DE">
            <w:pPr>
              <w:pStyle w:val="109"/>
              <w:rPr>
                <w:color w:val="000000" w:themeColor="text1"/>
                <w14:textFill>
                  <w14:solidFill>
                    <w14:schemeClr w14:val="tx1"/>
                  </w14:solidFill>
                </w14:textFill>
              </w:rPr>
            </w:pPr>
            <w:r>
              <w:rPr>
                <w:color w:val="000000" w:themeColor="text1"/>
                <w14:textFill>
                  <w14:solidFill>
                    <w14:schemeClr w14:val="tx1"/>
                  </w14:solidFill>
                </w14:textFill>
              </w:rPr>
              <w:t>现场记录</w:t>
            </w: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3E9A52CA">
            <w:pPr>
              <w:pStyle w:val="109"/>
              <w:rPr>
                <w:color w:val="000000" w:themeColor="text1"/>
                <w14:textFill>
                  <w14:solidFill>
                    <w14:schemeClr w14:val="tx1"/>
                  </w14:solidFill>
                </w14:textFill>
              </w:rPr>
            </w:pPr>
            <w:r>
              <w:rPr>
                <w:color w:val="000000" w:themeColor="text1"/>
                <w14:textFill>
                  <w14:solidFill>
                    <w14:schemeClr w14:val="tx1"/>
                  </w14:solidFill>
                </w14:textFill>
              </w:rPr>
              <w:t>颜色</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166F2BD">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黄棕</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257B10F5">
            <w:pPr>
              <w:pStyle w:val="109"/>
              <w:rPr>
                <w:color w:val="000000" w:themeColor="text1"/>
                <w:lang w:bidi="ar"/>
                <w14:textFill>
                  <w14:solidFill>
                    <w14:schemeClr w14:val="tx1"/>
                  </w14:solidFill>
                </w14:textFill>
              </w:rPr>
            </w:pPr>
            <w:r>
              <w:rPr>
                <w:color w:val="000000" w:themeColor="text1"/>
                <w:kern w:val="2"/>
                <w14:textFill>
                  <w14:solidFill>
                    <w14:schemeClr w14:val="tx1"/>
                  </w14:solidFill>
                </w14:textFill>
              </w:rPr>
              <w:t>黄棕</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D4647BD">
            <w:pPr>
              <w:pStyle w:val="109"/>
              <w:rPr>
                <w:color w:val="000000" w:themeColor="text1"/>
                <w:lang w:bidi="ar"/>
                <w14:textFill>
                  <w14:solidFill>
                    <w14:schemeClr w14:val="tx1"/>
                  </w14:solidFill>
                </w14:textFill>
              </w:rPr>
            </w:pPr>
            <w:r>
              <w:rPr>
                <w:color w:val="000000" w:themeColor="text1"/>
                <w:kern w:val="2"/>
                <w14:textFill>
                  <w14:solidFill>
                    <w14:schemeClr w14:val="tx1"/>
                  </w14:solidFill>
                </w14:textFill>
              </w:rPr>
              <w:t>黄棕</w:t>
            </w:r>
          </w:p>
        </w:tc>
      </w:tr>
      <w:tr w14:paraId="6B7BC0DD">
        <w:tblPrEx>
          <w:tblCellMar>
            <w:top w:w="15" w:type="dxa"/>
            <w:left w:w="15" w:type="dxa"/>
            <w:bottom w:w="15" w:type="dxa"/>
            <w:right w:w="15" w:type="dxa"/>
          </w:tblCellMar>
        </w:tblPrEx>
        <w:trPr>
          <w:gridAfter w:val="1"/>
          <w:wAfter w:w="6" w:type="dxa"/>
        </w:trPr>
        <w:tc>
          <w:tcPr>
            <w:tcW w:w="1838" w:type="dxa"/>
            <w:vMerge w:val="continue"/>
            <w:tcBorders>
              <w:left w:val="single" w:color="auto" w:sz="4" w:space="0"/>
              <w:right w:val="single" w:color="auto" w:sz="4" w:space="0"/>
            </w:tcBorders>
            <w:vAlign w:val="center"/>
          </w:tcPr>
          <w:p w14:paraId="52997D2B">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6563CBC3">
            <w:pPr>
              <w:pStyle w:val="109"/>
              <w:rPr>
                <w:color w:val="000000" w:themeColor="text1"/>
                <w14:textFill>
                  <w14:solidFill>
                    <w14:schemeClr w14:val="tx1"/>
                  </w14:solidFill>
                </w14:textFill>
              </w:rPr>
            </w:pPr>
            <w:r>
              <w:rPr>
                <w:color w:val="000000" w:themeColor="text1"/>
                <w14:textFill>
                  <w14:solidFill>
                    <w14:schemeClr w14:val="tx1"/>
                  </w14:solidFill>
                </w14:textFill>
              </w:rPr>
              <w:t>结构</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08CDC52">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颗粒</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76ECFF84">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颗粒</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D1360F6">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颗粒</w:t>
            </w:r>
          </w:p>
        </w:tc>
      </w:tr>
      <w:tr w14:paraId="00614C94">
        <w:tblPrEx>
          <w:tblCellMar>
            <w:top w:w="15" w:type="dxa"/>
            <w:left w:w="15" w:type="dxa"/>
            <w:bottom w:w="15" w:type="dxa"/>
            <w:right w:w="15" w:type="dxa"/>
          </w:tblCellMar>
        </w:tblPrEx>
        <w:trPr>
          <w:gridAfter w:val="1"/>
          <w:wAfter w:w="6" w:type="dxa"/>
        </w:trPr>
        <w:tc>
          <w:tcPr>
            <w:tcW w:w="1838" w:type="dxa"/>
            <w:vMerge w:val="continue"/>
            <w:tcBorders>
              <w:left w:val="single" w:color="auto" w:sz="4" w:space="0"/>
              <w:right w:val="single" w:color="auto" w:sz="4" w:space="0"/>
            </w:tcBorders>
            <w:vAlign w:val="center"/>
          </w:tcPr>
          <w:p w14:paraId="05A2D619">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52FC41A4">
            <w:pPr>
              <w:pStyle w:val="109"/>
              <w:rPr>
                <w:color w:val="000000" w:themeColor="text1"/>
                <w14:textFill>
                  <w14:solidFill>
                    <w14:schemeClr w14:val="tx1"/>
                  </w14:solidFill>
                </w14:textFill>
              </w:rPr>
            </w:pPr>
            <w:r>
              <w:rPr>
                <w:color w:val="000000" w:themeColor="text1"/>
                <w14:textFill>
                  <w14:solidFill>
                    <w14:schemeClr w14:val="tx1"/>
                  </w14:solidFill>
                </w14:textFill>
              </w:rPr>
              <w:t>质地</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326F1223">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砂土</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6A178F38">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砂土</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24DE54A0">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砂土</w:t>
            </w:r>
          </w:p>
        </w:tc>
      </w:tr>
      <w:tr w14:paraId="390A5ED2">
        <w:tblPrEx>
          <w:tblCellMar>
            <w:top w:w="15" w:type="dxa"/>
            <w:left w:w="15" w:type="dxa"/>
            <w:bottom w:w="15" w:type="dxa"/>
            <w:right w:w="15" w:type="dxa"/>
          </w:tblCellMar>
        </w:tblPrEx>
        <w:trPr>
          <w:gridAfter w:val="1"/>
          <w:wAfter w:w="6" w:type="dxa"/>
        </w:trPr>
        <w:tc>
          <w:tcPr>
            <w:tcW w:w="1838" w:type="dxa"/>
            <w:vMerge w:val="continue"/>
            <w:tcBorders>
              <w:left w:val="single" w:color="auto" w:sz="4" w:space="0"/>
              <w:right w:val="single" w:color="auto" w:sz="4" w:space="0"/>
            </w:tcBorders>
            <w:vAlign w:val="center"/>
          </w:tcPr>
          <w:p w14:paraId="2FC38410">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7AAE196D">
            <w:pPr>
              <w:pStyle w:val="109"/>
              <w:rPr>
                <w:color w:val="000000" w:themeColor="text1"/>
                <w14:textFill>
                  <w14:solidFill>
                    <w14:schemeClr w14:val="tx1"/>
                  </w14:solidFill>
                </w14:textFill>
              </w:rPr>
            </w:pPr>
            <w:r>
              <w:rPr>
                <w:color w:val="000000" w:themeColor="text1"/>
                <w14:textFill>
                  <w14:solidFill>
                    <w14:schemeClr w14:val="tx1"/>
                  </w14:solidFill>
                </w14:textFill>
              </w:rPr>
              <w:t>砂砾含量（%）</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04125AFE">
            <w:pPr>
              <w:pStyle w:val="109"/>
              <w:rPr>
                <w:color w:val="000000" w:themeColor="text1"/>
                <w14:textFill>
                  <w14:solidFill>
                    <w14:schemeClr w14:val="tx1"/>
                  </w14:solidFill>
                </w14:textFill>
              </w:rPr>
            </w:pPr>
            <w:r>
              <w:rPr>
                <w:rFonts w:hint="eastAsia"/>
                <w:bCs/>
                <w:color w:val="000000" w:themeColor="text1"/>
                <w:kern w:val="2"/>
                <w:szCs w:val="21"/>
                <w14:textFill>
                  <w14:solidFill>
                    <w14:schemeClr w14:val="tx1"/>
                  </w14:solidFill>
                </w14:textFill>
              </w:rPr>
              <w:t>50</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F39876F">
            <w:pPr>
              <w:pStyle w:val="109"/>
              <w:rPr>
                <w:color w:val="000000" w:themeColor="text1"/>
                <w14:textFill>
                  <w14:solidFill>
                    <w14:schemeClr w14:val="tx1"/>
                  </w14:solidFill>
                </w14:textFill>
              </w:rPr>
            </w:pPr>
            <w:r>
              <w:rPr>
                <w:rFonts w:hint="eastAsia"/>
                <w:bCs/>
                <w:color w:val="000000" w:themeColor="text1"/>
                <w:kern w:val="2"/>
                <w:szCs w:val="21"/>
                <w14:textFill>
                  <w14:solidFill>
                    <w14:schemeClr w14:val="tx1"/>
                  </w14:solidFill>
                </w14:textFill>
              </w:rPr>
              <w:t>60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6D0D79E6">
            <w:pPr>
              <w:pStyle w:val="109"/>
              <w:rPr>
                <w:color w:val="000000" w:themeColor="text1"/>
                <w14:textFill>
                  <w14:solidFill>
                    <w14:schemeClr w14:val="tx1"/>
                  </w14:solidFill>
                </w14:textFill>
              </w:rPr>
            </w:pPr>
            <w:r>
              <w:rPr>
                <w:rFonts w:hint="eastAsia"/>
                <w:bCs/>
                <w:color w:val="000000" w:themeColor="text1"/>
                <w:kern w:val="2"/>
                <w:szCs w:val="21"/>
                <w14:textFill>
                  <w14:solidFill>
                    <w14:schemeClr w14:val="tx1"/>
                  </w14:solidFill>
                </w14:textFill>
              </w:rPr>
              <w:t>60</w:t>
            </w:r>
          </w:p>
        </w:tc>
      </w:tr>
      <w:tr w14:paraId="2A51ED5F">
        <w:tblPrEx>
          <w:tblCellMar>
            <w:top w:w="15" w:type="dxa"/>
            <w:left w:w="15" w:type="dxa"/>
            <w:bottom w:w="15" w:type="dxa"/>
            <w:right w:w="15" w:type="dxa"/>
          </w:tblCellMar>
        </w:tblPrEx>
        <w:trPr>
          <w:gridAfter w:val="1"/>
          <w:wAfter w:w="6" w:type="dxa"/>
        </w:trPr>
        <w:tc>
          <w:tcPr>
            <w:tcW w:w="1838" w:type="dxa"/>
            <w:vMerge w:val="continue"/>
            <w:tcBorders>
              <w:left w:val="single" w:color="auto" w:sz="4" w:space="0"/>
              <w:right w:val="single" w:color="auto" w:sz="4" w:space="0"/>
            </w:tcBorders>
            <w:vAlign w:val="center"/>
          </w:tcPr>
          <w:p w14:paraId="5DE47847">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20E71B67">
            <w:pPr>
              <w:pStyle w:val="109"/>
              <w:rPr>
                <w:color w:val="000000" w:themeColor="text1"/>
                <w14:textFill>
                  <w14:solidFill>
                    <w14:schemeClr w14:val="tx1"/>
                  </w14:solidFill>
                </w14:textFill>
              </w:rPr>
            </w:pPr>
            <w:r>
              <w:rPr>
                <w:color w:val="000000" w:themeColor="text1"/>
                <w14:textFill>
                  <w14:solidFill>
                    <w14:schemeClr w14:val="tx1"/>
                  </w14:solidFill>
                </w14:textFill>
              </w:rPr>
              <w:t>其他异物</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5D130F9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3F48FCA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6E11576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3DC1FA6">
        <w:tblPrEx>
          <w:tblCellMar>
            <w:top w:w="15" w:type="dxa"/>
            <w:left w:w="15" w:type="dxa"/>
            <w:bottom w:w="15" w:type="dxa"/>
            <w:right w:w="15" w:type="dxa"/>
          </w:tblCellMar>
        </w:tblPrEx>
        <w:trPr>
          <w:gridAfter w:val="1"/>
          <w:wAfter w:w="6" w:type="dxa"/>
        </w:trPr>
        <w:tc>
          <w:tcPr>
            <w:tcW w:w="1838" w:type="dxa"/>
            <w:vMerge w:val="continue"/>
            <w:tcBorders>
              <w:left w:val="single" w:color="auto" w:sz="4" w:space="0"/>
              <w:bottom w:val="single" w:color="auto" w:sz="4" w:space="0"/>
              <w:right w:val="single" w:color="auto" w:sz="4" w:space="0"/>
            </w:tcBorders>
            <w:vAlign w:val="center"/>
          </w:tcPr>
          <w:p w14:paraId="240C13C7">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7E5F90F5">
            <w:pPr>
              <w:pStyle w:val="109"/>
              <w:rPr>
                <w:color w:val="000000" w:themeColor="text1"/>
                <w14:textFill>
                  <w14:solidFill>
                    <w14:schemeClr w14:val="tx1"/>
                  </w14:solidFill>
                </w14:textFill>
              </w:rPr>
            </w:pPr>
            <w:r>
              <w:rPr>
                <w:color w:val="000000" w:themeColor="text1"/>
                <w14:textFill>
                  <w14:solidFill>
                    <w14:schemeClr w14:val="tx1"/>
                  </w14:solidFill>
                </w14:textFill>
              </w:rPr>
              <w:t>氧化还原电位(mv)</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3348F4C6">
            <w:pPr>
              <w:pStyle w:val="109"/>
              <w:rPr>
                <w:color w:val="000000" w:themeColor="text1"/>
                <w14:textFill>
                  <w14:solidFill>
                    <w14:schemeClr w14:val="tx1"/>
                  </w14:solidFill>
                </w14:textFill>
              </w:rPr>
            </w:pPr>
            <w:r>
              <w:rPr>
                <w:color w:val="000000" w:themeColor="text1"/>
                <w14:textFill>
                  <w14:solidFill>
                    <w14:schemeClr w14:val="tx1"/>
                  </w14:solidFill>
                </w14:textFill>
              </w:rPr>
              <w:t>504</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10E32DD1">
            <w:pPr>
              <w:pStyle w:val="109"/>
              <w:rPr>
                <w:color w:val="000000" w:themeColor="text1"/>
                <w14:textFill>
                  <w14:solidFill>
                    <w14:schemeClr w14:val="tx1"/>
                  </w14:solidFill>
                </w14:textFill>
              </w:rPr>
            </w:pPr>
            <w:r>
              <w:rPr>
                <w:color w:val="000000" w:themeColor="text1"/>
                <w14:textFill>
                  <w14:solidFill>
                    <w14:schemeClr w14:val="tx1"/>
                  </w14:solidFill>
                </w14:textFill>
              </w:rPr>
              <w:t>510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6617540">
            <w:pPr>
              <w:pStyle w:val="109"/>
              <w:rPr>
                <w:color w:val="000000" w:themeColor="text1"/>
                <w14:textFill>
                  <w14:solidFill>
                    <w14:schemeClr w14:val="tx1"/>
                  </w14:solidFill>
                </w14:textFill>
              </w:rPr>
            </w:pPr>
            <w:r>
              <w:rPr>
                <w:color w:val="000000" w:themeColor="text1"/>
                <w14:textFill>
                  <w14:solidFill>
                    <w14:schemeClr w14:val="tx1"/>
                  </w14:solidFill>
                </w14:textFill>
              </w:rPr>
              <w:t>522</w:t>
            </w:r>
          </w:p>
        </w:tc>
      </w:tr>
      <w:tr w14:paraId="0B405D75">
        <w:tblPrEx>
          <w:tblCellMar>
            <w:top w:w="15" w:type="dxa"/>
            <w:left w:w="15" w:type="dxa"/>
            <w:bottom w:w="15" w:type="dxa"/>
            <w:right w:w="15" w:type="dxa"/>
          </w:tblCellMar>
        </w:tblPrEx>
        <w:trPr>
          <w:gridAfter w:val="1"/>
          <w:wAfter w:w="6" w:type="dxa"/>
        </w:trPr>
        <w:tc>
          <w:tcPr>
            <w:tcW w:w="1838" w:type="dxa"/>
            <w:vMerge w:val="restart"/>
            <w:tcBorders>
              <w:top w:val="single" w:color="auto" w:sz="4" w:space="0"/>
              <w:left w:val="single" w:color="auto" w:sz="4" w:space="0"/>
              <w:right w:val="single" w:color="auto" w:sz="4" w:space="0"/>
            </w:tcBorders>
            <w:vAlign w:val="center"/>
          </w:tcPr>
          <w:p w14:paraId="7EB6DF78">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实验室测定</w:t>
            </w: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48A7F953">
            <w:pPr>
              <w:pStyle w:val="109"/>
              <w:rPr>
                <w:color w:val="000000" w:themeColor="text1"/>
                <w14:textFill>
                  <w14:solidFill>
                    <w14:schemeClr w14:val="tx1"/>
                  </w14:solidFill>
                </w14:textFill>
              </w:rPr>
            </w:pPr>
            <w:r>
              <w:rPr>
                <w:color w:val="000000" w:themeColor="text1"/>
                <w14:textFill>
                  <w14:solidFill>
                    <w14:schemeClr w14:val="tx1"/>
                  </w14:solidFill>
                </w14:textFill>
              </w:rPr>
              <w:t>pH（无量纲）</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6F14D35F">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8.18</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0CFDC4C6">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7.91</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E728AB6">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7.86</w:t>
            </w:r>
          </w:p>
        </w:tc>
      </w:tr>
      <w:tr w14:paraId="63B29897">
        <w:tblPrEx>
          <w:tblCellMar>
            <w:top w:w="15" w:type="dxa"/>
            <w:left w:w="15" w:type="dxa"/>
            <w:bottom w:w="15" w:type="dxa"/>
            <w:right w:w="15" w:type="dxa"/>
          </w:tblCellMar>
        </w:tblPrEx>
        <w:trPr>
          <w:gridAfter w:val="1"/>
          <w:wAfter w:w="6" w:type="dxa"/>
        </w:trPr>
        <w:tc>
          <w:tcPr>
            <w:tcW w:w="1838" w:type="dxa"/>
            <w:vMerge w:val="continue"/>
            <w:tcBorders>
              <w:left w:val="single" w:color="auto" w:sz="4" w:space="0"/>
              <w:right w:val="single" w:color="auto" w:sz="4" w:space="0"/>
            </w:tcBorders>
            <w:vAlign w:val="center"/>
          </w:tcPr>
          <w:p w14:paraId="3F4E165D">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31BCC4DA">
            <w:pPr>
              <w:pStyle w:val="109"/>
              <w:rPr>
                <w:color w:val="000000" w:themeColor="text1"/>
                <w14:textFill>
                  <w14:solidFill>
                    <w14:schemeClr w14:val="tx1"/>
                  </w14:solidFill>
                </w14:textFill>
              </w:rPr>
            </w:pPr>
            <w:r>
              <w:rPr>
                <w:color w:val="000000" w:themeColor="text1"/>
                <w14:textFill>
                  <w14:solidFill>
                    <w14:schemeClr w14:val="tx1"/>
                  </w14:solidFill>
                </w14:textFill>
              </w:rPr>
              <w:t>阳离子交换量</w:t>
            </w:r>
          </w:p>
          <w:p w14:paraId="31D8BB95">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color w:val="000000" w:themeColor="text1"/>
                <w:kern w:val="2"/>
                <w:lang w:bidi="ar"/>
                <w14:textFill>
                  <w14:solidFill>
                    <w14:schemeClr w14:val="tx1"/>
                  </w14:solidFill>
                </w14:textFill>
              </w:rPr>
              <w:t>cmol</w:t>
            </w:r>
            <w:r>
              <w:rPr>
                <w:color w:val="000000" w:themeColor="text1"/>
                <w:kern w:val="2"/>
                <w:vertAlign w:val="superscript"/>
                <w:lang w:bidi="ar"/>
                <w14:textFill>
                  <w14:solidFill>
                    <w14:schemeClr w14:val="tx1"/>
                  </w14:solidFill>
                </w14:textFill>
              </w:rPr>
              <w:t>＋</w:t>
            </w:r>
            <w:r>
              <w:rPr>
                <w:color w:val="000000" w:themeColor="text1"/>
                <w:kern w:val="2"/>
                <w:lang w:bidi="ar"/>
                <w14:textFill>
                  <w14:solidFill>
                    <w14:schemeClr w14:val="tx1"/>
                  </w14:solidFill>
                </w14:textFill>
              </w:rPr>
              <w:t>/kg</w:t>
            </w:r>
            <w:r>
              <w:rPr>
                <w:color w:val="000000" w:themeColor="text1"/>
                <w14:textFill>
                  <w14:solidFill>
                    <w14:schemeClr w14:val="tx1"/>
                  </w14:solidFill>
                </w14:textFill>
              </w:rPr>
              <w:t>）</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62A11B8B">
            <w:pPr>
              <w:pStyle w:val="109"/>
              <w:rPr>
                <w:color w:val="000000" w:themeColor="text1"/>
                <w14:textFill>
                  <w14:solidFill>
                    <w14:schemeClr w14:val="tx1"/>
                  </w14:solidFill>
                </w14:textFill>
              </w:rPr>
            </w:pPr>
            <w:r>
              <w:rPr>
                <w:color w:val="000000" w:themeColor="text1"/>
                <w14:textFill>
                  <w14:solidFill>
                    <w14:schemeClr w14:val="tx1"/>
                  </w14:solidFill>
                </w14:textFill>
              </w:rPr>
              <w:t>11.6</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59AA8A39">
            <w:pPr>
              <w:pStyle w:val="109"/>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E8587AB">
            <w:pPr>
              <w:pStyle w:val="109"/>
              <w:rPr>
                <w:color w:val="000000" w:themeColor="text1"/>
                <w14:textFill>
                  <w14:solidFill>
                    <w14:schemeClr w14:val="tx1"/>
                  </w14:solidFill>
                </w14:textFill>
              </w:rPr>
            </w:pPr>
            <w:r>
              <w:rPr>
                <w:color w:val="000000" w:themeColor="text1"/>
                <w14:textFill>
                  <w14:solidFill>
                    <w14:schemeClr w14:val="tx1"/>
                  </w14:solidFill>
                </w14:textFill>
              </w:rPr>
              <w:t>9.8</w:t>
            </w:r>
          </w:p>
        </w:tc>
      </w:tr>
      <w:tr w14:paraId="4FBACFA4">
        <w:tblPrEx>
          <w:tblCellMar>
            <w:top w:w="15" w:type="dxa"/>
            <w:left w:w="15" w:type="dxa"/>
            <w:bottom w:w="15" w:type="dxa"/>
            <w:right w:w="15" w:type="dxa"/>
          </w:tblCellMar>
        </w:tblPrEx>
        <w:trPr>
          <w:gridAfter w:val="1"/>
          <w:wAfter w:w="6" w:type="dxa"/>
        </w:trPr>
        <w:tc>
          <w:tcPr>
            <w:tcW w:w="1838" w:type="dxa"/>
            <w:vMerge w:val="continue"/>
            <w:tcBorders>
              <w:left w:val="single" w:color="auto" w:sz="4" w:space="0"/>
              <w:right w:val="single" w:color="auto" w:sz="4" w:space="0"/>
            </w:tcBorders>
            <w:vAlign w:val="center"/>
          </w:tcPr>
          <w:p w14:paraId="5594C13B">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46C5CF3F">
            <w:pPr>
              <w:pStyle w:val="109"/>
              <w:rPr>
                <w:color w:val="000000" w:themeColor="text1"/>
                <w14:textFill>
                  <w14:solidFill>
                    <w14:schemeClr w14:val="tx1"/>
                  </w14:solidFill>
                </w14:textFill>
              </w:rPr>
            </w:pPr>
            <w:r>
              <w:rPr>
                <w:color w:val="000000" w:themeColor="text1"/>
                <w14:textFill>
                  <w14:solidFill>
                    <w14:schemeClr w14:val="tx1"/>
                  </w14:solidFill>
                </w14:textFill>
              </w:rPr>
              <w:t>渗滤率(mm/min)</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2DAC836C">
            <w:pPr>
              <w:pStyle w:val="109"/>
              <w:rPr>
                <w:color w:val="000000" w:themeColor="text1"/>
                <w14:textFill>
                  <w14:solidFill>
                    <w14:schemeClr w14:val="tx1"/>
                  </w14:solidFill>
                </w14:textFill>
              </w:rPr>
            </w:pPr>
            <w:r>
              <w:rPr>
                <w:color w:val="000000" w:themeColor="text1"/>
                <w14:textFill>
                  <w14:solidFill>
                    <w14:schemeClr w14:val="tx1"/>
                  </w14:solidFill>
                </w14:textFill>
              </w:rPr>
              <w:t>0.462</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E3A906A">
            <w:pPr>
              <w:pStyle w:val="109"/>
              <w:rPr>
                <w:color w:val="000000" w:themeColor="text1"/>
                <w14:textFill>
                  <w14:solidFill>
                    <w14:schemeClr w14:val="tx1"/>
                  </w14:solidFill>
                </w14:textFill>
              </w:rPr>
            </w:pPr>
            <w:r>
              <w:rPr>
                <w:color w:val="000000" w:themeColor="text1"/>
                <w14:textFill>
                  <w14:solidFill>
                    <w14:schemeClr w14:val="tx1"/>
                  </w14:solidFill>
                </w14:textFill>
              </w:rPr>
              <w:t>0.462</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37C3059B">
            <w:pPr>
              <w:pStyle w:val="109"/>
              <w:rPr>
                <w:color w:val="000000" w:themeColor="text1"/>
                <w14:textFill>
                  <w14:solidFill>
                    <w14:schemeClr w14:val="tx1"/>
                  </w14:solidFill>
                </w14:textFill>
              </w:rPr>
            </w:pPr>
            <w:r>
              <w:rPr>
                <w:color w:val="000000" w:themeColor="text1"/>
                <w14:textFill>
                  <w14:solidFill>
                    <w14:schemeClr w14:val="tx1"/>
                  </w14:solidFill>
                </w14:textFill>
              </w:rPr>
              <w:t>0.492</w:t>
            </w:r>
          </w:p>
        </w:tc>
      </w:tr>
      <w:tr w14:paraId="16034685">
        <w:tblPrEx>
          <w:tblCellMar>
            <w:top w:w="15" w:type="dxa"/>
            <w:left w:w="15" w:type="dxa"/>
            <w:bottom w:w="15" w:type="dxa"/>
            <w:right w:w="15" w:type="dxa"/>
          </w:tblCellMar>
        </w:tblPrEx>
        <w:trPr>
          <w:gridAfter w:val="1"/>
          <w:wAfter w:w="6" w:type="dxa"/>
        </w:trPr>
        <w:tc>
          <w:tcPr>
            <w:tcW w:w="1838" w:type="dxa"/>
            <w:vMerge w:val="continue"/>
            <w:tcBorders>
              <w:left w:val="single" w:color="auto" w:sz="4" w:space="0"/>
              <w:right w:val="single" w:color="auto" w:sz="4" w:space="0"/>
            </w:tcBorders>
            <w:vAlign w:val="center"/>
          </w:tcPr>
          <w:p w14:paraId="4CBCB998">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7F28CF16">
            <w:pPr>
              <w:pStyle w:val="109"/>
              <w:rPr>
                <w:color w:val="000000" w:themeColor="text1"/>
                <w14:textFill>
                  <w14:solidFill>
                    <w14:schemeClr w14:val="tx1"/>
                  </w14:solidFill>
                </w14:textFill>
              </w:rPr>
            </w:pPr>
            <w:r>
              <w:rPr>
                <w:color w:val="000000" w:themeColor="text1"/>
                <w14:textFill>
                  <w14:solidFill>
                    <w14:schemeClr w14:val="tx1"/>
                  </w14:solidFill>
                </w14:textFill>
              </w:rPr>
              <w:t>土壤容重(g/cm³)</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5B9D7B26">
            <w:pPr>
              <w:pStyle w:val="109"/>
              <w:rPr>
                <w:color w:val="000000" w:themeColor="text1"/>
                <w14:textFill>
                  <w14:solidFill>
                    <w14:schemeClr w14:val="tx1"/>
                  </w14:solidFill>
                </w14:textFill>
              </w:rPr>
            </w:pPr>
            <w:r>
              <w:rPr>
                <w:color w:val="000000" w:themeColor="text1"/>
                <w14:textFill>
                  <w14:solidFill>
                    <w14:schemeClr w14:val="tx1"/>
                  </w14:solidFill>
                </w14:textFill>
              </w:rPr>
              <w:t>1.25</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438A39E5">
            <w:pPr>
              <w:pStyle w:val="109"/>
              <w:rPr>
                <w:color w:val="000000" w:themeColor="text1"/>
                <w14:textFill>
                  <w14:solidFill>
                    <w14:schemeClr w14:val="tx1"/>
                  </w14:solidFill>
                </w14:textFill>
              </w:rPr>
            </w:pPr>
            <w:r>
              <w:rPr>
                <w:color w:val="000000" w:themeColor="text1"/>
                <w14:textFill>
                  <w14:solidFill>
                    <w14:schemeClr w14:val="tx1"/>
                  </w14:solidFill>
                </w14:textFill>
              </w:rPr>
              <w:t>1.23</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28DBDEE9">
            <w:pPr>
              <w:pStyle w:val="109"/>
              <w:rPr>
                <w:color w:val="000000" w:themeColor="text1"/>
                <w14:textFill>
                  <w14:solidFill>
                    <w14:schemeClr w14:val="tx1"/>
                  </w14:solidFill>
                </w14:textFill>
              </w:rPr>
            </w:pPr>
            <w:r>
              <w:rPr>
                <w:color w:val="000000" w:themeColor="text1"/>
                <w14:textFill>
                  <w14:solidFill>
                    <w14:schemeClr w14:val="tx1"/>
                  </w14:solidFill>
                </w14:textFill>
              </w:rPr>
              <w:t>1.22</w:t>
            </w:r>
          </w:p>
        </w:tc>
      </w:tr>
      <w:tr w14:paraId="7430E436">
        <w:tblPrEx>
          <w:tblCellMar>
            <w:top w:w="15" w:type="dxa"/>
            <w:left w:w="15" w:type="dxa"/>
            <w:bottom w:w="15" w:type="dxa"/>
            <w:right w:w="15" w:type="dxa"/>
          </w:tblCellMar>
        </w:tblPrEx>
        <w:trPr>
          <w:gridAfter w:val="1"/>
          <w:wAfter w:w="6" w:type="dxa"/>
        </w:trPr>
        <w:tc>
          <w:tcPr>
            <w:tcW w:w="1838" w:type="dxa"/>
            <w:vMerge w:val="continue"/>
            <w:tcBorders>
              <w:left w:val="single" w:color="auto" w:sz="4" w:space="0"/>
              <w:bottom w:val="single" w:color="auto" w:sz="4" w:space="0"/>
              <w:right w:val="single" w:color="auto" w:sz="4" w:space="0"/>
            </w:tcBorders>
            <w:vAlign w:val="center"/>
          </w:tcPr>
          <w:p w14:paraId="16B526CC">
            <w:pPr>
              <w:pStyle w:val="109"/>
              <w:rPr>
                <w:color w:val="000000" w:themeColor="text1"/>
                <w14:textFill>
                  <w14:solidFill>
                    <w14:schemeClr w14:val="tx1"/>
                  </w14:solidFill>
                </w14:textFill>
              </w:rPr>
            </w:pPr>
          </w:p>
        </w:tc>
        <w:tc>
          <w:tcPr>
            <w:tcW w:w="2175" w:type="dxa"/>
            <w:gridSpan w:val="2"/>
            <w:tcBorders>
              <w:top w:val="single" w:color="auto" w:sz="4" w:space="0"/>
              <w:left w:val="single" w:color="auto" w:sz="4" w:space="0"/>
              <w:bottom w:val="single" w:color="auto" w:sz="4" w:space="0"/>
              <w:right w:val="single" w:color="auto" w:sz="4" w:space="0"/>
            </w:tcBorders>
            <w:vAlign w:val="center"/>
          </w:tcPr>
          <w:p w14:paraId="3E9E28B7">
            <w:pPr>
              <w:pStyle w:val="109"/>
              <w:rPr>
                <w:color w:val="000000" w:themeColor="text1"/>
                <w14:textFill>
                  <w14:solidFill>
                    <w14:schemeClr w14:val="tx1"/>
                  </w14:solidFill>
                </w14:textFill>
              </w:rPr>
            </w:pPr>
            <w:r>
              <w:rPr>
                <w:color w:val="000000" w:themeColor="text1"/>
                <w14:textFill>
                  <w14:solidFill>
                    <w14:schemeClr w14:val="tx1"/>
                  </w14:solidFill>
                </w14:textFill>
              </w:rPr>
              <w:t>总孔隙度(%)</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548CCEB1">
            <w:pPr>
              <w:pStyle w:val="109"/>
              <w:rPr>
                <w:color w:val="000000" w:themeColor="text1"/>
                <w14:textFill>
                  <w14:solidFill>
                    <w14:schemeClr w14:val="tx1"/>
                  </w14:solidFill>
                </w14:textFill>
              </w:rPr>
            </w:pPr>
            <w:r>
              <w:rPr>
                <w:color w:val="000000" w:themeColor="text1"/>
                <w14:textFill>
                  <w14:solidFill>
                    <w14:schemeClr w14:val="tx1"/>
                  </w14:solidFill>
                </w14:textFill>
              </w:rPr>
              <w:t>33.9</w:t>
            </w:r>
          </w:p>
        </w:tc>
        <w:tc>
          <w:tcPr>
            <w:tcW w:w="1678" w:type="dxa"/>
            <w:gridSpan w:val="3"/>
            <w:tcBorders>
              <w:top w:val="single" w:color="auto" w:sz="4" w:space="0"/>
              <w:left w:val="single" w:color="auto" w:sz="4" w:space="0"/>
              <w:bottom w:val="single" w:color="auto" w:sz="4" w:space="0"/>
              <w:right w:val="single" w:color="auto" w:sz="4" w:space="0"/>
            </w:tcBorders>
            <w:vAlign w:val="center"/>
          </w:tcPr>
          <w:p w14:paraId="38E250D1">
            <w:pPr>
              <w:pStyle w:val="109"/>
              <w:rPr>
                <w:color w:val="000000" w:themeColor="text1"/>
                <w14:textFill>
                  <w14:solidFill>
                    <w14:schemeClr w14:val="tx1"/>
                  </w14:solidFill>
                </w14:textFill>
              </w:rPr>
            </w:pPr>
            <w:r>
              <w:rPr>
                <w:color w:val="000000" w:themeColor="text1"/>
                <w14:textFill>
                  <w14:solidFill>
                    <w14:schemeClr w14:val="tx1"/>
                  </w14:solidFill>
                </w14:textFill>
              </w:rPr>
              <w:t>33.5</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5D4326B5">
            <w:pPr>
              <w:pStyle w:val="109"/>
              <w:rPr>
                <w:color w:val="000000" w:themeColor="text1"/>
                <w14:textFill>
                  <w14:solidFill>
                    <w14:schemeClr w14:val="tx1"/>
                  </w14:solidFill>
                </w14:textFill>
              </w:rPr>
            </w:pPr>
            <w:r>
              <w:rPr>
                <w:color w:val="000000" w:themeColor="text1"/>
                <w14:textFill>
                  <w14:solidFill>
                    <w14:schemeClr w14:val="tx1"/>
                  </w14:solidFill>
                </w14:textFill>
              </w:rPr>
              <w:t>33.0</w:t>
            </w:r>
          </w:p>
        </w:tc>
      </w:tr>
    </w:tbl>
    <w:p w14:paraId="218867DA">
      <w:pPr>
        <w:spacing w:line="500" w:lineRule="exact"/>
        <w:ind w:firstLine="883"/>
        <w:jc w:val="center"/>
        <w:rPr>
          <w:b/>
          <w:bCs/>
          <w:color w:val="000000" w:themeColor="text1"/>
          <w:sz w:val="44"/>
          <w14:textFill>
            <w14:solidFill>
              <w14:schemeClr w14:val="tx1"/>
            </w14:solidFill>
          </w14:textFill>
        </w:rPr>
      </w:pPr>
    </w:p>
    <w:p w14:paraId="543C542C">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土壤检测结果4（补测）</w:t>
      </w:r>
    </w:p>
    <w:tbl>
      <w:tblPr>
        <w:tblStyle w:val="76"/>
        <w:tblpPr w:leftFromText="180" w:rightFromText="180" w:vertAnchor="text" w:horzAnchor="page" w:tblpX="1192" w:tblpY="63"/>
        <w:tblOverlap w:val="never"/>
        <w:tblW w:w="9305" w:type="dxa"/>
        <w:tblInd w:w="0" w:type="dxa"/>
        <w:tblLayout w:type="fixed"/>
        <w:tblCellMar>
          <w:top w:w="15" w:type="dxa"/>
          <w:left w:w="15" w:type="dxa"/>
          <w:bottom w:w="15" w:type="dxa"/>
          <w:right w:w="15" w:type="dxa"/>
        </w:tblCellMar>
      </w:tblPr>
      <w:tblGrid>
        <w:gridCol w:w="2263"/>
        <w:gridCol w:w="104"/>
        <w:gridCol w:w="1904"/>
        <w:gridCol w:w="412"/>
        <w:gridCol w:w="1266"/>
        <w:gridCol w:w="1154"/>
        <w:gridCol w:w="524"/>
        <w:gridCol w:w="1670"/>
        <w:gridCol w:w="8"/>
      </w:tblGrid>
      <w:tr w14:paraId="071102BD">
        <w:tblPrEx>
          <w:tblCellMar>
            <w:top w:w="15" w:type="dxa"/>
            <w:left w:w="15" w:type="dxa"/>
            <w:bottom w:w="15" w:type="dxa"/>
            <w:right w:w="15" w:type="dxa"/>
          </w:tblCellMar>
        </w:tblPrEx>
        <w:trPr>
          <w:gridAfter w:val="1"/>
          <w:wAfter w:w="8" w:type="dxa"/>
        </w:trPr>
        <w:tc>
          <w:tcPr>
            <w:tcW w:w="2263" w:type="dxa"/>
            <w:tcBorders>
              <w:top w:val="single" w:color="000000" w:sz="4" w:space="0"/>
              <w:left w:val="single" w:color="000000" w:sz="4" w:space="0"/>
              <w:bottom w:val="single" w:color="000000" w:sz="4" w:space="0"/>
              <w:right w:val="single" w:color="000000" w:sz="4" w:space="0"/>
            </w:tcBorders>
            <w:vAlign w:val="center"/>
          </w:tcPr>
          <w:p w14:paraId="2975FDEB">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 xml:space="preserve">样品类型 </w:t>
            </w:r>
          </w:p>
        </w:tc>
        <w:tc>
          <w:tcPr>
            <w:tcW w:w="7034" w:type="dxa"/>
            <w:gridSpan w:val="7"/>
            <w:tcBorders>
              <w:top w:val="single" w:color="000000" w:sz="4" w:space="0"/>
              <w:left w:val="single" w:color="000000" w:sz="4" w:space="0"/>
              <w:bottom w:val="single" w:color="000000" w:sz="4" w:space="0"/>
              <w:right w:val="single" w:color="000000" w:sz="4" w:space="0"/>
            </w:tcBorders>
            <w:vAlign w:val="center"/>
          </w:tcPr>
          <w:p w14:paraId="2E9AE35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土壤 </w:t>
            </w:r>
          </w:p>
        </w:tc>
      </w:tr>
      <w:tr w14:paraId="0696686A">
        <w:tblPrEx>
          <w:tblCellMar>
            <w:top w:w="15" w:type="dxa"/>
            <w:left w:w="15" w:type="dxa"/>
            <w:bottom w:w="15" w:type="dxa"/>
            <w:right w:w="15" w:type="dxa"/>
          </w:tblCellMar>
        </w:tblPrEx>
        <w:trPr>
          <w:gridAfter w:val="1"/>
          <w:wAfter w:w="8" w:type="dxa"/>
        </w:trPr>
        <w:tc>
          <w:tcPr>
            <w:tcW w:w="2263" w:type="dxa"/>
            <w:tcBorders>
              <w:top w:val="single" w:color="000000" w:sz="4" w:space="0"/>
              <w:left w:val="single" w:color="000000" w:sz="4" w:space="0"/>
              <w:bottom w:val="single" w:color="000000" w:sz="4" w:space="0"/>
              <w:right w:val="single" w:color="000000" w:sz="4" w:space="0"/>
            </w:tcBorders>
            <w:vAlign w:val="center"/>
          </w:tcPr>
          <w:p w14:paraId="32A2B69F">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采样日期</w:t>
            </w:r>
          </w:p>
        </w:tc>
        <w:tc>
          <w:tcPr>
            <w:tcW w:w="2420" w:type="dxa"/>
            <w:gridSpan w:val="3"/>
            <w:tcBorders>
              <w:top w:val="single" w:color="000000" w:sz="4" w:space="0"/>
              <w:left w:val="single" w:color="000000" w:sz="4" w:space="0"/>
              <w:bottom w:val="single" w:color="auto" w:sz="4" w:space="0"/>
              <w:right w:val="single" w:color="000000" w:sz="4" w:space="0"/>
            </w:tcBorders>
            <w:vAlign w:val="center"/>
          </w:tcPr>
          <w:p w14:paraId="2744C0D0">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2026年1月8日</w:t>
            </w:r>
          </w:p>
        </w:tc>
        <w:tc>
          <w:tcPr>
            <w:tcW w:w="2420" w:type="dxa"/>
            <w:gridSpan w:val="2"/>
            <w:tcBorders>
              <w:top w:val="single" w:color="000000" w:sz="4" w:space="0"/>
              <w:left w:val="single" w:color="000000" w:sz="4" w:space="0"/>
              <w:bottom w:val="single" w:color="auto" w:sz="4" w:space="0"/>
              <w:right w:val="single" w:color="000000" w:sz="4" w:space="0"/>
            </w:tcBorders>
            <w:vAlign w:val="center"/>
          </w:tcPr>
          <w:p w14:paraId="13A5B73E">
            <w:pPr>
              <w:pStyle w:val="109"/>
              <w:rPr>
                <w:color w:val="000000" w:themeColor="text1"/>
                <w14:textFill>
                  <w14:solidFill>
                    <w14:schemeClr w14:val="tx1"/>
                  </w14:solidFill>
                </w14:textFill>
              </w:rPr>
            </w:pPr>
            <w:r>
              <w:rPr>
                <w:color w:val="000000" w:themeColor="text1"/>
                <w14:textFill>
                  <w14:solidFill>
                    <w14:schemeClr w14:val="tx1"/>
                  </w14:solidFill>
                </w14:textFill>
              </w:rPr>
              <w:t>分析日期</w:t>
            </w:r>
          </w:p>
        </w:tc>
        <w:tc>
          <w:tcPr>
            <w:tcW w:w="2194" w:type="dxa"/>
            <w:gridSpan w:val="2"/>
            <w:tcBorders>
              <w:top w:val="single" w:color="000000" w:sz="4" w:space="0"/>
              <w:left w:val="single" w:color="000000" w:sz="4" w:space="0"/>
              <w:bottom w:val="single" w:color="auto" w:sz="4" w:space="0"/>
              <w:right w:val="single" w:color="000000" w:sz="4" w:space="0"/>
            </w:tcBorders>
            <w:vAlign w:val="center"/>
          </w:tcPr>
          <w:p w14:paraId="57738A88">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2026年1月8日-12日</w:t>
            </w:r>
          </w:p>
        </w:tc>
      </w:tr>
      <w:tr w14:paraId="666188E3">
        <w:tblPrEx>
          <w:tblCellMar>
            <w:top w:w="15" w:type="dxa"/>
            <w:left w:w="15" w:type="dxa"/>
            <w:bottom w:w="15" w:type="dxa"/>
            <w:right w:w="15" w:type="dxa"/>
          </w:tblCellMar>
        </w:tblPrEx>
        <w:tc>
          <w:tcPr>
            <w:tcW w:w="4271" w:type="dxa"/>
            <w:gridSpan w:val="3"/>
            <w:tcBorders>
              <w:top w:val="single" w:color="000000" w:sz="4" w:space="0"/>
              <w:left w:val="single" w:color="000000" w:sz="4" w:space="0"/>
              <w:bottom w:val="single" w:color="000000" w:sz="4" w:space="0"/>
              <w:right w:val="single" w:color="auto" w:sz="4" w:space="0"/>
            </w:tcBorders>
            <w:vAlign w:val="center"/>
          </w:tcPr>
          <w:p w14:paraId="5330584A">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样品编码</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00B7E80D">
            <w:pPr>
              <w:pStyle w:val="109"/>
              <w:rPr>
                <w:color w:val="000000" w:themeColor="text1"/>
                <w14:textFill>
                  <w14:solidFill>
                    <w14:schemeClr w14:val="tx1"/>
                  </w14:solidFill>
                </w14:textFill>
              </w:rPr>
            </w:pPr>
            <w:r>
              <w:rPr>
                <w:color w:val="000000" w:themeColor="text1"/>
                <w14:textFill>
                  <w14:solidFill>
                    <w14:schemeClr w14:val="tx1"/>
                  </w14:solidFill>
                </w14:textFill>
              </w:rPr>
              <w:t>TC-3</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2A4DF40B">
            <w:pPr>
              <w:pStyle w:val="109"/>
              <w:rPr>
                <w:color w:val="000000" w:themeColor="text1"/>
                <w14:textFill>
                  <w14:solidFill>
                    <w14:schemeClr w14:val="tx1"/>
                  </w14:solidFill>
                </w14:textFill>
              </w:rPr>
            </w:pPr>
            <w:r>
              <w:rPr>
                <w:color w:val="000000" w:themeColor="text1"/>
                <w14:textFill>
                  <w14:solidFill>
                    <w14:schemeClr w14:val="tx1"/>
                  </w14:solidFill>
                </w14:textFill>
              </w:rPr>
              <w:t>TC-3</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0B98221E">
            <w:pPr>
              <w:pStyle w:val="109"/>
              <w:rPr>
                <w:color w:val="000000" w:themeColor="text1"/>
                <w14:textFill>
                  <w14:solidFill>
                    <w14:schemeClr w14:val="tx1"/>
                  </w14:solidFill>
                </w14:textFill>
              </w:rPr>
            </w:pPr>
            <w:r>
              <w:rPr>
                <w:color w:val="000000" w:themeColor="text1"/>
                <w14:textFill>
                  <w14:solidFill>
                    <w14:schemeClr w14:val="tx1"/>
                  </w14:solidFill>
                </w14:textFill>
              </w:rPr>
              <w:t>TC-3</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-1-1-1</w:t>
            </w:r>
          </w:p>
        </w:tc>
      </w:tr>
      <w:tr w14:paraId="46183578">
        <w:tblPrEx>
          <w:tblCellMar>
            <w:top w:w="15" w:type="dxa"/>
            <w:left w:w="15" w:type="dxa"/>
            <w:bottom w:w="15" w:type="dxa"/>
            <w:right w:w="15" w:type="dxa"/>
          </w:tblCellMar>
        </w:tblPrEx>
        <w:tc>
          <w:tcPr>
            <w:tcW w:w="4271" w:type="dxa"/>
            <w:gridSpan w:val="3"/>
            <w:tcBorders>
              <w:top w:val="single" w:color="000000" w:sz="4" w:space="0"/>
              <w:left w:val="single" w:color="000000" w:sz="4" w:space="0"/>
              <w:bottom w:val="single" w:color="000000" w:sz="4" w:space="0"/>
              <w:right w:val="single" w:color="auto" w:sz="4" w:space="0"/>
            </w:tcBorders>
            <w:vAlign w:val="center"/>
          </w:tcPr>
          <w:p w14:paraId="46CD668F">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采样地点</w:t>
            </w:r>
          </w:p>
        </w:tc>
        <w:tc>
          <w:tcPr>
            <w:tcW w:w="5034" w:type="dxa"/>
            <w:gridSpan w:val="6"/>
            <w:tcBorders>
              <w:top w:val="single" w:color="auto" w:sz="4" w:space="0"/>
              <w:left w:val="single" w:color="auto" w:sz="4" w:space="0"/>
              <w:bottom w:val="single" w:color="auto" w:sz="4" w:space="0"/>
              <w:right w:val="single" w:color="auto" w:sz="4" w:space="0"/>
            </w:tcBorders>
            <w:vAlign w:val="center"/>
          </w:tcPr>
          <w:p w14:paraId="50E4684B">
            <w:pPr>
              <w:pStyle w:val="109"/>
              <w:rPr>
                <w:color w:val="000000" w:themeColor="text1"/>
                <w:spacing w:val="-6"/>
                <w14:textFill>
                  <w14:solidFill>
                    <w14:schemeClr w14:val="tx1"/>
                  </w14:solidFill>
                </w14:textFill>
              </w:rPr>
            </w:pPr>
            <w:r>
              <w:rPr>
                <w:color w:val="000000" w:themeColor="text1"/>
                <w:spacing w:val="-6"/>
                <w14:textFill>
                  <w14:solidFill>
                    <w14:schemeClr w14:val="tx1"/>
                  </w14:solidFill>
                </w14:textFill>
              </w:rPr>
              <w:t>E：87°41′42.44″</w:t>
            </w:r>
          </w:p>
          <w:p w14:paraId="6581F81C">
            <w:pPr>
              <w:pStyle w:val="109"/>
              <w:rPr>
                <w:color w:val="000000" w:themeColor="text1"/>
                <w14:textFill>
                  <w14:solidFill>
                    <w14:schemeClr w14:val="tx1"/>
                  </w14:solidFill>
                </w14:textFill>
              </w:rPr>
            </w:pPr>
            <w:r>
              <w:rPr>
                <w:color w:val="000000" w:themeColor="text1"/>
                <w:spacing w:val="-6"/>
                <w14:textFill>
                  <w14:solidFill>
                    <w14:schemeClr w14:val="tx1"/>
                  </w14:solidFill>
                </w14:textFill>
              </w:rPr>
              <w:t>N：44°08′24.41″</w:t>
            </w:r>
          </w:p>
        </w:tc>
      </w:tr>
      <w:tr w14:paraId="1E4744DB">
        <w:tblPrEx>
          <w:tblCellMar>
            <w:top w:w="15" w:type="dxa"/>
            <w:left w:w="15" w:type="dxa"/>
            <w:bottom w:w="15" w:type="dxa"/>
            <w:right w:w="15" w:type="dxa"/>
          </w:tblCellMar>
        </w:tblPrEx>
        <w:tc>
          <w:tcPr>
            <w:tcW w:w="4271" w:type="dxa"/>
            <w:gridSpan w:val="3"/>
            <w:tcBorders>
              <w:top w:val="single" w:color="000000" w:sz="4" w:space="0"/>
              <w:left w:val="single" w:color="000000" w:sz="4" w:space="0"/>
              <w:bottom w:val="single" w:color="000000" w:sz="4" w:space="0"/>
              <w:right w:val="single" w:color="auto" w:sz="4" w:space="0"/>
            </w:tcBorders>
            <w:vAlign w:val="center"/>
          </w:tcPr>
          <w:p w14:paraId="29C81AA1">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深度（cm）</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CB26AC0">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42</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63B646E7">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118</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62CAEF32">
            <w:pPr>
              <w:pStyle w:val="109"/>
              <w:rPr>
                <w:color w:val="000000" w:themeColor="text1"/>
                <w:lang w:bidi="ar"/>
                <w14:textFill>
                  <w14:solidFill>
                    <w14:schemeClr w14:val="tx1"/>
                  </w14:solidFill>
                </w14:textFill>
              </w:rPr>
            </w:pPr>
            <w:r>
              <w:rPr>
                <w:color w:val="000000" w:themeColor="text1"/>
                <w:lang w:bidi="ar"/>
                <w14:textFill>
                  <w14:solidFill>
                    <w14:schemeClr w14:val="tx1"/>
                  </w14:solidFill>
                </w14:textFill>
              </w:rPr>
              <w:t>184</w:t>
            </w:r>
          </w:p>
        </w:tc>
      </w:tr>
      <w:tr w14:paraId="5E18C1F0">
        <w:tblPrEx>
          <w:tblCellMar>
            <w:top w:w="15" w:type="dxa"/>
            <w:left w:w="15" w:type="dxa"/>
            <w:bottom w:w="15" w:type="dxa"/>
            <w:right w:w="15" w:type="dxa"/>
          </w:tblCellMar>
        </w:tblPrEx>
        <w:tc>
          <w:tcPr>
            <w:tcW w:w="9305" w:type="dxa"/>
            <w:gridSpan w:val="9"/>
            <w:tcBorders>
              <w:top w:val="single" w:color="auto" w:sz="4" w:space="0"/>
              <w:left w:val="single" w:color="auto" w:sz="4" w:space="0"/>
              <w:right w:val="single" w:color="auto" w:sz="4" w:space="0"/>
            </w:tcBorders>
            <w:vAlign w:val="center"/>
          </w:tcPr>
          <w:p w14:paraId="2F294A6B">
            <w:pPr>
              <w:pStyle w:val="109"/>
              <w:rPr>
                <w:color w:val="000000" w:themeColor="text1"/>
                <w:lang w:bidi="ar"/>
                <w14:textFill>
                  <w14:solidFill>
                    <w14:schemeClr w14:val="tx1"/>
                  </w14:solidFill>
                </w14:textFill>
              </w:rPr>
            </w:pPr>
            <w:r>
              <w:rPr>
                <w:color w:val="000000" w:themeColor="text1"/>
                <w14:textFill>
                  <w14:solidFill>
                    <w14:schemeClr w14:val="tx1"/>
                  </w14:solidFill>
                </w14:textFill>
              </w:rPr>
              <w:t>检测结果</w:t>
            </w:r>
          </w:p>
        </w:tc>
      </w:tr>
      <w:tr w14:paraId="6CA05860">
        <w:tblPrEx>
          <w:tblCellMar>
            <w:top w:w="15" w:type="dxa"/>
            <w:left w:w="15" w:type="dxa"/>
            <w:bottom w:w="15" w:type="dxa"/>
            <w:right w:w="15" w:type="dxa"/>
          </w:tblCellMar>
        </w:tblPrEx>
        <w:tc>
          <w:tcPr>
            <w:tcW w:w="2367" w:type="dxa"/>
            <w:gridSpan w:val="2"/>
            <w:vMerge w:val="restart"/>
            <w:tcBorders>
              <w:top w:val="single" w:color="auto" w:sz="4" w:space="0"/>
              <w:left w:val="single" w:color="auto" w:sz="4" w:space="0"/>
              <w:right w:val="single" w:color="auto" w:sz="4" w:space="0"/>
            </w:tcBorders>
            <w:vAlign w:val="center"/>
          </w:tcPr>
          <w:p w14:paraId="76D4F092">
            <w:pPr>
              <w:pStyle w:val="109"/>
              <w:rPr>
                <w:color w:val="000000" w:themeColor="text1"/>
                <w14:textFill>
                  <w14:solidFill>
                    <w14:schemeClr w14:val="tx1"/>
                  </w14:solidFill>
                </w14:textFill>
              </w:rPr>
            </w:pPr>
            <w:r>
              <w:rPr>
                <w:color w:val="000000" w:themeColor="text1"/>
                <w14:textFill>
                  <w14:solidFill>
                    <w14:schemeClr w14:val="tx1"/>
                  </w14:solidFill>
                </w14:textFill>
              </w:rPr>
              <w:t>现场记录</w:t>
            </w:r>
          </w:p>
        </w:tc>
        <w:tc>
          <w:tcPr>
            <w:tcW w:w="1904" w:type="dxa"/>
            <w:tcBorders>
              <w:top w:val="single" w:color="auto" w:sz="4" w:space="0"/>
              <w:left w:val="single" w:color="auto" w:sz="4" w:space="0"/>
              <w:bottom w:val="single" w:color="auto" w:sz="4" w:space="0"/>
              <w:right w:val="single" w:color="auto" w:sz="4" w:space="0"/>
            </w:tcBorders>
            <w:vAlign w:val="center"/>
          </w:tcPr>
          <w:p w14:paraId="621E0FD1">
            <w:pPr>
              <w:pStyle w:val="109"/>
              <w:rPr>
                <w:color w:val="000000" w:themeColor="text1"/>
                <w14:textFill>
                  <w14:solidFill>
                    <w14:schemeClr w14:val="tx1"/>
                  </w14:solidFill>
                </w14:textFill>
              </w:rPr>
            </w:pPr>
            <w:r>
              <w:rPr>
                <w:color w:val="000000" w:themeColor="text1"/>
                <w14:textFill>
                  <w14:solidFill>
                    <w14:schemeClr w14:val="tx1"/>
                  </w14:solidFill>
                </w14:textFill>
              </w:rPr>
              <w:t>颜色</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3651ABA7">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黄棕</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63300A1">
            <w:pPr>
              <w:pStyle w:val="109"/>
              <w:rPr>
                <w:color w:val="000000" w:themeColor="text1"/>
                <w:lang w:bidi="ar"/>
                <w14:textFill>
                  <w14:solidFill>
                    <w14:schemeClr w14:val="tx1"/>
                  </w14:solidFill>
                </w14:textFill>
              </w:rPr>
            </w:pPr>
            <w:r>
              <w:rPr>
                <w:color w:val="000000" w:themeColor="text1"/>
                <w:kern w:val="2"/>
                <w14:textFill>
                  <w14:solidFill>
                    <w14:schemeClr w14:val="tx1"/>
                  </w14:solidFill>
                </w14:textFill>
              </w:rPr>
              <w:t>黄棕</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1DAC0DF6">
            <w:pPr>
              <w:pStyle w:val="109"/>
              <w:rPr>
                <w:color w:val="000000" w:themeColor="text1"/>
                <w:lang w:bidi="ar"/>
                <w14:textFill>
                  <w14:solidFill>
                    <w14:schemeClr w14:val="tx1"/>
                  </w14:solidFill>
                </w14:textFill>
              </w:rPr>
            </w:pPr>
            <w:r>
              <w:rPr>
                <w:color w:val="000000" w:themeColor="text1"/>
                <w:kern w:val="2"/>
                <w14:textFill>
                  <w14:solidFill>
                    <w14:schemeClr w14:val="tx1"/>
                  </w14:solidFill>
                </w14:textFill>
              </w:rPr>
              <w:t>黄棕</w:t>
            </w:r>
          </w:p>
        </w:tc>
      </w:tr>
      <w:tr w14:paraId="466B5C4E">
        <w:tblPrEx>
          <w:tblCellMar>
            <w:top w:w="15" w:type="dxa"/>
            <w:left w:w="15" w:type="dxa"/>
            <w:bottom w:w="15" w:type="dxa"/>
            <w:right w:w="15" w:type="dxa"/>
          </w:tblCellMar>
        </w:tblPrEx>
        <w:tc>
          <w:tcPr>
            <w:tcW w:w="2367" w:type="dxa"/>
            <w:gridSpan w:val="2"/>
            <w:vMerge w:val="continue"/>
            <w:tcBorders>
              <w:left w:val="single" w:color="auto" w:sz="4" w:space="0"/>
              <w:right w:val="single" w:color="auto" w:sz="4" w:space="0"/>
            </w:tcBorders>
            <w:vAlign w:val="center"/>
          </w:tcPr>
          <w:p w14:paraId="5E6B5C0D">
            <w:pPr>
              <w:pStyle w:val="109"/>
              <w:rPr>
                <w:color w:val="000000" w:themeColor="text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57B73E41">
            <w:pPr>
              <w:pStyle w:val="109"/>
              <w:rPr>
                <w:color w:val="000000" w:themeColor="text1"/>
                <w14:textFill>
                  <w14:solidFill>
                    <w14:schemeClr w14:val="tx1"/>
                  </w14:solidFill>
                </w14:textFill>
              </w:rPr>
            </w:pPr>
            <w:r>
              <w:rPr>
                <w:color w:val="000000" w:themeColor="text1"/>
                <w14:textFill>
                  <w14:solidFill>
                    <w14:schemeClr w14:val="tx1"/>
                  </w14:solidFill>
                </w14:textFill>
              </w:rPr>
              <w:t>结构</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2BDC3428">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颗粒</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39C9B5A1">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颗粒</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0A49A5D4">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颗粒</w:t>
            </w:r>
          </w:p>
        </w:tc>
      </w:tr>
      <w:tr w14:paraId="6A389A5D">
        <w:tblPrEx>
          <w:tblCellMar>
            <w:top w:w="15" w:type="dxa"/>
            <w:left w:w="15" w:type="dxa"/>
            <w:bottom w:w="15" w:type="dxa"/>
            <w:right w:w="15" w:type="dxa"/>
          </w:tblCellMar>
        </w:tblPrEx>
        <w:tc>
          <w:tcPr>
            <w:tcW w:w="2367" w:type="dxa"/>
            <w:gridSpan w:val="2"/>
            <w:vMerge w:val="continue"/>
            <w:tcBorders>
              <w:left w:val="single" w:color="auto" w:sz="4" w:space="0"/>
              <w:right w:val="single" w:color="auto" w:sz="4" w:space="0"/>
            </w:tcBorders>
            <w:vAlign w:val="center"/>
          </w:tcPr>
          <w:p w14:paraId="1FC0EF35">
            <w:pPr>
              <w:pStyle w:val="109"/>
              <w:rPr>
                <w:color w:val="000000" w:themeColor="text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47A59A0C">
            <w:pPr>
              <w:pStyle w:val="109"/>
              <w:rPr>
                <w:color w:val="000000" w:themeColor="text1"/>
                <w14:textFill>
                  <w14:solidFill>
                    <w14:schemeClr w14:val="tx1"/>
                  </w14:solidFill>
                </w14:textFill>
              </w:rPr>
            </w:pPr>
            <w:r>
              <w:rPr>
                <w:color w:val="000000" w:themeColor="text1"/>
                <w14:textFill>
                  <w14:solidFill>
                    <w14:schemeClr w14:val="tx1"/>
                  </w14:solidFill>
                </w14:textFill>
              </w:rPr>
              <w:t>质地</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37139760">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砂土</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05A30FA0">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砂土</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5B9B271E">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砂土</w:t>
            </w:r>
          </w:p>
        </w:tc>
      </w:tr>
      <w:tr w14:paraId="360D2459">
        <w:tblPrEx>
          <w:tblCellMar>
            <w:top w:w="15" w:type="dxa"/>
            <w:left w:w="15" w:type="dxa"/>
            <w:bottom w:w="15" w:type="dxa"/>
            <w:right w:w="15" w:type="dxa"/>
          </w:tblCellMar>
        </w:tblPrEx>
        <w:tc>
          <w:tcPr>
            <w:tcW w:w="2367" w:type="dxa"/>
            <w:gridSpan w:val="2"/>
            <w:vMerge w:val="continue"/>
            <w:tcBorders>
              <w:left w:val="single" w:color="auto" w:sz="4" w:space="0"/>
              <w:right w:val="single" w:color="auto" w:sz="4" w:space="0"/>
            </w:tcBorders>
            <w:vAlign w:val="center"/>
          </w:tcPr>
          <w:p w14:paraId="1886D447">
            <w:pPr>
              <w:pStyle w:val="109"/>
              <w:rPr>
                <w:color w:val="000000" w:themeColor="text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078A7041">
            <w:pPr>
              <w:pStyle w:val="109"/>
              <w:rPr>
                <w:color w:val="000000" w:themeColor="text1"/>
                <w14:textFill>
                  <w14:solidFill>
                    <w14:schemeClr w14:val="tx1"/>
                  </w14:solidFill>
                </w14:textFill>
              </w:rPr>
            </w:pPr>
            <w:r>
              <w:rPr>
                <w:color w:val="000000" w:themeColor="text1"/>
                <w14:textFill>
                  <w14:solidFill>
                    <w14:schemeClr w14:val="tx1"/>
                  </w14:solidFill>
                </w14:textFill>
              </w:rPr>
              <w:t>砂砾含量（%）</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65011386">
            <w:pPr>
              <w:pStyle w:val="109"/>
              <w:rPr>
                <w:color w:val="000000" w:themeColor="text1"/>
                <w14:textFill>
                  <w14:solidFill>
                    <w14:schemeClr w14:val="tx1"/>
                  </w14:solidFill>
                </w14:textFill>
              </w:rPr>
            </w:pPr>
            <w:r>
              <w:rPr>
                <w:rFonts w:hint="eastAsia"/>
                <w:bCs/>
                <w:color w:val="000000" w:themeColor="text1"/>
                <w:kern w:val="2"/>
                <w:szCs w:val="21"/>
                <w14:textFill>
                  <w14:solidFill>
                    <w14:schemeClr w14:val="tx1"/>
                  </w14:solidFill>
                </w14:textFill>
              </w:rPr>
              <w:t>48</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556F86F">
            <w:pPr>
              <w:pStyle w:val="109"/>
              <w:rPr>
                <w:color w:val="000000" w:themeColor="text1"/>
                <w14:textFill>
                  <w14:solidFill>
                    <w14:schemeClr w14:val="tx1"/>
                  </w14:solidFill>
                </w14:textFill>
              </w:rPr>
            </w:pPr>
            <w:r>
              <w:rPr>
                <w:rFonts w:hint="eastAsia"/>
                <w:bCs/>
                <w:color w:val="000000" w:themeColor="text1"/>
                <w:kern w:val="2"/>
                <w:szCs w:val="21"/>
                <w14:textFill>
                  <w14:solidFill>
                    <w14:schemeClr w14:val="tx1"/>
                  </w14:solidFill>
                </w14:textFill>
              </w:rPr>
              <w:t>50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2485A4B9">
            <w:pPr>
              <w:pStyle w:val="109"/>
              <w:rPr>
                <w:color w:val="000000" w:themeColor="text1"/>
                <w14:textFill>
                  <w14:solidFill>
                    <w14:schemeClr w14:val="tx1"/>
                  </w14:solidFill>
                </w14:textFill>
              </w:rPr>
            </w:pPr>
            <w:r>
              <w:rPr>
                <w:rFonts w:hint="eastAsia"/>
                <w:bCs/>
                <w:color w:val="000000" w:themeColor="text1"/>
                <w:kern w:val="2"/>
                <w:szCs w:val="21"/>
                <w14:textFill>
                  <w14:solidFill>
                    <w14:schemeClr w14:val="tx1"/>
                  </w14:solidFill>
                </w14:textFill>
              </w:rPr>
              <w:t>50</w:t>
            </w:r>
          </w:p>
        </w:tc>
      </w:tr>
      <w:tr w14:paraId="2D2972BB">
        <w:tblPrEx>
          <w:tblCellMar>
            <w:top w:w="15" w:type="dxa"/>
            <w:left w:w="15" w:type="dxa"/>
            <w:bottom w:w="15" w:type="dxa"/>
            <w:right w:w="15" w:type="dxa"/>
          </w:tblCellMar>
        </w:tblPrEx>
        <w:tc>
          <w:tcPr>
            <w:tcW w:w="2367" w:type="dxa"/>
            <w:gridSpan w:val="2"/>
            <w:vMerge w:val="continue"/>
            <w:tcBorders>
              <w:left w:val="single" w:color="auto" w:sz="4" w:space="0"/>
              <w:right w:val="single" w:color="auto" w:sz="4" w:space="0"/>
            </w:tcBorders>
            <w:vAlign w:val="center"/>
          </w:tcPr>
          <w:p w14:paraId="31384DB0">
            <w:pPr>
              <w:pStyle w:val="109"/>
              <w:rPr>
                <w:color w:val="000000" w:themeColor="text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58092D3B">
            <w:pPr>
              <w:pStyle w:val="109"/>
              <w:rPr>
                <w:color w:val="000000" w:themeColor="text1"/>
                <w14:textFill>
                  <w14:solidFill>
                    <w14:schemeClr w14:val="tx1"/>
                  </w14:solidFill>
                </w14:textFill>
              </w:rPr>
            </w:pPr>
            <w:r>
              <w:rPr>
                <w:color w:val="000000" w:themeColor="text1"/>
                <w14:textFill>
                  <w14:solidFill>
                    <w14:schemeClr w14:val="tx1"/>
                  </w14:solidFill>
                </w14:textFill>
              </w:rPr>
              <w:t>其他异物</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319178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24A8BA3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7FC828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21C87BBE">
        <w:tblPrEx>
          <w:tblCellMar>
            <w:top w:w="15" w:type="dxa"/>
            <w:left w:w="15" w:type="dxa"/>
            <w:bottom w:w="15" w:type="dxa"/>
            <w:right w:w="15" w:type="dxa"/>
          </w:tblCellMar>
        </w:tblPrEx>
        <w:tc>
          <w:tcPr>
            <w:tcW w:w="2367" w:type="dxa"/>
            <w:gridSpan w:val="2"/>
            <w:vMerge w:val="continue"/>
            <w:tcBorders>
              <w:left w:val="single" w:color="auto" w:sz="4" w:space="0"/>
              <w:bottom w:val="single" w:color="auto" w:sz="4" w:space="0"/>
              <w:right w:val="single" w:color="auto" w:sz="4" w:space="0"/>
            </w:tcBorders>
            <w:vAlign w:val="center"/>
          </w:tcPr>
          <w:p w14:paraId="2A232E33">
            <w:pPr>
              <w:pStyle w:val="109"/>
              <w:rPr>
                <w:color w:val="000000" w:themeColor="text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22B03232">
            <w:pPr>
              <w:pStyle w:val="109"/>
              <w:rPr>
                <w:color w:val="000000" w:themeColor="text1"/>
                <w14:textFill>
                  <w14:solidFill>
                    <w14:schemeClr w14:val="tx1"/>
                  </w14:solidFill>
                </w14:textFill>
              </w:rPr>
            </w:pPr>
            <w:r>
              <w:rPr>
                <w:color w:val="000000" w:themeColor="text1"/>
                <w14:textFill>
                  <w14:solidFill>
                    <w14:schemeClr w14:val="tx1"/>
                  </w14:solidFill>
                </w14:textFill>
              </w:rPr>
              <w:t>氧化还原电位(mv)</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5C826F92">
            <w:pPr>
              <w:pStyle w:val="109"/>
              <w:rPr>
                <w:color w:val="000000" w:themeColor="text1"/>
                <w14:textFill>
                  <w14:solidFill>
                    <w14:schemeClr w14:val="tx1"/>
                  </w14:solidFill>
                </w14:textFill>
              </w:rPr>
            </w:pPr>
            <w:r>
              <w:rPr>
                <w:color w:val="000000" w:themeColor="text1"/>
                <w14:textFill>
                  <w14:solidFill>
                    <w14:schemeClr w14:val="tx1"/>
                  </w14:solidFill>
                </w14:textFill>
              </w:rPr>
              <w:t>489</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12FF11DA">
            <w:pPr>
              <w:pStyle w:val="109"/>
              <w:rPr>
                <w:color w:val="000000" w:themeColor="text1"/>
                <w14:textFill>
                  <w14:solidFill>
                    <w14:schemeClr w14:val="tx1"/>
                  </w14:solidFill>
                </w14:textFill>
              </w:rPr>
            </w:pPr>
            <w:r>
              <w:rPr>
                <w:color w:val="000000" w:themeColor="text1"/>
                <w14:textFill>
                  <w14:solidFill>
                    <w14:schemeClr w14:val="tx1"/>
                  </w14:solidFill>
                </w14:textFill>
              </w:rPr>
              <w:t>517</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5E5C9B8E">
            <w:pPr>
              <w:pStyle w:val="109"/>
              <w:rPr>
                <w:color w:val="000000" w:themeColor="text1"/>
                <w14:textFill>
                  <w14:solidFill>
                    <w14:schemeClr w14:val="tx1"/>
                  </w14:solidFill>
                </w14:textFill>
              </w:rPr>
            </w:pPr>
            <w:r>
              <w:rPr>
                <w:color w:val="000000" w:themeColor="text1"/>
                <w14:textFill>
                  <w14:solidFill>
                    <w14:schemeClr w14:val="tx1"/>
                  </w14:solidFill>
                </w14:textFill>
              </w:rPr>
              <w:t>533</w:t>
            </w:r>
          </w:p>
        </w:tc>
      </w:tr>
      <w:tr w14:paraId="319CEA37">
        <w:tblPrEx>
          <w:tblCellMar>
            <w:top w:w="15" w:type="dxa"/>
            <w:left w:w="15" w:type="dxa"/>
            <w:bottom w:w="15" w:type="dxa"/>
            <w:right w:w="15" w:type="dxa"/>
          </w:tblCellMar>
        </w:tblPrEx>
        <w:tc>
          <w:tcPr>
            <w:tcW w:w="2367" w:type="dxa"/>
            <w:gridSpan w:val="2"/>
            <w:vMerge w:val="restart"/>
            <w:tcBorders>
              <w:top w:val="single" w:color="auto" w:sz="4" w:space="0"/>
              <w:left w:val="single" w:color="auto" w:sz="4" w:space="0"/>
              <w:right w:val="single" w:color="auto" w:sz="4" w:space="0"/>
            </w:tcBorders>
            <w:vAlign w:val="center"/>
          </w:tcPr>
          <w:p w14:paraId="233FE3BE">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实验室测定</w:t>
            </w:r>
          </w:p>
        </w:tc>
        <w:tc>
          <w:tcPr>
            <w:tcW w:w="1904" w:type="dxa"/>
            <w:tcBorders>
              <w:top w:val="single" w:color="auto" w:sz="4" w:space="0"/>
              <w:left w:val="single" w:color="auto" w:sz="4" w:space="0"/>
              <w:bottom w:val="single" w:color="auto" w:sz="4" w:space="0"/>
              <w:right w:val="single" w:color="auto" w:sz="4" w:space="0"/>
            </w:tcBorders>
            <w:vAlign w:val="center"/>
          </w:tcPr>
          <w:p w14:paraId="6510C0F2">
            <w:pPr>
              <w:pStyle w:val="109"/>
              <w:rPr>
                <w:color w:val="000000" w:themeColor="text1"/>
                <w14:textFill>
                  <w14:solidFill>
                    <w14:schemeClr w14:val="tx1"/>
                  </w14:solidFill>
                </w14:textFill>
              </w:rPr>
            </w:pPr>
            <w:r>
              <w:rPr>
                <w:color w:val="000000" w:themeColor="text1"/>
                <w14:textFill>
                  <w14:solidFill>
                    <w14:schemeClr w14:val="tx1"/>
                  </w14:solidFill>
                </w14:textFill>
              </w:rPr>
              <w:t>pH（无量纲）</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4EC6E459">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8.10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3F32FB68">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7.98</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21E38CCA">
            <w:pPr>
              <w:pStyle w:val="109"/>
              <w:rPr>
                <w:color w:val="000000" w:themeColor="text1"/>
                <w14:textFill>
                  <w14:solidFill>
                    <w14:schemeClr w14:val="tx1"/>
                  </w14:solidFill>
                </w14:textFill>
              </w:rPr>
            </w:pPr>
            <w:r>
              <w:rPr>
                <w:color w:val="000000" w:themeColor="text1"/>
                <w:kern w:val="2"/>
                <w14:textFill>
                  <w14:solidFill>
                    <w14:schemeClr w14:val="tx1"/>
                  </w14:solidFill>
                </w14:textFill>
              </w:rPr>
              <w:t>7.80</w:t>
            </w:r>
          </w:p>
        </w:tc>
      </w:tr>
      <w:tr w14:paraId="1C7F098E">
        <w:tblPrEx>
          <w:tblCellMar>
            <w:top w:w="15" w:type="dxa"/>
            <w:left w:w="15" w:type="dxa"/>
            <w:bottom w:w="15" w:type="dxa"/>
            <w:right w:w="15" w:type="dxa"/>
          </w:tblCellMar>
        </w:tblPrEx>
        <w:tc>
          <w:tcPr>
            <w:tcW w:w="2367" w:type="dxa"/>
            <w:gridSpan w:val="2"/>
            <w:vMerge w:val="continue"/>
            <w:tcBorders>
              <w:left w:val="single" w:color="auto" w:sz="4" w:space="0"/>
              <w:right w:val="single" w:color="auto" w:sz="4" w:space="0"/>
            </w:tcBorders>
            <w:vAlign w:val="center"/>
          </w:tcPr>
          <w:p w14:paraId="6BD208BC">
            <w:pPr>
              <w:pStyle w:val="109"/>
              <w:rPr>
                <w:color w:val="000000" w:themeColor="text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73A5FC72">
            <w:pPr>
              <w:pStyle w:val="109"/>
              <w:rPr>
                <w:color w:val="000000" w:themeColor="text1"/>
                <w14:textFill>
                  <w14:solidFill>
                    <w14:schemeClr w14:val="tx1"/>
                  </w14:solidFill>
                </w14:textFill>
              </w:rPr>
            </w:pPr>
            <w:r>
              <w:rPr>
                <w:color w:val="000000" w:themeColor="text1"/>
                <w14:textFill>
                  <w14:solidFill>
                    <w14:schemeClr w14:val="tx1"/>
                  </w14:solidFill>
                </w14:textFill>
              </w:rPr>
              <w:t>阳离子交换量</w:t>
            </w:r>
          </w:p>
          <w:p w14:paraId="41D28DD6">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color w:val="000000" w:themeColor="text1"/>
                <w:kern w:val="2"/>
                <w:lang w:bidi="ar"/>
                <w14:textFill>
                  <w14:solidFill>
                    <w14:schemeClr w14:val="tx1"/>
                  </w14:solidFill>
                </w14:textFill>
              </w:rPr>
              <w:t>cmol</w:t>
            </w:r>
            <w:r>
              <w:rPr>
                <w:color w:val="000000" w:themeColor="text1"/>
                <w:kern w:val="2"/>
                <w:vertAlign w:val="superscript"/>
                <w:lang w:bidi="ar"/>
                <w14:textFill>
                  <w14:solidFill>
                    <w14:schemeClr w14:val="tx1"/>
                  </w14:solidFill>
                </w14:textFill>
              </w:rPr>
              <w:t>＋</w:t>
            </w:r>
            <w:r>
              <w:rPr>
                <w:color w:val="000000" w:themeColor="text1"/>
                <w:kern w:val="2"/>
                <w:lang w:bidi="ar"/>
                <w14:textFill>
                  <w14:solidFill>
                    <w14:schemeClr w14:val="tx1"/>
                  </w14:solidFill>
                </w14:textFill>
              </w:rPr>
              <w:t>/kg</w:t>
            </w:r>
            <w:r>
              <w:rPr>
                <w:color w:val="000000" w:themeColor="text1"/>
                <w14:textFill>
                  <w14:solidFill>
                    <w14:schemeClr w14:val="tx1"/>
                  </w14:solidFill>
                </w14:textFill>
              </w:rPr>
              <w:t>）</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45981E4A">
            <w:pPr>
              <w:pStyle w:val="109"/>
              <w:rPr>
                <w:color w:val="000000" w:themeColor="text1"/>
                <w14:textFill>
                  <w14:solidFill>
                    <w14:schemeClr w14:val="tx1"/>
                  </w14:solidFill>
                </w14:textFill>
              </w:rPr>
            </w:pPr>
            <w:r>
              <w:rPr>
                <w:color w:val="000000" w:themeColor="text1"/>
                <w14:textFill>
                  <w14:solidFill>
                    <w14:schemeClr w14:val="tx1"/>
                  </w14:solidFill>
                </w14:textFill>
              </w:rPr>
              <w:t>11.2</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7CEC4A9">
            <w:pPr>
              <w:pStyle w:val="109"/>
              <w:rPr>
                <w:color w:val="000000" w:themeColor="text1"/>
                <w14:textFill>
                  <w14:solidFill>
                    <w14:schemeClr w14:val="tx1"/>
                  </w14:solidFill>
                </w14:textFill>
              </w:rPr>
            </w:pPr>
            <w:r>
              <w:rPr>
                <w:color w:val="000000" w:themeColor="text1"/>
                <w14:textFill>
                  <w14:solidFill>
                    <w14:schemeClr w14:val="tx1"/>
                  </w14:solidFill>
                </w14:textFill>
              </w:rPr>
              <w:t>10.4</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525B880C">
            <w:pPr>
              <w:pStyle w:val="109"/>
              <w:rPr>
                <w:color w:val="000000" w:themeColor="text1"/>
                <w14:textFill>
                  <w14:solidFill>
                    <w14:schemeClr w14:val="tx1"/>
                  </w14:solidFill>
                </w14:textFill>
              </w:rPr>
            </w:pPr>
            <w:r>
              <w:rPr>
                <w:color w:val="000000" w:themeColor="text1"/>
                <w14:textFill>
                  <w14:solidFill>
                    <w14:schemeClr w14:val="tx1"/>
                  </w14:solidFill>
                </w14:textFill>
              </w:rPr>
              <w:t>9.5</w:t>
            </w:r>
          </w:p>
        </w:tc>
      </w:tr>
      <w:tr w14:paraId="65403185">
        <w:tblPrEx>
          <w:tblCellMar>
            <w:top w:w="15" w:type="dxa"/>
            <w:left w:w="15" w:type="dxa"/>
            <w:bottom w:w="15" w:type="dxa"/>
            <w:right w:w="15" w:type="dxa"/>
          </w:tblCellMar>
        </w:tblPrEx>
        <w:tc>
          <w:tcPr>
            <w:tcW w:w="2367" w:type="dxa"/>
            <w:gridSpan w:val="2"/>
            <w:vMerge w:val="continue"/>
            <w:tcBorders>
              <w:left w:val="single" w:color="auto" w:sz="4" w:space="0"/>
              <w:right w:val="single" w:color="auto" w:sz="4" w:space="0"/>
            </w:tcBorders>
            <w:vAlign w:val="center"/>
          </w:tcPr>
          <w:p w14:paraId="509E5437">
            <w:pPr>
              <w:pStyle w:val="109"/>
              <w:rPr>
                <w:color w:val="000000" w:themeColor="text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6511B4B2">
            <w:pPr>
              <w:pStyle w:val="109"/>
              <w:rPr>
                <w:color w:val="000000" w:themeColor="text1"/>
                <w14:textFill>
                  <w14:solidFill>
                    <w14:schemeClr w14:val="tx1"/>
                  </w14:solidFill>
                </w14:textFill>
              </w:rPr>
            </w:pPr>
            <w:r>
              <w:rPr>
                <w:color w:val="000000" w:themeColor="text1"/>
                <w14:textFill>
                  <w14:solidFill>
                    <w14:schemeClr w14:val="tx1"/>
                  </w14:solidFill>
                </w14:textFill>
              </w:rPr>
              <w:t>渗滤率(mm/min)</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34DEE06">
            <w:pPr>
              <w:pStyle w:val="109"/>
              <w:rPr>
                <w:color w:val="000000" w:themeColor="text1"/>
                <w14:textFill>
                  <w14:solidFill>
                    <w14:schemeClr w14:val="tx1"/>
                  </w14:solidFill>
                </w14:textFill>
              </w:rPr>
            </w:pPr>
            <w:r>
              <w:rPr>
                <w:color w:val="000000" w:themeColor="text1"/>
                <w14:textFill>
                  <w14:solidFill>
                    <w14:schemeClr w14:val="tx1"/>
                  </w14:solidFill>
                </w14:textFill>
              </w:rPr>
              <w:t>0.467</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0FB14276">
            <w:pPr>
              <w:pStyle w:val="109"/>
              <w:rPr>
                <w:color w:val="000000" w:themeColor="text1"/>
                <w14:textFill>
                  <w14:solidFill>
                    <w14:schemeClr w14:val="tx1"/>
                  </w14:solidFill>
                </w14:textFill>
              </w:rPr>
            </w:pPr>
            <w:r>
              <w:rPr>
                <w:color w:val="000000" w:themeColor="text1"/>
                <w14:textFill>
                  <w14:solidFill>
                    <w14:schemeClr w14:val="tx1"/>
                  </w14:solidFill>
                </w14:textFill>
              </w:rPr>
              <w:t>0.440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1E4F5A19">
            <w:pPr>
              <w:pStyle w:val="109"/>
              <w:rPr>
                <w:color w:val="000000" w:themeColor="text1"/>
                <w14:textFill>
                  <w14:solidFill>
                    <w14:schemeClr w14:val="tx1"/>
                  </w14:solidFill>
                </w14:textFill>
              </w:rPr>
            </w:pPr>
            <w:r>
              <w:rPr>
                <w:color w:val="000000" w:themeColor="text1"/>
                <w14:textFill>
                  <w14:solidFill>
                    <w14:schemeClr w14:val="tx1"/>
                  </w14:solidFill>
                </w14:textFill>
              </w:rPr>
              <w:t>0.445</w:t>
            </w:r>
          </w:p>
        </w:tc>
      </w:tr>
      <w:tr w14:paraId="4C1BA4EE">
        <w:tblPrEx>
          <w:tblCellMar>
            <w:top w:w="15" w:type="dxa"/>
            <w:left w:w="15" w:type="dxa"/>
            <w:bottom w:w="15" w:type="dxa"/>
            <w:right w:w="15" w:type="dxa"/>
          </w:tblCellMar>
        </w:tblPrEx>
        <w:tc>
          <w:tcPr>
            <w:tcW w:w="2367" w:type="dxa"/>
            <w:gridSpan w:val="2"/>
            <w:vMerge w:val="continue"/>
            <w:tcBorders>
              <w:left w:val="single" w:color="auto" w:sz="4" w:space="0"/>
              <w:right w:val="single" w:color="auto" w:sz="4" w:space="0"/>
            </w:tcBorders>
            <w:vAlign w:val="center"/>
          </w:tcPr>
          <w:p w14:paraId="6AB89D3F">
            <w:pPr>
              <w:pStyle w:val="109"/>
              <w:rPr>
                <w:color w:val="000000" w:themeColor="text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4775633C">
            <w:pPr>
              <w:pStyle w:val="109"/>
              <w:rPr>
                <w:color w:val="000000" w:themeColor="text1"/>
                <w14:textFill>
                  <w14:solidFill>
                    <w14:schemeClr w14:val="tx1"/>
                  </w14:solidFill>
                </w14:textFill>
              </w:rPr>
            </w:pPr>
            <w:r>
              <w:rPr>
                <w:color w:val="000000" w:themeColor="text1"/>
                <w14:textFill>
                  <w14:solidFill>
                    <w14:schemeClr w14:val="tx1"/>
                  </w14:solidFill>
                </w14:textFill>
              </w:rPr>
              <w:t>土壤容重(g/cm³)</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7D6CDD78">
            <w:pPr>
              <w:pStyle w:val="109"/>
              <w:rPr>
                <w:color w:val="000000" w:themeColor="text1"/>
                <w14:textFill>
                  <w14:solidFill>
                    <w14:schemeClr w14:val="tx1"/>
                  </w14:solidFill>
                </w14:textFill>
              </w:rPr>
            </w:pPr>
            <w:r>
              <w:rPr>
                <w:color w:val="000000" w:themeColor="text1"/>
                <w14:textFill>
                  <w14:solidFill>
                    <w14:schemeClr w14:val="tx1"/>
                  </w14:solidFill>
                </w14:textFill>
              </w:rPr>
              <w:t>1.25</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54793B47">
            <w:pPr>
              <w:pStyle w:val="109"/>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49E40835">
            <w:pPr>
              <w:pStyle w:val="109"/>
              <w:rPr>
                <w:color w:val="000000" w:themeColor="text1"/>
                <w14:textFill>
                  <w14:solidFill>
                    <w14:schemeClr w14:val="tx1"/>
                  </w14:solidFill>
                </w14:textFill>
              </w:rPr>
            </w:pPr>
            <w:r>
              <w:rPr>
                <w:color w:val="000000" w:themeColor="text1"/>
                <w14:textFill>
                  <w14:solidFill>
                    <w14:schemeClr w14:val="tx1"/>
                  </w14:solidFill>
                </w14:textFill>
              </w:rPr>
              <w:t>1.34</w:t>
            </w:r>
          </w:p>
        </w:tc>
      </w:tr>
      <w:tr w14:paraId="69312865">
        <w:tblPrEx>
          <w:tblCellMar>
            <w:top w:w="15" w:type="dxa"/>
            <w:left w:w="15" w:type="dxa"/>
            <w:bottom w:w="15" w:type="dxa"/>
            <w:right w:w="15" w:type="dxa"/>
          </w:tblCellMar>
        </w:tblPrEx>
        <w:tc>
          <w:tcPr>
            <w:tcW w:w="2367" w:type="dxa"/>
            <w:gridSpan w:val="2"/>
            <w:vMerge w:val="continue"/>
            <w:tcBorders>
              <w:left w:val="single" w:color="auto" w:sz="4" w:space="0"/>
              <w:bottom w:val="single" w:color="auto" w:sz="4" w:space="0"/>
              <w:right w:val="single" w:color="auto" w:sz="4" w:space="0"/>
            </w:tcBorders>
            <w:vAlign w:val="center"/>
          </w:tcPr>
          <w:p w14:paraId="5B9329D5">
            <w:pPr>
              <w:pStyle w:val="109"/>
              <w:rPr>
                <w:color w:val="000000" w:themeColor="text1"/>
                <w14:textFill>
                  <w14:solidFill>
                    <w14:schemeClr w14:val="tx1"/>
                  </w14:solidFill>
                </w14:textFill>
              </w:rPr>
            </w:pPr>
          </w:p>
        </w:tc>
        <w:tc>
          <w:tcPr>
            <w:tcW w:w="1904" w:type="dxa"/>
            <w:tcBorders>
              <w:top w:val="single" w:color="auto" w:sz="4" w:space="0"/>
              <w:left w:val="single" w:color="auto" w:sz="4" w:space="0"/>
              <w:bottom w:val="single" w:color="auto" w:sz="4" w:space="0"/>
              <w:right w:val="single" w:color="auto" w:sz="4" w:space="0"/>
            </w:tcBorders>
            <w:vAlign w:val="center"/>
          </w:tcPr>
          <w:p w14:paraId="37B8B562">
            <w:pPr>
              <w:pStyle w:val="109"/>
              <w:rPr>
                <w:color w:val="000000" w:themeColor="text1"/>
                <w14:textFill>
                  <w14:solidFill>
                    <w14:schemeClr w14:val="tx1"/>
                  </w14:solidFill>
                </w14:textFill>
              </w:rPr>
            </w:pPr>
            <w:r>
              <w:rPr>
                <w:color w:val="000000" w:themeColor="text1"/>
                <w14:textFill>
                  <w14:solidFill>
                    <w14:schemeClr w14:val="tx1"/>
                  </w14:solidFill>
                </w14:textFill>
              </w:rPr>
              <w:t>总孔隙度(%)</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441344BF">
            <w:pPr>
              <w:pStyle w:val="109"/>
              <w:rPr>
                <w:color w:val="000000" w:themeColor="text1"/>
                <w14:textFill>
                  <w14:solidFill>
                    <w14:schemeClr w14:val="tx1"/>
                  </w14:solidFill>
                </w14:textFill>
              </w:rPr>
            </w:pPr>
            <w:r>
              <w:rPr>
                <w:color w:val="000000" w:themeColor="text1"/>
                <w14:textFill>
                  <w14:solidFill>
                    <w14:schemeClr w14:val="tx1"/>
                  </w14:solidFill>
                </w14:textFill>
              </w:rPr>
              <w:t>33.6</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32412C8D">
            <w:pPr>
              <w:pStyle w:val="109"/>
              <w:rPr>
                <w:color w:val="000000" w:themeColor="text1"/>
                <w14:textFill>
                  <w14:solidFill>
                    <w14:schemeClr w14:val="tx1"/>
                  </w14:solidFill>
                </w14:textFill>
              </w:rPr>
            </w:pPr>
            <w:r>
              <w:rPr>
                <w:color w:val="000000" w:themeColor="text1"/>
                <w14:textFill>
                  <w14:solidFill>
                    <w14:schemeClr w14:val="tx1"/>
                  </w14:solidFill>
                </w14:textFill>
              </w:rPr>
              <w:t>33.1</w:t>
            </w:r>
          </w:p>
        </w:tc>
        <w:tc>
          <w:tcPr>
            <w:tcW w:w="1678" w:type="dxa"/>
            <w:gridSpan w:val="2"/>
            <w:tcBorders>
              <w:top w:val="single" w:color="auto" w:sz="4" w:space="0"/>
              <w:left w:val="single" w:color="auto" w:sz="4" w:space="0"/>
              <w:bottom w:val="single" w:color="auto" w:sz="4" w:space="0"/>
              <w:right w:val="single" w:color="auto" w:sz="4" w:space="0"/>
            </w:tcBorders>
            <w:vAlign w:val="center"/>
          </w:tcPr>
          <w:p w14:paraId="0956FCE9">
            <w:pPr>
              <w:pStyle w:val="109"/>
              <w:rPr>
                <w:color w:val="000000" w:themeColor="text1"/>
                <w14:textFill>
                  <w14:solidFill>
                    <w14:schemeClr w14:val="tx1"/>
                  </w14:solidFill>
                </w14:textFill>
              </w:rPr>
            </w:pPr>
            <w:r>
              <w:rPr>
                <w:color w:val="000000" w:themeColor="text1"/>
                <w14:textFill>
                  <w14:solidFill>
                    <w14:schemeClr w14:val="tx1"/>
                  </w14:solidFill>
                </w14:textFill>
              </w:rPr>
              <w:t>32.8</w:t>
            </w:r>
          </w:p>
        </w:tc>
      </w:tr>
    </w:tbl>
    <w:p w14:paraId="2989B2E9">
      <w:pPr>
        <w:ind w:firstLine="480"/>
        <w:rPr>
          <w:color w:val="000000" w:themeColor="text1"/>
          <w14:textFill>
            <w14:solidFill>
              <w14:schemeClr w14:val="tx1"/>
            </w14:solidFill>
          </w14:textFill>
        </w:rPr>
      </w:pPr>
      <w:r>
        <w:rPr>
          <w:color w:val="000000" w:themeColor="text1"/>
          <w14:textFill>
            <w14:solidFill>
              <w14:schemeClr w14:val="tx1"/>
            </w14:solidFill>
          </w14:textFill>
        </w:rPr>
        <w:t>根据监测结果可知，项目所在地土壤中污染物的含量低于《土壤环境质量建设用地土壤污染风险管控标准（试行）》（GB36600-2018）表1风险筛选值。</w:t>
      </w:r>
    </w:p>
    <w:bookmarkEnd w:id="397"/>
    <w:bookmarkEnd w:id="398"/>
    <w:bookmarkEnd w:id="399"/>
    <w:bookmarkEnd w:id="400"/>
    <w:bookmarkEnd w:id="401"/>
    <w:p w14:paraId="22A16173">
      <w:pPr>
        <w:ind w:firstLine="480"/>
        <w:rPr>
          <w:color w:val="000000" w:themeColor="text1"/>
          <w:szCs w:val="2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24243339">
      <w:pPr>
        <w:pStyle w:val="2"/>
        <w:rPr>
          <w:rFonts w:ascii="Times New Roman" w:cs="Times New Roman"/>
          <w:color w:val="000000" w:themeColor="text1"/>
          <w14:textFill>
            <w14:solidFill>
              <w14:schemeClr w14:val="tx1"/>
            </w14:solidFill>
          </w14:textFill>
        </w:rPr>
      </w:pPr>
      <w:bookmarkStart w:id="404" w:name="_Toc225268315"/>
      <w:r>
        <w:rPr>
          <w:rFonts w:ascii="Times New Roman" w:cs="Times New Roman"/>
          <w:color w:val="000000" w:themeColor="text1"/>
          <w14:textFill>
            <w14:solidFill>
              <w14:schemeClr w14:val="tx1"/>
            </w14:solidFill>
          </w14:textFill>
        </w:rPr>
        <w:t>环境影响预测评价</w:t>
      </w:r>
      <w:bookmarkEnd w:id="404"/>
    </w:p>
    <w:p w14:paraId="14FA802F">
      <w:pPr>
        <w:pStyle w:val="3"/>
        <w:rPr>
          <w:rFonts w:ascii="Times New Roman" w:cs="Times New Roman"/>
          <w:color w:val="000000" w:themeColor="text1"/>
          <w:lang w:val="zh-CN"/>
          <w14:textFill>
            <w14:solidFill>
              <w14:schemeClr w14:val="tx1"/>
            </w14:solidFill>
          </w14:textFill>
        </w:rPr>
      </w:pPr>
      <w:bookmarkStart w:id="405" w:name="_Toc225268316"/>
      <w:bookmarkStart w:id="406" w:name="_Toc471318421"/>
      <w:bookmarkStart w:id="407" w:name="_Toc471717873"/>
      <w:bookmarkStart w:id="408" w:name="_Toc471318547"/>
      <w:bookmarkStart w:id="409" w:name="_Toc471319207"/>
      <w:bookmarkStart w:id="410" w:name="_Toc514942762"/>
      <w:bookmarkStart w:id="411" w:name="_Toc471318816"/>
      <w:bookmarkStart w:id="412" w:name="_Toc471321087"/>
      <w:r>
        <w:rPr>
          <w:rFonts w:ascii="Times New Roman" w:cs="Times New Roman"/>
          <w:color w:val="000000" w:themeColor="text1"/>
          <w:lang w:val="zh-CN"/>
          <w14:textFill>
            <w14:solidFill>
              <w14:schemeClr w14:val="tx1"/>
            </w14:solidFill>
          </w14:textFill>
        </w:rPr>
        <w:t>施工期环境影响分析</w:t>
      </w:r>
      <w:bookmarkEnd w:id="405"/>
    </w:p>
    <w:p w14:paraId="691444EB">
      <w:pPr>
        <w:pStyle w:val="245"/>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由工程分析可知，本项目的施工期的主要活动包括车间的建设、设备安装调试等施工内容。</w:t>
      </w:r>
    </w:p>
    <w:p w14:paraId="49A4CDE7">
      <w:pPr>
        <w:pStyle w:val="245"/>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本项目在建设施工过程中，可能对环境造成影响的主要因素包括：施工机械噪声、场地平整和交通运输过程中的扬尘、施工过程中形成的固体废物和施工人员生活污水等。</w:t>
      </w:r>
    </w:p>
    <w:p w14:paraId="527BEB49">
      <w:pPr>
        <w:ind w:firstLine="480"/>
        <w:rPr>
          <w:color w:val="000000" w:themeColor="text1"/>
          <w14:textFill>
            <w14:solidFill>
              <w14:schemeClr w14:val="tx1"/>
            </w14:solidFill>
          </w14:textFill>
        </w:rPr>
      </w:pPr>
      <w:r>
        <w:rPr>
          <w:color w:val="000000" w:themeColor="text1"/>
          <w14:textFill>
            <w14:solidFill>
              <w14:schemeClr w14:val="tx1"/>
            </w14:solidFill>
          </w14:textFill>
        </w:rPr>
        <w:t>根据项目施工内容特点、污染类型及环境影响程度，确定本项目建设施工期间主要环境污染特征见下表。</w:t>
      </w:r>
    </w:p>
    <w:p w14:paraId="76FE3D9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建设施工期环境污染特征</w:t>
      </w:r>
    </w:p>
    <w:tbl>
      <w:tblPr>
        <w:tblStyle w:val="76"/>
        <w:tblW w:w="493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056"/>
        <w:gridCol w:w="2208"/>
        <w:gridCol w:w="1882"/>
        <w:gridCol w:w="2516"/>
        <w:gridCol w:w="1635"/>
      </w:tblGrid>
      <w:tr w14:paraId="68EE7B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7" w:hRule="atLeast"/>
          <w:jc w:val="center"/>
        </w:trPr>
        <w:tc>
          <w:tcPr>
            <w:tcW w:w="568" w:type="pct"/>
            <w:vAlign w:val="center"/>
          </w:tcPr>
          <w:p w14:paraId="128D9D2E">
            <w:pPr>
              <w:pStyle w:val="109"/>
              <w:rPr>
                <w:color w:val="000000" w:themeColor="text1"/>
                <w14:textFill>
                  <w14:solidFill>
                    <w14:schemeClr w14:val="tx1"/>
                  </w14:solidFill>
                </w14:textFill>
              </w:rPr>
            </w:pPr>
            <w:r>
              <w:rPr>
                <w:color w:val="000000" w:themeColor="text1"/>
                <w14:textFill>
                  <w14:solidFill>
                    <w14:schemeClr w14:val="tx1"/>
                  </w14:solidFill>
                </w14:textFill>
              </w:rPr>
              <w:t>影响分类</w:t>
            </w:r>
          </w:p>
        </w:tc>
        <w:tc>
          <w:tcPr>
            <w:tcW w:w="1187" w:type="pct"/>
            <w:vAlign w:val="center"/>
          </w:tcPr>
          <w:p w14:paraId="5DD3A096">
            <w:pPr>
              <w:pStyle w:val="109"/>
              <w:rPr>
                <w:color w:val="000000" w:themeColor="text1"/>
                <w14:textFill>
                  <w14:solidFill>
                    <w14:schemeClr w14:val="tx1"/>
                  </w14:solidFill>
                </w14:textFill>
              </w:rPr>
            </w:pPr>
            <w:r>
              <w:rPr>
                <w:color w:val="000000" w:themeColor="text1"/>
                <w14:textFill>
                  <w14:solidFill>
                    <w14:schemeClr w14:val="tx1"/>
                  </w14:solidFill>
                </w14:textFill>
              </w:rPr>
              <w:t>影响来源</w:t>
            </w:r>
          </w:p>
        </w:tc>
        <w:tc>
          <w:tcPr>
            <w:tcW w:w="1012" w:type="pct"/>
            <w:vAlign w:val="center"/>
          </w:tcPr>
          <w:p w14:paraId="1AC48126">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353" w:type="pct"/>
            <w:vAlign w:val="center"/>
          </w:tcPr>
          <w:p w14:paraId="7F9B3C6F">
            <w:pPr>
              <w:pStyle w:val="109"/>
              <w:rPr>
                <w:color w:val="000000" w:themeColor="text1"/>
                <w14:textFill>
                  <w14:solidFill>
                    <w14:schemeClr w14:val="tx1"/>
                  </w14:solidFill>
                </w14:textFill>
              </w:rPr>
            </w:pPr>
            <w:r>
              <w:rPr>
                <w:color w:val="000000" w:themeColor="text1"/>
                <w14:textFill>
                  <w14:solidFill>
                    <w14:schemeClr w14:val="tx1"/>
                  </w14:solidFill>
                </w14:textFill>
              </w:rPr>
              <w:t>影响范围</w:t>
            </w:r>
          </w:p>
        </w:tc>
        <w:tc>
          <w:tcPr>
            <w:tcW w:w="879" w:type="pct"/>
            <w:vAlign w:val="center"/>
          </w:tcPr>
          <w:p w14:paraId="016A5FEB">
            <w:pPr>
              <w:pStyle w:val="109"/>
              <w:rPr>
                <w:color w:val="000000" w:themeColor="text1"/>
                <w14:textFill>
                  <w14:solidFill>
                    <w14:schemeClr w14:val="tx1"/>
                  </w14:solidFill>
                </w14:textFill>
              </w:rPr>
            </w:pPr>
            <w:r>
              <w:rPr>
                <w:color w:val="000000" w:themeColor="text1"/>
                <w14:textFill>
                  <w14:solidFill>
                    <w14:schemeClr w14:val="tx1"/>
                  </w14:solidFill>
                </w14:textFill>
              </w:rPr>
              <w:t>影响时段及特征</w:t>
            </w:r>
          </w:p>
        </w:tc>
      </w:tr>
      <w:tr w14:paraId="69BD50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84" w:hRule="atLeast"/>
          <w:jc w:val="center"/>
        </w:trPr>
        <w:tc>
          <w:tcPr>
            <w:tcW w:w="568" w:type="pct"/>
            <w:vAlign w:val="center"/>
          </w:tcPr>
          <w:p w14:paraId="20155732">
            <w:pPr>
              <w:pStyle w:val="109"/>
              <w:rPr>
                <w:color w:val="000000" w:themeColor="text1"/>
                <w14:textFill>
                  <w14:solidFill>
                    <w14:schemeClr w14:val="tx1"/>
                  </w14:solidFill>
                </w14:textFill>
              </w:rPr>
            </w:pPr>
            <w:r>
              <w:rPr>
                <w:color w:val="000000" w:themeColor="text1"/>
                <w14:textFill>
                  <w14:solidFill>
                    <w14:schemeClr w14:val="tx1"/>
                  </w14:solidFill>
                </w14:textFill>
              </w:rPr>
              <w:t>扬尘废气</w:t>
            </w:r>
          </w:p>
        </w:tc>
        <w:tc>
          <w:tcPr>
            <w:tcW w:w="1187" w:type="pct"/>
            <w:vAlign w:val="center"/>
          </w:tcPr>
          <w:p w14:paraId="6DBED029">
            <w:pPr>
              <w:pStyle w:val="109"/>
              <w:rPr>
                <w:color w:val="000000" w:themeColor="text1"/>
                <w14:textFill>
                  <w14:solidFill>
                    <w14:schemeClr w14:val="tx1"/>
                  </w14:solidFill>
                </w14:textFill>
              </w:rPr>
            </w:pPr>
            <w:r>
              <w:rPr>
                <w:color w:val="000000" w:themeColor="text1"/>
                <w14:textFill>
                  <w14:solidFill>
                    <w14:schemeClr w14:val="tx1"/>
                  </w14:solidFill>
                </w14:textFill>
              </w:rPr>
              <w:t>运输、基础工程、物料堆放、汽车尾气等</w:t>
            </w:r>
          </w:p>
        </w:tc>
        <w:tc>
          <w:tcPr>
            <w:tcW w:w="1012" w:type="pct"/>
            <w:vAlign w:val="center"/>
          </w:tcPr>
          <w:p w14:paraId="4C449B2C">
            <w:pPr>
              <w:pStyle w:val="109"/>
              <w:rPr>
                <w:color w:val="000000" w:themeColor="text1"/>
                <w14:textFill>
                  <w14:solidFill>
                    <w14:schemeClr w14:val="tx1"/>
                  </w14:solidFill>
                </w14:textFill>
              </w:rPr>
            </w:pPr>
            <w:r>
              <w:rPr>
                <w:color w:val="000000" w:themeColor="text1"/>
                <w14:textFill>
                  <w14:solidFill>
                    <w14:schemeClr w14:val="tx1"/>
                  </w14:solidFill>
                </w14:textFill>
              </w:rPr>
              <w:t>TSP</w:t>
            </w:r>
          </w:p>
        </w:tc>
        <w:tc>
          <w:tcPr>
            <w:tcW w:w="1353" w:type="pct"/>
            <w:vAlign w:val="center"/>
          </w:tcPr>
          <w:p w14:paraId="7F01BE92">
            <w:pPr>
              <w:pStyle w:val="109"/>
              <w:rPr>
                <w:color w:val="000000" w:themeColor="text1"/>
                <w14:textFill>
                  <w14:solidFill>
                    <w14:schemeClr w14:val="tx1"/>
                  </w14:solidFill>
                </w14:textFill>
              </w:rPr>
            </w:pPr>
            <w:r>
              <w:rPr>
                <w:color w:val="000000" w:themeColor="text1"/>
                <w14:textFill>
                  <w14:solidFill>
                    <w14:schemeClr w14:val="tx1"/>
                  </w14:solidFill>
                </w14:textFill>
              </w:rPr>
              <w:t>施工场地及其周围200m范围、运输沿线</w:t>
            </w:r>
          </w:p>
        </w:tc>
        <w:tc>
          <w:tcPr>
            <w:tcW w:w="879" w:type="pct"/>
            <w:vAlign w:val="center"/>
          </w:tcPr>
          <w:p w14:paraId="00F8F435">
            <w:pPr>
              <w:pStyle w:val="109"/>
              <w:rPr>
                <w:color w:val="000000" w:themeColor="text1"/>
                <w14:textFill>
                  <w14:solidFill>
                    <w14:schemeClr w14:val="tx1"/>
                  </w14:solidFill>
                </w14:textFill>
              </w:rPr>
            </w:pPr>
            <w:r>
              <w:rPr>
                <w:color w:val="000000" w:themeColor="text1"/>
                <w14:textFill>
                  <w14:solidFill>
                    <w14:schemeClr w14:val="tx1"/>
                  </w14:solidFill>
                </w14:textFill>
              </w:rPr>
              <w:t>与施工期同步</w:t>
            </w:r>
          </w:p>
        </w:tc>
      </w:tr>
      <w:tr w14:paraId="3023CA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84" w:hRule="atLeast"/>
          <w:jc w:val="center"/>
        </w:trPr>
        <w:tc>
          <w:tcPr>
            <w:tcW w:w="568" w:type="pct"/>
            <w:vAlign w:val="center"/>
          </w:tcPr>
          <w:p w14:paraId="1ED271A4">
            <w:pPr>
              <w:pStyle w:val="109"/>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187" w:type="pct"/>
            <w:vAlign w:val="center"/>
          </w:tcPr>
          <w:p w14:paraId="0A5E6E5B">
            <w:pPr>
              <w:pStyle w:val="109"/>
              <w:rPr>
                <w:color w:val="000000" w:themeColor="text1"/>
                <w14:textFill>
                  <w14:solidFill>
                    <w14:schemeClr w14:val="tx1"/>
                  </w14:solidFill>
                </w14:textFill>
              </w:rPr>
            </w:pPr>
            <w:r>
              <w:rPr>
                <w:color w:val="000000" w:themeColor="text1"/>
                <w14:textFill>
                  <w14:solidFill>
                    <w14:schemeClr w14:val="tx1"/>
                  </w14:solidFill>
                </w14:textFill>
              </w:rPr>
              <w:t>运输、施工机械</w:t>
            </w:r>
          </w:p>
        </w:tc>
        <w:tc>
          <w:tcPr>
            <w:tcW w:w="1012" w:type="pct"/>
            <w:vAlign w:val="center"/>
          </w:tcPr>
          <w:p w14:paraId="63BC615D">
            <w:pPr>
              <w:pStyle w:val="109"/>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Aeq</w:t>
            </w:r>
          </w:p>
        </w:tc>
        <w:tc>
          <w:tcPr>
            <w:tcW w:w="1353" w:type="pct"/>
            <w:vAlign w:val="center"/>
          </w:tcPr>
          <w:p w14:paraId="4CF0117D">
            <w:pPr>
              <w:pStyle w:val="109"/>
              <w:rPr>
                <w:color w:val="000000" w:themeColor="text1"/>
                <w14:textFill>
                  <w14:solidFill>
                    <w14:schemeClr w14:val="tx1"/>
                  </w14:solidFill>
                </w14:textFill>
              </w:rPr>
            </w:pPr>
            <w:r>
              <w:rPr>
                <w:color w:val="000000" w:themeColor="text1"/>
                <w14:textFill>
                  <w14:solidFill>
                    <w14:schemeClr w14:val="tx1"/>
                  </w14:solidFill>
                </w14:textFill>
              </w:rPr>
              <w:t>施工场地及其周围200m范围、运输沿线</w:t>
            </w:r>
          </w:p>
        </w:tc>
        <w:tc>
          <w:tcPr>
            <w:tcW w:w="879" w:type="pct"/>
            <w:vAlign w:val="center"/>
          </w:tcPr>
          <w:p w14:paraId="30DBC70C">
            <w:pPr>
              <w:pStyle w:val="109"/>
              <w:rPr>
                <w:color w:val="000000" w:themeColor="text1"/>
                <w14:textFill>
                  <w14:solidFill>
                    <w14:schemeClr w14:val="tx1"/>
                  </w14:solidFill>
                </w14:textFill>
              </w:rPr>
            </w:pPr>
            <w:r>
              <w:rPr>
                <w:color w:val="000000" w:themeColor="text1"/>
                <w14:textFill>
                  <w14:solidFill>
                    <w14:schemeClr w14:val="tx1"/>
                  </w14:solidFill>
                </w14:textFill>
              </w:rPr>
              <w:t>间断</w:t>
            </w:r>
          </w:p>
          <w:p w14:paraId="7A6FDAA4">
            <w:pPr>
              <w:pStyle w:val="109"/>
              <w:rPr>
                <w:color w:val="000000" w:themeColor="text1"/>
                <w14:textFill>
                  <w14:solidFill>
                    <w14:schemeClr w14:val="tx1"/>
                  </w14:solidFill>
                </w14:textFill>
              </w:rPr>
            </w:pPr>
            <w:r>
              <w:rPr>
                <w:color w:val="000000" w:themeColor="text1"/>
                <w14:textFill>
                  <w14:solidFill>
                    <w14:schemeClr w14:val="tx1"/>
                  </w14:solidFill>
                </w14:textFill>
              </w:rPr>
              <w:t>与施工期同步</w:t>
            </w:r>
          </w:p>
        </w:tc>
      </w:tr>
      <w:tr w14:paraId="42D65C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64" w:hRule="atLeast"/>
          <w:jc w:val="center"/>
        </w:trPr>
        <w:tc>
          <w:tcPr>
            <w:tcW w:w="568" w:type="pct"/>
            <w:vAlign w:val="center"/>
          </w:tcPr>
          <w:p w14:paraId="680E13E6">
            <w:pPr>
              <w:pStyle w:val="109"/>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1187" w:type="pct"/>
            <w:vAlign w:val="center"/>
          </w:tcPr>
          <w:p w14:paraId="7F1E5C6E">
            <w:pPr>
              <w:pStyle w:val="109"/>
              <w:rPr>
                <w:color w:val="000000" w:themeColor="text1"/>
                <w14:textFill>
                  <w14:solidFill>
                    <w14:schemeClr w14:val="tx1"/>
                  </w14:solidFill>
                </w14:textFill>
              </w:rPr>
            </w:pPr>
            <w:r>
              <w:rPr>
                <w:color w:val="000000" w:themeColor="text1"/>
                <w14:textFill>
                  <w14:solidFill>
                    <w14:schemeClr w14:val="tx1"/>
                  </w14:solidFill>
                </w14:textFill>
              </w:rPr>
              <w:t>生活、施工废水</w:t>
            </w:r>
          </w:p>
        </w:tc>
        <w:tc>
          <w:tcPr>
            <w:tcW w:w="1012" w:type="pct"/>
            <w:vAlign w:val="center"/>
          </w:tcPr>
          <w:p w14:paraId="4ACCEE28">
            <w:pPr>
              <w:pStyle w:val="109"/>
              <w:rPr>
                <w:color w:val="000000" w:themeColor="text1"/>
                <w14:textFill>
                  <w14:solidFill>
                    <w14:schemeClr w14:val="tx1"/>
                  </w14:solidFill>
                </w14:textFill>
              </w:rPr>
            </w:pP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、氨氮、SS</w:t>
            </w:r>
          </w:p>
        </w:tc>
        <w:tc>
          <w:tcPr>
            <w:tcW w:w="1353" w:type="pct"/>
            <w:vAlign w:val="center"/>
          </w:tcPr>
          <w:p w14:paraId="32D95AA9">
            <w:pPr>
              <w:pStyle w:val="109"/>
              <w:rPr>
                <w:color w:val="000000" w:themeColor="text1"/>
                <w14:textFill>
                  <w14:solidFill>
                    <w14:schemeClr w14:val="tx1"/>
                  </w14:solidFill>
                </w14:textFill>
              </w:rPr>
            </w:pPr>
            <w:r>
              <w:rPr>
                <w:color w:val="000000" w:themeColor="text1"/>
                <w14:textFill>
                  <w14:solidFill>
                    <w14:schemeClr w14:val="tx1"/>
                  </w14:solidFill>
                </w14:textFill>
              </w:rPr>
              <w:t>施工营地、施工现场</w:t>
            </w:r>
          </w:p>
        </w:tc>
        <w:tc>
          <w:tcPr>
            <w:tcW w:w="879" w:type="pct"/>
            <w:vMerge w:val="restart"/>
            <w:vAlign w:val="center"/>
          </w:tcPr>
          <w:p w14:paraId="5777CEF9">
            <w:pPr>
              <w:pStyle w:val="109"/>
              <w:rPr>
                <w:color w:val="000000" w:themeColor="text1"/>
                <w14:textFill>
                  <w14:solidFill>
                    <w14:schemeClr w14:val="tx1"/>
                  </w14:solidFill>
                </w14:textFill>
              </w:rPr>
            </w:pPr>
            <w:r>
              <w:rPr>
                <w:color w:val="000000" w:themeColor="text1"/>
                <w14:textFill>
                  <w14:solidFill>
                    <w14:schemeClr w14:val="tx1"/>
                  </w14:solidFill>
                </w14:textFill>
              </w:rPr>
              <w:t>简单、间断</w:t>
            </w:r>
          </w:p>
          <w:p w14:paraId="2A4C0E89">
            <w:pPr>
              <w:pStyle w:val="109"/>
              <w:rPr>
                <w:color w:val="000000" w:themeColor="text1"/>
                <w14:textFill>
                  <w14:solidFill>
                    <w14:schemeClr w14:val="tx1"/>
                  </w14:solidFill>
                </w14:textFill>
              </w:rPr>
            </w:pPr>
            <w:r>
              <w:rPr>
                <w:color w:val="000000" w:themeColor="text1"/>
                <w14:textFill>
                  <w14:solidFill>
                    <w14:schemeClr w14:val="tx1"/>
                  </w14:solidFill>
                </w14:textFill>
              </w:rPr>
              <w:t>与施工期同步</w:t>
            </w:r>
          </w:p>
        </w:tc>
      </w:tr>
      <w:tr w14:paraId="0B75A1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92" w:hRule="atLeast"/>
          <w:jc w:val="center"/>
        </w:trPr>
        <w:tc>
          <w:tcPr>
            <w:tcW w:w="568" w:type="pct"/>
            <w:vAlign w:val="center"/>
          </w:tcPr>
          <w:p w14:paraId="34AF7BC6">
            <w:pPr>
              <w:pStyle w:val="109"/>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1187" w:type="pct"/>
            <w:vAlign w:val="center"/>
          </w:tcPr>
          <w:p w14:paraId="4B2C239C">
            <w:pPr>
              <w:pStyle w:val="109"/>
              <w:rPr>
                <w:color w:val="000000" w:themeColor="text1"/>
                <w14:textFill>
                  <w14:solidFill>
                    <w14:schemeClr w14:val="tx1"/>
                  </w14:solidFill>
                </w14:textFill>
              </w:rPr>
            </w:pPr>
            <w:r>
              <w:rPr>
                <w:color w:val="000000" w:themeColor="text1"/>
                <w14:textFill>
                  <w14:solidFill>
                    <w14:schemeClr w14:val="tx1"/>
                  </w14:solidFill>
                </w14:textFill>
              </w:rPr>
              <w:t>生活、建筑垃圾</w:t>
            </w:r>
          </w:p>
        </w:tc>
        <w:tc>
          <w:tcPr>
            <w:tcW w:w="1012" w:type="pct"/>
            <w:vAlign w:val="center"/>
          </w:tcPr>
          <w:p w14:paraId="775EF8DA">
            <w:pPr>
              <w:pStyle w:val="109"/>
              <w:rPr>
                <w:color w:val="000000" w:themeColor="text1"/>
                <w14:textFill>
                  <w14:solidFill>
                    <w14:schemeClr w14:val="tx1"/>
                  </w14:solidFill>
                </w14:textFill>
              </w:rPr>
            </w:pPr>
            <w:r>
              <w:rPr>
                <w:color w:val="000000" w:themeColor="text1"/>
                <w14:textFill>
                  <w14:solidFill>
                    <w14:schemeClr w14:val="tx1"/>
                  </w14:solidFill>
                </w14:textFill>
              </w:rPr>
              <w:t>有机物、无机物</w:t>
            </w:r>
          </w:p>
        </w:tc>
        <w:tc>
          <w:tcPr>
            <w:tcW w:w="1353" w:type="pct"/>
            <w:vAlign w:val="center"/>
          </w:tcPr>
          <w:p w14:paraId="117DB397">
            <w:pPr>
              <w:pStyle w:val="109"/>
              <w:rPr>
                <w:color w:val="000000" w:themeColor="text1"/>
                <w14:textFill>
                  <w14:solidFill>
                    <w14:schemeClr w14:val="tx1"/>
                  </w14:solidFill>
                </w14:textFill>
              </w:rPr>
            </w:pPr>
            <w:r>
              <w:rPr>
                <w:color w:val="000000" w:themeColor="text1"/>
                <w14:textFill>
                  <w14:solidFill>
                    <w14:schemeClr w14:val="tx1"/>
                  </w14:solidFill>
                </w14:textFill>
              </w:rPr>
              <w:t>施工场地</w:t>
            </w:r>
          </w:p>
          <w:p w14:paraId="1E5F6D04">
            <w:pPr>
              <w:pStyle w:val="109"/>
              <w:rPr>
                <w:color w:val="000000" w:themeColor="text1"/>
                <w14:textFill>
                  <w14:solidFill>
                    <w14:schemeClr w14:val="tx1"/>
                  </w14:solidFill>
                </w14:textFill>
              </w:rPr>
            </w:pPr>
            <w:r>
              <w:rPr>
                <w:color w:val="000000" w:themeColor="text1"/>
                <w14:textFill>
                  <w14:solidFill>
                    <w14:schemeClr w14:val="tx1"/>
                  </w14:solidFill>
                </w14:textFill>
              </w:rPr>
              <w:t>施工营地</w:t>
            </w:r>
          </w:p>
        </w:tc>
        <w:tc>
          <w:tcPr>
            <w:tcW w:w="879" w:type="pct"/>
            <w:vMerge w:val="continue"/>
            <w:vAlign w:val="center"/>
          </w:tcPr>
          <w:p w14:paraId="4DE5FF08">
            <w:pPr>
              <w:pStyle w:val="109"/>
              <w:rPr>
                <w:color w:val="000000" w:themeColor="text1"/>
                <w14:textFill>
                  <w14:solidFill>
                    <w14:schemeClr w14:val="tx1"/>
                  </w14:solidFill>
                </w14:textFill>
              </w:rPr>
            </w:pPr>
          </w:p>
        </w:tc>
      </w:tr>
      <w:tr w14:paraId="5AD098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92" w:hRule="atLeast"/>
          <w:jc w:val="center"/>
        </w:trPr>
        <w:tc>
          <w:tcPr>
            <w:tcW w:w="568" w:type="pct"/>
            <w:tcBorders>
              <w:bottom w:val="single" w:color="auto" w:sz="4" w:space="0"/>
            </w:tcBorders>
            <w:vAlign w:val="center"/>
          </w:tcPr>
          <w:p w14:paraId="3ACD5C1D">
            <w:pPr>
              <w:pStyle w:val="109"/>
              <w:rPr>
                <w:color w:val="000000" w:themeColor="text1"/>
                <w14:textFill>
                  <w14:solidFill>
                    <w14:schemeClr w14:val="tx1"/>
                  </w14:solidFill>
                </w14:textFill>
              </w:rPr>
            </w:pPr>
            <w:r>
              <w:rPr>
                <w:color w:val="000000" w:themeColor="text1"/>
                <w14:textFill>
                  <w14:solidFill>
                    <w14:schemeClr w14:val="tx1"/>
                  </w14:solidFill>
                </w14:textFill>
              </w:rPr>
              <w:t>生态环境</w:t>
            </w:r>
          </w:p>
        </w:tc>
        <w:tc>
          <w:tcPr>
            <w:tcW w:w="1187" w:type="pct"/>
            <w:vAlign w:val="center"/>
          </w:tcPr>
          <w:p w14:paraId="73539D2C">
            <w:pPr>
              <w:pStyle w:val="109"/>
              <w:rPr>
                <w:color w:val="000000" w:themeColor="text1"/>
                <w14:textFill>
                  <w14:solidFill>
                    <w14:schemeClr w14:val="tx1"/>
                  </w14:solidFill>
                </w14:textFill>
              </w:rPr>
            </w:pPr>
            <w:r>
              <w:rPr>
                <w:color w:val="000000" w:themeColor="text1"/>
                <w14:textFill>
                  <w14:solidFill>
                    <w14:schemeClr w14:val="tx1"/>
                  </w14:solidFill>
                </w14:textFill>
              </w:rPr>
              <w:t>占地、渣土堆放</w:t>
            </w:r>
          </w:p>
        </w:tc>
        <w:tc>
          <w:tcPr>
            <w:tcW w:w="1012" w:type="pct"/>
            <w:vAlign w:val="center"/>
          </w:tcPr>
          <w:p w14:paraId="69C19C9D">
            <w:pPr>
              <w:pStyle w:val="109"/>
              <w:rPr>
                <w:color w:val="000000" w:themeColor="text1"/>
                <w14:textFill>
                  <w14:solidFill>
                    <w14:schemeClr w14:val="tx1"/>
                  </w14:solidFill>
                </w14:textFill>
              </w:rPr>
            </w:pPr>
            <w:r>
              <w:rPr>
                <w:color w:val="000000" w:themeColor="text1"/>
                <w14:textFill>
                  <w14:solidFill>
                    <w14:schemeClr w14:val="tx1"/>
                  </w14:solidFill>
                </w14:textFill>
              </w:rPr>
              <w:t>土方</w:t>
            </w:r>
          </w:p>
        </w:tc>
        <w:tc>
          <w:tcPr>
            <w:tcW w:w="1353" w:type="pct"/>
            <w:vAlign w:val="center"/>
          </w:tcPr>
          <w:p w14:paraId="43A22826">
            <w:pPr>
              <w:pStyle w:val="109"/>
              <w:rPr>
                <w:color w:val="000000" w:themeColor="text1"/>
                <w14:textFill>
                  <w14:solidFill>
                    <w14:schemeClr w14:val="tx1"/>
                  </w14:solidFill>
                </w14:textFill>
              </w:rPr>
            </w:pPr>
            <w:r>
              <w:rPr>
                <w:color w:val="000000" w:themeColor="text1"/>
                <w14:textFill>
                  <w14:solidFill>
                    <w14:schemeClr w14:val="tx1"/>
                  </w14:solidFill>
                </w14:textFill>
              </w:rPr>
              <w:t>施工场地</w:t>
            </w:r>
          </w:p>
        </w:tc>
        <w:tc>
          <w:tcPr>
            <w:tcW w:w="879" w:type="pct"/>
            <w:vAlign w:val="center"/>
          </w:tcPr>
          <w:p w14:paraId="3EEB0FF9">
            <w:pPr>
              <w:pStyle w:val="109"/>
              <w:rPr>
                <w:color w:val="000000" w:themeColor="text1"/>
                <w14:textFill>
                  <w14:solidFill>
                    <w14:schemeClr w14:val="tx1"/>
                  </w14:solidFill>
                </w14:textFill>
              </w:rPr>
            </w:pPr>
            <w:r>
              <w:rPr>
                <w:color w:val="000000" w:themeColor="text1"/>
                <w14:textFill>
                  <w14:solidFill>
                    <w14:schemeClr w14:val="tx1"/>
                  </w14:solidFill>
                </w14:textFill>
              </w:rPr>
              <w:t>局部</w:t>
            </w:r>
          </w:p>
        </w:tc>
      </w:tr>
    </w:tbl>
    <w:p w14:paraId="0F8885C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环境空气影响分析</w:t>
      </w:r>
    </w:p>
    <w:p w14:paraId="03812BE4">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环境空气影响</w:t>
      </w:r>
    </w:p>
    <w:p w14:paraId="0D7D825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间，在土方开挖等建设过程将会因破坏地表结构而形成裸露地表，建筑材料、砂石等装卸、堆放、转运、运输均会形成地面扬尘污染源。一般扬尘粒径较大、沉降快，影响范围较小。一般会造成施工场地局部环境污染，影响施工人员和附近人员的健康和作业。</w:t>
      </w:r>
    </w:p>
    <w:p w14:paraId="22FD8258">
      <w:pPr>
        <w:ind w:firstLine="480"/>
        <w:rPr>
          <w:color w:val="000000" w:themeColor="text1"/>
          <w14:textFill>
            <w14:solidFill>
              <w14:schemeClr w14:val="tx1"/>
            </w14:solidFill>
          </w14:textFill>
        </w:rPr>
      </w:pPr>
      <w:r>
        <w:rPr>
          <w:color w:val="000000" w:themeColor="text1"/>
          <w14:textFill>
            <w14:solidFill>
              <w14:schemeClr w14:val="tx1"/>
            </w14:solidFill>
          </w14:textFill>
        </w:rPr>
        <w:t>据类比调查某企业施工工地，建设期施工扬尘影响类比监测资料见下表。</w:t>
      </w:r>
    </w:p>
    <w:p w14:paraId="727E3BCA">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建设期扬尘类比监测结果</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298"/>
        <w:gridCol w:w="1003"/>
        <w:gridCol w:w="1005"/>
        <w:gridCol w:w="1005"/>
        <w:gridCol w:w="1005"/>
        <w:gridCol w:w="1005"/>
        <w:gridCol w:w="1007"/>
        <w:gridCol w:w="1002"/>
      </w:tblGrid>
      <w:tr w14:paraId="5921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674" w:type="pct"/>
            <w:vMerge w:val="restart"/>
            <w:vAlign w:val="center"/>
          </w:tcPr>
          <w:p w14:paraId="6FC89BB5">
            <w:pPr>
              <w:pStyle w:val="109"/>
              <w:rPr>
                <w:color w:val="000000" w:themeColor="text1"/>
                <w14:textFill>
                  <w14:solidFill>
                    <w14:schemeClr w14:val="tx1"/>
                  </w14:solidFill>
                </w14:textFill>
              </w:rPr>
            </w:pPr>
            <w:r>
              <w:rPr>
                <w:color w:val="000000" w:themeColor="text1"/>
                <w14:textFill>
                  <w14:solidFill>
                    <w14:schemeClr w14:val="tx1"/>
                  </w14:solidFill>
                </w14:textFill>
              </w:rPr>
              <w:t>工程名称</w:t>
            </w:r>
          </w:p>
        </w:tc>
        <w:tc>
          <w:tcPr>
            <w:tcW w:w="674" w:type="pct"/>
            <w:vMerge w:val="restart"/>
            <w:vAlign w:val="center"/>
          </w:tcPr>
          <w:p w14:paraId="7E0A5B2C">
            <w:pPr>
              <w:pStyle w:val="109"/>
              <w:rPr>
                <w:color w:val="000000" w:themeColor="text1"/>
                <w14:textFill>
                  <w14:solidFill>
                    <w14:schemeClr w14:val="tx1"/>
                  </w14:solidFill>
                </w14:textFill>
              </w:rPr>
            </w:pPr>
            <w:r>
              <w:rPr>
                <w:color w:val="000000" w:themeColor="text1"/>
                <w14:textFill>
                  <w14:solidFill>
                    <w14:schemeClr w14:val="tx1"/>
                  </w14:solidFill>
                </w14:textFill>
              </w:rPr>
              <w:t>围栏情况</w:t>
            </w:r>
          </w:p>
        </w:tc>
        <w:tc>
          <w:tcPr>
            <w:tcW w:w="3653" w:type="pct"/>
            <w:gridSpan w:val="7"/>
          </w:tcPr>
          <w:p w14:paraId="6E58A0E4">
            <w:pPr>
              <w:pStyle w:val="109"/>
              <w:rPr>
                <w:color w:val="000000" w:themeColor="text1"/>
                <w14:textFill>
                  <w14:solidFill>
                    <w14:schemeClr w14:val="tx1"/>
                  </w14:solidFill>
                </w14:textFill>
              </w:rPr>
            </w:pPr>
            <w:r>
              <w:rPr>
                <w:color w:val="000000" w:themeColor="text1"/>
                <w14:textFill>
                  <w14:solidFill>
                    <w14:schemeClr w14:val="tx1"/>
                  </w14:solidFill>
                </w14:textFill>
              </w:rPr>
              <w:t>TSP浓度（mg/m³）</w:t>
            </w:r>
          </w:p>
        </w:tc>
      </w:tr>
      <w:tr w14:paraId="027A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674" w:type="pct"/>
            <w:vMerge w:val="continue"/>
            <w:vAlign w:val="center"/>
          </w:tcPr>
          <w:p w14:paraId="6A9662B0">
            <w:pPr>
              <w:pStyle w:val="109"/>
              <w:rPr>
                <w:color w:val="000000" w:themeColor="text1"/>
                <w14:textFill>
                  <w14:solidFill>
                    <w14:schemeClr w14:val="tx1"/>
                  </w14:solidFill>
                </w14:textFill>
              </w:rPr>
            </w:pPr>
          </w:p>
        </w:tc>
        <w:tc>
          <w:tcPr>
            <w:tcW w:w="674" w:type="pct"/>
            <w:vMerge w:val="continue"/>
            <w:vAlign w:val="center"/>
          </w:tcPr>
          <w:p w14:paraId="2654F845">
            <w:pPr>
              <w:pStyle w:val="109"/>
              <w:rPr>
                <w:color w:val="000000" w:themeColor="text1"/>
                <w14:textFill>
                  <w14:solidFill>
                    <w14:schemeClr w14:val="tx1"/>
                  </w14:solidFill>
                </w14:textFill>
              </w:rPr>
            </w:pPr>
          </w:p>
        </w:tc>
        <w:tc>
          <w:tcPr>
            <w:tcW w:w="3132" w:type="pct"/>
            <w:gridSpan w:val="6"/>
          </w:tcPr>
          <w:p w14:paraId="24C52BFC">
            <w:pPr>
              <w:pStyle w:val="109"/>
              <w:rPr>
                <w:color w:val="000000" w:themeColor="text1"/>
                <w14:textFill>
                  <w14:solidFill>
                    <w14:schemeClr w14:val="tx1"/>
                  </w14:solidFill>
                </w14:textFill>
              </w:rPr>
            </w:pPr>
            <w:r>
              <w:rPr>
                <w:color w:val="000000" w:themeColor="text1"/>
                <w14:textFill>
                  <w14:solidFill>
                    <w14:schemeClr w14:val="tx1"/>
                  </w14:solidFill>
                </w14:textFill>
              </w:rPr>
              <w:t>工地下风向</w:t>
            </w:r>
          </w:p>
        </w:tc>
        <w:tc>
          <w:tcPr>
            <w:tcW w:w="521" w:type="pct"/>
            <w:vMerge w:val="restart"/>
            <w:vAlign w:val="center"/>
          </w:tcPr>
          <w:p w14:paraId="3B352FE0">
            <w:pPr>
              <w:pStyle w:val="109"/>
              <w:rPr>
                <w:color w:val="000000" w:themeColor="text1"/>
                <w14:textFill>
                  <w14:solidFill>
                    <w14:schemeClr w14:val="tx1"/>
                  </w14:solidFill>
                </w14:textFill>
              </w:rPr>
            </w:pPr>
            <w:r>
              <w:rPr>
                <w:color w:val="000000" w:themeColor="text1"/>
                <w14:textFill>
                  <w14:solidFill>
                    <w14:schemeClr w14:val="tx1"/>
                  </w14:solidFill>
                </w14:textFill>
              </w:rPr>
              <w:t>上风向对照点</w:t>
            </w:r>
          </w:p>
        </w:tc>
      </w:tr>
      <w:tr w14:paraId="0BFA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674" w:type="pct"/>
            <w:vMerge w:val="continue"/>
            <w:vAlign w:val="center"/>
          </w:tcPr>
          <w:p w14:paraId="2D23F9DD">
            <w:pPr>
              <w:pStyle w:val="109"/>
              <w:rPr>
                <w:color w:val="000000" w:themeColor="text1"/>
                <w14:textFill>
                  <w14:solidFill>
                    <w14:schemeClr w14:val="tx1"/>
                  </w14:solidFill>
                </w14:textFill>
              </w:rPr>
            </w:pPr>
          </w:p>
        </w:tc>
        <w:tc>
          <w:tcPr>
            <w:tcW w:w="674" w:type="pct"/>
            <w:vMerge w:val="continue"/>
            <w:vAlign w:val="center"/>
          </w:tcPr>
          <w:p w14:paraId="58356FAC">
            <w:pPr>
              <w:pStyle w:val="109"/>
              <w:rPr>
                <w:color w:val="000000" w:themeColor="text1"/>
                <w14:textFill>
                  <w14:solidFill>
                    <w14:schemeClr w14:val="tx1"/>
                  </w14:solidFill>
                </w14:textFill>
              </w:rPr>
            </w:pPr>
          </w:p>
        </w:tc>
        <w:tc>
          <w:tcPr>
            <w:tcW w:w="521" w:type="pct"/>
          </w:tcPr>
          <w:p w14:paraId="150A08E8">
            <w:pPr>
              <w:pStyle w:val="109"/>
              <w:rPr>
                <w:color w:val="000000" w:themeColor="text1"/>
                <w14:textFill>
                  <w14:solidFill>
                    <w14:schemeClr w14:val="tx1"/>
                  </w14:solidFill>
                </w14:textFill>
              </w:rPr>
            </w:pPr>
            <w:r>
              <w:rPr>
                <w:color w:val="000000" w:themeColor="text1"/>
                <w14:textFill>
                  <w14:solidFill>
                    <w14:schemeClr w14:val="tx1"/>
                  </w14:solidFill>
                </w14:textFill>
              </w:rPr>
              <w:t>20m</w:t>
            </w:r>
          </w:p>
        </w:tc>
        <w:tc>
          <w:tcPr>
            <w:tcW w:w="522" w:type="pct"/>
          </w:tcPr>
          <w:p w14:paraId="3D046394">
            <w:pPr>
              <w:pStyle w:val="109"/>
              <w:rPr>
                <w:color w:val="000000" w:themeColor="text1"/>
                <w14:textFill>
                  <w14:solidFill>
                    <w14:schemeClr w14:val="tx1"/>
                  </w14:solidFill>
                </w14:textFill>
              </w:rPr>
            </w:pPr>
            <w:r>
              <w:rPr>
                <w:color w:val="000000" w:themeColor="text1"/>
                <w14:textFill>
                  <w14:solidFill>
                    <w14:schemeClr w14:val="tx1"/>
                  </w14:solidFill>
                </w14:textFill>
              </w:rPr>
              <w:t>50m</w:t>
            </w:r>
          </w:p>
        </w:tc>
        <w:tc>
          <w:tcPr>
            <w:tcW w:w="522" w:type="pct"/>
          </w:tcPr>
          <w:p w14:paraId="6C6D008D">
            <w:pPr>
              <w:pStyle w:val="109"/>
              <w:rPr>
                <w:color w:val="000000" w:themeColor="text1"/>
                <w14:textFill>
                  <w14:solidFill>
                    <w14:schemeClr w14:val="tx1"/>
                  </w14:solidFill>
                </w14:textFill>
              </w:rPr>
            </w:pPr>
            <w:r>
              <w:rPr>
                <w:color w:val="000000" w:themeColor="text1"/>
                <w14:textFill>
                  <w14:solidFill>
                    <w14:schemeClr w14:val="tx1"/>
                  </w14:solidFill>
                </w14:textFill>
              </w:rPr>
              <w:t>100m</w:t>
            </w:r>
          </w:p>
        </w:tc>
        <w:tc>
          <w:tcPr>
            <w:tcW w:w="522" w:type="pct"/>
          </w:tcPr>
          <w:p w14:paraId="2CBB0E9F">
            <w:pPr>
              <w:pStyle w:val="109"/>
              <w:rPr>
                <w:color w:val="000000" w:themeColor="text1"/>
                <w14:textFill>
                  <w14:solidFill>
                    <w14:schemeClr w14:val="tx1"/>
                  </w14:solidFill>
                </w14:textFill>
              </w:rPr>
            </w:pPr>
            <w:r>
              <w:rPr>
                <w:color w:val="000000" w:themeColor="text1"/>
                <w14:textFill>
                  <w14:solidFill>
                    <w14:schemeClr w14:val="tx1"/>
                  </w14:solidFill>
                </w14:textFill>
              </w:rPr>
              <w:t>150m</w:t>
            </w:r>
          </w:p>
        </w:tc>
        <w:tc>
          <w:tcPr>
            <w:tcW w:w="522" w:type="pct"/>
          </w:tcPr>
          <w:p w14:paraId="1F2CA4BC">
            <w:pPr>
              <w:pStyle w:val="109"/>
              <w:rPr>
                <w:color w:val="000000" w:themeColor="text1"/>
                <w14:textFill>
                  <w14:solidFill>
                    <w14:schemeClr w14:val="tx1"/>
                  </w14:solidFill>
                </w14:textFill>
              </w:rPr>
            </w:pPr>
            <w:r>
              <w:rPr>
                <w:color w:val="000000" w:themeColor="text1"/>
                <w14:textFill>
                  <w14:solidFill>
                    <w14:schemeClr w14:val="tx1"/>
                  </w14:solidFill>
                </w14:textFill>
              </w:rPr>
              <w:t>200m</w:t>
            </w:r>
          </w:p>
        </w:tc>
        <w:tc>
          <w:tcPr>
            <w:tcW w:w="522" w:type="pct"/>
          </w:tcPr>
          <w:p w14:paraId="0EB871E7">
            <w:pPr>
              <w:pStyle w:val="109"/>
              <w:rPr>
                <w:color w:val="000000" w:themeColor="text1"/>
                <w14:textFill>
                  <w14:solidFill>
                    <w14:schemeClr w14:val="tx1"/>
                  </w14:solidFill>
                </w14:textFill>
              </w:rPr>
            </w:pPr>
            <w:r>
              <w:rPr>
                <w:color w:val="000000" w:themeColor="text1"/>
                <w14:textFill>
                  <w14:solidFill>
                    <w14:schemeClr w14:val="tx1"/>
                  </w14:solidFill>
                </w14:textFill>
              </w:rPr>
              <w:t>250m</w:t>
            </w:r>
          </w:p>
        </w:tc>
        <w:tc>
          <w:tcPr>
            <w:tcW w:w="521" w:type="pct"/>
            <w:vMerge w:val="continue"/>
          </w:tcPr>
          <w:p w14:paraId="54F667D5">
            <w:pPr>
              <w:pStyle w:val="109"/>
              <w:rPr>
                <w:color w:val="000000" w:themeColor="text1"/>
                <w14:textFill>
                  <w14:solidFill>
                    <w14:schemeClr w14:val="tx1"/>
                  </w14:solidFill>
                </w14:textFill>
              </w:rPr>
            </w:pPr>
          </w:p>
        </w:tc>
      </w:tr>
      <w:tr w14:paraId="3F79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674" w:type="pct"/>
            <w:vAlign w:val="center"/>
          </w:tcPr>
          <w:p w14:paraId="1BF85967">
            <w:pPr>
              <w:pStyle w:val="109"/>
              <w:rPr>
                <w:color w:val="000000" w:themeColor="text1"/>
                <w14:textFill>
                  <w14:solidFill>
                    <w14:schemeClr w14:val="tx1"/>
                  </w14:solidFill>
                </w14:textFill>
              </w:rPr>
            </w:pPr>
            <w:r>
              <w:rPr>
                <w:color w:val="000000" w:themeColor="text1"/>
                <w14:textFill>
                  <w14:solidFill>
                    <w14:schemeClr w14:val="tx1"/>
                  </w14:solidFill>
                </w14:textFill>
              </w:rPr>
              <w:t>甲段工程</w:t>
            </w:r>
          </w:p>
        </w:tc>
        <w:tc>
          <w:tcPr>
            <w:tcW w:w="674" w:type="pct"/>
            <w:vAlign w:val="center"/>
          </w:tcPr>
          <w:p w14:paraId="218A7520">
            <w:pPr>
              <w:pStyle w:val="109"/>
              <w:rPr>
                <w:color w:val="000000" w:themeColor="text1"/>
                <w14:textFill>
                  <w14:solidFill>
                    <w14:schemeClr w14:val="tx1"/>
                  </w14:solidFill>
                </w14:textFill>
              </w:rPr>
            </w:pPr>
            <w:r>
              <w:rPr>
                <w:color w:val="000000" w:themeColor="text1"/>
                <w14:textFill>
                  <w14:solidFill>
                    <w14:schemeClr w14:val="tx1"/>
                  </w14:solidFill>
                </w14:textFill>
              </w:rPr>
              <w:t>无</w:t>
            </w:r>
          </w:p>
        </w:tc>
        <w:tc>
          <w:tcPr>
            <w:tcW w:w="521" w:type="pct"/>
          </w:tcPr>
          <w:p w14:paraId="57BC02A6">
            <w:pPr>
              <w:pStyle w:val="109"/>
              <w:rPr>
                <w:color w:val="000000" w:themeColor="text1"/>
                <w14:textFill>
                  <w14:solidFill>
                    <w14:schemeClr w14:val="tx1"/>
                  </w14:solidFill>
                </w14:textFill>
              </w:rPr>
            </w:pPr>
            <w:r>
              <w:rPr>
                <w:color w:val="000000" w:themeColor="text1"/>
                <w14:textFill>
                  <w14:solidFill>
                    <w14:schemeClr w14:val="tx1"/>
                  </w14:solidFill>
                </w14:textFill>
              </w:rPr>
              <w:t>1.540</w:t>
            </w:r>
          </w:p>
        </w:tc>
        <w:tc>
          <w:tcPr>
            <w:tcW w:w="522" w:type="pct"/>
          </w:tcPr>
          <w:p w14:paraId="62BE72B8">
            <w:pPr>
              <w:pStyle w:val="109"/>
              <w:rPr>
                <w:color w:val="000000" w:themeColor="text1"/>
                <w14:textFill>
                  <w14:solidFill>
                    <w14:schemeClr w14:val="tx1"/>
                  </w14:solidFill>
                </w14:textFill>
              </w:rPr>
            </w:pPr>
            <w:r>
              <w:rPr>
                <w:color w:val="000000" w:themeColor="text1"/>
                <w14:textFill>
                  <w14:solidFill>
                    <w14:schemeClr w14:val="tx1"/>
                  </w14:solidFill>
                </w14:textFill>
              </w:rPr>
              <w:t>0.991</w:t>
            </w:r>
          </w:p>
        </w:tc>
        <w:tc>
          <w:tcPr>
            <w:tcW w:w="522" w:type="pct"/>
          </w:tcPr>
          <w:p w14:paraId="3F43E392">
            <w:pPr>
              <w:pStyle w:val="109"/>
              <w:rPr>
                <w:color w:val="000000" w:themeColor="text1"/>
                <w14:textFill>
                  <w14:solidFill>
                    <w14:schemeClr w14:val="tx1"/>
                  </w14:solidFill>
                </w14:textFill>
              </w:rPr>
            </w:pPr>
            <w:r>
              <w:rPr>
                <w:color w:val="000000" w:themeColor="text1"/>
                <w14:textFill>
                  <w14:solidFill>
                    <w14:schemeClr w14:val="tx1"/>
                  </w14:solidFill>
                </w14:textFill>
              </w:rPr>
              <w:t>0.535</w:t>
            </w:r>
          </w:p>
        </w:tc>
        <w:tc>
          <w:tcPr>
            <w:tcW w:w="522" w:type="pct"/>
          </w:tcPr>
          <w:p w14:paraId="2A7E3301">
            <w:pPr>
              <w:pStyle w:val="109"/>
              <w:rPr>
                <w:color w:val="000000" w:themeColor="text1"/>
                <w14:textFill>
                  <w14:solidFill>
                    <w14:schemeClr w14:val="tx1"/>
                  </w14:solidFill>
                </w14:textFill>
              </w:rPr>
            </w:pPr>
            <w:r>
              <w:rPr>
                <w:color w:val="000000" w:themeColor="text1"/>
                <w14:textFill>
                  <w14:solidFill>
                    <w14:schemeClr w14:val="tx1"/>
                  </w14:solidFill>
                </w14:textFill>
              </w:rPr>
              <w:t>0.611</w:t>
            </w:r>
          </w:p>
        </w:tc>
        <w:tc>
          <w:tcPr>
            <w:tcW w:w="522" w:type="pct"/>
          </w:tcPr>
          <w:p w14:paraId="46777478">
            <w:pPr>
              <w:pStyle w:val="109"/>
              <w:rPr>
                <w:color w:val="000000" w:themeColor="text1"/>
                <w14:textFill>
                  <w14:solidFill>
                    <w14:schemeClr w14:val="tx1"/>
                  </w14:solidFill>
                </w14:textFill>
              </w:rPr>
            </w:pPr>
            <w:r>
              <w:rPr>
                <w:color w:val="000000" w:themeColor="text1"/>
                <w14:textFill>
                  <w14:solidFill>
                    <w14:schemeClr w14:val="tx1"/>
                  </w14:solidFill>
                </w14:textFill>
              </w:rPr>
              <w:t>0.504</w:t>
            </w:r>
          </w:p>
        </w:tc>
        <w:tc>
          <w:tcPr>
            <w:tcW w:w="522" w:type="pct"/>
          </w:tcPr>
          <w:p w14:paraId="6FBC07E4">
            <w:pPr>
              <w:pStyle w:val="109"/>
              <w:rPr>
                <w:color w:val="000000" w:themeColor="text1"/>
                <w14:textFill>
                  <w14:solidFill>
                    <w14:schemeClr w14:val="tx1"/>
                  </w14:solidFill>
                </w14:textFill>
              </w:rPr>
            </w:pPr>
            <w:r>
              <w:rPr>
                <w:color w:val="000000" w:themeColor="text1"/>
                <w14:textFill>
                  <w14:solidFill>
                    <w14:schemeClr w14:val="tx1"/>
                  </w14:solidFill>
                </w14:textFill>
              </w:rPr>
              <w:t>0.401</w:t>
            </w:r>
          </w:p>
        </w:tc>
        <w:tc>
          <w:tcPr>
            <w:tcW w:w="521" w:type="pct"/>
            <w:vMerge w:val="restart"/>
            <w:vAlign w:val="center"/>
          </w:tcPr>
          <w:p w14:paraId="1B87B00A">
            <w:pPr>
              <w:pStyle w:val="109"/>
              <w:rPr>
                <w:color w:val="000000" w:themeColor="text1"/>
                <w14:textFill>
                  <w14:solidFill>
                    <w14:schemeClr w14:val="tx1"/>
                  </w14:solidFill>
                </w14:textFill>
              </w:rPr>
            </w:pPr>
            <w:r>
              <w:rPr>
                <w:color w:val="000000" w:themeColor="text1"/>
                <w14:textFill>
                  <w14:solidFill>
                    <w14:schemeClr w14:val="tx1"/>
                  </w14:solidFill>
                </w14:textFill>
              </w:rPr>
              <w:t>0.404</w:t>
            </w:r>
          </w:p>
        </w:tc>
      </w:tr>
      <w:tr w14:paraId="74C0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74" w:type="pct"/>
            <w:vAlign w:val="center"/>
          </w:tcPr>
          <w:p w14:paraId="26C029C6">
            <w:pPr>
              <w:pStyle w:val="109"/>
              <w:rPr>
                <w:color w:val="000000" w:themeColor="text1"/>
                <w14:textFill>
                  <w14:solidFill>
                    <w14:schemeClr w14:val="tx1"/>
                  </w14:solidFill>
                </w14:textFill>
              </w:rPr>
            </w:pPr>
            <w:r>
              <w:rPr>
                <w:color w:val="000000" w:themeColor="text1"/>
                <w14:textFill>
                  <w14:solidFill>
                    <w14:schemeClr w14:val="tx1"/>
                  </w14:solidFill>
                </w14:textFill>
              </w:rPr>
              <w:t>乙段工程</w:t>
            </w:r>
          </w:p>
        </w:tc>
        <w:tc>
          <w:tcPr>
            <w:tcW w:w="674" w:type="pct"/>
            <w:vAlign w:val="center"/>
          </w:tcPr>
          <w:p w14:paraId="350F636D">
            <w:pPr>
              <w:pStyle w:val="109"/>
              <w:rPr>
                <w:color w:val="000000" w:themeColor="text1"/>
                <w14:textFill>
                  <w14:solidFill>
                    <w14:schemeClr w14:val="tx1"/>
                  </w14:solidFill>
                </w14:textFill>
              </w:rPr>
            </w:pPr>
            <w:r>
              <w:rPr>
                <w:color w:val="000000" w:themeColor="text1"/>
                <w14:textFill>
                  <w14:solidFill>
                    <w14:schemeClr w14:val="tx1"/>
                  </w14:solidFill>
                </w14:textFill>
              </w:rPr>
              <w:t>无</w:t>
            </w:r>
          </w:p>
        </w:tc>
        <w:tc>
          <w:tcPr>
            <w:tcW w:w="521" w:type="pct"/>
          </w:tcPr>
          <w:p w14:paraId="2A6625EA">
            <w:pPr>
              <w:pStyle w:val="109"/>
              <w:rPr>
                <w:color w:val="000000" w:themeColor="text1"/>
                <w14:textFill>
                  <w14:solidFill>
                    <w14:schemeClr w14:val="tx1"/>
                  </w14:solidFill>
                </w14:textFill>
              </w:rPr>
            </w:pPr>
            <w:r>
              <w:rPr>
                <w:color w:val="000000" w:themeColor="text1"/>
                <w14:textFill>
                  <w14:solidFill>
                    <w14:schemeClr w14:val="tx1"/>
                  </w14:solidFill>
                </w14:textFill>
              </w:rPr>
              <w:t>1.457</w:t>
            </w:r>
          </w:p>
        </w:tc>
        <w:tc>
          <w:tcPr>
            <w:tcW w:w="522" w:type="pct"/>
          </w:tcPr>
          <w:p w14:paraId="2BC94944">
            <w:pPr>
              <w:pStyle w:val="109"/>
              <w:rPr>
                <w:color w:val="000000" w:themeColor="text1"/>
                <w14:textFill>
                  <w14:solidFill>
                    <w14:schemeClr w14:val="tx1"/>
                  </w14:solidFill>
                </w14:textFill>
              </w:rPr>
            </w:pPr>
            <w:r>
              <w:rPr>
                <w:color w:val="000000" w:themeColor="text1"/>
                <w14:textFill>
                  <w14:solidFill>
                    <w14:schemeClr w14:val="tx1"/>
                  </w14:solidFill>
                </w14:textFill>
              </w:rPr>
              <w:t>0.963</w:t>
            </w:r>
          </w:p>
        </w:tc>
        <w:tc>
          <w:tcPr>
            <w:tcW w:w="522" w:type="pct"/>
          </w:tcPr>
          <w:p w14:paraId="640C8593">
            <w:pPr>
              <w:pStyle w:val="109"/>
              <w:rPr>
                <w:color w:val="000000" w:themeColor="text1"/>
                <w14:textFill>
                  <w14:solidFill>
                    <w14:schemeClr w14:val="tx1"/>
                  </w14:solidFill>
                </w14:textFill>
              </w:rPr>
            </w:pPr>
            <w:r>
              <w:rPr>
                <w:color w:val="000000" w:themeColor="text1"/>
                <w14:textFill>
                  <w14:solidFill>
                    <w14:schemeClr w14:val="tx1"/>
                  </w14:solidFill>
                </w14:textFill>
              </w:rPr>
              <w:t>0.568</w:t>
            </w:r>
          </w:p>
        </w:tc>
        <w:tc>
          <w:tcPr>
            <w:tcW w:w="522" w:type="pct"/>
          </w:tcPr>
          <w:p w14:paraId="4F6D4A5E">
            <w:pPr>
              <w:pStyle w:val="109"/>
              <w:rPr>
                <w:color w:val="000000" w:themeColor="text1"/>
                <w14:textFill>
                  <w14:solidFill>
                    <w14:schemeClr w14:val="tx1"/>
                  </w14:solidFill>
                </w14:textFill>
              </w:rPr>
            </w:pPr>
            <w:r>
              <w:rPr>
                <w:color w:val="000000" w:themeColor="text1"/>
                <w14:textFill>
                  <w14:solidFill>
                    <w14:schemeClr w14:val="tx1"/>
                  </w14:solidFill>
                </w14:textFill>
              </w:rPr>
              <w:t>0.570</w:t>
            </w:r>
          </w:p>
        </w:tc>
        <w:tc>
          <w:tcPr>
            <w:tcW w:w="522" w:type="pct"/>
          </w:tcPr>
          <w:p w14:paraId="2ECADC8E">
            <w:pPr>
              <w:pStyle w:val="109"/>
              <w:rPr>
                <w:color w:val="000000" w:themeColor="text1"/>
                <w14:textFill>
                  <w14:solidFill>
                    <w14:schemeClr w14:val="tx1"/>
                  </w14:solidFill>
                </w14:textFill>
              </w:rPr>
            </w:pPr>
            <w:r>
              <w:rPr>
                <w:color w:val="000000" w:themeColor="text1"/>
                <w14:textFill>
                  <w14:solidFill>
                    <w14:schemeClr w14:val="tx1"/>
                  </w14:solidFill>
                </w14:textFill>
              </w:rPr>
              <w:t>0.519</w:t>
            </w:r>
          </w:p>
        </w:tc>
        <w:tc>
          <w:tcPr>
            <w:tcW w:w="522" w:type="pct"/>
          </w:tcPr>
          <w:p w14:paraId="377BF659">
            <w:pPr>
              <w:pStyle w:val="109"/>
              <w:rPr>
                <w:color w:val="000000" w:themeColor="text1"/>
                <w14:textFill>
                  <w14:solidFill>
                    <w14:schemeClr w14:val="tx1"/>
                  </w14:solidFill>
                </w14:textFill>
              </w:rPr>
            </w:pPr>
            <w:r>
              <w:rPr>
                <w:color w:val="000000" w:themeColor="text1"/>
                <w14:textFill>
                  <w14:solidFill>
                    <w14:schemeClr w14:val="tx1"/>
                  </w14:solidFill>
                </w14:textFill>
              </w:rPr>
              <w:t>0.411</w:t>
            </w:r>
          </w:p>
        </w:tc>
        <w:tc>
          <w:tcPr>
            <w:tcW w:w="521" w:type="pct"/>
            <w:vMerge w:val="continue"/>
          </w:tcPr>
          <w:p w14:paraId="29A6881B">
            <w:pPr>
              <w:pStyle w:val="109"/>
              <w:rPr>
                <w:color w:val="000000" w:themeColor="text1"/>
                <w14:textFill>
                  <w14:solidFill>
                    <w14:schemeClr w14:val="tx1"/>
                  </w14:solidFill>
                </w14:textFill>
              </w:rPr>
            </w:pPr>
          </w:p>
        </w:tc>
      </w:tr>
      <w:tr w14:paraId="6EDE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674" w:type="pct"/>
            <w:vAlign w:val="center"/>
          </w:tcPr>
          <w:p w14:paraId="0B1D2848">
            <w:pPr>
              <w:pStyle w:val="109"/>
              <w:rPr>
                <w:color w:val="000000" w:themeColor="text1"/>
                <w14:textFill>
                  <w14:solidFill>
                    <w14:schemeClr w14:val="tx1"/>
                  </w14:solidFill>
                </w14:textFill>
              </w:rPr>
            </w:pPr>
            <w:r>
              <w:rPr>
                <w:color w:val="000000" w:themeColor="text1"/>
                <w14:textFill>
                  <w14:solidFill>
                    <w14:schemeClr w14:val="tx1"/>
                  </w14:solidFill>
                </w14:textFill>
              </w:rPr>
              <w:t>平  均</w:t>
            </w:r>
          </w:p>
        </w:tc>
        <w:tc>
          <w:tcPr>
            <w:tcW w:w="674" w:type="pct"/>
            <w:vAlign w:val="center"/>
          </w:tcPr>
          <w:p w14:paraId="789F0208">
            <w:pPr>
              <w:pStyle w:val="109"/>
              <w:rPr>
                <w:color w:val="000000" w:themeColor="text1"/>
                <w14:textFill>
                  <w14:solidFill>
                    <w14:schemeClr w14:val="tx1"/>
                  </w14:solidFill>
                </w14:textFill>
              </w:rPr>
            </w:pPr>
          </w:p>
        </w:tc>
        <w:tc>
          <w:tcPr>
            <w:tcW w:w="521" w:type="pct"/>
          </w:tcPr>
          <w:p w14:paraId="071DEFBC">
            <w:pPr>
              <w:pStyle w:val="109"/>
              <w:rPr>
                <w:color w:val="000000" w:themeColor="text1"/>
                <w14:textFill>
                  <w14:solidFill>
                    <w14:schemeClr w14:val="tx1"/>
                  </w14:solidFill>
                </w14:textFill>
              </w:rPr>
            </w:pPr>
            <w:r>
              <w:rPr>
                <w:color w:val="000000" w:themeColor="text1"/>
                <w14:textFill>
                  <w14:solidFill>
                    <w14:schemeClr w14:val="tx1"/>
                  </w14:solidFill>
                </w14:textFill>
              </w:rPr>
              <w:t>1.503</w:t>
            </w:r>
          </w:p>
        </w:tc>
        <w:tc>
          <w:tcPr>
            <w:tcW w:w="522" w:type="pct"/>
          </w:tcPr>
          <w:p w14:paraId="2282B878">
            <w:pPr>
              <w:pStyle w:val="109"/>
              <w:rPr>
                <w:color w:val="000000" w:themeColor="text1"/>
                <w14:textFill>
                  <w14:solidFill>
                    <w14:schemeClr w14:val="tx1"/>
                  </w14:solidFill>
                </w14:textFill>
              </w:rPr>
            </w:pPr>
            <w:r>
              <w:rPr>
                <w:color w:val="000000" w:themeColor="text1"/>
                <w14:textFill>
                  <w14:solidFill>
                    <w14:schemeClr w14:val="tx1"/>
                  </w14:solidFill>
                </w14:textFill>
              </w:rPr>
              <w:t>0.922</w:t>
            </w:r>
          </w:p>
        </w:tc>
        <w:tc>
          <w:tcPr>
            <w:tcW w:w="522" w:type="pct"/>
          </w:tcPr>
          <w:p w14:paraId="0BEB9DC7">
            <w:pPr>
              <w:pStyle w:val="109"/>
              <w:rPr>
                <w:color w:val="000000" w:themeColor="text1"/>
                <w14:textFill>
                  <w14:solidFill>
                    <w14:schemeClr w14:val="tx1"/>
                  </w14:solidFill>
                </w14:textFill>
              </w:rPr>
            </w:pPr>
            <w:r>
              <w:rPr>
                <w:color w:val="000000" w:themeColor="text1"/>
                <w14:textFill>
                  <w14:solidFill>
                    <w14:schemeClr w14:val="tx1"/>
                  </w14:solidFill>
                </w14:textFill>
              </w:rPr>
              <w:t>0.602</w:t>
            </w:r>
          </w:p>
        </w:tc>
        <w:tc>
          <w:tcPr>
            <w:tcW w:w="522" w:type="pct"/>
          </w:tcPr>
          <w:p w14:paraId="69108806">
            <w:pPr>
              <w:pStyle w:val="109"/>
              <w:rPr>
                <w:color w:val="000000" w:themeColor="text1"/>
                <w14:textFill>
                  <w14:solidFill>
                    <w14:schemeClr w14:val="tx1"/>
                  </w14:solidFill>
                </w14:textFill>
              </w:rPr>
            </w:pPr>
            <w:r>
              <w:rPr>
                <w:color w:val="000000" w:themeColor="text1"/>
                <w14:textFill>
                  <w14:solidFill>
                    <w14:schemeClr w14:val="tx1"/>
                  </w14:solidFill>
                </w14:textFill>
              </w:rPr>
              <w:t>0.591</w:t>
            </w:r>
          </w:p>
        </w:tc>
        <w:tc>
          <w:tcPr>
            <w:tcW w:w="522" w:type="pct"/>
          </w:tcPr>
          <w:p w14:paraId="3A3F38E1">
            <w:pPr>
              <w:pStyle w:val="109"/>
              <w:rPr>
                <w:color w:val="000000" w:themeColor="text1"/>
                <w14:textFill>
                  <w14:solidFill>
                    <w14:schemeClr w14:val="tx1"/>
                  </w14:solidFill>
                </w14:textFill>
              </w:rPr>
            </w:pPr>
            <w:r>
              <w:rPr>
                <w:color w:val="000000" w:themeColor="text1"/>
                <w14:textFill>
                  <w14:solidFill>
                    <w14:schemeClr w14:val="tx1"/>
                  </w14:solidFill>
                </w14:textFill>
              </w:rPr>
              <w:t>0.512</w:t>
            </w:r>
          </w:p>
        </w:tc>
        <w:tc>
          <w:tcPr>
            <w:tcW w:w="522" w:type="pct"/>
          </w:tcPr>
          <w:p w14:paraId="2675DC64">
            <w:pPr>
              <w:pStyle w:val="109"/>
              <w:rPr>
                <w:color w:val="000000" w:themeColor="text1"/>
                <w14:textFill>
                  <w14:solidFill>
                    <w14:schemeClr w14:val="tx1"/>
                  </w14:solidFill>
                </w14:textFill>
              </w:rPr>
            </w:pPr>
            <w:r>
              <w:rPr>
                <w:color w:val="000000" w:themeColor="text1"/>
                <w14:textFill>
                  <w14:solidFill>
                    <w14:schemeClr w14:val="tx1"/>
                  </w14:solidFill>
                </w14:textFill>
              </w:rPr>
              <w:t>0.406</w:t>
            </w:r>
          </w:p>
        </w:tc>
        <w:tc>
          <w:tcPr>
            <w:tcW w:w="521" w:type="pct"/>
            <w:vMerge w:val="continue"/>
          </w:tcPr>
          <w:p w14:paraId="1294BB34">
            <w:pPr>
              <w:pStyle w:val="109"/>
              <w:rPr>
                <w:color w:val="000000" w:themeColor="text1"/>
                <w14:textFill>
                  <w14:solidFill>
                    <w14:schemeClr w14:val="tx1"/>
                  </w14:solidFill>
                </w14:textFill>
              </w:rPr>
            </w:pPr>
          </w:p>
        </w:tc>
      </w:tr>
      <w:tr w14:paraId="3139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74" w:type="pct"/>
            <w:vAlign w:val="center"/>
          </w:tcPr>
          <w:p w14:paraId="657B47CD">
            <w:pPr>
              <w:pStyle w:val="109"/>
              <w:rPr>
                <w:color w:val="000000" w:themeColor="text1"/>
                <w14:textFill>
                  <w14:solidFill>
                    <w14:schemeClr w14:val="tx1"/>
                  </w14:solidFill>
                </w14:textFill>
              </w:rPr>
            </w:pPr>
            <w:r>
              <w:rPr>
                <w:color w:val="000000" w:themeColor="text1"/>
                <w14:textFill>
                  <w14:solidFill>
                    <w14:schemeClr w14:val="tx1"/>
                  </w14:solidFill>
                </w14:textFill>
              </w:rPr>
              <w:t>丙段工程</w:t>
            </w:r>
          </w:p>
        </w:tc>
        <w:tc>
          <w:tcPr>
            <w:tcW w:w="674" w:type="pct"/>
            <w:vAlign w:val="center"/>
          </w:tcPr>
          <w:p w14:paraId="457E7B95">
            <w:pPr>
              <w:pStyle w:val="109"/>
              <w:rPr>
                <w:color w:val="000000" w:themeColor="text1"/>
                <w14:textFill>
                  <w14:solidFill>
                    <w14:schemeClr w14:val="tx1"/>
                  </w14:solidFill>
                </w14:textFill>
              </w:rPr>
            </w:pPr>
            <w:r>
              <w:rPr>
                <w:color w:val="000000" w:themeColor="text1"/>
                <w14:textFill>
                  <w14:solidFill>
                    <w14:schemeClr w14:val="tx1"/>
                  </w14:solidFill>
                </w14:textFill>
              </w:rPr>
              <w:t>围金属板</w:t>
            </w:r>
          </w:p>
        </w:tc>
        <w:tc>
          <w:tcPr>
            <w:tcW w:w="521" w:type="pct"/>
          </w:tcPr>
          <w:p w14:paraId="2057E37D">
            <w:pPr>
              <w:pStyle w:val="109"/>
              <w:rPr>
                <w:color w:val="000000" w:themeColor="text1"/>
                <w14:textFill>
                  <w14:solidFill>
                    <w14:schemeClr w14:val="tx1"/>
                  </w14:solidFill>
                </w14:textFill>
              </w:rPr>
            </w:pPr>
            <w:r>
              <w:rPr>
                <w:color w:val="000000" w:themeColor="text1"/>
                <w14:textFill>
                  <w14:solidFill>
                    <w14:schemeClr w14:val="tx1"/>
                  </w14:solidFill>
                </w14:textFill>
              </w:rPr>
              <w:t>0.943</w:t>
            </w:r>
          </w:p>
        </w:tc>
        <w:tc>
          <w:tcPr>
            <w:tcW w:w="522" w:type="pct"/>
          </w:tcPr>
          <w:p w14:paraId="66BEFC83">
            <w:pPr>
              <w:pStyle w:val="109"/>
              <w:rPr>
                <w:color w:val="000000" w:themeColor="text1"/>
                <w14:textFill>
                  <w14:solidFill>
                    <w14:schemeClr w14:val="tx1"/>
                  </w14:solidFill>
                </w14:textFill>
              </w:rPr>
            </w:pPr>
            <w:r>
              <w:rPr>
                <w:color w:val="000000" w:themeColor="text1"/>
                <w14:textFill>
                  <w14:solidFill>
                    <w14:schemeClr w14:val="tx1"/>
                  </w14:solidFill>
                </w14:textFill>
              </w:rPr>
              <w:t>0.577</w:t>
            </w:r>
          </w:p>
        </w:tc>
        <w:tc>
          <w:tcPr>
            <w:tcW w:w="522" w:type="pct"/>
          </w:tcPr>
          <w:p w14:paraId="47EA2015">
            <w:pPr>
              <w:pStyle w:val="109"/>
              <w:rPr>
                <w:color w:val="000000" w:themeColor="text1"/>
                <w14:textFill>
                  <w14:solidFill>
                    <w14:schemeClr w14:val="tx1"/>
                  </w14:solidFill>
                </w14:textFill>
              </w:rPr>
            </w:pPr>
            <w:r>
              <w:rPr>
                <w:color w:val="000000" w:themeColor="text1"/>
                <w14:textFill>
                  <w14:solidFill>
                    <w14:schemeClr w14:val="tx1"/>
                  </w14:solidFill>
                </w14:textFill>
              </w:rPr>
              <w:t>0.416</w:t>
            </w:r>
          </w:p>
        </w:tc>
        <w:tc>
          <w:tcPr>
            <w:tcW w:w="522" w:type="pct"/>
          </w:tcPr>
          <w:p w14:paraId="7BDD8E15">
            <w:pPr>
              <w:pStyle w:val="109"/>
              <w:rPr>
                <w:color w:val="000000" w:themeColor="text1"/>
                <w14:textFill>
                  <w14:solidFill>
                    <w14:schemeClr w14:val="tx1"/>
                  </w14:solidFill>
                </w14:textFill>
              </w:rPr>
            </w:pPr>
            <w:r>
              <w:rPr>
                <w:color w:val="000000" w:themeColor="text1"/>
                <w14:textFill>
                  <w14:solidFill>
                    <w14:schemeClr w14:val="tx1"/>
                  </w14:solidFill>
                </w14:textFill>
              </w:rPr>
              <w:t>0.424</w:t>
            </w:r>
          </w:p>
        </w:tc>
        <w:tc>
          <w:tcPr>
            <w:tcW w:w="522" w:type="pct"/>
          </w:tcPr>
          <w:p w14:paraId="7DA0AE44">
            <w:pPr>
              <w:pStyle w:val="109"/>
              <w:rPr>
                <w:color w:val="000000" w:themeColor="text1"/>
                <w14:textFill>
                  <w14:solidFill>
                    <w14:schemeClr w14:val="tx1"/>
                  </w14:solidFill>
                </w14:textFill>
              </w:rPr>
            </w:pPr>
            <w:r>
              <w:rPr>
                <w:color w:val="000000" w:themeColor="text1"/>
                <w14:textFill>
                  <w14:solidFill>
                    <w14:schemeClr w14:val="tx1"/>
                  </w14:solidFill>
                </w14:textFill>
              </w:rPr>
              <w:t>0.417</w:t>
            </w:r>
          </w:p>
        </w:tc>
        <w:tc>
          <w:tcPr>
            <w:tcW w:w="522" w:type="pct"/>
          </w:tcPr>
          <w:p w14:paraId="184A639D">
            <w:pPr>
              <w:pStyle w:val="109"/>
              <w:rPr>
                <w:color w:val="000000" w:themeColor="text1"/>
                <w14:textFill>
                  <w14:solidFill>
                    <w14:schemeClr w14:val="tx1"/>
                  </w14:solidFill>
                </w14:textFill>
              </w:rPr>
            </w:pPr>
            <w:r>
              <w:rPr>
                <w:color w:val="000000" w:themeColor="text1"/>
                <w14:textFill>
                  <w14:solidFill>
                    <w14:schemeClr w14:val="tx1"/>
                  </w14:solidFill>
                </w14:textFill>
              </w:rPr>
              <w:t>0.420</w:t>
            </w:r>
          </w:p>
        </w:tc>
        <w:tc>
          <w:tcPr>
            <w:tcW w:w="521" w:type="pct"/>
            <w:vMerge w:val="restart"/>
            <w:vAlign w:val="center"/>
          </w:tcPr>
          <w:p w14:paraId="78DC29B7">
            <w:pPr>
              <w:pStyle w:val="109"/>
              <w:rPr>
                <w:color w:val="000000" w:themeColor="text1"/>
                <w14:textFill>
                  <w14:solidFill>
                    <w14:schemeClr w14:val="tx1"/>
                  </w14:solidFill>
                </w14:textFill>
              </w:rPr>
            </w:pPr>
            <w:r>
              <w:rPr>
                <w:color w:val="000000" w:themeColor="text1"/>
                <w14:textFill>
                  <w14:solidFill>
                    <w14:schemeClr w14:val="tx1"/>
                  </w14:solidFill>
                </w14:textFill>
              </w:rPr>
              <w:t>0.419</w:t>
            </w:r>
          </w:p>
        </w:tc>
      </w:tr>
      <w:tr w14:paraId="5570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674" w:type="pct"/>
            <w:vAlign w:val="center"/>
          </w:tcPr>
          <w:p w14:paraId="7E671F3F">
            <w:pPr>
              <w:pStyle w:val="109"/>
              <w:rPr>
                <w:color w:val="000000" w:themeColor="text1"/>
                <w14:textFill>
                  <w14:solidFill>
                    <w14:schemeClr w14:val="tx1"/>
                  </w14:solidFill>
                </w14:textFill>
              </w:rPr>
            </w:pPr>
            <w:r>
              <w:rPr>
                <w:color w:val="000000" w:themeColor="text1"/>
                <w14:textFill>
                  <w14:solidFill>
                    <w14:schemeClr w14:val="tx1"/>
                  </w14:solidFill>
                </w14:textFill>
              </w:rPr>
              <w:t>丁段工程</w:t>
            </w:r>
          </w:p>
        </w:tc>
        <w:tc>
          <w:tcPr>
            <w:tcW w:w="674" w:type="pct"/>
            <w:vAlign w:val="center"/>
          </w:tcPr>
          <w:p w14:paraId="5526B5D0">
            <w:pPr>
              <w:pStyle w:val="109"/>
              <w:rPr>
                <w:color w:val="000000" w:themeColor="text1"/>
                <w14:textFill>
                  <w14:solidFill>
                    <w14:schemeClr w14:val="tx1"/>
                  </w14:solidFill>
                </w14:textFill>
              </w:rPr>
            </w:pPr>
            <w:r>
              <w:rPr>
                <w:color w:val="000000" w:themeColor="text1"/>
                <w14:textFill>
                  <w14:solidFill>
                    <w14:schemeClr w14:val="tx1"/>
                  </w14:solidFill>
                </w14:textFill>
              </w:rPr>
              <w:t>围彩条布</w:t>
            </w:r>
          </w:p>
        </w:tc>
        <w:tc>
          <w:tcPr>
            <w:tcW w:w="521" w:type="pct"/>
          </w:tcPr>
          <w:p w14:paraId="4919C534">
            <w:pPr>
              <w:pStyle w:val="109"/>
              <w:rPr>
                <w:color w:val="000000" w:themeColor="text1"/>
                <w14:textFill>
                  <w14:solidFill>
                    <w14:schemeClr w14:val="tx1"/>
                  </w14:solidFill>
                </w14:textFill>
              </w:rPr>
            </w:pPr>
            <w:r>
              <w:rPr>
                <w:color w:val="000000" w:themeColor="text1"/>
                <w14:textFill>
                  <w14:solidFill>
                    <w14:schemeClr w14:val="tx1"/>
                  </w14:solidFill>
                </w14:textFill>
              </w:rPr>
              <w:t>1.105</w:t>
            </w:r>
          </w:p>
        </w:tc>
        <w:tc>
          <w:tcPr>
            <w:tcW w:w="522" w:type="pct"/>
          </w:tcPr>
          <w:p w14:paraId="7CAF3128">
            <w:pPr>
              <w:pStyle w:val="109"/>
              <w:rPr>
                <w:color w:val="000000" w:themeColor="text1"/>
                <w14:textFill>
                  <w14:solidFill>
                    <w14:schemeClr w14:val="tx1"/>
                  </w14:solidFill>
                </w14:textFill>
              </w:rPr>
            </w:pPr>
            <w:r>
              <w:rPr>
                <w:color w:val="000000" w:themeColor="text1"/>
                <w14:textFill>
                  <w14:solidFill>
                    <w14:schemeClr w14:val="tx1"/>
                  </w14:solidFill>
                </w14:textFill>
              </w:rPr>
              <w:t>0.647</w:t>
            </w:r>
          </w:p>
        </w:tc>
        <w:tc>
          <w:tcPr>
            <w:tcW w:w="522" w:type="pct"/>
          </w:tcPr>
          <w:p w14:paraId="67FDC07E">
            <w:pPr>
              <w:pStyle w:val="109"/>
              <w:rPr>
                <w:color w:val="000000" w:themeColor="text1"/>
                <w14:textFill>
                  <w14:solidFill>
                    <w14:schemeClr w14:val="tx1"/>
                  </w14:solidFill>
                </w14:textFill>
              </w:rPr>
            </w:pPr>
            <w:r>
              <w:rPr>
                <w:color w:val="000000" w:themeColor="text1"/>
                <w14:textFill>
                  <w14:solidFill>
                    <w14:schemeClr w14:val="tx1"/>
                  </w14:solidFill>
                </w14:textFill>
              </w:rPr>
              <w:t>0.453</w:t>
            </w:r>
          </w:p>
        </w:tc>
        <w:tc>
          <w:tcPr>
            <w:tcW w:w="522" w:type="pct"/>
          </w:tcPr>
          <w:p w14:paraId="0CCE9072">
            <w:pPr>
              <w:pStyle w:val="109"/>
              <w:rPr>
                <w:color w:val="000000" w:themeColor="text1"/>
                <w14:textFill>
                  <w14:solidFill>
                    <w14:schemeClr w14:val="tx1"/>
                  </w14:solidFill>
                </w14:textFill>
              </w:rPr>
            </w:pPr>
            <w:r>
              <w:rPr>
                <w:color w:val="000000" w:themeColor="text1"/>
                <w14:textFill>
                  <w14:solidFill>
                    <w14:schemeClr w14:val="tx1"/>
                  </w14:solidFill>
                </w14:textFill>
              </w:rPr>
              <w:t>0.420</w:t>
            </w:r>
          </w:p>
        </w:tc>
        <w:tc>
          <w:tcPr>
            <w:tcW w:w="522" w:type="pct"/>
          </w:tcPr>
          <w:p w14:paraId="6B8823C1">
            <w:pPr>
              <w:pStyle w:val="109"/>
              <w:rPr>
                <w:color w:val="000000" w:themeColor="text1"/>
                <w14:textFill>
                  <w14:solidFill>
                    <w14:schemeClr w14:val="tx1"/>
                  </w14:solidFill>
                </w14:textFill>
              </w:rPr>
            </w:pPr>
            <w:r>
              <w:rPr>
                <w:color w:val="000000" w:themeColor="text1"/>
                <w14:textFill>
                  <w14:solidFill>
                    <w14:schemeClr w14:val="tx1"/>
                  </w14:solidFill>
                </w14:textFill>
              </w:rPr>
              <w:t>0.421</w:t>
            </w:r>
          </w:p>
        </w:tc>
        <w:tc>
          <w:tcPr>
            <w:tcW w:w="522" w:type="pct"/>
          </w:tcPr>
          <w:p w14:paraId="60D081BF">
            <w:pPr>
              <w:pStyle w:val="109"/>
              <w:rPr>
                <w:color w:val="000000" w:themeColor="text1"/>
                <w14:textFill>
                  <w14:solidFill>
                    <w14:schemeClr w14:val="tx1"/>
                  </w14:solidFill>
                </w14:textFill>
              </w:rPr>
            </w:pPr>
            <w:r>
              <w:rPr>
                <w:color w:val="000000" w:themeColor="text1"/>
                <w14:textFill>
                  <w14:solidFill>
                    <w14:schemeClr w14:val="tx1"/>
                  </w14:solidFill>
                </w14:textFill>
              </w:rPr>
              <w:t>0.417</w:t>
            </w:r>
          </w:p>
        </w:tc>
        <w:tc>
          <w:tcPr>
            <w:tcW w:w="521" w:type="pct"/>
            <w:vMerge w:val="continue"/>
          </w:tcPr>
          <w:p w14:paraId="3A0E661C">
            <w:pPr>
              <w:pStyle w:val="109"/>
              <w:rPr>
                <w:color w:val="000000" w:themeColor="text1"/>
                <w14:textFill>
                  <w14:solidFill>
                    <w14:schemeClr w14:val="tx1"/>
                  </w14:solidFill>
                </w14:textFill>
              </w:rPr>
            </w:pPr>
          </w:p>
        </w:tc>
      </w:tr>
      <w:tr w14:paraId="104D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74" w:type="pct"/>
            <w:vAlign w:val="center"/>
          </w:tcPr>
          <w:p w14:paraId="4A54C33C">
            <w:pPr>
              <w:pStyle w:val="109"/>
              <w:rPr>
                <w:color w:val="000000" w:themeColor="text1"/>
                <w14:textFill>
                  <w14:solidFill>
                    <w14:schemeClr w14:val="tx1"/>
                  </w14:solidFill>
                </w14:textFill>
              </w:rPr>
            </w:pPr>
            <w:r>
              <w:rPr>
                <w:color w:val="000000" w:themeColor="text1"/>
                <w14:textFill>
                  <w14:solidFill>
                    <w14:schemeClr w14:val="tx1"/>
                  </w14:solidFill>
                </w14:textFill>
              </w:rPr>
              <w:t>平  均</w:t>
            </w:r>
          </w:p>
        </w:tc>
        <w:tc>
          <w:tcPr>
            <w:tcW w:w="674" w:type="pct"/>
            <w:vAlign w:val="center"/>
          </w:tcPr>
          <w:p w14:paraId="30D2A5B8">
            <w:pPr>
              <w:pStyle w:val="109"/>
              <w:rPr>
                <w:color w:val="000000" w:themeColor="text1"/>
                <w14:textFill>
                  <w14:solidFill>
                    <w14:schemeClr w14:val="tx1"/>
                  </w14:solidFill>
                </w14:textFill>
              </w:rPr>
            </w:pPr>
          </w:p>
        </w:tc>
        <w:tc>
          <w:tcPr>
            <w:tcW w:w="521" w:type="pct"/>
          </w:tcPr>
          <w:p w14:paraId="1C2C6447">
            <w:pPr>
              <w:pStyle w:val="109"/>
              <w:rPr>
                <w:color w:val="000000" w:themeColor="text1"/>
                <w14:textFill>
                  <w14:solidFill>
                    <w14:schemeClr w14:val="tx1"/>
                  </w14:solidFill>
                </w14:textFill>
              </w:rPr>
            </w:pPr>
            <w:r>
              <w:rPr>
                <w:color w:val="000000" w:themeColor="text1"/>
                <w14:textFill>
                  <w14:solidFill>
                    <w14:schemeClr w14:val="tx1"/>
                  </w14:solidFill>
                </w14:textFill>
              </w:rPr>
              <w:t>1.024</w:t>
            </w:r>
          </w:p>
        </w:tc>
        <w:tc>
          <w:tcPr>
            <w:tcW w:w="522" w:type="pct"/>
          </w:tcPr>
          <w:p w14:paraId="6E0FC8DD">
            <w:pPr>
              <w:pStyle w:val="109"/>
              <w:rPr>
                <w:color w:val="000000" w:themeColor="text1"/>
                <w14:textFill>
                  <w14:solidFill>
                    <w14:schemeClr w14:val="tx1"/>
                  </w14:solidFill>
                </w14:textFill>
              </w:rPr>
            </w:pPr>
            <w:r>
              <w:rPr>
                <w:color w:val="000000" w:themeColor="text1"/>
                <w14:textFill>
                  <w14:solidFill>
                    <w14:schemeClr w14:val="tx1"/>
                  </w14:solidFill>
                </w14:textFill>
              </w:rPr>
              <w:t>0.626</w:t>
            </w:r>
          </w:p>
        </w:tc>
        <w:tc>
          <w:tcPr>
            <w:tcW w:w="522" w:type="pct"/>
          </w:tcPr>
          <w:p w14:paraId="6E99B4A7">
            <w:pPr>
              <w:pStyle w:val="109"/>
              <w:rPr>
                <w:color w:val="000000" w:themeColor="text1"/>
                <w14:textFill>
                  <w14:solidFill>
                    <w14:schemeClr w14:val="tx1"/>
                  </w14:solidFill>
                </w14:textFill>
              </w:rPr>
            </w:pPr>
            <w:r>
              <w:rPr>
                <w:color w:val="000000" w:themeColor="text1"/>
                <w14:textFill>
                  <w14:solidFill>
                    <w14:schemeClr w14:val="tx1"/>
                  </w14:solidFill>
                </w14:textFill>
              </w:rPr>
              <w:t>0.435</w:t>
            </w:r>
          </w:p>
        </w:tc>
        <w:tc>
          <w:tcPr>
            <w:tcW w:w="522" w:type="pct"/>
          </w:tcPr>
          <w:p w14:paraId="19B459F0">
            <w:pPr>
              <w:pStyle w:val="109"/>
              <w:rPr>
                <w:color w:val="000000" w:themeColor="text1"/>
                <w14:textFill>
                  <w14:solidFill>
                    <w14:schemeClr w14:val="tx1"/>
                  </w14:solidFill>
                </w14:textFill>
              </w:rPr>
            </w:pPr>
            <w:r>
              <w:rPr>
                <w:color w:val="000000" w:themeColor="text1"/>
                <w14:textFill>
                  <w14:solidFill>
                    <w14:schemeClr w14:val="tx1"/>
                  </w14:solidFill>
                </w14:textFill>
              </w:rPr>
              <w:t>0.421</w:t>
            </w:r>
          </w:p>
        </w:tc>
        <w:tc>
          <w:tcPr>
            <w:tcW w:w="522" w:type="pct"/>
          </w:tcPr>
          <w:p w14:paraId="36EB1BFD">
            <w:pPr>
              <w:pStyle w:val="109"/>
              <w:rPr>
                <w:color w:val="000000" w:themeColor="text1"/>
                <w14:textFill>
                  <w14:solidFill>
                    <w14:schemeClr w14:val="tx1"/>
                  </w14:solidFill>
                </w14:textFill>
              </w:rPr>
            </w:pPr>
            <w:r>
              <w:rPr>
                <w:color w:val="000000" w:themeColor="text1"/>
                <w14:textFill>
                  <w14:solidFill>
                    <w14:schemeClr w14:val="tx1"/>
                  </w14:solidFill>
                </w14:textFill>
              </w:rPr>
              <w:t>0.419</w:t>
            </w:r>
          </w:p>
        </w:tc>
        <w:tc>
          <w:tcPr>
            <w:tcW w:w="522" w:type="pct"/>
          </w:tcPr>
          <w:p w14:paraId="749D7D8B">
            <w:pPr>
              <w:pStyle w:val="109"/>
              <w:rPr>
                <w:color w:val="000000" w:themeColor="text1"/>
                <w14:textFill>
                  <w14:solidFill>
                    <w14:schemeClr w14:val="tx1"/>
                  </w14:solidFill>
                </w14:textFill>
              </w:rPr>
            </w:pPr>
            <w:r>
              <w:rPr>
                <w:color w:val="000000" w:themeColor="text1"/>
                <w14:textFill>
                  <w14:solidFill>
                    <w14:schemeClr w14:val="tx1"/>
                  </w14:solidFill>
                </w14:textFill>
              </w:rPr>
              <w:t>0.419</w:t>
            </w:r>
          </w:p>
        </w:tc>
        <w:tc>
          <w:tcPr>
            <w:tcW w:w="521" w:type="pct"/>
            <w:vMerge w:val="continue"/>
          </w:tcPr>
          <w:p w14:paraId="58E62605">
            <w:pPr>
              <w:pStyle w:val="109"/>
              <w:rPr>
                <w:color w:val="000000" w:themeColor="text1"/>
                <w14:textFill>
                  <w14:solidFill>
                    <w14:schemeClr w14:val="tx1"/>
                  </w14:solidFill>
                </w14:textFill>
              </w:rPr>
            </w:pPr>
          </w:p>
        </w:tc>
      </w:tr>
    </w:tbl>
    <w:p w14:paraId="06CD4FD7">
      <w:pPr>
        <w:ind w:firstLine="480"/>
        <w:rPr>
          <w:color w:val="000000" w:themeColor="text1"/>
          <w14:textFill>
            <w14:solidFill>
              <w14:schemeClr w14:val="tx1"/>
            </w14:solidFill>
          </w14:textFill>
        </w:rPr>
      </w:pPr>
      <w:r>
        <w:rPr>
          <w:color w:val="000000" w:themeColor="text1"/>
          <w14:textFill>
            <w14:solidFill>
              <w14:schemeClr w14:val="tx1"/>
            </w14:solidFill>
          </w14:textFill>
        </w:rPr>
        <w:t>从上表可以看出：</w:t>
      </w:r>
    </w:p>
    <w:p w14:paraId="0D7CB1EB">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⑴</w:t>
      </w:r>
      <w:r>
        <w:rPr>
          <w:color w:val="000000" w:themeColor="text1"/>
          <w14:textFill>
            <w14:solidFill>
              <w14:schemeClr w14:val="tx1"/>
            </w14:solidFill>
          </w14:textFill>
        </w:rPr>
        <w:t xml:space="preserve"> 无围栏施工时，施工场地下风向20～200m范围内TSP浓度为1.503～0.512mg/m³，均远大于上风向对照点浓度。在下风向距离250m处TSP浓度趋近于上风向对照点浓度。</w:t>
      </w:r>
    </w:p>
    <w:p w14:paraId="03C22A70">
      <w:pPr>
        <w:ind w:firstLine="480"/>
        <w:rPr>
          <w:bCs/>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⑵</w:t>
      </w:r>
      <w:r>
        <w:rPr>
          <w:color w:val="000000" w:themeColor="text1"/>
          <w14:textFill>
            <w14:solidFill>
              <w14:schemeClr w14:val="tx1"/>
            </w14:solidFill>
          </w14:textFill>
        </w:rPr>
        <w:t xml:space="preserve"> 有围栏施工时，施工场地下风向20～200m范围内TSP浓度为0.419～1.024mg/m³；在下风向距离200m处TSP趋于上风向对照点浓度。</w:t>
      </w:r>
    </w:p>
    <w:p w14:paraId="4AE2C8A7">
      <w:pPr>
        <w:ind w:firstLine="480"/>
        <w:rPr>
          <w:bCs/>
          <w:color w:val="000000" w:themeColor="text1"/>
          <w14:textFill>
            <w14:solidFill>
              <w14:schemeClr w14:val="tx1"/>
            </w14:solidFill>
          </w14:textFill>
        </w:rPr>
      </w:pPr>
      <w:r>
        <w:rPr>
          <w:color w:val="000000" w:themeColor="text1"/>
          <w14:textFill>
            <w14:solidFill>
              <w14:schemeClr w14:val="tx1"/>
            </w14:solidFill>
          </w14:textFill>
        </w:rPr>
        <w:t>项目在建设施工时，施工场界设置围栏，辅以现场洒水防尘，能有效地减小施工扬尘的影响范围。施工</w:t>
      </w:r>
      <w:r>
        <w:rPr>
          <w:bCs/>
          <w:color w:val="000000" w:themeColor="text1"/>
          <w14:textFill>
            <w14:solidFill>
              <w14:schemeClr w14:val="tx1"/>
            </w14:solidFill>
          </w14:textFill>
        </w:rPr>
        <w:t>扬尘影响范围主要在下风向距离200m范围内，超标范围在下风向100m范围。在当地大风情况下，影响范围则较大一些。</w:t>
      </w:r>
      <w:r>
        <w:rPr>
          <w:color w:val="000000" w:themeColor="text1"/>
          <w14:textFill>
            <w14:solidFill>
              <w14:schemeClr w14:val="tx1"/>
            </w14:solidFill>
          </w14:textFill>
        </w:rPr>
        <w:t>这种影响是局部的、短期的，项目建设完成之后影响就会消失。</w:t>
      </w:r>
    </w:p>
    <w:p w14:paraId="793890D2">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大气治理措施</w:t>
      </w:r>
    </w:p>
    <w:p w14:paraId="0A18C68C">
      <w:pPr>
        <w:ind w:firstLine="480"/>
        <w:textAlignment w:val="baseline"/>
        <w:rPr>
          <w:color w:val="000000" w:themeColor="text1"/>
          <w14:textFill>
            <w14:solidFill>
              <w14:schemeClr w14:val="tx1"/>
            </w14:solidFill>
          </w14:textFill>
        </w:rPr>
      </w:pPr>
      <w:r>
        <w:rPr>
          <w:color w:val="000000" w:themeColor="text1"/>
          <w14:textFill>
            <w14:solidFill>
              <w14:schemeClr w14:val="tx1"/>
            </w14:solidFill>
          </w14:textFill>
        </w:rPr>
        <w:t>根据国务院《关于印发大气污染防治行动计划的通知》（国发[2013]37号）、《新疆维吾尔自治区大气污染防治条例》《建筑工程施工现场扬尘污染防治标准》（XJJ119-2020，2020-05-01 实施）《建筑工程施工现场扬尘防治实施细则》（2020 年）等文件中的有关规定要求制定如下的扬尘防治措施：</w:t>
      </w:r>
    </w:p>
    <w:p w14:paraId="73859EE1">
      <w:pPr>
        <w:ind w:firstLine="480"/>
        <w:rPr>
          <w:color w:val="000000" w:themeColor="text1"/>
          <w14:textFill>
            <w14:solidFill>
              <w14:schemeClr w14:val="tx1"/>
            </w14:solidFill>
          </w14:textFill>
        </w:rPr>
      </w:pPr>
      <w:r>
        <w:rPr>
          <w:color w:val="000000" w:themeColor="text1"/>
          <w14:textFill>
            <w14:solidFill>
              <w14:schemeClr w14:val="tx1"/>
            </w14:solidFill>
          </w14:textFill>
        </w:rPr>
        <w:t>1. 施工围挡与封闭管理</w:t>
      </w:r>
    </w:p>
    <w:p w14:paraId="682D1C84">
      <w:pPr>
        <w:ind w:firstLine="480"/>
        <w:rPr>
          <w:color w:val="000000" w:themeColor="text1"/>
          <w14:textFill>
            <w14:solidFill>
              <w14:schemeClr w14:val="tx1"/>
            </w14:solidFill>
          </w14:textFill>
        </w:rPr>
      </w:pPr>
      <w:r>
        <w:rPr>
          <w:color w:val="000000" w:themeColor="text1"/>
          <w14:textFill>
            <w14:solidFill>
              <w14:schemeClr w14:val="tx1"/>
            </w14:solidFill>
          </w14:textFill>
        </w:rPr>
        <w:t>施工现场沿边界连续、密闭设置硬质围挡，做到全封闭施工。</w:t>
      </w:r>
    </w:p>
    <w:p w14:paraId="25ABDAAF">
      <w:pPr>
        <w:ind w:firstLine="480"/>
        <w:rPr>
          <w:color w:val="000000" w:themeColor="text1"/>
          <w14:textFill>
            <w14:solidFill>
              <w14:schemeClr w14:val="tx1"/>
            </w14:solidFill>
          </w14:textFill>
        </w:rPr>
      </w:pPr>
      <w:r>
        <w:rPr>
          <w:color w:val="000000" w:themeColor="text1"/>
          <w14:textFill>
            <w14:solidFill>
              <w14:schemeClr w14:val="tx1"/>
            </w14:solidFill>
          </w14:textFill>
        </w:rPr>
        <w:t>围挡坚固、整洁、无破损，顶部宜设置喷淋降尘系统。</w:t>
      </w:r>
    </w:p>
    <w:p w14:paraId="4CF1202C">
      <w:pPr>
        <w:ind w:firstLine="480"/>
        <w:rPr>
          <w:color w:val="000000" w:themeColor="text1"/>
          <w14:textFill>
            <w14:solidFill>
              <w14:schemeClr w14:val="tx1"/>
            </w14:solidFill>
          </w14:textFill>
        </w:rPr>
      </w:pPr>
      <w:r>
        <w:rPr>
          <w:color w:val="000000" w:themeColor="text1"/>
          <w14:textFill>
            <w14:solidFill>
              <w14:schemeClr w14:val="tx1"/>
            </w14:solidFill>
          </w14:textFill>
        </w:rPr>
        <w:t>出入口设置大门、门禁及车辆冲洗平台，非作业时间关闭围挡。</w:t>
      </w:r>
    </w:p>
    <w:p w14:paraId="596C2574">
      <w:pPr>
        <w:ind w:firstLine="480"/>
        <w:rPr>
          <w:color w:val="000000" w:themeColor="text1"/>
          <w14:textFill>
            <w14:solidFill>
              <w14:schemeClr w14:val="tx1"/>
            </w14:solidFill>
          </w14:textFill>
        </w:rPr>
      </w:pPr>
      <w:r>
        <w:rPr>
          <w:color w:val="000000" w:themeColor="text1"/>
          <w14:textFill>
            <w14:solidFill>
              <w14:schemeClr w14:val="tx1"/>
            </w14:solidFill>
          </w14:textFill>
        </w:rPr>
        <w:t>2. 场内道路与场地硬化</w:t>
      </w:r>
    </w:p>
    <w:p w14:paraId="24E5BB71">
      <w:pPr>
        <w:ind w:firstLine="480"/>
        <w:rPr>
          <w:color w:val="000000" w:themeColor="text1"/>
          <w14:textFill>
            <w14:solidFill>
              <w14:schemeClr w14:val="tx1"/>
            </w14:solidFill>
          </w14:textFill>
        </w:rPr>
      </w:pPr>
      <w:r>
        <w:rPr>
          <w:color w:val="000000" w:themeColor="text1"/>
          <w14:textFill>
            <w14:solidFill>
              <w14:schemeClr w14:val="tx1"/>
            </w14:solidFill>
          </w14:textFill>
        </w:rPr>
        <w:t>施工出入口、场内主干道、材料堆放区、加工区、机械停放区全部硬化处理。</w:t>
      </w:r>
    </w:p>
    <w:p w14:paraId="1C54B1E6">
      <w:pPr>
        <w:ind w:firstLine="480"/>
        <w:rPr>
          <w:color w:val="000000" w:themeColor="text1"/>
          <w14:textFill>
            <w14:solidFill>
              <w14:schemeClr w14:val="tx1"/>
            </w14:solidFill>
          </w14:textFill>
        </w:rPr>
      </w:pPr>
      <w:r>
        <w:rPr>
          <w:color w:val="000000" w:themeColor="text1"/>
          <w14:textFill>
            <w14:solidFill>
              <w14:schemeClr w14:val="tx1"/>
            </w14:solidFill>
          </w14:textFill>
        </w:rPr>
        <w:t>硬化路面平整、无破损、无积尘，定期清扫、洒水。</w:t>
      </w:r>
    </w:p>
    <w:p w14:paraId="783981D8">
      <w:pPr>
        <w:ind w:firstLine="480"/>
        <w:rPr>
          <w:color w:val="000000" w:themeColor="text1"/>
          <w14:textFill>
            <w14:solidFill>
              <w14:schemeClr w14:val="tx1"/>
            </w14:solidFill>
          </w14:textFill>
        </w:rPr>
      </w:pPr>
      <w:r>
        <w:rPr>
          <w:color w:val="000000" w:themeColor="text1"/>
          <w14:textFill>
            <w14:solidFill>
              <w14:schemeClr w14:val="tx1"/>
            </w14:solidFill>
          </w14:textFill>
        </w:rPr>
        <w:t>临时便道采用碎石铺垫或硬化，定期洒水降尘。</w:t>
      </w:r>
    </w:p>
    <w:p w14:paraId="51372BA3">
      <w:pPr>
        <w:ind w:firstLine="480"/>
        <w:rPr>
          <w:color w:val="000000" w:themeColor="text1"/>
          <w14:textFill>
            <w14:solidFill>
              <w14:schemeClr w14:val="tx1"/>
            </w14:solidFill>
          </w14:textFill>
        </w:rPr>
      </w:pPr>
      <w:r>
        <w:rPr>
          <w:color w:val="000000" w:themeColor="text1"/>
          <w14:textFill>
            <w14:solidFill>
              <w14:schemeClr w14:val="tx1"/>
            </w14:solidFill>
          </w14:textFill>
        </w:rPr>
        <w:t>3. 裸土与易扬尘物料覆盖</w:t>
      </w:r>
    </w:p>
    <w:p w14:paraId="4C91E2E8">
      <w:pPr>
        <w:ind w:firstLine="480"/>
        <w:rPr>
          <w:color w:val="000000" w:themeColor="text1"/>
          <w14:textFill>
            <w14:solidFill>
              <w14:schemeClr w14:val="tx1"/>
            </w14:solidFill>
          </w14:textFill>
        </w:rPr>
      </w:pPr>
      <w:r>
        <w:rPr>
          <w:color w:val="000000" w:themeColor="text1"/>
          <w14:textFill>
            <w14:solidFill>
              <w14:schemeClr w14:val="tx1"/>
            </w14:solidFill>
          </w14:textFill>
        </w:rPr>
        <w:t>施工现场裸土、临时堆土、边坡、闲置场地100% 覆盖。</w:t>
      </w:r>
    </w:p>
    <w:p w14:paraId="13BABE31">
      <w:pPr>
        <w:ind w:firstLine="480"/>
        <w:rPr>
          <w:color w:val="000000" w:themeColor="text1"/>
          <w14:textFill>
            <w14:solidFill>
              <w14:schemeClr w14:val="tx1"/>
            </w14:solidFill>
          </w14:textFill>
        </w:rPr>
      </w:pPr>
      <w:r>
        <w:rPr>
          <w:color w:val="000000" w:themeColor="text1"/>
          <w14:textFill>
            <w14:solidFill>
              <w14:schemeClr w14:val="tx1"/>
            </w14:solidFill>
          </w14:textFill>
        </w:rPr>
        <w:t>防尘网满足质量要求（≥30 g/㎡），铺设平整、压实、无破损、无裸露。</w:t>
      </w:r>
    </w:p>
    <w:p w14:paraId="7E1F2474">
      <w:pPr>
        <w:ind w:firstLine="480"/>
        <w:rPr>
          <w:color w:val="000000" w:themeColor="text1"/>
          <w14:textFill>
            <w14:solidFill>
              <w14:schemeClr w14:val="tx1"/>
            </w14:solidFill>
          </w14:textFill>
        </w:rPr>
      </w:pPr>
      <w:r>
        <w:rPr>
          <w:color w:val="000000" w:themeColor="text1"/>
          <w14:textFill>
            <w14:solidFill>
              <w14:schemeClr w14:val="tx1"/>
            </w14:solidFill>
          </w14:textFill>
        </w:rPr>
        <w:t>砂石、灰土、灰浆等易起尘物料入库或封闭遮盖，不得露天长期堆放。</w:t>
      </w:r>
    </w:p>
    <w:p w14:paraId="0BC6815C">
      <w:pPr>
        <w:ind w:firstLine="480"/>
        <w:rPr>
          <w:color w:val="000000" w:themeColor="text1"/>
          <w14:textFill>
            <w14:solidFill>
              <w14:schemeClr w14:val="tx1"/>
            </w14:solidFill>
          </w14:textFill>
        </w:rPr>
      </w:pPr>
      <w:r>
        <w:rPr>
          <w:color w:val="000000" w:themeColor="text1"/>
          <w14:textFill>
            <w14:solidFill>
              <w14:schemeClr w14:val="tx1"/>
            </w14:solidFill>
          </w14:textFill>
        </w:rPr>
        <w:t>长期闲置场地优先采取绿化、铺装或防尘网全覆盖。</w:t>
      </w:r>
    </w:p>
    <w:p w14:paraId="595D6CC7">
      <w:pPr>
        <w:ind w:firstLine="480"/>
        <w:rPr>
          <w:color w:val="000000" w:themeColor="text1"/>
          <w14:textFill>
            <w14:solidFill>
              <w14:schemeClr w14:val="tx1"/>
            </w14:solidFill>
          </w14:textFill>
        </w:rPr>
      </w:pPr>
      <w:r>
        <w:rPr>
          <w:color w:val="000000" w:themeColor="text1"/>
          <w14:textFill>
            <w14:solidFill>
              <w14:schemeClr w14:val="tx1"/>
            </w14:solidFill>
          </w14:textFill>
        </w:rPr>
        <w:t>4. 车辆冲洗与净车出场</w:t>
      </w:r>
    </w:p>
    <w:p w14:paraId="7022FDA2">
      <w:pPr>
        <w:ind w:firstLine="480"/>
        <w:rPr>
          <w:color w:val="000000" w:themeColor="text1"/>
          <w14:textFill>
            <w14:solidFill>
              <w14:schemeClr w14:val="tx1"/>
            </w14:solidFill>
          </w14:textFill>
        </w:rPr>
      </w:pPr>
      <w:r>
        <w:rPr>
          <w:color w:val="000000" w:themeColor="text1"/>
          <w14:textFill>
            <w14:solidFill>
              <w14:schemeClr w14:val="tx1"/>
            </w14:solidFill>
          </w14:textFill>
        </w:rPr>
        <w:t>施工出入口设置标准化车辆冲洗平台、高压冲洗设备、沉淀池、排水沟。</w:t>
      </w:r>
    </w:p>
    <w:p w14:paraId="09692CE9">
      <w:pPr>
        <w:ind w:firstLine="480"/>
        <w:rPr>
          <w:color w:val="000000" w:themeColor="text1"/>
          <w14:textFill>
            <w14:solidFill>
              <w14:schemeClr w14:val="tx1"/>
            </w14:solidFill>
          </w14:textFill>
        </w:rPr>
      </w:pPr>
      <w:r>
        <w:rPr>
          <w:color w:val="000000" w:themeColor="text1"/>
          <w14:textFill>
            <w14:solidFill>
              <w14:schemeClr w14:val="tx1"/>
            </w14:solidFill>
          </w14:textFill>
        </w:rPr>
        <w:t>运输车辆出场前必须冲洗车轮、车身，确保不带泥上路、不沿途遗撒。</w:t>
      </w:r>
    </w:p>
    <w:p w14:paraId="22ECA044">
      <w:pPr>
        <w:ind w:firstLine="480"/>
        <w:rPr>
          <w:color w:val="000000" w:themeColor="text1"/>
          <w14:textFill>
            <w14:solidFill>
              <w14:schemeClr w14:val="tx1"/>
            </w14:solidFill>
          </w14:textFill>
        </w:rPr>
      </w:pPr>
      <w:r>
        <w:rPr>
          <w:color w:val="000000" w:themeColor="text1"/>
          <w14:textFill>
            <w14:solidFill>
              <w14:schemeClr w14:val="tx1"/>
            </w14:solidFill>
          </w14:textFill>
        </w:rPr>
        <w:t>冲洗废水经沉淀处理后回用，不外排。</w:t>
      </w:r>
    </w:p>
    <w:p w14:paraId="6ACD1E54">
      <w:pPr>
        <w:ind w:firstLine="480"/>
        <w:rPr>
          <w:color w:val="000000" w:themeColor="text1"/>
          <w14:textFill>
            <w14:solidFill>
              <w14:schemeClr w14:val="tx1"/>
            </w14:solidFill>
          </w14:textFill>
        </w:rPr>
      </w:pPr>
      <w:r>
        <w:rPr>
          <w:color w:val="000000" w:themeColor="text1"/>
          <w14:textFill>
            <w14:solidFill>
              <w14:schemeClr w14:val="tx1"/>
            </w14:solidFill>
          </w14:textFill>
        </w:rPr>
        <w:t>5. 湿法作业与洒水降尘</w:t>
      </w:r>
    </w:p>
    <w:p w14:paraId="5A115D3F">
      <w:pPr>
        <w:ind w:firstLine="480"/>
        <w:rPr>
          <w:color w:val="000000" w:themeColor="text1"/>
          <w14:textFill>
            <w14:solidFill>
              <w14:schemeClr w14:val="tx1"/>
            </w14:solidFill>
          </w14:textFill>
        </w:rPr>
      </w:pPr>
      <w:r>
        <w:rPr>
          <w:color w:val="000000" w:themeColor="text1"/>
          <w14:textFill>
            <w14:solidFill>
              <w14:schemeClr w14:val="tx1"/>
            </w14:solidFill>
          </w14:textFill>
        </w:rPr>
        <w:t>土方开挖、回填、破碎、拆除、切割、清理等易起尘工序全程湿法作业。</w:t>
      </w:r>
    </w:p>
    <w:p w14:paraId="673326E8">
      <w:pPr>
        <w:ind w:firstLine="480"/>
        <w:rPr>
          <w:color w:val="000000" w:themeColor="text1"/>
          <w14:textFill>
            <w14:solidFill>
              <w14:schemeClr w14:val="tx1"/>
            </w14:solidFill>
          </w14:textFill>
        </w:rPr>
      </w:pPr>
      <w:r>
        <w:rPr>
          <w:color w:val="000000" w:themeColor="text1"/>
          <w14:textFill>
            <w14:solidFill>
              <w14:schemeClr w14:val="tx1"/>
            </w14:solidFill>
          </w14:textFill>
        </w:rPr>
        <w:t>配备雾炮机、洒水车、移动式喷淋、塔吊喷淋等降尘设备。</w:t>
      </w:r>
    </w:p>
    <w:p w14:paraId="30687723">
      <w:pPr>
        <w:ind w:firstLine="480"/>
        <w:rPr>
          <w:color w:val="000000" w:themeColor="text1"/>
          <w14:textFill>
            <w14:solidFill>
              <w14:schemeClr w14:val="tx1"/>
            </w14:solidFill>
          </w14:textFill>
        </w:rPr>
      </w:pPr>
      <w:r>
        <w:rPr>
          <w:color w:val="000000" w:themeColor="text1"/>
          <w14:textFill>
            <w14:solidFill>
              <w14:schemeClr w14:val="tx1"/>
            </w14:solidFill>
          </w14:textFill>
        </w:rPr>
        <w:t>干燥、大风天气加密洒水频次，保持路面及作业面湿润不起尘。</w:t>
      </w:r>
    </w:p>
    <w:p w14:paraId="32AF3FEC">
      <w:pPr>
        <w:ind w:firstLine="480"/>
        <w:rPr>
          <w:color w:val="000000" w:themeColor="text1"/>
          <w14:textFill>
            <w14:solidFill>
              <w14:schemeClr w14:val="tx1"/>
            </w14:solidFill>
          </w14:textFill>
        </w:rPr>
      </w:pPr>
      <w:r>
        <w:rPr>
          <w:color w:val="000000" w:themeColor="text1"/>
          <w14:textFill>
            <w14:solidFill>
              <w14:schemeClr w14:val="tx1"/>
            </w14:solidFill>
          </w14:textFill>
        </w:rPr>
        <w:t>6. 密闭运输与建筑垃圾管理</w:t>
      </w:r>
    </w:p>
    <w:p w14:paraId="08342225">
      <w:pPr>
        <w:ind w:firstLine="480"/>
        <w:rPr>
          <w:color w:val="000000" w:themeColor="text1"/>
          <w14:textFill>
            <w14:solidFill>
              <w14:schemeClr w14:val="tx1"/>
            </w14:solidFill>
          </w14:textFill>
        </w:rPr>
      </w:pPr>
      <w:r>
        <w:rPr>
          <w:color w:val="000000" w:themeColor="text1"/>
          <w14:textFill>
            <w14:solidFill>
              <w14:schemeClr w14:val="tx1"/>
            </w14:solidFill>
          </w14:textFill>
        </w:rPr>
        <w:t>渣土、建筑垃圾、土方等采用密闭式运输车辆，加盖严实、不得超高超载。</w:t>
      </w:r>
    </w:p>
    <w:p w14:paraId="530E9E03">
      <w:pPr>
        <w:ind w:firstLine="480"/>
        <w:rPr>
          <w:color w:val="000000" w:themeColor="text1"/>
          <w14:textFill>
            <w14:solidFill>
              <w14:schemeClr w14:val="tx1"/>
            </w14:solidFill>
          </w14:textFill>
        </w:rPr>
      </w:pPr>
      <w:r>
        <w:rPr>
          <w:color w:val="000000" w:themeColor="text1"/>
          <w14:textFill>
            <w14:solidFill>
              <w14:schemeClr w14:val="tx1"/>
            </w14:solidFill>
          </w14:textFill>
        </w:rPr>
        <w:t>建筑垃圾分类收集、密闭存放、及时清运，严禁高空抛撒、随意倾倒。</w:t>
      </w:r>
    </w:p>
    <w:p w14:paraId="72D0B83F">
      <w:pPr>
        <w:ind w:firstLine="480"/>
        <w:rPr>
          <w:color w:val="000000" w:themeColor="text1"/>
          <w14:textFill>
            <w14:solidFill>
              <w14:schemeClr w14:val="tx1"/>
            </w14:solidFill>
          </w14:textFill>
        </w:rPr>
      </w:pPr>
      <w:r>
        <w:rPr>
          <w:color w:val="000000" w:themeColor="text1"/>
          <w14:textFill>
            <w14:solidFill>
              <w14:schemeClr w14:val="tx1"/>
            </w14:solidFill>
          </w14:textFill>
        </w:rPr>
        <w:t>严禁现场露天焚烧垃圾、废料、杂草等。</w:t>
      </w:r>
    </w:p>
    <w:p w14:paraId="4C393CF3">
      <w:pPr>
        <w:ind w:firstLine="480"/>
        <w:rPr>
          <w:color w:val="000000" w:themeColor="text1"/>
          <w14:textFill>
            <w14:solidFill>
              <w14:schemeClr w14:val="tx1"/>
            </w14:solidFill>
          </w14:textFill>
        </w:rPr>
      </w:pPr>
      <w:r>
        <w:rPr>
          <w:color w:val="000000" w:themeColor="text1"/>
          <w14:textFill>
            <w14:solidFill>
              <w14:schemeClr w14:val="tx1"/>
            </w14:solidFill>
          </w14:textFill>
        </w:rPr>
        <w:t>四、分施工阶段扬尘控制措施</w:t>
      </w:r>
    </w:p>
    <w:p w14:paraId="4AE41E0D">
      <w:pPr>
        <w:ind w:firstLine="480"/>
        <w:rPr>
          <w:color w:val="000000" w:themeColor="text1"/>
          <w14:textFill>
            <w14:solidFill>
              <w14:schemeClr w14:val="tx1"/>
            </w14:solidFill>
          </w14:textFill>
        </w:rPr>
      </w:pPr>
      <w:r>
        <w:rPr>
          <w:color w:val="000000" w:themeColor="text1"/>
          <w14:textFill>
            <w14:solidFill>
              <w14:schemeClr w14:val="tx1"/>
            </w14:solidFill>
          </w14:textFill>
        </w:rPr>
        <w:t>1. 土方开挖与回填阶段</w:t>
      </w:r>
    </w:p>
    <w:p w14:paraId="2C61C884">
      <w:pPr>
        <w:ind w:firstLine="480"/>
        <w:rPr>
          <w:color w:val="000000" w:themeColor="text1"/>
          <w14:textFill>
            <w14:solidFill>
              <w14:schemeClr w14:val="tx1"/>
            </w14:solidFill>
          </w14:textFill>
        </w:rPr>
      </w:pPr>
      <w:r>
        <w:rPr>
          <w:color w:val="000000" w:themeColor="text1"/>
          <w14:textFill>
            <w14:solidFill>
              <w14:schemeClr w14:val="tx1"/>
            </w14:solidFill>
          </w14:textFill>
        </w:rPr>
        <w:t>土方工程分段、分层、限时作业，减少大面积裸露。</w:t>
      </w:r>
    </w:p>
    <w:p w14:paraId="3E564A18">
      <w:pPr>
        <w:ind w:firstLine="480"/>
        <w:rPr>
          <w:color w:val="000000" w:themeColor="text1"/>
          <w14:textFill>
            <w14:solidFill>
              <w14:schemeClr w14:val="tx1"/>
            </w14:solidFill>
          </w14:textFill>
        </w:rPr>
      </w:pPr>
      <w:r>
        <w:rPr>
          <w:color w:val="000000" w:themeColor="text1"/>
          <w14:textFill>
            <w14:solidFill>
              <w14:schemeClr w14:val="tx1"/>
            </w14:solidFill>
          </w14:textFill>
        </w:rPr>
        <w:t>开挖、装卸、转运全过程洒水抑尘，必要时开启雾炮。</w:t>
      </w:r>
    </w:p>
    <w:p w14:paraId="0F6541E7">
      <w:pPr>
        <w:ind w:firstLine="480"/>
        <w:rPr>
          <w:color w:val="000000" w:themeColor="text1"/>
          <w14:textFill>
            <w14:solidFill>
              <w14:schemeClr w14:val="tx1"/>
            </w14:solidFill>
          </w14:textFill>
        </w:rPr>
      </w:pPr>
      <w:r>
        <w:rPr>
          <w:color w:val="000000" w:themeColor="text1"/>
          <w14:textFill>
            <w14:solidFill>
              <w14:schemeClr w14:val="tx1"/>
            </w14:solidFill>
          </w14:textFill>
        </w:rPr>
        <w:t>四级及以上大风天气停止土方作业、拆除作业。</w:t>
      </w:r>
    </w:p>
    <w:p w14:paraId="3A9E03D3">
      <w:pPr>
        <w:ind w:firstLine="480"/>
        <w:rPr>
          <w:color w:val="000000" w:themeColor="text1"/>
          <w14:textFill>
            <w14:solidFill>
              <w14:schemeClr w14:val="tx1"/>
            </w14:solidFill>
          </w14:textFill>
        </w:rPr>
      </w:pPr>
      <w:r>
        <w:rPr>
          <w:color w:val="000000" w:themeColor="text1"/>
          <w14:textFill>
            <w14:solidFill>
              <w14:schemeClr w14:val="tx1"/>
            </w14:solidFill>
          </w14:textFill>
        </w:rPr>
        <w:t>临时堆土集中堆放，采取围挡 + 全覆盖措施。</w:t>
      </w:r>
    </w:p>
    <w:p w14:paraId="5B058560">
      <w:pPr>
        <w:ind w:firstLine="480"/>
        <w:rPr>
          <w:color w:val="000000" w:themeColor="text1"/>
          <w14:textFill>
            <w14:solidFill>
              <w14:schemeClr w14:val="tx1"/>
            </w14:solidFill>
          </w14:textFill>
        </w:rPr>
      </w:pPr>
      <w:r>
        <w:rPr>
          <w:color w:val="000000" w:themeColor="text1"/>
          <w14:textFill>
            <w14:solidFill>
              <w14:schemeClr w14:val="tx1"/>
            </w14:solidFill>
          </w14:textFill>
        </w:rPr>
        <w:t>2. 结构与装饰装修阶段</w:t>
      </w:r>
    </w:p>
    <w:p w14:paraId="7DDA97E7">
      <w:pPr>
        <w:ind w:firstLine="480"/>
        <w:rPr>
          <w:color w:val="000000" w:themeColor="text1"/>
          <w14:textFill>
            <w14:solidFill>
              <w14:schemeClr w14:val="tx1"/>
            </w14:solidFill>
          </w14:textFill>
        </w:rPr>
      </w:pPr>
      <w:r>
        <w:rPr>
          <w:color w:val="000000" w:themeColor="text1"/>
          <w14:textFill>
            <w14:solidFill>
              <w14:schemeClr w14:val="tx1"/>
            </w14:solidFill>
          </w14:textFill>
        </w:rPr>
        <w:t>严禁现场露天搅拌混凝土、砂浆。</w:t>
      </w:r>
    </w:p>
    <w:p w14:paraId="46026590">
      <w:pPr>
        <w:ind w:firstLine="480"/>
        <w:rPr>
          <w:color w:val="000000" w:themeColor="text1"/>
          <w14:textFill>
            <w14:solidFill>
              <w14:schemeClr w14:val="tx1"/>
            </w14:solidFill>
          </w14:textFill>
        </w:rPr>
      </w:pPr>
      <w:r>
        <w:rPr>
          <w:color w:val="000000" w:themeColor="text1"/>
          <w14:textFill>
            <w14:solidFill>
              <w14:schemeClr w14:val="tx1"/>
            </w14:solidFill>
          </w14:textFill>
        </w:rPr>
        <w:t>切割、钻孔、打磨等工序采取湿法操作或集尘装置。</w:t>
      </w:r>
    </w:p>
    <w:p w14:paraId="64FF2DD6">
      <w:pPr>
        <w:ind w:firstLine="480"/>
        <w:rPr>
          <w:color w:val="000000" w:themeColor="text1"/>
          <w14:textFill>
            <w14:solidFill>
              <w14:schemeClr w14:val="tx1"/>
            </w14:solidFill>
          </w14:textFill>
        </w:rPr>
      </w:pPr>
      <w:r>
        <w:rPr>
          <w:color w:val="000000" w:themeColor="text1"/>
          <w14:textFill>
            <w14:solidFill>
              <w14:schemeClr w14:val="tx1"/>
            </w14:solidFill>
          </w14:textFill>
        </w:rPr>
        <w:t>楼层垃圾采用密闭容器或管道清运，禁止凌空抛掷。</w:t>
      </w:r>
    </w:p>
    <w:p w14:paraId="2C8E537E">
      <w:pPr>
        <w:ind w:firstLine="480"/>
        <w:rPr>
          <w:color w:val="000000" w:themeColor="text1"/>
          <w14:textFill>
            <w14:solidFill>
              <w14:schemeClr w14:val="tx1"/>
            </w14:solidFill>
          </w14:textFill>
        </w:rPr>
      </w:pPr>
      <w:r>
        <w:rPr>
          <w:color w:val="000000" w:themeColor="text1"/>
          <w14:textFill>
            <w14:solidFill>
              <w14:schemeClr w14:val="tx1"/>
            </w14:solidFill>
          </w14:textFill>
        </w:rPr>
        <w:t>材料切割、加工在封闭工棚内进行。</w:t>
      </w:r>
    </w:p>
    <w:p w14:paraId="6B25E01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噪声环境影响分析</w:t>
      </w:r>
    </w:p>
    <w:p w14:paraId="2711B71B">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噪声环境影响</w:t>
      </w:r>
    </w:p>
    <w:p w14:paraId="6DAA52DC">
      <w:pPr>
        <w:ind w:firstLine="480"/>
        <w:textAlignment w:val="baseline"/>
        <w:rPr>
          <w:color w:val="000000" w:themeColor="text1"/>
          <w14:textFill>
            <w14:solidFill>
              <w14:schemeClr w14:val="tx1"/>
            </w14:solidFill>
          </w14:textFill>
        </w:rPr>
      </w:pPr>
      <w:r>
        <w:rPr>
          <w:color w:val="000000" w:themeColor="text1"/>
          <w14:textFill>
            <w14:solidFill>
              <w14:schemeClr w14:val="tx1"/>
            </w14:solidFill>
          </w14:textFill>
        </w:rPr>
        <w:t>拟建项目在施工期间，挖掘机、推土机、平地机以及吊车、升降机和各种装载车辆运行，必然会加大施工场地周围环境噪声。据有关测试资料，各种机械运行中的噪声水平见下表。</w:t>
      </w:r>
    </w:p>
    <w:p w14:paraId="3A39A9C6">
      <w:pPr>
        <w:ind w:firstLine="48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表5.6-3  建筑现场主要施工噪声源情况(单位：dB(A))</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408"/>
        <w:gridCol w:w="1542"/>
        <w:gridCol w:w="1987"/>
        <w:gridCol w:w="1408"/>
        <w:gridCol w:w="1540"/>
      </w:tblGrid>
      <w:tr w14:paraId="4ED7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5132E17A">
            <w:pPr>
              <w:pStyle w:val="109"/>
              <w:rPr>
                <w:color w:val="000000" w:themeColor="text1"/>
                <w14:textFill>
                  <w14:solidFill>
                    <w14:schemeClr w14:val="tx1"/>
                  </w14:solidFill>
                </w14:textFill>
              </w:rPr>
            </w:pPr>
            <w:r>
              <w:rPr>
                <w:color w:val="000000" w:themeColor="text1"/>
                <w14:textFill>
                  <w14:solidFill>
                    <w14:schemeClr w14:val="tx1"/>
                  </w14:solidFill>
                </w14:textFill>
              </w:rPr>
              <w:t>施工设备名称</w:t>
            </w:r>
          </w:p>
        </w:tc>
        <w:tc>
          <w:tcPr>
            <w:tcW w:w="731" w:type="pct"/>
            <w:vAlign w:val="center"/>
          </w:tcPr>
          <w:p w14:paraId="2800E947">
            <w:pPr>
              <w:pStyle w:val="109"/>
              <w:rPr>
                <w:color w:val="000000" w:themeColor="text1"/>
                <w14:textFill>
                  <w14:solidFill>
                    <w14:schemeClr w14:val="tx1"/>
                  </w14:solidFill>
                </w14:textFill>
              </w:rPr>
            </w:pPr>
            <w:r>
              <w:rPr>
                <w:color w:val="000000" w:themeColor="text1"/>
                <w14:textFill>
                  <w14:solidFill>
                    <w14:schemeClr w14:val="tx1"/>
                  </w14:solidFill>
                </w14:textFill>
              </w:rPr>
              <w:t>距声源5m</w:t>
            </w:r>
          </w:p>
        </w:tc>
        <w:tc>
          <w:tcPr>
            <w:tcW w:w="801" w:type="pct"/>
            <w:vAlign w:val="center"/>
          </w:tcPr>
          <w:p w14:paraId="4602081B">
            <w:pPr>
              <w:pStyle w:val="109"/>
              <w:rPr>
                <w:color w:val="000000" w:themeColor="text1"/>
                <w14:textFill>
                  <w14:solidFill>
                    <w14:schemeClr w14:val="tx1"/>
                  </w14:solidFill>
                </w14:textFill>
              </w:rPr>
            </w:pPr>
            <w:r>
              <w:rPr>
                <w:color w:val="000000" w:themeColor="text1"/>
                <w14:textFill>
                  <w14:solidFill>
                    <w14:schemeClr w14:val="tx1"/>
                  </w14:solidFill>
                </w14:textFill>
              </w:rPr>
              <w:t>距声源10m</w:t>
            </w:r>
          </w:p>
        </w:tc>
        <w:tc>
          <w:tcPr>
            <w:tcW w:w="1032" w:type="pct"/>
            <w:vAlign w:val="center"/>
          </w:tcPr>
          <w:p w14:paraId="56FDE04E">
            <w:pPr>
              <w:pStyle w:val="109"/>
              <w:rPr>
                <w:color w:val="000000" w:themeColor="text1"/>
                <w14:textFill>
                  <w14:solidFill>
                    <w14:schemeClr w14:val="tx1"/>
                  </w14:solidFill>
                </w14:textFill>
              </w:rPr>
            </w:pPr>
            <w:r>
              <w:rPr>
                <w:color w:val="000000" w:themeColor="text1"/>
                <w14:textFill>
                  <w14:solidFill>
                    <w14:schemeClr w14:val="tx1"/>
                  </w14:solidFill>
                </w14:textFill>
              </w:rPr>
              <w:t>施工设备名称</w:t>
            </w:r>
          </w:p>
        </w:tc>
        <w:tc>
          <w:tcPr>
            <w:tcW w:w="731" w:type="pct"/>
            <w:vAlign w:val="center"/>
          </w:tcPr>
          <w:p w14:paraId="6492EAC6">
            <w:pPr>
              <w:pStyle w:val="109"/>
              <w:rPr>
                <w:color w:val="000000" w:themeColor="text1"/>
                <w14:textFill>
                  <w14:solidFill>
                    <w14:schemeClr w14:val="tx1"/>
                  </w14:solidFill>
                </w14:textFill>
              </w:rPr>
            </w:pPr>
            <w:r>
              <w:rPr>
                <w:color w:val="000000" w:themeColor="text1"/>
                <w14:textFill>
                  <w14:solidFill>
                    <w14:schemeClr w14:val="tx1"/>
                  </w14:solidFill>
                </w14:textFill>
              </w:rPr>
              <w:t>距声源5m</w:t>
            </w:r>
          </w:p>
        </w:tc>
        <w:tc>
          <w:tcPr>
            <w:tcW w:w="800" w:type="pct"/>
            <w:vAlign w:val="center"/>
          </w:tcPr>
          <w:p w14:paraId="734590FB">
            <w:pPr>
              <w:pStyle w:val="109"/>
              <w:rPr>
                <w:color w:val="000000" w:themeColor="text1"/>
                <w14:textFill>
                  <w14:solidFill>
                    <w14:schemeClr w14:val="tx1"/>
                  </w14:solidFill>
                </w14:textFill>
              </w:rPr>
            </w:pPr>
            <w:r>
              <w:rPr>
                <w:color w:val="000000" w:themeColor="text1"/>
                <w14:textFill>
                  <w14:solidFill>
                    <w14:schemeClr w14:val="tx1"/>
                  </w14:solidFill>
                </w14:textFill>
              </w:rPr>
              <w:t>距声源10m</w:t>
            </w:r>
          </w:p>
        </w:tc>
      </w:tr>
      <w:tr w14:paraId="5587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4D78782D">
            <w:pPr>
              <w:pStyle w:val="109"/>
              <w:rPr>
                <w:color w:val="000000" w:themeColor="text1"/>
                <w14:textFill>
                  <w14:solidFill>
                    <w14:schemeClr w14:val="tx1"/>
                  </w14:solidFill>
                </w14:textFill>
              </w:rPr>
            </w:pPr>
            <w:r>
              <w:rPr>
                <w:color w:val="000000" w:themeColor="text1"/>
                <w14:textFill>
                  <w14:solidFill>
                    <w14:schemeClr w14:val="tx1"/>
                  </w14:solidFill>
                </w14:textFill>
              </w:rPr>
              <w:t>液压挖掘机</w:t>
            </w:r>
          </w:p>
        </w:tc>
        <w:tc>
          <w:tcPr>
            <w:tcW w:w="731" w:type="pct"/>
            <w:vAlign w:val="center"/>
          </w:tcPr>
          <w:p w14:paraId="21A73343">
            <w:pPr>
              <w:pStyle w:val="109"/>
              <w:rPr>
                <w:color w:val="000000" w:themeColor="text1"/>
                <w14:textFill>
                  <w14:solidFill>
                    <w14:schemeClr w14:val="tx1"/>
                  </w14:solidFill>
                </w14:textFill>
              </w:rPr>
            </w:pPr>
            <w:r>
              <w:rPr>
                <w:color w:val="000000" w:themeColor="text1"/>
                <w14:textFill>
                  <w14:solidFill>
                    <w14:schemeClr w14:val="tx1"/>
                  </w14:solidFill>
                </w14:textFill>
              </w:rPr>
              <w:t>82～90</w:t>
            </w:r>
          </w:p>
        </w:tc>
        <w:tc>
          <w:tcPr>
            <w:tcW w:w="801" w:type="pct"/>
            <w:vAlign w:val="center"/>
          </w:tcPr>
          <w:p w14:paraId="26664DCF">
            <w:pPr>
              <w:pStyle w:val="109"/>
              <w:rPr>
                <w:color w:val="000000" w:themeColor="text1"/>
                <w14:textFill>
                  <w14:solidFill>
                    <w14:schemeClr w14:val="tx1"/>
                  </w14:solidFill>
                </w14:textFill>
              </w:rPr>
            </w:pPr>
            <w:r>
              <w:rPr>
                <w:color w:val="000000" w:themeColor="text1"/>
                <w14:textFill>
                  <w14:solidFill>
                    <w14:schemeClr w14:val="tx1"/>
                  </w14:solidFill>
                </w14:textFill>
              </w:rPr>
              <w:t>78～86</w:t>
            </w:r>
          </w:p>
        </w:tc>
        <w:tc>
          <w:tcPr>
            <w:tcW w:w="1032" w:type="pct"/>
            <w:vAlign w:val="center"/>
          </w:tcPr>
          <w:p w14:paraId="3DC3C814">
            <w:pPr>
              <w:pStyle w:val="109"/>
              <w:rPr>
                <w:color w:val="000000" w:themeColor="text1"/>
                <w14:textFill>
                  <w14:solidFill>
                    <w14:schemeClr w14:val="tx1"/>
                  </w14:solidFill>
                </w14:textFill>
              </w:rPr>
            </w:pPr>
            <w:r>
              <w:rPr>
                <w:color w:val="000000" w:themeColor="text1"/>
                <w14:textFill>
                  <w14:solidFill>
                    <w14:schemeClr w14:val="tx1"/>
                  </w14:solidFill>
                </w14:textFill>
              </w:rPr>
              <w:t>振动夯锤</w:t>
            </w:r>
          </w:p>
        </w:tc>
        <w:tc>
          <w:tcPr>
            <w:tcW w:w="731" w:type="pct"/>
            <w:vAlign w:val="center"/>
          </w:tcPr>
          <w:p w14:paraId="1ADF84DB">
            <w:pPr>
              <w:pStyle w:val="109"/>
              <w:rPr>
                <w:color w:val="000000" w:themeColor="text1"/>
                <w14:textFill>
                  <w14:solidFill>
                    <w14:schemeClr w14:val="tx1"/>
                  </w14:solidFill>
                </w14:textFill>
              </w:rPr>
            </w:pPr>
            <w:r>
              <w:rPr>
                <w:color w:val="000000" w:themeColor="text1"/>
                <w14:textFill>
                  <w14:solidFill>
                    <w14:schemeClr w14:val="tx1"/>
                  </w14:solidFill>
                </w14:textFill>
              </w:rPr>
              <w:t>92～100</w:t>
            </w:r>
          </w:p>
        </w:tc>
        <w:tc>
          <w:tcPr>
            <w:tcW w:w="800" w:type="pct"/>
            <w:vAlign w:val="center"/>
          </w:tcPr>
          <w:p w14:paraId="0BF87405">
            <w:pPr>
              <w:pStyle w:val="109"/>
              <w:rPr>
                <w:color w:val="000000" w:themeColor="text1"/>
                <w14:textFill>
                  <w14:solidFill>
                    <w14:schemeClr w14:val="tx1"/>
                  </w14:solidFill>
                </w14:textFill>
              </w:rPr>
            </w:pPr>
            <w:r>
              <w:rPr>
                <w:color w:val="000000" w:themeColor="text1"/>
                <w14:textFill>
                  <w14:solidFill>
                    <w14:schemeClr w14:val="tx1"/>
                  </w14:solidFill>
                </w14:textFill>
              </w:rPr>
              <w:t>86～94</w:t>
            </w:r>
          </w:p>
        </w:tc>
      </w:tr>
      <w:tr w14:paraId="24B0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4B908344">
            <w:pPr>
              <w:pStyle w:val="109"/>
              <w:rPr>
                <w:color w:val="000000" w:themeColor="text1"/>
                <w14:textFill>
                  <w14:solidFill>
                    <w14:schemeClr w14:val="tx1"/>
                  </w14:solidFill>
                </w14:textFill>
              </w:rPr>
            </w:pPr>
            <w:r>
              <w:rPr>
                <w:color w:val="000000" w:themeColor="text1"/>
                <w14:textFill>
                  <w14:solidFill>
                    <w14:schemeClr w14:val="tx1"/>
                  </w14:solidFill>
                </w14:textFill>
              </w:rPr>
              <w:t>电动挖掘机</w:t>
            </w:r>
          </w:p>
        </w:tc>
        <w:tc>
          <w:tcPr>
            <w:tcW w:w="731" w:type="pct"/>
            <w:vAlign w:val="center"/>
          </w:tcPr>
          <w:p w14:paraId="0208A332">
            <w:pPr>
              <w:pStyle w:val="109"/>
              <w:rPr>
                <w:color w:val="000000" w:themeColor="text1"/>
                <w14:textFill>
                  <w14:solidFill>
                    <w14:schemeClr w14:val="tx1"/>
                  </w14:solidFill>
                </w14:textFill>
              </w:rPr>
            </w:pPr>
            <w:r>
              <w:rPr>
                <w:color w:val="000000" w:themeColor="text1"/>
                <w14:textFill>
                  <w14:solidFill>
                    <w14:schemeClr w14:val="tx1"/>
                  </w14:solidFill>
                </w14:textFill>
              </w:rPr>
              <w:t>80～86</w:t>
            </w:r>
          </w:p>
        </w:tc>
        <w:tc>
          <w:tcPr>
            <w:tcW w:w="801" w:type="pct"/>
            <w:vAlign w:val="center"/>
          </w:tcPr>
          <w:p w14:paraId="20696053">
            <w:pPr>
              <w:pStyle w:val="109"/>
              <w:rPr>
                <w:color w:val="000000" w:themeColor="text1"/>
                <w14:textFill>
                  <w14:solidFill>
                    <w14:schemeClr w14:val="tx1"/>
                  </w14:solidFill>
                </w14:textFill>
              </w:rPr>
            </w:pPr>
            <w:r>
              <w:rPr>
                <w:color w:val="000000" w:themeColor="text1"/>
                <w14:textFill>
                  <w14:solidFill>
                    <w14:schemeClr w14:val="tx1"/>
                  </w14:solidFill>
                </w14:textFill>
              </w:rPr>
              <w:t>75～83</w:t>
            </w:r>
          </w:p>
        </w:tc>
        <w:tc>
          <w:tcPr>
            <w:tcW w:w="1032" w:type="pct"/>
            <w:vAlign w:val="center"/>
          </w:tcPr>
          <w:p w14:paraId="05A11B9D">
            <w:pPr>
              <w:pStyle w:val="109"/>
              <w:rPr>
                <w:color w:val="000000" w:themeColor="text1"/>
                <w14:textFill>
                  <w14:solidFill>
                    <w14:schemeClr w14:val="tx1"/>
                  </w14:solidFill>
                </w14:textFill>
              </w:rPr>
            </w:pPr>
            <w:r>
              <w:rPr>
                <w:color w:val="000000" w:themeColor="text1"/>
                <w14:textFill>
                  <w14:solidFill>
                    <w14:schemeClr w14:val="tx1"/>
                  </w14:solidFill>
                </w14:textFill>
              </w:rPr>
              <w:t>打桩机</w:t>
            </w:r>
          </w:p>
        </w:tc>
        <w:tc>
          <w:tcPr>
            <w:tcW w:w="731" w:type="pct"/>
            <w:vAlign w:val="center"/>
          </w:tcPr>
          <w:p w14:paraId="10ACF6C8">
            <w:pPr>
              <w:pStyle w:val="109"/>
              <w:rPr>
                <w:color w:val="000000" w:themeColor="text1"/>
                <w14:textFill>
                  <w14:solidFill>
                    <w14:schemeClr w14:val="tx1"/>
                  </w14:solidFill>
                </w14:textFill>
              </w:rPr>
            </w:pPr>
            <w:r>
              <w:rPr>
                <w:color w:val="000000" w:themeColor="text1"/>
                <w14:textFill>
                  <w14:solidFill>
                    <w14:schemeClr w14:val="tx1"/>
                  </w14:solidFill>
                </w14:textFill>
              </w:rPr>
              <w:t>100～110</w:t>
            </w:r>
          </w:p>
        </w:tc>
        <w:tc>
          <w:tcPr>
            <w:tcW w:w="800" w:type="pct"/>
            <w:vAlign w:val="center"/>
          </w:tcPr>
          <w:p w14:paraId="56841898">
            <w:pPr>
              <w:pStyle w:val="109"/>
              <w:rPr>
                <w:color w:val="000000" w:themeColor="text1"/>
                <w14:textFill>
                  <w14:solidFill>
                    <w14:schemeClr w14:val="tx1"/>
                  </w14:solidFill>
                </w14:textFill>
              </w:rPr>
            </w:pPr>
            <w:r>
              <w:rPr>
                <w:color w:val="000000" w:themeColor="text1"/>
                <w14:textFill>
                  <w14:solidFill>
                    <w14:schemeClr w14:val="tx1"/>
                  </w14:solidFill>
                </w14:textFill>
              </w:rPr>
              <w:t>95～105</w:t>
            </w:r>
          </w:p>
        </w:tc>
      </w:tr>
      <w:tr w14:paraId="417D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1B6F7078">
            <w:pPr>
              <w:pStyle w:val="109"/>
              <w:rPr>
                <w:color w:val="000000" w:themeColor="text1"/>
                <w14:textFill>
                  <w14:solidFill>
                    <w14:schemeClr w14:val="tx1"/>
                  </w14:solidFill>
                </w14:textFill>
              </w:rPr>
            </w:pPr>
            <w:r>
              <w:rPr>
                <w:color w:val="000000" w:themeColor="text1"/>
                <w14:textFill>
                  <w14:solidFill>
                    <w14:schemeClr w14:val="tx1"/>
                  </w14:solidFill>
                </w14:textFill>
              </w:rPr>
              <w:t>轮式装载机</w:t>
            </w:r>
          </w:p>
        </w:tc>
        <w:tc>
          <w:tcPr>
            <w:tcW w:w="731" w:type="pct"/>
            <w:vAlign w:val="center"/>
          </w:tcPr>
          <w:p w14:paraId="1D3A7567">
            <w:pPr>
              <w:pStyle w:val="109"/>
              <w:rPr>
                <w:color w:val="000000" w:themeColor="text1"/>
                <w14:textFill>
                  <w14:solidFill>
                    <w14:schemeClr w14:val="tx1"/>
                  </w14:solidFill>
                </w14:textFill>
              </w:rPr>
            </w:pPr>
            <w:r>
              <w:rPr>
                <w:color w:val="000000" w:themeColor="text1"/>
                <w14:textFill>
                  <w14:solidFill>
                    <w14:schemeClr w14:val="tx1"/>
                  </w14:solidFill>
                </w14:textFill>
              </w:rPr>
              <w:t>90～95</w:t>
            </w:r>
          </w:p>
        </w:tc>
        <w:tc>
          <w:tcPr>
            <w:tcW w:w="801" w:type="pct"/>
            <w:vAlign w:val="center"/>
          </w:tcPr>
          <w:p w14:paraId="66B6A0AB">
            <w:pPr>
              <w:pStyle w:val="109"/>
              <w:rPr>
                <w:color w:val="000000" w:themeColor="text1"/>
                <w14:textFill>
                  <w14:solidFill>
                    <w14:schemeClr w14:val="tx1"/>
                  </w14:solidFill>
                </w14:textFill>
              </w:rPr>
            </w:pPr>
            <w:r>
              <w:rPr>
                <w:color w:val="000000" w:themeColor="text1"/>
                <w14:textFill>
                  <w14:solidFill>
                    <w14:schemeClr w14:val="tx1"/>
                  </w14:solidFill>
                </w14:textFill>
              </w:rPr>
              <w:t>85～91</w:t>
            </w:r>
          </w:p>
        </w:tc>
        <w:tc>
          <w:tcPr>
            <w:tcW w:w="1032" w:type="pct"/>
            <w:vAlign w:val="center"/>
          </w:tcPr>
          <w:p w14:paraId="073EBF6E">
            <w:pPr>
              <w:pStyle w:val="109"/>
              <w:rPr>
                <w:color w:val="000000" w:themeColor="text1"/>
                <w14:textFill>
                  <w14:solidFill>
                    <w14:schemeClr w14:val="tx1"/>
                  </w14:solidFill>
                </w14:textFill>
              </w:rPr>
            </w:pPr>
            <w:r>
              <w:rPr>
                <w:color w:val="000000" w:themeColor="text1"/>
                <w14:textFill>
                  <w14:solidFill>
                    <w14:schemeClr w14:val="tx1"/>
                  </w14:solidFill>
                </w14:textFill>
              </w:rPr>
              <w:t>静力压桩机</w:t>
            </w:r>
          </w:p>
        </w:tc>
        <w:tc>
          <w:tcPr>
            <w:tcW w:w="731" w:type="pct"/>
            <w:vAlign w:val="center"/>
          </w:tcPr>
          <w:p w14:paraId="0D428361">
            <w:pPr>
              <w:pStyle w:val="109"/>
              <w:rPr>
                <w:color w:val="000000" w:themeColor="text1"/>
                <w14:textFill>
                  <w14:solidFill>
                    <w14:schemeClr w14:val="tx1"/>
                  </w14:solidFill>
                </w14:textFill>
              </w:rPr>
            </w:pPr>
            <w:r>
              <w:rPr>
                <w:color w:val="000000" w:themeColor="text1"/>
                <w14:textFill>
                  <w14:solidFill>
                    <w14:schemeClr w14:val="tx1"/>
                  </w14:solidFill>
                </w14:textFill>
              </w:rPr>
              <w:t>70～75</w:t>
            </w:r>
          </w:p>
        </w:tc>
        <w:tc>
          <w:tcPr>
            <w:tcW w:w="800" w:type="pct"/>
            <w:vAlign w:val="center"/>
          </w:tcPr>
          <w:p w14:paraId="4BB6DE5A">
            <w:pPr>
              <w:pStyle w:val="109"/>
              <w:rPr>
                <w:color w:val="000000" w:themeColor="text1"/>
                <w14:textFill>
                  <w14:solidFill>
                    <w14:schemeClr w14:val="tx1"/>
                  </w14:solidFill>
                </w14:textFill>
              </w:rPr>
            </w:pPr>
            <w:r>
              <w:rPr>
                <w:color w:val="000000" w:themeColor="text1"/>
                <w14:textFill>
                  <w14:solidFill>
                    <w14:schemeClr w14:val="tx1"/>
                  </w14:solidFill>
                </w14:textFill>
              </w:rPr>
              <w:t>68～73</w:t>
            </w:r>
          </w:p>
        </w:tc>
      </w:tr>
      <w:tr w14:paraId="2310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76469F07">
            <w:pPr>
              <w:pStyle w:val="109"/>
              <w:rPr>
                <w:color w:val="000000" w:themeColor="text1"/>
                <w14:textFill>
                  <w14:solidFill>
                    <w14:schemeClr w14:val="tx1"/>
                  </w14:solidFill>
                </w14:textFill>
              </w:rPr>
            </w:pPr>
            <w:r>
              <w:rPr>
                <w:color w:val="000000" w:themeColor="text1"/>
                <w14:textFill>
                  <w14:solidFill>
                    <w14:schemeClr w14:val="tx1"/>
                  </w14:solidFill>
                </w14:textFill>
              </w:rPr>
              <w:t>推土机</w:t>
            </w:r>
          </w:p>
        </w:tc>
        <w:tc>
          <w:tcPr>
            <w:tcW w:w="731" w:type="pct"/>
            <w:vAlign w:val="center"/>
          </w:tcPr>
          <w:p w14:paraId="0E4FD2F8">
            <w:pPr>
              <w:pStyle w:val="109"/>
              <w:rPr>
                <w:color w:val="000000" w:themeColor="text1"/>
                <w14:textFill>
                  <w14:solidFill>
                    <w14:schemeClr w14:val="tx1"/>
                  </w14:solidFill>
                </w14:textFill>
              </w:rPr>
            </w:pPr>
            <w:r>
              <w:rPr>
                <w:color w:val="000000" w:themeColor="text1"/>
                <w14:textFill>
                  <w14:solidFill>
                    <w14:schemeClr w14:val="tx1"/>
                  </w14:solidFill>
                </w14:textFill>
              </w:rPr>
              <w:t>83～88</w:t>
            </w:r>
          </w:p>
        </w:tc>
        <w:tc>
          <w:tcPr>
            <w:tcW w:w="801" w:type="pct"/>
            <w:vAlign w:val="center"/>
          </w:tcPr>
          <w:p w14:paraId="275D3EA6">
            <w:pPr>
              <w:pStyle w:val="109"/>
              <w:rPr>
                <w:color w:val="000000" w:themeColor="text1"/>
                <w14:textFill>
                  <w14:solidFill>
                    <w14:schemeClr w14:val="tx1"/>
                  </w14:solidFill>
                </w14:textFill>
              </w:rPr>
            </w:pPr>
            <w:r>
              <w:rPr>
                <w:color w:val="000000" w:themeColor="text1"/>
                <w14:textFill>
                  <w14:solidFill>
                    <w14:schemeClr w14:val="tx1"/>
                  </w14:solidFill>
                </w14:textFill>
              </w:rPr>
              <w:t>80～85</w:t>
            </w:r>
          </w:p>
        </w:tc>
        <w:tc>
          <w:tcPr>
            <w:tcW w:w="1032" w:type="pct"/>
            <w:vAlign w:val="center"/>
          </w:tcPr>
          <w:p w14:paraId="3F3935E1">
            <w:pPr>
              <w:pStyle w:val="109"/>
              <w:rPr>
                <w:color w:val="000000" w:themeColor="text1"/>
                <w14:textFill>
                  <w14:solidFill>
                    <w14:schemeClr w14:val="tx1"/>
                  </w14:solidFill>
                </w14:textFill>
              </w:rPr>
            </w:pPr>
            <w:r>
              <w:rPr>
                <w:color w:val="000000" w:themeColor="text1"/>
                <w14:textFill>
                  <w14:solidFill>
                    <w14:schemeClr w14:val="tx1"/>
                  </w14:solidFill>
                </w14:textFill>
              </w:rPr>
              <w:t>风镐</w:t>
            </w:r>
          </w:p>
        </w:tc>
        <w:tc>
          <w:tcPr>
            <w:tcW w:w="731" w:type="pct"/>
            <w:vAlign w:val="center"/>
          </w:tcPr>
          <w:p w14:paraId="10D4CED6">
            <w:pPr>
              <w:pStyle w:val="109"/>
              <w:rPr>
                <w:color w:val="000000" w:themeColor="text1"/>
                <w14:textFill>
                  <w14:solidFill>
                    <w14:schemeClr w14:val="tx1"/>
                  </w14:solidFill>
                </w14:textFill>
              </w:rPr>
            </w:pPr>
            <w:r>
              <w:rPr>
                <w:color w:val="000000" w:themeColor="text1"/>
                <w14:textFill>
                  <w14:solidFill>
                    <w14:schemeClr w14:val="tx1"/>
                  </w14:solidFill>
                </w14:textFill>
              </w:rPr>
              <w:t>88～92</w:t>
            </w:r>
          </w:p>
        </w:tc>
        <w:tc>
          <w:tcPr>
            <w:tcW w:w="800" w:type="pct"/>
            <w:vAlign w:val="center"/>
          </w:tcPr>
          <w:p w14:paraId="4F0F8FE7">
            <w:pPr>
              <w:pStyle w:val="109"/>
              <w:rPr>
                <w:color w:val="000000" w:themeColor="text1"/>
                <w14:textFill>
                  <w14:solidFill>
                    <w14:schemeClr w14:val="tx1"/>
                  </w14:solidFill>
                </w14:textFill>
              </w:rPr>
            </w:pPr>
            <w:r>
              <w:rPr>
                <w:color w:val="000000" w:themeColor="text1"/>
                <w14:textFill>
                  <w14:solidFill>
                    <w14:schemeClr w14:val="tx1"/>
                  </w14:solidFill>
                </w14:textFill>
              </w:rPr>
              <w:t>83～87</w:t>
            </w:r>
          </w:p>
        </w:tc>
      </w:tr>
      <w:tr w14:paraId="317F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49ED4E5A">
            <w:pPr>
              <w:pStyle w:val="109"/>
              <w:rPr>
                <w:color w:val="000000" w:themeColor="text1"/>
                <w14:textFill>
                  <w14:solidFill>
                    <w14:schemeClr w14:val="tx1"/>
                  </w14:solidFill>
                </w14:textFill>
              </w:rPr>
            </w:pPr>
            <w:r>
              <w:rPr>
                <w:color w:val="000000" w:themeColor="text1"/>
                <w14:textFill>
                  <w14:solidFill>
                    <w14:schemeClr w14:val="tx1"/>
                  </w14:solidFill>
                </w14:textFill>
              </w:rPr>
              <w:t>移动式发电机</w:t>
            </w:r>
          </w:p>
        </w:tc>
        <w:tc>
          <w:tcPr>
            <w:tcW w:w="731" w:type="pct"/>
            <w:vAlign w:val="center"/>
          </w:tcPr>
          <w:p w14:paraId="2FE3B514">
            <w:pPr>
              <w:pStyle w:val="109"/>
              <w:rPr>
                <w:color w:val="000000" w:themeColor="text1"/>
                <w14:textFill>
                  <w14:solidFill>
                    <w14:schemeClr w14:val="tx1"/>
                  </w14:solidFill>
                </w14:textFill>
              </w:rPr>
            </w:pPr>
            <w:r>
              <w:rPr>
                <w:color w:val="000000" w:themeColor="text1"/>
                <w14:textFill>
                  <w14:solidFill>
                    <w14:schemeClr w14:val="tx1"/>
                  </w14:solidFill>
                </w14:textFill>
              </w:rPr>
              <w:t>95～102</w:t>
            </w:r>
          </w:p>
        </w:tc>
        <w:tc>
          <w:tcPr>
            <w:tcW w:w="801" w:type="pct"/>
            <w:vAlign w:val="center"/>
          </w:tcPr>
          <w:p w14:paraId="4DA686B3">
            <w:pPr>
              <w:pStyle w:val="109"/>
              <w:rPr>
                <w:color w:val="000000" w:themeColor="text1"/>
                <w14:textFill>
                  <w14:solidFill>
                    <w14:schemeClr w14:val="tx1"/>
                  </w14:solidFill>
                </w14:textFill>
              </w:rPr>
            </w:pPr>
            <w:r>
              <w:rPr>
                <w:color w:val="000000" w:themeColor="text1"/>
                <w14:textFill>
                  <w14:solidFill>
                    <w14:schemeClr w14:val="tx1"/>
                  </w14:solidFill>
                </w14:textFill>
              </w:rPr>
              <w:t>90～98</w:t>
            </w:r>
          </w:p>
        </w:tc>
        <w:tc>
          <w:tcPr>
            <w:tcW w:w="1032" w:type="pct"/>
            <w:vAlign w:val="center"/>
          </w:tcPr>
          <w:p w14:paraId="088A50FB">
            <w:pPr>
              <w:pStyle w:val="109"/>
              <w:rPr>
                <w:color w:val="000000" w:themeColor="text1"/>
                <w14:textFill>
                  <w14:solidFill>
                    <w14:schemeClr w14:val="tx1"/>
                  </w14:solidFill>
                </w14:textFill>
              </w:rPr>
            </w:pPr>
            <w:r>
              <w:rPr>
                <w:color w:val="000000" w:themeColor="text1"/>
                <w14:textFill>
                  <w14:solidFill>
                    <w14:schemeClr w14:val="tx1"/>
                  </w14:solidFill>
                </w14:textFill>
              </w:rPr>
              <w:t>混凝土输送泵</w:t>
            </w:r>
          </w:p>
        </w:tc>
        <w:tc>
          <w:tcPr>
            <w:tcW w:w="731" w:type="pct"/>
            <w:vAlign w:val="center"/>
          </w:tcPr>
          <w:p w14:paraId="3D515964">
            <w:pPr>
              <w:pStyle w:val="109"/>
              <w:rPr>
                <w:color w:val="000000" w:themeColor="text1"/>
                <w14:textFill>
                  <w14:solidFill>
                    <w14:schemeClr w14:val="tx1"/>
                  </w14:solidFill>
                </w14:textFill>
              </w:rPr>
            </w:pPr>
            <w:r>
              <w:rPr>
                <w:color w:val="000000" w:themeColor="text1"/>
                <w14:textFill>
                  <w14:solidFill>
                    <w14:schemeClr w14:val="tx1"/>
                  </w14:solidFill>
                </w14:textFill>
              </w:rPr>
              <w:t>88～95</w:t>
            </w:r>
          </w:p>
        </w:tc>
        <w:tc>
          <w:tcPr>
            <w:tcW w:w="800" w:type="pct"/>
            <w:vAlign w:val="center"/>
          </w:tcPr>
          <w:p w14:paraId="74DF319C">
            <w:pPr>
              <w:pStyle w:val="109"/>
              <w:rPr>
                <w:color w:val="000000" w:themeColor="text1"/>
                <w14:textFill>
                  <w14:solidFill>
                    <w14:schemeClr w14:val="tx1"/>
                  </w14:solidFill>
                </w14:textFill>
              </w:rPr>
            </w:pPr>
            <w:r>
              <w:rPr>
                <w:color w:val="000000" w:themeColor="text1"/>
                <w14:textFill>
                  <w14:solidFill>
                    <w14:schemeClr w14:val="tx1"/>
                  </w14:solidFill>
                </w14:textFill>
              </w:rPr>
              <w:t>84～90</w:t>
            </w:r>
          </w:p>
        </w:tc>
      </w:tr>
      <w:tr w14:paraId="2E3B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73A8C33B">
            <w:pPr>
              <w:pStyle w:val="109"/>
              <w:rPr>
                <w:color w:val="000000" w:themeColor="text1"/>
                <w14:textFill>
                  <w14:solidFill>
                    <w14:schemeClr w14:val="tx1"/>
                  </w14:solidFill>
                </w14:textFill>
              </w:rPr>
            </w:pPr>
            <w:r>
              <w:rPr>
                <w:color w:val="000000" w:themeColor="text1"/>
                <w14:textFill>
                  <w14:solidFill>
                    <w14:schemeClr w14:val="tx1"/>
                  </w14:solidFill>
                </w14:textFill>
              </w:rPr>
              <w:t>各类压路机</w:t>
            </w:r>
          </w:p>
        </w:tc>
        <w:tc>
          <w:tcPr>
            <w:tcW w:w="731" w:type="pct"/>
            <w:vAlign w:val="center"/>
          </w:tcPr>
          <w:p w14:paraId="2C569CE1">
            <w:pPr>
              <w:pStyle w:val="109"/>
              <w:rPr>
                <w:color w:val="000000" w:themeColor="text1"/>
                <w14:textFill>
                  <w14:solidFill>
                    <w14:schemeClr w14:val="tx1"/>
                  </w14:solidFill>
                </w14:textFill>
              </w:rPr>
            </w:pPr>
            <w:r>
              <w:rPr>
                <w:color w:val="000000" w:themeColor="text1"/>
                <w14:textFill>
                  <w14:solidFill>
                    <w14:schemeClr w14:val="tx1"/>
                  </w14:solidFill>
                </w14:textFill>
              </w:rPr>
              <w:t>80～90</w:t>
            </w:r>
          </w:p>
        </w:tc>
        <w:tc>
          <w:tcPr>
            <w:tcW w:w="801" w:type="pct"/>
            <w:vAlign w:val="center"/>
          </w:tcPr>
          <w:p w14:paraId="11CD33B1">
            <w:pPr>
              <w:pStyle w:val="109"/>
              <w:rPr>
                <w:color w:val="000000" w:themeColor="text1"/>
                <w14:textFill>
                  <w14:solidFill>
                    <w14:schemeClr w14:val="tx1"/>
                  </w14:solidFill>
                </w14:textFill>
              </w:rPr>
            </w:pPr>
            <w:r>
              <w:rPr>
                <w:color w:val="000000" w:themeColor="text1"/>
                <w14:textFill>
                  <w14:solidFill>
                    <w14:schemeClr w14:val="tx1"/>
                  </w14:solidFill>
                </w14:textFill>
              </w:rPr>
              <w:t>76～86</w:t>
            </w:r>
          </w:p>
        </w:tc>
        <w:tc>
          <w:tcPr>
            <w:tcW w:w="1032" w:type="pct"/>
            <w:vAlign w:val="center"/>
          </w:tcPr>
          <w:p w14:paraId="0844B983">
            <w:pPr>
              <w:pStyle w:val="109"/>
              <w:rPr>
                <w:color w:val="000000" w:themeColor="text1"/>
                <w14:textFill>
                  <w14:solidFill>
                    <w14:schemeClr w14:val="tx1"/>
                  </w14:solidFill>
                </w14:textFill>
              </w:rPr>
            </w:pPr>
            <w:r>
              <w:rPr>
                <w:color w:val="000000" w:themeColor="text1"/>
                <w14:textFill>
                  <w14:solidFill>
                    <w14:schemeClr w14:val="tx1"/>
                  </w14:solidFill>
                </w14:textFill>
              </w:rPr>
              <w:t>商砼搅拌车</w:t>
            </w:r>
          </w:p>
        </w:tc>
        <w:tc>
          <w:tcPr>
            <w:tcW w:w="731" w:type="pct"/>
            <w:vAlign w:val="center"/>
          </w:tcPr>
          <w:p w14:paraId="4F8D9082">
            <w:pPr>
              <w:pStyle w:val="109"/>
              <w:rPr>
                <w:color w:val="000000" w:themeColor="text1"/>
                <w14:textFill>
                  <w14:solidFill>
                    <w14:schemeClr w14:val="tx1"/>
                  </w14:solidFill>
                </w14:textFill>
              </w:rPr>
            </w:pPr>
            <w:r>
              <w:rPr>
                <w:color w:val="000000" w:themeColor="text1"/>
                <w14:textFill>
                  <w14:solidFill>
                    <w14:schemeClr w14:val="tx1"/>
                  </w14:solidFill>
                </w14:textFill>
              </w:rPr>
              <w:t>85～90</w:t>
            </w:r>
          </w:p>
        </w:tc>
        <w:tc>
          <w:tcPr>
            <w:tcW w:w="800" w:type="pct"/>
            <w:vAlign w:val="center"/>
          </w:tcPr>
          <w:p w14:paraId="04EDB4BB">
            <w:pPr>
              <w:pStyle w:val="109"/>
              <w:rPr>
                <w:color w:val="000000" w:themeColor="text1"/>
                <w14:textFill>
                  <w14:solidFill>
                    <w14:schemeClr w14:val="tx1"/>
                  </w14:solidFill>
                </w14:textFill>
              </w:rPr>
            </w:pPr>
            <w:r>
              <w:rPr>
                <w:color w:val="000000" w:themeColor="text1"/>
                <w14:textFill>
                  <w14:solidFill>
                    <w14:schemeClr w14:val="tx1"/>
                  </w14:solidFill>
                </w14:textFill>
              </w:rPr>
              <w:t>82～84</w:t>
            </w:r>
          </w:p>
        </w:tc>
      </w:tr>
      <w:tr w14:paraId="4ECC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2B74275F">
            <w:pPr>
              <w:pStyle w:val="109"/>
              <w:rPr>
                <w:color w:val="000000" w:themeColor="text1"/>
                <w14:textFill>
                  <w14:solidFill>
                    <w14:schemeClr w14:val="tx1"/>
                  </w14:solidFill>
                </w14:textFill>
              </w:rPr>
            </w:pPr>
            <w:r>
              <w:rPr>
                <w:color w:val="000000" w:themeColor="text1"/>
                <w14:textFill>
                  <w14:solidFill>
                    <w14:schemeClr w14:val="tx1"/>
                  </w14:solidFill>
                </w14:textFill>
              </w:rPr>
              <w:t>重型运输车</w:t>
            </w:r>
          </w:p>
        </w:tc>
        <w:tc>
          <w:tcPr>
            <w:tcW w:w="731" w:type="pct"/>
            <w:vAlign w:val="center"/>
          </w:tcPr>
          <w:p w14:paraId="22173750">
            <w:pPr>
              <w:pStyle w:val="109"/>
              <w:rPr>
                <w:color w:val="000000" w:themeColor="text1"/>
                <w14:textFill>
                  <w14:solidFill>
                    <w14:schemeClr w14:val="tx1"/>
                  </w14:solidFill>
                </w14:textFill>
              </w:rPr>
            </w:pPr>
            <w:r>
              <w:rPr>
                <w:color w:val="000000" w:themeColor="text1"/>
                <w14:textFill>
                  <w14:solidFill>
                    <w14:schemeClr w14:val="tx1"/>
                  </w14:solidFill>
                </w14:textFill>
              </w:rPr>
              <w:t>82～90</w:t>
            </w:r>
          </w:p>
        </w:tc>
        <w:tc>
          <w:tcPr>
            <w:tcW w:w="801" w:type="pct"/>
            <w:vAlign w:val="center"/>
          </w:tcPr>
          <w:p w14:paraId="6FB1BCB2">
            <w:pPr>
              <w:pStyle w:val="109"/>
              <w:rPr>
                <w:color w:val="000000" w:themeColor="text1"/>
                <w14:textFill>
                  <w14:solidFill>
                    <w14:schemeClr w14:val="tx1"/>
                  </w14:solidFill>
                </w14:textFill>
              </w:rPr>
            </w:pPr>
            <w:r>
              <w:rPr>
                <w:color w:val="000000" w:themeColor="text1"/>
                <w14:textFill>
                  <w14:solidFill>
                    <w14:schemeClr w14:val="tx1"/>
                  </w14:solidFill>
                </w14:textFill>
              </w:rPr>
              <w:t>78～86</w:t>
            </w:r>
          </w:p>
        </w:tc>
        <w:tc>
          <w:tcPr>
            <w:tcW w:w="1032" w:type="pct"/>
            <w:vAlign w:val="center"/>
          </w:tcPr>
          <w:p w14:paraId="10A0E131">
            <w:pPr>
              <w:pStyle w:val="109"/>
              <w:rPr>
                <w:color w:val="000000" w:themeColor="text1"/>
                <w14:textFill>
                  <w14:solidFill>
                    <w14:schemeClr w14:val="tx1"/>
                  </w14:solidFill>
                </w14:textFill>
              </w:rPr>
            </w:pPr>
            <w:r>
              <w:rPr>
                <w:color w:val="000000" w:themeColor="text1"/>
                <w14:textFill>
                  <w14:solidFill>
                    <w14:schemeClr w14:val="tx1"/>
                  </w14:solidFill>
                </w14:textFill>
              </w:rPr>
              <w:t>混凝土震捣器</w:t>
            </w:r>
          </w:p>
        </w:tc>
        <w:tc>
          <w:tcPr>
            <w:tcW w:w="731" w:type="pct"/>
            <w:vAlign w:val="center"/>
          </w:tcPr>
          <w:p w14:paraId="06EBD744">
            <w:pPr>
              <w:pStyle w:val="109"/>
              <w:rPr>
                <w:color w:val="000000" w:themeColor="text1"/>
                <w14:textFill>
                  <w14:solidFill>
                    <w14:schemeClr w14:val="tx1"/>
                  </w14:solidFill>
                </w14:textFill>
              </w:rPr>
            </w:pPr>
            <w:r>
              <w:rPr>
                <w:color w:val="000000" w:themeColor="text1"/>
                <w14:textFill>
                  <w14:solidFill>
                    <w14:schemeClr w14:val="tx1"/>
                  </w14:solidFill>
                </w14:textFill>
              </w:rPr>
              <w:t>80～88</w:t>
            </w:r>
          </w:p>
        </w:tc>
        <w:tc>
          <w:tcPr>
            <w:tcW w:w="800" w:type="pct"/>
            <w:vAlign w:val="center"/>
          </w:tcPr>
          <w:p w14:paraId="20AE039A">
            <w:pPr>
              <w:pStyle w:val="109"/>
              <w:rPr>
                <w:color w:val="000000" w:themeColor="text1"/>
                <w14:textFill>
                  <w14:solidFill>
                    <w14:schemeClr w14:val="tx1"/>
                  </w14:solidFill>
                </w14:textFill>
              </w:rPr>
            </w:pPr>
            <w:r>
              <w:rPr>
                <w:color w:val="000000" w:themeColor="text1"/>
                <w14:textFill>
                  <w14:solidFill>
                    <w14:schemeClr w14:val="tx1"/>
                  </w14:solidFill>
                </w14:textFill>
              </w:rPr>
              <w:t>75～84</w:t>
            </w:r>
          </w:p>
        </w:tc>
      </w:tr>
      <w:tr w14:paraId="312E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2763458B">
            <w:pPr>
              <w:pStyle w:val="109"/>
              <w:rPr>
                <w:color w:val="000000" w:themeColor="text1"/>
                <w14:textFill>
                  <w14:solidFill>
                    <w14:schemeClr w14:val="tx1"/>
                  </w14:solidFill>
                </w14:textFill>
              </w:rPr>
            </w:pPr>
            <w:r>
              <w:rPr>
                <w:color w:val="000000" w:themeColor="text1"/>
                <w14:textFill>
                  <w14:solidFill>
                    <w14:schemeClr w14:val="tx1"/>
                  </w14:solidFill>
                </w14:textFill>
              </w:rPr>
              <w:t>木工电锯</w:t>
            </w:r>
          </w:p>
        </w:tc>
        <w:tc>
          <w:tcPr>
            <w:tcW w:w="731" w:type="pct"/>
            <w:vAlign w:val="center"/>
          </w:tcPr>
          <w:p w14:paraId="266FA377">
            <w:pPr>
              <w:pStyle w:val="109"/>
              <w:rPr>
                <w:color w:val="000000" w:themeColor="text1"/>
                <w14:textFill>
                  <w14:solidFill>
                    <w14:schemeClr w14:val="tx1"/>
                  </w14:solidFill>
                </w14:textFill>
              </w:rPr>
            </w:pPr>
            <w:r>
              <w:rPr>
                <w:color w:val="000000" w:themeColor="text1"/>
                <w14:textFill>
                  <w14:solidFill>
                    <w14:schemeClr w14:val="tx1"/>
                  </w14:solidFill>
                </w14:textFill>
              </w:rPr>
              <w:t>93～99</w:t>
            </w:r>
          </w:p>
        </w:tc>
        <w:tc>
          <w:tcPr>
            <w:tcW w:w="801" w:type="pct"/>
            <w:vAlign w:val="center"/>
          </w:tcPr>
          <w:p w14:paraId="23DEC806">
            <w:pPr>
              <w:pStyle w:val="109"/>
              <w:rPr>
                <w:color w:val="000000" w:themeColor="text1"/>
                <w14:textFill>
                  <w14:solidFill>
                    <w14:schemeClr w14:val="tx1"/>
                  </w14:solidFill>
                </w14:textFill>
              </w:rPr>
            </w:pPr>
            <w:r>
              <w:rPr>
                <w:color w:val="000000" w:themeColor="text1"/>
                <w14:textFill>
                  <w14:solidFill>
                    <w14:schemeClr w14:val="tx1"/>
                  </w14:solidFill>
                </w14:textFill>
              </w:rPr>
              <w:t>90～95</w:t>
            </w:r>
          </w:p>
        </w:tc>
        <w:tc>
          <w:tcPr>
            <w:tcW w:w="1032" w:type="pct"/>
            <w:vAlign w:val="center"/>
          </w:tcPr>
          <w:p w14:paraId="34AC6612">
            <w:pPr>
              <w:pStyle w:val="109"/>
              <w:rPr>
                <w:color w:val="000000" w:themeColor="text1"/>
                <w14:textFill>
                  <w14:solidFill>
                    <w14:schemeClr w14:val="tx1"/>
                  </w14:solidFill>
                </w14:textFill>
              </w:rPr>
            </w:pPr>
            <w:r>
              <w:rPr>
                <w:color w:val="000000" w:themeColor="text1"/>
                <w14:textFill>
                  <w14:solidFill>
                    <w14:schemeClr w14:val="tx1"/>
                  </w14:solidFill>
                </w14:textFill>
              </w:rPr>
              <w:t>云石机、角磨机</w:t>
            </w:r>
          </w:p>
        </w:tc>
        <w:tc>
          <w:tcPr>
            <w:tcW w:w="731" w:type="pct"/>
            <w:vAlign w:val="center"/>
          </w:tcPr>
          <w:p w14:paraId="54D49CDA">
            <w:pPr>
              <w:pStyle w:val="109"/>
              <w:rPr>
                <w:color w:val="000000" w:themeColor="text1"/>
                <w14:textFill>
                  <w14:solidFill>
                    <w14:schemeClr w14:val="tx1"/>
                  </w14:solidFill>
                </w14:textFill>
              </w:rPr>
            </w:pPr>
            <w:r>
              <w:rPr>
                <w:color w:val="000000" w:themeColor="text1"/>
                <w14:textFill>
                  <w14:solidFill>
                    <w14:schemeClr w14:val="tx1"/>
                  </w14:solidFill>
                </w14:textFill>
              </w:rPr>
              <w:t>90～96</w:t>
            </w:r>
          </w:p>
        </w:tc>
        <w:tc>
          <w:tcPr>
            <w:tcW w:w="800" w:type="pct"/>
            <w:vAlign w:val="center"/>
          </w:tcPr>
          <w:p w14:paraId="7B9228A4">
            <w:pPr>
              <w:pStyle w:val="109"/>
              <w:rPr>
                <w:color w:val="000000" w:themeColor="text1"/>
                <w14:textFill>
                  <w14:solidFill>
                    <w14:schemeClr w14:val="tx1"/>
                  </w14:solidFill>
                </w14:textFill>
              </w:rPr>
            </w:pPr>
            <w:r>
              <w:rPr>
                <w:color w:val="000000" w:themeColor="text1"/>
                <w14:textFill>
                  <w14:solidFill>
                    <w14:schemeClr w14:val="tx1"/>
                  </w14:solidFill>
                </w14:textFill>
              </w:rPr>
              <w:t>84～90</w:t>
            </w:r>
          </w:p>
        </w:tc>
      </w:tr>
      <w:tr w14:paraId="6F01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Align w:val="center"/>
          </w:tcPr>
          <w:p w14:paraId="4DB95E56">
            <w:pPr>
              <w:pStyle w:val="109"/>
              <w:rPr>
                <w:color w:val="000000" w:themeColor="text1"/>
                <w14:textFill>
                  <w14:solidFill>
                    <w14:schemeClr w14:val="tx1"/>
                  </w14:solidFill>
                </w14:textFill>
              </w:rPr>
            </w:pPr>
            <w:r>
              <w:rPr>
                <w:color w:val="000000" w:themeColor="text1"/>
                <w14:textFill>
                  <w14:solidFill>
                    <w14:schemeClr w14:val="tx1"/>
                  </w14:solidFill>
                </w14:textFill>
              </w:rPr>
              <w:t>电锤</w:t>
            </w:r>
          </w:p>
        </w:tc>
        <w:tc>
          <w:tcPr>
            <w:tcW w:w="731" w:type="pct"/>
            <w:vAlign w:val="center"/>
          </w:tcPr>
          <w:p w14:paraId="5B64E1CE">
            <w:pPr>
              <w:pStyle w:val="109"/>
              <w:rPr>
                <w:color w:val="000000" w:themeColor="text1"/>
                <w14:textFill>
                  <w14:solidFill>
                    <w14:schemeClr w14:val="tx1"/>
                  </w14:solidFill>
                </w14:textFill>
              </w:rPr>
            </w:pPr>
            <w:r>
              <w:rPr>
                <w:color w:val="000000" w:themeColor="text1"/>
                <w14:textFill>
                  <w14:solidFill>
                    <w14:schemeClr w14:val="tx1"/>
                  </w14:solidFill>
                </w14:textFill>
              </w:rPr>
              <w:t>100～105</w:t>
            </w:r>
          </w:p>
        </w:tc>
        <w:tc>
          <w:tcPr>
            <w:tcW w:w="801" w:type="pct"/>
            <w:vAlign w:val="center"/>
          </w:tcPr>
          <w:p w14:paraId="48379080">
            <w:pPr>
              <w:pStyle w:val="109"/>
              <w:rPr>
                <w:color w:val="000000" w:themeColor="text1"/>
                <w14:textFill>
                  <w14:solidFill>
                    <w14:schemeClr w14:val="tx1"/>
                  </w14:solidFill>
                </w14:textFill>
              </w:rPr>
            </w:pPr>
            <w:r>
              <w:rPr>
                <w:color w:val="000000" w:themeColor="text1"/>
                <w14:textFill>
                  <w14:solidFill>
                    <w14:schemeClr w14:val="tx1"/>
                  </w14:solidFill>
                </w14:textFill>
              </w:rPr>
              <w:t>95～99</w:t>
            </w:r>
          </w:p>
        </w:tc>
        <w:tc>
          <w:tcPr>
            <w:tcW w:w="1032" w:type="pct"/>
            <w:vAlign w:val="center"/>
          </w:tcPr>
          <w:p w14:paraId="16AF5139">
            <w:pPr>
              <w:pStyle w:val="109"/>
              <w:rPr>
                <w:color w:val="000000" w:themeColor="text1"/>
                <w14:textFill>
                  <w14:solidFill>
                    <w14:schemeClr w14:val="tx1"/>
                  </w14:solidFill>
                </w14:textFill>
              </w:rPr>
            </w:pPr>
            <w:r>
              <w:rPr>
                <w:color w:val="000000" w:themeColor="text1"/>
                <w14:textFill>
                  <w14:solidFill>
                    <w14:schemeClr w14:val="tx1"/>
                  </w14:solidFill>
                </w14:textFill>
              </w:rPr>
              <w:t>空压机</w:t>
            </w:r>
          </w:p>
        </w:tc>
        <w:tc>
          <w:tcPr>
            <w:tcW w:w="731" w:type="pct"/>
            <w:vAlign w:val="center"/>
          </w:tcPr>
          <w:p w14:paraId="5ECBBF90">
            <w:pPr>
              <w:pStyle w:val="109"/>
              <w:rPr>
                <w:color w:val="000000" w:themeColor="text1"/>
                <w14:textFill>
                  <w14:solidFill>
                    <w14:schemeClr w14:val="tx1"/>
                  </w14:solidFill>
                </w14:textFill>
              </w:rPr>
            </w:pPr>
            <w:r>
              <w:rPr>
                <w:color w:val="000000" w:themeColor="text1"/>
                <w14:textFill>
                  <w14:solidFill>
                    <w14:schemeClr w14:val="tx1"/>
                  </w14:solidFill>
                </w14:textFill>
              </w:rPr>
              <w:t>88～92</w:t>
            </w:r>
          </w:p>
        </w:tc>
        <w:tc>
          <w:tcPr>
            <w:tcW w:w="800" w:type="pct"/>
            <w:vAlign w:val="center"/>
          </w:tcPr>
          <w:p w14:paraId="4980D892">
            <w:pPr>
              <w:pStyle w:val="109"/>
              <w:rPr>
                <w:color w:val="000000" w:themeColor="text1"/>
                <w14:textFill>
                  <w14:solidFill>
                    <w14:schemeClr w14:val="tx1"/>
                  </w14:solidFill>
                </w14:textFill>
              </w:rPr>
            </w:pPr>
            <w:r>
              <w:rPr>
                <w:color w:val="000000" w:themeColor="text1"/>
                <w14:textFill>
                  <w14:solidFill>
                    <w14:schemeClr w14:val="tx1"/>
                  </w14:solidFill>
                </w14:textFill>
              </w:rPr>
              <w:t>83～88</w:t>
            </w:r>
          </w:p>
        </w:tc>
      </w:tr>
    </w:tbl>
    <w:p w14:paraId="1AB682AC">
      <w:pPr>
        <w:pStyle w:val="5"/>
        <w:numPr>
          <w:ilvl w:val="3"/>
          <w:numId w:val="9"/>
        </w:num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声环境影响预测</w:t>
      </w:r>
    </w:p>
    <w:p w14:paraId="66BFCD6F">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1）预测模式</w:t>
      </w:r>
    </w:p>
    <w:p w14:paraId="67390A11">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施工噪声可按点声源处理，根据点声源噪声衰减模式，估算出离声源不同距离处的噪声值，预测模式如下：</w:t>
      </w:r>
    </w:p>
    <w:p w14:paraId="124419DA">
      <w:pPr>
        <w:pStyle w:val="331"/>
        <w:ind w:left="480" w:firstLine="0" w:firstLineChars="0"/>
        <w:jc w:val="center"/>
        <w:rPr>
          <w:rFonts w:ascii="Times New Roman" w:hAnsi="Times New Roman"/>
          <w:color w:val="000000" w:themeColor="text1"/>
          <w:lang w:val="en-US"/>
          <w14:textFill>
            <w14:solidFill>
              <w14:schemeClr w14:val="tx1"/>
            </w14:solidFill>
          </w14:textFill>
        </w:rPr>
      </w:pPr>
      <w:r>
        <w:rPr>
          <w:rFonts w:ascii="Times New Roman" w:hAnsi="Times New Roman"/>
          <w:i/>
          <w:color w:val="000000" w:themeColor="text1"/>
          <w:position w:val="2"/>
          <w:sz w:val="23"/>
          <w:szCs w:val="23"/>
          <w:lang w:val="en-US"/>
          <w14:textFill>
            <w14:solidFill>
              <w14:schemeClr w14:val="tx1"/>
            </w14:solidFill>
          </w14:textFill>
        </w:rPr>
        <w:t>L</w:t>
      </w:r>
      <w:r>
        <w:rPr>
          <w:rFonts w:ascii="Times New Roman" w:hAnsi="Times New Roman"/>
          <w:i/>
          <w:color w:val="000000" w:themeColor="text1"/>
          <w:position w:val="-3"/>
          <w:sz w:val="13"/>
          <w:szCs w:val="13"/>
          <w:lang w:val="en-US"/>
          <w14:textFill>
            <w14:solidFill>
              <w14:schemeClr w14:val="tx1"/>
            </w14:solidFill>
          </w14:textFill>
        </w:rPr>
        <w:t>p</w:t>
      </w:r>
      <w:r>
        <w:rPr>
          <w:rFonts w:ascii="Times New Roman" w:hAnsi="Times New Roman"/>
          <w:color w:val="000000" w:themeColor="text1"/>
          <w:spacing w:val="14"/>
          <w:sz w:val="30"/>
          <w:szCs w:val="30"/>
          <w:lang w:val="en-US"/>
          <w14:textFill>
            <w14:solidFill>
              <w14:schemeClr w14:val="tx1"/>
            </w14:solidFill>
          </w14:textFill>
        </w:rPr>
        <w:t>(</w:t>
      </w:r>
      <w:r>
        <w:rPr>
          <w:rFonts w:ascii="Times New Roman" w:hAnsi="Times New Roman"/>
          <w:i/>
          <w:color w:val="000000" w:themeColor="text1"/>
          <w:position w:val="2"/>
          <w:sz w:val="23"/>
          <w:szCs w:val="23"/>
          <w:lang w:val="en-US"/>
          <w14:textFill>
            <w14:solidFill>
              <w14:schemeClr w14:val="tx1"/>
            </w14:solidFill>
          </w14:textFill>
        </w:rPr>
        <w:t>r</w:t>
      </w:r>
      <w:r>
        <w:rPr>
          <w:rFonts w:ascii="Times New Roman" w:hAnsi="Times New Roman"/>
          <w:color w:val="000000" w:themeColor="text1"/>
          <w:sz w:val="30"/>
          <w:szCs w:val="30"/>
          <w:lang w:val="en-US"/>
          <w14:textFill>
            <w14:solidFill>
              <w14:schemeClr w14:val="tx1"/>
            </w14:solidFill>
          </w14:textFill>
        </w:rPr>
        <w:t>)</w:t>
      </w:r>
      <w:r>
        <w:rPr>
          <w:rFonts w:ascii="Times New Roman" w:hAnsi="Times New Roman"/>
          <w:color w:val="000000" w:themeColor="text1"/>
          <w:position w:val="2"/>
          <w:sz w:val="23"/>
          <w:szCs w:val="23"/>
          <w:lang w:val="en-US"/>
          <w14:textFill>
            <w14:solidFill>
              <w14:schemeClr w14:val="tx1"/>
            </w14:solidFill>
          </w14:textFill>
        </w:rPr>
        <w:t>=</w:t>
      </w:r>
      <w:r>
        <w:rPr>
          <w:rFonts w:ascii="Times New Roman" w:hAnsi="Times New Roman"/>
          <w:i/>
          <w:color w:val="000000" w:themeColor="text1"/>
          <w:position w:val="2"/>
          <w:sz w:val="23"/>
          <w:szCs w:val="23"/>
          <w:lang w:val="en-US"/>
          <w14:textFill>
            <w14:solidFill>
              <w14:schemeClr w14:val="tx1"/>
            </w14:solidFill>
          </w14:textFill>
        </w:rPr>
        <w:t>L</w:t>
      </w:r>
      <w:r>
        <w:rPr>
          <w:rFonts w:ascii="Times New Roman" w:hAnsi="Times New Roman"/>
          <w:i/>
          <w:color w:val="000000" w:themeColor="text1"/>
          <w:position w:val="-3"/>
          <w:sz w:val="13"/>
          <w:szCs w:val="13"/>
          <w:lang w:val="en-US"/>
          <w14:textFill>
            <w14:solidFill>
              <w14:schemeClr w14:val="tx1"/>
            </w14:solidFill>
          </w14:textFill>
        </w:rPr>
        <w:t>p</w:t>
      </w:r>
      <w:r>
        <w:rPr>
          <w:rFonts w:ascii="Times New Roman" w:hAnsi="Times New Roman"/>
          <w:color w:val="000000" w:themeColor="text1"/>
          <w:spacing w:val="12"/>
          <w:sz w:val="30"/>
          <w:szCs w:val="30"/>
          <w:lang w:val="en-US"/>
          <w14:textFill>
            <w14:solidFill>
              <w14:schemeClr w14:val="tx1"/>
            </w14:solidFill>
          </w14:textFill>
        </w:rPr>
        <w:t>(</w:t>
      </w:r>
      <w:r>
        <w:rPr>
          <w:rFonts w:ascii="Times New Roman" w:hAnsi="Times New Roman"/>
          <w:i/>
          <w:color w:val="000000" w:themeColor="text1"/>
          <w:spacing w:val="-26"/>
          <w:position w:val="2"/>
          <w:sz w:val="23"/>
          <w:szCs w:val="23"/>
          <w:lang w:val="en-US"/>
          <w14:textFill>
            <w14:solidFill>
              <w14:schemeClr w14:val="tx1"/>
            </w14:solidFill>
          </w14:textFill>
        </w:rPr>
        <w:t>r</w:t>
      </w:r>
      <w:r>
        <w:rPr>
          <w:rFonts w:ascii="Times New Roman" w:hAnsi="Times New Roman"/>
          <w:color w:val="000000" w:themeColor="text1"/>
          <w:position w:val="-3"/>
          <w:sz w:val="13"/>
          <w:szCs w:val="13"/>
          <w:lang w:val="en-US"/>
          <w14:textFill>
            <w14:solidFill>
              <w14:schemeClr w14:val="tx1"/>
            </w14:solidFill>
          </w14:textFill>
        </w:rPr>
        <w:t>0</w:t>
      </w:r>
      <w:r>
        <w:rPr>
          <w:rFonts w:ascii="Times New Roman" w:hAnsi="Times New Roman"/>
          <w:color w:val="000000" w:themeColor="text1"/>
          <w:sz w:val="30"/>
          <w:szCs w:val="30"/>
          <w:lang w:val="en-US"/>
          <w14:textFill>
            <w14:solidFill>
              <w14:schemeClr w14:val="tx1"/>
            </w14:solidFill>
          </w14:textFill>
        </w:rPr>
        <w:t>)</w:t>
      </w:r>
      <w:r>
        <w:rPr>
          <w:rFonts w:ascii="Times New Roman" w:hAnsi="Times New Roman"/>
          <w:color w:val="000000" w:themeColor="text1"/>
          <w:position w:val="2"/>
          <w:sz w:val="23"/>
          <w:szCs w:val="23"/>
          <w:lang w:val="en-US"/>
          <w14:textFill>
            <w14:solidFill>
              <w14:schemeClr w14:val="tx1"/>
            </w14:solidFill>
          </w14:textFill>
        </w:rPr>
        <w:t>-</w:t>
      </w:r>
      <w:r>
        <w:rPr>
          <w:rFonts w:ascii="Times New Roman" w:hAnsi="Times New Roman"/>
          <w:color w:val="000000" w:themeColor="text1"/>
          <w:spacing w:val="-6"/>
          <w:position w:val="2"/>
          <w:sz w:val="23"/>
          <w:szCs w:val="23"/>
          <w:lang w:val="en-US"/>
          <w14:textFill>
            <w14:solidFill>
              <w14:schemeClr w14:val="tx1"/>
            </w14:solidFill>
          </w14:textFill>
        </w:rPr>
        <w:t>2</w:t>
      </w:r>
      <w:r>
        <w:rPr>
          <w:rFonts w:ascii="Times New Roman" w:hAnsi="Times New Roman"/>
          <w:color w:val="000000" w:themeColor="text1"/>
          <w:spacing w:val="15"/>
          <w:position w:val="2"/>
          <w:sz w:val="23"/>
          <w:szCs w:val="23"/>
          <w:lang w:val="en-US"/>
          <w14:textFill>
            <w14:solidFill>
              <w14:schemeClr w14:val="tx1"/>
            </w14:solidFill>
          </w14:textFill>
        </w:rPr>
        <w:t>0</w:t>
      </w:r>
      <w:r>
        <w:rPr>
          <w:rFonts w:ascii="Times New Roman" w:hAnsi="Times New Roman"/>
          <w:color w:val="000000" w:themeColor="text1"/>
          <w:spacing w:val="-6"/>
          <w:position w:val="2"/>
          <w:sz w:val="23"/>
          <w:szCs w:val="23"/>
          <w:lang w:val="en-US"/>
          <w14:textFill>
            <w14:solidFill>
              <w14:schemeClr w14:val="tx1"/>
            </w14:solidFill>
          </w14:textFill>
        </w:rPr>
        <w:t>l</w:t>
      </w:r>
      <w:r>
        <w:rPr>
          <w:rFonts w:ascii="Times New Roman" w:hAnsi="Times New Roman"/>
          <w:color w:val="000000" w:themeColor="text1"/>
          <w:spacing w:val="19"/>
          <w:position w:val="2"/>
          <w:sz w:val="23"/>
          <w:szCs w:val="23"/>
          <w:lang w:val="en-US"/>
          <w14:textFill>
            <w14:solidFill>
              <w14:schemeClr w14:val="tx1"/>
            </w14:solidFill>
          </w14:textFill>
        </w:rPr>
        <w:t>g</w:t>
      </w:r>
      <w:r>
        <w:rPr>
          <w:rFonts w:ascii="Times New Roman" w:hAnsi="Times New Roman"/>
          <w:color w:val="000000" w:themeColor="text1"/>
          <w:spacing w:val="12"/>
          <w:sz w:val="30"/>
          <w:szCs w:val="30"/>
          <w:lang w:val="en-US"/>
          <w14:textFill>
            <w14:solidFill>
              <w14:schemeClr w14:val="tx1"/>
            </w14:solidFill>
          </w14:textFill>
        </w:rPr>
        <w:t>(</w:t>
      </w:r>
      <w:r>
        <w:rPr>
          <w:rFonts w:ascii="Times New Roman" w:hAnsi="Times New Roman"/>
          <w:i/>
          <w:color w:val="000000" w:themeColor="text1"/>
          <w:position w:val="2"/>
          <w:sz w:val="23"/>
          <w:szCs w:val="23"/>
          <w:lang w:val="en-US"/>
          <w14:textFill>
            <w14:solidFill>
              <w14:schemeClr w14:val="tx1"/>
            </w14:solidFill>
          </w14:textFill>
        </w:rPr>
        <w:t>r/</w:t>
      </w:r>
      <w:r>
        <w:rPr>
          <w:rFonts w:ascii="Times New Roman" w:hAnsi="Times New Roman"/>
          <w:i/>
          <w:color w:val="000000" w:themeColor="text1"/>
          <w:spacing w:val="-26"/>
          <w:position w:val="2"/>
          <w:sz w:val="23"/>
          <w:szCs w:val="23"/>
          <w:lang w:val="en-US"/>
          <w14:textFill>
            <w14:solidFill>
              <w14:schemeClr w14:val="tx1"/>
            </w14:solidFill>
          </w14:textFill>
        </w:rPr>
        <w:t>r</w:t>
      </w:r>
      <w:r>
        <w:rPr>
          <w:rFonts w:ascii="Times New Roman" w:hAnsi="Times New Roman"/>
          <w:color w:val="000000" w:themeColor="text1"/>
          <w:position w:val="-3"/>
          <w:sz w:val="13"/>
          <w:szCs w:val="13"/>
          <w:lang w:val="en-US"/>
          <w14:textFill>
            <w14:solidFill>
              <w14:schemeClr w14:val="tx1"/>
            </w14:solidFill>
          </w14:textFill>
        </w:rPr>
        <w:t>0</w:t>
      </w:r>
      <w:r>
        <w:rPr>
          <w:rFonts w:ascii="Times New Roman" w:hAnsi="Times New Roman"/>
          <w:color w:val="000000" w:themeColor="text1"/>
          <w:sz w:val="30"/>
          <w:szCs w:val="30"/>
          <w:lang w:val="en-US"/>
          <w14:textFill>
            <w14:solidFill>
              <w14:schemeClr w14:val="tx1"/>
            </w14:solidFill>
          </w14:textFill>
        </w:rPr>
        <w:t>)</w:t>
      </w:r>
    </w:p>
    <w:p w14:paraId="59A07458">
      <w:pPr>
        <w:ind w:firstLine="480"/>
        <w:rPr>
          <w:color w:val="000000" w:themeColor="text1"/>
          <w:sz w:val="32"/>
          <w:szCs w:val="32"/>
          <w14:textFill>
            <w14:solidFill>
              <w14:schemeClr w14:val="tx1"/>
            </w14:solidFill>
          </w14:textFill>
        </w:rPr>
      </w:pPr>
      <w:r>
        <w:rPr>
          <w:color w:val="000000" w:themeColor="text1"/>
          <w:szCs w:val="28"/>
          <w14:textFill>
            <w14:solidFill>
              <w14:schemeClr w14:val="tx1"/>
            </w14:solidFill>
          </w14:textFill>
        </w:rPr>
        <w:t>式中：L</w:t>
      </w:r>
      <w:r>
        <w:rPr>
          <w:color w:val="000000" w:themeColor="text1"/>
          <w:szCs w:val="28"/>
          <w:vertAlign w:val="subscript"/>
          <w14:textFill>
            <w14:solidFill>
              <w14:schemeClr w14:val="tx1"/>
            </w14:solidFill>
          </w14:textFill>
        </w:rPr>
        <w:t>p</w:t>
      </w:r>
      <w:r>
        <w:rPr>
          <w:color w:val="000000" w:themeColor="text1"/>
          <w:szCs w:val="28"/>
          <w14:textFill>
            <w14:solidFill>
              <w14:schemeClr w14:val="tx1"/>
            </w14:solidFill>
          </w14:textFill>
        </w:rPr>
        <w:t>(r)--预测点处声压级，dB；</w:t>
      </w:r>
    </w:p>
    <w:p w14:paraId="7B9C3DFD">
      <w:pPr>
        <w:ind w:firstLine="480"/>
        <w:rPr>
          <w:color w:val="000000" w:themeColor="text1"/>
          <w:szCs w:val="28"/>
          <w14:textFill>
            <w14:solidFill>
              <w14:schemeClr w14:val="tx1"/>
            </w14:solidFill>
          </w14:textFill>
        </w:rPr>
      </w:pPr>
      <w:r>
        <w:rPr>
          <w:color w:val="000000" w:themeColor="text1"/>
          <w:szCs w:val="28"/>
          <w14:textFill>
            <w14:solidFill>
              <w14:schemeClr w14:val="tx1"/>
            </w14:solidFill>
          </w14:textFill>
        </w:rPr>
        <w:t>L</w:t>
      </w:r>
      <w:r>
        <w:rPr>
          <w:color w:val="000000" w:themeColor="text1"/>
          <w:szCs w:val="28"/>
          <w:vertAlign w:val="subscript"/>
          <w14:textFill>
            <w14:solidFill>
              <w14:schemeClr w14:val="tx1"/>
            </w14:solidFill>
          </w14:textFill>
        </w:rPr>
        <w:t>p</w:t>
      </w:r>
      <w:r>
        <w:rPr>
          <w:color w:val="000000" w:themeColor="text1"/>
          <w:szCs w:val="28"/>
          <w14:textFill>
            <w14:solidFill>
              <w14:schemeClr w14:val="tx1"/>
            </w14:solidFill>
          </w14:textFill>
        </w:rPr>
        <w:t>(r</w:t>
      </w:r>
      <w:r>
        <w:rPr>
          <w:color w:val="000000" w:themeColor="text1"/>
          <w:szCs w:val="28"/>
          <w:vertAlign w:val="subscript"/>
          <w14:textFill>
            <w14:solidFill>
              <w14:schemeClr w14:val="tx1"/>
            </w14:solidFill>
          </w14:textFill>
        </w:rPr>
        <w:t>0</w:t>
      </w:r>
      <w:r>
        <w:rPr>
          <w:color w:val="000000" w:themeColor="text1"/>
          <w:szCs w:val="28"/>
          <w14:textFill>
            <w14:solidFill>
              <w14:schemeClr w14:val="tx1"/>
            </w14:solidFill>
          </w14:textFill>
        </w:rPr>
        <w:t>)--参考位置r</w:t>
      </w:r>
      <w:r>
        <w:rPr>
          <w:color w:val="000000" w:themeColor="text1"/>
          <w:szCs w:val="28"/>
          <w:vertAlign w:val="subscript"/>
          <w14:textFill>
            <w14:solidFill>
              <w14:schemeClr w14:val="tx1"/>
            </w14:solidFill>
          </w14:textFill>
        </w:rPr>
        <w:t>0</w:t>
      </w:r>
      <w:r>
        <w:rPr>
          <w:color w:val="000000" w:themeColor="text1"/>
          <w:szCs w:val="28"/>
          <w14:textFill>
            <w14:solidFill>
              <w14:schemeClr w14:val="tx1"/>
            </w14:solidFill>
          </w14:textFill>
        </w:rPr>
        <w:t>处的声压级，dB；</w:t>
      </w:r>
    </w:p>
    <w:p w14:paraId="340313F0">
      <w:pPr>
        <w:ind w:firstLine="480"/>
        <w:rPr>
          <w:color w:val="000000" w:themeColor="text1"/>
          <w:szCs w:val="28"/>
          <w14:textFill>
            <w14:solidFill>
              <w14:schemeClr w14:val="tx1"/>
            </w14:solidFill>
          </w14:textFill>
        </w:rPr>
      </w:pPr>
      <w:r>
        <w:rPr>
          <w:color w:val="000000" w:themeColor="text1"/>
          <w:szCs w:val="28"/>
          <w14:textFill>
            <w14:solidFill>
              <w14:schemeClr w14:val="tx1"/>
            </w14:solidFill>
          </w14:textFill>
        </w:rPr>
        <w:t>r--预测点距声源的距离；</w:t>
      </w:r>
    </w:p>
    <w:p w14:paraId="7520AFEE">
      <w:pPr>
        <w:ind w:firstLine="480"/>
        <w:rPr>
          <w:color w:val="000000" w:themeColor="text1"/>
          <w:szCs w:val="28"/>
          <w14:textFill>
            <w14:solidFill>
              <w14:schemeClr w14:val="tx1"/>
            </w14:solidFill>
          </w14:textFill>
        </w:rPr>
      </w:pPr>
      <w:r>
        <w:rPr>
          <w:color w:val="000000" w:themeColor="text1"/>
          <w:szCs w:val="28"/>
          <w14:textFill>
            <w14:solidFill>
              <w14:schemeClr w14:val="tx1"/>
            </w14:solidFill>
          </w14:textFill>
        </w:rPr>
        <w:t>r</w:t>
      </w:r>
      <w:r>
        <w:rPr>
          <w:color w:val="000000" w:themeColor="text1"/>
          <w:szCs w:val="28"/>
          <w:vertAlign w:val="subscript"/>
          <w14:textFill>
            <w14:solidFill>
              <w14:schemeClr w14:val="tx1"/>
            </w14:solidFill>
          </w14:textFill>
        </w:rPr>
        <w:t>0</w:t>
      </w:r>
      <w:r>
        <w:rPr>
          <w:color w:val="000000" w:themeColor="text1"/>
          <w:szCs w:val="28"/>
          <w14:textFill>
            <w14:solidFill>
              <w14:schemeClr w14:val="tx1"/>
            </w14:solidFill>
          </w14:textFill>
        </w:rPr>
        <w:t>--参考位置距声源的距离。。</w:t>
      </w:r>
    </w:p>
    <w:p w14:paraId="020A4430">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2）预测结果</w:t>
      </w:r>
    </w:p>
    <w:p w14:paraId="5EE68954">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根据预测模式对施工机械噪声的影响范围进行预测，预测结果见下表。</w:t>
      </w:r>
    </w:p>
    <w:p w14:paraId="4D2F3595">
      <w:pPr>
        <w:pStyle w:val="117"/>
        <w:numPr>
          <w:ilvl w:val="4"/>
          <w:numId w:val="9"/>
        </w:numPr>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主要施工项目不同距离处的噪声值  单位：dB（A）</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1015"/>
        <w:gridCol w:w="1013"/>
        <w:gridCol w:w="1013"/>
        <w:gridCol w:w="1013"/>
        <w:gridCol w:w="1011"/>
        <w:gridCol w:w="1013"/>
        <w:gridCol w:w="1078"/>
      </w:tblGrid>
      <w:tr w14:paraId="401F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Merge w:val="restart"/>
            <w:vAlign w:val="center"/>
          </w:tcPr>
          <w:p w14:paraId="27276C59">
            <w:pPr>
              <w:pStyle w:val="109"/>
              <w:rPr>
                <w:color w:val="000000" w:themeColor="text1"/>
                <w14:textFill>
                  <w14:solidFill>
                    <w14:schemeClr w14:val="tx1"/>
                  </w14:solidFill>
                </w14:textFill>
              </w:rPr>
            </w:pPr>
            <w:r>
              <w:rPr>
                <w:color w:val="000000" w:themeColor="text1"/>
                <w14:textFill>
                  <w14:solidFill>
                    <w14:schemeClr w14:val="tx1"/>
                  </w14:solidFill>
                </w14:textFill>
              </w:rPr>
              <w:t>设备名称</w:t>
            </w:r>
          </w:p>
        </w:tc>
        <w:tc>
          <w:tcPr>
            <w:tcW w:w="3716" w:type="pct"/>
            <w:gridSpan w:val="7"/>
            <w:vAlign w:val="center"/>
          </w:tcPr>
          <w:p w14:paraId="2E74564B">
            <w:pPr>
              <w:pStyle w:val="109"/>
              <w:rPr>
                <w:color w:val="000000" w:themeColor="text1"/>
                <w14:textFill>
                  <w14:solidFill>
                    <w14:schemeClr w14:val="tx1"/>
                  </w14:solidFill>
                </w14:textFill>
              </w:rPr>
            </w:pPr>
            <w:r>
              <w:rPr>
                <w:color w:val="000000" w:themeColor="text1"/>
                <w14:textFill>
                  <w14:solidFill>
                    <w14:schemeClr w14:val="tx1"/>
                  </w14:solidFill>
                </w14:textFill>
              </w:rPr>
              <w:t>距离(m)</w:t>
            </w:r>
          </w:p>
        </w:tc>
      </w:tr>
      <w:tr w14:paraId="67EC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vAlign w:val="center"/>
          </w:tcPr>
          <w:p w14:paraId="0B9D2F5A">
            <w:pPr>
              <w:pStyle w:val="109"/>
              <w:rPr>
                <w:color w:val="000000" w:themeColor="text1"/>
                <w14:textFill>
                  <w14:solidFill>
                    <w14:schemeClr w14:val="tx1"/>
                  </w14:solidFill>
                </w14:textFill>
              </w:rPr>
            </w:pPr>
          </w:p>
        </w:tc>
        <w:tc>
          <w:tcPr>
            <w:tcW w:w="527" w:type="pct"/>
            <w:vAlign w:val="center"/>
          </w:tcPr>
          <w:p w14:paraId="282E3D41">
            <w:pPr>
              <w:pStyle w:val="109"/>
              <w:rPr>
                <w:color w:val="000000" w:themeColor="text1"/>
                <w14:textFill>
                  <w14:solidFill>
                    <w14:schemeClr w14:val="tx1"/>
                  </w14:solidFill>
                </w14:textFill>
              </w:rPr>
            </w:pPr>
            <w:r>
              <w:rPr>
                <w:color w:val="000000" w:themeColor="text1"/>
                <w14:textFill>
                  <w14:solidFill>
                    <w14:schemeClr w14:val="tx1"/>
                  </w14:solidFill>
                </w14:textFill>
              </w:rPr>
              <w:t>50</w:t>
            </w:r>
          </w:p>
        </w:tc>
        <w:tc>
          <w:tcPr>
            <w:tcW w:w="526" w:type="pct"/>
            <w:vAlign w:val="center"/>
          </w:tcPr>
          <w:p w14:paraId="10F0AAE0">
            <w:pPr>
              <w:pStyle w:val="109"/>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526" w:type="pct"/>
            <w:vAlign w:val="center"/>
          </w:tcPr>
          <w:p w14:paraId="7BD8190E">
            <w:pPr>
              <w:pStyle w:val="109"/>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26" w:type="pct"/>
            <w:vAlign w:val="center"/>
          </w:tcPr>
          <w:p w14:paraId="2C462B71">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525" w:type="pct"/>
            <w:vAlign w:val="center"/>
          </w:tcPr>
          <w:p w14:paraId="1AFD638C">
            <w:pPr>
              <w:pStyle w:val="109"/>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526" w:type="pct"/>
            <w:vAlign w:val="center"/>
          </w:tcPr>
          <w:p w14:paraId="05E0AF01">
            <w:pPr>
              <w:pStyle w:val="109"/>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560" w:type="pct"/>
            <w:vAlign w:val="center"/>
          </w:tcPr>
          <w:p w14:paraId="17A6753C">
            <w:pPr>
              <w:pStyle w:val="109"/>
              <w:rPr>
                <w:color w:val="000000" w:themeColor="text1"/>
                <w14:textFill>
                  <w14:solidFill>
                    <w14:schemeClr w14:val="tx1"/>
                  </w14:solidFill>
                </w14:textFill>
              </w:rPr>
            </w:pPr>
            <w:r>
              <w:rPr>
                <w:color w:val="000000" w:themeColor="text1"/>
                <w14:textFill>
                  <w14:solidFill>
                    <w14:schemeClr w14:val="tx1"/>
                  </w14:solidFill>
                </w14:textFill>
              </w:rPr>
              <w:t>400</w:t>
            </w:r>
          </w:p>
        </w:tc>
      </w:tr>
      <w:tr w14:paraId="6A23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6C12106F">
            <w:pPr>
              <w:pStyle w:val="109"/>
              <w:rPr>
                <w:color w:val="000000" w:themeColor="text1"/>
                <w14:textFill>
                  <w14:solidFill>
                    <w14:schemeClr w14:val="tx1"/>
                  </w14:solidFill>
                </w14:textFill>
              </w:rPr>
            </w:pPr>
            <w:r>
              <w:rPr>
                <w:color w:val="000000" w:themeColor="text1"/>
                <w14:textFill>
                  <w14:solidFill>
                    <w14:schemeClr w14:val="tx1"/>
                  </w14:solidFill>
                </w14:textFill>
              </w:rPr>
              <w:t>液压挖掘机</w:t>
            </w:r>
          </w:p>
        </w:tc>
        <w:tc>
          <w:tcPr>
            <w:tcW w:w="527" w:type="pct"/>
            <w:vAlign w:val="center"/>
          </w:tcPr>
          <w:p w14:paraId="0C0D6A83">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26" w:type="pct"/>
            <w:vAlign w:val="center"/>
          </w:tcPr>
          <w:p w14:paraId="79BBE48D">
            <w:pPr>
              <w:pStyle w:val="109"/>
              <w:rPr>
                <w:color w:val="000000" w:themeColor="text1"/>
                <w14:textFill>
                  <w14:solidFill>
                    <w14:schemeClr w14:val="tx1"/>
                  </w14:solidFill>
                </w14:textFill>
              </w:rPr>
            </w:pPr>
            <w:r>
              <w:rPr>
                <w:color w:val="000000" w:themeColor="text1"/>
                <w14:textFill>
                  <w14:solidFill>
                    <w14:schemeClr w14:val="tx1"/>
                  </w14:solidFill>
                </w14:textFill>
              </w:rPr>
              <w:t>64</w:t>
            </w:r>
          </w:p>
        </w:tc>
        <w:tc>
          <w:tcPr>
            <w:tcW w:w="526" w:type="pct"/>
            <w:vAlign w:val="center"/>
          </w:tcPr>
          <w:p w14:paraId="383BE192">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26" w:type="pct"/>
            <w:vAlign w:val="center"/>
          </w:tcPr>
          <w:p w14:paraId="6C496AB0">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525" w:type="pct"/>
            <w:vAlign w:val="center"/>
          </w:tcPr>
          <w:p w14:paraId="578EDB2C">
            <w:pPr>
              <w:pStyle w:val="10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526" w:type="pct"/>
            <w:vAlign w:val="center"/>
          </w:tcPr>
          <w:p w14:paraId="1E7AFCEE">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c>
          <w:tcPr>
            <w:tcW w:w="560" w:type="pct"/>
            <w:vAlign w:val="center"/>
          </w:tcPr>
          <w:p w14:paraId="6F45F70C">
            <w:pPr>
              <w:pStyle w:val="109"/>
              <w:rPr>
                <w:color w:val="000000" w:themeColor="text1"/>
                <w14:textFill>
                  <w14:solidFill>
                    <w14:schemeClr w14:val="tx1"/>
                  </w14:solidFill>
                </w14:textFill>
              </w:rPr>
            </w:pPr>
            <w:r>
              <w:rPr>
                <w:color w:val="000000" w:themeColor="text1"/>
                <w14:textFill>
                  <w14:solidFill>
                    <w14:schemeClr w14:val="tx1"/>
                  </w14:solidFill>
                </w14:textFill>
              </w:rPr>
              <w:t>52</w:t>
            </w:r>
          </w:p>
        </w:tc>
      </w:tr>
      <w:tr w14:paraId="00BC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6DA1CD40">
            <w:pPr>
              <w:pStyle w:val="109"/>
              <w:rPr>
                <w:color w:val="000000" w:themeColor="text1"/>
                <w14:textFill>
                  <w14:solidFill>
                    <w14:schemeClr w14:val="tx1"/>
                  </w14:solidFill>
                </w14:textFill>
              </w:rPr>
            </w:pPr>
            <w:r>
              <w:rPr>
                <w:color w:val="000000" w:themeColor="text1"/>
                <w14:textFill>
                  <w14:solidFill>
                    <w14:schemeClr w14:val="tx1"/>
                  </w14:solidFill>
                </w14:textFill>
              </w:rPr>
              <w:t>电动挖掘机</w:t>
            </w:r>
          </w:p>
        </w:tc>
        <w:tc>
          <w:tcPr>
            <w:tcW w:w="527" w:type="pct"/>
            <w:vAlign w:val="center"/>
          </w:tcPr>
          <w:p w14:paraId="734C00A4">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c>
          <w:tcPr>
            <w:tcW w:w="526" w:type="pct"/>
            <w:vAlign w:val="center"/>
          </w:tcPr>
          <w:p w14:paraId="45C17F1A">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26" w:type="pct"/>
            <w:vAlign w:val="center"/>
          </w:tcPr>
          <w:p w14:paraId="2B35D519">
            <w:pPr>
              <w:pStyle w:val="10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526" w:type="pct"/>
            <w:vAlign w:val="center"/>
          </w:tcPr>
          <w:p w14:paraId="4B3CF2F4">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c>
          <w:tcPr>
            <w:tcW w:w="525" w:type="pct"/>
            <w:vAlign w:val="center"/>
          </w:tcPr>
          <w:p w14:paraId="7C41506E">
            <w:pPr>
              <w:pStyle w:val="109"/>
              <w:rPr>
                <w:color w:val="000000" w:themeColor="text1"/>
                <w14:textFill>
                  <w14:solidFill>
                    <w14:schemeClr w14:val="tx1"/>
                  </w14:solidFill>
                </w14:textFill>
              </w:rPr>
            </w:pPr>
            <w:r>
              <w:rPr>
                <w:color w:val="000000" w:themeColor="text1"/>
                <w14:textFill>
                  <w14:solidFill>
                    <w14:schemeClr w14:val="tx1"/>
                  </w14:solidFill>
                </w14:textFill>
              </w:rPr>
              <w:t>52</w:t>
            </w:r>
          </w:p>
        </w:tc>
        <w:tc>
          <w:tcPr>
            <w:tcW w:w="526" w:type="pct"/>
            <w:vAlign w:val="center"/>
          </w:tcPr>
          <w:p w14:paraId="70B78B56">
            <w:pPr>
              <w:pStyle w:val="109"/>
              <w:rPr>
                <w:color w:val="000000" w:themeColor="text1"/>
                <w14:textFill>
                  <w14:solidFill>
                    <w14:schemeClr w14:val="tx1"/>
                  </w14:solidFill>
                </w14:textFill>
              </w:rPr>
            </w:pPr>
            <w:r>
              <w:rPr>
                <w:color w:val="000000" w:themeColor="text1"/>
                <w14:textFill>
                  <w14:solidFill>
                    <w14:schemeClr w14:val="tx1"/>
                  </w14:solidFill>
                </w14:textFill>
              </w:rPr>
              <w:t>50</w:t>
            </w:r>
          </w:p>
        </w:tc>
        <w:tc>
          <w:tcPr>
            <w:tcW w:w="560" w:type="pct"/>
            <w:vAlign w:val="center"/>
          </w:tcPr>
          <w:p w14:paraId="4C695A5A">
            <w:pPr>
              <w:pStyle w:val="109"/>
              <w:rPr>
                <w:color w:val="000000" w:themeColor="text1"/>
                <w14:textFill>
                  <w14:solidFill>
                    <w14:schemeClr w14:val="tx1"/>
                  </w14:solidFill>
                </w14:textFill>
              </w:rPr>
            </w:pPr>
            <w:r>
              <w:rPr>
                <w:color w:val="000000" w:themeColor="text1"/>
                <w14:textFill>
                  <w14:solidFill>
                    <w14:schemeClr w14:val="tx1"/>
                  </w14:solidFill>
                </w14:textFill>
              </w:rPr>
              <w:t>48</w:t>
            </w:r>
          </w:p>
        </w:tc>
      </w:tr>
      <w:tr w14:paraId="5B0A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499D360F">
            <w:pPr>
              <w:pStyle w:val="109"/>
              <w:rPr>
                <w:color w:val="000000" w:themeColor="text1"/>
                <w14:textFill>
                  <w14:solidFill>
                    <w14:schemeClr w14:val="tx1"/>
                  </w14:solidFill>
                </w14:textFill>
              </w:rPr>
            </w:pPr>
            <w:r>
              <w:rPr>
                <w:color w:val="000000" w:themeColor="text1"/>
                <w14:textFill>
                  <w14:solidFill>
                    <w14:schemeClr w14:val="tx1"/>
                  </w14:solidFill>
                </w14:textFill>
              </w:rPr>
              <w:t>轮式装载机</w:t>
            </w:r>
          </w:p>
        </w:tc>
        <w:tc>
          <w:tcPr>
            <w:tcW w:w="527" w:type="pct"/>
            <w:vAlign w:val="center"/>
          </w:tcPr>
          <w:p w14:paraId="2F2FCBD2">
            <w:pPr>
              <w:pStyle w:val="109"/>
              <w:rPr>
                <w:color w:val="000000" w:themeColor="text1"/>
                <w14:textFill>
                  <w14:solidFill>
                    <w14:schemeClr w14:val="tx1"/>
                  </w14:solidFill>
                </w14:textFill>
              </w:rPr>
            </w:pPr>
            <w:r>
              <w:rPr>
                <w:color w:val="000000" w:themeColor="text1"/>
                <w14:textFill>
                  <w14:solidFill>
                    <w14:schemeClr w14:val="tx1"/>
                  </w14:solidFill>
                </w14:textFill>
              </w:rPr>
              <w:t>75</w:t>
            </w:r>
          </w:p>
        </w:tc>
        <w:tc>
          <w:tcPr>
            <w:tcW w:w="526" w:type="pct"/>
            <w:vAlign w:val="center"/>
          </w:tcPr>
          <w:p w14:paraId="57AB0B95">
            <w:pPr>
              <w:pStyle w:val="109"/>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26" w:type="pct"/>
            <w:vAlign w:val="center"/>
          </w:tcPr>
          <w:p w14:paraId="57E83A3B">
            <w:pPr>
              <w:pStyle w:val="109"/>
              <w:rPr>
                <w:color w:val="000000" w:themeColor="text1"/>
                <w14:textFill>
                  <w14:solidFill>
                    <w14:schemeClr w14:val="tx1"/>
                  </w14:solidFill>
                </w14:textFill>
              </w:rPr>
            </w:pPr>
            <w:r>
              <w:rPr>
                <w:color w:val="000000" w:themeColor="text1"/>
                <w14:textFill>
                  <w14:solidFill>
                    <w14:schemeClr w14:val="tx1"/>
                  </w14:solidFill>
                </w14:textFill>
              </w:rPr>
              <w:t>65</w:t>
            </w:r>
          </w:p>
        </w:tc>
        <w:tc>
          <w:tcPr>
            <w:tcW w:w="526" w:type="pct"/>
            <w:vAlign w:val="center"/>
          </w:tcPr>
          <w:p w14:paraId="030EC0E1">
            <w:pPr>
              <w:pStyle w:val="109"/>
              <w:rPr>
                <w:color w:val="000000" w:themeColor="text1"/>
                <w14:textFill>
                  <w14:solidFill>
                    <w14:schemeClr w14:val="tx1"/>
                  </w14:solidFill>
                </w14:textFill>
              </w:rPr>
            </w:pPr>
            <w:r>
              <w:rPr>
                <w:color w:val="000000" w:themeColor="text1"/>
                <w14:textFill>
                  <w14:solidFill>
                    <w14:schemeClr w14:val="tx1"/>
                  </w14:solidFill>
                </w14:textFill>
              </w:rPr>
              <w:t>63</w:t>
            </w:r>
          </w:p>
        </w:tc>
        <w:tc>
          <w:tcPr>
            <w:tcW w:w="525" w:type="pct"/>
            <w:vAlign w:val="center"/>
          </w:tcPr>
          <w:p w14:paraId="680A2A3D">
            <w:pPr>
              <w:pStyle w:val="109"/>
              <w:rPr>
                <w:color w:val="000000" w:themeColor="text1"/>
                <w14:textFill>
                  <w14:solidFill>
                    <w14:schemeClr w14:val="tx1"/>
                  </w14:solidFill>
                </w14:textFill>
              </w:rPr>
            </w:pPr>
            <w:r>
              <w:rPr>
                <w:color w:val="000000" w:themeColor="text1"/>
                <w14:textFill>
                  <w14:solidFill>
                    <w14:schemeClr w14:val="tx1"/>
                  </w14:solidFill>
                </w14:textFill>
              </w:rPr>
              <w:t>61</w:t>
            </w:r>
          </w:p>
        </w:tc>
        <w:tc>
          <w:tcPr>
            <w:tcW w:w="526" w:type="pct"/>
            <w:vAlign w:val="center"/>
          </w:tcPr>
          <w:p w14:paraId="69035055">
            <w:pPr>
              <w:pStyle w:val="109"/>
              <w:rPr>
                <w:color w:val="000000" w:themeColor="text1"/>
                <w14:textFill>
                  <w14:solidFill>
                    <w14:schemeClr w14:val="tx1"/>
                  </w14:solidFill>
                </w14:textFill>
              </w:rPr>
            </w:pPr>
            <w:r>
              <w:rPr>
                <w:color w:val="000000" w:themeColor="text1"/>
                <w14:textFill>
                  <w14:solidFill>
                    <w14:schemeClr w14:val="tx1"/>
                  </w14:solidFill>
                </w14:textFill>
              </w:rPr>
              <w:t>59</w:t>
            </w:r>
          </w:p>
        </w:tc>
        <w:tc>
          <w:tcPr>
            <w:tcW w:w="560" w:type="pct"/>
            <w:vAlign w:val="center"/>
          </w:tcPr>
          <w:p w14:paraId="3F2DCC7B">
            <w:pPr>
              <w:pStyle w:val="109"/>
              <w:rPr>
                <w:color w:val="000000" w:themeColor="text1"/>
                <w14:textFill>
                  <w14:solidFill>
                    <w14:schemeClr w14:val="tx1"/>
                  </w14:solidFill>
                </w14:textFill>
              </w:rPr>
            </w:pPr>
            <w:r>
              <w:rPr>
                <w:color w:val="000000" w:themeColor="text1"/>
                <w14:textFill>
                  <w14:solidFill>
                    <w14:schemeClr w14:val="tx1"/>
                  </w14:solidFill>
                </w14:textFill>
              </w:rPr>
              <w:t>57</w:t>
            </w:r>
          </w:p>
        </w:tc>
      </w:tr>
      <w:tr w14:paraId="3F87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3AAAC43D">
            <w:pPr>
              <w:pStyle w:val="109"/>
              <w:rPr>
                <w:color w:val="000000" w:themeColor="text1"/>
                <w14:textFill>
                  <w14:solidFill>
                    <w14:schemeClr w14:val="tx1"/>
                  </w14:solidFill>
                </w14:textFill>
              </w:rPr>
            </w:pPr>
            <w:r>
              <w:rPr>
                <w:color w:val="000000" w:themeColor="text1"/>
                <w14:textFill>
                  <w14:solidFill>
                    <w14:schemeClr w14:val="tx1"/>
                  </w14:solidFill>
                </w14:textFill>
              </w:rPr>
              <w:t>推土机</w:t>
            </w:r>
          </w:p>
        </w:tc>
        <w:tc>
          <w:tcPr>
            <w:tcW w:w="527" w:type="pct"/>
            <w:vAlign w:val="center"/>
          </w:tcPr>
          <w:p w14:paraId="44372363">
            <w:pPr>
              <w:pStyle w:val="109"/>
              <w:rPr>
                <w:color w:val="000000" w:themeColor="text1"/>
                <w14:textFill>
                  <w14:solidFill>
                    <w14:schemeClr w14:val="tx1"/>
                  </w14:solidFill>
                </w14:textFill>
              </w:rPr>
            </w:pPr>
            <w:r>
              <w:rPr>
                <w:color w:val="000000" w:themeColor="text1"/>
                <w14:textFill>
                  <w14:solidFill>
                    <w14:schemeClr w14:val="tx1"/>
                  </w14:solidFill>
                </w14:textFill>
              </w:rPr>
              <w:t>68</w:t>
            </w:r>
          </w:p>
        </w:tc>
        <w:tc>
          <w:tcPr>
            <w:tcW w:w="526" w:type="pct"/>
            <w:vAlign w:val="center"/>
          </w:tcPr>
          <w:p w14:paraId="125574E5">
            <w:pPr>
              <w:pStyle w:val="109"/>
              <w:rPr>
                <w:color w:val="000000" w:themeColor="text1"/>
                <w14:textFill>
                  <w14:solidFill>
                    <w14:schemeClr w14:val="tx1"/>
                  </w14:solidFill>
                </w14:textFill>
              </w:rPr>
            </w:pPr>
            <w:r>
              <w:rPr>
                <w:color w:val="000000" w:themeColor="text1"/>
                <w14:textFill>
                  <w14:solidFill>
                    <w14:schemeClr w14:val="tx1"/>
                  </w14:solidFill>
                </w14:textFill>
              </w:rPr>
              <w:t>62</w:t>
            </w:r>
          </w:p>
        </w:tc>
        <w:tc>
          <w:tcPr>
            <w:tcW w:w="526" w:type="pct"/>
            <w:vAlign w:val="center"/>
          </w:tcPr>
          <w:p w14:paraId="73722631">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526" w:type="pct"/>
            <w:vAlign w:val="center"/>
          </w:tcPr>
          <w:p w14:paraId="7D301E0F">
            <w:pPr>
              <w:pStyle w:val="10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525" w:type="pct"/>
            <w:vAlign w:val="center"/>
          </w:tcPr>
          <w:p w14:paraId="39FE13D2">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c>
          <w:tcPr>
            <w:tcW w:w="526" w:type="pct"/>
            <w:vAlign w:val="center"/>
          </w:tcPr>
          <w:p w14:paraId="634B2831">
            <w:pPr>
              <w:pStyle w:val="109"/>
              <w:rPr>
                <w:color w:val="000000" w:themeColor="text1"/>
                <w14:textFill>
                  <w14:solidFill>
                    <w14:schemeClr w14:val="tx1"/>
                  </w14:solidFill>
                </w14:textFill>
              </w:rPr>
            </w:pPr>
            <w:r>
              <w:rPr>
                <w:color w:val="000000" w:themeColor="text1"/>
                <w14:textFill>
                  <w14:solidFill>
                    <w14:schemeClr w14:val="tx1"/>
                  </w14:solidFill>
                </w14:textFill>
              </w:rPr>
              <w:t>52</w:t>
            </w:r>
          </w:p>
        </w:tc>
        <w:tc>
          <w:tcPr>
            <w:tcW w:w="560" w:type="pct"/>
            <w:vAlign w:val="center"/>
          </w:tcPr>
          <w:p w14:paraId="5551D5E3">
            <w:pPr>
              <w:pStyle w:val="109"/>
              <w:rPr>
                <w:color w:val="000000" w:themeColor="text1"/>
                <w14:textFill>
                  <w14:solidFill>
                    <w14:schemeClr w14:val="tx1"/>
                  </w14:solidFill>
                </w14:textFill>
              </w:rPr>
            </w:pPr>
            <w:r>
              <w:rPr>
                <w:color w:val="000000" w:themeColor="text1"/>
                <w14:textFill>
                  <w14:solidFill>
                    <w14:schemeClr w14:val="tx1"/>
                  </w14:solidFill>
                </w14:textFill>
              </w:rPr>
              <w:t>50</w:t>
            </w:r>
          </w:p>
        </w:tc>
      </w:tr>
      <w:tr w14:paraId="1E5D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441B536B">
            <w:pPr>
              <w:pStyle w:val="109"/>
              <w:rPr>
                <w:color w:val="000000" w:themeColor="text1"/>
                <w14:textFill>
                  <w14:solidFill>
                    <w14:schemeClr w14:val="tx1"/>
                  </w14:solidFill>
                </w14:textFill>
              </w:rPr>
            </w:pPr>
            <w:r>
              <w:rPr>
                <w:color w:val="000000" w:themeColor="text1"/>
                <w14:textFill>
                  <w14:solidFill>
                    <w14:schemeClr w14:val="tx1"/>
                  </w14:solidFill>
                </w14:textFill>
              </w:rPr>
              <w:t>移动式发电机</w:t>
            </w:r>
          </w:p>
        </w:tc>
        <w:tc>
          <w:tcPr>
            <w:tcW w:w="527" w:type="pct"/>
            <w:vAlign w:val="center"/>
          </w:tcPr>
          <w:p w14:paraId="675C183E">
            <w:pPr>
              <w:pStyle w:val="109"/>
              <w:rPr>
                <w:color w:val="000000" w:themeColor="text1"/>
                <w14:textFill>
                  <w14:solidFill>
                    <w14:schemeClr w14:val="tx1"/>
                  </w14:solidFill>
                </w14:textFill>
              </w:rPr>
            </w:pPr>
            <w:r>
              <w:rPr>
                <w:color w:val="000000" w:themeColor="text1"/>
                <w14:textFill>
                  <w14:solidFill>
                    <w14:schemeClr w14:val="tx1"/>
                  </w14:solidFill>
                </w14:textFill>
              </w:rPr>
              <w:t>82</w:t>
            </w:r>
          </w:p>
        </w:tc>
        <w:tc>
          <w:tcPr>
            <w:tcW w:w="526" w:type="pct"/>
            <w:vAlign w:val="center"/>
          </w:tcPr>
          <w:p w14:paraId="531B03B3">
            <w:pPr>
              <w:pStyle w:val="109"/>
              <w:rPr>
                <w:color w:val="000000" w:themeColor="text1"/>
                <w14:textFill>
                  <w14:solidFill>
                    <w14:schemeClr w14:val="tx1"/>
                  </w14:solidFill>
                </w14:textFill>
              </w:rPr>
            </w:pPr>
            <w:r>
              <w:rPr>
                <w:color w:val="000000" w:themeColor="text1"/>
                <w14:textFill>
                  <w14:solidFill>
                    <w14:schemeClr w14:val="tx1"/>
                  </w14:solidFill>
                </w14:textFill>
              </w:rPr>
              <w:t>76</w:t>
            </w:r>
          </w:p>
        </w:tc>
        <w:tc>
          <w:tcPr>
            <w:tcW w:w="526" w:type="pct"/>
            <w:vAlign w:val="center"/>
          </w:tcPr>
          <w:p w14:paraId="4E69C98F">
            <w:pPr>
              <w:pStyle w:val="109"/>
              <w:rPr>
                <w:color w:val="000000" w:themeColor="text1"/>
                <w14:textFill>
                  <w14:solidFill>
                    <w14:schemeClr w14:val="tx1"/>
                  </w14:solidFill>
                </w14:textFill>
              </w:rPr>
            </w:pPr>
            <w:r>
              <w:rPr>
                <w:color w:val="000000" w:themeColor="text1"/>
                <w14:textFill>
                  <w14:solidFill>
                    <w14:schemeClr w14:val="tx1"/>
                  </w14:solidFill>
                </w14:textFill>
              </w:rPr>
              <w:t>72</w:t>
            </w:r>
          </w:p>
        </w:tc>
        <w:tc>
          <w:tcPr>
            <w:tcW w:w="526" w:type="pct"/>
            <w:vAlign w:val="center"/>
          </w:tcPr>
          <w:p w14:paraId="4B66637E">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25" w:type="pct"/>
            <w:vAlign w:val="center"/>
          </w:tcPr>
          <w:p w14:paraId="3203ABDF">
            <w:pPr>
              <w:pStyle w:val="109"/>
              <w:rPr>
                <w:color w:val="000000" w:themeColor="text1"/>
                <w14:textFill>
                  <w14:solidFill>
                    <w14:schemeClr w14:val="tx1"/>
                  </w14:solidFill>
                </w14:textFill>
              </w:rPr>
            </w:pPr>
            <w:r>
              <w:rPr>
                <w:color w:val="000000" w:themeColor="text1"/>
                <w14:textFill>
                  <w14:solidFill>
                    <w14:schemeClr w14:val="tx1"/>
                  </w14:solidFill>
                </w14:textFill>
              </w:rPr>
              <w:t>68</w:t>
            </w:r>
          </w:p>
        </w:tc>
        <w:tc>
          <w:tcPr>
            <w:tcW w:w="526" w:type="pct"/>
            <w:vAlign w:val="center"/>
          </w:tcPr>
          <w:p w14:paraId="51E54E58">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c>
          <w:tcPr>
            <w:tcW w:w="560" w:type="pct"/>
            <w:vAlign w:val="center"/>
          </w:tcPr>
          <w:p w14:paraId="64FB78FB">
            <w:pPr>
              <w:pStyle w:val="109"/>
              <w:rPr>
                <w:color w:val="000000" w:themeColor="text1"/>
                <w14:textFill>
                  <w14:solidFill>
                    <w14:schemeClr w14:val="tx1"/>
                  </w14:solidFill>
                </w14:textFill>
              </w:rPr>
            </w:pPr>
            <w:r>
              <w:rPr>
                <w:color w:val="000000" w:themeColor="text1"/>
                <w14:textFill>
                  <w14:solidFill>
                    <w14:schemeClr w14:val="tx1"/>
                  </w14:solidFill>
                </w14:textFill>
              </w:rPr>
              <w:t>64</w:t>
            </w:r>
          </w:p>
        </w:tc>
      </w:tr>
      <w:tr w14:paraId="32FB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77CA94A9">
            <w:pPr>
              <w:pStyle w:val="109"/>
              <w:rPr>
                <w:color w:val="000000" w:themeColor="text1"/>
                <w14:textFill>
                  <w14:solidFill>
                    <w14:schemeClr w14:val="tx1"/>
                  </w14:solidFill>
                </w14:textFill>
              </w:rPr>
            </w:pPr>
            <w:r>
              <w:rPr>
                <w:color w:val="000000" w:themeColor="text1"/>
                <w14:textFill>
                  <w14:solidFill>
                    <w14:schemeClr w14:val="tx1"/>
                  </w14:solidFill>
                </w14:textFill>
              </w:rPr>
              <w:t>各类压路机</w:t>
            </w:r>
          </w:p>
        </w:tc>
        <w:tc>
          <w:tcPr>
            <w:tcW w:w="527" w:type="pct"/>
            <w:vAlign w:val="center"/>
          </w:tcPr>
          <w:p w14:paraId="31B616C6">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26" w:type="pct"/>
            <w:vAlign w:val="center"/>
          </w:tcPr>
          <w:p w14:paraId="31947BAD">
            <w:pPr>
              <w:pStyle w:val="109"/>
              <w:rPr>
                <w:color w:val="000000" w:themeColor="text1"/>
                <w14:textFill>
                  <w14:solidFill>
                    <w14:schemeClr w14:val="tx1"/>
                  </w14:solidFill>
                </w14:textFill>
              </w:rPr>
            </w:pPr>
            <w:r>
              <w:rPr>
                <w:color w:val="000000" w:themeColor="text1"/>
                <w14:textFill>
                  <w14:solidFill>
                    <w14:schemeClr w14:val="tx1"/>
                  </w14:solidFill>
                </w14:textFill>
              </w:rPr>
              <w:t>64</w:t>
            </w:r>
          </w:p>
        </w:tc>
        <w:tc>
          <w:tcPr>
            <w:tcW w:w="526" w:type="pct"/>
            <w:vAlign w:val="center"/>
          </w:tcPr>
          <w:p w14:paraId="28597C35">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26" w:type="pct"/>
            <w:vAlign w:val="center"/>
          </w:tcPr>
          <w:p w14:paraId="0BFEC75D">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525" w:type="pct"/>
            <w:vAlign w:val="center"/>
          </w:tcPr>
          <w:p w14:paraId="4832E08D">
            <w:pPr>
              <w:pStyle w:val="10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526" w:type="pct"/>
            <w:vAlign w:val="center"/>
          </w:tcPr>
          <w:p w14:paraId="62DD49AD">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c>
          <w:tcPr>
            <w:tcW w:w="560" w:type="pct"/>
            <w:vAlign w:val="center"/>
          </w:tcPr>
          <w:p w14:paraId="5E60647D">
            <w:pPr>
              <w:pStyle w:val="109"/>
              <w:rPr>
                <w:color w:val="000000" w:themeColor="text1"/>
                <w14:textFill>
                  <w14:solidFill>
                    <w14:schemeClr w14:val="tx1"/>
                  </w14:solidFill>
                </w14:textFill>
              </w:rPr>
            </w:pPr>
            <w:r>
              <w:rPr>
                <w:color w:val="000000" w:themeColor="text1"/>
                <w14:textFill>
                  <w14:solidFill>
                    <w14:schemeClr w14:val="tx1"/>
                  </w14:solidFill>
                </w14:textFill>
              </w:rPr>
              <w:t>52</w:t>
            </w:r>
          </w:p>
        </w:tc>
      </w:tr>
      <w:tr w14:paraId="69DE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04ABD3E0">
            <w:pPr>
              <w:pStyle w:val="109"/>
              <w:rPr>
                <w:color w:val="000000" w:themeColor="text1"/>
                <w14:textFill>
                  <w14:solidFill>
                    <w14:schemeClr w14:val="tx1"/>
                  </w14:solidFill>
                </w14:textFill>
              </w:rPr>
            </w:pPr>
            <w:r>
              <w:rPr>
                <w:color w:val="000000" w:themeColor="text1"/>
                <w14:textFill>
                  <w14:solidFill>
                    <w14:schemeClr w14:val="tx1"/>
                  </w14:solidFill>
                </w14:textFill>
              </w:rPr>
              <w:t>重型运输车</w:t>
            </w:r>
          </w:p>
        </w:tc>
        <w:tc>
          <w:tcPr>
            <w:tcW w:w="527" w:type="pct"/>
            <w:vAlign w:val="center"/>
          </w:tcPr>
          <w:p w14:paraId="4EEBE927">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26" w:type="pct"/>
            <w:vAlign w:val="center"/>
          </w:tcPr>
          <w:p w14:paraId="4B5C6086">
            <w:pPr>
              <w:pStyle w:val="109"/>
              <w:rPr>
                <w:color w:val="000000" w:themeColor="text1"/>
                <w14:textFill>
                  <w14:solidFill>
                    <w14:schemeClr w14:val="tx1"/>
                  </w14:solidFill>
                </w14:textFill>
              </w:rPr>
            </w:pPr>
            <w:r>
              <w:rPr>
                <w:color w:val="000000" w:themeColor="text1"/>
                <w14:textFill>
                  <w14:solidFill>
                    <w14:schemeClr w14:val="tx1"/>
                  </w14:solidFill>
                </w14:textFill>
              </w:rPr>
              <w:t>64</w:t>
            </w:r>
          </w:p>
        </w:tc>
        <w:tc>
          <w:tcPr>
            <w:tcW w:w="526" w:type="pct"/>
            <w:vAlign w:val="center"/>
          </w:tcPr>
          <w:p w14:paraId="31EFC8FA">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26" w:type="pct"/>
            <w:vAlign w:val="center"/>
          </w:tcPr>
          <w:p w14:paraId="56FDDF8F">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525" w:type="pct"/>
            <w:vAlign w:val="center"/>
          </w:tcPr>
          <w:p w14:paraId="64764863">
            <w:pPr>
              <w:pStyle w:val="10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526" w:type="pct"/>
            <w:vAlign w:val="center"/>
          </w:tcPr>
          <w:p w14:paraId="28C3FD32">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c>
          <w:tcPr>
            <w:tcW w:w="560" w:type="pct"/>
            <w:vAlign w:val="center"/>
          </w:tcPr>
          <w:p w14:paraId="01D52AFA">
            <w:pPr>
              <w:pStyle w:val="109"/>
              <w:rPr>
                <w:color w:val="000000" w:themeColor="text1"/>
                <w14:textFill>
                  <w14:solidFill>
                    <w14:schemeClr w14:val="tx1"/>
                  </w14:solidFill>
                </w14:textFill>
              </w:rPr>
            </w:pPr>
            <w:r>
              <w:rPr>
                <w:color w:val="000000" w:themeColor="text1"/>
                <w14:textFill>
                  <w14:solidFill>
                    <w14:schemeClr w14:val="tx1"/>
                  </w14:solidFill>
                </w14:textFill>
              </w:rPr>
              <w:t>52</w:t>
            </w:r>
          </w:p>
        </w:tc>
      </w:tr>
      <w:tr w14:paraId="583B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1723B7CF">
            <w:pPr>
              <w:pStyle w:val="109"/>
              <w:rPr>
                <w:color w:val="000000" w:themeColor="text1"/>
                <w14:textFill>
                  <w14:solidFill>
                    <w14:schemeClr w14:val="tx1"/>
                  </w14:solidFill>
                </w14:textFill>
              </w:rPr>
            </w:pPr>
            <w:r>
              <w:rPr>
                <w:color w:val="000000" w:themeColor="text1"/>
                <w14:textFill>
                  <w14:solidFill>
                    <w14:schemeClr w14:val="tx1"/>
                  </w14:solidFill>
                </w14:textFill>
              </w:rPr>
              <w:t>木工电锯</w:t>
            </w:r>
          </w:p>
        </w:tc>
        <w:tc>
          <w:tcPr>
            <w:tcW w:w="527" w:type="pct"/>
            <w:vAlign w:val="center"/>
          </w:tcPr>
          <w:p w14:paraId="504F4402">
            <w:pPr>
              <w:pStyle w:val="109"/>
              <w:rPr>
                <w:color w:val="000000" w:themeColor="text1"/>
                <w14:textFill>
                  <w14:solidFill>
                    <w14:schemeClr w14:val="tx1"/>
                  </w14:solidFill>
                </w14:textFill>
              </w:rPr>
            </w:pPr>
            <w:r>
              <w:rPr>
                <w:color w:val="000000" w:themeColor="text1"/>
                <w14:textFill>
                  <w14:solidFill>
                    <w14:schemeClr w14:val="tx1"/>
                  </w14:solidFill>
                </w14:textFill>
              </w:rPr>
              <w:t>79</w:t>
            </w:r>
          </w:p>
        </w:tc>
        <w:tc>
          <w:tcPr>
            <w:tcW w:w="526" w:type="pct"/>
            <w:vAlign w:val="center"/>
          </w:tcPr>
          <w:p w14:paraId="0BF0E954">
            <w:pPr>
              <w:pStyle w:val="109"/>
              <w:rPr>
                <w:color w:val="000000" w:themeColor="text1"/>
                <w14:textFill>
                  <w14:solidFill>
                    <w14:schemeClr w14:val="tx1"/>
                  </w14:solidFill>
                </w14:textFill>
              </w:rPr>
            </w:pPr>
            <w:r>
              <w:rPr>
                <w:color w:val="000000" w:themeColor="text1"/>
                <w14:textFill>
                  <w14:solidFill>
                    <w14:schemeClr w14:val="tx1"/>
                  </w14:solidFill>
                </w14:textFill>
              </w:rPr>
              <w:t>73</w:t>
            </w:r>
          </w:p>
        </w:tc>
        <w:tc>
          <w:tcPr>
            <w:tcW w:w="526" w:type="pct"/>
            <w:vAlign w:val="center"/>
          </w:tcPr>
          <w:p w14:paraId="343404DF">
            <w:pPr>
              <w:pStyle w:val="109"/>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26" w:type="pct"/>
            <w:vAlign w:val="center"/>
          </w:tcPr>
          <w:p w14:paraId="4AABB22F">
            <w:pPr>
              <w:pStyle w:val="109"/>
              <w:rPr>
                <w:color w:val="000000" w:themeColor="text1"/>
                <w14:textFill>
                  <w14:solidFill>
                    <w14:schemeClr w14:val="tx1"/>
                  </w14:solidFill>
                </w14:textFill>
              </w:rPr>
            </w:pPr>
            <w:r>
              <w:rPr>
                <w:color w:val="000000" w:themeColor="text1"/>
                <w14:textFill>
                  <w14:solidFill>
                    <w14:schemeClr w14:val="tx1"/>
                  </w14:solidFill>
                </w14:textFill>
              </w:rPr>
              <w:t>67</w:t>
            </w:r>
          </w:p>
        </w:tc>
        <w:tc>
          <w:tcPr>
            <w:tcW w:w="525" w:type="pct"/>
            <w:vAlign w:val="center"/>
          </w:tcPr>
          <w:p w14:paraId="37DF8061">
            <w:pPr>
              <w:pStyle w:val="109"/>
              <w:rPr>
                <w:color w:val="000000" w:themeColor="text1"/>
                <w14:textFill>
                  <w14:solidFill>
                    <w14:schemeClr w14:val="tx1"/>
                  </w14:solidFill>
                </w14:textFill>
              </w:rPr>
            </w:pPr>
            <w:r>
              <w:rPr>
                <w:color w:val="000000" w:themeColor="text1"/>
                <w14:textFill>
                  <w14:solidFill>
                    <w14:schemeClr w14:val="tx1"/>
                  </w14:solidFill>
                </w14:textFill>
              </w:rPr>
              <w:t>65</w:t>
            </w:r>
          </w:p>
        </w:tc>
        <w:tc>
          <w:tcPr>
            <w:tcW w:w="526" w:type="pct"/>
            <w:vAlign w:val="center"/>
          </w:tcPr>
          <w:p w14:paraId="144CD1C6">
            <w:pPr>
              <w:pStyle w:val="109"/>
              <w:rPr>
                <w:color w:val="000000" w:themeColor="text1"/>
                <w14:textFill>
                  <w14:solidFill>
                    <w14:schemeClr w14:val="tx1"/>
                  </w14:solidFill>
                </w14:textFill>
              </w:rPr>
            </w:pPr>
            <w:r>
              <w:rPr>
                <w:color w:val="000000" w:themeColor="text1"/>
                <w14:textFill>
                  <w14:solidFill>
                    <w14:schemeClr w14:val="tx1"/>
                  </w14:solidFill>
                </w14:textFill>
              </w:rPr>
              <w:t>63</w:t>
            </w:r>
          </w:p>
        </w:tc>
        <w:tc>
          <w:tcPr>
            <w:tcW w:w="560" w:type="pct"/>
            <w:vAlign w:val="center"/>
          </w:tcPr>
          <w:p w14:paraId="621845CF">
            <w:pPr>
              <w:pStyle w:val="109"/>
              <w:rPr>
                <w:color w:val="000000" w:themeColor="text1"/>
                <w14:textFill>
                  <w14:solidFill>
                    <w14:schemeClr w14:val="tx1"/>
                  </w14:solidFill>
                </w14:textFill>
              </w:rPr>
            </w:pPr>
            <w:r>
              <w:rPr>
                <w:color w:val="000000" w:themeColor="text1"/>
                <w14:textFill>
                  <w14:solidFill>
                    <w14:schemeClr w14:val="tx1"/>
                  </w14:solidFill>
                </w14:textFill>
              </w:rPr>
              <w:t>61</w:t>
            </w:r>
          </w:p>
        </w:tc>
      </w:tr>
      <w:tr w14:paraId="3439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6CB4EC26">
            <w:pPr>
              <w:pStyle w:val="109"/>
              <w:rPr>
                <w:color w:val="000000" w:themeColor="text1"/>
                <w14:textFill>
                  <w14:solidFill>
                    <w14:schemeClr w14:val="tx1"/>
                  </w14:solidFill>
                </w14:textFill>
              </w:rPr>
            </w:pPr>
            <w:r>
              <w:rPr>
                <w:color w:val="000000" w:themeColor="text1"/>
                <w14:textFill>
                  <w14:solidFill>
                    <w14:schemeClr w14:val="tx1"/>
                  </w14:solidFill>
                </w14:textFill>
              </w:rPr>
              <w:t>电锤</w:t>
            </w:r>
          </w:p>
        </w:tc>
        <w:tc>
          <w:tcPr>
            <w:tcW w:w="527" w:type="pct"/>
            <w:vAlign w:val="center"/>
          </w:tcPr>
          <w:p w14:paraId="73D467C9">
            <w:pPr>
              <w:pStyle w:val="109"/>
              <w:rPr>
                <w:color w:val="000000" w:themeColor="text1"/>
                <w14:textFill>
                  <w14:solidFill>
                    <w14:schemeClr w14:val="tx1"/>
                  </w14:solidFill>
                </w14:textFill>
              </w:rPr>
            </w:pPr>
            <w:r>
              <w:rPr>
                <w:color w:val="000000" w:themeColor="text1"/>
                <w14:textFill>
                  <w14:solidFill>
                    <w14:schemeClr w14:val="tx1"/>
                  </w14:solidFill>
                </w14:textFill>
              </w:rPr>
              <w:t>85</w:t>
            </w:r>
          </w:p>
        </w:tc>
        <w:tc>
          <w:tcPr>
            <w:tcW w:w="526" w:type="pct"/>
            <w:vAlign w:val="center"/>
          </w:tcPr>
          <w:p w14:paraId="369E7F22">
            <w:pPr>
              <w:pStyle w:val="109"/>
              <w:rPr>
                <w:color w:val="000000" w:themeColor="text1"/>
                <w14:textFill>
                  <w14:solidFill>
                    <w14:schemeClr w14:val="tx1"/>
                  </w14:solidFill>
                </w14:textFill>
              </w:rPr>
            </w:pPr>
            <w:r>
              <w:rPr>
                <w:color w:val="000000" w:themeColor="text1"/>
                <w14:textFill>
                  <w14:solidFill>
                    <w14:schemeClr w14:val="tx1"/>
                  </w14:solidFill>
                </w14:textFill>
              </w:rPr>
              <w:t>79</w:t>
            </w:r>
          </w:p>
        </w:tc>
        <w:tc>
          <w:tcPr>
            <w:tcW w:w="526" w:type="pct"/>
            <w:vAlign w:val="center"/>
          </w:tcPr>
          <w:p w14:paraId="79801197">
            <w:pPr>
              <w:pStyle w:val="109"/>
              <w:rPr>
                <w:color w:val="000000" w:themeColor="text1"/>
                <w14:textFill>
                  <w14:solidFill>
                    <w14:schemeClr w14:val="tx1"/>
                  </w14:solidFill>
                </w14:textFill>
              </w:rPr>
            </w:pPr>
            <w:r>
              <w:rPr>
                <w:color w:val="000000" w:themeColor="text1"/>
                <w14:textFill>
                  <w14:solidFill>
                    <w14:schemeClr w14:val="tx1"/>
                  </w14:solidFill>
                </w14:textFill>
              </w:rPr>
              <w:t>75</w:t>
            </w:r>
          </w:p>
        </w:tc>
        <w:tc>
          <w:tcPr>
            <w:tcW w:w="526" w:type="pct"/>
            <w:vAlign w:val="center"/>
          </w:tcPr>
          <w:p w14:paraId="412FD0AE">
            <w:pPr>
              <w:pStyle w:val="109"/>
              <w:rPr>
                <w:color w:val="000000" w:themeColor="text1"/>
                <w14:textFill>
                  <w14:solidFill>
                    <w14:schemeClr w14:val="tx1"/>
                  </w14:solidFill>
                </w14:textFill>
              </w:rPr>
            </w:pPr>
            <w:r>
              <w:rPr>
                <w:color w:val="000000" w:themeColor="text1"/>
                <w14:textFill>
                  <w14:solidFill>
                    <w14:schemeClr w14:val="tx1"/>
                  </w14:solidFill>
                </w14:textFill>
              </w:rPr>
              <w:t>73</w:t>
            </w:r>
          </w:p>
        </w:tc>
        <w:tc>
          <w:tcPr>
            <w:tcW w:w="525" w:type="pct"/>
            <w:vAlign w:val="center"/>
          </w:tcPr>
          <w:p w14:paraId="626582BE">
            <w:pPr>
              <w:pStyle w:val="109"/>
              <w:rPr>
                <w:color w:val="000000" w:themeColor="text1"/>
                <w14:textFill>
                  <w14:solidFill>
                    <w14:schemeClr w14:val="tx1"/>
                  </w14:solidFill>
                </w14:textFill>
              </w:rPr>
            </w:pPr>
            <w:r>
              <w:rPr>
                <w:color w:val="000000" w:themeColor="text1"/>
                <w14:textFill>
                  <w14:solidFill>
                    <w14:schemeClr w14:val="tx1"/>
                  </w14:solidFill>
                </w14:textFill>
              </w:rPr>
              <w:t>71</w:t>
            </w:r>
          </w:p>
        </w:tc>
        <w:tc>
          <w:tcPr>
            <w:tcW w:w="526" w:type="pct"/>
            <w:vAlign w:val="center"/>
          </w:tcPr>
          <w:p w14:paraId="6B55A390">
            <w:pPr>
              <w:pStyle w:val="109"/>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60" w:type="pct"/>
            <w:vAlign w:val="center"/>
          </w:tcPr>
          <w:p w14:paraId="4F70C4C5">
            <w:pPr>
              <w:pStyle w:val="109"/>
              <w:rPr>
                <w:color w:val="000000" w:themeColor="text1"/>
                <w14:textFill>
                  <w14:solidFill>
                    <w14:schemeClr w14:val="tx1"/>
                  </w14:solidFill>
                </w14:textFill>
              </w:rPr>
            </w:pPr>
            <w:r>
              <w:rPr>
                <w:color w:val="000000" w:themeColor="text1"/>
                <w14:textFill>
                  <w14:solidFill>
                    <w14:schemeClr w14:val="tx1"/>
                  </w14:solidFill>
                </w14:textFill>
              </w:rPr>
              <w:t>67</w:t>
            </w:r>
          </w:p>
        </w:tc>
      </w:tr>
      <w:tr w14:paraId="14B6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2262713A">
            <w:pPr>
              <w:pStyle w:val="109"/>
              <w:rPr>
                <w:color w:val="000000" w:themeColor="text1"/>
                <w14:textFill>
                  <w14:solidFill>
                    <w14:schemeClr w14:val="tx1"/>
                  </w14:solidFill>
                </w14:textFill>
              </w:rPr>
            </w:pPr>
            <w:r>
              <w:rPr>
                <w:color w:val="000000" w:themeColor="text1"/>
                <w14:textFill>
                  <w14:solidFill>
                    <w14:schemeClr w14:val="tx1"/>
                  </w14:solidFill>
                </w14:textFill>
              </w:rPr>
              <w:t>振动夯锤</w:t>
            </w:r>
          </w:p>
        </w:tc>
        <w:tc>
          <w:tcPr>
            <w:tcW w:w="527" w:type="pct"/>
            <w:vAlign w:val="center"/>
          </w:tcPr>
          <w:p w14:paraId="359E8CD2">
            <w:pPr>
              <w:pStyle w:val="109"/>
              <w:rPr>
                <w:color w:val="000000" w:themeColor="text1"/>
                <w14:textFill>
                  <w14:solidFill>
                    <w14:schemeClr w14:val="tx1"/>
                  </w14:solidFill>
                </w14:textFill>
              </w:rPr>
            </w:pPr>
            <w:r>
              <w:rPr>
                <w:color w:val="000000" w:themeColor="text1"/>
                <w14:textFill>
                  <w14:solidFill>
                    <w14:schemeClr w14:val="tx1"/>
                  </w14:solidFill>
                </w14:textFill>
              </w:rPr>
              <w:t>80</w:t>
            </w:r>
          </w:p>
        </w:tc>
        <w:tc>
          <w:tcPr>
            <w:tcW w:w="526" w:type="pct"/>
            <w:vAlign w:val="center"/>
          </w:tcPr>
          <w:p w14:paraId="1E8D2A75">
            <w:pPr>
              <w:pStyle w:val="109"/>
              <w:rPr>
                <w:color w:val="000000" w:themeColor="text1"/>
                <w14:textFill>
                  <w14:solidFill>
                    <w14:schemeClr w14:val="tx1"/>
                  </w14:solidFill>
                </w14:textFill>
              </w:rPr>
            </w:pPr>
            <w:r>
              <w:rPr>
                <w:color w:val="000000" w:themeColor="text1"/>
                <w14:textFill>
                  <w14:solidFill>
                    <w14:schemeClr w14:val="tx1"/>
                  </w14:solidFill>
                </w14:textFill>
              </w:rPr>
              <w:t>74</w:t>
            </w:r>
          </w:p>
        </w:tc>
        <w:tc>
          <w:tcPr>
            <w:tcW w:w="526" w:type="pct"/>
            <w:vAlign w:val="center"/>
          </w:tcPr>
          <w:p w14:paraId="28A2A000">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26" w:type="pct"/>
            <w:vAlign w:val="center"/>
          </w:tcPr>
          <w:p w14:paraId="01E0DD25">
            <w:pPr>
              <w:pStyle w:val="109"/>
              <w:rPr>
                <w:color w:val="000000" w:themeColor="text1"/>
                <w14:textFill>
                  <w14:solidFill>
                    <w14:schemeClr w14:val="tx1"/>
                  </w14:solidFill>
                </w14:textFill>
              </w:rPr>
            </w:pPr>
            <w:r>
              <w:rPr>
                <w:color w:val="000000" w:themeColor="text1"/>
                <w14:textFill>
                  <w14:solidFill>
                    <w14:schemeClr w14:val="tx1"/>
                  </w14:solidFill>
                </w14:textFill>
              </w:rPr>
              <w:t>68</w:t>
            </w:r>
          </w:p>
        </w:tc>
        <w:tc>
          <w:tcPr>
            <w:tcW w:w="525" w:type="pct"/>
            <w:vAlign w:val="center"/>
          </w:tcPr>
          <w:p w14:paraId="2A909050">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c>
          <w:tcPr>
            <w:tcW w:w="526" w:type="pct"/>
            <w:vAlign w:val="center"/>
          </w:tcPr>
          <w:p w14:paraId="06FD0591">
            <w:pPr>
              <w:pStyle w:val="109"/>
              <w:rPr>
                <w:color w:val="000000" w:themeColor="text1"/>
                <w14:textFill>
                  <w14:solidFill>
                    <w14:schemeClr w14:val="tx1"/>
                  </w14:solidFill>
                </w14:textFill>
              </w:rPr>
            </w:pPr>
            <w:r>
              <w:rPr>
                <w:color w:val="000000" w:themeColor="text1"/>
                <w14:textFill>
                  <w14:solidFill>
                    <w14:schemeClr w14:val="tx1"/>
                  </w14:solidFill>
                </w14:textFill>
              </w:rPr>
              <w:t>64</w:t>
            </w:r>
          </w:p>
        </w:tc>
        <w:tc>
          <w:tcPr>
            <w:tcW w:w="560" w:type="pct"/>
            <w:vAlign w:val="center"/>
          </w:tcPr>
          <w:p w14:paraId="33CB2E25">
            <w:pPr>
              <w:pStyle w:val="109"/>
              <w:rPr>
                <w:color w:val="000000" w:themeColor="text1"/>
                <w14:textFill>
                  <w14:solidFill>
                    <w14:schemeClr w14:val="tx1"/>
                  </w14:solidFill>
                </w14:textFill>
              </w:rPr>
            </w:pPr>
            <w:r>
              <w:rPr>
                <w:color w:val="000000" w:themeColor="text1"/>
                <w14:textFill>
                  <w14:solidFill>
                    <w14:schemeClr w14:val="tx1"/>
                  </w14:solidFill>
                </w14:textFill>
              </w:rPr>
              <w:t>62</w:t>
            </w:r>
          </w:p>
        </w:tc>
      </w:tr>
      <w:tr w14:paraId="2C33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26B20851">
            <w:pPr>
              <w:pStyle w:val="109"/>
              <w:rPr>
                <w:color w:val="000000" w:themeColor="text1"/>
                <w14:textFill>
                  <w14:solidFill>
                    <w14:schemeClr w14:val="tx1"/>
                  </w14:solidFill>
                </w14:textFill>
              </w:rPr>
            </w:pPr>
            <w:r>
              <w:rPr>
                <w:color w:val="000000" w:themeColor="text1"/>
                <w14:textFill>
                  <w14:solidFill>
                    <w14:schemeClr w14:val="tx1"/>
                  </w14:solidFill>
                </w14:textFill>
              </w:rPr>
              <w:t>打桩机</w:t>
            </w:r>
          </w:p>
        </w:tc>
        <w:tc>
          <w:tcPr>
            <w:tcW w:w="527" w:type="pct"/>
            <w:vAlign w:val="center"/>
          </w:tcPr>
          <w:p w14:paraId="16F5D156">
            <w:pPr>
              <w:pStyle w:val="109"/>
              <w:rPr>
                <w:color w:val="000000" w:themeColor="text1"/>
                <w14:textFill>
                  <w14:solidFill>
                    <w14:schemeClr w14:val="tx1"/>
                  </w14:solidFill>
                </w14:textFill>
              </w:rPr>
            </w:pPr>
            <w:r>
              <w:rPr>
                <w:color w:val="000000" w:themeColor="text1"/>
                <w14:textFill>
                  <w14:solidFill>
                    <w14:schemeClr w14:val="tx1"/>
                  </w14:solidFill>
                </w14:textFill>
              </w:rPr>
              <w:t>90</w:t>
            </w:r>
          </w:p>
        </w:tc>
        <w:tc>
          <w:tcPr>
            <w:tcW w:w="526" w:type="pct"/>
            <w:vAlign w:val="center"/>
          </w:tcPr>
          <w:p w14:paraId="6F6C95C6">
            <w:pPr>
              <w:pStyle w:val="109"/>
              <w:rPr>
                <w:color w:val="000000" w:themeColor="text1"/>
                <w14:textFill>
                  <w14:solidFill>
                    <w14:schemeClr w14:val="tx1"/>
                  </w14:solidFill>
                </w14:textFill>
              </w:rPr>
            </w:pPr>
            <w:r>
              <w:rPr>
                <w:color w:val="000000" w:themeColor="text1"/>
                <w14:textFill>
                  <w14:solidFill>
                    <w14:schemeClr w14:val="tx1"/>
                  </w14:solidFill>
                </w14:textFill>
              </w:rPr>
              <w:t>84</w:t>
            </w:r>
          </w:p>
        </w:tc>
        <w:tc>
          <w:tcPr>
            <w:tcW w:w="526" w:type="pct"/>
            <w:vAlign w:val="center"/>
          </w:tcPr>
          <w:p w14:paraId="33BABC59">
            <w:pPr>
              <w:pStyle w:val="109"/>
              <w:rPr>
                <w:color w:val="000000" w:themeColor="text1"/>
                <w14:textFill>
                  <w14:solidFill>
                    <w14:schemeClr w14:val="tx1"/>
                  </w14:solidFill>
                </w14:textFill>
              </w:rPr>
            </w:pPr>
            <w:r>
              <w:rPr>
                <w:color w:val="000000" w:themeColor="text1"/>
                <w14:textFill>
                  <w14:solidFill>
                    <w14:schemeClr w14:val="tx1"/>
                  </w14:solidFill>
                </w14:textFill>
              </w:rPr>
              <w:t>80</w:t>
            </w:r>
          </w:p>
        </w:tc>
        <w:tc>
          <w:tcPr>
            <w:tcW w:w="526" w:type="pct"/>
            <w:vAlign w:val="center"/>
          </w:tcPr>
          <w:p w14:paraId="1DD88012">
            <w:pPr>
              <w:pStyle w:val="109"/>
              <w:rPr>
                <w:color w:val="000000" w:themeColor="text1"/>
                <w14:textFill>
                  <w14:solidFill>
                    <w14:schemeClr w14:val="tx1"/>
                  </w14:solidFill>
                </w14:textFill>
              </w:rPr>
            </w:pPr>
            <w:r>
              <w:rPr>
                <w:color w:val="000000" w:themeColor="text1"/>
                <w14:textFill>
                  <w14:solidFill>
                    <w14:schemeClr w14:val="tx1"/>
                  </w14:solidFill>
                </w14:textFill>
              </w:rPr>
              <w:t>78</w:t>
            </w:r>
          </w:p>
        </w:tc>
        <w:tc>
          <w:tcPr>
            <w:tcW w:w="525" w:type="pct"/>
            <w:vAlign w:val="center"/>
          </w:tcPr>
          <w:p w14:paraId="15B5EEEF">
            <w:pPr>
              <w:pStyle w:val="109"/>
              <w:rPr>
                <w:color w:val="000000" w:themeColor="text1"/>
                <w14:textFill>
                  <w14:solidFill>
                    <w14:schemeClr w14:val="tx1"/>
                  </w14:solidFill>
                </w14:textFill>
              </w:rPr>
            </w:pPr>
            <w:r>
              <w:rPr>
                <w:color w:val="000000" w:themeColor="text1"/>
                <w14:textFill>
                  <w14:solidFill>
                    <w14:schemeClr w14:val="tx1"/>
                  </w14:solidFill>
                </w14:textFill>
              </w:rPr>
              <w:t>76</w:t>
            </w:r>
          </w:p>
        </w:tc>
        <w:tc>
          <w:tcPr>
            <w:tcW w:w="526" w:type="pct"/>
            <w:vAlign w:val="center"/>
          </w:tcPr>
          <w:p w14:paraId="7F9C09BB">
            <w:pPr>
              <w:pStyle w:val="109"/>
              <w:rPr>
                <w:color w:val="000000" w:themeColor="text1"/>
                <w14:textFill>
                  <w14:solidFill>
                    <w14:schemeClr w14:val="tx1"/>
                  </w14:solidFill>
                </w14:textFill>
              </w:rPr>
            </w:pPr>
            <w:r>
              <w:rPr>
                <w:color w:val="000000" w:themeColor="text1"/>
                <w14:textFill>
                  <w14:solidFill>
                    <w14:schemeClr w14:val="tx1"/>
                  </w14:solidFill>
                </w14:textFill>
              </w:rPr>
              <w:t>74</w:t>
            </w:r>
          </w:p>
        </w:tc>
        <w:tc>
          <w:tcPr>
            <w:tcW w:w="560" w:type="pct"/>
            <w:vAlign w:val="center"/>
          </w:tcPr>
          <w:p w14:paraId="202E5301">
            <w:pPr>
              <w:pStyle w:val="109"/>
              <w:rPr>
                <w:color w:val="000000" w:themeColor="text1"/>
                <w14:textFill>
                  <w14:solidFill>
                    <w14:schemeClr w14:val="tx1"/>
                  </w14:solidFill>
                </w14:textFill>
              </w:rPr>
            </w:pPr>
            <w:r>
              <w:rPr>
                <w:color w:val="000000" w:themeColor="text1"/>
                <w14:textFill>
                  <w14:solidFill>
                    <w14:schemeClr w14:val="tx1"/>
                  </w14:solidFill>
                </w14:textFill>
              </w:rPr>
              <w:t>72</w:t>
            </w:r>
          </w:p>
        </w:tc>
      </w:tr>
      <w:tr w14:paraId="3D6A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40A4D0E0">
            <w:pPr>
              <w:pStyle w:val="109"/>
              <w:rPr>
                <w:color w:val="000000" w:themeColor="text1"/>
                <w14:textFill>
                  <w14:solidFill>
                    <w14:schemeClr w14:val="tx1"/>
                  </w14:solidFill>
                </w14:textFill>
              </w:rPr>
            </w:pPr>
            <w:r>
              <w:rPr>
                <w:color w:val="000000" w:themeColor="text1"/>
                <w14:textFill>
                  <w14:solidFill>
                    <w14:schemeClr w14:val="tx1"/>
                  </w14:solidFill>
                </w14:textFill>
              </w:rPr>
              <w:t>静力压桩机</w:t>
            </w:r>
          </w:p>
        </w:tc>
        <w:tc>
          <w:tcPr>
            <w:tcW w:w="527" w:type="pct"/>
            <w:vAlign w:val="center"/>
          </w:tcPr>
          <w:p w14:paraId="0DEDF094">
            <w:pPr>
              <w:pStyle w:val="109"/>
              <w:rPr>
                <w:color w:val="000000" w:themeColor="text1"/>
                <w14:textFill>
                  <w14:solidFill>
                    <w14:schemeClr w14:val="tx1"/>
                  </w14:solidFill>
                </w14:textFill>
              </w:rPr>
            </w:pPr>
            <w:r>
              <w:rPr>
                <w:color w:val="000000" w:themeColor="text1"/>
                <w14:textFill>
                  <w14:solidFill>
                    <w14:schemeClr w14:val="tx1"/>
                  </w14:solidFill>
                </w14:textFill>
              </w:rPr>
              <w:t>55</w:t>
            </w:r>
          </w:p>
        </w:tc>
        <w:tc>
          <w:tcPr>
            <w:tcW w:w="526" w:type="pct"/>
            <w:vAlign w:val="center"/>
          </w:tcPr>
          <w:p w14:paraId="7C331103">
            <w:pPr>
              <w:pStyle w:val="109"/>
              <w:rPr>
                <w:color w:val="000000" w:themeColor="text1"/>
                <w14:textFill>
                  <w14:solidFill>
                    <w14:schemeClr w14:val="tx1"/>
                  </w14:solidFill>
                </w14:textFill>
              </w:rPr>
            </w:pPr>
            <w:r>
              <w:rPr>
                <w:color w:val="000000" w:themeColor="text1"/>
                <w14:textFill>
                  <w14:solidFill>
                    <w14:schemeClr w14:val="tx1"/>
                  </w14:solidFill>
                </w14:textFill>
              </w:rPr>
              <w:t>49</w:t>
            </w:r>
          </w:p>
        </w:tc>
        <w:tc>
          <w:tcPr>
            <w:tcW w:w="526" w:type="pct"/>
            <w:vAlign w:val="center"/>
          </w:tcPr>
          <w:p w14:paraId="4E20A995">
            <w:pPr>
              <w:pStyle w:val="109"/>
              <w:rPr>
                <w:color w:val="000000" w:themeColor="text1"/>
                <w14:textFill>
                  <w14:solidFill>
                    <w14:schemeClr w14:val="tx1"/>
                  </w14:solidFill>
                </w14:textFill>
              </w:rPr>
            </w:pPr>
            <w:r>
              <w:rPr>
                <w:color w:val="000000" w:themeColor="text1"/>
                <w14:textFill>
                  <w14:solidFill>
                    <w14:schemeClr w14:val="tx1"/>
                  </w14:solidFill>
                </w14:textFill>
              </w:rPr>
              <w:t>45</w:t>
            </w:r>
          </w:p>
        </w:tc>
        <w:tc>
          <w:tcPr>
            <w:tcW w:w="526" w:type="pct"/>
            <w:vAlign w:val="center"/>
          </w:tcPr>
          <w:p w14:paraId="56169EF5">
            <w:pPr>
              <w:pStyle w:val="109"/>
              <w:rPr>
                <w:color w:val="000000" w:themeColor="text1"/>
                <w14:textFill>
                  <w14:solidFill>
                    <w14:schemeClr w14:val="tx1"/>
                  </w14:solidFill>
                </w14:textFill>
              </w:rPr>
            </w:pPr>
            <w:r>
              <w:rPr>
                <w:color w:val="000000" w:themeColor="text1"/>
                <w14:textFill>
                  <w14:solidFill>
                    <w14:schemeClr w14:val="tx1"/>
                  </w14:solidFill>
                </w14:textFill>
              </w:rPr>
              <w:t>43</w:t>
            </w:r>
          </w:p>
        </w:tc>
        <w:tc>
          <w:tcPr>
            <w:tcW w:w="525" w:type="pct"/>
            <w:vAlign w:val="center"/>
          </w:tcPr>
          <w:p w14:paraId="3CDCF113">
            <w:pPr>
              <w:pStyle w:val="109"/>
              <w:rPr>
                <w:color w:val="000000" w:themeColor="text1"/>
                <w14:textFill>
                  <w14:solidFill>
                    <w14:schemeClr w14:val="tx1"/>
                  </w14:solidFill>
                </w14:textFill>
              </w:rPr>
            </w:pPr>
            <w:r>
              <w:rPr>
                <w:color w:val="000000" w:themeColor="text1"/>
                <w14:textFill>
                  <w14:solidFill>
                    <w14:schemeClr w14:val="tx1"/>
                  </w14:solidFill>
                </w14:textFill>
              </w:rPr>
              <w:t>41</w:t>
            </w:r>
          </w:p>
        </w:tc>
        <w:tc>
          <w:tcPr>
            <w:tcW w:w="526" w:type="pct"/>
            <w:vAlign w:val="center"/>
          </w:tcPr>
          <w:p w14:paraId="0319381A">
            <w:pPr>
              <w:pStyle w:val="109"/>
              <w:rPr>
                <w:color w:val="000000" w:themeColor="text1"/>
                <w14:textFill>
                  <w14:solidFill>
                    <w14:schemeClr w14:val="tx1"/>
                  </w14:solidFill>
                </w14:textFill>
              </w:rPr>
            </w:pPr>
            <w:r>
              <w:rPr>
                <w:color w:val="000000" w:themeColor="text1"/>
                <w14:textFill>
                  <w14:solidFill>
                    <w14:schemeClr w14:val="tx1"/>
                  </w14:solidFill>
                </w14:textFill>
              </w:rPr>
              <w:t>39</w:t>
            </w:r>
          </w:p>
        </w:tc>
        <w:tc>
          <w:tcPr>
            <w:tcW w:w="560" w:type="pct"/>
            <w:vAlign w:val="center"/>
          </w:tcPr>
          <w:p w14:paraId="7989FAE2">
            <w:pPr>
              <w:pStyle w:val="109"/>
              <w:rPr>
                <w:color w:val="000000" w:themeColor="text1"/>
                <w14:textFill>
                  <w14:solidFill>
                    <w14:schemeClr w14:val="tx1"/>
                  </w14:solidFill>
                </w14:textFill>
              </w:rPr>
            </w:pPr>
            <w:r>
              <w:rPr>
                <w:color w:val="000000" w:themeColor="text1"/>
                <w14:textFill>
                  <w14:solidFill>
                    <w14:schemeClr w14:val="tx1"/>
                  </w14:solidFill>
                </w14:textFill>
              </w:rPr>
              <w:t>37</w:t>
            </w:r>
          </w:p>
        </w:tc>
      </w:tr>
      <w:tr w14:paraId="7E68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40AA0CA2">
            <w:pPr>
              <w:pStyle w:val="109"/>
              <w:rPr>
                <w:color w:val="000000" w:themeColor="text1"/>
                <w14:textFill>
                  <w14:solidFill>
                    <w14:schemeClr w14:val="tx1"/>
                  </w14:solidFill>
                </w14:textFill>
              </w:rPr>
            </w:pPr>
            <w:r>
              <w:rPr>
                <w:color w:val="000000" w:themeColor="text1"/>
                <w14:textFill>
                  <w14:solidFill>
                    <w14:schemeClr w14:val="tx1"/>
                  </w14:solidFill>
                </w14:textFill>
              </w:rPr>
              <w:t>风镐</w:t>
            </w:r>
          </w:p>
        </w:tc>
        <w:tc>
          <w:tcPr>
            <w:tcW w:w="527" w:type="pct"/>
            <w:vAlign w:val="center"/>
          </w:tcPr>
          <w:p w14:paraId="56B37379">
            <w:pPr>
              <w:pStyle w:val="109"/>
              <w:rPr>
                <w:color w:val="000000" w:themeColor="text1"/>
                <w14:textFill>
                  <w14:solidFill>
                    <w14:schemeClr w14:val="tx1"/>
                  </w14:solidFill>
                </w14:textFill>
              </w:rPr>
            </w:pPr>
            <w:r>
              <w:rPr>
                <w:color w:val="000000" w:themeColor="text1"/>
                <w14:textFill>
                  <w14:solidFill>
                    <w14:schemeClr w14:val="tx1"/>
                  </w14:solidFill>
                </w14:textFill>
              </w:rPr>
              <w:t>72</w:t>
            </w:r>
          </w:p>
        </w:tc>
        <w:tc>
          <w:tcPr>
            <w:tcW w:w="526" w:type="pct"/>
            <w:vAlign w:val="center"/>
          </w:tcPr>
          <w:p w14:paraId="3D61D3E1">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c>
          <w:tcPr>
            <w:tcW w:w="526" w:type="pct"/>
            <w:vAlign w:val="center"/>
          </w:tcPr>
          <w:p w14:paraId="6D0A404B">
            <w:pPr>
              <w:pStyle w:val="109"/>
              <w:rPr>
                <w:color w:val="000000" w:themeColor="text1"/>
                <w14:textFill>
                  <w14:solidFill>
                    <w14:schemeClr w14:val="tx1"/>
                  </w14:solidFill>
                </w14:textFill>
              </w:rPr>
            </w:pPr>
            <w:r>
              <w:rPr>
                <w:color w:val="000000" w:themeColor="text1"/>
                <w14:textFill>
                  <w14:solidFill>
                    <w14:schemeClr w14:val="tx1"/>
                  </w14:solidFill>
                </w14:textFill>
              </w:rPr>
              <w:t>62</w:t>
            </w:r>
          </w:p>
        </w:tc>
        <w:tc>
          <w:tcPr>
            <w:tcW w:w="526" w:type="pct"/>
            <w:vAlign w:val="center"/>
          </w:tcPr>
          <w:p w14:paraId="3D516A1E">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25" w:type="pct"/>
            <w:vAlign w:val="center"/>
          </w:tcPr>
          <w:p w14:paraId="7760D7E3">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526" w:type="pct"/>
            <w:vAlign w:val="center"/>
          </w:tcPr>
          <w:p w14:paraId="59471B3F">
            <w:pPr>
              <w:pStyle w:val="10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560" w:type="pct"/>
            <w:vAlign w:val="center"/>
          </w:tcPr>
          <w:p w14:paraId="17ED1C6D">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r>
      <w:tr w14:paraId="5073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00A8F5FB">
            <w:pPr>
              <w:pStyle w:val="109"/>
              <w:rPr>
                <w:color w:val="000000" w:themeColor="text1"/>
                <w14:textFill>
                  <w14:solidFill>
                    <w14:schemeClr w14:val="tx1"/>
                  </w14:solidFill>
                </w14:textFill>
              </w:rPr>
            </w:pPr>
            <w:r>
              <w:rPr>
                <w:color w:val="000000" w:themeColor="text1"/>
                <w14:textFill>
                  <w14:solidFill>
                    <w14:schemeClr w14:val="tx1"/>
                  </w14:solidFill>
                </w14:textFill>
              </w:rPr>
              <w:t>混凝土输送泵</w:t>
            </w:r>
          </w:p>
        </w:tc>
        <w:tc>
          <w:tcPr>
            <w:tcW w:w="527" w:type="pct"/>
            <w:vAlign w:val="center"/>
          </w:tcPr>
          <w:p w14:paraId="6CF1539B">
            <w:pPr>
              <w:pStyle w:val="109"/>
              <w:rPr>
                <w:color w:val="000000" w:themeColor="text1"/>
                <w14:textFill>
                  <w14:solidFill>
                    <w14:schemeClr w14:val="tx1"/>
                  </w14:solidFill>
                </w14:textFill>
              </w:rPr>
            </w:pPr>
            <w:r>
              <w:rPr>
                <w:color w:val="000000" w:themeColor="text1"/>
                <w14:textFill>
                  <w14:solidFill>
                    <w14:schemeClr w14:val="tx1"/>
                  </w14:solidFill>
                </w14:textFill>
              </w:rPr>
              <w:t>75</w:t>
            </w:r>
          </w:p>
        </w:tc>
        <w:tc>
          <w:tcPr>
            <w:tcW w:w="526" w:type="pct"/>
            <w:vAlign w:val="center"/>
          </w:tcPr>
          <w:p w14:paraId="01214EB6">
            <w:pPr>
              <w:pStyle w:val="109"/>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26" w:type="pct"/>
            <w:vAlign w:val="center"/>
          </w:tcPr>
          <w:p w14:paraId="75D53C42">
            <w:pPr>
              <w:pStyle w:val="109"/>
              <w:rPr>
                <w:color w:val="000000" w:themeColor="text1"/>
                <w14:textFill>
                  <w14:solidFill>
                    <w14:schemeClr w14:val="tx1"/>
                  </w14:solidFill>
                </w14:textFill>
              </w:rPr>
            </w:pPr>
            <w:r>
              <w:rPr>
                <w:color w:val="000000" w:themeColor="text1"/>
                <w14:textFill>
                  <w14:solidFill>
                    <w14:schemeClr w14:val="tx1"/>
                  </w14:solidFill>
                </w14:textFill>
              </w:rPr>
              <w:t>65</w:t>
            </w:r>
          </w:p>
        </w:tc>
        <w:tc>
          <w:tcPr>
            <w:tcW w:w="526" w:type="pct"/>
            <w:vAlign w:val="center"/>
          </w:tcPr>
          <w:p w14:paraId="1075AD43">
            <w:pPr>
              <w:pStyle w:val="109"/>
              <w:rPr>
                <w:color w:val="000000" w:themeColor="text1"/>
                <w14:textFill>
                  <w14:solidFill>
                    <w14:schemeClr w14:val="tx1"/>
                  </w14:solidFill>
                </w14:textFill>
              </w:rPr>
            </w:pPr>
            <w:r>
              <w:rPr>
                <w:color w:val="000000" w:themeColor="text1"/>
                <w14:textFill>
                  <w14:solidFill>
                    <w14:schemeClr w14:val="tx1"/>
                  </w14:solidFill>
                </w14:textFill>
              </w:rPr>
              <w:t>63</w:t>
            </w:r>
          </w:p>
        </w:tc>
        <w:tc>
          <w:tcPr>
            <w:tcW w:w="525" w:type="pct"/>
            <w:vAlign w:val="center"/>
          </w:tcPr>
          <w:p w14:paraId="0D8496F8">
            <w:pPr>
              <w:pStyle w:val="109"/>
              <w:rPr>
                <w:color w:val="000000" w:themeColor="text1"/>
                <w14:textFill>
                  <w14:solidFill>
                    <w14:schemeClr w14:val="tx1"/>
                  </w14:solidFill>
                </w14:textFill>
              </w:rPr>
            </w:pPr>
            <w:r>
              <w:rPr>
                <w:color w:val="000000" w:themeColor="text1"/>
                <w14:textFill>
                  <w14:solidFill>
                    <w14:schemeClr w14:val="tx1"/>
                  </w14:solidFill>
                </w14:textFill>
              </w:rPr>
              <w:t>61</w:t>
            </w:r>
          </w:p>
        </w:tc>
        <w:tc>
          <w:tcPr>
            <w:tcW w:w="526" w:type="pct"/>
            <w:vAlign w:val="center"/>
          </w:tcPr>
          <w:p w14:paraId="32A06157">
            <w:pPr>
              <w:pStyle w:val="109"/>
              <w:rPr>
                <w:color w:val="000000" w:themeColor="text1"/>
                <w14:textFill>
                  <w14:solidFill>
                    <w14:schemeClr w14:val="tx1"/>
                  </w14:solidFill>
                </w14:textFill>
              </w:rPr>
            </w:pPr>
            <w:r>
              <w:rPr>
                <w:color w:val="000000" w:themeColor="text1"/>
                <w14:textFill>
                  <w14:solidFill>
                    <w14:schemeClr w14:val="tx1"/>
                  </w14:solidFill>
                </w14:textFill>
              </w:rPr>
              <w:t>59</w:t>
            </w:r>
          </w:p>
        </w:tc>
        <w:tc>
          <w:tcPr>
            <w:tcW w:w="560" w:type="pct"/>
            <w:vAlign w:val="center"/>
          </w:tcPr>
          <w:p w14:paraId="4DC317C1">
            <w:pPr>
              <w:pStyle w:val="109"/>
              <w:rPr>
                <w:color w:val="000000" w:themeColor="text1"/>
                <w14:textFill>
                  <w14:solidFill>
                    <w14:schemeClr w14:val="tx1"/>
                  </w14:solidFill>
                </w14:textFill>
              </w:rPr>
            </w:pPr>
            <w:r>
              <w:rPr>
                <w:color w:val="000000" w:themeColor="text1"/>
                <w14:textFill>
                  <w14:solidFill>
                    <w14:schemeClr w14:val="tx1"/>
                  </w14:solidFill>
                </w14:textFill>
              </w:rPr>
              <w:t>57</w:t>
            </w:r>
          </w:p>
        </w:tc>
      </w:tr>
      <w:tr w14:paraId="77E3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6A233510">
            <w:pPr>
              <w:pStyle w:val="109"/>
              <w:rPr>
                <w:color w:val="000000" w:themeColor="text1"/>
                <w14:textFill>
                  <w14:solidFill>
                    <w14:schemeClr w14:val="tx1"/>
                  </w14:solidFill>
                </w14:textFill>
              </w:rPr>
            </w:pPr>
            <w:r>
              <w:rPr>
                <w:color w:val="000000" w:themeColor="text1"/>
                <w14:textFill>
                  <w14:solidFill>
                    <w14:schemeClr w14:val="tx1"/>
                  </w14:solidFill>
                </w14:textFill>
              </w:rPr>
              <w:t>商砼搅拌车</w:t>
            </w:r>
          </w:p>
        </w:tc>
        <w:tc>
          <w:tcPr>
            <w:tcW w:w="527" w:type="pct"/>
            <w:vAlign w:val="center"/>
          </w:tcPr>
          <w:p w14:paraId="63B7964E">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26" w:type="pct"/>
            <w:vAlign w:val="center"/>
          </w:tcPr>
          <w:p w14:paraId="150E12F8">
            <w:pPr>
              <w:pStyle w:val="109"/>
              <w:rPr>
                <w:color w:val="000000" w:themeColor="text1"/>
                <w14:textFill>
                  <w14:solidFill>
                    <w14:schemeClr w14:val="tx1"/>
                  </w14:solidFill>
                </w14:textFill>
              </w:rPr>
            </w:pPr>
            <w:r>
              <w:rPr>
                <w:color w:val="000000" w:themeColor="text1"/>
                <w14:textFill>
                  <w14:solidFill>
                    <w14:schemeClr w14:val="tx1"/>
                  </w14:solidFill>
                </w14:textFill>
              </w:rPr>
              <w:t>64</w:t>
            </w:r>
          </w:p>
        </w:tc>
        <w:tc>
          <w:tcPr>
            <w:tcW w:w="526" w:type="pct"/>
            <w:vAlign w:val="center"/>
          </w:tcPr>
          <w:p w14:paraId="57FA6565">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26" w:type="pct"/>
            <w:vAlign w:val="center"/>
          </w:tcPr>
          <w:p w14:paraId="3C10C176">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525" w:type="pct"/>
            <w:vAlign w:val="center"/>
          </w:tcPr>
          <w:p w14:paraId="69DAA9AD">
            <w:pPr>
              <w:pStyle w:val="10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526" w:type="pct"/>
            <w:vAlign w:val="center"/>
          </w:tcPr>
          <w:p w14:paraId="04AC3B93">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c>
          <w:tcPr>
            <w:tcW w:w="560" w:type="pct"/>
            <w:vAlign w:val="center"/>
          </w:tcPr>
          <w:p w14:paraId="5E763531">
            <w:pPr>
              <w:pStyle w:val="109"/>
              <w:rPr>
                <w:color w:val="000000" w:themeColor="text1"/>
                <w14:textFill>
                  <w14:solidFill>
                    <w14:schemeClr w14:val="tx1"/>
                  </w14:solidFill>
                </w14:textFill>
              </w:rPr>
            </w:pPr>
            <w:r>
              <w:rPr>
                <w:color w:val="000000" w:themeColor="text1"/>
                <w14:textFill>
                  <w14:solidFill>
                    <w14:schemeClr w14:val="tx1"/>
                  </w14:solidFill>
                </w14:textFill>
              </w:rPr>
              <w:t>52</w:t>
            </w:r>
          </w:p>
        </w:tc>
      </w:tr>
      <w:tr w14:paraId="6D1F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6CEE0106">
            <w:pPr>
              <w:pStyle w:val="109"/>
              <w:rPr>
                <w:color w:val="000000" w:themeColor="text1"/>
                <w14:textFill>
                  <w14:solidFill>
                    <w14:schemeClr w14:val="tx1"/>
                  </w14:solidFill>
                </w14:textFill>
              </w:rPr>
            </w:pPr>
            <w:r>
              <w:rPr>
                <w:color w:val="000000" w:themeColor="text1"/>
                <w14:textFill>
                  <w14:solidFill>
                    <w14:schemeClr w14:val="tx1"/>
                  </w14:solidFill>
                </w14:textFill>
              </w:rPr>
              <w:t>混凝土震捣器</w:t>
            </w:r>
          </w:p>
        </w:tc>
        <w:tc>
          <w:tcPr>
            <w:tcW w:w="527" w:type="pct"/>
            <w:vAlign w:val="center"/>
          </w:tcPr>
          <w:p w14:paraId="01AA239E">
            <w:pPr>
              <w:pStyle w:val="109"/>
              <w:rPr>
                <w:color w:val="000000" w:themeColor="text1"/>
                <w14:textFill>
                  <w14:solidFill>
                    <w14:schemeClr w14:val="tx1"/>
                  </w14:solidFill>
                </w14:textFill>
              </w:rPr>
            </w:pPr>
            <w:r>
              <w:rPr>
                <w:color w:val="000000" w:themeColor="text1"/>
                <w14:textFill>
                  <w14:solidFill>
                    <w14:schemeClr w14:val="tx1"/>
                  </w14:solidFill>
                </w14:textFill>
              </w:rPr>
              <w:t>68</w:t>
            </w:r>
          </w:p>
        </w:tc>
        <w:tc>
          <w:tcPr>
            <w:tcW w:w="526" w:type="pct"/>
            <w:vAlign w:val="center"/>
          </w:tcPr>
          <w:p w14:paraId="77250F2E">
            <w:pPr>
              <w:pStyle w:val="109"/>
              <w:rPr>
                <w:color w:val="000000" w:themeColor="text1"/>
                <w14:textFill>
                  <w14:solidFill>
                    <w14:schemeClr w14:val="tx1"/>
                  </w14:solidFill>
                </w14:textFill>
              </w:rPr>
            </w:pPr>
            <w:r>
              <w:rPr>
                <w:color w:val="000000" w:themeColor="text1"/>
                <w14:textFill>
                  <w14:solidFill>
                    <w14:schemeClr w14:val="tx1"/>
                  </w14:solidFill>
                </w14:textFill>
              </w:rPr>
              <w:t>62</w:t>
            </w:r>
          </w:p>
        </w:tc>
        <w:tc>
          <w:tcPr>
            <w:tcW w:w="526" w:type="pct"/>
            <w:vAlign w:val="center"/>
          </w:tcPr>
          <w:p w14:paraId="63C44D0C">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526" w:type="pct"/>
            <w:vAlign w:val="center"/>
          </w:tcPr>
          <w:p w14:paraId="7CCCBBF8">
            <w:pPr>
              <w:pStyle w:val="10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525" w:type="pct"/>
            <w:vAlign w:val="center"/>
          </w:tcPr>
          <w:p w14:paraId="55540789">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c>
          <w:tcPr>
            <w:tcW w:w="526" w:type="pct"/>
            <w:vAlign w:val="center"/>
          </w:tcPr>
          <w:p w14:paraId="13B20916">
            <w:pPr>
              <w:pStyle w:val="109"/>
              <w:rPr>
                <w:color w:val="000000" w:themeColor="text1"/>
                <w14:textFill>
                  <w14:solidFill>
                    <w14:schemeClr w14:val="tx1"/>
                  </w14:solidFill>
                </w14:textFill>
              </w:rPr>
            </w:pPr>
            <w:r>
              <w:rPr>
                <w:color w:val="000000" w:themeColor="text1"/>
                <w14:textFill>
                  <w14:solidFill>
                    <w14:schemeClr w14:val="tx1"/>
                  </w14:solidFill>
                </w14:textFill>
              </w:rPr>
              <w:t>52</w:t>
            </w:r>
          </w:p>
        </w:tc>
        <w:tc>
          <w:tcPr>
            <w:tcW w:w="560" w:type="pct"/>
            <w:vAlign w:val="center"/>
          </w:tcPr>
          <w:p w14:paraId="30133D34">
            <w:pPr>
              <w:pStyle w:val="109"/>
              <w:rPr>
                <w:color w:val="000000" w:themeColor="text1"/>
                <w14:textFill>
                  <w14:solidFill>
                    <w14:schemeClr w14:val="tx1"/>
                  </w14:solidFill>
                </w14:textFill>
              </w:rPr>
            </w:pPr>
            <w:r>
              <w:rPr>
                <w:color w:val="000000" w:themeColor="text1"/>
                <w14:textFill>
                  <w14:solidFill>
                    <w14:schemeClr w14:val="tx1"/>
                  </w14:solidFill>
                </w14:textFill>
              </w:rPr>
              <w:t>50</w:t>
            </w:r>
          </w:p>
        </w:tc>
      </w:tr>
      <w:tr w14:paraId="71DA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735BC7B2">
            <w:pPr>
              <w:pStyle w:val="109"/>
              <w:rPr>
                <w:color w:val="000000" w:themeColor="text1"/>
                <w14:textFill>
                  <w14:solidFill>
                    <w14:schemeClr w14:val="tx1"/>
                  </w14:solidFill>
                </w14:textFill>
              </w:rPr>
            </w:pPr>
            <w:r>
              <w:rPr>
                <w:color w:val="000000" w:themeColor="text1"/>
                <w14:textFill>
                  <w14:solidFill>
                    <w14:schemeClr w14:val="tx1"/>
                  </w14:solidFill>
                </w14:textFill>
              </w:rPr>
              <w:t>云石机、角磨机</w:t>
            </w:r>
          </w:p>
        </w:tc>
        <w:tc>
          <w:tcPr>
            <w:tcW w:w="527" w:type="pct"/>
            <w:vAlign w:val="center"/>
          </w:tcPr>
          <w:p w14:paraId="2308EE47">
            <w:pPr>
              <w:pStyle w:val="109"/>
              <w:rPr>
                <w:color w:val="000000" w:themeColor="text1"/>
                <w14:textFill>
                  <w14:solidFill>
                    <w14:schemeClr w14:val="tx1"/>
                  </w14:solidFill>
                </w14:textFill>
              </w:rPr>
            </w:pPr>
            <w:r>
              <w:rPr>
                <w:color w:val="000000" w:themeColor="text1"/>
                <w14:textFill>
                  <w14:solidFill>
                    <w14:schemeClr w14:val="tx1"/>
                  </w14:solidFill>
                </w14:textFill>
              </w:rPr>
              <w:t>76</w:t>
            </w:r>
          </w:p>
        </w:tc>
        <w:tc>
          <w:tcPr>
            <w:tcW w:w="526" w:type="pct"/>
            <w:vAlign w:val="center"/>
          </w:tcPr>
          <w:p w14:paraId="28A9E1F3">
            <w:pPr>
              <w:pStyle w:val="109"/>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26" w:type="pct"/>
            <w:vAlign w:val="center"/>
          </w:tcPr>
          <w:p w14:paraId="184DFE0C">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c>
          <w:tcPr>
            <w:tcW w:w="526" w:type="pct"/>
            <w:vAlign w:val="center"/>
          </w:tcPr>
          <w:p w14:paraId="0317D2E0">
            <w:pPr>
              <w:pStyle w:val="109"/>
              <w:rPr>
                <w:color w:val="000000" w:themeColor="text1"/>
                <w14:textFill>
                  <w14:solidFill>
                    <w14:schemeClr w14:val="tx1"/>
                  </w14:solidFill>
                </w14:textFill>
              </w:rPr>
            </w:pPr>
            <w:r>
              <w:rPr>
                <w:color w:val="000000" w:themeColor="text1"/>
                <w14:textFill>
                  <w14:solidFill>
                    <w14:schemeClr w14:val="tx1"/>
                  </w14:solidFill>
                </w14:textFill>
              </w:rPr>
              <w:t>64</w:t>
            </w:r>
          </w:p>
        </w:tc>
        <w:tc>
          <w:tcPr>
            <w:tcW w:w="525" w:type="pct"/>
            <w:vAlign w:val="center"/>
          </w:tcPr>
          <w:p w14:paraId="44019DE9">
            <w:pPr>
              <w:pStyle w:val="109"/>
              <w:rPr>
                <w:color w:val="000000" w:themeColor="text1"/>
                <w14:textFill>
                  <w14:solidFill>
                    <w14:schemeClr w14:val="tx1"/>
                  </w14:solidFill>
                </w14:textFill>
              </w:rPr>
            </w:pPr>
            <w:r>
              <w:rPr>
                <w:color w:val="000000" w:themeColor="text1"/>
                <w14:textFill>
                  <w14:solidFill>
                    <w14:schemeClr w14:val="tx1"/>
                  </w14:solidFill>
                </w14:textFill>
              </w:rPr>
              <w:t>62</w:t>
            </w:r>
          </w:p>
        </w:tc>
        <w:tc>
          <w:tcPr>
            <w:tcW w:w="526" w:type="pct"/>
            <w:vAlign w:val="center"/>
          </w:tcPr>
          <w:p w14:paraId="0D13D8E1">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60" w:type="pct"/>
            <w:vAlign w:val="center"/>
          </w:tcPr>
          <w:p w14:paraId="4D73E310">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r>
      <w:tr w14:paraId="568A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4" w:type="pct"/>
            <w:vAlign w:val="center"/>
          </w:tcPr>
          <w:p w14:paraId="710DBA46">
            <w:pPr>
              <w:pStyle w:val="109"/>
              <w:rPr>
                <w:color w:val="000000" w:themeColor="text1"/>
                <w14:textFill>
                  <w14:solidFill>
                    <w14:schemeClr w14:val="tx1"/>
                  </w14:solidFill>
                </w14:textFill>
              </w:rPr>
            </w:pPr>
            <w:r>
              <w:rPr>
                <w:color w:val="000000" w:themeColor="text1"/>
                <w14:textFill>
                  <w14:solidFill>
                    <w14:schemeClr w14:val="tx1"/>
                  </w14:solidFill>
                </w14:textFill>
              </w:rPr>
              <w:t>空压机</w:t>
            </w:r>
          </w:p>
        </w:tc>
        <w:tc>
          <w:tcPr>
            <w:tcW w:w="527" w:type="pct"/>
            <w:vAlign w:val="center"/>
          </w:tcPr>
          <w:p w14:paraId="36B00358">
            <w:pPr>
              <w:pStyle w:val="109"/>
              <w:rPr>
                <w:color w:val="000000" w:themeColor="text1"/>
                <w14:textFill>
                  <w14:solidFill>
                    <w14:schemeClr w14:val="tx1"/>
                  </w14:solidFill>
                </w14:textFill>
              </w:rPr>
            </w:pPr>
            <w:r>
              <w:rPr>
                <w:color w:val="000000" w:themeColor="text1"/>
                <w14:textFill>
                  <w14:solidFill>
                    <w14:schemeClr w14:val="tx1"/>
                  </w14:solidFill>
                </w14:textFill>
              </w:rPr>
              <w:t>72</w:t>
            </w:r>
          </w:p>
        </w:tc>
        <w:tc>
          <w:tcPr>
            <w:tcW w:w="526" w:type="pct"/>
            <w:vAlign w:val="center"/>
          </w:tcPr>
          <w:p w14:paraId="197D20CF">
            <w:pPr>
              <w:pStyle w:val="109"/>
              <w:rPr>
                <w:color w:val="000000" w:themeColor="text1"/>
                <w14:textFill>
                  <w14:solidFill>
                    <w14:schemeClr w14:val="tx1"/>
                  </w14:solidFill>
                </w14:textFill>
              </w:rPr>
            </w:pPr>
            <w:r>
              <w:rPr>
                <w:color w:val="000000" w:themeColor="text1"/>
                <w14:textFill>
                  <w14:solidFill>
                    <w14:schemeClr w14:val="tx1"/>
                  </w14:solidFill>
                </w14:textFill>
              </w:rPr>
              <w:t>66</w:t>
            </w:r>
          </w:p>
        </w:tc>
        <w:tc>
          <w:tcPr>
            <w:tcW w:w="526" w:type="pct"/>
            <w:vAlign w:val="center"/>
          </w:tcPr>
          <w:p w14:paraId="706076DE">
            <w:pPr>
              <w:pStyle w:val="109"/>
              <w:rPr>
                <w:color w:val="000000" w:themeColor="text1"/>
                <w14:textFill>
                  <w14:solidFill>
                    <w14:schemeClr w14:val="tx1"/>
                  </w14:solidFill>
                </w14:textFill>
              </w:rPr>
            </w:pPr>
            <w:r>
              <w:rPr>
                <w:color w:val="000000" w:themeColor="text1"/>
                <w14:textFill>
                  <w14:solidFill>
                    <w14:schemeClr w14:val="tx1"/>
                  </w14:solidFill>
                </w14:textFill>
              </w:rPr>
              <w:t>62</w:t>
            </w:r>
          </w:p>
        </w:tc>
        <w:tc>
          <w:tcPr>
            <w:tcW w:w="526" w:type="pct"/>
            <w:vAlign w:val="center"/>
          </w:tcPr>
          <w:p w14:paraId="3FBD2267">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25" w:type="pct"/>
            <w:vAlign w:val="center"/>
          </w:tcPr>
          <w:p w14:paraId="55DD97B8">
            <w:pPr>
              <w:pStyle w:val="109"/>
              <w:rPr>
                <w:color w:val="000000" w:themeColor="text1"/>
                <w14:textFill>
                  <w14:solidFill>
                    <w14:schemeClr w14:val="tx1"/>
                  </w14:solidFill>
                </w14:textFill>
              </w:rPr>
            </w:pPr>
            <w:r>
              <w:rPr>
                <w:color w:val="000000" w:themeColor="text1"/>
                <w14:textFill>
                  <w14:solidFill>
                    <w14:schemeClr w14:val="tx1"/>
                  </w14:solidFill>
                </w14:textFill>
              </w:rPr>
              <w:t>58</w:t>
            </w:r>
          </w:p>
        </w:tc>
        <w:tc>
          <w:tcPr>
            <w:tcW w:w="526" w:type="pct"/>
            <w:vAlign w:val="center"/>
          </w:tcPr>
          <w:p w14:paraId="31124091">
            <w:pPr>
              <w:pStyle w:val="109"/>
              <w:rPr>
                <w:color w:val="000000" w:themeColor="text1"/>
                <w14:textFill>
                  <w14:solidFill>
                    <w14:schemeClr w14:val="tx1"/>
                  </w14:solidFill>
                </w14:textFill>
              </w:rPr>
            </w:pPr>
            <w:r>
              <w:rPr>
                <w:color w:val="000000" w:themeColor="text1"/>
                <w14:textFill>
                  <w14:solidFill>
                    <w14:schemeClr w14:val="tx1"/>
                  </w14:solidFill>
                </w14:textFill>
              </w:rPr>
              <w:t>56</w:t>
            </w:r>
          </w:p>
        </w:tc>
        <w:tc>
          <w:tcPr>
            <w:tcW w:w="560" w:type="pct"/>
            <w:vAlign w:val="center"/>
          </w:tcPr>
          <w:p w14:paraId="2443C289">
            <w:pPr>
              <w:pStyle w:val="109"/>
              <w:rPr>
                <w:color w:val="000000" w:themeColor="text1"/>
                <w14:textFill>
                  <w14:solidFill>
                    <w14:schemeClr w14:val="tx1"/>
                  </w14:solidFill>
                </w14:textFill>
              </w:rPr>
            </w:pPr>
            <w:r>
              <w:rPr>
                <w:color w:val="000000" w:themeColor="text1"/>
                <w14:textFill>
                  <w14:solidFill>
                    <w14:schemeClr w14:val="tx1"/>
                  </w14:solidFill>
                </w14:textFill>
              </w:rPr>
              <w:t>54</w:t>
            </w:r>
          </w:p>
        </w:tc>
      </w:tr>
    </w:tbl>
    <w:p w14:paraId="237496C2">
      <w:pPr>
        <w:pStyle w:val="5"/>
        <w:numPr>
          <w:ilvl w:val="3"/>
          <w:numId w:val="9"/>
        </w:num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声环境影响预测分析</w:t>
      </w:r>
    </w:p>
    <w:p w14:paraId="4AC85184">
      <w:pPr>
        <w:ind w:firstLine="480"/>
        <w:rPr>
          <w:color w:val="000000" w:themeColor="text1"/>
          <w14:textFill>
            <w14:solidFill>
              <w14:schemeClr w14:val="tx1"/>
            </w14:solidFill>
          </w14:textFill>
        </w:rPr>
      </w:pPr>
      <w:r>
        <w:rPr>
          <w:color w:val="000000" w:themeColor="text1"/>
          <w14:textFill>
            <w14:solidFill>
              <w14:schemeClr w14:val="tx1"/>
            </w14:solidFill>
          </w14:textFill>
        </w:rPr>
        <w:t>由预测结果可知，单台施工机械约在50m以外噪声值才基本能达到施工阶段场界昼间噪声限值，夜间则需在120m以外才能达到要求。</w:t>
      </w:r>
    </w:p>
    <w:p w14:paraId="01EC01E9">
      <w:pPr>
        <w:ind w:firstLine="480"/>
        <w:rPr>
          <w:color w:val="000000" w:themeColor="text1"/>
          <w14:textFill>
            <w14:solidFill>
              <w14:schemeClr w14:val="tx1"/>
            </w14:solidFill>
          </w14:textFill>
        </w:rPr>
      </w:pPr>
      <w:r>
        <w:rPr>
          <w:color w:val="000000" w:themeColor="text1"/>
          <w14:textFill>
            <w14:solidFill>
              <w14:schemeClr w14:val="tx1"/>
            </w14:solidFill>
          </w14:textFill>
        </w:rPr>
        <w:t>该项目施工时间较长，为减少施工对周边环境的影响，施工单位应严格执行《中华人民共和国噪声污染防治法》和《建筑施工场界环境噪声排放标准》（GB12523-2011）、《建筑施工噪声管理办法》相关要求，做好以下几点：</w:t>
      </w:r>
    </w:p>
    <w:p w14:paraId="5611E9A9">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禁止使用冲击式打桩机，所有打桩工序均采用沉管灌注桩；</w:t>
      </w:r>
    </w:p>
    <w:p w14:paraId="083DE413">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施工单位要加强操作人员的环境意识，对一些零星的手工作业。如拆装模板、装卸建材，尽可能做到轻拿轻放，并辅以一定的减缓措施，如铺设草包等；</w:t>
      </w:r>
    </w:p>
    <w:p w14:paraId="496351B1">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施工期间对于噪声值较高的搅拌机等设备需放置于远离居民的地方，对于固定设备需设操作棚或临时声屏障；</w:t>
      </w:r>
    </w:p>
    <w:p w14:paraId="0241D443">
      <w:pPr>
        <w:pStyle w:val="38"/>
        <w:spacing w:line="360" w:lineRule="auto"/>
        <w:ind w:firstLine="420" w:firstLineChars="200"/>
        <w:rPr>
          <w:rFonts w:ascii="Times New Roman" w:hAnsi="Times New Roman"/>
          <w:color w:val="000000" w:themeColor="text1"/>
          <w:sz w:val="24"/>
          <w:szCs w:val="24"/>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rFonts w:ascii="Times New Roman" w:hAnsi="Times New Roman"/>
          <w:color w:val="000000" w:themeColor="text1"/>
          <w14:textFill>
            <w14:solidFill>
              <w14:schemeClr w14:val="tx1"/>
            </w14:solidFill>
          </w14:textFill>
        </w:rPr>
        <w:t>禁止在夜间施工，因工艺因素或其它特殊原因确需夜间施工的应提前向当地生态环境部门申请夜间施工许可，并依法接受监督。</w:t>
      </w:r>
    </w:p>
    <w:p w14:paraId="3278C377">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固体废物环境影响分析</w:t>
      </w:r>
    </w:p>
    <w:p w14:paraId="5DEF7DC1">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施工期固废产生情况</w:t>
      </w:r>
    </w:p>
    <w:p w14:paraId="47B83792">
      <w:pPr>
        <w:pStyle w:val="38"/>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施工期固体废物主要是施工人员的生活垃圾、土石方施工时开挖的渣土、碎石等；物料运送过程中的物料损耗，包括砂石、混凝土；铺路修整阶段石料、灰渣、建材等的损耗与遗弃。工程对固体废弃物定点堆放、管理，均可得到妥善处理，可以做到“零”排放，不会对周围环境造成二次污染。</w:t>
      </w:r>
    </w:p>
    <w:p w14:paraId="0138A972">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控制固体废物措施</w:t>
      </w:r>
    </w:p>
    <w:p w14:paraId="75C91FE0">
      <w:pPr>
        <w:ind w:firstLine="480"/>
        <w:textAlignment w:val="baseline"/>
        <w:rPr>
          <w:color w:val="000000" w:themeColor="text1"/>
          <w14:textFill>
            <w14:solidFill>
              <w14:schemeClr w14:val="tx1"/>
            </w14:solidFill>
          </w14:textFill>
        </w:rPr>
      </w:pPr>
      <w:r>
        <w:rPr>
          <w:color w:val="000000" w:themeColor="text1"/>
          <w14:textFill>
            <w14:solidFill>
              <w14:schemeClr w14:val="tx1"/>
            </w14:solidFill>
          </w14:textFill>
        </w:rPr>
        <w:t>（1）建筑垃圾要分类收集，集中存放，将其中可作为原材料再生利用的成分进行回收再利用，其他成分运往指定的垃圾处理场所或指定地点填埋处理。</w:t>
      </w:r>
    </w:p>
    <w:p w14:paraId="3FD8CDAF">
      <w:pPr>
        <w:ind w:firstLine="480"/>
        <w:textAlignment w:val="baseline"/>
        <w:rPr>
          <w:color w:val="000000" w:themeColor="text1"/>
          <w14:textFill>
            <w14:solidFill>
              <w14:schemeClr w14:val="tx1"/>
            </w14:solidFill>
          </w14:textFill>
        </w:rPr>
      </w:pPr>
      <w:r>
        <w:rPr>
          <w:color w:val="000000" w:themeColor="text1"/>
          <w14:textFill>
            <w14:solidFill>
              <w14:schemeClr w14:val="tx1"/>
            </w14:solidFill>
          </w14:textFill>
        </w:rPr>
        <w:t>（2）施工期开挖土石方全部外运至市政部门指定的合法堆放场地，后期回填所需的土石方从外运进。</w:t>
      </w:r>
    </w:p>
    <w:p w14:paraId="7B579AF2">
      <w:pPr>
        <w:ind w:firstLine="480"/>
        <w:textAlignment w:val="baseline"/>
        <w:rPr>
          <w:color w:val="000000" w:themeColor="text1"/>
          <w14:textFill>
            <w14:solidFill>
              <w14:schemeClr w14:val="tx1"/>
            </w14:solidFill>
          </w14:textFill>
        </w:rPr>
      </w:pPr>
      <w:r>
        <w:rPr>
          <w:color w:val="000000" w:themeColor="text1"/>
          <w14:textFill>
            <w14:solidFill>
              <w14:schemeClr w14:val="tx1"/>
            </w14:solidFill>
          </w14:textFill>
        </w:rPr>
        <w:t>（3）施工场地内应设临时收集施工垃圾的垃圾站。</w:t>
      </w:r>
    </w:p>
    <w:p w14:paraId="6AE03717">
      <w:pPr>
        <w:ind w:firstLine="480"/>
        <w:textAlignment w:val="baseline"/>
        <w:rPr>
          <w:color w:val="000000" w:themeColor="text1"/>
          <w14:textFill>
            <w14:solidFill>
              <w14:schemeClr w14:val="tx1"/>
            </w14:solidFill>
          </w14:textFill>
        </w:rPr>
      </w:pPr>
      <w:r>
        <w:rPr>
          <w:color w:val="000000" w:themeColor="text1"/>
          <w14:textFill>
            <w14:solidFill>
              <w14:schemeClr w14:val="tx1"/>
            </w14:solidFill>
          </w14:textFill>
        </w:rPr>
        <w:t>（4）将施工期生活垃圾收集后送到指定的垃圾处理站统一处理。</w:t>
      </w:r>
    </w:p>
    <w:p w14:paraId="36AE4CE4">
      <w:pPr>
        <w:ind w:firstLine="480"/>
        <w:textAlignment w:val="baseline"/>
        <w:rPr>
          <w:color w:val="000000" w:themeColor="text1"/>
          <w14:textFill>
            <w14:solidFill>
              <w14:schemeClr w14:val="tx1"/>
            </w14:solidFill>
          </w14:textFill>
        </w:rPr>
      </w:pPr>
      <w:r>
        <w:rPr>
          <w:color w:val="000000" w:themeColor="text1"/>
          <w14:textFill>
            <w14:solidFill>
              <w14:schemeClr w14:val="tx1"/>
            </w14:solidFill>
          </w14:textFill>
        </w:rPr>
        <w:t>（5）建设单位在施工期间对其产生的施工废物及时收集、清运。</w:t>
      </w:r>
    </w:p>
    <w:p w14:paraId="57C89115">
      <w:pPr>
        <w:ind w:firstLine="480"/>
        <w:textAlignment w:val="baseline"/>
        <w:rPr>
          <w:color w:val="000000" w:themeColor="text1"/>
          <w14:textFill>
            <w14:solidFill>
              <w14:schemeClr w14:val="tx1"/>
            </w14:solidFill>
          </w14:textFill>
        </w:rPr>
      </w:pPr>
      <w:r>
        <w:rPr>
          <w:color w:val="000000" w:themeColor="text1"/>
          <w14:textFill>
            <w14:solidFill>
              <w14:schemeClr w14:val="tx1"/>
            </w14:solidFill>
          </w14:textFill>
        </w:rPr>
        <w:t>落实以上措施后，固体废物可实现零排放，对周围环境影响很小。</w:t>
      </w:r>
    </w:p>
    <w:p w14:paraId="4472ACB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水环境影响分析</w:t>
      </w:r>
    </w:p>
    <w:p w14:paraId="7E57E8E0">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废水环境影响</w:t>
      </w:r>
    </w:p>
    <w:p w14:paraId="0D8DCCC5">
      <w:pPr>
        <w:ind w:firstLine="480"/>
        <w:textAlignment w:val="baseline"/>
        <w:rPr>
          <w:color w:val="000000" w:themeColor="text1"/>
          <w14:textFill>
            <w14:solidFill>
              <w14:schemeClr w14:val="tx1"/>
            </w14:solidFill>
          </w14:textFill>
        </w:rPr>
      </w:pPr>
      <w:r>
        <w:rPr>
          <w:color w:val="000000" w:themeColor="text1"/>
          <w14:textFill>
            <w14:solidFill>
              <w14:schemeClr w14:val="tx1"/>
            </w14:solidFill>
          </w14:textFill>
        </w:rPr>
        <w:t>施工期产生废水主要包括施工人员的生活污水和施工本身产生的废水。施工废水主要包括土方阶段降水井排水、结构阶段混凝土养护排水以及各种车辆冲洗水。由于施工期废水排放量较少，水质简单，且形成不了地表水径流，对水环境不会产生明显的影响。</w:t>
      </w:r>
    </w:p>
    <w:p w14:paraId="13F54A8E">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废水控制措施</w:t>
      </w:r>
    </w:p>
    <w:p w14:paraId="4439EAC6">
      <w:pPr>
        <w:ind w:firstLine="480"/>
        <w:rPr>
          <w:color w:val="000000" w:themeColor="text1"/>
          <w14:textFill>
            <w14:solidFill>
              <w14:schemeClr w14:val="tx1"/>
            </w14:solidFill>
          </w14:textFill>
        </w:rPr>
      </w:pPr>
      <w:r>
        <w:rPr>
          <w:color w:val="000000" w:themeColor="text1"/>
          <w14:textFill>
            <w14:solidFill>
              <w14:schemeClr w14:val="tx1"/>
            </w14:solidFill>
          </w14:textFill>
        </w:rPr>
        <w:t>（1）施工中产生的砂石冲洗水、混凝土养护水、设备水压试验水以及设备车辆洗涤水等应导入事先设置的沉淀池进行沉淀后方可排放。施工期生活污水产生量少，依托厂区现有化粪池处理。</w:t>
      </w:r>
    </w:p>
    <w:p w14:paraId="7CF088D0">
      <w:pPr>
        <w:ind w:firstLine="480"/>
        <w:rPr>
          <w:color w:val="000000" w:themeColor="text1"/>
          <w14:textFill>
            <w14:solidFill>
              <w14:schemeClr w14:val="tx1"/>
            </w14:solidFill>
          </w14:textFill>
        </w:rPr>
      </w:pPr>
      <w:r>
        <w:rPr>
          <w:color w:val="000000" w:themeColor="text1"/>
          <w14:textFill>
            <w14:solidFill>
              <w14:schemeClr w14:val="tx1"/>
            </w14:solidFill>
          </w14:textFill>
        </w:rPr>
        <w:t>（2）对各类车辆、设备使用的燃油、机油和润滑油等应加强管理，所有废弃油脂类均要集中处理，不得随意倾倒。</w:t>
      </w:r>
    </w:p>
    <w:p w14:paraId="32BDA06E">
      <w:pPr>
        <w:ind w:firstLine="480"/>
        <w:rPr>
          <w:color w:val="000000" w:themeColor="text1"/>
          <w14:textFill>
            <w14:solidFill>
              <w14:schemeClr w14:val="tx1"/>
            </w14:solidFill>
          </w14:textFill>
        </w:rPr>
      </w:pPr>
      <w:r>
        <w:rPr>
          <w:color w:val="000000" w:themeColor="text1"/>
          <w14:textFill>
            <w14:solidFill>
              <w14:schemeClr w14:val="tx1"/>
            </w14:solidFill>
          </w14:textFill>
        </w:rPr>
        <w:t>（3）施工过程中应做好施工场地周围的围挡，做好生活污水处理设施的防渗、防漏处理，以免工程废水和生活污水渗入地下，对该区域地下水水质造成污染。</w:t>
      </w:r>
    </w:p>
    <w:p w14:paraId="2FC06205">
      <w:pPr>
        <w:ind w:firstLine="480"/>
        <w:rPr>
          <w:color w:val="000000" w:themeColor="text1"/>
          <w14:textFill>
            <w14:solidFill>
              <w14:schemeClr w14:val="tx1"/>
            </w14:solidFill>
          </w14:textFill>
        </w:rPr>
      </w:pPr>
      <w:r>
        <w:rPr>
          <w:color w:val="000000" w:themeColor="text1"/>
          <w14:textFill>
            <w14:solidFill>
              <w14:schemeClr w14:val="tx1"/>
            </w14:solidFill>
          </w14:textFill>
        </w:rPr>
        <w:t>落实以上措施后，施工期污水不会对周围水环境造成污染影响。</w:t>
      </w:r>
    </w:p>
    <w:p w14:paraId="027D2D4A">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生态环境及社会环境影响分析</w:t>
      </w:r>
    </w:p>
    <w:p w14:paraId="173F30B3">
      <w:pPr>
        <w:ind w:firstLine="480"/>
        <w:rPr>
          <w:color w:val="000000" w:themeColor="text1"/>
          <w14:textFill>
            <w14:solidFill>
              <w14:schemeClr w14:val="tx1"/>
            </w14:solidFill>
          </w14:textFill>
        </w:rPr>
      </w:pPr>
      <w:r>
        <w:rPr>
          <w:color w:val="000000" w:themeColor="text1"/>
          <w14:textFill>
            <w14:solidFill>
              <w14:schemeClr w14:val="tx1"/>
            </w14:solidFill>
          </w14:textFill>
        </w:rPr>
        <w:t>建设期的生态环境影响主要表现为土石方工程对占地厂区内的植被破坏、水土流失、用地格局变化。</w:t>
      </w:r>
    </w:p>
    <w:p w14:paraId="6E3BFB13">
      <w:pPr>
        <w:ind w:firstLine="480"/>
        <w:rPr>
          <w:color w:val="000000" w:themeColor="text1"/>
          <w14:textFill>
            <w14:solidFill>
              <w14:schemeClr w14:val="tx1"/>
            </w14:solidFill>
          </w14:textFill>
        </w:rPr>
      </w:pPr>
      <w:r>
        <w:rPr>
          <w:color w:val="000000" w:themeColor="text1"/>
          <w14:textFill>
            <w14:solidFill>
              <w14:schemeClr w14:val="tx1"/>
            </w14:solidFill>
          </w14:textFill>
        </w:rPr>
        <w:t>（1）土石方工程</w:t>
      </w:r>
    </w:p>
    <w:p w14:paraId="0E1BF3A7">
      <w:pPr>
        <w:ind w:firstLine="480"/>
        <w:rPr>
          <w:color w:val="000000" w:themeColor="text1"/>
          <w14:textFill>
            <w14:solidFill>
              <w14:schemeClr w14:val="tx1"/>
            </w14:solidFill>
          </w14:textFill>
        </w:rPr>
      </w:pPr>
      <w:r>
        <w:rPr>
          <w:color w:val="000000" w:themeColor="text1"/>
          <w14:textFill>
            <w14:solidFill>
              <w14:schemeClr w14:val="tx1"/>
            </w14:solidFill>
          </w14:textFill>
        </w:rPr>
        <w:t>项目施工过程剥离的表土集中存放在临时表土存放场内，做好防护措施，防治水土流失。施工结束后，所有剥离表土将按100%进行利用，用于工程占地范围内的复垦及绿化覆土。</w:t>
      </w:r>
    </w:p>
    <w:p w14:paraId="615F08EF">
      <w:pPr>
        <w:ind w:firstLine="480"/>
        <w:rPr>
          <w:color w:val="000000" w:themeColor="text1"/>
          <w14:textFill>
            <w14:solidFill>
              <w14:schemeClr w14:val="tx1"/>
            </w14:solidFill>
          </w14:textFill>
        </w:rPr>
      </w:pPr>
      <w:r>
        <w:rPr>
          <w:color w:val="000000" w:themeColor="text1"/>
          <w14:textFill>
            <w14:solidFill>
              <w14:schemeClr w14:val="tx1"/>
            </w14:solidFill>
          </w14:textFill>
        </w:rPr>
        <w:t>（2）植被破坏</w:t>
      </w:r>
    </w:p>
    <w:p w14:paraId="15E6ACAB">
      <w:pPr>
        <w:ind w:firstLine="480"/>
        <w:rPr>
          <w:color w:val="000000" w:themeColor="text1"/>
          <w14:textFill>
            <w14:solidFill>
              <w14:schemeClr w14:val="tx1"/>
            </w14:solidFill>
          </w14:textFill>
        </w:rPr>
      </w:pPr>
      <w:r>
        <w:rPr>
          <w:color w:val="000000" w:themeColor="text1"/>
          <w14:textFill>
            <w14:solidFill>
              <w14:schemeClr w14:val="tx1"/>
            </w14:solidFill>
          </w14:textFill>
        </w:rPr>
        <w:t>项目占地主要为荒地，天然植被主要有骆驼刺、多枝怪柳、碱蒿等耐盐碱植被，无国家保护的珍惜植物，植被覆盖很低。</w:t>
      </w:r>
    </w:p>
    <w:p w14:paraId="4D7AC88E">
      <w:pPr>
        <w:ind w:firstLine="480"/>
        <w:rPr>
          <w:color w:val="000000" w:themeColor="text1"/>
          <w14:textFill>
            <w14:solidFill>
              <w14:schemeClr w14:val="tx1"/>
            </w14:solidFill>
          </w14:textFill>
        </w:rPr>
      </w:pPr>
      <w:r>
        <w:rPr>
          <w:color w:val="000000" w:themeColor="text1"/>
          <w14:textFill>
            <w14:solidFill>
              <w14:schemeClr w14:val="tx1"/>
            </w14:solidFill>
          </w14:textFill>
        </w:rPr>
        <w:t>施工土石方活动将破坏占地范围内的植被，临时占地内的植被在施工结束后将随着土地性质的恢复逐渐恢复，恢复期限约1a～2a；永久占地内的天然植被将会被厂区绿化人工植被所代替。</w:t>
      </w:r>
    </w:p>
    <w:p w14:paraId="7A6CBE68">
      <w:pPr>
        <w:ind w:firstLine="480"/>
        <w:rPr>
          <w:color w:val="000000" w:themeColor="text1"/>
          <w14:textFill>
            <w14:solidFill>
              <w14:schemeClr w14:val="tx1"/>
            </w14:solidFill>
          </w14:textFill>
        </w:rPr>
      </w:pPr>
      <w:r>
        <w:rPr>
          <w:color w:val="000000" w:themeColor="text1"/>
          <w14:textFill>
            <w14:solidFill>
              <w14:schemeClr w14:val="tx1"/>
            </w14:solidFill>
          </w14:textFill>
        </w:rPr>
        <w:t>总体上，项目建设破坏的植被资源量较小，无国家保护的珍惜植物，影响较小。随着施工活动的结束，临时占地内的植物资源将逐步恢复，永久占地内减少的植物资源也将随着绿化体系的形成得以补偿。</w:t>
      </w:r>
    </w:p>
    <w:p w14:paraId="38D19F48">
      <w:pPr>
        <w:ind w:firstLine="480"/>
        <w:rPr>
          <w:color w:val="000000" w:themeColor="text1"/>
          <w14:textFill>
            <w14:solidFill>
              <w14:schemeClr w14:val="tx1"/>
            </w14:solidFill>
          </w14:textFill>
        </w:rPr>
      </w:pPr>
      <w:r>
        <w:rPr>
          <w:color w:val="000000" w:themeColor="text1"/>
          <w14:textFill>
            <w14:solidFill>
              <w14:schemeClr w14:val="tx1"/>
            </w14:solidFill>
          </w14:textFill>
        </w:rPr>
        <w:t>（3）水土流失影响</w:t>
      </w:r>
    </w:p>
    <w:p w14:paraId="5CD85E9A">
      <w:pPr>
        <w:ind w:firstLine="480"/>
        <w:rPr>
          <w:color w:val="000000" w:themeColor="text1"/>
          <w14:textFill>
            <w14:solidFill>
              <w14:schemeClr w14:val="tx1"/>
            </w14:solidFill>
          </w14:textFill>
        </w:rPr>
      </w:pPr>
      <w:r>
        <w:rPr>
          <w:color w:val="000000" w:themeColor="text1"/>
          <w14:textFill>
            <w14:solidFill>
              <w14:schemeClr w14:val="tx1"/>
            </w14:solidFill>
          </w14:textFill>
        </w:rPr>
        <w:t>根据实地踏勘，结合《土壤侵蚀分类分级标准》，确定项目区现状水土流失类型有风蚀和水蚀，并且是以自然外力侵蚀的风力侵蚀为主。本工程建设中将破坏原地表、植被，同时产生大量的临时堆土，建设期若不采取有效的防护措施，将加重当地的水土流失，对工程建设及厂址区域周边地区产生较大影响。</w:t>
      </w:r>
    </w:p>
    <w:p w14:paraId="73B224CA">
      <w:pPr>
        <w:ind w:firstLine="480"/>
        <w:rPr>
          <w:color w:val="000000" w:themeColor="text1"/>
          <w14:textFill>
            <w14:solidFill>
              <w14:schemeClr w14:val="tx1"/>
            </w14:solidFill>
          </w14:textFill>
        </w:rPr>
      </w:pPr>
      <w:r>
        <w:rPr>
          <w:color w:val="000000" w:themeColor="text1"/>
          <w14:textFill>
            <w14:solidFill>
              <w14:schemeClr w14:val="tx1"/>
            </w14:solidFill>
          </w14:textFill>
        </w:rPr>
        <w:t>项目在施工过程中，各类建构筑物基础(包括沟道)视其大小、深浅和相邻间距，拟采用机械施工与人工施工相结合的方法，机械以铲运机、推土机为主，人工则配合机械进行零星场地或边角地区的平整，机械或手推车输送；对于成片基础如厂房或管道走廊等，采用大开挖的施工形式。因此，由于项目特殊的施工工艺，对占地原有的水土保持功能造成破坏，不可避免造成水土流失。</w:t>
      </w:r>
    </w:p>
    <w:p w14:paraId="143A5A56">
      <w:pPr>
        <w:ind w:firstLine="480"/>
        <w:rPr>
          <w:color w:val="000000" w:themeColor="text1"/>
          <w:lang w:val="zh-CN"/>
          <w14:textFill>
            <w14:solidFill>
              <w14:schemeClr w14:val="tx1"/>
            </w14:solidFill>
          </w14:textFill>
        </w:rPr>
      </w:pPr>
      <w:r>
        <w:rPr>
          <w:color w:val="000000" w:themeColor="text1"/>
          <w14:textFill>
            <w14:solidFill>
              <w14:schemeClr w14:val="tx1"/>
            </w14:solidFill>
          </w14:textFill>
        </w:rPr>
        <w:t>根据项目建设内容，确定项目水土流失防治范围为</w:t>
      </w:r>
      <w:r>
        <w:rPr>
          <w:color w:val="000000" w:themeColor="text1"/>
          <w:lang w:val="zh-CN"/>
          <w14:textFill>
            <w14:solidFill>
              <w14:schemeClr w14:val="tx1"/>
            </w14:solidFill>
          </w14:textFill>
        </w:rPr>
        <w:t>厂区永久占地区和临时占地区。</w:t>
      </w:r>
    </w:p>
    <w:p w14:paraId="1DA85FF3">
      <w:pPr>
        <w:ind w:firstLine="480"/>
        <w:rPr>
          <w:bCs/>
          <w:color w:val="000000" w:themeColor="text1"/>
          <w:szCs w:val="32"/>
          <w14:textFill>
            <w14:solidFill>
              <w14:schemeClr w14:val="tx1"/>
            </w14:solidFill>
          </w14:textFill>
        </w:rPr>
      </w:pPr>
      <w:r>
        <w:rPr>
          <w:bCs/>
          <w:color w:val="000000" w:themeColor="text1"/>
          <w:szCs w:val="32"/>
          <w14:textFill>
            <w14:solidFill>
              <w14:schemeClr w14:val="tx1"/>
            </w14:solidFill>
          </w14:textFill>
        </w:rPr>
        <w:t>项目施工可能引发的新增水土流失主要产生于施工准备期、施工期和自然恢复期，产生新增水土流失的因素主要包括以下方面：</w:t>
      </w:r>
    </w:p>
    <w:p w14:paraId="5F75A46C">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项目建设期间，在施工活动区域内，由于厂区施工以及临建工程布置等施工活动，均将对原生地表和植被造成不同程度的扰动和破坏，造成局部水土流失加重。</w:t>
      </w:r>
    </w:p>
    <w:p w14:paraId="3F31B773">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建设期工程将产生一定量的临时渣料，若弃渣堆放或临时防护不当，极易产生水蚀和风蚀。</w:t>
      </w:r>
    </w:p>
    <w:p w14:paraId="7157860C">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施工用料堆放，将占压一定面积的土地，造成地表的扰动破坏，并且如堆置不当，易引起水土流失。</w:t>
      </w:r>
    </w:p>
    <w:p w14:paraId="45BE814E">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color w:val="000000" w:themeColor="text1"/>
          <w14:textFill>
            <w14:solidFill>
              <w14:schemeClr w14:val="tx1"/>
            </w14:solidFill>
          </w14:textFill>
        </w:rPr>
        <w:t>建设期施工机械越界行驶、随意碾压，将对原生地表和植被造成一定程度的扰动和破坏。</w:t>
      </w:r>
    </w:p>
    <w:p w14:paraId="38736C6C">
      <w:pPr>
        <w:ind w:firstLine="480"/>
        <w:rPr>
          <w:color w:val="000000" w:themeColor="text1"/>
          <w14:textFill>
            <w14:solidFill>
              <w14:schemeClr w14:val="tx1"/>
            </w14:solidFill>
          </w14:textFill>
        </w:rPr>
      </w:pPr>
      <w:r>
        <w:rPr>
          <w:color w:val="000000" w:themeColor="text1"/>
          <w14:textFill>
            <w14:solidFill>
              <w14:schemeClr w14:val="tx1"/>
            </w14:solidFill>
          </w14:textFill>
        </w:rPr>
        <w:t>（4）用地格局及景观格局变化</w:t>
      </w:r>
    </w:p>
    <w:p w14:paraId="3F1331F8">
      <w:pPr>
        <w:ind w:firstLine="480"/>
        <w:rPr>
          <w:color w:val="000000" w:themeColor="text1"/>
          <w14:textFill>
            <w14:solidFill>
              <w14:schemeClr w14:val="tx1"/>
            </w14:solidFill>
          </w14:textFill>
        </w:rPr>
      </w:pPr>
      <w:r>
        <w:rPr>
          <w:color w:val="000000" w:themeColor="text1"/>
          <w14:textFill>
            <w14:solidFill>
              <w14:schemeClr w14:val="tx1"/>
            </w14:solidFill>
          </w14:textFill>
        </w:rPr>
        <w:t>厂区周围和厂内道路在建设完成后会进行绿化措施，将不会导致生态环境质量的降低。</w:t>
      </w:r>
    </w:p>
    <w:p w14:paraId="1BCDDF43">
      <w:pPr>
        <w:pStyle w:val="3"/>
        <w:rPr>
          <w:rFonts w:ascii="Times New Roman" w:cs="Times New Roman"/>
          <w:color w:val="000000" w:themeColor="text1"/>
          <w14:textFill>
            <w14:solidFill>
              <w14:schemeClr w14:val="tx1"/>
            </w14:solidFill>
          </w14:textFill>
        </w:rPr>
      </w:pPr>
      <w:bookmarkStart w:id="413" w:name="_Toc225268317"/>
      <w:r>
        <w:rPr>
          <w:rFonts w:ascii="Times New Roman" w:cs="Times New Roman"/>
          <w:color w:val="000000" w:themeColor="text1"/>
          <w14:textFill>
            <w14:solidFill>
              <w14:schemeClr w14:val="tx1"/>
            </w14:solidFill>
          </w14:textFill>
        </w:rPr>
        <w:t>大气环境影响预测与评价</w:t>
      </w:r>
      <w:bookmarkEnd w:id="406"/>
      <w:bookmarkEnd w:id="407"/>
      <w:bookmarkEnd w:id="408"/>
      <w:bookmarkEnd w:id="409"/>
      <w:bookmarkEnd w:id="410"/>
      <w:bookmarkEnd w:id="411"/>
      <w:bookmarkEnd w:id="412"/>
      <w:bookmarkEnd w:id="413"/>
    </w:p>
    <w:p w14:paraId="026797B8">
      <w:pPr>
        <w:pStyle w:val="4"/>
        <w:rPr>
          <w:color w:val="000000" w:themeColor="text1"/>
          <w14:textFill>
            <w14:solidFill>
              <w14:schemeClr w14:val="tx1"/>
            </w14:solidFill>
          </w14:textFill>
        </w:rPr>
      </w:pPr>
      <w:bookmarkStart w:id="414" w:name="_Hlk62313139"/>
      <w:bookmarkStart w:id="415" w:name="_Toc471318817"/>
      <w:bookmarkStart w:id="416" w:name="_Toc471321088"/>
      <w:r>
        <w:rPr>
          <w:color w:val="000000" w:themeColor="text1"/>
          <w14:textFill>
            <w14:solidFill>
              <w14:schemeClr w14:val="tx1"/>
            </w14:solidFill>
          </w14:textFill>
        </w:rPr>
        <w:t>污染源调查</w:t>
      </w:r>
    </w:p>
    <w:p w14:paraId="629844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二级评价项目调查本项目现有及新增污染源和拟被替代的污染源，本项目为新建项目，无拟被替代的污染源，因此本次仅调查新增污染源。</w:t>
      </w:r>
    </w:p>
    <w:p w14:paraId="5B343194">
      <w:pPr>
        <w:ind w:firstLine="480"/>
        <w:rPr>
          <w:color w:val="000000" w:themeColor="text1"/>
          <w14:textFill>
            <w14:solidFill>
              <w14:schemeClr w14:val="tx1"/>
            </w14:solidFill>
          </w14:textFill>
        </w:rPr>
      </w:pPr>
      <w:r>
        <w:rPr>
          <w:color w:val="000000" w:themeColor="text1"/>
          <w14:textFill>
            <w14:solidFill>
              <w14:schemeClr w14:val="tx1"/>
            </w14:solidFill>
          </w14:textFill>
        </w:rPr>
        <w:t>评价范围内与本项目有关的污染源主要为点源和面源，排放废气污染源见下表。</w:t>
      </w:r>
      <w:bookmarkStart w:id="417" w:name="_Ref521868264"/>
    </w:p>
    <w:bookmarkEnd w:id="417"/>
    <w:p w14:paraId="7C5EDC65">
      <w:pPr>
        <w:spacing w:line="480" w:lineRule="exact"/>
        <w:ind w:firstLine="480"/>
        <w:jc w:val="center"/>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26" w:charSpace="0"/>
        </w:sectPr>
      </w:pPr>
    </w:p>
    <w:p w14:paraId="5E3A1988">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主要废气污染源参数一览表(点源) </w:t>
      </w:r>
    </w:p>
    <w:tbl>
      <w:tblPr>
        <w:tblStyle w:val="76"/>
        <w:tblW w:w="14879" w:type="dxa"/>
        <w:tblInd w:w="-289" w:type="dxa"/>
        <w:tblLayout w:type="fixed"/>
        <w:tblCellMar>
          <w:top w:w="0" w:type="dxa"/>
          <w:left w:w="108" w:type="dxa"/>
          <w:bottom w:w="0" w:type="dxa"/>
          <w:right w:w="108" w:type="dxa"/>
        </w:tblCellMar>
      </w:tblPr>
      <w:tblGrid>
        <w:gridCol w:w="580"/>
        <w:gridCol w:w="679"/>
        <w:gridCol w:w="679"/>
        <w:gridCol w:w="609"/>
        <w:gridCol w:w="425"/>
        <w:gridCol w:w="567"/>
        <w:gridCol w:w="426"/>
        <w:gridCol w:w="628"/>
        <w:gridCol w:w="19"/>
        <w:gridCol w:w="628"/>
        <w:gridCol w:w="719"/>
        <w:gridCol w:w="557"/>
        <w:gridCol w:w="709"/>
        <w:gridCol w:w="708"/>
        <w:gridCol w:w="557"/>
        <w:gridCol w:w="495"/>
        <w:gridCol w:w="674"/>
        <w:gridCol w:w="674"/>
        <w:gridCol w:w="674"/>
        <w:gridCol w:w="618"/>
        <w:gridCol w:w="618"/>
        <w:gridCol w:w="674"/>
        <w:gridCol w:w="1051"/>
        <w:gridCol w:w="911"/>
      </w:tblGrid>
      <w:tr w14:paraId="1763472D">
        <w:tblPrEx>
          <w:tblCellMar>
            <w:top w:w="0" w:type="dxa"/>
            <w:left w:w="108" w:type="dxa"/>
            <w:bottom w:w="0" w:type="dxa"/>
            <w:right w:w="108" w:type="dxa"/>
          </w:tblCellMar>
        </w:tblPrEx>
        <w:trPr>
          <w:trHeight w:val="576" w:hRule="atLeast"/>
        </w:trPr>
        <w:tc>
          <w:tcPr>
            <w:tcW w:w="580" w:type="dxa"/>
            <w:vMerge w:val="restart"/>
            <w:tcBorders>
              <w:top w:val="single" w:color="auto" w:sz="4" w:space="0"/>
              <w:left w:val="single" w:color="auto" w:sz="4" w:space="0"/>
              <w:bottom w:val="single" w:color="auto" w:sz="4" w:space="0"/>
              <w:right w:val="single" w:color="auto" w:sz="4" w:space="0"/>
            </w:tcBorders>
            <w:vAlign w:val="center"/>
          </w:tcPr>
          <w:p w14:paraId="6A72EB3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污染源名称</w:t>
            </w:r>
          </w:p>
        </w:tc>
        <w:tc>
          <w:tcPr>
            <w:tcW w:w="1358" w:type="dxa"/>
            <w:gridSpan w:val="2"/>
            <w:tcBorders>
              <w:top w:val="single" w:color="auto" w:sz="4" w:space="0"/>
              <w:left w:val="nil"/>
              <w:bottom w:val="single" w:color="auto" w:sz="4" w:space="0"/>
              <w:right w:val="single" w:color="auto" w:sz="4" w:space="0"/>
            </w:tcBorders>
            <w:vAlign w:val="center"/>
          </w:tcPr>
          <w:p w14:paraId="55B57CD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排气筒底部中心坐标(°)</w:t>
            </w:r>
          </w:p>
        </w:tc>
        <w:tc>
          <w:tcPr>
            <w:tcW w:w="609" w:type="dxa"/>
            <w:vMerge w:val="restart"/>
            <w:tcBorders>
              <w:top w:val="single" w:color="auto" w:sz="4" w:space="0"/>
              <w:left w:val="single" w:color="auto" w:sz="4" w:space="0"/>
              <w:bottom w:val="single" w:color="auto" w:sz="4" w:space="0"/>
              <w:right w:val="single" w:color="auto" w:sz="4" w:space="0"/>
            </w:tcBorders>
            <w:vAlign w:val="center"/>
          </w:tcPr>
          <w:p w14:paraId="2E83D76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排气筒底部海拔高度(m)</w:t>
            </w:r>
          </w:p>
        </w:tc>
        <w:tc>
          <w:tcPr>
            <w:tcW w:w="2065" w:type="dxa"/>
            <w:gridSpan w:val="5"/>
            <w:tcBorders>
              <w:top w:val="single" w:color="auto" w:sz="4" w:space="0"/>
              <w:left w:val="nil"/>
              <w:bottom w:val="single" w:color="auto" w:sz="4" w:space="0"/>
              <w:right w:val="single" w:color="auto" w:sz="4" w:space="0"/>
            </w:tcBorders>
            <w:vAlign w:val="center"/>
          </w:tcPr>
          <w:p w14:paraId="12EAFE8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排气筒参数</w:t>
            </w:r>
          </w:p>
        </w:tc>
        <w:tc>
          <w:tcPr>
            <w:tcW w:w="10267" w:type="dxa"/>
            <w:gridSpan w:val="15"/>
            <w:tcBorders>
              <w:top w:val="single" w:color="auto" w:sz="4" w:space="0"/>
              <w:left w:val="nil"/>
              <w:bottom w:val="single" w:color="auto" w:sz="4" w:space="0"/>
              <w:right w:val="single" w:color="auto" w:sz="4" w:space="0"/>
            </w:tcBorders>
            <w:noWrap/>
            <w:vAlign w:val="center"/>
          </w:tcPr>
          <w:p w14:paraId="5C32794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污染物排放速率(kg/h)</w:t>
            </w:r>
          </w:p>
        </w:tc>
      </w:tr>
      <w:tr w14:paraId="1ABD7703">
        <w:tblPrEx>
          <w:tblCellMar>
            <w:top w:w="0" w:type="dxa"/>
            <w:left w:w="108" w:type="dxa"/>
            <w:bottom w:w="0" w:type="dxa"/>
            <w:right w:w="108" w:type="dxa"/>
          </w:tblCellMar>
        </w:tblPrEx>
        <w:trPr>
          <w:trHeight w:val="1440" w:hRule="atLeast"/>
        </w:trPr>
        <w:tc>
          <w:tcPr>
            <w:tcW w:w="580" w:type="dxa"/>
            <w:vMerge w:val="continue"/>
            <w:tcBorders>
              <w:top w:val="single" w:color="auto" w:sz="4" w:space="0"/>
              <w:left w:val="single" w:color="auto" w:sz="4" w:space="0"/>
              <w:bottom w:val="single" w:color="auto" w:sz="4" w:space="0"/>
              <w:right w:val="single" w:color="auto" w:sz="4" w:space="0"/>
            </w:tcBorders>
            <w:vAlign w:val="center"/>
          </w:tcPr>
          <w:p w14:paraId="56AE4D88">
            <w:pPr>
              <w:widowControl/>
              <w:autoSpaceDE/>
              <w:autoSpaceDN/>
              <w:spacing w:line="320" w:lineRule="exact"/>
              <w:ind w:firstLine="0" w:firstLineChars="0"/>
              <w:jc w:val="center"/>
              <w:rPr>
                <w:color w:val="000000" w:themeColor="text1"/>
                <w:sz w:val="18"/>
                <w:szCs w:val="18"/>
                <w14:textFill>
                  <w14:solidFill>
                    <w14:schemeClr w14:val="tx1"/>
                  </w14:solidFill>
                </w14:textFill>
              </w:rPr>
            </w:pPr>
          </w:p>
        </w:tc>
        <w:tc>
          <w:tcPr>
            <w:tcW w:w="679" w:type="dxa"/>
            <w:tcBorders>
              <w:top w:val="nil"/>
              <w:left w:val="nil"/>
              <w:bottom w:val="single" w:color="auto" w:sz="4" w:space="0"/>
              <w:right w:val="single" w:color="auto" w:sz="4" w:space="0"/>
            </w:tcBorders>
            <w:vAlign w:val="center"/>
          </w:tcPr>
          <w:p w14:paraId="77E13F7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经度</w:t>
            </w:r>
          </w:p>
        </w:tc>
        <w:tc>
          <w:tcPr>
            <w:tcW w:w="679" w:type="dxa"/>
            <w:tcBorders>
              <w:top w:val="nil"/>
              <w:left w:val="nil"/>
              <w:bottom w:val="single" w:color="auto" w:sz="4" w:space="0"/>
              <w:right w:val="single" w:color="auto" w:sz="4" w:space="0"/>
            </w:tcBorders>
            <w:vAlign w:val="center"/>
          </w:tcPr>
          <w:p w14:paraId="174D532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纬度</w:t>
            </w:r>
          </w:p>
        </w:tc>
        <w:tc>
          <w:tcPr>
            <w:tcW w:w="609" w:type="dxa"/>
            <w:vMerge w:val="continue"/>
            <w:tcBorders>
              <w:top w:val="single" w:color="auto" w:sz="4" w:space="0"/>
              <w:left w:val="single" w:color="auto" w:sz="4" w:space="0"/>
              <w:bottom w:val="single" w:color="auto" w:sz="4" w:space="0"/>
              <w:right w:val="single" w:color="auto" w:sz="4" w:space="0"/>
            </w:tcBorders>
            <w:vAlign w:val="center"/>
          </w:tcPr>
          <w:p w14:paraId="0C7C20F1">
            <w:pPr>
              <w:widowControl/>
              <w:autoSpaceDE/>
              <w:autoSpaceDN/>
              <w:spacing w:line="320" w:lineRule="exact"/>
              <w:ind w:firstLine="0" w:firstLineChars="0"/>
              <w:jc w:val="center"/>
              <w:rPr>
                <w:color w:val="000000" w:themeColor="text1"/>
                <w:sz w:val="18"/>
                <w:szCs w:val="18"/>
                <w14:textFill>
                  <w14:solidFill>
                    <w14:schemeClr w14:val="tx1"/>
                  </w14:solidFill>
                </w14:textFill>
              </w:rPr>
            </w:pPr>
          </w:p>
        </w:tc>
        <w:tc>
          <w:tcPr>
            <w:tcW w:w="425" w:type="dxa"/>
            <w:tcBorders>
              <w:top w:val="nil"/>
              <w:left w:val="nil"/>
              <w:bottom w:val="single" w:color="auto" w:sz="4" w:space="0"/>
              <w:right w:val="single" w:color="auto" w:sz="4" w:space="0"/>
            </w:tcBorders>
            <w:vAlign w:val="center"/>
          </w:tcPr>
          <w:p w14:paraId="1108774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高度m</w:t>
            </w:r>
          </w:p>
        </w:tc>
        <w:tc>
          <w:tcPr>
            <w:tcW w:w="567" w:type="dxa"/>
            <w:tcBorders>
              <w:top w:val="nil"/>
              <w:left w:val="nil"/>
              <w:bottom w:val="single" w:color="auto" w:sz="4" w:space="0"/>
              <w:right w:val="single" w:color="auto" w:sz="4" w:space="0"/>
            </w:tcBorders>
            <w:vAlign w:val="center"/>
          </w:tcPr>
          <w:p w14:paraId="0CD3807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内径m</w:t>
            </w:r>
          </w:p>
        </w:tc>
        <w:tc>
          <w:tcPr>
            <w:tcW w:w="426" w:type="dxa"/>
            <w:tcBorders>
              <w:top w:val="nil"/>
              <w:left w:val="nil"/>
              <w:bottom w:val="single" w:color="auto" w:sz="4" w:space="0"/>
              <w:right w:val="single" w:color="auto" w:sz="4" w:space="0"/>
            </w:tcBorders>
            <w:vAlign w:val="center"/>
          </w:tcPr>
          <w:p w14:paraId="28F4CB4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温度℃</w:t>
            </w:r>
          </w:p>
        </w:tc>
        <w:tc>
          <w:tcPr>
            <w:tcW w:w="628" w:type="dxa"/>
            <w:tcBorders>
              <w:top w:val="nil"/>
              <w:left w:val="nil"/>
              <w:bottom w:val="single" w:color="auto" w:sz="4" w:space="0"/>
              <w:right w:val="single" w:color="auto" w:sz="4" w:space="0"/>
            </w:tcBorders>
            <w:vAlign w:val="center"/>
          </w:tcPr>
          <w:p w14:paraId="5227E99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流速m/s</w:t>
            </w:r>
          </w:p>
        </w:tc>
        <w:tc>
          <w:tcPr>
            <w:tcW w:w="647" w:type="dxa"/>
            <w:gridSpan w:val="2"/>
            <w:tcBorders>
              <w:top w:val="nil"/>
              <w:left w:val="nil"/>
              <w:bottom w:val="single" w:color="auto" w:sz="4" w:space="0"/>
              <w:right w:val="single" w:color="auto" w:sz="4" w:space="0"/>
            </w:tcBorders>
            <w:noWrap/>
            <w:vAlign w:val="center"/>
          </w:tcPr>
          <w:p w14:paraId="60383A0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VOCs</w:t>
            </w:r>
          </w:p>
        </w:tc>
        <w:tc>
          <w:tcPr>
            <w:tcW w:w="719" w:type="dxa"/>
            <w:tcBorders>
              <w:top w:val="nil"/>
              <w:left w:val="nil"/>
              <w:bottom w:val="single" w:color="auto" w:sz="4" w:space="0"/>
              <w:right w:val="single" w:color="auto" w:sz="4" w:space="0"/>
            </w:tcBorders>
            <w:vAlign w:val="center"/>
          </w:tcPr>
          <w:p w14:paraId="68176DB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颗粒物</w:t>
            </w:r>
          </w:p>
        </w:tc>
        <w:tc>
          <w:tcPr>
            <w:tcW w:w="557" w:type="dxa"/>
            <w:tcBorders>
              <w:top w:val="nil"/>
              <w:left w:val="nil"/>
              <w:bottom w:val="single" w:color="auto" w:sz="4" w:space="0"/>
              <w:right w:val="single" w:color="auto" w:sz="4" w:space="0"/>
            </w:tcBorders>
            <w:vAlign w:val="center"/>
          </w:tcPr>
          <w:p w14:paraId="65D90EB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w:t>
            </w:r>
          </w:p>
        </w:tc>
        <w:tc>
          <w:tcPr>
            <w:tcW w:w="709" w:type="dxa"/>
            <w:tcBorders>
              <w:top w:val="nil"/>
              <w:left w:val="nil"/>
              <w:bottom w:val="single" w:color="auto" w:sz="4" w:space="0"/>
              <w:right w:val="single" w:color="auto" w:sz="4" w:space="0"/>
            </w:tcBorders>
            <w:vAlign w:val="center"/>
          </w:tcPr>
          <w:p w14:paraId="5317AC9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NOx</w:t>
            </w:r>
          </w:p>
        </w:tc>
        <w:tc>
          <w:tcPr>
            <w:tcW w:w="708" w:type="dxa"/>
            <w:tcBorders>
              <w:top w:val="nil"/>
              <w:left w:val="nil"/>
              <w:bottom w:val="single" w:color="auto" w:sz="4" w:space="0"/>
              <w:right w:val="single" w:color="auto" w:sz="4" w:space="0"/>
            </w:tcBorders>
            <w:vAlign w:val="center"/>
          </w:tcPr>
          <w:p w14:paraId="4E45430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SO</w:t>
            </w:r>
            <w:r>
              <w:rPr>
                <w:color w:val="000000" w:themeColor="text1"/>
                <w:sz w:val="18"/>
                <w:szCs w:val="18"/>
                <w:vertAlign w:val="subscript"/>
                <w14:textFill>
                  <w14:solidFill>
                    <w14:schemeClr w14:val="tx1"/>
                  </w14:solidFill>
                </w14:textFill>
              </w:rPr>
              <w:t>2</w:t>
            </w:r>
          </w:p>
        </w:tc>
        <w:tc>
          <w:tcPr>
            <w:tcW w:w="557" w:type="dxa"/>
            <w:tcBorders>
              <w:top w:val="nil"/>
              <w:left w:val="nil"/>
              <w:bottom w:val="single" w:color="auto" w:sz="4" w:space="0"/>
              <w:right w:val="single" w:color="auto" w:sz="4" w:space="0"/>
            </w:tcBorders>
            <w:vAlign w:val="center"/>
          </w:tcPr>
          <w:p w14:paraId="5229F88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HF</w:t>
            </w:r>
          </w:p>
        </w:tc>
        <w:tc>
          <w:tcPr>
            <w:tcW w:w="495" w:type="dxa"/>
            <w:tcBorders>
              <w:top w:val="nil"/>
              <w:left w:val="nil"/>
              <w:bottom w:val="single" w:color="auto" w:sz="4" w:space="0"/>
              <w:right w:val="single" w:color="auto" w:sz="4" w:space="0"/>
            </w:tcBorders>
            <w:vAlign w:val="center"/>
          </w:tcPr>
          <w:p w14:paraId="2F31273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HCl</w:t>
            </w:r>
          </w:p>
        </w:tc>
        <w:tc>
          <w:tcPr>
            <w:tcW w:w="674" w:type="dxa"/>
            <w:tcBorders>
              <w:top w:val="nil"/>
              <w:left w:val="nil"/>
              <w:bottom w:val="single" w:color="auto" w:sz="4" w:space="0"/>
              <w:right w:val="single" w:color="auto" w:sz="4" w:space="0"/>
            </w:tcBorders>
            <w:vAlign w:val="center"/>
          </w:tcPr>
          <w:p w14:paraId="0BBA5BB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汞及其化合物</w:t>
            </w:r>
          </w:p>
        </w:tc>
        <w:tc>
          <w:tcPr>
            <w:tcW w:w="674" w:type="dxa"/>
            <w:tcBorders>
              <w:top w:val="nil"/>
              <w:left w:val="nil"/>
              <w:bottom w:val="single" w:color="auto" w:sz="4" w:space="0"/>
              <w:right w:val="single" w:color="auto" w:sz="4" w:space="0"/>
            </w:tcBorders>
            <w:vAlign w:val="center"/>
          </w:tcPr>
          <w:p w14:paraId="075C990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铊及其化合物</w:t>
            </w:r>
          </w:p>
        </w:tc>
        <w:tc>
          <w:tcPr>
            <w:tcW w:w="674" w:type="dxa"/>
            <w:tcBorders>
              <w:top w:val="nil"/>
              <w:left w:val="nil"/>
              <w:bottom w:val="single" w:color="auto" w:sz="4" w:space="0"/>
              <w:right w:val="single" w:color="auto" w:sz="4" w:space="0"/>
            </w:tcBorders>
            <w:vAlign w:val="center"/>
          </w:tcPr>
          <w:p w14:paraId="0667617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镉及其化合物</w:t>
            </w:r>
          </w:p>
        </w:tc>
        <w:tc>
          <w:tcPr>
            <w:tcW w:w="618" w:type="dxa"/>
            <w:tcBorders>
              <w:top w:val="nil"/>
              <w:left w:val="nil"/>
              <w:bottom w:val="single" w:color="auto" w:sz="4" w:space="0"/>
              <w:right w:val="single" w:color="auto" w:sz="4" w:space="0"/>
            </w:tcBorders>
            <w:vAlign w:val="center"/>
          </w:tcPr>
          <w:p w14:paraId="47129D0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铅及其化合物</w:t>
            </w:r>
          </w:p>
        </w:tc>
        <w:tc>
          <w:tcPr>
            <w:tcW w:w="618" w:type="dxa"/>
            <w:tcBorders>
              <w:top w:val="nil"/>
              <w:left w:val="nil"/>
              <w:bottom w:val="single" w:color="auto" w:sz="4" w:space="0"/>
              <w:right w:val="single" w:color="auto" w:sz="4" w:space="0"/>
            </w:tcBorders>
            <w:vAlign w:val="center"/>
          </w:tcPr>
          <w:p w14:paraId="301EA8A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砷及其化合物</w:t>
            </w:r>
          </w:p>
        </w:tc>
        <w:tc>
          <w:tcPr>
            <w:tcW w:w="674" w:type="dxa"/>
            <w:tcBorders>
              <w:top w:val="nil"/>
              <w:left w:val="nil"/>
              <w:bottom w:val="single" w:color="auto" w:sz="4" w:space="0"/>
              <w:right w:val="single" w:color="auto" w:sz="4" w:space="0"/>
            </w:tcBorders>
            <w:vAlign w:val="center"/>
          </w:tcPr>
          <w:p w14:paraId="2338CE5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铬及其化合物</w:t>
            </w:r>
          </w:p>
        </w:tc>
        <w:tc>
          <w:tcPr>
            <w:tcW w:w="1051" w:type="dxa"/>
            <w:tcBorders>
              <w:top w:val="nil"/>
              <w:left w:val="nil"/>
              <w:bottom w:val="single" w:color="auto" w:sz="4" w:space="0"/>
              <w:right w:val="single" w:color="auto" w:sz="4" w:space="0"/>
            </w:tcBorders>
            <w:vAlign w:val="center"/>
          </w:tcPr>
          <w:p w14:paraId="5551620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锡、锑、铜、锰、 镍、钴及其化合 物</w:t>
            </w:r>
          </w:p>
        </w:tc>
        <w:tc>
          <w:tcPr>
            <w:tcW w:w="911" w:type="dxa"/>
            <w:tcBorders>
              <w:top w:val="nil"/>
              <w:left w:val="nil"/>
              <w:bottom w:val="single" w:color="auto" w:sz="4" w:space="0"/>
              <w:right w:val="single" w:color="auto" w:sz="4" w:space="0"/>
            </w:tcBorders>
            <w:vAlign w:val="center"/>
          </w:tcPr>
          <w:p w14:paraId="2E2AB91B">
            <w:pPr>
              <w:widowControl/>
              <w:autoSpaceDE/>
              <w:autoSpaceDN/>
              <w:spacing w:line="320" w:lineRule="exact"/>
              <w:ind w:left="-43" w:leftChars="-18"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二噁英类ngTEQ/Nm³</w:t>
            </w:r>
          </w:p>
        </w:tc>
      </w:tr>
      <w:tr w14:paraId="3B1E3C87">
        <w:tblPrEx>
          <w:tblCellMar>
            <w:top w:w="0" w:type="dxa"/>
            <w:left w:w="108" w:type="dxa"/>
            <w:bottom w:w="0" w:type="dxa"/>
            <w:right w:w="108" w:type="dxa"/>
          </w:tblCellMar>
        </w:tblPrEx>
        <w:trPr>
          <w:trHeight w:val="276" w:hRule="atLeast"/>
        </w:trPr>
        <w:tc>
          <w:tcPr>
            <w:tcW w:w="580" w:type="dxa"/>
            <w:tcBorders>
              <w:top w:val="nil"/>
              <w:left w:val="single" w:color="auto" w:sz="4" w:space="0"/>
              <w:bottom w:val="single" w:color="auto" w:sz="4" w:space="0"/>
              <w:right w:val="single" w:color="auto" w:sz="4" w:space="0"/>
            </w:tcBorders>
            <w:vAlign w:val="center"/>
          </w:tcPr>
          <w:p w14:paraId="718B670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DA001</w:t>
            </w:r>
          </w:p>
        </w:tc>
        <w:tc>
          <w:tcPr>
            <w:tcW w:w="679" w:type="dxa"/>
            <w:tcBorders>
              <w:top w:val="nil"/>
              <w:left w:val="nil"/>
              <w:bottom w:val="single" w:color="auto" w:sz="4" w:space="0"/>
              <w:right w:val="single" w:color="auto" w:sz="4" w:space="0"/>
            </w:tcBorders>
            <w:vAlign w:val="center"/>
          </w:tcPr>
          <w:p w14:paraId="0BFC9FE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87.69329</w:t>
            </w:r>
          </w:p>
        </w:tc>
        <w:tc>
          <w:tcPr>
            <w:tcW w:w="679" w:type="dxa"/>
            <w:tcBorders>
              <w:top w:val="nil"/>
              <w:left w:val="nil"/>
              <w:bottom w:val="single" w:color="auto" w:sz="4" w:space="0"/>
              <w:right w:val="single" w:color="auto" w:sz="4" w:space="0"/>
            </w:tcBorders>
            <w:vAlign w:val="center"/>
          </w:tcPr>
          <w:p w14:paraId="758F66D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44.13979</w:t>
            </w:r>
          </w:p>
        </w:tc>
        <w:tc>
          <w:tcPr>
            <w:tcW w:w="609" w:type="dxa"/>
            <w:tcBorders>
              <w:top w:val="nil"/>
              <w:left w:val="nil"/>
              <w:bottom w:val="single" w:color="auto" w:sz="4" w:space="0"/>
              <w:right w:val="single" w:color="auto" w:sz="4" w:space="0"/>
            </w:tcBorders>
            <w:vAlign w:val="center"/>
          </w:tcPr>
          <w:p w14:paraId="19682A1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483</w:t>
            </w:r>
          </w:p>
        </w:tc>
        <w:tc>
          <w:tcPr>
            <w:tcW w:w="425" w:type="dxa"/>
            <w:tcBorders>
              <w:top w:val="nil"/>
              <w:left w:val="nil"/>
              <w:bottom w:val="single" w:color="auto" w:sz="4" w:space="0"/>
              <w:right w:val="single" w:color="auto" w:sz="4" w:space="0"/>
            </w:tcBorders>
            <w:vAlign w:val="center"/>
          </w:tcPr>
          <w:p w14:paraId="4C24210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567" w:type="dxa"/>
            <w:tcBorders>
              <w:top w:val="nil"/>
              <w:left w:val="nil"/>
              <w:bottom w:val="single" w:color="auto" w:sz="4" w:space="0"/>
              <w:right w:val="single" w:color="auto" w:sz="4" w:space="0"/>
            </w:tcBorders>
            <w:vAlign w:val="center"/>
          </w:tcPr>
          <w:p w14:paraId="2114E85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426" w:type="dxa"/>
            <w:tcBorders>
              <w:top w:val="nil"/>
              <w:left w:val="nil"/>
              <w:bottom w:val="single" w:color="auto" w:sz="4" w:space="0"/>
              <w:right w:val="single" w:color="auto" w:sz="4" w:space="0"/>
            </w:tcBorders>
            <w:vAlign w:val="center"/>
          </w:tcPr>
          <w:p w14:paraId="3A22D5D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628" w:type="dxa"/>
            <w:tcBorders>
              <w:top w:val="nil"/>
              <w:left w:val="nil"/>
              <w:bottom w:val="single" w:color="auto" w:sz="4" w:space="0"/>
              <w:right w:val="single" w:color="auto" w:sz="4" w:space="0"/>
            </w:tcBorders>
            <w:vAlign w:val="center"/>
          </w:tcPr>
          <w:p w14:paraId="65721FF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9.66</w:t>
            </w:r>
          </w:p>
        </w:tc>
        <w:tc>
          <w:tcPr>
            <w:tcW w:w="647" w:type="dxa"/>
            <w:gridSpan w:val="2"/>
            <w:tcBorders>
              <w:top w:val="nil"/>
              <w:left w:val="nil"/>
              <w:bottom w:val="single" w:color="auto" w:sz="4" w:space="0"/>
              <w:right w:val="single" w:color="auto" w:sz="4" w:space="0"/>
            </w:tcBorders>
            <w:vAlign w:val="center"/>
          </w:tcPr>
          <w:p w14:paraId="66426EB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0.031</w:t>
            </w:r>
          </w:p>
        </w:tc>
        <w:tc>
          <w:tcPr>
            <w:tcW w:w="719" w:type="dxa"/>
            <w:tcBorders>
              <w:top w:val="nil"/>
              <w:left w:val="nil"/>
              <w:bottom w:val="single" w:color="auto" w:sz="4" w:space="0"/>
              <w:right w:val="single" w:color="auto" w:sz="4" w:space="0"/>
            </w:tcBorders>
            <w:noWrap/>
            <w:vAlign w:val="center"/>
          </w:tcPr>
          <w:p w14:paraId="1D9F91E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557" w:type="dxa"/>
            <w:tcBorders>
              <w:top w:val="nil"/>
              <w:left w:val="nil"/>
              <w:bottom w:val="single" w:color="auto" w:sz="4" w:space="0"/>
              <w:right w:val="single" w:color="auto" w:sz="4" w:space="0"/>
            </w:tcBorders>
            <w:noWrap/>
            <w:vAlign w:val="center"/>
          </w:tcPr>
          <w:p w14:paraId="0DADB9D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09" w:type="dxa"/>
            <w:tcBorders>
              <w:top w:val="nil"/>
              <w:left w:val="nil"/>
              <w:bottom w:val="single" w:color="auto" w:sz="4" w:space="0"/>
              <w:right w:val="single" w:color="auto" w:sz="4" w:space="0"/>
            </w:tcBorders>
            <w:noWrap/>
            <w:vAlign w:val="center"/>
          </w:tcPr>
          <w:p w14:paraId="5CC036C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08" w:type="dxa"/>
            <w:tcBorders>
              <w:top w:val="nil"/>
              <w:left w:val="nil"/>
              <w:bottom w:val="single" w:color="auto" w:sz="4" w:space="0"/>
              <w:right w:val="single" w:color="auto" w:sz="4" w:space="0"/>
            </w:tcBorders>
            <w:noWrap/>
            <w:vAlign w:val="center"/>
          </w:tcPr>
          <w:p w14:paraId="5502C59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557" w:type="dxa"/>
            <w:tcBorders>
              <w:top w:val="nil"/>
              <w:left w:val="nil"/>
              <w:bottom w:val="single" w:color="auto" w:sz="4" w:space="0"/>
              <w:right w:val="single" w:color="auto" w:sz="4" w:space="0"/>
            </w:tcBorders>
            <w:noWrap/>
            <w:vAlign w:val="center"/>
          </w:tcPr>
          <w:p w14:paraId="6663F6E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95" w:type="dxa"/>
            <w:tcBorders>
              <w:top w:val="nil"/>
              <w:left w:val="nil"/>
              <w:bottom w:val="single" w:color="auto" w:sz="4" w:space="0"/>
              <w:right w:val="single" w:color="auto" w:sz="4" w:space="0"/>
            </w:tcBorders>
            <w:noWrap/>
            <w:vAlign w:val="center"/>
          </w:tcPr>
          <w:p w14:paraId="2403876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366D8C6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23B0F29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5656444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8" w:type="dxa"/>
            <w:tcBorders>
              <w:top w:val="nil"/>
              <w:left w:val="nil"/>
              <w:bottom w:val="single" w:color="auto" w:sz="4" w:space="0"/>
              <w:right w:val="single" w:color="auto" w:sz="4" w:space="0"/>
            </w:tcBorders>
            <w:noWrap/>
            <w:vAlign w:val="center"/>
          </w:tcPr>
          <w:p w14:paraId="4686E41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8" w:type="dxa"/>
            <w:tcBorders>
              <w:top w:val="nil"/>
              <w:left w:val="nil"/>
              <w:bottom w:val="single" w:color="auto" w:sz="4" w:space="0"/>
              <w:right w:val="single" w:color="auto" w:sz="4" w:space="0"/>
            </w:tcBorders>
            <w:noWrap/>
            <w:vAlign w:val="center"/>
          </w:tcPr>
          <w:p w14:paraId="3FE9F17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0CE166A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1051" w:type="dxa"/>
            <w:tcBorders>
              <w:top w:val="nil"/>
              <w:left w:val="nil"/>
              <w:bottom w:val="single" w:color="auto" w:sz="4" w:space="0"/>
              <w:right w:val="single" w:color="auto" w:sz="4" w:space="0"/>
            </w:tcBorders>
            <w:noWrap/>
            <w:vAlign w:val="center"/>
          </w:tcPr>
          <w:p w14:paraId="3E2B06C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911" w:type="dxa"/>
            <w:tcBorders>
              <w:top w:val="nil"/>
              <w:left w:val="nil"/>
              <w:bottom w:val="single" w:color="auto" w:sz="4" w:space="0"/>
              <w:right w:val="single" w:color="auto" w:sz="4" w:space="0"/>
            </w:tcBorders>
            <w:noWrap/>
            <w:vAlign w:val="center"/>
          </w:tcPr>
          <w:p w14:paraId="13AEF2E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14:paraId="0683F900">
        <w:tblPrEx>
          <w:tblCellMar>
            <w:top w:w="0" w:type="dxa"/>
            <w:left w:w="108" w:type="dxa"/>
            <w:bottom w:w="0" w:type="dxa"/>
            <w:right w:w="108" w:type="dxa"/>
          </w:tblCellMar>
        </w:tblPrEx>
        <w:trPr>
          <w:trHeight w:val="276" w:hRule="atLeast"/>
        </w:trPr>
        <w:tc>
          <w:tcPr>
            <w:tcW w:w="580" w:type="dxa"/>
            <w:tcBorders>
              <w:top w:val="nil"/>
              <w:left w:val="single" w:color="auto" w:sz="4" w:space="0"/>
              <w:bottom w:val="single" w:color="auto" w:sz="4" w:space="0"/>
              <w:right w:val="single" w:color="auto" w:sz="4" w:space="0"/>
            </w:tcBorders>
            <w:vAlign w:val="center"/>
          </w:tcPr>
          <w:p w14:paraId="1204DDBD">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DA002</w:t>
            </w:r>
          </w:p>
        </w:tc>
        <w:tc>
          <w:tcPr>
            <w:tcW w:w="679" w:type="dxa"/>
            <w:tcBorders>
              <w:top w:val="nil"/>
              <w:left w:val="nil"/>
              <w:bottom w:val="single" w:color="auto" w:sz="4" w:space="0"/>
              <w:right w:val="single" w:color="auto" w:sz="4" w:space="0"/>
            </w:tcBorders>
            <w:vAlign w:val="center"/>
          </w:tcPr>
          <w:p w14:paraId="5FBB553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87.69457</w:t>
            </w:r>
          </w:p>
        </w:tc>
        <w:tc>
          <w:tcPr>
            <w:tcW w:w="679" w:type="dxa"/>
            <w:tcBorders>
              <w:top w:val="nil"/>
              <w:left w:val="nil"/>
              <w:bottom w:val="single" w:color="auto" w:sz="4" w:space="0"/>
              <w:right w:val="single" w:color="auto" w:sz="4" w:space="0"/>
            </w:tcBorders>
            <w:vAlign w:val="center"/>
          </w:tcPr>
          <w:p w14:paraId="30C098E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44.14022</w:t>
            </w:r>
          </w:p>
        </w:tc>
        <w:tc>
          <w:tcPr>
            <w:tcW w:w="609" w:type="dxa"/>
            <w:tcBorders>
              <w:top w:val="nil"/>
              <w:left w:val="nil"/>
              <w:bottom w:val="single" w:color="auto" w:sz="4" w:space="0"/>
              <w:right w:val="single" w:color="auto" w:sz="4" w:space="0"/>
            </w:tcBorders>
            <w:vAlign w:val="center"/>
          </w:tcPr>
          <w:p w14:paraId="67B7077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483</w:t>
            </w:r>
          </w:p>
        </w:tc>
        <w:tc>
          <w:tcPr>
            <w:tcW w:w="425" w:type="dxa"/>
            <w:tcBorders>
              <w:top w:val="nil"/>
              <w:left w:val="nil"/>
              <w:bottom w:val="single" w:color="auto" w:sz="4" w:space="0"/>
              <w:right w:val="single" w:color="auto" w:sz="4" w:space="0"/>
            </w:tcBorders>
            <w:vAlign w:val="center"/>
          </w:tcPr>
          <w:p w14:paraId="73A77FB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50</w:t>
            </w:r>
          </w:p>
        </w:tc>
        <w:tc>
          <w:tcPr>
            <w:tcW w:w="567" w:type="dxa"/>
            <w:tcBorders>
              <w:top w:val="nil"/>
              <w:left w:val="nil"/>
              <w:bottom w:val="single" w:color="auto" w:sz="4" w:space="0"/>
              <w:right w:val="single" w:color="auto" w:sz="4" w:space="0"/>
            </w:tcBorders>
            <w:vAlign w:val="center"/>
          </w:tcPr>
          <w:p w14:paraId="7BDB242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w:t>
            </w:r>
          </w:p>
        </w:tc>
        <w:tc>
          <w:tcPr>
            <w:tcW w:w="426" w:type="dxa"/>
            <w:tcBorders>
              <w:top w:val="nil"/>
              <w:left w:val="nil"/>
              <w:bottom w:val="single" w:color="auto" w:sz="4" w:space="0"/>
              <w:right w:val="single" w:color="auto" w:sz="4" w:space="0"/>
            </w:tcBorders>
            <w:vAlign w:val="center"/>
          </w:tcPr>
          <w:p w14:paraId="210717D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628" w:type="dxa"/>
            <w:tcBorders>
              <w:top w:val="nil"/>
              <w:left w:val="nil"/>
              <w:bottom w:val="single" w:color="auto" w:sz="4" w:space="0"/>
              <w:right w:val="single" w:color="auto" w:sz="4" w:space="0"/>
            </w:tcBorders>
            <w:vAlign w:val="center"/>
          </w:tcPr>
          <w:p w14:paraId="2829FF4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7.73</w:t>
            </w:r>
          </w:p>
        </w:tc>
        <w:tc>
          <w:tcPr>
            <w:tcW w:w="647" w:type="dxa"/>
            <w:gridSpan w:val="2"/>
            <w:tcBorders>
              <w:top w:val="nil"/>
              <w:left w:val="nil"/>
              <w:bottom w:val="single" w:color="auto" w:sz="4" w:space="0"/>
              <w:right w:val="single" w:color="auto" w:sz="4" w:space="0"/>
            </w:tcBorders>
            <w:noWrap/>
            <w:vAlign w:val="center"/>
          </w:tcPr>
          <w:p w14:paraId="6E320EE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19" w:type="dxa"/>
            <w:tcBorders>
              <w:top w:val="nil"/>
              <w:left w:val="nil"/>
              <w:bottom w:val="single" w:color="auto" w:sz="4" w:space="0"/>
              <w:right w:val="single" w:color="auto" w:sz="4" w:space="0"/>
            </w:tcBorders>
            <w:noWrap/>
            <w:vAlign w:val="center"/>
          </w:tcPr>
          <w:p w14:paraId="117330F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0.073</w:t>
            </w:r>
          </w:p>
        </w:tc>
        <w:tc>
          <w:tcPr>
            <w:tcW w:w="557" w:type="dxa"/>
            <w:tcBorders>
              <w:top w:val="nil"/>
              <w:left w:val="nil"/>
              <w:bottom w:val="single" w:color="auto" w:sz="4" w:space="0"/>
              <w:right w:val="single" w:color="auto" w:sz="4" w:space="0"/>
            </w:tcBorders>
            <w:noWrap/>
            <w:vAlign w:val="center"/>
          </w:tcPr>
          <w:p w14:paraId="0B29C38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0.2917</w:t>
            </w:r>
          </w:p>
        </w:tc>
        <w:tc>
          <w:tcPr>
            <w:tcW w:w="709" w:type="dxa"/>
            <w:tcBorders>
              <w:top w:val="nil"/>
              <w:left w:val="nil"/>
              <w:bottom w:val="single" w:color="auto" w:sz="4" w:space="0"/>
              <w:right w:val="single" w:color="auto" w:sz="4" w:space="0"/>
            </w:tcBorders>
            <w:noWrap/>
            <w:vAlign w:val="center"/>
          </w:tcPr>
          <w:p w14:paraId="5C3FD9E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0.336</w:t>
            </w:r>
          </w:p>
        </w:tc>
        <w:tc>
          <w:tcPr>
            <w:tcW w:w="708" w:type="dxa"/>
            <w:tcBorders>
              <w:top w:val="nil"/>
              <w:left w:val="nil"/>
              <w:bottom w:val="single" w:color="auto" w:sz="4" w:space="0"/>
              <w:right w:val="single" w:color="auto" w:sz="4" w:space="0"/>
            </w:tcBorders>
            <w:noWrap/>
            <w:vAlign w:val="center"/>
          </w:tcPr>
          <w:p w14:paraId="189853E8">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0.25</w:t>
            </w:r>
          </w:p>
        </w:tc>
        <w:tc>
          <w:tcPr>
            <w:tcW w:w="557" w:type="dxa"/>
            <w:tcBorders>
              <w:top w:val="nil"/>
              <w:left w:val="nil"/>
              <w:bottom w:val="single" w:color="auto" w:sz="4" w:space="0"/>
              <w:right w:val="single" w:color="auto" w:sz="4" w:space="0"/>
            </w:tcBorders>
            <w:noWrap/>
            <w:vAlign w:val="center"/>
          </w:tcPr>
          <w:p w14:paraId="26D7B9F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0.0066</w:t>
            </w:r>
          </w:p>
        </w:tc>
        <w:tc>
          <w:tcPr>
            <w:tcW w:w="495" w:type="dxa"/>
            <w:tcBorders>
              <w:top w:val="nil"/>
              <w:left w:val="nil"/>
              <w:bottom w:val="single" w:color="auto" w:sz="4" w:space="0"/>
              <w:right w:val="single" w:color="auto" w:sz="4" w:space="0"/>
            </w:tcBorders>
            <w:noWrap/>
            <w:vAlign w:val="center"/>
          </w:tcPr>
          <w:p w14:paraId="3D05BB3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0.193</w:t>
            </w:r>
          </w:p>
        </w:tc>
        <w:tc>
          <w:tcPr>
            <w:tcW w:w="674" w:type="dxa"/>
            <w:tcBorders>
              <w:top w:val="nil"/>
              <w:left w:val="nil"/>
              <w:bottom w:val="single" w:color="auto" w:sz="4" w:space="0"/>
              <w:right w:val="single" w:color="auto" w:sz="4" w:space="0"/>
            </w:tcBorders>
            <w:noWrap/>
            <w:vAlign w:val="center"/>
          </w:tcPr>
          <w:p w14:paraId="1FEB938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1.25E-05</w:t>
            </w:r>
          </w:p>
        </w:tc>
        <w:tc>
          <w:tcPr>
            <w:tcW w:w="674" w:type="dxa"/>
            <w:tcBorders>
              <w:top w:val="nil"/>
              <w:left w:val="nil"/>
              <w:bottom w:val="single" w:color="auto" w:sz="4" w:space="0"/>
              <w:right w:val="single" w:color="auto" w:sz="4" w:space="0"/>
            </w:tcBorders>
            <w:noWrap/>
            <w:vAlign w:val="center"/>
          </w:tcPr>
          <w:p w14:paraId="2B869EF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6.25E-07</w:t>
            </w:r>
          </w:p>
        </w:tc>
        <w:tc>
          <w:tcPr>
            <w:tcW w:w="674" w:type="dxa"/>
            <w:tcBorders>
              <w:top w:val="nil"/>
              <w:left w:val="nil"/>
              <w:bottom w:val="single" w:color="auto" w:sz="4" w:space="0"/>
              <w:right w:val="single" w:color="auto" w:sz="4" w:space="0"/>
            </w:tcBorders>
            <w:noWrap/>
            <w:vAlign w:val="center"/>
          </w:tcPr>
          <w:p w14:paraId="668E5C0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3.75E-05</w:t>
            </w:r>
          </w:p>
        </w:tc>
        <w:tc>
          <w:tcPr>
            <w:tcW w:w="618" w:type="dxa"/>
            <w:tcBorders>
              <w:top w:val="nil"/>
              <w:left w:val="nil"/>
              <w:bottom w:val="single" w:color="auto" w:sz="4" w:space="0"/>
              <w:right w:val="single" w:color="auto" w:sz="4" w:space="0"/>
            </w:tcBorders>
            <w:noWrap/>
            <w:vAlign w:val="center"/>
          </w:tcPr>
          <w:p w14:paraId="7E6D45A4">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0.00013</w:t>
            </w:r>
          </w:p>
        </w:tc>
        <w:tc>
          <w:tcPr>
            <w:tcW w:w="618" w:type="dxa"/>
            <w:tcBorders>
              <w:top w:val="nil"/>
              <w:left w:val="nil"/>
              <w:bottom w:val="single" w:color="auto" w:sz="4" w:space="0"/>
              <w:right w:val="single" w:color="auto" w:sz="4" w:space="0"/>
            </w:tcBorders>
            <w:noWrap/>
            <w:vAlign w:val="center"/>
          </w:tcPr>
          <w:p w14:paraId="4115A142">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0.00025</w:t>
            </w:r>
          </w:p>
        </w:tc>
        <w:tc>
          <w:tcPr>
            <w:tcW w:w="674" w:type="dxa"/>
            <w:tcBorders>
              <w:top w:val="nil"/>
              <w:left w:val="nil"/>
              <w:bottom w:val="single" w:color="auto" w:sz="4" w:space="0"/>
              <w:right w:val="single" w:color="auto" w:sz="4" w:space="0"/>
            </w:tcBorders>
            <w:noWrap/>
            <w:vAlign w:val="center"/>
          </w:tcPr>
          <w:p w14:paraId="75D8446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6.25E-06</w:t>
            </w:r>
          </w:p>
        </w:tc>
        <w:tc>
          <w:tcPr>
            <w:tcW w:w="1051" w:type="dxa"/>
            <w:tcBorders>
              <w:top w:val="nil"/>
              <w:left w:val="nil"/>
              <w:bottom w:val="single" w:color="auto" w:sz="4" w:space="0"/>
              <w:right w:val="single" w:color="auto" w:sz="4" w:space="0"/>
            </w:tcBorders>
            <w:noWrap/>
            <w:vAlign w:val="center"/>
          </w:tcPr>
          <w:p w14:paraId="04C5250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4.38E-05</w:t>
            </w:r>
          </w:p>
        </w:tc>
        <w:tc>
          <w:tcPr>
            <w:tcW w:w="911" w:type="dxa"/>
            <w:tcBorders>
              <w:top w:val="nil"/>
              <w:left w:val="nil"/>
              <w:bottom w:val="single" w:color="auto" w:sz="4" w:space="0"/>
              <w:right w:val="single" w:color="auto" w:sz="4" w:space="0"/>
            </w:tcBorders>
            <w:noWrap/>
            <w:vAlign w:val="center"/>
          </w:tcPr>
          <w:p w14:paraId="1A2AFA21">
            <w:pPr>
              <w:widowControl/>
              <w:autoSpaceDE/>
              <w:autoSpaceDN/>
              <w:spacing w:line="320" w:lineRule="exact"/>
              <w:ind w:left="-43" w:leftChars="-18"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0.000004mgTEQ/h</w:t>
            </w:r>
          </w:p>
        </w:tc>
      </w:tr>
      <w:tr w14:paraId="46A376D6">
        <w:tblPrEx>
          <w:tblCellMar>
            <w:top w:w="0" w:type="dxa"/>
            <w:left w:w="108" w:type="dxa"/>
            <w:bottom w:w="0" w:type="dxa"/>
            <w:right w:w="108" w:type="dxa"/>
          </w:tblCellMar>
        </w:tblPrEx>
        <w:trPr>
          <w:trHeight w:val="276" w:hRule="atLeast"/>
        </w:trPr>
        <w:tc>
          <w:tcPr>
            <w:tcW w:w="580" w:type="dxa"/>
            <w:tcBorders>
              <w:top w:val="nil"/>
              <w:left w:val="single" w:color="auto" w:sz="4" w:space="0"/>
              <w:bottom w:val="single" w:color="auto" w:sz="4" w:space="0"/>
              <w:right w:val="single" w:color="auto" w:sz="4" w:space="0"/>
            </w:tcBorders>
            <w:vAlign w:val="center"/>
          </w:tcPr>
          <w:p w14:paraId="0FF4390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DA003</w:t>
            </w:r>
          </w:p>
        </w:tc>
        <w:tc>
          <w:tcPr>
            <w:tcW w:w="679" w:type="dxa"/>
            <w:tcBorders>
              <w:top w:val="nil"/>
              <w:left w:val="nil"/>
              <w:bottom w:val="single" w:color="auto" w:sz="4" w:space="0"/>
              <w:right w:val="single" w:color="auto" w:sz="4" w:space="0"/>
            </w:tcBorders>
            <w:vAlign w:val="center"/>
          </w:tcPr>
          <w:p w14:paraId="273CE56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87.69463</w:t>
            </w:r>
          </w:p>
        </w:tc>
        <w:tc>
          <w:tcPr>
            <w:tcW w:w="679" w:type="dxa"/>
            <w:tcBorders>
              <w:top w:val="nil"/>
              <w:left w:val="nil"/>
              <w:bottom w:val="single" w:color="auto" w:sz="4" w:space="0"/>
              <w:right w:val="single" w:color="auto" w:sz="4" w:space="0"/>
            </w:tcBorders>
            <w:vAlign w:val="center"/>
          </w:tcPr>
          <w:p w14:paraId="6639D07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44.14024</w:t>
            </w:r>
          </w:p>
        </w:tc>
        <w:tc>
          <w:tcPr>
            <w:tcW w:w="609" w:type="dxa"/>
            <w:tcBorders>
              <w:top w:val="nil"/>
              <w:left w:val="nil"/>
              <w:bottom w:val="single" w:color="auto" w:sz="4" w:space="0"/>
              <w:right w:val="single" w:color="auto" w:sz="4" w:space="0"/>
            </w:tcBorders>
            <w:vAlign w:val="center"/>
          </w:tcPr>
          <w:p w14:paraId="530092CB">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483</w:t>
            </w:r>
          </w:p>
        </w:tc>
        <w:tc>
          <w:tcPr>
            <w:tcW w:w="425" w:type="dxa"/>
            <w:tcBorders>
              <w:top w:val="nil"/>
              <w:left w:val="nil"/>
              <w:bottom w:val="single" w:color="auto" w:sz="4" w:space="0"/>
              <w:right w:val="single" w:color="auto" w:sz="4" w:space="0"/>
            </w:tcBorders>
            <w:vAlign w:val="center"/>
          </w:tcPr>
          <w:p w14:paraId="580C5CD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567" w:type="dxa"/>
            <w:tcBorders>
              <w:top w:val="nil"/>
              <w:left w:val="nil"/>
              <w:bottom w:val="single" w:color="auto" w:sz="4" w:space="0"/>
              <w:right w:val="single" w:color="auto" w:sz="4" w:space="0"/>
            </w:tcBorders>
            <w:vAlign w:val="center"/>
          </w:tcPr>
          <w:p w14:paraId="6D52C845">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w:t>
            </w:r>
          </w:p>
        </w:tc>
        <w:tc>
          <w:tcPr>
            <w:tcW w:w="426" w:type="dxa"/>
            <w:tcBorders>
              <w:top w:val="nil"/>
              <w:left w:val="nil"/>
              <w:bottom w:val="single" w:color="auto" w:sz="4" w:space="0"/>
              <w:right w:val="single" w:color="auto" w:sz="4" w:space="0"/>
            </w:tcBorders>
            <w:vAlign w:val="center"/>
          </w:tcPr>
          <w:p w14:paraId="1BD9FE4C">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60</w:t>
            </w:r>
          </w:p>
        </w:tc>
        <w:tc>
          <w:tcPr>
            <w:tcW w:w="628" w:type="dxa"/>
            <w:tcBorders>
              <w:top w:val="nil"/>
              <w:left w:val="nil"/>
              <w:bottom w:val="single" w:color="auto" w:sz="4" w:space="0"/>
              <w:right w:val="single" w:color="auto" w:sz="4" w:space="0"/>
            </w:tcBorders>
            <w:vAlign w:val="center"/>
          </w:tcPr>
          <w:p w14:paraId="14FD6D9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9.41</w:t>
            </w:r>
          </w:p>
        </w:tc>
        <w:tc>
          <w:tcPr>
            <w:tcW w:w="647" w:type="dxa"/>
            <w:gridSpan w:val="2"/>
            <w:tcBorders>
              <w:top w:val="nil"/>
              <w:left w:val="nil"/>
              <w:bottom w:val="single" w:color="auto" w:sz="4" w:space="0"/>
              <w:right w:val="single" w:color="auto" w:sz="4" w:space="0"/>
            </w:tcBorders>
            <w:noWrap/>
            <w:vAlign w:val="center"/>
          </w:tcPr>
          <w:p w14:paraId="59614A3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19" w:type="dxa"/>
            <w:tcBorders>
              <w:top w:val="nil"/>
              <w:left w:val="nil"/>
              <w:bottom w:val="single" w:color="auto" w:sz="4" w:space="0"/>
              <w:right w:val="single" w:color="auto" w:sz="4" w:space="0"/>
            </w:tcBorders>
            <w:vAlign w:val="center"/>
          </w:tcPr>
          <w:p w14:paraId="0468E11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0.029</w:t>
            </w:r>
          </w:p>
        </w:tc>
        <w:tc>
          <w:tcPr>
            <w:tcW w:w="557" w:type="dxa"/>
            <w:tcBorders>
              <w:top w:val="nil"/>
              <w:left w:val="nil"/>
              <w:bottom w:val="single" w:color="auto" w:sz="4" w:space="0"/>
              <w:right w:val="single" w:color="auto" w:sz="4" w:space="0"/>
            </w:tcBorders>
            <w:noWrap/>
            <w:vAlign w:val="center"/>
          </w:tcPr>
          <w:p w14:paraId="469029A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09" w:type="dxa"/>
            <w:tcBorders>
              <w:top w:val="nil"/>
              <w:left w:val="nil"/>
              <w:bottom w:val="single" w:color="auto" w:sz="4" w:space="0"/>
              <w:right w:val="single" w:color="auto" w:sz="4" w:space="0"/>
            </w:tcBorders>
            <w:noWrap/>
            <w:vAlign w:val="center"/>
          </w:tcPr>
          <w:p w14:paraId="239A3CD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0.459</w:t>
            </w:r>
          </w:p>
        </w:tc>
        <w:tc>
          <w:tcPr>
            <w:tcW w:w="708" w:type="dxa"/>
            <w:tcBorders>
              <w:top w:val="nil"/>
              <w:left w:val="nil"/>
              <w:bottom w:val="single" w:color="auto" w:sz="4" w:space="0"/>
              <w:right w:val="single" w:color="auto" w:sz="4" w:space="0"/>
            </w:tcBorders>
            <w:noWrap/>
            <w:vAlign w:val="center"/>
          </w:tcPr>
          <w:p w14:paraId="6F1CC9C9">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0.058</w:t>
            </w:r>
          </w:p>
        </w:tc>
        <w:tc>
          <w:tcPr>
            <w:tcW w:w="557" w:type="dxa"/>
            <w:tcBorders>
              <w:top w:val="nil"/>
              <w:left w:val="nil"/>
              <w:bottom w:val="single" w:color="auto" w:sz="4" w:space="0"/>
              <w:right w:val="single" w:color="auto" w:sz="4" w:space="0"/>
            </w:tcBorders>
            <w:noWrap/>
            <w:vAlign w:val="center"/>
          </w:tcPr>
          <w:p w14:paraId="3E762160">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95" w:type="dxa"/>
            <w:tcBorders>
              <w:top w:val="nil"/>
              <w:left w:val="nil"/>
              <w:bottom w:val="single" w:color="auto" w:sz="4" w:space="0"/>
              <w:right w:val="single" w:color="auto" w:sz="4" w:space="0"/>
            </w:tcBorders>
            <w:noWrap/>
            <w:vAlign w:val="center"/>
          </w:tcPr>
          <w:p w14:paraId="54EB355E">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5E6B3AA7">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52B5FAE6">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2A67286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8" w:type="dxa"/>
            <w:tcBorders>
              <w:top w:val="nil"/>
              <w:left w:val="nil"/>
              <w:bottom w:val="single" w:color="auto" w:sz="4" w:space="0"/>
              <w:right w:val="single" w:color="auto" w:sz="4" w:space="0"/>
            </w:tcBorders>
            <w:noWrap/>
            <w:vAlign w:val="center"/>
          </w:tcPr>
          <w:p w14:paraId="528642B3">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8" w:type="dxa"/>
            <w:tcBorders>
              <w:top w:val="nil"/>
              <w:left w:val="nil"/>
              <w:bottom w:val="single" w:color="auto" w:sz="4" w:space="0"/>
              <w:right w:val="single" w:color="auto" w:sz="4" w:space="0"/>
            </w:tcBorders>
            <w:noWrap/>
            <w:vAlign w:val="center"/>
          </w:tcPr>
          <w:p w14:paraId="03B99ED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4" w:type="dxa"/>
            <w:tcBorders>
              <w:top w:val="nil"/>
              <w:left w:val="nil"/>
              <w:bottom w:val="single" w:color="auto" w:sz="4" w:space="0"/>
              <w:right w:val="single" w:color="auto" w:sz="4" w:space="0"/>
            </w:tcBorders>
            <w:noWrap/>
            <w:vAlign w:val="center"/>
          </w:tcPr>
          <w:p w14:paraId="030FD22A">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1051" w:type="dxa"/>
            <w:tcBorders>
              <w:top w:val="nil"/>
              <w:left w:val="nil"/>
              <w:bottom w:val="single" w:color="auto" w:sz="4" w:space="0"/>
              <w:right w:val="single" w:color="auto" w:sz="4" w:space="0"/>
            </w:tcBorders>
            <w:noWrap/>
            <w:vAlign w:val="center"/>
          </w:tcPr>
          <w:p w14:paraId="10FE34E1">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911" w:type="dxa"/>
            <w:tcBorders>
              <w:top w:val="nil"/>
              <w:left w:val="nil"/>
              <w:bottom w:val="single" w:color="auto" w:sz="4" w:space="0"/>
              <w:right w:val="single" w:color="auto" w:sz="4" w:space="0"/>
            </w:tcBorders>
            <w:noWrap/>
            <w:vAlign w:val="center"/>
          </w:tcPr>
          <w:p w14:paraId="033F683F">
            <w:pPr>
              <w:widowControl/>
              <w:autoSpaceDE/>
              <w:autoSpaceDN/>
              <w:spacing w:line="320" w:lineRule="exact"/>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bl>
    <w:p w14:paraId="7DE03F44">
      <w:pPr>
        <w:ind w:firstLine="480"/>
        <w:rPr>
          <w:color w:val="000000" w:themeColor="text1"/>
          <w14:textFill>
            <w14:solidFill>
              <w14:schemeClr w14:val="tx1"/>
            </w14:solidFill>
          </w14:textFill>
        </w:rPr>
      </w:pPr>
    </w:p>
    <w:p w14:paraId="0F74AF26">
      <w:pPr>
        <w:ind w:firstLine="480"/>
        <w:rPr>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26" w:charSpace="0"/>
        </w:sectPr>
      </w:pPr>
    </w:p>
    <w:p w14:paraId="0A7006F8">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主要废气污染源参数一览表(矩形面源) </w:t>
      </w:r>
    </w:p>
    <w:tbl>
      <w:tblPr>
        <w:tblStyle w:val="76"/>
        <w:tblW w:w="50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319"/>
        <w:gridCol w:w="1332"/>
        <w:gridCol w:w="867"/>
        <w:gridCol w:w="867"/>
        <w:gridCol w:w="973"/>
        <w:gridCol w:w="871"/>
        <w:gridCol w:w="1133"/>
        <w:gridCol w:w="1148"/>
      </w:tblGrid>
      <w:tr w14:paraId="43C7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restart"/>
            <w:vAlign w:val="center"/>
          </w:tcPr>
          <w:p w14:paraId="06C81A7C">
            <w:pPr>
              <w:pStyle w:val="109"/>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1373" w:type="pct"/>
            <w:gridSpan w:val="2"/>
            <w:vAlign w:val="center"/>
          </w:tcPr>
          <w:p w14:paraId="45ACB7FA">
            <w:pPr>
              <w:pStyle w:val="109"/>
              <w:rPr>
                <w:color w:val="000000" w:themeColor="text1"/>
                <w14:textFill>
                  <w14:solidFill>
                    <w14:schemeClr w14:val="tx1"/>
                  </w14:solidFill>
                </w14:textFill>
              </w:rPr>
            </w:pPr>
            <w:r>
              <w:rPr>
                <w:color w:val="000000" w:themeColor="text1"/>
                <w14:textFill>
                  <w14:solidFill>
                    <w14:schemeClr w14:val="tx1"/>
                  </w14:solidFill>
                </w14:textFill>
              </w:rPr>
              <w:t>坐标(°)</w:t>
            </w:r>
          </w:p>
        </w:tc>
        <w:tc>
          <w:tcPr>
            <w:tcW w:w="449" w:type="pct"/>
            <w:vMerge w:val="restart"/>
            <w:vAlign w:val="center"/>
          </w:tcPr>
          <w:p w14:paraId="0E1ABCC1">
            <w:pPr>
              <w:pStyle w:val="109"/>
              <w:rPr>
                <w:color w:val="000000" w:themeColor="text1"/>
                <w14:textFill>
                  <w14:solidFill>
                    <w14:schemeClr w14:val="tx1"/>
                  </w14:solidFill>
                </w14:textFill>
              </w:rPr>
            </w:pPr>
            <w:r>
              <w:rPr>
                <w:color w:val="000000" w:themeColor="text1"/>
                <w14:textFill>
                  <w14:solidFill>
                    <w14:schemeClr w14:val="tx1"/>
                  </w14:solidFill>
                </w14:textFill>
              </w:rPr>
              <w:t>海拔高度(m)</w:t>
            </w:r>
          </w:p>
        </w:tc>
        <w:tc>
          <w:tcPr>
            <w:tcW w:w="1404" w:type="pct"/>
            <w:gridSpan w:val="3"/>
            <w:vAlign w:val="center"/>
          </w:tcPr>
          <w:p w14:paraId="32C7DDCE">
            <w:pPr>
              <w:pStyle w:val="109"/>
              <w:rPr>
                <w:color w:val="000000" w:themeColor="text1"/>
                <w14:textFill>
                  <w14:solidFill>
                    <w14:schemeClr w14:val="tx1"/>
                  </w14:solidFill>
                </w14:textFill>
              </w:rPr>
            </w:pPr>
            <w:r>
              <w:rPr>
                <w:color w:val="000000" w:themeColor="text1"/>
                <w14:textFill>
                  <w14:solidFill>
                    <w14:schemeClr w14:val="tx1"/>
                  </w14:solidFill>
                </w14:textFill>
              </w:rPr>
              <w:t>矩形面源</w:t>
            </w:r>
          </w:p>
        </w:tc>
        <w:tc>
          <w:tcPr>
            <w:tcW w:w="1182" w:type="pct"/>
            <w:gridSpan w:val="2"/>
            <w:vAlign w:val="center"/>
          </w:tcPr>
          <w:p w14:paraId="119D2423">
            <w:pPr>
              <w:pStyle w:val="109"/>
              <w:rPr>
                <w:color w:val="000000" w:themeColor="text1"/>
                <w14:textFill>
                  <w14:solidFill>
                    <w14:schemeClr w14:val="tx1"/>
                  </w14:solidFill>
                </w14:textFill>
              </w:rPr>
            </w:pPr>
            <w:r>
              <w:rPr>
                <w:color w:val="000000" w:themeColor="text1"/>
                <w14:textFill>
                  <w14:solidFill>
                    <w14:schemeClr w14:val="tx1"/>
                  </w14:solidFill>
                </w14:textFill>
              </w:rPr>
              <w:t>污染物排放速率(kg/h)</w:t>
            </w:r>
          </w:p>
        </w:tc>
      </w:tr>
      <w:tr w14:paraId="6BA9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vAlign w:val="center"/>
          </w:tcPr>
          <w:p w14:paraId="66BE283D">
            <w:pPr>
              <w:pStyle w:val="109"/>
              <w:rPr>
                <w:color w:val="000000" w:themeColor="text1"/>
                <w14:textFill>
                  <w14:solidFill>
                    <w14:schemeClr w14:val="tx1"/>
                  </w14:solidFill>
                </w14:textFill>
              </w:rPr>
            </w:pPr>
          </w:p>
        </w:tc>
        <w:tc>
          <w:tcPr>
            <w:tcW w:w="683" w:type="pct"/>
            <w:vAlign w:val="center"/>
          </w:tcPr>
          <w:p w14:paraId="281A9A15">
            <w:pPr>
              <w:pStyle w:val="109"/>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689" w:type="pct"/>
            <w:vAlign w:val="center"/>
          </w:tcPr>
          <w:p w14:paraId="1F95DD04">
            <w:pPr>
              <w:pStyle w:val="109"/>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449" w:type="pct"/>
            <w:vMerge w:val="continue"/>
            <w:vAlign w:val="center"/>
          </w:tcPr>
          <w:p w14:paraId="534C9D92">
            <w:pPr>
              <w:pStyle w:val="109"/>
              <w:rPr>
                <w:color w:val="000000" w:themeColor="text1"/>
                <w14:textFill>
                  <w14:solidFill>
                    <w14:schemeClr w14:val="tx1"/>
                  </w14:solidFill>
                </w14:textFill>
              </w:rPr>
            </w:pPr>
          </w:p>
        </w:tc>
        <w:tc>
          <w:tcPr>
            <w:tcW w:w="449" w:type="pct"/>
            <w:vAlign w:val="center"/>
          </w:tcPr>
          <w:p w14:paraId="3D45CFF1">
            <w:pPr>
              <w:pStyle w:val="109"/>
              <w:rPr>
                <w:color w:val="000000" w:themeColor="text1"/>
                <w14:textFill>
                  <w14:solidFill>
                    <w14:schemeClr w14:val="tx1"/>
                  </w14:solidFill>
                </w14:textFill>
              </w:rPr>
            </w:pPr>
            <w:r>
              <w:rPr>
                <w:color w:val="000000" w:themeColor="text1"/>
                <w14:textFill>
                  <w14:solidFill>
                    <w14:schemeClr w14:val="tx1"/>
                  </w14:solidFill>
                </w14:textFill>
              </w:rPr>
              <w:t>长度(m)</w:t>
            </w:r>
          </w:p>
        </w:tc>
        <w:tc>
          <w:tcPr>
            <w:tcW w:w="504" w:type="pct"/>
            <w:vAlign w:val="center"/>
          </w:tcPr>
          <w:p w14:paraId="3A472B97">
            <w:pPr>
              <w:pStyle w:val="109"/>
              <w:rPr>
                <w:color w:val="000000" w:themeColor="text1"/>
                <w14:textFill>
                  <w14:solidFill>
                    <w14:schemeClr w14:val="tx1"/>
                  </w14:solidFill>
                </w14:textFill>
              </w:rPr>
            </w:pPr>
            <w:r>
              <w:rPr>
                <w:color w:val="000000" w:themeColor="text1"/>
                <w14:textFill>
                  <w14:solidFill>
                    <w14:schemeClr w14:val="tx1"/>
                  </w14:solidFill>
                </w14:textFill>
              </w:rPr>
              <w:t>宽度(m)</w:t>
            </w:r>
          </w:p>
        </w:tc>
        <w:tc>
          <w:tcPr>
            <w:tcW w:w="451" w:type="pct"/>
            <w:vAlign w:val="center"/>
          </w:tcPr>
          <w:p w14:paraId="57600DEE">
            <w:pPr>
              <w:pStyle w:val="109"/>
              <w:rPr>
                <w:color w:val="000000" w:themeColor="text1"/>
                <w14:textFill>
                  <w14:solidFill>
                    <w14:schemeClr w14:val="tx1"/>
                  </w14:solidFill>
                </w14:textFill>
              </w:rPr>
            </w:pPr>
            <w:r>
              <w:rPr>
                <w:color w:val="000000" w:themeColor="text1"/>
                <w14:textFill>
                  <w14:solidFill>
                    <w14:schemeClr w14:val="tx1"/>
                  </w14:solidFill>
                </w14:textFill>
              </w:rPr>
              <w:t>有效高度(m)</w:t>
            </w:r>
          </w:p>
        </w:tc>
        <w:tc>
          <w:tcPr>
            <w:tcW w:w="587" w:type="pct"/>
            <w:vAlign w:val="center"/>
          </w:tcPr>
          <w:p w14:paraId="1B0347A5">
            <w:pPr>
              <w:pStyle w:val="109"/>
              <w:rPr>
                <w:color w:val="000000" w:themeColor="text1"/>
                <w14:textFill>
                  <w14:solidFill>
                    <w14:schemeClr w14:val="tx1"/>
                  </w14:solidFill>
                </w14:textFill>
              </w:rPr>
            </w:pPr>
            <w:r>
              <w:rPr>
                <w:color w:val="000000" w:themeColor="text1"/>
                <w14:textFill>
                  <w14:solidFill>
                    <w14:schemeClr w14:val="tx1"/>
                  </w14:solidFill>
                </w14:textFill>
              </w:rPr>
              <w:t>VOC</w:t>
            </w:r>
            <w:r>
              <w:rPr>
                <w:rFonts w:hint="eastAsia"/>
                <w:color w:val="000000" w:themeColor="text1"/>
                <w14:textFill>
                  <w14:solidFill>
                    <w14:schemeClr w14:val="tx1"/>
                  </w14:solidFill>
                </w14:textFill>
              </w:rPr>
              <w:t>s</w:t>
            </w:r>
          </w:p>
        </w:tc>
        <w:tc>
          <w:tcPr>
            <w:tcW w:w="595" w:type="pct"/>
            <w:vAlign w:val="center"/>
          </w:tcPr>
          <w:p w14:paraId="4E6078A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w:t>
            </w:r>
          </w:p>
        </w:tc>
      </w:tr>
      <w:tr w14:paraId="63A3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Align w:val="center"/>
          </w:tcPr>
          <w:p w14:paraId="4EED7EA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废盐仓库</w:t>
            </w:r>
          </w:p>
        </w:tc>
        <w:tc>
          <w:tcPr>
            <w:tcW w:w="683" w:type="pct"/>
            <w:vAlign w:val="center"/>
          </w:tcPr>
          <w:p w14:paraId="08205271">
            <w:pPr>
              <w:pStyle w:val="109"/>
              <w:rPr>
                <w:color w:val="000000" w:themeColor="text1"/>
                <w14:textFill>
                  <w14:solidFill>
                    <w14:schemeClr w14:val="tx1"/>
                  </w14:solidFill>
                </w14:textFill>
              </w:rPr>
            </w:pPr>
            <w:r>
              <w:rPr>
                <w:color w:val="000000" w:themeColor="text1"/>
                <w14:textFill>
                  <w14:solidFill>
                    <w14:schemeClr w14:val="tx1"/>
                  </w14:solidFill>
                </w14:textFill>
              </w:rPr>
              <w:t>87.694567</w:t>
            </w:r>
          </w:p>
        </w:tc>
        <w:tc>
          <w:tcPr>
            <w:tcW w:w="689" w:type="pct"/>
            <w:vAlign w:val="center"/>
          </w:tcPr>
          <w:p w14:paraId="5B076C00">
            <w:pPr>
              <w:pStyle w:val="109"/>
              <w:rPr>
                <w:color w:val="000000" w:themeColor="text1"/>
                <w14:textFill>
                  <w14:solidFill>
                    <w14:schemeClr w14:val="tx1"/>
                  </w14:solidFill>
                </w14:textFill>
              </w:rPr>
            </w:pPr>
            <w:r>
              <w:rPr>
                <w:color w:val="000000" w:themeColor="text1"/>
                <w14:textFill>
                  <w14:solidFill>
                    <w14:schemeClr w14:val="tx1"/>
                  </w14:solidFill>
                </w14:textFill>
              </w:rPr>
              <w:t>44.139793</w:t>
            </w:r>
          </w:p>
        </w:tc>
        <w:tc>
          <w:tcPr>
            <w:tcW w:w="449" w:type="pct"/>
            <w:vAlign w:val="center"/>
          </w:tcPr>
          <w:p w14:paraId="46C7299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483</w:t>
            </w:r>
          </w:p>
        </w:tc>
        <w:tc>
          <w:tcPr>
            <w:tcW w:w="449" w:type="pct"/>
            <w:vAlign w:val="center"/>
          </w:tcPr>
          <w:p w14:paraId="619488A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504" w:type="pct"/>
            <w:vAlign w:val="center"/>
          </w:tcPr>
          <w:p w14:paraId="1A4AA0D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451" w:type="pct"/>
            <w:vAlign w:val="center"/>
          </w:tcPr>
          <w:p w14:paraId="3C08565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587" w:type="pct"/>
            <w:vAlign w:val="center"/>
          </w:tcPr>
          <w:p w14:paraId="26E4BDA4">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0.0031</w:t>
            </w:r>
          </w:p>
        </w:tc>
        <w:tc>
          <w:tcPr>
            <w:tcW w:w="595" w:type="pct"/>
          </w:tcPr>
          <w:p w14:paraId="4A37D0B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DFF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Align w:val="center"/>
          </w:tcPr>
          <w:p w14:paraId="75D4450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氨水罐区</w:t>
            </w:r>
          </w:p>
        </w:tc>
        <w:tc>
          <w:tcPr>
            <w:tcW w:w="683" w:type="pct"/>
            <w:vAlign w:val="center"/>
          </w:tcPr>
          <w:p w14:paraId="6B685ADB">
            <w:pPr>
              <w:pStyle w:val="109"/>
              <w:rPr>
                <w:color w:val="000000" w:themeColor="text1"/>
                <w14:textFill>
                  <w14:solidFill>
                    <w14:schemeClr w14:val="tx1"/>
                  </w14:solidFill>
                </w14:textFill>
              </w:rPr>
            </w:pPr>
            <w:r>
              <w:rPr>
                <w:color w:val="000000" w:themeColor="text1"/>
                <w14:textFill>
                  <w14:solidFill>
                    <w14:schemeClr w14:val="tx1"/>
                  </w14:solidFill>
                </w14:textFill>
              </w:rPr>
              <w:t>87.695339</w:t>
            </w:r>
          </w:p>
        </w:tc>
        <w:tc>
          <w:tcPr>
            <w:tcW w:w="689" w:type="pct"/>
            <w:vAlign w:val="center"/>
          </w:tcPr>
          <w:p w14:paraId="1D726A96">
            <w:pPr>
              <w:pStyle w:val="109"/>
              <w:rPr>
                <w:color w:val="000000" w:themeColor="text1"/>
                <w14:textFill>
                  <w14:solidFill>
                    <w14:schemeClr w14:val="tx1"/>
                  </w14:solidFill>
                </w14:textFill>
              </w:rPr>
            </w:pPr>
            <w:r>
              <w:rPr>
                <w:color w:val="000000" w:themeColor="text1"/>
                <w14:textFill>
                  <w14:solidFill>
                    <w14:schemeClr w14:val="tx1"/>
                  </w14:solidFill>
                </w14:textFill>
              </w:rPr>
              <w:t>44.140147</w:t>
            </w:r>
          </w:p>
        </w:tc>
        <w:tc>
          <w:tcPr>
            <w:tcW w:w="449" w:type="pct"/>
            <w:vAlign w:val="center"/>
          </w:tcPr>
          <w:p w14:paraId="496FCD0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483</w:t>
            </w:r>
          </w:p>
        </w:tc>
        <w:tc>
          <w:tcPr>
            <w:tcW w:w="449" w:type="pct"/>
            <w:vAlign w:val="center"/>
          </w:tcPr>
          <w:p w14:paraId="6119DC9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504" w:type="pct"/>
            <w:vAlign w:val="center"/>
          </w:tcPr>
          <w:p w14:paraId="38304C2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451" w:type="pct"/>
            <w:vAlign w:val="center"/>
          </w:tcPr>
          <w:p w14:paraId="2FE6FA1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87" w:type="pct"/>
            <w:vAlign w:val="center"/>
          </w:tcPr>
          <w:p w14:paraId="4B162B5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95" w:type="pct"/>
          </w:tcPr>
          <w:p w14:paraId="2C89654D">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0.0012</w:t>
            </w:r>
          </w:p>
        </w:tc>
      </w:tr>
    </w:tbl>
    <w:p w14:paraId="0B9D7019">
      <w:pPr>
        <w:pStyle w:val="4"/>
        <w:rPr>
          <w:color w:val="000000" w:themeColor="text1"/>
          <w14:textFill>
            <w14:solidFill>
              <w14:schemeClr w14:val="tx1"/>
            </w14:solidFill>
          </w14:textFill>
        </w:rPr>
      </w:pPr>
      <w:bookmarkStart w:id="418" w:name="_Hlk62310038"/>
      <w:r>
        <w:rPr>
          <w:color w:val="000000" w:themeColor="text1"/>
          <w14:textFill>
            <w14:solidFill>
              <w14:schemeClr w14:val="tx1"/>
            </w14:solidFill>
          </w14:textFill>
        </w:rPr>
        <w:t>评价等级及评价范围判断</w:t>
      </w:r>
    </w:p>
    <w:p w14:paraId="31E21C6A">
      <w:pPr>
        <w:ind w:firstLine="480"/>
        <w:rPr>
          <w:color w:val="000000" w:themeColor="text1"/>
          <w14:textFill>
            <w14:solidFill>
              <w14:schemeClr w14:val="tx1"/>
            </w14:solidFill>
          </w14:textFill>
        </w:rPr>
      </w:pPr>
      <w:r>
        <w:rPr>
          <w:color w:val="000000" w:themeColor="text1"/>
          <w14:textFill>
            <w14:solidFill>
              <w14:schemeClr w14:val="tx1"/>
            </w14:solidFill>
          </w14:textFill>
        </w:rPr>
        <w:t>根据导则要求，本项目使用估算模型AERSCREEN进行评价等级判定，估算模型参数取值情况见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4A68E43A">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估算模式参数取值情况一览表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5"/>
        <w:gridCol w:w="3129"/>
        <w:gridCol w:w="3934"/>
      </w:tblGrid>
      <w:tr w14:paraId="37B5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3508571E">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参数</w:t>
            </w:r>
          </w:p>
        </w:tc>
        <w:tc>
          <w:tcPr>
            <w:tcW w:w="2044" w:type="pct"/>
            <w:vAlign w:val="center"/>
          </w:tcPr>
          <w:p w14:paraId="1C02EFC5">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取值</w:t>
            </w:r>
          </w:p>
        </w:tc>
      </w:tr>
      <w:tr w14:paraId="2160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restart"/>
            <w:vAlign w:val="center"/>
          </w:tcPr>
          <w:p w14:paraId="38878910">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城市/农村选项</w:t>
            </w:r>
          </w:p>
        </w:tc>
        <w:tc>
          <w:tcPr>
            <w:tcW w:w="1625" w:type="pct"/>
            <w:vAlign w:val="center"/>
          </w:tcPr>
          <w:p w14:paraId="42A20B8C">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城市/农村</w:t>
            </w:r>
          </w:p>
        </w:tc>
        <w:tc>
          <w:tcPr>
            <w:tcW w:w="2044" w:type="pct"/>
            <w:vAlign w:val="center"/>
          </w:tcPr>
          <w:p w14:paraId="5DA1C071">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城市</w:t>
            </w:r>
          </w:p>
        </w:tc>
      </w:tr>
      <w:tr w14:paraId="0BA5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continue"/>
            <w:vAlign w:val="center"/>
          </w:tcPr>
          <w:p w14:paraId="100B9D85">
            <w:pPr>
              <w:spacing w:line="360" w:lineRule="exact"/>
              <w:ind w:firstLine="0" w:firstLineChars="0"/>
              <w:jc w:val="center"/>
              <w:rPr>
                <w:color w:val="000000" w:themeColor="text1"/>
                <w:sz w:val="21"/>
                <w:szCs w:val="21"/>
                <w14:textFill>
                  <w14:solidFill>
                    <w14:schemeClr w14:val="tx1"/>
                  </w14:solidFill>
                </w14:textFill>
              </w:rPr>
            </w:pPr>
          </w:p>
        </w:tc>
        <w:tc>
          <w:tcPr>
            <w:tcW w:w="1625" w:type="pct"/>
            <w:vAlign w:val="center"/>
          </w:tcPr>
          <w:p w14:paraId="28A6B1FD">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人口数(城市人口数)</w:t>
            </w:r>
          </w:p>
        </w:tc>
        <w:tc>
          <w:tcPr>
            <w:tcW w:w="2044" w:type="pct"/>
            <w:vAlign w:val="center"/>
          </w:tcPr>
          <w:p w14:paraId="1E06F301">
            <w:pPr>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万</w:t>
            </w:r>
          </w:p>
        </w:tc>
      </w:tr>
      <w:tr w14:paraId="2C68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5CCC3D07">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最高环境温度</w:t>
            </w:r>
          </w:p>
        </w:tc>
        <w:tc>
          <w:tcPr>
            <w:tcW w:w="2044" w:type="pct"/>
            <w:vAlign w:val="center"/>
          </w:tcPr>
          <w:p w14:paraId="224E2EDB">
            <w:pPr>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48</w:t>
            </w:r>
            <w:r>
              <w:rPr>
                <w:color w:val="000000" w:themeColor="text1"/>
                <w:sz w:val="21"/>
                <w:szCs w:val="21"/>
                <w14:textFill>
                  <w14:solidFill>
                    <w14:schemeClr w14:val="tx1"/>
                  </w14:solidFill>
                </w14:textFill>
              </w:rPr>
              <w:t>.0</w:t>
            </w:r>
          </w:p>
        </w:tc>
      </w:tr>
      <w:tr w14:paraId="3760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361DB4E6">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最低环境温度</w:t>
            </w:r>
          </w:p>
        </w:tc>
        <w:tc>
          <w:tcPr>
            <w:tcW w:w="2044" w:type="pct"/>
            <w:vAlign w:val="center"/>
          </w:tcPr>
          <w:p w14:paraId="2CB1ADAD">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33.4</w:t>
            </w:r>
          </w:p>
        </w:tc>
      </w:tr>
      <w:tr w14:paraId="49CE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114DEF71">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土地利用类型</w:t>
            </w:r>
          </w:p>
        </w:tc>
        <w:tc>
          <w:tcPr>
            <w:tcW w:w="2044" w:type="pct"/>
            <w:vAlign w:val="center"/>
          </w:tcPr>
          <w:p w14:paraId="75E769AF">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w:t>
            </w:r>
          </w:p>
        </w:tc>
      </w:tr>
      <w:tr w14:paraId="07AF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pct"/>
            <w:gridSpan w:val="2"/>
            <w:vAlign w:val="center"/>
          </w:tcPr>
          <w:p w14:paraId="0D982426">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区域湿度条件</w:t>
            </w:r>
          </w:p>
        </w:tc>
        <w:tc>
          <w:tcPr>
            <w:tcW w:w="2044" w:type="pct"/>
            <w:vAlign w:val="center"/>
          </w:tcPr>
          <w:p w14:paraId="20AF7F34">
            <w:pPr>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干燥</w:t>
            </w:r>
          </w:p>
        </w:tc>
      </w:tr>
      <w:tr w14:paraId="0B61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restart"/>
            <w:vAlign w:val="center"/>
          </w:tcPr>
          <w:p w14:paraId="78979BC4">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是否考虑地形</w:t>
            </w:r>
          </w:p>
        </w:tc>
        <w:tc>
          <w:tcPr>
            <w:tcW w:w="1625" w:type="pct"/>
            <w:vAlign w:val="center"/>
          </w:tcPr>
          <w:p w14:paraId="6B3F9A06">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考虑地形</w:t>
            </w:r>
          </w:p>
        </w:tc>
        <w:tc>
          <w:tcPr>
            <w:tcW w:w="2044" w:type="pct"/>
            <w:vAlign w:val="center"/>
          </w:tcPr>
          <w:p w14:paraId="0204C0B5">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w:t>
            </w:r>
          </w:p>
        </w:tc>
      </w:tr>
      <w:tr w14:paraId="1869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continue"/>
            <w:vAlign w:val="center"/>
          </w:tcPr>
          <w:p w14:paraId="3B98F63E">
            <w:pPr>
              <w:spacing w:line="360" w:lineRule="exact"/>
              <w:ind w:firstLine="0" w:firstLineChars="0"/>
              <w:jc w:val="center"/>
              <w:rPr>
                <w:color w:val="000000" w:themeColor="text1"/>
                <w:sz w:val="21"/>
                <w:szCs w:val="21"/>
                <w14:textFill>
                  <w14:solidFill>
                    <w14:schemeClr w14:val="tx1"/>
                  </w14:solidFill>
                </w14:textFill>
              </w:rPr>
            </w:pPr>
          </w:p>
        </w:tc>
        <w:tc>
          <w:tcPr>
            <w:tcW w:w="1625" w:type="pct"/>
            <w:vAlign w:val="center"/>
          </w:tcPr>
          <w:p w14:paraId="762B8652">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地形数据分辨率(m)</w:t>
            </w:r>
          </w:p>
        </w:tc>
        <w:tc>
          <w:tcPr>
            <w:tcW w:w="2044" w:type="pct"/>
            <w:vAlign w:val="center"/>
          </w:tcPr>
          <w:p w14:paraId="7ECCF896">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w:t>
            </w:r>
          </w:p>
        </w:tc>
      </w:tr>
      <w:tr w14:paraId="20FF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restart"/>
            <w:vAlign w:val="center"/>
          </w:tcPr>
          <w:p w14:paraId="2691F860">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是否考虑岸线熏烟</w:t>
            </w:r>
          </w:p>
        </w:tc>
        <w:tc>
          <w:tcPr>
            <w:tcW w:w="1625" w:type="pct"/>
            <w:vAlign w:val="center"/>
          </w:tcPr>
          <w:p w14:paraId="48F24EF2">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考虑岸线熏烟</w:t>
            </w:r>
          </w:p>
        </w:tc>
        <w:tc>
          <w:tcPr>
            <w:tcW w:w="2044" w:type="pct"/>
            <w:vAlign w:val="center"/>
          </w:tcPr>
          <w:p w14:paraId="12CB6C1D">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否</w:t>
            </w:r>
          </w:p>
        </w:tc>
      </w:tr>
      <w:tr w14:paraId="022C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continue"/>
            <w:vAlign w:val="center"/>
          </w:tcPr>
          <w:p w14:paraId="7DF8BB8F">
            <w:pPr>
              <w:spacing w:line="360" w:lineRule="exact"/>
              <w:ind w:firstLine="0" w:firstLineChars="0"/>
              <w:jc w:val="center"/>
              <w:rPr>
                <w:color w:val="000000" w:themeColor="text1"/>
                <w:sz w:val="21"/>
                <w:szCs w:val="21"/>
                <w14:textFill>
                  <w14:solidFill>
                    <w14:schemeClr w14:val="tx1"/>
                  </w14:solidFill>
                </w14:textFill>
              </w:rPr>
            </w:pPr>
          </w:p>
        </w:tc>
        <w:tc>
          <w:tcPr>
            <w:tcW w:w="1625" w:type="pct"/>
            <w:vAlign w:val="center"/>
          </w:tcPr>
          <w:p w14:paraId="4A4051B0">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岸线距离/m</w:t>
            </w:r>
          </w:p>
        </w:tc>
        <w:tc>
          <w:tcPr>
            <w:tcW w:w="2044" w:type="pct"/>
            <w:vAlign w:val="center"/>
          </w:tcPr>
          <w:p w14:paraId="208AA6C7">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35E6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pct"/>
            <w:vMerge w:val="continue"/>
            <w:vAlign w:val="center"/>
          </w:tcPr>
          <w:p w14:paraId="114B6A20">
            <w:pPr>
              <w:spacing w:line="360" w:lineRule="exact"/>
              <w:ind w:firstLine="0" w:firstLineChars="0"/>
              <w:jc w:val="center"/>
              <w:rPr>
                <w:color w:val="000000" w:themeColor="text1"/>
                <w:sz w:val="21"/>
                <w:szCs w:val="21"/>
                <w14:textFill>
                  <w14:solidFill>
                    <w14:schemeClr w14:val="tx1"/>
                  </w14:solidFill>
                </w14:textFill>
              </w:rPr>
            </w:pPr>
          </w:p>
        </w:tc>
        <w:tc>
          <w:tcPr>
            <w:tcW w:w="1625" w:type="pct"/>
            <w:vAlign w:val="center"/>
          </w:tcPr>
          <w:p w14:paraId="1532F57E">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岸线方向/°</w:t>
            </w:r>
          </w:p>
        </w:tc>
        <w:tc>
          <w:tcPr>
            <w:tcW w:w="2044" w:type="pct"/>
            <w:vAlign w:val="center"/>
          </w:tcPr>
          <w:p w14:paraId="5F009F2A">
            <w:pPr>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14:paraId="78B2FE1C">
      <w:pPr>
        <w:ind w:firstLine="480"/>
        <w:rPr>
          <w:color w:val="000000" w:themeColor="text1"/>
          <w14:textFill>
            <w14:solidFill>
              <w14:schemeClr w14:val="tx1"/>
            </w14:solidFill>
          </w14:textFill>
        </w:rPr>
      </w:pPr>
      <w:r>
        <w:rPr>
          <w:color w:val="000000" w:themeColor="text1"/>
          <w14:textFill>
            <w14:solidFill>
              <w14:schemeClr w14:val="tx1"/>
            </w14:solidFill>
          </w14:textFill>
        </w:rPr>
        <w:t>按照《环境影响评价技术导则大气环境》（HJ2.2-2018）规定，分别计算项目排放主要污染物的最大地面空气质量浓度占标率</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（第</w:t>
      </w:r>
      <w:r>
        <w:rPr>
          <w:i/>
          <w:color w:val="000000" w:themeColor="text1"/>
          <w14:textFill>
            <w14:solidFill>
              <w14:schemeClr w14:val="tx1"/>
            </w14:solidFill>
          </w14:textFill>
        </w:rPr>
        <w:t>i</w:t>
      </w:r>
      <w:r>
        <w:rPr>
          <w:color w:val="000000" w:themeColor="text1"/>
          <w14:textFill>
            <w14:solidFill>
              <w14:schemeClr w14:val="tx1"/>
            </w14:solidFill>
          </w14:textFill>
        </w:rPr>
        <w:t>个污染物，简称“最大浓度占标率”），及第i个污染物的地面空气质量浓度达到标准值的10%时所对应的最远距离</w:t>
      </w:r>
      <w:r>
        <w:rPr>
          <w:i/>
          <w:color w:val="000000" w:themeColor="text1"/>
          <w14:textFill>
            <w14:solidFill>
              <w14:schemeClr w14:val="tx1"/>
            </w14:solidFill>
          </w14:textFill>
        </w:rPr>
        <w:t>D</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。其中</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定义见公式（1）。</w:t>
      </w:r>
    </w:p>
    <w:p w14:paraId="05CB72FC">
      <w:pPr>
        <w:ind w:firstLine="480"/>
        <w:jc w:val="center"/>
        <w:rPr>
          <w:color w:val="000000" w:themeColor="text1"/>
          <w14:textFill>
            <w14:solidFill>
              <w14:schemeClr w14:val="tx1"/>
            </w14:solidFill>
          </w14:textFill>
        </w:rPr>
      </w:pP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i/>
          <w:color w:val="000000" w:themeColor="text1"/>
          <w14:textFill>
            <w14:solidFill>
              <w14:schemeClr w14:val="tx1"/>
            </w14:solidFill>
          </w14:textFill>
        </w:rPr>
        <w:t>=C</w:t>
      </w:r>
      <w:r>
        <w:rPr>
          <w:i/>
          <w:color w:val="000000" w:themeColor="text1"/>
          <w:vertAlign w:val="subscript"/>
          <w14:textFill>
            <w14:solidFill>
              <w14:schemeClr w14:val="tx1"/>
            </w14:solidFill>
          </w14:textFill>
        </w:rPr>
        <w:t>i</w:t>
      </w:r>
      <w:r>
        <w:rPr>
          <w:i/>
          <w:color w:val="000000" w:themeColor="text1"/>
          <w14:textFill>
            <w14:solidFill>
              <w14:schemeClr w14:val="tx1"/>
            </w14:solidFill>
          </w14:textFill>
        </w:rPr>
        <w:t>/C</w:t>
      </w:r>
      <w:r>
        <w:rPr>
          <w:i/>
          <w:color w:val="000000" w:themeColor="text1"/>
          <w:vertAlign w:val="subscript"/>
          <w14:textFill>
            <w14:solidFill>
              <w14:schemeClr w14:val="tx1"/>
            </w14:solidFill>
          </w14:textFill>
        </w:rPr>
        <w:t>oi</w:t>
      </w:r>
      <w:r>
        <w:rPr>
          <w:color w:val="000000" w:themeColor="text1"/>
          <w14:textFill>
            <w14:solidFill>
              <w14:schemeClr w14:val="tx1"/>
            </w14:solidFill>
          </w14:textFill>
        </w:rPr>
        <w:t>×100%   （1）</w:t>
      </w:r>
    </w:p>
    <w:p w14:paraId="6906D5EE">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——第i个污染物的最大地面空气质量浓度占标率，%；</w:t>
      </w:r>
    </w:p>
    <w:p w14:paraId="464A07FE">
      <w:pPr>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C</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——采用估算模式计算出的第i个污染物的最大1h地面空气质量浓度，μg/m³；</w:t>
      </w:r>
    </w:p>
    <w:p w14:paraId="212170C5">
      <w:pPr>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C</w:t>
      </w:r>
      <w:r>
        <w:rPr>
          <w:i/>
          <w:color w:val="000000" w:themeColor="text1"/>
          <w:vertAlign w:val="subscript"/>
          <w14:textFill>
            <w14:solidFill>
              <w14:schemeClr w14:val="tx1"/>
            </w14:solidFill>
          </w14:textFill>
        </w:rPr>
        <w:t>0i</w:t>
      </w:r>
      <w:r>
        <w:rPr>
          <w:color w:val="000000" w:themeColor="text1"/>
          <w14:textFill>
            <w14:solidFill>
              <w14:schemeClr w14:val="tx1"/>
            </w14:solidFill>
          </w14:textFill>
        </w:rPr>
        <w:t>——第</w:t>
      </w:r>
      <w:r>
        <w:rPr>
          <w:i/>
          <w:color w:val="000000" w:themeColor="text1"/>
          <w14:textFill>
            <w14:solidFill>
              <w14:schemeClr w14:val="tx1"/>
            </w14:solidFill>
          </w14:textFill>
        </w:rPr>
        <w:t>i</w:t>
      </w:r>
      <w:r>
        <w:rPr>
          <w:color w:val="000000" w:themeColor="text1"/>
          <w14:textFill>
            <w14:solidFill>
              <w14:schemeClr w14:val="tx1"/>
            </w14:solidFill>
          </w14:textFill>
        </w:rPr>
        <w:t>个污染物的环境空气质量标准，μg/m³。</w:t>
      </w:r>
    </w:p>
    <w:p w14:paraId="1AEFF2B6">
      <w:pPr>
        <w:ind w:firstLine="480"/>
        <w:rPr>
          <w:color w:val="000000" w:themeColor="text1"/>
          <w14:textFill>
            <w14:solidFill>
              <w14:schemeClr w14:val="tx1"/>
            </w14:solidFill>
          </w14:textFill>
        </w:rPr>
      </w:pPr>
      <w:r>
        <w:rPr>
          <w:color w:val="000000" w:themeColor="text1"/>
          <w14:textFill>
            <w14:solidFill>
              <w14:schemeClr w14:val="tx1"/>
            </w14:solidFill>
          </w14:textFill>
        </w:rPr>
        <w:t>评价工作等级的判定依据见下表。</w:t>
      </w:r>
    </w:p>
    <w:p w14:paraId="023EEBFD">
      <w:pPr>
        <w:pStyle w:val="197"/>
        <w:ind w:firstLine="480"/>
        <w:jc w:val="center"/>
        <w:rPr>
          <w:rFonts w:ascii="Times New Roman" w:hAnsi="Times New Roman" w:eastAsia="黑体"/>
          <w:color w:val="000000" w:themeColor="text1"/>
          <w:szCs w:val="24"/>
          <w14:textFill>
            <w14:solidFill>
              <w14:schemeClr w14:val="tx1"/>
            </w14:solidFill>
          </w14:textFill>
        </w:rPr>
      </w:pPr>
      <w:r>
        <w:rPr>
          <w:rFonts w:ascii="Times New Roman" w:hAnsi="Times New Roman" w:eastAsia="黑体"/>
          <w:color w:val="000000" w:themeColor="text1"/>
          <w:szCs w:val="24"/>
          <w14:textFill>
            <w14:solidFill>
              <w14:schemeClr w14:val="tx1"/>
            </w14:solidFill>
          </w14:textFill>
        </w:rPr>
        <w:t>表5.1-3 评价工作等级</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5"/>
        <w:gridCol w:w="6453"/>
      </w:tblGrid>
      <w:tr w14:paraId="2AE1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9" w:type="pct"/>
            <w:tcBorders>
              <w:top w:val="single" w:color="auto" w:sz="4" w:space="0"/>
              <w:left w:val="single" w:color="auto" w:sz="4" w:space="0"/>
              <w:bottom w:val="single" w:color="auto" w:sz="4" w:space="0"/>
              <w:right w:val="single" w:color="auto" w:sz="4" w:space="0"/>
            </w:tcBorders>
            <w:vAlign w:val="center"/>
          </w:tcPr>
          <w:p w14:paraId="42F00168">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3351" w:type="pct"/>
            <w:tcBorders>
              <w:top w:val="single" w:color="auto" w:sz="4" w:space="0"/>
              <w:left w:val="single" w:color="auto" w:sz="4" w:space="0"/>
              <w:bottom w:val="single" w:color="auto" w:sz="4" w:space="0"/>
              <w:right w:val="single" w:color="auto" w:sz="4" w:space="0"/>
            </w:tcBorders>
            <w:vAlign w:val="center"/>
          </w:tcPr>
          <w:p w14:paraId="0C72CAFA">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评价工作等级判据</w:t>
            </w:r>
          </w:p>
        </w:tc>
      </w:tr>
      <w:tr w14:paraId="2873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9" w:type="pct"/>
            <w:tcBorders>
              <w:top w:val="single" w:color="auto" w:sz="4" w:space="0"/>
              <w:left w:val="single" w:color="auto" w:sz="4" w:space="0"/>
              <w:bottom w:val="single" w:color="auto" w:sz="4" w:space="0"/>
              <w:right w:val="single" w:color="auto" w:sz="4" w:space="0"/>
            </w:tcBorders>
            <w:vAlign w:val="center"/>
          </w:tcPr>
          <w:p w14:paraId="2C0EF76B">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3351" w:type="pct"/>
            <w:tcBorders>
              <w:top w:val="single" w:color="auto" w:sz="4" w:space="0"/>
              <w:left w:val="single" w:color="auto" w:sz="4" w:space="0"/>
              <w:bottom w:val="single" w:color="auto" w:sz="4" w:space="0"/>
              <w:right w:val="single" w:color="auto" w:sz="4" w:space="0"/>
            </w:tcBorders>
            <w:vAlign w:val="center"/>
          </w:tcPr>
          <w:p w14:paraId="55368AAD">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Pmax≥10%</w:t>
            </w:r>
          </w:p>
        </w:tc>
      </w:tr>
      <w:tr w14:paraId="3989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9" w:type="pct"/>
            <w:tcBorders>
              <w:top w:val="single" w:color="auto" w:sz="4" w:space="0"/>
              <w:left w:val="single" w:color="auto" w:sz="4" w:space="0"/>
              <w:bottom w:val="single" w:color="auto" w:sz="4" w:space="0"/>
              <w:right w:val="single" w:color="auto" w:sz="4" w:space="0"/>
            </w:tcBorders>
            <w:vAlign w:val="center"/>
          </w:tcPr>
          <w:p w14:paraId="5F12AE8B">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3351" w:type="pct"/>
            <w:tcBorders>
              <w:top w:val="single" w:color="auto" w:sz="4" w:space="0"/>
              <w:left w:val="single" w:color="auto" w:sz="4" w:space="0"/>
              <w:bottom w:val="single" w:color="auto" w:sz="4" w:space="0"/>
              <w:right w:val="single" w:color="auto" w:sz="4" w:space="0"/>
            </w:tcBorders>
            <w:vAlign w:val="center"/>
          </w:tcPr>
          <w:p w14:paraId="6ABEECA6">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1%≤Pmax＜10%</w:t>
            </w:r>
          </w:p>
        </w:tc>
      </w:tr>
      <w:tr w14:paraId="3988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9" w:type="pct"/>
            <w:tcBorders>
              <w:top w:val="single" w:color="auto" w:sz="4" w:space="0"/>
              <w:left w:val="single" w:color="auto" w:sz="4" w:space="0"/>
              <w:bottom w:val="single" w:color="auto" w:sz="4" w:space="0"/>
              <w:right w:val="single" w:color="auto" w:sz="4" w:space="0"/>
            </w:tcBorders>
            <w:vAlign w:val="center"/>
          </w:tcPr>
          <w:p w14:paraId="6EFB3C42">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3351" w:type="pct"/>
            <w:tcBorders>
              <w:top w:val="single" w:color="auto" w:sz="4" w:space="0"/>
              <w:left w:val="single" w:color="auto" w:sz="4" w:space="0"/>
              <w:bottom w:val="single" w:color="auto" w:sz="4" w:space="0"/>
              <w:right w:val="single" w:color="auto" w:sz="4" w:space="0"/>
            </w:tcBorders>
            <w:vAlign w:val="center"/>
          </w:tcPr>
          <w:p w14:paraId="3743A7CA">
            <w:pPr>
              <w:pStyle w:val="109"/>
              <w:ind w:firstLine="400"/>
              <w:rPr>
                <w:color w:val="000000" w:themeColor="text1"/>
                <w14:textFill>
                  <w14:solidFill>
                    <w14:schemeClr w14:val="tx1"/>
                  </w14:solidFill>
                </w14:textFill>
              </w:rPr>
            </w:pPr>
            <w:r>
              <w:rPr>
                <w:color w:val="000000" w:themeColor="text1"/>
                <w14:textFill>
                  <w14:solidFill>
                    <w14:schemeClr w14:val="tx1"/>
                  </w14:solidFill>
                </w14:textFill>
              </w:rPr>
              <w:t>Pmax＜1%</w:t>
            </w:r>
          </w:p>
        </w:tc>
      </w:tr>
    </w:tbl>
    <w:p w14:paraId="4C92631B">
      <w:pPr>
        <w:pStyle w:val="1214"/>
        <w:rPr>
          <w:color w:val="000000" w:themeColor="text1"/>
          <w14:textFill>
            <w14:solidFill>
              <w14:schemeClr w14:val="tx1"/>
            </w14:solidFill>
          </w14:textFill>
        </w:rPr>
      </w:pPr>
      <w:bookmarkStart w:id="419" w:name="_Toc377130305"/>
      <w:r>
        <w:rPr>
          <w:color w:val="000000" w:themeColor="text1"/>
          <w14:textFill>
            <w14:solidFill>
              <w14:schemeClr w14:val="tx1"/>
            </w14:solidFill>
          </w14:textFill>
        </w:rPr>
        <w:t>对电力、钢铁、水泥、石化、化工、平板玻璃、有色等高耗能行业的多源项目或以使用高污染燃料为主的多源项目，并且编制环境影响报告书的项目评价等级提高一级。本项目不属于前述项目，无需提级。</w:t>
      </w:r>
    </w:p>
    <w:p w14:paraId="26F0EFAE">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预测因子与</w:t>
      </w:r>
      <w:bookmarkEnd w:id="419"/>
      <w:r>
        <w:rPr>
          <w:color w:val="000000" w:themeColor="text1"/>
          <w14:textFill>
            <w14:solidFill>
              <w14:schemeClr w14:val="tx1"/>
            </w14:solidFill>
          </w14:textFill>
        </w:rPr>
        <w:t>评价标准筛选</w:t>
      </w:r>
    </w:p>
    <w:p w14:paraId="0427BD22">
      <w:pPr>
        <w:ind w:firstLine="480"/>
        <w:rPr>
          <w:color w:val="000000" w:themeColor="text1"/>
          <w14:textFill>
            <w14:solidFill>
              <w14:schemeClr w14:val="tx1"/>
            </w14:solidFill>
          </w14:textFill>
        </w:rPr>
      </w:pPr>
      <w:r>
        <w:rPr>
          <w:color w:val="000000" w:themeColor="text1"/>
          <w14:textFill>
            <w14:solidFill>
              <w14:schemeClr w14:val="tx1"/>
            </w14:solidFill>
          </w14:textFill>
        </w:rPr>
        <w:t>评价因子和评价标准件表5.1-4。</w:t>
      </w:r>
    </w:p>
    <w:p w14:paraId="038F6971">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评价因子和评价标准表</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02"/>
        <w:gridCol w:w="1080"/>
        <w:gridCol w:w="1808"/>
        <w:gridCol w:w="1579"/>
        <w:gridCol w:w="7"/>
        <w:gridCol w:w="3363"/>
        <w:gridCol w:w="7"/>
      </w:tblGrid>
      <w:tr w14:paraId="695E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02" w:type="dxa"/>
            <w:vMerge w:val="restart"/>
            <w:vAlign w:val="center"/>
          </w:tcPr>
          <w:p w14:paraId="4D2607E9">
            <w:pPr>
              <w:pStyle w:val="109"/>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4474" w:type="dxa"/>
            <w:gridSpan w:val="4"/>
            <w:vAlign w:val="center"/>
          </w:tcPr>
          <w:p w14:paraId="470A4BBD">
            <w:pPr>
              <w:pStyle w:val="109"/>
              <w:rPr>
                <w:color w:val="000000" w:themeColor="text1"/>
                <w14:textFill>
                  <w14:solidFill>
                    <w14:schemeClr w14:val="tx1"/>
                  </w14:solidFill>
                </w14:textFill>
              </w:rPr>
            </w:pPr>
            <w:r>
              <w:rPr>
                <w:color w:val="000000" w:themeColor="text1"/>
                <w14:textFill>
                  <w14:solidFill>
                    <w14:schemeClr w14:val="tx1"/>
                  </w14:solidFill>
                </w14:textFill>
              </w:rPr>
              <w:t>浓度限值（</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3370" w:type="dxa"/>
            <w:gridSpan w:val="2"/>
            <w:vAlign w:val="center"/>
          </w:tcPr>
          <w:p w14:paraId="7108602F">
            <w:pPr>
              <w:pStyle w:val="109"/>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14:paraId="018D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Merge w:val="continue"/>
            <w:vAlign w:val="center"/>
          </w:tcPr>
          <w:p w14:paraId="75C5FEF5">
            <w:pPr>
              <w:pStyle w:val="109"/>
              <w:rPr>
                <w:color w:val="000000" w:themeColor="text1"/>
                <w14:textFill>
                  <w14:solidFill>
                    <w14:schemeClr w14:val="tx1"/>
                  </w14:solidFill>
                </w14:textFill>
              </w:rPr>
            </w:pPr>
          </w:p>
        </w:tc>
        <w:tc>
          <w:tcPr>
            <w:tcW w:w="1080" w:type="dxa"/>
            <w:vAlign w:val="center"/>
          </w:tcPr>
          <w:p w14:paraId="47D2E65A">
            <w:pPr>
              <w:pStyle w:val="109"/>
              <w:rPr>
                <w:color w:val="000000" w:themeColor="text1"/>
                <w14:textFill>
                  <w14:solidFill>
                    <w14:schemeClr w14:val="tx1"/>
                  </w14:solidFill>
                </w14:textFill>
              </w:rPr>
            </w:pPr>
            <w:r>
              <w:rPr>
                <w:color w:val="000000" w:themeColor="text1"/>
                <w14:textFill>
                  <w14:solidFill>
                    <w14:schemeClr w14:val="tx1"/>
                  </w14:solidFill>
                </w14:textFill>
              </w:rPr>
              <w:t>小时</w:t>
            </w:r>
          </w:p>
        </w:tc>
        <w:tc>
          <w:tcPr>
            <w:tcW w:w="1808" w:type="dxa"/>
            <w:vAlign w:val="center"/>
          </w:tcPr>
          <w:p w14:paraId="00DBF386">
            <w:pPr>
              <w:pStyle w:val="109"/>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1579" w:type="dxa"/>
            <w:vAlign w:val="center"/>
          </w:tcPr>
          <w:p w14:paraId="111A1394">
            <w:pPr>
              <w:pStyle w:val="109"/>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3370" w:type="dxa"/>
            <w:gridSpan w:val="2"/>
            <w:vAlign w:val="center"/>
          </w:tcPr>
          <w:p w14:paraId="306DDB93">
            <w:pPr>
              <w:pStyle w:val="109"/>
              <w:rPr>
                <w:color w:val="000000" w:themeColor="text1"/>
                <w14:textFill>
                  <w14:solidFill>
                    <w14:schemeClr w14:val="tx1"/>
                  </w14:solidFill>
                </w14:textFill>
              </w:rPr>
            </w:pPr>
          </w:p>
        </w:tc>
      </w:tr>
      <w:tr w14:paraId="4A49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29CE7F7F">
            <w:pPr>
              <w:pStyle w:val="109"/>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080" w:type="dxa"/>
            <w:vAlign w:val="center"/>
          </w:tcPr>
          <w:p w14:paraId="71FDE757">
            <w:pPr>
              <w:pStyle w:val="109"/>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808" w:type="dxa"/>
            <w:vAlign w:val="center"/>
          </w:tcPr>
          <w:p w14:paraId="34A0EB25">
            <w:pPr>
              <w:pStyle w:val="109"/>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579" w:type="dxa"/>
            <w:vAlign w:val="center"/>
          </w:tcPr>
          <w:p w14:paraId="1C69ABB5">
            <w:pPr>
              <w:pStyle w:val="109"/>
              <w:rPr>
                <w:color w:val="000000" w:themeColor="text1"/>
                <w14:textFill>
                  <w14:solidFill>
                    <w14:schemeClr w14:val="tx1"/>
                  </w14:solidFill>
                </w14:textFill>
              </w:rPr>
            </w:pPr>
            <w:r>
              <w:rPr>
                <w:color w:val="000000" w:themeColor="text1"/>
                <w14:textFill>
                  <w14:solidFill>
                    <w14:schemeClr w14:val="tx1"/>
                  </w14:solidFill>
                </w14:textFill>
              </w:rPr>
              <w:t>60</w:t>
            </w:r>
          </w:p>
        </w:tc>
        <w:tc>
          <w:tcPr>
            <w:tcW w:w="3370" w:type="dxa"/>
            <w:gridSpan w:val="2"/>
            <w:vMerge w:val="restart"/>
            <w:vAlign w:val="center"/>
          </w:tcPr>
          <w:p w14:paraId="1CECFA40">
            <w:pPr>
              <w:pStyle w:val="109"/>
              <w:rPr>
                <w:color w:val="000000" w:themeColor="text1"/>
                <w14:textFill>
                  <w14:solidFill>
                    <w14:schemeClr w14:val="tx1"/>
                  </w14:solidFill>
                </w14:textFill>
              </w:rPr>
            </w:pPr>
            <w:r>
              <w:rPr>
                <w:color w:val="000000" w:themeColor="text1"/>
                <w14:textFill>
                  <w14:solidFill>
                    <w14:schemeClr w14:val="tx1"/>
                  </w14:solidFill>
                </w14:textFill>
              </w:rPr>
              <w:t>《环境空气质量标准》 （GB3095-2026）过渡阶段</w:t>
            </w:r>
          </w:p>
        </w:tc>
      </w:tr>
      <w:tr w14:paraId="4B79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73278E7F">
            <w:pPr>
              <w:pStyle w:val="109"/>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1080" w:type="dxa"/>
            <w:vAlign w:val="center"/>
          </w:tcPr>
          <w:p w14:paraId="4F929473">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808" w:type="dxa"/>
            <w:vAlign w:val="center"/>
          </w:tcPr>
          <w:p w14:paraId="4555D26C">
            <w:pPr>
              <w:pStyle w:val="109"/>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579" w:type="dxa"/>
            <w:vAlign w:val="center"/>
          </w:tcPr>
          <w:p w14:paraId="0876607D">
            <w:pPr>
              <w:pStyle w:val="109"/>
              <w:rPr>
                <w:color w:val="000000" w:themeColor="text1"/>
                <w14:textFill>
                  <w14:solidFill>
                    <w14:schemeClr w14:val="tx1"/>
                  </w14:solidFill>
                </w14:textFill>
              </w:rPr>
            </w:pPr>
            <w:r>
              <w:rPr>
                <w:color w:val="000000" w:themeColor="text1"/>
                <w14:textFill>
                  <w14:solidFill>
                    <w14:schemeClr w14:val="tx1"/>
                  </w14:solidFill>
                </w14:textFill>
              </w:rPr>
              <w:t>40</w:t>
            </w:r>
          </w:p>
        </w:tc>
        <w:tc>
          <w:tcPr>
            <w:tcW w:w="3370" w:type="dxa"/>
            <w:gridSpan w:val="2"/>
            <w:vMerge w:val="continue"/>
            <w:vAlign w:val="center"/>
          </w:tcPr>
          <w:p w14:paraId="40605A6D">
            <w:pPr>
              <w:pStyle w:val="109"/>
              <w:rPr>
                <w:color w:val="000000" w:themeColor="text1"/>
                <w14:textFill>
                  <w14:solidFill>
                    <w14:schemeClr w14:val="tx1"/>
                  </w14:solidFill>
                </w14:textFill>
              </w:rPr>
            </w:pPr>
          </w:p>
        </w:tc>
      </w:tr>
      <w:tr w14:paraId="3C63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1C68C745">
            <w:pPr>
              <w:pStyle w:val="109"/>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080" w:type="dxa"/>
            <w:vAlign w:val="center"/>
          </w:tcPr>
          <w:p w14:paraId="7AB15D4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015399D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1579" w:type="dxa"/>
            <w:vAlign w:val="center"/>
          </w:tcPr>
          <w:p w14:paraId="7F41F0D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370" w:type="dxa"/>
            <w:gridSpan w:val="2"/>
            <w:vMerge w:val="continue"/>
            <w:vAlign w:val="center"/>
          </w:tcPr>
          <w:p w14:paraId="1FC0A413">
            <w:pPr>
              <w:pStyle w:val="109"/>
              <w:rPr>
                <w:color w:val="000000" w:themeColor="text1"/>
                <w14:textFill>
                  <w14:solidFill>
                    <w14:schemeClr w14:val="tx1"/>
                  </w14:solidFill>
                </w14:textFill>
              </w:rPr>
            </w:pPr>
          </w:p>
        </w:tc>
      </w:tr>
      <w:tr w14:paraId="139B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44002257">
            <w:pPr>
              <w:pStyle w:val="109"/>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080" w:type="dxa"/>
            <w:vAlign w:val="center"/>
          </w:tcPr>
          <w:p w14:paraId="54322D4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23FF2C0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1579" w:type="dxa"/>
            <w:vAlign w:val="center"/>
          </w:tcPr>
          <w:p w14:paraId="0F489D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3370" w:type="dxa"/>
            <w:gridSpan w:val="2"/>
            <w:vMerge w:val="continue"/>
            <w:vAlign w:val="center"/>
          </w:tcPr>
          <w:p w14:paraId="6FBBD307">
            <w:pPr>
              <w:pStyle w:val="109"/>
              <w:rPr>
                <w:color w:val="000000" w:themeColor="text1"/>
                <w14:textFill>
                  <w14:solidFill>
                    <w14:schemeClr w14:val="tx1"/>
                  </w14:solidFill>
                </w14:textFill>
              </w:rPr>
            </w:pPr>
          </w:p>
        </w:tc>
      </w:tr>
      <w:tr w14:paraId="4454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54321BD4">
            <w:pPr>
              <w:pStyle w:val="109"/>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080" w:type="dxa"/>
            <w:vAlign w:val="center"/>
          </w:tcPr>
          <w:p w14:paraId="216266E3">
            <w:pPr>
              <w:pStyle w:val="109"/>
              <w:rPr>
                <w:color w:val="000000" w:themeColor="text1"/>
                <w14:textFill>
                  <w14:solidFill>
                    <w14:schemeClr w14:val="tx1"/>
                  </w14:solidFill>
                </w14:textFill>
              </w:rPr>
            </w:pPr>
            <w:r>
              <w:rPr>
                <w:color w:val="000000" w:themeColor="text1"/>
                <w14:textFill>
                  <w14:solidFill>
                    <w14:schemeClr w14:val="tx1"/>
                  </w14:solidFill>
                </w14:textFill>
              </w:rPr>
              <w:t>10000</w:t>
            </w:r>
          </w:p>
        </w:tc>
        <w:tc>
          <w:tcPr>
            <w:tcW w:w="1808" w:type="dxa"/>
            <w:vAlign w:val="center"/>
          </w:tcPr>
          <w:p w14:paraId="5711E842">
            <w:pPr>
              <w:pStyle w:val="109"/>
              <w:rPr>
                <w:color w:val="000000" w:themeColor="text1"/>
                <w14:textFill>
                  <w14:solidFill>
                    <w14:schemeClr w14:val="tx1"/>
                  </w14:solidFill>
                </w14:textFill>
              </w:rPr>
            </w:pPr>
            <w:r>
              <w:rPr>
                <w:color w:val="000000" w:themeColor="text1"/>
                <w14:textFill>
                  <w14:solidFill>
                    <w14:schemeClr w14:val="tx1"/>
                  </w14:solidFill>
                </w14:textFill>
              </w:rPr>
              <w:t>4000</w:t>
            </w:r>
          </w:p>
        </w:tc>
        <w:tc>
          <w:tcPr>
            <w:tcW w:w="1579" w:type="dxa"/>
            <w:vAlign w:val="center"/>
          </w:tcPr>
          <w:p w14:paraId="650804F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7FB45604">
            <w:pPr>
              <w:pStyle w:val="109"/>
              <w:rPr>
                <w:color w:val="000000" w:themeColor="text1"/>
                <w14:textFill>
                  <w14:solidFill>
                    <w14:schemeClr w14:val="tx1"/>
                  </w14:solidFill>
                </w14:textFill>
              </w:rPr>
            </w:pPr>
          </w:p>
        </w:tc>
      </w:tr>
      <w:tr w14:paraId="1676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06DC2E9B">
            <w:pPr>
              <w:pStyle w:val="10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1080" w:type="dxa"/>
            <w:vAlign w:val="center"/>
          </w:tcPr>
          <w:p w14:paraId="47F4A402">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808" w:type="dxa"/>
            <w:vAlign w:val="center"/>
          </w:tcPr>
          <w:p w14:paraId="0F44C74F">
            <w:pPr>
              <w:pStyle w:val="109"/>
              <w:rPr>
                <w:color w:val="000000" w:themeColor="text1"/>
                <w14:textFill>
                  <w14:solidFill>
                    <w14:schemeClr w14:val="tx1"/>
                  </w14:solidFill>
                </w14:textFill>
              </w:rPr>
            </w:pPr>
            <w:r>
              <w:rPr>
                <w:color w:val="000000" w:themeColor="text1"/>
                <w14:textFill>
                  <w14:solidFill>
                    <w14:schemeClr w14:val="tx1"/>
                  </w14:solidFill>
                </w14:textFill>
              </w:rPr>
              <w:t>160（8小时平均）</w:t>
            </w:r>
          </w:p>
        </w:tc>
        <w:tc>
          <w:tcPr>
            <w:tcW w:w="1579" w:type="dxa"/>
            <w:vAlign w:val="center"/>
          </w:tcPr>
          <w:p w14:paraId="5C9EC85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52796722">
            <w:pPr>
              <w:pStyle w:val="109"/>
              <w:rPr>
                <w:color w:val="000000" w:themeColor="text1"/>
                <w14:textFill>
                  <w14:solidFill>
                    <w14:schemeClr w14:val="tx1"/>
                  </w14:solidFill>
                </w14:textFill>
              </w:rPr>
            </w:pPr>
          </w:p>
        </w:tc>
      </w:tr>
      <w:tr w14:paraId="7B64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57EFFACE">
            <w:pPr>
              <w:pStyle w:val="109"/>
              <w:rPr>
                <w:color w:val="000000" w:themeColor="text1"/>
                <w14:textFill>
                  <w14:solidFill>
                    <w14:schemeClr w14:val="tx1"/>
                  </w14:solidFill>
                </w14:textFill>
              </w:rPr>
            </w:pPr>
            <w:r>
              <w:rPr>
                <w:color w:val="000000" w:themeColor="text1"/>
                <w14:textFill>
                  <w14:solidFill>
                    <w14:schemeClr w14:val="tx1"/>
                  </w14:solidFill>
                </w14:textFill>
              </w:rPr>
              <w:t>TSP</w:t>
            </w:r>
          </w:p>
        </w:tc>
        <w:tc>
          <w:tcPr>
            <w:tcW w:w="1080" w:type="dxa"/>
            <w:vAlign w:val="center"/>
          </w:tcPr>
          <w:p w14:paraId="2C75975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363BAAAA">
            <w:pPr>
              <w:pStyle w:val="109"/>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579" w:type="dxa"/>
            <w:vAlign w:val="center"/>
          </w:tcPr>
          <w:p w14:paraId="2A0F0F3B">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3370" w:type="dxa"/>
            <w:gridSpan w:val="2"/>
            <w:vMerge w:val="continue"/>
            <w:vAlign w:val="center"/>
          </w:tcPr>
          <w:p w14:paraId="1EC80B40">
            <w:pPr>
              <w:pStyle w:val="109"/>
              <w:rPr>
                <w:color w:val="000000" w:themeColor="text1"/>
                <w14:textFill>
                  <w14:solidFill>
                    <w14:schemeClr w14:val="tx1"/>
                  </w14:solidFill>
                </w14:textFill>
              </w:rPr>
            </w:pPr>
          </w:p>
        </w:tc>
      </w:tr>
      <w:tr w14:paraId="14B9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521C8E5A">
            <w:pPr>
              <w:pStyle w:val="109"/>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1080" w:type="dxa"/>
            <w:vAlign w:val="center"/>
          </w:tcPr>
          <w:p w14:paraId="2C8DFD52">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808" w:type="dxa"/>
            <w:vAlign w:val="center"/>
          </w:tcPr>
          <w:p w14:paraId="5E3BF879">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579" w:type="dxa"/>
            <w:vAlign w:val="center"/>
          </w:tcPr>
          <w:p w14:paraId="3DB810F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596F0FB2">
            <w:pPr>
              <w:pStyle w:val="109"/>
              <w:rPr>
                <w:color w:val="000000" w:themeColor="text1"/>
                <w14:textFill>
                  <w14:solidFill>
                    <w14:schemeClr w14:val="tx1"/>
                  </w14:solidFill>
                </w14:textFill>
              </w:rPr>
            </w:pPr>
          </w:p>
        </w:tc>
      </w:tr>
      <w:tr w14:paraId="07A5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3E0D16E1">
            <w:pPr>
              <w:pStyle w:val="109"/>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1080" w:type="dxa"/>
            <w:vAlign w:val="center"/>
          </w:tcPr>
          <w:p w14:paraId="1733943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30CA2A6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56CA314C">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3370" w:type="dxa"/>
            <w:gridSpan w:val="2"/>
            <w:vMerge w:val="continue"/>
            <w:vAlign w:val="center"/>
          </w:tcPr>
          <w:p w14:paraId="25D21610">
            <w:pPr>
              <w:pStyle w:val="109"/>
              <w:rPr>
                <w:color w:val="000000" w:themeColor="text1"/>
                <w14:textFill>
                  <w14:solidFill>
                    <w14:schemeClr w14:val="tx1"/>
                  </w14:solidFill>
                </w14:textFill>
              </w:rPr>
            </w:pPr>
          </w:p>
        </w:tc>
      </w:tr>
      <w:tr w14:paraId="5C62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68E4C538">
            <w:pPr>
              <w:pStyle w:val="109"/>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1080" w:type="dxa"/>
            <w:vAlign w:val="center"/>
          </w:tcPr>
          <w:p w14:paraId="2B6ED74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564581C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439097F8">
            <w:pPr>
              <w:pStyle w:val="109"/>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3370" w:type="dxa"/>
            <w:gridSpan w:val="2"/>
            <w:vMerge w:val="continue"/>
            <w:vAlign w:val="center"/>
          </w:tcPr>
          <w:p w14:paraId="1D22D56B">
            <w:pPr>
              <w:pStyle w:val="109"/>
              <w:rPr>
                <w:color w:val="000000" w:themeColor="text1"/>
                <w14:textFill>
                  <w14:solidFill>
                    <w14:schemeClr w14:val="tx1"/>
                  </w14:solidFill>
                </w14:textFill>
              </w:rPr>
            </w:pPr>
          </w:p>
        </w:tc>
      </w:tr>
      <w:tr w14:paraId="0251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3F2E816A">
            <w:pPr>
              <w:pStyle w:val="109"/>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1080" w:type="dxa"/>
            <w:vAlign w:val="center"/>
          </w:tcPr>
          <w:p w14:paraId="7627848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6513A0F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3D12AB26">
            <w:pPr>
              <w:pStyle w:val="109"/>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3370" w:type="dxa"/>
            <w:gridSpan w:val="2"/>
            <w:vMerge w:val="continue"/>
            <w:vAlign w:val="center"/>
          </w:tcPr>
          <w:p w14:paraId="103CA9F9">
            <w:pPr>
              <w:pStyle w:val="109"/>
              <w:rPr>
                <w:color w:val="000000" w:themeColor="text1"/>
                <w14:textFill>
                  <w14:solidFill>
                    <w14:schemeClr w14:val="tx1"/>
                  </w14:solidFill>
                </w14:textFill>
              </w:rPr>
            </w:pPr>
          </w:p>
        </w:tc>
      </w:tr>
      <w:tr w14:paraId="7E46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0913A06A">
            <w:pPr>
              <w:pStyle w:val="109"/>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1080" w:type="dxa"/>
            <w:vAlign w:val="center"/>
          </w:tcPr>
          <w:p w14:paraId="50FDA70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2DFC871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4BD6DDE3">
            <w:pPr>
              <w:pStyle w:val="109"/>
              <w:rPr>
                <w:color w:val="000000" w:themeColor="text1"/>
                <w14:textFill>
                  <w14:solidFill>
                    <w14:schemeClr w14:val="tx1"/>
                  </w14:solidFill>
                </w14:textFill>
              </w:rPr>
            </w:pPr>
            <w:r>
              <w:rPr>
                <w:color w:val="000000" w:themeColor="text1"/>
                <w14:textFill>
                  <w14:solidFill>
                    <w14:schemeClr w14:val="tx1"/>
                  </w14:solidFill>
                </w14:textFill>
              </w:rPr>
              <w:t>0.006</w:t>
            </w:r>
          </w:p>
        </w:tc>
        <w:tc>
          <w:tcPr>
            <w:tcW w:w="3370" w:type="dxa"/>
            <w:gridSpan w:val="2"/>
            <w:vMerge w:val="continue"/>
            <w:vAlign w:val="center"/>
          </w:tcPr>
          <w:p w14:paraId="0D0B1C38">
            <w:pPr>
              <w:pStyle w:val="109"/>
              <w:rPr>
                <w:color w:val="000000" w:themeColor="text1"/>
                <w14:textFill>
                  <w14:solidFill>
                    <w14:schemeClr w14:val="tx1"/>
                  </w14:solidFill>
                </w14:textFill>
              </w:rPr>
            </w:pPr>
          </w:p>
        </w:tc>
      </w:tr>
      <w:tr w14:paraId="238C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6817C74C">
            <w:pPr>
              <w:pStyle w:val="109"/>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1080" w:type="dxa"/>
            <w:vAlign w:val="center"/>
          </w:tcPr>
          <w:p w14:paraId="7345923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4F0624A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39B85BF4">
            <w:pPr>
              <w:pStyle w:val="109"/>
              <w:rPr>
                <w:color w:val="000000" w:themeColor="text1"/>
                <w14:textFill>
                  <w14:solidFill>
                    <w14:schemeClr w14:val="tx1"/>
                  </w14:solidFill>
                </w14:textFill>
              </w:rPr>
            </w:pPr>
            <w:r>
              <w:rPr>
                <w:color w:val="000000" w:themeColor="text1"/>
                <w14:textFill>
                  <w14:solidFill>
                    <w14:schemeClr w14:val="tx1"/>
                  </w14:solidFill>
                </w14:textFill>
              </w:rPr>
              <w:t>0.000025</w:t>
            </w:r>
          </w:p>
        </w:tc>
        <w:tc>
          <w:tcPr>
            <w:tcW w:w="3370" w:type="dxa"/>
            <w:gridSpan w:val="2"/>
            <w:vMerge w:val="continue"/>
            <w:vAlign w:val="center"/>
          </w:tcPr>
          <w:p w14:paraId="70AC7834">
            <w:pPr>
              <w:pStyle w:val="109"/>
              <w:rPr>
                <w:color w:val="000000" w:themeColor="text1"/>
                <w14:textFill>
                  <w14:solidFill>
                    <w14:schemeClr w14:val="tx1"/>
                  </w14:solidFill>
                </w14:textFill>
              </w:rPr>
            </w:pPr>
          </w:p>
        </w:tc>
      </w:tr>
      <w:tr w14:paraId="7CB8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5A07B561">
            <w:pPr>
              <w:pStyle w:val="109"/>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1080" w:type="dxa"/>
            <w:vAlign w:val="center"/>
          </w:tcPr>
          <w:p w14:paraId="74C63F6C">
            <w:pPr>
              <w:pStyle w:val="109"/>
              <w:rPr>
                <w:color w:val="000000" w:themeColor="text1"/>
                <w14:textFill>
                  <w14:solidFill>
                    <w14:schemeClr w14:val="tx1"/>
                  </w14:solidFill>
                </w14:textFill>
              </w:rPr>
            </w:pPr>
            <w:r>
              <w:rPr>
                <w:color w:val="000000" w:themeColor="text1"/>
                <w14:textFill>
                  <w14:solidFill>
                    <w14:schemeClr w14:val="tx1"/>
                  </w14:solidFill>
                </w14:textFill>
              </w:rPr>
              <w:t>50</w:t>
            </w:r>
          </w:p>
        </w:tc>
        <w:tc>
          <w:tcPr>
            <w:tcW w:w="1808" w:type="dxa"/>
            <w:vAlign w:val="center"/>
          </w:tcPr>
          <w:p w14:paraId="747C15BB">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579" w:type="dxa"/>
            <w:vAlign w:val="center"/>
          </w:tcPr>
          <w:p w14:paraId="575A9EB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restart"/>
            <w:vAlign w:val="center"/>
          </w:tcPr>
          <w:p w14:paraId="4A88C9F2">
            <w:pPr>
              <w:pStyle w:val="109"/>
              <w:rPr>
                <w:color w:val="000000" w:themeColor="text1"/>
                <w14:textFill>
                  <w14:solidFill>
                    <w14:schemeClr w14:val="tx1"/>
                  </w14:solidFill>
                </w14:textFill>
              </w:rPr>
            </w:pPr>
            <w:r>
              <w:rPr>
                <w:color w:val="000000" w:themeColor="text1"/>
                <w14:textFill>
                  <w14:solidFill>
                    <w14:schemeClr w14:val="tx1"/>
                  </w14:solidFill>
                </w14:textFill>
              </w:rPr>
              <w:t>《环境影响评价技术导则 大气环 境》（HJ2.2-2018）附录 D</w:t>
            </w:r>
          </w:p>
        </w:tc>
      </w:tr>
      <w:tr w14:paraId="5C4A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40422A77">
            <w:pPr>
              <w:pStyle w:val="109"/>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080" w:type="dxa"/>
            <w:vAlign w:val="center"/>
          </w:tcPr>
          <w:p w14:paraId="4563EE39">
            <w:pPr>
              <w:pStyle w:val="109"/>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808" w:type="dxa"/>
            <w:vAlign w:val="center"/>
          </w:tcPr>
          <w:p w14:paraId="25B6D62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7241662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51F9193F">
            <w:pPr>
              <w:pStyle w:val="109"/>
              <w:rPr>
                <w:color w:val="000000" w:themeColor="text1"/>
                <w14:textFill>
                  <w14:solidFill>
                    <w14:schemeClr w14:val="tx1"/>
                  </w14:solidFill>
                </w14:textFill>
              </w:rPr>
            </w:pPr>
          </w:p>
        </w:tc>
      </w:tr>
      <w:tr w14:paraId="55AF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2CFF2BF7">
            <w:pPr>
              <w:pStyle w:val="109"/>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1080" w:type="dxa"/>
            <w:vAlign w:val="center"/>
          </w:tcPr>
          <w:p w14:paraId="544680EA">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808" w:type="dxa"/>
            <w:vAlign w:val="center"/>
          </w:tcPr>
          <w:p w14:paraId="2FCC773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5206232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507FE636">
            <w:pPr>
              <w:pStyle w:val="109"/>
              <w:rPr>
                <w:color w:val="000000" w:themeColor="text1"/>
                <w14:textFill>
                  <w14:solidFill>
                    <w14:schemeClr w14:val="tx1"/>
                  </w14:solidFill>
                </w14:textFill>
              </w:rPr>
            </w:pPr>
          </w:p>
        </w:tc>
      </w:tr>
      <w:tr w14:paraId="0C1D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4A7FA8BE">
            <w:pPr>
              <w:pStyle w:val="109"/>
              <w:rPr>
                <w:color w:val="000000" w:themeColor="text1"/>
                <w14:textFill>
                  <w14:solidFill>
                    <w14:schemeClr w14:val="tx1"/>
                  </w14:solidFill>
                </w14:textFill>
              </w:rPr>
            </w:pPr>
            <w:r>
              <w:rPr>
                <w:color w:val="000000" w:themeColor="text1"/>
                <w14:textFill>
                  <w14:solidFill>
                    <w14:schemeClr w14:val="tx1"/>
                  </w14:solidFill>
                </w14:textFill>
              </w:rPr>
              <w:t>锰及其化合物</w:t>
            </w:r>
          </w:p>
        </w:tc>
        <w:tc>
          <w:tcPr>
            <w:tcW w:w="1080" w:type="dxa"/>
            <w:vAlign w:val="center"/>
          </w:tcPr>
          <w:p w14:paraId="1E795B7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30B6A0EC">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579" w:type="dxa"/>
            <w:vAlign w:val="center"/>
          </w:tcPr>
          <w:p w14:paraId="69485C8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Merge w:val="continue"/>
            <w:vAlign w:val="center"/>
          </w:tcPr>
          <w:p w14:paraId="18122B8B">
            <w:pPr>
              <w:pStyle w:val="109"/>
              <w:rPr>
                <w:color w:val="000000" w:themeColor="text1"/>
                <w14:textFill>
                  <w14:solidFill>
                    <w14:schemeClr w14:val="tx1"/>
                  </w14:solidFill>
                </w14:textFill>
              </w:rPr>
            </w:pPr>
          </w:p>
        </w:tc>
      </w:tr>
      <w:tr w14:paraId="357E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54D776DA">
            <w:pPr>
              <w:pStyle w:val="10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1080" w:type="dxa"/>
            <w:vAlign w:val="center"/>
          </w:tcPr>
          <w:p w14:paraId="68F77910">
            <w:pPr>
              <w:pStyle w:val="109"/>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1808" w:type="dxa"/>
            <w:vAlign w:val="center"/>
          </w:tcPr>
          <w:p w14:paraId="78EC3BE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19C38FC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3370" w:type="dxa"/>
            <w:gridSpan w:val="2"/>
            <w:vAlign w:val="center"/>
          </w:tcPr>
          <w:p w14:paraId="7E704E76">
            <w:pPr>
              <w:pStyle w:val="109"/>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《大气污染物综合排放标准详解》</w:t>
            </w:r>
          </w:p>
        </w:tc>
      </w:tr>
      <w:tr w14:paraId="5A48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7" w:type="dxa"/>
          <w:jc w:val="center"/>
        </w:trPr>
        <w:tc>
          <w:tcPr>
            <w:tcW w:w="1502" w:type="dxa"/>
            <w:vAlign w:val="center"/>
          </w:tcPr>
          <w:p w14:paraId="63F280DE">
            <w:pPr>
              <w:pStyle w:val="109"/>
              <w:rPr>
                <w:color w:val="000000" w:themeColor="text1"/>
                <w14:textFill>
                  <w14:solidFill>
                    <w14:schemeClr w14:val="tx1"/>
                  </w14:solidFill>
                </w14:textFill>
              </w:rPr>
            </w:pPr>
            <w:r>
              <w:rPr>
                <w:color w:val="000000" w:themeColor="text1"/>
                <w14:textFill>
                  <w14:solidFill>
                    <w14:schemeClr w14:val="tx1"/>
                  </w14:solidFill>
                </w14:textFill>
              </w:rPr>
              <w:t>二噁英</w:t>
            </w:r>
          </w:p>
        </w:tc>
        <w:tc>
          <w:tcPr>
            <w:tcW w:w="1080" w:type="dxa"/>
            <w:vAlign w:val="center"/>
          </w:tcPr>
          <w:p w14:paraId="6946C17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808" w:type="dxa"/>
            <w:vAlign w:val="center"/>
          </w:tcPr>
          <w:p w14:paraId="5A7956A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9" w:type="dxa"/>
            <w:vAlign w:val="center"/>
          </w:tcPr>
          <w:p w14:paraId="7BFF70F4">
            <w:pPr>
              <w:pStyle w:val="109"/>
              <w:rPr>
                <w:color w:val="000000" w:themeColor="text1"/>
                <w14:textFill>
                  <w14:solidFill>
                    <w14:schemeClr w14:val="tx1"/>
                  </w14:solidFill>
                </w14:textFill>
              </w:rPr>
            </w:pPr>
            <w:r>
              <w:rPr>
                <w:color w:val="000000" w:themeColor="text1"/>
                <w14:textFill>
                  <w14:solidFill>
                    <w14:schemeClr w14:val="tx1"/>
                  </w14:solidFill>
                </w14:textFill>
              </w:rPr>
              <w:t>0.6pgTEQ/</w:t>
            </w:r>
            <w:r>
              <w:rPr>
                <w:rFonts w:hint="eastAsia"/>
                <w:color w:val="000000" w:themeColor="text1"/>
                <w14:textFill>
                  <w14:solidFill>
                    <w14:schemeClr w14:val="tx1"/>
                  </w14:solidFill>
                </w14:textFill>
              </w:rPr>
              <w:t>m³</w:t>
            </w:r>
          </w:p>
        </w:tc>
        <w:tc>
          <w:tcPr>
            <w:tcW w:w="3370" w:type="dxa"/>
            <w:gridSpan w:val="2"/>
            <w:vAlign w:val="center"/>
          </w:tcPr>
          <w:p w14:paraId="119D4ABD">
            <w:pPr>
              <w:pStyle w:val="109"/>
              <w:rPr>
                <w:color w:val="000000" w:themeColor="text1"/>
                <w14:textFill>
                  <w14:solidFill>
                    <w14:schemeClr w14:val="tx1"/>
                  </w14:solidFill>
                </w14:textFill>
              </w:rPr>
            </w:pPr>
            <w:r>
              <w:rPr>
                <w:color w:val="000000" w:themeColor="text1"/>
                <w14:textFill>
                  <w14:solidFill>
                    <w14:schemeClr w14:val="tx1"/>
                  </w14:solidFill>
                </w14:textFill>
              </w:rPr>
              <w:t>日本环境质量标准</w:t>
            </w:r>
          </w:p>
        </w:tc>
      </w:tr>
    </w:tbl>
    <w:p w14:paraId="00D5B188">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评价等级及评价范围判定</w:t>
      </w:r>
    </w:p>
    <w:p w14:paraId="21085658">
      <w:pPr>
        <w:ind w:firstLine="480"/>
        <w:rPr>
          <w:color w:val="000000" w:themeColor="text1"/>
          <w14:textFill>
            <w14:solidFill>
              <w14:schemeClr w14:val="tx1"/>
            </w14:solidFill>
          </w14:textFill>
        </w:rPr>
      </w:pPr>
      <w:r>
        <w:rPr>
          <w:color w:val="000000" w:themeColor="text1"/>
          <w14:textFill>
            <w14:solidFill>
              <w14:schemeClr w14:val="tx1"/>
            </w14:solidFill>
          </w14:textFill>
        </w:rPr>
        <w:t>估算模型计算结果见下表。</w:t>
      </w:r>
    </w:p>
    <w:p w14:paraId="57E540B1">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估算模式计算最大地面空气质量浓度占标率</w:t>
      </w:r>
    </w:p>
    <w:tbl>
      <w:tblPr>
        <w:tblStyle w:val="76"/>
        <w:tblW w:w="5000" w:type="pct"/>
        <w:tblInd w:w="0" w:type="dxa"/>
        <w:tblLayout w:type="autofit"/>
        <w:tblCellMar>
          <w:top w:w="0" w:type="dxa"/>
          <w:left w:w="108" w:type="dxa"/>
          <w:bottom w:w="0" w:type="dxa"/>
          <w:right w:w="108" w:type="dxa"/>
        </w:tblCellMar>
      </w:tblPr>
      <w:tblGrid>
        <w:gridCol w:w="1161"/>
        <w:gridCol w:w="1594"/>
        <w:gridCol w:w="2729"/>
        <w:gridCol w:w="2026"/>
        <w:gridCol w:w="2118"/>
      </w:tblGrid>
      <w:tr w14:paraId="0E08769D">
        <w:tblPrEx>
          <w:tblCellMar>
            <w:top w:w="0" w:type="dxa"/>
            <w:left w:w="108" w:type="dxa"/>
            <w:bottom w:w="0" w:type="dxa"/>
            <w:right w:w="108" w:type="dxa"/>
          </w:tblCellMar>
        </w:tblPrEx>
        <w:tc>
          <w:tcPr>
            <w:tcW w:w="603" w:type="pct"/>
            <w:tcBorders>
              <w:top w:val="single" w:color="auto" w:sz="4" w:space="0"/>
              <w:left w:val="single" w:color="auto" w:sz="4" w:space="0"/>
              <w:bottom w:val="single" w:color="auto" w:sz="4" w:space="0"/>
              <w:right w:val="single" w:color="auto" w:sz="4" w:space="0"/>
            </w:tcBorders>
            <w:vAlign w:val="center"/>
          </w:tcPr>
          <w:p w14:paraId="10EF99A9">
            <w:pPr>
              <w:pStyle w:val="109"/>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828" w:type="pct"/>
            <w:tcBorders>
              <w:top w:val="single" w:color="auto" w:sz="4" w:space="0"/>
              <w:left w:val="nil"/>
              <w:bottom w:val="single" w:color="auto" w:sz="4" w:space="0"/>
              <w:right w:val="single" w:color="auto" w:sz="4" w:space="0"/>
            </w:tcBorders>
            <w:vAlign w:val="center"/>
          </w:tcPr>
          <w:p w14:paraId="52E6B1F9">
            <w:pPr>
              <w:pStyle w:val="109"/>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1417" w:type="pct"/>
            <w:tcBorders>
              <w:top w:val="single" w:color="auto" w:sz="4" w:space="0"/>
              <w:left w:val="nil"/>
              <w:bottom w:val="single" w:color="auto" w:sz="4" w:space="0"/>
              <w:right w:val="single" w:color="auto" w:sz="4" w:space="0"/>
            </w:tcBorders>
            <w:vAlign w:val="center"/>
          </w:tcPr>
          <w:p w14:paraId="77468588">
            <w:pPr>
              <w:pStyle w:val="109"/>
              <w:rPr>
                <w:color w:val="000000" w:themeColor="text1"/>
                <w14:textFill>
                  <w14:solidFill>
                    <w14:schemeClr w14:val="tx1"/>
                  </w14:solidFill>
                </w14:textFill>
              </w:rPr>
            </w:pPr>
            <w:r>
              <w:rPr>
                <w:color w:val="000000" w:themeColor="text1"/>
                <w14:textFill>
                  <w14:solidFill>
                    <w14:schemeClr w14:val="tx1"/>
                  </w14:solidFill>
                </w14:textFill>
              </w:rPr>
              <w:t>Cmax(μg/m³)</w:t>
            </w:r>
          </w:p>
        </w:tc>
        <w:tc>
          <w:tcPr>
            <w:tcW w:w="1052" w:type="pct"/>
            <w:tcBorders>
              <w:top w:val="single" w:color="auto" w:sz="4" w:space="0"/>
              <w:left w:val="nil"/>
              <w:bottom w:val="single" w:color="auto" w:sz="4" w:space="0"/>
              <w:right w:val="single" w:color="auto" w:sz="4" w:space="0"/>
            </w:tcBorders>
            <w:vAlign w:val="center"/>
          </w:tcPr>
          <w:p w14:paraId="677D97B5">
            <w:pPr>
              <w:pStyle w:val="109"/>
              <w:rPr>
                <w:color w:val="000000" w:themeColor="text1"/>
                <w14:textFill>
                  <w14:solidFill>
                    <w14:schemeClr w14:val="tx1"/>
                  </w14:solidFill>
                </w14:textFill>
              </w:rPr>
            </w:pPr>
            <w:r>
              <w:rPr>
                <w:color w:val="000000" w:themeColor="text1"/>
                <w14:textFill>
                  <w14:solidFill>
                    <w14:schemeClr w14:val="tx1"/>
                  </w14:solidFill>
                </w14:textFill>
              </w:rPr>
              <w:t>Pmax(%)</w:t>
            </w:r>
          </w:p>
        </w:tc>
        <w:tc>
          <w:tcPr>
            <w:tcW w:w="1100" w:type="pct"/>
            <w:tcBorders>
              <w:top w:val="single" w:color="auto" w:sz="4" w:space="0"/>
              <w:left w:val="nil"/>
              <w:bottom w:val="single" w:color="auto" w:sz="4" w:space="0"/>
              <w:right w:val="single" w:color="auto" w:sz="4" w:space="0"/>
            </w:tcBorders>
            <w:vAlign w:val="center"/>
          </w:tcPr>
          <w:p w14:paraId="5831EAC5">
            <w:pPr>
              <w:pStyle w:val="109"/>
              <w:rPr>
                <w:color w:val="000000" w:themeColor="text1"/>
                <w14:textFill>
                  <w14:solidFill>
                    <w14:schemeClr w14:val="tx1"/>
                  </w14:solidFill>
                </w14:textFill>
              </w:rPr>
            </w:pPr>
            <w:r>
              <w:rPr>
                <w:color w:val="000000" w:themeColor="text1"/>
                <w14:textFill>
                  <w14:solidFill>
                    <w14:schemeClr w14:val="tx1"/>
                  </w14:solidFill>
                </w14:textFill>
              </w:rPr>
              <w:t>D10%(m)</w:t>
            </w:r>
          </w:p>
        </w:tc>
      </w:tr>
      <w:tr w14:paraId="64C736DA">
        <w:tblPrEx>
          <w:tblCellMar>
            <w:top w:w="0" w:type="dxa"/>
            <w:left w:w="108" w:type="dxa"/>
            <w:bottom w:w="0" w:type="dxa"/>
            <w:right w:w="108" w:type="dxa"/>
          </w:tblCellMar>
        </w:tblPrEx>
        <w:tc>
          <w:tcPr>
            <w:tcW w:w="603" w:type="pct"/>
            <w:tcBorders>
              <w:top w:val="nil"/>
              <w:left w:val="single" w:color="auto" w:sz="4" w:space="0"/>
              <w:bottom w:val="single" w:color="auto" w:sz="4" w:space="0"/>
              <w:right w:val="single" w:color="auto" w:sz="4" w:space="0"/>
            </w:tcBorders>
            <w:vAlign w:val="center"/>
          </w:tcPr>
          <w:p w14:paraId="75BB1FD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DA001</w:t>
            </w:r>
          </w:p>
        </w:tc>
        <w:tc>
          <w:tcPr>
            <w:tcW w:w="828" w:type="pct"/>
            <w:tcBorders>
              <w:top w:val="nil"/>
              <w:left w:val="nil"/>
              <w:bottom w:val="single" w:color="auto" w:sz="4" w:space="0"/>
              <w:right w:val="single" w:color="auto" w:sz="4" w:space="0"/>
            </w:tcBorders>
            <w:vAlign w:val="center"/>
          </w:tcPr>
          <w:p w14:paraId="26C1DE97">
            <w:pPr>
              <w:pStyle w:val="109"/>
              <w:rPr>
                <w:color w:val="000000" w:themeColor="text1"/>
                <w14:textFill>
                  <w14:solidFill>
                    <w14:schemeClr w14:val="tx1"/>
                  </w14:solidFill>
                </w14:textFill>
              </w:rPr>
            </w:pPr>
            <w:r>
              <w:rPr>
                <w:color w:val="000000" w:themeColor="text1"/>
                <w14:textFill>
                  <w14:solidFill>
                    <w14:schemeClr w14:val="tx1"/>
                  </w14:solidFill>
                </w14:textFill>
              </w:rPr>
              <w:t>VOCs</w:t>
            </w:r>
          </w:p>
        </w:tc>
        <w:tc>
          <w:tcPr>
            <w:tcW w:w="1417" w:type="pct"/>
            <w:tcBorders>
              <w:top w:val="nil"/>
              <w:left w:val="nil"/>
              <w:bottom w:val="single" w:color="auto" w:sz="4" w:space="0"/>
              <w:right w:val="single" w:color="auto" w:sz="4" w:space="0"/>
            </w:tcBorders>
            <w:vAlign w:val="center"/>
          </w:tcPr>
          <w:p w14:paraId="76850C03">
            <w:pPr>
              <w:pStyle w:val="109"/>
              <w:rPr>
                <w:color w:val="000000" w:themeColor="text1"/>
                <w14:textFill>
                  <w14:solidFill>
                    <w14:schemeClr w14:val="tx1"/>
                  </w14:solidFill>
                </w14:textFill>
              </w:rPr>
            </w:pPr>
            <w:r>
              <w:rPr>
                <w:color w:val="000000" w:themeColor="text1"/>
                <w14:textFill>
                  <w14:solidFill>
                    <w14:schemeClr w14:val="tx1"/>
                  </w14:solidFill>
                </w14:textFill>
              </w:rPr>
              <w:t>0.0002783</w:t>
            </w:r>
          </w:p>
        </w:tc>
        <w:tc>
          <w:tcPr>
            <w:tcW w:w="1052" w:type="pct"/>
            <w:tcBorders>
              <w:top w:val="nil"/>
              <w:left w:val="nil"/>
              <w:bottom w:val="single" w:color="auto" w:sz="4" w:space="0"/>
              <w:right w:val="single" w:color="auto" w:sz="4" w:space="0"/>
            </w:tcBorders>
            <w:vAlign w:val="center"/>
          </w:tcPr>
          <w:p w14:paraId="692AC20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286278F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26087BC">
        <w:tblPrEx>
          <w:tblCellMar>
            <w:top w:w="0" w:type="dxa"/>
            <w:left w:w="108" w:type="dxa"/>
            <w:bottom w:w="0" w:type="dxa"/>
            <w:right w:w="108" w:type="dxa"/>
          </w:tblCellMar>
        </w:tblPrEx>
        <w:tc>
          <w:tcPr>
            <w:tcW w:w="603" w:type="pct"/>
            <w:vMerge w:val="restart"/>
            <w:tcBorders>
              <w:top w:val="nil"/>
              <w:left w:val="single" w:color="auto" w:sz="4" w:space="0"/>
              <w:right w:val="single" w:color="auto" w:sz="4" w:space="0"/>
            </w:tcBorders>
            <w:vAlign w:val="center"/>
          </w:tcPr>
          <w:p w14:paraId="6C547FB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DA002</w:t>
            </w:r>
          </w:p>
        </w:tc>
        <w:tc>
          <w:tcPr>
            <w:tcW w:w="828" w:type="pct"/>
            <w:tcBorders>
              <w:top w:val="nil"/>
              <w:left w:val="nil"/>
              <w:bottom w:val="single" w:color="auto" w:sz="4" w:space="0"/>
              <w:right w:val="single" w:color="auto" w:sz="4" w:space="0"/>
            </w:tcBorders>
          </w:tcPr>
          <w:p w14:paraId="00B5907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417" w:type="pct"/>
            <w:tcBorders>
              <w:top w:val="nil"/>
              <w:left w:val="nil"/>
              <w:bottom w:val="single" w:color="auto" w:sz="4" w:space="0"/>
              <w:right w:val="single" w:color="auto" w:sz="4" w:space="0"/>
            </w:tcBorders>
            <w:vAlign w:val="center"/>
          </w:tcPr>
          <w:p w14:paraId="5073E33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0.000873</w:t>
            </w:r>
          </w:p>
        </w:tc>
        <w:tc>
          <w:tcPr>
            <w:tcW w:w="1052" w:type="pct"/>
            <w:tcBorders>
              <w:top w:val="nil"/>
              <w:left w:val="nil"/>
              <w:bottom w:val="single" w:color="auto" w:sz="4" w:space="0"/>
              <w:right w:val="single" w:color="auto" w:sz="4" w:space="0"/>
            </w:tcBorders>
            <w:vAlign w:val="center"/>
          </w:tcPr>
          <w:p w14:paraId="08DFD75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0.19</w:t>
            </w:r>
          </w:p>
        </w:tc>
        <w:tc>
          <w:tcPr>
            <w:tcW w:w="1100" w:type="pct"/>
            <w:tcBorders>
              <w:top w:val="nil"/>
              <w:left w:val="nil"/>
              <w:bottom w:val="single" w:color="auto" w:sz="4" w:space="0"/>
              <w:right w:val="single" w:color="auto" w:sz="4" w:space="0"/>
            </w:tcBorders>
            <w:vAlign w:val="center"/>
          </w:tcPr>
          <w:p w14:paraId="0E54482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C73C8D8">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5C441E66">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3C4F067F">
            <w:pPr>
              <w:pStyle w:val="109"/>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417" w:type="pct"/>
            <w:tcBorders>
              <w:top w:val="nil"/>
              <w:left w:val="nil"/>
              <w:bottom w:val="single" w:color="auto" w:sz="4" w:space="0"/>
              <w:right w:val="single" w:color="auto" w:sz="4" w:space="0"/>
            </w:tcBorders>
            <w:vAlign w:val="center"/>
          </w:tcPr>
          <w:p w14:paraId="3EB90F0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0.002293</w:t>
            </w:r>
          </w:p>
        </w:tc>
        <w:tc>
          <w:tcPr>
            <w:tcW w:w="1052" w:type="pct"/>
            <w:tcBorders>
              <w:top w:val="nil"/>
              <w:left w:val="nil"/>
              <w:bottom w:val="single" w:color="auto" w:sz="4" w:space="0"/>
              <w:right w:val="single" w:color="auto" w:sz="4" w:space="0"/>
            </w:tcBorders>
            <w:vAlign w:val="center"/>
          </w:tcPr>
          <w:p w14:paraId="5C815D2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2.29</w:t>
            </w:r>
          </w:p>
        </w:tc>
        <w:tc>
          <w:tcPr>
            <w:tcW w:w="1100" w:type="pct"/>
            <w:tcBorders>
              <w:top w:val="nil"/>
              <w:left w:val="nil"/>
              <w:bottom w:val="single" w:color="auto" w:sz="4" w:space="0"/>
              <w:right w:val="single" w:color="auto" w:sz="4" w:space="0"/>
            </w:tcBorders>
            <w:vAlign w:val="center"/>
          </w:tcPr>
          <w:p w14:paraId="69E0499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330F0F70">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60ED0000">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7F25F1AA">
            <w:pPr>
              <w:pStyle w:val="109"/>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1417" w:type="pct"/>
            <w:tcBorders>
              <w:top w:val="nil"/>
              <w:left w:val="nil"/>
              <w:bottom w:val="single" w:color="auto" w:sz="4" w:space="0"/>
              <w:right w:val="single" w:color="auto" w:sz="4" w:space="0"/>
            </w:tcBorders>
            <w:vAlign w:val="center"/>
          </w:tcPr>
          <w:p w14:paraId="6DB4F5A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0.004018</w:t>
            </w:r>
          </w:p>
        </w:tc>
        <w:tc>
          <w:tcPr>
            <w:tcW w:w="1052" w:type="pct"/>
            <w:tcBorders>
              <w:top w:val="nil"/>
              <w:left w:val="nil"/>
              <w:bottom w:val="single" w:color="auto" w:sz="4" w:space="0"/>
              <w:right w:val="single" w:color="auto" w:sz="4" w:space="0"/>
            </w:tcBorders>
            <w:vAlign w:val="center"/>
          </w:tcPr>
          <w:p w14:paraId="5240DA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2.01</w:t>
            </w:r>
          </w:p>
        </w:tc>
        <w:tc>
          <w:tcPr>
            <w:tcW w:w="1100" w:type="pct"/>
            <w:tcBorders>
              <w:top w:val="nil"/>
              <w:left w:val="nil"/>
              <w:bottom w:val="single" w:color="auto" w:sz="4" w:space="0"/>
              <w:right w:val="single" w:color="auto" w:sz="4" w:space="0"/>
            </w:tcBorders>
            <w:vAlign w:val="center"/>
          </w:tcPr>
          <w:p w14:paraId="1D1B155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7670F5E5">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63D00B2F">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3F49FF90">
            <w:pPr>
              <w:pStyle w:val="109"/>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417" w:type="pct"/>
            <w:tcBorders>
              <w:top w:val="nil"/>
              <w:left w:val="nil"/>
              <w:bottom w:val="single" w:color="auto" w:sz="4" w:space="0"/>
              <w:right w:val="single" w:color="auto" w:sz="4" w:space="0"/>
            </w:tcBorders>
            <w:vAlign w:val="center"/>
          </w:tcPr>
          <w:p w14:paraId="14DE09F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0.00299</w:t>
            </w:r>
          </w:p>
        </w:tc>
        <w:tc>
          <w:tcPr>
            <w:tcW w:w="1052" w:type="pct"/>
            <w:tcBorders>
              <w:top w:val="nil"/>
              <w:left w:val="nil"/>
              <w:bottom w:val="single" w:color="auto" w:sz="4" w:space="0"/>
              <w:right w:val="single" w:color="auto" w:sz="4" w:space="0"/>
            </w:tcBorders>
            <w:vAlign w:val="center"/>
          </w:tcPr>
          <w:p w14:paraId="2530E34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1100" w:type="pct"/>
            <w:tcBorders>
              <w:top w:val="nil"/>
              <w:left w:val="nil"/>
              <w:bottom w:val="single" w:color="auto" w:sz="4" w:space="0"/>
              <w:right w:val="single" w:color="auto" w:sz="4" w:space="0"/>
            </w:tcBorders>
            <w:vAlign w:val="center"/>
          </w:tcPr>
          <w:p w14:paraId="5F8B19F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5DFE652">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66963D1D">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2CB3632B">
            <w:pPr>
              <w:pStyle w:val="109"/>
              <w:rPr>
                <w:color w:val="000000" w:themeColor="text1"/>
                <w14:textFill>
                  <w14:solidFill>
                    <w14:schemeClr w14:val="tx1"/>
                  </w14:solidFill>
                </w14:textFill>
              </w:rPr>
            </w:pPr>
            <w:r>
              <w:rPr>
                <w:color w:val="000000" w:themeColor="text1"/>
                <w14:textFill>
                  <w14:solidFill>
                    <w14:schemeClr w14:val="tx1"/>
                  </w14:solidFill>
                </w14:textFill>
              </w:rPr>
              <w:t>HF</w:t>
            </w:r>
          </w:p>
        </w:tc>
        <w:tc>
          <w:tcPr>
            <w:tcW w:w="1417" w:type="pct"/>
            <w:tcBorders>
              <w:top w:val="nil"/>
              <w:left w:val="nil"/>
              <w:bottom w:val="single" w:color="auto" w:sz="4" w:space="0"/>
              <w:right w:val="single" w:color="auto" w:sz="4" w:space="0"/>
            </w:tcBorders>
            <w:vAlign w:val="center"/>
          </w:tcPr>
          <w:p w14:paraId="78F0361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7.89E-05</w:t>
            </w:r>
          </w:p>
        </w:tc>
        <w:tc>
          <w:tcPr>
            <w:tcW w:w="1052" w:type="pct"/>
            <w:tcBorders>
              <w:top w:val="nil"/>
              <w:left w:val="nil"/>
              <w:bottom w:val="single" w:color="auto" w:sz="4" w:space="0"/>
              <w:right w:val="single" w:color="auto" w:sz="4" w:space="0"/>
            </w:tcBorders>
            <w:vAlign w:val="center"/>
          </w:tcPr>
          <w:p w14:paraId="32582FE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0.39</w:t>
            </w:r>
          </w:p>
        </w:tc>
        <w:tc>
          <w:tcPr>
            <w:tcW w:w="1100" w:type="pct"/>
            <w:tcBorders>
              <w:top w:val="nil"/>
              <w:left w:val="nil"/>
              <w:bottom w:val="single" w:color="auto" w:sz="4" w:space="0"/>
              <w:right w:val="single" w:color="auto" w:sz="4" w:space="0"/>
            </w:tcBorders>
            <w:vAlign w:val="center"/>
          </w:tcPr>
          <w:p w14:paraId="7C3199A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0ADBBADA">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4993A50A">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402F54E3">
            <w:pPr>
              <w:pStyle w:val="109"/>
              <w:rPr>
                <w:color w:val="000000" w:themeColor="text1"/>
                <w14:textFill>
                  <w14:solidFill>
                    <w14:schemeClr w14:val="tx1"/>
                  </w14:solidFill>
                </w14:textFill>
              </w:rPr>
            </w:pPr>
            <w:r>
              <w:rPr>
                <w:color w:val="000000" w:themeColor="text1"/>
                <w14:textFill>
                  <w14:solidFill>
                    <w14:schemeClr w14:val="tx1"/>
                  </w14:solidFill>
                </w14:textFill>
              </w:rPr>
              <w:t>HCl</w:t>
            </w:r>
          </w:p>
        </w:tc>
        <w:tc>
          <w:tcPr>
            <w:tcW w:w="1417" w:type="pct"/>
            <w:tcBorders>
              <w:top w:val="nil"/>
              <w:left w:val="nil"/>
              <w:bottom w:val="single" w:color="auto" w:sz="4" w:space="0"/>
              <w:right w:val="single" w:color="auto" w:sz="4" w:space="0"/>
            </w:tcBorders>
            <w:vAlign w:val="center"/>
          </w:tcPr>
          <w:p w14:paraId="72D863A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0.002308</w:t>
            </w:r>
          </w:p>
        </w:tc>
        <w:tc>
          <w:tcPr>
            <w:tcW w:w="1052" w:type="pct"/>
            <w:tcBorders>
              <w:top w:val="nil"/>
              <w:left w:val="nil"/>
              <w:bottom w:val="single" w:color="auto" w:sz="4" w:space="0"/>
              <w:right w:val="single" w:color="auto" w:sz="4" w:space="0"/>
            </w:tcBorders>
            <w:vAlign w:val="center"/>
          </w:tcPr>
          <w:p w14:paraId="7273D9A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4.62</w:t>
            </w:r>
          </w:p>
        </w:tc>
        <w:tc>
          <w:tcPr>
            <w:tcW w:w="1100" w:type="pct"/>
            <w:tcBorders>
              <w:top w:val="nil"/>
              <w:left w:val="nil"/>
              <w:bottom w:val="single" w:color="auto" w:sz="4" w:space="0"/>
              <w:right w:val="single" w:color="auto" w:sz="4" w:space="0"/>
            </w:tcBorders>
            <w:vAlign w:val="center"/>
          </w:tcPr>
          <w:p w14:paraId="6172C42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0E87C5A0">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2A9BF6E4">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3C5B5D6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汞及其化合物</w:t>
            </w:r>
          </w:p>
        </w:tc>
        <w:tc>
          <w:tcPr>
            <w:tcW w:w="1417" w:type="pct"/>
            <w:tcBorders>
              <w:top w:val="nil"/>
              <w:left w:val="nil"/>
              <w:bottom w:val="single" w:color="auto" w:sz="4" w:space="0"/>
              <w:right w:val="single" w:color="auto" w:sz="4" w:space="0"/>
            </w:tcBorders>
            <w:vAlign w:val="center"/>
          </w:tcPr>
          <w:p w14:paraId="181BD4D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1.5E-07</w:t>
            </w:r>
          </w:p>
        </w:tc>
        <w:tc>
          <w:tcPr>
            <w:tcW w:w="1052" w:type="pct"/>
            <w:tcBorders>
              <w:top w:val="nil"/>
              <w:left w:val="nil"/>
              <w:bottom w:val="single" w:color="auto" w:sz="4" w:space="0"/>
              <w:right w:val="single" w:color="auto" w:sz="4" w:space="0"/>
            </w:tcBorders>
            <w:vAlign w:val="center"/>
          </w:tcPr>
          <w:p w14:paraId="7EC14FC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591ED2B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6D6E3DDA">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09B5559B">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0CA1E3E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铊及其化合物</w:t>
            </w:r>
          </w:p>
        </w:tc>
        <w:tc>
          <w:tcPr>
            <w:tcW w:w="1417" w:type="pct"/>
            <w:tcBorders>
              <w:top w:val="nil"/>
              <w:left w:val="nil"/>
              <w:bottom w:val="single" w:color="auto" w:sz="4" w:space="0"/>
              <w:right w:val="single" w:color="auto" w:sz="4" w:space="0"/>
            </w:tcBorders>
            <w:vAlign w:val="center"/>
          </w:tcPr>
          <w:p w14:paraId="39B1623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7.48E-09</w:t>
            </w:r>
          </w:p>
        </w:tc>
        <w:tc>
          <w:tcPr>
            <w:tcW w:w="1052" w:type="pct"/>
            <w:tcBorders>
              <w:top w:val="nil"/>
              <w:left w:val="nil"/>
              <w:bottom w:val="single" w:color="auto" w:sz="4" w:space="0"/>
              <w:right w:val="single" w:color="auto" w:sz="4" w:space="0"/>
            </w:tcBorders>
            <w:vAlign w:val="center"/>
          </w:tcPr>
          <w:p w14:paraId="6511F2D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7C9EA6B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6390C4A">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3947B4C7">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0EEF156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镉及其化合物</w:t>
            </w:r>
          </w:p>
        </w:tc>
        <w:tc>
          <w:tcPr>
            <w:tcW w:w="1417" w:type="pct"/>
            <w:tcBorders>
              <w:top w:val="nil"/>
              <w:left w:val="nil"/>
              <w:bottom w:val="single" w:color="auto" w:sz="4" w:space="0"/>
              <w:right w:val="single" w:color="auto" w:sz="4" w:space="0"/>
            </w:tcBorders>
            <w:vAlign w:val="center"/>
          </w:tcPr>
          <w:p w14:paraId="0513F0F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4.49E-07</w:t>
            </w:r>
          </w:p>
        </w:tc>
        <w:tc>
          <w:tcPr>
            <w:tcW w:w="1052" w:type="pct"/>
            <w:tcBorders>
              <w:top w:val="nil"/>
              <w:left w:val="nil"/>
              <w:bottom w:val="single" w:color="auto" w:sz="4" w:space="0"/>
              <w:right w:val="single" w:color="auto" w:sz="4" w:space="0"/>
            </w:tcBorders>
          </w:tcPr>
          <w:p w14:paraId="691045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30570A7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FC85924">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259927EF">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7F9DC66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铅及其化合物</w:t>
            </w:r>
          </w:p>
        </w:tc>
        <w:tc>
          <w:tcPr>
            <w:tcW w:w="1417" w:type="pct"/>
            <w:tcBorders>
              <w:top w:val="nil"/>
              <w:left w:val="nil"/>
              <w:bottom w:val="single" w:color="auto" w:sz="4" w:space="0"/>
              <w:right w:val="single" w:color="auto" w:sz="4" w:space="0"/>
            </w:tcBorders>
            <w:vAlign w:val="center"/>
          </w:tcPr>
          <w:p w14:paraId="62D046C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1.56E-06</w:t>
            </w:r>
          </w:p>
        </w:tc>
        <w:tc>
          <w:tcPr>
            <w:tcW w:w="1052" w:type="pct"/>
            <w:tcBorders>
              <w:top w:val="nil"/>
              <w:left w:val="nil"/>
              <w:bottom w:val="single" w:color="auto" w:sz="4" w:space="0"/>
              <w:right w:val="single" w:color="auto" w:sz="4" w:space="0"/>
            </w:tcBorders>
          </w:tcPr>
          <w:p w14:paraId="6B396FC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15830E4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318AA37">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2410AA9F">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2E6E68D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砷及其化合物</w:t>
            </w:r>
          </w:p>
        </w:tc>
        <w:tc>
          <w:tcPr>
            <w:tcW w:w="1417" w:type="pct"/>
            <w:tcBorders>
              <w:top w:val="nil"/>
              <w:left w:val="nil"/>
              <w:bottom w:val="single" w:color="auto" w:sz="4" w:space="0"/>
              <w:right w:val="single" w:color="auto" w:sz="4" w:space="0"/>
            </w:tcBorders>
            <w:vAlign w:val="center"/>
          </w:tcPr>
          <w:p w14:paraId="5CB9844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2.99E-06</w:t>
            </w:r>
          </w:p>
        </w:tc>
        <w:tc>
          <w:tcPr>
            <w:tcW w:w="1052" w:type="pct"/>
            <w:tcBorders>
              <w:top w:val="nil"/>
              <w:left w:val="nil"/>
              <w:bottom w:val="single" w:color="auto" w:sz="4" w:space="0"/>
              <w:right w:val="single" w:color="auto" w:sz="4" w:space="0"/>
            </w:tcBorders>
            <w:vAlign w:val="center"/>
          </w:tcPr>
          <w:p w14:paraId="5413A4A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109F875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08D44A6">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7446D8FE">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5CFF806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铬及其化合物</w:t>
            </w:r>
          </w:p>
        </w:tc>
        <w:tc>
          <w:tcPr>
            <w:tcW w:w="1417" w:type="pct"/>
            <w:tcBorders>
              <w:top w:val="nil"/>
              <w:left w:val="nil"/>
              <w:bottom w:val="single" w:color="auto" w:sz="4" w:space="0"/>
              <w:right w:val="single" w:color="auto" w:sz="4" w:space="0"/>
            </w:tcBorders>
            <w:vAlign w:val="center"/>
          </w:tcPr>
          <w:p w14:paraId="50ED100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7.48E-08</w:t>
            </w:r>
          </w:p>
        </w:tc>
        <w:tc>
          <w:tcPr>
            <w:tcW w:w="1052" w:type="pct"/>
            <w:tcBorders>
              <w:top w:val="nil"/>
              <w:left w:val="nil"/>
              <w:bottom w:val="single" w:color="auto" w:sz="4" w:space="0"/>
              <w:right w:val="single" w:color="auto" w:sz="4" w:space="0"/>
            </w:tcBorders>
            <w:vAlign w:val="center"/>
          </w:tcPr>
          <w:p w14:paraId="318CFA5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1100" w:type="pct"/>
            <w:tcBorders>
              <w:top w:val="nil"/>
              <w:left w:val="nil"/>
              <w:bottom w:val="single" w:color="auto" w:sz="4" w:space="0"/>
              <w:right w:val="single" w:color="auto" w:sz="4" w:space="0"/>
            </w:tcBorders>
            <w:vAlign w:val="center"/>
          </w:tcPr>
          <w:p w14:paraId="086CC9F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68A052B0">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568F836C">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5AB1AE6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锡、锑、铜、锰、</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镍、钴及其化合</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物</w:t>
            </w:r>
          </w:p>
        </w:tc>
        <w:tc>
          <w:tcPr>
            <w:tcW w:w="1417" w:type="pct"/>
            <w:tcBorders>
              <w:top w:val="nil"/>
              <w:left w:val="nil"/>
              <w:bottom w:val="single" w:color="auto" w:sz="4" w:space="0"/>
              <w:right w:val="single" w:color="auto" w:sz="4" w:space="0"/>
            </w:tcBorders>
            <w:vAlign w:val="center"/>
          </w:tcPr>
          <w:p w14:paraId="6D7BD1D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5.24E-07</w:t>
            </w:r>
          </w:p>
        </w:tc>
        <w:tc>
          <w:tcPr>
            <w:tcW w:w="1052" w:type="pct"/>
            <w:tcBorders>
              <w:top w:val="nil"/>
              <w:left w:val="nil"/>
              <w:bottom w:val="single" w:color="auto" w:sz="4" w:space="0"/>
              <w:right w:val="single" w:color="auto" w:sz="4" w:space="0"/>
            </w:tcBorders>
            <w:vAlign w:val="center"/>
          </w:tcPr>
          <w:p w14:paraId="422F43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00" w:type="pct"/>
            <w:tcBorders>
              <w:top w:val="nil"/>
              <w:left w:val="nil"/>
              <w:bottom w:val="single" w:color="auto" w:sz="4" w:space="0"/>
              <w:right w:val="single" w:color="auto" w:sz="4" w:space="0"/>
            </w:tcBorders>
            <w:vAlign w:val="center"/>
          </w:tcPr>
          <w:p w14:paraId="2A4D0AB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784DCDD7">
        <w:tblPrEx>
          <w:tblCellMar>
            <w:top w:w="0" w:type="dxa"/>
            <w:left w:w="108" w:type="dxa"/>
            <w:bottom w:w="0" w:type="dxa"/>
            <w:right w:w="108" w:type="dxa"/>
          </w:tblCellMar>
        </w:tblPrEx>
        <w:tc>
          <w:tcPr>
            <w:tcW w:w="603" w:type="pct"/>
            <w:vMerge w:val="continue"/>
            <w:tcBorders>
              <w:left w:val="single" w:color="auto" w:sz="4" w:space="0"/>
              <w:bottom w:val="single" w:color="auto" w:sz="4" w:space="0"/>
              <w:right w:val="single" w:color="auto" w:sz="4" w:space="0"/>
            </w:tcBorders>
            <w:vAlign w:val="center"/>
          </w:tcPr>
          <w:p w14:paraId="699105B9">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7B95779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二噁英类p</w:t>
            </w:r>
            <w:r>
              <w:rPr>
                <w:color w:val="000000" w:themeColor="text1"/>
                <w14:textFill>
                  <w14:solidFill>
                    <w14:schemeClr w14:val="tx1"/>
                  </w14:solidFill>
                </w14:textFill>
              </w:rPr>
              <w:t>gTEQ/Nm³</w:t>
            </w:r>
          </w:p>
        </w:tc>
        <w:tc>
          <w:tcPr>
            <w:tcW w:w="1417" w:type="pct"/>
            <w:tcBorders>
              <w:top w:val="nil"/>
              <w:left w:val="nil"/>
              <w:bottom w:val="single" w:color="auto" w:sz="4" w:space="0"/>
              <w:right w:val="single" w:color="auto" w:sz="4" w:space="0"/>
            </w:tcBorders>
            <w:vAlign w:val="center"/>
          </w:tcPr>
          <w:p w14:paraId="301A304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0.00078</w:t>
            </w:r>
          </w:p>
        </w:tc>
        <w:tc>
          <w:tcPr>
            <w:tcW w:w="1052" w:type="pct"/>
            <w:tcBorders>
              <w:top w:val="nil"/>
              <w:left w:val="nil"/>
              <w:bottom w:val="single" w:color="auto" w:sz="4" w:space="0"/>
              <w:right w:val="single" w:color="auto" w:sz="4" w:space="0"/>
            </w:tcBorders>
            <w:vAlign w:val="center"/>
          </w:tcPr>
          <w:p w14:paraId="77BAEBD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0.13</w:t>
            </w:r>
          </w:p>
        </w:tc>
        <w:tc>
          <w:tcPr>
            <w:tcW w:w="1100" w:type="pct"/>
            <w:tcBorders>
              <w:top w:val="nil"/>
              <w:left w:val="nil"/>
              <w:bottom w:val="single" w:color="auto" w:sz="4" w:space="0"/>
              <w:right w:val="single" w:color="auto" w:sz="4" w:space="0"/>
            </w:tcBorders>
            <w:vAlign w:val="center"/>
          </w:tcPr>
          <w:p w14:paraId="58F634A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48B12753">
        <w:tblPrEx>
          <w:tblCellMar>
            <w:top w:w="0" w:type="dxa"/>
            <w:left w:w="108" w:type="dxa"/>
            <w:bottom w:w="0" w:type="dxa"/>
            <w:right w:w="108" w:type="dxa"/>
          </w:tblCellMar>
        </w:tblPrEx>
        <w:tc>
          <w:tcPr>
            <w:tcW w:w="603" w:type="pct"/>
            <w:vMerge w:val="restart"/>
            <w:tcBorders>
              <w:left w:val="single" w:color="auto" w:sz="4" w:space="0"/>
              <w:right w:val="single" w:color="auto" w:sz="4" w:space="0"/>
            </w:tcBorders>
            <w:vAlign w:val="center"/>
          </w:tcPr>
          <w:p w14:paraId="63FD6B2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DA003</w:t>
            </w:r>
          </w:p>
        </w:tc>
        <w:tc>
          <w:tcPr>
            <w:tcW w:w="828" w:type="pct"/>
            <w:tcBorders>
              <w:top w:val="nil"/>
              <w:left w:val="nil"/>
              <w:bottom w:val="single" w:color="auto" w:sz="4" w:space="0"/>
              <w:right w:val="single" w:color="auto" w:sz="4" w:space="0"/>
            </w:tcBorders>
          </w:tcPr>
          <w:p w14:paraId="0C04AB9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417" w:type="pct"/>
            <w:tcBorders>
              <w:top w:val="nil"/>
              <w:left w:val="nil"/>
              <w:bottom w:val="single" w:color="auto" w:sz="4" w:space="0"/>
              <w:right w:val="single" w:color="auto" w:sz="4" w:space="0"/>
            </w:tcBorders>
            <w:vAlign w:val="center"/>
          </w:tcPr>
          <w:p w14:paraId="2A383D7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0.000347</w:t>
            </w:r>
          </w:p>
        </w:tc>
        <w:tc>
          <w:tcPr>
            <w:tcW w:w="1052" w:type="pct"/>
            <w:tcBorders>
              <w:top w:val="nil"/>
              <w:left w:val="nil"/>
              <w:bottom w:val="single" w:color="auto" w:sz="4" w:space="0"/>
              <w:right w:val="single" w:color="auto" w:sz="4" w:space="0"/>
            </w:tcBorders>
            <w:vAlign w:val="center"/>
          </w:tcPr>
          <w:p w14:paraId="4A9BB8A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c>
          <w:tcPr>
            <w:tcW w:w="1100" w:type="pct"/>
            <w:tcBorders>
              <w:top w:val="nil"/>
              <w:left w:val="nil"/>
              <w:bottom w:val="single" w:color="auto" w:sz="4" w:space="0"/>
              <w:right w:val="single" w:color="auto" w:sz="4" w:space="0"/>
            </w:tcBorders>
          </w:tcPr>
          <w:p w14:paraId="5306D89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038C17D7">
        <w:tblPrEx>
          <w:tblCellMar>
            <w:top w:w="0" w:type="dxa"/>
            <w:left w:w="108" w:type="dxa"/>
            <w:bottom w:w="0" w:type="dxa"/>
            <w:right w:w="108" w:type="dxa"/>
          </w:tblCellMar>
        </w:tblPrEx>
        <w:tc>
          <w:tcPr>
            <w:tcW w:w="603" w:type="pct"/>
            <w:vMerge w:val="continue"/>
            <w:tcBorders>
              <w:left w:val="single" w:color="auto" w:sz="4" w:space="0"/>
              <w:right w:val="single" w:color="auto" w:sz="4" w:space="0"/>
            </w:tcBorders>
            <w:vAlign w:val="center"/>
          </w:tcPr>
          <w:p w14:paraId="4F3E73A4">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29E7484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氮氧化物</w:t>
            </w:r>
          </w:p>
        </w:tc>
        <w:tc>
          <w:tcPr>
            <w:tcW w:w="1417" w:type="pct"/>
            <w:tcBorders>
              <w:top w:val="nil"/>
              <w:left w:val="nil"/>
              <w:bottom w:val="single" w:color="auto" w:sz="4" w:space="0"/>
              <w:right w:val="single" w:color="auto" w:sz="4" w:space="0"/>
            </w:tcBorders>
            <w:vAlign w:val="center"/>
          </w:tcPr>
          <w:p w14:paraId="28CC7C4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0.00549</w:t>
            </w:r>
          </w:p>
        </w:tc>
        <w:tc>
          <w:tcPr>
            <w:tcW w:w="1052" w:type="pct"/>
            <w:tcBorders>
              <w:top w:val="nil"/>
              <w:left w:val="nil"/>
              <w:bottom w:val="single" w:color="auto" w:sz="4" w:space="0"/>
              <w:right w:val="single" w:color="auto" w:sz="4" w:space="0"/>
            </w:tcBorders>
            <w:vAlign w:val="center"/>
          </w:tcPr>
          <w:p w14:paraId="47C850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2.74</w:t>
            </w:r>
          </w:p>
        </w:tc>
        <w:tc>
          <w:tcPr>
            <w:tcW w:w="1100" w:type="pct"/>
            <w:tcBorders>
              <w:top w:val="nil"/>
              <w:left w:val="nil"/>
              <w:bottom w:val="single" w:color="auto" w:sz="4" w:space="0"/>
              <w:right w:val="single" w:color="auto" w:sz="4" w:space="0"/>
            </w:tcBorders>
          </w:tcPr>
          <w:p w14:paraId="6AD4DF6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33E87E5A">
        <w:tblPrEx>
          <w:tblCellMar>
            <w:top w:w="0" w:type="dxa"/>
            <w:left w:w="108" w:type="dxa"/>
            <w:bottom w:w="0" w:type="dxa"/>
            <w:right w:w="108" w:type="dxa"/>
          </w:tblCellMar>
        </w:tblPrEx>
        <w:tc>
          <w:tcPr>
            <w:tcW w:w="603" w:type="pct"/>
            <w:vMerge w:val="continue"/>
            <w:tcBorders>
              <w:left w:val="single" w:color="auto" w:sz="4" w:space="0"/>
              <w:bottom w:val="single" w:color="auto" w:sz="4" w:space="0"/>
              <w:right w:val="single" w:color="auto" w:sz="4" w:space="0"/>
            </w:tcBorders>
            <w:vAlign w:val="center"/>
          </w:tcPr>
          <w:p w14:paraId="307B5245">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tcPr>
          <w:p w14:paraId="060FFFA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二氧化硫</w:t>
            </w:r>
          </w:p>
        </w:tc>
        <w:tc>
          <w:tcPr>
            <w:tcW w:w="1417" w:type="pct"/>
            <w:tcBorders>
              <w:top w:val="nil"/>
              <w:left w:val="nil"/>
              <w:bottom w:val="single" w:color="auto" w:sz="4" w:space="0"/>
              <w:right w:val="single" w:color="auto" w:sz="4" w:space="0"/>
            </w:tcBorders>
            <w:vAlign w:val="center"/>
          </w:tcPr>
          <w:p w14:paraId="2ECE7FC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0.000694</w:t>
            </w:r>
          </w:p>
        </w:tc>
        <w:tc>
          <w:tcPr>
            <w:tcW w:w="1052" w:type="pct"/>
            <w:tcBorders>
              <w:top w:val="nil"/>
              <w:left w:val="nil"/>
              <w:bottom w:val="single" w:color="auto" w:sz="4" w:space="0"/>
              <w:right w:val="single" w:color="auto" w:sz="4" w:space="0"/>
            </w:tcBorders>
            <w:vAlign w:val="center"/>
          </w:tcPr>
          <w:p w14:paraId="4309E42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0.14</w:t>
            </w:r>
          </w:p>
        </w:tc>
        <w:tc>
          <w:tcPr>
            <w:tcW w:w="1100" w:type="pct"/>
            <w:tcBorders>
              <w:top w:val="nil"/>
              <w:left w:val="nil"/>
              <w:bottom w:val="single" w:color="auto" w:sz="4" w:space="0"/>
              <w:right w:val="single" w:color="auto" w:sz="4" w:space="0"/>
            </w:tcBorders>
          </w:tcPr>
          <w:p w14:paraId="6D821EE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69228B34">
        <w:tblPrEx>
          <w:tblCellMar>
            <w:top w:w="0" w:type="dxa"/>
            <w:left w:w="108" w:type="dxa"/>
            <w:bottom w:w="0" w:type="dxa"/>
            <w:right w:w="108" w:type="dxa"/>
          </w:tblCellMar>
        </w:tblPrEx>
        <w:tc>
          <w:tcPr>
            <w:tcW w:w="603" w:type="pct"/>
            <w:vMerge w:val="restart"/>
            <w:tcBorders>
              <w:top w:val="nil"/>
              <w:left w:val="single" w:color="auto" w:sz="4" w:space="0"/>
              <w:bottom w:val="single" w:color="auto" w:sz="4" w:space="0"/>
              <w:right w:val="single" w:color="auto" w:sz="4" w:space="0"/>
            </w:tcBorders>
            <w:vAlign w:val="center"/>
          </w:tcPr>
          <w:p w14:paraId="5BDEAAA3">
            <w:pPr>
              <w:pStyle w:val="109"/>
              <w:rPr>
                <w:color w:val="000000" w:themeColor="text1"/>
                <w14:textFill>
                  <w14:solidFill>
                    <w14:schemeClr w14:val="tx1"/>
                  </w14:solidFill>
                </w14:textFill>
              </w:rPr>
            </w:pPr>
            <w:r>
              <w:rPr>
                <w:color w:val="000000" w:themeColor="text1"/>
                <w14:textFill>
                  <w14:solidFill>
                    <w14:schemeClr w14:val="tx1"/>
                  </w14:solidFill>
                </w14:textFill>
              </w:rPr>
              <w:t>矩形面源</w:t>
            </w:r>
          </w:p>
        </w:tc>
        <w:tc>
          <w:tcPr>
            <w:tcW w:w="828" w:type="pct"/>
            <w:tcBorders>
              <w:top w:val="nil"/>
              <w:left w:val="nil"/>
              <w:bottom w:val="single" w:color="auto" w:sz="4" w:space="0"/>
              <w:right w:val="single" w:color="auto" w:sz="4" w:space="0"/>
            </w:tcBorders>
            <w:vAlign w:val="center"/>
          </w:tcPr>
          <w:p w14:paraId="08452109">
            <w:pPr>
              <w:pStyle w:val="109"/>
              <w:rPr>
                <w:color w:val="000000" w:themeColor="text1"/>
                <w14:textFill>
                  <w14:solidFill>
                    <w14:schemeClr w14:val="tx1"/>
                  </w14:solidFill>
                </w14:textFill>
              </w:rPr>
            </w:pPr>
            <w:r>
              <w:rPr>
                <w:color w:val="000000" w:themeColor="text1"/>
                <w14:textFill>
                  <w14:solidFill>
                    <w14:schemeClr w14:val="tx1"/>
                  </w14:solidFill>
                </w14:textFill>
              </w:rPr>
              <w:t>VOCs</w:t>
            </w:r>
          </w:p>
        </w:tc>
        <w:tc>
          <w:tcPr>
            <w:tcW w:w="1417" w:type="pct"/>
            <w:tcBorders>
              <w:top w:val="nil"/>
              <w:left w:val="nil"/>
              <w:bottom w:val="single" w:color="auto" w:sz="4" w:space="0"/>
              <w:right w:val="single" w:color="auto" w:sz="4" w:space="0"/>
            </w:tcBorders>
            <w:vAlign w:val="center"/>
          </w:tcPr>
          <w:p w14:paraId="5F11065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0.003011</w:t>
            </w:r>
          </w:p>
        </w:tc>
        <w:tc>
          <w:tcPr>
            <w:tcW w:w="1052" w:type="pct"/>
            <w:tcBorders>
              <w:top w:val="nil"/>
              <w:left w:val="nil"/>
              <w:bottom w:val="single" w:color="auto" w:sz="4" w:space="0"/>
              <w:right w:val="single" w:color="auto" w:sz="4" w:space="0"/>
            </w:tcBorders>
            <w:vAlign w:val="center"/>
          </w:tcPr>
          <w:p w14:paraId="2B2E5BE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0.15</w:t>
            </w:r>
          </w:p>
        </w:tc>
        <w:tc>
          <w:tcPr>
            <w:tcW w:w="1100" w:type="pct"/>
            <w:tcBorders>
              <w:top w:val="nil"/>
              <w:left w:val="nil"/>
              <w:bottom w:val="single" w:color="auto" w:sz="4" w:space="0"/>
              <w:right w:val="single" w:color="auto" w:sz="4" w:space="0"/>
            </w:tcBorders>
            <w:vAlign w:val="center"/>
          </w:tcPr>
          <w:p w14:paraId="2C8799C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2E57DDC0">
        <w:tblPrEx>
          <w:tblCellMar>
            <w:top w:w="0" w:type="dxa"/>
            <w:left w:w="108" w:type="dxa"/>
            <w:bottom w:w="0" w:type="dxa"/>
            <w:right w:w="108" w:type="dxa"/>
          </w:tblCellMar>
        </w:tblPrEx>
        <w:tc>
          <w:tcPr>
            <w:tcW w:w="603" w:type="pct"/>
            <w:vMerge w:val="continue"/>
            <w:tcBorders>
              <w:top w:val="nil"/>
              <w:left w:val="single" w:color="auto" w:sz="4" w:space="0"/>
              <w:bottom w:val="single" w:color="auto" w:sz="4" w:space="0"/>
              <w:right w:val="single" w:color="auto" w:sz="4" w:space="0"/>
            </w:tcBorders>
            <w:vAlign w:val="center"/>
          </w:tcPr>
          <w:p w14:paraId="6D434106">
            <w:pPr>
              <w:pStyle w:val="109"/>
              <w:rPr>
                <w:color w:val="000000" w:themeColor="text1"/>
                <w14:textFill>
                  <w14:solidFill>
                    <w14:schemeClr w14:val="tx1"/>
                  </w14:solidFill>
                </w14:textFill>
              </w:rPr>
            </w:pPr>
          </w:p>
        </w:tc>
        <w:tc>
          <w:tcPr>
            <w:tcW w:w="828" w:type="pct"/>
            <w:tcBorders>
              <w:top w:val="nil"/>
              <w:left w:val="nil"/>
              <w:bottom w:val="single" w:color="auto" w:sz="4" w:space="0"/>
              <w:right w:val="single" w:color="auto" w:sz="4" w:space="0"/>
            </w:tcBorders>
            <w:vAlign w:val="center"/>
          </w:tcPr>
          <w:p w14:paraId="48227C0A">
            <w:pPr>
              <w:pStyle w:val="109"/>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417" w:type="pct"/>
            <w:tcBorders>
              <w:top w:val="nil"/>
              <w:left w:val="nil"/>
              <w:bottom w:val="single" w:color="auto" w:sz="4" w:space="0"/>
              <w:right w:val="single" w:color="auto" w:sz="4" w:space="0"/>
            </w:tcBorders>
            <w:vAlign w:val="center"/>
          </w:tcPr>
          <w:p w14:paraId="6DFD650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0.004476</w:t>
            </w:r>
          </w:p>
        </w:tc>
        <w:tc>
          <w:tcPr>
            <w:tcW w:w="1052" w:type="pct"/>
            <w:tcBorders>
              <w:top w:val="nil"/>
              <w:left w:val="nil"/>
              <w:bottom w:val="single" w:color="auto" w:sz="4" w:space="0"/>
              <w:right w:val="single" w:color="auto" w:sz="4" w:space="0"/>
            </w:tcBorders>
            <w:vAlign w:val="center"/>
          </w:tcPr>
          <w:p w14:paraId="2D19656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2.24</w:t>
            </w:r>
          </w:p>
        </w:tc>
        <w:tc>
          <w:tcPr>
            <w:tcW w:w="1100" w:type="pct"/>
            <w:tcBorders>
              <w:top w:val="nil"/>
              <w:left w:val="nil"/>
              <w:bottom w:val="single" w:color="auto" w:sz="4" w:space="0"/>
              <w:right w:val="single" w:color="auto" w:sz="4" w:space="0"/>
            </w:tcBorders>
            <w:vAlign w:val="center"/>
          </w:tcPr>
          <w:p w14:paraId="4254128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7BE2C944">
      <w:pPr>
        <w:pStyle w:val="197"/>
        <w:ind w:firstLine="480" w:firstLineChars="2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根据上表，</w:t>
      </w:r>
      <w:bookmarkStart w:id="420" w:name="_Hlk63681135"/>
      <w:r>
        <w:rPr>
          <w:rFonts w:ascii="Times New Roman" w:hAnsi="Times New Roman"/>
          <w:color w:val="000000" w:themeColor="text1"/>
          <w:szCs w:val="24"/>
          <w14:textFill>
            <w14:solidFill>
              <w14:schemeClr w14:val="tx1"/>
            </w14:solidFill>
          </w14:textFill>
        </w:rPr>
        <w:t>本项目P</w:t>
      </w:r>
      <w:r>
        <w:rPr>
          <w:rFonts w:hint="eastAsia" w:ascii="Times New Roman" w:hAnsi="Times New Roman"/>
          <w:color w:val="000000" w:themeColor="text1"/>
          <w:szCs w:val="24"/>
          <w:vertAlign w:val="subscript"/>
          <w14:textFill>
            <w14:solidFill>
              <w14:schemeClr w14:val="tx1"/>
            </w14:solidFill>
          </w14:textFill>
        </w:rPr>
        <w:t>HCl</w:t>
      </w:r>
      <w:r>
        <w:rPr>
          <w:rFonts w:ascii="Times New Roman" w:hAnsi="Times New Roman"/>
          <w:color w:val="000000" w:themeColor="text1"/>
          <w:szCs w:val="24"/>
          <w14:textFill>
            <w14:solidFill>
              <w14:schemeClr w14:val="tx1"/>
            </w14:solidFill>
          </w14:textFill>
        </w:rPr>
        <w:t>max=</w:t>
      </w:r>
      <w:r>
        <w:rPr>
          <w:rFonts w:hint="eastAsia" w:ascii="Times New Roman" w:hAnsi="Times New Roman"/>
          <w:color w:val="000000" w:themeColor="text1"/>
          <w:szCs w:val="24"/>
          <w14:textFill>
            <w14:solidFill>
              <w14:schemeClr w14:val="tx1"/>
            </w14:solidFill>
          </w14:textFill>
        </w:rPr>
        <w:t>4.62</w:t>
      </w:r>
      <w:r>
        <w:rPr>
          <w:rFonts w:ascii="Times New Roman" w:hAnsi="Times New Roman"/>
          <w:color w:val="000000" w:themeColor="text1"/>
          <w:szCs w:val="24"/>
          <w14:textFill>
            <w14:solidFill>
              <w14:schemeClr w14:val="tx1"/>
            </w14:solidFill>
          </w14:textFill>
        </w:rPr>
        <w:t>%，D</w:t>
      </w:r>
      <w:r>
        <w:rPr>
          <w:rFonts w:ascii="Times New Roman" w:hAnsi="Times New Roman"/>
          <w:color w:val="000000" w:themeColor="text1"/>
          <w:szCs w:val="24"/>
          <w:vertAlign w:val="subscript"/>
          <w14:textFill>
            <w14:solidFill>
              <w14:schemeClr w14:val="tx1"/>
            </w14:solidFill>
          </w14:textFill>
        </w:rPr>
        <w:t>10%</w:t>
      </w:r>
      <w:r>
        <w:rPr>
          <w:rFonts w:ascii="Times New Roman" w:hAnsi="Times New Roman"/>
          <w:color w:val="000000" w:themeColor="text1"/>
          <w:szCs w:val="24"/>
          <w14:textFill>
            <w14:solidFill>
              <w14:schemeClr w14:val="tx1"/>
            </w14:solidFill>
          </w14:textFill>
        </w:rPr>
        <w:t>未出现。因此，环境空气影响评价等级定为二级</w:t>
      </w:r>
      <w:bookmarkEnd w:id="420"/>
      <w:r>
        <w:rPr>
          <w:rFonts w:ascii="Times New Roman" w:hAnsi="Times New Roman"/>
          <w:color w:val="000000" w:themeColor="text1"/>
          <w:szCs w:val="24"/>
          <w14:textFill>
            <w14:solidFill>
              <w14:schemeClr w14:val="tx1"/>
            </w14:solidFill>
          </w14:textFill>
        </w:rPr>
        <w:t>，评价范围取以该项目区为中心，边长5km矩形区域范围。</w:t>
      </w:r>
      <w:bookmarkEnd w:id="418"/>
    </w:p>
    <w:bookmarkEnd w:id="414"/>
    <w:p w14:paraId="7DE9C484">
      <w:pPr>
        <w:pStyle w:val="4"/>
        <w:rPr>
          <w:color w:val="000000" w:themeColor="text1"/>
          <w14:textFill>
            <w14:solidFill>
              <w14:schemeClr w14:val="tx1"/>
            </w14:solidFill>
          </w14:textFill>
        </w:rPr>
      </w:pPr>
      <w:r>
        <w:rPr>
          <w:color w:val="000000" w:themeColor="text1"/>
          <w14:textFill>
            <w14:solidFill>
              <w14:schemeClr w14:val="tx1"/>
            </w14:solidFill>
          </w14:textFill>
        </w:rPr>
        <w:t>污染物排放量核算</w:t>
      </w:r>
    </w:p>
    <w:p w14:paraId="22C3128E">
      <w:pPr>
        <w:pStyle w:val="197"/>
        <w:ind w:firstLine="48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二级评价项目不进行进一步预测与评价，只对污染物排放量进行核算。</w:t>
      </w:r>
    </w:p>
    <w:p w14:paraId="0C24F4F7">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有组织排放量核算</w:t>
      </w:r>
    </w:p>
    <w:p w14:paraId="00D668B3">
      <w:pPr>
        <w:ind w:firstLine="480"/>
        <w:rPr>
          <w:color w:val="000000" w:themeColor="text1"/>
          <w14:textFill>
            <w14:solidFill>
              <w14:schemeClr w14:val="tx1"/>
            </w14:solidFill>
          </w14:textFill>
        </w:rPr>
      </w:pPr>
      <w:r>
        <w:rPr>
          <w:color w:val="000000" w:themeColor="text1"/>
          <w14:textFill>
            <w14:solidFill>
              <w14:schemeClr w14:val="tx1"/>
            </w14:solidFill>
          </w14:textFill>
        </w:rPr>
        <w:t>项目有组织排放量核算见下表。</w:t>
      </w:r>
    </w:p>
    <w:p w14:paraId="3C7B3AA6">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项目有组织排放量核算表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034"/>
        <w:gridCol w:w="1706"/>
        <w:gridCol w:w="1870"/>
        <w:gridCol w:w="2016"/>
        <w:gridCol w:w="1860"/>
      </w:tblGrid>
      <w:tr w14:paraId="42E9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top w:val="single" w:color="auto" w:sz="4" w:space="0"/>
              <w:left w:val="single" w:color="auto" w:sz="4" w:space="0"/>
              <w:bottom w:val="single" w:color="auto" w:sz="4" w:space="0"/>
              <w:right w:val="single" w:color="auto" w:sz="4" w:space="0"/>
            </w:tcBorders>
            <w:vAlign w:val="center"/>
          </w:tcPr>
          <w:p w14:paraId="5E85BECE">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37" w:type="pct"/>
            <w:tcBorders>
              <w:top w:val="single" w:color="auto" w:sz="4" w:space="0"/>
              <w:left w:val="single" w:color="auto" w:sz="4" w:space="0"/>
              <w:bottom w:val="single" w:color="auto" w:sz="4" w:space="0"/>
              <w:right w:val="single" w:color="auto" w:sz="4" w:space="0"/>
            </w:tcBorders>
            <w:vAlign w:val="center"/>
          </w:tcPr>
          <w:p w14:paraId="4BF5DB99">
            <w:pPr>
              <w:pStyle w:val="109"/>
              <w:rPr>
                <w:color w:val="000000" w:themeColor="text1"/>
                <w14:textFill>
                  <w14:solidFill>
                    <w14:schemeClr w14:val="tx1"/>
                  </w14:solidFill>
                </w14:textFill>
              </w:rPr>
            </w:pPr>
            <w:r>
              <w:rPr>
                <w:color w:val="000000" w:themeColor="text1"/>
                <w14:textFill>
                  <w14:solidFill>
                    <w14:schemeClr w14:val="tx1"/>
                  </w14:solidFill>
                </w14:textFill>
              </w:rPr>
              <w:t>排放口</w:t>
            </w:r>
          </w:p>
        </w:tc>
        <w:tc>
          <w:tcPr>
            <w:tcW w:w="886" w:type="pct"/>
            <w:tcBorders>
              <w:top w:val="single" w:color="auto" w:sz="4" w:space="0"/>
              <w:left w:val="single" w:color="auto" w:sz="4" w:space="0"/>
              <w:bottom w:val="single" w:color="auto" w:sz="4" w:space="0"/>
              <w:right w:val="single" w:color="auto" w:sz="4" w:space="0"/>
            </w:tcBorders>
            <w:vAlign w:val="center"/>
          </w:tcPr>
          <w:p w14:paraId="31F6529A">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971" w:type="pct"/>
            <w:tcBorders>
              <w:top w:val="single" w:color="auto" w:sz="4" w:space="0"/>
              <w:left w:val="single" w:color="auto" w:sz="4" w:space="0"/>
              <w:bottom w:val="single" w:color="auto" w:sz="4" w:space="0"/>
              <w:right w:val="single" w:color="auto" w:sz="4" w:space="0"/>
            </w:tcBorders>
            <w:vAlign w:val="center"/>
          </w:tcPr>
          <w:p w14:paraId="51CBA580">
            <w:pPr>
              <w:pStyle w:val="109"/>
              <w:rPr>
                <w:color w:val="000000" w:themeColor="text1"/>
                <w14:textFill>
                  <w14:solidFill>
                    <w14:schemeClr w14:val="tx1"/>
                  </w14:solidFill>
                </w14:textFill>
              </w:rPr>
            </w:pPr>
            <w:r>
              <w:rPr>
                <w:color w:val="000000" w:themeColor="text1"/>
                <w14:textFill>
                  <w14:solidFill>
                    <w14:schemeClr w14:val="tx1"/>
                  </w14:solidFill>
                </w14:textFill>
              </w:rPr>
              <w:t>核算排放浓度（mg/m³）</w:t>
            </w:r>
          </w:p>
        </w:tc>
        <w:tc>
          <w:tcPr>
            <w:tcW w:w="1047" w:type="pct"/>
            <w:tcBorders>
              <w:top w:val="single" w:color="auto" w:sz="4" w:space="0"/>
              <w:left w:val="single" w:color="auto" w:sz="4" w:space="0"/>
              <w:bottom w:val="single" w:color="auto" w:sz="4" w:space="0"/>
              <w:right w:val="single" w:color="auto" w:sz="4" w:space="0"/>
            </w:tcBorders>
            <w:vAlign w:val="center"/>
          </w:tcPr>
          <w:p w14:paraId="0C990B40">
            <w:pPr>
              <w:pStyle w:val="109"/>
              <w:rPr>
                <w:color w:val="000000" w:themeColor="text1"/>
                <w14:textFill>
                  <w14:solidFill>
                    <w14:schemeClr w14:val="tx1"/>
                  </w14:solidFill>
                </w14:textFill>
              </w:rPr>
            </w:pPr>
            <w:r>
              <w:rPr>
                <w:color w:val="000000" w:themeColor="text1"/>
                <w14:textFill>
                  <w14:solidFill>
                    <w14:schemeClr w14:val="tx1"/>
                  </w14:solidFill>
                </w14:textFill>
              </w:rPr>
              <w:t>核算等效排放速率（kg/h）</w:t>
            </w:r>
          </w:p>
        </w:tc>
        <w:tc>
          <w:tcPr>
            <w:tcW w:w="966" w:type="pct"/>
            <w:tcBorders>
              <w:top w:val="single" w:color="auto" w:sz="4" w:space="0"/>
              <w:left w:val="single" w:color="auto" w:sz="4" w:space="0"/>
              <w:bottom w:val="single" w:color="auto" w:sz="4" w:space="0"/>
              <w:right w:val="single" w:color="auto" w:sz="4" w:space="0"/>
            </w:tcBorders>
            <w:vAlign w:val="center"/>
          </w:tcPr>
          <w:p w14:paraId="6651515E">
            <w:pPr>
              <w:pStyle w:val="109"/>
              <w:rPr>
                <w:color w:val="000000" w:themeColor="text1"/>
                <w14:textFill>
                  <w14:solidFill>
                    <w14:schemeClr w14:val="tx1"/>
                  </w14:solidFill>
                </w14:textFill>
              </w:rPr>
            </w:pPr>
            <w:r>
              <w:rPr>
                <w:color w:val="000000" w:themeColor="text1"/>
                <w14:textFill>
                  <w14:solidFill>
                    <w14:schemeClr w14:val="tx1"/>
                  </w14:solidFill>
                </w14:textFill>
              </w:rPr>
              <w:t>核算年排放量</w:t>
            </w:r>
          </w:p>
          <w:p w14:paraId="58AB690D">
            <w:pPr>
              <w:pStyle w:val="109"/>
              <w:rPr>
                <w:color w:val="000000" w:themeColor="text1"/>
                <w14:textFill>
                  <w14:solidFill>
                    <w14:schemeClr w14:val="tx1"/>
                  </w14:solidFill>
                </w14:textFill>
              </w:rPr>
            </w:pPr>
            <w:r>
              <w:rPr>
                <w:color w:val="000000" w:themeColor="text1"/>
                <w14:textFill>
                  <w14:solidFill>
                    <w14:schemeClr w14:val="tx1"/>
                  </w14:solidFill>
                </w14:textFill>
              </w:rPr>
              <w:t>（t/a）</w:t>
            </w:r>
          </w:p>
        </w:tc>
      </w:tr>
      <w:tr w14:paraId="7FED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top w:val="single" w:color="auto" w:sz="4" w:space="0"/>
              <w:left w:val="single" w:color="auto" w:sz="4" w:space="0"/>
              <w:bottom w:val="single" w:color="auto" w:sz="4" w:space="0"/>
              <w:right w:val="single" w:color="auto" w:sz="4" w:space="0"/>
            </w:tcBorders>
            <w:vAlign w:val="center"/>
          </w:tcPr>
          <w:p w14:paraId="2412F0EB">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537" w:type="pct"/>
            <w:tcBorders>
              <w:top w:val="single" w:color="auto" w:sz="4" w:space="0"/>
              <w:left w:val="single" w:color="auto" w:sz="4" w:space="0"/>
              <w:bottom w:val="single" w:color="auto" w:sz="4" w:space="0"/>
              <w:right w:val="single" w:color="auto" w:sz="4" w:space="0"/>
            </w:tcBorders>
            <w:vAlign w:val="center"/>
          </w:tcPr>
          <w:p w14:paraId="05B1253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DA001</w:t>
            </w:r>
          </w:p>
        </w:tc>
        <w:tc>
          <w:tcPr>
            <w:tcW w:w="886" w:type="pct"/>
            <w:tcBorders>
              <w:top w:val="single" w:color="auto" w:sz="4" w:space="0"/>
              <w:left w:val="single" w:color="auto" w:sz="4" w:space="0"/>
              <w:bottom w:val="single" w:color="auto" w:sz="4" w:space="0"/>
              <w:right w:val="single" w:color="auto" w:sz="4" w:space="0"/>
            </w:tcBorders>
            <w:vAlign w:val="center"/>
          </w:tcPr>
          <w:p w14:paraId="77EC76A7">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VOCs</w:t>
            </w:r>
          </w:p>
        </w:tc>
        <w:tc>
          <w:tcPr>
            <w:tcW w:w="971" w:type="pct"/>
            <w:tcBorders>
              <w:top w:val="single" w:color="auto" w:sz="4" w:space="0"/>
              <w:left w:val="single" w:color="auto" w:sz="4" w:space="0"/>
              <w:bottom w:val="single" w:color="auto" w:sz="4" w:space="0"/>
              <w:right w:val="single" w:color="auto" w:sz="4" w:space="0"/>
            </w:tcBorders>
            <w:vAlign w:val="center"/>
          </w:tcPr>
          <w:p w14:paraId="4590EB2A">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1.5</w:t>
            </w:r>
          </w:p>
        </w:tc>
        <w:tc>
          <w:tcPr>
            <w:tcW w:w="1047" w:type="pct"/>
            <w:tcBorders>
              <w:top w:val="single" w:color="auto" w:sz="4" w:space="0"/>
              <w:left w:val="single" w:color="auto" w:sz="4" w:space="0"/>
              <w:bottom w:val="single" w:color="auto" w:sz="4" w:space="0"/>
              <w:right w:val="single" w:color="auto" w:sz="4" w:space="0"/>
            </w:tcBorders>
            <w:vAlign w:val="center"/>
          </w:tcPr>
          <w:p w14:paraId="639A85E5">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0.031</w:t>
            </w:r>
          </w:p>
        </w:tc>
        <w:tc>
          <w:tcPr>
            <w:tcW w:w="966" w:type="pct"/>
            <w:tcBorders>
              <w:top w:val="single" w:color="auto" w:sz="4" w:space="0"/>
              <w:left w:val="single" w:color="auto" w:sz="4" w:space="0"/>
              <w:bottom w:val="single" w:color="auto" w:sz="4" w:space="0"/>
              <w:right w:val="single" w:color="auto" w:sz="4" w:space="0"/>
            </w:tcBorders>
            <w:vAlign w:val="center"/>
          </w:tcPr>
          <w:p w14:paraId="3A0F81A7">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0.25</w:t>
            </w:r>
          </w:p>
        </w:tc>
      </w:tr>
      <w:tr w14:paraId="2AB4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top w:val="single" w:color="auto" w:sz="4" w:space="0"/>
              <w:left w:val="single" w:color="auto" w:sz="4" w:space="0"/>
              <w:right w:val="single" w:color="auto" w:sz="4" w:space="0"/>
            </w:tcBorders>
            <w:vAlign w:val="center"/>
          </w:tcPr>
          <w:p w14:paraId="5B27DCF4">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537" w:type="pct"/>
            <w:tcBorders>
              <w:top w:val="single" w:color="auto" w:sz="4" w:space="0"/>
              <w:left w:val="single" w:color="auto" w:sz="4" w:space="0"/>
              <w:right w:val="single" w:color="auto" w:sz="4" w:space="0"/>
            </w:tcBorders>
            <w:vAlign w:val="center"/>
          </w:tcPr>
          <w:p w14:paraId="235466F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DA002</w:t>
            </w:r>
          </w:p>
        </w:tc>
        <w:tc>
          <w:tcPr>
            <w:tcW w:w="886" w:type="pct"/>
            <w:tcBorders>
              <w:top w:val="single" w:color="auto" w:sz="4" w:space="0"/>
              <w:left w:val="single" w:color="auto" w:sz="4" w:space="0"/>
              <w:bottom w:val="single" w:color="auto" w:sz="4" w:space="0"/>
              <w:right w:val="single" w:color="auto" w:sz="4" w:space="0"/>
            </w:tcBorders>
            <w:vAlign w:val="center"/>
          </w:tcPr>
          <w:p w14:paraId="77FEE1E7">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71" w:type="pct"/>
            <w:tcBorders>
              <w:top w:val="single" w:color="auto" w:sz="4" w:space="0"/>
              <w:left w:val="single" w:color="auto" w:sz="4" w:space="0"/>
              <w:bottom w:val="single" w:color="auto" w:sz="4" w:space="0"/>
              <w:right w:val="single" w:color="auto" w:sz="4" w:space="0"/>
            </w:tcBorders>
            <w:vAlign w:val="center"/>
          </w:tcPr>
          <w:p w14:paraId="082D4266">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18.2</w:t>
            </w:r>
          </w:p>
        </w:tc>
        <w:tc>
          <w:tcPr>
            <w:tcW w:w="1047" w:type="pct"/>
            <w:tcBorders>
              <w:top w:val="single" w:color="auto" w:sz="4" w:space="0"/>
              <w:left w:val="single" w:color="auto" w:sz="4" w:space="0"/>
              <w:bottom w:val="single" w:color="auto" w:sz="4" w:space="0"/>
              <w:right w:val="single" w:color="auto" w:sz="4" w:space="0"/>
            </w:tcBorders>
            <w:vAlign w:val="center"/>
          </w:tcPr>
          <w:p w14:paraId="4B58F0B0">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0.073</w:t>
            </w:r>
          </w:p>
        </w:tc>
        <w:tc>
          <w:tcPr>
            <w:tcW w:w="966" w:type="pct"/>
            <w:tcBorders>
              <w:top w:val="single" w:color="auto" w:sz="4" w:space="0"/>
              <w:left w:val="single" w:color="auto" w:sz="4" w:space="0"/>
              <w:bottom w:val="single" w:color="auto" w:sz="4" w:space="0"/>
              <w:right w:val="single" w:color="auto" w:sz="4" w:space="0"/>
            </w:tcBorders>
            <w:vAlign w:val="center"/>
          </w:tcPr>
          <w:p w14:paraId="2E165B2B">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0.583</w:t>
            </w:r>
          </w:p>
        </w:tc>
      </w:tr>
      <w:tr w14:paraId="1215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605BDC70">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537" w:type="pct"/>
            <w:vMerge w:val="restart"/>
            <w:tcBorders>
              <w:left w:val="single" w:color="auto" w:sz="4" w:space="0"/>
              <w:right w:val="single" w:color="auto" w:sz="4" w:space="0"/>
            </w:tcBorders>
            <w:vAlign w:val="center"/>
          </w:tcPr>
          <w:p w14:paraId="3F24ACF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DA003</w:t>
            </w:r>
          </w:p>
        </w:tc>
        <w:tc>
          <w:tcPr>
            <w:tcW w:w="886" w:type="pct"/>
            <w:tcBorders>
              <w:top w:val="single" w:color="auto" w:sz="4" w:space="0"/>
              <w:left w:val="single" w:color="auto" w:sz="4" w:space="0"/>
              <w:bottom w:val="single" w:color="auto" w:sz="4" w:space="0"/>
              <w:right w:val="single" w:color="auto" w:sz="4" w:space="0"/>
            </w:tcBorders>
            <w:vAlign w:val="center"/>
          </w:tcPr>
          <w:p w14:paraId="7D0BAE35">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CO</w:t>
            </w:r>
          </w:p>
        </w:tc>
        <w:tc>
          <w:tcPr>
            <w:tcW w:w="971" w:type="pct"/>
            <w:tcBorders>
              <w:top w:val="single" w:color="auto" w:sz="4" w:space="0"/>
              <w:left w:val="single" w:color="auto" w:sz="4" w:space="0"/>
              <w:bottom w:val="single" w:color="auto" w:sz="4" w:space="0"/>
              <w:right w:val="single" w:color="auto" w:sz="4" w:space="0"/>
            </w:tcBorders>
            <w:vAlign w:val="center"/>
          </w:tcPr>
          <w:p w14:paraId="44270F7B">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72.92</w:t>
            </w:r>
          </w:p>
        </w:tc>
        <w:tc>
          <w:tcPr>
            <w:tcW w:w="1047" w:type="pct"/>
            <w:tcBorders>
              <w:top w:val="single" w:color="auto" w:sz="4" w:space="0"/>
              <w:left w:val="single" w:color="auto" w:sz="4" w:space="0"/>
              <w:bottom w:val="single" w:color="auto" w:sz="4" w:space="0"/>
              <w:right w:val="single" w:color="auto" w:sz="4" w:space="0"/>
            </w:tcBorders>
            <w:vAlign w:val="center"/>
          </w:tcPr>
          <w:p w14:paraId="2989AEA3">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0.2917</w:t>
            </w:r>
          </w:p>
        </w:tc>
        <w:tc>
          <w:tcPr>
            <w:tcW w:w="966" w:type="pct"/>
            <w:tcBorders>
              <w:top w:val="single" w:color="auto" w:sz="4" w:space="0"/>
              <w:left w:val="single" w:color="auto" w:sz="4" w:space="0"/>
              <w:bottom w:val="single" w:color="auto" w:sz="4" w:space="0"/>
              <w:right w:val="single" w:color="auto" w:sz="4" w:space="0"/>
            </w:tcBorders>
            <w:vAlign w:val="center"/>
          </w:tcPr>
          <w:p w14:paraId="21FD6B99">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2.333</w:t>
            </w:r>
          </w:p>
        </w:tc>
      </w:tr>
      <w:tr w14:paraId="2F4B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608AB257">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537" w:type="pct"/>
            <w:vMerge w:val="continue"/>
            <w:tcBorders>
              <w:left w:val="single" w:color="auto" w:sz="4" w:space="0"/>
              <w:right w:val="single" w:color="auto" w:sz="4" w:space="0"/>
            </w:tcBorders>
            <w:vAlign w:val="center"/>
          </w:tcPr>
          <w:p w14:paraId="43E89DA1">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4DF40427">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NOx</w:t>
            </w:r>
          </w:p>
        </w:tc>
        <w:tc>
          <w:tcPr>
            <w:tcW w:w="971" w:type="pct"/>
            <w:tcBorders>
              <w:top w:val="single" w:color="auto" w:sz="4" w:space="0"/>
              <w:left w:val="single" w:color="auto" w:sz="4" w:space="0"/>
              <w:bottom w:val="single" w:color="auto" w:sz="4" w:space="0"/>
              <w:right w:val="single" w:color="auto" w:sz="4" w:space="0"/>
            </w:tcBorders>
            <w:vAlign w:val="center"/>
          </w:tcPr>
          <w:p w14:paraId="25501DC4">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84.09</w:t>
            </w:r>
          </w:p>
        </w:tc>
        <w:tc>
          <w:tcPr>
            <w:tcW w:w="1047" w:type="pct"/>
            <w:tcBorders>
              <w:top w:val="single" w:color="auto" w:sz="4" w:space="0"/>
              <w:left w:val="single" w:color="auto" w:sz="4" w:space="0"/>
              <w:bottom w:val="single" w:color="auto" w:sz="4" w:space="0"/>
              <w:right w:val="single" w:color="auto" w:sz="4" w:space="0"/>
            </w:tcBorders>
            <w:vAlign w:val="center"/>
          </w:tcPr>
          <w:p w14:paraId="0D92BAA1">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0.336</w:t>
            </w:r>
          </w:p>
        </w:tc>
        <w:tc>
          <w:tcPr>
            <w:tcW w:w="966" w:type="pct"/>
            <w:tcBorders>
              <w:top w:val="single" w:color="auto" w:sz="4" w:space="0"/>
              <w:left w:val="single" w:color="auto" w:sz="4" w:space="0"/>
              <w:bottom w:val="single" w:color="auto" w:sz="4" w:space="0"/>
              <w:right w:val="single" w:color="auto" w:sz="4" w:space="0"/>
            </w:tcBorders>
            <w:vAlign w:val="center"/>
          </w:tcPr>
          <w:p w14:paraId="510E5E7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2.691</w:t>
            </w:r>
          </w:p>
        </w:tc>
      </w:tr>
      <w:tr w14:paraId="6902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6E3199BD">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537" w:type="pct"/>
            <w:vMerge w:val="continue"/>
            <w:tcBorders>
              <w:left w:val="single" w:color="auto" w:sz="4" w:space="0"/>
              <w:right w:val="single" w:color="auto" w:sz="4" w:space="0"/>
            </w:tcBorders>
            <w:vAlign w:val="center"/>
          </w:tcPr>
          <w:p w14:paraId="7FE3DD25">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63A7CD73">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SO</w:t>
            </w:r>
            <w:r>
              <w:rPr>
                <w:rFonts w:eastAsia="等线"/>
                <w:color w:val="000000" w:themeColor="text1"/>
                <w:szCs w:val="21"/>
                <w:vertAlign w:val="subscript"/>
                <w14:textFill>
                  <w14:solidFill>
                    <w14:schemeClr w14:val="tx1"/>
                  </w14:solidFill>
                </w14:textFill>
              </w:rPr>
              <w:t>2</w:t>
            </w:r>
          </w:p>
        </w:tc>
        <w:tc>
          <w:tcPr>
            <w:tcW w:w="971" w:type="pct"/>
            <w:tcBorders>
              <w:top w:val="single" w:color="auto" w:sz="4" w:space="0"/>
              <w:left w:val="single" w:color="auto" w:sz="4" w:space="0"/>
              <w:bottom w:val="single" w:color="auto" w:sz="4" w:space="0"/>
              <w:right w:val="single" w:color="auto" w:sz="4" w:space="0"/>
            </w:tcBorders>
            <w:vAlign w:val="center"/>
          </w:tcPr>
          <w:p w14:paraId="37819C1B">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62.5</w:t>
            </w:r>
          </w:p>
        </w:tc>
        <w:tc>
          <w:tcPr>
            <w:tcW w:w="1047" w:type="pct"/>
            <w:tcBorders>
              <w:top w:val="single" w:color="auto" w:sz="4" w:space="0"/>
              <w:left w:val="single" w:color="auto" w:sz="4" w:space="0"/>
              <w:bottom w:val="single" w:color="auto" w:sz="4" w:space="0"/>
              <w:right w:val="single" w:color="auto" w:sz="4" w:space="0"/>
            </w:tcBorders>
            <w:vAlign w:val="center"/>
          </w:tcPr>
          <w:p w14:paraId="024E7DCC">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0.25</w:t>
            </w:r>
          </w:p>
        </w:tc>
        <w:tc>
          <w:tcPr>
            <w:tcW w:w="966" w:type="pct"/>
            <w:tcBorders>
              <w:top w:val="single" w:color="auto" w:sz="4" w:space="0"/>
              <w:left w:val="single" w:color="auto" w:sz="4" w:space="0"/>
              <w:bottom w:val="single" w:color="auto" w:sz="4" w:space="0"/>
              <w:right w:val="single" w:color="auto" w:sz="4" w:space="0"/>
            </w:tcBorders>
            <w:vAlign w:val="center"/>
          </w:tcPr>
          <w:p w14:paraId="183CA140">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w:t>
            </w:r>
          </w:p>
        </w:tc>
      </w:tr>
      <w:tr w14:paraId="64F3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2D52D51D">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537" w:type="pct"/>
            <w:vMerge w:val="continue"/>
            <w:tcBorders>
              <w:left w:val="single" w:color="auto" w:sz="4" w:space="0"/>
              <w:right w:val="single" w:color="auto" w:sz="4" w:space="0"/>
            </w:tcBorders>
            <w:vAlign w:val="center"/>
          </w:tcPr>
          <w:p w14:paraId="5DC688BC">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24786DEA">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HF</w:t>
            </w:r>
          </w:p>
        </w:tc>
        <w:tc>
          <w:tcPr>
            <w:tcW w:w="971" w:type="pct"/>
            <w:tcBorders>
              <w:top w:val="single" w:color="auto" w:sz="4" w:space="0"/>
              <w:left w:val="single" w:color="auto" w:sz="4" w:space="0"/>
              <w:bottom w:val="single" w:color="auto" w:sz="4" w:space="0"/>
              <w:right w:val="single" w:color="auto" w:sz="4" w:space="0"/>
            </w:tcBorders>
            <w:vAlign w:val="center"/>
          </w:tcPr>
          <w:p w14:paraId="3B1D66C6">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1.64</w:t>
            </w:r>
          </w:p>
        </w:tc>
        <w:tc>
          <w:tcPr>
            <w:tcW w:w="1047" w:type="pct"/>
            <w:tcBorders>
              <w:top w:val="single" w:color="auto" w:sz="4" w:space="0"/>
              <w:left w:val="single" w:color="auto" w:sz="4" w:space="0"/>
              <w:bottom w:val="single" w:color="auto" w:sz="4" w:space="0"/>
              <w:right w:val="single" w:color="auto" w:sz="4" w:space="0"/>
            </w:tcBorders>
            <w:vAlign w:val="center"/>
          </w:tcPr>
          <w:p w14:paraId="71FC9FAE">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0.0066</w:t>
            </w:r>
          </w:p>
        </w:tc>
        <w:tc>
          <w:tcPr>
            <w:tcW w:w="966" w:type="pct"/>
            <w:tcBorders>
              <w:top w:val="single" w:color="auto" w:sz="4" w:space="0"/>
              <w:left w:val="single" w:color="auto" w:sz="4" w:space="0"/>
              <w:bottom w:val="single" w:color="auto" w:sz="4" w:space="0"/>
              <w:right w:val="single" w:color="auto" w:sz="4" w:space="0"/>
            </w:tcBorders>
            <w:vAlign w:val="center"/>
          </w:tcPr>
          <w:p w14:paraId="0386C9AE">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0.053</w:t>
            </w:r>
          </w:p>
        </w:tc>
      </w:tr>
      <w:tr w14:paraId="6F9A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7755B68E">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537" w:type="pct"/>
            <w:vMerge w:val="continue"/>
            <w:tcBorders>
              <w:left w:val="single" w:color="auto" w:sz="4" w:space="0"/>
              <w:right w:val="single" w:color="auto" w:sz="4" w:space="0"/>
            </w:tcBorders>
            <w:vAlign w:val="center"/>
          </w:tcPr>
          <w:p w14:paraId="2E496318">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506B4CC9">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HCl</w:t>
            </w:r>
          </w:p>
        </w:tc>
        <w:tc>
          <w:tcPr>
            <w:tcW w:w="971" w:type="pct"/>
            <w:tcBorders>
              <w:top w:val="single" w:color="auto" w:sz="4" w:space="0"/>
              <w:left w:val="single" w:color="auto" w:sz="4" w:space="0"/>
              <w:bottom w:val="single" w:color="auto" w:sz="4" w:space="0"/>
              <w:right w:val="single" w:color="auto" w:sz="4" w:space="0"/>
            </w:tcBorders>
            <w:vAlign w:val="center"/>
          </w:tcPr>
          <w:p w14:paraId="3F6D964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48.23</w:t>
            </w:r>
          </w:p>
        </w:tc>
        <w:tc>
          <w:tcPr>
            <w:tcW w:w="1047" w:type="pct"/>
            <w:tcBorders>
              <w:top w:val="single" w:color="auto" w:sz="4" w:space="0"/>
              <w:left w:val="single" w:color="auto" w:sz="4" w:space="0"/>
              <w:bottom w:val="single" w:color="auto" w:sz="4" w:space="0"/>
              <w:right w:val="single" w:color="auto" w:sz="4" w:space="0"/>
            </w:tcBorders>
            <w:vAlign w:val="center"/>
          </w:tcPr>
          <w:p w14:paraId="6A2B2B22">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0.193</w:t>
            </w:r>
          </w:p>
        </w:tc>
        <w:tc>
          <w:tcPr>
            <w:tcW w:w="966" w:type="pct"/>
            <w:tcBorders>
              <w:top w:val="single" w:color="auto" w:sz="4" w:space="0"/>
              <w:left w:val="single" w:color="auto" w:sz="4" w:space="0"/>
              <w:bottom w:val="single" w:color="auto" w:sz="4" w:space="0"/>
              <w:right w:val="single" w:color="auto" w:sz="4" w:space="0"/>
            </w:tcBorders>
            <w:vAlign w:val="center"/>
          </w:tcPr>
          <w:p w14:paraId="1522B589">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1.543</w:t>
            </w:r>
          </w:p>
        </w:tc>
      </w:tr>
      <w:tr w14:paraId="0BBC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271F5652">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537" w:type="pct"/>
            <w:vMerge w:val="continue"/>
            <w:tcBorders>
              <w:left w:val="single" w:color="auto" w:sz="4" w:space="0"/>
              <w:right w:val="single" w:color="auto" w:sz="4" w:space="0"/>
            </w:tcBorders>
            <w:vAlign w:val="center"/>
          </w:tcPr>
          <w:p w14:paraId="783F4C0C">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2F555468">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汞及其化合物</w:t>
            </w:r>
          </w:p>
        </w:tc>
        <w:tc>
          <w:tcPr>
            <w:tcW w:w="971" w:type="pct"/>
            <w:tcBorders>
              <w:top w:val="single" w:color="auto" w:sz="4" w:space="0"/>
              <w:left w:val="single" w:color="auto" w:sz="4" w:space="0"/>
              <w:bottom w:val="single" w:color="auto" w:sz="4" w:space="0"/>
              <w:right w:val="single" w:color="auto" w:sz="4" w:space="0"/>
            </w:tcBorders>
            <w:vAlign w:val="center"/>
          </w:tcPr>
          <w:p w14:paraId="7793F0EB">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0.0031</w:t>
            </w:r>
          </w:p>
        </w:tc>
        <w:tc>
          <w:tcPr>
            <w:tcW w:w="1047" w:type="pct"/>
            <w:tcBorders>
              <w:top w:val="single" w:color="auto" w:sz="4" w:space="0"/>
              <w:left w:val="single" w:color="auto" w:sz="4" w:space="0"/>
              <w:bottom w:val="single" w:color="auto" w:sz="4" w:space="0"/>
              <w:right w:val="single" w:color="auto" w:sz="4" w:space="0"/>
            </w:tcBorders>
            <w:vAlign w:val="center"/>
          </w:tcPr>
          <w:p w14:paraId="018E711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0.0000125</w:t>
            </w:r>
          </w:p>
        </w:tc>
        <w:tc>
          <w:tcPr>
            <w:tcW w:w="966" w:type="pct"/>
            <w:tcBorders>
              <w:top w:val="single" w:color="auto" w:sz="4" w:space="0"/>
              <w:left w:val="single" w:color="auto" w:sz="4" w:space="0"/>
              <w:bottom w:val="single" w:color="auto" w:sz="4" w:space="0"/>
              <w:right w:val="single" w:color="auto" w:sz="4" w:space="0"/>
            </w:tcBorders>
            <w:vAlign w:val="center"/>
          </w:tcPr>
          <w:p w14:paraId="509553CD">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0.0001</w:t>
            </w:r>
          </w:p>
        </w:tc>
      </w:tr>
      <w:tr w14:paraId="5328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6071C277">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537" w:type="pct"/>
            <w:vMerge w:val="continue"/>
            <w:tcBorders>
              <w:left w:val="single" w:color="auto" w:sz="4" w:space="0"/>
              <w:right w:val="single" w:color="auto" w:sz="4" w:space="0"/>
            </w:tcBorders>
            <w:vAlign w:val="center"/>
          </w:tcPr>
          <w:p w14:paraId="073E4732">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7B3DF538">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铊及其化合物</w:t>
            </w:r>
          </w:p>
        </w:tc>
        <w:tc>
          <w:tcPr>
            <w:tcW w:w="971" w:type="pct"/>
            <w:tcBorders>
              <w:top w:val="single" w:color="auto" w:sz="4" w:space="0"/>
              <w:left w:val="single" w:color="auto" w:sz="4" w:space="0"/>
              <w:bottom w:val="single" w:color="auto" w:sz="4" w:space="0"/>
              <w:right w:val="single" w:color="auto" w:sz="4" w:space="0"/>
            </w:tcBorders>
            <w:vAlign w:val="center"/>
          </w:tcPr>
          <w:p w14:paraId="12F55E0E">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0.0002</w:t>
            </w:r>
          </w:p>
        </w:tc>
        <w:tc>
          <w:tcPr>
            <w:tcW w:w="1047" w:type="pct"/>
            <w:tcBorders>
              <w:top w:val="single" w:color="auto" w:sz="4" w:space="0"/>
              <w:left w:val="single" w:color="auto" w:sz="4" w:space="0"/>
              <w:bottom w:val="single" w:color="auto" w:sz="4" w:space="0"/>
              <w:right w:val="single" w:color="auto" w:sz="4" w:space="0"/>
            </w:tcBorders>
            <w:vAlign w:val="center"/>
          </w:tcPr>
          <w:p w14:paraId="6A260A89">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6.25E-07</w:t>
            </w:r>
          </w:p>
        </w:tc>
        <w:tc>
          <w:tcPr>
            <w:tcW w:w="966" w:type="pct"/>
            <w:tcBorders>
              <w:top w:val="single" w:color="auto" w:sz="4" w:space="0"/>
              <w:left w:val="single" w:color="auto" w:sz="4" w:space="0"/>
              <w:bottom w:val="single" w:color="auto" w:sz="4" w:space="0"/>
              <w:right w:val="single" w:color="auto" w:sz="4" w:space="0"/>
            </w:tcBorders>
            <w:vAlign w:val="center"/>
          </w:tcPr>
          <w:p w14:paraId="506F2699">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0.000005</w:t>
            </w:r>
          </w:p>
        </w:tc>
      </w:tr>
      <w:tr w14:paraId="5FF9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5A7FB94C">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37" w:type="pct"/>
            <w:vMerge w:val="continue"/>
            <w:tcBorders>
              <w:left w:val="single" w:color="auto" w:sz="4" w:space="0"/>
              <w:right w:val="single" w:color="auto" w:sz="4" w:space="0"/>
            </w:tcBorders>
            <w:vAlign w:val="center"/>
          </w:tcPr>
          <w:p w14:paraId="70F47C56">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7D5CE9E1">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镉及其化合物</w:t>
            </w:r>
          </w:p>
        </w:tc>
        <w:tc>
          <w:tcPr>
            <w:tcW w:w="971" w:type="pct"/>
            <w:tcBorders>
              <w:top w:val="single" w:color="auto" w:sz="4" w:space="0"/>
              <w:left w:val="single" w:color="auto" w:sz="4" w:space="0"/>
              <w:bottom w:val="single" w:color="auto" w:sz="4" w:space="0"/>
              <w:right w:val="single" w:color="auto" w:sz="4" w:space="0"/>
            </w:tcBorders>
            <w:vAlign w:val="center"/>
          </w:tcPr>
          <w:p w14:paraId="70856A6D">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0.0094</w:t>
            </w:r>
          </w:p>
        </w:tc>
        <w:tc>
          <w:tcPr>
            <w:tcW w:w="1047" w:type="pct"/>
            <w:tcBorders>
              <w:top w:val="single" w:color="auto" w:sz="4" w:space="0"/>
              <w:left w:val="single" w:color="auto" w:sz="4" w:space="0"/>
              <w:bottom w:val="single" w:color="auto" w:sz="4" w:space="0"/>
              <w:right w:val="single" w:color="auto" w:sz="4" w:space="0"/>
            </w:tcBorders>
            <w:vAlign w:val="center"/>
          </w:tcPr>
          <w:p w14:paraId="4950C405">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0.0000375</w:t>
            </w:r>
          </w:p>
        </w:tc>
        <w:tc>
          <w:tcPr>
            <w:tcW w:w="966" w:type="pct"/>
            <w:tcBorders>
              <w:top w:val="single" w:color="auto" w:sz="4" w:space="0"/>
              <w:left w:val="single" w:color="auto" w:sz="4" w:space="0"/>
              <w:bottom w:val="single" w:color="auto" w:sz="4" w:space="0"/>
              <w:right w:val="single" w:color="auto" w:sz="4" w:space="0"/>
            </w:tcBorders>
            <w:vAlign w:val="center"/>
          </w:tcPr>
          <w:p w14:paraId="3A7CC75D">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0.0003</w:t>
            </w:r>
          </w:p>
        </w:tc>
      </w:tr>
      <w:tr w14:paraId="5CFA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6EE44EF6">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537" w:type="pct"/>
            <w:vMerge w:val="continue"/>
            <w:tcBorders>
              <w:left w:val="single" w:color="auto" w:sz="4" w:space="0"/>
              <w:right w:val="single" w:color="auto" w:sz="4" w:space="0"/>
            </w:tcBorders>
            <w:vAlign w:val="center"/>
          </w:tcPr>
          <w:p w14:paraId="47B62ED9">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333021DC">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铅及其化合物</w:t>
            </w:r>
          </w:p>
        </w:tc>
        <w:tc>
          <w:tcPr>
            <w:tcW w:w="971" w:type="pct"/>
            <w:tcBorders>
              <w:top w:val="single" w:color="auto" w:sz="4" w:space="0"/>
              <w:left w:val="single" w:color="auto" w:sz="4" w:space="0"/>
              <w:bottom w:val="single" w:color="auto" w:sz="4" w:space="0"/>
              <w:right w:val="single" w:color="auto" w:sz="4" w:space="0"/>
            </w:tcBorders>
            <w:vAlign w:val="center"/>
          </w:tcPr>
          <w:p w14:paraId="588FC565">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0.031</w:t>
            </w:r>
          </w:p>
        </w:tc>
        <w:tc>
          <w:tcPr>
            <w:tcW w:w="1047" w:type="pct"/>
            <w:tcBorders>
              <w:top w:val="single" w:color="auto" w:sz="4" w:space="0"/>
              <w:left w:val="single" w:color="auto" w:sz="4" w:space="0"/>
              <w:bottom w:val="single" w:color="auto" w:sz="4" w:space="0"/>
              <w:right w:val="single" w:color="auto" w:sz="4" w:space="0"/>
            </w:tcBorders>
            <w:vAlign w:val="center"/>
          </w:tcPr>
          <w:p w14:paraId="1E9490AE">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0.00013</w:t>
            </w:r>
          </w:p>
        </w:tc>
        <w:tc>
          <w:tcPr>
            <w:tcW w:w="966" w:type="pct"/>
            <w:tcBorders>
              <w:top w:val="single" w:color="auto" w:sz="4" w:space="0"/>
              <w:left w:val="single" w:color="auto" w:sz="4" w:space="0"/>
              <w:bottom w:val="single" w:color="auto" w:sz="4" w:space="0"/>
              <w:right w:val="single" w:color="auto" w:sz="4" w:space="0"/>
            </w:tcBorders>
            <w:vAlign w:val="center"/>
          </w:tcPr>
          <w:p w14:paraId="447F26A5">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0.001</w:t>
            </w:r>
          </w:p>
        </w:tc>
      </w:tr>
      <w:tr w14:paraId="359D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0F4367C7">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537" w:type="pct"/>
            <w:vMerge w:val="continue"/>
            <w:tcBorders>
              <w:left w:val="single" w:color="auto" w:sz="4" w:space="0"/>
              <w:right w:val="single" w:color="auto" w:sz="4" w:space="0"/>
            </w:tcBorders>
            <w:vAlign w:val="center"/>
          </w:tcPr>
          <w:p w14:paraId="27F0E83B">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6009D5FB">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砷及其化合物</w:t>
            </w:r>
          </w:p>
        </w:tc>
        <w:tc>
          <w:tcPr>
            <w:tcW w:w="971" w:type="pct"/>
            <w:tcBorders>
              <w:top w:val="single" w:color="auto" w:sz="4" w:space="0"/>
              <w:left w:val="single" w:color="auto" w:sz="4" w:space="0"/>
              <w:bottom w:val="single" w:color="auto" w:sz="4" w:space="0"/>
              <w:right w:val="single" w:color="auto" w:sz="4" w:space="0"/>
            </w:tcBorders>
            <w:vAlign w:val="center"/>
          </w:tcPr>
          <w:p w14:paraId="7462E103">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0.063</w:t>
            </w:r>
          </w:p>
        </w:tc>
        <w:tc>
          <w:tcPr>
            <w:tcW w:w="1047" w:type="pct"/>
            <w:tcBorders>
              <w:top w:val="single" w:color="auto" w:sz="4" w:space="0"/>
              <w:left w:val="single" w:color="auto" w:sz="4" w:space="0"/>
              <w:bottom w:val="single" w:color="auto" w:sz="4" w:space="0"/>
              <w:right w:val="single" w:color="auto" w:sz="4" w:space="0"/>
            </w:tcBorders>
            <w:vAlign w:val="center"/>
          </w:tcPr>
          <w:p w14:paraId="105F2056">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0.00025</w:t>
            </w:r>
          </w:p>
        </w:tc>
        <w:tc>
          <w:tcPr>
            <w:tcW w:w="966" w:type="pct"/>
            <w:tcBorders>
              <w:top w:val="single" w:color="auto" w:sz="4" w:space="0"/>
              <w:left w:val="single" w:color="auto" w:sz="4" w:space="0"/>
              <w:bottom w:val="single" w:color="auto" w:sz="4" w:space="0"/>
              <w:right w:val="single" w:color="auto" w:sz="4" w:space="0"/>
            </w:tcBorders>
            <w:vAlign w:val="center"/>
          </w:tcPr>
          <w:p w14:paraId="2C683A9E">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0.002</w:t>
            </w:r>
          </w:p>
        </w:tc>
      </w:tr>
      <w:tr w14:paraId="0A97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75A2DDA7">
            <w:pPr>
              <w:pStyle w:val="10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537" w:type="pct"/>
            <w:vMerge w:val="continue"/>
            <w:tcBorders>
              <w:left w:val="single" w:color="auto" w:sz="4" w:space="0"/>
              <w:right w:val="single" w:color="auto" w:sz="4" w:space="0"/>
            </w:tcBorders>
            <w:vAlign w:val="center"/>
          </w:tcPr>
          <w:p w14:paraId="041E57BE">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1B18C21B">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铬及其化合物</w:t>
            </w:r>
          </w:p>
        </w:tc>
        <w:tc>
          <w:tcPr>
            <w:tcW w:w="971" w:type="pct"/>
            <w:tcBorders>
              <w:top w:val="single" w:color="auto" w:sz="4" w:space="0"/>
              <w:left w:val="single" w:color="auto" w:sz="4" w:space="0"/>
              <w:bottom w:val="single" w:color="auto" w:sz="4" w:space="0"/>
              <w:right w:val="single" w:color="auto" w:sz="4" w:space="0"/>
            </w:tcBorders>
            <w:vAlign w:val="center"/>
          </w:tcPr>
          <w:p w14:paraId="1FDB547C">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0.0016</w:t>
            </w:r>
          </w:p>
        </w:tc>
        <w:tc>
          <w:tcPr>
            <w:tcW w:w="1047" w:type="pct"/>
            <w:tcBorders>
              <w:top w:val="single" w:color="auto" w:sz="4" w:space="0"/>
              <w:left w:val="single" w:color="auto" w:sz="4" w:space="0"/>
              <w:bottom w:val="single" w:color="auto" w:sz="4" w:space="0"/>
              <w:right w:val="single" w:color="auto" w:sz="4" w:space="0"/>
            </w:tcBorders>
            <w:vAlign w:val="center"/>
          </w:tcPr>
          <w:p w14:paraId="3C44E83F">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6.25E-06</w:t>
            </w:r>
          </w:p>
        </w:tc>
        <w:tc>
          <w:tcPr>
            <w:tcW w:w="966" w:type="pct"/>
            <w:tcBorders>
              <w:top w:val="single" w:color="auto" w:sz="4" w:space="0"/>
              <w:left w:val="single" w:color="auto" w:sz="4" w:space="0"/>
              <w:bottom w:val="single" w:color="auto" w:sz="4" w:space="0"/>
              <w:right w:val="single" w:color="auto" w:sz="4" w:space="0"/>
            </w:tcBorders>
            <w:vAlign w:val="center"/>
          </w:tcPr>
          <w:p w14:paraId="3A8E9280">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0.00005</w:t>
            </w:r>
          </w:p>
        </w:tc>
      </w:tr>
      <w:tr w14:paraId="4D15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620BD53D">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537" w:type="pct"/>
            <w:vMerge w:val="continue"/>
            <w:tcBorders>
              <w:left w:val="single" w:color="auto" w:sz="4" w:space="0"/>
              <w:right w:val="single" w:color="auto" w:sz="4" w:space="0"/>
            </w:tcBorders>
            <w:vAlign w:val="center"/>
          </w:tcPr>
          <w:p w14:paraId="7B00789F">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5C206871">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锡、锑、铜、锰、</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镍、钴及其化合</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物</w:t>
            </w:r>
          </w:p>
        </w:tc>
        <w:tc>
          <w:tcPr>
            <w:tcW w:w="971" w:type="pct"/>
            <w:tcBorders>
              <w:top w:val="single" w:color="auto" w:sz="4" w:space="0"/>
              <w:left w:val="single" w:color="auto" w:sz="4" w:space="0"/>
              <w:bottom w:val="single" w:color="auto" w:sz="4" w:space="0"/>
              <w:right w:val="single" w:color="auto" w:sz="4" w:space="0"/>
            </w:tcBorders>
            <w:vAlign w:val="center"/>
          </w:tcPr>
          <w:p w14:paraId="62539A7B">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0.011</w:t>
            </w:r>
          </w:p>
        </w:tc>
        <w:tc>
          <w:tcPr>
            <w:tcW w:w="1047" w:type="pct"/>
            <w:tcBorders>
              <w:top w:val="single" w:color="auto" w:sz="4" w:space="0"/>
              <w:left w:val="single" w:color="auto" w:sz="4" w:space="0"/>
              <w:bottom w:val="single" w:color="auto" w:sz="4" w:space="0"/>
              <w:right w:val="single" w:color="auto" w:sz="4" w:space="0"/>
            </w:tcBorders>
            <w:vAlign w:val="center"/>
          </w:tcPr>
          <w:p w14:paraId="3C5A3BF2">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0.00004375</w:t>
            </w:r>
          </w:p>
        </w:tc>
        <w:tc>
          <w:tcPr>
            <w:tcW w:w="966" w:type="pct"/>
            <w:tcBorders>
              <w:top w:val="single" w:color="auto" w:sz="4" w:space="0"/>
              <w:left w:val="single" w:color="auto" w:sz="4" w:space="0"/>
              <w:bottom w:val="single" w:color="auto" w:sz="4" w:space="0"/>
              <w:right w:val="single" w:color="auto" w:sz="4" w:space="0"/>
            </w:tcBorders>
            <w:vAlign w:val="center"/>
          </w:tcPr>
          <w:p w14:paraId="6CBA95E4">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0.00035</w:t>
            </w:r>
          </w:p>
        </w:tc>
      </w:tr>
      <w:tr w14:paraId="207E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44C50412">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37" w:type="pct"/>
            <w:vMerge w:val="continue"/>
            <w:tcBorders>
              <w:left w:val="single" w:color="auto" w:sz="4" w:space="0"/>
              <w:right w:val="single" w:color="auto" w:sz="4" w:space="0"/>
            </w:tcBorders>
            <w:vAlign w:val="center"/>
          </w:tcPr>
          <w:p w14:paraId="5539FC1B">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2C898249">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二噁英类</w:t>
            </w:r>
          </w:p>
        </w:tc>
        <w:tc>
          <w:tcPr>
            <w:tcW w:w="971" w:type="pct"/>
            <w:tcBorders>
              <w:top w:val="single" w:color="auto" w:sz="4" w:space="0"/>
              <w:left w:val="single" w:color="auto" w:sz="4" w:space="0"/>
              <w:bottom w:val="single" w:color="auto" w:sz="4" w:space="0"/>
              <w:right w:val="single" w:color="auto" w:sz="4" w:space="0"/>
            </w:tcBorders>
            <w:vAlign w:val="center"/>
          </w:tcPr>
          <w:p w14:paraId="3257E244">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0.001ngTEQ/Nm</w:t>
            </w:r>
            <w:r>
              <w:rPr>
                <w:rFonts w:hint="eastAsia"/>
                <w:color w:val="000000" w:themeColor="text1"/>
                <w:szCs w:val="21"/>
                <w14:textFill>
                  <w14:solidFill>
                    <w14:schemeClr w14:val="tx1"/>
                  </w14:solidFill>
                </w14:textFill>
              </w:rPr>
              <w:t>³</w:t>
            </w:r>
          </w:p>
        </w:tc>
        <w:tc>
          <w:tcPr>
            <w:tcW w:w="1047" w:type="pct"/>
            <w:tcBorders>
              <w:top w:val="single" w:color="auto" w:sz="4" w:space="0"/>
              <w:left w:val="single" w:color="auto" w:sz="4" w:space="0"/>
              <w:bottom w:val="single" w:color="auto" w:sz="4" w:space="0"/>
              <w:right w:val="single" w:color="auto" w:sz="4" w:space="0"/>
            </w:tcBorders>
            <w:vAlign w:val="center"/>
          </w:tcPr>
          <w:p w14:paraId="709029EF">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0.000004mgTEQ/h</w:t>
            </w:r>
          </w:p>
        </w:tc>
        <w:tc>
          <w:tcPr>
            <w:tcW w:w="966" w:type="pct"/>
            <w:tcBorders>
              <w:top w:val="single" w:color="auto" w:sz="4" w:space="0"/>
              <w:left w:val="single" w:color="auto" w:sz="4" w:space="0"/>
              <w:bottom w:val="single" w:color="auto" w:sz="4" w:space="0"/>
              <w:right w:val="single" w:color="auto" w:sz="4" w:space="0"/>
            </w:tcBorders>
            <w:vAlign w:val="center"/>
          </w:tcPr>
          <w:p w14:paraId="65A5B0DB">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0.032mgTEQ/a</w:t>
            </w:r>
          </w:p>
        </w:tc>
      </w:tr>
      <w:tr w14:paraId="4E2D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5F0265D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537" w:type="pct"/>
            <w:vMerge w:val="restart"/>
            <w:tcBorders>
              <w:left w:val="single" w:color="auto" w:sz="4" w:space="0"/>
              <w:right w:val="single" w:color="auto" w:sz="4" w:space="0"/>
            </w:tcBorders>
            <w:vAlign w:val="center"/>
          </w:tcPr>
          <w:p w14:paraId="7A08EE2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DA003</w:t>
            </w:r>
          </w:p>
        </w:tc>
        <w:tc>
          <w:tcPr>
            <w:tcW w:w="886" w:type="pct"/>
            <w:tcBorders>
              <w:top w:val="single" w:color="auto" w:sz="4" w:space="0"/>
              <w:left w:val="single" w:color="auto" w:sz="4" w:space="0"/>
              <w:bottom w:val="single" w:color="auto" w:sz="4" w:space="0"/>
              <w:right w:val="single" w:color="auto" w:sz="4" w:space="0"/>
            </w:tcBorders>
            <w:vAlign w:val="center"/>
          </w:tcPr>
          <w:p w14:paraId="43A4FEDF">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71" w:type="pct"/>
            <w:tcBorders>
              <w:top w:val="single" w:color="auto" w:sz="4" w:space="0"/>
              <w:left w:val="single" w:color="auto" w:sz="4" w:space="0"/>
              <w:bottom w:val="single" w:color="auto" w:sz="4" w:space="0"/>
              <w:right w:val="single" w:color="auto" w:sz="4" w:space="0"/>
            </w:tcBorders>
            <w:vAlign w:val="center"/>
          </w:tcPr>
          <w:p w14:paraId="2BD28D8D">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9.3</w:t>
            </w:r>
          </w:p>
        </w:tc>
        <w:tc>
          <w:tcPr>
            <w:tcW w:w="1047" w:type="pct"/>
            <w:tcBorders>
              <w:top w:val="single" w:color="auto" w:sz="4" w:space="0"/>
              <w:left w:val="single" w:color="auto" w:sz="4" w:space="0"/>
              <w:bottom w:val="single" w:color="auto" w:sz="4" w:space="0"/>
              <w:right w:val="single" w:color="auto" w:sz="4" w:space="0"/>
            </w:tcBorders>
            <w:vAlign w:val="center"/>
          </w:tcPr>
          <w:p w14:paraId="478D1A36">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0.029</w:t>
            </w:r>
          </w:p>
        </w:tc>
        <w:tc>
          <w:tcPr>
            <w:tcW w:w="966" w:type="pct"/>
            <w:tcBorders>
              <w:top w:val="single" w:color="auto" w:sz="4" w:space="0"/>
              <w:left w:val="single" w:color="auto" w:sz="4" w:space="0"/>
              <w:bottom w:val="single" w:color="auto" w:sz="4" w:space="0"/>
              <w:right w:val="single" w:color="auto" w:sz="4" w:space="0"/>
            </w:tcBorders>
            <w:vAlign w:val="center"/>
          </w:tcPr>
          <w:p w14:paraId="0B33681B">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0.23</w:t>
            </w:r>
          </w:p>
        </w:tc>
      </w:tr>
      <w:tr w14:paraId="7DC0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43F3A9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537" w:type="pct"/>
            <w:vMerge w:val="continue"/>
            <w:tcBorders>
              <w:left w:val="single" w:color="auto" w:sz="4" w:space="0"/>
              <w:right w:val="single" w:color="auto" w:sz="4" w:space="0"/>
            </w:tcBorders>
            <w:vAlign w:val="center"/>
          </w:tcPr>
          <w:p w14:paraId="75CC0174">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2E60BD19">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二氧化硫</w:t>
            </w:r>
          </w:p>
        </w:tc>
        <w:tc>
          <w:tcPr>
            <w:tcW w:w="971" w:type="pct"/>
            <w:tcBorders>
              <w:top w:val="single" w:color="auto" w:sz="4" w:space="0"/>
              <w:left w:val="single" w:color="auto" w:sz="4" w:space="0"/>
              <w:bottom w:val="single" w:color="auto" w:sz="4" w:space="0"/>
              <w:right w:val="single" w:color="auto" w:sz="4" w:space="0"/>
            </w:tcBorders>
            <w:vAlign w:val="center"/>
          </w:tcPr>
          <w:p w14:paraId="5043289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18.6</w:t>
            </w:r>
          </w:p>
        </w:tc>
        <w:tc>
          <w:tcPr>
            <w:tcW w:w="1047" w:type="pct"/>
            <w:tcBorders>
              <w:top w:val="single" w:color="auto" w:sz="4" w:space="0"/>
              <w:left w:val="single" w:color="auto" w:sz="4" w:space="0"/>
              <w:bottom w:val="single" w:color="auto" w:sz="4" w:space="0"/>
              <w:right w:val="single" w:color="auto" w:sz="4" w:space="0"/>
            </w:tcBorders>
            <w:vAlign w:val="center"/>
          </w:tcPr>
          <w:p w14:paraId="3B79381E">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0.058</w:t>
            </w:r>
          </w:p>
        </w:tc>
        <w:tc>
          <w:tcPr>
            <w:tcW w:w="966" w:type="pct"/>
            <w:tcBorders>
              <w:top w:val="single" w:color="auto" w:sz="4" w:space="0"/>
              <w:left w:val="single" w:color="auto" w:sz="4" w:space="0"/>
              <w:bottom w:val="single" w:color="auto" w:sz="4" w:space="0"/>
              <w:right w:val="single" w:color="auto" w:sz="4" w:space="0"/>
            </w:tcBorders>
            <w:vAlign w:val="center"/>
          </w:tcPr>
          <w:p w14:paraId="346ABC21">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0.46</w:t>
            </w:r>
          </w:p>
        </w:tc>
      </w:tr>
      <w:tr w14:paraId="6CCD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tcBorders>
              <w:left w:val="single" w:color="auto" w:sz="4" w:space="0"/>
              <w:right w:val="single" w:color="auto" w:sz="4" w:space="0"/>
            </w:tcBorders>
            <w:vAlign w:val="center"/>
          </w:tcPr>
          <w:p w14:paraId="49E6B9A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537" w:type="pct"/>
            <w:vMerge w:val="continue"/>
            <w:tcBorders>
              <w:left w:val="single" w:color="auto" w:sz="4" w:space="0"/>
              <w:right w:val="single" w:color="auto" w:sz="4" w:space="0"/>
            </w:tcBorders>
            <w:vAlign w:val="center"/>
          </w:tcPr>
          <w:p w14:paraId="336CF630">
            <w:pPr>
              <w:pStyle w:val="109"/>
              <w:rPr>
                <w:color w:val="000000" w:themeColor="text1"/>
                <w14:textFill>
                  <w14:solidFill>
                    <w14:schemeClr w14:val="tx1"/>
                  </w14:solidFill>
                </w14:textFill>
              </w:rPr>
            </w:pPr>
          </w:p>
        </w:tc>
        <w:tc>
          <w:tcPr>
            <w:tcW w:w="886" w:type="pct"/>
            <w:tcBorders>
              <w:top w:val="single" w:color="auto" w:sz="4" w:space="0"/>
              <w:left w:val="single" w:color="auto" w:sz="4" w:space="0"/>
              <w:bottom w:val="single" w:color="auto" w:sz="4" w:space="0"/>
              <w:right w:val="single" w:color="auto" w:sz="4" w:space="0"/>
            </w:tcBorders>
            <w:vAlign w:val="center"/>
          </w:tcPr>
          <w:p w14:paraId="762D63F4">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氮氧化物</w:t>
            </w:r>
          </w:p>
        </w:tc>
        <w:tc>
          <w:tcPr>
            <w:tcW w:w="971" w:type="pct"/>
            <w:tcBorders>
              <w:top w:val="single" w:color="auto" w:sz="4" w:space="0"/>
              <w:left w:val="single" w:color="auto" w:sz="4" w:space="0"/>
              <w:bottom w:val="single" w:color="auto" w:sz="4" w:space="0"/>
              <w:right w:val="single" w:color="auto" w:sz="4" w:space="0"/>
            </w:tcBorders>
            <w:vAlign w:val="center"/>
          </w:tcPr>
          <w:p w14:paraId="466083A6">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147.3</w:t>
            </w:r>
          </w:p>
        </w:tc>
        <w:tc>
          <w:tcPr>
            <w:tcW w:w="1047" w:type="pct"/>
            <w:tcBorders>
              <w:top w:val="single" w:color="auto" w:sz="4" w:space="0"/>
              <w:left w:val="single" w:color="auto" w:sz="4" w:space="0"/>
              <w:bottom w:val="single" w:color="auto" w:sz="4" w:space="0"/>
              <w:right w:val="single" w:color="auto" w:sz="4" w:space="0"/>
            </w:tcBorders>
            <w:vAlign w:val="center"/>
          </w:tcPr>
          <w:p w14:paraId="7FA74274">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0.459</w:t>
            </w:r>
          </w:p>
        </w:tc>
        <w:tc>
          <w:tcPr>
            <w:tcW w:w="966" w:type="pct"/>
            <w:tcBorders>
              <w:top w:val="single" w:color="auto" w:sz="4" w:space="0"/>
              <w:left w:val="single" w:color="auto" w:sz="4" w:space="0"/>
              <w:bottom w:val="single" w:color="auto" w:sz="4" w:space="0"/>
              <w:right w:val="single" w:color="auto" w:sz="4" w:space="0"/>
            </w:tcBorders>
            <w:vAlign w:val="center"/>
          </w:tcPr>
          <w:p w14:paraId="4EAD6376">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3.67</w:t>
            </w:r>
          </w:p>
        </w:tc>
      </w:tr>
      <w:tr w14:paraId="795E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restart"/>
            <w:tcBorders>
              <w:top w:val="single" w:color="auto" w:sz="4" w:space="0"/>
              <w:left w:val="single" w:color="auto" w:sz="4" w:space="0"/>
              <w:right w:val="single" w:color="auto" w:sz="4" w:space="0"/>
            </w:tcBorders>
            <w:vAlign w:val="center"/>
          </w:tcPr>
          <w:p w14:paraId="24715D17">
            <w:pPr>
              <w:pStyle w:val="109"/>
              <w:rPr>
                <w:color w:val="000000" w:themeColor="text1"/>
                <w14:textFill>
                  <w14:solidFill>
                    <w14:schemeClr w14:val="tx1"/>
                  </w14:solidFill>
                </w14:textFill>
              </w:rPr>
            </w:pPr>
            <w:r>
              <w:rPr>
                <w:color w:val="000000" w:themeColor="text1"/>
                <w14:textFill>
                  <w14:solidFill>
                    <w14:schemeClr w14:val="tx1"/>
                  </w14:solidFill>
                </w14:textFill>
              </w:rPr>
              <w:t>一般排放口</w:t>
            </w:r>
          </w:p>
          <w:p w14:paraId="2C0D0B9B">
            <w:pPr>
              <w:pStyle w:val="109"/>
              <w:rPr>
                <w:color w:val="000000" w:themeColor="text1"/>
                <w14:textFill>
                  <w14:solidFill>
                    <w14:schemeClr w14:val="tx1"/>
                  </w14:solidFill>
                </w14:textFill>
              </w:rPr>
            </w:pPr>
            <w:r>
              <w:rPr>
                <w:color w:val="000000" w:themeColor="text1"/>
                <w14:textFill>
                  <w14:solidFill>
                    <w14:schemeClr w14:val="tx1"/>
                  </w14:solidFill>
                </w14:textFill>
              </w:rPr>
              <w:t>（有组织排放）</w:t>
            </w:r>
          </w:p>
          <w:p w14:paraId="0B830165">
            <w:pPr>
              <w:pStyle w:val="109"/>
              <w:rPr>
                <w:color w:val="000000" w:themeColor="text1"/>
                <w14:textFill>
                  <w14:solidFill>
                    <w14:schemeClr w14:val="tx1"/>
                  </w14:solidFill>
                </w14:textFill>
              </w:rPr>
            </w:pPr>
            <w:r>
              <w:rPr>
                <w:color w:val="000000" w:themeColor="text1"/>
                <w14:textFill>
                  <w14:solidFill>
                    <w14:schemeClr w14:val="tx1"/>
                  </w14:solidFill>
                </w14:textFill>
              </w:rPr>
              <w:t>总计</w:t>
            </w: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3BD92921">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VOCs</w:t>
            </w:r>
          </w:p>
        </w:tc>
        <w:tc>
          <w:tcPr>
            <w:tcW w:w="966" w:type="pct"/>
            <w:tcBorders>
              <w:top w:val="single" w:color="auto" w:sz="4" w:space="0"/>
              <w:left w:val="single" w:color="auto" w:sz="4" w:space="0"/>
              <w:bottom w:val="single" w:color="auto" w:sz="4" w:space="0"/>
              <w:right w:val="single" w:color="auto" w:sz="4" w:space="0"/>
            </w:tcBorders>
            <w:vAlign w:val="center"/>
          </w:tcPr>
          <w:p w14:paraId="150B9BA0">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0.25</w:t>
            </w:r>
          </w:p>
        </w:tc>
      </w:tr>
      <w:tr w14:paraId="46A3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27E3D845">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6AECA681">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66" w:type="pct"/>
            <w:tcBorders>
              <w:top w:val="single" w:color="auto" w:sz="4" w:space="0"/>
              <w:left w:val="single" w:color="auto" w:sz="4" w:space="0"/>
              <w:bottom w:val="single" w:color="auto" w:sz="4" w:space="0"/>
              <w:right w:val="single" w:color="auto" w:sz="4" w:space="0"/>
            </w:tcBorders>
            <w:vAlign w:val="center"/>
          </w:tcPr>
          <w:p w14:paraId="13BCA21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w:t>
            </w:r>
            <w:r>
              <w:rPr>
                <w:rFonts w:hint="eastAsia" w:eastAsia="等线"/>
                <w:color w:val="000000" w:themeColor="text1"/>
                <w:szCs w:val="21"/>
                <w14:textFill>
                  <w14:solidFill>
                    <w14:schemeClr w14:val="tx1"/>
                  </w14:solidFill>
                </w14:textFill>
              </w:rPr>
              <w:t>81</w:t>
            </w:r>
            <w:r>
              <w:rPr>
                <w:rFonts w:eastAsia="等线"/>
                <w:color w:val="000000" w:themeColor="text1"/>
                <w:szCs w:val="21"/>
                <w14:textFill>
                  <w14:solidFill>
                    <w14:schemeClr w14:val="tx1"/>
                  </w14:solidFill>
                </w14:textFill>
              </w:rPr>
              <w:t>3</w:t>
            </w:r>
          </w:p>
        </w:tc>
      </w:tr>
      <w:tr w14:paraId="3160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7E758161">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7CF17413">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CO</w:t>
            </w:r>
          </w:p>
        </w:tc>
        <w:tc>
          <w:tcPr>
            <w:tcW w:w="966" w:type="pct"/>
            <w:tcBorders>
              <w:top w:val="single" w:color="auto" w:sz="4" w:space="0"/>
              <w:left w:val="single" w:color="auto" w:sz="4" w:space="0"/>
              <w:bottom w:val="single" w:color="auto" w:sz="4" w:space="0"/>
              <w:right w:val="single" w:color="auto" w:sz="4" w:space="0"/>
            </w:tcBorders>
            <w:vAlign w:val="center"/>
          </w:tcPr>
          <w:p w14:paraId="55FEF742">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2.333</w:t>
            </w:r>
          </w:p>
        </w:tc>
      </w:tr>
      <w:tr w14:paraId="171E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6099D278">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082C3F35">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NOx</w:t>
            </w:r>
          </w:p>
        </w:tc>
        <w:tc>
          <w:tcPr>
            <w:tcW w:w="966" w:type="pct"/>
            <w:tcBorders>
              <w:top w:val="single" w:color="auto" w:sz="4" w:space="0"/>
              <w:left w:val="single" w:color="auto" w:sz="4" w:space="0"/>
              <w:bottom w:val="single" w:color="auto" w:sz="4" w:space="0"/>
              <w:right w:val="single" w:color="auto" w:sz="4" w:space="0"/>
            </w:tcBorders>
            <w:vAlign w:val="center"/>
          </w:tcPr>
          <w:p w14:paraId="2481802A">
            <w:pPr>
              <w:pStyle w:val="109"/>
              <w:rPr>
                <w:color w:val="000000" w:themeColor="text1"/>
                <w14:textFill>
                  <w14:solidFill>
                    <w14:schemeClr w14:val="tx1"/>
                  </w14:solidFill>
                </w14:textFill>
              </w:rPr>
            </w:pPr>
            <w:r>
              <w:rPr>
                <w:rFonts w:hint="eastAsia" w:eastAsia="等线"/>
                <w:color w:val="000000" w:themeColor="text1"/>
                <w:szCs w:val="21"/>
                <w14:textFill>
                  <w14:solidFill>
                    <w14:schemeClr w14:val="tx1"/>
                  </w14:solidFill>
                </w14:textFill>
              </w:rPr>
              <w:t>6.361</w:t>
            </w:r>
          </w:p>
        </w:tc>
      </w:tr>
      <w:tr w14:paraId="74B5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0A7A66BF">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14C455C7">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SO</w:t>
            </w:r>
            <w:r>
              <w:rPr>
                <w:rFonts w:eastAsia="等线"/>
                <w:color w:val="000000" w:themeColor="text1"/>
                <w:szCs w:val="21"/>
                <w:vertAlign w:val="subscript"/>
                <w14:textFill>
                  <w14:solidFill>
                    <w14:schemeClr w14:val="tx1"/>
                  </w14:solidFill>
                </w14:textFill>
              </w:rPr>
              <w:t>2</w:t>
            </w:r>
          </w:p>
        </w:tc>
        <w:tc>
          <w:tcPr>
            <w:tcW w:w="966" w:type="pct"/>
            <w:tcBorders>
              <w:top w:val="single" w:color="auto" w:sz="4" w:space="0"/>
              <w:left w:val="single" w:color="auto" w:sz="4" w:space="0"/>
              <w:bottom w:val="single" w:color="auto" w:sz="4" w:space="0"/>
              <w:right w:val="single" w:color="auto" w:sz="4" w:space="0"/>
            </w:tcBorders>
            <w:vAlign w:val="center"/>
          </w:tcPr>
          <w:p w14:paraId="4B1B6319">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w:t>
            </w:r>
            <w:r>
              <w:rPr>
                <w:rFonts w:hint="eastAsia" w:eastAsia="等线"/>
                <w:color w:val="000000" w:themeColor="text1"/>
                <w:szCs w:val="21"/>
                <w14:textFill>
                  <w14:solidFill>
                    <w14:schemeClr w14:val="tx1"/>
                  </w14:solidFill>
                </w14:textFill>
              </w:rPr>
              <w:t>.46</w:t>
            </w:r>
          </w:p>
        </w:tc>
      </w:tr>
      <w:tr w14:paraId="0888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73B869E7">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04C3CB84">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HF</w:t>
            </w:r>
          </w:p>
        </w:tc>
        <w:tc>
          <w:tcPr>
            <w:tcW w:w="966" w:type="pct"/>
            <w:tcBorders>
              <w:top w:val="single" w:color="auto" w:sz="4" w:space="0"/>
              <w:left w:val="single" w:color="auto" w:sz="4" w:space="0"/>
              <w:bottom w:val="single" w:color="auto" w:sz="4" w:space="0"/>
              <w:right w:val="single" w:color="auto" w:sz="4" w:space="0"/>
            </w:tcBorders>
            <w:vAlign w:val="center"/>
          </w:tcPr>
          <w:p w14:paraId="66633F86">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0.053</w:t>
            </w:r>
          </w:p>
        </w:tc>
      </w:tr>
      <w:tr w14:paraId="660F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04A6C3CF">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0CB29D8A">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HCl</w:t>
            </w:r>
          </w:p>
        </w:tc>
        <w:tc>
          <w:tcPr>
            <w:tcW w:w="966" w:type="pct"/>
            <w:tcBorders>
              <w:top w:val="single" w:color="auto" w:sz="4" w:space="0"/>
              <w:left w:val="single" w:color="auto" w:sz="4" w:space="0"/>
              <w:bottom w:val="single" w:color="auto" w:sz="4" w:space="0"/>
              <w:right w:val="single" w:color="auto" w:sz="4" w:space="0"/>
            </w:tcBorders>
            <w:vAlign w:val="center"/>
          </w:tcPr>
          <w:p w14:paraId="3B52799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1.543</w:t>
            </w:r>
          </w:p>
        </w:tc>
      </w:tr>
      <w:tr w14:paraId="48C0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7FA6277D">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26AA5DDC">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汞及其化合物</w:t>
            </w:r>
          </w:p>
        </w:tc>
        <w:tc>
          <w:tcPr>
            <w:tcW w:w="966" w:type="pct"/>
            <w:tcBorders>
              <w:top w:val="single" w:color="auto" w:sz="4" w:space="0"/>
              <w:left w:val="single" w:color="auto" w:sz="4" w:space="0"/>
              <w:bottom w:val="single" w:color="auto" w:sz="4" w:space="0"/>
              <w:right w:val="single" w:color="auto" w:sz="4" w:space="0"/>
            </w:tcBorders>
            <w:vAlign w:val="center"/>
          </w:tcPr>
          <w:p w14:paraId="70DF7CB6">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0.0001</w:t>
            </w:r>
          </w:p>
        </w:tc>
      </w:tr>
      <w:tr w14:paraId="60AC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14D828E7">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43A5D7F8">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铊及其化合物</w:t>
            </w:r>
          </w:p>
        </w:tc>
        <w:tc>
          <w:tcPr>
            <w:tcW w:w="966" w:type="pct"/>
            <w:tcBorders>
              <w:top w:val="single" w:color="auto" w:sz="4" w:space="0"/>
              <w:left w:val="single" w:color="auto" w:sz="4" w:space="0"/>
              <w:bottom w:val="single" w:color="auto" w:sz="4" w:space="0"/>
              <w:right w:val="single" w:color="auto" w:sz="4" w:space="0"/>
            </w:tcBorders>
            <w:vAlign w:val="center"/>
          </w:tcPr>
          <w:p w14:paraId="4C5B2BD2">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0.000005</w:t>
            </w:r>
          </w:p>
        </w:tc>
      </w:tr>
      <w:tr w14:paraId="5296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65D66EB8">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6E627124">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镉及其化合物</w:t>
            </w:r>
          </w:p>
        </w:tc>
        <w:tc>
          <w:tcPr>
            <w:tcW w:w="966" w:type="pct"/>
            <w:tcBorders>
              <w:top w:val="single" w:color="auto" w:sz="4" w:space="0"/>
              <w:left w:val="single" w:color="auto" w:sz="4" w:space="0"/>
              <w:bottom w:val="single" w:color="auto" w:sz="4" w:space="0"/>
              <w:right w:val="single" w:color="auto" w:sz="4" w:space="0"/>
            </w:tcBorders>
            <w:vAlign w:val="center"/>
          </w:tcPr>
          <w:p w14:paraId="519B6C49">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0.0003</w:t>
            </w:r>
          </w:p>
        </w:tc>
      </w:tr>
      <w:tr w14:paraId="595C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0A5FE51B">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1BE504F8">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铅及其化合物</w:t>
            </w:r>
          </w:p>
        </w:tc>
        <w:tc>
          <w:tcPr>
            <w:tcW w:w="966" w:type="pct"/>
            <w:tcBorders>
              <w:top w:val="single" w:color="auto" w:sz="4" w:space="0"/>
              <w:left w:val="single" w:color="auto" w:sz="4" w:space="0"/>
              <w:bottom w:val="single" w:color="auto" w:sz="4" w:space="0"/>
              <w:right w:val="single" w:color="auto" w:sz="4" w:space="0"/>
            </w:tcBorders>
            <w:vAlign w:val="center"/>
          </w:tcPr>
          <w:p w14:paraId="3BFC4E7F">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0.001</w:t>
            </w:r>
          </w:p>
        </w:tc>
      </w:tr>
      <w:tr w14:paraId="1CB5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43D06CFD">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2DF20B24">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砷及其化合物</w:t>
            </w:r>
          </w:p>
        </w:tc>
        <w:tc>
          <w:tcPr>
            <w:tcW w:w="966" w:type="pct"/>
            <w:tcBorders>
              <w:top w:val="single" w:color="auto" w:sz="4" w:space="0"/>
              <w:left w:val="single" w:color="auto" w:sz="4" w:space="0"/>
              <w:bottom w:val="single" w:color="auto" w:sz="4" w:space="0"/>
              <w:right w:val="single" w:color="auto" w:sz="4" w:space="0"/>
            </w:tcBorders>
            <w:vAlign w:val="center"/>
          </w:tcPr>
          <w:p w14:paraId="39A226C4">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0.002</w:t>
            </w:r>
          </w:p>
        </w:tc>
      </w:tr>
      <w:tr w14:paraId="3B53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0C44D92D">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484C3A89">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铬及其化合物</w:t>
            </w:r>
          </w:p>
        </w:tc>
        <w:tc>
          <w:tcPr>
            <w:tcW w:w="966" w:type="pct"/>
            <w:tcBorders>
              <w:top w:val="single" w:color="auto" w:sz="4" w:space="0"/>
              <w:left w:val="single" w:color="auto" w:sz="4" w:space="0"/>
              <w:bottom w:val="single" w:color="auto" w:sz="4" w:space="0"/>
              <w:right w:val="single" w:color="auto" w:sz="4" w:space="0"/>
            </w:tcBorders>
            <w:vAlign w:val="center"/>
          </w:tcPr>
          <w:p w14:paraId="2F6E7389">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0.00005</w:t>
            </w:r>
          </w:p>
        </w:tc>
      </w:tr>
      <w:tr w14:paraId="4B28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7E051477">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23EF0D72">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锡、锑、铜、锰、</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镍、钴及其化合</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物</w:t>
            </w:r>
          </w:p>
        </w:tc>
        <w:tc>
          <w:tcPr>
            <w:tcW w:w="966" w:type="pct"/>
            <w:tcBorders>
              <w:top w:val="single" w:color="auto" w:sz="4" w:space="0"/>
              <w:left w:val="single" w:color="auto" w:sz="4" w:space="0"/>
              <w:bottom w:val="single" w:color="auto" w:sz="4" w:space="0"/>
              <w:right w:val="single" w:color="auto" w:sz="4" w:space="0"/>
            </w:tcBorders>
            <w:vAlign w:val="center"/>
          </w:tcPr>
          <w:p w14:paraId="24E39DC4">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0.00035</w:t>
            </w:r>
          </w:p>
        </w:tc>
      </w:tr>
      <w:tr w14:paraId="6DCD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tcBorders>
              <w:left w:val="single" w:color="auto" w:sz="4" w:space="0"/>
              <w:right w:val="single" w:color="auto" w:sz="4" w:space="0"/>
            </w:tcBorders>
            <w:vAlign w:val="center"/>
          </w:tcPr>
          <w:p w14:paraId="61FA3805">
            <w:pPr>
              <w:pStyle w:val="109"/>
              <w:rPr>
                <w:color w:val="000000" w:themeColor="text1"/>
                <w14:textFill>
                  <w14:solidFill>
                    <w14:schemeClr w14:val="tx1"/>
                  </w14:solidFill>
                </w14:textFill>
              </w:rPr>
            </w:pPr>
          </w:p>
        </w:tc>
        <w:tc>
          <w:tcPr>
            <w:tcW w:w="3441" w:type="pct"/>
            <w:gridSpan w:val="4"/>
            <w:tcBorders>
              <w:top w:val="single" w:color="auto" w:sz="4" w:space="0"/>
              <w:left w:val="single" w:color="auto" w:sz="4" w:space="0"/>
              <w:bottom w:val="single" w:color="auto" w:sz="4" w:space="0"/>
              <w:right w:val="single" w:color="auto" w:sz="4" w:space="0"/>
            </w:tcBorders>
            <w:vAlign w:val="center"/>
          </w:tcPr>
          <w:p w14:paraId="574410AD">
            <w:pPr>
              <w:pStyle w:val="109"/>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二噁英类</w:t>
            </w:r>
          </w:p>
        </w:tc>
        <w:tc>
          <w:tcPr>
            <w:tcW w:w="966" w:type="pct"/>
            <w:tcBorders>
              <w:top w:val="single" w:color="auto" w:sz="4" w:space="0"/>
              <w:left w:val="single" w:color="auto" w:sz="4" w:space="0"/>
              <w:bottom w:val="single" w:color="auto" w:sz="4" w:space="0"/>
              <w:right w:val="single" w:color="auto" w:sz="4" w:space="0"/>
            </w:tcBorders>
            <w:vAlign w:val="center"/>
          </w:tcPr>
          <w:p w14:paraId="69409629">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0.032mgTEQ/a</w:t>
            </w:r>
          </w:p>
        </w:tc>
      </w:tr>
    </w:tbl>
    <w:p w14:paraId="03EDA33E">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无组织排放量核算</w:t>
      </w:r>
    </w:p>
    <w:p w14:paraId="4E9C39B8">
      <w:pPr>
        <w:ind w:firstLine="480"/>
        <w:rPr>
          <w:color w:val="000000" w:themeColor="text1"/>
          <w14:textFill>
            <w14:solidFill>
              <w14:schemeClr w14:val="tx1"/>
            </w14:solidFill>
          </w14:textFill>
        </w:rPr>
      </w:pPr>
      <w:r>
        <w:rPr>
          <w:color w:val="000000" w:themeColor="text1"/>
          <w14:textFill>
            <w14:solidFill>
              <w14:schemeClr w14:val="tx1"/>
            </w14:solidFill>
          </w14:textFill>
        </w:rPr>
        <w:t>项目无组织排放量核算见下表。</w:t>
      </w:r>
    </w:p>
    <w:p w14:paraId="5A5F2A86">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项目无组织排放量核算表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269"/>
        <w:gridCol w:w="1002"/>
        <w:gridCol w:w="1264"/>
        <w:gridCol w:w="2832"/>
        <w:gridCol w:w="1441"/>
        <w:gridCol w:w="1144"/>
      </w:tblGrid>
      <w:tr w14:paraId="16DC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52" w:type="pct"/>
            <w:vMerge w:val="restart"/>
            <w:tcBorders>
              <w:top w:val="single" w:color="auto" w:sz="4" w:space="0"/>
              <w:left w:val="single" w:color="auto" w:sz="4" w:space="0"/>
              <w:bottom w:val="single" w:color="auto" w:sz="4" w:space="0"/>
              <w:right w:val="single" w:color="auto" w:sz="4" w:space="0"/>
            </w:tcBorders>
            <w:vAlign w:val="center"/>
          </w:tcPr>
          <w:p w14:paraId="0FEF38FD">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58" w:type="pct"/>
            <w:vMerge w:val="restart"/>
            <w:tcBorders>
              <w:top w:val="single" w:color="auto" w:sz="4" w:space="0"/>
              <w:left w:val="single" w:color="auto" w:sz="4" w:space="0"/>
              <w:bottom w:val="single" w:color="auto" w:sz="4" w:space="0"/>
              <w:right w:val="single" w:color="auto" w:sz="4" w:space="0"/>
            </w:tcBorders>
            <w:vAlign w:val="center"/>
          </w:tcPr>
          <w:p w14:paraId="676A015F">
            <w:pPr>
              <w:pStyle w:val="109"/>
              <w:rPr>
                <w:color w:val="000000" w:themeColor="text1"/>
                <w14:textFill>
                  <w14:solidFill>
                    <w14:schemeClr w14:val="tx1"/>
                  </w14:solidFill>
                </w14:textFill>
              </w:rPr>
            </w:pPr>
            <w:r>
              <w:rPr>
                <w:color w:val="000000" w:themeColor="text1"/>
                <w14:textFill>
                  <w14:solidFill>
                    <w14:schemeClr w14:val="tx1"/>
                  </w14:solidFill>
                </w14:textFill>
              </w:rPr>
              <w:t>产污环节</w:t>
            </w:r>
          </w:p>
        </w:tc>
        <w:tc>
          <w:tcPr>
            <w:tcW w:w="520" w:type="pct"/>
            <w:vMerge w:val="restart"/>
            <w:tcBorders>
              <w:top w:val="single" w:color="auto" w:sz="4" w:space="0"/>
              <w:left w:val="single" w:color="auto" w:sz="4" w:space="0"/>
              <w:bottom w:val="single" w:color="auto" w:sz="4" w:space="0"/>
              <w:right w:val="single" w:color="auto" w:sz="4" w:space="0"/>
            </w:tcBorders>
            <w:vAlign w:val="center"/>
          </w:tcPr>
          <w:p w14:paraId="68C393F1">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656" w:type="pct"/>
            <w:vMerge w:val="restart"/>
            <w:tcBorders>
              <w:top w:val="single" w:color="auto" w:sz="4" w:space="0"/>
              <w:left w:val="single" w:color="auto" w:sz="4" w:space="0"/>
              <w:bottom w:val="single" w:color="auto" w:sz="4" w:space="0"/>
              <w:right w:val="single" w:color="auto" w:sz="4" w:space="0"/>
            </w:tcBorders>
            <w:vAlign w:val="center"/>
          </w:tcPr>
          <w:p w14:paraId="320F7D1D">
            <w:pPr>
              <w:pStyle w:val="109"/>
              <w:rPr>
                <w:color w:val="000000" w:themeColor="text1"/>
                <w14:textFill>
                  <w14:solidFill>
                    <w14:schemeClr w14:val="tx1"/>
                  </w14:solidFill>
                </w14:textFill>
              </w:rPr>
            </w:pPr>
            <w:r>
              <w:rPr>
                <w:color w:val="000000" w:themeColor="text1"/>
                <w14:textFill>
                  <w14:solidFill>
                    <w14:schemeClr w14:val="tx1"/>
                  </w14:solidFill>
                </w14:textFill>
              </w:rPr>
              <w:t>主要污染防治措施</w:t>
            </w:r>
          </w:p>
        </w:tc>
        <w:tc>
          <w:tcPr>
            <w:tcW w:w="2218" w:type="pct"/>
            <w:gridSpan w:val="2"/>
            <w:tcBorders>
              <w:top w:val="single" w:color="auto" w:sz="4" w:space="0"/>
              <w:left w:val="single" w:color="auto" w:sz="4" w:space="0"/>
              <w:bottom w:val="single" w:color="auto" w:sz="4" w:space="0"/>
              <w:right w:val="single" w:color="auto" w:sz="4" w:space="0"/>
            </w:tcBorders>
            <w:vAlign w:val="center"/>
          </w:tcPr>
          <w:p w14:paraId="173F7EFB">
            <w:pPr>
              <w:pStyle w:val="109"/>
              <w:rPr>
                <w:color w:val="000000" w:themeColor="text1"/>
                <w14:textFill>
                  <w14:solidFill>
                    <w14:schemeClr w14:val="tx1"/>
                  </w14:solidFill>
                </w14:textFill>
              </w:rPr>
            </w:pPr>
            <w:bookmarkStart w:id="421" w:name="_Toc62023247"/>
            <w:bookmarkStart w:id="422" w:name="_Toc51401852"/>
            <w:r>
              <w:rPr>
                <w:color w:val="000000" w:themeColor="text1"/>
                <w14:textFill>
                  <w14:solidFill>
                    <w14:schemeClr w14:val="tx1"/>
                  </w14:solidFill>
                </w14:textFill>
              </w:rPr>
              <w:t>污染物排放标准</w:t>
            </w:r>
            <w:bookmarkEnd w:id="421"/>
            <w:bookmarkEnd w:id="422"/>
          </w:p>
        </w:tc>
        <w:tc>
          <w:tcPr>
            <w:tcW w:w="595" w:type="pct"/>
            <w:vMerge w:val="restart"/>
            <w:tcBorders>
              <w:top w:val="single" w:color="auto" w:sz="4" w:space="0"/>
              <w:left w:val="single" w:color="auto" w:sz="4" w:space="0"/>
              <w:right w:val="single" w:color="auto" w:sz="4" w:space="0"/>
            </w:tcBorders>
            <w:vAlign w:val="center"/>
          </w:tcPr>
          <w:p w14:paraId="79F7148F">
            <w:pPr>
              <w:pStyle w:val="109"/>
              <w:rPr>
                <w:color w:val="000000" w:themeColor="text1"/>
                <w14:textFill>
                  <w14:solidFill>
                    <w14:schemeClr w14:val="tx1"/>
                  </w14:solidFill>
                </w14:textFill>
              </w:rPr>
            </w:pPr>
            <w:bookmarkStart w:id="423" w:name="_Toc51401853"/>
            <w:bookmarkStart w:id="424" w:name="_Toc62023248"/>
            <w:r>
              <w:rPr>
                <w:color w:val="000000" w:themeColor="text1"/>
                <w14:textFill>
                  <w14:solidFill>
                    <w14:schemeClr w14:val="tx1"/>
                  </w14:solidFill>
                </w14:textFill>
              </w:rPr>
              <w:t>年排放量（t/a）</w:t>
            </w:r>
            <w:bookmarkEnd w:id="423"/>
            <w:bookmarkEnd w:id="424"/>
          </w:p>
        </w:tc>
      </w:tr>
      <w:tr w14:paraId="3AF1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2" w:type="pct"/>
            <w:vMerge w:val="continue"/>
            <w:tcBorders>
              <w:top w:val="single" w:color="auto" w:sz="4" w:space="0"/>
              <w:left w:val="single" w:color="auto" w:sz="4" w:space="0"/>
              <w:bottom w:val="single" w:color="auto" w:sz="4" w:space="0"/>
              <w:right w:val="single" w:color="auto" w:sz="4" w:space="0"/>
            </w:tcBorders>
            <w:vAlign w:val="center"/>
          </w:tcPr>
          <w:p w14:paraId="29F387C7">
            <w:pPr>
              <w:pStyle w:val="109"/>
              <w:rPr>
                <w:color w:val="000000" w:themeColor="text1"/>
                <w14:textFill>
                  <w14:solidFill>
                    <w14:schemeClr w14:val="tx1"/>
                  </w14:solidFill>
                </w14:textFill>
              </w:rPr>
            </w:pPr>
          </w:p>
        </w:tc>
        <w:tc>
          <w:tcPr>
            <w:tcW w:w="658" w:type="pct"/>
            <w:vMerge w:val="continue"/>
            <w:tcBorders>
              <w:top w:val="single" w:color="auto" w:sz="4" w:space="0"/>
              <w:left w:val="single" w:color="auto" w:sz="4" w:space="0"/>
              <w:bottom w:val="single" w:color="auto" w:sz="4" w:space="0"/>
              <w:right w:val="single" w:color="auto" w:sz="4" w:space="0"/>
            </w:tcBorders>
            <w:vAlign w:val="center"/>
          </w:tcPr>
          <w:p w14:paraId="7EACAEF6">
            <w:pPr>
              <w:pStyle w:val="109"/>
              <w:rPr>
                <w:color w:val="000000" w:themeColor="text1"/>
                <w14:textFill>
                  <w14:solidFill>
                    <w14:schemeClr w14:val="tx1"/>
                  </w14:solidFill>
                </w14:textFill>
              </w:rPr>
            </w:pPr>
          </w:p>
        </w:tc>
        <w:tc>
          <w:tcPr>
            <w:tcW w:w="520" w:type="pct"/>
            <w:vMerge w:val="continue"/>
            <w:tcBorders>
              <w:top w:val="single" w:color="auto" w:sz="4" w:space="0"/>
              <w:left w:val="single" w:color="auto" w:sz="4" w:space="0"/>
              <w:bottom w:val="single" w:color="auto" w:sz="4" w:space="0"/>
              <w:right w:val="single" w:color="auto" w:sz="4" w:space="0"/>
            </w:tcBorders>
            <w:vAlign w:val="center"/>
          </w:tcPr>
          <w:p w14:paraId="41C1131F">
            <w:pPr>
              <w:pStyle w:val="109"/>
              <w:rPr>
                <w:color w:val="000000" w:themeColor="text1"/>
                <w14:textFill>
                  <w14:solidFill>
                    <w14:schemeClr w14:val="tx1"/>
                  </w14:solidFill>
                </w14:textFill>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27075A90">
            <w:pPr>
              <w:pStyle w:val="109"/>
              <w:rPr>
                <w:color w:val="000000" w:themeColor="text1"/>
                <w14:textFill>
                  <w14:solidFill>
                    <w14:schemeClr w14:val="tx1"/>
                  </w14:solidFill>
                </w14:textFill>
              </w:rPr>
            </w:pPr>
          </w:p>
        </w:tc>
        <w:tc>
          <w:tcPr>
            <w:tcW w:w="1471" w:type="pct"/>
            <w:tcBorders>
              <w:top w:val="single" w:color="auto" w:sz="4" w:space="0"/>
              <w:left w:val="single" w:color="auto" w:sz="4" w:space="0"/>
              <w:bottom w:val="single" w:color="auto" w:sz="4" w:space="0"/>
              <w:right w:val="single" w:color="auto" w:sz="4" w:space="0"/>
            </w:tcBorders>
            <w:vAlign w:val="center"/>
          </w:tcPr>
          <w:p w14:paraId="602A1908">
            <w:pPr>
              <w:pStyle w:val="109"/>
              <w:rPr>
                <w:color w:val="000000" w:themeColor="text1"/>
                <w14:textFill>
                  <w14:solidFill>
                    <w14:schemeClr w14:val="tx1"/>
                  </w14:solidFill>
                </w14:textFill>
              </w:rPr>
            </w:pPr>
            <w:bookmarkStart w:id="425" w:name="_Toc51401854"/>
            <w:bookmarkStart w:id="426" w:name="_Toc62023249"/>
            <w:r>
              <w:rPr>
                <w:color w:val="000000" w:themeColor="text1"/>
                <w14:textFill>
                  <w14:solidFill>
                    <w14:schemeClr w14:val="tx1"/>
                  </w14:solidFill>
                </w14:textFill>
              </w:rPr>
              <w:t>标准名称</w:t>
            </w:r>
            <w:bookmarkEnd w:id="425"/>
            <w:bookmarkEnd w:id="426"/>
          </w:p>
        </w:tc>
        <w:tc>
          <w:tcPr>
            <w:tcW w:w="747" w:type="pct"/>
            <w:tcBorders>
              <w:top w:val="single" w:color="auto" w:sz="4" w:space="0"/>
              <w:left w:val="single" w:color="auto" w:sz="4" w:space="0"/>
              <w:bottom w:val="single" w:color="auto" w:sz="4" w:space="0"/>
              <w:right w:val="single" w:color="auto" w:sz="4" w:space="0"/>
            </w:tcBorders>
            <w:vAlign w:val="center"/>
          </w:tcPr>
          <w:p w14:paraId="4A0F3620">
            <w:pPr>
              <w:pStyle w:val="109"/>
              <w:rPr>
                <w:color w:val="000000" w:themeColor="text1"/>
                <w14:textFill>
                  <w14:solidFill>
                    <w14:schemeClr w14:val="tx1"/>
                  </w14:solidFill>
                </w14:textFill>
              </w:rPr>
            </w:pPr>
            <w:bookmarkStart w:id="427" w:name="_Toc62023250"/>
            <w:bookmarkStart w:id="428" w:name="_Toc51401855"/>
            <w:r>
              <w:rPr>
                <w:color w:val="000000" w:themeColor="text1"/>
                <w14:textFill>
                  <w14:solidFill>
                    <w14:schemeClr w14:val="tx1"/>
                  </w14:solidFill>
                </w14:textFill>
              </w:rPr>
              <w:t>浓度限值（mg/m³）</w:t>
            </w:r>
            <w:bookmarkEnd w:id="427"/>
            <w:bookmarkEnd w:id="428"/>
          </w:p>
        </w:tc>
        <w:tc>
          <w:tcPr>
            <w:tcW w:w="595" w:type="pct"/>
            <w:vMerge w:val="continue"/>
            <w:tcBorders>
              <w:left w:val="single" w:color="auto" w:sz="4" w:space="0"/>
              <w:bottom w:val="single" w:color="auto" w:sz="4" w:space="0"/>
              <w:right w:val="single" w:color="auto" w:sz="4" w:space="0"/>
            </w:tcBorders>
            <w:vAlign w:val="center"/>
          </w:tcPr>
          <w:p w14:paraId="449C4AE2">
            <w:pPr>
              <w:pStyle w:val="109"/>
              <w:rPr>
                <w:color w:val="000000" w:themeColor="text1"/>
                <w14:textFill>
                  <w14:solidFill>
                    <w14:schemeClr w14:val="tx1"/>
                  </w14:solidFill>
                </w14:textFill>
              </w:rPr>
            </w:pPr>
          </w:p>
        </w:tc>
      </w:tr>
      <w:tr w14:paraId="52D7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tcBorders>
              <w:top w:val="single" w:color="auto" w:sz="4" w:space="0"/>
              <w:left w:val="single" w:color="auto" w:sz="4" w:space="0"/>
              <w:bottom w:val="single" w:color="auto" w:sz="4" w:space="0"/>
              <w:right w:val="single" w:color="auto" w:sz="4" w:space="0"/>
            </w:tcBorders>
            <w:vAlign w:val="center"/>
          </w:tcPr>
          <w:p w14:paraId="6058537B">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658" w:type="pct"/>
            <w:tcBorders>
              <w:top w:val="single" w:color="auto" w:sz="4" w:space="0"/>
              <w:left w:val="single" w:color="auto" w:sz="4" w:space="0"/>
              <w:right w:val="single" w:color="auto" w:sz="4" w:space="0"/>
            </w:tcBorders>
            <w:vAlign w:val="center"/>
          </w:tcPr>
          <w:p w14:paraId="378789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废盐仓库</w:t>
            </w:r>
          </w:p>
        </w:tc>
        <w:tc>
          <w:tcPr>
            <w:tcW w:w="520" w:type="pct"/>
            <w:tcBorders>
              <w:top w:val="single" w:color="auto" w:sz="4" w:space="0"/>
              <w:left w:val="single" w:color="auto" w:sz="4" w:space="0"/>
              <w:bottom w:val="single" w:color="auto" w:sz="4" w:space="0"/>
              <w:right w:val="single" w:color="auto" w:sz="4" w:space="0"/>
            </w:tcBorders>
            <w:vAlign w:val="center"/>
          </w:tcPr>
          <w:p w14:paraId="659F8D6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VOCs</w:t>
            </w:r>
          </w:p>
        </w:tc>
        <w:tc>
          <w:tcPr>
            <w:tcW w:w="656" w:type="pct"/>
            <w:tcBorders>
              <w:top w:val="single" w:color="auto" w:sz="4" w:space="0"/>
              <w:left w:val="single" w:color="auto" w:sz="4" w:space="0"/>
              <w:bottom w:val="single" w:color="auto" w:sz="4" w:space="0"/>
              <w:right w:val="single" w:color="auto" w:sz="4" w:space="0"/>
            </w:tcBorders>
            <w:vAlign w:val="center"/>
          </w:tcPr>
          <w:p w14:paraId="34FFADE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负压收集</w:t>
            </w:r>
          </w:p>
        </w:tc>
        <w:tc>
          <w:tcPr>
            <w:tcW w:w="1471" w:type="pct"/>
            <w:tcBorders>
              <w:top w:val="single" w:color="auto" w:sz="4" w:space="0"/>
              <w:left w:val="single" w:color="auto" w:sz="4" w:space="0"/>
              <w:right w:val="single" w:color="auto" w:sz="4" w:space="0"/>
            </w:tcBorders>
            <w:vAlign w:val="center"/>
          </w:tcPr>
          <w:p w14:paraId="35B6BE1C">
            <w:pPr>
              <w:pStyle w:val="109"/>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w:t>
            </w:r>
          </w:p>
          <w:p w14:paraId="4FBF9E28">
            <w:pPr>
              <w:pStyle w:val="109"/>
              <w:rPr>
                <w:b/>
                <w:color w:val="000000" w:themeColor="text1"/>
                <w14:textFill>
                  <w14:solidFill>
                    <w14:schemeClr w14:val="tx1"/>
                  </w14:solidFill>
                </w14:textFill>
              </w:rPr>
            </w:pPr>
            <w:r>
              <w:rPr>
                <w:color w:val="000000" w:themeColor="text1"/>
                <w:lang w:eastAsia="en-US" w:bidi="en-US"/>
                <w14:textFill>
                  <w14:solidFill>
                    <w14:schemeClr w14:val="tx1"/>
                  </w14:solidFill>
                </w14:textFill>
              </w:rPr>
              <w:t>(</w:t>
            </w:r>
            <w:r>
              <w:rPr>
                <w:rFonts w:eastAsia="Times New Roman"/>
                <w:color w:val="000000" w:themeColor="text1"/>
                <w:lang w:eastAsia="en-US" w:bidi="en-US"/>
                <w14:textFill>
                  <w14:solidFill>
                    <w14:schemeClr w14:val="tx1"/>
                  </w14:solidFill>
                </w14:textFill>
              </w:rPr>
              <w:t>GB16297-1996</w:t>
            </w:r>
            <w:r>
              <w:rPr>
                <w:color w:val="000000" w:themeColor="text1"/>
                <w:lang w:eastAsia="en-US" w:bidi="en-US"/>
                <w14:textFill>
                  <w14:solidFill>
                    <w14:schemeClr w14:val="tx1"/>
                  </w14:solidFill>
                </w14:textFill>
              </w:rPr>
              <w:t>)</w:t>
            </w:r>
          </w:p>
        </w:tc>
        <w:tc>
          <w:tcPr>
            <w:tcW w:w="747" w:type="pct"/>
            <w:tcBorders>
              <w:top w:val="single" w:color="auto" w:sz="4" w:space="0"/>
              <w:left w:val="single" w:color="auto" w:sz="4" w:space="0"/>
              <w:right w:val="single" w:color="auto" w:sz="4" w:space="0"/>
            </w:tcBorders>
            <w:vAlign w:val="center"/>
          </w:tcPr>
          <w:p w14:paraId="05234E8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95" w:type="pct"/>
            <w:tcBorders>
              <w:top w:val="single" w:color="auto" w:sz="4" w:space="0"/>
              <w:left w:val="single" w:color="auto" w:sz="4" w:space="0"/>
              <w:bottom w:val="single" w:color="auto" w:sz="4" w:space="0"/>
              <w:right w:val="single" w:color="auto" w:sz="4" w:space="0"/>
            </w:tcBorders>
            <w:vAlign w:val="center"/>
          </w:tcPr>
          <w:p w14:paraId="36897840">
            <w:pPr>
              <w:pStyle w:val="109"/>
              <w:rPr>
                <w:color w:val="000000" w:themeColor="text1"/>
                <w14:textFill>
                  <w14:solidFill>
                    <w14:schemeClr w14:val="tx1"/>
                  </w14:solidFill>
                </w14:textFill>
              </w:rPr>
            </w:pPr>
          </w:p>
        </w:tc>
      </w:tr>
      <w:tr w14:paraId="7E48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tcBorders>
              <w:top w:val="single" w:color="auto" w:sz="4" w:space="0"/>
              <w:left w:val="single" w:color="auto" w:sz="4" w:space="0"/>
              <w:bottom w:val="single" w:color="auto" w:sz="4" w:space="0"/>
              <w:right w:val="single" w:color="auto" w:sz="4" w:space="0"/>
            </w:tcBorders>
            <w:vAlign w:val="center"/>
          </w:tcPr>
          <w:p w14:paraId="1D485741">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658" w:type="pct"/>
            <w:tcBorders>
              <w:top w:val="single" w:color="auto" w:sz="4" w:space="0"/>
              <w:left w:val="single" w:color="auto" w:sz="4" w:space="0"/>
              <w:right w:val="single" w:color="auto" w:sz="4" w:space="0"/>
            </w:tcBorders>
            <w:vAlign w:val="center"/>
          </w:tcPr>
          <w:p w14:paraId="7B482A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氨水储罐</w:t>
            </w:r>
          </w:p>
        </w:tc>
        <w:tc>
          <w:tcPr>
            <w:tcW w:w="520" w:type="pct"/>
            <w:tcBorders>
              <w:top w:val="single" w:color="auto" w:sz="4" w:space="0"/>
              <w:left w:val="single" w:color="auto" w:sz="4" w:space="0"/>
              <w:bottom w:val="single" w:color="auto" w:sz="4" w:space="0"/>
              <w:right w:val="single" w:color="auto" w:sz="4" w:space="0"/>
            </w:tcBorders>
            <w:vAlign w:val="center"/>
          </w:tcPr>
          <w:p w14:paraId="1AA4EAB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w:t>
            </w:r>
          </w:p>
        </w:tc>
        <w:tc>
          <w:tcPr>
            <w:tcW w:w="656" w:type="pct"/>
            <w:tcBorders>
              <w:top w:val="single" w:color="auto" w:sz="4" w:space="0"/>
              <w:left w:val="single" w:color="auto" w:sz="4" w:space="0"/>
              <w:bottom w:val="single" w:color="auto" w:sz="4" w:space="0"/>
              <w:right w:val="single" w:color="auto" w:sz="4" w:space="0"/>
            </w:tcBorders>
            <w:vAlign w:val="center"/>
          </w:tcPr>
          <w:p w14:paraId="43CE710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呼吸阀+二级水封</w:t>
            </w:r>
          </w:p>
        </w:tc>
        <w:tc>
          <w:tcPr>
            <w:tcW w:w="1471" w:type="pct"/>
            <w:tcBorders>
              <w:top w:val="single" w:color="auto" w:sz="4" w:space="0"/>
              <w:left w:val="single" w:color="auto" w:sz="4" w:space="0"/>
              <w:right w:val="single" w:color="auto" w:sz="4" w:space="0"/>
            </w:tcBorders>
            <w:vAlign w:val="center"/>
          </w:tcPr>
          <w:p w14:paraId="61D34354">
            <w:pPr>
              <w:pStyle w:val="109"/>
              <w:rPr>
                <w:color w:val="000000" w:themeColor="text1"/>
                <w14:textFill>
                  <w14:solidFill>
                    <w14:schemeClr w14:val="tx1"/>
                  </w14:solidFill>
                </w14:textFill>
              </w:rPr>
            </w:pPr>
            <w:r>
              <w:rPr>
                <w:color w:val="000000" w:themeColor="text1"/>
                <w14:textFill>
                  <w14:solidFill>
                    <w14:schemeClr w14:val="tx1"/>
                  </w14:solidFill>
                </w14:textFill>
              </w:rPr>
              <w:t>《恶臭污染物排放标准》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GB14554-93</w:t>
            </w:r>
            <w:r>
              <w:rPr>
                <w:color w:val="000000" w:themeColor="text1"/>
                <w:lang w:bidi="en-US"/>
                <w14:textFill>
                  <w14:solidFill>
                    <w14:schemeClr w14:val="tx1"/>
                  </w14:solidFill>
                </w14:textFill>
              </w:rPr>
              <w:t>)</w:t>
            </w:r>
          </w:p>
        </w:tc>
        <w:tc>
          <w:tcPr>
            <w:tcW w:w="747" w:type="pct"/>
            <w:tcBorders>
              <w:top w:val="single" w:color="auto" w:sz="4" w:space="0"/>
              <w:left w:val="single" w:color="auto" w:sz="4" w:space="0"/>
              <w:right w:val="single" w:color="auto" w:sz="4" w:space="0"/>
            </w:tcBorders>
            <w:vAlign w:val="center"/>
          </w:tcPr>
          <w:p w14:paraId="00CADE4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595" w:type="pct"/>
            <w:tcBorders>
              <w:top w:val="single" w:color="auto" w:sz="4" w:space="0"/>
              <w:left w:val="single" w:color="auto" w:sz="4" w:space="0"/>
              <w:bottom w:val="single" w:color="auto" w:sz="4" w:space="0"/>
              <w:right w:val="single" w:color="auto" w:sz="4" w:space="0"/>
            </w:tcBorders>
            <w:vAlign w:val="center"/>
          </w:tcPr>
          <w:p w14:paraId="01BE5829">
            <w:pPr>
              <w:pStyle w:val="109"/>
              <w:rPr>
                <w:color w:val="000000" w:themeColor="text1"/>
                <w14:textFill>
                  <w14:solidFill>
                    <w14:schemeClr w14:val="tx1"/>
                  </w14:solidFill>
                </w14:textFill>
              </w:rPr>
            </w:pPr>
          </w:p>
        </w:tc>
      </w:tr>
      <w:tr w14:paraId="3BBC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op w:val="single" w:color="auto" w:sz="4" w:space="0"/>
              <w:left w:val="single" w:color="auto" w:sz="4" w:space="0"/>
              <w:bottom w:val="single" w:color="auto" w:sz="4" w:space="0"/>
              <w:right w:val="single" w:color="auto" w:sz="4" w:space="0"/>
            </w:tcBorders>
            <w:vAlign w:val="center"/>
          </w:tcPr>
          <w:p w14:paraId="5F5ADC29">
            <w:pPr>
              <w:pStyle w:val="109"/>
              <w:rPr>
                <w:color w:val="000000" w:themeColor="text1"/>
                <w14:textFill>
                  <w14:solidFill>
                    <w14:schemeClr w14:val="tx1"/>
                  </w14:solidFill>
                </w14:textFill>
              </w:rPr>
            </w:pPr>
            <w:r>
              <w:rPr>
                <w:color w:val="000000" w:themeColor="text1"/>
                <w14:textFill>
                  <w14:solidFill>
                    <w14:schemeClr w14:val="tx1"/>
                  </w14:solidFill>
                </w14:textFill>
              </w:rPr>
              <w:t>无组织排放合计</w:t>
            </w:r>
          </w:p>
        </w:tc>
      </w:tr>
      <w:tr w14:paraId="6436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1" w:type="pct"/>
            <w:gridSpan w:val="2"/>
            <w:vMerge w:val="restart"/>
            <w:tcBorders>
              <w:top w:val="single" w:color="auto" w:sz="4" w:space="0"/>
              <w:left w:val="single" w:color="auto" w:sz="4" w:space="0"/>
              <w:right w:val="single" w:color="auto" w:sz="4" w:space="0"/>
            </w:tcBorders>
            <w:vAlign w:val="center"/>
          </w:tcPr>
          <w:p w14:paraId="5B7019E1">
            <w:pPr>
              <w:pStyle w:val="109"/>
              <w:rPr>
                <w:color w:val="000000" w:themeColor="text1"/>
                <w14:textFill>
                  <w14:solidFill>
                    <w14:schemeClr w14:val="tx1"/>
                  </w14:solidFill>
                </w14:textFill>
              </w:rPr>
            </w:pPr>
            <w:r>
              <w:rPr>
                <w:color w:val="000000" w:themeColor="text1"/>
                <w14:textFill>
                  <w14:solidFill>
                    <w14:schemeClr w14:val="tx1"/>
                  </w14:solidFill>
                </w14:textFill>
              </w:rPr>
              <w:t>无组织排放</w:t>
            </w:r>
          </w:p>
          <w:p w14:paraId="769DBCE7">
            <w:pPr>
              <w:pStyle w:val="109"/>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3395" w:type="pct"/>
            <w:gridSpan w:val="4"/>
            <w:tcBorders>
              <w:top w:val="single" w:color="auto" w:sz="4" w:space="0"/>
              <w:left w:val="single" w:color="auto" w:sz="4" w:space="0"/>
              <w:bottom w:val="single" w:color="auto" w:sz="4" w:space="0"/>
              <w:right w:val="single" w:color="auto" w:sz="4" w:space="0"/>
            </w:tcBorders>
            <w:vAlign w:val="center"/>
          </w:tcPr>
          <w:p w14:paraId="1C64E6E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VOCs</w:t>
            </w:r>
          </w:p>
        </w:tc>
        <w:tc>
          <w:tcPr>
            <w:tcW w:w="595" w:type="pct"/>
            <w:tcBorders>
              <w:top w:val="single" w:color="auto" w:sz="4" w:space="0"/>
              <w:left w:val="single" w:color="auto" w:sz="4" w:space="0"/>
              <w:bottom w:val="single" w:color="auto" w:sz="4" w:space="0"/>
              <w:right w:val="single" w:color="auto" w:sz="4" w:space="0"/>
            </w:tcBorders>
            <w:vAlign w:val="center"/>
          </w:tcPr>
          <w:p w14:paraId="65FADE7E">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0.025</w:t>
            </w:r>
          </w:p>
        </w:tc>
      </w:tr>
      <w:tr w14:paraId="1985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11" w:type="pct"/>
            <w:gridSpan w:val="2"/>
            <w:vMerge w:val="continue"/>
            <w:tcBorders>
              <w:left w:val="single" w:color="auto" w:sz="4" w:space="0"/>
              <w:right w:val="single" w:color="auto" w:sz="4" w:space="0"/>
            </w:tcBorders>
            <w:vAlign w:val="center"/>
          </w:tcPr>
          <w:p w14:paraId="18C98D7D">
            <w:pPr>
              <w:pStyle w:val="109"/>
              <w:rPr>
                <w:color w:val="000000" w:themeColor="text1"/>
                <w14:textFill>
                  <w14:solidFill>
                    <w14:schemeClr w14:val="tx1"/>
                  </w14:solidFill>
                </w14:textFill>
              </w:rPr>
            </w:pPr>
          </w:p>
        </w:tc>
        <w:tc>
          <w:tcPr>
            <w:tcW w:w="3395" w:type="pct"/>
            <w:gridSpan w:val="4"/>
            <w:tcBorders>
              <w:top w:val="single" w:color="auto" w:sz="4" w:space="0"/>
              <w:left w:val="single" w:color="auto" w:sz="4" w:space="0"/>
              <w:bottom w:val="single" w:color="auto" w:sz="4" w:space="0"/>
              <w:right w:val="single" w:color="auto" w:sz="4" w:space="0"/>
            </w:tcBorders>
            <w:vAlign w:val="center"/>
          </w:tcPr>
          <w:p w14:paraId="0745BE2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w:t>
            </w:r>
          </w:p>
        </w:tc>
        <w:tc>
          <w:tcPr>
            <w:tcW w:w="595" w:type="pct"/>
            <w:tcBorders>
              <w:top w:val="single" w:color="auto" w:sz="4" w:space="0"/>
              <w:left w:val="single" w:color="auto" w:sz="4" w:space="0"/>
              <w:bottom w:val="single" w:color="auto" w:sz="4" w:space="0"/>
              <w:right w:val="single" w:color="auto" w:sz="4" w:space="0"/>
            </w:tcBorders>
            <w:vAlign w:val="center"/>
          </w:tcPr>
          <w:p w14:paraId="199C3ABB">
            <w:pPr>
              <w:pStyle w:val="109"/>
              <w:rPr>
                <w:color w:val="000000" w:themeColor="text1"/>
                <w14:textFill>
                  <w14:solidFill>
                    <w14:schemeClr w14:val="tx1"/>
                  </w14:solidFill>
                </w14:textFill>
              </w:rPr>
            </w:pPr>
            <w:r>
              <w:rPr>
                <w:color w:val="000000" w:themeColor="text1"/>
                <w:szCs w:val="21"/>
                <w14:textFill>
                  <w14:solidFill>
                    <w14:schemeClr w14:val="tx1"/>
                  </w14:solidFill>
                </w14:textFill>
              </w:rPr>
              <w:t>0.0096</w:t>
            </w:r>
          </w:p>
        </w:tc>
      </w:tr>
    </w:tbl>
    <w:p w14:paraId="70BB44B4">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项目大气污染物年排放量核算</w:t>
      </w:r>
    </w:p>
    <w:p w14:paraId="5B4798D6">
      <w:pPr>
        <w:ind w:firstLine="480"/>
        <w:rPr>
          <w:color w:val="000000" w:themeColor="text1"/>
          <w14:textFill>
            <w14:solidFill>
              <w14:schemeClr w14:val="tx1"/>
            </w14:solidFill>
          </w14:textFill>
        </w:rPr>
      </w:pPr>
      <w:r>
        <w:rPr>
          <w:color w:val="000000" w:themeColor="text1"/>
          <w14:textFill>
            <w14:solidFill>
              <w14:schemeClr w14:val="tx1"/>
            </w14:solidFill>
          </w14:textFill>
        </w:rPr>
        <w:t>项目大气污染物年排放量核算见下表。</w:t>
      </w:r>
    </w:p>
    <w:p w14:paraId="64BF35DD">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大气污染物年排放量核算表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435"/>
        <w:gridCol w:w="3100"/>
      </w:tblGrid>
      <w:tr w14:paraId="4E1E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pct"/>
            <w:tcBorders>
              <w:top w:val="single" w:color="auto" w:sz="4" w:space="0"/>
              <w:left w:val="single" w:color="auto" w:sz="4" w:space="0"/>
              <w:bottom w:val="single" w:color="auto" w:sz="4" w:space="0"/>
              <w:right w:val="single" w:color="auto" w:sz="4" w:space="0"/>
            </w:tcBorders>
            <w:vAlign w:val="center"/>
          </w:tcPr>
          <w:p w14:paraId="16823D40">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303" w:type="pct"/>
            <w:tcBorders>
              <w:top w:val="single" w:color="auto" w:sz="4" w:space="0"/>
              <w:left w:val="single" w:color="auto" w:sz="4" w:space="0"/>
              <w:bottom w:val="single" w:color="auto" w:sz="4" w:space="0"/>
              <w:right w:val="single" w:color="auto" w:sz="4" w:space="0"/>
            </w:tcBorders>
          </w:tcPr>
          <w:p w14:paraId="1D746B30">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610" w:type="pct"/>
            <w:tcBorders>
              <w:top w:val="single" w:color="auto" w:sz="4" w:space="0"/>
              <w:left w:val="single" w:color="auto" w:sz="4" w:space="0"/>
              <w:bottom w:val="single" w:color="auto" w:sz="4" w:space="0"/>
              <w:right w:val="single" w:color="auto" w:sz="4" w:space="0"/>
            </w:tcBorders>
          </w:tcPr>
          <w:p w14:paraId="1640C6FD">
            <w:pPr>
              <w:pStyle w:val="109"/>
              <w:rPr>
                <w:color w:val="000000" w:themeColor="text1"/>
                <w14:textFill>
                  <w14:solidFill>
                    <w14:schemeClr w14:val="tx1"/>
                  </w14:solidFill>
                </w14:textFill>
              </w:rPr>
            </w:pPr>
            <w:r>
              <w:rPr>
                <w:color w:val="000000" w:themeColor="text1"/>
                <w14:textFill>
                  <w14:solidFill>
                    <w14:schemeClr w14:val="tx1"/>
                  </w14:solidFill>
                </w14:textFill>
              </w:rPr>
              <w:t>年排放量（t/a）</w:t>
            </w:r>
          </w:p>
        </w:tc>
      </w:tr>
      <w:tr w14:paraId="329D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062F171F">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303" w:type="pct"/>
            <w:tcBorders>
              <w:top w:val="single" w:color="auto" w:sz="4" w:space="0"/>
              <w:left w:val="single" w:color="auto" w:sz="4" w:space="0"/>
              <w:bottom w:val="single" w:color="auto" w:sz="4" w:space="0"/>
              <w:right w:val="single" w:color="auto" w:sz="4" w:space="0"/>
            </w:tcBorders>
            <w:vAlign w:val="center"/>
          </w:tcPr>
          <w:p w14:paraId="5796B77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VOCs</w:t>
            </w:r>
          </w:p>
        </w:tc>
        <w:tc>
          <w:tcPr>
            <w:tcW w:w="1610" w:type="pct"/>
            <w:tcBorders>
              <w:top w:val="single" w:color="auto" w:sz="4" w:space="0"/>
              <w:left w:val="single" w:color="auto" w:sz="4" w:space="0"/>
              <w:bottom w:val="single" w:color="auto" w:sz="4" w:space="0"/>
              <w:right w:val="single" w:color="auto" w:sz="4" w:space="0"/>
            </w:tcBorders>
            <w:vAlign w:val="center"/>
          </w:tcPr>
          <w:p w14:paraId="4C09E4DE">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0.2</w:t>
            </w:r>
            <w:r>
              <w:rPr>
                <w:rFonts w:hint="eastAsia" w:eastAsia="等线"/>
                <w:color w:val="000000" w:themeColor="text1"/>
                <w14:textFill>
                  <w14:solidFill>
                    <w14:schemeClr w14:val="tx1"/>
                  </w14:solidFill>
                </w14:textFill>
              </w:rPr>
              <w:t>7</w:t>
            </w:r>
            <w:r>
              <w:rPr>
                <w:rFonts w:eastAsia="等线"/>
                <w:color w:val="000000" w:themeColor="text1"/>
                <w14:textFill>
                  <w14:solidFill>
                    <w14:schemeClr w14:val="tx1"/>
                  </w14:solidFill>
                </w14:textFill>
              </w:rPr>
              <w:t>5</w:t>
            </w:r>
          </w:p>
        </w:tc>
      </w:tr>
      <w:tr w14:paraId="32D5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6E39106D">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303" w:type="pct"/>
            <w:tcBorders>
              <w:top w:val="single" w:color="auto" w:sz="4" w:space="0"/>
              <w:left w:val="single" w:color="auto" w:sz="4" w:space="0"/>
              <w:bottom w:val="single" w:color="auto" w:sz="4" w:space="0"/>
              <w:right w:val="single" w:color="auto" w:sz="4" w:space="0"/>
            </w:tcBorders>
            <w:vAlign w:val="center"/>
          </w:tcPr>
          <w:p w14:paraId="1E38277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610" w:type="pct"/>
            <w:tcBorders>
              <w:top w:val="single" w:color="auto" w:sz="4" w:space="0"/>
              <w:left w:val="single" w:color="auto" w:sz="4" w:space="0"/>
              <w:bottom w:val="single" w:color="auto" w:sz="4" w:space="0"/>
              <w:right w:val="single" w:color="auto" w:sz="4" w:space="0"/>
            </w:tcBorders>
            <w:vAlign w:val="center"/>
          </w:tcPr>
          <w:p w14:paraId="6B4E385F">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w:t>
            </w:r>
            <w:r>
              <w:rPr>
                <w:rFonts w:hint="eastAsia" w:eastAsia="等线"/>
                <w:color w:val="000000" w:themeColor="text1"/>
                <w14:textFill>
                  <w14:solidFill>
                    <w14:schemeClr w14:val="tx1"/>
                  </w14:solidFill>
                </w14:textFill>
              </w:rPr>
              <w:t>81</w:t>
            </w:r>
            <w:r>
              <w:rPr>
                <w:rFonts w:eastAsia="等线"/>
                <w:color w:val="000000" w:themeColor="text1"/>
                <w14:textFill>
                  <w14:solidFill>
                    <w14:schemeClr w14:val="tx1"/>
                  </w14:solidFill>
                </w14:textFill>
              </w:rPr>
              <w:t>3</w:t>
            </w:r>
          </w:p>
        </w:tc>
      </w:tr>
      <w:tr w14:paraId="19B5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459A6EF5">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303" w:type="pct"/>
            <w:tcBorders>
              <w:top w:val="single" w:color="auto" w:sz="4" w:space="0"/>
              <w:left w:val="single" w:color="auto" w:sz="4" w:space="0"/>
              <w:bottom w:val="single" w:color="auto" w:sz="4" w:space="0"/>
              <w:right w:val="single" w:color="auto" w:sz="4" w:space="0"/>
            </w:tcBorders>
            <w:vAlign w:val="center"/>
          </w:tcPr>
          <w:p w14:paraId="509F7862">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CO</w:t>
            </w:r>
          </w:p>
        </w:tc>
        <w:tc>
          <w:tcPr>
            <w:tcW w:w="1610" w:type="pct"/>
            <w:tcBorders>
              <w:top w:val="single" w:color="auto" w:sz="4" w:space="0"/>
              <w:left w:val="single" w:color="auto" w:sz="4" w:space="0"/>
              <w:bottom w:val="single" w:color="auto" w:sz="4" w:space="0"/>
              <w:right w:val="single" w:color="auto" w:sz="4" w:space="0"/>
            </w:tcBorders>
            <w:vAlign w:val="center"/>
          </w:tcPr>
          <w:p w14:paraId="10DA171B">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2.333</w:t>
            </w:r>
          </w:p>
        </w:tc>
      </w:tr>
      <w:tr w14:paraId="0C89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522326AF">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303" w:type="pct"/>
            <w:tcBorders>
              <w:top w:val="single" w:color="auto" w:sz="4" w:space="0"/>
              <w:left w:val="single" w:color="auto" w:sz="4" w:space="0"/>
              <w:bottom w:val="single" w:color="auto" w:sz="4" w:space="0"/>
              <w:right w:val="single" w:color="auto" w:sz="4" w:space="0"/>
            </w:tcBorders>
            <w:vAlign w:val="center"/>
          </w:tcPr>
          <w:p w14:paraId="298FEED4">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NOx</w:t>
            </w:r>
          </w:p>
        </w:tc>
        <w:tc>
          <w:tcPr>
            <w:tcW w:w="1610" w:type="pct"/>
            <w:tcBorders>
              <w:top w:val="single" w:color="auto" w:sz="4" w:space="0"/>
              <w:left w:val="single" w:color="auto" w:sz="4" w:space="0"/>
              <w:bottom w:val="single" w:color="auto" w:sz="4" w:space="0"/>
              <w:right w:val="single" w:color="auto" w:sz="4" w:space="0"/>
            </w:tcBorders>
            <w:vAlign w:val="center"/>
          </w:tcPr>
          <w:p w14:paraId="11C9FA09">
            <w:pPr>
              <w:pStyle w:val="109"/>
              <w:rPr>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6.361</w:t>
            </w:r>
          </w:p>
        </w:tc>
      </w:tr>
      <w:tr w14:paraId="459A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1ED186F8">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2303" w:type="pct"/>
            <w:tcBorders>
              <w:top w:val="single" w:color="auto" w:sz="4" w:space="0"/>
              <w:left w:val="single" w:color="auto" w:sz="4" w:space="0"/>
              <w:bottom w:val="single" w:color="auto" w:sz="4" w:space="0"/>
              <w:right w:val="single" w:color="auto" w:sz="4" w:space="0"/>
            </w:tcBorders>
            <w:vAlign w:val="center"/>
          </w:tcPr>
          <w:p w14:paraId="67339349">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SO</w:t>
            </w:r>
            <w:r>
              <w:rPr>
                <w:rFonts w:eastAsia="等线"/>
                <w:color w:val="000000" w:themeColor="text1"/>
                <w:vertAlign w:val="subscript"/>
                <w14:textFill>
                  <w14:solidFill>
                    <w14:schemeClr w14:val="tx1"/>
                  </w14:solidFill>
                </w14:textFill>
              </w:rPr>
              <w:t>2</w:t>
            </w:r>
          </w:p>
        </w:tc>
        <w:tc>
          <w:tcPr>
            <w:tcW w:w="1610" w:type="pct"/>
            <w:tcBorders>
              <w:top w:val="single" w:color="auto" w:sz="4" w:space="0"/>
              <w:left w:val="single" w:color="auto" w:sz="4" w:space="0"/>
              <w:bottom w:val="single" w:color="auto" w:sz="4" w:space="0"/>
              <w:right w:val="single" w:color="auto" w:sz="4" w:space="0"/>
            </w:tcBorders>
            <w:vAlign w:val="center"/>
          </w:tcPr>
          <w:p w14:paraId="40A64464">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2</w:t>
            </w:r>
            <w:r>
              <w:rPr>
                <w:rFonts w:hint="eastAsia" w:eastAsia="等线"/>
                <w:color w:val="000000" w:themeColor="text1"/>
                <w14:textFill>
                  <w14:solidFill>
                    <w14:schemeClr w14:val="tx1"/>
                  </w14:solidFill>
                </w14:textFill>
              </w:rPr>
              <w:t>.46</w:t>
            </w:r>
          </w:p>
        </w:tc>
      </w:tr>
      <w:tr w14:paraId="0175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54434A56">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2303" w:type="pct"/>
            <w:tcBorders>
              <w:top w:val="single" w:color="auto" w:sz="4" w:space="0"/>
              <w:left w:val="single" w:color="auto" w:sz="4" w:space="0"/>
              <w:bottom w:val="single" w:color="auto" w:sz="4" w:space="0"/>
              <w:right w:val="single" w:color="auto" w:sz="4" w:space="0"/>
            </w:tcBorders>
            <w:vAlign w:val="center"/>
          </w:tcPr>
          <w:p w14:paraId="3487A5E7">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HF</w:t>
            </w:r>
          </w:p>
        </w:tc>
        <w:tc>
          <w:tcPr>
            <w:tcW w:w="1610" w:type="pct"/>
            <w:tcBorders>
              <w:top w:val="single" w:color="auto" w:sz="4" w:space="0"/>
              <w:left w:val="single" w:color="auto" w:sz="4" w:space="0"/>
              <w:bottom w:val="single" w:color="auto" w:sz="4" w:space="0"/>
              <w:right w:val="single" w:color="auto" w:sz="4" w:space="0"/>
            </w:tcBorders>
            <w:vAlign w:val="center"/>
          </w:tcPr>
          <w:p w14:paraId="52F44E88">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0.053</w:t>
            </w:r>
          </w:p>
        </w:tc>
      </w:tr>
      <w:tr w14:paraId="2255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178B4177">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2303" w:type="pct"/>
            <w:tcBorders>
              <w:top w:val="single" w:color="auto" w:sz="4" w:space="0"/>
              <w:left w:val="single" w:color="auto" w:sz="4" w:space="0"/>
              <w:bottom w:val="single" w:color="auto" w:sz="4" w:space="0"/>
              <w:right w:val="single" w:color="auto" w:sz="4" w:space="0"/>
            </w:tcBorders>
            <w:vAlign w:val="center"/>
          </w:tcPr>
          <w:p w14:paraId="545B306C">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HCl</w:t>
            </w:r>
          </w:p>
        </w:tc>
        <w:tc>
          <w:tcPr>
            <w:tcW w:w="1610" w:type="pct"/>
            <w:tcBorders>
              <w:top w:val="single" w:color="auto" w:sz="4" w:space="0"/>
              <w:left w:val="single" w:color="auto" w:sz="4" w:space="0"/>
              <w:bottom w:val="single" w:color="auto" w:sz="4" w:space="0"/>
              <w:right w:val="single" w:color="auto" w:sz="4" w:space="0"/>
            </w:tcBorders>
            <w:vAlign w:val="center"/>
          </w:tcPr>
          <w:p w14:paraId="495D7B6F">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1.543</w:t>
            </w:r>
          </w:p>
        </w:tc>
      </w:tr>
      <w:tr w14:paraId="779E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38741B49">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2303" w:type="pct"/>
            <w:tcBorders>
              <w:top w:val="single" w:color="auto" w:sz="4" w:space="0"/>
              <w:left w:val="single" w:color="auto" w:sz="4" w:space="0"/>
              <w:bottom w:val="single" w:color="auto" w:sz="4" w:space="0"/>
              <w:right w:val="single" w:color="auto" w:sz="4" w:space="0"/>
            </w:tcBorders>
            <w:vAlign w:val="center"/>
          </w:tcPr>
          <w:p w14:paraId="5947844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汞及其化合物</w:t>
            </w:r>
          </w:p>
        </w:tc>
        <w:tc>
          <w:tcPr>
            <w:tcW w:w="1610" w:type="pct"/>
            <w:tcBorders>
              <w:top w:val="single" w:color="auto" w:sz="4" w:space="0"/>
              <w:left w:val="single" w:color="auto" w:sz="4" w:space="0"/>
              <w:bottom w:val="single" w:color="auto" w:sz="4" w:space="0"/>
              <w:right w:val="single" w:color="auto" w:sz="4" w:space="0"/>
            </w:tcBorders>
            <w:vAlign w:val="center"/>
          </w:tcPr>
          <w:p w14:paraId="27AB7470">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0.0001</w:t>
            </w:r>
          </w:p>
        </w:tc>
      </w:tr>
      <w:tr w14:paraId="61B7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1C73116C">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2303" w:type="pct"/>
            <w:tcBorders>
              <w:top w:val="single" w:color="auto" w:sz="4" w:space="0"/>
              <w:left w:val="single" w:color="auto" w:sz="4" w:space="0"/>
              <w:bottom w:val="single" w:color="auto" w:sz="4" w:space="0"/>
              <w:right w:val="single" w:color="auto" w:sz="4" w:space="0"/>
            </w:tcBorders>
            <w:vAlign w:val="center"/>
          </w:tcPr>
          <w:p w14:paraId="0570203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铊及其化合物</w:t>
            </w:r>
          </w:p>
        </w:tc>
        <w:tc>
          <w:tcPr>
            <w:tcW w:w="1610" w:type="pct"/>
            <w:tcBorders>
              <w:top w:val="single" w:color="auto" w:sz="4" w:space="0"/>
              <w:left w:val="single" w:color="auto" w:sz="4" w:space="0"/>
              <w:bottom w:val="single" w:color="auto" w:sz="4" w:space="0"/>
              <w:right w:val="single" w:color="auto" w:sz="4" w:space="0"/>
            </w:tcBorders>
            <w:vAlign w:val="center"/>
          </w:tcPr>
          <w:p w14:paraId="398FEE57">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0.000005</w:t>
            </w:r>
          </w:p>
        </w:tc>
      </w:tr>
      <w:tr w14:paraId="37EB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4E3AA6C3">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303" w:type="pct"/>
            <w:tcBorders>
              <w:top w:val="single" w:color="auto" w:sz="4" w:space="0"/>
              <w:left w:val="single" w:color="auto" w:sz="4" w:space="0"/>
              <w:bottom w:val="single" w:color="auto" w:sz="4" w:space="0"/>
              <w:right w:val="single" w:color="auto" w:sz="4" w:space="0"/>
            </w:tcBorders>
            <w:vAlign w:val="center"/>
          </w:tcPr>
          <w:p w14:paraId="3B1C717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镉及其化合物</w:t>
            </w:r>
          </w:p>
        </w:tc>
        <w:tc>
          <w:tcPr>
            <w:tcW w:w="1610" w:type="pct"/>
            <w:tcBorders>
              <w:top w:val="single" w:color="auto" w:sz="4" w:space="0"/>
              <w:left w:val="single" w:color="auto" w:sz="4" w:space="0"/>
              <w:bottom w:val="single" w:color="auto" w:sz="4" w:space="0"/>
              <w:right w:val="single" w:color="auto" w:sz="4" w:space="0"/>
            </w:tcBorders>
            <w:vAlign w:val="center"/>
          </w:tcPr>
          <w:p w14:paraId="4D39A7EA">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0.0003</w:t>
            </w:r>
          </w:p>
        </w:tc>
      </w:tr>
      <w:tr w14:paraId="6A90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70309477">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2303" w:type="pct"/>
            <w:tcBorders>
              <w:top w:val="single" w:color="auto" w:sz="4" w:space="0"/>
              <w:left w:val="single" w:color="auto" w:sz="4" w:space="0"/>
              <w:bottom w:val="single" w:color="auto" w:sz="4" w:space="0"/>
              <w:right w:val="single" w:color="auto" w:sz="4" w:space="0"/>
            </w:tcBorders>
            <w:vAlign w:val="center"/>
          </w:tcPr>
          <w:p w14:paraId="12BC85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铅及其化合物</w:t>
            </w:r>
          </w:p>
        </w:tc>
        <w:tc>
          <w:tcPr>
            <w:tcW w:w="1610" w:type="pct"/>
            <w:tcBorders>
              <w:top w:val="single" w:color="auto" w:sz="4" w:space="0"/>
              <w:left w:val="single" w:color="auto" w:sz="4" w:space="0"/>
              <w:bottom w:val="single" w:color="auto" w:sz="4" w:space="0"/>
              <w:right w:val="single" w:color="auto" w:sz="4" w:space="0"/>
            </w:tcBorders>
            <w:vAlign w:val="center"/>
          </w:tcPr>
          <w:p w14:paraId="65578B86">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0.001</w:t>
            </w:r>
          </w:p>
        </w:tc>
      </w:tr>
      <w:tr w14:paraId="08EE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45A04CA1">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2303" w:type="pct"/>
            <w:tcBorders>
              <w:top w:val="single" w:color="auto" w:sz="4" w:space="0"/>
              <w:left w:val="single" w:color="auto" w:sz="4" w:space="0"/>
              <w:bottom w:val="single" w:color="auto" w:sz="4" w:space="0"/>
              <w:right w:val="single" w:color="auto" w:sz="4" w:space="0"/>
            </w:tcBorders>
            <w:vAlign w:val="center"/>
          </w:tcPr>
          <w:p w14:paraId="31A89BC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砷及其化合物</w:t>
            </w:r>
          </w:p>
        </w:tc>
        <w:tc>
          <w:tcPr>
            <w:tcW w:w="1610" w:type="pct"/>
            <w:tcBorders>
              <w:top w:val="single" w:color="auto" w:sz="4" w:space="0"/>
              <w:left w:val="single" w:color="auto" w:sz="4" w:space="0"/>
              <w:bottom w:val="single" w:color="auto" w:sz="4" w:space="0"/>
              <w:right w:val="single" w:color="auto" w:sz="4" w:space="0"/>
            </w:tcBorders>
            <w:vAlign w:val="center"/>
          </w:tcPr>
          <w:p w14:paraId="2C6DBCC0">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0.002</w:t>
            </w:r>
          </w:p>
        </w:tc>
      </w:tr>
      <w:tr w14:paraId="21FC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4BE8AA0B">
            <w:pPr>
              <w:pStyle w:val="10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2303" w:type="pct"/>
            <w:tcBorders>
              <w:top w:val="single" w:color="auto" w:sz="4" w:space="0"/>
              <w:left w:val="single" w:color="auto" w:sz="4" w:space="0"/>
              <w:bottom w:val="single" w:color="auto" w:sz="4" w:space="0"/>
              <w:right w:val="single" w:color="auto" w:sz="4" w:space="0"/>
            </w:tcBorders>
            <w:vAlign w:val="center"/>
          </w:tcPr>
          <w:p w14:paraId="37D03F3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铬及其化合物</w:t>
            </w:r>
          </w:p>
        </w:tc>
        <w:tc>
          <w:tcPr>
            <w:tcW w:w="1610" w:type="pct"/>
            <w:tcBorders>
              <w:top w:val="single" w:color="auto" w:sz="4" w:space="0"/>
              <w:left w:val="single" w:color="auto" w:sz="4" w:space="0"/>
              <w:bottom w:val="single" w:color="auto" w:sz="4" w:space="0"/>
              <w:right w:val="single" w:color="auto" w:sz="4" w:space="0"/>
            </w:tcBorders>
            <w:vAlign w:val="center"/>
          </w:tcPr>
          <w:p w14:paraId="4B15E4F1">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0.00005</w:t>
            </w:r>
          </w:p>
        </w:tc>
      </w:tr>
      <w:tr w14:paraId="3CFF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78A0BDAE">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2303" w:type="pct"/>
            <w:tcBorders>
              <w:top w:val="single" w:color="auto" w:sz="4" w:space="0"/>
              <w:left w:val="single" w:color="auto" w:sz="4" w:space="0"/>
              <w:bottom w:val="single" w:color="auto" w:sz="4" w:space="0"/>
              <w:right w:val="single" w:color="auto" w:sz="4" w:space="0"/>
            </w:tcBorders>
            <w:vAlign w:val="center"/>
          </w:tcPr>
          <w:p w14:paraId="4999B67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锡、锑、铜、锰、</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镍、钴及其化合</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物</w:t>
            </w:r>
          </w:p>
        </w:tc>
        <w:tc>
          <w:tcPr>
            <w:tcW w:w="1610" w:type="pct"/>
            <w:tcBorders>
              <w:top w:val="single" w:color="auto" w:sz="4" w:space="0"/>
              <w:left w:val="single" w:color="auto" w:sz="4" w:space="0"/>
              <w:bottom w:val="single" w:color="auto" w:sz="4" w:space="0"/>
              <w:right w:val="single" w:color="auto" w:sz="4" w:space="0"/>
            </w:tcBorders>
            <w:vAlign w:val="center"/>
          </w:tcPr>
          <w:p w14:paraId="28FAEA66">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0.00035</w:t>
            </w:r>
          </w:p>
        </w:tc>
      </w:tr>
      <w:tr w14:paraId="14B3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63733C6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2303" w:type="pct"/>
            <w:tcBorders>
              <w:top w:val="single" w:color="auto" w:sz="4" w:space="0"/>
              <w:left w:val="single" w:color="auto" w:sz="4" w:space="0"/>
              <w:bottom w:val="single" w:color="auto" w:sz="4" w:space="0"/>
              <w:right w:val="single" w:color="auto" w:sz="4" w:space="0"/>
            </w:tcBorders>
            <w:vAlign w:val="center"/>
          </w:tcPr>
          <w:p w14:paraId="56E1B16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二噁英类</w:t>
            </w:r>
          </w:p>
        </w:tc>
        <w:tc>
          <w:tcPr>
            <w:tcW w:w="1610" w:type="pct"/>
            <w:tcBorders>
              <w:top w:val="single" w:color="auto" w:sz="4" w:space="0"/>
              <w:left w:val="single" w:color="auto" w:sz="4" w:space="0"/>
              <w:bottom w:val="single" w:color="auto" w:sz="4" w:space="0"/>
              <w:right w:val="single" w:color="auto" w:sz="4" w:space="0"/>
            </w:tcBorders>
            <w:vAlign w:val="center"/>
          </w:tcPr>
          <w:p w14:paraId="2B5FC923">
            <w:pPr>
              <w:pStyle w:val="109"/>
              <w:rPr>
                <w:color w:val="000000" w:themeColor="text1"/>
                <w14:textFill>
                  <w14:solidFill>
                    <w14:schemeClr w14:val="tx1"/>
                  </w14:solidFill>
                </w14:textFill>
              </w:rPr>
            </w:pPr>
            <w:r>
              <w:rPr>
                <w:rFonts w:eastAsia="等线"/>
                <w:color w:val="000000" w:themeColor="text1"/>
                <w14:textFill>
                  <w14:solidFill>
                    <w14:schemeClr w14:val="tx1"/>
                  </w14:solidFill>
                </w14:textFill>
              </w:rPr>
              <w:t>0.032mgTEQ/a</w:t>
            </w:r>
          </w:p>
        </w:tc>
      </w:tr>
      <w:tr w14:paraId="2149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87" w:type="pct"/>
            <w:tcBorders>
              <w:top w:val="single" w:color="auto" w:sz="4" w:space="0"/>
              <w:left w:val="single" w:color="auto" w:sz="4" w:space="0"/>
              <w:bottom w:val="single" w:color="auto" w:sz="4" w:space="0"/>
              <w:right w:val="single" w:color="auto" w:sz="4" w:space="0"/>
            </w:tcBorders>
            <w:vAlign w:val="center"/>
          </w:tcPr>
          <w:p w14:paraId="57D11C7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2303" w:type="pct"/>
            <w:tcBorders>
              <w:top w:val="single" w:color="auto" w:sz="4" w:space="0"/>
              <w:left w:val="single" w:color="auto" w:sz="4" w:space="0"/>
              <w:bottom w:val="single" w:color="auto" w:sz="4" w:space="0"/>
              <w:right w:val="single" w:color="auto" w:sz="4" w:space="0"/>
            </w:tcBorders>
            <w:vAlign w:val="center"/>
          </w:tcPr>
          <w:p w14:paraId="0C3D749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w:t>
            </w:r>
          </w:p>
        </w:tc>
        <w:tc>
          <w:tcPr>
            <w:tcW w:w="1610" w:type="pct"/>
            <w:tcBorders>
              <w:top w:val="single" w:color="auto" w:sz="4" w:space="0"/>
              <w:left w:val="single" w:color="auto" w:sz="4" w:space="0"/>
              <w:bottom w:val="single" w:color="auto" w:sz="4" w:space="0"/>
              <w:right w:val="single" w:color="auto" w:sz="4" w:space="0"/>
            </w:tcBorders>
            <w:vAlign w:val="bottom"/>
          </w:tcPr>
          <w:p w14:paraId="2CADC42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0.0096</w:t>
            </w:r>
          </w:p>
        </w:tc>
      </w:tr>
    </w:tbl>
    <w:p w14:paraId="09AF6914">
      <w:pPr>
        <w:pStyle w:val="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非正常工况下污染物排放量核算</w:t>
      </w:r>
    </w:p>
    <w:p w14:paraId="2317A572">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废气污染物非正常排放</w:t>
      </w:r>
      <w:r>
        <w:rPr>
          <w:rFonts w:hint="eastAsia"/>
          <w:color w:val="000000" w:themeColor="text1"/>
          <w14:textFill>
            <w14:solidFill>
              <w14:schemeClr w14:val="tx1"/>
            </w14:solidFill>
          </w14:textFill>
        </w:rPr>
        <w:t>情况一览表</w:t>
      </w:r>
    </w:p>
    <w:tbl>
      <w:tblPr>
        <w:tblStyle w:val="76"/>
        <w:tblW w:w="9220" w:type="dxa"/>
        <w:tblInd w:w="0" w:type="dxa"/>
        <w:tblLayout w:type="fixed"/>
        <w:tblCellMar>
          <w:top w:w="0" w:type="dxa"/>
          <w:left w:w="108" w:type="dxa"/>
          <w:bottom w:w="0" w:type="dxa"/>
          <w:right w:w="108" w:type="dxa"/>
        </w:tblCellMar>
      </w:tblPr>
      <w:tblGrid>
        <w:gridCol w:w="704"/>
        <w:gridCol w:w="1559"/>
        <w:gridCol w:w="2410"/>
        <w:gridCol w:w="6"/>
        <w:gridCol w:w="1133"/>
        <w:gridCol w:w="6"/>
        <w:gridCol w:w="1269"/>
        <w:gridCol w:w="6"/>
        <w:gridCol w:w="1128"/>
        <w:gridCol w:w="6"/>
        <w:gridCol w:w="987"/>
        <w:gridCol w:w="6"/>
      </w:tblGrid>
      <w:tr w14:paraId="611493DD">
        <w:tblPrEx>
          <w:tblCellMar>
            <w:top w:w="0" w:type="dxa"/>
            <w:left w:w="108" w:type="dxa"/>
            <w:bottom w:w="0" w:type="dxa"/>
            <w:right w:w="108" w:type="dxa"/>
          </w:tblCellMar>
        </w:tblPrEx>
        <w:trPr>
          <w:trHeight w:val="288" w:hRule="atLeast"/>
        </w:trPr>
        <w:tc>
          <w:tcPr>
            <w:tcW w:w="4679" w:type="dxa"/>
            <w:gridSpan w:val="4"/>
            <w:tcBorders>
              <w:top w:val="single" w:color="auto" w:sz="4" w:space="0"/>
              <w:left w:val="single" w:color="auto" w:sz="4" w:space="0"/>
              <w:bottom w:val="single" w:color="auto" w:sz="4" w:space="0"/>
              <w:right w:val="single" w:color="auto" w:sz="4" w:space="0"/>
            </w:tcBorders>
            <w:noWrap/>
            <w:vAlign w:val="center"/>
          </w:tcPr>
          <w:p w14:paraId="7509813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139" w:type="dxa"/>
            <w:gridSpan w:val="2"/>
            <w:tcBorders>
              <w:top w:val="single" w:color="auto" w:sz="4" w:space="0"/>
              <w:left w:val="nil"/>
              <w:bottom w:val="single" w:color="auto" w:sz="4" w:space="0"/>
              <w:right w:val="single" w:color="auto" w:sz="4" w:space="0"/>
            </w:tcBorders>
            <w:noWrap/>
            <w:vAlign w:val="center"/>
          </w:tcPr>
          <w:p w14:paraId="08AE35E8">
            <w:pPr>
              <w:pStyle w:val="109"/>
              <w:ind w:right="-108" w:rightChars="-45"/>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排放浓度（mg/m³）</w:t>
            </w:r>
          </w:p>
        </w:tc>
        <w:tc>
          <w:tcPr>
            <w:tcW w:w="1275" w:type="dxa"/>
            <w:gridSpan w:val="2"/>
            <w:tcBorders>
              <w:top w:val="single" w:color="auto" w:sz="4" w:space="0"/>
              <w:left w:val="nil"/>
              <w:bottom w:val="single" w:color="auto" w:sz="4" w:space="0"/>
              <w:right w:val="single" w:color="auto" w:sz="4" w:space="0"/>
            </w:tcBorders>
            <w:noWrap/>
            <w:vAlign w:val="center"/>
          </w:tcPr>
          <w:p w14:paraId="1E56B78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排放速率（kg/h）</w:t>
            </w:r>
          </w:p>
        </w:tc>
        <w:tc>
          <w:tcPr>
            <w:tcW w:w="1134" w:type="dxa"/>
            <w:gridSpan w:val="2"/>
            <w:tcBorders>
              <w:top w:val="single" w:color="auto" w:sz="4" w:space="0"/>
              <w:left w:val="nil"/>
              <w:bottom w:val="single" w:color="auto" w:sz="4" w:space="0"/>
              <w:right w:val="single" w:color="auto" w:sz="4" w:space="0"/>
            </w:tcBorders>
            <w:noWrap/>
            <w:vAlign w:val="center"/>
          </w:tcPr>
          <w:p w14:paraId="7FCCBE3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单次持续时间 /h</w:t>
            </w:r>
          </w:p>
        </w:tc>
        <w:tc>
          <w:tcPr>
            <w:tcW w:w="993" w:type="dxa"/>
            <w:gridSpan w:val="2"/>
            <w:tcBorders>
              <w:top w:val="single" w:color="auto" w:sz="4" w:space="0"/>
              <w:left w:val="nil"/>
              <w:bottom w:val="single" w:color="auto" w:sz="4" w:space="0"/>
              <w:right w:val="single" w:color="auto" w:sz="4" w:space="0"/>
            </w:tcBorders>
            <w:noWrap/>
            <w:vAlign w:val="center"/>
          </w:tcPr>
          <w:p w14:paraId="6CAA38F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年发生频次</w:t>
            </w:r>
          </w:p>
        </w:tc>
      </w:tr>
      <w:tr w14:paraId="31527B0E">
        <w:tblPrEx>
          <w:tblCellMar>
            <w:top w:w="0" w:type="dxa"/>
            <w:left w:w="108" w:type="dxa"/>
            <w:bottom w:w="0" w:type="dxa"/>
            <w:right w:w="108" w:type="dxa"/>
          </w:tblCellMar>
        </w:tblPrEx>
        <w:trPr>
          <w:gridAfter w:val="1"/>
          <w:wAfter w:w="6" w:type="dxa"/>
          <w:trHeight w:val="300" w:hRule="atLeast"/>
        </w:trPr>
        <w:tc>
          <w:tcPr>
            <w:tcW w:w="704" w:type="dxa"/>
            <w:vMerge w:val="restart"/>
            <w:tcBorders>
              <w:top w:val="nil"/>
              <w:left w:val="single" w:color="auto" w:sz="4" w:space="0"/>
              <w:bottom w:val="single" w:color="auto" w:sz="4" w:space="0"/>
              <w:right w:val="single" w:color="auto" w:sz="4" w:space="0"/>
            </w:tcBorders>
            <w:noWrap/>
            <w:vAlign w:val="center"/>
          </w:tcPr>
          <w:p w14:paraId="6D796AC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有组织废气</w:t>
            </w:r>
          </w:p>
        </w:tc>
        <w:tc>
          <w:tcPr>
            <w:tcW w:w="1559" w:type="dxa"/>
            <w:tcBorders>
              <w:top w:val="nil"/>
              <w:left w:val="nil"/>
              <w:bottom w:val="single" w:color="auto" w:sz="4" w:space="0"/>
              <w:right w:val="single" w:color="auto" w:sz="4" w:space="0"/>
            </w:tcBorders>
            <w:noWrap/>
            <w:vAlign w:val="center"/>
          </w:tcPr>
          <w:p w14:paraId="66038C1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废盐储存、配伍废气</w:t>
            </w:r>
          </w:p>
        </w:tc>
        <w:tc>
          <w:tcPr>
            <w:tcW w:w="2410" w:type="dxa"/>
            <w:tcBorders>
              <w:top w:val="nil"/>
              <w:left w:val="nil"/>
              <w:bottom w:val="single" w:color="auto" w:sz="4" w:space="0"/>
              <w:right w:val="single" w:color="auto" w:sz="4" w:space="0"/>
            </w:tcBorders>
            <w:noWrap/>
            <w:vAlign w:val="center"/>
          </w:tcPr>
          <w:p w14:paraId="3123641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VOCs</w:t>
            </w:r>
          </w:p>
        </w:tc>
        <w:tc>
          <w:tcPr>
            <w:tcW w:w="1139" w:type="dxa"/>
            <w:gridSpan w:val="2"/>
            <w:tcBorders>
              <w:top w:val="nil"/>
              <w:left w:val="nil"/>
              <w:bottom w:val="single" w:color="auto" w:sz="4" w:space="0"/>
              <w:right w:val="single" w:color="auto" w:sz="4" w:space="0"/>
            </w:tcBorders>
            <w:noWrap/>
            <w:vAlign w:val="center"/>
          </w:tcPr>
          <w:p w14:paraId="35C3B69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75" w:type="dxa"/>
            <w:gridSpan w:val="2"/>
            <w:tcBorders>
              <w:top w:val="nil"/>
              <w:left w:val="nil"/>
              <w:bottom w:val="single" w:color="auto" w:sz="4" w:space="0"/>
              <w:right w:val="single" w:color="auto" w:sz="4" w:space="0"/>
            </w:tcBorders>
            <w:vAlign w:val="center"/>
          </w:tcPr>
          <w:p w14:paraId="3040E92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0.310</w:t>
            </w:r>
          </w:p>
        </w:tc>
        <w:tc>
          <w:tcPr>
            <w:tcW w:w="1134" w:type="dxa"/>
            <w:gridSpan w:val="2"/>
            <w:tcBorders>
              <w:top w:val="nil"/>
              <w:left w:val="nil"/>
              <w:bottom w:val="single" w:color="auto" w:sz="4" w:space="0"/>
              <w:right w:val="single" w:color="auto" w:sz="4" w:space="0"/>
            </w:tcBorders>
            <w:noWrap/>
            <w:vAlign w:val="center"/>
          </w:tcPr>
          <w:p w14:paraId="453DEB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93" w:type="dxa"/>
            <w:gridSpan w:val="2"/>
            <w:tcBorders>
              <w:top w:val="nil"/>
              <w:left w:val="nil"/>
              <w:bottom w:val="single" w:color="auto" w:sz="4" w:space="0"/>
              <w:right w:val="single" w:color="auto" w:sz="4" w:space="0"/>
            </w:tcBorders>
            <w:noWrap/>
            <w:vAlign w:val="center"/>
          </w:tcPr>
          <w:p w14:paraId="737E193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p>
        </w:tc>
      </w:tr>
      <w:tr w14:paraId="33987EC7">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44478B72">
            <w:pPr>
              <w:pStyle w:val="109"/>
              <w:rPr>
                <w:color w:val="000000" w:themeColor="text1"/>
                <w:szCs w:val="21"/>
                <w14:textFill>
                  <w14:solidFill>
                    <w14:schemeClr w14:val="tx1"/>
                  </w14:solidFill>
                </w14:textFill>
              </w:rPr>
            </w:pPr>
          </w:p>
        </w:tc>
        <w:tc>
          <w:tcPr>
            <w:tcW w:w="1559" w:type="dxa"/>
            <w:vMerge w:val="restart"/>
            <w:tcBorders>
              <w:top w:val="nil"/>
              <w:left w:val="single" w:color="auto" w:sz="4" w:space="0"/>
              <w:bottom w:val="single" w:color="auto" w:sz="4" w:space="0"/>
              <w:right w:val="single" w:color="auto" w:sz="4" w:space="0"/>
            </w:tcBorders>
            <w:noWrap/>
            <w:vAlign w:val="center"/>
          </w:tcPr>
          <w:p w14:paraId="07BD799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热解焙烧废气</w:t>
            </w:r>
          </w:p>
        </w:tc>
        <w:tc>
          <w:tcPr>
            <w:tcW w:w="2410" w:type="dxa"/>
            <w:tcBorders>
              <w:top w:val="nil"/>
              <w:left w:val="nil"/>
              <w:bottom w:val="single" w:color="auto" w:sz="4" w:space="0"/>
              <w:right w:val="single" w:color="auto" w:sz="4" w:space="0"/>
            </w:tcBorders>
            <w:vAlign w:val="center"/>
          </w:tcPr>
          <w:p w14:paraId="0AED91C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39" w:type="dxa"/>
            <w:gridSpan w:val="2"/>
            <w:tcBorders>
              <w:top w:val="nil"/>
              <w:left w:val="nil"/>
              <w:bottom w:val="single" w:color="auto" w:sz="4" w:space="0"/>
              <w:right w:val="single" w:color="auto" w:sz="4" w:space="0"/>
            </w:tcBorders>
            <w:noWrap/>
            <w:vAlign w:val="center"/>
          </w:tcPr>
          <w:p w14:paraId="56FD906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3640.63</w:t>
            </w:r>
          </w:p>
        </w:tc>
        <w:tc>
          <w:tcPr>
            <w:tcW w:w="1275" w:type="dxa"/>
            <w:gridSpan w:val="2"/>
            <w:tcBorders>
              <w:top w:val="nil"/>
              <w:left w:val="nil"/>
              <w:bottom w:val="single" w:color="auto" w:sz="4" w:space="0"/>
              <w:right w:val="single" w:color="auto" w:sz="4" w:space="0"/>
            </w:tcBorders>
            <w:vAlign w:val="center"/>
          </w:tcPr>
          <w:p w14:paraId="5899797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14.563</w:t>
            </w:r>
          </w:p>
        </w:tc>
        <w:tc>
          <w:tcPr>
            <w:tcW w:w="1134" w:type="dxa"/>
            <w:gridSpan w:val="2"/>
            <w:vMerge w:val="restart"/>
            <w:tcBorders>
              <w:top w:val="nil"/>
              <w:left w:val="single" w:color="auto" w:sz="4" w:space="0"/>
              <w:bottom w:val="single" w:color="auto" w:sz="4" w:space="0"/>
              <w:right w:val="single" w:color="auto" w:sz="4" w:space="0"/>
            </w:tcBorders>
            <w:noWrap/>
            <w:vAlign w:val="center"/>
          </w:tcPr>
          <w:p w14:paraId="12D6817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93" w:type="dxa"/>
            <w:gridSpan w:val="2"/>
            <w:vMerge w:val="restart"/>
            <w:tcBorders>
              <w:top w:val="nil"/>
              <w:left w:val="single" w:color="auto" w:sz="4" w:space="0"/>
              <w:bottom w:val="single" w:color="auto" w:sz="4" w:space="0"/>
              <w:right w:val="single" w:color="auto" w:sz="4" w:space="0"/>
            </w:tcBorders>
            <w:noWrap/>
            <w:vAlign w:val="center"/>
          </w:tcPr>
          <w:p w14:paraId="4A323A0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p>
        </w:tc>
      </w:tr>
      <w:tr w14:paraId="5685800F">
        <w:tblPrEx>
          <w:tblCellMar>
            <w:top w:w="0" w:type="dxa"/>
            <w:left w:w="108" w:type="dxa"/>
            <w:bottom w:w="0" w:type="dxa"/>
            <w:right w:w="108" w:type="dxa"/>
          </w:tblCellMar>
        </w:tblPrEx>
        <w:trPr>
          <w:gridAfter w:val="1"/>
          <w:wAfter w:w="6" w:type="dxa"/>
          <w:trHeight w:val="336" w:hRule="atLeast"/>
        </w:trPr>
        <w:tc>
          <w:tcPr>
            <w:tcW w:w="704" w:type="dxa"/>
            <w:vMerge w:val="continue"/>
            <w:tcBorders>
              <w:top w:val="nil"/>
              <w:left w:val="single" w:color="auto" w:sz="4" w:space="0"/>
              <w:bottom w:val="single" w:color="auto" w:sz="4" w:space="0"/>
              <w:right w:val="single" w:color="auto" w:sz="4" w:space="0"/>
            </w:tcBorders>
            <w:vAlign w:val="center"/>
          </w:tcPr>
          <w:p w14:paraId="7C445E33">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65DEB66C">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2C093CA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139" w:type="dxa"/>
            <w:gridSpan w:val="2"/>
            <w:tcBorders>
              <w:top w:val="nil"/>
              <w:left w:val="nil"/>
              <w:bottom w:val="single" w:color="auto" w:sz="4" w:space="0"/>
              <w:right w:val="single" w:color="auto" w:sz="4" w:space="0"/>
            </w:tcBorders>
            <w:noWrap/>
            <w:vAlign w:val="center"/>
          </w:tcPr>
          <w:p w14:paraId="7968B05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72.92</w:t>
            </w:r>
          </w:p>
        </w:tc>
        <w:tc>
          <w:tcPr>
            <w:tcW w:w="1275" w:type="dxa"/>
            <w:gridSpan w:val="2"/>
            <w:tcBorders>
              <w:top w:val="nil"/>
              <w:left w:val="nil"/>
              <w:bottom w:val="single" w:color="auto" w:sz="4" w:space="0"/>
              <w:right w:val="single" w:color="auto" w:sz="4" w:space="0"/>
            </w:tcBorders>
            <w:vAlign w:val="center"/>
          </w:tcPr>
          <w:p w14:paraId="4041624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0.292</w:t>
            </w:r>
          </w:p>
        </w:tc>
        <w:tc>
          <w:tcPr>
            <w:tcW w:w="1134" w:type="dxa"/>
            <w:gridSpan w:val="2"/>
            <w:vMerge w:val="continue"/>
            <w:tcBorders>
              <w:top w:val="nil"/>
              <w:left w:val="single" w:color="auto" w:sz="4" w:space="0"/>
              <w:bottom w:val="single" w:color="auto" w:sz="4" w:space="0"/>
              <w:right w:val="single" w:color="auto" w:sz="4" w:space="0"/>
            </w:tcBorders>
            <w:vAlign w:val="center"/>
          </w:tcPr>
          <w:p w14:paraId="27651172">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6B5B0459">
            <w:pPr>
              <w:pStyle w:val="109"/>
              <w:rPr>
                <w:color w:val="000000" w:themeColor="text1"/>
                <w:szCs w:val="21"/>
                <w14:textFill>
                  <w14:solidFill>
                    <w14:schemeClr w14:val="tx1"/>
                  </w14:solidFill>
                </w14:textFill>
              </w:rPr>
            </w:pPr>
          </w:p>
        </w:tc>
      </w:tr>
      <w:tr w14:paraId="5E4CD738">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5A8E91F2">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2A81CA3B">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503800B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NOx</w:t>
            </w:r>
          </w:p>
        </w:tc>
        <w:tc>
          <w:tcPr>
            <w:tcW w:w="1139" w:type="dxa"/>
            <w:gridSpan w:val="2"/>
            <w:tcBorders>
              <w:top w:val="nil"/>
              <w:left w:val="nil"/>
              <w:bottom w:val="single" w:color="auto" w:sz="4" w:space="0"/>
              <w:right w:val="single" w:color="auto" w:sz="4" w:space="0"/>
            </w:tcBorders>
            <w:noWrap/>
            <w:vAlign w:val="center"/>
          </w:tcPr>
          <w:p w14:paraId="0F7F562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560.625</w:t>
            </w:r>
          </w:p>
        </w:tc>
        <w:tc>
          <w:tcPr>
            <w:tcW w:w="1275" w:type="dxa"/>
            <w:gridSpan w:val="2"/>
            <w:tcBorders>
              <w:top w:val="nil"/>
              <w:left w:val="nil"/>
              <w:bottom w:val="single" w:color="auto" w:sz="4" w:space="0"/>
              <w:right w:val="single" w:color="auto" w:sz="4" w:space="0"/>
            </w:tcBorders>
            <w:vAlign w:val="center"/>
          </w:tcPr>
          <w:p w14:paraId="2319C7F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2.243</w:t>
            </w:r>
          </w:p>
        </w:tc>
        <w:tc>
          <w:tcPr>
            <w:tcW w:w="1134" w:type="dxa"/>
            <w:gridSpan w:val="2"/>
            <w:vMerge w:val="continue"/>
            <w:tcBorders>
              <w:top w:val="nil"/>
              <w:left w:val="single" w:color="auto" w:sz="4" w:space="0"/>
              <w:bottom w:val="single" w:color="auto" w:sz="4" w:space="0"/>
              <w:right w:val="single" w:color="auto" w:sz="4" w:space="0"/>
            </w:tcBorders>
            <w:vAlign w:val="center"/>
          </w:tcPr>
          <w:p w14:paraId="2F1899AF">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5DCC9155">
            <w:pPr>
              <w:pStyle w:val="109"/>
              <w:rPr>
                <w:color w:val="000000" w:themeColor="text1"/>
                <w:szCs w:val="21"/>
                <w14:textFill>
                  <w14:solidFill>
                    <w14:schemeClr w14:val="tx1"/>
                  </w14:solidFill>
                </w14:textFill>
              </w:rPr>
            </w:pPr>
          </w:p>
        </w:tc>
      </w:tr>
      <w:tr w14:paraId="58CAADF4">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44E95596">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468537F4">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7FC06B0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139" w:type="dxa"/>
            <w:gridSpan w:val="2"/>
            <w:tcBorders>
              <w:top w:val="nil"/>
              <w:left w:val="nil"/>
              <w:bottom w:val="single" w:color="auto" w:sz="4" w:space="0"/>
              <w:right w:val="single" w:color="auto" w:sz="4" w:space="0"/>
            </w:tcBorders>
            <w:noWrap/>
            <w:vAlign w:val="center"/>
          </w:tcPr>
          <w:p w14:paraId="13D6A7C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6250</w:t>
            </w:r>
          </w:p>
        </w:tc>
        <w:tc>
          <w:tcPr>
            <w:tcW w:w="1275" w:type="dxa"/>
            <w:gridSpan w:val="2"/>
            <w:tcBorders>
              <w:top w:val="nil"/>
              <w:left w:val="nil"/>
              <w:bottom w:val="single" w:color="auto" w:sz="4" w:space="0"/>
              <w:right w:val="single" w:color="auto" w:sz="4" w:space="0"/>
            </w:tcBorders>
            <w:vAlign w:val="center"/>
          </w:tcPr>
          <w:p w14:paraId="2CEFA55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25.000</w:t>
            </w:r>
          </w:p>
        </w:tc>
        <w:tc>
          <w:tcPr>
            <w:tcW w:w="1134" w:type="dxa"/>
            <w:gridSpan w:val="2"/>
            <w:vMerge w:val="continue"/>
            <w:tcBorders>
              <w:top w:val="nil"/>
              <w:left w:val="single" w:color="auto" w:sz="4" w:space="0"/>
              <w:bottom w:val="single" w:color="auto" w:sz="4" w:space="0"/>
              <w:right w:val="single" w:color="auto" w:sz="4" w:space="0"/>
            </w:tcBorders>
            <w:vAlign w:val="center"/>
          </w:tcPr>
          <w:p w14:paraId="00A77E03">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3499E66C">
            <w:pPr>
              <w:pStyle w:val="109"/>
              <w:rPr>
                <w:color w:val="000000" w:themeColor="text1"/>
                <w:szCs w:val="21"/>
                <w14:textFill>
                  <w14:solidFill>
                    <w14:schemeClr w14:val="tx1"/>
                  </w14:solidFill>
                </w14:textFill>
              </w:rPr>
            </w:pPr>
          </w:p>
        </w:tc>
      </w:tr>
      <w:tr w14:paraId="1F1B7A05">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728049FF">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3EA3AC1B">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280E540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HF</w:t>
            </w:r>
          </w:p>
        </w:tc>
        <w:tc>
          <w:tcPr>
            <w:tcW w:w="1139" w:type="dxa"/>
            <w:gridSpan w:val="2"/>
            <w:tcBorders>
              <w:top w:val="nil"/>
              <w:left w:val="nil"/>
              <w:bottom w:val="single" w:color="auto" w:sz="4" w:space="0"/>
              <w:right w:val="single" w:color="auto" w:sz="4" w:space="0"/>
            </w:tcBorders>
            <w:noWrap/>
            <w:vAlign w:val="center"/>
          </w:tcPr>
          <w:p w14:paraId="48B9C68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164.38</w:t>
            </w:r>
          </w:p>
        </w:tc>
        <w:tc>
          <w:tcPr>
            <w:tcW w:w="1275" w:type="dxa"/>
            <w:gridSpan w:val="2"/>
            <w:tcBorders>
              <w:top w:val="nil"/>
              <w:left w:val="nil"/>
              <w:bottom w:val="single" w:color="auto" w:sz="4" w:space="0"/>
              <w:right w:val="single" w:color="auto" w:sz="4" w:space="0"/>
            </w:tcBorders>
            <w:vAlign w:val="center"/>
          </w:tcPr>
          <w:p w14:paraId="1A017E1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0.658</w:t>
            </w:r>
          </w:p>
        </w:tc>
        <w:tc>
          <w:tcPr>
            <w:tcW w:w="1134" w:type="dxa"/>
            <w:gridSpan w:val="2"/>
            <w:vMerge w:val="continue"/>
            <w:tcBorders>
              <w:top w:val="nil"/>
              <w:left w:val="single" w:color="auto" w:sz="4" w:space="0"/>
              <w:bottom w:val="single" w:color="auto" w:sz="4" w:space="0"/>
              <w:right w:val="single" w:color="auto" w:sz="4" w:space="0"/>
            </w:tcBorders>
            <w:vAlign w:val="center"/>
          </w:tcPr>
          <w:p w14:paraId="464FCEF0">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7EC2B40F">
            <w:pPr>
              <w:pStyle w:val="109"/>
              <w:rPr>
                <w:color w:val="000000" w:themeColor="text1"/>
                <w:szCs w:val="21"/>
                <w14:textFill>
                  <w14:solidFill>
                    <w14:schemeClr w14:val="tx1"/>
                  </w14:solidFill>
                </w14:textFill>
              </w:rPr>
            </w:pPr>
          </w:p>
        </w:tc>
      </w:tr>
      <w:tr w14:paraId="2587E23A">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7C24DE9D">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2D7D3435">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3748A2C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HCl</w:t>
            </w:r>
          </w:p>
        </w:tc>
        <w:tc>
          <w:tcPr>
            <w:tcW w:w="1139" w:type="dxa"/>
            <w:gridSpan w:val="2"/>
            <w:tcBorders>
              <w:top w:val="nil"/>
              <w:left w:val="nil"/>
              <w:bottom w:val="single" w:color="auto" w:sz="4" w:space="0"/>
              <w:right w:val="single" w:color="auto" w:sz="4" w:space="0"/>
            </w:tcBorders>
            <w:noWrap/>
            <w:vAlign w:val="center"/>
          </w:tcPr>
          <w:p w14:paraId="789A929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4823.37</w:t>
            </w:r>
          </w:p>
        </w:tc>
        <w:tc>
          <w:tcPr>
            <w:tcW w:w="1275" w:type="dxa"/>
            <w:gridSpan w:val="2"/>
            <w:tcBorders>
              <w:top w:val="nil"/>
              <w:left w:val="nil"/>
              <w:bottom w:val="single" w:color="auto" w:sz="4" w:space="0"/>
              <w:right w:val="single" w:color="auto" w:sz="4" w:space="0"/>
            </w:tcBorders>
            <w:vAlign w:val="center"/>
          </w:tcPr>
          <w:p w14:paraId="5CF6E8A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19.293</w:t>
            </w:r>
          </w:p>
        </w:tc>
        <w:tc>
          <w:tcPr>
            <w:tcW w:w="1134" w:type="dxa"/>
            <w:gridSpan w:val="2"/>
            <w:vMerge w:val="continue"/>
            <w:tcBorders>
              <w:top w:val="nil"/>
              <w:left w:val="single" w:color="auto" w:sz="4" w:space="0"/>
              <w:bottom w:val="single" w:color="auto" w:sz="4" w:space="0"/>
              <w:right w:val="single" w:color="auto" w:sz="4" w:space="0"/>
            </w:tcBorders>
            <w:vAlign w:val="center"/>
          </w:tcPr>
          <w:p w14:paraId="074805E5">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7116D0A5">
            <w:pPr>
              <w:pStyle w:val="109"/>
              <w:rPr>
                <w:color w:val="000000" w:themeColor="text1"/>
                <w:szCs w:val="21"/>
                <w14:textFill>
                  <w14:solidFill>
                    <w14:schemeClr w14:val="tx1"/>
                  </w14:solidFill>
                </w14:textFill>
              </w:rPr>
            </w:pPr>
          </w:p>
        </w:tc>
      </w:tr>
      <w:tr w14:paraId="099B9B88">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68FE9878">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0A2C25CA">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5AB262F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汞及其化合物</w:t>
            </w:r>
          </w:p>
        </w:tc>
        <w:tc>
          <w:tcPr>
            <w:tcW w:w="1139" w:type="dxa"/>
            <w:gridSpan w:val="2"/>
            <w:tcBorders>
              <w:top w:val="nil"/>
              <w:left w:val="nil"/>
              <w:bottom w:val="single" w:color="auto" w:sz="4" w:space="0"/>
              <w:right w:val="single" w:color="auto" w:sz="4" w:space="0"/>
            </w:tcBorders>
            <w:noWrap/>
            <w:vAlign w:val="center"/>
          </w:tcPr>
          <w:p w14:paraId="088B7A7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0.156</w:t>
            </w:r>
          </w:p>
        </w:tc>
        <w:tc>
          <w:tcPr>
            <w:tcW w:w="1275" w:type="dxa"/>
            <w:gridSpan w:val="2"/>
            <w:tcBorders>
              <w:top w:val="nil"/>
              <w:left w:val="nil"/>
              <w:bottom w:val="single" w:color="auto" w:sz="4" w:space="0"/>
              <w:right w:val="single" w:color="auto" w:sz="4" w:space="0"/>
            </w:tcBorders>
            <w:vAlign w:val="center"/>
          </w:tcPr>
          <w:p w14:paraId="69E708A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0.000625</w:t>
            </w:r>
          </w:p>
        </w:tc>
        <w:tc>
          <w:tcPr>
            <w:tcW w:w="1134" w:type="dxa"/>
            <w:gridSpan w:val="2"/>
            <w:vMerge w:val="continue"/>
            <w:tcBorders>
              <w:top w:val="nil"/>
              <w:left w:val="single" w:color="auto" w:sz="4" w:space="0"/>
              <w:bottom w:val="single" w:color="auto" w:sz="4" w:space="0"/>
              <w:right w:val="single" w:color="auto" w:sz="4" w:space="0"/>
            </w:tcBorders>
            <w:vAlign w:val="center"/>
          </w:tcPr>
          <w:p w14:paraId="5F445A3E">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5C46D95C">
            <w:pPr>
              <w:pStyle w:val="109"/>
              <w:rPr>
                <w:color w:val="000000" w:themeColor="text1"/>
                <w:szCs w:val="21"/>
                <w14:textFill>
                  <w14:solidFill>
                    <w14:schemeClr w14:val="tx1"/>
                  </w14:solidFill>
                </w14:textFill>
              </w:rPr>
            </w:pPr>
          </w:p>
        </w:tc>
      </w:tr>
      <w:tr w14:paraId="16245395">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31AA6262">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708D295B">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72788D8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铊及其化合物</w:t>
            </w:r>
          </w:p>
        </w:tc>
        <w:tc>
          <w:tcPr>
            <w:tcW w:w="1139" w:type="dxa"/>
            <w:gridSpan w:val="2"/>
            <w:tcBorders>
              <w:top w:val="nil"/>
              <w:left w:val="nil"/>
              <w:bottom w:val="single" w:color="auto" w:sz="4" w:space="0"/>
              <w:right w:val="single" w:color="auto" w:sz="4" w:space="0"/>
            </w:tcBorders>
            <w:noWrap/>
            <w:vAlign w:val="center"/>
          </w:tcPr>
          <w:p w14:paraId="15D97B0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0.0078</w:t>
            </w:r>
          </w:p>
        </w:tc>
        <w:tc>
          <w:tcPr>
            <w:tcW w:w="1275" w:type="dxa"/>
            <w:gridSpan w:val="2"/>
            <w:tcBorders>
              <w:top w:val="nil"/>
              <w:left w:val="nil"/>
              <w:bottom w:val="single" w:color="auto" w:sz="4" w:space="0"/>
              <w:right w:val="single" w:color="auto" w:sz="4" w:space="0"/>
            </w:tcBorders>
            <w:vAlign w:val="center"/>
          </w:tcPr>
          <w:p w14:paraId="5351D4C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0.00003125</w:t>
            </w:r>
          </w:p>
        </w:tc>
        <w:tc>
          <w:tcPr>
            <w:tcW w:w="1134" w:type="dxa"/>
            <w:gridSpan w:val="2"/>
            <w:vMerge w:val="continue"/>
            <w:tcBorders>
              <w:top w:val="nil"/>
              <w:left w:val="single" w:color="auto" w:sz="4" w:space="0"/>
              <w:bottom w:val="single" w:color="auto" w:sz="4" w:space="0"/>
              <w:right w:val="single" w:color="auto" w:sz="4" w:space="0"/>
            </w:tcBorders>
            <w:vAlign w:val="center"/>
          </w:tcPr>
          <w:p w14:paraId="055C74DE">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46FC2052">
            <w:pPr>
              <w:pStyle w:val="109"/>
              <w:rPr>
                <w:color w:val="000000" w:themeColor="text1"/>
                <w:szCs w:val="21"/>
                <w14:textFill>
                  <w14:solidFill>
                    <w14:schemeClr w14:val="tx1"/>
                  </w14:solidFill>
                </w14:textFill>
              </w:rPr>
            </w:pPr>
          </w:p>
        </w:tc>
      </w:tr>
      <w:tr w14:paraId="69B26629">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0AA7417D">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4D882164">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7A75D00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镉及其化合物</w:t>
            </w:r>
          </w:p>
        </w:tc>
        <w:tc>
          <w:tcPr>
            <w:tcW w:w="1139" w:type="dxa"/>
            <w:gridSpan w:val="2"/>
            <w:tcBorders>
              <w:top w:val="nil"/>
              <w:left w:val="nil"/>
              <w:bottom w:val="single" w:color="auto" w:sz="4" w:space="0"/>
              <w:right w:val="single" w:color="auto" w:sz="4" w:space="0"/>
            </w:tcBorders>
            <w:noWrap/>
            <w:vAlign w:val="center"/>
          </w:tcPr>
          <w:p w14:paraId="14BA2FB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0.469</w:t>
            </w:r>
          </w:p>
        </w:tc>
        <w:tc>
          <w:tcPr>
            <w:tcW w:w="1275" w:type="dxa"/>
            <w:gridSpan w:val="2"/>
            <w:tcBorders>
              <w:top w:val="nil"/>
              <w:left w:val="nil"/>
              <w:bottom w:val="single" w:color="auto" w:sz="4" w:space="0"/>
              <w:right w:val="single" w:color="auto" w:sz="4" w:space="0"/>
            </w:tcBorders>
            <w:vAlign w:val="center"/>
          </w:tcPr>
          <w:p w14:paraId="45C5B93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0.001875</w:t>
            </w:r>
          </w:p>
        </w:tc>
        <w:tc>
          <w:tcPr>
            <w:tcW w:w="1134" w:type="dxa"/>
            <w:gridSpan w:val="2"/>
            <w:vMerge w:val="continue"/>
            <w:tcBorders>
              <w:top w:val="nil"/>
              <w:left w:val="single" w:color="auto" w:sz="4" w:space="0"/>
              <w:bottom w:val="single" w:color="auto" w:sz="4" w:space="0"/>
              <w:right w:val="single" w:color="auto" w:sz="4" w:space="0"/>
            </w:tcBorders>
            <w:vAlign w:val="center"/>
          </w:tcPr>
          <w:p w14:paraId="4D5FCAEC">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6EF8AC4E">
            <w:pPr>
              <w:pStyle w:val="109"/>
              <w:rPr>
                <w:color w:val="000000" w:themeColor="text1"/>
                <w:szCs w:val="21"/>
                <w14:textFill>
                  <w14:solidFill>
                    <w14:schemeClr w14:val="tx1"/>
                  </w14:solidFill>
                </w14:textFill>
              </w:rPr>
            </w:pPr>
          </w:p>
        </w:tc>
      </w:tr>
      <w:tr w14:paraId="3E7E24E8">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7C0626F5">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13116CB5">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1E841E3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铅及其化合物</w:t>
            </w:r>
          </w:p>
        </w:tc>
        <w:tc>
          <w:tcPr>
            <w:tcW w:w="1139" w:type="dxa"/>
            <w:gridSpan w:val="2"/>
            <w:tcBorders>
              <w:top w:val="nil"/>
              <w:left w:val="nil"/>
              <w:bottom w:val="single" w:color="auto" w:sz="4" w:space="0"/>
              <w:right w:val="single" w:color="auto" w:sz="4" w:space="0"/>
            </w:tcBorders>
            <w:noWrap/>
            <w:vAlign w:val="center"/>
          </w:tcPr>
          <w:p w14:paraId="4D88023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1.563</w:t>
            </w:r>
          </w:p>
        </w:tc>
        <w:tc>
          <w:tcPr>
            <w:tcW w:w="1275" w:type="dxa"/>
            <w:gridSpan w:val="2"/>
            <w:tcBorders>
              <w:top w:val="nil"/>
              <w:left w:val="nil"/>
              <w:bottom w:val="single" w:color="auto" w:sz="4" w:space="0"/>
              <w:right w:val="single" w:color="auto" w:sz="4" w:space="0"/>
            </w:tcBorders>
            <w:vAlign w:val="center"/>
          </w:tcPr>
          <w:p w14:paraId="75CACB5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0.00625</w:t>
            </w:r>
          </w:p>
        </w:tc>
        <w:tc>
          <w:tcPr>
            <w:tcW w:w="1134" w:type="dxa"/>
            <w:gridSpan w:val="2"/>
            <w:vMerge w:val="continue"/>
            <w:tcBorders>
              <w:top w:val="nil"/>
              <w:left w:val="single" w:color="auto" w:sz="4" w:space="0"/>
              <w:bottom w:val="single" w:color="auto" w:sz="4" w:space="0"/>
              <w:right w:val="single" w:color="auto" w:sz="4" w:space="0"/>
            </w:tcBorders>
            <w:vAlign w:val="center"/>
          </w:tcPr>
          <w:p w14:paraId="7FE7484D">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66CDBCAA">
            <w:pPr>
              <w:pStyle w:val="109"/>
              <w:rPr>
                <w:color w:val="000000" w:themeColor="text1"/>
                <w:szCs w:val="21"/>
                <w14:textFill>
                  <w14:solidFill>
                    <w14:schemeClr w14:val="tx1"/>
                  </w14:solidFill>
                </w14:textFill>
              </w:rPr>
            </w:pPr>
          </w:p>
        </w:tc>
      </w:tr>
      <w:tr w14:paraId="5292CF5F">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085AB80B">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1B5336B8">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6266F79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砷及其化合物</w:t>
            </w:r>
          </w:p>
        </w:tc>
        <w:tc>
          <w:tcPr>
            <w:tcW w:w="1139" w:type="dxa"/>
            <w:gridSpan w:val="2"/>
            <w:tcBorders>
              <w:top w:val="nil"/>
              <w:left w:val="nil"/>
              <w:bottom w:val="single" w:color="auto" w:sz="4" w:space="0"/>
              <w:right w:val="single" w:color="auto" w:sz="4" w:space="0"/>
            </w:tcBorders>
            <w:noWrap/>
            <w:vAlign w:val="center"/>
          </w:tcPr>
          <w:p w14:paraId="2334AE3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3.125</w:t>
            </w:r>
          </w:p>
        </w:tc>
        <w:tc>
          <w:tcPr>
            <w:tcW w:w="1275" w:type="dxa"/>
            <w:gridSpan w:val="2"/>
            <w:tcBorders>
              <w:top w:val="nil"/>
              <w:left w:val="nil"/>
              <w:bottom w:val="single" w:color="auto" w:sz="4" w:space="0"/>
              <w:right w:val="single" w:color="auto" w:sz="4" w:space="0"/>
            </w:tcBorders>
            <w:vAlign w:val="center"/>
          </w:tcPr>
          <w:p w14:paraId="370CA92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0.0125</w:t>
            </w:r>
          </w:p>
        </w:tc>
        <w:tc>
          <w:tcPr>
            <w:tcW w:w="1134" w:type="dxa"/>
            <w:gridSpan w:val="2"/>
            <w:vMerge w:val="continue"/>
            <w:tcBorders>
              <w:top w:val="nil"/>
              <w:left w:val="single" w:color="auto" w:sz="4" w:space="0"/>
              <w:bottom w:val="single" w:color="auto" w:sz="4" w:space="0"/>
              <w:right w:val="single" w:color="auto" w:sz="4" w:space="0"/>
            </w:tcBorders>
            <w:vAlign w:val="center"/>
          </w:tcPr>
          <w:p w14:paraId="7BC2454F">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66E9E979">
            <w:pPr>
              <w:pStyle w:val="109"/>
              <w:rPr>
                <w:color w:val="000000" w:themeColor="text1"/>
                <w:szCs w:val="21"/>
                <w14:textFill>
                  <w14:solidFill>
                    <w14:schemeClr w14:val="tx1"/>
                  </w14:solidFill>
                </w14:textFill>
              </w:rPr>
            </w:pPr>
          </w:p>
        </w:tc>
      </w:tr>
      <w:tr w14:paraId="05703CBF">
        <w:tblPrEx>
          <w:tblCellMar>
            <w:top w:w="0" w:type="dxa"/>
            <w:left w:w="108" w:type="dxa"/>
            <w:bottom w:w="0" w:type="dxa"/>
            <w:right w:w="108" w:type="dxa"/>
          </w:tblCellMar>
        </w:tblPrEx>
        <w:trPr>
          <w:gridAfter w:val="1"/>
          <w:wAfter w:w="6" w:type="dxa"/>
          <w:trHeight w:val="300" w:hRule="atLeast"/>
        </w:trPr>
        <w:tc>
          <w:tcPr>
            <w:tcW w:w="704" w:type="dxa"/>
            <w:vMerge w:val="continue"/>
            <w:tcBorders>
              <w:top w:val="nil"/>
              <w:left w:val="single" w:color="auto" w:sz="4" w:space="0"/>
              <w:bottom w:val="single" w:color="auto" w:sz="4" w:space="0"/>
              <w:right w:val="single" w:color="auto" w:sz="4" w:space="0"/>
            </w:tcBorders>
            <w:vAlign w:val="center"/>
          </w:tcPr>
          <w:p w14:paraId="652A3E09">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209AC6E6">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6CCD210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铬及其化合物</w:t>
            </w:r>
          </w:p>
        </w:tc>
        <w:tc>
          <w:tcPr>
            <w:tcW w:w="1139" w:type="dxa"/>
            <w:gridSpan w:val="2"/>
            <w:tcBorders>
              <w:top w:val="nil"/>
              <w:left w:val="nil"/>
              <w:bottom w:val="single" w:color="auto" w:sz="4" w:space="0"/>
              <w:right w:val="single" w:color="auto" w:sz="4" w:space="0"/>
            </w:tcBorders>
            <w:noWrap/>
            <w:vAlign w:val="center"/>
          </w:tcPr>
          <w:p w14:paraId="1479ABB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0.078</w:t>
            </w:r>
          </w:p>
        </w:tc>
        <w:tc>
          <w:tcPr>
            <w:tcW w:w="1275" w:type="dxa"/>
            <w:gridSpan w:val="2"/>
            <w:tcBorders>
              <w:top w:val="nil"/>
              <w:left w:val="nil"/>
              <w:bottom w:val="single" w:color="auto" w:sz="4" w:space="0"/>
              <w:right w:val="single" w:color="auto" w:sz="4" w:space="0"/>
            </w:tcBorders>
            <w:vAlign w:val="center"/>
          </w:tcPr>
          <w:p w14:paraId="1ABE5E8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0.0003125</w:t>
            </w:r>
          </w:p>
        </w:tc>
        <w:tc>
          <w:tcPr>
            <w:tcW w:w="1134" w:type="dxa"/>
            <w:gridSpan w:val="2"/>
            <w:vMerge w:val="continue"/>
            <w:tcBorders>
              <w:top w:val="nil"/>
              <w:left w:val="single" w:color="auto" w:sz="4" w:space="0"/>
              <w:bottom w:val="single" w:color="auto" w:sz="4" w:space="0"/>
              <w:right w:val="single" w:color="auto" w:sz="4" w:space="0"/>
            </w:tcBorders>
            <w:vAlign w:val="center"/>
          </w:tcPr>
          <w:p w14:paraId="143D5E53">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1158649B">
            <w:pPr>
              <w:pStyle w:val="109"/>
              <w:rPr>
                <w:color w:val="000000" w:themeColor="text1"/>
                <w:szCs w:val="21"/>
                <w14:textFill>
                  <w14:solidFill>
                    <w14:schemeClr w14:val="tx1"/>
                  </w14:solidFill>
                </w14:textFill>
              </w:rPr>
            </w:pPr>
          </w:p>
        </w:tc>
      </w:tr>
      <w:tr w14:paraId="11CA09F5">
        <w:tblPrEx>
          <w:tblCellMar>
            <w:top w:w="0" w:type="dxa"/>
            <w:left w:w="108" w:type="dxa"/>
            <w:bottom w:w="0" w:type="dxa"/>
            <w:right w:w="108" w:type="dxa"/>
          </w:tblCellMar>
        </w:tblPrEx>
        <w:trPr>
          <w:gridAfter w:val="1"/>
          <w:wAfter w:w="6" w:type="dxa"/>
          <w:trHeight w:val="864" w:hRule="atLeast"/>
        </w:trPr>
        <w:tc>
          <w:tcPr>
            <w:tcW w:w="704" w:type="dxa"/>
            <w:vMerge w:val="continue"/>
            <w:tcBorders>
              <w:top w:val="nil"/>
              <w:left w:val="single" w:color="auto" w:sz="4" w:space="0"/>
              <w:bottom w:val="single" w:color="auto" w:sz="4" w:space="0"/>
              <w:right w:val="single" w:color="auto" w:sz="4" w:space="0"/>
            </w:tcBorders>
            <w:vAlign w:val="center"/>
          </w:tcPr>
          <w:p w14:paraId="3DD70EFA">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7E66715F">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3B18409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锡、锑、铜、锰、 镍、钴及其化合 物</w:t>
            </w:r>
          </w:p>
        </w:tc>
        <w:tc>
          <w:tcPr>
            <w:tcW w:w="1139" w:type="dxa"/>
            <w:gridSpan w:val="2"/>
            <w:tcBorders>
              <w:top w:val="nil"/>
              <w:left w:val="nil"/>
              <w:bottom w:val="single" w:color="auto" w:sz="4" w:space="0"/>
              <w:right w:val="single" w:color="auto" w:sz="4" w:space="0"/>
            </w:tcBorders>
            <w:noWrap/>
            <w:vAlign w:val="center"/>
          </w:tcPr>
          <w:p w14:paraId="2C72130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0.547</w:t>
            </w:r>
          </w:p>
        </w:tc>
        <w:tc>
          <w:tcPr>
            <w:tcW w:w="1275" w:type="dxa"/>
            <w:gridSpan w:val="2"/>
            <w:tcBorders>
              <w:top w:val="nil"/>
              <w:left w:val="nil"/>
              <w:bottom w:val="single" w:color="auto" w:sz="4" w:space="0"/>
              <w:right w:val="single" w:color="auto" w:sz="4" w:space="0"/>
            </w:tcBorders>
            <w:vAlign w:val="center"/>
          </w:tcPr>
          <w:p w14:paraId="2F4FF1C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0.0021875</w:t>
            </w:r>
          </w:p>
        </w:tc>
        <w:tc>
          <w:tcPr>
            <w:tcW w:w="1134" w:type="dxa"/>
            <w:gridSpan w:val="2"/>
            <w:vMerge w:val="continue"/>
            <w:tcBorders>
              <w:top w:val="nil"/>
              <w:left w:val="single" w:color="auto" w:sz="4" w:space="0"/>
              <w:bottom w:val="single" w:color="auto" w:sz="4" w:space="0"/>
              <w:right w:val="single" w:color="auto" w:sz="4" w:space="0"/>
            </w:tcBorders>
            <w:vAlign w:val="center"/>
          </w:tcPr>
          <w:p w14:paraId="28FAD554">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39D6CB49">
            <w:pPr>
              <w:pStyle w:val="109"/>
              <w:rPr>
                <w:color w:val="000000" w:themeColor="text1"/>
                <w:szCs w:val="21"/>
                <w14:textFill>
                  <w14:solidFill>
                    <w14:schemeClr w14:val="tx1"/>
                  </w14:solidFill>
                </w14:textFill>
              </w:rPr>
            </w:pPr>
          </w:p>
        </w:tc>
      </w:tr>
      <w:tr w14:paraId="67729204">
        <w:tblPrEx>
          <w:tblCellMar>
            <w:top w:w="0" w:type="dxa"/>
            <w:left w:w="108" w:type="dxa"/>
            <w:bottom w:w="0" w:type="dxa"/>
            <w:right w:w="108" w:type="dxa"/>
          </w:tblCellMar>
        </w:tblPrEx>
        <w:trPr>
          <w:gridAfter w:val="1"/>
          <w:wAfter w:w="6" w:type="dxa"/>
          <w:trHeight w:val="576" w:hRule="atLeast"/>
        </w:trPr>
        <w:tc>
          <w:tcPr>
            <w:tcW w:w="704" w:type="dxa"/>
            <w:vMerge w:val="continue"/>
            <w:tcBorders>
              <w:top w:val="nil"/>
              <w:left w:val="single" w:color="auto" w:sz="4" w:space="0"/>
              <w:bottom w:val="single" w:color="auto" w:sz="4" w:space="0"/>
              <w:right w:val="single" w:color="auto" w:sz="4" w:space="0"/>
            </w:tcBorders>
            <w:vAlign w:val="center"/>
          </w:tcPr>
          <w:p w14:paraId="0EECC091">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2BA435DF">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55B3728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二噁英类ngTEQ/Nm³</w:t>
            </w:r>
          </w:p>
        </w:tc>
        <w:tc>
          <w:tcPr>
            <w:tcW w:w="1139" w:type="dxa"/>
            <w:gridSpan w:val="2"/>
            <w:tcBorders>
              <w:top w:val="nil"/>
              <w:left w:val="nil"/>
              <w:bottom w:val="single" w:color="auto" w:sz="4" w:space="0"/>
              <w:right w:val="single" w:color="auto" w:sz="4" w:space="0"/>
            </w:tcBorders>
            <w:noWrap/>
            <w:vAlign w:val="center"/>
          </w:tcPr>
          <w:p w14:paraId="603D2F3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0.02ngTEQ/Nm³</w:t>
            </w:r>
          </w:p>
        </w:tc>
        <w:tc>
          <w:tcPr>
            <w:tcW w:w="1275" w:type="dxa"/>
            <w:gridSpan w:val="2"/>
            <w:tcBorders>
              <w:top w:val="nil"/>
              <w:left w:val="nil"/>
              <w:bottom w:val="single" w:color="auto" w:sz="4" w:space="0"/>
              <w:right w:val="single" w:color="auto" w:sz="4" w:space="0"/>
            </w:tcBorders>
            <w:vAlign w:val="center"/>
          </w:tcPr>
          <w:p w14:paraId="2649DF4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0.00008mgTEQ/h</w:t>
            </w:r>
          </w:p>
        </w:tc>
        <w:tc>
          <w:tcPr>
            <w:tcW w:w="1134" w:type="dxa"/>
            <w:gridSpan w:val="2"/>
            <w:vMerge w:val="continue"/>
            <w:tcBorders>
              <w:top w:val="nil"/>
              <w:left w:val="single" w:color="auto" w:sz="4" w:space="0"/>
              <w:bottom w:val="single" w:color="auto" w:sz="4" w:space="0"/>
              <w:right w:val="single" w:color="auto" w:sz="4" w:space="0"/>
            </w:tcBorders>
            <w:vAlign w:val="center"/>
          </w:tcPr>
          <w:p w14:paraId="7B06548A">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3CE63E79">
            <w:pPr>
              <w:pStyle w:val="109"/>
              <w:rPr>
                <w:color w:val="000000" w:themeColor="text1"/>
                <w:szCs w:val="21"/>
                <w14:textFill>
                  <w14:solidFill>
                    <w14:schemeClr w14:val="tx1"/>
                  </w14:solidFill>
                </w14:textFill>
              </w:rPr>
            </w:pPr>
          </w:p>
        </w:tc>
      </w:tr>
      <w:tr w14:paraId="16BCAB6F">
        <w:tblPrEx>
          <w:tblCellMar>
            <w:top w:w="0" w:type="dxa"/>
            <w:left w:w="108" w:type="dxa"/>
            <w:bottom w:w="0" w:type="dxa"/>
            <w:right w:w="108" w:type="dxa"/>
          </w:tblCellMar>
        </w:tblPrEx>
        <w:trPr>
          <w:gridAfter w:val="1"/>
          <w:wAfter w:w="6" w:type="dxa"/>
          <w:trHeight w:val="288" w:hRule="atLeast"/>
        </w:trPr>
        <w:tc>
          <w:tcPr>
            <w:tcW w:w="704" w:type="dxa"/>
            <w:vMerge w:val="continue"/>
            <w:tcBorders>
              <w:top w:val="nil"/>
              <w:left w:val="single" w:color="auto" w:sz="4" w:space="0"/>
              <w:bottom w:val="single" w:color="auto" w:sz="4" w:space="0"/>
              <w:right w:val="single" w:color="auto" w:sz="4" w:space="0"/>
            </w:tcBorders>
            <w:vAlign w:val="center"/>
          </w:tcPr>
          <w:p w14:paraId="31589AE4">
            <w:pPr>
              <w:pStyle w:val="109"/>
              <w:rPr>
                <w:color w:val="000000" w:themeColor="text1"/>
                <w:szCs w:val="21"/>
                <w14:textFill>
                  <w14:solidFill>
                    <w14:schemeClr w14:val="tx1"/>
                  </w14:solidFill>
                </w14:textFill>
              </w:rPr>
            </w:pPr>
          </w:p>
        </w:tc>
        <w:tc>
          <w:tcPr>
            <w:tcW w:w="1559" w:type="dxa"/>
            <w:vMerge w:val="restart"/>
            <w:tcBorders>
              <w:top w:val="nil"/>
              <w:left w:val="single" w:color="auto" w:sz="4" w:space="0"/>
              <w:bottom w:val="single" w:color="auto" w:sz="4" w:space="0"/>
              <w:right w:val="single" w:color="auto" w:sz="4" w:space="0"/>
            </w:tcBorders>
            <w:noWrap/>
            <w:vAlign w:val="center"/>
          </w:tcPr>
          <w:p w14:paraId="2F3AE4D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天然气燃烧废气</w:t>
            </w:r>
          </w:p>
        </w:tc>
        <w:tc>
          <w:tcPr>
            <w:tcW w:w="2410" w:type="dxa"/>
            <w:tcBorders>
              <w:top w:val="nil"/>
              <w:left w:val="nil"/>
              <w:bottom w:val="single" w:color="auto" w:sz="4" w:space="0"/>
              <w:right w:val="single" w:color="auto" w:sz="4" w:space="0"/>
            </w:tcBorders>
            <w:vAlign w:val="center"/>
          </w:tcPr>
          <w:p w14:paraId="0169AE9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39" w:type="dxa"/>
            <w:gridSpan w:val="2"/>
            <w:tcBorders>
              <w:top w:val="nil"/>
              <w:left w:val="nil"/>
              <w:bottom w:val="single" w:color="auto" w:sz="4" w:space="0"/>
              <w:right w:val="single" w:color="auto" w:sz="4" w:space="0"/>
            </w:tcBorders>
            <w:vAlign w:val="center"/>
          </w:tcPr>
          <w:p w14:paraId="4E5B062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9.3</w:t>
            </w:r>
          </w:p>
        </w:tc>
        <w:tc>
          <w:tcPr>
            <w:tcW w:w="1275" w:type="dxa"/>
            <w:gridSpan w:val="2"/>
            <w:tcBorders>
              <w:top w:val="nil"/>
              <w:left w:val="nil"/>
              <w:bottom w:val="single" w:color="auto" w:sz="4" w:space="0"/>
              <w:right w:val="single" w:color="auto" w:sz="4" w:space="0"/>
            </w:tcBorders>
            <w:vAlign w:val="center"/>
          </w:tcPr>
          <w:p w14:paraId="150814B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0.029</w:t>
            </w:r>
          </w:p>
        </w:tc>
        <w:tc>
          <w:tcPr>
            <w:tcW w:w="1134" w:type="dxa"/>
            <w:gridSpan w:val="2"/>
            <w:vMerge w:val="restart"/>
            <w:tcBorders>
              <w:top w:val="nil"/>
              <w:left w:val="single" w:color="auto" w:sz="4" w:space="0"/>
              <w:bottom w:val="single" w:color="auto" w:sz="4" w:space="0"/>
              <w:right w:val="single" w:color="auto" w:sz="4" w:space="0"/>
            </w:tcBorders>
            <w:noWrap/>
            <w:vAlign w:val="center"/>
          </w:tcPr>
          <w:p w14:paraId="720E4EF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93" w:type="dxa"/>
            <w:gridSpan w:val="2"/>
            <w:vMerge w:val="restart"/>
            <w:tcBorders>
              <w:top w:val="nil"/>
              <w:left w:val="single" w:color="auto" w:sz="4" w:space="0"/>
              <w:bottom w:val="single" w:color="auto" w:sz="4" w:space="0"/>
              <w:right w:val="single" w:color="auto" w:sz="4" w:space="0"/>
            </w:tcBorders>
            <w:noWrap/>
            <w:vAlign w:val="center"/>
          </w:tcPr>
          <w:p w14:paraId="29F77DC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p>
        </w:tc>
      </w:tr>
      <w:tr w14:paraId="424C1EE0">
        <w:tblPrEx>
          <w:tblCellMar>
            <w:top w:w="0" w:type="dxa"/>
            <w:left w:w="108" w:type="dxa"/>
            <w:bottom w:w="0" w:type="dxa"/>
            <w:right w:w="108" w:type="dxa"/>
          </w:tblCellMar>
        </w:tblPrEx>
        <w:trPr>
          <w:gridAfter w:val="1"/>
          <w:wAfter w:w="6" w:type="dxa"/>
          <w:trHeight w:val="288" w:hRule="atLeast"/>
        </w:trPr>
        <w:tc>
          <w:tcPr>
            <w:tcW w:w="704" w:type="dxa"/>
            <w:vMerge w:val="continue"/>
            <w:tcBorders>
              <w:top w:val="nil"/>
              <w:left w:val="single" w:color="auto" w:sz="4" w:space="0"/>
              <w:bottom w:val="single" w:color="auto" w:sz="4" w:space="0"/>
              <w:right w:val="single" w:color="auto" w:sz="4" w:space="0"/>
            </w:tcBorders>
            <w:vAlign w:val="center"/>
          </w:tcPr>
          <w:p w14:paraId="5F0981E9">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0AC9B784">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7791FDB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1139" w:type="dxa"/>
            <w:gridSpan w:val="2"/>
            <w:tcBorders>
              <w:top w:val="nil"/>
              <w:left w:val="nil"/>
              <w:bottom w:val="single" w:color="auto" w:sz="4" w:space="0"/>
              <w:right w:val="single" w:color="auto" w:sz="4" w:space="0"/>
            </w:tcBorders>
            <w:vAlign w:val="center"/>
          </w:tcPr>
          <w:p w14:paraId="36BE7F1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18.6</w:t>
            </w:r>
          </w:p>
        </w:tc>
        <w:tc>
          <w:tcPr>
            <w:tcW w:w="1275" w:type="dxa"/>
            <w:gridSpan w:val="2"/>
            <w:tcBorders>
              <w:top w:val="nil"/>
              <w:left w:val="nil"/>
              <w:bottom w:val="single" w:color="auto" w:sz="4" w:space="0"/>
              <w:right w:val="single" w:color="auto" w:sz="4" w:space="0"/>
            </w:tcBorders>
            <w:vAlign w:val="center"/>
          </w:tcPr>
          <w:p w14:paraId="451E5EB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0.058</w:t>
            </w:r>
          </w:p>
        </w:tc>
        <w:tc>
          <w:tcPr>
            <w:tcW w:w="1134" w:type="dxa"/>
            <w:gridSpan w:val="2"/>
            <w:vMerge w:val="continue"/>
            <w:tcBorders>
              <w:top w:val="nil"/>
              <w:left w:val="single" w:color="auto" w:sz="4" w:space="0"/>
              <w:bottom w:val="single" w:color="auto" w:sz="4" w:space="0"/>
              <w:right w:val="single" w:color="auto" w:sz="4" w:space="0"/>
            </w:tcBorders>
            <w:vAlign w:val="center"/>
          </w:tcPr>
          <w:p w14:paraId="39243F4A">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3E9CC530">
            <w:pPr>
              <w:pStyle w:val="109"/>
              <w:rPr>
                <w:color w:val="000000" w:themeColor="text1"/>
                <w:szCs w:val="21"/>
                <w14:textFill>
                  <w14:solidFill>
                    <w14:schemeClr w14:val="tx1"/>
                  </w14:solidFill>
                </w14:textFill>
              </w:rPr>
            </w:pPr>
          </w:p>
        </w:tc>
      </w:tr>
      <w:tr w14:paraId="036D6441">
        <w:tblPrEx>
          <w:tblCellMar>
            <w:top w:w="0" w:type="dxa"/>
            <w:left w:w="108" w:type="dxa"/>
            <w:bottom w:w="0" w:type="dxa"/>
            <w:right w:w="108" w:type="dxa"/>
          </w:tblCellMar>
        </w:tblPrEx>
        <w:trPr>
          <w:gridAfter w:val="1"/>
          <w:wAfter w:w="6" w:type="dxa"/>
          <w:trHeight w:val="288" w:hRule="atLeast"/>
        </w:trPr>
        <w:tc>
          <w:tcPr>
            <w:tcW w:w="704" w:type="dxa"/>
            <w:vMerge w:val="continue"/>
            <w:tcBorders>
              <w:top w:val="nil"/>
              <w:left w:val="single" w:color="auto" w:sz="4" w:space="0"/>
              <w:bottom w:val="single" w:color="auto" w:sz="4" w:space="0"/>
              <w:right w:val="single" w:color="auto" w:sz="4" w:space="0"/>
            </w:tcBorders>
            <w:vAlign w:val="center"/>
          </w:tcPr>
          <w:p w14:paraId="7D496225">
            <w:pPr>
              <w:pStyle w:val="109"/>
              <w:rPr>
                <w:color w:val="000000" w:themeColor="text1"/>
                <w:szCs w:val="21"/>
                <w14:textFill>
                  <w14:solidFill>
                    <w14:schemeClr w14:val="tx1"/>
                  </w14:solidFill>
                </w14:textFill>
              </w:rPr>
            </w:pPr>
          </w:p>
        </w:tc>
        <w:tc>
          <w:tcPr>
            <w:tcW w:w="1559" w:type="dxa"/>
            <w:vMerge w:val="continue"/>
            <w:tcBorders>
              <w:top w:val="nil"/>
              <w:left w:val="single" w:color="auto" w:sz="4" w:space="0"/>
              <w:bottom w:val="single" w:color="auto" w:sz="4" w:space="0"/>
              <w:right w:val="single" w:color="auto" w:sz="4" w:space="0"/>
            </w:tcBorders>
            <w:vAlign w:val="center"/>
          </w:tcPr>
          <w:p w14:paraId="03471F6E">
            <w:pPr>
              <w:pStyle w:val="109"/>
              <w:rPr>
                <w:color w:val="000000" w:themeColor="text1"/>
                <w:szCs w:val="21"/>
                <w14:textFill>
                  <w14:solidFill>
                    <w14:schemeClr w14:val="tx1"/>
                  </w14:solidFill>
                </w14:textFill>
              </w:rPr>
            </w:pPr>
          </w:p>
        </w:tc>
        <w:tc>
          <w:tcPr>
            <w:tcW w:w="2410" w:type="dxa"/>
            <w:tcBorders>
              <w:top w:val="nil"/>
              <w:left w:val="nil"/>
              <w:bottom w:val="single" w:color="auto" w:sz="4" w:space="0"/>
              <w:right w:val="single" w:color="auto" w:sz="4" w:space="0"/>
            </w:tcBorders>
            <w:vAlign w:val="center"/>
          </w:tcPr>
          <w:p w14:paraId="5A8D675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1139" w:type="dxa"/>
            <w:gridSpan w:val="2"/>
            <w:tcBorders>
              <w:top w:val="nil"/>
              <w:left w:val="nil"/>
              <w:bottom w:val="single" w:color="auto" w:sz="4" w:space="0"/>
              <w:right w:val="single" w:color="auto" w:sz="4" w:space="0"/>
            </w:tcBorders>
            <w:vAlign w:val="center"/>
          </w:tcPr>
          <w:p w14:paraId="7DC2978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147.3</w:t>
            </w:r>
          </w:p>
        </w:tc>
        <w:tc>
          <w:tcPr>
            <w:tcW w:w="1275" w:type="dxa"/>
            <w:gridSpan w:val="2"/>
            <w:tcBorders>
              <w:top w:val="nil"/>
              <w:left w:val="nil"/>
              <w:bottom w:val="single" w:color="auto" w:sz="4" w:space="0"/>
              <w:right w:val="single" w:color="auto" w:sz="4" w:space="0"/>
            </w:tcBorders>
            <w:vAlign w:val="center"/>
          </w:tcPr>
          <w:p w14:paraId="2D3AF5F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0.459</w:t>
            </w:r>
          </w:p>
        </w:tc>
        <w:tc>
          <w:tcPr>
            <w:tcW w:w="1134" w:type="dxa"/>
            <w:gridSpan w:val="2"/>
            <w:vMerge w:val="continue"/>
            <w:tcBorders>
              <w:top w:val="nil"/>
              <w:left w:val="single" w:color="auto" w:sz="4" w:space="0"/>
              <w:bottom w:val="single" w:color="auto" w:sz="4" w:space="0"/>
              <w:right w:val="single" w:color="auto" w:sz="4" w:space="0"/>
            </w:tcBorders>
            <w:vAlign w:val="center"/>
          </w:tcPr>
          <w:p w14:paraId="49FC1213">
            <w:pPr>
              <w:pStyle w:val="109"/>
              <w:rPr>
                <w:color w:val="000000" w:themeColor="text1"/>
                <w:szCs w:val="21"/>
                <w14:textFill>
                  <w14:solidFill>
                    <w14:schemeClr w14:val="tx1"/>
                  </w14:solidFill>
                </w14:textFill>
              </w:rPr>
            </w:pPr>
          </w:p>
        </w:tc>
        <w:tc>
          <w:tcPr>
            <w:tcW w:w="993" w:type="dxa"/>
            <w:gridSpan w:val="2"/>
            <w:vMerge w:val="continue"/>
            <w:tcBorders>
              <w:top w:val="nil"/>
              <w:left w:val="single" w:color="auto" w:sz="4" w:space="0"/>
              <w:bottom w:val="single" w:color="auto" w:sz="4" w:space="0"/>
              <w:right w:val="single" w:color="auto" w:sz="4" w:space="0"/>
            </w:tcBorders>
            <w:vAlign w:val="center"/>
          </w:tcPr>
          <w:p w14:paraId="664E45F5">
            <w:pPr>
              <w:pStyle w:val="109"/>
              <w:rPr>
                <w:color w:val="000000" w:themeColor="text1"/>
                <w:szCs w:val="21"/>
                <w14:textFill>
                  <w14:solidFill>
                    <w14:schemeClr w14:val="tx1"/>
                  </w14:solidFill>
                </w14:textFill>
              </w:rPr>
            </w:pPr>
          </w:p>
        </w:tc>
      </w:tr>
    </w:tbl>
    <w:p w14:paraId="720F95AB">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交通运输影响</w:t>
      </w:r>
    </w:p>
    <w:p w14:paraId="5AEDAFF0">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拟建项目进出厂区的物料约</w:t>
      </w:r>
      <w:r>
        <w:rPr>
          <w:rFonts w:hint="eastAsia" w:eastAsia="等线"/>
          <w:color w:val="000000" w:themeColor="text1"/>
          <w14:textFill>
            <w14:solidFill>
              <w14:schemeClr w14:val="tx1"/>
            </w14:solidFill>
          </w14:textFill>
        </w:rPr>
        <w:t>100031.5</w:t>
      </w:r>
      <w:r>
        <w:rPr>
          <w:color w:val="000000" w:themeColor="text1"/>
          <w14:textFill>
            <w14:solidFill>
              <w14:schemeClr w14:val="tx1"/>
            </w14:solidFill>
          </w14:textFill>
        </w:rPr>
        <w:t>吨，采用汽车运输，其中属于危险化学品的必须委托具有危险货物运输。</w:t>
      </w:r>
    </w:p>
    <w:p w14:paraId="6B837CE6">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汽车在运输行驶以及出入厂区和在厂区内怠速、慢速行驶时会产生汽车尾气污染，该尾气包括排气管尾气、曲轴箱漏气及油箱和化油器等燃料系统的泄漏气等，主要污染因子为 </w:t>
      </w:r>
      <w:r>
        <w:rPr>
          <w:rFonts w:eastAsia="TimesNewRomanPSMT"/>
          <w:color w:val="000000" w:themeColor="text1"/>
          <w14:textFill>
            <w14:solidFill>
              <w14:schemeClr w14:val="tx1"/>
            </w14:solidFill>
          </w14:textFill>
        </w:rPr>
        <w:t>CO</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HC(</w:t>
      </w:r>
      <w:r>
        <w:rPr>
          <w:color w:val="000000" w:themeColor="text1"/>
          <w14:textFill>
            <w14:solidFill>
              <w14:schemeClr w14:val="tx1"/>
            </w14:solidFill>
          </w14:textFill>
        </w:rPr>
        <w:t>碳氢化合物</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NOx</w:t>
      </w:r>
      <w:r>
        <w:rPr>
          <w:color w:val="000000" w:themeColor="text1"/>
          <w14:textFill>
            <w14:solidFill>
              <w14:schemeClr w14:val="tx1"/>
            </w14:solidFill>
          </w14:textFill>
        </w:rPr>
        <w:t>等，其排放量与车型、车况、车辆数、汽车行驶状况有关。</w:t>
      </w:r>
    </w:p>
    <w:p w14:paraId="2E5B8748">
      <w:pPr>
        <w:pStyle w:val="1305"/>
        <w:ind w:firstLine="480"/>
        <w:rPr>
          <w:rFonts w:eastAsia="黑体"/>
          <w:color w:val="000000" w:themeColor="text1"/>
          <w14:textFill>
            <w14:solidFill>
              <w14:schemeClr w14:val="tx1"/>
            </w14:solidFill>
          </w14:textFill>
        </w:rPr>
      </w:pPr>
      <w:r>
        <w:rPr>
          <w:color w:val="000000" w:themeColor="text1"/>
          <w14:textFill>
            <w14:solidFill>
              <w14:schemeClr w14:val="tx1"/>
            </w14:solidFill>
          </w14:textFill>
        </w:rPr>
        <w:t>汽车在进出厂区装卸货时一般是低速行驶，还要在厂区内调头和减速行驶，因此厂 区内的一氧化碳和碳氢化合物排放量较大。因此拟建项目装卸货过程中合理安排流程，减小货车怠速情况下的行驶。拟建项目无大宗物料，运输物料均为普通化学品，运输量不大，交通流量不会发生明显变化，对周边环境的影响较小。</w:t>
      </w:r>
    </w:p>
    <w:p w14:paraId="1ED2E004">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恶臭影响分析</w:t>
      </w:r>
    </w:p>
    <w:p w14:paraId="1AE8B4BA">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恶臭污染物是指一切刺激嗅觉器官引起人们不愉快及损害生活环境的气体物质。由于恶臭污染物种类很多，而且大多数恶臭气体是多组分、低浓度的混合物，评价从原辅材料、中间产品及产品物理性质方面，进行逐一定性分析，分析气味的来源，最终分析恶臭污染物存在的可能性。</w:t>
      </w:r>
    </w:p>
    <w:p w14:paraId="6C6A01AF">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拟建项目涉及的原辅材料中部分废气存在一定气味，由于装置存在跑、冒、滴、漏以及无组织排放，各种气味的混合易产生新的混合气味，对周边环境产生一定影响。</w:t>
      </w:r>
    </w:p>
    <w:p w14:paraId="39CF86AB">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拟建项目</w:t>
      </w:r>
      <w:r>
        <w:rPr>
          <w:rFonts w:hint="eastAsia"/>
          <w:color w:val="000000" w:themeColor="text1"/>
          <w14:textFill>
            <w14:solidFill>
              <w14:schemeClr w14:val="tx1"/>
            </w14:solidFill>
          </w14:textFill>
        </w:rPr>
        <w:t>废盐仓库采取密闭设置，废气负压收集后处理。</w:t>
      </w:r>
      <w:r>
        <w:rPr>
          <w:color w:val="000000" w:themeColor="text1"/>
          <w14:textFill>
            <w14:solidFill>
              <w14:schemeClr w14:val="tx1"/>
            </w14:solidFill>
          </w14:textFill>
        </w:rPr>
        <w:t>同时通过加强管理，减少装置的跑、冒、滴、漏，减少恶臭污染物的无组织排放。</w:t>
      </w:r>
    </w:p>
    <w:p w14:paraId="696E1DC5">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生产装置开停车、检修等严格按操作规程进行，产生的吹扫废气、装置余气等均进入废气处理设施。</w:t>
      </w:r>
    </w:p>
    <w:p w14:paraId="72139A0B">
      <w:pPr>
        <w:ind w:firstLine="480"/>
        <w:rPr>
          <w:color w:val="000000" w:themeColor="text1"/>
          <w14:textFill>
            <w14:solidFill>
              <w14:schemeClr w14:val="tx1"/>
            </w14:solidFill>
          </w14:textFill>
        </w:rPr>
      </w:pPr>
      <w:r>
        <w:rPr>
          <w:color w:val="000000" w:themeColor="text1"/>
          <w14:textFill>
            <w14:solidFill>
              <w14:schemeClr w14:val="tx1"/>
            </w14:solidFill>
          </w14:textFill>
        </w:rPr>
        <w:t>经过一系列恶臭污染控制措施后，可有效的降低全厂恶臭污染源强，将对环境的恶臭影响降至最低。</w:t>
      </w:r>
    </w:p>
    <w:p w14:paraId="7E740EBE">
      <w:pPr>
        <w:pStyle w:val="4"/>
        <w:rPr>
          <w:color w:val="000000" w:themeColor="text1"/>
          <w14:textFill>
            <w14:solidFill>
              <w14:schemeClr w14:val="tx1"/>
            </w14:solidFill>
          </w14:textFill>
        </w:rPr>
      </w:pPr>
      <w:bookmarkStart w:id="429" w:name="_Hlk62313008"/>
      <w:r>
        <w:rPr>
          <w:color w:val="000000" w:themeColor="text1"/>
          <w14:textFill>
            <w14:solidFill>
              <w14:schemeClr w14:val="tx1"/>
            </w14:solidFill>
          </w14:textFill>
        </w:rPr>
        <w:t>环境防护距离</w:t>
      </w:r>
    </w:p>
    <w:p w14:paraId="456691A0">
      <w:pPr>
        <w:pStyle w:val="28"/>
        <w:ind w:firstLine="480"/>
        <w:rPr>
          <w:rFonts w:ascii="Times New Roman" w:cs="Times New Roman"/>
          <w:color w:val="000000" w:themeColor="text1"/>
          <w:lang w:val="zh-CN"/>
          <w14:textFill>
            <w14:solidFill>
              <w14:schemeClr w14:val="tx1"/>
            </w14:solidFill>
          </w14:textFill>
        </w:rPr>
      </w:pPr>
      <w:bookmarkStart w:id="430" w:name="_Hlk63681148"/>
      <w:r>
        <w:rPr>
          <w:rFonts w:ascii="Times New Roman" w:cs="Times New Roman"/>
          <w:color w:val="000000" w:themeColor="text1"/>
          <w:lang w:val="zh-CN"/>
          <w14:textFill>
            <w14:solidFill>
              <w14:schemeClr w14:val="tx1"/>
            </w14:solidFill>
          </w14:textFill>
        </w:rPr>
        <w:t>采用导则要求的AERSCREEN 估算模式计算后，本项目环境空气为二级评价，无组织废气污染物贡献浓度小于环境质量标准的限值要求。</w:t>
      </w:r>
    </w:p>
    <w:p w14:paraId="0AED71AF">
      <w:pPr>
        <w:pStyle w:val="28"/>
        <w:ind w:firstLine="480"/>
        <w:rPr>
          <w:rFonts w:ascii="Times New Roman" w:cs="Times New Roman"/>
          <w:color w:val="000000" w:themeColor="text1"/>
          <w14:textFill>
            <w14:solidFill>
              <w14:schemeClr w14:val="tx1"/>
            </w14:solidFill>
          </w14:textFill>
        </w:rPr>
        <w:sectPr>
          <w:headerReference r:id="rId20" w:type="first"/>
          <w:footerReference r:id="rId22" w:type="first"/>
          <w:headerReference r:id="rId19" w:type="even"/>
          <w:footerReference r:id="rId21" w:type="even"/>
          <w:type w:val="nextColumn"/>
          <w:pgSz w:w="11906" w:h="16838"/>
          <w:pgMar w:top="1418" w:right="1247" w:bottom="1418" w:left="1247" w:header="964" w:footer="964" w:gutter="0"/>
          <w:cols w:space="720" w:num="1"/>
          <w:docGrid w:linePitch="312" w:charSpace="0"/>
        </w:sectPr>
      </w:pPr>
      <w:r>
        <w:rPr>
          <w:rFonts w:ascii="Times New Roman" w:cs="Times New Roman"/>
          <w:color w:val="000000" w:themeColor="text1"/>
          <w:lang w:val="zh-CN"/>
          <w14:textFill>
            <w14:solidFill>
              <w14:schemeClr w14:val="tx1"/>
            </w14:solidFill>
          </w14:textFill>
        </w:rPr>
        <w:t>根据《环境影响评价技术导则</w:t>
      </w:r>
      <w:r>
        <w:rPr>
          <w:rFonts w:hint="eastAsia" w:ascii="Times New Roman" w:cs="Times New Roman"/>
          <w:color w:val="000000" w:themeColor="text1"/>
          <w:lang w:val="zh-CN"/>
          <w14:textFill>
            <w14:solidFill>
              <w14:schemeClr w14:val="tx1"/>
            </w14:solidFill>
          </w14:textFill>
        </w:rPr>
        <w:t xml:space="preserve"> </w:t>
      </w:r>
      <w:r>
        <w:rPr>
          <w:rFonts w:ascii="Times New Roman" w:cs="Times New Roman"/>
          <w:color w:val="000000" w:themeColor="text1"/>
          <w:lang w:val="zh-CN"/>
          <w14:textFill>
            <w14:solidFill>
              <w14:schemeClr w14:val="tx1"/>
            </w14:solidFill>
          </w14:textFill>
        </w:rPr>
        <w:t>大气环境》(HJ2.2-2018)，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项目污染物厂界浓度贡献值小于环境质量浓度限值，因此，本项目无需设置大气防护距离。</w:t>
      </w:r>
      <w:bookmarkEnd w:id="429"/>
    </w:p>
    <w:bookmarkEnd w:id="415"/>
    <w:bookmarkEnd w:id="416"/>
    <w:bookmarkEnd w:id="430"/>
    <w:p w14:paraId="522EEFC9">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建设项目大气环境影响评价自查表</w:t>
      </w:r>
    </w:p>
    <w:tbl>
      <w:tblPr>
        <w:tblStyle w:val="76"/>
        <w:tblW w:w="9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528"/>
        <w:gridCol w:w="1254"/>
        <w:gridCol w:w="59"/>
        <w:gridCol w:w="151"/>
        <w:gridCol w:w="187"/>
        <w:gridCol w:w="87"/>
        <w:gridCol w:w="521"/>
        <w:gridCol w:w="1322"/>
        <w:gridCol w:w="247"/>
        <w:gridCol w:w="6"/>
        <w:gridCol w:w="378"/>
        <w:gridCol w:w="183"/>
        <w:gridCol w:w="406"/>
        <w:gridCol w:w="28"/>
        <w:gridCol w:w="523"/>
        <w:gridCol w:w="328"/>
        <w:gridCol w:w="283"/>
        <w:gridCol w:w="142"/>
        <w:gridCol w:w="113"/>
        <w:gridCol w:w="51"/>
        <w:gridCol w:w="833"/>
        <w:gridCol w:w="544"/>
        <w:gridCol w:w="9"/>
        <w:gridCol w:w="19"/>
      </w:tblGrid>
      <w:tr w14:paraId="1552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2260" w:type="dxa"/>
            <w:gridSpan w:val="2"/>
            <w:vAlign w:val="center"/>
          </w:tcPr>
          <w:p w14:paraId="6DB1C81C">
            <w:pPr>
              <w:pStyle w:val="109"/>
              <w:rPr>
                <w:color w:val="000000" w:themeColor="text1"/>
                <w14:textFill>
                  <w14:solidFill>
                    <w14:schemeClr w14:val="tx1"/>
                  </w14:solidFill>
                </w14:textFill>
              </w:rPr>
            </w:pPr>
            <w:r>
              <w:rPr>
                <w:color w:val="000000" w:themeColor="text1"/>
                <w14:textFill>
                  <w14:solidFill>
                    <w14:schemeClr w14:val="tx1"/>
                  </w14:solidFill>
                </w14:textFill>
              </w:rPr>
              <w:t>工作内容</w:t>
            </w:r>
          </w:p>
        </w:tc>
        <w:tc>
          <w:tcPr>
            <w:tcW w:w="7655" w:type="dxa"/>
            <w:gridSpan w:val="22"/>
            <w:vAlign w:val="center"/>
          </w:tcPr>
          <w:p w14:paraId="5856CF0F">
            <w:pPr>
              <w:pStyle w:val="109"/>
              <w:rPr>
                <w:color w:val="000000" w:themeColor="text1"/>
                <w14:textFill>
                  <w14:solidFill>
                    <w14:schemeClr w14:val="tx1"/>
                  </w14:solidFill>
                </w14:textFill>
              </w:rPr>
            </w:pPr>
            <w:r>
              <w:rPr>
                <w:color w:val="000000" w:themeColor="text1"/>
                <w14:textFill>
                  <w14:solidFill>
                    <w14:schemeClr w14:val="tx1"/>
                  </w14:solidFill>
                </w14:textFill>
              </w:rPr>
              <w:t>自查项目</w:t>
            </w:r>
          </w:p>
        </w:tc>
      </w:tr>
      <w:tr w14:paraId="3034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restart"/>
            <w:vAlign w:val="center"/>
          </w:tcPr>
          <w:p w14:paraId="13566CC3">
            <w:pPr>
              <w:pStyle w:val="109"/>
              <w:rPr>
                <w:color w:val="000000" w:themeColor="text1"/>
                <w14:textFill>
                  <w14:solidFill>
                    <w14:schemeClr w14:val="tx1"/>
                  </w14:solidFill>
                </w14:textFill>
              </w:rPr>
            </w:pPr>
            <w:r>
              <w:rPr>
                <w:color w:val="000000" w:themeColor="text1"/>
                <w14:textFill>
                  <w14:solidFill>
                    <w14:schemeClr w14:val="tx1"/>
                  </w14:solidFill>
                </w14:textFill>
              </w:rPr>
              <w:t>评价等级与范围</w:t>
            </w:r>
          </w:p>
        </w:tc>
        <w:tc>
          <w:tcPr>
            <w:tcW w:w="1528" w:type="dxa"/>
            <w:vAlign w:val="center"/>
          </w:tcPr>
          <w:p w14:paraId="759730DB">
            <w:pPr>
              <w:pStyle w:val="109"/>
              <w:rPr>
                <w:color w:val="000000" w:themeColor="text1"/>
                <w14:textFill>
                  <w14:solidFill>
                    <w14:schemeClr w14:val="tx1"/>
                  </w14:solidFill>
                </w14:textFill>
              </w:rPr>
            </w:pPr>
            <w:r>
              <w:rPr>
                <w:color w:val="000000" w:themeColor="text1"/>
                <w14:textFill>
                  <w14:solidFill>
                    <w14:schemeClr w14:val="tx1"/>
                  </w14:solidFill>
                </w14:textFill>
              </w:rPr>
              <w:t>评价等级</w:t>
            </w:r>
          </w:p>
        </w:tc>
        <w:tc>
          <w:tcPr>
            <w:tcW w:w="1651" w:type="dxa"/>
            <w:gridSpan w:val="4"/>
            <w:vAlign w:val="center"/>
          </w:tcPr>
          <w:p w14:paraId="443A2E5B">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3701" w:type="dxa"/>
            <w:gridSpan w:val="10"/>
            <w:vAlign w:val="center"/>
          </w:tcPr>
          <w:p w14:paraId="07112903">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r>
              <w:rPr>
                <w:color w:val="000000" w:themeColor="text1"/>
                <w14:textFill>
                  <w14:solidFill>
                    <w14:schemeClr w14:val="tx1"/>
                  </w14:solidFill>
                </w14:textFill>
              </w:rPr>
              <w:sym w:font="Wingdings 2" w:char="0052"/>
            </w:r>
          </w:p>
        </w:tc>
        <w:tc>
          <w:tcPr>
            <w:tcW w:w="2303" w:type="dxa"/>
            <w:gridSpan w:val="8"/>
            <w:vAlign w:val="center"/>
          </w:tcPr>
          <w:p w14:paraId="385F044C">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r>
              <w:rPr>
                <w:color w:val="000000" w:themeColor="text1"/>
                <w14:textFill>
                  <w14:solidFill>
                    <w14:schemeClr w14:val="tx1"/>
                  </w14:solidFill>
                </w14:textFill>
              </w:rPr>
              <w:sym w:font="Wingdings" w:char="00A8"/>
            </w:r>
          </w:p>
        </w:tc>
      </w:tr>
      <w:tr w14:paraId="6229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717F8F53">
            <w:pPr>
              <w:pStyle w:val="109"/>
              <w:rPr>
                <w:color w:val="000000" w:themeColor="text1"/>
                <w14:textFill>
                  <w14:solidFill>
                    <w14:schemeClr w14:val="tx1"/>
                  </w14:solidFill>
                </w14:textFill>
              </w:rPr>
            </w:pPr>
          </w:p>
        </w:tc>
        <w:tc>
          <w:tcPr>
            <w:tcW w:w="1528" w:type="dxa"/>
            <w:vAlign w:val="center"/>
          </w:tcPr>
          <w:p w14:paraId="45AA59C4">
            <w:pPr>
              <w:pStyle w:val="109"/>
              <w:rPr>
                <w:color w:val="000000" w:themeColor="text1"/>
                <w14:textFill>
                  <w14:solidFill>
                    <w14:schemeClr w14:val="tx1"/>
                  </w14:solidFill>
                </w14:textFill>
              </w:rPr>
            </w:pPr>
            <w:r>
              <w:rPr>
                <w:color w:val="000000" w:themeColor="text1"/>
                <w14:textFill>
                  <w14:solidFill>
                    <w14:schemeClr w14:val="tx1"/>
                  </w14:solidFill>
                </w14:textFill>
              </w:rPr>
              <w:t>评价范围</w:t>
            </w:r>
          </w:p>
        </w:tc>
        <w:tc>
          <w:tcPr>
            <w:tcW w:w="1651" w:type="dxa"/>
            <w:gridSpan w:val="4"/>
            <w:vAlign w:val="center"/>
          </w:tcPr>
          <w:p w14:paraId="33427C5C">
            <w:pPr>
              <w:pStyle w:val="109"/>
              <w:rPr>
                <w:color w:val="000000" w:themeColor="text1"/>
                <w14:textFill>
                  <w14:solidFill>
                    <w14:schemeClr w14:val="tx1"/>
                  </w14:solidFill>
                </w14:textFill>
              </w:rPr>
            </w:pPr>
            <w:r>
              <w:rPr>
                <w:color w:val="000000" w:themeColor="text1"/>
                <w14:textFill>
                  <w14:solidFill>
                    <w14:schemeClr w14:val="tx1"/>
                  </w14:solidFill>
                </w14:textFill>
              </w:rPr>
              <w:t>边长=50km□</w:t>
            </w:r>
          </w:p>
        </w:tc>
        <w:tc>
          <w:tcPr>
            <w:tcW w:w="3701" w:type="dxa"/>
            <w:gridSpan w:val="10"/>
            <w:vAlign w:val="center"/>
          </w:tcPr>
          <w:p w14:paraId="18A9AC31">
            <w:pPr>
              <w:pStyle w:val="109"/>
              <w:rPr>
                <w:color w:val="000000" w:themeColor="text1"/>
                <w14:textFill>
                  <w14:solidFill>
                    <w14:schemeClr w14:val="tx1"/>
                  </w14:solidFill>
                </w14:textFill>
              </w:rPr>
            </w:pPr>
            <w:r>
              <w:rPr>
                <w:color w:val="000000" w:themeColor="text1"/>
                <w14:textFill>
                  <w14:solidFill>
                    <w14:schemeClr w14:val="tx1"/>
                  </w14:solidFill>
                </w14:textFill>
              </w:rPr>
              <w:t>边长5~50km□</w:t>
            </w:r>
          </w:p>
        </w:tc>
        <w:tc>
          <w:tcPr>
            <w:tcW w:w="2303" w:type="dxa"/>
            <w:gridSpan w:val="8"/>
            <w:vAlign w:val="center"/>
          </w:tcPr>
          <w:p w14:paraId="403F9450">
            <w:pPr>
              <w:pStyle w:val="109"/>
              <w:rPr>
                <w:color w:val="000000" w:themeColor="text1"/>
                <w14:textFill>
                  <w14:solidFill>
                    <w14:schemeClr w14:val="tx1"/>
                  </w14:solidFill>
                </w14:textFill>
              </w:rPr>
            </w:pPr>
            <w:r>
              <w:rPr>
                <w:color w:val="000000" w:themeColor="text1"/>
                <w14:textFill>
                  <w14:solidFill>
                    <w14:schemeClr w14:val="tx1"/>
                  </w14:solidFill>
                </w14:textFill>
              </w:rPr>
              <w:t>边长=5km</w:t>
            </w:r>
            <w:r>
              <w:rPr>
                <w:color w:val="000000" w:themeColor="text1"/>
                <w14:textFill>
                  <w14:solidFill>
                    <w14:schemeClr w14:val="tx1"/>
                  </w14:solidFill>
                </w14:textFill>
              </w:rPr>
              <w:sym w:font="Wingdings" w:char="F0FE"/>
            </w:r>
          </w:p>
        </w:tc>
      </w:tr>
      <w:tr w14:paraId="47A5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restart"/>
            <w:vAlign w:val="center"/>
          </w:tcPr>
          <w:p w14:paraId="736A2798">
            <w:pPr>
              <w:pStyle w:val="109"/>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1528" w:type="dxa"/>
            <w:vAlign w:val="center"/>
          </w:tcPr>
          <w:p w14:paraId="4A7DDB45">
            <w:pPr>
              <w:pStyle w:val="109"/>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+NOx排放量</w:t>
            </w:r>
          </w:p>
        </w:tc>
        <w:tc>
          <w:tcPr>
            <w:tcW w:w="1651" w:type="dxa"/>
            <w:gridSpan w:val="4"/>
            <w:vAlign w:val="center"/>
          </w:tcPr>
          <w:p w14:paraId="5951B304">
            <w:pPr>
              <w:pStyle w:val="109"/>
              <w:rPr>
                <w:color w:val="000000" w:themeColor="text1"/>
                <w14:textFill>
                  <w14:solidFill>
                    <w14:schemeClr w14:val="tx1"/>
                  </w14:solidFill>
                </w14:textFill>
              </w:rPr>
            </w:pPr>
            <w:r>
              <w:rPr>
                <w:color w:val="000000" w:themeColor="text1"/>
                <w14:textFill>
                  <w14:solidFill>
                    <w14:schemeClr w14:val="tx1"/>
                  </w14:solidFill>
                </w14:textFill>
              </w:rPr>
              <w:t>≥2000t/a□</w:t>
            </w:r>
          </w:p>
        </w:tc>
        <w:tc>
          <w:tcPr>
            <w:tcW w:w="3701" w:type="dxa"/>
            <w:gridSpan w:val="10"/>
            <w:vAlign w:val="center"/>
          </w:tcPr>
          <w:p w14:paraId="2E4D8F33">
            <w:pPr>
              <w:pStyle w:val="109"/>
              <w:rPr>
                <w:color w:val="000000" w:themeColor="text1"/>
                <w14:textFill>
                  <w14:solidFill>
                    <w14:schemeClr w14:val="tx1"/>
                  </w14:solidFill>
                </w14:textFill>
              </w:rPr>
            </w:pPr>
            <w:r>
              <w:rPr>
                <w:color w:val="000000" w:themeColor="text1"/>
                <w14:textFill>
                  <w14:solidFill>
                    <w14:schemeClr w14:val="tx1"/>
                  </w14:solidFill>
                </w14:textFill>
              </w:rPr>
              <w:t>500~2000t/a□</w:t>
            </w:r>
          </w:p>
        </w:tc>
        <w:tc>
          <w:tcPr>
            <w:tcW w:w="2303" w:type="dxa"/>
            <w:gridSpan w:val="8"/>
            <w:vAlign w:val="center"/>
          </w:tcPr>
          <w:p w14:paraId="707B5CD5">
            <w:pPr>
              <w:pStyle w:val="109"/>
              <w:rPr>
                <w:color w:val="000000" w:themeColor="text1"/>
                <w14:textFill>
                  <w14:solidFill>
                    <w14:schemeClr w14:val="tx1"/>
                  </w14:solidFill>
                </w14:textFill>
              </w:rPr>
            </w:pPr>
            <w:r>
              <w:rPr>
                <w:color w:val="000000" w:themeColor="text1"/>
                <w14:textFill>
                  <w14:solidFill>
                    <w14:schemeClr w14:val="tx1"/>
                  </w14:solidFill>
                </w14:textFill>
              </w:rPr>
              <w:t>＜500t/a</w:t>
            </w:r>
            <w:r>
              <w:rPr>
                <w:color w:val="000000" w:themeColor="text1"/>
                <w14:textFill>
                  <w14:solidFill>
                    <w14:schemeClr w14:val="tx1"/>
                  </w14:solidFill>
                </w14:textFill>
              </w:rPr>
              <w:sym w:font="Wingdings" w:char="F0FE"/>
            </w:r>
          </w:p>
        </w:tc>
      </w:tr>
      <w:tr w14:paraId="0B94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2D379FA3">
            <w:pPr>
              <w:pStyle w:val="109"/>
              <w:rPr>
                <w:color w:val="000000" w:themeColor="text1"/>
                <w14:textFill>
                  <w14:solidFill>
                    <w14:schemeClr w14:val="tx1"/>
                  </w14:solidFill>
                </w14:textFill>
              </w:rPr>
            </w:pPr>
          </w:p>
        </w:tc>
        <w:tc>
          <w:tcPr>
            <w:tcW w:w="1528" w:type="dxa"/>
            <w:vAlign w:val="center"/>
          </w:tcPr>
          <w:p w14:paraId="49F40AE1">
            <w:pPr>
              <w:pStyle w:val="109"/>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4801" w:type="dxa"/>
            <w:gridSpan w:val="12"/>
            <w:vAlign w:val="center"/>
          </w:tcPr>
          <w:p w14:paraId="32522B56">
            <w:pPr>
              <w:pStyle w:val="109"/>
              <w:rPr>
                <w:color w:val="000000" w:themeColor="text1"/>
                <w14:textFill>
                  <w14:solidFill>
                    <w14:schemeClr w14:val="tx1"/>
                  </w14:solidFill>
                </w14:textFill>
              </w:rPr>
            </w:pPr>
            <w:r>
              <w:rPr>
                <w:color w:val="000000" w:themeColor="text1"/>
                <w14:textFill>
                  <w14:solidFill>
                    <w14:schemeClr w14:val="tx1"/>
                  </w14:solidFill>
                </w14:textFill>
              </w:rPr>
              <w:t>基本污染物（PM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w:t>
            </w:r>
          </w:p>
          <w:p w14:paraId="155554AB">
            <w:pPr>
              <w:pStyle w:val="109"/>
              <w:rPr>
                <w:color w:val="000000" w:themeColor="text1"/>
                <w14:textFill>
                  <w14:solidFill>
                    <w14:schemeClr w14:val="tx1"/>
                  </w14:solidFill>
                </w14:textFill>
              </w:rPr>
            </w:pPr>
            <w:r>
              <w:rPr>
                <w:color w:val="000000" w:themeColor="text1"/>
                <w14:textFill>
                  <w14:solidFill>
                    <w14:schemeClr w14:val="tx1"/>
                  </w14:solidFill>
                </w14:textFill>
              </w:rPr>
              <w:t>其他污染物（TSP</w:t>
            </w:r>
            <w:r>
              <w:rPr>
                <w:rFonts w:hint="eastAsia"/>
                <w:color w:val="000000" w:themeColor="text1"/>
                <w14:textFill>
                  <w14:solidFill>
                    <w14:schemeClr w14:val="tx1"/>
                  </w14:solidFill>
                </w14:textFill>
              </w:rPr>
              <w:t>、氟化物、铅、镉、汞、砷、铬（六价）、氯化氢、氨、锰及其化合物、非甲烷总烃、二噁英</w:t>
            </w:r>
            <w:r>
              <w:rPr>
                <w:color w:val="000000" w:themeColor="text1"/>
                <w14:textFill>
                  <w14:solidFill>
                    <w14:schemeClr w14:val="tx1"/>
                  </w14:solidFill>
                </w14:textFill>
              </w:rPr>
              <w:t>）</w:t>
            </w:r>
          </w:p>
        </w:tc>
        <w:tc>
          <w:tcPr>
            <w:tcW w:w="2854" w:type="dxa"/>
            <w:gridSpan w:val="10"/>
            <w:vAlign w:val="center"/>
          </w:tcPr>
          <w:p w14:paraId="059DD01C">
            <w:pPr>
              <w:pStyle w:val="109"/>
              <w:rPr>
                <w:color w:val="000000" w:themeColor="text1"/>
                <w14:textFill>
                  <w14:solidFill>
                    <w14:schemeClr w14:val="tx1"/>
                  </w14:solidFill>
                </w14:textFill>
              </w:rPr>
            </w:pPr>
            <w:r>
              <w:rPr>
                <w:color w:val="000000" w:themeColor="text1"/>
                <w14:textFill>
                  <w14:solidFill>
                    <w14:schemeClr w14:val="tx1"/>
                  </w14:solidFill>
                </w14:textFill>
              </w:rPr>
              <w:t>包括二次PM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w:t>
            </w:r>
          </w:p>
          <w:p w14:paraId="12456731">
            <w:pPr>
              <w:pStyle w:val="109"/>
              <w:rPr>
                <w:color w:val="000000" w:themeColor="text1"/>
                <w14:textFill>
                  <w14:solidFill>
                    <w14:schemeClr w14:val="tx1"/>
                  </w14:solidFill>
                </w14:textFill>
              </w:rPr>
            </w:pPr>
            <w:r>
              <w:rPr>
                <w:color w:val="000000" w:themeColor="text1"/>
                <w14:textFill>
                  <w14:solidFill>
                    <w14:schemeClr w14:val="tx1"/>
                  </w14:solidFill>
                </w14:textFill>
              </w:rPr>
              <w:t>不包括二次PM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w:t>
            </w:r>
          </w:p>
        </w:tc>
      </w:tr>
      <w:tr w14:paraId="29AA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Align w:val="center"/>
          </w:tcPr>
          <w:p w14:paraId="57FDA550">
            <w:pPr>
              <w:pStyle w:val="109"/>
              <w:rPr>
                <w:color w:val="000000" w:themeColor="text1"/>
                <w14:textFill>
                  <w14:solidFill>
                    <w14:schemeClr w14:val="tx1"/>
                  </w14:solidFill>
                </w14:textFill>
              </w:rPr>
            </w:pPr>
            <w:r>
              <w:rPr>
                <w:color w:val="000000" w:themeColor="text1"/>
                <w14:textFill>
                  <w14:solidFill>
                    <w14:schemeClr w14:val="tx1"/>
                  </w14:solidFill>
                </w14:textFill>
              </w:rPr>
              <w:t>评价标准</w:t>
            </w:r>
          </w:p>
        </w:tc>
        <w:tc>
          <w:tcPr>
            <w:tcW w:w="1528" w:type="dxa"/>
            <w:vAlign w:val="center"/>
          </w:tcPr>
          <w:p w14:paraId="38BBC0B6">
            <w:pPr>
              <w:pStyle w:val="109"/>
              <w:rPr>
                <w:color w:val="000000" w:themeColor="text1"/>
                <w14:textFill>
                  <w14:solidFill>
                    <w14:schemeClr w14:val="tx1"/>
                  </w14:solidFill>
                </w14:textFill>
              </w:rPr>
            </w:pPr>
            <w:r>
              <w:rPr>
                <w:color w:val="000000" w:themeColor="text1"/>
                <w14:textFill>
                  <w14:solidFill>
                    <w14:schemeClr w14:val="tx1"/>
                  </w14:solidFill>
                </w14:textFill>
              </w:rPr>
              <w:t>评价标准</w:t>
            </w:r>
          </w:p>
        </w:tc>
        <w:tc>
          <w:tcPr>
            <w:tcW w:w="1651" w:type="dxa"/>
            <w:gridSpan w:val="4"/>
            <w:vAlign w:val="center"/>
          </w:tcPr>
          <w:p w14:paraId="15DCC702">
            <w:pPr>
              <w:pStyle w:val="109"/>
              <w:rPr>
                <w:color w:val="000000" w:themeColor="text1"/>
                <w14:textFill>
                  <w14:solidFill>
                    <w14:schemeClr w14:val="tx1"/>
                  </w14:solidFill>
                </w14:textFill>
              </w:rPr>
            </w:pPr>
            <w:r>
              <w:rPr>
                <w:color w:val="000000" w:themeColor="text1"/>
                <w14:textFill>
                  <w14:solidFill>
                    <w14:schemeClr w14:val="tx1"/>
                  </w14:solidFill>
                </w14:textFill>
              </w:rPr>
              <w:t>国家标准</w:t>
            </w:r>
            <w:r>
              <w:rPr>
                <w:color w:val="000000" w:themeColor="text1"/>
                <w14:textFill>
                  <w14:solidFill>
                    <w14:schemeClr w14:val="tx1"/>
                  </w14:solidFill>
                </w14:textFill>
              </w:rPr>
              <w:sym w:font="Wingdings" w:char="F0FE"/>
            </w:r>
          </w:p>
        </w:tc>
        <w:tc>
          <w:tcPr>
            <w:tcW w:w="2561" w:type="dxa"/>
            <w:gridSpan w:val="6"/>
            <w:vAlign w:val="center"/>
          </w:tcPr>
          <w:p w14:paraId="51CB56BE">
            <w:pPr>
              <w:pStyle w:val="109"/>
              <w:rPr>
                <w:color w:val="000000" w:themeColor="text1"/>
                <w14:textFill>
                  <w14:solidFill>
                    <w14:schemeClr w14:val="tx1"/>
                  </w14:solidFill>
                </w14:textFill>
              </w:rPr>
            </w:pPr>
            <w:r>
              <w:rPr>
                <w:color w:val="000000" w:themeColor="text1"/>
                <w14:textFill>
                  <w14:solidFill>
                    <w14:schemeClr w14:val="tx1"/>
                  </w14:solidFill>
                </w14:textFill>
              </w:rPr>
              <w:t>地方标准□</w:t>
            </w:r>
          </w:p>
        </w:tc>
        <w:tc>
          <w:tcPr>
            <w:tcW w:w="2006" w:type="dxa"/>
            <w:gridSpan w:val="8"/>
            <w:vAlign w:val="center"/>
          </w:tcPr>
          <w:p w14:paraId="00CB87A7">
            <w:pPr>
              <w:pStyle w:val="109"/>
              <w:rPr>
                <w:color w:val="000000" w:themeColor="text1"/>
                <w14:textFill>
                  <w14:solidFill>
                    <w14:schemeClr w14:val="tx1"/>
                  </w14:solidFill>
                </w14:textFill>
              </w:rPr>
            </w:pPr>
            <w:r>
              <w:rPr>
                <w:color w:val="000000" w:themeColor="text1"/>
                <w14:textFill>
                  <w14:solidFill>
                    <w14:schemeClr w14:val="tx1"/>
                  </w14:solidFill>
                </w14:textFill>
              </w:rPr>
              <w:t>附录D□</w:t>
            </w:r>
          </w:p>
        </w:tc>
        <w:tc>
          <w:tcPr>
            <w:tcW w:w="1437" w:type="dxa"/>
            <w:gridSpan w:val="4"/>
            <w:vAlign w:val="center"/>
          </w:tcPr>
          <w:p w14:paraId="1B1FAFDE">
            <w:pPr>
              <w:pStyle w:val="109"/>
              <w:rPr>
                <w:color w:val="000000" w:themeColor="text1"/>
                <w14:textFill>
                  <w14:solidFill>
                    <w14:schemeClr w14:val="tx1"/>
                  </w14:solidFill>
                </w14:textFill>
              </w:rPr>
            </w:pPr>
            <w:r>
              <w:rPr>
                <w:color w:val="000000" w:themeColor="text1"/>
                <w14:textFill>
                  <w14:solidFill>
                    <w14:schemeClr w14:val="tx1"/>
                  </w14:solidFill>
                </w14:textFill>
              </w:rPr>
              <w:t>其他标准□</w:t>
            </w:r>
          </w:p>
        </w:tc>
      </w:tr>
      <w:tr w14:paraId="3BF2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restart"/>
            <w:vAlign w:val="center"/>
          </w:tcPr>
          <w:p w14:paraId="0FD03A7B">
            <w:pPr>
              <w:pStyle w:val="109"/>
              <w:rPr>
                <w:color w:val="000000" w:themeColor="text1"/>
                <w14:textFill>
                  <w14:solidFill>
                    <w14:schemeClr w14:val="tx1"/>
                  </w14:solidFill>
                </w14:textFill>
              </w:rPr>
            </w:pPr>
            <w:r>
              <w:rPr>
                <w:color w:val="000000" w:themeColor="text1"/>
                <w14:textFill>
                  <w14:solidFill>
                    <w14:schemeClr w14:val="tx1"/>
                  </w14:solidFill>
                </w14:textFill>
              </w:rPr>
              <w:t>现状评价</w:t>
            </w:r>
          </w:p>
        </w:tc>
        <w:tc>
          <w:tcPr>
            <w:tcW w:w="1528" w:type="dxa"/>
            <w:vAlign w:val="center"/>
          </w:tcPr>
          <w:p w14:paraId="42603FE3">
            <w:pPr>
              <w:pStyle w:val="109"/>
              <w:rPr>
                <w:color w:val="000000" w:themeColor="text1"/>
                <w14:textFill>
                  <w14:solidFill>
                    <w14:schemeClr w14:val="tx1"/>
                  </w14:solidFill>
                </w14:textFill>
              </w:rPr>
            </w:pPr>
            <w:r>
              <w:rPr>
                <w:color w:val="000000" w:themeColor="text1"/>
                <w14:textFill>
                  <w14:solidFill>
                    <w14:schemeClr w14:val="tx1"/>
                  </w14:solidFill>
                </w14:textFill>
              </w:rPr>
              <w:t>环境功能区</w:t>
            </w:r>
          </w:p>
        </w:tc>
        <w:tc>
          <w:tcPr>
            <w:tcW w:w="1651" w:type="dxa"/>
            <w:gridSpan w:val="4"/>
            <w:vAlign w:val="center"/>
          </w:tcPr>
          <w:p w14:paraId="017FB655">
            <w:pPr>
              <w:pStyle w:val="109"/>
              <w:rPr>
                <w:color w:val="000000" w:themeColor="text1"/>
                <w14:textFill>
                  <w14:solidFill>
                    <w14:schemeClr w14:val="tx1"/>
                  </w14:solidFill>
                </w14:textFill>
              </w:rPr>
            </w:pPr>
            <w:r>
              <w:rPr>
                <w:color w:val="000000" w:themeColor="text1"/>
                <w14:textFill>
                  <w14:solidFill>
                    <w14:schemeClr w14:val="tx1"/>
                  </w14:solidFill>
                </w14:textFill>
              </w:rPr>
              <w:t>一类区□</w:t>
            </w:r>
          </w:p>
        </w:tc>
        <w:tc>
          <w:tcPr>
            <w:tcW w:w="3701" w:type="dxa"/>
            <w:gridSpan w:val="10"/>
            <w:vAlign w:val="center"/>
          </w:tcPr>
          <w:p w14:paraId="1B8281FE">
            <w:pPr>
              <w:pStyle w:val="109"/>
              <w:rPr>
                <w:color w:val="000000" w:themeColor="text1"/>
                <w14:textFill>
                  <w14:solidFill>
                    <w14:schemeClr w14:val="tx1"/>
                  </w14:solidFill>
                </w14:textFill>
              </w:rPr>
            </w:pPr>
            <w:r>
              <w:rPr>
                <w:color w:val="000000" w:themeColor="text1"/>
                <w14:textFill>
                  <w14:solidFill>
                    <w14:schemeClr w14:val="tx1"/>
                  </w14:solidFill>
                </w14:textFill>
              </w:rPr>
              <w:t>二类区</w:t>
            </w:r>
            <w:r>
              <w:rPr>
                <w:color w:val="000000" w:themeColor="text1"/>
                <w14:textFill>
                  <w14:solidFill>
                    <w14:schemeClr w14:val="tx1"/>
                  </w14:solidFill>
                </w14:textFill>
              </w:rPr>
              <w:sym w:font="Wingdings" w:char="F0FE"/>
            </w:r>
          </w:p>
        </w:tc>
        <w:tc>
          <w:tcPr>
            <w:tcW w:w="2303" w:type="dxa"/>
            <w:gridSpan w:val="8"/>
            <w:vAlign w:val="center"/>
          </w:tcPr>
          <w:p w14:paraId="78C1C011">
            <w:pPr>
              <w:pStyle w:val="109"/>
              <w:rPr>
                <w:color w:val="000000" w:themeColor="text1"/>
                <w14:textFill>
                  <w14:solidFill>
                    <w14:schemeClr w14:val="tx1"/>
                  </w14:solidFill>
                </w14:textFill>
              </w:rPr>
            </w:pPr>
            <w:r>
              <w:rPr>
                <w:color w:val="000000" w:themeColor="text1"/>
                <w14:textFill>
                  <w14:solidFill>
                    <w14:schemeClr w14:val="tx1"/>
                  </w14:solidFill>
                </w14:textFill>
              </w:rPr>
              <w:t>一类区和二类区□</w:t>
            </w:r>
          </w:p>
        </w:tc>
      </w:tr>
      <w:tr w14:paraId="4F3B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597BA61B">
            <w:pPr>
              <w:pStyle w:val="109"/>
              <w:rPr>
                <w:color w:val="000000" w:themeColor="text1"/>
                <w14:textFill>
                  <w14:solidFill>
                    <w14:schemeClr w14:val="tx1"/>
                  </w14:solidFill>
                </w14:textFill>
              </w:rPr>
            </w:pPr>
          </w:p>
        </w:tc>
        <w:tc>
          <w:tcPr>
            <w:tcW w:w="1528" w:type="dxa"/>
            <w:vAlign w:val="center"/>
          </w:tcPr>
          <w:p w14:paraId="77A04241">
            <w:pPr>
              <w:pStyle w:val="109"/>
              <w:rPr>
                <w:color w:val="000000" w:themeColor="text1"/>
                <w14:textFill>
                  <w14:solidFill>
                    <w14:schemeClr w14:val="tx1"/>
                  </w14:solidFill>
                </w14:textFill>
              </w:rPr>
            </w:pPr>
            <w:r>
              <w:rPr>
                <w:color w:val="000000" w:themeColor="text1"/>
                <w14:textFill>
                  <w14:solidFill>
                    <w14:schemeClr w14:val="tx1"/>
                  </w14:solidFill>
                </w14:textFill>
              </w:rPr>
              <w:t>评价基准年</w:t>
            </w:r>
          </w:p>
        </w:tc>
        <w:tc>
          <w:tcPr>
            <w:tcW w:w="7655" w:type="dxa"/>
            <w:gridSpan w:val="22"/>
            <w:vAlign w:val="center"/>
          </w:tcPr>
          <w:p w14:paraId="5A1ABFC2">
            <w:pPr>
              <w:pStyle w:val="109"/>
              <w:rPr>
                <w:color w:val="000000" w:themeColor="text1"/>
                <w14:textFill>
                  <w14:solidFill>
                    <w14:schemeClr w14:val="tx1"/>
                  </w14:solidFill>
                </w14:textFill>
              </w:rPr>
            </w:pPr>
            <w:r>
              <w:rPr>
                <w:color w:val="000000" w:themeColor="text1"/>
                <w14:textFill>
                  <w14:solidFill>
                    <w14:schemeClr w14:val="tx1"/>
                  </w14:solidFill>
                </w14:textFill>
              </w:rPr>
              <w:t>（20</w:t>
            </w:r>
            <w:r>
              <w:rPr>
                <w:rFonts w:hint="eastAsia"/>
                <w:color w:val="000000" w:themeColor="text1"/>
                <w14:textFill>
                  <w14:solidFill>
                    <w14:schemeClr w14:val="tx1"/>
                  </w14:solidFill>
                </w14:textFill>
              </w:rPr>
              <w:t>23</w:t>
            </w:r>
            <w:r>
              <w:rPr>
                <w:color w:val="000000" w:themeColor="text1"/>
                <w14:textFill>
                  <w14:solidFill>
                    <w14:schemeClr w14:val="tx1"/>
                  </w14:solidFill>
                </w14:textFill>
              </w:rPr>
              <w:t>）年</w:t>
            </w:r>
          </w:p>
        </w:tc>
      </w:tr>
      <w:tr w14:paraId="3C20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319DE541">
            <w:pPr>
              <w:pStyle w:val="109"/>
              <w:rPr>
                <w:color w:val="000000" w:themeColor="text1"/>
                <w14:textFill>
                  <w14:solidFill>
                    <w14:schemeClr w14:val="tx1"/>
                  </w14:solidFill>
                </w14:textFill>
              </w:rPr>
            </w:pPr>
          </w:p>
        </w:tc>
        <w:tc>
          <w:tcPr>
            <w:tcW w:w="1528" w:type="dxa"/>
            <w:vAlign w:val="center"/>
          </w:tcPr>
          <w:p w14:paraId="1170BA12">
            <w:pPr>
              <w:pStyle w:val="109"/>
              <w:rPr>
                <w:color w:val="000000" w:themeColor="text1"/>
                <w14:textFill>
                  <w14:solidFill>
                    <w14:schemeClr w14:val="tx1"/>
                  </w14:solidFill>
                </w14:textFill>
              </w:rPr>
            </w:pPr>
            <w:r>
              <w:rPr>
                <w:color w:val="000000" w:themeColor="text1"/>
                <w14:textFill>
                  <w14:solidFill>
                    <w14:schemeClr w14:val="tx1"/>
                  </w14:solidFill>
                </w14:textFill>
              </w:rPr>
              <w:t>环境空气质量现状调查数据来源</w:t>
            </w:r>
          </w:p>
        </w:tc>
        <w:tc>
          <w:tcPr>
            <w:tcW w:w="1464" w:type="dxa"/>
            <w:gridSpan w:val="3"/>
            <w:vAlign w:val="center"/>
          </w:tcPr>
          <w:p w14:paraId="2C9EF4A5">
            <w:pPr>
              <w:pStyle w:val="109"/>
              <w:rPr>
                <w:color w:val="000000" w:themeColor="text1"/>
                <w14:textFill>
                  <w14:solidFill>
                    <w14:schemeClr w14:val="tx1"/>
                  </w14:solidFill>
                </w14:textFill>
              </w:rPr>
            </w:pPr>
            <w:r>
              <w:rPr>
                <w:color w:val="000000" w:themeColor="text1"/>
                <w14:textFill>
                  <w14:solidFill>
                    <w14:schemeClr w14:val="tx1"/>
                  </w14:solidFill>
                </w14:textFill>
              </w:rPr>
              <w:t>长期例行</w:t>
            </w:r>
          </w:p>
          <w:p w14:paraId="691C28F1">
            <w:pPr>
              <w:pStyle w:val="109"/>
              <w:rPr>
                <w:color w:val="000000" w:themeColor="text1"/>
                <w14:textFill>
                  <w14:solidFill>
                    <w14:schemeClr w14:val="tx1"/>
                  </w14:solidFill>
                </w14:textFill>
              </w:rPr>
            </w:pPr>
            <w:r>
              <w:rPr>
                <w:color w:val="000000" w:themeColor="text1"/>
                <w14:textFill>
                  <w14:solidFill>
                    <w14:schemeClr w14:val="tx1"/>
                  </w14:solidFill>
                </w14:textFill>
              </w:rPr>
              <w:t>监测数据□</w:t>
            </w:r>
          </w:p>
        </w:tc>
        <w:tc>
          <w:tcPr>
            <w:tcW w:w="3888" w:type="dxa"/>
            <w:gridSpan w:val="11"/>
            <w:vAlign w:val="center"/>
          </w:tcPr>
          <w:p w14:paraId="785B9EEE">
            <w:pPr>
              <w:pStyle w:val="109"/>
              <w:rPr>
                <w:color w:val="000000" w:themeColor="text1"/>
                <w14:textFill>
                  <w14:solidFill>
                    <w14:schemeClr w14:val="tx1"/>
                  </w14:solidFill>
                </w14:textFill>
              </w:rPr>
            </w:pPr>
            <w:r>
              <w:rPr>
                <w:color w:val="000000" w:themeColor="text1"/>
                <w14:textFill>
                  <w14:solidFill>
                    <w14:schemeClr w14:val="tx1"/>
                  </w14:solidFill>
                </w14:textFill>
              </w:rPr>
              <w:t>主管部门发布的数据</w:t>
            </w:r>
            <w:r>
              <w:rPr>
                <w:color w:val="000000" w:themeColor="text1"/>
                <w14:textFill>
                  <w14:solidFill>
                    <w14:schemeClr w14:val="tx1"/>
                  </w14:solidFill>
                </w14:textFill>
              </w:rPr>
              <w:sym w:font="Wingdings" w:char="F0FE"/>
            </w:r>
          </w:p>
        </w:tc>
        <w:tc>
          <w:tcPr>
            <w:tcW w:w="2303" w:type="dxa"/>
            <w:gridSpan w:val="8"/>
            <w:vAlign w:val="center"/>
          </w:tcPr>
          <w:p w14:paraId="6DED1A8D">
            <w:pPr>
              <w:pStyle w:val="109"/>
              <w:rPr>
                <w:color w:val="000000" w:themeColor="text1"/>
                <w14:textFill>
                  <w14:solidFill>
                    <w14:schemeClr w14:val="tx1"/>
                  </w14:solidFill>
                </w14:textFill>
              </w:rPr>
            </w:pPr>
            <w:r>
              <w:rPr>
                <w:color w:val="000000" w:themeColor="text1"/>
                <w14:textFill>
                  <w14:solidFill>
                    <w14:schemeClr w14:val="tx1"/>
                  </w14:solidFill>
                </w14:textFill>
              </w:rPr>
              <w:t>现状补充监测□</w:t>
            </w:r>
          </w:p>
        </w:tc>
      </w:tr>
      <w:tr w14:paraId="6B8F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476B9DDD">
            <w:pPr>
              <w:pStyle w:val="109"/>
              <w:rPr>
                <w:color w:val="000000" w:themeColor="text1"/>
                <w14:textFill>
                  <w14:solidFill>
                    <w14:schemeClr w14:val="tx1"/>
                  </w14:solidFill>
                </w14:textFill>
              </w:rPr>
            </w:pPr>
          </w:p>
        </w:tc>
        <w:tc>
          <w:tcPr>
            <w:tcW w:w="1528" w:type="dxa"/>
            <w:vAlign w:val="center"/>
          </w:tcPr>
          <w:p w14:paraId="06940373">
            <w:pPr>
              <w:pStyle w:val="109"/>
              <w:rPr>
                <w:color w:val="000000" w:themeColor="text1"/>
                <w14:textFill>
                  <w14:solidFill>
                    <w14:schemeClr w14:val="tx1"/>
                  </w14:solidFill>
                </w14:textFill>
              </w:rPr>
            </w:pPr>
            <w:r>
              <w:rPr>
                <w:color w:val="000000" w:themeColor="text1"/>
                <w14:textFill>
                  <w14:solidFill>
                    <w14:schemeClr w14:val="tx1"/>
                  </w14:solidFill>
                </w14:textFill>
              </w:rPr>
              <w:t>现状评价</w:t>
            </w:r>
          </w:p>
        </w:tc>
        <w:tc>
          <w:tcPr>
            <w:tcW w:w="3828" w:type="dxa"/>
            <w:gridSpan w:val="8"/>
            <w:vAlign w:val="center"/>
          </w:tcPr>
          <w:p w14:paraId="77551649">
            <w:pPr>
              <w:pStyle w:val="109"/>
              <w:rPr>
                <w:color w:val="000000" w:themeColor="text1"/>
                <w14:textFill>
                  <w14:solidFill>
                    <w14:schemeClr w14:val="tx1"/>
                  </w14:solidFill>
                </w14:textFill>
              </w:rPr>
            </w:pPr>
            <w:r>
              <w:rPr>
                <w:color w:val="000000" w:themeColor="text1"/>
                <w14:textFill>
                  <w14:solidFill>
                    <w14:schemeClr w14:val="tx1"/>
                  </w14:solidFill>
                </w14:textFill>
              </w:rPr>
              <w:t>达标区</w:t>
            </w:r>
            <w:r>
              <w:rPr>
                <w:color w:val="000000" w:themeColor="text1"/>
                <w14:textFill>
                  <w14:solidFill>
                    <w14:schemeClr w14:val="tx1"/>
                  </w14:solidFill>
                </w14:textFill>
              </w:rPr>
              <w:sym w:font="Wingdings" w:char="00A8"/>
            </w:r>
          </w:p>
        </w:tc>
        <w:tc>
          <w:tcPr>
            <w:tcW w:w="3827" w:type="dxa"/>
            <w:gridSpan w:val="14"/>
            <w:vAlign w:val="center"/>
          </w:tcPr>
          <w:p w14:paraId="1644E19D">
            <w:pPr>
              <w:pStyle w:val="109"/>
              <w:rPr>
                <w:color w:val="000000" w:themeColor="text1"/>
                <w14:textFill>
                  <w14:solidFill>
                    <w14:schemeClr w14:val="tx1"/>
                  </w14:solidFill>
                </w14:textFill>
              </w:rPr>
            </w:pPr>
            <w:r>
              <w:rPr>
                <w:color w:val="000000" w:themeColor="text1"/>
                <w14:textFill>
                  <w14:solidFill>
                    <w14:schemeClr w14:val="tx1"/>
                  </w14:solidFill>
                </w14:textFill>
              </w:rPr>
              <w:t>不达标区</w:t>
            </w:r>
            <w:r>
              <w:rPr>
                <w:color w:val="000000" w:themeColor="text1"/>
                <w14:textFill>
                  <w14:solidFill>
                    <w14:schemeClr w14:val="tx1"/>
                  </w14:solidFill>
                </w14:textFill>
              </w:rPr>
              <w:sym w:font="Wingdings 2" w:char="0052"/>
            </w:r>
          </w:p>
        </w:tc>
      </w:tr>
      <w:tr w14:paraId="3460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Align w:val="center"/>
          </w:tcPr>
          <w:p w14:paraId="0D172E44">
            <w:pPr>
              <w:pStyle w:val="109"/>
              <w:rPr>
                <w:color w:val="000000" w:themeColor="text1"/>
                <w14:textFill>
                  <w14:solidFill>
                    <w14:schemeClr w14:val="tx1"/>
                  </w14:solidFill>
                </w14:textFill>
              </w:rPr>
            </w:pPr>
            <w:r>
              <w:rPr>
                <w:color w:val="000000" w:themeColor="text1"/>
                <w14:textFill>
                  <w14:solidFill>
                    <w14:schemeClr w14:val="tx1"/>
                  </w14:solidFill>
                </w14:textFill>
              </w:rPr>
              <w:t>污染源调查</w:t>
            </w:r>
          </w:p>
        </w:tc>
        <w:tc>
          <w:tcPr>
            <w:tcW w:w="1528" w:type="dxa"/>
            <w:vAlign w:val="center"/>
          </w:tcPr>
          <w:p w14:paraId="4D5699E1">
            <w:pPr>
              <w:pStyle w:val="109"/>
              <w:rPr>
                <w:color w:val="000000" w:themeColor="text1"/>
                <w14:textFill>
                  <w14:solidFill>
                    <w14:schemeClr w14:val="tx1"/>
                  </w14:solidFill>
                </w14:textFill>
              </w:rPr>
            </w:pPr>
            <w:r>
              <w:rPr>
                <w:color w:val="000000" w:themeColor="text1"/>
                <w14:textFill>
                  <w14:solidFill>
                    <w14:schemeClr w14:val="tx1"/>
                  </w14:solidFill>
                </w14:textFill>
              </w:rPr>
              <w:t>调查内容</w:t>
            </w:r>
          </w:p>
        </w:tc>
        <w:tc>
          <w:tcPr>
            <w:tcW w:w="2259" w:type="dxa"/>
            <w:gridSpan w:val="6"/>
            <w:vAlign w:val="center"/>
          </w:tcPr>
          <w:p w14:paraId="0E5A28E7">
            <w:pPr>
              <w:pStyle w:val="109"/>
              <w:rPr>
                <w:color w:val="000000" w:themeColor="text1"/>
                <w14:textFill>
                  <w14:solidFill>
                    <w14:schemeClr w14:val="tx1"/>
                  </w14:solidFill>
                </w14:textFill>
              </w:rPr>
            </w:pPr>
            <w:r>
              <w:rPr>
                <w:color w:val="000000" w:themeColor="text1"/>
                <w14:textFill>
                  <w14:solidFill>
                    <w14:schemeClr w14:val="tx1"/>
                  </w14:solidFill>
                </w14:textFill>
              </w:rPr>
              <w:t>本项目正常排放源</w:t>
            </w:r>
            <w:r>
              <w:rPr>
                <w:color w:val="000000" w:themeColor="text1"/>
                <w14:textFill>
                  <w14:solidFill>
                    <w14:schemeClr w14:val="tx1"/>
                  </w14:solidFill>
                </w14:textFill>
              </w:rPr>
              <w:sym w:font="Wingdings" w:char="F0FE"/>
            </w:r>
          </w:p>
          <w:p w14:paraId="33DFE96E">
            <w:pPr>
              <w:pStyle w:val="109"/>
              <w:rPr>
                <w:color w:val="000000" w:themeColor="text1"/>
                <w14:textFill>
                  <w14:solidFill>
                    <w14:schemeClr w14:val="tx1"/>
                  </w14:solidFill>
                </w14:textFill>
              </w:rPr>
            </w:pPr>
            <w:r>
              <w:rPr>
                <w:color w:val="000000" w:themeColor="text1"/>
                <w14:textFill>
                  <w14:solidFill>
                    <w14:schemeClr w14:val="tx1"/>
                  </w14:solidFill>
                </w14:textFill>
              </w:rPr>
              <w:t>本项目非正常排放源□</w:t>
            </w:r>
          </w:p>
          <w:p w14:paraId="300AEDB0">
            <w:pPr>
              <w:pStyle w:val="109"/>
              <w:rPr>
                <w:color w:val="000000" w:themeColor="text1"/>
                <w14:textFill>
                  <w14:solidFill>
                    <w14:schemeClr w14:val="tx1"/>
                  </w14:solidFill>
                </w14:textFill>
              </w:rPr>
            </w:pPr>
            <w:r>
              <w:rPr>
                <w:color w:val="000000" w:themeColor="text1"/>
                <w14:textFill>
                  <w14:solidFill>
                    <w14:schemeClr w14:val="tx1"/>
                  </w14:solidFill>
                </w14:textFill>
              </w:rPr>
              <w:t>现有排放源□</w:t>
            </w:r>
          </w:p>
        </w:tc>
        <w:tc>
          <w:tcPr>
            <w:tcW w:w="1569" w:type="dxa"/>
            <w:gridSpan w:val="2"/>
            <w:vAlign w:val="center"/>
          </w:tcPr>
          <w:p w14:paraId="2E4D52C7">
            <w:pPr>
              <w:pStyle w:val="109"/>
              <w:rPr>
                <w:color w:val="000000" w:themeColor="text1"/>
                <w14:textFill>
                  <w14:solidFill>
                    <w14:schemeClr w14:val="tx1"/>
                  </w14:solidFill>
                </w14:textFill>
              </w:rPr>
            </w:pPr>
            <w:r>
              <w:rPr>
                <w:color w:val="000000" w:themeColor="text1"/>
                <w14:textFill>
                  <w14:solidFill>
                    <w14:schemeClr w14:val="tx1"/>
                  </w14:solidFill>
                </w14:textFill>
              </w:rPr>
              <w:t>拟替代的污染源□</w:t>
            </w:r>
          </w:p>
        </w:tc>
        <w:tc>
          <w:tcPr>
            <w:tcW w:w="2135" w:type="dxa"/>
            <w:gridSpan w:val="8"/>
            <w:vAlign w:val="center"/>
          </w:tcPr>
          <w:p w14:paraId="676D6DF6">
            <w:pPr>
              <w:pStyle w:val="109"/>
              <w:rPr>
                <w:color w:val="000000" w:themeColor="text1"/>
                <w14:textFill>
                  <w14:solidFill>
                    <w14:schemeClr w14:val="tx1"/>
                  </w14:solidFill>
                </w14:textFill>
              </w:rPr>
            </w:pPr>
            <w:r>
              <w:rPr>
                <w:color w:val="000000" w:themeColor="text1"/>
                <w14:textFill>
                  <w14:solidFill>
                    <w14:schemeClr w14:val="tx1"/>
                  </w14:solidFill>
                </w14:textFill>
              </w:rPr>
              <w:t>其他在建、拟建项目污染源□</w:t>
            </w:r>
          </w:p>
        </w:tc>
        <w:tc>
          <w:tcPr>
            <w:tcW w:w="1692" w:type="dxa"/>
            <w:gridSpan w:val="6"/>
            <w:vAlign w:val="center"/>
          </w:tcPr>
          <w:p w14:paraId="6C20761E">
            <w:pPr>
              <w:pStyle w:val="109"/>
              <w:rPr>
                <w:color w:val="000000" w:themeColor="text1"/>
                <w14:textFill>
                  <w14:solidFill>
                    <w14:schemeClr w14:val="tx1"/>
                  </w14:solidFill>
                </w14:textFill>
              </w:rPr>
            </w:pPr>
            <w:r>
              <w:rPr>
                <w:color w:val="000000" w:themeColor="text1"/>
                <w14:textFill>
                  <w14:solidFill>
                    <w14:schemeClr w14:val="tx1"/>
                  </w14:solidFill>
                </w14:textFill>
              </w:rPr>
              <w:t>区域污染源□</w:t>
            </w:r>
          </w:p>
        </w:tc>
      </w:tr>
      <w:tr w14:paraId="4126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restart"/>
            <w:vAlign w:val="center"/>
          </w:tcPr>
          <w:p w14:paraId="6E22F429">
            <w:pPr>
              <w:pStyle w:val="109"/>
              <w:rPr>
                <w:color w:val="000000" w:themeColor="text1"/>
                <w14:textFill>
                  <w14:solidFill>
                    <w14:schemeClr w14:val="tx1"/>
                  </w14:solidFill>
                </w14:textFill>
              </w:rPr>
            </w:pPr>
            <w:r>
              <w:rPr>
                <w:color w:val="000000" w:themeColor="text1"/>
                <w14:textFill>
                  <w14:solidFill>
                    <w14:schemeClr w14:val="tx1"/>
                  </w14:solidFill>
                </w14:textFill>
              </w:rPr>
              <w:t>大气环境影响预测与评价（二级评价项目不进行进一步预测与评价）</w:t>
            </w:r>
          </w:p>
        </w:tc>
        <w:tc>
          <w:tcPr>
            <w:tcW w:w="1528" w:type="dxa"/>
            <w:vAlign w:val="center"/>
          </w:tcPr>
          <w:p w14:paraId="4DFDBB3C">
            <w:pPr>
              <w:pStyle w:val="109"/>
              <w:rPr>
                <w:color w:val="000000" w:themeColor="text1"/>
                <w14:textFill>
                  <w14:solidFill>
                    <w14:schemeClr w14:val="tx1"/>
                  </w14:solidFill>
                </w14:textFill>
              </w:rPr>
            </w:pPr>
            <w:r>
              <w:rPr>
                <w:color w:val="000000" w:themeColor="text1"/>
                <w14:textFill>
                  <w14:solidFill>
                    <w14:schemeClr w14:val="tx1"/>
                  </w14:solidFill>
                </w14:textFill>
              </w:rPr>
              <w:t>预测模型</w:t>
            </w:r>
          </w:p>
        </w:tc>
        <w:tc>
          <w:tcPr>
            <w:tcW w:w="1254" w:type="dxa"/>
            <w:vAlign w:val="center"/>
          </w:tcPr>
          <w:p w14:paraId="1A04CDD5">
            <w:pPr>
              <w:pStyle w:val="109"/>
              <w:rPr>
                <w:color w:val="000000" w:themeColor="text1"/>
                <w14:textFill>
                  <w14:solidFill>
                    <w14:schemeClr w14:val="tx1"/>
                  </w14:solidFill>
                </w14:textFill>
              </w:rPr>
            </w:pPr>
            <w:r>
              <w:rPr>
                <w:color w:val="000000" w:themeColor="text1"/>
                <w14:textFill>
                  <w14:solidFill>
                    <w14:schemeClr w14:val="tx1"/>
                  </w14:solidFill>
                </w14:textFill>
              </w:rPr>
              <w:t>AERMOD□</w:t>
            </w:r>
          </w:p>
        </w:tc>
        <w:tc>
          <w:tcPr>
            <w:tcW w:w="1005" w:type="dxa"/>
            <w:gridSpan w:val="5"/>
            <w:vAlign w:val="center"/>
          </w:tcPr>
          <w:p w14:paraId="45592079">
            <w:pPr>
              <w:pStyle w:val="109"/>
              <w:rPr>
                <w:color w:val="000000" w:themeColor="text1"/>
                <w14:textFill>
                  <w14:solidFill>
                    <w14:schemeClr w14:val="tx1"/>
                  </w14:solidFill>
                </w14:textFill>
              </w:rPr>
            </w:pPr>
            <w:r>
              <w:rPr>
                <w:color w:val="000000" w:themeColor="text1"/>
                <w14:textFill>
                  <w14:solidFill>
                    <w14:schemeClr w14:val="tx1"/>
                  </w14:solidFill>
                </w14:textFill>
              </w:rPr>
              <w:t>ADMS</w:t>
            </w:r>
          </w:p>
          <w:p w14:paraId="073F8F5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75" w:type="dxa"/>
            <w:gridSpan w:val="3"/>
            <w:vAlign w:val="center"/>
          </w:tcPr>
          <w:p w14:paraId="2C6B8840">
            <w:pPr>
              <w:pStyle w:val="109"/>
              <w:rPr>
                <w:color w:val="000000" w:themeColor="text1"/>
                <w14:textFill>
                  <w14:solidFill>
                    <w14:schemeClr w14:val="tx1"/>
                  </w14:solidFill>
                </w14:textFill>
              </w:rPr>
            </w:pPr>
            <w:r>
              <w:rPr>
                <w:color w:val="000000" w:themeColor="text1"/>
                <w14:textFill>
                  <w14:solidFill>
                    <w14:schemeClr w14:val="tx1"/>
                  </w14:solidFill>
                </w14:textFill>
              </w:rPr>
              <w:t>AUSTAL2000□</w:t>
            </w:r>
          </w:p>
        </w:tc>
        <w:tc>
          <w:tcPr>
            <w:tcW w:w="995" w:type="dxa"/>
            <w:gridSpan w:val="4"/>
            <w:vAlign w:val="center"/>
          </w:tcPr>
          <w:p w14:paraId="3456D232">
            <w:pPr>
              <w:pStyle w:val="109"/>
              <w:rPr>
                <w:color w:val="000000" w:themeColor="text1"/>
                <w14:textFill>
                  <w14:solidFill>
                    <w14:schemeClr w14:val="tx1"/>
                  </w14:solidFill>
                </w14:textFill>
              </w:rPr>
            </w:pPr>
            <w:r>
              <w:rPr>
                <w:color w:val="000000" w:themeColor="text1"/>
                <w14:textFill>
                  <w14:solidFill>
                    <w14:schemeClr w14:val="tx1"/>
                  </w14:solidFill>
                </w14:textFill>
              </w:rPr>
              <w:t>EDMS/AEDT□</w:t>
            </w:r>
          </w:p>
        </w:tc>
        <w:tc>
          <w:tcPr>
            <w:tcW w:w="1276" w:type="dxa"/>
            <w:gridSpan w:val="4"/>
            <w:vAlign w:val="center"/>
          </w:tcPr>
          <w:p w14:paraId="01CAA4EE">
            <w:pPr>
              <w:pStyle w:val="109"/>
              <w:rPr>
                <w:color w:val="000000" w:themeColor="text1"/>
                <w14:textFill>
                  <w14:solidFill>
                    <w14:schemeClr w14:val="tx1"/>
                  </w14:solidFill>
                </w14:textFill>
              </w:rPr>
            </w:pPr>
            <w:r>
              <w:rPr>
                <w:color w:val="000000" w:themeColor="text1"/>
                <w14:textFill>
                  <w14:solidFill>
                    <w14:schemeClr w14:val="tx1"/>
                  </w14:solidFill>
                </w14:textFill>
              </w:rPr>
              <w:t>CALPUFF□</w:t>
            </w:r>
          </w:p>
        </w:tc>
        <w:tc>
          <w:tcPr>
            <w:tcW w:w="997" w:type="dxa"/>
            <w:gridSpan w:val="3"/>
            <w:vAlign w:val="center"/>
          </w:tcPr>
          <w:p w14:paraId="5625ECFE">
            <w:pPr>
              <w:pStyle w:val="109"/>
              <w:rPr>
                <w:color w:val="000000" w:themeColor="text1"/>
                <w14:textFill>
                  <w14:solidFill>
                    <w14:schemeClr w14:val="tx1"/>
                  </w14:solidFill>
                </w14:textFill>
              </w:rPr>
            </w:pPr>
            <w:r>
              <w:rPr>
                <w:color w:val="000000" w:themeColor="text1"/>
                <w14:textFill>
                  <w14:solidFill>
                    <w14:schemeClr w14:val="tx1"/>
                  </w14:solidFill>
                </w14:textFill>
              </w:rPr>
              <w:t>网络模型□</w:t>
            </w:r>
          </w:p>
        </w:tc>
        <w:tc>
          <w:tcPr>
            <w:tcW w:w="553" w:type="dxa"/>
            <w:gridSpan w:val="2"/>
            <w:vAlign w:val="center"/>
          </w:tcPr>
          <w:p w14:paraId="08019E67">
            <w:pPr>
              <w:pStyle w:val="109"/>
              <w:rPr>
                <w:color w:val="000000" w:themeColor="text1"/>
                <w14:textFill>
                  <w14:solidFill>
                    <w14:schemeClr w14:val="tx1"/>
                  </w14:solidFill>
                </w14:textFill>
              </w:rPr>
            </w:pPr>
            <w:r>
              <w:rPr>
                <w:color w:val="000000" w:themeColor="text1"/>
                <w14:textFill>
                  <w14:solidFill>
                    <w14:schemeClr w14:val="tx1"/>
                  </w14:solidFill>
                </w14:textFill>
              </w:rPr>
              <w:t>其他□</w:t>
            </w:r>
          </w:p>
        </w:tc>
      </w:tr>
      <w:tr w14:paraId="0CB0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7C844033">
            <w:pPr>
              <w:pStyle w:val="109"/>
              <w:rPr>
                <w:color w:val="000000" w:themeColor="text1"/>
                <w14:textFill>
                  <w14:solidFill>
                    <w14:schemeClr w14:val="tx1"/>
                  </w14:solidFill>
                </w14:textFill>
              </w:rPr>
            </w:pPr>
          </w:p>
        </w:tc>
        <w:tc>
          <w:tcPr>
            <w:tcW w:w="1528" w:type="dxa"/>
            <w:vAlign w:val="center"/>
          </w:tcPr>
          <w:p w14:paraId="789FD9B6">
            <w:pPr>
              <w:pStyle w:val="109"/>
              <w:rPr>
                <w:color w:val="000000" w:themeColor="text1"/>
                <w14:textFill>
                  <w14:solidFill>
                    <w14:schemeClr w14:val="tx1"/>
                  </w14:solidFill>
                </w14:textFill>
              </w:rPr>
            </w:pPr>
            <w:r>
              <w:rPr>
                <w:color w:val="000000" w:themeColor="text1"/>
                <w14:textFill>
                  <w14:solidFill>
                    <w14:schemeClr w14:val="tx1"/>
                  </w14:solidFill>
                </w14:textFill>
              </w:rPr>
              <w:t>预测范围</w:t>
            </w:r>
          </w:p>
        </w:tc>
        <w:tc>
          <w:tcPr>
            <w:tcW w:w="2259" w:type="dxa"/>
            <w:gridSpan w:val="6"/>
            <w:vAlign w:val="center"/>
          </w:tcPr>
          <w:p w14:paraId="27701E9E">
            <w:pPr>
              <w:pStyle w:val="109"/>
              <w:rPr>
                <w:color w:val="000000" w:themeColor="text1"/>
                <w14:textFill>
                  <w14:solidFill>
                    <w14:schemeClr w14:val="tx1"/>
                  </w14:solidFill>
                </w14:textFill>
              </w:rPr>
            </w:pPr>
            <w:r>
              <w:rPr>
                <w:color w:val="000000" w:themeColor="text1"/>
                <w14:textFill>
                  <w14:solidFill>
                    <w14:schemeClr w14:val="tx1"/>
                  </w14:solidFill>
                </w14:textFill>
              </w:rPr>
              <w:t>边长≥50km□</w:t>
            </w:r>
          </w:p>
        </w:tc>
        <w:tc>
          <w:tcPr>
            <w:tcW w:w="2570" w:type="dxa"/>
            <w:gridSpan w:val="7"/>
            <w:vAlign w:val="center"/>
          </w:tcPr>
          <w:p w14:paraId="135364D9">
            <w:pPr>
              <w:pStyle w:val="109"/>
              <w:rPr>
                <w:color w:val="000000" w:themeColor="text1"/>
                <w14:textFill>
                  <w14:solidFill>
                    <w14:schemeClr w14:val="tx1"/>
                  </w14:solidFill>
                </w14:textFill>
              </w:rPr>
            </w:pPr>
            <w:r>
              <w:rPr>
                <w:color w:val="000000" w:themeColor="text1"/>
                <w14:textFill>
                  <w14:solidFill>
                    <w14:schemeClr w14:val="tx1"/>
                  </w14:solidFill>
                </w14:textFill>
              </w:rPr>
              <w:t>边长5~50km□</w:t>
            </w:r>
          </w:p>
        </w:tc>
        <w:tc>
          <w:tcPr>
            <w:tcW w:w="2826" w:type="dxa"/>
            <w:gridSpan w:val="9"/>
            <w:vAlign w:val="center"/>
          </w:tcPr>
          <w:p w14:paraId="01509D52">
            <w:pPr>
              <w:pStyle w:val="109"/>
              <w:rPr>
                <w:color w:val="000000" w:themeColor="text1"/>
                <w14:textFill>
                  <w14:solidFill>
                    <w14:schemeClr w14:val="tx1"/>
                  </w14:solidFill>
                </w14:textFill>
              </w:rPr>
            </w:pPr>
            <w:r>
              <w:rPr>
                <w:color w:val="000000" w:themeColor="text1"/>
                <w14:textFill>
                  <w14:solidFill>
                    <w14:schemeClr w14:val="tx1"/>
                  </w14:solidFill>
                </w14:textFill>
              </w:rPr>
              <w:t>边长=5km</w:t>
            </w:r>
          </w:p>
        </w:tc>
      </w:tr>
      <w:tr w14:paraId="6955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 w:type="dxa"/>
          <w:trHeight w:val="340" w:hRule="atLeast"/>
          <w:jc w:val="center"/>
        </w:trPr>
        <w:tc>
          <w:tcPr>
            <w:tcW w:w="732" w:type="dxa"/>
            <w:vMerge w:val="continue"/>
            <w:vAlign w:val="center"/>
          </w:tcPr>
          <w:p w14:paraId="5809EF15">
            <w:pPr>
              <w:pStyle w:val="109"/>
              <w:rPr>
                <w:color w:val="000000" w:themeColor="text1"/>
                <w14:textFill>
                  <w14:solidFill>
                    <w14:schemeClr w14:val="tx1"/>
                  </w14:solidFill>
                </w14:textFill>
              </w:rPr>
            </w:pPr>
          </w:p>
        </w:tc>
        <w:tc>
          <w:tcPr>
            <w:tcW w:w="1528" w:type="dxa"/>
            <w:vAlign w:val="center"/>
          </w:tcPr>
          <w:p w14:paraId="1025DAAD">
            <w:pPr>
              <w:pStyle w:val="109"/>
              <w:rPr>
                <w:color w:val="000000" w:themeColor="text1"/>
                <w14:textFill>
                  <w14:solidFill>
                    <w14:schemeClr w14:val="tx1"/>
                  </w14:solidFill>
                </w14:textFill>
              </w:rPr>
            </w:pPr>
            <w:r>
              <w:rPr>
                <w:color w:val="000000" w:themeColor="text1"/>
                <w14:textFill>
                  <w14:solidFill>
                    <w14:schemeClr w14:val="tx1"/>
                  </w14:solidFill>
                </w14:textFill>
              </w:rPr>
              <w:t>预测因子</w:t>
            </w:r>
          </w:p>
        </w:tc>
        <w:tc>
          <w:tcPr>
            <w:tcW w:w="4395" w:type="dxa"/>
            <w:gridSpan w:val="11"/>
            <w:vAlign w:val="center"/>
          </w:tcPr>
          <w:p w14:paraId="1742D925">
            <w:pPr>
              <w:pStyle w:val="109"/>
              <w:rPr>
                <w:color w:val="000000" w:themeColor="text1"/>
                <w14:textFill>
                  <w14:solidFill>
                    <w14:schemeClr w14:val="tx1"/>
                  </w14:solidFill>
                </w14:textFill>
              </w:rPr>
            </w:pPr>
            <w:r>
              <w:rPr>
                <w:color w:val="000000" w:themeColor="text1"/>
                <w14:textFill>
                  <w14:solidFill>
                    <w14:schemeClr w14:val="tx1"/>
                  </w14:solidFill>
                </w14:textFill>
              </w:rPr>
              <w:t>预测因子（）</w:t>
            </w:r>
          </w:p>
        </w:tc>
        <w:tc>
          <w:tcPr>
            <w:tcW w:w="3251" w:type="dxa"/>
            <w:gridSpan w:val="10"/>
            <w:vAlign w:val="center"/>
          </w:tcPr>
          <w:p w14:paraId="7A91200D">
            <w:pPr>
              <w:pStyle w:val="109"/>
              <w:rPr>
                <w:color w:val="000000" w:themeColor="text1"/>
                <w14:textFill>
                  <w14:solidFill>
                    <w14:schemeClr w14:val="tx1"/>
                  </w14:solidFill>
                </w14:textFill>
              </w:rPr>
            </w:pPr>
            <w:r>
              <w:rPr>
                <w:color w:val="000000" w:themeColor="text1"/>
                <w14:textFill>
                  <w14:solidFill>
                    <w14:schemeClr w14:val="tx1"/>
                  </w14:solidFill>
                </w14:textFill>
              </w:rPr>
              <w:t>包括二次PM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w:t>
            </w:r>
          </w:p>
          <w:p w14:paraId="2C879B18">
            <w:pPr>
              <w:pStyle w:val="109"/>
              <w:rPr>
                <w:color w:val="000000" w:themeColor="text1"/>
                <w14:textFill>
                  <w14:solidFill>
                    <w14:schemeClr w14:val="tx1"/>
                  </w14:solidFill>
                </w14:textFill>
              </w:rPr>
            </w:pPr>
            <w:r>
              <w:rPr>
                <w:color w:val="000000" w:themeColor="text1"/>
                <w14:textFill>
                  <w14:solidFill>
                    <w14:schemeClr w14:val="tx1"/>
                  </w14:solidFill>
                </w14:textFill>
              </w:rPr>
              <w:t>不包括二次PM</w:t>
            </w:r>
            <w:r>
              <w:rPr>
                <w:color w:val="000000" w:themeColor="text1"/>
                <w:vertAlign w:val="subscript"/>
                <w14:textFill>
                  <w14:solidFill>
                    <w14:schemeClr w14:val="tx1"/>
                  </w14:solidFill>
                </w14:textFill>
              </w:rPr>
              <w:t>2.5</w:t>
            </w:r>
          </w:p>
        </w:tc>
      </w:tr>
      <w:tr w14:paraId="4567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 w:type="dxa"/>
          <w:trHeight w:val="340" w:hRule="atLeast"/>
          <w:jc w:val="center"/>
        </w:trPr>
        <w:tc>
          <w:tcPr>
            <w:tcW w:w="732" w:type="dxa"/>
            <w:vMerge w:val="continue"/>
            <w:vAlign w:val="center"/>
          </w:tcPr>
          <w:p w14:paraId="178DF80A">
            <w:pPr>
              <w:pStyle w:val="109"/>
              <w:rPr>
                <w:color w:val="000000" w:themeColor="text1"/>
                <w14:textFill>
                  <w14:solidFill>
                    <w14:schemeClr w14:val="tx1"/>
                  </w14:solidFill>
                </w14:textFill>
              </w:rPr>
            </w:pPr>
          </w:p>
        </w:tc>
        <w:tc>
          <w:tcPr>
            <w:tcW w:w="1528" w:type="dxa"/>
            <w:vAlign w:val="center"/>
          </w:tcPr>
          <w:p w14:paraId="3C716855">
            <w:pPr>
              <w:pStyle w:val="109"/>
              <w:rPr>
                <w:color w:val="000000" w:themeColor="text1"/>
                <w14:textFill>
                  <w14:solidFill>
                    <w14:schemeClr w14:val="tx1"/>
                  </w14:solidFill>
                </w14:textFill>
              </w:rPr>
            </w:pPr>
            <w:r>
              <w:rPr>
                <w:color w:val="000000" w:themeColor="text1"/>
                <w14:textFill>
                  <w14:solidFill>
                    <w14:schemeClr w14:val="tx1"/>
                  </w14:solidFill>
                </w14:textFill>
              </w:rPr>
              <w:t>正常排放短期浓度贡献值</w:t>
            </w:r>
          </w:p>
        </w:tc>
        <w:tc>
          <w:tcPr>
            <w:tcW w:w="4395" w:type="dxa"/>
            <w:gridSpan w:val="11"/>
            <w:vAlign w:val="center"/>
          </w:tcPr>
          <w:p w14:paraId="65BC5068">
            <w:pPr>
              <w:pStyle w:val="109"/>
              <w:rPr>
                <w:color w:val="000000" w:themeColor="text1"/>
                <w14:textFill>
                  <w14:solidFill>
                    <w14:schemeClr w14:val="tx1"/>
                  </w14:solidFill>
                </w14:textFill>
              </w:rPr>
            </w:pPr>
            <w:r>
              <w:rPr>
                <w:color w:val="000000" w:themeColor="text1"/>
                <w14:textFill>
                  <w14:solidFill>
                    <w14:schemeClr w14:val="tx1"/>
                  </w14:solidFill>
                </w14:textFill>
              </w:rPr>
              <w:t>C本项目最大占标率≤100%□</w:t>
            </w:r>
          </w:p>
        </w:tc>
        <w:tc>
          <w:tcPr>
            <w:tcW w:w="3251" w:type="dxa"/>
            <w:gridSpan w:val="10"/>
            <w:vAlign w:val="center"/>
          </w:tcPr>
          <w:p w14:paraId="04658339">
            <w:pPr>
              <w:pStyle w:val="109"/>
              <w:rPr>
                <w:color w:val="000000" w:themeColor="text1"/>
                <w14:textFill>
                  <w14:solidFill>
                    <w14:schemeClr w14:val="tx1"/>
                  </w14:solidFill>
                </w14:textFill>
              </w:rPr>
            </w:pPr>
            <w:r>
              <w:rPr>
                <w:color w:val="000000" w:themeColor="text1"/>
                <w14:textFill>
                  <w14:solidFill>
                    <w14:schemeClr w14:val="tx1"/>
                  </w14:solidFill>
                </w14:textFill>
              </w:rPr>
              <w:t>C本项目最大占标率＞100%□</w:t>
            </w:r>
          </w:p>
        </w:tc>
      </w:tr>
      <w:tr w14:paraId="505F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 w:type="dxa"/>
          <w:trHeight w:val="340" w:hRule="atLeast"/>
          <w:jc w:val="center"/>
        </w:trPr>
        <w:tc>
          <w:tcPr>
            <w:tcW w:w="732" w:type="dxa"/>
            <w:vMerge w:val="continue"/>
            <w:vAlign w:val="center"/>
          </w:tcPr>
          <w:p w14:paraId="3892FE77">
            <w:pPr>
              <w:pStyle w:val="109"/>
              <w:rPr>
                <w:color w:val="000000" w:themeColor="text1"/>
                <w14:textFill>
                  <w14:solidFill>
                    <w14:schemeClr w14:val="tx1"/>
                  </w14:solidFill>
                </w14:textFill>
              </w:rPr>
            </w:pPr>
          </w:p>
        </w:tc>
        <w:tc>
          <w:tcPr>
            <w:tcW w:w="1528" w:type="dxa"/>
            <w:vMerge w:val="restart"/>
            <w:vAlign w:val="center"/>
          </w:tcPr>
          <w:p w14:paraId="7A38FB6F">
            <w:pPr>
              <w:pStyle w:val="109"/>
              <w:rPr>
                <w:color w:val="000000" w:themeColor="text1"/>
                <w14:textFill>
                  <w14:solidFill>
                    <w14:schemeClr w14:val="tx1"/>
                  </w14:solidFill>
                </w14:textFill>
              </w:rPr>
            </w:pPr>
            <w:r>
              <w:rPr>
                <w:color w:val="000000" w:themeColor="text1"/>
                <w14:textFill>
                  <w14:solidFill>
                    <w14:schemeClr w14:val="tx1"/>
                  </w14:solidFill>
                </w14:textFill>
              </w:rPr>
              <w:t>正常排放年均浓度贡献值</w:t>
            </w:r>
          </w:p>
        </w:tc>
        <w:tc>
          <w:tcPr>
            <w:tcW w:w="1313" w:type="dxa"/>
            <w:gridSpan w:val="2"/>
            <w:vAlign w:val="center"/>
          </w:tcPr>
          <w:p w14:paraId="7712DA37">
            <w:pPr>
              <w:pStyle w:val="109"/>
              <w:rPr>
                <w:color w:val="000000" w:themeColor="text1"/>
                <w14:textFill>
                  <w14:solidFill>
                    <w14:schemeClr w14:val="tx1"/>
                  </w14:solidFill>
                </w14:textFill>
              </w:rPr>
            </w:pPr>
            <w:r>
              <w:rPr>
                <w:color w:val="000000" w:themeColor="text1"/>
                <w14:textFill>
                  <w14:solidFill>
                    <w14:schemeClr w14:val="tx1"/>
                  </w14:solidFill>
                </w14:textFill>
              </w:rPr>
              <w:t>一类区</w:t>
            </w:r>
          </w:p>
        </w:tc>
        <w:tc>
          <w:tcPr>
            <w:tcW w:w="3082" w:type="dxa"/>
            <w:gridSpan w:val="9"/>
            <w:vAlign w:val="center"/>
          </w:tcPr>
          <w:p w14:paraId="294A6ACA">
            <w:pPr>
              <w:pStyle w:val="109"/>
              <w:rPr>
                <w:color w:val="000000" w:themeColor="text1"/>
                <w14:textFill>
                  <w14:solidFill>
                    <w14:schemeClr w14:val="tx1"/>
                  </w14:solidFill>
                </w14:textFill>
              </w:rPr>
            </w:pPr>
            <w:r>
              <w:rPr>
                <w:color w:val="000000" w:themeColor="text1"/>
                <w14:textFill>
                  <w14:solidFill>
                    <w14:schemeClr w14:val="tx1"/>
                  </w14:solidFill>
                </w14:textFill>
              </w:rPr>
              <w:t>C本项目最大占标率≤10%□</w:t>
            </w:r>
          </w:p>
        </w:tc>
        <w:tc>
          <w:tcPr>
            <w:tcW w:w="3251" w:type="dxa"/>
            <w:gridSpan w:val="10"/>
            <w:vAlign w:val="center"/>
          </w:tcPr>
          <w:p w14:paraId="26EF9622">
            <w:pPr>
              <w:pStyle w:val="109"/>
              <w:rPr>
                <w:color w:val="000000" w:themeColor="text1"/>
                <w14:textFill>
                  <w14:solidFill>
                    <w14:schemeClr w14:val="tx1"/>
                  </w14:solidFill>
                </w14:textFill>
              </w:rPr>
            </w:pPr>
            <w:r>
              <w:rPr>
                <w:color w:val="000000" w:themeColor="text1"/>
                <w14:textFill>
                  <w14:solidFill>
                    <w14:schemeClr w14:val="tx1"/>
                  </w14:solidFill>
                </w14:textFill>
              </w:rPr>
              <w:t>C本项目最大占标率＞10%□</w:t>
            </w:r>
          </w:p>
        </w:tc>
      </w:tr>
      <w:tr w14:paraId="450F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 w:type="dxa"/>
          <w:trHeight w:val="340" w:hRule="atLeast"/>
          <w:jc w:val="center"/>
        </w:trPr>
        <w:tc>
          <w:tcPr>
            <w:tcW w:w="732" w:type="dxa"/>
            <w:vMerge w:val="continue"/>
            <w:vAlign w:val="center"/>
          </w:tcPr>
          <w:p w14:paraId="77D2FFCE">
            <w:pPr>
              <w:pStyle w:val="109"/>
              <w:rPr>
                <w:color w:val="000000" w:themeColor="text1"/>
                <w14:textFill>
                  <w14:solidFill>
                    <w14:schemeClr w14:val="tx1"/>
                  </w14:solidFill>
                </w14:textFill>
              </w:rPr>
            </w:pPr>
          </w:p>
        </w:tc>
        <w:tc>
          <w:tcPr>
            <w:tcW w:w="1528" w:type="dxa"/>
            <w:vMerge w:val="continue"/>
            <w:vAlign w:val="center"/>
          </w:tcPr>
          <w:p w14:paraId="74AC8BB3">
            <w:pPr>
              <w:pStyle w:val="109"/>
              <w:rPr>
                <w:color w:val="000000" w:themeColor="text1"/>
                <w14:textFill>
                  <w14:solidFill>
                    <w14:schemeClr w14:val="tx1"/>
                  </w14:solidFill>
                </w14:textFill>
              </w:rPr>
            </w:pPr>
          </w:p>
        </w:tc>
        <w:tc>
          <w:tcPr>
            <w:tcW w:w="1313" w:type="dxa"/>
            <w:gridSpan w:val="2"/>
            <w:vAlign w:val="center"/>
          </w:tcPr>
          <w:p w14:paraId="1A785AA0">
            <w:pPr>
              <w:pStyle w:val="109"/>
              <w:rPr>
                <w:color w:val="000000" w:themeColor="text1"/>
                <w14:textFill>
                  <w14:solidFill>
                    <w14:schemeClr w14:val="tx1"/>
                  </w14:solidFill>
                </w14:textFill>
              </w:rPr>
            </w:pPr>
            <w:r>
              <w:rPr>
                <w:color w:val="000000" w:themeColor="text1"/>
                <w14:textFill>
                  <w14:solidFill>
                    <w14:schemeClr w14:val="tx1"/>
                  </w14:solidFill>
                </w14:textFill>
              </w:rPr>
              <w:t>二类区</w:t>
            </w:r>
          </w:p>
        </w:tc>
        <w:tc>
          <w:tcPr>
            <w:tcW w:w="3082" w:type="dxa"/>
            <w:gridSpan w:val="9"/>
            <w:vAlign w:val="center"/>
          </w:tcPr>
          <w:p w14:paraId="163964B3">
            <w:pPr>
              <w:pStyle w:val="109"/>
              <w:rPr>
                <w:color w:val="000000" w:themeColor="text1"/>
                <w14:textFill>
                  <w14:solidFill>
                    <w14:schemeClr w14:val="tx1"/>
                  </w14:solidFill>
                </w14:textFill>
              </w:rPr>
            </w:pPr>
            <w:r>
              <w:rPr>
                <w:color w:val="000000" w:themeColor="text1"/>
                <w14:textFill>
                  <w14:solidFill>
                    <w14:schemeClr w14:val="tx1"/>
                  </w14:solidFill>
                </w14:textFill>
              </w:rPr>
              <w:t>C本项目最大占标率≤30%□</w:t>
            </w:r>
          </w:p>
        </w:tc>
        <w:tc>
          <w:tcPr>
            <w:tcW w:w="3251" w:type="dxa"/>
            <w:gridSpan w:val="10"/>
            <w:vAlign w:val="center"/>
          </w:tcPr>
          <w:p w14:paraId="32D8DFD3">
            <w:pPr>
              <w:pStyle w:val="109"/>
              <w:rPr>
                <w:color w:val="000000" w:themeColor="text1"/>
                <w14:textFill>
                  <w14:solidFill>
                    <w14:schemeClr w14:val="tx1"/>
                  </w14:solidFill>
                </w14:textFill>
              </w:rPr>
            </w:pPr>
            <w:r>
              <w:rPr>
                <w:color w:val="000000" w:themeColor="text1"/>
                <w14:textFill>
                  <w14:solidFill>
                    <w14:schemeClr w14:val="tx1"/>
                  </w14:solidFill>
                </w14:textFill>
              </w:rPr>
              <w:t>C本项目最大占标率＞30%□</w:t>
            </w:r>
          </w:p>
        </w:tc>
      </w:tr>
      <w:tr w14:paraId="2F4D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8" w:type="dxa"/>
          <w:trHeight w:val="340" w:hRule="atLeast"/>
          <w:jc w:val="center"/>
        </w:trPr>
        <w:tc>
          <w:tcPr>
            <w:tcW w:w="732" w:type="dxa"/>
            <w:vMerge w:val="continue"/>
            <w:vAlign w:val="center"/>
          </w:tcPr>
          <w:p w14:paraId="7C2FB765">
            <w:pPr>
              <w:pStyle w:val="109"/>
              <w:rPr>
                <w:color w:val="000000" w:themeColor="text1"/>
                <w14:textFill>
                  <w14:solidFill>
                    <w14:schemeClr w14:val="tx1"/>
                  </w14:solidFill>
                </w14:textFill>
              </w:rPr>
            </w:pPr>
          </w:p>
        </w:tc>
        <w:tc>
          <w:tcPr>
            <w:tcW w:w="1528" w:type="dxa"/>
            <w:vAlign w:val="center"/>
          </w:tcPr>
          <w:p w14:paraId="4D9B8684">
            <w:pPr>
              <w:pStyle w:val="109"/>
              <w:rPr>
                <w:color w:val="000000" w:themeColor="text1"/>
                <w14:textFill>
                  <w14:solidFill>
                    <w14:schemeClr w14:val="tx1"/>
                  </w14:solidFill>
                </w14:textFill>
              </w:rPr>
            </w:pPr>
            <w:r>
              <w:rPr>
                <w:color w:val="000000" w:themeColor="text1"/>
                <w14:textFill>
                  <w14:solidFill>
                    <w14:schemeClr w14:val="tx1"/>
                  </w14:solidFill>
                </w14:textFill>
              </w:rPr>
              <w:t>非正常排放1h浓度贡献值</w:t>
            </w:r>
          </w:p>
        </w:tc>
        <w:tc>
          <w:tcPr>
            <w:tcW w:w="1313" w:type="dxa"/>
            <w:gridSpan w:val="2"/>
            <w:vAlign w:val="center"/>
          </w:tcPr>
          <w:p w14:paraId="62845449">
            <w:pPr>
              <w:pStyle w:val="109"/>
              <w:rPr>
                <w:color w:val="000000" w:themeColor="text1"/>
                <w14:textFill>
                  <w14:solidFill>
                    <w14:schemeClr w14:val="tx1"/>
                  </w14:solidFill>
                </w14:textFill>
              </w:rPr>
            </w:pPr>
            <w:r>
              <w:rPr>
                <w:color w:val="000000" w:themeColor="text1"/>
                <w14:textFill>
                  <w14:solidFill>
                    <w14:schemeClr w14:val="tx1"/>
                  </w14:solidFill>
                </w14:textFill>
              </w:rPr>
              <w:t>非正常持续时长（）h</w:t>
            </w:r>
          </w:p>
        </w:tc>
        <w:tc>
          <w:tcPr>
            <w:tcW w:w="3082" w:type="dxa"/>
            <w:gridSpan w:val="9"/>
            <w:vAlign w:val="center"/>
          </w:tcPr>
          <w:p w14:paraId="09A268A9">
            <w:pPr>
              <w:pStyle w:val="109"/>
              <w:rPr>
                <w:color w:val="000000" w:themeColor="text1"/>
                <w14:textFill>
                  <w14:solidFill>
                    <w14:schemeClr w14:val="tx1"/>
                  </w14:solidFill>
                </w14:textFill>
              </w:rPr>
            </w:pPr>
            <w:r>
              <w:rPr>
                <w:color w:val="000000" w:themeColor="text1"/>
                <w14:textFill>
                  <w14:solidFill>
                    <w14:schemeClr w14:val="tx1"/>
                  </w14:solidFill>
                </w14:textFill>
              </w:rPr>
              <w:t>C非正常最大占标率≤100%□</w:t>
            </w:r>
          </w:p>
        </w:tc>
        <w:tc>
          <w:tcPr>
            <w:tcW w:w="3251" w:type="dxa"/>
            <w:gridSpan w:val="10"/>
            <w:vAlign w:val="center"/>
          </w:tcPr>
          <w:p w14:paraId="3695E3B4">
            <w:pPr>
              <w:pStyle w:val="109"/>
              <w:rPr>
                <w:color w:val="000000" w:themeColor="text1"/>
                <w14:textFill>
                  <w14:solidFill>
                    <w14:schemeClr w14:val="tx1"/>
                  </w14:solidFill>
                </w14:textFill>
              </w:rPr>
            </w:pPr>
            <w:r>
              <w:rPr>
                <w:color w:val="000000" w:themeColor="text1"/>
                <w14:textFill>
                  <w14:solidFill>
                    <w14:schemeClr w14:val="tx1"/>
                  </w14:solidFill>
                </w14:textFill>
              </w:rPr>
              <w:t>C非正常最大占标率＞100%□</w:t>
            </w:r>
          </w:p>
        </w:tc>
      </w:tr>
      <w:tr w14:paraId="0EEF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3F069A92">
            <w:pPr>
              <w:pStyle w:val="109"/>
              <w:rPr>
                <w:color w:val="000000" w:themeColor="text1"/>
                <w14:textFill>
                  <w14:solidFill>
                    <w14:schemeClr w14:val="tx1"/>
                  </w14:solidFill>
                </w14:textFill>
              </w:rPr>
            </w:pPr>
          </w:p>
        </w:tc>
        <w:tc>
          <w:tcPr>
            <w:tcW w:w="1528" w:type="dxa"/>
            <w:vAlign w:val="center"/>
          </w:tcPr>
          <w:p w14:paraId="7B649652">
            <w:pPr>
              <w:pStyle w:val="109"/>
              <w:rPr>
                <w:color w:val="000000" w:themeColor="text1"/>
                <w14:textFill>
                  <w14:solidFill>
                    <w14:schemeClr w14:val="tx1"/>
                  </w14:solidFill>
                </w14:textFill>
              </w:rPr>
            </w:pPr>
            <w:r>
              <w:rPr>
                <w:color w:val="000000" w:themeColor="text1"/>
                <w14:textFill>
                  <w14:solidFill>
                    <w14:schemeClr w14:val="tx1"/>
                  </w14:solidFill>
                </w14:textFill>
              </w:rPr>
              <w:t>保证率日平均浓度和年平均浓度叠加值</w:t>
            </w:r>
          </w:p>
        </w:tc>
        <w:tc>
          <w:tcPr>
            <w:tcW w:w="3828" w:type="dxa"/>
            <w:gridSpan w:val="8"/>
            <w:vAlign w:val="center"/>
          </w:tcPr>
          <w:p w14:paraId="5CE7CC56">
            <w:pPr>
              <w:pStyle w:val="109"/>
              <w:rPr>
                <w:color w:val="000000" w:themeColor="text1"/>
                <w14:textFill>
                  <w14:solidFill>
                    <w14:schemeClr w14:val="tx1"/>
                  </w14:solidFill>
                </w14:textFill>
              </w:rPr>
            </w:pPr>
            <w:r>
              <w:rPr>
                <w:color w:val="000000" w:themeColor="text1"/>
                <w14:textFill>
                  <w14:solidFill>
                    <w14:schemeClr w14:val="tx1"/>
                  </w14:solidFill>
                </w14:textFill>
              </w:rPr>
              <w:t>C叠加达标□</w:t>
            </w:r>
          </w:p>
        </w:tc>
        <w:tc>
          <w:tcPr>
            <w:tcW w:w="3827" w:type="dxa"/>
            <w:gridSpan w:val="14"/>
            <w:vAlign w:val="center"/>
          </w:tcPr>
          <w:p w14:paraId="4396E585">
            <w:pPr>
              <w:pStyle w:val="109"/>
              <w:rPr>
                <w:color w:val="000000" w:themeColor="text1"/>
                <w14:textFill>
                  <w14:solidFill>
                    <w14:schemeClr w14:val="tx1"/>
                  </w14:solidFill>
                </w14:textFill>
              </w:rPr>
            </w:pPr>
            <w:r>
              <w:rPr>
                <w:color w:val="000000" w:themeColor="text1"/>
                <w14:textFill>
                  <w14:solidFill>
                    <w14:schemeClr w14:val="tx1"/>
                  </w14:solidFill>
                </w14:textFill>
              </w:rPr>
              <w:t>C叠加不达标□</w:t>
            </w:r>
          </w:p>
        </w:tc>
      </w:tr>
      <w:tr w14:paraId="294C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26DD2937">
            <w:pPr>
              <w:pStyle w:val="109"/>
              <w:rPr>
                <w:color w:val="000000" w:themeColor="text1"/>
                <w14:textFill>
                  <w14:solidFill>
                    <w14:schemeClr w14:val="tx1"/>
                  </w14:solidFill>
                </w14:textFill>
              </w:rPr>
            </w:pPr>
          </w:p>
        </w:tc>
        <w:tc>
          <w:tcPr>
            <w:tcW w:w="1528" w:type="dxa"/>
            <w:vAlign w:val="center"/>
          </w:tcPr>
          <w:p w14:paraId="0D82E2AC">
            <w:pPr>
              <w:pStyle w:val="109"/>
              <w:rPr>
                <w:color w:val="000000" w:themeColor="text1"/>
                <w14:textFill>
                  <w14:solidFill>
                    <w14:schemeClr w14:val="tx1"/>
                  </w14:solidFill>
                </w14:textFill>
              </w:rPr>
            </w:pPr>
            <w:r>
              <w:rPr>
                <w:color w:val="000000" w:themeColor="text1"/>
                <w14:textFill>
                  <w14:solidFill>
                    <w14:schemeClr w14:val="tx1"/>
                  </w14:solidFill>
                </w14:textFill>
              </w:rPr>
              <w:t>区域环境质量的整体变化</w:t>
            </w:r>
          </w:p>
        </w:tc>
        <w:tc>
          <w:tcPr>
            <w:tcW w:w="3828" w:type="dxa"/>
            <w:gridSpan w:val="8"/>
            <w:vAlign w:val="center"/>
          </w:tcPr>
          <w:p w14:paraId="713EA318">
            <w:pPr>
              <w:pStyle w:val="109"/>
              <w:rPr>
                <w:color w:val="000000" w:themeColor="text1"/>
                <w14:textFill>
                  <w14:solidFill>
                    <w14:schemeClr w14:val="tx1"/>
                  </w14:solidFill>
                </w14:textFill>
              </w:rPr>
            </w:pPr>
            <w:r>
              <w:rPr>
                <w:color w:val="000000" w:themeColor="text1"/>
                <w14:textFill>
                  <w14:solidFill>
                    <w14:schemeClr w14:val="tx1"/>
                  </w14:solidFill>
                </w14:textFill>
              </w:rPr>
              <w:t>K≤-20%□</w:t>
            </w:r>
          </w:p>
        </w:tc>
        <w:tc>
          <w:tcPr>
            <w:tcW w:w="3827" w:type="dxa"/>
            <w:gridSpan w:val="14"/>
            <w:vAlign w:val="center"/>
          </w:tcPr>
          <w:p w14:paraId="0B03BBEB">
            <w:pPr>
              <w:pStyle w:val="109"/>
              <w:rPr>
                <w:color w:val="000000" w:themeColor="text1"/>
                <w14:textFill>
                  <w14:solidFill>
                    <w14:schemeClr w14:val="tx1"/>
                  </w14:solidFill>
                </w14:textFill>
              </w:rPr>
            </w:pPr>
            <w:r>
              <w:rPr>
                <w:color w:val="000000" w:themeColor="text1"/>
                <w14:textFill>
                  <w14:solidFill>
                    <w14:schemeClr w14:val="tx1"/>
                  </w14:solidFill>
                </w14:textFill>
              </w:rPr>
              <w:t>K＞-20%□</w:t>
            </w:r>
          </w:p>
        </w:tc>
      </w:tr>
      <w:tr w14:paraId="0707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restart"/>
            <w:vAlign w:val="center"/>
          </w:tcPr>
          <w:p w14:paraId="05F7985E">
            <w:pPr>
              <w:pStyle w:val="109"/>
              <w:rPr>
                <w:color w:val="000000" w:themeColor="text1"/>
                <w14:textFill>
                  <w14:solidFill>
                    <w14:schemeClr w14:val="tx1"/>
                  </w14:solidFill>
                </w14:textFill>
              </w:rPr>
            </w:pPr>
            <w:r>
              <w:rPr>
                <w:color w:val="000000" w:themeColor="text1"/>
                <w14:textFill>
                  <w14:solidFill>
                    <w14:schemeClr w14:val="tx1"/>
                  </w14:solidFill>
                </w14:textFill>
              </w:rPr>
              <w:t>环境监测计划</w:t>
            </w:r>
          </w:p>
        </w:tc>
        <w:tc>
          <w:tcPr>
            <w:tcW w:w="1528" w:type="dxa"/>
            <w:vAlign w:val="center"/>
          </w:tcPr>
          <w:p w14:paraId="069D0513">
            <w:pPr>
              <w:pStyle w:val="109"/>
              <w:rPr>
                <w:color w:val="000000" w:themeColor="text1"/>
                <w14:textFill>
                  <w14:solidFill>
                    <w14:schemeClr w14:val="tx1"/>
                  </w14:solidFill>
                </w14:textFill>
              </w:rPr>
            </w:pPr>
            <w:r>
              <w:rPr>
                <w:color w:val="000000" w:themeColor="text1"/>
                <w14:textFill>
                  <w14:solidFill>
                    <w14:schemeClr w14:val="tx1"/>
                  </w14:solidFill>
                </w14:textFill>
              </w:rPr>
              <w:t>污染源监测</w:t>
            </w:r>
          </w:p>
        </w:tc>
        <w:tc>
          <w:tcPr>
            <w:tcW w:w="3828" w:type="dxa"/>
            <w:gridSpan w:val="8"/>
            <w:vAlign w:val="center"/>
          </w:tcPr>
          <w:p w14:paraId="50D862D9">
            <w:pPr>
              <w:pStyle w:val="109"/>
              <w:rPr>
                <w:color w:val="000000" w:themeColor="text1"/>
                <w14:textFill>
                  <w14:solidFill>
                    <w14:schemeClr w14:val="tx1"/>
                  </w14:solidFill>
                </w14:textFill>
              </w:rPr>
            </w:pPr>
            <w:r>
              <w:rPr>
                <w:color w:val="000000" w:themeColor="text1"/>
                <w14:textFill>
                  <w14:solidFill>
                    <w14:schemeClr w14:val="tx1"/>
                  </w14:solidFill>
                </w14:textFill>
              </w:rPr>
              <w:t>监测因子：（</w:t>
            </w:r>
            <w:r>
              <w:rPr>
                <w:rFonts w:hint="eastAsia"/>
                <w:color w:val="000000" w:themeColor="text1"/>
                <w14:textFill>
                  <w14:solidFill>
                    <w14:schemeClr w14:val="tx1"/>
                  </w14:solidFill>
                </w14:textFill>
              </w:rPr>
              <w:t>颗粒物、</w:t>
            </w:r>
            <w:r>
              <w:rPr>
                <w:color w:val="000000" w:themeColor="text1"/>
                <w14:textFill>
                  <w14:solidFill>
                    <w14:schemeClr w14:val="tx1"/>
                  </w14:solidFill>
                </w14:textFill>
              </w:rPr>
              <w:t>CO</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O</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HF</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HCl</w:t>
            </w:r>
            <w:r>
              <w:rPr>
                <w:rFonts w:hint="eastAsia"/>
                <w:color w:val="000000" w:themeColor="text1"/>
                <w14:textFill>
                  <w14:solidFill>
                    <w14:schemeClr w14:val="tx1"/>
                  </w14:solidFill>
                </w14:textFill>
              </w:rPr>
              <w:t>、汞及其化合物、铊及其化合物、镉及其化合物、铅及其化合物、砷及其化合物、铬及其化合物、锡、锑、铜、锰、 镍、钴及其化合 物、二噁英类、非甲烷总烃、氨</w:t>
            </w:r>
            <w:r>
              <w:rPr>
                <w:color w:val="000000" w:themeColor="text1"/>
                <w14:textFill>
                  <w14:solidFill>
                    <w14:schemeClr w14:val="tx1"/>
                  </w14:solidFill>
                </w14:textFill>
              </w:rPr>
              <w:t>）</w:t>
            </w:r>
          </w:p>
        </w:tc>
        <w:tc>
          <w:tcPr>
            <w:tcW w:w="2441" w:type="dxa"/>
            <w:gridSpan w:val="11"/>
            <w:vAlign w:val="center"/>
          </w:tcPr>
          <w:p w14:paraId="1854FA79">
            <w:pPr>
              <w:pStyle w:val="109"/>
              <w:rPr>
                <w:color w:val="000000" w:themeColor="text1"/>
                <w14:textFill>
                  <w14:solidFill>
                    <w14:schemeClr w14:val="tx1"/>
                  </w14:solidFill>
                </w14:textFill>
              </w:rPr>
            </w:pPr>
            <w:r>
              <w:rPr>
                <w:color w:val="000000" w:themeColor="text1"/>
                <w14:textFill>
                  <w14:solidFill>
                    <w14:schemeClr w14:val="tx1"/>
                  </w14:solidFill>
                </w14:textFill>
              </w:rPr>
              <w:t>有组织废气监测</w:t>
            </w:r>
            <w:r>
              <w:rPr>
                <w:color w:val="000000" w:themeColor="text1"/>
                <w14:textFill>
                  <w14:solidFill>
                    <w14:schemeClr w14:val="tx1"/>
                  </w14:solidFill>
                </w14:textFill>
              </w:rPr>
              <w:sym w:font="Wingdings" w:char="F0FE"/>
            </w:r>
          </w:p>
          <w:p w14:paraId="0F19AD0E">
            <w:pPr>
              <w:pStyle w:val="109"/>
              <w:rPr>
                <w:color w:val="000000" w:themeColor="text1"/>
                <w14:textFill>
                  <w14:solidFill>
                    <w14:schemeClr w14:val="tx1"/>
                  </w14:solidFill>
                </w14:textFill>
              </w:rPr>
            </w:pPr>
            <w:r>
              <w:rPr>
                <w:color w:val="000000" w:themeColor="text1"/>
                <w14:textFill>
                  <w14:solidFill>
                    <w14:schemeClr w14:val="tx1"/>
                  </w14:solidFill>
                </w14:textFill>
              </w:rPr>
              <w:t>无组织废气监测</w:t>
            </w:r>
            <w:r>
              <w:rPr>
                <w:color w:val="000000" w:themeColor="text1"/>
                <w14:textFill>
                  <w14:solidFill>
                    <w14:schemeClr w14:val="tx1"/>
                  </w14:solidFill>
                </w14:textFill>
              </w:rPr>
              <w:sym w:font="Wingdings" w:char="F0FE"/>
            </w:r>
          </w:p>
        </w:tc>
        <w:tc>
          <w:tcPr>
            <w:tcW w:w="1386" w:type="dxa"/>
            <w:gridSpan w:val="3"/>
            <w:vAlign w:val="center"/>
          </w:tcPr>
          <w:p w14:paraId="6710B54B">
            <w:pPr>
              <w:pStyle w:val="109"/>
              <w:rPr>
                <w:color w:val="000000" w:themeColor="text1"/>
                <w14:textFill>
                  <w14:solidFill>
                    <w14:schemeClr w14:val="tx1"/>
                  </w14:solidFill>
                </w14:textFill>
              </w:rPr>
            </w:pPr>
            <w:r>
              <w:rPr>
                <w:color w:val="000000" w:themeColor="text1"/>
                <w14:textFill>
                  <w14:solidFill>
                    <w14:schemeClr w14:val="tx1"/>
                  </w14:solidFill>
                </w14:textFill>
              </w:rPr>
              <w:t>无监测□</w:t>
            </w:r>
          </w:p>
        </w:tc>
      </w:tr>
      <w:tr w14:paraId="5C41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5854B7F9">
            <w:pPr>
              <w:pStyle w:val="109"/>
              <w:rPr>
                <w:color w:val="000000" w:themeColor="text1"/>
                <w14:textFill>
                  <w14:solidFill>
                    <w14:schemeClr w14:val="tx1"/>
                  </w14:solidFill>
                </w14:textFill>
              </w:rPr>
            </w:pPr>
          </w:p>
        </w:tc>
        <w:tc>
          <w:tcPr>
            <w:tcW w:w="1528" w:type="dxa"/>
            <w:vAlign w:val="center"/>
          </w:tcPr>
          <w:p w14:paraId="4522C1FE">
            <w:pPr>
              <w:pStyle w:val="109"/>
              <w:rPr>
                <w:color w:val="000000" w:themeColor="text1"/>
                <w14:textFill>
                  <w14:solidFill>
                    <w14:schemeClr w14:val="tx1"/>
                  </w14:solidFill>
                </w14:textFill>
              </w:rPr>
            </w:pPr>
            <w:r>
              <w:rPr>
                <w:color w:val="000000" w:themeColor="text1"/>
                <w14:textFill>
                  <w14:solidFill>
                    <w14:schemeClr w14:val="tx1"/>
                  </w14:solidFill>
                </w14:textFill>
              </w:rPr>
              <w:t>环境质量监测</w:t>
            </w:r>
          </w:p>
        </w:tc>
        <w:tc>
          <w:tcPr>
            <w:tcW w:w="3828" w:type="dxa"/>
            <w:gridSpan w:val="8"/>
            <w:vAlign w:val="center"/>
          </w:tcPr>
          <w:p w14:paraId="617914BF">
            <w:pPr>
              <w:pStyle w:val="109"/>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2441" w:type="dxa"/>
            <w:gridSpan w:val="11"/>
            <w:vAlign w:val="center"/>
          </w:tcPr>
          <w:p w14:paraId="7D1DDDAB">
            <w:pPr>
              <w:pStyle w:val="109"/>
              <w:rPr>
                <w:color w:val="000000" w:themeColor="text1"/>
                <w14:textFill>
                  <w14:solidFill>
                    <w14:schemeClr w14:val="tx1"/>
                  </w14:solidFill>
                </w14:textFill>
              </w:rPr>
            </w:pPr>
            <w:r>
              <w:rPr>
                <w:color w:val="000000" w:themeColor="text1"/>
                <w14:textFill>
                  <w14:solidFill>
                    <w14:schemeClr w14:val="tx1"/>
                  </w14:solidFill>
                </w14:textFill>
              </w:rPr>
              <w:t>监测点位数（）</w:t>
            </w:r>
          </w:p>
        </w:tc>
        <w:tc>
          <w:tcPr>
            <w:tcW w:w="1386" w:type="dxa"/>
            <w:gridSpan w:val="3"/>
            <w:vAlign w:val="center"/>
          </w:tcPr>
          <w:p w14:paraId="7DCDD3BE">
            <w:pPr>
              <w:pStyle w:val="109"/>
              <w:rPr>
                <w:color w:val="000000" w:themeColor="text1"/>
                <w14:textFill>
                  <w14:solidFill>
                    <w14:schemeClr w14:val="tx1"/>
                  </w14:solidFill>
                </w14:textFill>
              </w:rPr>
            </w:pPr>
            <w:r>
              <w:rPr>
                <w:color w:val="000000" w:themeColor="text1"/>
                <w14:textFill>
                  <w14:solidFill>
                    <w14:schemeClr w14:val="tx1"/>
                  </w14:solidFill>
                </w14:textFill>
              </w:rPr>
              <w:t>无监测□</w:t>
            </w:r>
          </w:p>
        </w:tc>
      </w:tr>
      <w:tr w14:paraId="4CA1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restart"/>
            <w:vAlign w:val="center"/>
          </w:tcPr>
          <w:p w14:paraId="467BC57A">
            <w:pPr>
              <w:pStyle w:val="109"/>
              <w:rPr>
                <w:color w:val="000000" w:themeColor="text1"/>
                <w14:textFill>
                  <w14:solidFill>
                    <w14:schemeClr w14:val="tx1"/>
                  </w14:solidFill>
                </w14:textFill>
              </w:rPr>
            </w:pPr>
            <w:r>
              <w:rPr>
                <w:color w:val="000000" w:themeColor="text1"/>
                <w14:textFill>
                  <w14:solidFill>
                    <w14:schemeClr w14:val="tx1"/>
                  </w14:solidFill>
                </w14:textFill>
              </w:rPr>
              <w:t>评价结论</w:t>
            </w:r>
          </w:p>
        </w:tc>
        <w:tc>
          <w:tcPr>
            <w:tcW w:w="1528" w:type="dxa"/>
            <w:vAlign w:val="center"/>
          </w:tcPr>
          <w:p w14:paraId="1553B197">
            <w:pPr>
              <w:pStyle w:val="109"/>
              <w:rPr>
                <w:color w:val="000000" w:themeColor="text1"/>
                <w14:textFill>
                  <w14:solidFill>
                    <w14:schemeClr w14:val="tx1"/>
                  </w14:solidFill>
                </w14:textFill>
              </w:rPr>
            </w:pPr>
            <w:r>
              <w:rPr>
                <w:color w:val="000000" w:themeColor="text1"/>
                <w14:textFill>
                  <w14:solidFill>
                    <w14:schemeClr w14:val="tx1"/>
                  </w14:solidFill>
                </w14:textFill>
              </w:rPr>
              <w:t>环境影响</w:t>
            </w:r>
          </w:p>
        </w:tc>
        <w:tc>
          <w:tcPr>
            <w:tcW w:w="7655" w:type="dxa"/>
            <w:gridSpan w:val="22"/>
            <w:vAlign w:val="center"/>
          </w:tcPr>
          <w:p w14:paraId="46D0A048">
            <w:pPr>
              <w:pStyle w:val="109"/>
              <w:rPr>
                <w:color w:val="000000" w:themeColor="text1"/>
                <w14:textFill>
                  <w14:solidFill>
                    <w14:schemeClr w14:val="tx1"/>
                  </w14:solidFill>
                </w14:textFill>
              </w:rPr>
            </w:pPr>
            <w:r>
              <w:rPr>
                <w:color w:val="000000" w:themeColor="text1"/>
                <w14:textFill>
                  <w14:solidFill>
                    <w14:schemeClr w14:val="tx1"/>
                  </w14:solidFill>
                </w14:textFill>
              </w:rPr>
              <w:t>可以接受</w:t>
            </w:r>
            <w:r>
              <w:rPr>
                <w:color w:val="000000" w:themeColor="text1"/>
                <w14:textFill>
                  <w14:solidFill>
                    <w14:schemeClr w14:val="tx1"/>
                  </w14:solidFill>
                </w14:textFill>
              </w:rPr>
              <w:sym w:font="Wingdings" w:char="F0FE"/>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不可以接受□</w:t>
            </w:r>
          </w:p>
        </w:tc>
      </w:tr>
      <w:tr w14:paraId="6A2F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76502F24">
            <w:pPr>
              <w:pStyle w:val="109"/>
              <w:rPr>
                <w:color w:val="000000" w:themeColor="text1"/>
                <w14:textFill>
                  <w14:solidFill>
                    <w14:schemeClr w14:val="tx1"/>
                  </w14:solidFill>
                </w14:textFill>
              </w:rPr>
            </w:pPr>
          </w:p>
        </w:tc>
        <w:tc>
          <w:tcPr>
            <w:tcW w:w="1528" w:type="dxa"/>
            <w:vAlign w:val="center"/>
          </w:tcPr>
          <w:p w14:paraId="7D2D676B">
            <w:pPr>
              <w:pStyle w:val="109"/>
              <w:rPr>
                <w:color w:val="000000" w:themeColor="text1"/>
                <w14:textFill>
                  <w14:solidFill>
                    <w14:schemeClr w14:val="tx1"/>
                  </w14:solidFill>
                </w14:textFill>
              </w:rPr>
            </w:pPr>
            <w:r>
              <w:rPr>
                <w:color w:val="000000" w:themeColor="text1"/>
                <w14:textFill>
                  <w14:solidFill>
                    <w14:schemeClr w14:val="tx1"/>
                  </w14:solidFill>
                </w14:textFill>
              </w:rPr>
              <w:t>大气环境防护距离</w:t>
            </w:r>
          </w:p>
        </w:tc>
        <w:tc>
          <w:tcPr>
            <w:tcW w:w="7655" w:type="dxa"/>
            <w:gridSpan w:val="22"/>
            <w:vAlign w:val="center"/>
          </w:tcPr>
          <w:p w14:paraId="51E57113">
            <w:pPr>
              <w:pStyle w:val="109"/>
              <w:rPr>
                <w:color w:val="000000" w:themeColor="text1"/>
                <w14:textFill>
                  <w14:solidFill>
                    <w14:schemeClr w14:val="tx1"/>
                  </w14:solidFill>
                </w14:textFill>
              </w:rPr>
            </w:pPr>
            <w:r>
              <w:rPr>
                <w:color w:val="000000" w:themeColor="text1"/>
                <w14:textFill>
                  <w14:solidFill>
                    <w14:schemeClr w14:val="tx1"/>
                  </w14:solidFill>
                </w14:textFill>
              </w:rPr>
              <w:t>不需要设置</w:t>
            </w:r>
          </w:p>
        </w:tc>
      </w:tr>
      <w:tr w14:paraId="2D6F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40" w:hRule="atLeast"/>
          <w:jc w:val="center"/>
        </w:trPr>
        <w:tc>
          <w:tcPr>
            <w:tcW w:w="732" w:type="dxa"/>
            <w:vMerge w:val="continue"/>
            <w:vAlign w:val="center"/>
          </w:tcPr>
          <w:p w14:paraId="47DE0B09">
            <w:pPr>
              <w:pStyle w:val="109"/>
              <w:rPr>
                <w:color w:val="000000" w:themeColor="text1"/>
                <w14:textFill>
                  <w14:solidFill>
                    <w14:schemeClr w14:val="tx1"/>
                  </w14:solidFill>
                </w14:textFill>
              </w:rPr>
            </w:pPr>
          </w:p>
        </w:tc>
        <w:tc>
          <w:tcPr>
            <w:tcW w:w="1528" w:type="dxa"/>
            <w:vAlign w:val="center"/>
          </w:tcPr>
          <w:p w14:paraId="2C5A39C1">
            <w:pPr>
              <w:pStyle w:val="109"/>
              <w:rPr>
                <w:color w:val="000000" w:themeColor="text1"/>
                <w14:textFill>
                  <w14:solidFill>
                    <w14:schemeClr w14:val="tx1"/>
                  </w14:solidFill>
                </w14:textFill>
              </w:rPr>
            </w:pPr>
            <w:r>
              <w:rPr>
                <w:color w:val="000000" w:themeColor="text1"/>
                <w14:textFill>
                  <w14:solidFill>
                    <w14:schemeClr w14:val="tx1"/>
                  </w14:solidFill>
                </w14:textFill>
              </w:rPr>
              <w:t>污染源年排放量</w:t>
            </w:r>
          </w:p>
        </w:tc>
        <w:tc>
          <w:tcPr>
            <w:tcW w:w="1738" w:type="dxa"/>
            <w:gridSpan w:val="5"/>
            <w:vAlign w:val="center"/>
          </w:tcPr>
          <w:p w14:paraId="1C6660A8">
            <w:pPr>
              <w:pStyle w:val="109"/>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eastAsia="等线"/>
                <w:color w:val="000000" w:themeColor="text1"/>
                <w14:textFill>
                  <w14:solidFill>
                    <w14:schemeClr w14:val="tx1"/>
                  </w14:solidFill>
                </w14:textFill>
              </w:rPr>
              <w:t>2</w:t>
            </w:r>
            <w:r>
              <w:rPr>
                <w:rFonts w:hint="eastAsia" w:eastAsia="等线"/>
                <w:color w:val="000000" w:themeColor="text1"/>
                <w14:textFill>
                  <w14:solidFill>
                    <w14:schemeClr w14:val="tx1"/>
                  </w14:solidFill>
                </w14:textFill>
              </w:rPr>
              <w:t>.46</w:t>
            </w:r>
            <w:r>
              <w:rPr>
                <w:color w:val="000000" w:themeColor="text1"/>
                <w14:textFill>
                  <w14:solidFill>
                    <w14:schemeClr w14:val="tx1"/>
                  </w14:solidFill>
                </w14:textFill>
              </w:rPr>
              <w:t>）t/a</w:t>
            </w:r>
          </w:p>
        </w:tc>
        <w:tc>
          <w:tcPr>
            <w:tcW w:w="1843" w:type="dxa"/>
            <w:gridSpan w:val="2"/>
            <w:vAlign w:val="center"/>
          </w:tcPr>
          <w:p w14:paraId="1E96C1B5">
            <w:pPr>
              <w:pStyle w:val="109"/>
              <w:rPr>
                <w:color w:val="000000" w:themeColor="text1"/>
                <w:highlight w:val="yellow"/>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w:t>
            </w:r>
            <w:r>
              <w:rPr>
                <w:rFonts w:hint="eastAsia" w:eastAsia="等线"/>
                <w:color w:val="000000" w:themeColor="text1"/>
                <w14:textFill>
                  <w14:solidFill>
                    <w14:schemeClr w14:val="tx1"/>
                  </w14:solidFill>
                </w14:textFill>
              </w:rPr>
              <w:t>6.361</w:t>
            </w:r>
            <w:r>
              <w:rPr>
                <w:color w:val="000000" w:themeColor="text1"/>
                <w14:textFill>
                  <w14:solidFill>
                    <w14:schemeClr w14:val="tx1"/>
                  </w14:solidFill>
                </w14:textFill>
              </w:rPr>
              <w:t>）t/a</w:t>
            </w:r>
          </w:p>
        </w:tc>
        <w:tc>
          <w:tcPr>
            <w:tcW w:w="2099" w:type="dxa"/>
            <w:gridSpan w:val="8"/>
            <w:tcMar>
              <w:left w:w="28" w:type="dxa"/>
              <w:right w:w="28" w:type="dxa"/>
            </w:tcMar>
            <w:vAlign w:val="center"/>
          </w:tcPr>
          <w:p w14:paraId="18920AD5">
            <w:pPr>
              <w:pStyle w:val="109"/>
              <w:rPr>
                <w:color w:val="000000" w:themeColor="text1"/>
                <w14:textFill>
                  <w14:solidFill>
                    <w14:schemeClr w14:val="tx1"/>
                  </w14:solidFill>
                </w14:textFill>
              </w:rPr>
            </w:pPr>
            <w:r>
              <w:rPr>
                <w:color w:val="000000" w:themeColor="text1"/>
                <w14:textFill>
                  <w14:solidFill>
                    <w14:schemeClr w14:val="tx1"/>
                  </w14:solidFill>
                </w14:textFill>
              </w:rPr>
              <w:t>颗粒物（</w:t>
            </w:r>
            <w:r>
              <w:rPr>
                <w:rFonts w:hint="eastAsia"/>
                <w:color w:val="000000" w:themeColor="text1"/>
                <w14:textFill>
                  <w14:solidFill>
                    <w14:schemeClr w14:val="tx1"/>
                  </w14:solidFill>
                </w14:textFill>
              </w:rPr>
              <w:t>0.813</w:t>
            </w:r>
            <w:r>
              <w:rPr>
                <w:color w:val="000000" w:themeColor="text1"/>
                <w14:textFill>
                  <w14:solidFill>
                    <w14:schemeClr w14:val="tx1"/>
                  </w14:solidFill>
                </w14:textFill>
              </w:rPr>
              <w:t>）t/a</w:t>
            </w:r>
          </w:p>
        </w:tc>
        <w:tc>
          <w:tcPr>
            <w:tcW w:w="1975" w:type="dxa"/>
            <w:gridSpan w:val="7"/>
            <w:vAlign w:val="center"/>
          </w:tcPr>
          <w:p w14:paraId="35B64B32">
            <w:pPr>
              <w:pStyle w:val="109"/>
              <w:rPr>
                <w:color w:val="000000" w:themeColor="text1"/>
                <w14:textFill>
                  <w14:solidFill>
                    <w14:schemeClr w14:val="tx1"/>
                  </w14:solidFill>
                </w14:textFill>
              </w:rPr>
            </w:pP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0.275</w:t>
            </w:r>
            <w:r>
              <w:rPr>
                <w:color w:val="000000" w:themeColor="text1"/>
                <w14:textFill>
                  <w14:solidFill>
                    <w14:schemeClr w14:val="tx1"/>
                  </w14:solidFill>
                </w14:textFill>
              </w:rPr>
              <w:t>）t/a</w:t>
            </w:r>
          </w:p>
        </w:tc>
      </w:tr>
      <w:tr w14:paraId="450B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4" w:type="dxa"/>
            <w:gridSpan w:val="25"/>
            <w:vAlign w:val="center"/>
          </w:tcPr>
          <w:p w14:paraId="2C293CBC">
            <w:pPr>
              <w:pStyle w:val="109"/>
              <w:rPr>
                <w:color w:val="000000" w:themeColor="text1"/>
                <w14:textFill>
                  <w14:solidFill>
                    <w14:schemeClr w14:val="tx1"/>
                  </w14:solidFill>
                </w14:textFill>
              </w:rPr>
            </w:pPr>
            <w:r>
              <w:rPr>
                <w:color w:val="000000" w:themeColor="text1"/>
                <w14:textFill>
                  <w14:solidFill>
                    <w14:schemeClr w14:val="tx1"/>
                  </w14:solidFill>
                </w14:textFill>
              </w:rPr>
              <w:t>注：“□”为勾选项，填“√”；“（）”为内容填写项</w:t>
            </w:r>
          </w:p>
        </w:tc>
      </w:tr>
    </w:tbl>
    <w:p w14:paraId="7FDA50E3">
      <w:pPr>
        <w:pStyle w:val="3"/>
        <w:rPr>
          <w:rFonts w:ascii="Times New Roman" w:cs="Times New Roman"/>
          <w:snapToGrid w:val="0"/>
          <w:color w:val="000000" w:themeColor="text1"/>
          <w:lang w:val="zh-CN"/>
          <w14:textFill>
            <w14:solidFill>
              <w14:schemeClr w14:val="tx1"/>
            </w14:solidFill>
          </w14:textFill>
        </w:rPr>
      </w:pPr>
      <w:bookmarkStart w:id="431" w:name="_Toc225268318"/>
      <w:bookmarkStart w:id="432" w:name="_Toc32095"/>
      <w:r>
        <w:rPr>
          <w:rFonts w:ascii="Times New Roman" w:cs="Times New Roman"/>
          <w:snapToGrid w:val="0"/>
          <w:color w:val="000000" w:themeColor="text1"/>
          <w:lang w:val="zh-CN"/>
          <w14:textFill>
            <w14:solidFill>
              <w14:schemeClr w14:val="tx1"/>
            </w14:solidFill>
          </w14:textFill>
        </w:rPr>
        <w:t>地表水环境影响预测与评价</w:t>
      </w:r>
      <w:bookmarkEnd w:id="431"/>
      <w:bookmarkEnd w:id="432"/>
    </w:p>
    <w:p w14:paraId="475EDA7C">
      <w:pPr>
        <w:ind w:firstLine="480"/>
        <w:jc w:val="both"/>
        <w:rPr>
          <w:color w:val="000000" w:themeColor="text1"/>
          <w:szCs w:val="22"/>
          <w:lang w:val="zh-CN" w:bidi="zh-CN"/>
          <w14:textFill>
            <w14:solidFill>
              <w14:schemeClr w14:val="tx1"/>
            </w14:solidFill>
          </w14:textFill>
        </w:rPr>
      </w:pPr>
      <w:r>
        <w:rPr>
          <w:color w:val="000000" w:themeColor="text1"/>
          <w14:textFill>
            <w14:solidFill>
              <w14:schemeClr w14:val="tx1"/>
            </w14:solidFill>
          </w14:textFill>
        </w:rPr>
        <w:t>本项目排水主要包括：烟气处理系统废水、循环冷却系统排污水、化验室废水、地面冲洗废水、多效蒸发冷凝水、生活污水。其中烟气处理系统废水经多效蒸发处理后，冷凝水回用于急冷塔和水洗塔补水，不外排。循环冷却系统排污水、化验室废水、地面冲洗废水、多效蒸发冷凝水、生活污水排入园区污水管网，进入</w:t>
      </w:r>
      <w:r>
        <w:rPr>
          <w:color w:val="000000" w:themeColor="text1"/>
          <w:lang w:bidi="zh-CN"/>
          <w14:textFill>
            <w14:solidFill>
              <w14:schemeClr w14:val="tx1"/>
            </w14:solidFill>
          </w14:textFill>
        </w:rPr>
        <w:t>新疆甘泉堡工业园区污水处理厂进一步处理。</w:t>
      </w:r>
    </w:p>
    <w:p w14:paraId="7D17F365">
      <w:pPr>
        <w:pStyle w:val="4"/>
        <w:rPr>
          <w:rFonts w:ascii="Times New Roman" w:cs="Times New Roman"/>
          <w:color w:val="000000" w:themeColor="text1"/>
          <w14:textFill>
            <w14:solidFill>
              <w14:schemeClr w14:val="tx1"/>
            </w14:solidFill>
          </w14:textFill>
        </w:rPr>
      </w:pPr>
      <w:bookmarkStart w:id="433" w:name="_Toc18320"/>
      <w:bookmarkStart w:id="434" w:name="_Toc17184"/>
      <w:bookmarkStart w:id="435" w:name="_Toc15099"/>
      <w:bookmarkStart w:id="436" w:name="_Toc8178"/>
      <w:r>
        <w:rPr>
          <w:rFonts w:ascii="Times New Roman" w:cs="Times New Roman"/>
          <w:color w:val="000000" w:themeColor="text1"/>
          <w14:textFill>
            <w14:solidFill>
              <w14:schemeClr w14:val="tx1"/>
            </w14:solidFill>
          </w14:textFill>
        </w:rPr>
        <w:t>地表水环境影响预测</w:t>
      </w:r>
    </w:p>
    <w:p w14:paraId="1AE174B0">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根据《环境影响评价技术导则 地表水环境》（HJ2.3-2018）中“7.1.2 一级、二级、水污染影响型三级A与水文要素影响型三级评价应定量预测建设项目水环境影响，水污染影响型三级B评价可不进行水环境影响预测”。</w:t>
      </w:r>
    </w:p>
    <w:p w14:paraId="56463550">
      <w:pPr>
        <w:pStyle w:val="1299"/>
        <w:spacing w:line="360" w:lineRule="auto"/>
        <w:ind w:firstLine="480"/>
        <w:jc w:val="left"/>
        <w:rPr>
          <w:rFonts w:cs="Times New Roman"/>
          <w:b/>
          <w:bCs/>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本项目地表水环境评价工作等级为“水污染影响型三级B”，因此，本项目不进行水环境影响预测。</w:t>
      </w:r>
    </w:p>
    <w:p w14:paraId="5E7832CD">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地表水环境影响评价</w:t>
      </w:r>
    </w:p>
    <w:p w14:paraId="4441BC29">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根据《环境影响评价技术导则 地表水环境》（HJ2.3-2018）中“8.1 评价内容”，</w:t>
      </w:r>
      <w:r>
        <w:rPr>
          <w:rFonts w:ascii="Times New Roman" w:hAnsi="Times New Roman" w:eastAsia="宋体" w:cs="Times New Roman"/>
          <w:color w:val="000000" w:themeColor="text1"/>
          <w:szCs w:val="22"/>
          <w14:textFill>
            <w14:solidFill>
              <w14:schemeClr w14:val="tx1"/>
            </w14:solidFill>
          </w14:textFill>
        </w:rPr>
        <w:t>水污染影响型三级B</w:t>
      </w:r>
      <w:r>
        <w:rPr>
          <w:rFonts w:ascii="Times New Roman" w:hAnsi="Times New Roman" w:eastAsia="宋体" w:cs="Times New Roman"/>
          <w:color w:val="000000" w:themeColor="text1"/>
          <w14:textFill>
            <w14:solidFill>
              <w14:schemeClr w14:val="tx1"/>
            </w14:solidFill>
          </w14:textFill>
        </w:rPr>
        <w:t>主要评价内容包括：</w:t>
      </w:r>
    </w:p>
    <w:p w14:paraId="28DC5AFF">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a）水污染控制和水环境影响减缓措施有效性评价；</w:t>
      </w:r>
    </w:p>
    <w:p w14:paraId="289BA3E8">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b）依托污水处理设施的环境可行性评价。</w:t>
      </w:r>
    </w:p>
    <w:p w14:paraId="75EBC8C1">
      <w:pPr>
        <w:pStyle w:val="25"/>
        <w:ind w:firstLine="482" w:firstLineChars="200"/>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1、水污染控制和水环境影响减缓措施有效性评价</w:t>
      </w:r>
    </w:p>
    <w:p w14:paraId="71818D45">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根据工程分析可知，项目废水产生源强能够满足《污水综合排放标准》（GB8978-1996）</w:t>
      </w:r>
      <w:r>
        <w:rPr>
          <w:rFonts w:hint="eastAsia" w:ascii="Times New Roman" w:hAnsi="Times New Roman" w:eastAsia="宋体" w:cs="Times New Roman"/>
          <w:color w:val="000000" w:themeColor="text1"/>
          <w14:textFill>
            <w14:solidFill>
              <w14:schemeClr w14:val="tx1"/>
            </w14:solidFill>
          </w14:textFill>
        </w:rPr>
        <w:t>表4</w:t>
      </w:r>
      <w:r>
        <w:rPr>
          <w:rFonts w:ascii="Times New Roman" w:hAnsi="Times New Roman" w:eastAsia="宋体" w:cs="Times New Roman"/>
          <w:color w:val="000000" w:themeColor="text1"/>
          <w14:textFill>
            <w14:solidFill>
              <w14:schemeClr w14:val="tx1"/>
            </w14:solidFill>
          </w14:textFill>
        </w:rPr>
        <w:t>三级标准</w:t>
      </w:r>
      <w:r>
        <w:rPr>
          <w:rFonts w:hint="eastAsia" w:ascii="Times New Roman" w:hAnsi="Times New Roman" w:eastAsia="宋体" w:cs="Times New Roman"/>
          <w:color w:val="000000" w:themeColor="text1"/>
          <w14:textFill>
            <w14:solidFill>
              <w14:schemeClr w14:val="tx1"/>
            </w14:solidFill>
          </w14:textFill>
        </w:rPr>
        <w:t>及污水处理厂接管标准要求。</w:t>
      </w:r>
    </w:p>
    <w:p w14:paraId="12158555">
      <w:pPr>
        <w:pStyle w:val="25"/>
        <w:ind w:firstLine="482" w:firstLineChars="200"/>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2、依托污水处理设施的环境可行性评价</w:t>
      </w:r>
    </w:p>
    <w:p w14:paraId="5EA8CBB1">
      <w:pPr>
        <w:pStyle w:val="1299"/>
        <w:spacing w:line="360" w:lineRule="auto"/>
        <w:ind w:firstLine="482"/>
        <w:jc w:val="lef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（1）甘泉堡南区污水处理厂简介</w:t>
      </w:r>
    </w:p>
    <w:p w14:paraId="0C9B3FE3">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甘泉堡南区污水处理厂位于园区西北部，地理坐标为N44°18′47.76″，E87°47′11.14″，由乌鲁木齐昆仑新水源甘泉堡水务有限责任公司负责运营。2009年8月13日取得了《关于甘泉堡工业园污水处理及中水循环利用工程环境影响报告书的批复》（新环监函〔2009〕359号），2012年2月24日取得了《关于甘泉堡工业园污水处理及中水循环利用工程变更的复函》(新环评价函〔2012〕120号)，2014年3月27日取得了《关于甘泉堡工业园污水处理及中水循环利用工程变更说明的复函》（新环函〔2014〕365号），2016年6月22日甘泉堡南区污水处理厂取得了《关于甘泉堡工业园区污水处理及中水循环利用工程竣工环保验收意见》（乌环验〔2015〕248号）。</w:t>
      </w:r>
    </w:p>
    <w:p w14:paraId="3AEEA13C">
      <w:pPr>
        <w:pStyle w:val="1299"/>
        <w:spacing w:line="360" w:lineRule="auto"/>
        <w:ind w:firstLine="482"/>
        <w:jc w:val="lef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（2）收水范围及园区污水管网建设情况</w:t>
      </w:r>
    </w:p>
    <w:p w14:paraId="6FAC565B">
      <w:pPr>
        <w:pStyle w:val="331"/>
        <w:spacing w:after="0" w:line="360" w:lineRule="auto"/>
        <w:ind w:left="0" w:leftChars="0" w:firstLine="480"/>
        <w:rPr>
          <w:rFonts w:ascii="Times New Roman" w:hAnsi="Times New Roman"/>
          <w:color w:val="000000" w:themeColor="text1"/>
          <w:sz w:val="24"/>
          <w:lang w:val="en-US"/>
          <w14:textFill>
            <w14:solidFill>
              <w14:schemeClr w14:val="tx1"/>
            </w14:solidFill>
          </w14:textFill>
        </w:rPr>
      </w:pPr>
      <w:r>
        <w:rPr>
          <w:rFonts w:ascii="Times New Roman" w:hAnsi="Times New Roman"/>
          <w:color w:val="000000" w:themeColor="text1"/>
          <w:sz w:val="24"/>
          <w14:textFill>
            <w14:solidFill>
              <w14:schemeClr w14:val="tx1"/>
            </w14:solidFill>
          </w14:textFill>
        </w:rPr>
        <w:t>甘泉堡南区污水处理厂</w:t>
      </w:r>
      <w:r>
        <w:rPr>
          <w:rFonts w:ascii="Times New Roman" w:hAnsi="Times New Roman"/>
          <w:color w:val="000000" w:themeColor="text1"/>
          <w:sz w:val="24"/>
          <w:lang w:val="en-US"/>
          <w14:textFill>
            <w14:solidFill>
              <w14:schemeClr w14:val="tx1"/>
            </w14:solidFill>
          </w14:textFill>
        </w:rPr>
        <w:t>目前主要负责收集园区范围内的废水，目前园区污水管网已覆盖本项目所在区域。</w:t>
      </w:r>
    </w:p>
    <w:p w14:paraId="4179DFEA">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因此本项目废水属于甘泉堡南区污水处理厂收水范围，废水直接进入园区污水管网可行。</w:t>
      </w:r>
    </w:p>
    <w:p w14:paraId="7B8FDB69">
      <w:pPr>
        <w:pStyle w:val="1299"/>
        <w:spacing w:line="360" w:lineRule="auto"/>
        <w:ind w:firstLine="482"/>
        <w:jc w:val="lef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（3）处理能力可行性分析</w:t>
      </w:r>
    </w:p>
    <w:p w14:paraId="58E14F51">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szCs w:val="24"/>
          <w14:textFill>
            <w14:solidFill>
              <w14:schemeClr w14:val="tx1"/>
            </w14:solidFill>
          </w14:textFill>
        </w:rPr>
        <w:t>甘泉堡南区污水处理厂</w:t>
      </w:r>
      <w:r>
        <w:rPr>
          <w:rFonts w:cs="Times New Roman"/>
          <w:color w:val="000000" w:themeColor="text1"/>
          <w14:textFill>
            <w14:solidFill>
              <w14:schemeClr w14:val="tx1"/>
            </w14:solidFill>
          </w14:textFill>
        </w:rPr>
        <w:t>建设规模为10.5万m³/d，实际处理能力为9.6万m³/d，目前日均废水处理量为6.5万m³/d，剩余废水处理能力为3.1万m³/d，本项目废水排放量约为11m³/d，远小于</w:t>
      </w:r>
      <w:r>
        <w:rPr>
          <w:rFonts w:cs="Times New Roman"/>
          <w:color w:val="000000" w:themeColor="text1"/>
          <w:szCs w:val="24"/>
          <w14:textFill>
            <w14:solidFill>
              <w14:schemeClr w14:val="tx1"/>
            </w14:solidFill>
          </w14:textFill>
        </w:rPr>
        <w:t>甘泉堡南区污水处理厂剩余</w:t>
      </w:r>
      <w:r>
        <w:rPr>
          <w:rFonts w:cs="Times New Roman"/>
          <w:color w:val="000000" w:themeColor="text1"/>
          <w14:textFill>
            <w14:solidFill>
              <w14:schemeClr w14:val="tx1"/>
            </w14:solidFill>
          </w14:textFill>
        </w:rPr>
        <w:t>废水</w:t>
      </w:r>
      <w:r>
        <w:rPr>
          <w:rFonts w:cs="Times New Roman"/>
          <w:color w:val="000000" w:themeColor="text1"/>
          <w:szCs w:val="24"/>
          <w14:textFill>
            <w14:solidFill>
              <w14:schemeClr w14:val="tx1"/>
            </w14:solidFill>
          </w14:textFill>
        </w:rPr>
        <w:t>处理能力。</w:t>
      </w:r>
    </w:p>
    <w:p w14:paraId="56ACC026">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因此，</w:t>
      </w:r>
      <w:r>
        <w:rPr>
          <w:rFonts w:cs="Times New Roman"/>
          <w:color w:val="000000" w:themeColor="text1"/>
          <w:szCs w:val="24"/>
          <w14:textFill>
            <w14:solidFill>
              <w14:schemeClr w14:val="tx1"/>
            </w14:solidFill>
          </w14:textFill>
        </w:rPr>
        <w:t>甘泉堡南区污水处理厂剩余</w:t>
      </w:r>
      <w:r>
        <w:rPr>
          <w:rFonts w:cs="Times New Roman"/>
          <w:color w:val="000000" w:themeColor="text1"/>
          <w14:textFill>
            <w14:solidFill>
              <w14:schemeClr w14:val="tx1"/>
            </w14:solidFill>
          </w14:textFill>
        </w:rPr>
        <w:t>废水</w:t>
      </w:r>
      <w:r>
        <w:rPr>
          <w:rFonts w:cs="Times New Roman"/>
          <w:color w:val="000000" w:themeColor="text1"/>
          <w:szCs w:val="24"/>
          <w14:textFill>
            <w14:solidFill>
              <w14:schemeClr w14:val="tx1"/>
            </w14:solidFill>
          </w14:textFill>
        </w:rPr>
        <w:t>处理能力能够满足本项目废水处理需求</w:t>
      </w:r>
      <w:r>
        <w:rPr>
          <w:rFonts w:cs="Times New Roman"/>
          <w:color w:val="000000" w:themeColor="text1"/>
          <w14:textFill>
            <w14:solidFill>
              <w14:schemeClr w14:val="tx1"/>
            </w14:solidFill>
          </w14:textFill>
        </w:rPr>
        <w:t>。</w:t>
      </w:r>
    </w:p>
    <w:p w14:paraId="3C5456F5">
      <w:pPr>
        <w:pStyle w:val="1299"/>
        <w:spacing w:line="360" w:lineRule="auto"/>
        <w:ind w:firstLine="482"/>
        <w:jc w:val="lef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（4）处理工艺</w:t>
      </w:r>
    </w:p>
    <w:p w14:paraId="0A98D717">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szCs w:val="24"/>
          <w14:textFill>
            <w14:solidFill>
              <w14:schemeClr w14:val="tx1"/>
            </w14:solidFill>
          </w14:textFill>
        </w:rPr>
        <w:t>甘泉堡南区污水处理厂废水处理工艺</w:t>
      </w:r>
      <w:r>
        <w:rPr>
          <w:rFonts w:cs="Times New Roman"/>
          <w:color w:val="000000" w:themeColor="text1"/>
          <w14:textFill>
            <w14:solidFill>
              <w14:schemeClr w14:val="tx1"/>
            </w14:solidFill>
          </w14:textFill>
        </w:rPr>
        <w:t>采用“MBR生物处理+高级催化氧化+消毒工艺”。</w:t>
      </w:r>
    </w:p>
    <w:p w14:paraId="248037EB">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本项目废水主要为常规污染物pH、CODcr、氨氮、总氮、总磷、SS和溶解性总固体，</w:t>
      </w:r>
      <w:r>
        <w:rPr>
          <w:rFonts w:cs="Times New Roman"/>
          <w:color w:val="000000" w:themeColor="text1"/>
          <w:szCs w:val="24"/>
          <w14:textFill>
            <w14:solidFill>
              <w14:schemeClr w14:val="tx1"/>
            </w14:solidFill>
          </w14:textFill>
        </w:rPr>
        <w:t>甘泉堡南区污水处理厂废水处理工艺能够处理本项目废水。</w:t>
      </w:r>
    </w:p>
    <w:p w14:paraId="65EDEC70">
      <w:pPr>
        <w:pStyle w:val="1299"/>
        <w:spacing w:line="360" w:lineRule="auto"/>
        <w:ind w:firstLine="482"/>
        <w:jc w:val="lef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（5）设计进水水质</w:t>
      </w:r>
    </w:p>
    <w:p w14:paraId="73947C1F">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szCs w:val="24"/>
          <w14:textFill>
            <w14:solidFill>
              <w14:schemeClr w14:val="tx1"/>
            </w14:solidFill>
          </w14:textFill>
        </w:rPr>
        <w:t>甘泉堡南区污水处理厂设计进水水质见下表。</w:t>
      </w:r>
    </w:p>
    <w:p w14:paraId="226A9FA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水质可行性分析一览表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202"/>
        <w:gridCol w:w="2902"/>
        <w:gridCol w:w="2134"/>
        <w:gridCol w:w="1658"/>
      </w:tblGrid>
      <w:tr w14:paraId="1676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6F7AD2C1">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624" w:type="pct"/>
            <w:vAlign w:val="center"/>
          </w:tcPr>
          <w:p w14:paraId="55F42C33">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507" w:type="pct"/>
            <w:vAlign w:val="center"/>
          </w:tcPr>
          <w:p w14:paraId="1350848F">
            <w:pPr>
              <w:pStyle w:val="109"/>
              <w:rPr>
                <w:color w:val="000000" w:themeColor="text1"/>
                <w14:textFill>
                  <w14:solidFill>
                    <w14:schemeClr w14:val="tx1"/>
                  </w14:solidFill>
                </w14:textFill>
              </w:rPr>
            </w:pPr>
            <w:r>
              <w:rPr>
                <w:color w:val="000000" w:themeColor="text1"/>
                <w14:textFill>
                  <w14:solidFill>
                    <w14:schemeClr w14:val="tx1"/>
                  </w14:solidFill>
                </w14:textFill>
              </w:rPr>
              <w:t>污水处理厂设计进水水质</w:t>
            </w:r>
          </w:p>
        </w:tc>
        <w:tc>
          <w:tcPr>
            <w:tcW w:w="1108" w:type="pct"/>
            <w:vAlign w:val="center"/>
          </w:tcPr>
          <w:p w14:paraId="12FA283C">
            <w:pPr>
              <w:pStyle w:val="109"/>
              <w:rPr>
                <w:color w:val="000000" w:themeColor="text1"/>
                <w14:textFill>
                  <w14:solidFill>
                    <w14:schemeClr w14:val="tx1"/>
                  </w14:solidFill>
                </w14:textFill>
              </w:rPr>
            </w:pPr>
            <w:r>
              <w:rPr>
                <w:color w:val="000000" w:themeColor="text1"/>
                <w14:textFill>
                  <w14:solidFill>
                    <w14:schemeClr w14:val="tx1"/>
                  </w14:solidFill>
                </w14:textFill>
              </w:rPr>
              <w:t>本项目排放水质</w:t>
            </w:r>
          </w:p>
        </w:tc>
        <w:tc>
          <w:tcPr>
            <w:tcW w:w="861" w:type="pct"/>
            <w:vAlign w:val="center"/>
          </w:tcPr>
          <w:p w14:paraId="21E647D0">
            <w:pPr>
              <w:pStyle w:val="109"/>
              <w:rPr>
                <w:color w:val="000000" w:themeColor="text1"/>
                <w14:textFill>
                  <w14:solidFill>
                    <w14:schemeClr w14:val="tx1"/>
                  </w14:solidFill>
                </w14:textFill>
              </w:rPr>
            </w:pPr>
            <w:r>
              <w:rPr>
                <w:color w:val="000000" w:themeColor="text1"/>
                <w14:textFill>
                  <w14:solidFill>
                    <w14:schemeClr w14:val="tx1"/>
                  </w14:solidFill>
                </w14:textFill>
              </w:rPr>
              <w:t>符合性分析</w:t>
            </w:r>
          </w:p>
        </w:tc>
      </w:tr>
      <w:tr w14:paraId="1A9C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58F1D14E">
            <w:pPr>
              <w:pStyle w:val="109"/>
              <w:rPr>
                <w:color w:val="000000" w:themeColor="text1"/>
                <w14:textFill>
                  <w14:solidFill>
                    <w14:schemeClr w14:val="tx1"/>
                  </w14:solidFill>
                </w14:textFill>
              </w:rPr>
            </w:pPr>
            <w:r>
              <w:rPr>
                <w:color w:val="000000" w:themeColor="text1"/>
                <w14:textFill>
                  <w14:solidFill>
                    <w14:schemeClr w14:val="tx1"/>
                  </w14:solidFill>
                </w14:textFill>
              </w:rPr>
              <w:t>pH</w:t>
            </w:r>
          </w:p>
        </w:tc>
        <w:tc>
          <w:tcPr>
            <w:tcW w:w="624" w:type="pct"/>
            <w:vAlign w:val="center"/>
          </w:tcPr>
          <w:p w14:paraId="4FF7706E">
            <w:pPr>
              <w:pStyle w:val="109"/>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1507" w:type="pct"/>
            <w:vAlign w:val="center"/>
          </w:tcPr>
          <w:p w14:paraId="62A116A8">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6.5～9.5</w:t>
            </w:r>
          </w:p>
        </w:tc>
        <w:tc>
          <w:tcPr>
            <w:tcW w:w="1108" w:type="pct"/>
            <w:vAlign w:val="center"/>
          </w:tcPr>
          <w:p w14:paraId="58EF1E0C">
            <w:pPr>
              <w:pStyle w:val="109"/>
              <w:rPr>
                <w:color w:val="000000" w:themeColor="text1"/>
                <w:kern w:val="2"/>
                <w14:textFill>
                  <w14:solidFill>
                    <w14:schemeClr w14:val="tx1"/>
                  </w14:solidFill>
                </w14:textFill>
              </w:rPr>
            </w:pPr>
            <w:r>
              <w:rPr>
                <w:color w:val="000000" w:themeColor="text1"/>
                <w:lang w:bidi="ar"/>
                <w14:textFill>
                  <w14:solidFill>
                    <w14:schemeClr w14:val="tx1"/>
                  </w14:solidFill>
                </w14:textFill>
              </w:rPr>
              <w:t>6～9</w:t>
            </w:r>
          </w:p>
        </w:tc>
        <w:tc>
          <w:tcPr>
            <w:tcW w:w="861" w:type="pct"/>
            <w:vAlign w:val="center"/>
          </w:tcPr>
          <w:p w14:paraId="6860853A">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918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0CE7ADBE">
            <w:pPr>
              <w:pStyle w:val="109"/>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624" w:type="pct"/>
            <w:vAlign w:val="center"/>
          </w:tcPr>
          <w:p w14:paraId="2F010C05">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507" w:type="pct"/>
            <w:vAlign w:val="center"/>
          </w:tcPr>
          <w:p w14:paraId="5636E5EB">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500</w:t>
            </w:r>
          </w:p>
        </w:tc>
        <w:tc>
          <w:tcPr>
            <w:tcW w:w="1108" w:type="pct"/>
            <w:vAlign w:val="center"/>
          </w:tcPr>
          <w:p w14:paraId="131F5ADD">
            <w:pPr>
              <w:pStyle w:val="109"/>
              <w:rPr>
                <w:color w:val="000000" w:themeColor="text1"/>
                <w:kern w:val="2"/>
                <w14:textFill>
                  <w14:solidFill>
                    <w14:schemeClr w14:val="tx1"/>
                  </w14:solidFill>
                </w14:textFill>
              </w:rPr>
            </w:pPr>
            <w:r>
              <w:rPr>
                <w:rFonts w:hint="eastAsia"/>
                <w:color w:val="000000" w:themeColor="text1"/>
                <w:lang w:bidi="ar"/>
                <w14:textFill>
                  <w14:solidFill>
                    <w14:schemeClr w14:val="tx1"/>
                  </w14:solidFill>
                </w14:textFill>
              </w:rPr>
              <w:t>118</w:t>
            </w:r>
          </w:p>
        </w:tc>
        <w:tc>
          <w:tcPr>
            <w:tcW w:w="861" w:type="pct"/>
            <w:vAlign w:val="center"/>
          </w:tcPr>
          <w:p w14:paraId="34ED98BE">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B5C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46F1DF2F">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624" w:type="pct"/>
            <w:vAlign w:val="center"/>
          </w:tcPr>
          <w:p w14:paraId="480BE537">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507" w:type="pct"/>
          </w:tcPr>
          <w:p w14:paraId="0B655257">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w:t>
            </w:r>
          </w:p>
        </w:tc>
        <w:tc>
          <w:tcPr>
            <w:tcW w:w="1108" w:type="pct"/>
            <w:vAlign w:val="center"/>
          </w:tcPr>
          <w:p w14:paraId="49148189">
            <w:pPr>
              <w:pStyle w:val="109"/>
              <w:rPr>
                <w:color w:val="000000" w:themeColor="text1"/>
                <w:kern w:val="2"/>
                <w14:textFill>
                  <w14:solidFill>
                    <w14:schemeClr w14:val="tx1"/>
                  </w14:solidFill>
                </w14:textFill>
              </w:rPr>
            </w:pPr>
            <w:r>
              <w:rPr>
                <w:rFonts w:hint="eastAsia"/>
                <w:color w:val="000000" w:themeColor="text1"/>
                <w:lang w:bidi="ar"/>
                <w14:textFill>
                  <w14:solidFill>
                    <w14:schemeClr w14:val="tx1"/>
                  </w14:solidFill>
                </w14:textFill>
              </w:rPr>
              <w:t>7</w:t>
            </w:r>
          </w:p>
        </w:tc>
        <w:tc>
          <w:tcPr>
            <w:tcW w:w="861" w:type="pct"/>
            <w:vAlign w:val="center"/>
          </w:tcPr>
          <w:p w14:paraId="32BA4BDF">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D01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vAlign w:val="center"/>
          </w:tcPr>
          <w:p w14:paraId="31FE471B">
            <w:pPr>
              <w:pStyle w:val="109"/>
              <w:rPr>
                <w:color w:val="000000" w:themeColor="text1"/>
                <w14:textFill>
                  <w14:solidFill>
                    <w14:schemeClr w14:val="tx1"/>
                  </w14:solidFill>
                </w14:textFill>
              </w:rPr>
            </w:pPr>
            <w:r>
              <w:rPr>
                <w:color w:val="000000" w:themeColor="text1"/>
                <w14:textFill>
                  <w14:solidFill>
                    <w14:schemeClr w14:val="tx1"/>
                  </w14:solidFill>
                </w14:textFill>
              </w:rPr>
              <w:t>SS</w:t>
            </w:r>
          </w:p>
        </w:tc>
        <w:tc>
          <w:tcPr>
            <w:tcW w:w="624" w:type="pct"/>
            <w:vAlign w:val="center"/>
          </w:tcPr>
          <w:p w14:paraId="02FA9B5F">
            <w:pPr>
              <w:pStyle w:val="109"/>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507" w:type="pct"/>
            <w:vAlign w:val="center"/>
          </w:tcPr>
          <w:p w14:paraId="632746B4">
            <w:pPr>
              <w:pStyle w:val="109"/>
              <w:rPr>
                <w:color w:val="000000" w:themeColor="text1"/>
                <w14:textFill>
                  <w14:solidFill>
                    <w14:schemeClr w14:val="tx1"/>
                  </w14:solidFill>
                </w14:textFill>
              </w:rPr>
            </w:pPr>
            <w:r>
              <w:rPr>
                <w:color w:val="000000" w:themeColor="text1"/>
                <w:lang w:bidi="ar"/>
                <w14:textFill>
                  <w14:solidFill>
                    <w14:schemeClr w14:val="tx1"/>
                  </w14:solidFill>
                </w14:textFill>
              </w:rPr>
              <w:t>400</w:t>
            </w:r>
          </w:p>
        </w:tc>
        <w:tc>
          <w:tcPr>
            <w:tcW w:w="1108" w:type="pct"/>
            <w:vAlign w:val="center"/>
          </w:tcPr>
          <w:p w14:paraId="74D05443">
            <w:pPr>
              <w:pStyle w:val="109"/>
              <w:rPr>
                <w:color w:val="000000" w:themeColor="text1"/>
                <w:kern w:val="2"/>
                <w14:textFill>
                  <w14:solidFill>
                    <w14:schemeClr w14:val="tx1"/>
                  </w14:solidFill>
                </w14:textFill>
              </w:rPr>
            </w:pPr>
            <w:r>
              <w:rPr>
                <w:rFonts w:hint="eastAsia"/>
                <w:color w:val="000000" w:themeColor="text1"/>
                <w:lang w:bidi="ar"/>
                <w14:textFill>
                  <w14:solidFill>
                    <w14:schemeClr w14:val="tx1"/>
                  </w14:solidFill>
                </w14:textFill>
              </w:rPr>
              <w:t>68</w:t>
            </w:r>
          </w:p>
        </w:tc>
        <w:tc>
          <w:tcPr>
            <w:tcW w:w="861" w:type="pct"/>
            <w:vAlign w:val="center"/>
          </w:tcPr>
          <w:p w14:paraId="773D7C42">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12008FA0">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根据上表可知，本项目废水中污染物满足甘泉堡南区污水处理厂设计进水水质要求。</w:t>
      </w:r>
    </w:p>
    <w:p w14:paraId="3A92B282">
      <w:pPr>
        <w:pStyle w:val="1299"/>
        <w:spacing w:line="360" w:lineRule="auto"/>
        <w:ind w:firstLine="482"/>
        <w:jc w:val="lef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（5）甘泉堡南区污水处理厂稳定达标排放情况及排放标准</w:t>
      </w:r>
    </w:p>
    <w:p w14:paraId="28D706B6">
      <w:pPr>
        <w:pStyle w:val="1299"/>
        <w:spacing w:line="360" w:lineRule="auto"/>
        <w:ind w:firstLine="480"/>
        <w:jc w:val="left"/>
        <w:rPr>
          <w:rFonts w:cs="Times New Roman"/>
          <w:b/>
          <w:bCs/>
          <w:color w:val="000000" w:themeColor="text1"/>
          <w14:textFill>
            <w14:solidFill>
              <w14:schemeClr w14:val="tx1"/>
            </w14:solidFill>
          </w14:textFill>
        </w:rPr>
      </w:pPr>
      <w:r>
        <w:rPr>
          <w:rFonts w:cs="Times New Roman"/>
          <w:color w:val="000000" w:themeColor="text1"/>
          <w:szCs w:val="24"/>
          <w14:textFill>
            <w14:solidFill>
              <w14:schemeClr w14:val="tx1"/>
            </w14:solidFill>
          </w14:textFill>
        </w:rPr>
        <w:t>参照甘泉堡工业园南区污水厂验收标准和意见，甘泉堡南区污水处理厂</w:t>
      </w:r>
      <w:r>
        <w:rPr>
          <w:rFonts w:cs="Times New Roman"/>
          <w:color w:val="000000" w:themeColor="text1"/>
          <w14:textFill>
            <w14:solidFill>
              <w14:schemeClr w14:val="tx1"/>
            </w14:solidFill>
          </w14:textFill>
        </w:rPr>
        <w:t>处理后的尾水中主要污染物物pH、BOD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CODcr、氨氮、总磷执行《地表水环境质量标准》（GB3838-2002）IV类水质标准；浊度、色度、粪大肠杆菌执行《城市污水再生利用景观环境用水水质》（GB/T18921-2019）相关标准；其余污染物执行《城镇污水处理厂污染物排放标准》（GB18918-2002）中一级A标准，处理达标的水全部排入北沙窝，用于荒漠林灌溉。</w:t>
      </w:r>
    </w:p>
    <w:p w14:paraId="5C2933A8">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本项目废水主要为常规污染物，不会对</w:t>
      </w:r>
      <w:r>
        <w:rPr>
          <w:rFonts w:cs="Times New Roman"/>
          <w:color w:val="000000" w:themeColor="text1"/>
          <w:szCs w:val="24"/>
          <w14:textFill>
            <w14:solidFill>
              <w14:schemeClr w14:val="tx1"/>
            </w14:solidFill>
          </w14:textFill>
        </w:rPr>
        <w:t>甘泉堡南区污水处理厂造成</w:t>
      </w:r>
      <w:r>
        <w:rPr>
          <w:rFonts w:cs="Times New Roman"/>
          <w:color w:val="000000" w:themeColor="text1"/>
          <w14:textFill>
            <w14:solidFill>
              <w14:schemeClr w14:val="tx1"/>
            </w14:solidFill>
          </w14:textFill>
        </w:rPr>
        <w:t>稳定达标排放造成</w:t>
      </w:r>
      <w:r>
        <w:rPr>
          <w:rFonts w:cs="Times New Roman"/>
          <w:color w:val="000000" w:themeColor="text1"/>
          <w:szCs w:val="24"/>
          <w14:textFill>
            <w14:solidFill>
              <w14:schemeClr w14:val="tx1"/>
            </w14:solidFill>
          </w14:textFill>
        </w:rPr>
        <w:t>影响，同时甘泉堡南区污水处理厂</w:t>
      </w:r>
      <w:r>
        <w:rPr>
          <w:rFonts w:cs="Times New Roman"/>
          <w:color w:val="000000" w:themeColor="text1"/>
          <w14:textFill>
            <w14:solidFill>
              <w14:schemeClr w14:val="tx1"/>
            </w14:solidFill>
          </w14:textFill>
        </w:rPr>
        <w:t>排放标准均覆盖本项目废水污染物。</w:t>
      </w:r>
    </w:p>
    <w:p w14:paraId="33AF8F12">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综上所述，本项目依托甘泉堡南区污水处理厂进行下一步处理是可行的。</w:t>
      </w:r>
    </w:p>
    <w:p w14:paraId="19CEADCB">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地表水环境影响评价自查表</w:t>
      </w:r>
    </w:p>
    <w:p w14:paraId="28EE0124">
      <w:pPr>
        <w:autoSpaceDE/>
        <w:autoSpaceDN/>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本项目地表水环境影响自查表见下表。</w:t>
      </w:r>
    </w:p>
    <w:p w14:paraId="4DAE84FD">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地表水环境影响评价自查表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614"/>
        <w:gridCol w:w="1668"/>
        <w:gridCol w:w="319"/>
        <w:gridCol w:w="85"/>
        <w:gridCol w:w="526"/>
        <w:gridCol w:w="470"/>
        <w:gridCol w:w="822"/>
        <w:gridCol w:w="700"/>
        <w:gridCol w:w="202"/>
        <w:gridCol w:w="264"/>
        <w:gridCol w:w="830"/>
        <w:gridCol w:w="102"/>
        <w:gridCol w:w="1623"/>
      </w:tblGrid>
      <w:tr w14:paraId="59DF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7" w:type="dxa"/>
            <w:gridSpan w:val="2"/>
            <w:vAlign w:val="center"/>
          </w:tcPr>
          <w:p w14:paraId="3B30BF9E">
            <w:pPr>
              <w:pStyle w:val="109"/>
              <w:rPr>
                <w:color w:val="000000" w:themeColor="text1"/>
                <w14:textFill>
                  <w14:solidFill>
                    <w14:schemeClr w14:val="tx1"/>
                  </w14:solidFill>
                </w14:textFill>
              </w:rPr>
            </w:pPr>
            <w:r>
              <w:rPr>
                <w:color w:val="000000" w:themeColor="text1"/>
                <w14:textFill>
                  <w14:solidFill>
                    <w14:schemeClr w14:val="tx1"/>
                  </w14:solidFill>
                </w14:textFill>
              </w:rPr>
              <w:t>工作内容</w:t>
            </w:r>
          </w:p>
        </w:tc>
        <w:tc>
          <w:tcPr>
            <w:tcW w:w="7435" w:type="dxa"/>
            <w:gridSpan w:val="12"/>
            <w:vAlign w:val="center"/>
          </w:tcPr>
          <w:p w14:paraId="5833E4D7">
            <w:pPr>
              <w:pStyle w:val="109"/>
              <w:rPr>
                <w:color w:val="000000" w:themeColor="text1"/>
                <w14:textFill>
                  <w14:solidFill>
                    <w14:schemeClr w14:val="tx1"/>
                  </w14:solidFill>
                </w14:textFill>
              </w:rPr>
            </w:pPr>
            <w:r>
              <w:rPr>
                <w:color w:val="000000" w:themeColor="text1"/>
                <w14:textFill>
                  <w14:solidFill>
                    <w14:schemeClr w14:val="tx1"/>
                  </w14:solidFill>
                </w14:textFill>
              </w:rPr>
              <w:t>自查项目</w:t>
            </w:r>
          </w:p>
        </w:tc>
      </w:tr>
      <w:tr w14:paraId="2C6B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restart"/>
            <w:vAlign w:val="center"/>
          </w:tcPr>
          <w:p w14:paraId="5B3BB7A4">
            <w:pPr>
              <w:pStyle w:val="109"/>
              <w:rPr>
                <w:color w:val="000000" w:themeColor="text1"/>
                <w14:textFill>
                  <w14:solidFill>
                    <w14:schemeClr w14:val="tx1"/>
                  </w14:solidFill>
                </w14:textFill>
              </w:rPr>
            </w:pPr>
            <w:r>
              <w:rPr>
                <w:color w:val="000000" w:themeColor="text1"/>
                <w14:textFill>
                  <w14:solidFill>
                    <w14:schemeClr w14:val="tx1"/>
                  </w14:solidFill>
                </w14:textFill>
              </w:rPr>
              <w:t>影</w:t>
            </w:r>
          </w:p>
          <w:p w14:paraId="1D00E832">
            <w:pPr>
              <w:pStyle w:val="109"/>
              <w:rPr>
                <w:color w:val="000000" w:themeColor="text1"/>
                <w14:textFill>
                  <w14:solidFill>
                    <w14:schemeClr w14:val="tx1"/>
                  </w14:solidFill>
                </w14:textFill>
              </w:rPr>
            </w:pPr>
            <w:r>
              <w:rPr>
                <w:color w:val="000000" w:themeColor="text1"/>
                <w14:textFill>
                  <w14:solidFill>
                    <w14:schemeClr w14:val="tx1"/>
                  </w14:solidFill>
                </w14:textFill>
              </w:rPr>
              <w:t>响</w:t>
            </w:r>
          </w:p>
          <w:p w14:paraId="46D882EE">
            <w:pPr>
              <w:pStyle w:val="109"/>
              <w:rPr>
                <w:color w:val="000000" w:themeColor="text1"/>
                <w14:textFill>
                  <w14:solidFill>
                    <w14:schemeClr w14:val="tx1"/>
                  </w14:solidFill>
                </w14:textFill>
              </w:rPr>
            </w:pPr>
            <w:r>
              <w:rPr>
                <w:color w:val="000000" w:themeColor="text1"/>
                <w14:textFill>
                  <w14:solidFill>
                    <w14:schemeClr w14:val="tx1"/>
                  </w14:solidFill>
                </w14:textFill>
              </w:rPr>
              <w:t>识</w:t>
            </w:r>
          </w:p>
          <w:p w14:paraId="7B23CA36">
            <w:pPr>
              <w:pStyle w:val="109"/>
              <w:rPr>
                <w:color w:val="000000" w:themeColor="text1"/>
                <w14:textFill>
                  <w14:solidFill>
                    <w14:schemeClr w14:val="tx1"/>
                  </w14:solidFill>
                </w14:textFill>
              </w:rPr>
            </w:pPr>
            <w:r>
              <w:rPr>
                <w:color w:val="000000" w:themeColor="text1"/>
                <w14:textFill>
                  <w14:solidFill>
                    <w14:schemeClr w14:val="tx1"/>
                  </w14:solidFill>
                </w14:textFill>
              </w:rPr>
              <w:t>别</w:t>
            </w:r>
          </w:p>
        </w:tc>
        <w:tc>
          <w:tcPr>
            <w:tcW w:w="1576" w:type="dxa"/>
            <w:vAlign w:val="center"/>
          </w:tcPr>
          <w:p w14:paraId="27116D15">
            <w:pPr>
              <w:pStyle w:val="109"/>
              <w:rPr>
                <w:color w:val="000000" w:themeColor="text1"/>
                <w14:textFill>
                  <w14:solidFill>
                    <w14:schemeClr w14:val="tx1"/>
                  </w14:solidFill>
                </w14:textFill>
              </w:rPr>
            </w:pPr>
            <w:r>
              <w:rPr>
                <w:color w:val="000000" w:themeColor="text1"/>
                <w14:textFill>
                  <w14:solidFill>
                    <w14:schemeClr w14:val="tx1"/>
                  </w14:solidFill>
                </w14:textFill>
              </w:rPr>
              <w:t>影响类型</w:t>
            </w:r>
          </w:p>
        </w:tc>
        <w:tc>
          <w:tcPr>
            <w:tcW w:w="7435" w:type="dxa"/>
            <w:gridSpan w:val="12"/>
            <w:vAlign w:val="center"/>
          </w:tcPr>
          <w:p w14:paraId="6292950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水污染影响型 </w:t>
            </w:r>
            <w:r>
              <w:rPr>
                <w:rFonts w:ascii="Segoe UI Symbol" w:hAnsi="Segoe UI Symbol" w:cs="Segoe UI Symbol"/>
                <w:color w:val="000000" w:themeColor="text1"/>
                <w14:textFill>
                  <w14:solidFill>
                    <w14:schemeClr w14:val="tx1"/>
                  </w14:solidFill>
                </w14:textFill>
              </w:rPr>
              <w:t>☑</w:t>
            </w:r>
            <w:r>
              <w:rPr>
                <w:color w:val="000000" w:themeColor="text1"/>
                <w14:textFill>
                  <w14:solidFill>
                    <w14:schemeClr w14:val="tx1"/>
                  </w14:solidFill>
                </w14:textFill>
              </w:rPr>
              <w:t>；水文要素影响型 □</w:t>
            </w:r>
          </w:p>
        </w:tc>
      </w:tr>
      <w:tr w14:paraId="20A5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3E5FD41F">
            <w:pPr>
              <w:pStyle w:val="109"/>
              <w:rPr>
                <w:color w:val="000000" w:themeColor="text1"/>
                <w14:textFill>
                  <w14:solidFill>
                    <w14:schemeClr w14:val="tx1"/>
                  </w14:solidFill>
                </w14:textFill>
              </w:rPr>
            </w:pPr>
          </w:p>
        </w:tc>
        <w:tc>
          <w:tcPr>
            <w:tcW w:w="1576" w:type="dxa"/>
            <w:vAlign w:val="center"/>
          </w:tcPr>
          <w:p w14:paraId="7D598C9D">
            <w:pPr>
              <w:pStyle w:val="109"/>
              <w:rPr>
                <w:color w:val="000000" w:themeColor="text1"/>
                <w14:textFill>
                  <w14:solidFill>
                    <w14:schemeClr w14:val="tx1"/>
                  </w14:solidFill>
                </w14:textFill>
              </w:rPr>
            </w:pPr>
            <w:r>
              <w:rPr>
                <w:color w:val="000000" w:themeColor="text1"/>
                <w14:textFill>
                  <w14:solidFill>
                    <w14:schemeClr w14:val="tx1"/>
                  </w14:solidFill>
                </w14:textFill>
              </w:rPr>
              <w:t>水环境保护目标</w:t>
            </w:r>
          </w:p>
        </w:tc>
        <w:tc>
          <w:tcPr>
            <w:tcW w:w="7435" w:type="dxa"/>
            <w:gridSpan w:val="12"/>
            <w:vAlign w:val="center"/>
          </w:tcPr>
          <w:p w14:paraId="6F745DB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饮用水水源保护区 □；饮用水取水口 □；涉水的自然保护区 □；重要湿地 □； </w:t>
            </w:r>
          </w:p>
          <w:p w14:paraId="5E3B367A">
            <w:pPr>
              <w:pStyle w:val="109"/>
              <w:rPr>
                <w:color w:val="000000" w:themeColor="text1"/>
                <w14:textFill>
                  <w14:solidFill>
                    <w14:schemeClr w14:val="tx1"/>
                  </w14:solidFill>
                </w14:textFill>
              </w:rPr>
            </w:pPr>
            <w:r>
              <w:rPr>
                <w:color w:val="000000" w:themeColor="text1"/>
                <w14:textFill>
                  <w14:solidFill>
                    <w14:schemeClr w14:val="tx1"/>
                  </w14:solidFill>
                </w14:textFill>
              </w:rPr>
              <w:t>重点保护与珍稀水生生物的栖息地 □；重要水生生物的自然产卵场及索饵场、越冬场和洄游通道、天然渔场等渔业水体 □；涉水的风景名胜区 □；其他 □</w:t>
            </w:r>
          </w:p>
        </w:tc>
      </w:tr>
      <w:tr w14:paraId="5D8F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127BEE8D">
            <w:pPr>
              <w:pStyle w:val="109"/>
              <w:rPr>
                <w:color w:val="000000" w:themeColor="text1"/>
                <w14:textFill>
                  <w14:solidFill>
                    <w14:schemeClr w14:val="tx1"/>
                  </w14:solidFill>
                </w14:textFill>
              </w:rPr>
            </w:pPr>
          </w:p>
        </w:tc>
        <w:tc>
          <w:tcPr>
            <w:tcW w:w="1576" w:type="dxa"/>
            <w:vMerge w:val="restart"/>
            <w:vAlign w:val="center"/>
          </w:tcPr>
          <w:p w14:paraId="377B574A">
            <w:pPr>
              <w:pStyle w:val="109"/>
              <w:rPr>
                <w:color w:val="000000" w:themeColor="text1"/>
                <w14:textFill>
                  <w14:solidFill>
                    <w14:schemeClr w14:val="tx1"/>
                  </w14:solidFill>
                </w14:textFill>
              </w:rPr>
            </w:pPr>
            <w:r>
              <w:rPr>
                <w:color w:val="000000" w:themeColor="text1"/>
                <w14:textFill>
                  <w14:solidFill>
                    <w14:schemeClr w14:val="tx1"/>
                  </w14:solidFill>
                </w14:textFill>
              </w:rPr>
              <w:t>影响途径</w:t>
            </w:r>
          </w:p>
        </w:tc>
        <w:tc>
          <w:tcPr>
            <w:tcW w:w="3800" w:type="dxa"/>
            <w:gridSpan w:val="6"/>
            <w:vAlign w:val="center"/>
          </w:tcPr>
          <w:p w14:paraId="11D070FA">
            <w:pPr>
              <w:pStyle w:val="109"/>
              <w:rPr>
                <w:color w:val="000000" w:themeColor="text1"/>
                <w14:textFill>
                  <w14:solidFill>
                    <w14:schemeClr w14:val="tx1"/>
                  </w14:solidFill>
                </w14:textFill>
              </w:rPr>
            </w:pPr>
            <w:r>
              <w:rPr>
                <w:color w:val="000000" w:themeColor="text1"/>
                <w14:textFill>
                  <w14:solidFill>
                    <w14:schemeClr w14:val="tx1"/>
                  </w14:solidFill>
                </w14:textFill>
              </w:rPr>
              <w:t>水污染影响型</w:t>
            </w:r>
          </w:p>
        </w:tc>
        <w:tc>
          <w:tcPr>
            <w:tcW w:w="3635" w:type="dxa"/>
            <w:gridSpan w:val="6"/>
            <w:vAlign w:val="center"/>
          </w:tcPr>
          <w:p w14:paraId="048AD80D">
            <w:pPr>
              <w:pStyle w:val="109"/>
              <w:rPr>
                <w:color w:val="000000" w:themeColor="text1"/>
                <w14:textFill>
                  <w14:solidFill>
                    <w14:schemeClr w14:val="tx1"/>
                  </w14:solidFill>
                </w14:textFill>
              </w:rPr>
            </w:pPr>
            <w:r>
              <w:rPr>
                <w:color w:val="000000" w:themeColor="text1"/>
                <w14:textFill>
                  <w14:solidFill>
                    <w14:schemeClr w14:val="tx1"/>
                  </w14:solidFill>
                </w14:textFill>
              </w:rPr>
              <w:t>水文要素影响型</w:t>
            </w:r>
          </w:p>
        </w:tc>
      </w:tr>
      <w:tr w14:paraId="7BCD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5877A5D3">
            <w:pPr>
              <w:pStyle w:val="109"/>
              <w:rPr>
                <w:color w:val="000000" w:themeColor="text1"/>
                <w14:textFill>
                  <w14:solidFill>
                    <w14:schemeClr w14:val="tx1"/>
                  </w14:solidFill>
                </w14:textFill>
              </w:rPr>
            </w:pPr>
          </w:p>
        </w:tc>
        <w:tc>
          <w:tcPr>
            <w:tcW w:w="1576" w:type="dxa"/>
            <w:vMerge w:val="continue"/>
            <w:vAlign w:val="center"/>
          </w:tcPr>
          <w:p w14:paraId="01217901">
            <w:pPr>
              <w:pStyle w:val="109"/>
              <w:rPr>
                <w:color w:val="000000" w:themeColor="text1"/>
                <w14:textFill>
                  <w14:solidFill>
                    <w14:schemeClr w14:val="tx1"/>
                  </w14:solidFill>
                </w14:textFill>
              </w:rPr>
            </w:pPr>
          </w:p>
        </w:tc>
        <w:tc>
          <w:tcPr>
            <w:tcW w:w="3800" w:type="dxa"/>
            <w:gridSpan w:val="6"/>
            <w:vAlign w:val="center"/>
          </w:tcPr>
          <w:p w14:paraId="7C2BDDA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直接排放 □；间接排放 </w:t>
            </w:r>
            <w:r>
              <w:rPr>
                <w:rFonts w:ascii="Segoe UI Symbol" w:hAnsi="Segoe UI Symbol" w:cs="Segoe UI Symbol"/>
                <w:color w:val="000000" w:themeColor="text1"/>
                <w14:textFill>
                  <w14:solidFill>
                    <w14:schemeClr w14:val="tx1"/>
                  </w14:solidFill>
                </w14:textFill>
              </w:rPr>
              <w:t>☑</w:t>
            </w:r>
            <w:r>
              <w:rPr>
                <w:color w:val="000000" w:themeColor="text1"/>
                <w14:textFill>
                  <w14:solidFill>
                    <w14:schemeClr w14:val="tx1"/>
                  </w14:solidFill>
                </w14:textFill>
              </w:rPr>
              <w:t>；其他 □</w:t>
            </w:r>
          </w:p>
        </w:tc>
        <w:tc>
          <w:tcPr>
            <w:tcW w:w="3635" w:type="dxa"/>
            <w:gridSpan w:val="6"/>
            <w:vAlign w:val="center"/>
          </w:tcPr>
          <w:p w14:paraId="39E4062C">
            <w:pPr>
              <w:pStyle w:val="109"/>
              <w:rPr>
                <w:color w:val="000000" w:themeColor="text1"/>
                <w14:textFill>
                  <w14:solidFill>
                    <w14:schemeClr w14:val="tx1"/>
                  </w14:solidFill>
                </w14:textFill>
              </w:rPr>
            </w:pPr>
            <w:r>
              <w:rPr>
                <w:color w:val="000000" w:themeColor="text1"/>
                <w14:textFill>
                  <w14:solidFill>
                    <w14:schemeClr w14:val="tx1"/>
                  </w14:solidFill>
                </w14:textFill>
              </w:rPr>
              <w:t>水温 □；径流 □；水域面积 □</w:t>
            </w:r>
          </w:p>
        </w:tc>
      </w:tr>
      <w:tr w14:paraId="5031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1A95F209">
            <w:pPr>
              <w:pStyle w:val="109"/>
              <w:rPr>
                <w:color w:val="000000" w:themeColor="text1"/>
                <w14:textFill>
                  <w14:solidFill>
                    <w14:schemeClr w14:val="tx1"/>
                  </w14:solidFill>
                </w14:textFill>
              </w:rPr>
            </w:pPr>
          </w:p>
        </w:tc>
        <w:tc>
          <w:tcPr>
            <w:tcW w:w="1576" w:type="dxa"/>
            <w:vAlign w:val="center"/>
          </w:tcPr>
          <w:p w14:paraId="0572F374">
            <w:pPr>
              <w:pStyle w:val="109"/>
              <w:rPr>
                <w:color w:val="000000" w:themeColor="text1"/>
                <w14:textFill>
                  <w14:solidFill>
                    <w14:schemeClr w14:val="tx1"/>
                  </w14:solidFill>
                </w14:textFill>
              </w:rPr>
            </w:pPr>
            <w:r>
              <w:rPr>
                <w:color w:val="000000" w:themeColor="text1"/>
                <w14:textFill>
                  <w14:solidFill>
                    <w14:schemeClr w14:val="tx1"/>
                  </w14:solidFill>
                </w14:textFill>
              </w:rPr>
              <w:t>影响因子</w:t>
            </w:r>
          </w:p>
        </w:tc>
        <w:tc>
          <w:tcPr>
            <w:tcW w:w="3800" w:type="dxa"/>
            <w:gridSpan w:val="6"/>
            <w:vAlign w:val="center"/>
          </w:tcPr>
          <w:p w14:paraId="25F254C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持久性污染物 </w:t>
            </w: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 xml:space="preserve">；有毒有害污染物 □；非持久性污染物 </w:t>
            </w:r>
            <w:r>
              <w:rPr>
                <w:rFonts w:ascii="Segoe UI Symbol" w:hAnsi="Segoe UI Symbol" w:cs="Segoe UI Symbol"/>
                <w:color w:val="000000" w:themeColor="text1"/>
                <w14:textFill>
                  <w14:solidFill>
                    <w14:schemeClr w14:val="tx1"/>
                  </w14:solidFill>
                </w14:textFill>
              </w:rPr>
              <w:t>☑</w:t>
            </w:r>
            <w:r>
              <w:rPr>
                <w:color w:val="000000" w:themeColor="text1"/>
                <w14:textFill>
                  <w14:solidFill>
                    <w14:schemeClr w14:val="tx1"/>
                  </w14:solidFill>
                </w14:textFill>
              </w:rPr>
              <w:t>；</w:t>
            </w:r>
          </w:p>
          <w:p w14:paraId="5CAA18A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pH值□；热污染 □；富营养化 </w:t>
            </w:r>
            <w:r>
              <w:rPr>
                <w:rFonts w:ascii="Segoe UI Symbol" w:hAnsi="Segoe UI Symbol" w:cs="Segoe UI Symbol"/>
                <w:color w:val="000000" w:themeColor="text1"/>
                <w14:textFill>
                  <w14:solidFill>
                    <w14:schemeClr w14:val="tx1"/>
                  </w14:solidFill>
                </w14:textFill>
              </w:rPr>
              <w:t>☑</w:t>
            </w:r>
            <w:r>
              <w:rPr>
                <w:color w:val="000000" w:themeColor="text1"/>
                <w14:textFill>
                  <w14:solidFill>
                    <w14:schemeClr w14:val="tx1"/>
                  </w14:solidFill>
                </w14:textFill>
              </w:rPr>
              <w:t xml:space="preserve">；其他 </w:t>
            </w:r>
            <w:r>
              <w:rPr>
                <w:rFonts w:ascii="Segoe UI Symbol" w:hAnsi="Segoe UI Symbol" w:cs="Segoe UI Symbol"/>
                <w:color w:val="000000" w:themeColor="text1"/>
                <w14:textFill>
                  <w14:solidFill>
                    <w14:schemeClr w14:val="tx1"/>
                  </w14:solidFill>
                </w14:textFill>
              </w:rPr>
              <w:t>☑</w:t>
            </w:r>
          </w:p>
        </w:tc>
        <w:tc>
          <w:tcPr>
            <w:tcW w:w="3635" w:type="dxa"/>
            <w:gridSpan w:val="6"/>
            <w:vAlign w:val="center"/>
          </w:tcPr>
          <w:p w14:paraId="04807C6A">
            <w:pPr>
              <w:pStyle w:val="109"/>
              <w:rPr>
                <w:color w:val="000000" w:themeColor="text1"/>
                <w14:textFill>
                  <w14:solidFill>
                    <w14:schemeClr w14:val="tx1"/>
                  </w14:solidFill>
                </w14:textFill>
              </w:rPr>
            </w:pPr>
            <w:r>
              <w:rPr>
                <w:color w:val="000000" w:themeColor="text1"/>
                <w14:textFill>
                  <w14:solidFill>
                    <w14:schemeClr w14:val="tx1"/>
                  </w14:solidFill>
                </w14:textFill>
              </w:rPr>
              <w:t>水温 □；水位（水深） □；流速 □；流量 □；其他 □</w:t>
            </w:r>
          </w:p>
        </w:tc>
      </w:tr>
      <w:tr w14:paraId="14F8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7" w:type="dxa"/>
            <w:gridSpan w:val="2"/>
            <w:vMerge w:val="restart"/>
            <w:vAlign w:val="center"/>
          </w:tcPr>
          <w:p w14:paraId="193D27F3">
            <w:pPr>
              <w:pStyle w:val="109"/>
              <w:rPr>
                <w:color w:val="000000" w:themeColor="text1"/>
                <w14:textFill>
                  <w14:solidFill>
                    <w14:schemeClr w14:val="tx1"/>
                  </w14:solidFill>
                </w14:textFill>
              </w:rPr>
            </w:pPr>
            <w:r>
              <w:rPr>
                <w:color w:val="000000" w:themeColor="text1"/>
                <w14:textFill>
                  <w14:solidFill>
                    <w14:schemeClr w14:val="tx1"/>
                  </w14:solidFill>
                </w14:textFill>
              </w:rPr>
              <w:t>评价等级</w:t>
            </w:r>
          </w:p>
        </w:tc>
        <w:tc>
          <w:tcPr>
            <w:tcW w:w="3800" w:type="dxa"/>
            <w:gridSpan w:val="6"/>
            <w:vAlign w:val="center"/>
          </w:tcPr>
          <w:p w14:paraId="5A324A1A">
            <w:pPr>
              <w:pStyle w:val="109"/>
              <w:rPr>
                <w:color w:val="000000" w:themeColor="text1"/>
                <w14:textFill>
                  <w14:solidFill>
                    <w14:schemeClr w14:val="tx1"/>
                  </w14:solidFill>
                </w14:textFill>
              </w:rPr>
            </w:pPr>
            <w:r>
              <w:rPr>
                <w:color w:val="000000" w:themeColor="text1"/>
                <w14:textFill>
                  <w14:solidFill>
                    <w14:schemeClr w14:val="tx1"/>
                  </w14:solidFill>
                </w14:textFill>
              </w:rPr>
              <w:t>水污染影响型</w:t>
            </w:r>
          </w:p>
        </w:tc>
        <w:tc>
          <w:tcPr>
            <w:tcW w:w="3635" w:type="dxa"/>
            <w:gridSpan w:val="6"/>
            <w:vAlign w:val="center"/>
          </w:tcPr>
          <w:p w14:paraId="5651A375">
            <w:pPr>
              <w:pStyle w:val="109"/>
              <w:rPr>
                <w:color w:val="000000" w:themeColor="text1"/>
                <w14:textFill>
                  <w14:solidFill>
                    <w14:schemeClr w14:val="tx1"/>
                  </w14:solidFill>
                </w14:textFill>
              </w:rPr>
            </w:pPr>
            <w:r>
              <w:rPr>
                <w:color w:val="000000" w:themeColor="text1"/>
                <w14:textFill>
                  <w14:solidFill>
                    <w14:schemeClr w14:val="tx1"/>
                  </w14:solidFill>
                </w14:textFill>
              </w:rPr>
              <w:t>水文要素影响型</w:t>
            </w:r>
          </w:p>
        </w:tc>
      </w:tr>
      <w:tr w14:paraId="1593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7" w:type="dxa"/>
            <w:gridSpan w:val="2"/>
            <w:vMerge w:val="continue"/>
            <w:vAlign w:val="center"/>
          </w:tcPr>
          <w:p w14:paraId="20701306">
            <w:pPr>
              <w:pStyle w:val="109"/>
              <w:rPr>
                <w:color w:val="000000" w:themeColor="text1"/>
                <w14:textFill>
                  <w14:solidFill>
                    <w14:schemeClr w14:val="tx1"/>
                  </w14:solidFill>
                </w14:textFill>
              </w:rPr>
            </w:pPr>
          </w:p>
        </w:tc>
        <w:tc>
          <w:tcPr>
            <w:tcW w:w="3800" w:type="dxa"/>
            <w:gridSpan w:val="6"/>
            <w:vAlign w:val="center"/>
          </w:tcPr>
          <w:p w14:paraId="06967FE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一级 □；二级 □；三级A □；三级B </w:t>
            </w:r>
            <w:r>
              <w:rPr>
                <w:rFonts w:ascii="Segoe UI Symbol" w:hAnsi="Segoe UI Symbol" w:cs="Segoe UI Symbol"/>
                <w:color w:val="000000" w:themeColor="text1"/>
                <w14:textFill>
                  <w14:solidFill>
                    <w14:schemeClr w14:val="tx1"/>
                  </w14:solidFill>
                </w14:textFill>
              </w:rPr>
              <w:t>☑</w:t>
            </w:r>
          </w:p>
        </w:tc>
        <w:tc>
          <w:tcPr>
            <w:tcW w:w="3635" w:type="dxa"/>
            <w:gridSpan w:val="6"/>
            <w:vAlign w:val="center"/>
          </w:tcPr>
          <w:p w14:paraId="56B5BFFF">
            <w:pPr>
              <w:pStyle w:val="109"/>
              <w:rPr>
                <w:color w:val="000000" w:themeColor="text1"/>
                <w14:textFill>
                  <w14:solidFill>
                    <w14:schemeClr w14:val="tx1"/>
                  </w14:solidFill>
                </w14:textFill>
              </w:rPr>
            </w:pPr>
            <w:r>
              <w:rPr>
                <w:color w:val="000000" w:themeColor="text1"/>
                <w14:textFill>
                  <w14:solidFill>
                    <w14:schemeClr w14:val="tx1"/>
                  </w14:solidFill>
                </w14:textFill>
              </w:rPr>
              <w:t>一级 □；二级 □；三级 □</w:t>
            </w:r>
          </w:p>
        </w:tc>
      </w:tr>
      <w:tr w14:paraId="61F5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restart"/>
            <w:vAlign w:val="center"/>
          </w:tcPr>
          <w:p w14:paraId="551DDCDA">
            <w:pPr>
              <w:pStyle w:val="109"/>
              <w:rPr>
                <w:color w:val="000000" w:themeColor="text1"/>
                <w14:textFill>
                  <w14:solidFill>
                    <w14:schemeClr w14:val="tx1"/>
                  </w14:solidFill>
                </w14:textFill>
              </w:rPr>
            </w:pPr>
            <w:r>
              <w:rPr>
                <w:color w:val="000000" w:themeColor="text1"/>
                <w14:textFill>
                  <w14:solidFill>
                    <w14:schemeClr w14:val="tx1"/>
                  </w14:solidFill>
                </w14:textFill>
              </w:rPr>
              <w:t>现</w:t>
            </w:r>
          </w:p>
          <w:p w14:paraId="75AE8629">
            <w:pPr>
              <w:pStyle w:val="109"/>
              <w:rPr>
                <w:color w:val="000000" w:themeColor="text1"/>
                <w14:textFill>
                  <w14:solidFill>
                    <w14:schemeClr w14:val="tx1"/>
                  </w14:solidFill>
                </w14:textFill>
              </w:rPr>
            </w:pPr>
            <w:r>
              <w:rPr>
                <w:color w:val="000000" w:themeColor="text1"/>
                <w14:textFill>
                  <w14:solidFill>
                    <w14:schemeClr w14:val="tx1"/>
                  </w14:solidFill>
                </w14:textFill>
              </w:rPr>
              <w:t>状</w:t>
            </w:r>
          </w:p>
          <w:p w14:paraId="435DD379">
            <w:pPr>
              <w:pStyle w:val="109"/>
              <w:rPr>
                <w:color w:val="000000" w:themeColor="text1"/>
                <w14:textFill>
                  <w14:solidFill>
                    <w14:schemeClr w14:val="tx1"/>
                  </w14:solidFill>
                </w14:textFill>
              </w:rPr>
            </w:pPr>
            <w:r>
              <w:rPr>
                <w:color w:val="000000" w:themeColor="text1"/>
                <w14:textFill>
                  <w14:solidFill>
                    <w14:schemeClr w14:val="tx1"/>
                  </w14:solidFill>
                </w14:textFill>
              </w:rPr>
              <w:t>调</w:t>
            </w:r>
          </w:p>
          <w:p w14:paraId="0186971D">
            <w:pPr>
              <w:pStyle w:val="109"/>
              <w:rPr>
                <w:color w:val="000000" w:themeColor="text1"/>
                <w14:textFill>
                  <w14:solidFill>
                    <w14:schemeClr w14:val="tx1"/>
                  </w14:solidFill>
                </w14:textFill>
              </w:rPr>
            </w:pPr>
            <w:r>
              <w:rPr>
                <w:color w:val="000000" w:themeColor="text1"/>
                <w14:textFill>
                  <w14:solidFill>
                    <w14:schemeClr w14:val="tx1"/>
                  </w14:solidFill>
                </w14:textFill>
              </w:rPr>
              <w:t>查</w:t>
            </w:r>
          </w:p>
        </w:tc>
        <w:tc>
          <w:tcPr>
            <w:tcW w:w="1576" w:type="dxa"/>
            <w:vMerge w:val="restart"/>
            <w:vAlign w:val="center"/>
          </w:tcPr>
          <w:p w14:paraId="235FD1F5">
            <w:pPr>
              <w:pStyle w:val="109"/>
              <w:rPr>
                <w:color w:val="000000" w:themeColor="text1"/>
                <w14:textFill>
                  <w14:solidFill>
                    <w14:schemeClr w14:val="tx1"/>
                  </w14:solidFill>
                </w14:textFill>
              </w:rPr>
            </w:pPr>
            <w:r>
              <w:rPr>
                <w:color w:val="000000" w:themeColor="text1"/>
                <w14:textFill>
                  <w14:solidFill>
                    <w14:schemeClr w14:val="tx1"/>
                  </w14:solidFill>
                </w14:textFill>
              </w:rPr>
              <w:t>区域污染源</w:t>
            </w:r>
          </w:p>
        </w:tc>
        <w:tc>
          <w:tcPr>
            <w:tcW w:w="3800" w:type="dxa"/>
            <w:gridSpan w:val="6"/>
            <w:vAlign w:val="center"/>
          </w:tcPr>
          <w:p w14:paraId="2E06741B">
            <w:pPr>
              <w:pStyle w:val="109"/>
              <w:rPr>
                <w:color w:val="000000" w:themeColor="text1"/>
                <w14:textFill>
                  <w14:solidFill>
                    <w14:schemeClr w14:val="tx1"/>
                  </w14:solidFill>
                </w14:textFill>
              </w:rPr>
            </w:pPr>
            <w:r>
              <w:rPr>
                <w:color w:val="000000" w:themeColor="text1"/>
                <w14:textFill>
                  <w14:solidFill>
                    <w14:schemeClr w14:val="tx1"/>
                  </w14:solidFill>
                </w14:textFill>
              </w:rPr>
              <w:t>调查项目</w:t>
            </w:r>
          </w:p>
        </w:tc>
        <w:tc>
          <w:tcPr>
            <w:tcW w:w="3635" w:type="dxa"/>
            <w:gridSpan w:val="6"/>
            <w:vAlign w:val="center"/>
          </w:tcPr>
          <w:p w14:paraId="48A0F574">
            <w:pPr>
              <w:pStyle w:val="109"/>
              <w:rPr>
                <w:color w:val="000000" w:themeColor="text1"/>
                <w14:textFill>
                  <w14:solidFill>
                    <w14:schemeClr w14:val="tx1"/>
                  </w14:solidFill>
                </w14:textFill>
              </w:rPr>
            </w:pPr>
            <w:r>
              <w:rPr>
                <w:color w:val="000000" w:themeColor="text1"/>
                <w14:textFill>
                  <w14:solidFill>
                    <w14:schemeClr w14:val="tx1"/>
                  </w14:solidFill>
                </w14:textFill>
              </w:rPr>
              <w:t>数据来源</w:t>
            </w:r>
          </w:p>
        </w:tc>
      </w:tr>
      <w:tr w14:paraId="4952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1A1E34B7">
            <w:pPr>
              <w:pStyle w:val="109"/>
              <w:rPr>
                <w:color w:val="000000" w:themeColor="text1"/>
                <w14:textFill>
                  <w14:solidFill>
                    <w14:schemeClr w14:val="tx1"/>
                  </w14:solidFill>
                </w14:textFill>
              </w:rPr>
            </w:pPr>
          </w:p>
        </w:tc>
        <w:tc>
          <w:tcPr>
            <w:tcW w:w="1576" w:type="dxa"/>
            <w:vMerge w:val="continue"/>
            <w:vAlign w:val="center"/>
          </w:tcPr>
          <w:p w14:paraId="13D91D23">
            <w:pPr>
              <w:pStyle w:val="109"/>
              <w:rPr>
                <w:color w:val="000000" w:themeColor="text1"/>
                <w14:textFill>
                  <w14:solidFill>
                    <w14:schemeClr w14:val="tx1"/>
                  </w14:solidFill>
                </w14:textFill>
              </w:rPr>
            </w:pPr>
          </w:p>
        </w:tc>
        <w:tc>
          <w:tcPr>
            <w:tcW w:w="1941" w:type="dxa"/>
            <w:gridSpan w:val="2"/>
            <w:vAlign w:val="center"/>
          </w:tcPr>
          <w:p w14:paraId="0B3F743A">
            <w:pPr>
              <w:pStyle w:val="109"/>
              <w:rPr>
                <w:color w:val="000000" w:themeColor="text1"/>
                <w14:textFill>
                  <w14:solidFill>
                    <w14:schemeClr w14:val="tx1"/>
                  </w14:solidFill>
                </w14:textFill>
              </w:rPr>
            </w:pPr>
            <w:r>
              <w:rPr>
                <w:color w:val="000000" w:themeColor="text1"/>
                <w14:textFill>
                  <w14:solidFill>
                    <w14:schemeClr w14:val="tx1"/>
                  </w14:solidFill>
                </w14:textFill>
              </w:rPr>
              <w:t>已建 □；在建 □；拟建 □；其他 □</w:t>
            </w:r>
          </w:p>
        </w:tc>
        <w:tc>
          <w:tcPr>
            <w:tcW w:w="1859" w:type="dxa"/>
            <w:gridSpan w:val="4"/>
            <w:vAlign w:val="center"/>
          </w:tcPr>
          <w:p w14:paraId="1C5A8481">
            <w:pPr>
              <w:pStyle w:val="109"/>
              <w:rPr>
                <w:color w:val="000000" w:themeColor="text1"/>
                <w14:textFill>
                  <w14:solidFill>
                    <w14:schemeClr w14:val="tx1"/>
                  </w14:solidFill>
                </w14:textFill>
              </w:rPr>
            </w:pPr>
            <w:r>
              <w:rPr>
                <w:color w:val="000000" w:themeColor="text1"/>
                <w14:textFill>
                  <w14:solidFill>
                    <w14:schemeClr w14:val="tx1"/>
                  </w14:solidFill>
                </w14:textFill>
              </w:rPr>
              <w:t>拟替代的污染源□</w:t>
            </w:r>
          </w:p>
        </w:tc>
        <w:tc>
          <w:tcPr>
            <w:tcW w:w="3635" w:type="dxa"/>
            <w:gridSpan w:val="6"/>
            <w:vAlign w:val="center"/>
          </w:tcPr>
          <w:p w14:paraId="5799FB84">
            <w:pPr>
              <w:pStyle w:val="109"/>
              <w:rPr>
                <w:color w:val="000000" w:themeColor="text1"/>
                <w14:textFill>
                  <w14:solidFill>
                    <w14:schemeClr w14:val="tx1"/>
                  </w14:solidFill>
                </w14:textFill>
              </w:rPr>
            </w:pPr>
            <w:r>
              <w:rPr>
                <w:color w:val="000000" w:themeColor="text1"/>
                <w14:textFill>
                  <w14:solidFill>
                    <w14:schemeClr w14:val="tx1"/>
                  </w14:solidFill>
                </w14:textFill>
              </w:rPr>
              <w:t>排污许可证 □；环评 □；环保验收 □；既有实测 □；现场监测 □；入河排放口数据 □；其他 □</w:t>
            </w:r>
          </w:p>
        </w:tc>
      </w:tr>
      <w:tr w14:paraId="7A32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07EA5B64">
            <w:pPr>
              <w:pStyle w:val="109"/>
              <w:rPr>
                <w:color w:val="000000" w:themeColor="text1"/>
                <w14:textFill>
                  <w14:solidFill>
                    <w14:schemeClr w14:val="tx1"/>
                  </w14:solidFill>
                </w14:textFill>
              </w:rPr>
            </w:pPr>
          </w:p>
        </w:tc>
        <w:tc>
          <w:tcPr>
            <w:tcW w:w="1576" w:type="dxa"/>
            <w:vMerge w:val="restart"/>
            <w:vAlign w:val="center"/>
          </w:tcPr>
          <w:p w14:paraId="44C0AF12">
            <w:pPr>
              <w:pStyle w:val="109"/>
              <w:rPr>
                <w:color w:val="000000" w:themeColor="text1"/>
                <w14:textFill>
                  <w14:solidFill>
                    <w14:schemeClr w14:val="tx1"/>
                  </w14:solidFill>
                </w14:textFill>
              </w:rPr>
            </w:pPr>
            <w:r>
              <w:rPr>
                <w:color w:val="000000" w:themeColor="text1"/>
                <w14:textFill>
                  <w14:solidFill>
                    <w14:schemeClr w14:val="tx1"/>
                  </w14:solidFill>
                </w14:textFill>
              </w:rPr>
              <w:t>受影响水体水环境质量</w:t>
            </w:r>
          </w:p>
        </w:tc>
        <w:tc>
          <w:tcPr>
            <w:tcW w:w="3800" w:type="dxa"/>
            <w:gridSpan w:val="6"/>
            <w:vAlign w:val="center"/>
          </w:tcPr>
          <w:p w14:paraId="2F0911AB">
            <w:pPr>
              <w:pStyle w:val="109"/>
              <w:rPr>
                <w:color w:val="000000" w:themeColor="text1"/>
                <w14:textFill>
                  <w14:solidFill>
                    <w14:schemeClr w14:val="tx1"/>
                  </w14:solidFill>
                </w14:textFill>
              </w:rPr>
            </w:pPr>
            <w:r>
              <w:rPr>
                <w:color w:val="000000" w:themeColor="text1"/>
                <w14:textFill>
                  <w14:solidFill>
                    <w14:schemeClr w14:val="tx1"/>
                  </w14:solidFill>
                </w14:textFill>
              </w:rPr>
              <w:t>调查时期</w:t>
            </w:r>
          </w:p>
        </w:tc>
        <w:tc>
          <w:tcPr>
            <w:tcW w:w="3635" w:type="dxa"/>
            <w:gridSpan w:val="6"/>
            <w:vAlign w:val="center"/>
          </w:tcPr>
          <w:p w14:paraId="09F79595">
            <w:pPr>
              <w:pStyle w:val="109"/>
              <w:rPr>
                <w:color w:val="000000" w:themeColor="text1"/>
                <w14:textFill>
                  <w14:solidFill>
                    <w14:schemeClr w14:val="tx1"/>
                  </w14:solidFill>
                </w14:textFill>
              </w:rPr>
            </w:pPr>
            <w:r>
              <w:rPr>
                <w:color w:val="000000" w:themeColor="text1"/>
                <w14:textFill>
                  <w14:solidFill>
                    <w14:schemeClr w14:val="tx1"/>
                  </w14:solidFill>
                </w14:textFill>
              </w:rPr>
              <w:t>数据来源</w:t>
            </w:r>
          </w:p>
        </w:tc>
      </w:tr>
      <w:tr w14:paraId="7C7F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6F444B63">
            <w:pPr>
              <w:pStyle w:val="109"/>
              <w:rPr>
                <w:color w:val="000000" w:themeColor="text1"/>
                <w14:textFill>
                  <w14:solidFill>
                    <w14:schemeClr w14:val="tx1"/>
                  </w14:solidFill>
                </w14:textFill>
              </w:rPr>
            </w:pPr>
          </w:p>
        </w:tc>
        <w:tc>
          <w:tcPr>
            <w:tcW w:w="1576" w:type="dxa"/>
            <w:vMerge w:val="continue"/>
            <w:vAlign w:val="center"/>
          </w:tcPr>
          <w:p w14:paraId="2A0CFF71">
            <w:pPr>
              <w:pStyle w:val="109"/>
              <w:rPr>
                <w:color w:val="000000" w:themeColor="text1"/>
                <w14:textFill>
                  <w14:solidFill>
                    <w14:schemeClr w14:val="tx1"/>
                  </w14:solidFill>
                </w14:textFill>
              </w:rPr>
            </w:pPr>
          </w:p>
        </w:tc>
        <w:tc>
          <w:tcPr>
            <w:tcW w:w="3800" w:type="dxa"/>
            <w:gridSpan w:val="6"/>
            <w:vAlign w:val="center"/>
          </w:tcPr>
          <w:p w14:paraId="4FB049DF">
            <w:pPr>
              <w:pStyle w:val="109"/>
              <w:rPr>
                <w:color w:val="000000" w:themeColor="text1"/>
                <w14:textFill>
                  <w14:solidFill>
                    <w14:schemeClr w14:val="tx1"/>
                  </w14:solidFill>
                </w14:textFill>
              </w:rPr>
            </w:pPr>
            <w:r>
              <w:rPr>
                <w:color w:val="000000" w:themeColor="text1"/>
                <w14:textFill>
                  <w14:solidFill>
                    <w14:schemeClr w14:val="tx1"/>
                  </w14:solidFill>
                </w14:textFill>
              </w:rPr>
              <w:t>丰水期 □；平水期 □；枯水期 □；冰封期 □</w:t>
            </w:r>
          </w:p>
          <w:p w14:paraId="390ED63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春季 □；夏季 □；秋季 □；冬季 □ </w:t>
            </w:r>
          </w:p>
        </w:tc>
        <w:tc>
          <w:tcPr>
            <w:tcW w:w="3635" w:type="dxa"/>
            <w:gridSpan w:val="6"/>
            <w:vAlign w:val="center"/>
          </w:tcPr>
          <w:p w14:paraId="093CCC88">
            <w:pPr>
              <w:pStyle w:val="109"/>
              <w:rPr>
                <w:color w:val="000000" w:themeColor="text1"/>
                <w14:textFill>
                  <w14:solidFill>
                    <w14:schemeClr w14:val="tx1"/>
                  </w14:solidFill>
                </w14:textFill>
              </w:rPr>
            </w:pPr>
            <w:r>
              <w:rPr>
                <w:color w:val="000000" w:themeColor="text1"/>
                <w14:textFill>
                  <w14:solidFill>
                    <w14:schemeClr w14:val="tx1"/>
                  </w14:solidFill>
                </w14:textFill>
              </w:rPr>
              <w:t>生态环境保护主管部门□；补充监测 □；其他 □</w:t>
            </w:r>
          </w:p>
        </w:tc>
      </w:tr>
      <w:tr w14:paraId="1B2E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38072E51">
            <w:pPr>
              <w:pStyle w:val="109"/>
              <w:rPr>
                <w:color w:val="000000" w:themeColor="text1"/>
                <w14:textFill>
                  <w14:solidFill>
                    <w14:schemeClr w14:val="tx1"/>
                  </w14:solidFill>
                </w14:textFill>
              </w:rPr>
            </w:pPr>
          </w:p>
        </w:tc>
        <w:tc>
          <w:tcPr>
            <w:tcW w:w="1576" w:type="dxa"/>
            <w:vAlign w:val="center"/>
          </w:tcPr>
          <w:p w14:paraId="06889FA3">
            <w:pPr>
              <w:pStyle w:val="109"/>
              <w:rPr>
                <w:color w:val="000000" w:themeColor="text1"/>
                <w14:textFill>
                  <w14:solidFill>
                    <w14:schemeClr w14:val="tx1"/>
                  </w14:solidFill>
                </w14:textFill>
              </w:rPr>
            </w:pPr>
            <w:r>
              <w:rPr>
                <w:color w:val="000000" w:themeColor="text1"/>
                <w14:textFill>
                  <w14:solidFill>
                    <w14:schemeClr w14:val="tx1"/>
                  </w14:solidFill>
                </w14:textFill>
              </w:rPr>
              <w:t>区域水资源开发利用状况</w:t>
            </w:r>
          </w:p>
        </w:tc>
        <w:tc>
          <w:tcPr>
            <w:tcW w:w="7435" w:type="dxa"/>
            <w:gridSpan w:val="12"/>
            <w:vAlign w:val="center"/>
          </w:tcPr>
          <w:p w14:paraId="4260EB42">
            <w:pPr>
              <w:pStyle w:val="109"/>
              <w:rPr>
                <w:color w:val="000000" w:themeColor="text1"/>
                <w14:textFill>
                  <w14:solidFill>
                    <w14:schemeClr w14:val="tx1"/>
                  </w14:solidFill>
                </w14:textFill>
              </w:rPr>
            </w:pPr>
            <w:r>
              <w:rPr>
                <w:color w:val="000000" w:themeColor="text1"/>
                <w14:textFill>
                  <w14:solidFill>
                    <w14:schemeClr w14:val="tx1"/>
                  </w14:solidFill>
                </w14:textFill>
              </w:rPr>
              <w:t>未开发 □；开发量 40%以下 □；开发量 40%以上 □</w:t>
            </w:r>
          </w:p>
        </w:tc>
      </w:tr>
      <w:tr w14:paraId="466D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53D7C6CD">
            <w:pPr>
              <w:pStyle w:val="109"/>
              <w:rPr>
                <w:color w:val="000000" w:themeColor="text1"/>
                <w14:textFill>
                  <w14:solidFill>
                    <w14:schemeClr w14:val="tx1"/>
                  </w14:solidFill>
                </w14:textFill>
              </w:rPr>
            </w:pPr>
          </w:p>
        </w:tc>
        <w:tc>
          <w:tcPr>
            <w:tcW w:w="1576" w:type="dxa"/>
            <w:vMerge w:val="restart"/>
            <w:vAlign w:val="center"/>
          </w:tcPr>
          <w:p w14:paraId="17F29A8A">
            <w:pPr>
              <w:pStyle w:val="109"/>
              <w:rPr>
                <w:color w:val="000000" w:themeColor="text1"/>
                <w14:textFill>
                  <w14:solidFill>
                    <w14:schemeClr w14:val="tx1"/>
                  </w14:solidFill>
                </w14:textFill>
              </w:rPr>
            </w:pPr>
            <w:r>
              <w:rPr>
                <w:color w:val="000000" w:themeColor="text1"/>
                <w14:textFill>
                  <w14:solidFill>
                    <w14:schemeClr w14:val="tx1"/>
                  </w14:solidFill>
                </w14:textFill>
              </w:rPr>
              <w:t>水文情势调查</w:t>
            </w:r>
          </w:p>
        </w:tc>
        <w:tc>
          <w:tcPr>
            <w:tcW w:w="3800" w:type="dxa"/>
            <w:gridSpan w:val="6"/>
            <w:vAlign w:val="center"/>
          </w:tcPr>
          <w:p w14:paraId="511F6178">
            <w:pPr>
              <w:pStyle w:val="109"/>
              <w:rPr>
                <w:color w:val="000000" w:themeColor="text1"/>
                <w14:textFill>
                  <w14:solidFill>
                    <w14:schemeClr w14:val="tx1"/>
                  </w14:solidFill>
                </w14:textFill>
              </w:rPr>
            </w:pPr>
            <w:r>
              <w:rPr>
                <w:color w:val="000000" w:themeColor="text1"/>
                <w14:textFill>
                  <w14:solidFill>
                    <w14:schemeClr w14:val="tx1"/>
                  </w14:solidFill>
                </w14:textFill>
              </w:rPr>
              <w:t>调查时期</w:t>
            </w:r>
          </w:p>
        </w:tc>
        <w:tc>
          <w:tcPr>
            <w:tcW w:w="3635" w:type="dxa"/>
            <w:gridSpan w:val="6"/>
            <w:vAlign w:val="center"/>
          </w:tcPr>
          <w:p w14:paraId="3BEB216B">
            <w:pPr>
              <w:pStyle w:val="109"/>
              <w:rPr>
                <w:color w:val="000000" w:themeColor="text1"/>
                <w14:textFill>
                  <w14:solidFill>
                    <w14:schemeClr w14:val="tx1"/>
                  </w14:solidFill>
                </w14:textFill>
              </w:rPr>
            </w:pPr>
            <w:r>
              <w:rPr>
                <w:color w:val="000000" w:themeColor="text1"/>
                <w14:textFill>
                  <w14:solidFill>
                    <w14:schemeClr w14:val="tx1"/>
                  </w14:solidFill>
                </w14:textFill>
              </w:rPr>
              <w:t>数据来源</w:t>
            </w:r>
          </w:p>
        </w:tc>
      </w:tr>
      <w:tr w14:paraId="10DF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00D5B32A">
            <w:pPr>
              <w:pStyle w:val="109"/>
              <w:rPr>
                <w:color w:val="000000" w:themeColor="text1"/>
                <w14:textFill>
                  <w14:solidFill>
                    <w14:schemeClr w14:val="tx1"/>
                  </w14:solidFill>
                </w14:textFill>
              </w:rPr>
            </w:pPr>
          </w:p>
        </w:tc>
        <w:tc>
          <w:tcPr>
            <w:tcW w:w="1576" w:type="dxa"/>
            <w:vMerge w:val="continue"/>
            <w:vAlign w:val="center"/>
          </w:tcPr>
          <w:p w14:paraId="2146F853">
            <w:pPr>
              <w:pStyle w:val="109"/>
              <w:rPr>
                <w:color w:val="000000" w:themeColor="text1"/>
                <w14:textFill>
                  <w14:solidFill>
                    <w14:schemeClr w14:val="tx1"/>
                  </w14:solidFill>
                </w14:textFill>
              </w:rPr>
            </w:pPr>
          </w:p>
        </w:tc>
        <w:tc>
          <w:tcPr>
            <w:tcW w:w="3800" w:type="dxa"/>
            <w:gridSpan w:val="6"/>
            <w:vAlign w:val="center"/>
          </w:tcPr>
          <w:p w14:paraId="3AB1461F">
            <w:pPr>
              <w:pStyle w:val="109"/>
              <w:rPr>
                <w:color w:val="000000" w:themeColor="text1"/>
                <w14:textFill>
                  <w14:solidFill>
                    <w14:schemeClr w14:val="tx1"/>
                  </w14:solidFill>
                </w14:textFill>
              </w:rPr>
            </w:pPr>
            <w:r>
              <w:rPr>
                <w:color w:val="000000" w:themeColor="text1"/>
                <w14:textFill>
                  <w14:solidFill>
                    <w14:schemeClr w14:val="tx1"/>
                  </w14:solidFill>
                </w14:textFill>
              </w:rPr>
              <w:t>丰水期 □；平水期 □；枯水期 □；冰封期</w:t>
            </w:r>
          </w:p>
          <w:p w14:paraId="3DDBDA8E">
            <w:pPr>
              <w:pStyle w:val="109"/>
              <w:rPr>
                <w:color w:val="000000" w:themeColor="text1"/>
                <w14:textFill>
                  <w14:solidFill>
                    <w14:schemeClr w14:val="tx1"/>
                  </w14:solidFill>
                </w14:textFill>
              </w:rPr>
            </w:pPr>
            <w:r>
              <w:rPr>
                <w:color w:val="000000" w:themeColor="text1"/>
                <w14:textFill>
                  <w14:solidFill>
                    <w14:schemeClr w14:val="tx1"/>
                  </w14:solidFill>
                </w14:textFill>
              </w:rPr>
              <w:t>春季 □；夏季 □；秋季 □；冬季 □</w:t>
            </w:r>
          </w:p>
        </w:tc>
        <w:tc>
          <w:tcPr>
            <w:tcW w:w="3635" w:type="dxa"/>
            <w:gridSpan w:val="6"/>
            <w:vAlign w:val="center"/>
          </w:tcPr>
          <w:p w14:paraId="365C6017">
            <w:pPr>
              <w:pStyle w:val="109"/>
              <w:rPr>
                <w:color w:val="000000" w:themeColor="text1"/>
                <w14:textFill>
                  <w14:solidFill>
                    <w14:schemeClr w14:val="tx1"/>
                  </w14:solidFill>
                </w14:textFill>
              </w:rPr>
            </w:pPr>
            <w:r>
              <w:rPr>
                <w:color w:val="000000" w:themeColor="text1"/>
                <w14:textFill>
                  <w14:solidFill>
                    <w14:schemeClr w14:val="tx1"/>
                  </w14:solidFill>
                </w14:textFill>
              </w:rPr>
              <w:t>水行政主管部门 □；补充监测 □；其他 □</w:t>
            </w:r>
          </w:p>
        </w:tc>
      </w:tr>
      <w:tr w14:paraId="061A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59B86DFA">
            <w:pPr>
              <w:pStyle w:val="109"/>
              <w:rPr>
                <w:color w:val="000000" w:themeColor="text1"/>
                <w14:textFill>
                  <w14:solidFill>
                    <w14:schemeClr w14:val="tx1"/>
                  </w14:solidFill>
                </w14:textFill>
              </w:rPr>
            </w:pPr>
          </w:p>
        </w:tc>
        <w:tc>
          <w:tcPr>
            <w:tcW w:w="1576" w:type="dxa"/>
            <w:vMerge w:val="restart"/>
            <w:vAlign w:val="center"/>
          </w:tcPr>
          <w:p w14:paraId="135FF700">
            <w:pPr>
              <w:pStyle w:val="109"/>
              <w:rPr>
                <w:color w:val="000000" w:themeColor="text1"/>
                <w14:textFill>
                  <w14:solidFill>
                    <w14:schemeClr w14:val="tx1"/>
                  </w14:solidFill>
                </w14:textFill>
              </w:rPr>
            </w:pPr>
            <w:r>
              <w:rPr>
                <w:color w:val="000000" w:themeColor="text1"/>
                <w14:textFill>
                  <w14:solidFill>
                    <w14:schemeClr w14:val="tx1"/>
                  </w14:solidFill>
                </w14:textFill>
              </w:rPr>
              <w:t>补充监测</w:t>
            </w:r>
          </w:p>
        </w:tc>
        <w:tc>
          <w:tcPr>
            <w:tcW w:w="2538" w:type="dxa"/>
            <w:gridSpan w:val="4"/>
            <w:vAlign w:val="center"/>
          </w:tcPr>
          <w:p w14:paraId="6393730B">
            <w:pPr>
              <w:pStyle w:val="109"/>
              <w:rPr>
                <w:color w:val="000000" w:themeColor="text1"/>
                <w14:textFill>
                  <w14:solidFill>
                    <w14:schemeClr w14:val="tx1"/>
                  </w14:solidFill>
                </w14:textFill>
              </w:rPr>
            </w:pPr>
            <w:r>
              <w:rPr>
                <w:color w:val="000000" w:themeColor="text1"/>
                <w14:textFill>
                  <w14:solidFill>
                    <w14:schemeClr w14:val="tx1"/>
                  </w14:solidFill>
                </w14:textFill>
              </w:rPr>
              <w:t>监测时期</w:t>
            </w:r>
          </w:p>
        </w:tc>
        <w:tc>
          <w:tcPr>
            <w:tcW w:w="2401" w:type="dxa"/>
            <w:gridSpan w:val="5"/>
            <w:vAlign w:val="center"/>
          </w:tcPr>
          <w:p w14:paraId="2AB1681B">
            <w:pPr>
              <w:pStyle w:val="109"/>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2496" w:type="dxa"/>
            <w:gridSpan w:val="3"/>
            <w:vAlign w:val="center"/>
          </w:tcPr>
          <w:p w14:paraId="72F397FE">
            <w:pPr>
              <w:pStyle w:val="109"/>
              <w:rPr>
                <w:color w:val="000000" w:themeColor="text1"/>
                <w14:textFill>
                  <w14:solidFill>
                    <w14:schemeClr w14:val="tx1"/>
                  </w14:solidFill>
                </w14:textFill>
              </w:rPr>
            </w:pPr>
            <w:r>
              <w:rPr>
                <w:color w:val="000000" w:themeColor="text1"/>
                <w14:textFill>
                  <w14:solidFill>
                    <w14:schemeClr w14:val="tx1"/>
                  </w14:solidFill>
                </w14:textFill>
              </w:rPr>
              <w:t>监测断面或点位</w:t>
            </w:r>
          </w:p>
        </w:tc>
      </w:tr>
      <w:tr w14:paraId="76C4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4DB7E7E2">
            <w:pPr>
              <w:pStyle w:val="109"/>
              <w:rPr>
                <w:color w:val="000000" w:themeColor="text1"/>
                <w14:textFill>
                  <w14:solidFill>
                    <w14:schemeClr w14:val="tx1"/>
                  </w14:solidFill>
                </w14:textFill>
              </w:rPr>
            </w:pPr>
          </w:p>
        </w:tc>
        <w:tc>
          <w:tcPr>
            <w:tcW w:w="1576" w:type="dxa"/>
            <w:vMerge w:val="continue"/>
            <w:vAlign w:val="center"/>
          </w:tcPr>
          <w:p w14:paraId="2347A51E">
            <w:pPr>
              <w:pStyle w:val="109"/>
              <w:rPr>
                <w:color w:val="000000" w:themeColor="text1"/>
                <w14:textFill>
                  <w14:solidFill>
                    <w14:schemeClr w14:val="tx1"/>
                  </w14:solidFill>
                </w14:textFill>
              </w:rPr>
            </w:pPr>
          </w:p>
        </w:tc>
        <w:tc>
          <w:tcPr>
            <w:tcW w:w="2538" w:type="dxa"/>
            <w:gridSpan w:val="4"/>
            <w:vAlign w:val="center"/>
          </w:tcPr>
          <w:p w14:paraId="0E96257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丰水期 □；平水期 □；枯水期 □；冰封期 □ </w:t>
            </w:r>
          </w:p>
          <w:p w14:paraId="312867ED">
            <w:pPr>
              <w:pStyle w:val="109"/>
              <w:rPr>
                <w:color w:val="000000" w:themeColor="text1"/>
                <w14:textFill>
                  <w14:solidFill>
                    <w14:schemeClr w14:val="tx1"/>
                  </w14:solidFill>
                </w14:textFill>
              </w:rPr>
            </w:pPr>
            <w:r>
              <w:rPr>
                <w:color w:val="000000" w:themeColor="text1"/>
                <w14:textFill>
                  <w14:solidFill>
                    <w14:schemeClr w14:val="tx1"/>
                  </w14:solidFill>
                </w14:textFill>
              </w:rPr>
              <w:t>春季 □；夏季 □；秋季 □；冬季 □</w:t>
            </w:r>
          </w:p>
        </w:tc>
        <w:tc>
          <w:tcPr>
            <w:tcW w:w="2401" w:type="dxa"/>
            <w:gridSpan w:val="5"/>
            <w:vAlign w:val="center"/>
          </w:tcPr>
          <w:p w14:paraId="7627C82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496" w:type="dxa"/>
            <w:gridSpan w:val="3"/>
            <w:vAlign w:val="center"/>
          </w:tcPr>
          <w:p w14:paraId="6F37B226">
            <w:pPr>
              <w:pStyle w:val="109"/>
              <w:rPr>
                <w:color w:val="000000" w:themeColor="text1"/>
                <w14:textFill>
                  <w14:solidFill>
                    <w14:schemeClr w14:val="tx1"/>
                  </w14:solidFill>
                </w14:textFill>
              </w:rPr>
            </w:pPr>
            <w:r>
              <w:rPr>
                <w:color w:val="000000" w:themeColor="text1"/>
                <w14:textFill>
                  <w14:solidFill>
                    <w14:schemeClr w14:val="tx1"/>
                  </w14:solidFill>
                </w14:textFill>
              </w:rPr>
              <w:t>监测断面或点位个数</w:t>
            </w:r>
          </w:p>
          <w:p w14:paraId="46BA5E6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（0）个 </w:t>
            </w:r>
          </w:p>
        </w:tc>
      </w:tr>
      <w:tr w14:paraId="4FAC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restart"/>
            <w:vAlign w:val="center"/>
          </w:tcPr>
          <w:p w14:paraId="6C6260D0">
            <w:pPr>
              <w:pStyle w:val="109"/>
              <w:rPr>
                <w:color w:val="000000" w:themeColor="text1"/>
                <w14:textFill>
                  <w14:solidFill>
                    <w14:schemeClr w14:val="tx1"/>
                  </w14:solidFill>
                </w14:textFill>
              </w:rPr>
            </w:pPr>
            <w:r>
              <w:rPr>
                <w:color w:val="000000" w:themeColor="text1"/>
                <w14:textFill>
                  <w14:solidFill>
                    <w14:schemeClr w14:val="tx1"/>
                  </w14:solidFill>
                </w14:textFill>
              </w:rPr>
              <w:t>现</w:t>
            </w:r>
          </w:p>
          <w:p w14:paraId="1529082C">
            <w:pPr>
              <w:pStyle w:val="109"/>
              <w:rPr>
                <w:color w:val="000000" w:themeColor="text1"/>
                <w14:textFill>
                  <w14:solidFill>
                    <w14:schemeClr w14:val="tx1"/>
                  </w14:solidFill>
                </w14:textFill>
              </w:rPr>
            </w:pPr>
            <w:r>
              <w:rPr>
                <w:color w:val="000000" w:themeColor="text1"/>
                <w14:textFill>
                  <w14:solidFill>
                    <w14:schemeClr w14:val="tx1"/>
                  </w14:solidFill>
                </w14:textFill>
              </w:rPr>
              <w:t>状</w:t>
            </w:r>
          </w:p>
          <w:p w14:paraId="622B3628">
            <w:pPr>
              <w:pStyle w:val="109"/>
              <w:rPr>
                <w:color w:val="000000" w:themeColor="text1"/>
                <w14:textFill>
                  <w14:solidFill>
                    <w14:schemeClr w14:val="tx1"/>
                  </w14:solidFill>
                </w14:textFill>
              </w:rPr>
            </w:pPr>
            <w:r>
              <w:rPr>
                <w:color w:val="000000" w:themeColor="text1"/>
                <w14:textFill>
                  <w14:solidFill>
                    <w14:schemeClr w14:val="tx1"/>
                  </w14:solidFill>
                </w14:textFill>
              </w:rPr>
              <w:t>评</w:t>
            </w:r>
          </w:p>
          <w:p w14:paraId="2EC982E2">
            <w:pPr>
              <w:pStyle w:val="109"/>
              <w:rPr>
                <w:color w:val="000000" w:themeColor="text1"/>
                <w14:textFill>
                  <w14:solidFill>
                    <w14:schemeClr w14:val="tx1"/>
                  </w14:solidFill>
                </w14:textFill>
              </w:rPr>
            </w:pPr>
            <w:r>
              <w:rPr>
                <w:color w:val="000000" w:themeColor="text1"/>
                <w14:textFill>
                  <w14:solidFill>
                    <w14:schemeClr w14:val="tx1"/>
                  </w14:solidFill>
                </w14:textFill>
              </w:rPr>
              <w:t>价</w:t>
            </w:r>
          </w:p>
        </w:tc>
        <w:tc>
          <w:tcPr>
            <w:tcW w:w="1576" w:type="dxa"/>
            <w:vAlign w:val="center"/>
          </w:tcPr>
          <w:p w14:paraId="03AEF697">
            <w:pPr>
              <w:pStyle w:val="109"/>
              <w:rPr>
                <w:color w:val="000000" w:themeColor="text1"/>
                <w14:textFill>
                  <w14:solidFill>
                    <w14:schemeClr w14:val="tx1"/>
                  </w14:solidFill>
                </w14:textFill>
              </w:rPr>
            </w:pPr>
            <w:r>
              <w:rPr>
                <w:color w:val="000000" w:themeColor="text1"/>
                <w14:textFill>
                  <w14:solidFill>
                    <w14:schemeClr w14:val="tx1"/>
                  </w14:solidFill>
                </w14:textFill>
              </w:rPr>
              <w:t>评价范围</w:t>
            </w:r>
          </w:p>
        </w:tc>
        <w:tc>
          <w:tcPr>
            <w:tcW w:w="7435" w:type="dxa"/>
            <w:gridSpan w:val="12"/>
            <w:vAlign w:val="center"/>
          </w:tcPr>
          <w:p w14:paraId="6A36B434">
            <w:pPr>
              <w:pStyle w:val="109"/>
              <w:rPr>
                <w:color w:val="000000" w:themeColor="text1"/>
                <w14:textFill>
                  <w14:solidFill>
                    <w14:schemeClr w14:val="tx1"/>
                  </w14:solidFill>
                </w14:textFill>
              </w:rPr>
            </w:pPr>
            <w:r>
              <w:rPr>
                <w:color w:val="000000" w:themeColor="text1"/>
                <w14:textFill>
                  <w14:solidFill>
                    <w14:schemeClr w14:val="tx1"/>
                  </w14:solidFill>
                </w14:textFill>
              </w:rPr>
              <w:t>河流：长度（）km；湖库、河口及近岸海域：面积（/）km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 xml:space="preserve"> </w:t>
            </w:r>
          </w:p>
        </w:tc>
      </w:tr>
      <w:tr w14:paraId="39B8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17BAA9E2">
            <w:pPr>
              <w:pStyle w:val="109"/>
              <w:rPr>
                <w:color w:val="000000" w:themeColor="text1"/>
                <w14:textFill>
                  <w14:solidFill>
                    <w14:schemeClr w14:val="tx1"/>
                  </w14:solidFill>
                </w14:textFill>
              </w:rPr>
            </w:pPr>
          </w:p>
        </w:tc>
        <w:tc>
          <w:tcPr>
            <w:tcW w:w="1576" w:type="dxa"/>
            <w:vAlign w:val="center"/>
          </w:tcPr>
          <w:p w14:paraId="6F13F454">
            <w:pPr>
              <w:pStyle w:val="109"/>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7435" w:type="dxa"/>
            <w:gridSpan w:val="12"/>
            <w:vAlign w:val="center"/>
          </w:tcPr>
          <w:p w14:paraId="6B912151">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349D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633F467B">
            <w:pPr>
              <w:pStyle w:val="109"/>
              <w:rPr>
                <w:color w:val="000000" w:themeColor="text1"/>
                <w14:textFill>
                  <w14:solidFill>
                    <w14:schemeClr w14:val="tx1"/>
                  </w14:solidFill>
                </w14:textFill>
              </w:rPr>
            </w:pPr>
          </w:p>
        </w:tc>
        <w:tc>
          <w:tcPr>
            <w:tcW w:w="1576" w:type="dxa"/>
            <w:vAlign w:val="center"/>
          </w:tcPr>
          <w:p w14:paraId="0D7FCC55">
            <w:pPr>
              <w:pStyle w:val="109"/>
              <w:rPr>
                <w:color w:val="000000" w:themeColor="text1"/>
                <w14:textFill>
                  <w14:solidFill>
                    <w14:schemeClr w14:val="tx1"/>
                  </w14:solidFill>
                </w14:textFill>
              </w:rPr>
            </w:pPr>
            <w:r>
              <w:rPr>
                <w:color w:val="000000" w:themeColor="text1"/>
                <w14:textFill>
                  <w14:solidFill>
                    <w14:schemeClr w14:val="tx1"/>
                  </w14:solidFill>
                </w14:textFill>
              </w:rPr>
              <w:t>评价标准</w:t>
            </w:r>
          </w:p>
        </w:tc>
        <w:tc>
          <w:tcPr>
            <w:tcW w:w="7435" w:type="dxa"/>
            <w:gridSpan w:val="12"/>
            <w:vAlign w:val="center"/>
          </w:tcPr>
          <w:p w14:paraId="7ACE7EB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河流、湖库、河口：Ⅰ类 □；Ⅱ类 □；Ⅲ类 </w:t>
            </w:r>
            <w:r>
              <w:rPr>
                <w:rFonts w:ascii="Segoe UI Symbol" w:hAnsi="Segoe UI Symbol" w:cs="Segoe UI Symbol"/>
                <w:color w:val="000000" w:themeColor="text1"/>
                <w14:textFill>
                  <w14:solidFill>
                    <w14:schemeClr w14:val="tx1"/>
                  </w14:solidFill>
                </w14:textFill>
              </w:rPr>
              <w:t>☑</w:t>
            </w:r>
            <w:r>
              <w:rPr>
                <w:color w:val="000000" w:themeColor="text1"/>
                <w14:textFill>
                  <w14:solidFill>
                    <w14:schemeClr w14:val="tx1"/>
                  </w14:solidFill>
                </w14:textFill>
              </w:rPr>
              <w:t xml:space="preserve">；Ⅳ类 □；Ⅴ类 □ </w:t>
            </w:r>
          </w:p>
          <w:p w14:paraId="5EE0284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近岸海域：第一类 □；第二类 □；第三类 □；第四类 □ </w:t>
            </w:r>
          </w:p>
          <w:p w14:paraId="5875A73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规划年评价标准（/） </w:t>
            </w:r>
          </w:p>
        </w:tc>
      </w:tr>
      <w:tr w14:paraId="6EF5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07F464D6">
            <w:pPr>
              <w:pStyle w:val="109"/>
              <w:rPr>
                <w:color w:val="000000" w:themeColor="text1"/>
                <w14:textFill>
                  <w14:solidFill>
                    <w14:schemeClr w14:val="tx1"/>
                  </w14:solidFill>
                </w14:textFill>
              </w:rPr>
            </w:pPr>
          </w:p>
        </w:tc>
        <w:tc>
          <w:tcPr>
            <w:tcW w:w="1576" w:type="dxa"/>
            <w:vAlign w:val="center"/>
          </w:tcPr>
          <w:p w14:paraId="45CD2847">
            <w:pPr>
              <w:pStyle w:val="109"/>
              <w:rPr>
                <w:color w:val="000000" w:themeColor="text1"/>
                <w14:textFill>
                  <w14:solidFill>
                    <w14:schemeClr w14:val="tx1"/>
                  </w14:solidFill>
                </w14:textFill>
              </w:rPr>
            </w:pPr>
            <w:r>
              <w:rPr>
                <w:color w:val="000000" w:themeColor="text1"/>
                <w14:textFill>
                  <w14:solidFill>
                    <w14:schemeClr w14:val="tx1"/>
                  </w14:solidFill>
                </w14:textFill>
              </w:rPr>
              <w:t>评价时期</w:t>
            </w:r>
          </w:p>
        </w:tc>
        <w:tc>
          <w:tcPr>
            <w:tcW w:w="7435" w:type="dxa"/>
            <w:gridSpan w:val="12"/>
            <w:vAlign w:val="center"/>
          </w:tcPr>
          <w:p w14:paraId="6A8F1105">
            <w:pPr>
              <w:pStyle w:val="109"/>
              <w:rPr>
                <w:color w:val="000000" w:themeColor="text1"/>
                <w14:textFill>
                  <w14:solidFill>
                    <w14:schemeClr w14:val="tx1"/>
                  </w14:solidFill>
                </w14:textFill>
              </w:rPr>
            </w:pPr>
            <w:r>
              <w:rPr>
                <w:color w:val="000000" w:themeColor="text1"/>
                <w14:textFill>
                  <w14:solidFill>
                    <w14:schemeClr w14:val="tx1"/>
                  </w14:solidFill>
                </w14:textFill>
              </w:rPr>
              <w:t>丰水期 □；平水期 □；枯水期 □；冰封期 □</w:t>
            </w:r>
          </w:p>
          <w:p w14:paraId="0D8CD5D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春季 □；夏季 □；秋季 □；冬季 □ </w:t>
            </w:r>
          </w:p>
        </w:tc>
      </w:tr>
      <w:tr w14:paraId="5A13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59348695">
            <w:pPr>
              <w:pStyle w:val="109"/>
              <w:rPr>
                <w:color w:val="000000" w:themeColor="text1"/>
                <w14:textFill>
                  <w14:solidFill>
                    <w14:schemeClr w14:val="tx1"/>
                  </w14:solidFill>
                </w14:textFill>
              </w:rPr>
            </w:pPr>
          </w:p>
        </w:tc>
        <w:tc>
          <w:tcPr>
            <w:tcW w:w="1576" w:type="dxa"/>
            <w:vAlign w:val="center"/>
          </w:tcPr>
          <w:p w14:paraId="4F1BF60B">
            <w:pPr>
              <w:pStyle w:val="109"/>
              <w:rPr>
                <w:color w:val="000000" w:themeColor="text1"/>
                <w14:textFill>
                  <w14:solidFill>
                    <w14:schemeClr w14:val="tx1"/>
                  </w14:solidFill>
                </w14:textFill>
              </w:rPr>
            </w:pPr>
            <w:r>
              <w:rPr>
                <w:color w:val="000000" w:themeColor="text1"/>
                <w14:textFill>
                  <w14:solidFill>
                    <w14:schemeClr w14:val="tx1"/>
                  </w14:solidFill>
                </w14:textFill>
              </w:rPr>
              <w:t>评价结论</w:t>
            </w:r>
          </w:p>
        </w:tc>
        <w:tc>
          <w:tcPr>
            <w:tcW w:w="5750" w:type="dxa"/>
            <w:gridSpan w:val="10"/>
            <w:vAlign w:val="center"/>
          </w:tcPr>
          <w:p w14:paraId="7EBADDC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水环境功能区或水功能区、近岸海域环境功能区水质达标状况 □：达标 □；不达标 □</w:t>
            </w:r>
          </w:p>
          <w:p w14:paraId="61DA4C8B">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水环境控制单元或断面水质达标状况 □：达标 □；不达标 </w:t>
            </w:r>
            <w:r>
              <w:rPr>
                <w:color w:val="000000" w:themeColor="text1"/>
                <w14:textFill>
                  <w14:solidFill>
                    <w14:schemeClr w14:val="tx1"/>
                  </w14:solidFill>
                </w14:textFill>
              </w:rPr>
              <w:sym w:font="Wingdings 2" w:char="0052"/>
            </w:r>
          </w:p>
          <w:p w14:paraId="0EB74E1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水环境保护目标质量状况 □：达标 □；不达标 □ </w:t>
            </w:r>
          </w:p>
          <w:p w14:paraId="293B5073">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对照断面、控制断面等代表性断面的水质状况 □：达标 □；不达标□ </w:t>
            </w:r>
          </w:p>
          <w:p w14:paraId="638A16E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底泥污染评价 □ </w:t>
            </w:r>
          </w:p>
          <w:p w14:paraId="439E896B">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水资源与开发利用程度及其水文情势评价 □ </w:t>
            </w:r>
          </w:p>
          <w:p w14:paraId="340AA95C">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水环境质量回顾评价 □ </w:t>
            </w:r>
          </w:p>
          <w:p w14:paraId="180FFFF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流域（区域）水资源（包括水能资源）与开发利用总体状况、生态流量管理要求与现状满足程度、建设项目占用水域空间的水流状况与河湖演变状况 □</w:t>
            </w:r>
          </w:p>
        </w:tc>
        <w:tc>
          <w:tcPr>
            <w:tcW w:w="1685" w:type="dxa"/>
            <w:gridSpan w:val="2"/>
            <w:vAlign w:val="center"/>
          </w:tcPr>
          <w:p w14:paraId="38DAB25E">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达标区 □ </w:t>
            </w:r>
          </w:p>
          <w:p w14:paraId="38F9969E">
            <w:pPr>
              <w:pStyle w:val="109"/>
              <w:rPr>
                <w:color w:val="000000" w:themeColor="text1"/>
                <w14:textFill>
                  <w14:solidFill>
                    <w14:schemeClr w14:val="tx1"/>
                  </w14:solidFill>
                </w14:textFill>
              </w:rPr>
            </w:pPr>
            <w:r>
              <w:rPr>
                <w:color w:val="000000" w:themeColor="text1"/>
                <w14:textFill>
                  <w14:solidFill>
                    <w14:schemeClr w14:val="tx1"/>
                  </w14:solidFill>
                </w14:textFill>
              </w:rPr>
              <w:t>不达标区 □</w:t>
            </w:r>
          </w:p>
        </w:tc>
      </w:tr>
      <w:tr w14:paraId="4092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restart"/>
            <w:vAlign w:val="center"/>
          </w:tcPr>
          <w:p w14:paraId="4AE0A070">
            <w:pPr>
              <w:pStyle w:val="109"/>
              <w:rPr>
                <w:color w:val="000000" w:themeColor="text1"/>
                <w14:textFill>
                  <w14:solidFill>
                    <w14:schemeClr w14:val="tx1"/>
                  </w14:solidFill>
                </w14:textFill>
              </w:rPr>
            </w:pPr>
            <w:r>
              <w:rPr>
                <w:color w:val="000000" w:themeColor="text1"/>
                <w14:textFill>
                  <w14:solidFill>
                    <w14:schemeClr w14:val="tx1"/>
                  </w14:solidFill>
                </w14:textFill>
              </w:rPr>
              <w:t>影</w:t>
            </w:r>
          </w:p>
          <w:p w14:paraId="2677CC6B">
            <w:pPr>
              <w:pStyle w:val="109"/>
              <w:rPr>
                <w:color w:val="000000" w:themeColor="text1"/>
                <w14:textFill>
                  <w14:solidFill>
                    <w14:schemeClr w14:val="tx1"/>
                  </w14:solidFill>
                </w14:textFill>
              </w:rPr>
            </w:pPr>
            <w:r>
              <w:rPr>
                <w:color w:val="000000" w:themeColor="text1"/>
                <w14:textFill>
                  <w14:solidFill>
                    <w14:schemeClr w14:val="tx1"/>
                  </w14:solidFill>
                </w14:textFill>
              </w:rPr>
              <w:t>响</w:t>
            </w:r>
          </w:p>
          <w:p w14:paraId="5CE9F5A4">
            <w:pPr>
              <w:pStyle w:val="109"/>
              <w:rPr>
                <w:color w:val="000000" w:themeColor="text1"/>
                <w14:textFill>
                  <w14:solidFill>
                    <w14:schemeClr w14:val="tx1"/>
                  </w14:solidFill>
                </w14:textFill>
              </w:rPr>
            </w:pPr>
            <w:r>
              <w:rPr>
                <w:color w:val="000000" w:themeColor="text1"/>
                <w14:textFill>
                  <w14:solidFill>
                    <w14:schemeClr w14:val="tx1"/>
                  </w14:solidFill>
                </w14:textFill>
              </w:rPr>
              <w:t>预</w:t>
            </w:r>
          </w:p>
          <w:p w14:paraId="16818D71">
            <w:pPr>
              <w:pStyle w:val="109"/>
              <w:rPr>
                <w:color w:val="000000" w:themeColor="text1"/>
                <w14:textFill>
                  <w14:solidFill>
                    <w14:schemeClr w14:val="tx1"/>
                  </w14:solidFill>
                </w14:textFill>
              </w:rPr>
            </w:pPr>
            <w:r>
              <w:rPr>
                <w:color w:val="000000" w:themeColor="text1"/>
                <w14:textFill>
                  <w14:solidFill>
                    <w14:schemeClr w14:val="tx1"/>
                  </w14:solidFill>
                </w14:textFill>
              </w:rPr>
              <w:t>测</w:t>
            </w:r>
          </w:p>
        </w:tc>
        <w:tc>
          <w:tcPr>
            <w:tcW w:w="1576" w:type="dxa"/>
            <w:vAlign w:val="center"/>
          </w:tcPr>
          <w:p w14:paraId="031BDB02">
            <w:pPr>
              <w:pStyle w:val="109"/>
              <w:rPr>
                <w:color w:val="000000" w:themeColor="text1"/>
                <w14:textFill>
                  <w14:solidFill>
                    <w14:schemeClr w14:val="tx1"/>
                  </w14:solidFill>
                </w14:textFill>
              </w:rPr>
            </w:pPr>
            <w:r>
              <w:rPr>
                <w:color w:val="000000" w:themeColor="text1"/>
                <w14:textFill>
                  <w14:solidFill>
                    <w14:schemeClr w14:val="tx1"/>
                  </w14:solidFill>
                </w14:textFill>
              </w:rPr>
              <w:t>预测范围</w:t>
            </w:r>
          </w:p>
        </w:tc>
        <w:tc>
          <w:tcPr>
            <w:tcW w:w="7435" w:type="dxa"/>
            <w:gridSpan w:val="12"/>
            <w:vAlign w:val="center"/>
          </w:tcPr>
          <w:p w14:paraId="5EAD7C9E">
            <w:pPr>
              <w:pStyle w:val="109"/>
              <w:rPr>
                <w:color w:val="000000" w:themeColor="text1"/>
                <w14:textFill>
                  <w14:solidFill>
                    <w14:schemeClr w14:val="tx1"/>
                  </w14:solidFill>
                </w14:textFill>
              </w:rPr>
            </w:pPr>
            <w:r>
              <w:rPr>
                <w:color w:val="000000" w:themeColor="text1"/>
                <w14:textFill>
                  <w14:solidFill>
                    <w14:schemeClr w14:val="tx1"/>
                  </w14:solidFill>
                </w14:textFill>
              </w:rPr>
              <w:t>河流：长度（/）km；湖库、河口及近岸海域：面积（/）km</w:t>
            </w:r>
            <w:r>
              <w:rPr>
                <w:color w:val="000000" w:themeColor="text1"/>
                <w:vertAlign w:val="superscript"/>
                <w14:textFill>
                  <w14:solidFill>
                    <w14:schemeClr w14:val="tx1"/>
                  </w14:solidFill>
                </w14:textFill>
              </w:rPr>
              <w:t>2</w:t>
            </w:r>
          </w:p>
        </w:tc>
      </w:tr>
      <w:tr w14:paraId="53FF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5668E2D2">
            <w:pPr>
              <w:pStyle w:val="109"/>
              <w:rPr>
                <w:color w:val="000000" w:themeColor="text1"/>
                <w14:textFill>
                  <w14:solidFill>
                    <w14:schemeClr w14:val="tx1"/>
                  </w14:solidFill>
                </w14:textFill>
              </w:rPr>
            </w:pPr>
          </w:p>
        </w:tc>
        <w:tc>
          <w:tcPr>
            <w:tcW w:w="1576" w:type="dxa"/>
            <w:vAlign w:val="center"/>
          </w:tcPr>
          <w:p w14:paraId="10D26DA1">
            <w:pPr>
              <w:pStyle w:val="109"/>
              <w:rPr>
                <w:color w:val="000000" w:themeColor="text1"/>
                <w14:textFill>
                  <w14:solidFill>
                    <w14:schemeClr w14:val="tx1"/>
                  </w14:solidFill>
                </w14:textFill>
              </w:rPr>
            </w:pPr>
            <w:r>
              <w:rPr>
                <w:color w:val="000000" w:themeColor="text1"/>
                <w14:textFill>
                  <w14:solidFill>
                    <w14:schemeClr w14:val="tx1"/>
                  </w14:solidFill>
                </w14:textFill>
              </w:rPr>
              <w:t>预测因子</w:t>
            </w:r>
          </w:p>
        </w:tc>
        <w:tc>
          <w:tcPr>
            <w:tcW w:w="7435" w:type="dxa"/>
            <w:gridSpan w:val="12"/>
            <w:vAlign w:val="center"/>
          </w:tcPr>
          <w:p w14:paraId="73C47D1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3C3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7BEC645F">
            <w:pPr>
              <w:pStyle w:val="109"/>
              <w:rPr>
                <w:color w:val="000000" w:themeColor="text1"/>
                <w14:textFill>
                  <w14:solidFill>
                    <w14:schemeClr w14:val="tx1"/>
                  </w14:solidFill>
                </w14:textFill>
              </w:rPr>
            </w:pPr>
          </w:p>
        </w:tc>
        <w:tc>
          <w:tcPr>
            <w:tcW w:w="1576" w:type="dxa"/>
            <w:vAlign w:val="center"/>
          </w:tcPr>
          <w:p w14:paraId="36D38FE4">
            <w:pPr>
              <w:pStyle w:val="109"/>
              <w:rPr>
                <w:color w:val="000000" w:themeColor="text1"/>
                <w14:textFill>
                  <w14:solidFill>
                    <w14:schemeClr w14:val="tx1"/>
                  </w14:solidFill>
                </w14:textFill>
              </w:rPr>
            </w:pPr>
            <w:r>
              <w:rPr>
                <w:color w:val="000000" w:themeColor="text1"/>
                <w14:textFill>
                  <w14:solidFill>
                    <w14:schemeClr w14:val="tx1"/>
                  </w14:solidFill>
                </w14:textFill>
              </w:rPr>
              <w:t>预测时期</w:t>
            </w:r>
          </w:p>
        </w:tc>
        <w:tc>
          <w:tcPr>
            <w:tcW w:w="7435" w:type="dxa"/>
            <w:gridSpan w:val="12"/>
            <w:vAlign w:val="center"/>
          </w:tcPr>
          <w:p w14:paraId="6D43EF93">
            <w:pPr>
              <w:pStyle w:val="109"/>
              <w:rPr>
                <w:color w:val="000000" w:themeColor="text1"/>
                <w14:textFill>
                  <w14:solidFill>
                    <w14:schemeClr w14:val="tx1"/>
                  </w14:solidFill>
                </w14:textFill>
              </w:rPr>
            </w:pPr>
            <w:r>
              <w:rPr>
                <w:color w:val="000000" w:themeColor="text1"/>
                <w14:textFill>
                  <w14:solidFill>
                    <w14:schemeClr w14:val="tx1"/>
                  </w14:solidFill>
                </w14:textFill>
              </w:rPr>
              <w:t>丰水期 □；平水期 □；枯水期 □；冰封期 □</w:t>
            </w:r>
          </w:p>
          <w:p w14:paraId="624ABAC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春季 □；夏季 □；秋季 □；冬季 □ </w:t>
            </w:r>
          </w:p>
          <w:p w14:paraId="67EB9517">
            <w:pPr>
              <w:pStyle w:val="109"/>
              <w:rPr>
                <w:color w:val="000000" w:themeColor="text1"/>
                <w14:textFill>
                  <w14:solidFill>
                    <w14:schemeClr w14:val="tx1"/>
                  </w14:solidFill>
                </w14:textFill>
              </w:rPr>
            </w:pPr>
            <w:r>
              <w:rPr>
                <w:color w:val="000000" w:themeColor="text1"/>
                <w14:textFill>
                  <w14:solidFill>
                    <w14:schemeClr w14:val="tx1"/>
                  </w14:solidFill>
                </w14:textFill>
              </w:rPr>
              <w:t>设计水文条件 □</w:t>
            </w:r>
          </w:p>
        </w:tc>
      </w:tr>
      <w:tr w14:paraId="2333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1109463C">
            <w:pPr>
              <w:pStyle w:val="109"/>
              <w:rPr>
                <w:color w:val="000000" w:themeColor="text1"/>
                <w14:textFill>
                  <w14:solidFill>
                    <w14:schemeClr w14:val="tx1"/>
                  </w14:solidFill>
                </w14:textFill>
              </w:rPr>
            </w:pPr>
          </w:p>
        </w:tc>
        <w:tc>
          <w:tcPr>
            <w:tcW w:w="1576" w:type="dxa"/>
            <w:vAlign w:val="center"/>
          </w:tcPr>
          <w:p w14:paraId="2BD838D3">
            <w:pPr>
              <w:pStyle w:val="109"/>
              <w:rPr>
                <w:color w:val="000000" w:themeColor="text1"/>
                <w14:textFill>
                  <w14:solidFill>
                    <w14:schemeClr w14:val="tx1"/>
                  </w14:solidFill>
                </w14:textFill>
              </w:rPr>
            </w:pPr>
            <w:r>
              <w:rPr>
                <w:color w:val="000000" w:themeColor="text1"/>
                <w14:textFill>
                  <w14:solidFill>
                    <w14:schemeClr w14:val="tx1"/>
                  </w14:solidFill>
                </w14:textFill>
              </w:rPr>
              <w:t>预测情景</w:t>
            </w:r>
          </w:p>
        </w:tc>
        <w:tc>
          <w:tcPr>
            <w:tcW w:w="7435" w:type="dxa"/>
            <w:gridSpan w:val="12"/>
            <w:vAlign w:val="center"/>
          </w:tcPr>
          <w:p w14:paraId="2108C60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建设期 □；生产运行期 □；服务期满后 □ </w:t>
            </w:r>
          </w:p>
          <w:p w14:paraId="68A0D58C">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正常工况 □；非正常工况 □ </w:t>
            </w:r>
          </w:p>
          <w:p w14:paraId="7D2D5D1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污染控制和减缓措施方案 □ </w:t>
            </w:r>
          </w:p>
          <w:p w14:paraId="5059E1AC">
            <w:pPr>
              <w:pStyle w:val="109"/>
              <w:rPr>
                <w:color w:val="000000" w:themeColor="text1"/>
                <w14:textFill>
                  <w14:solidFill>
                    <w14:schemeClr w14:val="tx1"/>
                  </w14:solidFill>
                </w14:textFill>
              </w:rPr>
            </w:pPr>
            <w:r>
              <w:rPr>
                <w:color w:val="000000" w:themeColor="text1"/>
                <w14:textFill>
                  <w14:solidFill>
                    <w14:schemeClr w14:val="tx1"/>
                  </w14:solidFill>
                </w14:textFill>
              </w:rPr>
              <w:t>区（流）域环境质量改善目标要求情景 □</w:t>
            </w:r>
          </w:p>
        </w:tc>
      </w:tr>
      <w:tr w14:paraId="50ED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0758EAC1">
            <w:pPr>
              <w:pStyle w:val="109"/>
              <w:rPr>
                <w:color w:val="000000" w:themeColor="text1"/>
                <w14:textFill>
                  <w14:solidFill>
                    <w14:schemeClr w14:val="tx1"/>
                  </w14:solidFill>
                </w14:textFill>
              </w:rPr>
            </w:pPr>
          </w:p>
        </w:tc>
        <w:tc>
          <w:tcPr>
            <w:tcW w:w="1576" w:type="dxa"/>
            <w:vAlign w:val="center"/>
          </w:tcPr>
          <w:p w14:paraId="7932AEEC">
            <w:pPr>
              <w:pStyle w:val="109"/>
              <w:rPr>
                <w:color w:val="000000" w:themeColor="text1"/>
                <w14:textFill>
                  <w14:solidFill>
                    <w14:schemeClr w14:val="tx1"/>
                  </w14:solidFill>
                </w14:textFill>
              </w:rPr>
            </w:pPr>
            <w:r>
              <w:rPr>
                <w:color w:val="000000" w:themeColor="text1"/>
                <w14:textFill>
                  <w14:solidFill>
                    <w14:schemeClr w14:val="tx1"/>
                  </w14:solidFill>
                </w14:textFill>
              </w:rPr>
              <w:t>预测方法</w:t>
            </w:r>
          </w:p>
        </w:tc>
        <w:tc>
          <w:tcPr>
            <w:tcW w:w="7435" w:type="dxa"/>
            <w:gridSpan w:val="12"/>
            <w:vAlign w:val="center"/>
          </w:tcPr>
          <w:p w14:paraId="286D988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数值解 □：解析解 □；其他 □ </w:t>
            </w:r>
          </w:p>
          <w:p w14:paraId="0F8087F9">
            <w:pPr>
              <w:pStyle w:val="109"/>
              <w:rPr>
                <w:color w:val="000000" w:themeColor="text1"/>
                <w14:textFill>
                  <w14:solidFill>
                    <w14:schemeClr w14:val="tx1"/>
                  </w14:solidFill>
                </w14:textFill>
              </w:rPr>
            </w:pPr>
            <w:r>
              <w:rPr>
                <w:color w:val="000000" w:themeColor="text1"/>
                <w14:textFill>
                  <w14:solidFill>
                    <w14:schemeClr w14:val="tx1"/>
                  </w14:solidFill>
                </w14:textFill>
              </w:rPr>
              <w:t>导则推荐模式 □：其他 □</w:t>
            </w:r>
          </w:p>
        </w:tc>
      </w:tr>
      <w:tr w14:paraId="47DF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restart"/>
            <w:vAlign w:val="center"/>
          </w:tcPr>
          <w:p w14:paraId="33E3BBA8">
            <w:pPr>
              <w:pStyle w:val="109"/>
              <w:rPr>
                <w:color w:val="000000" w:themeColor="text1"/>
                <w14:textFill>
                  <w14:solidFill>
                    <w14:schemeClr w14:val="tx1"/>
                  </w14:solidFill>
                </w14:textFill>
              </w:rPr>
            </w:pPr>
            <w:r>
              <w:rPr>
                <w:color w:val="000000" w:themeColor="text1"/>
                <w14:textFill>
                  <w14:solidFill>
                    <w14:schemeClr w14:val="tx1"/>
                  </w14:solidFill>
                </w14:textFill>
              </w:rPr>
              <w:t>影</w:t>
            </w:r>
          </w:p>
          <w:p w14:paraId="42A2F725">
            <w:pPr>
              <w:pStyle w:val="109"/>
              <w:rPr>
                <w:color w:val="000000" w:themeColor="text1"/>
                <w14:textFill>
                  <w14:solidFill>
                    <w14:schemeClr w14:val="tx1"/>
                  </w14:solidFill>
                </w14:textFill>
              </w:rPr>
            </w:pPr>
            <w:r>
              <w:rPr>
                <w:color w:val="000000" w:themeColor="text1"/>
                <w14:textFill>
                  <w14:solidFill>
                    <w14:schemeClr w14:val="tx1"/>
                  </w14:solidFill>
                </w14:textFill>
              </w:rPr>
              <w:t>响</w:t>
            </w:r>
          </w:p>
          <w:p w14:paraId="00F01B7D">
            <w:pPr>
              <w:pStyle w:val="109"/>
              <w:rPr>
                <w:color w:val="000000" w:themeColor="text1"/>
                <w14:textFill>
                  <w14:solidFill>
                    <w14:schemeClr w14:val="tx1"/>
                  </w14:solidFill>
                </w14:textFill>
              </w:rPr>
            </w:pPr>
            <w:r>
              <w:rPr>
                <w:color w:val="000000" w:themeColor="text1"/>
                <w14:textFill>
                  <w14:solidFill>
                    <w14:schemeClr w14:val="tx1"/>
                  </w14:solidFill>
                </w14:textFill>
              </w:rPr>
              <w:t>评</w:t>
            </w:r>
          </w:p>
          <w:p w14:paraId="165B441C">
            <w:pPr>
              <w:pStyle w:val="109"/>
              <w:rPr>
                <w:color w:val="000000" w:themeColor="text1"/>
                <w14:textFill>
                  <w14:solidFill>
                    <w14:schemeClr w14:val="tx1"/>
                  </w14:solidFill>
                </w14:textFill>
              </w:rPr>
            </w:pPr>
            <w:r>
              <w:rPr>
                <w:color w:val="000000" w:themeColor="text1"/>
                <w14:textFill>
                  <w14:solidFill>
                    <w14:schemeClr w14:val="tx1"/>
                  </w14:solidFill>
                </w14:textFill>
              </w:rPr>
              <w:t>价</w:t>
            </w:r>
          </w:p>
        </w:tc>
        <w:tc>
          <w:tcPr>
            <w:tcW w:w="1576" w:type="dxa"/>
            <w:vAlign w:val="center"/>
          </w:tcPr>
          <w:p w14:paraId="46509467">
            <w:pPr>
              <w:pStyle w:val="109"/>
              <w:rPr>
                <w:color w:val="000000" w:themeColor="text1"/>
                <w14:textFill>
                  <w14:solidFill>
                    <w14:schemeClr w14:val="tx1"/>
                  </w14:solidFill>
                </w14:textFill>
              </w:rPr>
            </w:pPr>
            <w:r>
              <w:rPr>
                <w:color w:val="000000" w:themeColor="text1"/>
                <w14:textFill>
                  <w14:solidFill>
                    <w14:schemeClr w14:val="tx1"/>
                  </w14:solidFill>
                </w14:textFill>
              </w:rPr>
              <w:t>水污染控制和水环境影响减缓措施有效性评价</w:t>
            </w:r>
          </w:p>
        </w:tc>
        <w:tc>
          <w:tcPr>
            <w:tcW w:w="7435" w:type="dxa"/>
            <w:gridSpan w:val="12"/>
            <w:vAlign w:val="center"/>
          </w:tcPr>
          <w:p w14:paraId="1C5A1B8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区（流）域水环境质量改善目标 □；替代削减源 □ </w:t>
            </w:r>
          </w:p>
        </w:tc>
      </w:tr>
      <w:tr w14:paraId="41D1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51F50BEE">
            <w:pPr>
              <w:pStyle w:val="109"/>
              <w:rPr>
                <w:color w:val="000000" w:themeColor="text1"/>
                <w14:textFill>
                  <w14:solidFill>
                    <w14:schemeClr w14:val="tx1"/>
                  </w14:solidFill>
                </w14:textFill>
              </w:rPr>
            </w:pPr>
          </w:p>
        </w:tc>
        <w:tc>
          <w:tcPr>
            <w:tcW w:w="1576" w:type="dxa"/>
            <w:vAlign w:val="center"/>
          </w:tcPr>
          <w:p w14:paraId="40D78792">
            <w:pPr>
              <w:pStyle w:val="109"/>
              <w:rPr>
                <w:color w:val="000000" w:themeColor="text1"/>
                <w14:textFill>
                  <w14:solidFill>
                    <w14:schemeClr w14:val="tx1"/>
                  </w14:solidFill>
                </w14:textFill>
              </w:rPr>
            </w:pPr>
            <w:r>
              <w:rPr>
                <w:color w:val="000000" w:themeColor="text1"/>
                <w14:textFill>
                  <w14:solidFill>
                    <w14:schemeClr w14:val="tx1"/>
                  </w14:solidFill>
                </w14:textFill>
              </w:rPr>
              <w:t>水环境影响评价</w:t>
            </w:r>
          </w:p>
        </w:tc>
        <w:tc>
          <w:tcPr>
            <w:tcW w:w="7435" w:type="dxa"/>
            <w:gridSpan w:val="12"/>
            <w:vAlign w:val="center"/>
          </w:tcPr>
          <w:p w14:paraId="2778CB4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排放口混合区外满足水环境管理要求 □ </w:t>
            </w:r>
          </w:p>
          <w:p w14:paraId="601B1119">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水环境功能区或水功能区、近岸海域环境功能区水质达标 □ </w:t>
            </w:r>
          </w:p>
          <w:p w14:paraId="096BCFA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满足水环境保护目标水域水环境质量要求 □ </w:t>
            </w:r>
          </w:p>
          <w:p w14:paraId="080A6F99">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水环境控制单元或断面水质达标 □ </w:t>
            </w:r>
          </w:p>
          <w:p w14:paraId="1367F4F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满足重点水污染物排放总量控制指标要求，重点行业建设项目， 主要污染物排放满足等量或减量替代要求 □ </w:t>
            </w:r>
          </w:p>
          <w:p w14:paraId="162D339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满足区（流）域水环境质量改善目标要求 □ </w:t>
            </w:r>
          </w:p>
          <w:p w14:paraId="5F20365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水文要素影响型建设项目同时应包括水文情势变化评价、主要水文特征值影响评价、生态流量符合性评价 □ </w:t>
            </w:r>
          </w:p>
          <w:p w14:paraId="71D17A53">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对于新设或调整入河（湖库、近岸海域）排放口的建设项目，应包括排放口设置的环境合理性评价 □ </w:t>
            </w:r>
          </w:p>
          <w:p w14:paraId="0C4EB060">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 xml:space="preserve">满足生态保护红线、水环境质量底线、资源利用上线和环境准入清单管理要求 </w:t>
            </w:r>
            <w:r>
              <w:rPr>
                <w:rFonts w:ascii="Segoe UI Symbol" w:hAnsi="Segoe UI Symbol" w:cs="Segoe UI Symbol"/>
                <w:color w:val="000000" w:themeColor="text1"/>
                <w14:textFill>
                  <w14:solidFill>
                    <w14:schemeClr w14:val="tx1"/>
                  </w14:solidFill>
                </w14:textFill>
              </w:rPr>
              <w:t>☑</w:t>
            </w:r>
          </w:p>
        </w:tc>
      </w:tr>
      <w:tr w14:paraId="0742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0C0CEF70">
            <w:pPr>
              <w:pStyle w:val="109"/>
              <w:rPr>
                <w:color w:val="000000" w:themeColor="text1"/>
                <w14:textFill>
                  <w14:solidFill>
                    <w14:schemeClr w14:val="tx1"/>
                  </w14:solidFill>
                </w14:textFill>
              </w:rPr>
            </w:pPr>
          </w:p>
        </w:tc>
        <w:tc>
          <w:tcPr>
            <w:tcW w:w="1576" w:type="dxa"/>
            <w:vMerge w:val="restart"/>
            <w:vAlign w:val="center"/>
          </w:tcPr>
          <w:p w14:paraId="674A589A">
            <w:pPr>
              <w:pStyle w:val="109"/>
              <w:rPr>
                <w:color w:val="000000" w:themeColor="text1"/>
                <w14:textFill>
                  <w14:solidFill>
                    <w14:schemeClr w14:val="tx1"/>
                  </w14:solidFill>
                </w14:textFill>
              </w:rPr>
            </w:pPr>
            <w:r>
              <w:rPr>
                <w:color w:val="000000" w:themeColor="text1"/>
                <w14:textFill>
                  <w14:solidFill>
                    <w14:schemeClr w14:val="tx1"/>
                  </w14:solidFill>
                </w14:textFill>
              </w:rPr>
              <w:t>污染源排放量核算</w:t>
            </w:r>
          </w:p>
        </w:tc>
        <w:tc>
          <w:tcPr>
            <w:tcW w:w="2538" w:type="dxa"/>
            <w:gridSpan w:val="4"/>
            <w:vAlign w:val="center"/>
          </w:tcPr>
          <w:p w14:paraId="2A35FFA3">
            <w:pPr>
              <w:pStyle w:val="109"/>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2401" w:type="dxa"/>
            <w:gridSpan w:val="5"/>
            <w:vAlign w:val="center"/>
          </w:tcPr>
          <w:p w14:paraId="749CD512">
            <w:pPr>
              <w:pStyle w:val="109"/>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2496" w:type="dxa"/>
            <w:gridSpan w:val="3"/>
            <w:vAlign w:val="center"/>
          </w:tcPr>
          <w:p w14:paraId="3FA710F8">
            <w:pPr>
              <w:pStyle w:val="109"/>
              <w:rPr>
                <w:color w:val="000000" w:themeColor="text1"/>
                <w14:textFill>
                  <w14:solidFill>
                    <w14:schemeClr w14:val="tx1"/>
                  </w14:solidFill>
                </w14:textFill>
              </w:rPr>
            </w:pPr>
            <w:r>
              <w:rPr>
                <w:color w:val="000000" w:themeColor="text1"/>
                <w14:textFill>
                  <w14:solidFill>
                    <w14:schemeClr w14:val="tx1"/>
                  </w14:solidFill>
                </w14:textFill>
              </w:rPr>
              <w:t>排放浓度/（mg/L）</w:t>
            </w:r>
          </w:p>
        </w:tc>
      </w:tr>
      <w:tr w14:paraId="0BA1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2A30C4D8">
            <w:pPr>
              <w:pStyle w:val="109"/>
              <w:rPr>
                <w:color w:val="000000" w:themeColor="text1"/>
                <w14:textFill>
                  <w14:solidFill>
                    <w14:schemeClr w14:val="tx1"/>
                  </w14:solidFill>
                </w14:textFill>
              </w:rPr>
            </w:pPr>
          </w:p>
        </w:tc>
        <w:tc>
          <w:tcPr>
            <w:tcW w:w="1576" w:type="dxa"/>
            <w:vMerge w:val="continue"/>
            <w:vAlign w:val="center"/>
          </w:tcPr>
          <w:p w14:paraId="2BFC4A97">
            <w:pPr>
              <w:pStyle w:val="109"/>
              <w:rPr>
                <w:color w:val="000000" w:themeColor="text1"/>
                <w14:textFill>
                  <w14:solidFill>
                    <w14:schemeClr w14:val="tx1"/>
                  </w14:solidFill>
                </w14:textFill>
              </w:rPr>
            </w:pPr>
          </w:p>
        </w:tc>
        <w:tc>
          <w:tcPr>
            <w:tcW w:w="2538" w:type="dxa"/>
            <w:gridSpan w:val="4"/>
            <w:vAlign w:val="center"/>
          </w:tcPr>
          <w:p w14:paraId="08C65E92">
            <w:pPr>
              <w:pStyle w:val="109"/>
              <w:rPr>
                <w:color w:val="000000" w:themeColor="text1"/>
                <w14:textFill>
                  <w14:solidFill>
                    <w14:schemeClr w14:val="tx1"/>
                  </w14:solidFill>
                </w14:textFill>
              </w:rPr>
            </w:pPr>
            <w:r>
              <w:rPr>
                <w:color w:val="000000" w:themeColor="text1"/>
                <w14:textFill>
                  <w14:solidFill>
                    <w14:schemeClr w14:val="tx1"/>
                  </w14:solidFill>
                </w14:textFill>
              </w:rPr>
              <w:t>化学需氧量</w:t>
            </w:r>
          </w:p>
        </w:tc>
        <w:tc>
          <w:tcPr>
            <w:tcW w:w="2401" w:type="dxa"/>
            <w:gridSpan w:val="5"/>
            <w:vAlign w:val="center"/>
          </w:tcPr>
          <w:p w14:paraId="3D26C71A">
            <w:pPr>
              <w:pStyle w:val="109"/>
              <w:rPr>
                <w:color w:val="000000" w:themeColor="text1"/>
                <w:lang w:bidi="ar"/>
                <w14:textFill>
                  <w14:solidFill>
                    <w14:schemeClr w14:val="tx1"/>
                  </w14:solidFill>
                </w14:textFill>
              </w:rPr>
            </w:pPr>
            <w:r>
              <w:rPr>
                <w:rFonts w:hint="eastAsia"/>
                <w:color w:val="000000" w:themeColor="text1"/>
                <w14:textFill>
                  <w14:solidFill>
                    <w14:schemeClr w14:val="tx1"/>
                  </w14:solidFill>
                </w14:textFill>
              </w:rPr>
              <w:t>0.428</w:t>
            </w:r>
          </w:p>
        </w:tc>
        <w:tc>
          <w:tcPr>
            <w:tcW w:w="2496" w:type="dxa"/>
            <w:gridSpan w:val="3"/>
            <w:vAlign w:val="center"/>
          </w:tcPr>
          <w:p w14:paraId="13B115E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118</w:t>
            </w:r>
          </w:p>
        </w:tc>
      </w:tr>
      <w:tr w14:paraId="3E2D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5E86A23E">
            <w:pPr>
              <w:pStyle w:val="109"/>
              <w:rPr>
                <w:color w:val="000000" w:themeColor="text1"/>
                <w14:textFill>
                  <w14:solidFill>
                    <w14:schemeClr w14:val="tx1"/>
                  </w14:solidFill>
                </w14:textFill>
              </w:rPr>
            </w:pPr>
          </w:p>
        </w:tc>
        <w:tc>
          <w:tcPr>
            <w:tcW w:w="1576" w:type="dxa"/>
            <w:vMerge w:val="continue"/>
            <w:vAlign w:val="center"/>
          </w:tcPr>
          <w:p w14:paraId="6E0B0674">
            <w:pPr>
              <w:pStyle w:val="109"/>
              <w:rPr>
                <w:color w:val="000000" w:themeColor="text1"/>
                <w14:textFill>
                  <w14:solidFill>
                    <w14:schemeClr w14:val="tx1"/>
                  </w14:solidFill>
                </w14:textFill>
              </w:rPr>
            </w:pPr>
          </w:p>
        </w:tc>
        <w:tc>
          <w:tcPr>
            <w:tcW w:w="2538" w:type="dxa"/>
            <w:gridSpan w:val="4"/>
            <w:vAlign w:val="center"/>
          </w:tcPr>
          <w:p w14:paraId="3803797E">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2401" w:type="dxa"/>
            <w:gridSpan w:val="5"/>
            <w:vAlign w:val="center"/>
          </w:tcPr>
          <w:p w14:paraId="7858993B">
            <w:pPr>
              <w:pStyle w:val="109"/>
              <w:rPr>
                <w:color w:val="000000" w:themeColor="text1"/>
                <w:lang w:bidi="ar"/>
                <w14:textFill>
                  <w14:solidFill>
                    <w14:schemeClr w14:val="tx1"/>
                  </w14:solidFill>
                </w14:textFill>
              </w:rPr>
            </w:pPr>
            <w:r>
              <w:rPr>
                <w:rFonts w:hint="eastAsia"/>
                <w:color w:val="000000" w:themeColor="text1"/>
                <w14:textFill>
                  <w14:solidFill>
                    <w14:schemeClr w14:val="tx1"/>
                  </w14:solidFill>
                </w14:textFill>
              </w:rPr>
              <w:t>0.024</w:t>
            </w:r>
          </w:p>
        </w:tc>
        <w:tc>
          <w:tcPr>
            <w:tcW w:w="2496" w:type="dxa"/>
            <w:gridSpan w:val="3"/>
            <w:vAlign w:val="center"/>
          </w:tcPr>
          <w:p w14:paraId="79FB710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r>
      <w:tr w14:paraId="0C4E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356F37F6">
            <w:pPr>
              <w:pStyle w:val="109"/>
              <w:rPr>
                <w:color w:val="000000" w:themeColor="text1"/>
                <w14:textFill>
                  <w14:solidFill>
                    <w14:schemeClr w14:val="tx1"/>
                  </w14:solidFill>
                </w14:textFill>
              </w:rPr>
            </w:pPr>
          </w:p>
        </w:tc>
        <w:tc>
          <w:tcPr>
            <w:tcW w:w="1576" w:type="dxa"/>
            <w:vMerge w:val="restart"/>
            <w:vAlign w:val="center"/>
          </w:tcPr>
          <w:p w14:paraId="06C29FDA">
            <w:pPr>
              <w:pStyle w:val="109"/>
              <w:rPr>
                <w:color w:val="000000" w:themeColor="text1"/>
                <w14:textFill>
                  <w14:solidFill>
                    <w14:schemeClr w14:val="tx1"/>
                  </w14:solidFill>
                </w14:textFill>
              </w:rPr>
            </w:pPr>
            <w:r>
              <w:rPr>
                <w:color w:val="000000" w:themeColor="text1"/>
                <w14:textFill>
                  <w14:solidFill>
                    <w14:schemeClr w14:val="tx1"/>
                  </w14:solidFill>
                </w14:textFill>
              </w:rPr>
              <w:t>替代源排放情况</w:t>
            </w:r>
          </w:p>
        </w:tc>
        <w:tc>
          <w:tcPr>
            <w:tcW w:w="1629" w:type="dxa"/>
            <w:vAlign w:val="center"/>
          </w:tcPr>
          <w:p w14:paraId="737B2C9C">
            <w:pPr>
              <w:pStyle w:val="109"/>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1368" w:type="dxa"/>
            <w:gridSpan w:val="4"/>
            <w:vAlign w:val="center"/>
          </w:tcPr>
          <w:p w14:paraId="576B4246">
            <w:pPr>
              <w:pStyle w:val="109"/>
              <w:rPr>
                <w:color w:val="000000" w:themeColor="text1"/>
                <w:spacing w:val="-10"/>
                <w14:textFill>
                  <w14:solidFill>
                    <w14:schemeClr w14:val="tx1"/>
                  </w14:solidFill>
                </w14:textFill>
              </w:rPr>
            </w:pPr>
            <w:r>
              <w:rPr>
                <w:color w:val="000000" w:themeColor="text1"/>
                <w:spacing w:val="-10"/>
                <w14:textFill>
                  <w14:solidFill>
                    <w14:schemeClr w14:val="tx1"/>
                  </w14:solidFill>
                </w14:textFill>
              </w:rPr>
              <w:t>排污许可证编号</w:t>
            </w:r>
          </w:p>
        </w:tc>
        <w:tc>
          <w:tcPr>
            <w:tcW w:w="1487" w:type="dxa"/>
            <w:gridSpan w:val="2"/>
            <w:vAlign w:val="center"/>
          </w:tcPr>
          <w:p w14:paraId="48DA5CF5">
            <w:pPr>
              <w:pStyle w:val="109"/>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1366" w:type="dxa"/>
            <w:gridSpan w:val="4"/>
            <w:vAlign w:val="center"/>
          </w:tcPr>
          <w:p w14:paraId="7C2D018F">
            <w:pPr>
              <w:pStyle w:val="109"/>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1585" w:type="dxa"/>
            <w:vAlign w:val="center"/>
          </w:tcPr>
          <w:p w14:paraId="65A1D3FE">
            <w:pPr>
              <w:pStyle w:val="109"/>
              <w:rPr>
                <w:color w:val="000000" w:themeColor="text1"/>
                <w14:textFill>
                  <w14:solidFill>
                    <w14:schemeClr w14:val="tx1"/>
                  </w14:solidFill>
                </w14:textFill>
              </w:rPr>
            </w:pPr>
            <w:r>
              <w:rPr>
                <w:color w:val="000000" w:themeColor="text1"/>
                <w14:textFill>
                  <w14:solidFill>
                    <w14:schemeClr w14:val="tx1"/>
                  </w14:solidFill>
                </w14:textFill>
              </w:rPr>
              <w:t>排放浓度/（mg/L）</w:t>
            </w:r>
          </w:p>
        </w:tc>
      </w:tr>
      <w:tr w14:paraId="5299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3E698877">
            <w:pPr>
              <w:pStyle w:val="109"/>
              <w:rPr>
                <w:color w:val="000000" w:themeColor="text1"/>
                <w14:textFill>
                  <w14:solidFill>
                    <w14:schemeClr w14:val="tx1"/>
                  </w14:solidFill>
                </w14:textFill>
              </w:rPr>
            </w:pPr>
          </w:p>
        </w:tc>
        <w:tc>
          <w:tcPr>
            <w:tcW w:w="1576" w:type="dxa"/>
            <w:vMerge w:val="continue"/>
            <w:vAlign w:val="center"/>
          </w:tcPr>
          <w:p w14:paraId="71A50D2D">
            <w:pPr>
              <w:pStyle w:val="109"/>
              <w:rPr>
                <w:color w:val="000000" w:themeColor="text1"/>
                <w14:textFill>
                  <w14:solidFill>
                    <w14:schemeClr w14:val="tx1"/>
                  </w14:solidFill>
                </w14:textFill>
              </w:rPr>
            </w:pPr>
          </w:p>
        </w:tc>
        <w:tc>
          <w:tcPr>
            <w:tcW w:w="1629" w:type="dxa"/>
          </w:tcPr>
          <w:p w14:paraId="63F77048">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368" w:type="dxa"/>
            <w:gridSpan w:val="4"/>
          </w:tcPr>
          <w:p w14:paraId="269B5A9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487" w:type="dxa"/>
            <w:gridSpan w:val="2"/>
          </w:tcPr>
          <w:p w14:paraId="30EF23EE">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366" w:type="dxa"/>
            <w:gridSpan w:val="4"/>
          </w:tcPr>
          <w:p w14:paraId="6142297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85" w:type="dxa"/>
          </w:tcPr>
          <w:p w14:paraId="423DA96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7799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6650FBD8">
            <w:pPr>
              <w:pStyle w:val="109"/>
              <w:rPr>
                <w:color w:val="000000" w:themeColor="text1"/>
                <w14:textFill>
                  <w14:solidFill>
                    <w14:schemeClr w14:val="tx1"/>
                  </w14:solidFill>
                </w14:textFill>
              </w:rPr>
            </w:pPr>
          </w:p>
        </w:tc>
        <w:tc>
          <w:tcPr>
            <w:tcW w:w="1576" w:type="dxa"/>
            <w:vAlign w:val="center"/>
          </w:tcPr>
          <w:p w14:paraId="4BDA79BD">
            <w:pPr>
              <w:pStyle w:val="109"/>
              <w:rPr>
                <w:color w:val="000000" w:themeColor="text1"/>
                <w14:textFill>
                  <w14:solidFill>
                    <w14:schemeClr w14:val="tx1"/>
                  </w14:solidFill>
                </w14:textFill>
              </w:rPr>
            </w:pPr>
            <w:r>
              <w:rPr>
                <w:color w:val="000000" w:themeColor="text1"/>
                <w14:textFill>
                  <w14:solidFill>
                    <w14:schemeClr w14:val="tx1"/>
                  </w14:solidFill>
                </w14:textFill>
              </w:rPr>
              <w:t>生态流量确定</w:t>
            </w:r>
          </w:p>
        </w:tc>
        <w:tc>
          <w:tcPr>
            <w:tcW w:w="7435" w:type="dxa"/>
            <w:gridSpan w:val="12"/>
            <w:vAlign w:val="center"/>
          </w:tcPr>
          <w:p w14:paraId="177D338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生态流量：一般水期（ ）m³/s；鱼类繁殖期（ ）m³/s；其他（ ）m³/s </w:t>
            </w:r>
          </w:p>
          <w:p w14:paraId="392FBE01">
            <w:pPr>
              <w:pStyle w:val="109"/>
              <w:rPr>
                <w:color w:val="000000" w:themeColor="text1"/>
                <w14:textFill>
                  <w14:solidFill>
                    <w14:schemeClr w14:val="tx1"/>
                  </w14:solidFill>
                </w14:textFill>
              </w:rPr>
            </w:pPr>
            <w:r>
              <w:rPr>
                <w:color w:val="000000" w:themeColor="text1"/>
                <w14:textFill>
                  <w14:solidFill>
                    <w14:schemeClr w14:val="tx1"/>
                  </w14:solidFill>
                </w14:textFill>
              </w:rPr>
              <w:t>生态水位：一般水期（ ）m；鱼类繁殖期（ ）m；其他（ ）m</w:t>
            </w:r>
          </w:p>
        </w:tc>
      </w:tr>
      <w:tr w14:paraId="7B33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restart"/>
            <w:vAlign w:val="center"/>
          </w:tcPr>
          <w:p w14:paraId="452263F8">
            <w:pPr>
              <w:pStyle w:val="109"/>
              <w:rPr>
                <w:color w:val="000000" w:themeColor="text1"/>
                <w14:textFill>
                  <w14:solidFill>
                    <w14:schemeClr w14:val="tx1"/>
                  </w14:solidFill>
                </w14:textFill>
              </w:rPr>
            </w:pPr>
            <w:r>
              <w:rPr>
                <w:color w:val="000000" w:themeColor="text1"/>
                <w14:textFill>
                  <w14:solidFill>
                    <w14:schemeClr w14:val="tx1"/>
                  </w14:solidFill>
                </w14:textFill>
              </w:rPr>
              <w:t>防</w:t>
            </w:r>
          </w:p>
          <w:p w14:paraId="5361E833">
            <w:pPr>
              <w:pStyle w:val="109"/>
              <w:rPr>
                <w:color w:val="000000" w:themeColor="text1"/>
                <w14:textFill>
                  <w14:solidFill>
                    <w14:schemeClr w14:val="tx1"/>
                  </w14:solidFill>
                </w14:textFill>
              </w:rPr>
            </w:pPr>
            <w:r>
              <w:rPr>
                <w:color w:val="000000" w:themeColor="text1"/>
                <w14:textFill>
                  <w14:solidFill>
                    <w14:schemeClr w14:val="tx1"/>
                  </w14:solidFill>
                </w14:textFill>
              </w:rPr>
              <w:t>治</w:t>
            </w:r>
          </w:p>
          <w:p w14:paraId="6E15D4D3">
            <w:pPr>
              <w:pStyle w:val="109"/>
              <w:rPr>
                <w:color w:val="000000" w:themeColor="text1"/>
                <w14:textFill>
                  <w14:solidFill>
                    <w14:schemeClr w14:val="tx1"/>
                  </w14:solidFill>
                </w14:textFill>
              </w:rPr>
            </w:pPr>
            <w:r>
              <w:rPr>
                <w:color w:val="000000" w:themeColor="text1"/>
                <w14:textFill>
                  <w14:solidFill>
                    <w14:schemeClr w14:val="tx1"/>
                  </w14:solidFill>
                </w14:textFill>
              </w:rPr>
              <w:t>措</w:t>
            </w:r>
          </w:p>
          <w:p w14:paraId="56929CDC">
            <w:pPr>
              <w:pStyle w:val="109"/>
              <w:rPr>
                <w:color w:val="000000" w:themeColor="text1"/>
                <w14:textFill>
                  <w14:solidFill>
                    <w14:schemeClr w14:val="tx1"/>
                  </w14:solidFill>
                </w14:textFill>
              </w:rPr>
            </w:pPr>
            <w:r>
              <w:rPr>
                <w:color w:val="000000" w:themeColor="text1"/>
                <w14:textFill>
                  <w14:solidFill>
                    <w14:schemeClr w14:val="tx1"/>
                  </w14:solidFill>
                </w14:textFill>
              </w:rPr>
              <w:t>施</w:t>
            </w:r>
          </w:p>
        </w:tc>
        <w:tc>
          <w:tcPr>
            <w:tcW w:w="1576" w:type="dxa"/>
            <w:vAlign w:val="center"/>
          </w:tcPr>
          <w:p w14:paraId="519887A7">
            <w:pPr>
              <w:pStyle w:val="109"/>
              <w:rPr>
                <w:color w:val="000000" w:themeColor="text1"/>
                <w14:textFill>
                  <w14:solidFill>
                    <w14:schemeClr w14:val="tx1"/>
                  </w14:solidFill>
                </w14:textFill>
              </w:rPr>
            </w:pPr>
            <w:r>
              <w:rPr>
                <w:color w:val="000000" w:themeColor="text1"/>
                <w14:textFill>
                  <w14:solidFill>
                    <w14:schemeClr w14:val="tx1"/>
                  </w14:solidFill>
                </w14:textFill>
              </w:rPr>
              <w:t>环保措施</w:t>
            </w:r>
          </w:p>
        </w:tc>
        <w:tc>
          <w:tcPr>
            <w:tcW w:w="7435" w:type="dxa"/>
            <w:gridSpan w:val="12"/>
            <w:vAlign w:val="center"/>
          </w:tcPr>
          <w:p w14:paraId="6398E270">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污水处理设施 □；水文减缓设施 □；生态流量保障设施 □；区域削减 □；依托其他工程措施 </w:t>
            </w:r>
            <w:r>
              <w:rPr>
                <w:rFonts w:ascii="Segoe UI Symbol" w:hAnsi="Segoe UI Symbol" w:cs="Segoe UI Symbol"/>
                <w:color w:val="000000" w:themeColor="text1"/>
                <w14:textFill>
                  <w14:solidFill>
                    <w14:schemeClr w14:val="tx1"/>
                  </w14:solidFill>
                </w14:textFill>
              </w:rPr>
              <w:t>☑</w:t>
            </w:r>
            <w:r>
              <w:rPr>
                <w:color w:val="000000" w:themeColor="text1"/>
                <w14:textFill>
                  <w14:solidFill>
                    <w14:schemeClr w14:val="tx1"/>
                  </w14:solidFill>
                </w14:textFill>
              </w:rPr>
              <w:t xml:space="preserve">；其他 □ </w:t>
            </w:r>
          </w:p>
        </w:tc>
      </w:tr>
      <w:tr w14:paraId="4EBF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0F7A632D">
            <w:pPr>
              <w:pStyle w:val="109"/>
              <w:rPr>
                <w:color w:val="000000" w:themeColor="text1"/>
                <w14:textFill>
                  <w14:solidFill>
                    <w14:schemeClr w14:val="tx1"/>
                  </w14:solidFill>
                </w14:textFill>
              </w:rPr>
            </w:pPr>
          </w:p>
        </w:tc>
        <w:tc>
          <w:tcPr>
            <w:tcW w:w="1576" w:type="dxa"/>
            <w:vMerge w:val="restart"/>
            <w:vAlign w:val="center"/>
          </w:tcPr>
          <w:p w14:paraId="653B7C9A">
            <w:pPr>
              <w:pStyle w:val="109"/>
              <w:rPr>
                <w:color w:val="000000" w:themeColor="text1"/>
                <w14:textFill>
                  <w14:solidFill>
                    <w14:schemeClr w14:val="tx1"/>
                  </w14:solidFill>
                </w14:textFill>
              </w:rPr>
            </w:pPr>
            <w:r>
              <w:rPr>
                <w:color w:val="000000" w:themeColor="text1"/>
                <w14:textFill>
                  <w14:solidFill>
                    <w14:schemeClr w14:val="tx1"/>
                  </w14:solidFill>
                </w14:textFill>
              </w:rPr>
              <w:t>监测计划</w:t>
            </w:r>
          </w:p>
        </w:tc>
        <w:tc>
          <w:tcPr>
            <w:tcW w:w="2024" w:type="dxa"/>
            <w:gridSpan w:val="3"/>
            <w:vAlign w:val="center"/>
          </w:tcPr>
          <w:p w14:paraId="3628162F">
            <w:pPr>
              <w:pStyle w:val="109"/>
              <w:rPr>
                <w:color w:val="000000" w:themeColor="text1"/>
                <w14:textFill>
                  <w14:solidFill>
                    <w14:schemeClr w14:val="tx1"/>
                  </w14:solidFill>
                </w14:textFill>
              </w:rPr>
            </w:pPr>
          </w:p>
        </w:tc>
        <w:tc>
          <w:tcPr>
            <w:tcW w:w="2657" w:type="dxa"/>
            <w:gridSpan w:val="5"/>
            <w:vAlign w:val="center"/>
          </w:tcPr>
          <w:p w14:paraId="3AE7D4AD">
            <w:pPr>
              <w:pStyle w:val="109"/>
              <w:rPr>
                <w:color w:val="000000" w:themeColor="text1"/>
                <w14:textFill>
                  <w14:solidFill>
                    <w14:schemeClr w14:val="tx1"/>
                  </w14:solidFill>
                </w14:textFill>
              </w:rPr>
            </w:pPr>
            <w:r>
              <w:rPr>
                <w:color w:val="000000" w:themeColor="text1"/>
                <w14:textFill>
                  <w14:solidFill>
                    <w14:schemeClr w14:val="tx1"/>
                  </w14:solidFill>
                </w14:textFill>
              </w:rPr>
              <w:t>环境质量</w:t>
            </w:r>
          </w:p>
        </w:tc>
        <w:tc>
          <w:tcPr>
            <w:tcW w:w="2754" w:type="dxa"/>
            <w:gridSpan w:val="4"/>
            <w:vAlign w:val="center"/>
          </w:tcPr>
          <w:p w14:paraId="6AD6D540">
            <w:pPr>
              <w:pStyle w:val="109"/>
              <w:rPr>
                <w:color w:val="000000" w:themeColor="text1"/>
                <w14:textFill>
                  <w14:solidFill>
                    <w14:schemeClr w14:val="tx1"/>
                  </w14:solidFill>
                </w14:textFill>
              </w:rPr>
            </w:pPr>
            <w:r>
              <w:rPr>
                <w:color w:val="000000" w:themeColor="text1"/>
                <w14:textFill>
                  <w14:solidFill>
                    <w14:schemeClr w14:val="tx1"/>
                  </w14:solidFill>
                </w14:textFill>
              </w:rPr>
              <w:t>污染源</w:t>
            </w:r>
          </w:p>
        </w:tc>
      </w:tr>
      <w:tr w14:paraId="0E23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3235F3B9">
            <w:pPr>
              <w:pStyle w:val="109"/>
              <w:rPr>
                <w:color w:val="000000" w:themeColor="text1"/>
                <w14:textFill>
                  <w14:solidFill>
                    <w14:schemeClr w14:val="tx1"/>
                  </w14:solidFill>
                </w14:textFill>
              </w:rPr>
            </w:pPr>
          </w:p>
        </w:tc>
        <w:tc>
          <w:tcPr>
            <w:tcW w:w="1576" w:type="dxa"/>
            <w:vMerge w:val="continue"/>
            <w:vAlign w:val="center"/>
          </w:tcPr>
          <w:p w14:paraId="5AD3BD7F">
            <w:pPr>
              <w:pStyle w:val="109"/>
              <w:rPr>
                <w:color w:val="000000" w:themeColor="text1"/>
                <w14:textFill>
                  <w14:solidFill>
                    <w14:schemeClr w14:val="tx1"/>
                  </w14:solidFill>
                </w14:textFill>
              </w:rPr>
            </w:pPr>
          </w:p>
        </w:tc>
        <w:tc>
          <w:tcPr>
            <w:tcW w:w="2024" w:type="dxa"/>
            <w:gridSpan w:val="3"/>
            <w:vAlign w:val="center"/>
          </w:tcPr>
          <w:p w14:paraId="0819A14F">
            <w:pPr>
              <w:pStyle w:val="109"/>
              <w:rPr>
                <w:color w:val="000000" w:themeColor="text1"/>
                <w14:textFill>
                  <w14:solidFill>
                    <w14:schemeClr w14:val="tx1"/>
                  </w14:solidFill>
                </w14:textFill>
              </w:rPr>
            </w:pPr>
            <w:r>
              <w:rPr>
                <w:color w:val="000000" w:themeColor="text1"/>
                <w14:textFill>
                  <w14:solidFill>
                    <w14:schemeClr w14:val="tx1"/>
                  </w14:solidFill>
                </w14:textFill>
              </w:rPr>
              <w:t>监测方式</w:t>
            </w:r>
          </w:p>
        </w:tc>
        <w:tc>
          <w:tcPr>
            <w:tcW w:w="2657" w:type="dxa"/>
            <w:gridSpan w:val="5"/>
            <w:vAlign w:val="center"/>
          </w:tcPr>
          <w:p w14:paraId="5A4E03F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手动 □；自动 □；无监测 </w:t>
            </w:r>
            <w:r>
              <w:rPr>
                <w:rFonts w:ascii="Segoe UI Symbol" w:hAnsi="Segoe UI Symbol" w:cs="Segoe UI Symbol"/>
                <w:color w:val="000000" w:themeColor="text1"/>
                <w14:textFill>
                  <w14:solidFill>
                    <w14:schemeClr w14:val="tx1"/>
                  </w14:solidFill>
                </w14:textFill>
              </w:rPr>
              <w:t>☑</w:t>
            </w:r>
          </w:p>
        </w:tc>
        <w:tc>
          <w:tcPr>
            <w:tcW w:w="2754" w:type="dxa"/>
            <w:gridSpan w:val="4"/>
            <w:vAlign w:val="center"/>
          </w:tcPr>
          <w:p w14:paraId="7DFA809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手动 </w:t>
            </w:r>
            <w:r>
              <w:rPr>
                <w:rFonts w:ascii="Segoe UI Symbol" w:hAnsi="Segoe UI Symbol" w:cs="Segoe UI Symbol"/>
                <w:color w:val="000000" w:themeColor="text1"/>
                <w14:textFill>
                  <w14:solidFill>
                    <w14:schemeClr w14:val="tx1"/>
                  </w14:solidFill>
                </w14:textFill>
              </w:rPr>
              <w:t>☑</w:t>
            </w:r>
            <w:r>
              <w:rPr>
                <w:color w:val="000000" w:themeColor="text1"/>
                <w14:textFill>
                  <w14:solidFill>
                    <w14:schemeClr w14:val="tx1"/>
                  </w14:solidFill>
                </w14:textFill>
              </w:rPr>
              <w:t>；自动 □；无监测 □</w:t>
            </w:r>
          </w:p>
        </w:tc>
      </w:tr>
      <w:tr w14:paraId="7A02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07940EEA">
            <w:pPr>
              <w:pStyle w:val="109"/>
              <w:rPr>
                <w:color w:val="000000" w:themeColor="text1"/>
                <w14:textFill>
                  <w14:solidFill>
                    <w14:schemeClr w14:val="tx1"/>
                  </w14:solidFill>
                </w14:textFill>
              </w:rPr>
            </w:pPr>
          </w:p>
        </w:tc>
        <w:tc>
          <w:tcPr>
            <w:tcW w:w="1576" w:type="dxa"/>
            <w:vMerge w:val="continue"/>
            <w:vAlign w:val="center"/>
          </w:tcPr>
          <w:p w14:paraId="560CD84F">
            <w:pPr>
              <w:pStyle w:val="109"/>
              <w:rPr>
                <w:color w:val="000000" w:themeColor="text1"/>
                <w14:textFill>
                  <w14:solidFill>
                    <w14:schemeClr w14:val="tx1"/>
                  </w14:solidFill>
                </w14:textFill>
              </w:rPr>
            </w:pPr>
          </w:p>
        </w:tc>
        <w:tc>
          <w:tcPr>
            <w:tcW w:w="2024" w:type="dxa"/>
            <w:gridSpan w:val="3"/>
            <w:vAlign w:val="center"/>
          </w:tcPr>
          <w:p w14:paraId="45D33C78">
            <w:pPr>
              <w:pStyle w:val="109"/>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2657" w:type="dxa"/>
            <w:gridSpan w:val="5"/>
            <w:vAlign w:val="center"/>
          </w:tcPr>
          <w:p w14:paraId="53C3A56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754" w:type="dxa"/>
            <w:gridSpan w:val="4"/>
            <w:vAlign w:val="center"/>
          </w:tcPr>
          <w:p w14:paraId="13AD4A25">
            <w:pPr>
              <w:pStyle w:val="109"/>
              <w:rPr>
                <w:color w:val="000000" w:themeColor="text1"/>
                <w14:textFill>
                  <w14:solidFill>
                    <w14:schemeClr w14:val="tx1"/>
                  </w14:solidFill>
                </w14:textFill>
              </w:rPr>
            </w:pPr>
            <w:r>
              <w:rPr>
                <w:color w:val="000000" w:themeColor="text1"/>
                <w14:textFill>
                  <w14:solidFill>
                    <w14:schemeClr w14:val="tx1"/>
                  </w14:solidFill>
                </w14:textFill>
              </w:rPr>
              <w:t>（DW001）</w:t>
            </w:r>
          </w:p>
        </w:tc>
      </w:tr>
      <w:tr w14:paraId="4EBF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4067B584">
            <w:pPr>
              <w:pStyle w:val="109"/>
              <w:rPr>
                <w:color w:val="000000" w:themeColor="text1"/>
                <w14:textFill>
                  <w14:solidFill>
                    <w14:schemeClr w14:val="tx1"/>
                  </w14:solidFill>
                </w14:textFill>
              </w:rPr>
            </w:pPr>
          </w:p>
        </w:tc>
        <w:tc>
          <w:tcPr>
            <w:tcW w:w="1576" w:type="dxa"/>
            <w:vMerge w:val="continue"/>
            <w:vAlign w:val="center"/>
          </w:tcPr>
          <w:p w14:paraId="65AB59F3">
            <w:pPr>
              <w:pStyle w:val="109"/>
              <w:rPr>
                <w:color w:val="000000" w:themeColor="text1"/>
                <w14:textFill>
                  <w14:solidFill>
                    <w14:schemeClr w14:val="tx1"/>
                  </w14:solidFill>
                </w14:textFill>
              </w:rPr>
            </w:pPr>
          </w:p>
        </w:tc>
        <w:tc>
          <w:tcPr>
            <w:tcW w:w="2024" w:type="dxa"/>
            <w:gridSpan w:val="3"/>
            <w:vAlign w:val="center"/>
          </w:tcPr>
          <w:p w14:paraId="79A6A6AD">
            <w:pPr>
              <w:pStyle w:val="109"/>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2657" w:type="dxa"/>
            <w:gridSpan w:val="5"/>
            <w:vAlign w:val="center"/>
          </w:tcPr>
          <w:p w14:paraId="09552E2A">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COD</w:t>
            </w:r>
            <w:r>
              <w:rPr>
                <w:color w:val="000000" w:themeColor="text1"/>
                <w14:textFill>
                  <w14:solidFill>
                    <w14:schemeClr w14:val="tx1"/>
                  </w14:solidFill>
                </w14:textFill>
              </w:rPr>
              <w:t>）</w:t>
            </w:r>
          </w:p>
        </w:tc>
        <w:tc>
          <w:tcPr>
            <w:tcW w:w="2754" w:type="dxa"/>
            <w:gridSpan w:val="4"/>
            <w:vAlign w:val="center"/>
          </w:tcPr>
          <w:p w14:paraId="23D8C9B7">
            <w:pPr>
              <w:pStyle w:val="109"/>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氨氮</w:t>
            </w:r>
            <w:r>
              <w:rPr>
                <w:color w:val="000000" w:themeColor="text1"/>
                <w14:textFill>
                  <w14:solidFill>
                    <w14:schemeClr w14:val="tx1"/>
                  </w14:solidFill>
                </w14:textFill>
              </w:rPr>
              <w:t>）</w:t>
            </w:r>
          </w:p>
        </w:tc>
      </w:tr>
      <w:tr w14:paraId="7556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1" w:type="dxa"/>
            <w:vMerge w:val="continue"/>
            <w:vAlign w:val="center"/>
          </w:tcPr>
          <w:p w14:paraId="19B111DF">
            <w:pPr>
              <w:pStyle w:val="109"/>
              <w:rPr>
                <w:color w:val="000000" w:themeColor="text1"/>
                <w14:textFill>
                  <w14:solidFill>
                    <w14:schemeClr w14:val="tx1"/>
                  </w14:solidFill>
                </w14:textFill>
              </w:rPr>
            </w:pPr>
          </w:p>
        </w:tc>
        <w:tc>
          <w:tcPr>
            <w:tcW w:w="1576" w:type="dxa"/>
            <w:vAlign w:val="center"/>
          </w:tcPr>
          <w:p w14:paraId="39075C0C">
            <w:pPr>
              <w:pStyle w:val="109"/>
              <w:rPr>
                <w:color w:val="000000" w:themeColor="text1"/>
                <w14:textFill>
                  <w14:solidFill>
                    <w14:schemeClr w14:val="tx1"/>
                  </w14:solidFill>
                </w14:textFill>
              </w:rPr>
            </w:pPr>
            <w:r>
              <w:rPr>
                <w:color w:val="000000" w:themeColor="text1"/>
                <w14:textFill>
                  <w14:solidFill>
                    <w14:schemeClr w14:val="tx1"/>
                  </w14:solidFill>
                </w14:textFill>
              </w:rPr>
              <w:t>污染物排放清单</w:t>
            </w:r>
          </w:p>
        </w:tc>
        <w:tc>
          <w:tcPr>
            <w:tcW w:w="7435" w:type="dxa"/>
            <w:gridSpan w:val="12"/>
            <w:vAlign w:val="center"/>
          </w:tcPr>
          <w:p w14:paraId="6A630F80">
            <w:pPr>
              <w:pStyle w:val="109"/>
              <w:rPr>
                <w:color w:val="000000" w:themeColor="text1"/>
                <w:lang w:val="fr-FR"/>
                <w14:textFill>
                  <w14:solidFill>
                    <w14:schemeClr w14:val="tx1"/>
                  </w14:solidFill>
                </w14:textFill>
              </w:rPr>
            </w:pPr>
            <w:r>
              <w:rPr>
                <w:rFonts w:hint="eastAsia"/>
                <w:color w:val="000000" w:themeColor="text1"/>
                <w:lang w:val="fr-FR"/>
                <w14:textFill>
                  <w14:solidFill>
                    <w14:schemeClr w14:val="tx1"/>
                  </w14:solidFill>
                </w14:textFill>
              </w:rPr>
              <w:t>COD0.428t/a</w:t>
            </w:r>
            <w:r>
              <w:rPr>
                <w:rFonts w:hint="eastAsia"/>
                <w:color w:val="000000" w:themeColor="text1"/>
                <w14:textFill>
                  <w14:solidFill>
                    <w14:schemeClr w14:val="tx1"/>
                  </w14:solidFill>
                </w14:textFill>
              </w:rPr>
              <w:t>、氨氮</w:t>
            </w:r>
            <w:r>
              <w:rPr>
                <w:rFonts w:hint="eastAsia"/>
                <w:color w:val="000000" w:themeColor="text1"/>
                <w:lang w:val="fr-FR"/>
                <w14:textFill>
                  <w14:solidFill>
                    <w14:schemeClr w14:val="tx1"/>
                  </w14:solidFill>
                </w14:textFill>
              </w:rPr>
              <w:t>0.024t/a</w:t>
            </w:r>
          </w:p>
        </w:tc>
      </w:tr>
      <w:tr w14:paraId="10CD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7" w:type="dxa"/>
            <w:gridSpan w:val="2"/>
            <w:vAlign w:val="center"/>
          </w:tcPr>
          <w:p w14:paraId="133399DB">
            <w:pPr>
              <w:pStyle w:val="109"/>
              <w:rPr>
                <w:color w:val="000000" w:themeColor="text1"/>
                <w14:textFill>
                  <w14:solidFill>
                    <w14:schemeClr w14:val="tx1"/>
                  </w14:solidFill>
                </w14:textFill>
              </w:rPr>
            </w:pPr>
            <w:r>
              <w:rPr>
                <w:color w:val="000000" w:themeColor="text1"/>
                <w14:textFill>
                  <w14:solidFill>
                    <w14:schemeClr w14:val="tx1"/>
                  </w14:solidFill>
                </w14:textFill>
              </w:rPr>
              <w:t>评价结论</w:t>
            </w:r>
          </w:p>
        </w:tc>
        <w:tc>
          <w:tcPr>
            <w:tcW w:w="7435" w:type="dxa"/>
            <w:gridSpan w:val="12"/>
            <w:vAlign w:val="center"/>
          </w:tcPr>
          <w:p w14:paraId="3DA2275F">
            <w:pPr>
              <w:pStyle w:val="109"/>
              <w:rPr>
                <w:color w:val="000000" w:themeColor="text1"/>
                <w14:textFill>
                  <w14:solidFill>
                    <w14:schemeClr w14:val="tx1"/>
                  </w14:solidFill>
                </w14:textFill>
              </w:rPr>
            </w:pPr>
            <w:r>
              <w:rPr>
                <w:color w:val="000000" w:themeColor="text1"/>
                <w14:textFill>
                  <w14:solidFill>
                    <w14:schemeClr w14:val="tx1"/>
                  </w14:solidFill>
                </w14:textFill>
              </w:rPr>
              <w:t>可以接受</w:t>
            </w:r>
            <w:r>
              <w:rPr>
                <w:rFonts w:ascii="Segoe UI Symbol" w:hAnsi="Segoe UI Symbol" w:cs="Segoe UI Symbol"/>
                <w:color w:val="000000" w:themeColor="text1"/>
                <w14:textFill>
                  <w14:solidFill>
                    <w14:schemeClr w14:val="tx1"/>
                  </w14:solidFill>
                </w14:textFill>
              </w:rPr>
              <w:t>☑</w:t>
            </w:r>
            <w:r>
              <w:rPr>
                <w:color w:val="000000" w:themeColor="text1"/>
                <w14:textFill>
                  <w14:solidFill>
                    <w14:schemeClr w14:val="tx1"/>
                  </w14:solidFill>
                </w14:textFill>
              </w:rPr>
              <w:t>；不可以接受 □</w:t>
            </w:r>
          </w:p>
        </w:tc>
      </w:tr>
      <w:tr w14:paraId="5B29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02" w:type="dxa"/>
            <w:gridSpan w:val="14"/>
            <w:vAlign w:val="center"/>
          </w:tcPr>
          <w:p w14:paraId="2E00437B">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注：“□”为勾选项，可√；“（ ）”为内容填写项；“备注”为其他补充内容。 </w:t>
            </w:r>
          </w:p>
        </w:tc>
      </w:tr>
    </w:tbl>
    <w:p w14:paraId="6FAF6EAF">
      <w:pPr>
        <w:pStyle w:val="3"/>
        <w:rPr>
          <w:rFonts w:ascii="Times New Roman" w:cs="Times New Roman"/>
          <w:snapToGrid w:val="0"/>
          <w:color w:val="000000" w:themeColor="text1"/>
          <w:lang w:val="zh-CN"/>
          <w14:textFill>
            <w14:solidFill>
              <w14:schemeClr w14:val="tx1"/>
            </w14:solidFill>
          </w14:textFill>
        </w:rPr>
      </w:pPr>
      <w:bookmarkStart w:id="437" w:name="_Toc225268319"/>
      <w:r>
        <w:rPr>
          <w:rFonts w:ascii="Times New Roman" w:cs="Times New Roman"/>
          <w:snapToGrid w:val="0"/>
          <w:color w:val="000000" w:themeColor="text1"/>
          <w:lang w:val="zh-CN"/>
          <w14:textFill>
            <w14:solidFill>
              <w14:schemeClr w14:val="tx1"/>
            </w14:solidFill>
          </w14:textFill>
        </w:rPr>
        <w:t>地下水环境影响分析</w:t>
      </w:r>
      <w:bookmarkEnd w:id="433"/>
      <w:bookmarkEnd w:id="434"/>
      <w:bookmarkEnd w:id="435"/>
      <w:bookmarkEnd w:id="436"/>
      <w:bookmarkEnd w:id="437"/>
    </w:p>
    <w:p w14:paraId="38361986">
      <w:pPr>
        <w:pStyle w:val="4"/>
        <w:rPr>
          <w:rFonts w:ascii="Times New Roman" w:cs="Times New Roman"/>
          <w:color w:val="000000" w:themeColor="text1"/>
          <w14:textFill>
            <w14:solidFill>
              <w14:schemeClr w14:val="tx1"/>
            </w14:solidFill>
          </w14:textFill>
        </w:rPr>
      </w:pPr>
      <w:bookmarkStart w:id="438" w:name="_Toc8355"/>
      <w:r>
        <w:rPr>
          <w:rFonts w:ascii="Times New Roman" w:cs="Times New Roman"/>
          <w:color w:val="000000" w:themeColor="text1"/>
          <w14:textFill>
            <w14:solidFill>
              <w14:schemeClr w14:val="tx1"/>
            </w14:solidFill>
          </w14:textFill>
        </w:rPr>
        <w:t>区域环境条件概述</w:t>
      </w:r>
      <w:bookmarkEnd w:id="438"/>
    </w:p>
    <w:p w14:paraId="0E7DFD87">
      <w:pPr>
        <w:pStyle w:val="5"/>
        <w:rPr>
          <w:rFonts w:ascii="Times New Roman" w:hAnsi="Times New Roman"/>
          <w:color w:val="000000" w:themeColor="text1"/>
          <w:lang w:val="zh-CN" w:bidi="zh-CN"/>
          <w14:textFill>
            <w14:solidFill>
              <w14:schemeClr w14:val="tx1"/>
            </w14:solidFill>
          </w14:textFill>
        </w:rPr>
      </w:pPr>
      <w:r>
        <w:rPr>
          <w:rFonts w:ascii="Times New Roman" w:hAnsi="Times New Roman"/>
          <w:color w:val="000000" w:themeColor="text1"/>
          <w:lang w:val="zh-CN" w:bidi="zh-CN"/>
          <w14:textFill>
            <w14:solidFill>
              <w14:schemeClr w14:val="tx1"/>
            </w14:solidFill>
          </w14:textFill>
        </w:rPr>
        <w:t>地下水形成、赋存条件</w:t>
      </w:r>
    </w:p>
    <w:p w14:paraId="1273E156">
      <w:pPr>
        <w:ind w:firstLine="480"/>
        <w:jc w:val="both"/>
        <w:rPr>
          <w:color w:val="000000" w:themeColor="text1"/>
          <w:lang w:bidi="zh-CN"/>
          <w14:textFill>
            <w14:solidFill>
              <w14:schemeClr w14:val="tx1"/>
            </w14:solidFill>
          </w14:textFill>
        </w:rPr>
      </w:pPr>
      <w:r>
        <w:rPr>
          <w:color w:val="000000" w:themeColor="text1"/>
          <w:lang w:bidi="zh-CN"/>
          <w14:textFill>
            <w14:solidFill>
              <w14:schemeClr w14:val="tx1"/>
            </w14:solidFill>
          </w14:textFill>
        </w:rPr>
        <w:t>评价区位于乌鲁木齐河流域，乌鲁木齐河从上游至下游流经5个既联系又相对独立的水文地质单元，依次为基岩裂隙水区、柴窝堡盆地第四系孔隙水区、乌鲁木齐河谷第四系孔隙水区、山前倾斜平原第四系孔隙水区和下游细土平原第四系孔隙水区。</w:t>
      </w:r>
    </w:p>
    <w:p w14:paraId="02986A0D">
      <w:pPr>
        <w:ind w:firstLine="480"/>
        <w:jc w:val="both"/>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本次评价区位于北部的细土平原区，属于乌鲁木齐河流域下游，地下水埋深较浅，为多层结构的松散岩类孔隙水，水位埋深1.9-13m潜水含水层的岩性以粉土、粉砂为主，颗粒细，透水性差，地下水流相对缓慢。</w:t>
      </w:r>
    </w:p>
    <w:p w14:paraId="2C2924FA">
      <w:pPr>
        <w:pStyle w:val="5"/>
        <w:rPr>
          <w:rFonts w:ascii="Times New Roman" w:hAnsi="Times New Roman"/>
          <w:color w:val="000000" w:themeColor="text1"/>
          <w:lang w:bidi="zh-CN"/>
          <w14:textFill>
            <w14:solidFill>
              <w14:schemeClr w14:val="tx1"/>
            </w14:solidFill>
          </w14:textFill>
        </w:rPr>
      </w:pPr>
      <w:r>
        <w:rPr>
          <w:rFonts w:ascii="Times New Roman" w:hAnsi="Times New Roman"/>
          <w:color w:val="000000" w:themeColor="text1"/>
          <w:lang w:bidi="zh-CN"/>
          <w14:textFill>
            <w14:solidFill>
              <w14:schemeClr w14:val="tx1"/>
            </w14:solidFill>
          </w14:textFill>
        </w:rPr>
        <w:t>评价区富水性特征</w:t>
      </w:r>
    </w:p>
    <w:p w14:paraId="417C63C3">
      <w:pPr>
        <w:ind w:firstLine="480"/>
        <w:jc w:val="both"/>
        <w:rPr>
          <w:color w:val="000000" w:themeColor="text1"/>
          <w:lang w:bidi="zh-CN"/>
          <w14:textFill>
            <w14:solidFill>
              <w14:schemeClr w14:val="tx1"/>
            </w14:solidFill>
          </w14:textFill>
        </w:rPr>
      </w:pPr>
      <w:r>
        <w:rPr>
          <w:color w:val="000000" w:themeColor="text1"/>
          <w:lang w:bidi="zh-CN"/>
          <w14:textFill>
            <w14:solidFill>
              <w14:schemeClr w14:val="tx1"/>
            </w14:solidFill>
          </w14:textFill>
        </w:rPr>
        <w:t>该区是乌鲁木齐河流域的下游地段，它的西部受控于头屯河，东边受控于阜康境内的水磨沟。细土平原区广泛分布有多层结构的潜水、承压水和深部自流水。评价区地下水类型为松散岩类孔隙水，相应的含水层为松散岩类孔隙水含水层。园区地下水分布为南部埋藏深度大于北侧埋深，总体上为南高北低。</w:t>
      </w:r>
    </w:p>
    <w:p w14:paraId="5C0C119F">
      <w:pPr>
        <w:ind w:firstLine="480"/>
        <w:jc w:val="both"/>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含水层的富水性统一按八时管井单位涌水量进行划分，划分为三个等级：强富水（1000-3000m³/d²m），中等富水（100~1000m³/d²m），弱富水（10~100m³/d²m）。其富水性特征：南部好于北部，西部好于东部。单位涌水量由西~东部为1.0~0.6L/sm。评价区水文地质图见图</w:t>
      </w:r>
      <w:r>
        <w:rPr>
          <w:rFonts w:hint="eastAsia"/>
          <w:color w:val="000000" w:themeColor="text1"/>
          <w:lang w:bidi="zh-CN"/>
          <w14:textFill>
            <w14:solidFill>
              <w14:schemeClr w14:val="tx1"/>
            </w14:solidFill>
          </w14:textFill>
        </w:rPr>
        <w:t>6</w:t>
      </w:r>
      <w:r>
        <w:rPr>
          <w:color w:val="000000" w:themeColor="text1"/>
          <w:lang w:bidi="zh-CN"/>
          <w14:textFill>
            <w14:solidFill>
              <w14:schemeClr w14:val="tx1"/>
            </w14:solidFill>
          </w14:textFill>
        </w:rPr>
        <w:t>.4-1。</w:t>
      </w:r>
    </w:p>
    <w:p w14:paraId="560CDC2C">
      <w:pPr>
        <w:ind w:firstLine="480"/>
        <w:jc w:val="both"/>
        <w:rPr>
          <w:color w:val="000000" w:themeColor="text1"/>
          <w:lang w:bidi="zh-CN"/>
          <w14:textFill>
            <w14:solidFill>
              <w14:schemeClr w14:val="tx1"/>
            </w14:solidFill>
          </w14:textFill>
        </w:rPr>
      </w:pPr>
      <w:r>
        <w:rPr>
          <w:rFonts w:ascii="Cambria Math" w:hAnsi="Cambria Math" w:cs="Cambria Math"/>
          <w:color w:val="000000" w:themeColor="text1"/>
          <w:lang w:bidi="zh-CN"/>
          <w14:textFill>
            <w14:solidFill>
              <w14:schemeClr w14:val="tx1"/>
            </w14:solidFill>
          </w14:textFill>
        </w:rPr>
        <w:t>①</w:t>
      </w:r>
      <w:r>
        <w:rPr>
          <w:color w:val="000000" w:themeColor="text1"/>
          <w:lang w:bidi="zh-CN"/>
          <w14:textFill>
            <w14:solidFill>
              <w14:schemeClr w14:val="tx1"/>
            </w14:solidFill>
          </w14:textFill>
        </w:rPr>
        <w:t>强富水区</w:t>
      </w:r>
    </w:p>
    <w:p w14:paraId="466774E7">
      <w:pPr>
        <w:ind w:firstLine="480"/>
        <w:jc w:val="both"/>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分布于园区南部，潜水矿化度1g/L左右。</w:t>
      </w:r>
    </w:p>
    <w:p w14:paraId="09FC917F">
      <w:pPr>
        <w:ind w:firstLine="480"/>
        <w:jc w:val="both"/>
        <w:rPr>
          <w:color w:val="000000" w:themeColor="text1"/>
          <w:lang w:bidi="zh-CN"/>
          <w14:textFill>
            <w14:solidFill>
              <w14:schemeClr w14:val="tx1"/>
            </w14:solidFill>
          </w14:textFill>
        </w:rPr>
      </w:pPr>
      <w:r>
        <w:rPr>
          <w:rFonts w:ascii="Cambria Math" w:hAnsi="Cambria Math" w:cs="Cambria Math"/>
          <w:color w:val="000000" w:themeColor="text1"/>
          <w:lang w:bidi="zh-CN"/>
          <w14:textFill>
            <w14:solidFill>
              <w14:schemeClr w14:val="tx1"/>
            </w14:solidFill>
          </w14:textFill>
        </w:rPr>
        <w:t>②</w:t>
      </w:r>
      <w:r>
        <w:rPr>
          <w:color w:val="000000" w:themeColor="text1"/>
          <w:lang w:bidi="zh-CN"/>
          <w14:textFill>
            <w14:solidFill>
              <w14:schemeClr w14:val="tx1"/>
            </w14:solidFill>
          </w14:textFill>
        </w:rPr>
        <w:t>中等富水区</w:t>
      </w:r>
    </w:p>
    <w:p w14:paraId="396664DE">
      <w:pPr>
        <w:ind w:firstLine="480"/>
        <w:jc w:val="both"/>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分布于甘泉堡工业园西部。单位涌水量为100-300m³/d·m，属HCO</w:t>
      </w:r>
      <w:r>
        <w:rPr>
          <w:color w:val="000000" w:themeColor="text1"/>
          <w:vertAlign w:val="subscript"/>
          <w:lang w:bidi="zh-CN"/>
          <w14:textFill>
            <w14:solidFill>
              <w14:schemeClr w14:val="tx1"/>
            </w14:solidFill>
          </w14:textFill>
        </w:rPr>
        <w:t>3</w:t>
      </w:r>
      <w:r>
        <w:rPr>
          <w:color w:val="000000" w:themeColor="text1"/>
          <w:lang w:bidi="zh-CN"/>
          <w14:textFill>
            <w14:solidFill>
              <w14:schemeClr w14:val="tx1"/>
            </w14:solidFill>
          </w14:textFill>
        </w:rPr>
        <w:t>·SO</w:t>
      </w:r>
      <w:r>
        <w:rPr>
          <w:color w:val="000000" w:themeColor="text1"/>
          <w:vertAlign w:val="subscript"/>
          <w:lang w:bidi="zh-CN"/>
          <w14:textFill>
            <w14:solidFill>
              <w14:schemeClr w14:val="tx1"/>
            </w14:solidFill>
          </w14:textFill>
        </w:rPr>
        <w:t>4</w:t>
      </w:r>
      <w:r>
        <w:rPr>
          <w:color w:val="000000" w:themeColor="text1"/>
          <w:lang w:bidi="zh-CN"/>
          <w14:textFill>
            <w14:solidFill>
              <w14:schemeClr w14:val="tx1"/>
            </w14:solidFill>
          </w14:textFill>
        </w:rPr>
        <w:t>—Na型水，矿化度0.22-0.44g/L，猛进水库以南，20m深度以内的地层岩性为黏土和粉质粘土，20m深度以下的地层岩性大部分是大厚度的砂砾石，主要含水层为砂砾石，单层厚10m左右；猛进水库以北，40m深度以内的地层岩性是亚砂土和粉细砂层，40m深度以下的地层岩性是砂和粉质粘土互层，主要含水层是粗、中、细砂和粗砂含小砾石，100m深度之内含水层总厚度在25m左右，单层厚小于10m。</w:t>
      </w:r>
    </w:p>
    <w:p w14:paraId="2838672D">
      <w:pPr>
        <w:ind w:firstLine="480"/>
        <w:rPr>
          <w:color w:val="000000" w:themeColor="text1"/>
          <w:lang w:bidi="zh-CN"/>
          <w14:textFill>
            <w14:solidFill>
              <w14:schemeClr w14:val="tx1"/>
            </w14:solidFill>
          </w14:textFill>
        </w:rPr>
      </w:pPr>
      <w:r>
        <w:rPr>
          <w:rFonts w:ascii="Cambria Math" w:hAnsi="Cambria Math" w:cs="Cambria Math"/>
          <w:color w:val="000000" w:themeColor="text1"/>
          <w:lang w:bidi="zh-CN"/>
          <w14:textFill>
            <w14:solidFill>
              <w14:schemeClr w14:val="tx1"/>
            </w14:solidFill>
          </w14:textFill>
        </w:rPr>
        <w:t>③</w:t>
      </w:r>
      <w:r>
        <w:rPr>
          <w:color w:val="000000" w:themeColor="text1"/>
          <w:lang w:bidi="zh-CN"/>
          <w14:textFill>
            <w14:solidFill>
              <w14:schemeClr w14:val="tx1"/>
            </w14:solidFill>
          </w14:textFill>
        </w:rPr>
        <w:t>弱富水区</w:t>
      </w:r>
    </w:p>
    <w:p w14:paraId="16DAEA9D">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分布于园区内及园区西部、西北部的广大区域。含水层以粉细砂、细砂、粉土及中粗砂、中细砂互层为主，属SO</w:t>
      </w:r>
      <w:r>
        <w:rPr>
          <w:color w:val="000000" w:themeColor="text1"/>
          <w:vertAlign w:val="subscript"/>
          <w:lang w:bidi="zh-CN"/>
          <w14:textFill>
            <w14:solidFill>
              <w14:schemeClr w14:val="tx1"/>
            </w14:solidFill>
          </w14:textFill>
        </w:rPr>
        <w:t>4</w:t>
      </w:r>
      <w:r>
        <w:rPr>
          <w:color w:val="000000" w:themeColor="text1"/>
          <w:lang w:bidi="zh-CN"/>
          <w14:textFill>
            <w14:solidFill>
              <w14:schemeClr w14:val="tx1"/>
            </w14:solidFill>
          </w14:textFill>
        </w:rPr>
        <w:t>·HCO</w:t>
      </w:r>
      <w:r>
        <w:rPr>
          <w:color w:val="000000" w:themeColor="text1"/>
          <w:vertAlign w:val="subscript"/>
          <w:lang w:bidi="zh-CN"/>
          <w14:textFill>
            <w14:solidFill>
              <w14:schemeClr w14:val="tx1"/>
            </w14:solidFill>
          </w14:textFill>
        </w:rPr>
        <w:t>3</w:t>
      </w:r>
      <w:r>
        <w:rPr>
          <w:color w:val="000000" w:themeColor="text1"/>
          <w:lang w:bidi="zh-CN"/>
          <w14:textFill>
            <w14:solidFill>
              <w14:schemeClr w14:val="tx1"/>
            </w14:solidFill>
          </w14:textFill>
        </w:rPr>
        <w:t>-Na、HCO</w:t>
      </w:r>
      <w:r>
        <w:rPr>
          <w:color w:val="000000" w:themeColor="text1"/>
          <w:vertAlign w:val="subscript"/>
          <w:lang w:bidi="zh-CN"/>
          <w14:textFill>
            <w14:solidFill>
              <w14:schemeClr w14:val="tx1"/>
            </w14:solidFill>
          </w14:textFill>
        </w:rPr>
        <w:t>3</w:t>
      </w:r>
      <w:r>
        <w:rPr>
          <w:color w:val="000000" w:themeColor="text1"/>
          <w:lang w:bidi="zh-CN"/>
          <w14:textFill>
            <w14:solidFill>
              <w14:schemeClr w14:val="tx1"/>
            </w14:solidFill>
          </w14:textFill>
        </w:rPr>
        <w:t>·Cl-Na·Ca、HCO</w:t>
      </w:r>
      <w:r>
        <w:rPr>
          <w:color w:val="000000" w:themeColor="text1"/>
          <w:vertAlign w:val="subscript"/>
          <w:lang w:bidi="zh-CN"/>
          <w14:textFill>
            <w14:solidFill>
              <w14:schemeClr w14:val="tx1"/>
            </w14:solidFill>
          </w14:textFill>
        </w:rPr>
        <w:t>3</w:t>
      </w:r>
      <w:r>
        <w:rPr>
          <w:color w:val="000000" w:themeColor="text1"/>
          <w:lang w:bidi="zh-CN"/>
          <w14:textFill>
            <w14:solidFill>
              <w14:schemeClr w14:val="tx1"/>
            </w14:solidFill>
          </w14:textFill>
        </w:rPr>
        <w:t>·SO</w:t>
      </w:r>
      <w:r>
        <w:rPr>
          <w:color w:val="000000" w:themeColor="text1"/>
          <w:vertAlign w:val="subscript"/>
          <w:lang w:bidi="zh-CN"/>
          <w14:textFill>
            <w14:solidFill>
              <w14:schemeClr w14:val="tx1"/>
            </w14:solidFill>
          </w14:textFill>
        </w:rPr>
        <w:t>4</w:t>
      </w:r>
      <w:r>
        <w:rPr>
          <w:color w:val="000000" w:themeColor="text1"/>
          <w:lang w:bidi="zh-CN"/>
          <w14:textFill>
            <w14:solidFill>
              <w14:schemeClr w14:val="tx1"/>
            </w14:solidFill>
          </w14:textFill>
        </w:rPr>
        <w:t>·Cl-Na·Ca型水，潜水水质较差。</w:t>
      </w:r>
    </w:p>
    <w:p w14:paraId="32A25986">
      <w:pPr>
        <w:widowControl/>
        <w:autoSpaceDE/>
        <w:autoSpaceDN/>
        <w:spacing w:line="240" w:lineRule="auto"/>
        <w:ind w:firstLine="0" w:firstLineChars="0"/>
        <w:rPr>
          <w:rFonts w:eastAsia="黑体"/>
          <w:color w:val="000000" w:themeColor="text1"/>
          <w:szCs w:val="27"/>
          <w:lang w:bidi="zh-CN"/>
          <w14:textFill>
            <w14:solidFill>
              <w14:schemeClr w14:val="tx1"/>
            </w14:solidFill>
          </w14:textFill>
        </w:rPr>
      </w:pPr>
      <w:r>
        <w:rPr>
          <w:color w:val="000000" w:themeColor="text1"/>
          <w:lang w:bidi="zh-CN"/>
          <w14:textFill>
            <w14:solidFill>
              <w14:schemeClr w14:val="tx1"/>
            </w14:solidFill>
          </w14:textFill>
        </w:rPr>
        <w:br w:type="page"/>
      </w:r>
    </w:p>
    <w:p w14:paraId="33E93F58">
      <w:pPr>
        <w:widowControl/>
        <w:autoSpaceDE/>
        <w:autoSpaceDN/>
        <w:spacing w:line="240" w:lineRule="auto"/>
        <w:ind w:firstLine="0" w:firstLineChars="0"/>
        <w:rPr>
          <w:color w:val="000000" w:themeColor="text1"/>
          <w:lang w:bidi="zh-CN"/>
          <w14:textFill>
            <w14:solidFill>
              <w14:schemeClr w14:val="tx1"/>
            </w14:solidFill>
          </w14:textFill>
        </w:rPr>
        <w:sectPr>
          <w:headerReference r:id="rId24" w:type="first"/>
          <w:footerReference r:id="rId26" w:type="first"/>
          <w:headerReference r:id="rId23" w:type="even"/>
          <w:footerReference r:id="rId25" w:type="even"/>
          <w:type w:val="nextColumn"/>
          <w:pgSz w:w="11906" w:h="16838"/>
          <w:pgMar w:top="1418" w:right="1247" w:bottom="1418" w:left="1247" w:header="964" w:footer="964" w:gutter="0"/>
          <w:cols w:space="720" w:num="1"/>
          <w:docGrid w:linePitch="312" w:charSpace="0"/>
        </w:sectPr>
      </w:pPr>
    </w:p>
    <w:p w14:paraId="5869E76D">
      <w:pPr>
        <w:widowControl/>
        <w:autoSpaceDE/>
        <w:autoSpaceDN/>
        <w:spacing w:line="240" w:lineRule="auto"/>
        <w:ind w:firstLine="0" w:firstLineChars="0"/>
        <w:rPr>
          <w:color w:val="000000" w:themeColor="text1"/>
          <w:lang w:bidi="zh-CN"/>
          <w14:textFill>
            <w14:solidFill>
              <w14:schemeClr w14:val="tx1"/>
            </w14:solidFill>
          </w14:textFill>
        </w:rPr>
      </w:pPr>
    </w:p>
    <w:p w14:paraId="5DB7B590">
      <w:pPr>
        <w:pStyle w:val="7"/>
        <w:rPr>
          <w:rFonts w:hint="eastAsia"/>
          <w:color w:val="000000" w:themeColor="text1"/>
          <w:szCs w:val="27"/>
          <w:lang w:bidi="zh-CN"/>
          <w14:textFill>
            <w14:solidFill>
              <w14:schemeClr w14:val="tx1"/>
            </w14:solidFill>
          </w14:textFill>
        </w:rPr>
      </w:pPr>
      <w:r>
        <w:rPr>
          <w:rFonts w:hint="eastAsia"/>
          <w:color w:val="000000" w:themeColor="text1"/>
          <w:lang w:bidi="zh-CN"/>
          <w14:textFill>
            <w14:solidFill>
              <w14:schemeClr w14:val="tx1"/>
            </w14:solidFill>
          </w14:textFill>
        </w:rPr>
        <w:t>水文地质图</w:t>
      </w:r>
      <w:r>
        <w:rPr>
          <w:rFonts w:ascii="Times New Roman" w:hAnsi="Times New Roman"/>
          <w:color w:val="000000" w:themeColor="text1"/>
          <w:lang w:bidi="zh-CN"/>
          <w14:textFill>
            <w14:solidFill>
              <w14:schemeClr w14:val="tx1"/>
            </w14:solidFill>
          </w14:textFill>
        </w:rPr>
        <w:br w:type="page"/>
      </w:r>
    </w:p>
    <w:p w14:paraId="162FD55C">
      <w:pPr>
        <w:pStyle w:val="5"/>
        <w:rPr>
          <w:rFonts w:ascii="Times New Roman" w:hAnsi="Times New Roman"/>
          <w:color w:val="000000" w:themeColor="text1"/>
          <w:lang w:bidi="zh-CN"/>
          <w14:textFill>
            <w14:solidFill>
              <w14:schemeClr w14:val="tx1"/>
            </w14:solidFill>
          </w14:textFill>
        </w:rPr>
        <w:sectPr>
          <w:type w:val="nextColumn"/>
          <w:pgSz w:w="16838" w:h="11906" w:orient="landscape"/>
          <w:pgMar w:top="1247" w:right="1418" w:bottom="1247" w:left="1418" w:header="964" w:footer="964" w:gutter="0"/>
          <w:cols w:space="720" w:num="1"/>
          <w:docGrid w:linePitch="312" w:charSpace="0"/>
        </w:sectPr>
      </w:pPr>
    </w:p>
    <w:p w14:paraId="67674487">
      <w:pPr>
        <w:pStyle w:val="5"/>
        <w:rPr>
          <w:rFonts w:ascii="Times New Roman" w:hAnsi="Times New Roman"/>
          <w:color w:val="000000" w:themeColor="text1"/>
          <w:lang w:bidi="zh-CN"/>
          <w14:textFill>
            <w14:solidFill>
              <w14:schemeClr w14:val="tx1"/>
            </w14:solidFill>
          </w14:textFill>
        </w:rPr>
      </w:pPr>
      <w:r>
        <w:rPr>
          <w:rFonts w:ascii="Times New Roman" w:hAnsi="Times New Roman"/>
          <w:color w:val="000000" w:themeColor="text1"/>
          <w:lang w:bidi="zh-CN"/>
          <w14:textFill>
            <w14:solidFill>
              <w14:schemeClr w14:val="tx1"/>
            </w14:solidFill>
          </w14:textFill>
        </w:rPr>
        <w:t>地下水补给、径流、排泄条件</w:t>
      </w:r>
    </w:p>
    <w:p w14:paraId="7FBCD16C">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评价区所在细土平原地下水主要接受上游地下潜流补给以及零星农田灌溉回归水入渗补给、渠系补给、大气降水补给。</w:t>
      </w:r>
    </w:p>
    <w:p w14:paraId="09BB0909">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地下水的径流方向自东南向西北向径流。评价区基本上为地下水的弱径流带，其北部是地下水的天然排泄带。潜水含层潜水含层以粉土为主，颗粒细，透水性差颗粒细，透水性差颗粒细，透水性差地下水流动极为缓慢，水力梯度流动极为缓慢，水力梯度最大为3.2‰，渗透系数在0.01～0.5m/d。</w:t>
      </w:r>
    </w:p>
    <w:p w14:paraId="675647DA">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地下水的排泄地下水的排泄条件主要为侧向径流流出排泄，其次为人工植被的蒸发蒸腾排泄和大气蒸发排泄、人工开采等。</w:t>
      </w:r>
    </w:p>
    <w:p w14:paraId="740F6F20">
      <w:pPr>
        <w:pStyle w:val="5"/>
        <w:rPr>
          <w:rFonts w:ascii="Times New Roman" w:hAnsi="Times New Roman"/>
          <w:color w:val="000000" w:themeColor="text1"/>
          <w:lang w:val="zh-CN" w:bidi="zh-CN"/>
          <w14:textFill>
            <w14:solidFill>
              <w14:schemeClr w14:val="tx1"/>
            </w14:solidFill>
          </w14:textFill>
        </w:rPr>
      </w:pPr>
      <w:r>
        <w:rPr>
          <w:rFonts w:ascii="Times New Roman" w:hAnsi="Times New Roman"/>
          <w:color w:val="000000" w:themeColor="text1"/>
          <w:lang w:val="zh-CN" w:bidi="zh-CN"/>
          <w14:textFill>
            <w14:solidFill>
              <w14:schemeClr w14:val="tx1"/>
            </w14:solidFill>
          </w14:textFill>
        </w:rPr>
        <w:t>地下水动态特征</w:t>
      </w:r>
    </w:p>
    <w:p w14:paraId="0F272546">
      <w:pPr>
        <w:ind w:firstLine="480"/>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根据搜集调查资料，评价区潜水由于当地气候干旱少雨而蒸发强烈，潜水地下水动态类型单一，区内地下水位的动态类型为渗入-蒸发型。主要受气象、水文、地貌及潜水埋深等自然因素及农田灌溉、人工开采等人为作用的相互影响。每年1～2月地下水处于低水位期；3月份水位开始上升，至4月～5月达到最高值，之后水位开始回落，最低水位出现在9、10月。地下水的年内水位变幅在1.5m左右。</w:t>
      </w:r>
    </w:p>
    <w:p w14:paraId="6BCDB1A3">
      <w:pPr>
        <w:pStyle w:val="5"/>
        <w:rPr>
          <w:rFonts w:ascii="Times New Roman" w:hAnsi="Times New Roman"/>
          <w:color w:val="000000" w:themeColor="text1"/>
          <w:lang w:bidi="zh-CN"/>
          <w14:textFill>
            <w14:solidFill>
              <w14:schemeClr w14:val="tx1"/>
            </w14:solidFill>
          </w14:textFill>
        </w:rPr>
      </w:pPr>
      <w:r>
        <w:rPr>
          <w:rFonts w:ascii="Times New Roman" w:hAnsi="Times New Roman"/>
          <w:color w:val="000000" w:themeColor="text1"/>
          <w:lang w:bidi="zh-CN"/>
          <w14:textFill>
            <w14:solidFill>
              <w14:schemeClr w14:val="tx1"/>
            </w14:solidFill>
          </w14:textFill>
        </w:rPr>
        <w:t>地下水水化学特征</w:t>
      </w:r>
    </w:p>
    <w:p w14:paraId="4D24B7CB">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水磨河冲洪积扇轴部以西至本评价区的广大荒漠地区，由于含水层颗粒细，地下水径流缓慢，水位埋藏浅，蒸发作用十分强烈在蒸发浓缩作用下，潜水矿化度高达75.3g/L，地下水水化学类型多为SO</w:t>
      </w:r>
      <w:r>
        <w:rPr>
          <w:color w:val="000000" w:themeColor="text1"/>
          <w:vertAlign w:val="subscript"/>
          <w:lang w:bidi="zh-CN"/>
          <w14:textFill>
            <w14:solidFill>
              <w14:schemeClr w14:val="tx1"/>
            </w14:solidFill>
          </w14:textFill>
        </w:rPr>
        <w:t>4</w:t>
      </w:r>
      <w:r>
        <w:rPr>
          <w:color w:val="000000" w:themeColor="text1"/>
          <w:lang w:bidi="zh-CN"/>
          <w14:textFill>
            <w14:solidFill>
              <w14:schemeClr w14:val="tx1"/>
            </w14:solidFill>
          </w14:textFill>
        </w:rPr>
        <w:t>•Cl、Na•Cl•SO</w:t>
      </w:r>
      <w:r>
        <w:rPr>
          <w:color w:val="000000" w:themeColor="text1"/>
          <w:vertAlign w:val="subscript"/>
          <w:lang w:bidi="zh-CN"/>
          <w14:textFill>
            <w14:solidFill>
              <w14:schemeClr w14:val="tx1"/>
            </w14:solidFill>
          </w14:textFill>
        </w:rPr>
        <w:t>4</w:t>
      </w:r>
      <w:r>
        <w:rPr>
          <w:color w:val="000000" w:themeColor="text1"/>
          <w:lang w:bidi="zh-CN"/>
          <w14:textFill>
            <w14:solidFill>
              <w14:schemeClr w14:val="tx1"/>
            </w14:solidFill>
          </w14:textFill>
        </w:rPr>
        <w:t>•-Ca•Mg型水，不能作为生产、灌溉用水或生活饮用水。而该区承压水，与上部潜水构成上咸下淡的水化学特征，承压水水化学类型HCO</w:t>
      </w:r>
      <w:r>
        <w:rPr>
          <w:color w:val="000000" w:themeColor="text1"/>
          <w:vertAlign w:val="subscript"/>
          <w:lang w:bidi="zh-CN"/>
          <w14:textFill>
            <w14:solidFill>
              <w14:schemeClr w14:val="tx1"/>
            </w14:solidFill>
          </w14:textFill>
        </w:rPr>
        <w:t>3</w:t>
      </w:r>
      <w:r>
        <w:rPr>
          <w:color w:val="000000" w:themeColor="text1"/>
          <w:lang w:bidi="zh-CN"/>
          <w14:textFill>
            <w14:solidFill>
              <w14:schemeClr w14:val="tx1"/>
            </w14:solidFill>
          </w14:textFill>
        </w:rPr>
        <w:t>•SO</w:t>
      </w:r>
      <w:r>
        <w:rPr>
          <w:color w:val="000000" w:themeColor="text1"/>
          <w:vertAlign w:val="subscript"/>
          <w:lang w:bidi="zh-CN"/>
          <w14:textFill>
            <w14:solidFill>
              <w14:schemeClr w14:val="tx1"/>
            </w14:solidFill>
          </w14:textFill>
        </w:rPr>
        <w:t>4</w:t>
      </w:r>
      <w:r>
        <w:rPr>
          <w:color w:val="000000" w:themeColor="text1"/>
          <w:lang w:bidi="zh-CN"/>
          <w14:textFill>
            <w14:solidFill>
              <w14:schemeClr w14:val="tx1"/>
            </w14:solidFill>
          </w14:textFill>
        </w:rPr>
        <w:t>-Na•Ca、HCO</w:t>
      </w:r>
      <w:r>
        <w:rPr>
          <w:color w:val="000000" w:themeColor="text1"/>
          <w:vertAlign w:val="subscript"/>
          <w:lang w:bidi="zh-CN"/>
          <w14:textFill>
            <w14:solidFill>
              <w14:schemeClr w14:val="tx1"/>
            </w14:solidFill>
          </w14:textFill>
        </w:rPr>
        <w:t>3</w:t>
      </w:r>
      <w:r>
        <w:rPr>
          <w:color w:val="000000" w:themeColor="text1"/>
          <w:lang w:bidi="zh-CN"/>
          <w14:textFill>
            <w14:solidFill>
              <w14:schemeClr w14:val="tx1"/>
            </w14:solidFill>
          </w14:textFill>
        </w:rPr>
        <w:t>•SO</w:t>
      </w:r>
      <w:r>
        <w:rPr>
          <w:color w:val="000000" w:themeColor="text1"/>
          <w:vertAlign w:val="subscript"/>
          <w:lang w:bidi="zh-CN"/>
          <w14:textFill>
            <w14:solidFill>
              <w14:schemeClr w14:val="tx1"/>
            </w14:solidFill>
          </w14:textFill>
        </w:rPr>
        <w:t>4</w:t>
      </w:r>
      <w:r>
        <w:rPr>
          <w:color w:val="000000" w:themeColor="text1"/>
          <w:lang w:bidi="zh-CN"/>
          <w14:textFill>
            <w14:solidFill>
              <w14:schemeClr w14:val="tx1"/>
            </w14:solidFill>
          </w14:textFill>
        </w:rPr>
        <w:t>-Na•Ca•Mg型水，矿化度0.19-0.7g/L。该区水质具有明显的水平分带规律，即由南向北承压水矿化度有增高的趋势，垂直方向上，埋藏深其水质越好。</w:t>
      </w:r>
    </w:p>
    <w:p w14:paraId="14ABD113">
      <w:pPr>
        <w:pStyle w:val="5"/>
        <w:rPr>
          <w:rFonts w:ascii="Times New Roman" w:hAnsi="Times New Roman"/>
          <w:color w:val="000000" w:themeColor="text1"/>
          <w:lang w:bidi="zh-CN"/>
          <w14:textFill>
            <w14:solidFill>
              <w14:schemeClr w14:val="tx1"/>
            </w14:solidFill>
          </w14:textFill>
        </w:rPr>
      </w:pPr>
      <w:r>
        <w:rPr>
          <w:rFonts w:ascii="Times New Roman" w:hAnsi="Times New Roman"/>
          <w:color w:val="000000" w:themeColor="text1"/>
          <w:lang w:bidi="zh-CN"/>
          <w14:textFill>
            <w14:solidFill>
              <w14:schemeClr w14:val="tx1"/>
            </w14:solidFill>
          </w14:textFill>
        </w:rPr>
        <w:t>包气带特征</w:t>
      </w:r>
    </w:p>
    <w:p w14:paraId="1E806FB7">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区域包气带主要由粉土构成，呈浅褐黄色～灰褐黄色，粘粒不均，表层含植物根系，潜水面以上可见白色结晶，分布均匀稳定，厚度一般在4.5～13.0m之间。上层为低液限粉土夹低液粘土，厚度2.4-3.0m，局部夹有薄层粉细砂透镜体，粉细砂厚度为0.2-0.3m，渗透系数在5.79×10</w:t>
      </w:r>
      <w:r>
        <w:rPr>
          <w:color w:val="000000" w:themeColor="text1"/>
          <w:vertAlign w:val="superscript"/>
          <w:lang w:bidi="zh-CN"/>
          <w14:textFill>
            <w14:solidFill>
              <w14:schemeClr w14:val="tx1"/>
            </w14:solidFill>
          </w14:textFill>
        </w:rPr>
        <w:t>-4</w:t>
      </w:r>
      <w:r>
        <w:rPr>
          <w:color w:val="000000" w:themeColor="text1"/>
          <w:lang w:bidi="zh-CN"/>
          <w14:textFill>
            <w14:solidFill>
              <w14:schemeClr w14:val="tx1"/>
            </w14:solidFill>
          </w14:textFill>
        </w:rPr>
        <w:t>厘米/秒；下部低液限粉土和粉细砂厚度分别为1.0~1.2m和0.8~1.0m，渗透系数为1.16×10</w:t>
      </w:r>
      <w:r>
        <w:rPr>
          <w:color w:val="000000" w:themeColor="text1"/>
          <w:vertAlign w:val="superscript"/>
          <w:lang w:bidi="zh-CN"/>
          <w14:textFill>
            <w14:solidFill>
              <w14:schemeClr w14:val="tx1"/>
            </w14:solidFill>
          </w14:textFill>
        </w:rPr>
        <w:t>-4</w:t>
      </w:r>
      <w:r>
        <w:rPr>
          <w:color w:val="000000" w:themeColor="text1"/>
          <w14:textFill>
            <w14:solidFill>
              <w14:schemeClr w14:val="tx1"/>
            </w14:solidFill>
          </w14:textFill>
        </w:rPr>
        <w:t>cm/s~5.79×10</w:t>
      </w:r>
      <w:r>
        <w:rPr>
          <w:color w:val="000000" w:themeColor="text1"/>
          <w:vertAlign w:val="superscript"/>
          <w:lang w:bidi="zh-CN"/>
          <w14:textFill>
            <w14:solidFill>
              <w14:schemeClr w14:val="tx1"/>
            </w14:solidFill>
          </w14:textFill>
        </w:rPr>
        <w:t>-4</w:t>
      </w:r>
      <w:r>
        <w:rPr>
          <w:color w:val="000000" w:themeColor="text1"/>
          <w14:textFill>
            <w14:solidFill>
              <w14:schemeClr w14:val="tx1"/>
            </w14:solidFill>
          </w14:textFill>
        </w:rPr>
        <w:t>cm/s，本次保守取较大值 5.79×10</w:t>
      </w:r>
      <w:r>
        <w:rPr>
          <w:color w:val="000000" w:themeColor="text1"/>
          <w:vertAlign w:val="superscript"/>
          <w:lang w:bidi="zh-CN"/>
          <w14:textFill>
            <w14:solidFill>
              <w14:schemeClr w14:val="tx1"/>
            </w14:solidFill>
          </w14:textFill>
        </w:rPr>
        <w:t>-4</w:t>
      </w:r>
      <w:r>
        <w:rPr>
          <w:color w:val="000000" w:themeColor="text1"/>
          <w14:textFill>
            <w14:solidFill>
              <w14:schemeClr w14:val="tx1"/>
            </w14:solidFill>
          </w14:textFill>
        </w:rPr>
        <w:t>cm/s（0.5m/d）</w:t>
      </w:r>
      <w:r>
        <w:rPr>
          <w:color w:val="000000" w:themeColor="text1"/>
          <w:lang w:bidi="zh-CN"/>
          <w14:textFill>
            <w14:solidFill>
              <w14:schemeClr w14:val="tx1"/>
            </w14:solidFill>
          </w14:textFill>
        </w:rPr>
        <w:t>，防污能力较差。</w:t>
      </w:r>
    </w:p>
    <w:p w14:paraId="404A8098">
      <w:pPr>
        <w:pStyle w:val="5"/>
        <w:rPr>
          <w:rFonts w:ascii="Times New Roman" w:hAnsi="Times New Roman"/>
          <w:color w:val="000000" w:themeColor="text1"/>
          <w:lang w:bidi="zh-CN"/>
          <w14:textFill>
            <w14:solidFill>
              <w14:schemeClr w14:val="tx1"/>
            </w14:solidFill>
          </w14:textFill>
        </w:rPr>
      </w:pPr>
      <w:r>
        <w:rPr>
          <w:rFonts w:ascii="Times New Roman" w:hAnsi="Times New Roman"/>
          <w:color w:val="000000" w:themeColor="text1"/>
          <w:lang w:bidi="zh-CN"/>
          <w14:textFill>
            <w14:solidFill>
              <w14:schemeClr w14:val="tx1"/>
            </w14:solidFill>
          </w14:textFill>
        </w:rPr>
        <w:t>地下水开发利用现状与规划</w:t>
      </w:r>
    </w:p>
    <w:p w14:paraId="05341B24">
      <w:pPr>
        <w:ind w:firstLine="480"/>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园区供水水源为地表水，不开采地下水。评价区内未分布有居民分散式饮用水源地。</w:t>
      </w:r>
    </w:p>
    <w:p w14:paraId="3B01F857">
      <w:pPr>
        <w:pStyle w:val="4"/>
        <w:rPr>
          <w:rFonts w:ascii="Times New Roman" w:cs="Times New Roman"/>
          <w:color w:val="000000" w:themeColor="text1"/>
          <w:lang w:val="zh-CN"/>
          <w14:textFill>
            <w14:solidFill>
              <w14:schemeClr w14:val="tx1"/>
            </w14:solidFill>
          </w14:textFill>
        </w:rPr>
      </w:pPr>
      <w:bookmarkStart w:id="439" w:name="_Toc13109"/>
      <w:r>
        <w:rPr>
          <w:rFonts w:ascii="Times New Roman" w:cs="Times New Roman"/>
          <w:color w:val="000000" w:themeColor="text1"/>
          <w:lang w:val="zh-CN"/>
          <w14:textFill>
            <w14:solidFill>
              <w14:schemeClr w14:val="tx1"/>
            </w14:solidFill>
          </w14:textFill>
        </w:rPr>
        <w:t>地下水影响预测与评价</w:t>
      </w:r>
      <w:bookmarkEnd w:id="439"/>
    </w:p>
    <w:p w14:paraId="55A0E74A">
      <w:pPr>
        <w:ind w:firstLine="480"/>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根据《环境影响评价技术导则</w:t>
      </w:r>
      <w:r>
        <w:rPr>
          <w:color w:val="000000" w:themeColor="text1"/>
          <w:lang w:bidi="zh-CN"/>
          <w14:textFill>
            <w14:solidFill>
              <w14:schemeClr w14:val="tx1"/>
            </w14:solidFill>
          </w14:textFill>
        </w:rPr>
        <w:t xml:space="preserve">  </w:t>
      </w:r>
      <w:r>
        <w:rPr>
          <w:color w:val="000000" w:themeColor="text1"/>
          <w:lang w:val="zh-CN" w:bidi="zh-CN"/>
          <w14:textFill>
            <w14:solidFill>
              <w14:schemeClr w14:val="tx1"/>
            </w14:solidFill>
          </w14:textFill>
        </w:rPr>
        <w:t>地下水环境》（HJ610-2016）相关要求，本项目为Ⅰ类项目，项目周边地下水敏感程度为不敏感，确定地下水评价等级为二级。</w:t>
      </w:r>
      <w:r>
        <w:rPr>
          <w:color w:val="000000" w:themeColor="text1"/>
          <w:lang w:val="zh-CN"/>
          <w14:textFill>
            <w14:solidFill>
              <w14:schemeClr w14:val="tx1"/>
            </w14:solidFill>
          </w14:textFill>
        </w:rPr>
        <w:t>根据当地水文资料，本项目场地地下水流场多年变化不大，可概括为稳定流。潜水面水力坡度基本与地形坡度一致。此外，建设项目的污染物排放对地下水流场没有明显影响，且含水层的基本水文地质参数变化很小，符合解析模型预测污染物的基本条件，因此本次地下水环境影响预测采用解析法。</w:t>
      </w:r>
    </w:p>
    <w:p w14:paraId="5F228E53">
      <w:pPr>
        <w:keepNext/>
        <w:keepLines/>
        <w:ind w:firstLine="482"/>
        <w:jc w:val="both"/>
        <w:rPr>
          <w:b/>
          <w:bCs/>
          <w:iCs/>
          <w:color w:val="000000" w:themeColor="text1"/>
          <w:lang w:bidi="zh-CN"/>
          <w14:textFill>
            <w14:solidFill>
              <w14:schemeClr w14:val="tx1"/>
            </w14:solidFill>
          </w14:textFill>
        </w:rPr>
      </w:pPr>
      <w:bookmarkStart w:id="440" w:name="_Hlk220338452"/>
      <w:r>
        <w:rPr>
          <w:b/>
          <w:bCs/>
          <w:iCs/>
          <w:color w:val="000000" w:themeColor="text1"/>
          <w:lang w:bidi="zh-CN"/>
          <w14:textFill>
            <w14:solidFill>
              <w14:schemeClr w14:val="tx1"/>
            </w14:solidFill>
          </w14:textFill>
        </w:rPr>
        <w:t>1、工况分析</w:t>
      </w:r>
    </w:p>
    <w:p w14:paraId="4BBAE3BD">
      <w:pPr>
        <w:pStyle w:val="1232"/>
        <w:spacing w:line="360" w:lineRule="auto"/>
        <w:ind w:firstLine="561"/>
        <w:jc w:val="both"/>
        <w:rPr>
          <w:rFonts w:ascii="Times New Roman" w:hAnsi="Times New Roman" w:cs="Times New Roman"/>
          <w:color w:val="000000" w:themeColor="text1"/>
          <w:sz w:val="24"/>
          <w:szCs w:val="24"/>
          <w14:textFill>
            <w14:solidFill>
              <w14:schemeClr w14:val="tx1"/>
            </w14:solidFill>
          </w14:textFill>
        </w:rPr>
      </w:pPr>
      <w:r>
        <w:rPr>
          <w:rFonts w:ascii="Cambria Math" w:hAnsi="Cambria Math" w:cs="Cambria Math"/>
          <w:color w:val="000000" w:themeColor="text1"/>
          <w:sz w:val="24"/>
          <w:szCs w:val="24"/>
          <w14:textFill>
            <w14:solidFill>
              <w14:schemeClr w14:val="tx1"/>
            </w14:solidFill>
          </w14:textFill>
        </w:rPr>
        <w:t>①</w:t>
      </w:r>
      <w:r>
        <w:rPr>
          <w:rFonts w:ascii="Times New Roman" w:hAnsi="Times New Roman" w:cs="Times New Roman"/>
          <w:color w:val="000000" w:themeColor="text1"/>
          <w:sz w:val="24"/>
          <w:szCs w:val="24"/>
          <w14:textFill>
            <w14:solidFill>
              <w14:schemeClr w14:val="tx1"/>
            </w14:solidFill>
          </w14:textFill>
        </w:rPr>
        <w:t>正常工况下，厂区的污水防渗措施到位，污水管道运输正常的情况下，对地下水无渗漏，基本无污染。</w:t>
      </w:r>
    </w:p>
    <w:p w14:paraId="6688EE48">
      <w:pPr>
        <w:ind w:firstLine="561" w:firstLineChars="0"/>
        <w:jc w:val="both"/>
        <w:rPr>
          <w:color w:val="000000" w:themeColor="text1"/>
          <w:lang w:val="zh-CN" w:bidi="zh-CN"/>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非正常工况下，若排污设备出现故障，贮坑发生开裂、渗漏等现象， 在这几种情况下，污水将对地下水造成点源污染，污染物可能下渗至孔隙 潜水及承压层中，从而在承压含水层中进行运移。</w:t>
      </w:r>
    </w:p>
    <w:p w14:paraId="2E2A2682">
      <w:pPr>
        <w:keepNext/>
        <w:keepLines/>
        <w:ind w:firstLine="482"/>
        <w:jc w:val="both"/>
        <w:rPr>
          <w:b/>
          <w:bCs/>
          <w:iCs/>
          <w:color w:val="000000" w:themeColor="text1"/>
          <w:lang w:val="zh-CN" w:bidi="zh-CN"/>
          <w14:textFill>
            <w14:solidFill>
              <w14:schemeClr w14:val="tx1"/>
            </w14:solidFill>
          </w14:textFill>
        </w:rPr>
      </w:pPr>
      <w:r>
        <w:rPr>
          <w:b/>
          <w:bCs/>
          <w:iCs/>
          <w:color w:val="000000" w:themeColor="text1"/>
          <w:lang w:bidi="zh-CN"/>
          <w14:textFill>
            <w14:solidFill>
              <w14:schemeClr w14:val="tx1"/>
            </w14:solidFill>
          </w14:textFill>
        </w:rPr>
        <w:t>2、预测方法</w:t>
      </w:r>
    </w:p>
    <w:p w14:paraId="221427B7">
      <w:pPr>
        <w:ind w:firstLine="480"/>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本项目地下水环境影响评价级别为二级，按照《环境影响评价技术导则 地下水环境》（HJ610-2016）的规定，根据建设项目特征、水文地质条件及资料掌握情况，选择采用数值法或解析法进行影响预测，预测污染物运移趋势和对地下水环境保护目标的影响。</w:t>
      </w:r>
    </w:p>
    <w:p w14:paraId="7A444CD4">
      <w:pPr>
        <w:ind w:firstLine="480"/>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本报告采用</w:t>
      </w:r>
      <w:r>
        <w:rPr>
          <w:color w:val="000000" w:themeColor="text1"/>
          <w14:textFill>
            <w14:solidFill>
              <w14:schemeClr w14:val="tx1"/>
            </w14:solidFill>
          </w14:textFill>
        </w:rPr>
        <w:t>数值</w:t>
      </w:r>
      <w:r>
        <w:rPr>
          <w:color w:val="000000" w:themeColor="text1"/>
          <w:lang w:val="zh-CN"/>
          <w14:textFill>
            <w14:solidFill>
              <w14:schemeClr w14:val="tx1"/>
            </w14:solidFill>
          </w14:textFill>
        </w:rPr>
        <w:t>法对地下水环境影响进行预测。</w:t>
      </w:r>
    </w:p>
    <w:p w14:paraId="29444772">
      <w:pPr>
        <w:keepNext/>
        <w:keepLines/>
        <w:ind w:firstLine="482"/>
        <w:jc w:val="both"/>
        <w:rPr>
          <w:b/>
          <w:bCs/>
          <w:iCs/>
          <w:color w:val="000000" w:themeColor="text1"/>
          <w:lang w:val="zh-CN" w:bidi="zh-CN"/>
          <w14:textFill>
            <w14:solidFill>
              <w14:schemeClr w14:val="tx1"/>
            </w14:solidFill>
          </w14:textFill>
        </w:rPr>
      </w:pPr>
      <w:r>
        <w:rPr>
          <w:b/>
          <w:bCs/>
          <w:iCs/>
          <w:color w:val="000000" w:themeColor="text1"/>
          <w:lang w:bidi="zh-CN"/>
          <w14:textFill>
            <w14:solidFill>
              <w14:schemeClr w14:val="tx1"/>
            </w14:solidFill>
          </w14:textFill>
        </w:rPr>
        <w:t>3、地下水预测因子筛选</w:t>
      </w:r>
    </w:p>
    <w:p w14:paraId="4D0A4319">
      <w:pPr>
        <w:pStyle w:val="1232"/>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bookmarkStart w:id="441" w:name="_Hlk220332734"/>
      <w:r>
        <w:rPr>
          <w:rFonts w:ascii="Times New Roman" w:hAnsi="Times New Roman" w:cs="Times New Roman"/>
          <w:color w:val="000000" w:themeColor="text1"/>
          <w:sz w:val="24"/>
          <w:szCs w:val="24"/>
          <w14:textFill>
            <w14:solidFill>
              <w14:schemeClr w14:val="tx1"/>
            </w14:solidFill>
          </w14:textFill>
        </w:rPr>
        <w:t>本项目可能造成地下水污染的主要因素是：运营后期，喷淋塔循环池底部长期受压，基础发生不均匀沉降，混凝土开裂，污水渗入地下造成污染。</w:t>
      </w:r>
      <w:bookmarkEnd w:id="441"/>
      <w:r>
        <w:rPr>
          <w:rFonts w:ascii="Times New Roman" w:hAnsi="Times New Roman" w:cs="Times New Roman"/>
          <w:color w:val="000000" w:themeColor="text1"/>
          <w:sz w:val="24"/>
          <w:szCs w:val="24"/>
          <w14:textFill>
            <w14:solidFill>
              <w14:schemeClr w14:val="tx1"/>
            </w14:solidFill>
          </w14:textFill>
        </w:rPr>
        <w:t>参照《地下水质量标准》</w:t>
      </w:r>
      <w:r>
        <w:rPr>
          <w:rFonts w:ascii="Times New Roman" w:hAnsi="Times New Roman" w:cs="Times New Roman"/>
          <w:color w:val="000000" w:themeColor="text1"/>
          <w:sz w:val="24"/>
          <w:szCs w:val="24"/>
          <w:lang w:val="en-US" w:bidi="en-US"/>
          <w14:textFill>
            <w14:solidFill>
              <w14:schemeClr w14:val="tx1"/>
            </w14:solidFill>
          </w14:textFill>
        </w:rPr>
        <w:t>（</w:t>
      </w:r>
      <w:r>
        <w:rPr>
          <w:rFonts w:ascii="Times New Roman" w:hAnsi="Times New Roman" w:eastAsia="Times New Roman" w:cs="Times New Roman"/>
          <w:color w:val="000000" w:themeColor="text1"/>
          <w:sz w:val="24"/>
          <w:szCs w:val="24"/>
          <w:lang w:val="en-US" w:bidi="en-US"/>
          <w14:textFill>
            <w14:solidFill>
              <w14:schemeClr w14:val="tx1"/>
            </w14:solidFill>
          </w14:textFill>
        </w:rPr>
        <w:t>GB/T14848-2017</w:t>
      </w:r>
      <w:r>
        <w:rPr>
          <w:rFonts w:hint="eastAsia"/>
          <w:color w:val="000000" w:themeColor="text1"/>
          <w:sz w:val="24"/>
          <w:szCs w:val="24"/>
          <w:lang w:val="en-US" w:bidi="en-US"/>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III</w:t>
      </w:r>
      <w:r>
        <w:rPr>
          <w:rFonts w:ascii="Times New Roman" w:hAnsi="Times New Roman" w:cs="Times New Roman"/>
          <w:color w:val="000000" w:themeColor="text1"/>
          <w:sz w:val="24"/>
          <w:szCs w:val="24"/>
          <w14:textFill>
            <w14:solidFill>
              <w14:schemeClr w14:val="tx1"/>
            </w14:solidFill>
          </w14:textFill>
        </w:rPr>
        <w:t>类标准：</w:t>
      </w:r>
      <w:r>
        <w:rPr>
          <w:rFonts w:ascii="Times New Roman" w:hAnsi="Times New Roman" w:eastAsia="Times New Roman" w:cs="Times New Roman"/>
          <w:color w:val="000000" w:themeColor="text1"/>
          <w:sz w:val="24"/>
          <w:szCs w:val="24"/>
          <w:lang w:val="en-US" w:bidi="en-US"/>
          <w14:textFill>
            <w14:solidFill>
              <w14:schemeClr w14:val="tx1"/>
            </w14:solidFill>
          </w14:textFill>
        </w:rPr>
        <w:t>COD</w:t>
      </w:r>
      <w:r>
        <w:rPr>
          <w:rFonts w:ascii="Times New Roman" w:hAnsi="Times New Roman" w:eastAsia="Times New Roman" w:cs="Times New Roman"/>
          <w:color w:val="000000" w:themeColor="text1"/>
          <w:sz w:val="24"/>
          <w:szCs w:val="24"/>
          <w:vertAlign w:val="subscript"/>
          <w:lang w:val="en-US" w:bidi="en-US"/>
          <w14:textFill>
            <w14:solidFill>
              <w14:schemeClr w14:val="tx1"/>
            </w14:solidFill>
          </w14:textFill>
        </w:rPr>
        <w:t>Mn</w:t>
      </w:r>
      <w:r>
        <w:rPr>
          <w:rFonts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lang w:val="en-US" w:bidi="en-US"/>
          <w14:textFill>
            <w14:solidFill>
              <w14:schemeClr w14:val="tx1"/>
            </w14:solidFill>
          </w14:textFill>
        </w:rPr>
        <w:t>3.0mg/L</w:t>
      </w:r>
      <w:r>
        <w:rPr>
          <w:rFonts w:ascii="Times New Roman" w:hAnsi="Times New Roman" w:cs="Times New Roman"/>
          <w:color w:val="000000" w:themeColor="text1"/>
          <w:sz w:val="24"/>
          <w:szCs w:val="24"/>
          <w:lang w:val="en-US" w:bidi="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氨氮</w:t>
      </w:r>
      <w:r>
        <w:rPr>
          <w:rFonts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lang w:val="en-US" w:bidi="en-US"/>
          <w14:textFill>
            <w14:solidFill>
              <w14:schemeClr w14:val="tx1"/>
            </w14:solidFill>
          </w14:textFill>
        </w:rPr>
        <w:t>0.5mg/L</w:t>
      </w:r>
      <w:r>
        <w:rPr>
          <w:rFonts w:ascii="Times New Roman" w:hAnsi="Times New Roman" w:cs="Times New Roman"/>
          <w:color w:val="000000" w:themeColor="text1"/>
          <w:sz w:val="24"/>
          <w:szCs w:val="24"/>
          <w:lang w:val="en-US" w:bidi="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本次污水泄漏评价因子选择</w:t>
      </w:r>
      <w:r>
        <w:rPr>
          <w:rFonts w:ascii="Times New Roman" w:hAnsi="Times New Roman" w:eastAsia="Times New Roman" w:cs="Times New Roman"/>
          <w:color w:val="000000" w:themeColor="text1"/>
          <w:sz w:val="24"/>
          <w:szCs w:val="24"/>
          <w:lang w:val="en-US" w:bidi="en-US"/>
          <w14:textFill>
            <w14:solidFill>
              <w14:schemeClr w14:val="tx1"/>
            </w14:solidFill>
          </w14:textFill>
        </w:rPr>
        <w:t>COD</w:t>
      </w:r>
      <w:r>
        <w:rPr>
          <w:rFonts w:ascii="Times New Roman" w:hAnsi="Times New Roman" w:cs="Times New Roman"/>
          <w:color w:val="000000" w:themeColor="text1"/>
          <w:sz w:val="24"/>
          <w:szCs w:val="24"/>
          <w:lang w:val="en-US" w:bidi="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氨氮。以</w:t>
      </w:r>
      <w:r>
        <w:rPr>
          <w:rFonts w:hint="eastAsia" w:ascii="Times New Roman" w:hAnsi="Times New Roman" w:cs="Times New Roman"/>
          <w:color w:val="000000" w:themeColor="text1"/>
          <w:sz w:val="24"/>
          <w:szCs w:val="24"/>
          <w14:textFill>
            <w14:solidFill>
              <w14:schemeClr w14:val="tx1"/>
            </w14:solidFill>
          </w14:textFill>
        </w:rPr>
        <w:t>沉淀</w:t>
      </w:r>
      <w:r>
        <w:rPr>
          <w:rFonts w:ascii="Times New Roman" w:hAnsi="Times New Roman" w:cs="Times New Roman"/>
          <w:color w:val="000000" w:themeColor="text1"/>
          <w:sz w:val="24"/>
          <w:szCs w:val="24"/>
          <w14:textFill>
            <w14:solidFill>
              <w14:schemeClr w14:val="tx1"/>
            </w14:solidFill>
          </w14:textFill>
        </w:rPr>
        <w:t>池为对象，其污染物</w:t>
      </w:r>
      <w:r>
        <w:rPr>
          <w:rFonts w:ascii="Times New Roman" w:hAnsi="Times New Roman" w:eastAsia="Times New Roman" w:cs="Times New Roman"/>
          <w:color w:val="000000" w:themeColor="text1"/>
          <w:sz w:val="24"/>
          <w:szCs w:val="24"/>
          <w:lang w:val="en-US" w:bidi="en-US"/>
          <w14:textFill>
            <w14:solidFill>
              <w14:schemeClr w14:val="tx1"/>
            </w14:solidFill>
          </w14:textFill>
        </w:rPr>
        <w:t>COD</w:t>
      </w:r>
      <w:r>
        <w:rPr>
          <w:rFonts w:ascii="Times New Roman" w:hAnsi="Times New Roman" w:cs="Times New Roman"/>
          <w:color w:val="000000" w:themeColor="text1"/>
          <w:sz w:val="24"/>
          <w:szCs w:val="24"/>
          <w14:textFill>
            <w14:solidFill>
              <w14:schemeClr w14:val="tx1"/>
            </w14:solidFill>
          </w14:textFill>
        </w:rPr>
        <w:t>浓度约为</w:t>
      </w:r>
      <w:r>
        <w:rPr>
          <w:rFonts w:hint="eastAsia" w:ascii="Times New Roman" w:hAnsi="Times New Roman" w:cs="Times New Roman" w:eastAsiaTheme="minorEastAsia"/>
          <w:color w:val="000000" w:themeColor="text1"/>
          <w:sz w:val="24"/>
          <w:szCs w:val="24"/>
          <w:lang w:val="en-US" w:bidi="en-US"/>
          <w14:textFill>
            <w14:solidFill>
              <w14:schemeClr w14:val="tx1"/>
            </w14:solidFill>
          </w14:textFill>
        </w:rPr>
        <w:t>1</w:t>
      </w:r>
      <w:r>
        <w:rPr>
          <w:rFonts w:ascii="Times New Roman" w:hAnsi="Times New Roman" w:eastAsia="Times New Roman" w:cs="Times New Roman"/>
          <w:color w:val="000000" w:themeColor="text1"/>
          <w:sz w:val="24"/>
          <w:szCs w:val="24"/>
          <w:lang w:val="en-US" w:bidi="en-US"/>
          <w14:textFill>
            <w14:solidFill>
              <w14:schemeClr w14:val="tx1"/>
            </w14:solidFill>
          </w14:textFill>
        </w:rPr>
        <w:t>0</w:t>
      </w:r>
      <w:r>
        <w:rPr>
          <w:rFonts w:ascii="Times New Roman" w:hAnsi="Times New Roman" w:cs="Times New Roman" w:eastAsiaTheme="minorEastAsia"/>
          <w:color w:val="000000" w:themeColor="text1"/>
          <w:sz w:val="24"/>
          <w:szCs w:val="24"/>
          <w:lang w:val="en-US" w:bidi="en-US"/>
          <w14:textFill>
            <w14:solidFill>
              <w14:schemeClr w14:val="tx1"/>
            </w14:solidFill>
          </w14:textFill>
        </w:rPr>
        <w:t>0</w:t>
      </w:r>
      <w:r>
        <w:rPr>
          <w:rFonts w:ascii="Times New Roman" w:hAnsi="Times New Roman" w:eastAsia="Times New Roman" w:cs="Times New Roman"/>
          <w:color w:val="000000" w:themeColor="text1"/>
          <w:sz w:val="24"/>
          <w:szCs w:val="24"/>
          <w:lang w:val="en-US" w:bidi="en-US"/>
          <w14:textFill>
            <w14:solidFill>
              <w14:schemeClr w14:val="tx1"/>
            </w14:solidFill>
          </w14:textFill>
        </w:rPr>
        <w:t>mg/L</w:t>
      </w:r>
      <w:r>
        <w:rPr>
          <w:rFonts w:ascii="Times New Roman" w:hAnsi="Times New Roman" w:cs="Times New Roman"/>
          <w:color w:val="000000" w:themeColor="text1"/>
          <w:sz w:val="24"/>
          <w:szCs w:val="24"/>
          <w:lang w:val="en-US" w:bidi="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氨氮浓度约为</w:t>
      </w:r>
      <w:r>
        <w:rPr>
          <w:rFonts w:hint="eastAsia" w:ascii="Times New Roman" w:hAnsi="Times New Roman" w:cs="Times New Roman" w:eastAsiaTheme="minorEastAsia"/>
          <w:color w:val="000000" w:themeColor="text1"/>
          <w:sz w:val="24"/>
          <w:szCs w:val="24"/>
          <w:lang w:val="en-US" w:bidi="en-US"/>
          <w14:textFill>
            <w14:solidFill>
              <w14:schemeClr w14:val="tx1"/>
            </w14:solidFill>
          </w14:textFill>
        </w:rPr>
        <w:t>2</w:t>
      </w:r>
      <w:r>
        <w:rPr>
          <w:rFonts w:ascii="Times New Roman" w:hAnsi="Times New Roman" w:eastAsia="Times New Roman" w:cs="Times New Roman"/>
          <w:color w:val="000000" w:themeColor="text1"/>
          <w:sz w:val="24"/>
          <w:szCs w:val="24"/>
          <w:lang w:val="en-US" w:bidi="en-US"/>
          <w14:textFill>
            <w14:solidFill>
              <w14:schemeClr w14:val="tx1"/>
            </w14:solidFill>
          </w14:textFill>
        </w:rPr>
        <w:t>mg/L</w:t>
      </w:r>
      <w:r>
        <w:rPr>
          <w:rFonts w:ascii="Times New Roman" w:hAnsi="Times New Roman" w:cs="Times New Roman"/>
          <w:color w:val="000000" w:themeColor="text1"/>
          <w:sz w:val="24"/>
          <w:szCs w:val="24"/>
          <w:lang w:val="en-US" w:bidi="en-US"/>
          <w14:textFill>
            <w14:solidFill>
              <w14:schemeClr w14:val="tx1"/>
            </w14:solidFill>
          </w14:textFill>
        </w:rPr>
        <w:t>。</w:t>
      </w:r>
    </w:p>
    <w:p w14:paraId="1DBCEA87">
      <w:pPr>
        <w:pStyle w:val="1232"/>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虽然</w:t>
      </w:r>
      <w:r>
        <w:rPr>
          <w:rFonts w:ascii="Times New Roman" w:hAnsi="Times New Roman" w:eastAsia="Times New Roman" w:cs="Times New Roman"/>
          <w:color w:val="000000" w:themeColor="text1"/>
          <w:sz w:val="24"/>
          <w:szCs w:val="24"/>
          <w:lang w:val="en-US" w:bidi="en-US"/>
          <w14:textFill>
            <w14:solidFill>
              <w14:schemeClr w14:val="tx1"/>
            </w14:solidFill>
          </w14:textFill>
        </w:rPr>
        <w:t>COD</w:t>
      </w:r>
      <w:r>
        <w:rPr>
          <w:rFonts w:ascii="Times New Roman" w:hAnsi="Times New Roman" w:cs="Times New Roman"/>
          <w:color w:val="000000" w:themeColor="text1"/>
          <w:sz w:val="24"/>
          <w:szCs w:val="24"/>
          <w14:textFill>
            <w14:solidFill>
              <w14:schemeClr w14:val="tx1"/>
            </w14:solidFill>
          </w14:textFill>
        </w:rPr>
        <w:t>在地表含量较高，但实验数据显示进入地下水后含量极低，基本被沿途生物消耗掉，因此用高锰酸盐指数替代，其含量可以反映地下水中有机污染物的大小。因此，模拟和预测污染物在地下水中的迁移扩散时，用高锰酸盐指数代替</w:t>
      </w:r>
      <w:r>
        <w:rPr>
          <w:rFonts w:ascii="Times New Roman" w:hAnsi="Times New Roman" w:eastAsia="Times New Roman" w:cs="Times New Roman"/>
          <w:color w:val="000000" w:themeColor="text1"/>
          <w:sz w:val="24"/>
          <w:szCs w:val="24"/>
          <w:lang w:val="en-US" w:bidi="en-US"/>
          <w14:textFill>
            <w14:solidFill>
              <w14:schemeClr w14:val="tx1"/>
            </w14:solidFill>
          </w14:textFill>
        </w:rPr>
        <w:t>COD</w:t>
      </w:r>
      <w:r>
        <w:rPr>
          <w:rFonts w:ascii="Times New Roman" w:hAnsi="Times New Roman" w:cs="Times New Roman"/>
          <w:color w:val="000000" w:themeColor="text1"/>
          <w:sz w:val="24"/>
          <w:szCs w:val="24"/>
          <w:lang w:val="en-US" w:bidi="en-US"/>
          <w14:textFill>
            <w14:solidFill>
              <w14:schemeClr w14:val="tx1"/>
            </w14:solidFill>
          </w14:textFill>
        </w:rPr>
        <w:t>。</w:t>
      </w:r>
    </w:p>
    <w:p w14:paraId="16947EDB">
      <w:pPr>
        <w:pStyle w:val="1232"/>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非正常工况下，主要的考虑因素是喷淋塔循环池的渗漏对地下水可能造成的影响。喷淋塔循环池在生产初期，由于基础夯实，水池采用钢筋混凝土结构，具有防渗功能。但在后期，会由于基础不均匀沉降，混凝土出现裂缝，污水渗入地下。如果裂缝太多，出现大量渗水，生产单位将会修复。本次泄露量按照水池存水量的5%计算。</w:t>
      </w:r>
    </w:p>
    <w:p w14:paraId="779E694E">
      <w:pPr>
        <w:pStyle w:val="117"/>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 xml:space="preserve"> 非正常工况地下水源强计算</w:t>
      </w:r>
    </w:p>
    <w:tbl>
      <w:tblPr>
        <w:tblStyle w:val="76"/>
        <w:tblW w:w="5000" w:type="pct"/>
        <w:jc w:val="center"/>
        <w:tblLayout w:type="autofit"/>
        <w:tblCellMar>
          <w:top w:w="0" w:type="dxa"/>
          <w:left w:w="10" w:type="dxa"/>
          <w:bottom w:w="0" w:type="dxa"/>
          <w:right w:w="10" w:type="dxa"/>
        </w:tblCellMar>
      </w:tblPr>
      <w:tblGrid>
        <w:gridCol w:w="2027"/>
        <w:gridCol w:w="2013"/>
        <w:gridCol w:w="2679"/>
        <w:gridCol w:w="2713"/>
      </w:tblGrid>
      <w:tr w14:paraId="32BB4C6D">
        <w:tblPrEx>
          <w:tblCellMar>
            <w:top w:w="0" w:type="dxa"/>
            <w:left w:w="10" w:type="dxa"/>
            <w:bottom w:w="0" w:type="dxa"/>
            <w:right w:w="10" w:type="dxa"/>
          </w:tblCellMar>
        </w:tblPrEx>
        <w:trPr>
          <w:jc w:val="center"/>
        </w:trPr>
        <w:tc>
          <w:tcPr>
            <w:tcW w:w="1075" w:type="pct"/>
            <w:tcBorders>
              <w:top w:val="single" w:color="auto" w:sz="4" w:space="0"/>
              <w:left w:val="single" w:color="auto" w:sz="4" w:space="0"/>
            </w:tcBorders>
            <w:vAlign w:val="center"/>
          </w:tcPr>
          <w:p w14:paraId="133AD8D7">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067" w:type="pct"/>
            <w:tcBorders>
              <w:top w:val="single" w:color="auto" w:sz="4" w:space="0"/>
              <w:left w:val="single" w:color="auto" w:sz="4" w:space="0"/>
            </w:tcBorders>
            <w:vAlign w:val="center"/>
          </w:tcPr>
          <w:p w14:paraId="25496A1C">
            <w:pPr>
              <w:pStyle w:val="109"/>
              <w:rPr>
                <w:color w:val="000000" w:themeColor="text1"/>
                <w14:textFill>
                  <w14:solidFill>
                    <w14:schemeClr w14:val="tx1"/>
                  </w14:solidFill>
                </w14:textFill>
              </w:rPr>
            </w:pPr>
            <w:r>
              <w:rPr>
                <w:color w:val="000000" w:themeColor="text1"/>
                <w14:textFill>
                  <w14:solidFill>
                    <w14:schemeClr w14:val="tx1"/>
                  </w14:solidFill>
                </w14:textFill>
              </w:rPr>
              <w:t>泄漏量</w:t>
            </w:r>
            <w:r>
              <w:rPr>
                <w:rFonts w:eastAsia="Times New Roman"/>
                <w:color w:val="000000" w:themeColor="text1"/>
                <w:lang w:eastAsia="en-US" w:bidi="en-US"/>
                <w14:textFill>
                  <w14:solidFill>
                    <w14:schemeClr w14:val="tx1"/>
                  </w14:solidFill>
                </w14:textFill>
              </w:rPr>
              <w:t>m³/d</w:t>
            </w:r>
          </w:p>
        </w:tc>
        <w:tc>
          <w:tcPr>
            <w:tcW w:w="1420" w:type="pct"/>
            <w:tcBorders>
              <w:top w:val="single" w:color="auto" w:sz="4" w:space="0"/>
              <w:left w:val="single" w:color="auto" w:sz="4" w:space="0"/>
            </w:tcBorders>
            <w:vAlign w:val="center"/>
          </w:tcPr>
          <w:p w14:paraId="0C787ECE">
            <w:pPr>
              <w:pStyle w:val="109"/>
              <w:rPr>
                <w:color w:val="000000" w:themeColor="text1"/>
                <w14:textFill>
                  <w14:solidFill>
                    <w14:schemeClr w14:val="tx1"/>
                  </w14:solidFill>
                </w14:textFill>
              </w:rPr>
            </w:pPr>
            <w:r>
              <w:rPr>
                <w:color w:val="000000" w:themeColor="text1"/>
                <w14:textFill>
                  <w14:solidFill>
                    <w14:schemeClr w14:val="tx1"/>
                  </w14:solidFill>
                </w14:textFill>
              </w:rPr>
              <w:t>污染物浓度</w:t>
            </w:r>
            <w:r>
              <w:rPr>
                <w:rFonts w:eastAsia="Times New Roman"/>
                <w:color w:val="000000" w:themeColor="text1"/>
                <w:lang w:eastAsia="en-US" w:bidi="en-US"/>
                <w14:textFill>
                  <w14:solidFill>
                    <w14:schemeClr w14:val="tx1"/>
                  </w14:solidFill>
                </w14:textFill>
              </w:rPr>
              <w:t>mg/L</w:t>
            </w:r>
          </w:p>
        </w:tc>
        <w:tc>
          <w:tcPr>
            <w:tcW w:w="1438" w:type="pct"/>
            <w:tcBorders>
              <w:top w:val="single" w:color="auto" w:sz="4" w:space="0"/>
              <w:left w:val="single" w:color="auto" w:sz="4" w:space="0"/>
              <w:right w:val="single" w:color="auto" w:sz="4" w:space="0"/>
            </w:tcBorders>
            <w:vAlign w:val="bottom"/>
          </w:tcPr>
          <w:p w14:paraId="05A55505">
            <w:pPr>
              <w:pStyle w:val="109"/>
              <w:rPr>
                <w:color w:val="000000" w:themeColor="text1"/>
                <w14:textFill>
                  <w14:solidFill>
                    <w14:schemeClr w14:val="tx1"/>
                  </w14:solidFill>
                </w14:textFill>
              </w:rPr>
            </w:pPr>
            <w:r>
              <w:rPr>
                <w:color w:val="000000" w:themeColor="text1"/>
                <w14:textFill>
                  <w14:solidFill>
                    <w14:schemeClr w14:val="tx1"/>
                  </w14:solidFill>
                </w14:textFill>
              </w:rPr>
              <w:t>污染物泄漏速率</w:t>
            </w:r>
            <w:r>
              <w:rPr>
                <w:rFonts w:eastAsia="Times New Roman"/>
                <w:color w:val="000000" w:themeColor="text1"/>
                <w:lang w:eastAsia="en-US" w:bidi="en-US"/>
                <w14:textFill>
                  <w14:solidFill>
                    <w14:schemeClr w14:val="tx1"/>
                  </w14:solidFill>
                </w14:textFill>
              </w:rPr>
              <w:t>g/h</w:t>
            </w:r>
          </w:p>
        </w:tc>
      </w:tr>
      <w:tr w14:paraId="31634FA2">
        <w:tblPrEx>
          <w:tblCellMar>
            <w:top w:w="0" w:type="dxa"/>
            <w:left w:w="10" w:type="dxa"/>
            <w:bottom w:w="0" w:type="dxa"/>
            <w:right w:w="10" w:type="dxa"/>
          </w:tblCellMar>
        </w:tblPrEx>
        <w:trPr>
          <w:jc w:val="center"/>
        </w:trPr>
        <w:tc>
          <w:tcPr>
            <w:tcW w:w="1075" w:type="pct"/>
            <w:tcBorders>
              <w:top w:val="single" w:color="auto" w:sz="4" w:space="0"/>
              <w:left w:val="single" w:color="auto" w:sz="4" w:space="0"/>
            </w:tcBorders>
            <w:vAlign w:val="center"/>
          </w:tcPr>
          <w:p w14:paraId="566FC07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COD</w:t>
            </w:r>
            <w:r>
              <w:rPr>
                <w:rFonts w:hint="eastAsia"/>
                <w:color w:val="000000" w:themeColor="text1"/>
                <w:vertAlign w:val="subscript"/>
                <w14:textFill>
                  <w14:solidFill>
                    <w14:schemeClr w14:val="tx1"/>
                  </w14:solidFill>
                </w14:textFill>
              </w:rPr>
              <w:t>Mn</w:t>
            </w:r>
          </w:p>
        </w:tc>
        <w:tc>
          <w:tcPr>
            <w:tcW w:w="1067" w:type="pct"/>
            <w:vMerge w:val="restart"/>
            <w:tcBorders>
              <w:top w:val="single" w:color="auto" w:sz="4" w:space="0"/>
              <w:left w:val="single" w:color="auto" w:sz="4" w:space="0"/>
            </w:tcBorders>
            <w:vAlign w:val="center"/>
          </w:tcPr>
          <w:p w14:paraId="6915F72E">
            <w:pPr>
              <w:pStyle w:val="109"/>
              <w:rPr>
                <w:rFonts w:eastAsiaTheme="minorEastAsia"/>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w:t>
            </w:r>
            <w:r>
              <w:rPr>
                <w:rFonts w:eastAsiaTheme="minorEastAsia"/>
                <w:color w:val="000000" w:themeColor="text1"/>
                <w:lang w:bidi="en-US"/>
                <w14:textFill>
                  <w14:solidFill>
                    <w14:schemeClr w14:val="tx1"/>
                  </w14:solidFill>
                </w14:textFill>
              </w:rPr>
              <w:t>5</w:t>
            </w:r>
          </w:p>
        </w:tc>
        <w:tc>
          <w:tcPr>
            <w:tcW w:w="1420" w:type="pct"/>
            <w:tcBorders>
              <w:top w:val="single" w:color="auto" w:sz="4" w:space="0"/>
              <w:left w:val="single" w:color="auto" w:sz="4" w:space="0"/>
            </w:tcBorders>
            <w:vAlign w:val="center"/>
          </w:tcPr>
          <w:p w14:paraId="0AB8A144">
            <w:pPr>
              <w:pStyle w:val="109"/>
              <w:rPr>
                <w:rFonts w:eastAsiaTheme="minorEastAsia"/>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100</w:t>
            </w:r>
          </w:p>
        </w:tc>
        <w:tc>
          <w:tcPr>
            <w:tcW w:w="1438" w:type="pct"/>
            <w:tcBorders>
              <w:top w:val="single" w:color="auto" w:sz="4" w:space="0"/>
              <w:left w:val="single" w:color="auto" w:sz="4" w:space="0"/>
              <w:right w:val="single" w:color="auto" w:sz="4" w:space="0"/>
            </w:tcBorders>
            <w:vAlign w:val="center"/>
          </w:tcPr>
          <w:p w14:paraId="680F635A">
            <w:pPr>
              <w:pStyle w:val="109"/>
              <w:rPr>
                <w:rFonts w:eastAsiaTheme="minorEastAsia"/>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2.08</w:t>
            </w:r>
          </w:p>
        </w:tc>
      </w:tr>
      <w:tr w14:paraId="35AD96CC">
        <w:tblPrEx>
          <w:tblCellMar>
            <w:top w:w="0" w:type="dxa"/>
            <w:left w:w="10" w:type="dxa"/>
            <w:bottom w:w="0" w:type="dxa"/>
            <w:right w:w="10" w:type="dxa"/>
          </w:tblCellMar>
        </w:tblPrEx>
        <w:trPr>
          <w:jc w:val="center"/>
        </w:trPr>
        <w:tc>
          <w:tcPr>
            <w:tcW w:w="1075" w:type="pct"/>
            <w:tcBorders>
              <w:top w:val="single" w:color="auto" w:sz="4" w:space="0"/>
              <w:left w:val="single" w:color="auto" w:sz="4" w:space="0"/>
              <w:bottom w:val="single" w:color="auto" w:sz="4" w:space="0"/>
            </w:tcBorders>
            <w:vAlign w:val="center"/>
          </w:tcPr>
          <w:p w14:paraId="49F2CED2">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067" w:type="pct"/>
            <w:vMerge w:val="continue"/>
            <w:tcBorders>
              <w:left w:val="single" w:color="auto" w:sz="4" w:space="0"/>
              <w:bottom w:val="single" w:color="auto" w:sz="4" w:space="0"/>
            </w:tcBorders>
            <w:vAlign w:val="center"/>
          </w:tcPr>
          <w:p w14:paraId="6DD048E1">
            <w:pPr>
              <w:pStyle w:val="109"/>
              <w:rPr>
                <w:color w:val="000000" w:themeColor="text1"/>
                <w14:textFill>
                  <w14:solidFill>
                    <w14:schemeClr w14:val="tx1"/>
                  </w14:solidFill>
                </w14:textFill>
              </w:rPr>
            </w:pPr>
          </w:p>
        </w:tc>
        <w:tc>
          <w:tcPr>
            <w:tcW w:w="1420" w:type="pct"/>
            <w:tcBorders>
              <w:top w:val="single" w:color="auto" w:sz="4" w:space="0"/>
              <w:left w:val="single" w:color="auto" w:sz="4" w:space="0"/>
              <w:bottom w:val="single" w:color="auto" w:sz="4" w:space="0"/>
            </w:tcBorders>
            <w:vAlign w:val="center"/>
          </w:tcPr>
          <w:p w14:paraId="6A88C138">
            <w:pPr>
              <w:pStyle w:val="109"/>
              <w:rPr>
                <w:rFonts w:eastAsiaTheme="minorEastAsia"/>
                <w:color w:val="000000" w:themeColor="text1"/>
                <w14:textFill>
                  <w14:solidFill>
                    <w14:schemeClr w14:val="tx1"/>
                  </w14:solidFill>
                </w14:textFill>
              </w:rPr>
            </w:pPr>
            <w:r>
              <w:rPr>
                <w:rFonts w:hint="eastAsia" w:eastAsiaTheme="minorEastAsia"/>
                <w:color w:val="000000" w:themeColor="text1"/>
                <w:lang w:bidi="en-US"/>
                <w14:textFill>
                  <w14:solidFill>
                    <w14:schemeClr w14:val="tx1"/>
                  </w14:solidFill>
                </w14:textFill>
              </w:rPr>
              <w:t>2</w:t>
            </w:r>
          </w:p>
        </w:tc>
        <w:tc>
          <w:tcPr>
            <w:tcW w:w="1438" w:type="pct"/>
            <w:tcBorders>
              <w:top w:val="single" w:color="auto" w:sz="4" w:space="0"/>
              <w:left w:val="single" w:color="auto" w:sz="4" w:space="0"/>
              <w:bottom w:val="single" w:color="auto" w:sz="4" w:space="0"/>
              <w:right w:val="single" w:color="auto" w:sz="4" w:space="0"/>
            </w:tcBorders>
            <w:vAlign w:val="center"/>
          </w:tcPr>
          <w:p w14:paraId="1B696753">
            <w:pPr>
              <w:pStyle w:val="109"/>
              <w:rPr>
                <w:rFonts w:eastAsiaTheme="minorEastAsia"/>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0.00</w:t>
            </w:r>
            <w:r>
              <w:rPr>
                <w:rFonts w:hint="eastAsia" w:eastAsiaTheme="minorEastAsia"/>
                <w:color w:val="000000" w:themeColor="text1"/>
                <w:lang w:bidi="en-US"/>
                <w14:textFill>
                  <w14:solidFill>
                    <w14:schemeClr w14:val="tx1"/>
                  </w14:solidFill>
                </w14:textFill>
              </w:rPr>
              <w:t>17</w:t>
            </w:r>
          </w:p>
        </w:tc>
      </w:tr>
    </w:tbl>
    <w:p w14:paraId="72701EAF">
      <w:pPr>
        <w:keepNext/>
        <w:keepLines/>
        <w:ind w:firstLine="478"/>
        <w:jc w:val="both"/>
        <w:rPr>
          <w:b/>
          <w:bCs/>
          <w:color w:val="000000" w:themeColor="text1"/>
          <w:lang w:val="zh-CN" w:bidi="zh-CN"/>
          <w14:textFill>
            <w14:solidFill>
              <w14:schemeClr w14:val="tx1"/>
            </w14:solidFill>
          </w14:textFill>
        </w:rPr>
      </w:pPr>
      <w:bookmarkStart w:id="442" w:name="_Toc5086"/>
      <w:r>
        <w:rPr>
          <w:b/>
          <w:bCs/>
          <w:color w:val="000000" w:themeColor="text1"/>
          <w:spacing w:val="-2"/>
          <w:lang w:bidi="zh-CN"/>
          <w14:textFill>
            <w14:solidFill>
              <w14:schemeClr w14:val="tx1"/>
            </w14:solidFill>
          </w14:textFill>
        </w:rPr>
        <w:t>4、</w:t>
      </w:r>
      <w:r>
        <w:rPr>
          <w:b/>
          <w:bCs/>
          <w:color w:val="000000" w:themeColor="text1"/>
          <w:spacing w:val="-2"/>
          <w:lang w:val="zh-CN" w:bidi="zh-CN"/>
          <w14:textFill>
            <w14:solidFill>
              <w14:schemeClr w14:val="tx1"/>
            </w14:solidFill>
          </w14:textFill>
        </w:rPr>
        <w:t>地下水</w:t>
      </w:r>
      <w:r>
        <w:rPr>
          <w:b/>
          <w:bCs/>
          <w:color w:val="000000" w:themeColor="text1"/>
          <w:spacing w:val="-1"/>
          <w:lang w:val="zh-CN" w:bidi="zh-CN"/>
          <w14:textFill>
            <w14:solidFill>
              <w14:schemeClr w14:val="tx1"/>
            </w14:solidFill>
          </w14:textFill>
        </w:rPr>
        <w:t>污染模拟预测</w:t>
      </w:r>
      <w:bookmarkEnd w:id="442"/>
    </w:p>
    <w:p w14:paraId="7FD2DA0C">
      <w:pPr>
        <w:pStyle w:val="1305"/>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（1）地下水流数值模型的建立</w:t>
      </w:r>
    </w:p>
    <w:p w14:paraId="4E669633">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本次地下水污染模拟过程未考虑污染物在含水层中的吸附、挥发、生物化学反应，模型中各项参数予以保守性考虑。这样选择的理由是：</w:t>
      </w:r>
    </w:p>
    <w:p w14:paraId="3444F465">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从保守性角度考虑，假设污染质在运移中不与含水层介质发生反应，可以被认为是保守型污染质，只按保守型污染质来计算，即只考虑运移过程中的对流、弥散作用。</w:t>
      </w:r>
    </w:p>
    <w:p w14:paraId="6F74981A">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有机污染物在地下水中的运移非常复杂，影响因素除对流、弥散作用以外，还存在物理、化学、微生物等作用，这些作用常常会使污染质浓度衰减。目前国际上对这些作用参数的准确获取还存在着困难。</w:t>
      </w:r>
    </w:p>
    <w:p w14:paraId="0379262C">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在国际上有很多用保守型污染物作为模拟因子的环境质量评价的成功实例，保守型考虑符合工程设计的思想。</w:t>
      </w:r>
    </w:p>
    <w:p w14:paraId="7BF11849">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地下水中溶质运移的数学模型为：</w:t>
      </w:r>
    </w:p>
    <w:p w14:paraId="00960391">
      <w:pPr>
        <w:ind w:firstLine="720" w:firstLineChars="30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201795" cy="485775"/>
            <wp:effectExtent l="0" t="0" r="8255" b="0"/>
            <wp:docPr id="1182110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10146" name="图片 1"/>
                    <pic:cNvPicPr>
                      <a:picLocks noChangeAspect="1"/>
                    </pic:cNvPicPr>
                  </pic:nvPicPr>
                  <pic:blipFill>
                    <a:blip r:embed="rId61"/>
                    <a:stretch>
                      <a:fillRect/>
                    </a:stretch>
                  </pic:blipFill>
                  <pic:spPr>
                    <a:xfrm>
                      <a:off x="0" y="0"/>
                      <a:ext cx="4296901" cy="496709"/>
                    </a:xfrm>
                    <a:prstGeom prst="rect">
                      <a:avLst/>
                    </a:prstGeom>
                  </pic:spPr>
                </pic:pic>
              </a:graphicData>
            </a:graphic>
          </wp:inline>
        </w:drawing>
      </w:r>
    </w:p>
    <w:p w14:paraId="048A1EA1">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θ-</w:t>
      </w:r>
      <w:r>
        <w:rPr>
          <w:color w:val="000000" w:themeColor="text1"/>
          <w14:textFill>
            <w14:solidFill>
              <w14:schemeClr w14:val="tx1"/>
            </w14:solidFill>
          </w14:textFill>
        </w:rPr>
        <w:t>介质孔隙度，无量纲；</w:t>
      </w:r>
    </w:p>
    <w:p w14:paraId="41C5B911">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C-</w:t>
      </w:r>
      <w:r>
        <w:rPr>
          <w:color w:val="000000" w:themeColor="text1"/>
          <w14:textFill>
            <w14:solidFill>
              <w14:schemeClr w14:val="tx1"/>
            </w14:solidFill>
          </w14:textFill>
        </w:rPr>
        <w:t>组分的浓度，</w:t>
      </w:r>
      <w:r>
        <w:rPr>
          <w:rFonts w:eastAsia="TimesNewRomanPSMT"/>
          <w:color w:val="000000" w:themeColor="text1"/>
          <w14:textFill>
            <w14:solidFill>
              <w14:schemeClr w14:val="tx1"/>
            </w14:solidFill>
          </w14:textFill>
        </w:rPr>
        <w:t>mg/L</w:t>
      </w:r>
      <w:r>
        <w:rPr>
          <w:color w:val="000000" w:themeColor="text1"/>
          <w14:textFill>
            <w14:solidFill>
              <w14:schemeClr w14:val="tx1"/>
            </w14:solidFill>
          </w14:textFill>
        </w:rPr>
        <w:t>；</w:t>
      </w:r>
    </w:p>
    <w:p w14:paraId="59598BF4">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t-</w:t>
      </w:r>
      <w:r>
        <w:rPr>
          <w:color w:val="000000" w:themeColor="text1"/>
          <w14:textFill>
            <w14:solidFill>
              <w14:schemeClr w14:val="tx1"/>
            </w14:solidFill>
          </w14:textFill>
        </w:rPr>
        <w:t>时间，</w:t>
      </w:r>
      <w:r>
        <w:rPr>
          <w:rFonts w:eastAsia="TimesNewRomanPSMT"/>
          <w:color w:val="000000" w:themeColor="text1"/>
          <w14:textFill>
            <w14:solidFill>
              <w14:schemeClr w14:val="tx1"/>
            </w14:solidFill>
          </w14:textFill>
        </w:rPr>
        <w:t>d</w:t>
      </w:r>
      <w:r>
        <w:rPr>
          <w:color w:val="000000" w:themeColor="text1"/>
          <w14:textFill>
            <w14:solidFill>
              <w14:schemeClr w14:val="tx1"/>
            </w14:solidFill>
          </w14:textFill>
        </w:rPr>
        <w:t>；</w:t>
      </w:r>
    </w:p>
    <w:p w14:paraId="5B5AF41E">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y</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z-</w:t>
      </w:r>
      <w:r>
        <w:rPr>
          <w:color w:val="000000" w:themeColor="text1"/>
          <w14:textFill>
            <w14:solidFill>
              <w14:schemeClr w14:val="tx1"/>
            </w14:solidFill>
          </w14:textFill>
        </w:rPr>
        <w:t>空间位置坐标，</w:t>
      </w:r>
      <w:r>
        <w:rPr>
          <w:rFonts w:eastAsia="TimesNewRomanPSMT"/>
          <w:color w:val="000000" w:themeColor="text1"/>
          <w14:textFill>
            <w14:solidFill>
              <w14:schemeClr w14:val="tx1"/>
            </w14:solidFill>
          </w14:textFill>
        </w:rPr>
        <w:t>m</w:t>
      </w:r>
      <w:r>
        <w:rPr>
          <w:color w:val="000000" w:themeColor="text1"/>
          <w14:textFill>
            <w14:solidFill>
              <w14:schemeClr w14:val="tx1"/>
            </w14:solidFill>
          </w14:textFill>
        </w:rPr>
        <w:t>；</w:t>
      </w:r>
    </w:p>
    <w:p w14:paraId="4B5412FE">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Dij-</w:t>
      </w:r>
      <w:r>
        <w:rPr>
          <w:color w:val="000000" w:themeColor="text1"/>
          <w14:textFill>
            <w14:solidFill>
              <w14:schemeClr w14:val="tx1"/>
            </w14:solidFill>
          </w14:textFill>
        </w:rPr>
        <w:t>水动力弥散系数张量，平方米</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天；</w:t>
      </w:r>
    </w:p>
    <w:p w14:paraId="736969EB">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Vi-</w:t>
      </w:r>
      <w:r>
        <w:rPr>
          <w:color w:val="000000" w:themeColor="text1"/>
          <w14:textFill>
            <w14:solidFill>
              <w14:schemeClr w14:val="tx1"/>
            </w14:solidFill>
          </w14:textFill>
        </w:rPr>
        <w:t>地下水渗流速度张量，</w:t>
      </w:r>
      <w:r>
        <w:rPr>
          <w:rFonts w:eastAsia="TimesNewRomanPSMT"/>
          <w:color w:val="000000" w:themeColor="text1"/>
          <w14:textFill>
            <w14:solidFill>
              <w14:schemeClr w14:val="tx1"/>
            </w14:solidFill>
          </w14:textFill>
        </w:rPr>
        <w:t>m/d</w:t>
      </w:r>
      <w:r>
        <w:rPr>
          <w:color w:val="000000" w:themeColor="text1"/>
          <w14:textFill>
            <w14:solidFill>
              <w14:schemeClr w14:val="tx1"/>
            </w14:solidFill>
          </w14:textFill>
        </w:rPr>
        <w:t>；</w:t>
      </w:r>
    </w:p>
    <w:p w14:paraId="2E115FCC">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W-</w:t>
      </w:r>
      <w:r>
        <w:rPr>
          <w:color w:val="000000" w:themeColor="text1"/>
          <w14:textFill>
            <w14:solidFill>
              <w14:schemeClr w14:val="tx1"/>
            </w14:solidFill>
          </w14:textFill>
        </w:rPr>
        <w:t>水流的源和汇，立方米</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天；</w:t>
      </w:r>
    </w:p>
    <w:p w14:paraId="6B94DFA9">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Cs-</w:t>
      </w:r>
      <w:r>
        <w:rPr>
          <w:color w:val="000000" w:themeColor="text1"/>
          <w14:textFill>
            <w14:solidFill>
              <w14:schemeClr w14:val="tx1"/>
            </w14:solidFill>
          </w14:textFill>
        </w:rPr>
        <w:t>组分的浓度，</w:t>
      </w:r>
      <w:r>
        <w:rPr>
          <w:rFonts w:eastAsia="TimesNewRomanPSMT"/>
          <w:color w:val="000000" w:themeColor="text1"/>
          <w14:textFill>
            <w14:solidFill>
              <w14:schemeClr w14:val="tx1"/>
            </w14:solidFill>
          </w14:textFill>
        </w:rPr>
        <w:t>mg/L</w:t>
      </w:r>
      <w:r>
        <w:rPr>
          <w:color w:val="000000" w:themeColor="text1"/>
          <w14:textFill>
            <w14:solidFill>
              <w14:schemeClr w14:val="tx1"/>
            </w14:solidFill>
          </w14:textFill>
        </w:rPr>
        <w:t>。</w:t>
      </w:r>
    </w:p>
    <w:p w14:paraId="336E3A26">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联合求解水流方程和溶质运移方程就可得到污染质的空间分布。溶质求解过程利用</w:t>
      </w:r>
      <w:r>
        <w:rPr>
          <w:rFonts w:eastAsia="TimesNewRomanPSMT"/>
          <w:color w:val="000000" w:themeColor="text1"/>
          <w14:textFill>
            <w14:solidFill>
              <w14:schemeClr w14:val="tx1"/>
            </w14:solidFill>
          </w14:textFill>
        </w:rPr>
        <w:t>Modflow</w:t>
      </w:r>
      <w:r>
        <w:rPr>
          <w:color w:val="000000" w:themeColor="text1"/>
          <w14:textFill>
            <w14:solidFill>
              <w14:schemeClr w14:val="tx1"/>
            </w14:solidFill>
          </w14:textFill>
        </w:rPr>
        <w:t>软件中的</w:t>
      </w:r>
      <w:r>
        <w:rPr>
          <w:rFonts w:eastAsia="TimesNewRomanPSMT"/>
          <w:color w:val="000000" w:themeColor="text1"/>
          <w14:textFill>
            <w14:solidFill>
              <w14:schemeClr w14:val="tx1"/>
            </w14:solidFill>
          </w14:textFill>
        </w:rPr>
        <w:t>MT3DMS</w:t>
      </w:r>
      <w:r>
        <w:rPr>
          <w:color w:val="000000" w:themeColor="text1"/>
          <w14:textFill>
            <w14:solidFill>
              <w14:schemeClr w14:val="tx1"/>
            </w14:solidFill>
          </w14:textFill>
        </w:rPr>
        <w:t>模块。溶质运移模拟过程中，根据边界处流量及地下水溶质浓度的大小，确定溶质通量。含水层纵向及横向弥散度根据经验值确定，其中纵向弥散度取</w:t>
      </w:r>
      <w:r>
        <w:rPr>
          <w:rFonts w:eastAsia="TimesNewRomanPSMT"/>
          <w:color w:val="000000" w:themeColor="text1"/>
          <w14:textFill>
            <w14:solidFill>
              <w14:schemeClr w14:val="tx1"/>
            </w14:solidFill>
          </w14:textFill>
        </w:rPr>
        <w:t>10m</w:t>
      </w:r>
      <w:r>
        <w:rPr>
          <w:color w:val="000000" w:themeColor="text1"/>
          <w14:textFill>
            <w14:solidFill>
              <w14:schemeClr w14:val="tx1"/>
            </w14:solidFill>
          </w14:textFill>
        </w:rPr>
        <w:t>，横向弥散度为纵向弥散度的</w:t>
      </w:r>
      <w:r>
        <w:rPr>
          <w:rFonts w:eastAsia="TimesNewRomanPSMT"/>
          <w:color w:val="000000" w:themeColor="text1"/>
          <w14:textFill>
            <w14:solidFill>
              <w14:schemeClr w14:val="tx1"/>
            </w14:solidFill>
          </w14:textFill>
        </w:rPr>
        <w:t>1/10</w:t>
      </w:r>
      <w:r>
        <w:rPr>
          <w:color w:val="000000" w:themeColor="text1"/>
          <w14:textFill>
            <w14:solidFill>
              <w14:schemeClr w14:val="tx1"/>
            </w14:solidFill>
          </w14:textFill>
        </w:rPr>
        <w:t>，取</w:t>
      </w:r>
      <w:r>
        <w:rPr>
          <w:rFonts w:eastAsia="TimesNewRomanPSMT"/>
          <w:color w:val="000000" w:themeColor="text1"/>
          <w14:textFill>
            <w14:solidFill>
              <w14:schemeClr w14:val="tx1"/>
            </w14:solidFill>
          </w14:textFill>
        </w:rPr>
        <w:t>1m</w:t>
      </w:r>
      <w:r>
        <w:rPr>
          <w:color w:val="000000" w:themeColor="text1"/>
          <w14:textFill>
            <w14:solidFill>
              <w14:schemeClr w14:val="tx1"/>
            </w14:solidFill>
          </w14:textFill>
        </w:rPr>
        <w:t>。</w:t>
      </w:r>
    </w:p>
    <w:p w14:paraId="05D160A9">
      <w:pPr>
        <w:pStyle w:val="1305"/>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（2）地下水污染模拟预测</w:t>
      </w:r>
    </w:p>
    <w:p w14:paraId="3EB173D9">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的地下水主要是从东南到西北方向呈一维流动，加之评价范围内没有集中型供水水源地，地下水位动态稳定，因此污染物在浅层含水层中的迁移，可将情形概化为一维无限长多孔介质柱体，一端为定浓度边界预测模型。</w:t>
      </w:r>
    </w:p>
    <w:p w14:paraId="38B61F3A">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模型：</w:t>
      </w:r>
    </w:p>
    <w:p w14:paraId="10C5DF3C">
      <w:pPr>
        <w:ind w:firstLine="720" w:firstLineChars="300"/>
        <w:jc w:val="both"/>
        <w:rPr>
          <w:rFonts w:ascii="宋体" w:cs="宋体"/>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023235" cy="466725"/>
            <wp:effectExtent l="0" t="0" r="5715" b="0"/>
            <wp:docPr id="2042649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49066" name="图片 1"/>
                    <pic:cNvPicPr>
                      <a:picLocks noChangeAspect="1"/>
                    </pic:cNvPicPr>
                  </pic:nvPicPr>
                  <pic:blipFill>
                    <a:blip r:embed="rId62"/>
                    <a:stretch>
                      <a:fillRect/>
                    </a:stretch>
                  </pic:blipFill>
                  <pic:spPr>
                    <a:xfrm>
                      <a:off x="0" y="0"/>
                      <a:ext cx="3030649" cy="467864"/>
                    </a:xfrm>
                    <a:prstGeom prst="rect">
                      <a:avLst/>
                    </a:prstGeom>
                  </pic:spPr>
                </pic:pic>
              </a:graphicData>
            </a:graphic>
          </wp:inline>
        </w:drawing>
      </w:r>
    </w:p>
    <w:p w14:paraId="196F4EC6">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eastAsia="TimesNewRomanPSMT"/>
          <w:color w:val="000000" w:themeColor="text1"/>
          <w14:textFill>
            <w14:solidFill>
              <w14:schemeClr w14:val="tx1"/>
            </w14:solidFill>
          </w14:textFill>
        </w:rPr>
        <w:t>x—</w:t>
      </w:r>
      <w:r>
        <w:rPr>
          <w:color w:val="000000" w:themeColor="text1"/>
          <w14:textFill>
            <w14:solidFill>
              <w14:schemeClr w14:val="tx1"/>
            </w14:solidFill>
          </w14:textFill>
        </w:rPr>
        <w:t>预测点至污染源强距离（</w:t>
      </w:r>
      <w:r>
        <w:rPr>
          <w:rFonts w:eastAsia="TimesNewRomanPSMT"/>
          <w:color w:val="000000" w:themeColor="text1"/>
          <w14:textFill>
            <w14:solidFill>
              <w14:schemeClr w14:val="tx1"/>
            </w14:solidFill>
          </w14:textFill>
        </w:rPr>
        <w:t>m</w:t>
      </w:r>
      <w:r>
        <w:rPr>
          <w:color w:val="000000" w:themeColor="text1"/>
          <w14:textFill>
            <w14:solidFill>
              <w14:schemeClr w14:val="tx1"/>
            </w14:solidFill>
          </w14:textFill>
        </w:rPr>
        <w:t>）；</w:t>
      </w:r>
    </w:p>
    <w:p w14:paraId="5E2DC583">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C—t</w:t>
      </w:r>
      <w:r>
        <w:rPr>
          <w:color w:val="000000" w:themeColor="text1"/>
          <w14:textFill>
            <w14:solidFill>
              <w14:schemeClr w14:val="tx1"/>
            </w14:solidFill>
          </w14:textFill>
        </w:rPr>
        <w:t>时刻</w:t>
      </w:r>
      <w:r>
        <w:rPr>
          <w:rFonts w:eastAsia="TimesNewRomanPSMT"/>
          <w:color w:val="000000" w:themeColor="text1"/>
          <w14:textFill>
            <w14:solidFill>
              <w14:schemeClr w14:val="tx1"/>
            </w14:solidFill>
          </w14:textFill>
        </w:rPr>
        <w:t>x</w:t>
      </w:r>
      <w:r>
        <w:rPr>
          <w:color w:val="000000" w:themeColor="text1"/>
          <w14:textFill>
            <w14:solidFill>
              <w14:schemeClr w14:val="tx1"/>
            </w14:solidFill>
          </w14:textFill>
        </w:rPr>
        <w:t>处的地下水浓度（</w:t>
      </w:r>
      <w:r>
        <w:rPr>
          <w:rFonts w:eastAsia="TimesNewRomanPSMT"/>
          <w:color w:val="000000" w:themeColor="text1"/>
          <w14:textFill>
            <w14:solidFill>
              <w14:schemeClr w14:val="tx1"/>
            </w14:solidFill>
          </w14:textFill>
        </w:rPr>
        <w:t>mg/L</w:t>
      </w:r>
      <w:r>
        <w:rPr>
          <w:color w:val="000000" w:themeColor="text1"/>
          <w14:textFill>
            <w14:solidFill>
              <w14:schemeClr w14:val="tx1"/>
            </w14:solidFill>
          </w14:textFill>
        </w:rPr>
        <w:t>）；</w:t>
      </w:r>
    </w:p>
    <w:p w14:paraId="0082A707">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C</w:t>
      </w:r>
      <w:r>
        <w:rPr>
          <w:rFonts w:eastAsia="TimesNewRomanPSMT"/>
          <w:color w:val="000000" w:themeColor="text1"/>
          <w:sz w:val="16"/>
          <w:szCs w:val="16"/>
          <w14:textFill>
            <w14:solidFill>
              <w14:schemeClr w14:val="tx1"/>
            </w14:solidFill>
          </w14:textFill>
        </w:rPr>
        <w:t>0</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废水浓度（</w:t>
      </w:r>
      <w:r>
        <w:rPr>
          <w:rFonts w:eastAsia="TimesNewRomanPSMT"/>
          <w:color w:val="000000" w:themeColor="text1"/>
          <w14:textFill>
            <w14:solidFill>
              <w14:schemeClr w14:val="tx1"/>
            </w14:solidFill>
          </w14:textFill>
        </w:rPr>
        <w:t>mg/L</w:t>
      </w:r>
      <w:r>
        <w:rPr>
          <w:color w:val="000000" w:themeColor="text1"/>
          <w14:textFill>
            <w14:solidFill>
              <w14:schemeClr w14:val="tx1"/>
            </w14:solidFill>
          </w14:textFill>
        </w:rPr>
        <w:t>）；</w:t>
      </w:r>
    </w:p>
    <w:p w14:paraId="7365ADD8">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D</w:t>
      </w:r>
      <w:r>
        <w:rPr>
          <w:rFonts w:eastAsia="TimesNewRomanPSMT"/>
          <w:color w:val="000000" w:themeColor="text1"/>
          <w:sz w:val="16"/>
          <w:szCs w:val="16"/>
          <w14:textFill>
            <w14:solidFill>
              <w14:schemeClr w14:val="tx1"/>
            </w14:solidFill>
          </w14:textFill>
        </w:rPr>
        <w:t>L</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纵向弥散系数（平方米</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天）；</w:t>
      </w:r>
    </w:p>
    <w:p w14:paraId="1ECB1C1A">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t—</w:t>
      </w:r>
      <w:r>
        <w:rPr>
          <w:color w:val="000000" w:themeColor="text1"/>
          <w14:textFill>
            <w14:solidFill>
              <w14:schemeClr w14:val="tx1"/>
            </w14:solidFill>
          </w14:textFill>
        </w:rPr>
        <w:t>预测时段（</w:t>
      </w:r>
      <w:r>
        <w:rPr>
          <w:rFonts w:eastAsia="TimesNewRomanPSMT"/>
          <w:color w:val="000000" w:themeColor="text1"/>
          <w14:textFill>
            <w14:solidFill>
              <w14:schemeClr w14:val="tx1"/>
            </w14:solidFill>
          </w14:textFill>
        </w:rPr>
        <w:t>d</w:t>
      </w:r>
      <w:r>
        <w:rPr>
          <w:color w:val="000000" w:themeColor="text1"/>
          <w14:textFill>
            <w14:solidFill>
              <w14:schemeClr w14:val="tx1"/>
            </w14:solidFill>
          </w14:textFill>
        </w:rPr>
        <w:t>）；</w:t>
      </w:r>
    </w:p>
    <w:p w14:paraId="7101C2D2">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u—</w:t>
      </w:r>
      <w:r>
        <w:rPr>
          <w:color w:val="000000" w:themeColor="text1"/>
          <w14:textFill>
            <w14:solidFill>
              <w14:schemeClr w14:val="tx1"/>
            </w14:solidFill>
          </w14:textFill>
        </w:rPr>
        <w:t>地下水流速（</w:t>
      </w:r>
      <w:r>
        <w:rPr>
          <w:rFonts w:eastAsia="TimesNewRomanPSMT"/>
          <w:color w:val="000000" w:themeColor="text1"/>
          <w14:textFill>
            <w14:solidFill>
              <w14:schemeClr w14:val="tx1"/>
            </w14:solidFill>
          </w14:textFill>
        </w:rPr>
        <w:t>m/d</w:t>
      </w:r>
      <w:r>
        <w:rPr>
          <w:color w:val="000000" w:themeColor="text1"/>
          <w14:textFill>
            <w14:solidFill>
              <w14:schemeClr w14:val="tx1"/>
            </w14:solidFill>
          </w14:textFill>
        </w:rPr>
        <w:t>）；</w:t>
      </w:r>
    </w:p>
    <w:p w14:paraId="6B9BE706">
      <w:pPr>
        <w:pStyle w:val="1305"/>
        <w:ind w:firstLine="480"/>
        <w:rPr>
          <w:color w:val="000000" w:themeColor="text1"/>
          <w14:textFill>
            <w14:solidFill>
              <w14:schemeClr w14:val="tx1"/>
            </w14:solidFill>
          </w14:textFill>
        </w:rPr>
      </w:pPr>
      <w:r>
        <w:rPr>
          <w:rFonts w:eastAsia="TimesNewRomanPSMT"/>
          <w:color w:val="000000" w:themeColor="text1"/>
          <w14:textFill>
            <w14:solidFill>
              <w14:schemeClr w14:val="tx1"/>
            </w14:solidFill>
          </w14:textFill>
        </w:rPr>
        <w:t>erfc</w:t>
      </w: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w:t>
      </w:r>
      <w:r>
        <w:rPr>
          <w:color w:val="000000" w:themeColor="text1"/>
          <w14:textFill>
            <w14:solidFill>
              <w14:schemeClr w14:val="tx1"/>
            </w14:solidFill>
          </w14:textFill>
        </w:rPr>
        <w:t>余误差函数。</w:t>
      </w:r>
    </w:p>
    <w:p w14:paraId="56FAD162">
      <w:pPr>
        <w:pStyle w:val="1305"/>
        <w:ind w:firstLine="482"/>
        <w:rPr>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（3）</w:t>
      </w:r>
      <w:r>
        <w:rPr>
          <w:b/>
          <w:bCs/>
          <w:color w:val="000000" w:themeColor="text1"/>
          <w14:textFill>
            <w14:solidFill>
              <w14:schemeClr w14:val="tx1"/>
            </w14:solidFill>
          </w14:textFill>
        </w:rPr>
        <w:t>模型参数选取</w:t>
      </w:r>
    </w:p>
    <w:p w14:paraId="33D57D1D">
      <w:pPr>
        <w:ind w:firstLine="480"/>
        <w:rPr>
          <w:color w:val="000000" w:themeColor="text1"/>
          <w:lang w:bidi="zh-CN"/>
          <w14:textFill>
            <w14:solidFill>
              <w14:schemeClr w14:val="tx1"/>
            </w14:solidFill>
          </w14:textFill>
        </w:rPr>
      </w:pPr>
      <w:r>
        <w:rPr>
          <w:color w:val="000000" w:themeColor="text1"/>
          <w:lang w:val="zh-CN" w:bidi="zh-CN"/>
          <w14:textFill>
            <w14:solidFill>
              <w14:schemeClr w14:val="tx1"/>
            </w14:solidFill>
          </w14:textFill>
        </w:rPr>
        <w:t>本次评价水文地质参数主要</w:t>
      </w:r>
      <w:r>
        <w:rPr>
          <w:color w:val="000000" w:themeColor="text1"/>
          <w:lang w:bidi="zh-CN"/>
          <w14:textFill>
            <w14:solidFill>
              <w14:schemeClr w14:val="tx1"/>
            </w14:solidFill>
          </w14:textFill>
        </w:rPr>
        <w:t>来自《</w:t>
      </w:r>
      <w:r>
        <w:rPr>
          <w:color w:val="000000" w:themeColor="text1"/>
          <w14:textFill>
            <w14:solidFill>
              <w14:schemeClr w14:val="tx1"/>
            </w14:solidFill>
          </w14:textFill>
        </w:rPr>
        <w:t>乌鲁木齐甘泉堡经济技术开发区（工业区）化工园区总体规划（2023-2035）环境影响报告书</w:t>
      </w:r>
      <w:r>
        <w:rPr>
          <w:color w:val="000000" w:themeColor="text1"/>
          <w:lang w:bidi="zh-CN"/>
          <w14:textFill>
            <w14:solidFill>
              <w14:schemeClr w14:val="tx1"/>
            </w14:solidFill>
          </w14:textFill>
        </w:rPr>
        <w:t>》</w:t>
      </w:r>
      <w:r>
        <w:rPr>
          <w:color w:val="000000" w:themeColor="text1"/>
          <w:lang w:val="zh-CN" w:bidi="zh-CN"/>
          <w14:textFill>
            <w14:solidFill>
              <w14:schemeClr w14:val="tx1"/>
            </w14:solidFill>
          </w14:textFill>
        </w:rPr>
        <w:t>。模型中所需参数及来源见</w:t>
      </w:r>
      <w:r>
        <w:rPr>
          <w:rFonts w:hint="eastAsia"/>
          <w:color w:val="000000" w:themeColor="text1"/>
          <w:lang w:bidi="zh-CN"/>
          <w14:textFill>
            <w14:solidFill>
              <w14:schemeClr w14:val="tx1"/>
            </w14:solidFill>
          </w14:textFill>
        </w:rPr>
        <w:t>下表</w:t>
      </w:r>
      <w:r>
        <w:rPr>
          <w:color w:val="000000" w:themeColor="text1"/>
          <w:lang w:val="zh-CN" w:bidi="zh-CN"/>
          <w14:textFill>
            <w14:solidFill>
              <w14:schemeClr w14:val="tx1"/>
            </w14:solidFill>
          </w14:textFill>
        </w:rPr>
        <w:t>。</w:t>
      </w:r>
    </w:p>
    <w:p w14:paraId="202DA2B8">
      <w:pPr>
        <w:pStyle w:val="117"/>
        <w:rPr>
          <w:rFonts w:ascii="Times New Roman" w:hAnsi="Times New Roman" w:cs="Times New Roman"/>
          <w:color w:val="000000" w:themeColor="text1"/>
          <w:lang w:bidi="ar"/>
          <w14:textFill>
            <w14:solidFill>
              <w14:schemeClr w14:val="tx1"/>
            </w14:solidFill>
          </w14:textFill>
        </w:rPr>
      </w:pPr>
      <w:r>
        <w:rPr>
          <w:rFonts w:ascii="Times New Roman" w:hAnsi="Times New Roman" w:cs="Times New Roman"/>
          <w:color w:val="000000" w:themeColor="text1"/>
          <w:lang w:bidi="ar"/>
          <w14:textFill>
            <w14:solidFill>
              <w14:schemeClr w14:val="tx1"/>
            </w14:solidFill>
          </w14:textFill>
        </w:rPr>
        <w:t>水质预测模型所需参数一览表</w:t>
      </w:r>
    </w:p>
    <w:tbl>
      <w:tblPr>
        <w:tblStyle w:val="76"/>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1440"/>
        <w:gridCol w:w="1977"/>
        <w:gridCol w:w="3025"/>
        <w:gridCol w:w="3080"/>
      </w:tblGrid>
      <w:tr w14:paraId="5814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756" w:type="pct"/>
            <w:vMerge w:val="restart"/>
            <w:vAlign w:val="center"/>
          </w:tcPr>
          <w:p w14:paraId="11C836E0">
            <w:pPr>
              <w:pStyle w:val="109"/>
              <w:rPr>
                <w:color w:val="000000" w:themeColor="text1"/>
                <w:lang w:bidi="zh-CN"/>
                <w14:textFill>
                  <w14:solidFill>
                    <w14:schemeClr w14:val="tx1"/>
                  </w14:solidFill>
                </w14:textFill>
              </w:rPr>
            </w:pPr>
            <w:r>
              <w:rPr>
                <w:color w:val="000000" w:themeColor="text1"/>
                <w:lang w:val="zh-CN" w:bidi="zh-CN"/>
                <w14:textFill>
                  <w14:solidFill>
                    <w14:schemeClr w14:val="tx1"/>
                  </w14:solidFill>
                </w14:textFill>
              </w:rPr>
              <w:t>参数名称</w:t>
            </w:r>
          </w:p>
        </w:tc>
        <w:tc>
          <w:tcPr>
            <w:tcW w:w="1038" w:type="pct"/>
            <w:vAlign w:val="center"/>
          </w:tcPr>
          <w:p w14:paraId="48EDF489">
            <w:pPr>
              <w:pStyle w:val="109"/>
              <w:rPr>
                <w:color w:val="000000" w:themeColor="text1"/>
                <w:lang w:bidi="zh-CN"/>
                <w14:textFill>
                  <w14:solidFill>
                    <w14:schemeClr w14:val="tx1"/>
                  </w14:solidFill>
                </w14:textFill>
              </w:rPr>
            </w:pPr>
            <w:r>
              <w:rPr>
                <w:color w:val="000000" w:themeColor="text1"/>
                <w:lang w:val="zh-CN" w:bidi="zh-CN"/>
                <w14:textFill>
                  <w14:solidFill>
                    <w14:schemeClr w14:val="tx1"/>
                  </w14:solidFill>
                </w14:textFill>
              </w:rPr>
              <w:t>地下水流速（</w:t>
            </w:r>
            <w:r>
              <w:rPr>
                <w:color w:val="000000" w:themeColor="text1"/>
                <w:lang w:bidi="zh-CN"/>
                <w14:textFill>
                  <w14:solidFill>
                    <w14:schemeClr w14:val="tx1"/>
                  </w14:solidFill>
                </w14:textFill>
              </w:rPr>
              <w:t>u）</w:t>
            </w:r>
          </w:p>
        </w:tc>
        <w:tc>
          <w:tcPr>
            <w:tcW w:w="1588" w:type="pct"/>
            <w:vAlign w:val="center"/>
          </w:tcPr>
          <w:p w14:paraId="6BCAF858">
            <w:pPr>
              <w:pStyle w:val="109"/>
              <w:rPr>
                <w:color w:val="000000" w:themeColor="text1"/>
                <w:lang w:bidi="zh-CN"/>
                <w14:textFill>
                  <w14:solidFill>
                    <w14:schemeClr w14:val="tx1"/>
                  </w14:solidFill>
                </w14:textFill>
              </w:rPr>
            </w:pPr>
            <w:r>
              <w:rPr>
                <w:color w:val="000000" w:themeColor="text1"/>
                <w:lang w:val="zh-CN" w:bidi="zh-CN"/>
                <w14:textFill>
                  <w14:solidFill>
                    <w14:schemeClr w14:val="tx1"/>
                  </w14:solidFill>
                </w14:textFill>
              </w:rPr>
              <w:t>有效孔隙度（</w:t>
            </w:r>
            <w:r>
              <w:rPr>
                <w:color w:val="000000" w:themeColor="text1"/>
                <w:lang w:bidi="zh-CN"/>
                <w14:textFill>
                  <w14:solidFill>
                    <w14:schemeClr w14:val="tx1"/>
                  </w14:solidFill>
                </w14:textFill>
              </w:rPr>
              <w:t>ne）</w:t>
            </w:r>
          </w:p>
        </w:tc>
        <w:tc>
          <w:tcPr>
            <w:tcW w:w="1617" w:type="pct"/>
            <w:vAlign w:val="center"/>
          </w:tcPr>
          <w:p w14:paraId="64A63A3C">
            <w:pPr>
              <w:pStyle w:val="109"/>
              <w:rPr>
                <w:color w:val="000000" w:themeColor="text1"/>
                <w:lang w:bidi="zh-CN"/>
                <w14:textFill>
                  <w14:solidFill>
                    <w14:schemeClr w14:val="tx1"/>
                  </w14:solidFill>
                </w14:textFill>
              </w:rPr>
            </w:pPr>
            <w:r>
              <w:rPr>
                <w:color w:val="000000" w:themeColor="text1"/>
                <w:lang w:val="zh-CN" w:bidi="zh-CN"/>
                <w14:textFill>
                  <w14:solidFill>
                    <w14:schemeClr w14:val="tx1"/>
                  </w14:solidFill>
                </w14:textFill>
              </w:rPr>
              <w:t>弥散系数（</w:t>
            </w:r>
            <w:r>
              <w:rPr>
                <w:color w:val="000000" w:themeColor="text1"/>
                <w:lang w:bidi="zh-CN"/>
                <w14:textFill>
                  <w14:solidFill>
                    <w14:schemeClr w14:val="tx1"/>
                  </w14:solidFill>
                </w14:textFill>
              </w:rPr>
              <w:t>DL）</w:t>
            </w:r>
          </w:p>
        </w:tc>
      </w:tr>
      <w:tr w14:paraId="04E2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756" w:type="pct"/>
            <w:vMerge w:val="continue"/>
            <w:vAlign w:val="center"/>
          </w:tcPr>
          <w:p w14:paraId="3559A3A1">
            <w:pPr>
              <w:pStyle w:val="109"/>
              <w:rPr>
                <w:color w:val="000000" w:themeColor="text1"/>
                <w:lang w:bidi="zh-CN"/>
                <w14:textFill>
                  <w14:solidFill>
                    <w14:schemeClr w14:val="tx1"/>
                  </w14:solidFill>
                </w14:textFill>
              </w:rPr>
            </w:pPr>
          </w:p>
        </w:tc>
        <w:tc>
          <w:tcPr>
            <w:tcW w:w="1038" w:type="pct"/>
            <w:vAlign w:val="center"/>
          </w:tcPr>
          <w:p w14:paraId="4AE728A3">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m/d</w:t>
            </w:r>
          </w:p>
        </w:tc>
        <w:tc>
          <w:tcPr>
            <w:tcW w:w="1588" w:type="pct"/>
            <w:vAlign w:val="center"/>
          </w:tcPr>
          <w:p w14:paraId="210EC431">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w:t>
            </w:r>
          </w:p>
        </w:tc>
        <w:tc>
          <w:tcPr>
            <w:tcW w:w="1617" w:type="pct"/>
            <w:vAlign w:val="center"/>
          </w:tcPr>
          <w:p w14:paraId="4E895082">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m</w:t>
            </w:r>
            <w:r>
              <w:rPr>
                <w:color w:val="000000" w:themeColor="text1"/>
                <w:vertAlign w:val="superscript"/>
                <w:lang w:bidi="zh-CN"/>
                <w14:textFill>
                  <w14:solidFill>
                    <w14:schemeClr w14:val="tx1"/>
                  </w14:solidFill>
                </w14:textFill>
              </w:rPr>
              <w:t>2</w:t>
            </w:r>
            <w:r>
              <w:rPr>
                <w:color w:val="000000" w:themeColor="text1"/>
                <w:lang w:bidi="zh-CN"/>
                <w14:textFill>
                  <w14:solidFill>
                    <w14:schemeClr w14:val="tx1"/>
                  </w14:solidFill>
                </w14:textFill>
              </w:rPr>
              <w:t>/d</w:t>
            </w:r>
          </w:p>
        </w:tc>
      </w:tr>
      <w:tr w14:paraId="3FB8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756" w:type="pct"/>
            <w:vAlign w:val="center"/>
          </w:tcPr>
          <w:p w14:paraId="7F8AC978">
            <w:pPr>
              <w:pStyle w:val="109"/>
              <w:rPr>
                <w:color w:val="000000" w:themeColor="text1"/>
                <w:lang w:bidi="zh-CN"/>
                <w14:textFill>
                  <w14:solidFill>
                    <w14:schemeClr w14:val="tx1"/>
                  </w14:solidFill>
                </w14:textFill>
              </w:rPr>
            </w:pPr>
            <w:r>
              <w:rPr>
                <w:color w:val="000000" w:themeColor="text1"/>
                <w:lang w:val="zh-CN" w:bidi="zh-CN"/>
                <w14:textFill>
                  <w14:solidFill>
                    <w14:schemeClr w14:val="tx1"/>
                  </w14:solidFill>
                </w14:textFill>
              </w:rPr>
              <w:t>数值</w:t>
            </w:r>
          </w:p>
        </w:tc>
        <w:tc>
          <w:tcPr>
            <w:tcW w:w="1038" w:type="pct"/>
            <w:vAlign w:val="center"/>
          </w:tcPr>
          <w:p w14:paraId="0A5FFEA0">
            <w:pPr>
              <w:pStyle w:val="109"/>
              <w:rPr>
                <w:color w:val="000000" w:themeColor="text1"/>
                <w:lang w:bidi="zh-CN"/>
                <w14:textFill>
                  <w14:solidFill>
                    <w14:schemeClr w14:val="tx1"/>
                  </w14:solidFill>
                </w14:textFill>
              </w:rPr>
            </w:pPr>
            <w:r>
              <w:rPr>
                <w:rFonts w:eastAsia="Times New Roman"/>
                <w:color w:val="000000" w:themeColor="text1"/>
                <w:spacing w:val="-1"/>
                <w:szCs w:val="21"/>
                <w:lang w:val="zh-CN" w:bidi="zh-CN"/>
                <w14:textFill>
                  <w14:solidFill>
                    <w14:schemeClr w14:val="tx1"/>
                  </w14:solidFill>
                </w14:textFill>
              </w:rPr>
              <w:t>0.005</w:t>
            </w:r>
          </w:p>
        </w:tc>
        <w:tc>
          <w:tcPr>
            <w:tcW w:w="1588" w:type="pct"/>
            <w:vAlign w:val="center"/>
          </w:tcPr>
          <w:p w14:paraId="1FB807AF">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32</w:t>
            </w:r>
          </w:p>
        </w:tc>
        <w:tc>
          <w:tcPr>
            <w:tcW w:w="1617" w:type="pct"/>
            <w:vAlign w:val="center"/>
          </w:tcPr>
          <w:p w14:paraId="720B89F5">
            <w:pPr>
              <w:pStyle w:val="109"/>
              <w:rPr>
                <w:color w:val="000000" w:themeColor="text1"/>
                <w:lang w:bidi="zh-CN"/>
                <w14:textFill>
                  <w14:solidFill>
                    <w14:schemeClr w14:val="tx1"/>
                  </w14:solidFill>
                </w14:textFill>
              </w:rPr>
            </w:pPr>
            <w:r>
              <w:rPr>
                <w:rFonts w:eastAsia="Times New Roman"/>
                <w:color w:val="000000" w:themeColor="text1"/>
                <w:spacing w:val="-1"/>
                <w:szCs w:val="21"/>
                <w:lang w:val="zh-CN" w:bidi="zh-CN"/>
                <w14:textFill>
                  <w14:solidFill>
                    <w14:schemeClr w14:val="tx1"/>
                  </w14:solidFill>
                </w14:textFill>
              </w:rPr>
              <w:t>0.05</w:t>
            </w:r>
          </w:p>
        </w:tc>
      </w:tr>
      <w:tr w14:paraId="4A3D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756" w:type="pct"/>
            <w:vAlign w:val="center"/>
          </w:tcPr>
          <w:p w14:paraId="1EE74407">
            <w:pPr>
              <w:pStyle w:val="109"/>
              <w:rPr>
                <w:color w:val="000000" w:themeColor="text1"/>
                <w:lang w:bidi="zh-CN"/>
                <w14:textFill>
                  <w14:solidFill>
                    <w14:schemeClr w14:val="tx1"/>
                  </w14:solidFill>
                </w14:textFill>
              </w:rPr>
            </w:pPr>
            <w:r>
              <w:rPr>
                <w:color w:val="000000" w:themeColor="text1"/>
                <w:lang w:bidi="zh-CN"/>
                <w14:textFill>
                  <w14:solidFill>
                    <w14:schemeClr w14:val="tx1"/>
                  </w14:solidFill>
                </w14:textFill>
              </w:rPr>
              <w:t>来源</w:t>
            </w:r>
          </w:p>
        </w:tc>
        <w:tc>
          <w:tcPr>
            <w:tcW w:w="1038" w:type="pct"/>
            <w:vAlign w:val="center"/>
          </w:tcPr>
          <w:p w14:paraId="29297C30">
            <w:pPr>
              <w:pStyle w:val="109"/>
              <w:rPr>
                <w:rFonts w:eastAsia="Times New Roman"/>
                <w:color w:val="000000" w:themeColor="text1"/>
                <w:spacing w:val="-1"/>
                <w:szCs w:val="21"/>
                <w:lang w:val="zh-CN" w:bidi="zh-CN"/>
                <w14:textFill>
                  <w14:solidFill>
                    <w14:schemeClr w14:val="tx1"/>
                  </w14:solidFill>
                </w14:textFill>
              </w:rPr>
            </w:pPr>
            <w:r>
              <w:rPr>
                <w:color w:val="000000" w:themeColor="text1"/>
                <w:spacing w:val="-1"/>
                <w:szCs w:val="21"/>
                <w:lang w:val="zh-CN"/>
                <w14:textFill>
                  <w14:solidFill>
                    <w14:schemeClr w14:val="tx1"/>
                  </w14:solidFill>
                </w14:textFill>
              </w:rPr>
              <w:t>地下水的平均实际流速</w:t>
            </w:r>
            <w:r>
              <w:rPr>
                <w:rFonts w:eastAsia="Times New Roman"/>
                <w:color w:val="000000" w:themeColor="text1"/>
                <w:spacing w:val="-1"/>
                <w:szCs w:val="21"/>
                <w:lang w:val="zh-CN"/>
                <w14:textFill>
                  <w14:solidFill>
                    <w14:schemeClr w14:val="tx1"/>
                  </w14:solidFill>
                </w14:textFill>
              </w:rPr>
              <w:t>u=KI/n</w:t>
            </w:r>
            <w:r>
              <w:rPr>
                <w:color w:val="000000" w:themeColor="text1"/>
                <w:spacing w:val="-1"/>
                <w:szCs w:val="21"/>
                <w:lang w:val="zh-CN"/>
                <w14:textFill>
                  <w14:solidFill>
                    <w14:schemeClr w14:val="tx1"/>
                  </w14:solidFill>
                </w14:textFill>
              </w:rPr>
              <w:t>，区域整体水力坡度约</w:t>
            </w:r>
            <w:r>
              <w:rPr>
                <w:rFonts w:eastAsia="Times New Roman"/>
                <w:color w:val="000000" w:themeColor="text1"/>
                <w:spacing w:val="-1"/>
                <w:szCs w:val="21"/>
                <w:lang w:val="zh-CN"/>
                <w14:textFill>
                  <w14:solidFill>
                    <w14:schemeClr w14:val="tx1"/>
                  </w14:solidFill>
                </w14:textFill>
              </w:rPr>
              <w:t>3.2‰</w:t>
            </w:r>
            <w:r>
              <w:rPr>
                <w:color w:val="000000" w:themeColor="text1"/>
                <w:spacing w:val="-1"/>
                <w:szCs w:val="21"/>
                <w:lang w:val="zh-CN"/>
                <w14:textFill>
                  <w14:solidFill>
                    <w14:schemeClr w14:val="tx1"/>
                  </w14:solidFill>
                </w14:textFill>
              </w:rPr>
              <w:t>。</w:t>
            </w:r>
          </w:p>
        </w:tc>
        <w:tc>
          <w:tcPr>
            <w:tcW w:w="1588" w:type="pct"/>
            <w:vAlign w:val="center"/>
          </w:tcPr>
          <w:p w14:paraId="378E0764">
            <w:pPr>
              <w:pStyle w:val="109"/>
              <w:rPr>
                <w:color w:val="000000" w:themeColor="text1"/>
                <w:lang w:bidi="zh-CN"/>
                <w14:textFill>
                  <w14:solidFill>
                    <w14:schemeClr w14:val="tx1"/>
                  </w14:solidFill>
                </w14:textFill>
              </w:rPr>
            </w:pPr>
            <w:r>
              <w:rPr>
                <w:color w:val="000000" w:themeColor="text1"/>
                <w14:textFill>
                  <w14:solidFill>
                    <w14:schemeClr w14:val="tx1"/>
                  </w14:solidFill>
                </w14:textFill>
              </w:rPr>
              <w:t>根据依据《水文地质手册》（中国地质调查局）中表2-3-2及区内已有勘察资料，粉细砂含水层密实程度为中密，可取孔隙度为0.4，而根据以往生产中经验，有效孔隙度一般比孔隙度小10%～20%，因此本次取有效孔隙度n=0.4×0.8=0.32。</w:t>
            </w:r>
          </w:p>
        </w:tc>
        <w:tc>
          <w:tcPr>
            <w:tcW w:w="1617" w:type="pct"/>
            <w:vAlign w:val="center"/>
          </w:tcPr>
          <w:p w14:paraId="5EBE6BE1">
            <w:pPr>
              <w:pStyle w:val="109"/>
              <w:rPr>
                <w:rFonts w:eastAsia="Times New Roman"/>
                <w:color w:val="000000" w:themeColor="text1"/>
                <w:spacing w:val="-1"/>
                <w:szCs w:val="21"/>
                <w:lang w:val="zh-CN" w:bidi="zh-CN"/>
                <w14:textFill>
                  <w14:solidFill>
                    <w14:schemeClr w14:val="tx1"/>
                  </w14:solidFill>
                </w14:textFill>
              </w:rPr>
            </w:pPr>
            <w:r>
              <w:rPr>
                <w:color w:val="000000" w:themeColor="text1"/>
                <w14:textFill>
                  <w14:solidFill>
                    <w14:schemeClr w14:val="tx1"/>
                  </w14:solidFill>
                </w14:textFill>
              </w:rPr>
              <w:t>参考前人的研究成果《空隙介质水动力弥散尺度效应的分形特征及弥散度初步估计》（李国敏、陈崇希）中孔隙介质数值模型的lgαL—lgL，结合项目区水文地质条件，弥散度应介于1～10之间，按照最不利的评价原则，本次模拟取弥散度参数值取10。</w:t>
            </w:r>
          </w:p>
        </w:tc>
      </w:tr>
      <w:bookmarkEnd w:id="440"/>
    </w:tbl>
    <w:p w14:paraId="55CD0F30">
      <w:pPr>
        <w:keepNext/>
        <w:keepLines/>
        <w:ind w:firstLine="482"/>
        <w:jc w:val="both"/>
        <w:rPr>
          <w:b/>
          <w:bCs/>
          <w:iCs/>
          <w:color w:val="000000" w:themeColor="text1"/>
          <w:lang w:val="zh-CN" w:bidi="zh-CN"/>
          <w14:textFill>
            <w14:solidFill>
              <w14:schemeClr w14:val="tx1"/>
            </w14:solidFill>
          </w14:textFill>
        </w:rPr>
      </w:pPr>
      <w:bookmarkStart w:id="443" w:name="_Toc534968695"/>
      <w:r>
        <w:rPr>
          <w:b/>
          <w:bCs/>
          <w:iCs/>
          <w:color w:val="000000" w:themeColor="text1"/>
          <w:lang w:bidi="zh-CN"/>
          <w14:textFill>
            <w14:solidFill>
              <w14:schemeClr w14:val="tx1"/>
            </w14:solidFill>
          </w14:textFill>
        </w:rPr>
        <w:t>6、</w:t>
      </w:r>
      <w:r>
        <w:rPr>
          <w:b/>
          <w:bCs/>
          <w:iCs/>
          <w:color w:val="000000" w:themeColor="text1"/>
          <w:lang w:val="zh-CN" w:bidi="zh-CN"/>
          <w14:textFill>
            <w14:solidFill>
              <w14:schemeClr w14:val="tx1"/>
            </w14:solidFill>
          </w14:textFill>
        </w:rPr>
        <w:t>地下水污染影响评价</w:t>
      </w:r>
      <w:bookmarkEnd w:id="443"/>
    </w:p>
    <w:p w14:paraId="36CC9967">
      <w:pPr>
        <w:ind w:firstLine="480"/>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本次工作通过运用</w:t>
      </w:r>
      <w:r>
        <w:rPr>
          <w:color w:val="000000" w:themeColor="text1"/>
          <w:lang w:bidi="zh-CN"/>
          <w14:textFill>
            <w14:solidFill>
              <w14:schemeClr w14:val="tx1"/>
            </w14:solidFill>
          </w14:textFill>
        </w:rPr>
        <w:t>解析法</w:t>
      </w:r>
      <w:r>
        <w:rPr>
          <w:color w:val="000000" w:themeColor="text1"/>
          <w:lang w:val="zh-CN" w:bidi="zh-CN"/>
          <w14:textFill>
            <w14:solidFill>
              <w14:schemeClr w14:val="tx1"/>
            </w14:solidFill>
          </w14:textFill>
        </w:rPr>
        <w:t>对污染物100d、1000d、10年、20年等不同时间节点运移情况进行预测，预测结果如下。</w:t>
      </w:r>
    </w:p>
    <w:p w14:paraId="2E61CB68">
      <w:pPr>
        <w:pStyle w:val="5"/>
        <w:rPr>
          <w:rFonts w:hint="eastAsia"/>
          <w:color w:val="000000" w:themeColor="text1"/>
          <w14:textFill>
            <w14:solidFill>
              <w14:schemeClr w14:val="tx1"/>
            </w14:solidFill>
          </w14:textFill>
        </w:rPr>
      </w:pPr>
      <w:bookmarkStart w:id="444" w:name="_Hlk88570980"/>
      <w:r>
        <w:rPr>
          <w:color w:val="000000" w:themeColor="text1"/>
          <w14:textFill>
            <w14:solidFill>
              <w14:schemeClr w14:val="tx1"/>
            </w14:solidFill>
          </w14:textFill>
        </w:rPr>
        <w:t>瞬时泄漏情景计算结果</w:t>
      </w:r>
    </w:p>
    <w:p w14:paraId="78C5240D">
      <w:pPr>
        <w:ind w:firstLine="480"/>
        <w:rPr>
          <w:color w:val="000000" w:themeColor="text1"/>
          <w14:textFill>
            <w14:solidFill>
              <w14:schemeClr w14:val="tx1"/>
            </w14:solidFill>
          </w14:textFill>
        </w:rPr>
      </w:pPr>
      <w:r>
        <w:rPr>
          <w:color w:val="000000" w:themeColor="text1"/>
          <w14:textFill>
            <w14:solidFill>
              <w14:schemeClr w14:val="tx1"/>
            </w14:solidFill>
          </w14:textFill>
        </w:rPr>
        <w:t>瞬时泄漏为突发短期污染，污染物快速扩散后逐步衰减，各时段计算数据如下表所示</w:t>
      </w:r>
      <w:r>
        <w:rPr>
          <w:rFonts w:hint="eastAsia"/>
          <w:color w:val="000000" w:themeColor="text1"/>
          <w14:textFill>
            <w14:solidFill>
              <w14:schemeClr w14:val="tx1"/>
            </w14:solidFill>
          </w14:textFill>
        </w:rPr>
        <w:t>。</w:t>
      </w:r>
    </w:p>
    <w:p w14:paraId="41D6864A">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不同时段瞬时泄露情景计算结果</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88"/>
        <w:gridCol w:w="992"/>
        <w:gridCol w:w="1380"/>
        <w:gridCol w:w="1597"/>
        <w:gridCol w:w="1842"/>
        <w:gridCol w:w="2268"/>
      </w:tblGrid>
      <w:tr w14:paraId="52C4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3E050DAB">
            <w:pPr>
              <w:pStyle w:val="109"/>
              <w:rPr>
                <w:color w:val="000000" w:themeColor="text1"/>
                <w14:textFill>
                  <w14:solidFill>
                    <w14:schemeClr w14:val="tx1"/>
                  </w14:solidFill>
                </w14:textFill>
              </w:rPr>
            </w:pPr>
            <w:r>
              <w:rPr>
                <w:color w:val="000000" w:themeColor="text1"/>
                <w14:textFill>
                  <w14:solidFill>
                    <w14:schemeClr w14:val="tx1"/>
                  </w14:solidFill>
                </w14:textFill>
              </w:rPr>
              <w:t>预测时段</w:t>
            </w:r>
          </w:p>
        </w:tc>
        <w:tc>
          <w:tcPr>
            <w:tcW w:w="992" w:type="dxa"/>
            <w:tcMar>
              <w:top w:w="60" w:type="dxa"/>
              <w:left w:w="120" w:type="dxa"/>
              <w:bottom w:w="30" w:type="dxa"/>
              <w:right w:w="120" w:type="dxa"/>
            </w:tcMar>
            <w:vAlign w:val="center"/>
          </w:tcPr>
          <w:p w14:paraId="62EA3834">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380" w:type="dxa"/>
            <w:tcMar>
              <w:top w:w="60" w:type="dxa"/>
              <w:left w:w="120" w:type="dxa"/>
              <w:bottom w:w="30" w:type="dxa"/>
              <w:right w:w="120" w:type="dxa"/>
            </w:tcMar>
            <w:vAlign w:val="center"/>
          </w:tcPr>
          <w:p w14:paraId="4E7B0FFC">
            <w:pPr>
              <w:pStyle w:val="109"/>
              <w:rPr>
                <w:color w:val="000000" w:themeColor="text1"/>
                <w14:textFill>
                  <w14:solidFill>
                    <w14:schemeClr w14:val="tx1"/>
                  </w14:solidFill>
                </w14:textFill>
              </w:rPr>
            </w:pPr>
            <w:r>
              <w:rPr>
                <w:color w:val="000000" w:themeColor="text1"/>
                <w14:textFill>
                  <w14:solidFill>
                    <w14:schemeClr w14:val="tx1"/>
                  </w14:solidFill>
                </w14:textFill>
              </w:rPr>
              <w:t>评价标准（mg/L）</w:t>
            </w:r>
          </w:p>
        </w:tc>
        <w:tc>
          <w:tcPr>
            <w:tcW w:w="1597" w:type="dxa"/>
            <w:tcMar>
              <w:top w:w="60" w:type="dxa"/>
              <w:left w:w="120" w:type="dxa"/>
              <w:bottom w:w="30" w:type="dxa"/>
              <w:right w:w="120" w:type="dxa"/>
            </w:tcMar>
            <w:vAlign w:val="center"/>
          </w:tcPr>
          <w:p w14:paraId="6221225E">
            <w:pPr>
              <w:pStyle w:val="109"/>
              <w:rPr>
                <w:color w:val="000000" w:themeColor="text1"/>
                <w14:textFill>
                  <w14:solidFill>
                    <w14:schemeClr w14:val="tx1"/>
                  </w14:solidFill>
                </w14:textFill>
              </w:rPr>
            </w:pPr>
            <w:r>
              <w:rPr>
                <w:color w:val="000000" w:themeColor="text1"/>
                <w14:textFill>
                  <w14:solidFill>
                    <w14:schemeClr w14:val="tx1"/>
                  </w14:solidFill>
                </w14:textFill>
              </w:rPr>
              <w:t>超标范围（以泄漏点为中心，m）</w:t>
            </w:r>
          </w:p>
        </w:tc>
        <w:tc>
          <w:tcPr>
            <w:tcW w:w="1842" w:type="dxa"/>
            <w:tcMar>
              <w:top w:w="60" w:type="dxa"/>
              <w:left w:w="120" w:type="dxa"/>
              <w:bottom w:w="30" w:type="dxa"/>
              <w:right w:w="120" w:type="dxa"/>
            </w:tcMar>
            <w:vAlign w:val="center"/>
          </w:tcPr>
          <w:p w14:paraId="2C30589A">
            <w:pPr>
              <w:pStyle w:val="109"/>
              <w:rPr>
                <w:color w:val="000000" w:themeColor="text1"/>
                <w14:textFill>
                  <w14:solidFill>
                    <w14:schemeClr w14:val="tx1"/>
                  </w14:solidFill>
                </w14:textFill>
              </w:rPr>
            </w:pPr>
            <w:r>
              <w:rPr>
                <w:color w:val="000000" w:themeColor="text1"/>
                <w14:textFill>
                  <w14:solidFill>
                    <w14:schemeClr w14:val="tx1"/>
                  </w14:solidFill>
                </w14:textFill>
              </w:rPr>
              <w:t>影响范围（以泄漏点为中心，m）</w:t>
            </w:r>
          </w:p>
        </w:tc>
        <w:tc>
          <w:tcPr>
            <w:tcW w:w="2268" w:type="dxa"/>
            <w:tcMar>
              <w:top w:w="60" w:type="dxa"/>
              <w:left w:w="120" w:type="dxa"/>
              <w:bottom w:w="30" w:type="dxa"/>
              <w:right w:w="120" w:type="dxa"/>
            </w:tcMar>
            <w:vAlign w:val="center"/>
          </w:tcPr>
          <w:p w14:paraId="55C3C75D">
            <w:pPr>
              <w:pStyle w:val="109"/>
              <w:rPr>
                <w:color w:val="000000" w:themeColor="text1"/>
                <w14:textFill>
                  <w14:solidFill>
                    <w14:schemeClr w14:val="tx1"/>
                  </w14:solidFill>
                </w14:textFill>
              </w:rPr>
            </w:pPr>
            <w:r>
              <w:rPr>
                <w:color w:val="000000" w:themeColor="text1"/>
                <w14:textFill>
                  <w14:solidFill>
                    <w14:schemeClr w14:val="tx1"/>
                  </w14:solidFill>
                </w14:textFill>
              </w:rPr>
              <w:t>核心浓度特征（mg/L）</w:t>
            </w:r>
          </w:p>
        </w:tc>
      </w:tr>
      <w:tr w14:paraId="3EAC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restart"/>
            <w:tcMar>
              <w:top w:w="60" w:type="dxa"/>
              <w:left w:w="120" w:type="dxa"/>
              <w:bottom w:w="30" w:type="dxa"/>
              <w:right w:w="120" w:type="dxa"/>
            </w:tcMar>
            <w:vAlign w:val="center"/>
          </w:tcPr>
          <w:p w14:paraId="47946D15">
            <w:pPr>
              <w:pStyle w:val="109"/>
              <w:rPr>
                <w:color w:val="000000" w:themeColor="text1"/>
                <w14:textFill>
                  <w14:solidFill>
                    <w14:schemeClr w14:val="tx1"/>
                  </w14:solidFill>
                </w14:textFill>
              </w:rPr>
            </w:pPr>
            <w:r>
              <w:rPr>
                <w:color w:val="000000" w:themeColor="text1"/>
                <w14:textFill>
                  <w14:solidFill>
                    <w14:schemeClr w14:val="tx1"/>
                  </w14:solidFill>
                </w14:textFill>
              </w:rPr>
              <w:t>100d</w:t>
            </w:r>
          </w:p>
        </w:tc>
        <w:tc>
          <w:tcPr>
            <w:tcW w:w="992" w:type="dxa"/>
            <w:tcMar>
              <w:top w:w="60" w:type="dxa"/>
              <w:left w:w="120" w:type="dxa"/>
              <w:bottom w:w="30" w:type="dxa"/>
              <w:right w:w="120" w:type="dxa"/>
            </w:tcMar>
            <w:vAlign w:val="center"/>
          </w:tcPr>
          <w:p w14:paraId="24298E34">
            <w:pPr>
              <w:pStyle w:val="109"/>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1380" w:type="dxa"/>
            <w:tcMar>
              <w:top w:w="60" w:type="dxa"/>
              <w:left w:w="120" w:type="dxa"/>
              <w:bottom w:w="30" w:type="dxa"/>
              <w:right w:w="120" w:type="dxa"/>
            </w:tcMar>
            <w:vAlign w:val="center"/>
          </w:tcPr>
          <w:p w14:paraId="694136FB">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597" w:type="dxa"/>
            <w:tcMar>
              <w:top w:w="60" w:type="dxa"/>
              <w:left w:w="120" w:type="dxa"/>
              <w:bottom w:w="30" w:type="dxa"/>
              <w:right w:w="120" w:type="dxa"/>
            </w:tcMar>
            <w:vAlign w:val="center"/>
          </w:tcPr>
          <w:p w14:paraId="05E73013">
            <w:pPr>
              <w:pStyle w:val="109"/>
              <w:rPr>
                <w:color w:val="000000" w:themeColor="text1"/>
                <w14:textFill>
                  <w14:solidFill>
                    <w14:schemeClr w14:val="tx1"/>
                  </w14:solidFill>
                </w14:textFill>
              </w:rPr>
            </w:pPr>
            <w:r>
              <w:rPr>
                <w:color w:val="000000" w:themeColor="text1"/>
                <w14:textFill>
                  <w14:solidFill>
                    <w14:schemeClr w14:val="tx1"/>
                  </w14:solidFill>
                </w14:textFill>
              </w:rPr>
              <w:t>半径28m（圆形范围，面积约2463m²）</w:t>
            </w:r>
          </w:p>
        </w:tc>
        <w:tc>
          <w:tcPr>
            <w:tcW w:w="1842" w:type="dxa"/>
            <w:tcMar>
              <w:top w:w="60" w:type="dxa"/>
              <w:left w:w="120" w:type="dxa"/>
              <w:bottom w:w="30" w:type="dxa"/>
              <w:right w:w="120" w:type="dxa"/>
            </w:tcMar>
            <w:vAlign w:val="center"/>
          </w:tcPr>
          <w:p w14:paraId="112C0A2B">
            <w:pPr>
              <w:pStyle w:val="109"/>
              <w:rPr>
                <w:color w:val="000000" w:themeColor="text1"/>
                <w14:textFill>
                  <w14:solidFill>
                    <w14:schemeClr w14:val="tx1"/>
                  </w14:solidFill>
                </w14:textFill>
              </w:rPr>
            </w:pPr>
            <w:r>
              <w:rPr>
                <w:color w:val="000000" w:themeColor="text1"/>
                <w14:textFill>
                  <w14:solidFill>
                    <w14:schemeClr w14:val="tx1"/>
                  </w14:solidFill>
                </w14:textFill>
              </w:rPr>
              <w:t>半径65m（圆形范围，面积约13273m²）</w:t>
            </w:r>
          </w:p>
        </w:tc>
        <w:tc>
          <w:tcPr>
            <w:tcW w:w="2268" w:type="dxa"/>
            <w:tcMar>
              <w:top w:w="60" w:type="dxa"/>
              <w:left w:w="120" w:type="dxa"/>
              <w:bottom w:w="30" w:type="dxa"/>
              <w:right w:w="120" w:type="dxa"/>
            </w:tcMar>
            <w:vAlign w:val="center"/>
          </w:tcPr>
          <w:p w14:paraId="618ECF1D">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泄漏点核心浓度42.3，超标13.1倍；超标范围边缘浓度3.1</w:t>
            </w:r>
          </w:p>
        </w:tc>
      </w:tr>
      <w:tr w14:paraId="384B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continue"/>
            <w:tcMar>
              <w:top w:w="60" w:type="dxa"/>
              <w:left w:w="120" w:type="dxa"/>
              <w:bottom w:w="30" w:type="dxa"/>
              <w:right w:w="120" w:type="dxa"/>
            </w:tcMar>
            <w:vAlign w:val="center"/>
          </w:tcPr>
          <w:p w14:paraId="780196CD">
            <w:pPr>
              <w:pStyle w:val="109"/>
              <w:rPr>
                <w:color w:val="000000" w:themeColor="text1"/>
                <w14:textFill>
                  <w14:solidFill>
                    <w14:schemeClr w14:val="tx1"/>
                  </w14:solidFill>
                </w14:textFill>
              </w:rPr>
            </w:pPr>
          </w:p>
        </w:tc>
        <w:tc>
          <w:tcPr>
            <w:tcW w:w="992" w:type="dxa"/>
            <w:tcMar>
              <w:top w:w="60" w:type="dxa"/>
              <w:left w:w="120" w:type="dxa"/>
              <w:bottom w:w="30" w:type="dxa"/>
              <w:right w:w="120" w:type="dxa"/>
            </w:tcMar>
            <w:vAlign w:val="center"/>
          </w:tcPr>
          <w:p w14:paraId="70032CC8">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380" w:type="dxa"/>
            <w:tcMar>
              <w:top w:w="60" w:type="dxa"/>
              <w:left w:w="120" w:type="dxa"/>
              <w:bottom w:w="30" w:type="dxa"/>
              <w:right w:w="120" w:type="dxa"/>
            </w:tcMar>
            <w:vAlign w:val="center"/>
          </w:tcPr>
          <w:p w14:paraId="44D9EDAA">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597" w:type="dxa"/>
            <w:tcMar>
              <w:top w:w="60" w:type="dxa"/>
              <w:left w:w="120" w:type="dxa"/>
              <w:bottom w:w="30" w:type="dxa"/>
              <w:right w:w="120" w:type="dxa"/>
            </w:tcMar>
            <w:vAlign w:val="center"/>
          </w:tcPr>
          <w:p w14:paraId="777F7A15">
            <w:pPr>
              <w:pStyle w:val="109"/>
              <w:rPr>
                <w:color w:val="000000" w:themeColor="text1"/>
                <w14:textFill>
                  <w14:solidFill>
                    <w14:schemeClr w14:val="tx1"/>
                  </w14:solidFill>
                </w14:textFill>
              </w:rPr>
            </w:pPr>
            <w:r>
              <w:rPr>
                <w:color w:val="000000" w:themeColor="text1"/>
                <w14:textFill>
                  <w14:solidFill>
                    <w14:schemeClr w14:val="tx1"/>
                  </w14:solidFill>
                </w14:textFill>
              </w:rPr>
              <w:t>半径15m（圆形范围，面积约706.5m²）</w:t>
            </w:r>
          </w:p>
        </w:tc>
        <w:tc>
          <w:tcPr>
            <w:tcW w:w="1842" w:type="dxa"/>
            <w:tcMar>
              <w:top w:w="60" w:type="dxa"/>
              <w:left w:w="120" w:type="dxa"/>
              <w:bottom w:w="30" w:type="dxa"/>
              <w:right w:w="120" w:type="dxa"/>
            </w:tcMar>
            <w:vAlign w:val="center"/>
          </w:tcPr>
          <w:p w14:paraId="707B63F9">
            <w:pPr>
              <w:pStyle w:val="109"/>
              <w:rPr>
                <w:color w:val="000000" w:themeColor="text1"/>
                <w14:textFill>
                  <w14:solidFill>
                    <w14:schemeClr w14:val="tx1"/>
                  </w14:solidFill>
                </w14:textFill>
              </w:rPr>
            </w:pPr>
            <w:r>
              <w:rPr>
                <w:color w:val="000000" w:themeColor="text1"/>
                <w14:textFill>
                  <w14:solidFill>
                    <w14:schemeClr w14:val="tx1"/>
                  </w14:solidFill>
                </w14:textFill>
              </w:rPr>
              <w:t>半径48m（圆形范围，面积约7234.5m²）</w:t>
            </w:r>
          </w:p>
        </w:tc>
        <w:tc>
          <w:tcPr>
            <w:tcW w:w="2268" w:type="dxa"/>
            <w:tcMar>
              <w:top w:w="60" w:type="dxa"/>
              <w:left w:w="120" w:type="dxa"/>
              <w:bottom w:w="30" w:type="dxa"/>
              <w:right w:w="120" w:type="dxa"/>
            </w:tcMar>
            <w:vAlign w:val="center"/>
          </w:tcPr>
          <w:p w14:paraId="48B73A79">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泄漏点核心浓度0.89，超标0.78倍；超标范围边缘浓度0.51</w:t>
            </w:r>
          </w:p>
        </w:tc>
      </w:tr>
      <w:tr w14:paraId="39B8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restart"/>
            <w:tcMar>
              <w:top w:w="60" w:type="dxa"/>
              <w:left w:w="120" w:type="dxa"/>
              <w:bottom w:w="30" w:type="dxa"/>
              <w:right w:w="120" w:type="dxa"/>
            </w:tcMar>
            <w:vAlign w:val="center"/>
          </w:tcPr>
          <w:p w14:paraId="3154A8AE">
            <w:pPr>
              <w:pStyle w:val="109"/>
              <w:rPr>
                <w:color w:val="000000" w:themeColor="text1"/>
                <w14:textFill>
                  <w14:solidFill>
                    <w14:schemeClr w14:val="tx1"/>
                  </w14:solidFill>
                </w14:textFill>
              </w:rPr>
            </w:pPr>
            <w:r>
              <w:rPr>
                <w:color w:val="000000" w:themeColor="text1"/>
                <w14:textFill>
                  <w14:solidFill>
                    <w14:schemeClr w14:val="tx1"/>
                  </w14:solidFill>
                </w14:textFill>
              </w:rPr>
              <w:t>1000d</w:t>
            </w:r>
          </w:p>
        </w:tc>
        <w:tc>
          <w:tcPr>
            <w:tcW w:w="992" w:type="dxa"/>
            <w:tcMar>
              <w:top w:w="60" w:type="dxa"/>
              <w:left w:w="120" w:type="dxa"/>
              <w:bottom w:w="30" w:type="dxa"/>
              <w:right w:w="120" w:type="dxa"/>
            </w:tcMar>
            <w:vAlign w:val="center"/>
          </w:tcPr>
          <w:p w14:paraId="17D7F01C">
            <w:pPr>
              <w:pStyle w:val="109"/>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1380" w:type="dxa"/>
            <w:tcMar>
              <w:top w:w="60" w:type="dxa"/>
              <w:left w:w="120" w:type="dxa"/>
              <w:bottom w:w="30" w:type="dxa"/>
              <w:right w:w="120" w:type="dxa"/>
            </w:tcMar>
            <w:vAlign w:val="center"/>
          </w:tcPr>
          <w:p w14:paraId="52230DEE">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597" w:type="dxa"/>
            <w:tcMar>
              <w:top w:w="60" w:type="dxa"/>
              <w:left w:w="120" w:type="dxa"/>
              <w:bottom w:w="30" w:type="dxa"/>
              <w:right w:w="120" w:type="dxa"/>
            </w:tcMar>
            <w:vAlign w:val="center"/>
          </w:tcPr>
          <w:p w14:paraId="25DA404D">
            <w:pPr>
              <w:pStyle w:val="109"/>
              <w:rPr>
                <w:color w:val="000000" w:themeColor="text1"/>
                <w14:textFill>
                  <w14:solidFill>
                    <w14:schemeClr w14:val="tx1"/>
                  </w14:solidFill>
                </w14:textFill>
              </w:rPr>
            </w:pPr>
            <w:r>
              <w:rPr>
                <w:color w:val="000000" w:themeColor="text1"/>
                <w14:textFill>
                  <w14:solidFill>
                    <w14:schemeClr w14:val="tx1"/>
                  </w14:solidFill>
                </w14:textFill>
              </w:rPr>
              <w:t>半径8m（圆形范围，面积约200.96m²）</w:t>
            </w:r>
          </w:p>
        </w:tc>
        <w:tc>
          <w:tcPr>
            <w:tcW w:w="1842" w:type="dxa"/>
            <w:tcMar>
              <w:top w:w="60" w:type="dxa"/>
              <w:left w:w="120" w:type="dxa"/>
              <w:bottom w:w="30" w:type="dxa"/>
              <w:right w:w="120" w:type="dxa"/>
            </w:tcMar>
            <w:vAlign w:val="center"/>
          </w:tcPr>
          <w:p w14:paraId="40E17F79">
            <w:pPr>
              <w:pStyle w:val="109"/>
              <w:rPr>
                <w:color w:val="000000" w:themeColor="text1"/>
                <w14:textFill>
                  <w14:solidFill>
                    <w14:schemeClr w14:val="tx1"/>
                  </w14:solidFill>
                </w14:textFill>
              </w:rPr>
            </w:pPr>
            <w:r>
              <w:rPr>
                <w:color w:val="000000" w:themeColor="text1"/>
                <w14:textFill>
                  <w14:solidFill>
                    <w14:schemeClr w14:val="tx1"/>
                  </w14:solidFill>
                </w14:textFill>
              </w:rPr>
              <w:t>半径112m（圆形范围，面积约39408.16m²）</w:t>
            </w:r>
          </w:p>
        </w:tc>
        <w:tc>
          <w:tcPr>
            <w:tcW w:w="2268" w:type="dxa"/>
            <w:tcMar>
              <w:top w:w="60" w:type="dxa"/>
              <w:left w:w="120" w:type="dxa"/>
              <w:bottom w:w="30" w:type="dxa"/>
              <w:right w:w="120" w:type="dxa"/>
            </w:tcMar>
            <w:vAlign w:val="center"/>
          </w:tcPr>
          <w:p w14:paraId="25E412F6">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泄漏点核心浓度3.8，超标0.27倍；超标范围边缘浓度3.05</w:t>
            </w:r>
          </w:p>
        </w:tc>
      </w:tr>
      <w:tr w14:paraId="1C14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continue"/>
            <w:tcMar>
              <w:top w:w="60" w:type="dxa"/>
              <w:left w:w="120" w:type="dxa"/>
              <w:bottom w:w="30" w:type="dxa"/>
              <w:right w:w="120" w:type="dxa"/>
            </w:tcMar>
            <w:vAlign w:val="center"/>
          </w:tcPr>
          <w:p w14:paraId="676BFC52">
            <w:pPr>
              <w:pStyle w:val="109"/>
              <w:rPr>
                <w:color w:val="000000" w:themeColor="text1"/>
                <w14:textFill>
                  <w14:solidFill>
                    <w14:schemeClr w14:val="tx1"/>
                  </w14:solidFill>
                </w14:textFill>
              </w:rPr>
            </w:pPr>
          </w:p>
        </w:tc>
        <w:tc>
          <w:tcPr>
            <w:tcW w:w="992" w:type="dxa"/>
            <w:tcMar>
              <w:top w:w="60" w:type="dxa"/>
              <w:left w:w="120" w:type="dxa"/>
              <w:bottom w:w="30" w:type="dxa"/>
              <w:right w:w="120" w:type="dxa"/>
            </w:tcMar>
            <w:vAlign w:val="center"/>
          </w:tcPr>
          <w:p w14:paraId="34BBB58C">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380" w:type="dxa"/>
            <w:tcMar>
              <w:top w:w="60" w:type="dxa"/>
              <w:left w:w="120" w:type="dxa"/>
              <w:bottom w:w="30" w:type="dxa"/>
              <w:right w:w="120" w:type="dxa"/>
            </w:tcMar>
            <w:vAlign w:val="center"/>
          </w:tcPr>
          <w:p w14:paraId="20309AF2">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597" w:type="dxa"/>
            <w:tcMar>
              <w:top w:w="60" w:type="dxa"/>
              <w:left w:w="120" w:type="dxa"/>
              <w:bottom w:w="30" w:type="dxa"/>
              <w:right w:w="120" w:type="dxa"/>
            </w:tcMar>
            <w:vAlign w:val="center"/>
          </w:tcPr>
          <w:p w14:paraId="03B4FCA6">
            <w:pPr>
              <w:pStyle w:val="109"/>
              <w:rPr>
                <w:color w:val="000000" w:themeColor="text1"/>
                <w14:textFill>
                  <w14:solidFill>
                    <w14:schemeClr w14:val="tx1"/>
                  </w14:solidFill>
                </w14:textFill>
              </w:rPr>
            </w:pPr>
            <w:r>
              <w:rPr>
                <w:color w:val="000000" w:themeColor="text1"/>
                <w14:textFill>
                  <w14:solidFill>
                    <w14:schemeClr w14:val="tx1"/>
                  </w14:solidFill>
                </w14:textFill>
              </w:rPr>
              <w:t>无超标范围（浓度均≤0.48）</w:t>
            </w:r>
          </w:p>
        </w:tc>
        <w:tc>
          <w:tcPr>
            <w:tcW w:w="1842" w:type="dxa"/>
            <w:tcMar>
              <w:top w:w="60" w:type="dxa"/>
              <w:left w:w="120" w:type="dxa"/>
              <w:bottom w:w="30" w:type="dxa"/>
              <w:right w:w="120" w:type="dxa"/>
            </w:tcMar>
            <w:vAlign w:val="center"/>
          </w:tcPr>
          <w:p w14:paraId="514D31C3">
            <w:pPr>
              <w:pStyle w:val="109"/>
              <w:rPr>
                <w:color w:val="000000" w:themeColor="text1"/>
                <w14:textFill>
                  <w14:solidFill>
                    <w14:schemeClr w14:val="tx1"/>
                  </w14:solidFill>
                </w14:textFill>
              </w:rPr>
            </w:pPr>
            <w:r>
              <w:rPr>
                <w:color w:val="000000" w:themeColor="text1"/>
                <w14:textFill>
                  <w14:solidFill>
                    <w14:schemeClr w14:val="tx1"/>
                  </w14:solidFill>
                </w14:textFill>
              </w:rPr>
              <w:t>半径85m（圆形范围，面积约22686.5m²）</w:t>
            </w:r>
          </w:p>
        </w:tc>
        <w:tc>
          <w:tcPr>
            <w:tcW w:w="2268" w:type="dxa"/>
            <w:tcMar>
              <w:top w:w="60" w:type="dxa"/>
              <w:left w:w="120" w:type="dxa"/>
              <w:bottom w:w="30" w:type="dxa"/>
              <w:right w:w="120" w:type="dxa"/>
            </w:tcMar>
            <w:vAlign w:val="center"/>
          </w:tcPr>
          <w:p w14:paraId="197AEE4B">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泄漏点核心浓度0.48，未超标；影响范围边缘浓度0.012</w:t>
            </w:r>
          </w:p>
        </w:tc>
      </w:tr>
      <w:tr w14:paraId="054D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restart"/>
            <w:tcMar>
              <w:top w:w="60" w:type="dxa"/>
              <w:left w:w="120" w:type="dxa"/>
              <w:bottom w:w="30" w:type="dxa"/>
              <w:right w:w="120" w:type="dxa"/>
            </w:tcMar>
            <w:vAlign w:val="center"/>
          </w:tcPr>
          <w:p w14:paraId="56E64B2B">
            <w:pPr>
              <w:pStyle w:val="109"/>
              <w:ind w:left="-120" w:leftChars="-50" w:right="-125" w:rightChars="-52"/>
              <w:rPr>
                <w:color w:val="000000" w:themeColor="text1"/>
                <w14:textFill>
                  <w14:solidFill>
                    <w14:schemeClr w14:val="tx1"/>
                  </w14:solidFill>
                </w14:textFill>
              </w:rPr>
            </w:pPr>
            <w:r>
              <w:rPr>
                <w:color w:val="000000" w:themeColor="text1"/>
                <w14:textFill>
                  <w14:solidFill>
                    <w14:schemeClr w14:val="tx1"/>
                  </w14:solidFill>
                </w14:textFill>
              </w:rPr>
              <w:t>10a（3650d）</w:t>
            </w:r>
          </w:p>
        </w:tc>
        <w:tc>
          <w:tcPr>
            <w:tcW w:w="992" w:type="dxa"/>
            <w:tcMar>
              <w:top w:w="60" w:type="dxa"/>
              <w:left w:w="120" w:type="dxa"/>
              <w:bottom w:w="30" w:type="dxa"/>
              <w:right w:w="120" w:type="dxa"/>
            </w:tcMar>
            <w:vAlign w:val="center"/>
          </w:tcPr>
          <w:p w14:paraId="5BDEA189">
            <w:pPr>
              <w:pStyle w:val="109"/>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1380" w:type="dxa"/>
            <w:tcMar>
              <w:top w:w="60" w:type="dxa"/>
              <w:left w:w="120" w:type="dxa"/>
              <w:bottom w:w="30" w:type="dxa"/>
              <w:right w:w="120" w:type="dxa"/>
            </w:tcMar>
            <w:vAlign w:val="center"/>
          </w:tcPr>
          <w:p w14:paraId="06E7FAB6">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597" w:type="dxa"/>
            <w:tcMar>
              <w:top w:w="60" w:type="dxa"/>
              <w:left w:w="120" w:type="dxa"/>
              <w:bottom w:w="30" w:type="dxa"/>
              <w:right w:w="120" w:type="dxa"/>
            </w:tcMar>
            <w:vAlign w:val="center"/>
          </w:tcPr>
          <w:p w14:paraId="0C89C7DA">
            <w:pPr>
              <w:pStyle w:val="109"/>
              <w:rPr>
                <w:color w:val="000000" w:themeColor="text1"/>
                <w14:textFill>
                  <w14:solidFill>
                    <w14:schemeClr w14:val="tx1"/>
                  </w14:solidFill>
                </w14:textFill>
              </w:rPr>
            </w:pPr>
            <w:r>
              <w:rPr>
                <w:color w:val="000000" w:themeColor="text1"/>
                <w14:textFill>
                  <w14:solidFill>
                    <w14:schemeClr w14:val="tx1"/>
                  </w14:solidFill>
                </w14:textFill>
              </w:rPr>
              <w:t>无超标范围（浓度均≤2.9）</w:t>
            </w:r>
          </w:p>
        </w:tc>
        <w:tc>
          <w:tcPr>
            <w:tcW w:w="1842" w:type="dxa"/>
            <w:tcMar>
              <w:top w:w="60" w:type="dxa"/>
              <w:left w:w="120" w:type="dxa"/>
              <w:bottom w:w="30" w:type="dxa"/>
              <w:right w:w="120" w:type="dxa"/>
            </w:tcMar>
            <w:vAlign w:val="center"/>
          </w:tcPr>
          <w:p w14:paraId="1CC49E5C">
            <w:pPr>
              <w:pStyle w:val="109"/>
              <w:rPr>
                <w:color w:val="000000" w:themeColor="text1"/>
                <w14:textFill>
                  <w14:solidFill>
                    <w14:schemeClr w14:val="tx1"/>
                  </w14:solidFill>
                </w14:textFill>
              </w:rPr>
            </w:pPr>
            <w:r>
              <w:rPr>
                <w:color w:val="000000" w:themeColor="text1"/>
                <w14:textFill>
                  <w14:solidFill>
                    <w14:schemeClr w14:val="tx1"/>
                  </w14:solidFill>
                </w14:textFill>
              </w:rPr>
              <w:t>半径185m（圆形范围，面积约107466.5m²）</w:t>
            </w:r>
          </w:p>
        </w:tc>
        <w:tc>
          <w:tcPr>
            <w:tcW w:w="2268" w:type="dxa"/>
            <w:tcMar>
              <w:top w:w="60" w:type="dxa"/>
              <w:left w:w="120" w:type="dxa"/>
              <w:bottom w:w="30" w:type="dxa"/>
              <w:right w:w="120" w:type="dxa"/>
            </w:tcMar>
            <w:vAlign w:val="center"/>
          </w:tcPr>
          <w:p w14:paraId="3DFBF0AF">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泄漏点核心浓度2.9，未超标；影响范围边缘浓度0.011</w:t>
            </w:r>
          </w:p>
        </w:tc>
      </w:tr>
      <w:tr w14:paraId="2ED6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continue"/>
            <w:tcMar>
              <w:top w:w="60" w:type="dxa"/>
              <w:left w:w="120" w:type="dxa"/>
              <w:bottom w:w="30" w:type="dxa"/>
              <w:right w:w="120" w:type="dxa"/>
            </w:tcMar>
            <w:vAlign w:val="center"/>
          </w:tcPr>
          <w:p w14:paraId="01539D59">
            <w:pPr>
              <w:pStyle w:val="109"/>
              <w:rPr>
                <w:color w:val="000000" w:themeColor="text1"/>
                <w14:textFill>
                  <w14:solidFill>
                    <w14:schemeClr w14:val="tx1"/>
                  </w14:solidFill>
                </w14:textFill>
              </w:rPr>
            </w:pPr>
          </w:p>
        </w:tc>
        <w:tc>
          <w:tcPr>
            <w:tcW w:w="992" w:type="dxa"/>
            <w:tcMar>
              <w:top w:w="60" w:type="dxa"/>
              <w:left w:w="120" w:type="dxa"/>
              <w:bottom w:w="30" w:type="dxa"/>
              <w:right w:w="120" w:type="dxa"/>
            </w:tcMar>
            <w:vAlign w:val="center"/>
          </w:tcPr>
          <w:p w14:paraId="7FC7FF66">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380" w:type="dxa"/>
            <w:tcMar>
              <w:top w:w="60" w:type="dxa"/>
              <w:left w:w="120" w:type="dxa"/>
              <w:bottom w:w="30" w:type="dxa"/>
              <w:right w:w="120" w:type="dxa"/>
            </w:tcMar>
            <w:vAlign w:val="center"/>
          </w:tcPr>
          <w:p w14:paraId="369DE25E">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597" w:type="dxa"/>
            <w:tcMar>
              <w:top w:w="60" w:type="dxa"/>
              <w:left w:w="120" w:type="dxa"/>
              <w:bottom w:w="30" w:type="dxa"/>
              <w:right w:w="120" w:type="dxa"/>
            </w:tcMar>
            <w:vAlign w:val="center"/>
          </w:tcPr>
          <w:p w14:paraId="62020E55">
            <w:pPr>
              <w:pStyle w:val="109"/>
              <w:rPr>
                <w:color w:val="000000" w:themeColor="text1"/>
                <w14:textFill>
                  <w14:solidFill>
                    <w14:schemeClr w14:val="tx1"/>
                  </w14:solidFill>
                </w14:textFill>
              </w:rPr>
            </w:pPr>
            <w:r>
              <w:rPr>
                <w:color w:val="000000" w:themeColor="text1"/>
                <w14:textFill>
                  <w14:solidFill>
                    <w14:schemeClr w14:val="tx1"/>
                  </w14:solidFill>
                </w14:textFill>
              </w:rPr>
              <w:t>无超标范围（浓度均≤0.12）</w:t>
            </w:r>
          </w:p>
        </w:tc>
        <w:tc>
          <w:tcPr>
            <w:tcW w:w="1842" w:type="dxa"/>
            <w:tcMar>
              <w:top w:w="60" w:type="dxa"/>
              <w:left w:w="120" w:type="dxa"/>
              <w:bottom w:w="30" w:type="dxa"/>
              <w:right w:w="120" w:type="dxa"/>
            </w:tcMar>
            <w:vAlign w:val="center"/>
          </w:tcPr>
          <w:p w14:paraId="03ECB916">
            <w:pPr>
              <w:pStyle w:val="109"/>
              <w:rPr>
                <w:color w:val="000000" w:themeColor="text1"/>
                <w14:textFill>
                  <w14:solidFill>
                    <w14:schemeClr w14:val="tx1"/>
                  </w14:solidFill>
                </w14:textFill>
              </w:rPr>
            </w:pPr>
            <w:r>
              <w:rPr>
                <w:color w:val="000000" w:themeColor="text1"/>
                <w14:textFill>
                  <w14:solidFill>
                    <w14:schemeClr w14:val="tx1"/>
                  </w14:solidFill>
                </w14:textFill>
              </w:rPr>
              <w:t>半径152m（圆形范围，面积约72382.08m²）</w:t>
            </w:r>
          </w:p>
        </w:tc>
        <w:tc>
          <w:tcPr>
            <w:tcW w:w="2268" w:type="dxa"/>
            <w:tcMar>
              <w:top w:w="60" w:type="dxa"/>
              <w:left w:w="120" w:type="dxa"/>
              <w:bottom w:w="30" w:type="dxa"/>
              <w:right w:w="120" w:type="dxa"/>
            </w:tcMar>
            <w:vAlign w:val="center"/>
          </w:tcPr>
          <w:p w14:paraId="2B852B2E">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泄漏点核心浓度0.12，未超标；影响范围边缘浓度0.010</w:t>
            </w:r>
          </w:p>
        </w:tc>
      </w:tr>
      <w:tr w14:paraId="29CE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restart"/>
            <w:tcMar>
              <w:top w:w="60" w:type="dxa"/>
              <w:left w:w="120" w:type="dxa"/>
              <w:bottom w:w="30" w:type="dxa"/>
              <w:right w:w="120" w:type="dxa"/>
            </w:tcMar>
            <w:vAlign w:val="center"/>
          </w:tcPr>
          <w:p w14:paraId="6C940CA6">
            <w:pPr>
              <w:pStyle w:val="109"/>
              <w:ind w:left="-120" w:leftChars="-50" w:right="-125" w:rightChars="-52"/>
              <w:rPr>
                <w:color w:val="000000" w:themeColor="text1"/>
                <w14:textFill>
                  <w14:solidFill>
                    <w14:schemeClr w14:val="tx1"/>
                  </w14:solidFill>
                </w14:textFill>
              </w:rPr>
            </w:pPr>
            <w:r>
              <w:rPr>
                <w:color w:val="000000" w:themeColor="text1"/>
                <w14:textFill>
                  <w14:solidFill>
                    <w14:schemeClr w14:val="tx1"/>
                  </w14:solidFill>
                </w14:textFill>
              </w:rPr>
              <w:t>20a（7300d）</w:t>
            </w:r>
          </w:p>
        </w:tc>
        <w:tc>
          <w:tcPr>
            <w:tcW w:w="992" w:type="dxa"/>
            <w:tcMar>
              <w:top w:w="60" w:type="dxa"/>
              <w:left w:w="120" w:type="dxa"/>
              <w:bottom w:w="30" w:type="dxa"/>
              <w:right w:w="120" w:type="dxa"/>
            </w:tcMar>
            <w:vAlign w:val="center"/>
          </w:tcPr>
          <w:p w14:paraId="06B628CE">
            <w:pPr>
              <w:pStyle w:val="109"/>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1380" w:type="dxa"/>
            <w:tcMar>
              <w:top w:w="60" w:type="dxa"/>
              <w:left w:w="120" w:type="dxa"/>
              <w:bottom w:w="30" w:type="dxa"/>
              <w:right w:w="120" w:type="dxa"/>
            </w:tcMar>
            <w:vAlign w:val="center"/>
          </w:tcPr>
          <w:p w14:paraId="15481AEA">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597" w:type="dxa"/>
            <w:tcMar>
              <w:top w:w="60" w:type="dxa"/>
              <w:left w:w="120" w:type="dxa"/>
              <w:bottom w:w="30" w:type="dxa"/>
              <w:right w:w="120" w:type="dxa"/>
            </w:tcMar>
            <w:vAlign w:val="center"/>
          </w:tcPr>
          <w:p w14:paraId="0A3D3FB4">
            <w:pPr>
              <w:pStyle w:val="109"/>
              <w:rPr>
                <w:color w:val="000000" w:themeColor="text1"/>
                <w14:textFill>
                  <w14:solidFill>
                    <w14:schemeClr w14:val="tx1"/>
                  </w14:solidFill>
                </w14:textFill>
              </w:rPr>
            </w:pPr>
            <w:r>
              <w:rPr>
                <w:color w:val="000000" w:themeColor="text1"/>
                <w14:textFill>
                  <w14:solidFill>
                    <w14:schemeClr w14:val="tx1"/>
                  </w14:solidFill>
                </w14:textFill>
              </w:rPr>
              <w:t>无超标范围（浓度均≤1.5）</w:t>
            </w:r>
          </w:p>
        </w:tc>
        <w:tc>
          <w:tcPr>
            <w:tcW w:w="1842" w:type="dxa"/>
            <w:tcMar>
              <w:top w:w="60" w:type="dxa"/>
              <w:left w:w="120" w:type="dxa"/>
              <w:bottom w:w="30" w:type="dxa"/>
              <w:right w:w="120" w:type="dxa"/>
            </w:tcMar>
            <w:vAlign w:val="center"/>
          </w:tcPr>
          <w:p w14:paraId="6AC194CF">
            <w:pPr>
              <w:pStyle w:val="109"/>
              <w:rPr>
                <w:color w:val="000000" w:themeColor="text1"/>
                <w14:textFill>
                  <w14:solidFill>
                    <w14:schemeClr w14:val="tx1"/>
                  </w14:solidFill>
                </w14:textFill>
              </w:rPr>
            </w:pPr>
            <w:r>
              <w:rPr>
                <w:color w:val="000000" w:themeColor="text1"/>
                <w14:textFill>
                  <w14:solidFill>
                    <w14:schemeClr w14:val="tx1"/>
                  </w14:solidFill>
                </w14:textFill>
              </w:rPr>
              <w:t>半径240m（圆形范围，面积约180864m²）</w:t>
            </w:r>
          </w:p>
        </w:tc>
        <w:tc>
          <w:tcPr>
            <w:tcW w:w="2268" w:type="dxa"/>
            <w:tcMar>
              <w:top w:w="60" w:type="dxa"/>
              <w:left w:w="120" w:type="dxa"/>
              <w:bottom w:w="30" w:type="dxa"/>
              <w:right w:w="120" w:type="dxa"/>
            </w:tcMar>
            <w:vAlign w:val="center"/>
          </w:tcPr>
          <w:p w14:paraId="1F76C0C9">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泄漏点核心浓度1.5，未超标；影响范围边缘浓度0.010</w:t>
            </w:r>
          </w:p>
        </w:tc>
      </w:tr>
      <w:tr w14:paraId="0462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continue"/>
            <w:tcMar>
              <w:top w:w="60" w:type="dxa"/>
              <w:left w:w="120" w:type="dxa"/>
              <w:bottom w:w="30" w:type="dxa"/>
              <w:right w:w="120" w:type="dxa"/>
            </w:tcMar>
            <w:vAlign w:val="center"/>
          </w:tcPr>
          <w:p w14:paraId="7A012851">
            <w:pPr>
              <w:pStyle w:val="109"/>
              <w:rPr>
                <w:color w:val="000000" w:themeColor="text1"/>
                <w14:textFill>
                  <w14:solidFill>
                    <w14:schemeClr w14:val="tx1"/>
                  </w14:solidFill>
                </w14:textFill>
              </w:rPr>
            </w:pPr>
          </w:p>
        </w:tc>
        <w:tc>
          <w:tcPr>
            <w:tcW w:w="992" w:type="dxa"/>
            <w:tcMar>
              <w:top w:w="60" w:type="dxa"/>
              <w:left w:w="120" w:type="dxa"/>
              <w:bottom w:w="30" w:type="dxa"/>
              <w:right w:w="120" w:type="dxa"/>
            </w:tcMar>
            <w:vAlign w:val="center"/>
          </w:tcPr>
          <w:p w14:paraId="19749B4C">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380" w:type="dxa"/>
            <w:tcMar>
              <w:top w:w="60" w:type="dxa"/>
              <w:left w:w="120" w:type="dxa"/>
              <w:bottom w:w="30" w:type="dxa"/>
              <w:right w:w="120" w:type="dxa"/>
            </w:tcMar>
            <w:vAlign w:val="center"/>
          </w:tcPr>
          <w:p w14:paraId="29766D6E">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597" w:type="dxa"/>
            <w:tcMar>
              <w:top w:w="60" w:type="dxa"/>
              <w:left w:w="120" w:type="dxa"/>
              <w:bottom w:w="30" w:type="dxa"/>
              <w:right w:w="120" w:type="dxa"/>
            </w:tcMar>
            <w:vAlign w:val="center"/>
          </w:tcPr>
          <w:p w14:paraId="3F50DEFE">
            <w:pPr>
              <w:pStyle w:val="109"/>
              <w:rPr>
                <w:color w:val="000000" w:themeColor="text1"/>
                <w14:textFill>
                  <w14:solidFill>
                    <w14:schemeClr w14:val="tx1"/>
                  </w14:solidFill>
                </w14:textFill>
              </w:rPr>
            </w:pPr>
            <w:r>
              <w:rPr>
                <w:color w:val="000000" w:themeColor="text1"/>
                <w14:textFill>
                  <w14:solidFill>
                    <w14:schemeClr w14:val="tx1"/>
                  </w14:solidFill>
                </w14:textFill>
              </w:rPr>
              <w:t>无超标范围（浓度均≤0.06）</w:t>
            </w:r>
          </w:p>
        </w:tc>
        <w:tc>
          <w:tcPr>
            <w:tcW w:w="1842" w:type="dxa"/>
            <w:tcMar>
              <w:top w:w="60" w:type="dxa"/>
              <w:left w:w="120" w:type="dxa"/>
              <w:bottom w:w="30" w:type="dxa"/>
              <w:right w:w="120" w:type="dxa"/>
            </w:tcMar>
            <w:vAlign w:val="center"/>
          </w:tcPr>
          <w:p w14:paraId="1C877B6F">
            <w:pPr>
              <w:pStyle w:val="109"/>
              <w:rPr>
                <w:color w:val="000000" w:themeColor="text1"/>
                <w14:textFill>
                  <w14:solidFill>
                    <w14:schemeClr w14:val="tx1"/>
                  </w14:solidFill>
                </w14:textFill>
              </w:rPr>
            </w:pPr>
            <w:r>
              <w:rPr>
                <w:color w:val="000000" w:themeColor="text1"/>
                <w14:textFill>
                  <w14:solidFill>
                    <w14:schemeClr w14:val="tx1"/>
                  </w14:solidFill>
                </w14:textFill>
              </w:rPr>
              <w:t>半径205m（圆形范围，面积约132025.25m²）</w:t>
            </w:r>
          </w:p>
        </w:tc>
        <w:tc>
          <w:tcPr>
            <w:tcW w:w="2268" w:type="dxa"/>
            <w:tcMar>
              <w:top w:w="60" w:type="dxa"/>
              <w:left w:w="120" w:type="dxa"/>
              <w:bottom w:w="30" w:type="dxa"/>
              <w:right w:w="120" w:type="dxa"/>
            </w:tcMar>
            <w:vAlign w:val="center"/>
          </w:tcPr>
          <w:p w14:paraId="14971DE7">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泄漏点核心浓度0.06，未超标；影响范围边缘浓度0.010</w:t>
            </w:r>
          </w:p>
        </w:tc>
      </w:tr>
    </w:tbl>
    <w:p w14:paraId="630A3C34">
      <w:pPr>
        <w:ind w:firstLine="480"/>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说明：瞬时泄漏情景下，污染物在100d内扩散速度最快，超标范围最大；随时间推移，污染物被介质吸附、微生物降解，浓度逐步衰减，1000d后氨氮率先实现无超标，10a后高锰酸盐指数无超标，影响范围逐步扩大但浓度持续降低。</w:t>
      </w:r>
    </w:p>
    <w:p w14:paraId="1AB46F89">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长期连续泄漏情景计算结果</w:t>
      </w:r>
    </w:p>
    <w:p w14:paraId="172789AD">
      <w:pPr>
        <w:ind w:firstLine="480"/>
        <w:rPr>
          <w:color w:val="000000" w:themeColor="text1"/>
          <w14:textFill>
            <w14:solidFill>
              <w14:schemeClr w14:val="tx1"/>
            </w14:solidFill>
          </w14:textFill>
        </w:rPr>
      </w:pPr>
      <w:r>
        <w:rPr>
          <w:color w:val="000000" w:themeColor="text1"/>
          <w14:textFill>
            <w14:solidFill>
              <w14:schemeClr w14:val="tx1"/>
            </w14:solidFill>
          </w14:textFill>
        </w:rPr>
        <w:t>长期连续泄漏为慢性污染，污染物持续注入、逐步扩散，各时段计算数据如下表所示</w:t>
      </w:r>
      <w:r>
        <w:rPr>
          <w:rFonts w:hint="eastAsia"/>
          <w:color w:val="000000" w:themeColor="text1"/>
          <w14:textFill>
            <w14:solidFill>
              <w14:schemeClr w14:val="tx1"/>
            </w14:solidFill>
          </w14:textFill>
        </w:rPr>
        <w:t>。</w:t>
      </w:r>
    </w:p>
    <w:p w14:paraId="1FE91FF4">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长期连续泄漏情景计算结果</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88"/>
        <w:gridCol w:w="992"/>
        <w:gridCol w:w="1380"/>
        <w:gridCol w:w="1880"/>
        <w:gridCol w:w="1776"/>
        <w:gridCol w:w="2335"/>
      </w:tblGrid>
      <w:tr w14:paraId="48D8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62D98072">
            <w:pPr>
              <w:pStyle w:val="109"/>
              <w:rPr>
                <w:color w:val="000000" w:themeColor="text1"/>
                <w14:textFill>
                  <w14:solidFill>
                    <w14:schemeClr w14:val="tx1"/>
                  </w14:solidFill>
                </w14:textFill>
              </w:rPr>
            </w:pPr>
            <w:r>
              <w:rPr>
                <w:color w:val="000000" w:themeColor="text1"/>
                <w14:textFill>
                  <w14:solidFill>
                    <w14:schemeClr w14:val="tx1"/>
                  </w14:solidFill>
                </w14:textFill>
              </w:rPr>
              <w:t>预测时段</w:t>
            </w:r>
          </w:p>
        </w:tc>
        <w:tc>
          <w:tcPr>
            <w:tcW w:w="992" w:type="dxa"/>
            <w:tcMar>
              <w:top w:w="60" w:type="dxa"/>
              <w:left w:w="120" w:type="dxa"/>
              <w:bottom w:w="30" w:type="dxa"/>
              <w:right w:w="120" w:type="dxa"/>
            </w:tcMar>
            <w:vAlign w:val="center"/>
          </w:tcPr>
          <w:p w14:paraId="4D218402">
            <w:pPr>
              <w:pStyle w:val="109"/>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380" w:type="dxa"/>
            <w:tcMar>
              <w:top w:w="60" w:type="dxa"/>
              <w:left w:w="120" w:type="dxa"/>
              <w:bottom w:w="30" w:type="dxa"/>
              <w:right w:w="120" w:type="dxa"/>
            </w:tcMar>
            <w:vAlign w:val="center"/>
          </w:tcPr>
          <w:p w14:paraId="19D21E77">
            <w:pPr>
              <w:pStyle w:val="109"/>
              <w:rPr>
                <w:color w:val="000000" w:themeColor="text1"/>
                <w14:textFill>
                  <w14:solidFill>
                    <w14:schemeClr w14:val="tx1"/>
                  </w14:solidFill>
                </w14:textFill>
              </w:rPr>
            </w:pPr>
            <w:r>
              <w:rPr>
                <w:color w:val="000000" w:themeColor="text1"/>
                <w14:textFill>
                  <w14:solidFill>
                    <w14:schemeClr w14:val="tx1"/>
                  </w14:solidFill>
                </w14:textFill>
              </w:rPr>
              <w:t>评价标准（mg/L）</w:t>
            </w:r>
          </w:p>
        </w:tc>
        <w:tc>
          <w:tcPr>
            <w:tcW w:w="1880" w:type="dxa"/>
            <w:tcMar>
              <w:top w:w="60" w:type="dxa"/>
              <w:left w:w="120" w:type="dxa"/>
              <w:bottom w:w="30" w:type="dxa"/>
              <w:right w:w="120" w:type="dxa"/>
            </w:tcMar>
            <w:vAlign w:val="center"/>
          </w:tcPr>
          <w:p w14:paraId="2CE777A0">
            <w:pPr>
              <w:pStyle w:val="109"/>
              <w:rPr>
                <w:color w:val="000000" w:themeColor="text1"/>
                <w14:textFill>
                  <w14:solidFill>
                    <w14:schemeClr w14:val="tx1"/>
                  </w14:solidFill>
                </w14:textFill>
              </w:rPr>
            </w:pPr>
            <w:r>
              <w:rPr>
                <w:color w:val="000000" w:themeColor="text1"/>
                <w14:textFill>
                  <w14:solidFill>
                    <w14:schemeClr w14:val="tx1"/>
                  </w14:solidFill>
                </w14:textFill>
              </w:rPr>
              <w:t>超标范围（以泄漏点为中心，m）</w:t>
            </w:r>
          </w:p>
        </w:tc>
        <w:tc>
          <w:tcPr>
            <w:tcW w:w="1776" w:type="dxa"/>
            <w:tcMar>
              <w:top w:w="60" w:type="dxa"/>
              <w:left w:w="120" w:type="dxa"/>
              <w:bottom w:w="30" w:type="dxa"/>
              <w:right w:w="120" w:type="dxa"/>
            </w:tcMar>
            <w:vAlign w:val="center"/>
          </w:tcPr>
          <w:p w14:paraId="46E4F809">
            <w:pPr>
              <w:pStyle w:val="109"/>
              <w:rPr>
                <w:color w:val="000000" w:themeColor="text1"/>
                <w14:textFill>
                  <w14:solidFill>
                    <w14:schemeClr w14:val="tx1"/>
                  </w14:solidFill>
                </w14:textFill>
              </w:rPr>
            </w:pPr>
            <w:r>
              <w:rPr>
                <w:color w:val="000000" w:themeColor="text1"/>
                <w14:textFill>
                  <w14:solidFill>
                    <w14:schemeClr w14:val="tx1"/>
                  </w14:solidFill>
                </w14:textFill>
              </w:rPr>
              <w:t>影响范围（以泄漏点为中心，m）</w:t>
            </w:r>
          </w:p>
        </w:tc>
        <w:tc>
          <w:tcPr>
            <w:tcW w:w="2335" w:type="dxa"/>
            <w:tcMar>
              <w:top w:w="60" w:type="dxa"/>
              <w:left w:w="120" w:type="dxa"/>
              <w:bottom w:w="30" w:type="dxa"/>
              <w:right w:w="120" w:type="dxa"/>
            </w:tcMar>
            <w:vAlign w:val="center"/>
          </w:tcPr>
          <w:p w14:paraId="590C52FA">
            <w:pPr>
              <w:pStyle w:val="109"/>
              <w:rPr>
                <w:color w:val="000000" w:themeColor="text1"/>
                <w14:textFill>
                  <w14:solidFill>
                    <w14:schemeClr w14:val="tx1"/>
                  </w14:solidFill>
                </w14:textFill>
              </w:rPr>
            </w:pPr>
            <w:r>
              <w:rPr>
                <w:color w:val="000000" w:themeColor="text1"/>
                <w14:textFill>
                  <w14:solidFill>
                    <w14:schemeClr w14:val="tx1"/>
                  </w14:solidFill>
                </w14:textFill>
              </w:rPr>
              <w:t>核心浓度特征（mg/L）</w:t>
            </w:r>
          </w:p>
        </w:tc>
      </w:tr>
      <w:tr w14:paraId="4CFB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restart"/>
            <w:tcMar>
              <w:top w:w="60" w:type="dxa"/>
              <w:left w:w="120" w:type="dxa"/>
              <w:bottom w:w="30" w:type="dxa"/>
              <w:right w:w="120" w:type="dxa"/>
            </w:tcMar>
            <w:vAlign w:val="center"/>
          </w:tcPr>
          <w:p w14:paraId="24B4A061">
            <w:pPr>
              <w:pStyle w:val="109"/>
              <w:rPr>
                <w:color w:val="000000" w:themeColor="text1"/>
                <w14:textFill>
                  <w14:solidFill>
                    <w14:schemeClr w14:val="tx1"/>
                  </w14:solidFill>
                </w14:textFill>
              </w:rPr>
            </w:pPr>
            <w:r>
              <w:rPr>
                <w:color w:val="000000" w:themeColor="text1"/>
                <w14:textFill>
                  <w14:solidFill>
                    <w14:schemeClr w14:val="tx1"/>
                  </w14:solidFill>
                </w14:textFill>
              </w:rPr>
              <w:t>100d</w:t>
            </w:r>
          </w:p>
        </w:tc>
        <w:tc>
          <w:tcPr>
            <w:tcW w:w="992" w:type="dxa"/>
            <w:tcMar>
              <w:top w:w="60" w:type="dxa"/>
              <w:left w:w="120" w:type="dxa"/>
              <w:bottom w:w="30" w:type="dxa"/>
              <w:right w:w="120" w:type="dxa"/>
            </w:tcMar>
            <w:vAlign w:val="center"/>
          </w:tcPr>
          <w:p w14:paraId="40797870">
            <w:pPr>
              <w:pStyle w:val="109"/>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1380" w:type="dxa"/>
            <w:tcMar>
              <w:top w:w="60" w:type="dxa"/>
              <w:left w:w="120" w:type="dxa"/>
              <w:bottom w:w="30" w:type="dxa"/>
              <w:right w:w="120" w:type="dxa"/>
            </w:tcMar>
            <w:vAlign w:val="center"/>
          </w:tcPr>
          <w:p w14:paraId="0F0E3A4E">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880" w:type="dxa"/>
            <w:tcMar>
              <w:top w:w="60" w:type="dxa"/>
              <w:left w:w="120" w:type="dxa"/>
              <w:bottom w:w="30" w:type="dxa"/>
              <w:right w:w="120" w:type="dxa"/>
            </w:tcMar>
            <w:vAlign w:val="center"/>
          </w:tcPr>
          <w:p w14:paraId="2FDF7F1B">
            <w:pPr>
              <w:pStyle w:val="109"/>
              <w:rPr>
                <w:color w:val="000000" w:themeColor="text1"/>
                <w14:textFill>
                  <w14:solidFill>
                    <w14:schemeClr w14:val="tx1"/>
                  </w14:solidFill>
                </w14:textFill>
              </w:rPr>
            </w:pPr>
            <w:r>
              <w:rPr>
                <w:color w:val="000000" w:themeColor="text1"/>
                <w14:textFill>
                  <w14:solidFill>
                    <w14:schemeClr w14:val="tx1"/>
                  </w14:solidFill>
                </w14:textFill>
              </w:rPr>
              <w:t>半径35m（圆形范围，面积约3846.5m²）</w:t>
            </w:r>
          </w:p>
        </w:tc>
        <w:tc>
          <w:tcPr>
            <w:tcW w:w="1776" w:type="dxa"/>
            <w:tcMar>
              <w:top w:w="60" w:type="dxa"/>
              <w:left w:w="120" w:type="dxa"/>
              <w:bottom w:w="30" w:type="dxa"/>
              <w:right w:w="120" w:type="dxa"/>
            </w:tcMar>
            <w:vAlign w:val="center"/>
          </w:tcPr>
          <w:p w14:paraId="2C1BEE33">
            <w:pPr>
              <w:pStyle w:val="109"/>
              <w:rPr>
                <w:color w:val="000000" w:themeColor="text1"/>
                <w14:textFill>
                  <w14:solidFill>
                    <w14:schemeClr w14:val="tx1"/>
                  </w14:solidFill>
                </w14:textFill>
              </w:rPr>
            </w:pPr>
            <w:r>
              <w:rPr>
                <w:color w:val="000000" w:themeColor="text1"/>
                <w14:textFill>
                  <w14:solidFill>
                    <w14:schemeClr w14:val="tx1"/>
                  </w14:solidFill>
                </w14:textFill>
              </w:rPr>
              <w:t>半径82m（圆形范围，面积约21113.04m²）</w:t>
            </w:r>
          </w:p>
        </w:tc>
        <w:tc>
          <w:tcPr>
            <w:tcW w:w="2335" w:type="dxa"/>
            <w:tcMar>
              <w:top w:w="60" w:type="dxa"/>
              <w:left w:w="120" w:type="dxa"/>
              <w:bottom w:w="30" w:type="dxa"/>
              <w:right w:w="120" w:type="dxa"/>
            </w:tcMar>
            <w:vAlign w:val="center"/>
          </w:tcPr>
          <w:p w14:paraId="468DE7A1">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泄漏点核心浓度58.7，超标18.6倍；超标范围边缘浓度3.12</w:t>
            </w:r>
          </w:p>
        </w:tc>
      </w:tr>
      <w:tr w14:paraId="264C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continue"/>
            <w:tcMar>
              <w:top w:w="60" w:type="dxa"/>
              <w:left w:w="120" w:type="dxa"/>
              <w:bottom w:w="30" w:type="dxa"/>
              <w:right w:w="120" w:type="dxa"/>
            </w:tcMar>
            <w:vAlign w:val="center"/>
          </w:tcPr>
          <w:p w14:paraId="76127F43">
            <w:pPr>
              <w:pStyle w:val="109"/>
              <w:rPr>
                <w:color w:val="000000" w:themeColor="text1"/>
                <w14:textFill>
                  <w14:solidFill>
                    <w14:schemeClr w14:val="tx1"/>
                  </w14:solidFill>
                </w14:textFill>
              </w:rPr>
            </w:pPr>
          </w:p>
        </w:tc>
        <w:tc>
          <w:tcPr>
            <w:tcW w:w="992" w:type="dxa"/>
            <w:tcMar>
              <w:top w:w="60" w:type="dxa"/>
              <w:left w:w="120" w:type="dxa"/>
              <w:bottom w:w="30" w:type="dxa"/>
              <w:right w:w="120" w:type="dxa"/>
            </w:tcMar>
            <w:vAlign w:val="center"/>
          </w:tcPr>
          <w:p w14:paraId="3EA92EF7">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380" w:type="dxa"/>
            <w:tcMar>
              <w:top w:w="60" w:type="dxa"/>
              <w:left w:w="120" w:type="dxa"/>
              <w:bottom w:w="30" w:type="dxa"/>
              <w:right w:w="120" w:type="dxa"/>
            </w:tcMar>
            <w:vAlign w:val="center"/>
          </w:tcPr>
          <w:p w14:paraId="7B7B9CDB">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880" w:type="dxa"/>
            <w:tcMar>
              <w:top w:w="60" w:type="dxa"/>
              <w:left w:w="120" w:type="dxa"/>
              <w:bottom w:w="30" w:type="dxa"/>
              <w:right w:w="120" w:type="dxa"/>
            </w:tcMar>
            <w:vAlign w:val="center"/>
          </w:tcPr>
          <w:p w14:paraId="503D89AD">
            <w:pPr>
              <w:pStyle w:val="109"/>
              <w:rPr>
                <w:color w:val="000000" w:themeColor="text1"/>
                <w14:textFill>
                  <w14:solidFill>
                    <w14:schemeClr w14:val="tx1"/>
                  </w14:solidFill>
                </w14:textFill>
              </w:rPr>
            </w:pPr>
            <w:r>
              <w:rPr>
                <w:color w:val="000000" w:themeColor="text1"/>
                <w14:textFill>
                  <w14:solidFill>
                    <w14:schemeClr w14:val="tx1"/>
                  </w14:solidFill>
                </w14:textFill>
              </w:rPr>
              <w:t>半径22m（圆形范围，面积约1519.76m²）</w:t>
            </w:r>
          </w:p>
        </w:tc>
        <w:tc>
          <w:tcPr>
            <w:tcW w:w="1776" w:type="dxa"/>
            <w:tcMar>
              <w:top w:w="60" w:type="dxa"/>
              <w:left w:w="120" w:type="dxa"/>
              <w:bottom w:w="30" w:type="dxa"/>
              <w:right w:w="120" w:type="dxa"/>
            </w:tcMar>
            <w:vAlign w:val="center"/>
          </w:tcPr>
          <w:p w14:paraId="63D77F19">
            <w:pPr>
              <w:pStyle w:val="109"/>
              <w:rPr>
                <w:color w:val="000000" w:themeColor="text1"/>
                <w14:textFill>
                  <w14:solidFill>
                    <w14:schemeClr w14:val="tx1"/>
                  </w14:solidFill>
                </w14:textFill>
              </w:rPr>
            </w:pPr>
            <w:r>
              <w:rPr>
                <w:color w:val="000000" w:themeColor="text1"/>
                <w14:textFill>
                  <w14:solidFill>
                    <w14:schemeClr w14:val="tx1"/>
                  </w14:solidFill>
                </w14:textFill>
              </w:rPr>
              <w:t>半径65m（圆形范围，面积约13273m²）</w:t>
            </w:r>
          </w:p>
        </w:tc>
        <w:tc>
          <w:tcPr>
            <w:tcW w:w="2335" w:type="dxa"/>
            <w:tcMar>
              <w:top w:w="60" w:type="dxa"/>
              <w:left w:w="120" w:type="dxa"/>
              <w:bottom w:w="30" w:type="dxa"/>
              <w:right w:w="120" w:type="dxa"/>
            </w:tcMar>
            <w:vAlign w:val="center"/>
          </w:tcPr>
          <w:p w14:paraId="5D33C656">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泄漏点核心浓度1.23，超标1.46倍；超标范围边缘浓度0.52</w:t>
            </w:r>
          </w:p>
        </w:tc>
      </w:tr>
      <w:tr w14:paraId="559F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restart"/>
            <w:tcMar>
              <w:top w:w="60" w:type="dxa"/>
              <w:left w:w="120" w:type="dxa"/>
              <w:bottom w:w="30" w:type="dxa"/>
              <w:right w:w="120" w:type="dxa"/>
            </w:tcMar>
            <w:vAlign w:val="center"/>
          </w:tcPr>
          <w:p w14:paraId="667FD3F9">
            <w:pPr>
              <w:pStyle w:val="109"/>
              <w:rPr>
                <w:color w:val="000000" w:themeColor="text1"/>
                <w14:textFill>
                  <w14:solidFill>
                    <w14:schemeClr w14:val="tx1"/>
                  </w14:solidFill>
                </w14:textFill>
              </w:rPr>
            </w:pPr>
            <w:r>
              <w:rPr>
                <w:color w:val="000000" w:themeColor="text1"/>
                <w14:textFill>
                  <w14:solidFill>
                    <w14:schemeClr w14:val="tx1"/>
                  </w14:solidFill>
                </w14:textFill>
              </w:rPr>
              <w:t>1000d</w:t>
            </w:r>
          </w:p>
        </w:tc>
        <w:tc>
          <w:tcPr>
            <w:tcW w:w="992" w:type="dxa"/>
            <w:tcMar>
              <w:top w:w="60" w:type="dxa"/>
              <w:left w:w="120" w:type="dxa"/>
              <w:bottom w:w="30" w:type="dxa"/>
              <w:right w:w="120" w:type="dxa"/>
            </w:tcMar>
            <w:vAlign w:val="center"/>
          </w:tcPr>
          <w:p w14:paraId="50F3D365">
            <w:pPr>
              <w:pStyle w:val="109"/>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1380" w:type="dxa"/>
            <w:tcMar>
              <w:top w:w="60" w:type="dxa"/>
              <w:left w:w="120" w:type="dxa"/>
              <w:bottom w:w="30" w:type="dxa"/>
              <w:right w:w="120" w:type="dxa"/>
            </w:tcMar>
            <w:vAlign w:val="center"/>
          </w:tcPr>
          <w:p w14:paraId="35019EA9">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880" w:type="dxa"/>
            <w:tcMar>
              <w:top w:w="60" w:type="dxa"/>
              <w:left w:w="120" w:type="dxa"/>
              <w:bottom w:w="30" w:type="dxa"/>
              <w:right w:w="120" w:type="dxa"/>
            </w:tcMar>
            <w:vAlign w:val="center"/>
          </w:tcPr>
          <w:p w14:paraId="1A30927D">
            <w:pPr>
              <w:pStyle w:val="109"/>
              <w:rPr>
                <w:color w:val="000000" w:themeColor="text1"/>
                <w14:textFill>
                  <w14:solidFill>
                    <w14:schemeClr w14:val="tx1"/>
                  </w14:solidFill>
                </w14:textFill>
              </w:rPr>
            </w:pPr>
            <w:r>
              <w:rPr>
                <w:color w:val="000000" w:themeColor="text1"/>
                <w14:textFill>
                  <w14:solidFill>
                    <w14:schemeClr w14:val="tx1"/>
                  </w14:solidFill>
                </w14:textFill>
              </w:rPr>
              <w:t>半径18m（圆形范围，面积约1017.36m²）</w:t>
            </w:r>
          </w:p>
        </w:tc>
        <w:tc>
          <w:tcPr>
            <w:tcW w:w="1776" w:type="dxa"/>
            <w:tcMar>
              <w:top w:w="60" w:type="dxa"/>
              <w:left w:w="120" w:type="dxa"/>
              <w:bottom w:w="30" w:type="dxa"/>
              <w:right w:w="120" w:type="dxa"/>
            </w:tcMar>
            <w:vAlign w:val="center"/>
          </w:tcPr>
          <w:p w14:paraId="547077C3">
            <w:pPr>
              <w:pStyle w:val="109"/>
              <w:rPr>
                <w:color w:val="000000" w:themeColor="text1"/>
                <w14:textFill>
                  <w14:solidFill>
                    <w14:schemeClr w14:val="tx1"/>
                  </w14:solidFill>
                </w14:textFill>
              </w:rPr>
            </w:pPr>
            <w:r>
              <w:rPr>
                <w:color w:val="000000" w:themeColor="text1"/>
                <w14:textFill>
                  <w14:solidFill>
                    <w14:schemeClr w14:val="tx1"/>
                  </w14:solidFill>
                </w14:textFill>
              </w:rPr>
              <w:t>半径158m（圆形范围，面积约78405.04m²）</w:t>
            </w:r>
          </w:p>
        </w:tc>
        <w:tc>
          <w:tcPr>
            <w:tcW w:w="2335" w:type="dxa"/>
            <w:tcMar>
              <w:top w:w="60" w:type="dxa"/>
              <w:left w:w="120" w:type="dxa"/>
              <w:bottom w:w="30" w:type="dxa"/>
              <w:right w:w="120" w:type="dxa"/>
            </w:tcMar>
            <w:vAlign w:val="center"/>
          </w:tcPr>
          <w:p w14:paraId="79AF5013">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泄漏点核心浓度7.9，超标1.63倍；超标范围边缘浓度3.08</w:t>
            </w:r>
          </w:p>
        </w:tc>
      </w:tr>
      <w:tr w14:paraId="015B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continue"/>
            <w:tcMar>
              <w:top w:w="60" w:type="dxa"/>
              <w:left w:w="120" w:type="dxa"/>
              <w:bottom w:w="30" w:type="dxa"/>
              <w:right w:w="120" w:type="dxa"/>
            </w:tcMar>
            <w:vAlign w:val="center"/>
          </w:tcPr>
          <w:p w14:paraId="70713D24">
            <w:pPr>
              <w:pStyle w:val="109"/>
              <w:rPr>
                <w:color w:val="000000" w:themeColor="text1"/>
                <w14:textFill>
                  <w14:solidFill>
                    <w14:schemeClr w14:val="tx1"/>
                  </w14:solidFill>
                </w14:textFill>
              </w:rPr>
            </w:pPr>
          </w:p>
        </w:tc>
        <w:tc>
          <w:tcPr>
            <w:tcW w:w="992" w:type="dxa"/>
            <w:tcMar>
              <w:top w:w="60" w:type="dxa"/>
              <w:left w:w="120" w:type="dxa"/>
              <w:bottom w:w="30" w:type="dxa"/>
              <w:right w:w="120" w:type="dxa"/>
            </w:tcMar>
            <w:vAlign w:val="center"/>
          </w:tcPr>
          <w:p w14:paraId="4343763B">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380" w:type="dxa"/>
            <w:tcMar>
              <w:top w:w="60" w:type="dxa"/>
              <w:left w:w="120" w:type="dxa"/>
              <w:bottom w:w="30" w:type="dxa"/>
              <w:right w:w="120" w:type="dxa"/>
            </w:tcMar>
            <w:vAlign w:val="center"/>
          </w:tcPr>
          <w:p w14:paraId="0E1B7B7F">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880" w:type="dxa"/>
            <w:tcMar>
              <w:top w:w="60" w:type="dxa"/>
              <w:left w:w="120" w:type="dxa"/>
              <w:bottom w:w="30" w:type="dxa"/>
              <w:right w:w="120" w:type="dxa"/>
            </w:tcMar>
            <w:vAlign w:val="center"/>
          </w:tcPr>
          <w:p w14:paraId="4F5D643E">
            <w:pPr>
              <w:pStyle w:val="109"/>
              <w:rPr>
                <w:color w:val="000000" w:themeColor="text1"/>
                <w14:textFill>
                  <w14:solidFill>
                    <w14:schemeClr w14:val="tx1"/>
                  </w14:solidFill>
                </w14:textFill>
              </w:rPr>
            </w:pPr>
            <w:r>
              <w:rPr>
                <w:color w:val="000000" w:themeColor="text1"/>
                <w14:textFill>
                  <w14:solidFill>
                    <w14:schemeClr w14:val="tx1"/>
                  </w14:solidFill>
                </w14:textFill>
              </w:rPr>
              <w:t>半径6m（圆形范围，面积约113.04m²）</w:t>
            </w:r>
          </w:p>
        </w:tc>
        <w:tc>
          <w:tcPr>
            <w:tcW w:w="1776" w:type="dxa"/>
            <w:tcMar>
              <w:top w:w="60" w:type="dxa"/>
              <w:left w:w="120" w:type="dxa"/>
              <w:bottom w:w="30" w:type="dxa"/>
              <w:right w:w="120" w:type="dxa"/>
            </w:tcMar>
            <w:vAlign w:val="center"/>
          </w:tcPr>
          <w:p w14:paraId="4CDB85B3">
            <w:pPr>
              <w:pStyle w:val="109"/>
              <w:rPr>
                <w:color w:val="000000" w:themeColor="text1"/>
                <w14:textFill>
                  <w14:solidFill>
                    <w14:schemeClr w14:val="tx1"/>
                  </w14:solidFill>
                </w14:textFill>
              </w:rPr>
            </w:pPr>
            <w:r>
              <w:rPr>
                <w:color w:val="000000" w:themeColor="text1"/>
                <w14:textFill>
                  <w14:solidFill>
                    <w14:schemeClr w14:val="tx1"/>
                  </w14:solidFill>
                </w14:textFill>
              </w:rPr>
              <w:t>半径120m（圆形范围，面积约45216m²）</w:t>
            </w:r>
          </w:p>
        </w:tc>
        <w:tc>
          <w:tcPr>
            <w:tcW w:w="2335" w:type="dxa"/>
            <w:tcMar>
              <w:top w:w="60" w:type="dxa"/>
              <w:left w:w="120" w:type="dxa"/>
              <w:bottom w:w="30" w:type="dxa"/>
              <w:right w:w="120" w:type="dxa"/>
            </w:tcMar>
            <w:vAlign w:val="center"/>
          </w:tcPr>
          <w:p w14:paraId="1CA50271">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泄漏点核心浓度0.62，超标0.24倍；超标范围边缘浓度0.51</w:t>
            </w:r>
          </w:p>
        </w:tc>
      </w:tr>
      <w:tr w14:paraId="2EAA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restart"/>
            <w:tcMar>
              <w:top w:w="60" w:type="dxa"/>
              <w:left w:w="120" w:type="dxa"/>
              <w:bottom w:w="30" w:type="dxa"/>
              <w:right w:w="120" w:type="dxa"/>
            </w:tcMar>
            <w:vAlign w:val="center"/>
          </w:tcPr>
          <w:p w14:paraId="28360183">
            <w:pPr>
              <w:pStyle w:val="109"/>
              <w:ind w:left="-120" w:leftChars="-50" w:right="-125" w:rightChars="-52"/>
              <w:rPr>
                <w:color w:val="000000" w:themeColor="text1"/>
                <w14:textFill>
                  <w14:solidFill>
                    <w14:schemeClr w14:val="tx1"/>
                  </w14:solidFill>
                </w14:textFill>
              </w:rPr>
            </w:pPr>
            <w:r>
              <w:rPr>
                <w:color w:val="000000" w:themeColor="text1"/>
                <w14:textFill>
                  <w14:solidFill>
                    <w14:schemeClr w14:val="tx1"/>
                  </w14:solidFill>
                </w14:textFill>
              </w:rPr>
              <w:t>10a（3650d）</w:t>
            </w:r>
          </w:p>
        </w:tc>
        <w:tc>
          <w:tcPr>
            <w:tcW w:w="992" w:type="dxa"/>
            <w:tcMar>
              <w:top w:w="60" w:type="dxa"/>
              <w:left w:w="120" w:type="dxa"/>
              <w:bottom w:w="30" w:type="dxa"/>
              <w:right w:w="120" w:type="dxa"/>
            </w:tcMar>
            <w:vAlign w:val="center"/>
          </w:tcPr>
          <w:p w14:paraId="3AE4BD4E">
            <w:pPr>
              <w:pStyle w:val="109"/>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1380" w:type="dxa"/>
            <w:tcMar>
              <w:top w:w="60" w:type="dxa"/>
              <w:left w:w="120" w:type="dxa"/>
              <w:bottom w:w="30" w:type="dxa"/>
              <w:right w:w="120" w:type="dxa"/>
            </w:tcMar>
            <w:vAlign w:val="center"/>
          </w:tcPr>
          <w:p w14:paraId="743F3FF3">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880" w:type="dxa"/>
            <w:tcMar>
              <w:top w:w="60" w:type="dxa"/>
              <w:left w:w="120" w:type="dxa"/>
              <w:bottom w:w="30" w:type="dxa"/>
              <w:right w:w="120" w:type="dxa"/>
            </w:tcMar>
            <w:vAlign w:val="center"/>
          </w:tcPr>
          <w:p w14:paraId="398530EF">
            <w:pPr>
              <w:pStyle w:val="109"/>
              <w:rPr>
                <w:color w:val="000000" w:themeColor="text1"/>
                <w14:textFill>
                  <w14:solidFill>
                    <w14:schemeClr w14:val="tx1"/>
                  </w14:solidFill>
                </w14:textFill>
              </w:rPr>
            </w:pPr>
            <w:r>
              <w:rPr>
                <w:color w:val="000000" w:themeColor="text1"/>
                <w14:textFill>
                  <w14:solidFill>
                    <w14:schemeClr w14:val="tx1"/>
                  </w14:solidFill>
                </w14:textFill>
              </w:rPr>
              <w:t>无超标范围（浓度均≤2.95）</w:t>
            </w:r>
          </w:p>
        </w:tc>
        <w:tc>
          <w:tcPr>
            <w:tcW w:w="1776" w:type="dxa"/>
            <w:tcMar>
              <w:top w:w="60" w:type="dxa"/>
              <w:left w:w="120" w:type="dxa"/>
              <w:bottom w:w="30" w:type="dxa"/>
              <w:right w:w="120" w:type="dxa"/>
            </w:tcMar>
            <w:vAlign w:val="center"/>
          </w:tcPr>
          <w:p w14:paraId="45B30AC7">
            <w:pPr>
              <w:pStyle w:val="109"/>
              <w:rPr>
                <w:color w:val="000000" w:themeColor="text1"/>
                <w14:textFill>
                  <w14:solidFill>
                    <w14:schemeClr w14:val="tx1"/>
                  </w14:solidFill>
                </w14:textFill>
              </w:rPr>
            </w:pPr>
            <w:r>
              <w:rPr>
                <w:color w:val="000000" w:themeColor="text1"/>
                <w14:textFill>
                  <w14:solidFill>
                    <w14:schemeClr w14:val="tx1"/>
                  </w14:solidFill>
                </w14:textFill>
              </w:rPr>
              <w:t>半径265m（圆形范围，面积约219756.25m²）</w:t>
            </w:r>
          </w:p>
        </w:tc>
        <w:tc>
          <w:tcPr>
            <w:tcW w:w="2335" w:type="dxa"/>
            <w:tcMar>
              <w:top w:w="60" w:type="dxa"/>
              <w:left w:w="120" w:type="dxa"/>
              <w:bottom w:w="30" w:type="dxa"/>
              <w:right w:w="120" w:type="dxa"/>
            </w:tcMar>
            <w:vAlign w:val="center"/>
          </w:tcPr>
          <w:p w14:paraId="00B158DA">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泄漏点核心浓度2.95，未超标；影响范围边缘浓度0.011</w:t>
            </w:r>
          </w:p>
        </w:tc>
      </w:tr>
      <w:tr w14:paraId="47D1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continue"/>
            <w:tcMar>
              <w:top w:w="60" w:type="dxa"/>
              <w:left w:w="120" w:type="dxa"/>
              <w:bottom w:w="30" w:type="dxa"/>
              <w:right w:w="120" w:type="dxa"/>
            </w:tcMar>
            <w:vAlign w:val="center"/>
          </w:tcPr>
          <w:p w14:paraId="566D25EF">
            <w:pPr>
              <w:pStyle w:val="109"/>
              <w:rPr>
                <w:color w:val="000000" w:themeColor="text1"/>
                <w14:textFill>
                  <w14:solidFill>
                    <w14:schemeClr w14:val="tx1"/>
                  </w14:solidFill>
                </w14:textFill>
              </w:rPr>
            </w:pPr>
          </w:p>
        </w:tc>
        <w:tc>
          <w:tcPr>
            <w:tcW w:w="992" w:type="dxa"/>
            <w:tcMar>
              <w:top w:w="60" w:type="dxa"/>
              <w:left w:w="120" w:type="dxa"/>
              <w:bottom w:w="30" w:type="dxa"/>
              <w:right w:w="120" w:type="dxa"/>
            </w:tcMar>
            <w:vAlign w:val="center"/>
          </w:tcPr>
          <w:p w14:paraId="34552AC3">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380" w:type="dxa"/>
            <w:tcMar>
              <w:top w:w="60" w:type="dxa"/>
              <w:left w:w="120" w:type="dxa"/>
              <w:bottom w:w="30" w:type="dxa"/>
              <w:right w:w="120" w:type="dxa"/>
            </w:tcMar>
            <w:vAlign w:val="center"/>
          </w:tcPr>
          <w:p w14:paraId="42565068">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880" w:type="dxa"/>
            <w:tcMar>
              <w:top w:w="60" w:type="dxa"/>
              <w:left w:w="120" w:type="dxa"/>
              <w:bottom w:w="30" w:type="dxa"/>
              <w:right w:w="120" w:type="dxa"/>
            </w:tcMar>
            <w:vAlign w:val="center"/>
          </w:tcPr>
          <w:p w14:paraId="04579042">
            <w:pPr>
              <w:pStyle w:val="109"/>
              <w:rPr>
                <w:color w:val="000000" w:themeColor="text1"/>
                <w14:textFill>
                  <w14:solidFill>
                    <w14:schemeClr w14:val="tx1"/>
                  </w14:solidFill>
                </w14:textFill>
              </w:rPr>
            </w:pPr>
            <w:r>
              <w:rPr>
                <w:color w:val="000000" w:themeColor="text1"/>
                <w14:textFill>
                  <w14:solidFill>
                    <w14:schemeClr w14:val="tx1"/>
                  </w14:solidFill>
                </w14:textFill>
              </w:rPr>
              <w:t>无超标范围（浓度均≤0.49）</w:t>
            </w:r>
          </w:p>
        </w:tc>
        <w:tc>
          <w:tcPr>
            <w:tcW w:w="1776" w:type="dxa"/>
            <w:tcMar>
              <w:top w:w="60" w:type="dxa"/>
              <w:left w:w="120" w:type="dxa"/>
              <w:bottom w:w="30" w:type="dxa"/>
              <w:right w:w="120" w:type="dxa"/>
            </w:tcMar>
            <w:vAlign w:val="center"/>
          </w:tcPr>
          <w:p w14:paraId="2E45EBBA">
            <w:pPr>
              <w:pStyle w:val="109"/>
              <w:rPr>
                <w:color w:val="000000" w:themeColor="text1"/>
                <w14:textFill>
                  <w14:solidFill>
                    <w14:schemeClr w14:val="tx1"/>
                  </w14:solidFill>
                </w14:textFill>
              </w:rPr>
            </w:pPr>
            <w:r>
              <w:rPr>
                <w:color w:val="000000" w:themeColor="text1"/>
                <w14:textFill>
                  <w14:solidFill>
                    <w14:schemeClr w14:val="tx1"/>
                  </w14:solidFill>
                </w14:textFill>
              </w:rPr>
              <w:t>半径210m（圆形范围，面积约138474m²）</w:t>
            </w:r>
          </w:p>
        </w:tc>
        <w:tc>
          <w:tcPr>
            <w:tcW w:w="2335" w:type="dxa"/>
            <w:tcMar>
              <w:top w:w="60" w:type="dxa"/>
              <w:left w:w="120" w:type="dxa"/>
              <w:bottom w:w="30" w:type="dxa"/>
              <w:right w:w="120" w:type="dxa"/>
            </w:tcMar>
            <w:vAlign w:val="center"/>
          </w:tcPr>
          <w:p w14:paraId="4B70F771">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泄漏点核心浓度0.49，未超标；影响范围边缘浓度0.010</w:t>
            </w:r>
          </w:p>
        </w:tc>
      </w:tr>
      <w:tr w14:paraId="7D26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restart"/>
            <w:tcMar>
              <w:top w:w="60" w:type="dxa"/>
              <w:left w:w="120" w:type="dxa"/>
              <w:bottom w:w="30" w:type="dxa"/>
              <w:right w:w="120" w:type="dxa"/>
            </w:tcMar>
            <w:vAlign w:val="center"/>
          </w:tcPr>
          <w:p w14:paraId="4AF73C6C">
            <w:pPr>
              <w:pStyle w:val="109"/>
              <w:ind w:left="-120" w:leftChars="-50" w:right="-125" w:rightChars="-52"/>
              <w:rPr>
                <w:color w:val="000000" w:themeColor="text1"/>
                <w14:textFill>
                  <w14:solidFill>
                    <w14:schemeClr w14:val="tx1"/>
                  </w14:solidFill>
                </w14:textFill>
              </w:rPr>
            </w:pPr>
            <w:r>
              <w:rPr>
                <w:color w:val="000000" w:themeColor="text1"/>
                <w14:textFill>
                  <w14:solidFill>
                    <w14:schemeClr w14:val="tx1"/>
                  </w14:solidFill>
                </w14:textFill>
              </w:rPr>
              <w:t>20a（7300d）</w:t>
            </w:r>
          </w:p>
        </w:tc>
        <w:tc>
          <w:tcPr>
            <w:tcW w:w="992" w:type="dxa"/>
            <w:tcMar>
              <w:top w:w="60" w:type="dxa"/>
              <w:left w:w="120" w:type="dxa"/>
              <w:bottom w:w="30" w:type="dxa"/>
              <w:right w:w="120" w:type="dxa"/>
            </w:tcMar>
            <w:vAlign w:val="center"/>
          </w:tcPr>
          <w:p w14:paraId="09D5E470">
            <w:pPr>
              <w:pStyle w:val="109"/>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1380" w:type="dxa"/>
            <w:tcMar>
              <w:top w:w="60" w:type="dxa"/>
              <w:left w:w="120" w:type="dxa"/>
              <w:bottom w:w="30" w:type="dxa"/>
              <w:right w:w="120" w:type="dxa"/>
            </w:tcMar>
            <w:vAlign w:val="center"/>
          </w:tcPr>
          <w:p w14:paraId="6DA9510F">
            <w:pPr>
              <w:pStyle w:val="109"/>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880" w:type="dxa"/>
            <w:tcMar>
              <w:top w:w="60" w:type="dxa"/>
              <w:left w:w="120" w:type="dxa"/>
              <w:bottom w:w="30" w:type="dxa"/>
              <w:right w:w="120" w:type="dxa"/>
            </w:tcMar>
            <w:vAlign w:val="center"/>
          </w:tcPr>
          <w:p w14:paraId="1397AB61">
            <w:pPr>
              <w:pStyle w:val="109"/>
              <w:rPr>
                <w:color w:val="000000" w:themeColor="text1"/>
                <w14:textFill>
                  <w14:solidFill>
                    <w14:schemeClr w14:val="tx1"/>
                  </w14:solidFill>
                </w14:textFill>
              </w:rPr>
            </w:pPr>
            <w:r>
              <w:rPr>
                <w:color w:val="000000" w:themeColor="text1"/>
                <w14:textFill>
                  <w14:solidFill>
                    <w14:schemeClr w14:val="tx1"/>
                  </w14:solidFill>
                </w14:textFill>
              </w:rPr>
              <w:t>无超标范围（浓度均≤1.8）</w:t>
            </w:r>
          </w:p>
        </w:tc>
        <w:tc>
          <w:tcPr>
            <w:tcW w:w="1776" w:type="dxa"/>
            <w:tcMar>
              <w:top w:w="60" w:type="dxa"/>
              <w:left w:w="120" w:type="dxa"/>
              <w:bottom w:w="30" w:type="dxa"/>
              <w:right w:w="120" w:type="dxa"/>
            </w:tcMar>
            <w:vAlign w:val="center"/>
          </w:tcPr>
          <w:p w14:paraId="3C9676B0">
            <w:pPr>
              <w:pStyle w:val="109"/>
              <w:rPr>
                <w:color w:val="000000" w:themeColor="text1"/>
                <w14:textFill>
                  <w14:solidFill>
                    <w14:schemeClr w14:val="tx1"/>
                  </w14:solidFill>
                </w14:textFill>
              </w:rPr>
            </w:pPr>
            <w:r>
              <w:rPr>
                <w:color w:val="000000" w:themeColor="text1"/>
                <w14:textFill>
                  <w14:solidFill>
                    <w14:schemeClr w14:val="tx1"/>
                  </w14:solidFill>
                </w14:textFill>
              </w:rPr>
              <w:t>半径340m（圆形范围，面积约363076m²）</w:t>
            </w:r>
          </w:p>
        </w:tc>
        <w:tc>
          <w:tcPr>
            <w:tcW w:w="2335" w:type="dxa"/>
            <w:tcMar>
              <w:top w:w="60" w:type="dxa"/>
              <w:left w:w="120" w:type="dxa"/>
              <w:bottom w:w="30" w:type="dxa"/>
              <w:right w:w="120" w:type="dxa"/>
            </w:tcMar>
            <w:vAlign w:val="center"/>
          </w:tcPr>
          <w:p w14:paraId="73541E98">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泄漏点核心浓度1.8，未超标；影响范围边缘浓度0.010</w:t>
            </w:r>
          </w:p>
        </w:tc>
      </w:tr>
      <w:tr w14:paraId="21F3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vMerge w:val="continue"/>
            <w:tcMar>
              <w:top w:w="60" w:type="dxa"/>
              <w:left w:w="120" w:type="dxa"/>
              <w:bottom w:w="30" w:type="dxa"/>
              <w:right w:w="120" w:type="dxa"/>
            </w:tcMar>
            <w:vAlign w:val="center"/>
          </w:tcPr>
          <w:p w14:paraId="4BE9C73F">
            <w:pPr>
              <w:pStyle w:val="109"/>
              <w:rPr>
                <w:color w:val="000000" w:themeColor="text1"/>
                <w14:textFill>
                  <w14:solidFill>
                    <w14:schemeClr w14:val="tx1"/>
                  </w14:solidFill>
                </w14:textFill>
              </w:rPr>
            </w:pPr>
          </w:p>
        </w:tc>
        <w:tc>
          <w:tcPr>
            <w:tcW w:w="992" w:type="dxa"/>
            <w:tcMar>
              <w:top w:w="60" w:type="dxa"/>
              <w:left w:w="120" w:type="dxa"/>
              <w:bottom w:w="30" w:type="dxa"/>
              <w:right w:w="120" w:type="dxa"/>
            </w:tcMar>
            <w:vAlign w:val="center"/>
          </w:tcPr>
          <w:p w14:paraId="628D8CE2">
            <w:pPr>
              <w:pStyle w:val="109"/>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380" w:type="dxa"/>
            <w:tcMar>
              <w:top w:w="60" w:type="dxa"/>
              <w:left w:w="120" w:type="dxa"/>
              <w:bottom w:w="30" w:type="dxa"/>
              <w:right w:w="120" w:type="dxa"/>
            </w:tcMar>
            <w:vAlign w:val="center"/>
          </w:tcPr>
          <w:p w14:paraId="6B62A180">
            <w:pPr>
              <w:pStyle w:val="109"/>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880" w:type="dxa"/>
            <w:tcMar>
              <w:top w:w="60" w:type="dxa"/>
              <w:left w:w="120" w:type="dxa"/>
              <w:bottom w:w="30" w:type="dxa"/>
              <w:right w:w="120" w:type="dxa"/>
            </w:tcMar>
            <w:vAlign w:val="center"/>
          </w:tcPr>
          <w:p w14:paraId="41DA9ED1">
            <w:pPr>
              <w:pStyle w:val="109"/>
              <w:rPr>
                <w:color w:val="000000" w:themeColor="text1"/>
                <w14:textFill>
                  <w14:solidFill>
                    <w14:schemeClr w14:val="tx1"/>
                  </w14:solidFill>
                </w14:textFill>
              </w:rPr>
            </w:pPr>
            <w:r>
              <w:rPr>
                <w:color w:val="000000" w:themeColor="text1"/>
                <w14:textFill>
                  <w14:solidFill>
                    <w14:schemeClr w14:val="tx1"/>
                  </w14:solidFill>
                </w14:textFill>
              </w:rPr>
              <w:t>无超标范围（浓度均≤0.08）</w:t>
            </w:r>
          </w:p>
        </w:tc>
        <w:tc>
          <w:tcPr>
            <w:tcW w:w="1776" w:type="dxa"/>
            <w:tcMar>
              <w:top w:w="60" w:type="dxa"/>
              <w:left w:w="120" w:type="dxa"/>
              <w:bottom w:w="30" w:type="dxa"/>
              <w:right w:w="120" w:type="dxa"/>
            </w:tcMar>
            <w:vAlign w:val="center"/>
          </w:tcPr>
          <w:p w14:paraId="7B0B8061">
            <w:pPr>
              <w:pStyle w:val="109"/>
              <w:rPr>
                <w:color w:val="000000" w:themeColor="text1"/>
                <w14:textFill>
                  <w14:solidFill>
                    <w14:schemeClr w14:val="tx1"/>
                  </w14:solidFill>
                </w14:textFill>
              </w:rPr>
            </w:pPr>
            <w:r>
              <w:rPr>
                <w:color w:val="000000" w:themeColor="text1"/>
                <w14:textFill>
                  <w14:solidFill>
                    <w14:schemeClr w14:val="tx1"/>
                  </w14:solidFill>
                </w14:textFill>
              </w:rPr>
              <w:t>半径285m（圆形范围，面积约255046.5m²）</w:t>
            </w:r>
          </w:p>
        </w:tc>
        <w:tc>
          <w:tcPr>
            <w:tcW w:w="2335" w:type="dxa"/>
            <w:tcMar>
              <w:top w:w="60" w:type="dxa"/>
              <w:left w:w="120" w:type="dxa"/>
              <w:bottom w:w="30" w:type="dxa"/>
              <w:right w:w="120" w:type="dxa"/>
            </w:tcMar>
            <w:vAlign w:val="center"/>
          </w:tcPr>
          <w:p w14:paraId="0348FBE2">
            <w:pPr>
              <w:pStyle w:val="109"/>
              <w:rPr>
                <w:color w:val="000000" w:themeColor="text1"/>
                <w14:textFill>
                  <w14:solidFill>
                    <w14:schemeClr w14:val="tx1"/>
                  </w14:solidFill>
                </w14:textFill>
              </w:rPr>
            </w:pPr>
            <w:r>
              <w:rPr>
                <w:color w:val="000000" w:themeColor="text1"/>
                <w14:textFill>
                  <w14:solidFill>
                    <w14:schemeClr w14:val="tx1"/>
                  </w14:solidFill>
                </w14:textFill>
              </w:rPr>
              <w:t>泄漏点核心浓度0.08，未超标；影响范围边缘浓度0.010</w:t>
            </w:r>
          </w:p>
        </w:tc>
      </w:tr>
    </w:tbl>
    <w:p w14:paraId="1EB14522">
      <w:pPr>
        <w:ind w:firstLine="480"/>
        <w:rPr>
          <w:color w:val="000000" w:themeColor="text1"/>
          <w14:textFill>
            <w14:solidFill>
              <w14:schemeClr w14:val="tx1"/>
            </w14:solidFill>
          </w14:textFill>
        </w:rPr>
      </w:pPr>
      <w:r>
        <w:rPr>
          <w:color w:val="000000" w:themeColor="text1"/>
          <w14:textFill>
            <w14:solidFill>
              <w14:schemeClr w14:val="tx1"/>
            </w14:solidFill>
          </w14:textFill>
        </w:rPr>
        <w:t>说明：长期连续泄漏情景下，污染物持续注入，1000d内超标范围逐步扩大后开始缩小，核心浓度持续衰减；10a后两种污染物均无超标范围，影响范围随时间持续扩大，但浓度已降至评价标准以下，无明显环境风险。</w:t>
      </w:r>
    </w:p>
    <w:bookmarkEnd w:id="444"/>
    <w:p w14:paraId="74BAFD80">
      <w:pPr>
        <w:pStyle w:val="5"/>
        <w:rPr>
          <w:rFonts w:ascii="Times New Roman" w:hAnsi="Times New Roman"/>
          <w:color w:val="000000" w:themeColor="text1"/>
          <w:lang w:val="zh-CN"/>
          <w14:textFill>
            <w14:solidFill>
              <w14:schemeClr w14:val="tx1"/>
            </w14:solidFill>
          </w14:textFill>
        </w:rPr>
      </w:pPr>
      <w:bookmarkStart w:id="445" w:name="_Toc7091"/>
      <w:r>
        <w:rPr>
          <w:rFonts w:ascii="Times New Roman" w:hAnsi="Times New Roman"/>
          <w:color w:val="000000" w:themeColor="text1"/>
          <w:lang w:val="zh-CN"/>
          <w14:textFill>
            <w14:solidFill>
              <w14:schemeClr w14:val="tx1"/>
            </w14:solidFill>
          </w14:textFill>
        </w:rPr>
        <w:t>地下水环境影响预测与评价小结</w:t>
      </w:r>
      <w:bookmarkEnd w:id="445"/>
    </w:p>
    <w:p w14:paraId="6F4C1606">
      <w:pPr>
        <w:ind w:firstLine="480"/>
        <w:rPr>
          <w:color w:val="000000" w:themeColor="text1"/>
          <w:lang w:val="zh-CN" w:bidi="zh-CN"/>
          <w14:textFill>
            <w14:solidFill>
              <w14:schemeClr w14:val="tx1"/>
            </w14:solidFill>
          </w14:textFill>
        </w:rPr>
      </w:pPr>
      <w:r>
        <w:rPr>
          <w:rFonts w:hint="eastAsia"/>
          <w:color w:val="000000" w:themeColor="text1"/>
          <w:lang w:val="zh-CN" w:bidi="zh-CN"/>
          <w14:textFill>
            <w14:solidFill>
              <w14:schemeClr w14:val="tx1"/>
            </w14:solidFill>
          </w14:textFill>
        </w:rPr>
        <w:t>结合上述精准核算的各时段污染物超标范围、影响范围数据，对本项目地下水环境影响进行综合评价，结论如下：</w:t>
      </w:r>
    </w:p>
    <w:p w14:paraId="54F5C669">
      <w:pPr>
        <w:ind w:firstLine="480"/>
        <w:rPr>
          <w:color w:val="000000" w:themeColor="text1"/>
          <w:lang w:val="zh-CN" w:bidi="zh-CN"/>
          <w14:textFill>
            <w14:solidFill>
              <w14:schemeClr w14:val="tx1"/>
            </w14:solidFill>
          </w14:textFill>
        </w:rPr>
      </w:pPr>
      <w:r>
        <w:rPr>
          <w:rFonts w:hint="eastAsia"/>
          <w:color w:val="000000" w:themeColor="text1"/>
          <w:lang w:val="zh-CN" w:bidi="zh-CN"/>
          <w14:textFill>
            <w14:solidFill>
              <w14:schemeClr w14:val="tx1"/>
            </w14:solidFill>
          </w14:textFill>
        </w:rPr>
        <w:t>1.</w:t>
      </w:r>
      <w:r>
        <w:rPr>
          <w:rFonts w:hint="eastAsia"/>
          <w:color w:val="000000" w:themeColor="text1"/>
          <w:lang w:val="zh-CN" w:bidi="zh-CN"/>
          <w14:textFill>
            <w14:solidFill>
              <w14:schemeClr w14:val="tx1"/>
            </w14:solidFill>
          </w14:textFill>
        </w:rPr>
        <w:tab/>
      </w:r>
      <w:r>
        <w:rPr>
          <w:rFonts w:hint="eastAsia"/>
          <w:color w:val="000000" w:themeColor="text1"/>
          <w:lang w:val="zh-CN" w:bidi="zh-CN"/>
          <w14:textFill>
            <w14:solidFill>
              <w14:schemeClr w14:val="tx1"/>
            </w14:solidFill>
          </w14:textFill>
        </w:rPr>
        <w:t>瞬时泄漏情景：100d内，高锰酸盐指数超标范围半径28m、氨氮超标范围半径15m，影响范围分别为65m、48m，核心浓度超标明显；1000d后，氨氮无超标范围，高锰酸盐指数超标范围缩小至半径8m；10a及20a后，两种污染物均无超标范围，影响范围虽有所扩大，但浓度已降至评价标准以下，对地下水环境影响较小，且可逐步恢复。</w:t>
      </w:r>
    </w:p>
    <w:p w14:paraId="73C98913">
      <w:pPr>
        <w:ind w:firstLine="480"/>
        <w:rPr>
          <w:color w:val="000000" w:themeColor="text1"/>
          <w:lang w:val="zh-CN" w:bidi="zh-CN"/>
          <w14:textFill>
            <w14:solidFill>
              <w14:schemeClr w14:val="tx1"/>
            </w14:solidFill>
          </w14:textFill>
        </w:rPr>
      </w:pPr>
      <w:r>
        <w:rPr>
          <w:rFonts w:hint="eastAsia"/>
          <w:color w:val="000000" w:themeColor="text1"/>
          <w:lang w:val="zh-CN" w:bidi="zh-CN"/>
          <w14:textFill>
            <w14:solidFill>
              <w14:schemeClr w14:val="tx1"/>
            </w14:solidFill>
          </w14:textFill>
        </w:rPr>
        <w:t>2.</w:t>
      </w:r>
      <w:r>
        <w:rPr>
          <w:rFonts w:hint="eastAsia"/>
          <w:color w:val="000000" w:themeColor="text1"/>
          <w:lang w:val="zh-CN" w:bidi="zh-CN"/>
          <w14:textFill>
            <w14:solidFill>
              <w14:schemeClr w14:val="tx1"/>
            </w14:solidFill>
          </w14:textFill>
        </w:rPr>
        <w:tab/>
      </w:r>
      <w:r>
        <w:rPr>
          <w:rFonts w:hint="eastAsia"/>
          <w:color w:val="000000" w:themeColor="text1"/>
          <w:lang w:val="zh-CN" w:bidi="zh-CN"/>
          <w14:textFill>
            <w14:solidFill>
              <w14:schemeClr w14:val="tx1"/>
            </w14:solidFill>
          </w14:textFill>
        </w:rPr>
        <w:t>长期连续泄漏情景：100d内，高锰酸盐指数超标范围半径35m、氨氮超标范围半径22m，影响范围分别为82m、65m；1000d后，高锰酸盐指数超标范围缩小至18m，氨氮缩小至6m；10a后，两种污染物均无超标范围，20a后核心浓度进一步衰减，影响范围虽持续扩大，但未超出项目周边1km保护范围，未对地下水环境保护目标造成实质性影响。</w:t>
      </w:r>
    </w:p>
    <w:p w14:paraId="1CC57259">
      <w:pPr>
        <w:pStyle w:val="3"/>
        <w:rPr>
          <w:rFonts w:ascii="Times New Roman" w:cs="Times New Roman"/>
          <w:color w:val="000000" w:themeColor="text1"/>
          <w14:textFill>
            <w14:solidFill>
              <w14:schemeClr w14:val="tx1"/>
            </w14:solidFill>
          </w14:textFill>
        </w:rPr>
      </w:pPr>
      <w:bookmarkStart w:id="446" w:name="_Toc225268320"/>
      <w:r>
        <w:rPr>
          <w:rFonts w:ascii="Times New Roman" w:cs="Times New Roman"/>
          <w:color w:val="000000" w:themeColor="text1"/>
          <w:lang w:val="zh-CN"/>
          <w14:textFill>
            <w14:solidFill>
              <w14:schemeClr w14:val="tx1"/>
            </w14:solidFill>
          </w14:textFill>
        </w:rPr>
        <w:t>噪声影响预测与评价</w:t>
      </w:r>
      <w:bookmarkEnd w:id="446"/>
    </w:p>
    <w:p w14:paraId="741F366B">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预测范围</w:t>
      </w:r>
    </w:p>
    <w:p w14:paraId="6C77A7F8">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本项目预测范围为项目区厂界外200m。</w:t>
      </w:r>
    </w:p>
    <w:p w14:paraId="4573D41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预测点和评价点</w:t>
      </w:r>
    </w:p>
    <w:p w14:paraId="079C986E">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本项目预测评价范围内无声环境保护目标，因此，本次评价仅将建设项目厂界作为预测点和评价点，预测和评价建设项目在运营期厂界噪声贡献值，评价其超标和达标情况。</w:t>
      </w:r>
    </w:p>
    <w:p w14:paraId="1D90632B">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声源数据</w:t>
      </w:r>
    </w:p>
    <w:p w14:paraId="6FFC1DD1">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厂区声功能区划属于《声环境质量标准》（GB3096-2008）的“3类区”，厂界各侧噪声排放标准应执行《工业企业厂界环境噪声排放标准》（GB12348-2008）中的3类标准限值的要求，即昼间65dB（A），夜间55dB（A）。</w:t>
      </w:r>
    </w:p>
    <w:p w14:paraId="30C03E0D">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预测模式及参数选择</w:t>
      </w:r>
    </w:p>
    <w:p w14:paraId="362D7F29">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根据《环境影响评价技术导则 声环境》（HJ2.4-2021）中推荐的预测方法，对本项目产生的噪声进行影响预测。</w:t>
      </w:r>
    </w:p>
    <w:p w14:paraId="0A742110">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1、室外声源在预测点产生的声级计算</w:t>
      </w:r>
    </w:p>
    <w:p w14:paraId="24251C22">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点声源几何发散衰减的基本公式是：</w:t>
      </w:r>
    </w:p>
    <w:p w14:paraId="3EB51C78">
      <w:pPr>
        <w:ind w:firstLine="480"/>
        <w:jc w:val="center"/>
        <w:rPr>
          <w:bCs/>
          <w:color w:val="000000" w:themeColor="text1"/>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A</w:t>
      </w:r>
      <w:r>
        <w:rPr>
          <w:bCs/>
          <w:color w:val="000000" w:themeColor="text1"/>
          <w14:textFill>
            <w14:solidFill>
              <w14:schemeClr w14:val="tx1"/>
            </w14:solidFill>
          </w14:textFill>
        </w:rPr>
        <w:t>（r）=L</w:t>
      </w:r>
      <w:r>
        <w:rPr>
          <w:bCs/>
          <w:color w:val="000000" w:themeColor="text1"/>
          <w:vertAlign w:val="subscript"/>
          <w14:textFill>
            <w14:solidFill>
              <w14:schemeClr w14:val="tx1"/>
            </w14:solidFill>
          </w14:textFill>
        </w:rPr>
        <w:t>AW</w:t>
      </w:r>
      <w:r>
        <w:rPr>
          <w:bCs/>
          <w:color w:val="000000" w:themeColor="text1"/>
          <w14:textFill>
            <w14:solidFill>
              <w14:schemeClr w14:val="tx1"/>
            </w14:solidFill>
          </w14:textFill>
        </w:rPr>
        <w:t>-20lgr-11</w:t>
      </w:r>
    </w:p>
    <w:p w14:paraId="4511F272">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式中：L</w:t>
      </w:r>
      <w:r>
        <w:rPr>
          <w:bCs/>
          <w:color w:val="000000" w:themeColor="text1"/>
          <w:vertAlign w:val="subscript"/>
          <w14:textFill>
            <w14:solidFill>
              <w14:schemeClr w14:val="tx1"/>
            </w14:solidFill>
          </w14:textFill>
        </w:rPr>
        <w:t>A</w:t>
      </w:r>
      <w:r>
        <w:rPr>
          <w:bCs/>
          <w:color w:val="000000" w:themeColor="text1"/>
          <w14:textFill>
            <w14:solidFill>
              <w14:schemeClr w14:val="tx1"/>
            </w14:solidFill>
          </w14:textFill>
        </w:rPr>
        <w:t>（r）——距声源r处的A声级，dB(A)；</w:t>
      </w:r>
    </w:p>
    <w:p w14:paraId="5C8EEADC">
      <w:pPr>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AW</w:t>
      </w:r>
      <w:r>
        <w:rPr>
          <w:bCs/>
          <w:color w:val="000000" w:themeColor="text1"/>
          <w14:textFill>
            <w14:solidFill>
              <w14:schemeClr w14:val="tx1"/>
            </w14:solidFill>
          </w14:textFill>
        </w:rPr>
        <w:t>——点声源A计权声功率级，dB；</w:t>
      </w:r>
    </w:p>
    <w:p w14:paraId="71D4E5E4">
      <w:pPr>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r——预测点距声源的距离。</w:t>
      </w:r>
    </w:p>
    <w:p w14:paraId="0F845238">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2、室内声源等效室外声源声功率级计算</w:t>
      </w:r>
    </w:p>
    <w:p w14:paraId="6252E185">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声源位于室内，室内声源采用等效室外声源声功率级法进行计算。设靠近开口处（或窗户）室内、室外某倍频带的声压级分别为L</w:t>
      </w:r>
      <w:r>
        <w:rPr>
          <w:bCs/>
          <w:color w:val="000000" w:themeColor="text1"/>
          <w:vertAlign w:val="subscript"/>
          <w14:textFill>
            <w14:solidFill>
              <w14:schemeClr w14:val="tx1"/>
            </w14:solidFill>
          </w14:textFill>
        </w:rPr>
        <w:t>p1</w:t>
      </w:r>
      <w:r>
        <w:rPr>
          <w:bCs/>
          <w:color w:val="000000" w:themeColor="text1"/>
          <w14:textFill>
            <w14:solidFill>
              <w14:schemeClr w14:val="tx1"/>
            </w14:solidFill>
          </w14:textFill>
        </w:rPr>
        <w:t>和L</w:t>
      </w:r>
      <w:r>
        <w:rPr>
          <w:bCs/>
          <w:color w:val="000000" w:themeColor="text1"/>
          <w:vertAlign w:val="subscript"/>
          <w14:textFill>
            <w14:solidFill>
              <w14:schemeClr w14:val="tx1"/>
            </w14:solidFill>
          </w14:textFill>
        </w:rPr>
        <w:t>p2</w:t>
      </w:r>
      <w:r>
        <w:rPr>
          <w:bCs/>
          <w:color w:val="000000" w:themeColor="text1"/>
          <w14:textFill>
            <w14:solidFill>
              <w14:schemeClr w14:val="tx1"/>
            </w14:solidFill>
          </w14:textFill>
        </w:rPr>
        <w:t>。若声源所在室内声场为近似扩散声场，则室外的倍频带声压级可按以下公式近似求出：</w:t>
      </w:r>
    </w:p>
    <w:p w14:paraId="20A2877B">
      <w:pPr>
        <w:ind w:firstLine="480"/>
        <w:jc w:val="center"/>
        <w:rPr>
          <w:bCs/>
          <w:color w:val="000000" w:themeColor="text1"/>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p2</w:t>
      </w: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p1</w:t>
      </w:r>
      <w:r>
        <w:rPr>
          <w:bCs/>
          <w:color w:val="000000" w:themeColor="text1"/>
          <w14:textFill>
            <w14:solidFill>
              <w14:schemeClr w14:val="tx1"/>
            </w14:solidFill>
          </w14:textFill>
        </w:rPr>
        <w:t>－（TL+6）</w:t>
      </w:r>
    </w:p>
    <w:p w14:paraId="16343D32">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式中：L</w:t>
      </w:r>
      <w:r>
        <w:rPr>
          <w:bCs/>
          <w:color w:val="000000" w:themeColor="text1"/>
          <w:vertAlign w:val="subscript"/>
          <w14:textFill>
            <w14:solidFill>
              <w14:schemeClr w14:val="tx1"/>
            </w14:solidFill>
          </w14:textFill>
        </w:rPr>
        <w:t>p1</w:t>
      </w:r>
      <w:r>
        <w:rPr>
          <w:bCs/>
          <w:color w:val="000000" w:themeColor="text1"/>
          <w14:textFill>
            <w14:solidFill>
              <w14:schemeClr w14:val="tx1"/>
            </w14:solidFill>
          </w14:textFill>
        </w:rPr>
        <w:t>——靠近开口处（或窗户）室内某倍频带的声压级或A声级，dB；</w:t>
      </w:r>
    </w:p>
    <w:p w14:paraId="6D1C73E3">
      <w:pPr>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p2</w:t>
      </w:r>
      <w:r>
        <w:rPr>
          <w:bCs/>
          <w:color w:val="000000" w:themeColor="text1"/>
          <w14:textFill>
            <w14:solidFill>
              <w14:schemeClr w14:val="tx1"/>
            </w14:solidFill>
          </w14:textFill>
        </w:rPr>
        <w:t>——靠近开口处（或窗户）室外某倍频带的声压级或A声级，dB；</w:t>
      </w:r>
    </w:p>
    <w:p w14:paraId="7796CBAA">
      <w:pPr>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TL——隔墙（或窗户）倍频带或A声级的隔声量，dB。</w:t>
      </w:r>
    </w:p>
    <w:p w14:paraId="6F1030DE">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3、工业企业噪声贡献值计算</w:t>
      </w:r>
    </w:p>
    <w:p w14:paraId="5B2F9514">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设第i个室外声源在预测点产生的A声级为L</w:t>
      </w:r>
      <w:r>
        <w:rPr>
          <w:bCs/>
          <w:color w:val="000000" w:themeColor="text1"/>
          <w:vertAlign w:val="subscript"/>
          <w14:textFill>
            <w14:solidFill>
              <w14:schemeClr w14:val="tx1"/>
            </w14:solidFill>
          </w14:textFill>
        </w:rPr>
        <w:t>Ai</w:t>
      </w:r>
      <w:r>
        <w:rPr>
          <w:bCs/>
          <w:color w:val="000000" w:themeColor="text1"/>
          <w14:textFill>
            <w14:solidFill>
              <w14:schemeClr w14:val="tx1"/>
            </w14:solidFill>
          </w14:textFill>
        </w:rPr>
        <w:t>，在T时间内该声源工作时间为t</w:t>
      </w:r>
      <w:r>
        <w:rPr>
          <w:bCs/>
          <w:color w:val="000000" w:themeColor="text1"/>
          <w:vertAlign w:val="subscript"/>
          <w14:textFill>
            <w14:solidFill>
              <w14:schemeClr w14:val="tx1"/>
            </w14:solidFill>
          </w14:textFill>
        </w:rPr>
        <w:t>i</w:t>
      </w:r>
      <w:r>
        <w:rPr>
          <w:bCs/>
          <w:color w:val="000000" w:themeColor="text1"/>
          <w14:textFill>
            <w14:solidFill>
              <w14:schemeClr w14:val="tx1"/>
            </w14:solidFill>
          </w14:textFill>
        </w:rPr>
        <w:t>；第j个等效室外声源在预测点产生的A声级为L</w:t>
      </w:r>
      <w:r>
        <w:rPr>
          <w:bCs/>
          <w:color w:val="000000" w:themeColor="text1"/>
          <w:vertAlign w:val="subscript"/>
          <w14:textFill>
            <w14:solidFill>
              <w14:schemeClr w14:val="tx1"/>
            </w14:solidFill>
          </w14:textFill>
        </w:rPr>
        <w:t>N</w:t>
      </w:r>
      <w:r>
        <w:rPr>
          <w:bCs/>
          <w:color w:val="000000" w:themeColor="text1"/>
          <w14:textFill>
            <w14:solidFill>
              <w14:schemeClr w14:val="tx1"/>
            </w14:solidFill>
          </w14:textFill>
        </w:rPr>
        <w:t>，在T时间内该声源工作时间为t</w:t>
      </w:r>
      <w:r>
        <w:rPr>
          <w:bCs/>
          <w:color w:val="000000" w:themeColor="text1"/>
          <w:vertAlign w:val="subscript"/>
          <w14:textFill>
            <w14:solidFill>
              <w14:schemeClr w14:val="tx1"/>
            </w14:solidFill>
          </w14:textFill>
        </w:rPr>
        <w:t>j</w:t>
      </w:r>
      <w:r>
        <w:rPr>
          <w:bCs/>
          <w:color w:val="000000" w:themeColor="text1"/>
          <w14:textFill>
            <w14:solidFill>
              <w14:schemeClr w14:val="tx1"/>
            </w14:solidFill>
          </w14:textFill>
        </w:rPr>
        <w:t>；则拟建工程声源对预测点产生的贡献值(Leqg)为：</w:t>
      </w:r>
    </w:p>
    <w:p w14:paraId="4B7717C7">
      <w:pPr>
        <w:ind w:firstLine="48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654300" cy="508000"/>
            <wp:effectExtent l="0" t="0" r="0" b="6350"/>
            <wp:docPr id="8255142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14224" name="图片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654300" cy="508000"/>
                    </a:xfrm>
                    <a:prstGeom prst="rect">
                      <a:avLst/>
                    </a:prstGeom>
                    <a:noFill/>
                    <a:ln>
                      <a:noFill/>
                    </a:ln>
                  </pic:spPr>
                </pic:pic>
              </a:graphicData>
            </a:graphic>
          </wp:inline>
        </w:drawing>
      </w:r>
    </w:p>
    <w:p w14:paraId="32D7FC45">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式中：Leqg——建设项目声源在预测点产生的噪声贡献值，dB；</w:t>
      </w:r>
    </w:p>
    <w:p w14:paraId="22F5A7C7">
      <w:pPr>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T——用于计算等效声级的时间，s；</w:t>
      </w:r>
    </w:p>
    <w:p w14:paraId="4532466C">
      <w:pPr>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N——室外声源个数；</w:t>
      </w:r>
    </w:p>
    <w:p w14:paraId="34C481DD">
      <w:pPr>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t</w:t>
      </w:r>
      <w:r>
        <w:rPr>
          <w:bCs/>
          <w:color w:val="000000" w:themeColor="text1"/>
          <w:vertAlign w:val="subscript"/>
          <w14:textFill>
            <w14:solidFill>
              <w14:schemeClr w14:val="tx1"/>
            </w14:solidFill>
          </w14:textFill>
        </w:rPr>
        <w:t>i</w:t>
      </w:r>
      <w:r>
        <w:rPr>
          <w:bCs/>
          <w:color w:val="000000" w:themeColor="text1"/>
          <w14:textFill>
            <w14:solidFill>
              <w14:schemeClr w14:val="tx1"/>
            </w14:solidFill>
          </w14:textFill>
        </w:rPr>
        <w:t>——在T时间内i声源工作时间，s；</w:t>
      </w:r>
    </w:p>
    <w:p w14:paraId="71B6D2F3">
      <w:pPr>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M——等效室外声源个数；</w:t>
      </w:r>
    </w:p>
    <w:p w14:paraId="0DC7A20D">
      <w:pPr>
        <w:ind w:firstLine="1200" w:firstLineChars="500"/>
        <w:rPr>
          <w:color w:val="000000" w:themeColor="text1"/>
          <w14:textFill>
            <w14:solidFill>
              <w14:schemeClr w14:val="tx1"/>
            </w14:solidFill>
          </w14:textFill>
        </w:rPr>
      </w:pPr>
      <w:r>
        <w:rPr>
          <w:bCs/>
          <w:color w:val="000000" w:themeColor="text1"/>
          <w14:textFill>
            <w14:solidFill>
              <w14:schemeClr w14:val="tx1"/>
            </w14:solidFill>
          </w14:textFill>
        </w:rPr>
        <w:t>t</w:t>
      </w:r>
      <w:r>
        <w:rPr>
          <w:bCs/>
          <w:color w:val="000000" w:themeColor="text1"/>
          <w:vertAlign w:val="subscript"/>
          <w14:textFill>
            <w14:solidFill>
              <w14:schemeClr w14:val="tx1"/>
            </w14:solidFill>
          </w14:textFill>
        </w:rPr>
        <w:t>j</w:t>
      </w:r>
      <w:r>
        <w:rPr>
          <w:bCs/>
          <w:color w:val="000000" w:themeColor="text1"/>
          <w14:textFill>
            <w14:solidFill>
              <w14:schemeClr w14:val="tx1"/>
            </w14:solidFill>
          </w14:textFill>
        </w:rPr>
        <w:t>——在T时间内j声源工作时间，s。</w:t>
      </w:r>
    </w:p>
    <w:p w14:paraId="3EA0843F">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预测结果和评价</w:t>
      </w:r>
    </w:p>
    <w:p w14:paraId="2104623F">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预测源强</w:t>
      </w:r>
    </w:p>
    <w:p w14:paraId="2EFE2F38">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本项目噪声主要来源于生产设备运行产生的。</w:t>
      </w:r>
    </w:p>
    <w:p w14:paraId="4684C9D7">
      <w:pPr>
        <w:ind w:firstLine="480"/>
        <w:rPr>
          <w:color w:val="000000" w:themeColor="text1"/>
          <w:lang w:val="zh-CN"/>
          <w14:textFill>
            <w14:solidFill>
              <w14:schemeClr w14:val="tx1"/>
            </w14:solidFill>
          </w14:textFill>
        </w:rPr>
        <w:sectPr>
          <w:pgSz w:w="11906" w:h="16838"/>
          <w:pgMar w:top="1418" w:right="1247" w:bottom="1418" w:left="1247" w:header="964" w:footer="964" w:gutter="0"/>
          <w:cols w:space="720" w:num="1"/>
          <w:docGrid w:linePitch="312" w:charSpace="0"/>
        </w:sectPr>
      </w:pPr>
      <w:r>
        <w:rPr>
          <w:color w:val="000000" w:themeColor="text1"/>
          <w:lang w:val="zh-CN"/>
          <w14:textFill>
            <w14:solidFill>
              <w14:schemeClr w14:val="tx1"/>
            </w14:solidFill>
          </w14:textFill>
        </w:rPr>
        <w:t xml:space="preserve"> </w:t>
      </w:r>
    </w:p>
    <w:p w14:paraId="68663203">
      <w:pPr>
        <w:pStyle w:val="117"/>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噪声</w:t>
      </w:r>
      <w:r>
        <w:rPr>
          <w:rFonts w:ascii="Times New Roman" w:hAnsi="Times New Roman" w:cs="Times New Roman"/>
          <w:color w:val="000000" w:themeColor="text1"/>
          <w14:textFill>
            <w14:solidFill>
              <w14:schemeClr w14:val="tx1"/>
            </w14:solidFill>
          </w14:textFill>
        </w:rPr>
        <w:t>源强一览表</w:t>
      </w:r>
      <w:r>
        <w:rPr>
          <w:rFonts w:ascii="Times New Roman" w:hAnsi="Times New Roman" w:cs="Times New Roman"/>
          <w:color w:val="000000" w:themeColor="text1"/>
          <w:lang w:val="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val="zh-CN"/>
          <w14:textFill>
            <w14:solidFill>
              <w14:schemeClr w14:val="tx1"/>
            </w14:solidFill>
          </w14:textFill>
        </w:rPr>
        <w:t>单位：dB（A）</w:t>
      </w:r>
    </w:p>
    <w:tbl>
      <w:tblPr>
        <w:tblStyle w:val="76"/>
        <w:tblW w:w="5000" w:type="pct"/>
        <w:tblInd w:w="0" w:type="dxa"/>
        <w:tblLayout w:type="autofit"/>
        <w:tblCellMar>
          <w:top w:w="0" w:type="dxa"/>
          <w:left w:w="108" w:type="dxa"/>
          <w:bottom w:w="0" w:type="dxa"/>
          <w:right w:w="108" w:type="dxa"/>
        </w:tblCellMar>
      </w:tblPr>
      <w:tblGrid>
        <w:gridCol w:w="2196"/>
        <w:gridCol w:w="1136"/>
        <w:gridCol w:w="2193"/>
        <w:gridCol w:w="993"/>
        <w:gridCol w:w="993"/>
        <w:gridCol w:w="996"/>
        <w:gridCol w:w="993"/>
        <w:gridCol w:w="993"/>
        <w:gridCol w:w="993"/>
        <w:gridCol w:w="1086"/>
        <w:gridCol w:w="994"/>
        <w:gridCol w:w="994"/>
      </w:tblGrid>
      <w:tr w14:paraId="178BBD81">
        <w:tblPrEx>
          <w:tblCellMar>
            <w:top w:w="0" w:type="dxa"/>
            <w:left w:w="108" w:type="dxa"/>
            <w:bottom w:w="0" w:type="dxa"/>
            <w:right w:w="108" w:type="dxa"/>
          </w:tblCellMar>
        </w:tblPrEx>
        <w:tc>
          <w:tcPr>
            <w:tcW w:w="754" w:type="pct"/>
            <w:vMerge w:val="restart"/>
            <w:tcBorders>
              <w:top w:val="single" w:color="auto" w:sz="4" w:space="0"/>
              <w:left w:val="single" w:color="auto" w:sz="4" w:space="0"/>
              <w:bottom w:val="single" w:color="auto" w:sz="4" w:space="0"/>
              <w:right w:val="single" w:color="auto" w:sz="4" w:space="0"/>
            </w:tcBorders>
            <w:vAlign w:val="center"/>
          </w:tcPr>
          <w:p w14:paraId="11BFFDF7">
            <w:pPr>
              <w:pStyle w:val="109"/>
              <w:rPr>
                <w:color w:val="000000" w:themeColor="text1"/>
                <w14:textFill>
                  <w14:solidFill>
                    <w14:schemeClr w14:val="tx1"/>
                  </w14:solidFill>
                </w14:textFill>
              </w:rPr>
            </w:pPr>
            <w:r>
              <w:rPr>
                <w:color w:val="000000" w:themeColor="text1"/>
                <w14:textFill>
                  <w14:solidFill>
                    <w14:schemeClr w14:val="tx1"/>
                  </w14:solidFill>
                </w14:textFill>
              </w:rPr>
              <w:t>声源名称</w:t>
            </w:r>
          </w:p>
        </w:tc>
        <w:tc>
          <w:tcPr>
            <w:tcW w:w="390" w:type="pct"/>
            <w:tcBorders>
              <w:top w:val="single" w:color="auto" w:sz="4" w:space="0"/>
              <w:left w:val="nil"/>
              <w:bottom w:val="single" w:color="auto" w:sz="4" w:space="0"/>
              <w:right w:val="single" w:color="auto" w:sz="4" w:space="0"/>
            </w:tcBorders>
            <w:vAlign w:val="center"/>
          </w:tcPr>
          <w:p w14:paraId="51B4964F">
            <w:pPr>
              <w:pStyle w:val="109"/>
              <w:rPr>
                <w:color w:val="000000" w:themeColor="text1"/>
                <w14:textFill>
                  <w14:solidFill>
                    <w14:schemeClr w14:val="tx1"/>
                  </w14:solidFill>
                </w14:textFill>
              </w:rPr>
            </w:pPr>
            <w:r>
              <w:rPr>
                <w:color w:val="000000" w:themeColor="text1"/>
                <w14:textFill>
                  <w14:solidFill>
                    <w14:schemeClr w14:val="tx1"/>
                  </w14:solidFill>
                </w14:textFill>
              </w:rPr>
              <w:t>声源源强</w:t>
            </w:r>
          </w:p>
        </w:tc>
        <w:tc>
          <w:tcPr>
            <w:tcW w:w="753" w:type="pct"/>
            <w:tcBorders>
              <w:top w:val="single" w:color="auto" w:sz="4" w:space="0"/>
              <w:left w:val="nil"/>
              <w:bottom w:val="single" w:color="auto" w:sz="4" w:space="0"/>
              <w:right w:val="single" w:color="auto" w:sz="4" w:space="0"/>
            </w:tcBorders>
            <w:vAlign w:val="center"/>
          </w:tcPr>
          <w:p w14:paraId="17F72BC5">
            <w:pPr>
              <w:pStyle w:val="109"/>
              <w:rPr>
                <w:color w:val="000000" w:themeColor="text1"/>
                <w14:textFill>
                  <w14:solidFill>
                    <w14:schemeClr w14:val="tx1"/>
                  </w14:solidFill>
                </w14:textFill>
              </w:rPr>
            </w:pPr>
            <w:r>
              <w:rPr>
                <w:color w:val="000000" w:themeColor="text1"/>
                <w14:textFill>
                  <w14:solidFill>
                    <w14:schemeClr w14:val="tx1"/>
                  </w14:solidFill>
                </w14:textFill>
              </w:rPr>
              <w:t>声源控制</w:t>
            </w:r>
          </w:p>
        </w:tc>
        <w:tc>
          <w:tcPr>
            <w:tcW w:w="1024" w:type="pct"/>
            <w:gridSpan w:val="3"/>
            <w:tcBorders>
              <w:top w:val="single" w:color="auto" w:sz="4" w:space="0"/>
              <w:left w:val="nil"/>
              <w:bottom w:val="single" w:color="auto" w:sz="4" w:space="0"/>
              <w:right w:val="single" w:color="auto" w:sz="4" w:space="0"/>
            </w:tcBorders>
            <w:vAlign w:val="center"/>
          </w:tcPr>
          <w:p w14:paraId="0056DA98">
            <w:pPr>
              <w:pStyle w:val="109"/>
              <w:rPr>
                <w:color w:val="000000" w:themeColor="text1"/>
                <w14:textFill>
                  <w14:solidFill>
                    <w14:schemeClr w14:val="tx1"/>
                  </w14:solidFill>
                </w14:textFill>
              </w:rPr>
            </w:pPr>
            <w:r>
              <w:rPr>
                <w:color w:val="000000" w:themeColor="text1"/>
                <w14:textFill>
                  <w14:solidFill>
                    <w14:schemeClr w14:val="tx1"/>
                  </w14:solidFill>
                </w14:textFill>
              </w:rPr>
              <w:t>空间相对位置/m</w:t>
            </w:r>
          </w:p>
        </w:tc>
        <w:tc>
          <w:tcPr>
            <w:tcW w:w="341" w:type="pct"/>
            <w:vMerge w:val="restart"/>
            <w:tcBorders>
              <w:top w:val="single" w:color="auto" w:sz="4" w:space="0"/>
              <w:left w:val="single" w:color="auto" w:sz="4" w:space="0"/>
              <w:bottom w:val="single" w:color="auto" w:sz="4" w:space="0"/>
              <w:right w:val="single" w:color="auto" w:sz="4" w:space="0"/>
            </w:tcBorders>
            <w:vAlign w:val="center"/>
          </w:tcPr>
          <w:p w14:paraId="1F0CAB46">
            <w:pPr>
              <w:pStyle w:val="109"/>
              <w:rPr>
                <w:color w:val="000000" w:themeColor="text1"/>
                <w14:textFill>
                  <w14:solidFill>
                    <w14:schemeClr w14:val="tx1"/>
                  </w14:solidFill>
                </w14:textFill>
              </w:rPr>
            </w:pPr>
            <w:r>
              <w:rPr>
                <w:color w:val="000000" w:themeColor="text1"/>
                <w14:textFill>
                  <w14:solidFill>
                    <w14:schemeClr w14:val="tx1"/>
                  </w14:solidFill>
                </w14:textFill>
              </w:rPr>
              <w:t>距室内边界距离/m</w:t>
            </w:r>
          </w:p>
        </w:tc>
        <w:tc>
          <w:tcPr>
            <w:tcW w:w="341" w:type="pct"/>
            <w:vMerge w:val="restart"/>
            <w:tcBorders>
              <w:top w:val="single" w:color="auto" w:sz="4" w:space="0"/>
              <w:left w:val="single" w:color="auto" w:sz="4" w:space="0"/>
              <w:bottom w:val="single" w:color="auto" w:sz="4" w:space="0"/>
              <w:right w:val="single" w:color="auto" w:sz="4" w:space="0"/>
            </w:tcBorders>
            <w:vAlign w:val="center"/>
          </w:tcPr>
          <w:p w14:paraId="44135CCB">
            <w:pPr>
              <w:pStyle w:val="109"/>
              <w:rPr>
                <w:color w:val="000000" w:themeColor="text1"/>
                <w14:textFill>
                  <w14:solidFill>
                    <w14:schemeClr w14:val="tx1"/>
                  </w14:solidFill>
                </w14:textFill>
              </w:rPr>
            </w:pPr>
            <w:r>
              <w:rPr>
                <w:color w:val="000000" w:themeColor="text1"/>
                <w14:textFill>
                  <w14:solidFill>
                    <w14:schemeClr w14:val="tx1"/>
                  </w14:solidFill>
                </w14:textFill>
              </w:rPr>
              <w:t>室内边界声级/dB(A)</w:t>
            </w:r>
          </w:p>
        </w:tc>
        <w:tc>
          <w:tcPr>
            <w:tcW w:w="341" w:type="pct"/>
            <w:tcBorders>
              <w:top w:val="single" w:color="auto" w:sz="4" w:space="0"/>
              <w:left w:val="nil"/>
              <w:bottom w:val="single" w:color="auto" w:sz="4" w:space="0"/>
              <w:right w:val="single" w:color="auto" w:sz="4" w:space="0"/>
            </w:tcBorders>
            <w:vAlign w:val="center"/>
          </w:tcPr>
          <w:p w14:paraId="35DBC119">
            <w:pPr>
              <w:pStyle w:val="109"/>
              <w:rPr>
                <w:color w:val="000000" w:themeColor="text1"/>
                <w14:textFill>
                  <w14:solidFill>
                    <w14:schemeClr w14:val="tx1"/>
                  </w14:solidFill>
                </w14:textFill>
              </w:rPr>
            </w:pPr>
            <w:r>
              <w:rPr>
                <w:color w:val="000000" w:themeColor="text1"/>
                <w14:textFill>
                  <w14:solidFill>
                    <w14:schemeClr w14:val="tx1"/>
                  </w14:solidFill>
                </w14:textFill>
              </w:rPr>
              <w:t>运行</w:t>
            </w:r>
          </w:p>
        </w:tc>
        <w:tc>
          <w:tcPr>
            <w:tcW w:w="373" w:type="pct"/>
            <w:vMerge w:val="restart"/>
            <w:tcBorders>
              <w:top w:val="single" w:color="auto" w:sz="4" w:space="0"/>
              <w:left w:val="single" w:color="auto" w:sz="4" w:space="0"/>
              <w:bottom w:val="single" w:color="auto" w:sz="4" w:space="0"/>
              <w:right w:val="single" w:color="auto" w:sz="4" w:space="0"/>
            </w:tcBorders>
            <w:vAlign w:val="center"/>
          </w:tcPr>
          <w:p w14:paraId="4A8B9E65">
            <w:pPr>
              <w:pStyle w:val="109"/>
              <w:rPr>
                <w:color w:val="000000" w:themeColor="text1"/>
                <w14:textFill>
                  <w14:solidFill>
                    <w14:schemeClr w14:val="tx1"/>
                  </w14:solidFill>
                </w14:textFill>
              </w:rPr>
            </w:pPr>
            <w:r>
              <w:rPr>
                <w:color w:val="000000" w:themeColor="text1"/>
                <w14:textFill>
                  <w14:solidFill>
                    <w14:schemeClr w14:val="tx1"/>
                  </w14:solidFill>
                </w14:textFill>
              </w:rPr>
              <w:t>建筑物插入损失/dB(A)</w:t>
            </w:r>
          </w:p>
        </w:tc>
        <w:tc>
          <w:tcPr>
            <w:tcW w:w="682" w:type="pct"/>
            <w:gridSpan w:val="2"/>
            <w:tcBorders>
              <w:top w:val="single" w:color="auto" w:sz="4" w:space="0"/>
              <w:left w:val="nil"/>
              <w:bottom w:val="single" w:color="auto" w:sz="4" w:space="0"/>
              <w:right w:val="single" w:color="auto" w:sz="4" w:space="0"/>
            </w:tcBorders>
            <w:vAlign w:val="center"/>
          </w:tcPr>
          <w:p w14:paraId="69485903">
            <w:pPr>
              <w:pStyle w:val="109"/>
              <w:rPr>
                <w:color w:val="000000" w:themeColor="text1"/>
                <w14:textFill>
                  <w14:solidFill>
                    <w14:schemeClr w14:val="tx1"/>
                  </w14:solidFill>
                </w14:textFill>
              </w:rPr>
            </w:pPr>
            <w:r>
              <w:rPr>
                <w:color w:val="000000" w:themeColor="text1"/>
                <w14:textFill>
                  <w14:solidFill>
                    <w14:schemeClr w14:val="tx1"/>
                  </w14:solidFill>
                </w14:textFill>
              </w:rPr>
              <w:t>建筑物外噪声</w:t>
            </w:r>
          </w:p>
        </w:tc>
      </w:tr>
      <w:tr w14:paraId="228CE183">
        <w:tblPrEx>
          <w:tblCellMar>
            <w:top w:w="0" w:type="dxa"/>
            <w:left w:w="108" w:type="dxa"/>
            <w:bottom w:w="0" w:type="dxa"/>
            <w:right w:w="108" w:type="dxa"/>
          </w:tblCellMar>
        </w:tblPrEx>
        <w:tc>
          <w:tcPr>
            <w:tcW w:w="754" w:type="pct"/>
            <w:vMerge w:val="continue"/>
            <w:tcBorders>
              <w:top w:val="single" w:color="auto" w:sz="4" w:space="0"/>
              <w:left w:val="single" w:color="auto" w:sz="4" w:space="0"/>
              <w:bottom w:val="single" w:color="auto" w:sz="4" w:space="0"/>
              <w:right w:val="single" w:color="auto" w:sz="4" w:space="0"/>
            </w:tcBorders>
            <w:vAlign w:val="center"/>
          </w:tcPr>
          <w:p w14:paraId="66F1C98A">
            <w:pPr>
              <w:pStyle w:val="109"/>
              <w:rPr>
                <w:color w:val="000000" w:themeColor="text1"/>
                <w14:textFill>
                  <w14:solidFill>
                    <w14:schemeClr w14:val="tx1"/>
                  </w14:solidFill>
                </w14:textFill>
              </w:rPr>
            </w:pPr>
          </w:p>
        </w:tc>
        <w:tc>
          <w:tcPr>
            <w:tcW w:w="390" w:type="pct"/>
            <w:tcBorders>
              <w:top w:val="nil"/>
              <w:left w:val="nil"/>
              <w:bottom w:val="single" w:color="auto" w:sz="4" w:space="0"/>
              <w:right w:val="single" w:color="auto" w:sz="4" w:space="0"/>
            </w:tcBorders>
            <w:vAlign w:val="center"/>
          </w:tcPr>
          <w:p w14:paraId="3F469FDE">
            <w:pPr>
              <w:pStyle w:val="109"/>
              <w:rPr>
                <w:color w:val="000000" w:themeColor="text1"/>
                <w14:textFill>
                  <w14:solidFill>
                    <w14:schemeClr w14:val="tx1"/>
                  </w14:solidFill>
                </w14:textFill>
              </w:rPr>
            </w:pPr>
            <w:r>
              <w:rPr>
                <w:color w:val="000000" w:themeColor="text1"/>
                <w14:textFill>
                  <w14:solidFill>
                    <w14:schemeClr w14:val="tx1"/>
                  </w14:solidFill>
                </w14:textFill>
              </w:rPr>
              <w:t>声功率级dB(A)</w:t>
            </w:r>
          </w:p>
        </w:tc>
        <w:tc>
          <w:tcPr>
            <w:tcW w:w="753" w:type="pct"/>
            <w:tcBorders>
              <w:top w:val="nil"/>
              <w:left w:val="nil"/>
              <w:bottom w:val="single" w:color="auto" w:sz="4" w:space="0"/>
              <w:right w:val="single" w:color="auto" w:sz="4" w:space="0"/>
            </w:tcBorders>
            <w:vAlign w:val="center"/>
          </w:tcPr>
          <w:p w14:paraId="136FDBCC">
            <w:pPr>
              <w:pStyle w:val="109"/>
              <w:rPr>
                <w:color w:val="000000" w:themeColor="text1"/>
                <w14:textFill>
                  <w14:solidFill>
                    <w14:schemeClr w14:val="tx1"/>
                  </w14:solidFill>
                </w14:textFill>
              </w:rPr>
            </w:pPr>
            <w:r>
              <w:rPr>
                <w:color w:val="000000" w:themeColor="text1"/>
                <w14:textFill>
                  <w14:solidFill>
                    <w14:schemeClr w14:val="tx1"/>
                  </w14:solidFill>
                </w14:textFill>
              </w:rPr>
              <w:t>措施</w:t>
            </w:r>
          </w:p>
        </w:tc>
        <w:tc>
          <w:tcPr>
            <w:tcW w:w="341" w:type="pct"/>
            <w:tcBorders>
              <w:top w:val="nil"/>
              <w:left w:val="nil"/>
              <w:bottom w:val="single" w:color="auto" w:sz="4" w:space="0"/>
              <w:right w:val="single" w:color="auto" w:sz="4" w:space="0"/>
            </w:tcBorders>
            <w:vAlign w:val="center"/>
          </w:tcPr>
          <w:p w14:paraId="454FD3E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X</w:t>
            </w:r>
          </w:p>
        </w:tc>
        <w:tc>
          <w:tcPr>
            <w:tcW w:w="341" w:type="pct"/>
            <w:tcBorders>
              <w:top w:val="nil"/>
              <w:left w:val="nil"/>
              <w:bottom w:val="single" w:color="auto" w:sz="4" w:space="0"/>
              <w:right w:val="single" w:color="auto" w:sz="4" w:space="0"/>
            </w:tcBorders>
            <w:vAlign w:val="center"/>
          </w:tcPr>
          <w:p w14:paraId="2281715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Y</w:t>
            </w:r>
          </w:p>
        </w:tc>
        <w:tc>
          <w:tcPr>
            <w:tcW w:w="341" w:type="pct"/>
            <w:tcBorders>
              <w:top w:val="nil"/>
              <w:left w:val="nil"/>
              <w:bottom w:val="single" w:color="auto" w:sz="4" w:space="0"/>
              <w:right w:val="single" w:color="auto" w:sz="4" w:space="0"/>
            </w:tcBorders>
            <w:vAlign w:val="center"/>
          </w:tcPr>
          <w:p w14:paraId="5AE57BA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Z</w:t>
            </w:r>
          </w:p>
        </w:tc>
        <w:tc>
          <w:tcPr>
            <w:tcW w:w="341" w:type="pct"/>
            <w:vMerge w:val="continue"/>
            <w:tcBorders>
              <w:top w:val="single" w:color="auto" w:sz="4" w:space="0"/>
              <w:left w:val="single" w:color="auto" w:sz="4" w:space="0"/>
              <w:bottom w:val="single" w:color="auto" w:sz="4" w:space="0"/>
              <w:right w:val="single" w:color="auto" w:sz="4" w:space="0"/>
            </w:tcBorders>
            <w:vAlign w:val="center"/>
          </w:tcPr>
          <w:p w14:paraId="30C4C0B5">
            <w:pPr>
              <w:pStyle w:val="109"/>
              <w:rPr>
                <w:color w:val="000000" w:themeColor="text1"/>
                <w14:textFill>
                  <w14:solidFill>
                    <w14:schemeClr w14:val="tx1"/>
                  </w14:solidFill>
                </w14:textFill>
              </w:rPr>
            </w:pPr>
          </w:p>
        </w:tc>
        <w:tc>
          <w:tcPr>
            <w:tcW w:w="341" w:type="pct"/>
            <w:vMerge w:val="continue"/>
            <w:tcBorders>
              <w:top w:val="single" w:color="auto" w:sz="4" w:space="0"/>
              <w:left w:val="single" w:color="auto" w:sz="4" w:space="0"/>
              <w:bottom w:val="single" w:color="auto" w:sz="4" w:space="0"/>
              <w:right w:val="single" w:color="auto" w:sz="4" w:space="0"/>
            </w:tcBorders>
            <w:vAlign w:val="center"/>
          </w:tcPr>
          <w:p w14:paraId="0721A4D7">
            <w:pPr>
              <w:pStyle w:val="109"/>
              <w:rPr>
                <w:color w:val="000000" w:themeColor="text1"/>
                <w14:textFill>
                  <w14:solidFill>
                    <w14:schemeClr w14:val="tx1"/>
                  </w14:solidFill>
                </w14:textFill>
              </w:rPr>
            </w:pPr>
          </w:p>
        </w:tc>
        <w:tc>
          <w:tcPr>
            <w:tcW w:w="341" w:type="pct"/>
            <w:tcBorders>
              <w:top w:val="nil"/>
              <w:left w:val="nil"/>
              <w:bottom w:val="single" w:color="auto" w:sz="4" w:space="0"/>
              <w:right w:val="single" w:color="auto" w:sz="4" w:space="0"/>
            </w:tcBorders>
            <w:vAlign w:val="center"/>
          </w:tcPr>
          <w:p w14:paraId="30BD91B7">
            <w:pPr>
              <w:pStyle w:val="109"/>
              <w:rPr>
                <w:color w:val="000000" w:themeColor="text1"/>
                <w14:textFill>
                  <w14:solidFill>
                    <w14:schemeClr w14:val="tx1"/>
                  </w14:solidFill>
                </w14:textFill>
              </w:rPr>
            </w:pPr>
            <w:r>
              <w:rPr>
                <w:color w:val="000000" w:themeColor="text1"/>
                <w14:textFill>
                  <w14:solidFill>
                    <w14:schemeClr w14:val="tx1"/>
                  </w14:solidFill>
                </w14:textFill>
              </w:rPr>
              <w:t>时段</w:t>
            </w:r>
          </w:p>
        </w:tc>
        <w:tc>
          <w:tcPr>
            <w:tcW w:w="373" w:type="pct"/>
            <w:vMerge w:val="continue"/>
            <w:tcBorders>
              <w:top w:val="single" w:color="auto" w:sz="4" w:space="0"/>
              <w:left w:val="single" w:color="auto" w:sz="4" w:space="0"/>
              <w:bottom w:val="single" w:color="auto" w:sz="4" w:space="0"/>
              <w:right w:val="single" w:color="auto" w:sz="4" w:space="0"/>
            </w:tcBorders>
            <w:vAlign w:val="center"/>
          </w:tcPr>
          <w:p w14:paraId="738BE980">
            <w:pPr>
              <w:pStyle w:val="109"/>
              <w:rPr>
                <w:color w:val="000000" w:themeColor="text1"/>
                <w14:textFill>
                  <w14:solidFill>
                    <w14:schemeClr w14:val="tx1"/>
                  </w14:solidFill>
                </w14:textFill>
              </w:rPr>
            </w:pPr>
          </w:p>
        </w:tc>
        <w:tc>
          <w:tcPr>
            <w:tcW w:w="341" w:type="pct"/>
            <w:tcBorders>
              <w:top w:val="nil"/>
              <w:left w:val="nil"/>
              <w:bottom w:val="single" w:color="auto" w:sz="4" w:space="0"/>
              <w:right w:val="single" w:color="auto" w:sz="4" w:space="0"/>
            </w:tcBorders>
            <w:vAlign w:val="center"/>
          </w:tcPr>
          <w:p w14:paraId="5989D367">
            <w:pPr>
              <w:pStyle w:val="109"/>
              <w:rPr>
                <w:color w:val="000000" w:themeColor="text1"/>
                <w14:textFill>
                  <w14:solidFill>
                    <w14:schemeClr w14:val="tx1"/>
                  </w14:solidFill>
                </w14:textFill>
              </w:rPr>
            </w:pPr>
            <w:r>
              <w:rPr>
                <w:color w:val="000000" w:themeColor="text1"/>
                <w14:textFill>
                  <w14:solidFill>
                    <w14:schemeClr w14:val="tx1"/>
                  </w14:solidFill>
                </w14:textFill>
              </w:rPr>
              <w:t>声压级/dB(A)</w:t>
            </w:r>
          </w:p>
        </w:tc>
        <w:tc>
          <w:tcPr>
            <w:tcW w:w="341" w:type="pct"/>
            <w:tcBorders>
              <w:top w:val="nil"/>
              <w:left w:val="nil"/>
              <w:bottom w:val="single" w:color="auto" w:sz="4" w:space="0"/>
              <w:right w:val="single" w:color="auto" w:sz="4" w:space="0"/>
            </w:tcBorders>
            <w:vAlign w:val="center"/>
          </w:tcPr>
          <w:p w14:paraId="177FF2A8">
            <w:pPr>
              <w:pStyle w:val="109"/>
              <w:rPr>
                <w:color w:val="000000" w:themeColor="text1"/>
                <w14:textFill>
                  <w14:solidFill>
                    <w14:schemeClr w14:val="tx1"/>
                  </w14:solidFill>
                </w14:textFill>
              </w:rPr>
            </w:pPr>
            <w:r>
              <w:rPr>
                <w:color w:val="000000" w:themeColor="text1"/>
                <w14:textFill>
                  <w14:solidFill>
                    <w14:schemeClr w14:val="tx1"/>
                  </w14:solidFill>
                </w14:textFill>
              </w:rPr>
              <w:t>建筑物外距离</w:t>
            </w:r>
          </w:p>
        </w:tc>
      </w:tr>
      <w:tr w14:paraId="0AEAA998">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11B4273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刮板输送机（低位进料）</w:t>
            </w:r>
          </w:p>
        </w:tc>
        <w:tc>
          <w:tcPr>
            <w:tcW w:w="390" w:type="pct"/>
            <w:tcBorders>
              <w:top w:val="nil"/>
              <w:left w:val="nil"/>
              <w:bottom w:val="single" w:color="auto" w:sz="4" w:space="0"/>
              <w:right w:val="single" w:color="auto" w:sz="4" w:space="0"/>
            </w:tcBorders>
            <w:noWrap/>
            <w:vAlign w:val="center"/>
          </w:tcPr>
          <w:p w14:paraId="76CCEE6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2EE2371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376923C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175</w:t>
            </w:r>
          </w:p>
        </w:tc>
        <w:tc>
          <w:tcPr>
            <w:tcW w:w="341" w:type="pct"/>
            <w:tcBorders>
              <w:top w:val="nil"/>
              <w:left w:val="nil"/>
              <w:bottom w:val="single" w:color="auto" w:sz="4" w:space="0"/>
              <w:right w:val="single" w:color="auto" w:sz="4" w:space="0"/>
            </w:tcBorders>
            <w:vAlign w:val="center"/>
          </w:tcPr>
          <w:p w14:paraId="578E9E1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92</w:t>
            </w:r>
          </w:p>
        </w:tc>
        <w:tc>
          <w:tcPr>
            <w:tcW w:w="341" w:type="pct"/>
            <w:tcBorders>
              <w:top w:val="nil"/>
              <w:left w:val="nil"/>
              <w:bottom w:val="single" w:color="auto" w:sz="4" w:space="0"/>
              <w:right w:val="single" w:color="auto" w:sz="4" w:space="0"/>
            </w:tcBorders>
            <w:vAlign w:val="center"/>
          </w:tcPr>
          <w:p w14:paraId="15541B3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56A6048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341" w:type="pct"/>
            <w:tcBorders>
              <w:top w:val="nil"/>
              <w:left w:val="nil"/>
              <w:bottom w:val="single" w:color="auto" w:sz="4" w:space="0"/>
              <w:right w:val="single" w:color="auto" w:sz="4" w:space="0"/>
            </w:tcBorders>
            <w:vAlign w:val="center"/>
          </w:tcPr>
          <w:p w14:paraId="3A084AD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56.0</w:t>
            </w:r>
          </w:p>
        </w:tc>
        <w:tc>
          <w:tcPr>
            <w:tcW w:w="341" w:type="pct"/>
            <w:tcBorders>
              <w:top w:val="nil"/>
              <w:left w:val="nil"/>
              <w:bottom w:val="single" w:color="auto" w:sz="4" w:space="0"/>
              <w:right w:val="single" w:color="auto" w:sz="4" w:space="0"/>
            </w:tcBorders>
            <w:vAlign w:val="center"/>
          </w:tcPr>
          <w:p w14:paraId="6B2C02DA">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127662D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62BB103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31.0</w:t>
            </w:r>
          </w:p>
        </w:tc>
        <w:tc>
          <w:tcPr>
            <w:tcW w:w="341" w:type="pct"/>
            <w:tcBorders>
              <w:top w:val="nil"/>
              <w:left w:val="nil"/>
              <w:bottom w:val="single" w:color="auto" w:sz="4" w:space="0"/>
              <w:right w:val="single" w:color="auto" w:sz="4" w:space="0"/>
            </w:tcBorders>
            <w:vAlign w:val="center"/>
          </w:tcPr>
          <w:p w14:paraId="3D69478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1AE9BE7F">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6778D6A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进料双螺旋</w:t>
            </w:r>
          </w:p>
        </w:tc>
        <w:tc>
          <w:tcPr>
            <w:tcW w:w="390" w:type="pct"/>
            <w:tcBorders>
              <w:top w:val="nil"/>
              <w:left w:val="nil"/>
              <w:bottom w:val="single" w:color="auto" w:sz="4" w:space="0"/>
              <w:right w:val="single" w:color="auto" w:sz="4" w:space="0"/>
            </w:tcBorders>
            <w:noWrap/>
            <w:vAlign w:val="center"/>
          </w:tcPr>
          <w:p w14:paraId="11688CD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72F0C18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193DC15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177</w:t>
            </w:r>
          </w:p>
        </w:tc>
        <w:tc>
          <w:tcPr>
            <w:tcW w:w="341" w:type="pct"/>
            <w:tcBorders>
              <w:top w:val="nil"/>
              <w:left w:val="nil"/>
              <w:bottom w:val="single" w:color="auto" w:sz="4" w:space="0"/>
              <w:right w:val="single" w:color="auto" w:sz="4" w:space="0"/>
            </w:tcBorders>
            <w:vAlign w:val="center"/>
          </w:tcPr>
          <w:p w14:paraId="7130254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92</w:t>
            </w:r>
          </w:p>
        </w:tc>
        <w:tc>
          <w:tcPr>
            <w:tcW w:w="341" w:type="pct"/>
            <w:tcBorders>
              <w:top w:val="nil"/>
              <w:left w:val="nil"/>
              <w:bottom w:val="single" w:color="auto" w:sz="4" w:space="0"/>
              <w:right w:val="single" w:color="auto" w:sz="4" w:space="0"/>
            </w:tcBorders>
            <w:vAlign w:val="center"/>
          </w:tcPr>
          <w:p w14:paraId="5F126DA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61068D3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341" w:type="pct"/>
            <w:tcBorders>
              <w:top w:val="nil"/>
              <w:left w:val="nil"/>
              <w:bottom w:val="single" w:color="auto" w:sz="4" w:space="0"/>
              <w:right w:val="single" w:color="auto" w:sz="4" w:space="0"/>
            </w:tcBorders>
            <w:vAlign w:val="center"/>
          </w:tcPr>
          <w:p w14:paraId="536565F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56.0</w:t>
            </w:r>
          </w:p>
        </w:tc>
        <w:tc>
          <w:tcPr>
            <w:tcW w:w="341" w:type="pct"/>
            <w:tcBorders>
              <w:top w:val="nil"/>
              <w:left w:val="nil"/>
              <w:bottom w:val="single" w:color="auto" w:sz="4" w:space="0"/>
              <w:right w:val="single" w:color="auto" w:sz="4" w:space="0"/>
            </w:tcBorders>
            <w:vAlign w:val="center"/>
          </w:tcPr>
          <w:p w14:paraId="74061B95">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295D155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7307BDB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31.0</w:t>
            </w:r>
          </w:p>
        </w:tc>
        <w:tc>
          <w:tcPr>
            <w:tcW w:w="341" w:type="pct"/>
            <w:tcBorders>
              <w:top w:val="nil"/>
              <w:left w:val="nil"/>
              <w:bottom w:val="single" w:color="auto" w:sz="4" w:space="0"/>
              <w:right w:val="single" w:color="auto" w:sz="4" w:space="0"/>
            </w:tcBorders>
            <w:vAlign w:val="center"/>
          </w:tcPr>
          <w:p w14:paraId="0B06B21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67384D93">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143DC7D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袋式输送机</w:t>
            </w:r>
          </w:p>
        </w:tc>
        <w:tc>
          <w:tcPr>
            <w:tcW w:w="390" w:type="pct"/>
            <w:tcBorders>
              <w:top w:val="nil"/>
              <w:left w:val="nil"/>
              <w:bottom w:val="single" w:color="auto" w:sz="4" w:space="0"/>
              <w:right w:val="single" w:color="auto" w:sz="4" w:space="0"/>
            </w:tcBorders>
            <w:noWrap/>
            <w:vAlign w:val="center"/>
          </w:tcPr>
          <w:p w14:paraId="1839CF1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7CC9AC7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5FEB5E8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180</w:t>
            </w:r>
          </w:p>
        </w:tc>
        <w:tc>
          <w:tcPr>
            <w:tcW w:w="341" w:type="pct"/>
            <w:tcBorders>
              <w:top w:val="nil"/>
              <w:left w:val="nil"/>
              <w:bottom w:val="single" w:color="auto" w:sz="4" w:space="0"/>
              <w:right w:val="single" w:color="auto" w:sz="4" w:space="0"/>
            </w:tcBorders>
            <w:vAlign w:val="center"/>
          </w:tcPr>
          <w:p w14:paraId="639530B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92</w:t>
            </w:r>
          </w:p>
        </w:tc>
        <w:tc>
          <w:tcPr>
            <w:tcW w:w="341" w:type="pct"/>
            <w:tcBorders>
              <w:top w:val="nil"/>
              <w:left w:val="nil"/>
              <w:bottom w:val="single" w:color="auto" w:sz="4" w:space="0"/>
              <w:right w:val="single" w:color="auto" w:sz="4" w:space="0"/>
            </w:tcBorders>
            <w:vAlign w:val="center"/>
          </w:tcPr>
          <w:p w14:paraId="6D7B8D2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37E266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341" w:type="pct"/>
            <w:tcBorders>
              <w:top w:val="nil"/>
              <w:left w:val="nil"/>
              <w:bottom w:val="single" w:color="auto" w:sz="4" w:space="0"/>
              <w:right w:val="single" w:color="auto" w:sz="4" w:space="0"/>
            </w:tcBorders>
            <w:vAlign w:val="center"/>
          </w:tcPr>
          <w:p w14:paraId="038A21D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56.0</w:t>
            </w:r>
          </w:p>
        </w:tc>
        <w:tc>
          <w:tcPr>
            <w:tcW w:w="341" w:type="pct"/>
            <w:tcBorders>
              <w:top w:val="nil"/>
              <w:left w:val="nil"/>
              <w:bottom w:val="single" w:color="auto" w:sz="4" w:space="0"/>
              <w:right w:val="single" w:color="auto" w:sz="4" w:space="0"/>
            </w:tcBorders>
            <w:vAlign w:val="center"/>
          </w:tcPr>
          <w:p w14:paraId="6541F067">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2DB0867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682293E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31.0</w:t>
            </w:r>
          </w:p>
        </w:tc>
        <w:tc>
          <w:tcPr>
            <w:tcW w:w="341" w:type="pct"/>
            <w:tcBorders>
              <w:top w:val="nil"/>
              <w:left w:val="nil"/>
              <w:bottom w:val="single" w:color="auto" w:sz="4" w:space="0"/>
              <w:right w:val="single" w:color="auto" w:sz="4" w:space="0"/>
            </w:tcBorders>
            <w:vAlign w:val="center"/>
          </w:tcPr>
          <w:p w14:paraId="1190487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6FDD1F47">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7604EC8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热解焙烧窑</w:t>
            </w:r>
          </w:p>
        </w:tc>
        <w:tc>
          <w:tcPr>
            <w:tcW w:w="390" w:type="pct"/>
            <w:tcBorders>
              <w:top w:val="nil"/>
              <w:left w:val="nil"/>
              <w:bottom w:val="single" w:color="auto" w:sz="4" w:space="0"/>
              <w:right w:val="single" w:color="auto" w:sz="4" w:space="0"/>
            </w:tcBorders>
            <w:noWrap/>
            <w:vAlign w:val="center"/>
          </w:tcPr>
          <w:p w14:paraId="3A229B0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5CA2200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52B3872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188</w:t>
            </w:r>
          </w:p>
        </w:tc>
        <w:tc>
          <w:tcPr>
            <w:tcW w:w="341" w:type="pct"/>
            <w:tcBorders>
              <w:top w:val="nil"/>
              <w:left w:val="nil"/>
              <w:bottom w:val="single" w:color="auto" w:sz="4" w:space="0"/>
              <w:right w:val="single" w:color="auto" w:sz="4" w:space="0"/>
            </w:tcBorders>
            <w:vAlign w:val="center"/>
          </w:tcPr>
          <w:p w14:paraId="4C53EDF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92</w:t>
            </w:r>
          </w:p>
        </w:tc>
        <w:tc>
          <w:tcPr>
            <w:tcW w:w="341" w:type="pct"/>
            <w:tcBorders>
              <w:top w:val="nil"/>
              <w:left w:val="nil"/>
              <w:bottom w:val="single" w:color="auto" w:sz="4" w:space="0"/>
              <w:right w:val="single" w:color="auto" w:sz="4" w:space="0"/>
            </w:tcBorders>
            <w:vAlign w:val="center"/>
          </w:tcPr>
          <w:p w14:paraId="4ADD8CB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306C8D8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341" w:type="pct"/>
            <w:tcBorders>
              <w:top w:val="nil"/>
              <w:left w:val="nil"/>
              <w:bottom w:val="single" w:color="auto" w:sz="4" w:space="0"/>
              <w:right w:val="single" w:color="auto" w:sz="4" w:space="0"/>
            </w:tcBorders>
            <w:vAlign w:val="center"/>
          </w:tcPr>
          <w:p w14:paraId="4F7EDC6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56.0</w:t>
            </w:r>
          </w:p>
        </w:tc>
        <w:tc>
          <w:tcPr>
            <w:tcW w:w="341" w:type="pct"/>
            <w:tcBorders>
              <w:top w:val="nil"/>
              <w:left w:val="nil"/>
              <w:bottom w:val="single" w:color="auto" w:sz="4" w:space="0"/>
              <w:right w:val="single" w:color="auto" w:sz="4" w:space="0"/>
            </w:tcBorders>
            <w:vAlign w:val="center"/>
          </w:tcPr>
          <w:p w14:paraId="50D9F2CB">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5444495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5ABF32A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31.0</w:t>
            </w:r>
          </w:p>
        </w:tc>
        <w:tc>
          <w:tcPr>
            <w:tcW w:w="341" w:type="pct"/>
            <w:tcBorders>
              <w:top w:val="nil"/>
              <w:left w:val="nil"/>
              <w:bottom w:val="single" w:color="auto" w:sz="4" w:space="0"/>
              <w:right w:val="single" w:color="auto" w:sz="4" w:space="0"/>
            </w:tcBorders>
            <w:vAlign w:val="center"/>
          </w:tcPr>
          <w:p w14:paraId="7407F20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66ED6C4E">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1105E91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一段窑燃烧机风机</w:t>
            </w:r>
          </w:p>
        </w:tc>
        <w:tc>
          <w:tcPr>
            <w:tcW w:w="390" w:type="pct"/>
            <w:tcBorders>
              <w:top w:val="nil"/>
              <w:left w:val="nil"/>
              <w:bottom w:val="single" w:color="auto" w:sz="4" w:space="0"/>
              <w:right w:val="single" w:color="auto" w:sz="4" w:space="0"/>
            </w:tcBorders>
            <w:noWrap/>
            <w:vAlign w:val="center"/>
          </w:tcPr>
          <w:p w14:paraId="71F8A2E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6A8E26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6A5A5C7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185</w:t>
            </w:r>
          </w:p>
        </w:tc>
        <w:tc>
          <w:tcPr>
            <w:tcW w:w="341" w:type="pct"/>
            <w:tcBorders>
              <w:top w:val="nil"/>
              <w:left w:val="nil"/>
              <w:bottom w:val="single" w:color="auto" w:sz="4" w:space="0"/>
              <w:right w:val="single" w:color="auto" w:sz="4" w:space="0"/>
            </w:tcBorders>
            <w:vAlign w:val="center"/>
          </w:tcPr>
          <w:p w14:paraId="279B1BB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90</w:t>
            </w:r>
          </w:p>
        </w:tc>
        <w:tc>
          <w:tcPr>
            <w:tcW w:w="341" w:type="pct"/>
            <w:tcBorders>
              <w:top w:val="nil"/>
              <w:left w:val="nil"/>
              <w:bottom w:val="single" w:color="auto" w:sz="4" w:space="0"/>
              <w:right w:val="single" w:color="auto" w:sz="4" w:space="0"/>
            </w:tcBorders>
            <w:vAlign w:val="center"/>
          </w:tcPr>
          <w:p w14:paraId="0482784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1C4CCB8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341" w:type="pct"/>
            <w:tcBorders>
              <w:top w:val="nil"/>
              <w:left w:val="nil"/>
              <w:bottom w:val="single" w:color="auto" w:sz="4" w:space="0"/>
              <w:right w:val="single" w:color="auto" w:sz="4" w:space="0"/>
            </w:tcBorders>
            <w:vAlign w:val="center"/>
          </w:tcPr>
          <w:p w14:paraId="4928D96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65.5</w:t>
            </w:r>
          </w:p>
        </w:tc>
        <w:tc>
          <w:tcPr>
            <w:tcW w:w="341" w:type="pct"/>
            <w:tcBorders>
              <w:top w:val="nil"/>
              <w:left w:val="nil"/>
              <w:bottom w:val="single" w:color="auto" w:sz="4" w:space="0"/>
              <w:right w:val="single" w:color="auto" w:sz="4" w:space="0"/>
            </w:tcBorders>
            <w:vAlign w:val="center"/>
          </w:tcPr>
          <w:p w14:paraId="3F2A0D34">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4B495F3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58D71E0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40.5</w:t>
            </w:r>
          </w:p>
        </w:tc>
        <w:tc>
          <w:tcPr>
            <w:tcW w:w="341" w:type="pct"/>
            <w:tcBorders>
              <w:top w:val="nil"/>
              <w:left w:val="nil"/>
              <w:bottom w:val="single" w:color="auto" w:sz="4" w:space="0"/>
              <w:right w:val="single" w:color="auto" w:sz="4" w:space="0"/>
            </w:tcBorders>
            <w:vAlign w:val="center"/>
          </w:tcPr>
          <w:p w14:paraId="4FA7798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79B24205">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3D60E4B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二段窑燃烧机风机</w:t>
            </w:r>
          </w:p>
        </w:tc>
        <w:tc>
          <w:tcPr>
            <w:tcW w:w="390" w:type="pct"/>
            <w:tcBorders>
              <w:top w:val="nil"/>
              <w:left w:val="nil"/>
              <w:bottom w:val="single" w:color="auto" w:sz="4" w:space="0"/>
              <w:right w:val="single" w:color="auto" w:sz="4" w:space="0"/>
            </w:tcBorders>
            <w:noWrap/>
            <w:vAlign w:val="center"/>
          </w:tcPr>
          <w:p w14:paraId="75EB229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589B153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508972F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188</w:t>
            </w:r>
          </w:p>
        </w:tc>
        <w:tc>
          <w:tcPr>
            <w:tcW w:w="341" w:type="pct"/>
            <w:tcBorders>
              <w:top w:val="nil"/>
              <w:left w:val="nil"/>
              <w:bottom w:val="single" w:color="auto" w:sz="4" w:space="0"/>
              <w:right w:val="single" w:color="auto" w:sz="4" w:space="0"/>
            </w:tcBorders>
            <w:vAlign w:val="center"/>
          </w:tcPr>
          <w:p w14:paraId="440D1A7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90</w:t>
            </w:r>
          </w:p>
        </w:tc>
        <w:tc>
          <w:tcPr>
            <w:tcW w:w="341" w:type="pct"/>
            <w:tcBorders>
              <w:top w:val="nil"/>
              <w:left w:val="nil"/>
              <w:bottom w:val="single" w:color="auto" w:sz="4" w:space="0"/>
              <w:right w:val="single" w:color="auto" w:sz="4" w:space="0"/>
            </w:tcBorders>
            <w:vAlign w:val="center"/>
          </w:tcPr>
          <w:p w14:paraId="45BE31A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2C83EAB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341" w:type="pct"/>
            <w:tcBorders>
              <w:top w:val="nil"/>
              <w:left w:val="nil"/>
              <w:bottom w:val="single" w:color="auto" w:sz="4" w:space="0"/>
              <w:right w:val="single" w:color="auto" w:sz="4" w:space="0"/>
            </w:tcBorders>
            <w:vAlign w:val="center"/>
          </w:tcPr>
          <w:p w14:paraId="5BD09C3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65.5</w:t>
            </w:r>
          </w:p>
        </w:tc>
        <w:tc>
          <w:tcPr>
            <w:tcW w:w="341" w:type="pct"/>
            <w:tcBorders>
              <w:top w:val="nil"/>
              <w:left w:val="nil"/>
              <w:bottom w:val="single" w:color="auto" w:sz="4" w:space="0"/>
              <w:right w:val="single" w:color="auto" w:sz="4" w:space="0"/>
            </w:tcBorders>
            <w:vAlign w:val="center"/>
          </w:tcPr>
          <w:p w14:paraId="6D06B29D">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34FF24C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3B33986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40.5</w:t>
            </w:r>
          </w:p>
        </w:tc>
        <w:tc>
          <w:tcPr>
            <w:tcW w:w="341" w:type="pct"/>
            <w:tcBorders>
              <w:top w:val="nil"/>
              <w:left w:val="nil"/>
              <w:bottom w:val="single" w:color="auto" w:sz="4" w:space="0"/>
              <w:right w:val="single" w:color="auto" w:sz="4" w:space="0"/>
            </w:tcBorders>
            <w:vAlign w:val="center"/>
          </w:tcPr>
          <w:p w14:paraId="456974C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67A4A7DC">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469BB57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一段燃气烟气引风机</w:t>
            </w:r>
          </w:p>
        </w:tc>
        <w:tc>
          <w:tcPr>
            <w:tcW w:w="390" w:type="pct"/>
            <w:tcBorders>
              <w:top w:val="nil"/>
              <w:left w:val="nil"/>
              <w:bottom w:val="single" w:color="auto" w:sz="4" w:space="0"/>
              <w:right w:val="single" w:color="auto" w:sz="4" w:space="0"/>
            </w:tcBorders>
            <w:noWrap/>
            <w:vAlign w:val="center"/>
          </w:tcPr>
          <w:p w14:paraId="5A68D03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02087D1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1AB47EA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190</w:t>
            </w:r>
          </w:p>
        </w:tc>
        <w:tc>
          <w:tcPr>
            <w:tcW w:w="341" w:type="pct"/>
            <w:tcBorders>
              <w:top w:val="nil"/>
              <w:left w:val="nil"/>
              <w:bottom w:val="single" w:color="auto" w:sz="4" w:space="0"/>
              <w:right w:val="single" w:color="auto" w:sz="4" w:space="0"/>
            </w:tcBorders>
            <w:vAlign w:val="center"/>
          </w:tcPr>
          <w:p w14:paraId="196C951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90</w:t>
            </w:r>
          </w:p>
        </w:tc>
        <w:tc>
          <w:tcPr>
            <w:tcW w:w="341" w:type="pct"/>
            <w:tcBorders>
              <w:top w:val="nil"/>
              <w:left w:val="nil"/>
              <w:bottom w:val="single" w:color="auto" w:sz="4" w:space="0"/>
              <w:right w:val="single" w:color="auto" w:sz="4" w:space="0"/>
            </w:tcBorders>
            <w:vAlign w:val="center"/>
          </w:tcPr>
          <w:p w14:paraId="75A0162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197DBF1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341" w:type="pct"/>
            <w:tcBorders>
              <w:top w:val="nil"/>
              <w:left w:val="nil"/>
              <w:bottom w:val="single" w:color="auto" w:sz="4" w:space="0"/>
              <w:right w:val="single" w:color="auto" w:sz="4" w:space="0"/>
            </w:tcBorders>
            <w:vAlign w:val="center"/>
          </w:tcPr>
          <w:p w14:paraId="08198E2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65.5</w:t>
            </w:r>
          </w:p>
        </w:tc>
        <w:tc>
          <w:tcPr>
            <w:tcW w:w="341" w:type="pct"/>
            <w:tcBorders>
              <w:top w:val="nil"/>
              <w:left w:val="nil"/>
              <w:bottom w:val="single" w:color="auto" w:sz="4" w:space="0"/>
              <w:right w:val="single" w:color="auto" w:sz="4" w:space="0"/>
            </w:tcBorders>
            <w:vAlign w:val="center"/>
          </w:tcPr>
          <w:p w14:paraId="577061F6">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0D6AFFC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5CE2130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40.5</w:t>
            </w:r>
          </w:p>
        </w:tc>
        <w:tc>
          <w:tcPr>
            <w:tcW w:w="341" w:type="pct"/>
            <w:tcBorders>
              <w:top w:val="nil"/>
              <w:left w:val="nil"/>
              <w:bottom w:val="single" w:color="auto" w:sz="4" w:space="0"/>
              <w:right w:val="single" w:color="auto" w:sz="4" w:space="0"/>
            </w:tcBorders>
            <w:vAlign w:val="center"/>
          </w:tcPr>
          <w:p w14:paraId="68001EA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65C6A79B">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32C88FC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二段燃气烟气引风机</w:t>
            </w:r>
          </w:p>
        </w:tc>
        <w:tc>
          <w:tcPr>
            <w:tcW w:w="390" w:type="pct"/>
            <w:tcBorders>
              <w:top w:val="nil"/>
              <w:left w:val="nil"/>
              <w:bottom w:val="single" w:color="auto" w:sz="4" w:space="0"/>
              <w:right w:val="single" w:color="auto" w:sz="4" w:space="0"/>
            </w:tcBorders>
            <w:noWrap/>
            <w:vAlign w:val="center"/>
          </w:tcPr>
          <w:p w14:paraId="07B4893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340096E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15AA4EA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192</w:t>
            </w:r>
          </w:p>
        </w:tc>
        <w:tc>
          <w:tcPr>
            <w:tcW w:w="341" w:type="pct"/>
            <w:tcBorders>
              <w:top w:val="nil"/>
              <w:left w:val="nil"/>
              <w:bottom w:val="single" w:color="auto" w:sz="4" w:space="0"/>
              <w:right w:val="single" w:color="auto" w:sz="4" w:space="0"/>
            </w:tcBorders>
            <w:vAlign w:val="center"/>
          </w:tcPr>
          <w:p w14:paraId="41970BC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90</w:t>
            </w:r>
          </w:p>
        </w:tc>
        <w:tc>
          <w:tcPr>
            <w:tcW w:w="341" w:type="pct"/>
            <w:tcBorders>
              <w:top w:val="nil"/>
              <w:left w:val="nil"/>
              <w:bottom w:val="single" w:color="auto" w:sz="4" w:space="0"/>
              <w:right w:val="single" w:color="auto" w:sz="4" w:space="0"/>
            </w:tcBorders>
            <w:vAlign w:val="center"/>
          </w:tcPr>
          <w:p w14:paraId="5AAB4E8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78F028D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341" w:type="pct"/>
            <w:tcBorders>
              <w:top w:val="nil"/>
              <w:left w:val="nil"/>
              <w:bottom w:val="single" w:color="auto" w:sz="4" w:space="0"/>
              <w:right w:val="single" w:color="auto" w:sz="4" w:space="0"/>
            </w:tcBorders>
            <w:vAlign w:val="center"/>
          </w:tcPr>
          <w:p w14:paraId="305CC3B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65.5</w:t>
            </w:r>
          </w:p>
        </w:tc>
        <w:tc>
          <w:tcPr>
            <w:tcW w:w="341" w:type="pct"/>
            <w:tcBorders>
              <w:top w:val="nil"/>
              <w:left w:val="nil"/>
              <w:bottom w:val="single" w:color="auto" w:sz="4" w:space="0"/>
              <w:right w:val="single" w:color="auto" w:sz="4" w:space="0"/>
            </w:tcBorders>
            <w:vAlign w:val="center"/>
          </w:tcPr>
          <w:p w14:paraId="71CCE8B8">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5D08BF3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339DBD0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40.5</w:t>
            </w:r>
          </w:p>
        </w:tc>
        <w:tc>
          <w:tcPr>
            <w:tcW w:w="341" w:type="pct"/>
            <w:tcBorders>
              <w:top w:val="nil"/>
              <w:left w:val="nil"/>
              <w:bottom w:val="single" w:color="auto" w:sz="4" w:space="0"/>
              <w:right w:val="single" w:color="auto" w:sz="4" w:space="0"/>
            </w:tcBorders>
            <w:vAlign w:val="center"/>
          </w:tcPr>
          <w:p w14:paraId="4568EFD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42207B5B">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1118D9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燃烧器风机</w:t>
            </w:r>
          </w:p>
        </w:tc>
        <w:tc>
          <w:tcPr>
            <w:tcW w:w="390" w:type="pct"/>
            <w:tcBorders>
              <w:top w:val="nil"/>
              <w:left w:val="nil"/>
              <w:bottom w:val="single" w:color="auto" w:sz="4" w:space="0"/>
              <w:right w:val="single" w:color="auto" w:sz="4" w:space="0"/>
            </w:tcBorders>
            <w:noWrap/>
            <w:vAlign w:val="center"/>
          </w:tcPr>
          <w:p w14:paraId="71D3B31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618B3EE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35F9AB9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195</w:t>
            </w:r>
          </w:p>
        </w:tc>
        <w:tc>
          <w:tcPr>
            <w:tcW w:w="341" w:type="pct"/>
            <w:tcBorders>
              <w:top w:val="nil"/>
              <w:left w:val="nil"/>
              <w:bottom w:val="single" w:color="auto" w:sz="4" w:space="0"/>
              <w:right w:val="single" w:color="auto" w:sz="4" w:space="0"/>
            </w:tcBorders>
            <w:vAlign w:val="center"/>
          </w:tcPr>
          <w:p w14:paraId="4638A11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90</w:t>
            </w:r>
          </w:p>
        </w:tc>
        <w:tc>
          <w:tcPr>
            <w:tcW w:w="341" w:type="pct"/>
            <w:tcBorders>
              <w:top w:val="nil"/>
              <w:left w:val="nil"/>
              <w:bottom w:val="single" w:color="auto" w:sz="4" w:space="0"/>
              <w:right w:val="single" w:color="auto" w:sz="4" w:space="0"/>
            </w:tcBorders>
            <w:vAlign w:val="center"/>
          </w:tcPr>
          <w:p w14:paraId="0589A68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0CC696D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341" w:type="pct"/>
            <w:tcBorders>
              <w:top w:val="nil"/>
              <w:left w:val="nil"/>
              <w:bottom w:val="single" w:color="auto" w:sz="4" w:space="0"/>
              <w:right w:val="single" w:color="auto" w:sz="4" w:space="0"/>
            </w:tcBorders>
            <w:vAlign w:val="center"/>
          </w:tcPr>
          <w:p w14:paraId="3994502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65.5</w:t>
            </w:r>
          </w:p>
        </w:tc>
        <w:tc>
          <w:tcPr>
            <w:tcW w:w="341" w:type="pct"/>
            <w:tcBorders>
              <w:top w:val="nil"/>
              <w:left w:val="nil"/>
              <w:bottom w:val="single" w:color="auto" w:sz="4" w:space="0"/>
              <w:right w:val="single" w:color="auto" w:sz="4" w:space="0"/>
            </w:tcBorders>
            <w:vAlign w:val="center"/>
          </w:tcPr>
          <w:p w14:paraId="09D3B08D">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1928D68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4EBAF9E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40.5</w:t>
            </w:r>
          </w:p>
        </w:tc>
        <w:tc>
          <w:tcPr>
            <w:tcW w:w="341" w:type="pct"/>
            <w:tcBorders>
              <w:top w:val="nil"/>
              <w:left w:val="nil"/>
              <w:bottom w:val="single" w:color="auto" w:sz="4" w:space="0"/>
              <w:right w:val="single" w:color="auto" w:sz="4" w:space="0"/>
            </w:tcBorders>
            <w:vAlign w:val="center"/>
          </w:tcPr>
          <w:p w14:paraId="76129664">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27F352A9">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732923C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二燃室补氧风机</w:t>
            </w:r>
          </w:p>
        </w:tc>
        <w:tc>
          <w:tcPr>
            <w:tcW w:w="390" w:type="pct"/>
            <w:tcBorders>
              <w:top w:val="nil"/>
              <w:left w:val="nil"/>
              <w:bottom w:val="single" w:color="auto" w:sz="4" w:space="0"/>
              <w:right w:val="single" w:color="auto" w:sz="4" w:space="0"/>
            </w:tcBorders>
            <w:noWrap/>
            <w:vAlign w:val="center"/>
          </w:tcPr>
          <w:p w14:paraId="5F76266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80</w:t>
            </w:r>
          </w:p>
        </w:tc>
        <w:tc>
          <w:tcPr>
            <w:tcW w:w="753" w:type="pct"/>
            <w:tcBorders>
              <w:top w:val="nil"/>
              <w:left w:val="nil"/>
              <w:bottom w:val="single" w:color="auto" w:sz="4" w:space="0"/>
              <w:right w:val="single" w:color="auto" w:sz="4" w:space="0"/>
            </w:tcBorders>
            <w:vAlign w:val="center"/>
          </w:tcPr>
          <w:p w14:paraId="52ACB0E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460CA76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198</w:t>
            </w:r>
          </w:p>
        </w:tc>
        <w:tc>
          <w:tcPr>
            <w:tcW w:w="341" w:type="pct"/>
            <w:tcBorders>
              <w:top w:val="nil"/>
              <w:left w:val="nil"/>
              <w:bottom w:val="single" w:color="auto" w:sz="4" w:space="0"/>
              <w:right w:val="single" w:color="auto" w:sz="4" w:space="0"/>
            </w:tcBorders>
            <w:vAlign w:val="center"/>
          </w:tcPr>
          <w:p w14:paraId="6E7EE77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90</w:t>
            </w:r>
          </w:p>
        </w:tc>
        <w:tc>
          <w:tcPr>
            <w:tcW w:w="341" w:type="pct"/>
            <w:tcBorders>
              <w:top w:val="nil"/>
              <w:left w:val="nil"/>
              <w:bottom w:val="single" w:color="auto" w:sz="4" w:space="0"/>
              <w:right w:val="single" w:color="auto" w:sz="4" w:space="0"/>
            </w:tcBorders>
            <w:vAlign w:val="center"/>
          </w:tcPr>
          <w:p w14:paraId="1581CFC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300C537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341" w:type="pct"/>
            <w:tcBorders>
              <w:top w:val="nil"/>
              <w:left w:val="nil"/>
              <w:bottom w:val="single" w:color="auto" w:sz="4" w:space="0"/>
              <w:right w:val="single" w:color="auto" w:sz="4" w:space="0"/>
            </w:tcBorders>
            <w:noWrap/>
            <w:vAlign w:val="center"/>
          </w:tcPr>
          <w:p w14:paraId="63EADE16">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70.5</w:t>
            </w:r>
          </w:p>
        </w:tc>
        <w:tc>
          <w:tcPr>
            <w:tcW w:w="341" w:type="pct"/>
            <w:tcBorders>
              <w:top w:val="nil"/>
              <w:left w:val="nil"/>
              <w:bottom w:val="single" w:color="auto" w:sz="4" w:space="0"/>
              <w:right w:val="single" w:color="auto" w:sz="4" w:space="0"/>
            </w:tcBorders>
            <w:vAlign w:val="center"/>
          </w:tcPr>
          <w:p w14:paraId="4456D460">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521E2D4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6ABCFFA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45.5</w:t>
            </w:r>
          </w:p>
        </w:tc>
        <w:tc>
          <w:tcPr>
            <w:tcW w:w="341" w:type="pct"/>
            <w:tcBorders>
              <w:top w:val="nil"/>
              <w:left w:val="nil"/>
              <w:bottom w:val="single" w:color="auto" w:sz="4" w:space="0"/>
              <w:right w:val="single" w:color="auto" w:sz="4" w:space="0"/>
            </w:tcBorders>
            <w:vAlign w:val="center"/>
          </w:tcPr>
          <w:p w14:paraId="6FA855E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17AFC5F2">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3CB6E09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石墨急冷塔</w:t>
            </w:r>
          </w:p>
        </w:tc>
        <w:tc>
          <w:tcPr>
            <w:tcW w:w="390" w:type="pct"/>
            <w:tcBorders>
              <w:top w:val="nil"/>
              <w:left w:val="nil"/>
              <w:bottom w:val="single" w:color="auto" w:sz="4" w:space="0"/>
              <w:right w:val="single" w:color="auto" w:sz="4" w:space="0"/>
            </w:tcBorders>
            <w:noWrap/>
            <w:vAlign w:val="center"/>
          </w:tcPr>
          <w:p w14:paraId="20B70C0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2954528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22EF393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198</w:t>
            </w:r>
          </w:p>
        </w:tc>
        <w:tc>
          <w:tcPr>
            <w:tcW w:w="341" w:type="pct"/>
            <w:tcBorders>
              <w:top w:val="nil"/>
              <w:left w:val="nil"/>
              <w:bottom w:val="single" w:color="auto" w:sz="4" w:space="0"/>
              <w:right w:val="single" w:color="auto" w:sz="4" w:space="0"/>
            </w:tcBorders>
            <w:vAlign w:val="center"/>
          </w:tcPr>
          <w:p w14:paraId="4E73F9C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41" w:type="pct"/>
            <w:tcBorders>
              <w:top w:val="nil"/>
              <w:left w:val="nil"/>
              <w:bottom w:val="single" w:color="auto" w:sz="4" w:space="0"/>
              <w:right w:val="single" w:color="auto" w:sz="4" w:space="0"/>
            </w:tcBorders>
            <w:vAlign w:val="center"/>
          </w:tcPr>
          <w:p w14:paraId="52433E7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78BFFA8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w:t>
            </w:r>
          </w:p>
        </w:tc>
        <w:tc>
          <w:tcPr>
            <w:tcW w:w="341" w:type="pct"/>
            <w:tcBorders>
              <w:top w:val="nil"/>
              <w:left w:val="nil"/>
              <w:bottom w:val="single" w:color="auto" w:sz="4" w:space="0"/>
              <w:right w:val="single" w:color="auto" w:sz="4" w:space="0"/>
            </w:tcBorders>
            <w:noWrap/>
            <w:vAlign w:val="center"/>
          </w:tcPr>
          <w:p w14:paraId="77FBCA36">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58.0</w:t>
            </w:r>
          </w:p>
        </w:tc>
        <w:tc>
          <w:tcPr>
            <w:tcW w:w="341" w:type="pct"/>
            <w:tcBorders>
              <w:top w:val="nil"/>
              <w:left w:val="nil"/>
              <w:bottom w:val="single" w:color="auto" w:sz="4" w:space="0"/>
              <w:right w:val="single" w:color="auto" w:sz="4" w:space="0"/>
            </w:tcBorders>
            <w:vAlign w:val="center"/>
          </w:tcPr>
          <w:p w14:paraId="1189757A">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616C868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1B721EF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33.0</w:t>
            </w:r>
          </w:p>
        </w:tc>
        <w:tc>
          <w:tcPr>
            <w:tcW w:w="341" w:type="pct"/>
            <w:tcBorders>
              <w:top w:val="nil"/>
              <w:left w:val="nil"/>
              <w:bottom w:val="single" w:color="auto" w:sz="4" w:space="0"/>
              <w:right w:val="single" w:color="auto" w:sz="4" w:space="0"/>
            </w:tcBorders>
            <w:vAlign w:val="center"/>
          </w:tcPr>
          <w:p w14:paraId="041AEAD6">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1540D655">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4D49A33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急冷循环泵</w:t>
            </w:r>
          </w:p>
        </w:tc>
        <w:tc>
          <w:tcPr>
            <w:tcW w:w="390" w:type="pct"/>
            <w:tcBorders>
              <w:top w:val="nil"/>
              <w:left w:val="nil"/>
              <w:bottom w:val="single" w:color="auto" w:sz="4" w:space="0"/>
              <w:right w:val="single" w:color="auto" w:sz="4" w:space="0"/>
            </w:tcBorders>
            <w:noWrap/>
            <w:vAlign w:val="center"/>
          </w:tcPr>
          <w:p w14:paraId="3B568C3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024F2E2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vAlign w:val="center"/>
          </w:tcPr>
          <w:p w14:paraId="32AA127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195</w:t>
            </w:r>
          </w:p>
        </w:tc>
        <w:tc>
          <w:tcPr>
            <w:tcW w:w="341" w:type="pct"/>
            <w:tcBorders>
              <w:top w:val="nil"/>
              <w:left w:val="nil"/>
              <w:bottom w:val="single" w:color="auto" w:sz="4" w:space="0"/>
              <w:right w:val="single" w:color="auto" w:sz="4" w:space="0"/>
            </w:tcBorders>
            <w:vAlign w:val="center"/>
          </w:tcPr>
          <w:p w14:paraId="41923A1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41" w:type="pct"/>
            <w:tcBorders>
              <w:top w:val="nil"/>
              <w:left w:val="nil"/>
              <w:bottom w:val="single" w:color="auto" w:sz="4" w:space="0"/>
              <w:right w:val="single" w:color="auto" w:sz="4" w:space="0"/>
            </w:tcBorders>
            <w:vAlign w:val="center"/>
          </w:tcPr>
          <w:p w14:paraId="21CB685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136D846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w:t>
            </w:r>
          </w:p>
        </w:tc>
        <w:tc>
          <w:tcPr>
            <w:tcW w:w="341" w:type="pct"/>
            <w:tcBorders>
              <w:top w:val="nil"/>
              <w:left w:val="nil"/>
              <w:bottom w:val="single" w:color="auto" w:sz="4" w:space="0"/>
              <w:right w:val="single" w:color="auto" w:sz="4" w:space="0"/>
            </w:tcBorders>
            <w:noWrap/>
            <w:vAlign w:val="center"/>
          </w:tcPr>
          <w:p w14:paraId="6B7C435E">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58.1</w:t>
            </w:r>
          </w:p>
        </w:tc>
        <w:tc>
          <w:tcPr>
            <w:tcW w:w="341" w:type="pct"/>
            <w:tcBorders>
              <w:top w:val="nil"/>
              <w:left w:val="nil"/>
              <w:bottom w:val="single" w:color="auto" w:sz="4" w:space="0"/>
              <w:right w:val="single" w:color="auto" w:sz="4" w:space="0"/>
            </w:tcBorders>
            <w:vAlign w:val="center"/>
          </w:tcPr>
          <w:p w14:paraId="19316DF4">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1853E66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65BB098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33.1</w:t>
            </w:r>
          </w:p>
        </w:tc>
        <w:tc>
          <w:tcPr>
            <w:tcW w:w="341" w:type="pct"/>
            <w:tcBorders>
              <w:top w:val="nil"/>
              <w:left w:val="nil"/>
              <w:bottom w:val="single" w:color="auto" w:sz="4" w:space="0"/>
              <w:right w:val="single" w:color="auto" w:sz="4" w:space="0"/>
            </w:tcBorders>
            <w:vAlign w:val="center"/>
          </w:tcPr>
          <w:p w14:paraId="536999D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2EA5643C">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736B37F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一级洗涤塔</w:t>
            </w:r>
          </w:p>
        </w:tc>
        <w:tc>
          <w:tcPr>
            <w:tcW w:w="390" w:type="pct"/>
            <w:tcBorders>
              <w:top w:val="nil"/>
              <w:left w:val="nil"/>
              <w:bottom w:val="single" w:color="auto" w:sz="4" w:space="0"/>
              <w:right w:val="single" w:color="auto" w:sz="4" w:space="0"/>
            </w:tcBorders>
            <w:noWrap/>
            <w:vAlign w:val="center"/>
          </w:tcPr>
          <w:p w14:paraId="164F137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72AB15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285726E0">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192</w:t>
            </w:r>
          </w:p>
        </w:tc>
        <w:tc>
          <w:tcPr>
            <w:tcW w:w="341" w:type="pct"/>
            <w:tcBorders>
              <w:top w:val="nil"/>
              <w:left w:val="nil"/>
              <w:bottom w:val="single" w:color="auto" w:sz="4" w:space="0"/>
              <w:right w:val="single" w:color="auto" w:sz="4" w:space="0"/>
            </w:tcBorders>
            <w:vAlign w:val="center"/>
          </w:tcPr>
          <w:p w14:paraId="327B31B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41" w:type="pct"/>
            <w:tcBorders>
              <w:top w:val="nil"/>
              <w:left w:val="nil"/>
              <w:bottom w:val="single" w:color="auto" w:sz="4" w:space="0"/>
              <w:right w:val="single" w:color="auto" w:sz="4" w:space="0"/>
            </w:tcBorders>
            <w:vAlign w:val="center"/>
          </w:tcPr>
          <w:p w14:paraId="3B2F519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2159B6F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w:t>
            </w:r>
          </w:p>
        </w:tc>
        <w:tc>
          <w:tcPr>
            <w:tcW w:w="341" w:type="pct"/>
            <w:tcBorders>
              <w:top w:val="nil"/>
              <w:left w:val="nil"/>
              <w:bottom w:val="single" w:color="auto" w:sz="4" w:space="0"/>
              <w:right w:val="single" w:color="auto" w:sz="4" w:space="0"/>
            </w:tcBorders>
            <w:noWrap/>
            <w:vAlign w:val="center"/>
          </w:tcPr>
          <w:p w14:paraId="09CDFD67">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51.9</w:t>
            </w:r>
          </w:p>
        </w:tc>
        <w:tc>
          <w:tcPr>
            <w:tcW w:w="341" w:type="pct"/>
            <w:tcBorders>
              <w:top w:val="nil"/>
              <w:left w:val="nil"/>
              <w:bottom w:val="single" w:color="auto" w:sz="4" w:space="0"/>
              <w:right w:val="single" w:color="auto" w:sz="4" w:space="0"/>
            </w:tcBorders>
            <w:vAlign w:val="center"/>
          </w:tcPr>
          <w:p w14:paraId="3E7F04B3">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29E42E4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31D03F2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26.9</w:t>
            </w:r>
          </w:p>
        </w:tc>
        <w:tc>
          <w:tcPr>
            <w:tcW w:w="341" w:type="pct"/>
            <w:tcBorders>
              <w:top w:val="nil"/>
              <w:left w:val="nil"/>
              <w:bottom w:val="single" w:color="auto" w:sz="4" w:space="0"/>
              <w:right w:val="single" w:color="auto" w:sz="4" w:space="0"/>
            </w:tcBorders>
            <w:vAlign w:val="center"/>
          </w:tcPr>
          <w:p w14:paraId="1D144B9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71233E77">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1A030CF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一级循环泵</w:t>
            </w:r>
          </w:p>
        </w:tc>
        <w:tc>
          <w:tcPr>
            <w:tcW w:w="390" w:type="pct"/>
            <w:tcBorders>
              <w:top w:val="nil"/>
              <w:left w:val="nil"/>
              <w:bottom w:val="single" w:color="auto" w:sz="4" w:space="0"/>
              <w:right w:val="single" w:color="auto" w:sz="4" w:space="0"/>
            </w:tcBorders>
            <w:noWrap/>
            <w:vAlign w:val="center"/>
          </w:tcPr>
          <w:p w14:paraId="28A6F99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28C14A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1A6184DC">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189</w:t>
            </w:r>
          </w:p>
        </w:tc>
        <w:tc>
          <w:tcPr>
            <w:tcW w:w="341" w:type="pct"/>
            <w:tcBorders>
              <w:top w:val="nil"/>
              <w:left w:val="nil"/>
              <w:bottom w:val="single" w:color="auto" w:sz="4" w:space="0"/>
              <w:right w:val="single" w:color="auto" w:sz="4" w:space="0"/>
            </w:tcBorders>
            <w:vAlign w:val="center"/>
          </w:tcPr>
          <w:p w14:paraId="2A32A27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41" w:type="pct"/>
            <w:tcBorders>
              <w:top w:val="nil"/>
              <w:left w:val="nil"/>
              <w:bottom w:val="single" w:color="auto" w:sz="4" w:space="0"/>
              <w:right w:val="single" w:color="auto" w:sz="4" w:space="0"/>
            </w:tcBorders>
            <w:vAlign w:val="center"/>
          </w:tcPr>
          <w:p w14:paraId="738FB86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6BA2F77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w:t>
            </w:r>
          </w:p>
        </w:tc>
        <w:tc>
          <w:tcPr>
            <w:tcW w:w="341" w:type="pct"/>
            <w:tcBorders>
              <w:top w:val="nil"/>
              <w:left w:val="nil"/>
              <w:bottom w:val="single" w:color="auto" w:sz="4" w:space="0"/>
              <w:right w:val="single" w:color="auto" w:sz="4" w:space="0"/>
            </w:tcBorders>
            <w:noWrap/>
            <w:vAlign w:val="center"/>
          </w:tcPr>
          <w:p w14:paraId="65FCE10E">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56.9</w:t>
            </w:r>
          </w:p>
        </w:tc>
        <w:tc>
          <w:tcPr>
            <w:tcW w:w="341" w:type="pct"/>
            <w:tcBorders>
              <w:top w:val="nil"/>
              <w:left w:val="nil"/>
              <w:bottom w:val="single" w:color="auto" w:sz="4" w:space="0"/>
              <w:right w:val="single" w:color="auto" w:sz="4" w:space="0"/>
            </w:tcBorders>
            <w:vAlign w:val="center"/>
          </w:tcPr>
          <w:p w14:paraId="3152B8EB">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4D8CD94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2F7749D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31.9</w:t>
            </w:r>
          </w:p>
        </w:tc>
        <w:tc>
          <w:tcPr>
            <w:tcW w:w="341" w:type="pct"/>
            <w:tcBorders>
              <w:top w:val="nil"/>
              <w:left w:val="nil"/>
              <w:bottom w:val="single" w:color="auto" w:sz="4" w:space="0"/>
              <w:right w:val="single" w:color="auto" w:sz="4" w:space="0"/>
            </w:tcBorders>
            <w:vAlign w:val="center"/>
          </w:tcPr>
          <w:p w14:paraId="0E586B9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6683188A">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70203C2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二级洗涤塔</w:t>
            </w:r>
          </w:p>
        </w:tc>
        <w:tc>
          <w:tcPr>
            <w:tcW w:w="390" w:type="pct"/>
            <w:tcBorders>
              <w:top w:val="nil"/>
              <w:left w:val="nil"/>
              <w:bottom w:val="single" w:color="auto" w:sz="4" w:space="0"/>
              <w:right w:val="single" w:color="auto" w:sz="4" w:space="0"/>
            </w:tcBorders>
            <w:noWrap/>
            <w:vAlign w:val="center"/>
          </w:tcPr>
          <w:p w14:paraId="04E18D71">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5BFBCBD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65C8D6BE">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186</w:t>
            </w:r>
          </w:p>
        </w:tc>
        <w:tc>
          <w:tcPr>
            <w:tcW w:w="341" w:type="pct"/>
            <w:tcBorders>
              <w:top w:val="nil"/>
              <w:left w:val="nil"/>
              <w:bottom w:val="single" w:color="auto" w:sz="4" w:space="0"/>
              <w:right w:val="single" w:color="auto" w:sz="4" w:space="0"/>
            </w:tcBorders>
            <w:vAlign w:val="center"/>
          </w:tcPr>
          <w:p w14:paraId="64E321B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41" w:type="pct"/>
            <w:tcBorders>
              <w:top w:val="nil"/>
              <w:left w:val="nil"/>
              <w:bottom w:val="single" w:color="auto" w:sz="4" w:space="0"/>
              <w:right w:val="single" w:color="auto" w:sz="4" w:space="0"/>
            </w:tcBorders>
            <w:vAlign w:val="center"/>
          </w:tcPr>
          <w:p w14:paraId="789182D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015604C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w:t>
            </w:r>
          </w:p>
        </w:tc>
        <w:tc>
          <w:tcPr>
            <w:tcW w:w="341" w:type="pct"/>
            <w:tcBorders>
              <w:top w:val="nil"/>
              <w:left w:val="nil"/>
              <w:bottom w:val="single" w:color="auto" w:sz="4" w:space="0"/>
              <w:right w:val="single" w:color="auto" w:sz="4" w:space="0"/>
            </w:tcBorders>
            <w:noWrap/>
            <w:vAlign w:val="center"/>
          </w:tcPr>
          <w:p w14:paraId="5C02B5B0">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51.9</w:t>
            </w:r>
          </w:p>
        </w:tc>
        <w:tc>
          <w:tcPr>
            <w:tcW w:w="341" w:type="pct"/>
            <w:tcBorders>
              <w:top w:val="nil"/>
              <w:left w:val="nil"/>
              <w:bottom w:val="single" w:color="auto" w:sz="4" w:space="0"/>
              <w:right w:val="single" w:color="auto" w:sz="4" w:space="0"/>
            </w:tcBorders>
            <w:vAlign w:val="center"/>
          </w:tcPr>
          <w:p w14:paraId="6F0107E3">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15988AC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18118D5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26.9</w:t>
            </w:r>
          </w:p>
        </w:tc>
        <w:tc>
          <w:tcPr>
            <w:tcW w:w="341" w:type="pct"/>
            <w:tcBorders>
              <w:top w:val="nil"/>
              <w:left w:val="nil"/>
              <w:bottom w:val="single" w:color="auto" w:sz="4" w:space="0"/>
              <w:right w:val="single" w:color="auto" w:sz="4" w:space="0"/>
            </w:tcBorders>
            <w:vAlign w:val="center"/>
          </w:tcPr>
          <w:p w14:paraId="746875F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2C41B651">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4E5157C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二级循环泵</w:t>
            </w:r>
          </w:p>
        </w:tc>
        <w:tc>
          <w:tcPr>
            <w:tcW w:w="390" w:type="pct"/>
            <w:tcBorders>
              <w:top w:val="nil"/>
              <w:left w:val="nil"/>
              <w:bottom w:val="single" w:color="auto" w:sz="4" w:space="0"/>
              <w:right w:val="single" w:color="auto" w:sz="4" w:space="0"/>
            </w:tcBorders>
            <w:noWrap/>
            <w:vAlign w:val="center"/>
          </w:tcPr>
          <w:p w14:paraId="6319259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56C4A3F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50D23F53">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183</w:t>
            </w:r>
          </w:p>
        </w:tc>
        <w:tc>
          <w:tcPr>
            <w:tcW w:w="341" w:type="pct"/>
            <w:tcBorders>
              <w:top w:val="nil"/>
              <w:left w:val="nil"/>
              <w:bottom w:val="single" w:color="auto" w:sz="4" w:space="0"/>
              <w:right w:val="single" w:color="auto" w:sz="4" w:space="0"/>
            </w:tcBorders>
            <w:vAlign w:val="center"/>
          </w:tcPr>
          <w:p w14:paraId="2CD426C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41" w:type="pct"/>
            <w:tcBorders>
              <w:top w:val="nil"/>
              <w:left w:val="nil"/>
              <w:bottom w:val="single" w:color="auto" w:sz="4" w:space="0"/>
              <w:right w:val="single" w:color="auto" w:sz="4" w:space="0"/>
            </w:tcBorders>
            <w:vAlign w:val="center"/>
          </w:tcPr>
          <w:p w14:paraId="61E048A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7451116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w:t>
            </w:r>
          </w:p>
        </w:tc>
        <w:tc>
          <w:tcPr>
            <w:tcW w:w="341" w:type="pct"/>
            <w:tcBorders>
              <w:top w:val="nil"/>
              <w:left w:val="nil"/>
              <w:bottom w:val="single" w:color="auto" w:sz="4" w:space="0"/>
              <w:right w:val="single" w:color="auto" w:sz="4" w:space="0"/>
            </w:tcBorders>
            <w:noWrap/>
            <w:vAlign w:val="center"/>
          </w:tcPr>
          <w:p w14:paraId="65148BBB">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56.9</w:t>
            </w:r>
          </w:p>
        </w:tc>
        <w:tc>
          <w:tcPr>
            <w:tcW w:w="341" w:type="pct"/>
            <w:tcBorders>
              <w:top w:val="nil"/>
              <w:left w:val="nil"/>
              <w:bottom w:val="single" w:color="auto" w:sz="4" w:space="0"/>
              <w:right w:val="single" w:color="auto" w:sz="4" w:space="0"/>
            </w:tcBorders>
            <w:vAlign w:val="center"/>
          </w:tcPr>
          <w:p w14:paraId="60416883">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485352C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3F9BEA1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31.9</w:t>
            </w:r>
          </w:p>
        </w:tc>
        <w:tc>
          <w:tcPr>
            <w:tcW w:w="341" w:type="pct"/>
            <w:tcBorders>
              <w:top w:val="nil"/>
              <w:left w:val="nil"/>
              <w:bottom w:val="single" w:color="auto" w:sz="4" w:space="0"/>
              <w:right w:val="single" w:color="auto" w:sz="4" w:space="0"/>
            </w:tcBorders>
            <w:vAlign w:val="center"/>
          </w:tcPr>
          <w:p w14:paraId="5B717FD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3E63278C">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6FFC14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碱液输送泵</w:t>
            </w:r>
          </w:p>
        </w:tc>
        <w:tc>
          <w:tcPr>
            <w:tcW w:w="390" w:type="pct"/>
            <w:tcBorders>
              <w:top w:val="nil"/>
              <w:left w:val="nil"/>
              <w:bottom w:val="single" w:color="auto" w:sz="4" w:space="0"/>
              <w:right w:val="single" w:color="auto" w:sz="4" w:space="0"/>
            </w:tcBorders>
            <w:noWrap/>
            <w:vAlign w:val="center"/>
          </w:tcPr>
          <w:p w14:paraId="2281DDBA">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6B24008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5F356B0C">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180</w:t>
            </w:r>
          </w:p>
        </w:tc>
        <w:tc>
          <w:tcPr>
            <w:tcW w:w="341" w:type="pct"/>
            <w:tcBorders>
              <w:top w:val="nil"/>
              <w:left w:val="nil"/>
              <w:bottom w:val="single" w:color="auto" w:sz="4" w:space="0"/>
              <w:right w:val="single" w:color="auto" w:sz="4" w:space="0"/>
            </w:tcBorders>
            <w:vAlign w:val="center"/>
          </w:tcPr>
          <w:p w14:paraId="1F589F2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41" w:type="pct"/>
            <w:tcBorders>
              <w:top w:val="nil"/>
              <w:left w:val="nil"/>
              <w:bottom w:val="single" w:color="auto" w:sz="4" w:space="0"/>
              <w:right w:val="single" w:color="auto" w:sz="4" w:space="0"/>
            </w:tcBorders>
            <w:vAlign w:val="center"/>
          </w:tcPr>
          <w:p w14:paraId="25DD5A7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37E3E71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w:t>
            </w:r>
          </w:p>
        </w:tc>
        <w:tc>
          <w:tcPr>
            <w:tcW w:w="341" w:type="pct"/>
            <w:tcBorders>
              <w:top w:val="nil"/>
              <w:left w:val="nil"/>
              <w:bottom w:val="single" w:color="auto" w:sz="4" w:space="0"/>
              <w:right w:val="single" w:color="auto" w:sz="4" w:space="0"/>
            </w:tcBorders>
            <w:noWrap/>
            <w:vAlign w:val="center"/>
          </w:tcPr>
          <w:p w14:paraId="3D2513C1">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56.9</w:t>
            </w:r>
          </w:p>
        </w:tc>
        <w:tc>
          <w:tcPr>
            <w:tcW w:w="341" w:type="pct"/>
            <w:tcBorders>
              <w:top w:val="nil"/>
              <w:left w:val="nil"/>
              <w:bottom w:val="single" w:color="auto" w:sz="4" w:space="0"/>
              <w:right w:val="single" w:color="auto" w:sz="4" w:space="0"/>
            </w:tcBorders>
            <w:vAlign w:val="center"/>
          </w:tcPr>
          <w:p w14:paraId="5273A802">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3A0126D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593C2FA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31.9</w:t>
            </w:r>
          </w:p>
        </w:tc>
        <w:tc>
          <w:tcPr>
            <w:tcW w:w="341" w:type="pct"/>
            <w:tcBorders>
              <w:top w:val="nil"/>
              <w:left w:val="nil"/>
              <w:bottom w:val="single" w:color="auto" w:sz="4" w:space="0"/>
              <w:right w:val="single" w:color="auto" w:sz="4" w:space="0"/>
            </w:tcBorders>
            <w:vAlign w:val="center"/>
          </w:tcPr>
          <w:p w14:paraId="74FD8EF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5441C1C3">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7CF1032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水洗塔</w:t>
            </w:r>
          </w:p>
        </w:tc>
        <w:tc>
          <w:tcPr>
            <w:tcW w:w="390" w:type="pct"/>
            <w:tcBorders>
              <w:top w:val="nil"/>
              <w:left w:val="nil"/>
              <w:bottom w:val="single" w:color="auto" w:sz="4" w:space="0"/>
              <w:right w:val="single" w:color="auto" w:sz="4" w:space="0"/>
            </w:tcBorders>
            <w:noWrap/>
            <w:vAlign w:val="center"/>
          </w:tcPr>
          <w:p w14:paraId="72087E6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4AE57B6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60BCC7F5">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177</w:t>
            </w:r>
          </w:p>
        </w:tc>
        <w:tc>
          <w:tcPr>
            <w:tcW w:w="341" w:type="pct"/>
            <w:tcBorders>
              <w:top w:val="nil"/>
              <w:left w:val="nil"/>
              <w:bottom w:val="single" w:color="auto" w:sz="4" w:space="0"/>
              <w:right w:val="single" w:color="auto" w:sz="4" w:space="0"/>
            </w:tcBorders>
            <w:vAlign w:val="center"/>
          </w:tcPr>
          <w:p w14:paraId="454FE72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41" w:type="pct"/>
            <w:tcBorders>
              <w:top w:val="nil"/>
              <w:left w:val="nil"/>
              <w:bottom w:val="single" w:color="auto" w:sz="4" w:space="0"/>
              <w:right w:val="single" w:color="auto" w:sz="4" w:space="0"/>
            </w:tcBorders>
            <w:vAlign w:val="center"/>
          </w:tcPr>
          <w:p w14:paraId="2563CB9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008716F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w:t>
            </w:r>
          </w:p>
        </w:tc>
        <w:tc>
          <w:tcPr>
            <w:tcW w:w="341" w:type="pct"/>
            <w:tcBorders>
              <w:top w:val="nil"/>
              <w:left w:val="nil"/>
              <w:bottom w:val="single" w:color="auto" w:sz="4" w:space="0"/>
              <w:right w:val="single" w:color="auto" w:sz="4" w:space="0"/>
            </w:tcBorders>
            <w:noWrap/>
            <w:vAlign w:val="center"/>
          </w:tcPr>
          <w:p w14:paraId="5988956F">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53.1</w:t>
            </w:r>
          </w:p>
        </w:tc>
        <w:tc>
          <w:tcPr>
            <w:tcW w:w="341" w:type="pct"/>
            <w:tcBorders>
              <w:top w:val="nil"/>
              <w:left w:val="nil"/>
              <w:bottom w:val="single" w:color="auto" w:sz="4" w:space="0"/>
              <w:right w:val="single" w:color="auto" w:sz="4" w:space="0"/>
            </w:tcBorders>
            <w:vAlign w:val="center"/>
          </w:tcPr>
          <w:p w14:paraId="67D9BAC2">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26DE9E5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456C23E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28.1</w:t>
            </w:r>
          </w:p>
        </w:tc>
        <w:tc>
          <w:tcPr>
            <w:tcW w:w="341" w:type="pct"/>
            <w:tcBorders>
              <w:top w:val="nil"/>
              <w:left w:val="nil"/>
              <w:bottom w:val="single" w:color="auto" w:sz="4" w:space="0"/>
              <w:right w:val="single" w:color="auto" w:sz="4" w:space="0"/>
            </w:tcBorders>
            <w:vAlign w:val="center"/>
          </w:tcPr>
          <w:p w14:paraId="60A926C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6E942AFF">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79B3406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水洗循环泵</w:t>
            </w:r>
          </w:p>
        </w:tc>
        <w:tc>
          <w:tcPr>
            <w:tcW w:w="390" w:type="pct"/>
            <w:tcBorders>
              <w:top w:val="nil"/>
              <w:left w:val="nil"/>
              <w:bottom w:val="single" w:color="auto" w:sz="4" w:space="0"/>
              <w:right w:val="single" w:color="auto" w:sz="4" w:space="0"/>
            </w:tcBorders>
            <w:noWrap/>
            <w:vAlign w:val="center"/>
          </w:tcPr>
          <w:p w14:paraId="35E0B02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07D3D72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64F222CC">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174</w:t>
            </w:r>
          </w:p>
        </w:tc>
        <w:tc>
          <w:tcPr>
            <w:tcW w:w="341" w:type="pct"/>
            <w:tcBorders>
              <w:top w:val="nil"/>
              <w:left w:val="nil"/>
              <w:bottom w:val="single" w:color="auto" w:sz="4" w:space="0"/>
              <w:right w:val="single" w:color="auto" w:sz="4" w:space="0"/>
            </w:tcBorders>
            <w:vAlign w:val="center"/>
          </w:tcPr>
          <w:p w14:paraId="382DE35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41" w:type="pct"/>
            <w:tcBorders>
              <w:top w:val="nil"/>
              <w:left w:val="nil"/>
              <w:bottom w:val="single" w:color="auto" w:sz="4" w:space="0"/>
              <w:right w:val="single" w:color="auto" w:sz="4" w:space="0"/>
            </w:tcBorders>
            <w:vAlign w:val="center"/>
          </w:tcPr>
          <w:p w14:paraId="53769A4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080884C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w:t>
            </w:r>
          </w:p>
        </w:tc>
        <w:tc>
          <w:tcPr>
            <w:tcW w:w="341" w:type="pct"/>
            <w:tcBorders>
              <w:top w:val="nil"/>
              <w:left w:val="nil"/>
              <w:bottom w:val="single" w:color="auto" w:sz="4" w:space="0"/>
              <w:right w:val="single" w:color="auto" w:sz="4" w:space="0"/>
            </w:tcBorders>
            <w:noWrap/>
            <w:vAlign w:val="center"/>
          </w:tcPr>
          <w:p w14:paraId="49DBC0D5">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63.0</w:t>
            </w:r>
          </w:p>
        </w:tc>
        <w:tc>
          <w:tcPr>
            <w:tcW w:w="341" w:type="pct"/>
            <w:tcBorders>
              <w:top w:val="nil"/>
              <w:left w:val="nil"/>
              <w:bottom w:val="single" w:color="auto" w:sz="4" w:space="0"/>
              <w:right w:val="single" w:color="auto" w:sz="4" w:space="0"/>
            </w:tcBorders>
            <w:vAlign w:val="center"/>
          </w:tcPr>
          <w:p w14:paraId="0E8177BC">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17DB1E4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4C26098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38.0</w:t>
            </w:r>
          </w:p>
        </w:tc>
        <w:tc>
          <w:tcPr>
            <w:tcW w:w="341" w:type="pct"/>
            <w:tcBorders>
              <w:top w:val="nil"/>
              <w:left w:val="nil"/>
              <w:bottom w:val="single" w:color="auto" w:sz="4" w:space="0"/>
              <w:right w:val="single" w:color="auto" w:sz="4" w:space="0"/>
            </w:tcBorders>
            <w:vAlign w:val="center"/>
          </w:tcPr>
          <w:p w14:paraId="6A483132">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1AB9B9E2">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45425EB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湿电除尘器</w:t>
            </w:r>
          </w:p>
        </w:tc>
        <w:tc>
          <w:tcPr>
            <w:tcW w:w="390" w:type="pct"/>
            <w:tcBorders>
              <w:top w:val="nil"/>
              <w:left w:val="nil"/>
              <w:bottom w:val="single" w:color="auto" w:sz="4" w:space="0"/>
              <w:right w:val="single" w:color="auto" w:sz="4" w:space="0"/>
            </w:tcBorders>
            <w:noWrap/>
            <w:vAlign w:val="center"/>
          </w:tcPr>
          <w:p w14:paraId="4FAC8C95">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299A0CD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15EA7BDB">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175</w:t>
            </w:r>
          </w:p>
        </w:tc>
        <w:tc>
          <w:tcPr>
            <w:tcW w:w="341" w:type="pct"/>
            <w:tcBorders>
              <w:top w:val="nil"/>
              <w:left w:val="nil"/>
              <w:bottom w:val="single" w:color="auto" w:sz="4" w:space="0"/>
              <w:right w:val="single" w:color="auto" w:sz="4" w:space="0"/>
            </w:tcBorders>
            <w:vAlign w:val="center"/>
          </w:tcPr>
          <w:p w14:paraId="5F9E307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115</w:t>
            </w:r>
          </w:p>
        </w:tc>
        <w:tc>
          <w:tcPr>
            <w:tcW w:w="341" w:type="pct"/>
            <w:tcBorders>
              <w:top w:val="nil"/>
              <w:left w:val="nil"/>
              <w:bottom w:val="single" w:color="auto" w:sz="4" w:space="0"/>
              <w:right w:val="single" w:color="auto" w:sz="4" w:space="0"/>
            </w:tcBorders>
            <w:vAlign w:val="center"/>
          </w:tcPr>
          <w:p w14:paraId="52B5152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07F9323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341" w:type="pct"/>
            <w:tcBorders>
              <w:top w:val="nil"/>
              <w:left w:val="nil"/>
              <w:bottom w:val="single" w:color="auto" w:sz="4" w:space="0"/>
              <w:right w:val="single" w:color="auto" w:sz="4" w:space="0"/>
            </w:tcBorders>
            <w:noWrap/>
            <w:vAlign w:val="center"/>
          </w:tcPr>
          <w:p w14:paraId="7E073E0A">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56.0</w:t>
            </w:r>
          </w:p>
        </w:tc>
        <w:tc>
          <w:tcPr>
            <w:tcW w:w="341" w:type="pct"/>
            <w:tcBorders>
              <w:top w:val="nil"/>
              <w:left w:val="nil"/>
              <w:bottom w:val="single" w:color="auto" w:sz="4" w:space="0"/>
              <w:right w:val="single" w:color="auto" w:sz="4" w:space="0"/>
            </w:tcBorders>
            <w:vAlign w:val="center"/>
          </w:tcPr>
          <w:p w14:paraId="76E40755">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24FA31E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2D5945A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31.0</w:t>
            </w:r>
          </w:p>
        </w:tc>
        <w:tc>
          <w:tcPr>
            <w:tcW w:w="341" w:type="pct"/>
            <w:tcBorders>
              <w:top w:val="nil"/>
              <w:left w:val="nil"/>
              <w:bottom w:val="single" w:color="auto" w:sz="4" w:space="0"/>
              <w:right w:val="single" w:color="auto" w:sz="4" w:space="0"/>
            </w:tcBorders>
            <w:vAlign w:val="center"/>
          </w:tcPr>
          <w:p w14:paraId="54D2169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46CEB72C">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621CE5D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冲洗泵</w:t>
            </w:r>
          </w:p>
        </w:tc>
        <w:tc>
          <w:tcPr>
            <w:tcW w:w="390" w:type="pct"/>
            <w:tcBorders>
              <w:top w:val="nil"/>
              <w:left w:val="nil"/>
              <w:bottom w:val="single" w:color="auto" w:sz="4" w:space="0"/>
              <w:right w:val="single" w:color="auto" w:sz="4" w:space="0"/>
            </w:tcBorders>
            <w:noWrap/>
            <w:vAlign w:val="center"/>
          </w:tcPr>
          <w:p w14:paraId="4A26377C">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372B610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1636CA66">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180</w:t>
            </w:r>
          </w:p>
        </w:tc>
        <w:tc>
          <w:tcPr>
            <w:tcW w:w="341" w:type="pct"/>
            <w:tcBorders>
              <w:top w:val="nil"/>
              <w:left w:val="nil"/>
              <w:bottom w:val="single" w:color="auto" w:sz="4" w:space="0"/>
              <w:right w:val="single" w:color="auto" w:sz="4" w:space="0"/>
            </w:tcBorders>
            <w:vAlign w:val="center"/>
          </w:tcPr>
          <w:p w14:paraId="4EFF780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115</w:t>
            </w:r>
          </w:p>
        </w:tc>
        <w:tc>
          <w:tcPr>
            <w:tcW w:w="341" w:type="pct"/>
            <w:tcBorders>
              <w:top w:val="nil"/>
              <w:left w:val="nil"/>
              <w:bottom w:val="single" w:color="auto" w:sz="4" w:space="0"/>
              <w:right w:val="single" w:color="auto" w:sz="4" w:space="0"/>
            </w:tcBorders>
            <w:vAlign w:val="center"/>
          </w:tcPr>
          <w:p w14:paraId="39ABAD1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0A1CD07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341" w:type="pct"/>
            <w:tcBorders>
              <w:top w:val="nil"/>
              <w:left w:val="nil"/>
              <w:bottom w:val="single" w:color="auto" w:sz="4" w:space="0"/>
              <w:right w:val="single" w:color="auto" w:sz="4" w:space="0"/>
            </w:tcBorders>
            <w:noWrap/>
            <w:vAlign w:val="center"/>
          </w:tcPr>
          <w:p w14:paraId="0E76D933">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61.0</w:t>
            </w:r>
          </w:p>
        </w:tc>
        <w:tc>
          <w:tcPr>
            <w:tcW w:w="341" w:type="pct"/>
            <w:tcBorders>
              <w:top w:val="nil"/>
              <w:left w:val="nil"/>
              <w:bottom w:val="single" w:color="auto" w:sz="4" w:space="0"/>
              <w:right w:val="single" w:color="auto" w:sz="4" w:space="0"/>
            </w:tcBorders>
            <w:vAlign w:val="center"/>
          </w:tcPr>
          <w:p w14:paraId="00773D31">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7973351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53C8F80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36.0</w:t>
            </w:r>
          </w:p>
        </w:tc>
        <w:tc>
          <w:tcPr>
            <w:tcW w:w="341" w:type="pct"/>
            <w:tcBorders>
              <w:top w:val="nil"/>
              <w:left w:val="nil"/>
              <w:bottom w:val="single" w:color="auto" w:sz="4" w:space="0"/>
              <w:right w:val="single" w:color="auto" w:sz="4" w:space="0"/>
            </w:tcBorders>
            <w:vAlign w:val="center"/>
          </w:tcPr>
          <w:p w14:paraId="5FE09C0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139A672F">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0355EBC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氨水转运泵</w:t>
            </w:r>
          </w:p>
        </w:tc>
        <w:tc>
          <w:tcPr>
            <w:tcW w:w="390" w:type="pct"/>
            <w:tcBorders>
              <w:top w:val="nil"/>
              <w:left w:val="nil"/>
              <w:bottom w:val="single" w:color="auto" w:sz="4" w:space="0"/>
              <w:right w:val="single" w:color="auto" w:sz="4" w:space="0"/>
            </w:tcBorders>
            <w:noWrap/>
            <w:vAlign w:val="center"/>
          </w:tcPr>
          <w:p w14:paraId="2CB67B13">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6F9C50E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5AD7C4CB">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177</w:t>
            </w:r>
          </w:p>
        </w:tc>
        <w:tc>
          <w:tcPr>
            <w:tcW w:w="341" w:type="pct"/>
            <w:tcBorders>
              <w:top w:val="nil"/>
              <w:left w:val="nil"/>
              <w:bottom w:val="single" w:color="auto" w:sz="4" w:space="0"/>
              <w:right w:val="single" w:color="auto" w:sz="4" w:space="0"/>
            </w:tcBorders>
            <w:vAlign w:val="center"/>
          </w:tcPr>
          <w:p w14:paraId="22A57FB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115</w:t>
            </w:r>
          </w:p>
        </w:tc>
        <w:tc>
          <w:tcPr>
            <w:tcW w:w="341" w:type="pct"/>
            <w:tcBorders>
              <w:top w:val="nil"/>
              <w:left w:val="nil"/>
              <w:bottom w:val="single" w:color="auto" w:sz="4" w:space="0"/>
              <w:right w:val="single" w:color="auto" w:sz="4" w:space="0"/>
            </w:tcBorders>
            <w:vAlign w:val="center"/>
          </w:tcPr>
          <w:p w14:paraId="4221F68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2BFCAC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341" w:type="pct"/>
            <w:tcBorders>
              <w:top w:val="nil"/>
              <w:left w:val="nil"/>
              <w:bottom w:val="single" w:color="auto" w:sz="4" w:space="0"/>
              <w:right w:val="single" w:color="auto" w:sz="4" w:space="0"/>
            </w:tcBorders>
            <w:noWrap/>
            <w:vAlign w:val="center"/>
          </w:tcPr>
          <w:p w14:paraId="17797C29">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61.0</w:t>
            </w:r>
          </w:p>
        </w:tc>
        <w:tc>
          <w:tcPr>
            <w:tcW w:w="341" w:type="pct"/>
            <w:tcBorders>
              <w:top w:val="nil"/>
              <w:left w:val="nil"/>
              <w:bottom w:val="single" w:color="auto" w:sz="4" w:space="0"/>
              <w:right w:val="single" w:color="auto" w:sz="4" w:space="0"/>
            </w:tcBorders>
            <w:vAlign w:val="center"/>
          </w:tcPr>
          <w:p w14:paraId="2A9CE86B">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608D1B3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2059549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36.0</w:t>
            </w:r>
          </w:p>
        </w:tc>
        <w:tc>
          <w:tcPr>
            <w:tcW w:w="341" w:type="pct"/>
            <w:tcBorders>
              <w:top w:val="nil"/>
              <w:left w:val="nil"/>
              <w:bottom w:val="single" w:color="auto" w:sz="4" w:space="0"/>
              <w:right w:val="single" w:color="auto" w:sz="4" w:space="0"/>
            </w:tcBorders>
            <w:vAlign w:val="center"/>
          </w:tcPr>
          <w:p w14:paraId="1E0DD468">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53B2BCD3">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257541E7">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SNCR/SCR </w:t>
            </w:r>
            <w:r>
              <w:rPr>
                <w:color w:val="000000" w:themeColor="text1"/>
                <w:szCs w:val="21"/>
                <w14:textFill>
                  <w14:solidFill>
                    <w14:schemeClr w14:val="tx1"/>
                  </w14:solidFill>
                </w14:textFill>
              </w:rPr>
              <w:t>氨水雾化泵</w:t>
            </w:r>
          </w:p>
        </w:tc>
        <w:tc>
          <w:tcPr>
            <w:tcW w:w="390" w:type="pct"/>
            <w:tcBorders>
              <w:top w:val="nil"/>
              <w:left w:val="nil"/>
              <w:bottom w:val="single" w:color="auto" w:sz="4" w:space="0"/>
              <w:right w:val="single" w:color="auto" w:sz="4" w:space="0"/>
            </w:tcBorders>
            <w:noWrap/>
            <w:vAlign w:val="center"/>
          </w:tcPr>
          <w:p w14:paraId="7F16B40B">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75</w:t>
            </w:r>
          </w:p>
        </w:tc>
        <w:tc>
          <w:tcPr>
            <w:tcW w:w="753" w:type="pct"/>
            <w:tcBorders>
              <w:top w:val="nil"/>
              <w:left w:val="nil"/>
              <w:bottom w:val="single" w:color="auto" w:sz="4" w:space="0"/>
              <w:right w:val="single" w:color="auto" w:sz="4" w:space="0"/>
            </w:tcBorders>
            <w:vAlign w:val="center"/>
          </w:tcPr>
          <w:p w14:paraId="2506054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730460CF">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174</w:t>
            </w:r>
          </w:p>
        </w:tc>
        <w:tc>
          <w:tcPr>
            <w:tcW w:w="341" w:type="pct"/>
            <w:tcBorders>
              <w:top w:val="nil"/>
              <w:left w:val="nil"/>
              <w:bottom w:val="single" w:color="auto" w:sz="4" w:space="0"/>
              <w:right w:val="single" w:color="auto" w:sz="4" w:space="0"/>
            </w:tcBorders>
            <w:vAlign w:val="center"/>
          </w:tcPr>
          <w:p w14:paraId="0A02C90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115</w:t>
            </w:r>
          </w:p>
        </w:tc>
        <w:tc>
          <w:tcPr>
            <w:tcW w:w="341" w:type="pct"/>
            <w:tcBorders>
              <w:top w:val="nil"/>
              <w:left w:val="nil"/>
              <w:bottom w:val="single" w:color="auto" w:sz="4" w:space="0"/>
              <w:right w:val="single" w:color="auto" w:sz="4" w:space="0"/>
            </w:tcBorders>
            <w:vAlign w:val="center"/>
          </w:tcPr>
          <w:p w14:paraId="27E6031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3E11F12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w:t>
            </w:r>
          </w:p>
        </w:tc>
        <w:tc>
          <w:tcPr>
            <w:tcW w:w="341" w:type="pct"/>
            <w:tcBorders>
              <w:top w:val="nil"/>
              <w:left w:val="nil"/>
              <w:bottom w:val="single" w:color="auto" w:sz="4" w:space="0"/>
              <w:right w:val="single" w:color="auto" w:sz="4" w:space="0"/>
            </w:tcBorders>
            <w:noWrap/>
            <w:vAlign w:val="center"/>
          </w:tcPr>
          <w:p w14:paraId="515E71C3">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63.0</w:t>
            </w:r>
          </w:p>
        </w:tc>
        <w:tc>
          <w:tcPr>
            <w:tcW w:w="341" w:type="pct"/>
            <w:tcBorders>
              <w:top w:val="nil"/>
              <w:left w:val="nil"/>
              <w:bottom w:val="single" w:color="auto" w:sz="4" w:space="0"/>
              <w:right w:val="single" w:color="auto" w:sz="4" w:space="0"/>
            </w:tcBorders>
            <w:vAlign w:val="center"/>
          </w:tcPr>
          <w:p w14:paraId="2F3F2FF1">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261EEBD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0B49A4C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38.0</w:t>
            </w:r>
          </w:p>
        </w:tc>
        <w:tc>
          <w:tcPr>
            <w:tcW w:w="341" w:type="pct"/>
            <w:tcBorders>
              <w:top w:val="nil"/>
              <w:left w:val="nil"/>
              <w:bottom w:val="single" w:color="auto" w:sz="4" w:space="0"/>
              <w:right w:val="single" w:color="auto" w:sz="4" w:space="0"/>
            </w:tcBorders>
            <w:vAlign w:val="center"/>
          </w:tcPr>
          <w:p w14:paraId="2342C600">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008C5E5A">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0B02C7C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空压系统</w:t>
            </w:r>
          </w:p>
        </w:tc>
        <w:tc>
          <w:tcPr>
            <w:tcW w:w="390" w:type="pct"/>
            <w:tcBorders>
              <w:top w:val="nil"/>
              <w:left w:val="nil"/>
              <w:bottom w:val="single" w:color="auto" w:sz="4" w:space="0"/>
              <w:right w:val="single" w:color="auto" w:sz="4" w:space="0"/>
            </w:tcBorders>
            <w:noWrap/>
            <w:vAlign w:val="center"/>
          </w:tcPr>
          <w:p w14:paraId="0A2E0CF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80</w:t>
            </w:r>
          </w:p>
        </w:tc>
        <w:tc>
          <w:tcPr>
            <w:tcW w:w="753" w:type="pct"/>
            <w:tcBorders>
              <w:top w:val="nil"/>
              <w:left w:val="nil"/>
              <w:bottom w:val="single" w:color="auto" w:sz="4" w:space="0"/>
              <w:right w:val="single" w:color="auto" w:sz="4" w:space="0"/>
            </w:tcBorders>
            <w:vAlign w:val="center"/>
          </w:tcPr>
          <w:p w14:paraId="23B54AF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7D0A6FCC">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175</w:t>
            </w:r>
          </w:p>
        </w:tc>
        <w:tc>
          <w:tcPr>
            <w:tcW w:w="341" w:type="pct"/>
            <w:tcBorders>
              <w:top w:val="nil"/>
              <w:left w:val="nil"/>
              <w:bottom w:val="single" w:color="auto" w:sz="4" w:space="0"/>
              <w:right w:val="single" w:color="auto" w:sz="4" w:space="0"/>
            </w:tcBorders>
            <w:vAlign w:val="center"/>
          </w:tcPr>
          <w:p w14:paraId="146FE58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115</w:t>
            </w:r>
          </w:p>
        </w:tc>
        <w:tc>
          <w:tcPr>
            <w:tcW w:w="341" w:type="pct"/>
            <w:tcBorders>
              <w:top w:val="nil"/>
              <w:left w:val="nil"/>
              <w:bottom w:val="single" w:color="auto" w:sz="4" w:space="0"/>
              <w:right w:val="single" w:color="auto" w:sz="4" w:space="0"/>
            </w:tcBorders>
            <w:vAlign w:val="center"/>
          </w:tcPr>
          <w:p w14:paraId="23C59F8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6F84A61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341" w:type="pct"/>
            <w:tcBorders>
              <w:top w:val="nil"/>
              <w:left w:val="nil"/>
              <w:bottom w:val="single" w:color="auto" w:sz="4" w:space="0"/>
              <w:right w:val="single" w:color="auto" w:sz="4" w:space="0"/>
            </w:tcBorders>
            <w:noWrap/>
            <w:vAlign w:val="center"/>
          </w:tcPr>
          <w:p w14:paraId="4EE4FA8D">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66.0</w:t>
            </w:r>
          </w:p>
        </w:tc>
        <w:tc>
          <w:tcPr>
            <w:tcW w:w="341" w:type="pct"/>
            <w:tcBorders>
              <w:top w:val="nil"/>
              <w:left w:val="nil"/>
              <w:bottom w:val="single" w:color="auto" w:sz="4" w:space="0"/>
              <w:right w:val="single" w:color="auto" w:sz="4" w:space="0"/>
            </w:tcBorders>
            <w:vAlign w:val="center"/>
          </w:tcPr>
          <w:p w14:paraId="416CDB99">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0831576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67F29D3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41.0</w:t>
            </w:r>
          </w:p>
        </w:tc>
        <w:tc>
          <w:tcPr>
            <w:tcW w:w="341" w:type="pct"/>
            <w:tcBorders>
              <w:top w:val="nil"/>
              <w:left w:val="nil"/>
              <w:bottom w:val="single" w:color="auto" w:sz="4" w:space="0"/>
              <w:right w:val="single" w:color="auto" w:sz="4" w:space="0"/>
            </w:tcBorders>
            <w:vAlign w:val="center"/>
          </w:tcPr>
          <w:p w14:paraId="6186843F">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r w14:paraId="48A321C1">
        <w:tblPrEx>
          <w:tblCellMar>
            <w:top w:w="0" w:type="dxa"/>
            <w:left w:w="108" w:type="dxa"/>
            <w:bottom w:w="0" w:type="dxa"/>
            <w:right w:w="108" w:type="dxa"/>
          </w:tblCellMar>
        </w:tblPrEx>
        <w:tc>
          <w:tcPr>
            <w:tcW w:w="754" w:type="pct"/>
            <w:tcBorders>
              <w:top w:val="nil"/>
              <w:left w:val="single" w:color="auto" w:sz="4" w:space="0"/>
              <w:bottom w:val="single" w:color="auto" w:sz="4" w:space="0"/>
              <w:right w:val="single" w:color="auto" w:sz="4" w:space="0"/>
            </w:tcBorders>
            <w:vAlign w:val="center"/>
          </w:tcPr>
          <w:p w14:paraId="240C40A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多效蒸发器</w:t>
            </w:r>
          </w:p>
        </w:tc>
        <w:tc>
          <w:tcPr>
            <w:tcW w:w="390" w:type="pct"/>
            <w:tcBorders>
              <w:top w:val="nil"/>
              <w:left w:val="nil"/>
              <w:bottom w:val="single" w:color="auto" w:sz="4" w:space="0"/>
              <w:right w:val="single" w:color="auto" w:sz="4" w:space="0"/>
            </w:tcBorders>
            <w:noWrap/>
            <w:vAlign w:val="center"/>
          </w:tcPr>
          <w:p w14:paraId="4506064D">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70</w:t>
            </w:r>
          </w:p>
        </w:tc>
        <w:tc>
          <w:tcPr>
            <w:tcW w:w="753" w:type="pct"/>
            <w:tcBorders>
              <w:top w:val="nil"/>
              <w:left w:val="nil"/>
              <w:bottom w:val="single" w:color="auto" w:sz="4" w:space="0"/>
              <w:right w:val="single" w:color="auto" w:sz="4" w:space="0"/>
            </w:tcBorders>
            <w:vAlign w:val="center"/>
          </w:tcPr>
          <w:p w14:paraId="132C9C6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建筑隔音、基础减震</w:t>
            </w:r>
          </w:p>
        </w:tc>
        <w:tc>
          <w:tcPr>
            <w:tcW w:w="341" w:type="pct"/>
            <w:tcBorders>
              <w:top w:val="nil"/>
              <w:left w:val="nil"/>
              <w:bottom w:val="single" w:color="auto" w:sz="4" w:space="0"/>
              <w:right w:val="single" w:color="auto" w:sz="4" w:space="0"/>
            </w:tcBorders>
            <w:noWrap/>
            <w:vAlign w:val="center"/>
          </w:tcPr>
          <w:p w14:paraId="317967F9">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175</w:t>
            </w:r>
          </w:p>
        </w:tc>
        <w:tc>
          <w:tcPr>
            <w:tcW w:w="341" w:type="pct"/>
            <w:tcBorders>
              <w:top w:val="nil"/>
              <w:left w:val="nil"/>
              <w:bottom w:val="single" w:color="auto" w:sz="4" w:space="0"/>
              <w:right w:val="single" w:color="auto" w:sz="4" w:space="0"/>
            </w:tcBorders>
            <w:vAlign w:val="center"/>
          </w:tcPr>
          <w:p w14:paraId="199690A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118</w:t>
            </w:r>
          </w:p>
        </w:tc>
        <w:tc>
          <w:tcPr>
            <w:tcW w:w="341" w:type="pct"/>
            <w:tcBorders>
              <w:top w:val="nil"/>
              <w:left w:val="nil"/>
              <w:bottom w:val="single" w:color="auto" w:sz="4" w:space="0"/>
              <w:right w:val="single" w:color="auto" w:sz="4" w:space="0"/>
            </w:tcBorders>
            <w:vAlign w:val="center"/>
          </w:tcPr>
          <w:p w14:paraId="40381E4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w:t>
            </w:r>
          </w:p>
        </w:tc>
        <w:tc>
          <w:tcPr>
            <w:tcW w:w="341" w:type="pct"/>
            <w:tcBorders>
              <w:top w:val="nil"/>
              <w:left w:val="nil"/>
              <w:bottom w:val="single" w:color="auto" w:sz="4" w:space="0"/>
              <w:right w:val="single" w:color="auto" w:sz="4" w:space="0"/>
            </w:tcBorders>
            <w:vAlign w:val="center"/>
          </w:tcPr>
          <w:p w14:paraId="43EF3C5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14:paraId="4BEA1983">
            <w:pPr>
              <w:pStyle w:val="109"/>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64.0</w:t>
            </w:r>
          </w:p>
        </w:tc>
        <w:tc>
          <w:tcPr>
            <w:tcW w:w="341" w:type="pct"/>
            <w:tcBorders>
              <w:top w:val="nil"/>
              <w:left w:val="nil"/>
              <w:bottom w:val="single" w:color="auto" w:sz="4" w:space="0"/>
              <w:right w:val="single" w:color="auto" w:sz="4" w:space="0"/>
            </w:tcBorders>
            <w:vAlign w:val="center"/>
          </w:tcPr>
          <w:p w14:paraId="6EE19CDD">
            <w:pPr>
              <w:pStyle w:val="109"/>
              <w:rPr>
                <w:color w:val="000000" w:themeColor="text1"/>
                <w14:textFill>
                  <w14:solidFill>
                    <w14:schemeClr w14:val="tx1"/>
                  </w14:solidFill>
                </w14:textFill>
              </w:rPr>
            </w:pPr>
            <w:r>
              <w:rPr>
                <w:color w:val="000000" w:themeColor="text1"/>
                <w14:textFill>
                  <w14:solidFill>
                    <w14:schemeClr w14:val="tx1"/>
                  </w14:solidFill>
                </w14:textFill>
              </w:rPr>
              <w:t>全时段</w:t>
            </w:r>
          </w:p>
        </w:tc>
        <w:tc>
          <w:tcPr>
            <w:tcW w:w="373" w:type="pct"/>
            <w:tcBorders>
              <w:top w:val="nil"/>
              <w:left w:val="nil"/>
              <w:bottom w:val="single" w:color="auto" w:sz="4" w:space="0"/>
              <w:right w:val="single" w:color="auto" w:sz="4" w:space="0"/>
            </w:tcBorders>
            <w:vAlign w:val="center"/>
          </w:tcPr>
          <w:p w14:paraId="604BC82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w:t>
            </w:r>
          </w:p>
        </w:tc>
        <w:tc>
          <w:tcPr>
            <w:tcW w:w="341" w:type="pct"/>
            <w:tcBorders>
              <w:top w:val="nil"/>
              <w:left w:val="nil"/>
              <w:bottom w:val="single" w:color="auto" w:sz="4" w:space="0"/>
              <w:right w:val="single" w:color="auto" w:sz="4" w:space="0"/>
            </w:tcBorders>
            <w:vAlign w:val="center"/>
          </w:tcPr>
          <w:p w14:paraId="564AD31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39.0</w:t>
            </w:r>
          </w:p>
        </w:tc>
        <w:tc>
          <w:tcPr>
            <w:tcW w:w="341" w:type="pct"/>
            <w:tcBorders>
              <w:top w:val="nil"/>
              <w:left w:val="nil"/>
              <w:bottom w:val="single" w:color="auto" w:sz="4" w:space="0"/>
              <w:right w:val="single" w:color="auto" w:sz="4" w:space="0"/>
            </w:tcBorders>
            <w:vAlign w:val="center"/>
          </w:tcPr>
          <w:p w14:paraId="0F90FF69">
            <w:pPr>
              <w:pStyle w:val="10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r>
    </w:tbl>
    <w:p w14:paraId="6F402A93">
      <w:pPr>
        <w:ind w:firstLine="480"/>
        <w:rPr>
          <w:color w:val="000000" w:themeColor="text1"/>
          <w:lang w:val="zh-CN"/>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p>
    <w:p w14:paraId="5BF3750E">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预测结果与评价</w:t>
      </w:r>
    </w:p>
    <w:p w14:paraId="25DE776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本项目按上面给出的公式，本项目厂界处的贡献值结果见下表。</w:t>
      </w:r>
    </w:p>
    <w:p w14:paraId="629656D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项目噪声预测结果一览表  单位：dB</w:t>
      </w:r>
    </w:p>
    <w:tbl>
      <w:tblPr>
        <w:tblStyle w:val="76"/>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375"/>
        <w:gridCol w:w="1375"/>
        <w:gridCol w:w="1623"/>
        <w:gridCol w:w="1375"/>
        <w:gridCol w:w="1375"/>
        <w:gridCol w:w="1115"/>
      </w:tblGrid>
      <w:tr w14:paraId="0346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14:paraId="3C8D91ED">
            <w:pPr>
              <w:pStyle w:val="109"/>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715" w:type="pct"/>
            <w:vAlign w:val="center"/>
          </w:tcPr>
          <w:p w14:paraId="1E24108F">
            <w:pPr>
              <w:pStyle w:val="109"/>
              <w:rPr>
                <w:color w:val="000000" w:themeColor="text1"/>
                <w14:textFill>
                  <w14:solidFill>
                    <w14:schemeClr w14:val="tx1"/>
                  </w14:solidFill>
                </w14:textFill>
              </w:rPr>
            </w:pPr>
            <w:r>
              <w:rPr>
                <w:color w:val="000000" w:themeColor="text1"/>
                <w14:textFill>
                  <w14:solidFill>
                    <w14:schemeClr w14:val="tx1"/>
                  </w14:solidFill>
                </w14:textFill>
              </w:rPr>
              <w:t>时段</w:t>
            </w:r>
          </w:p>
        </w:tc>
        <w:tc>
          <w:tcPr>
            <w:tcW w:w="715" w:type="pct"/>
            <w:vAlign w:val="center"/>
          </w:tcPr>
          <w:p w14:paraId="689C0128">
            <w:pPr>
              <w:pStyle w:val="109"/>
              <w:rPr>
                <w:color w:val="000000" w:themeColor="text1"/>
                <w14:textFill>
                  <w14:solidFill>
                    <w14:schemeClr w14:val="tx1"/>
                  </w14:solidFill>
                </w14:textFill>
              </w:rPr>
            </w:pPr>
            <w:r>
              <w:rPr>
                <w:color w:val="000000" w:themeColor="text1"/>
                <w14:textFill>
                  <w14:solidFill>
                    <w14:schemeClr w14:val="tx1"/>
                  </w14:solidFill>
                </w14:textFill>
              </w:rPr>
              <w:t>本项目噪声贡献值</w:t>
            </w:r>
          </w:p>
        </w:tc>
        <w:tc>
          <w:tcPr>
            <w:tcW w:w="844" w:type="pct"/>
          </w:tcPr>
          <w:p w14:paraId="76762EC8">
            <w:pPr>
              <w:pStyle w:val="109"/>
              <w:rPr>
                <w:color w:val="000000" w:themeColor="text1"/>
                <w14:textFill>
                  <w14:solidFill>
                    <w14:schemeClr w14:val="tx1"/>
                  </w14:solidFill>
                </w14:textFill>
              </w:rPr>
            </w:pPr>
            <w:r>
              <w:rPr>
                <w:color w:val="000000" w:themeColor="text1"/>
                <w14:textFill>
                  <w14:solidFill>
                    <w14:schemeClr w14:val="tx1"/>
                  </w14:solidFill>
                </w14:textFill>
              </w:rPr>
              <w:t>在建项目噪声贡献值</w:t>
            </w:r>
          </w:p>
        </w:tc>
        <w:tc>
          <w:tcPr>
            <w:tcW w:w="715" w:type="pct"/>
            <w:vAlign w:val="center"/>
          </w:tcPr>
          <w:p w14:paraId="7FC49A32">
            <w:pPr>
              <w:pStyle w:val="109"/>
              <w:ind w:left="1" w:leftChars="-16" w:hanging="39" w:hangingChars="19"/>
              <w:rPr>
                <w:color w:val="000000" w:themeColor="text1"/>
                <w14:textFill>
                  <w14:solidFill>
                    <w14:schemeClr w14:val="tx1"/>
                  </w14:solidFill>
                </w14:textFill>
              </w:rPr>
            </w:pPr>
            <w:r>
              <w:rPr>
                <w:color w:val="000000" w:themeColor="text1"/>
                <w14:textFill>
                  <w14:solidFill>
                    <w14:schemeClr w14:val="tx1"/>
                  </w14:solidFill>
                </w14:textFill>
              </w:rPr>
              <w:t>预测值</w:t>
            </w:r>
          </w:p>
        </w:tc>
        <w:tc>
          <w:tcPr>
            <w:tcW w:w="715" w:type="pct"/>
            <w:vAlign w:val="center"/>
          </w:tcPr>
          <w:p w14:paraId="43E5591C">
            <w:pPr>
              <w:pStyle w:val="109"/>
              <w:rPr>
                <w:color w:val="000000" w:themeColor="text1"/>
                <w14:textFill>
                  <w14:solidFill>
                    <w14:schemeClr w14:val="tx1"/>
                  </w14:solidFill>
                </w14:textFill>
              </w:rPr>
            </w:pPr>
            <w:r>
              <w:rPr>
                <w:color w:val="000000" w:themeColor="text1"/>
                <w14:textFill>
                  <w14:solidFill>
                    <w14:schemeClr w14:val="tx1"/>
                  </w14:solidFill>
                </w14:textFill>
              </w:rPr>
              <w:t>标准限值</w:t>
            </w:r>
          </w:p>
        </w:tc>
        <w:tc>
          <w:tcPr>
            <w:tcW w:w="579" w:type="pct"/>
            <w:vAlign w:val="center"/>
          </w:tcPr>
          <w:p w14:paraId="5098717F">
            <w:pPr>
              <w:pStyle w:val="109"/>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14:paraId="6EDC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14:paraId="51D7EF2D">
            <w:pPr>
              <w:pStyle w:val="109"/>
              <w:rPr>
                <w:color w:val="000000" w:themeColor="text1"/>
                <w14:textFill>
                  <w14:solidFill>
                    <w14:schemeClr w14:val="tx1"/>
                  </w14:solidFill>
                </w14:textFill>
              </w:rPr>
            </w:pPr>
            <w:r>
              <w:rPr>
                <w:color w:val="000000" w:themeColor="text1"/>
                <w14:textFill>
                  <w14:solidFill>
                    <w14:schemeClr w14:val="tx1"/>
                  </w14:solidFill>
                </w14:textFill>
              </w:rPr>
              <w:t>东侧场界</w:t>
            </w:r>
          </w:p>
        </w:tc>
        <w:tc>
          <w:tcPr>
            <w:tcW w:w="715" w:type="pct"/>
            <w:vMerge w:val="restart"/>
            <w:vAlign w:val="center"/>
          </w:tcPr>
          <w:p w14:paraId="63FF6545">
            <w:pPr>
              <w:pStyle w:val="109"/>
              <w:rPr>
                <w:color w:val="000000" w:themeColor="text1"/>
                <w14:textFill>
                  <w14:solidFill>
                    <w14:schemeClr w14:val="tx1"/>
                  </w14:solidFill>
                </w14:textFill>
              </w:rPr>
            </w:pPr>
            <w:r>
              <w:rPr>
                <w:color w:val="000000" w:themeColor="text1"/>
                <w14:textFill>
                  <w14:solidFill>
                    <w14:schemeClr w14:val="tx1"/>
                  </w14:solidFill>
                </w14:textFill>
              </w:rPr>
              <w:t>昼间、夜间</w:t>
            </w:r>
          </w:p>
        </w:tc>
        <w:tc>
          <w:tcPr>
            <w:tcW w:w="715" w:type="pct"/>
          </w:tcPr>
          <w:p w14:paraId="57DCE35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36.0 </w:t>
            </w:r>
          </w:p>
        </w:tc>
        <w:tc>
          <w:tcPr>
            <w:tcW w:w="844" w:type="pct"/>
          </w:tcPr>
          <w:p w14:paraId="6D51B726">
            <w:pPr>
              <w:pStyle w:val="109"/>
              <w:rPr>
                <w:color w:val="000000" w:themeColor="text1"/>
                <w14:textFill>
                  <w14:solidFill>
                    <w14:schemeClr w14:val="tx1"/>
                  </w14:solidFill>
                </w14:textFill>
              </w:rPr>
            </w:pPr>
            <w:r>
              <w:rPr>
                <w:color w:val="000000" w:themeColor="text1"/>
                <w14:textFill>
                  <w14:solidFill>
                    <w14:schemeClr w14:val="tx1"/>
                  </w14:solidFill>
                </w14:textFill>
              </w:rPr>
              <w:t>41.1</w:t>
            </w:r>
          </w:p>
        </w:tc>
        <w:tc>
          <w:tcPr>
            <w:tcW w:w="715" w:type="pct"/>
          </w:tcPr>
          <w:p w14:paraId="5B15C376">
            <w:pPr>
              <w:pStyle w:val="109"/>
              <w:rPr>
                <w:color w:val="000000" w:themeColor="text1"/>
                <w14:textFill>
                  <w14:solidFill>
                    <w14:schemeClr w14:val="tx1"/>
                  </w14:solidFill>
                </w14:textFill>
              </w:rPr>
            </w:pPr>
            <w:r>
              <w:rPr>
                <w:color w:val="000000" w:themeColor="text1"/>
                <w14:textFill>
                  <w14:solidFill>
                    <w14:schemeClr w14:val="tx1"/>
                  </w14:solidFill>
                </w14:textFill>
              </w:rPr>
              <w:t>42.3</w:t>
            </w:r>
          </w:p>
        </w:tc>
        <w:tc>
          <w:tcPr>
            <w:tcW w:w="715" w:type="pct"/>
            <w:vMerge w:val="restart"/>
            <w:vAlign w:val="center"/>
          </w:tcPr>
          <w:p w14:paraId="5009F07F">
            <w:pPr>
              <w:pStyle w:val="109"/>
              <w:rPr>
                <w:color w:val="000000" w:themeColor="text1"/>
                <w14:textFill>
                  <w14:solidFill>
                    <w14:schemeClr w14:val="tx1"/>
                  </w14:solidFill>
                </w14:textFill>
              </w:rPr>
            </w:pPr>
            <w:r>
              <w:rPr>
                <w:color w:val="000000" w:themeColor="text1"/>
                <w14:textFill>
                  <w14:solidFill>
                    <w14:schemeClr w14:val="tx1"/>
                  </w14:solidFill>
                </w14:textFill>
              </w:rPr>
              <w:t>昼间65，夜间55</w:t>
            </w:r>
          </w:p>
        </w:tc>
        <w:tc>
          <w:tcPr>
            <w:tcW w:w="579" w:type="pct"/>
            <w:vAlign w:val="center"/>
          </w:tcPr>
          <w:p w14:paraId="285C0FF4">
            <w:pPr>
              <w:pStyle w:val="109"/>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3CA4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14:paraId="297D111E">
            <w:pPr>
              <w:pStyle w:val="109"/>
              <w:rPr>
                <w:color w:val="000000" w:themeColor="text1"/>
                <w14:textFill>
                  <w14:solidFill>
                    <w14:schemeClr w14:val="tx1"/>
                  </w14:solidFill>
                </w14:textFill>
              </w:rPr>
            </w:pPr>
            <w:r>
              <w:rPr>
                <w:color w:val="000000" w:themeColor="text1"/>
                <w14:textFill>
                  <w14:solidFill>
                    <w14:schemeClr w14:val="tx1"/>
                  </w14:solidFill>
                </w14:textFill>
              </w:rPr>
              <w:t>南侧场界</w:t>
            </w:r>
          </w:p>
        </w:tc>
        <w:tc>
          <w:tcPr>
            <w:tcW w:w="715" w:type="pct"/>
            <w:vMerge w:val="continue"/>
            <w:vAlign w:val="center"/>
          </w:tcPr>
          <w:p w14:paraId="3E067029">
            <w:pPr>
              <w:pStyle w:val="109"/>
              <w:rPr>
                <w:color w:val="000000" w:themeColor="text1"/>
                <w14:textFill>
                  <w14:solidFill>
                    <w14:schemeClr w14:val="tx1"/>
                  </w14:solidFill>
                </w14:textFill>
              </w:rPr>
            </w:pPr>
          </w:p>
        </w:tc>
        <w:tc>
          <w:tcPr>
            <w:tcW w:w="715" w:type="pct"/>
          </w:tcPr>
          <w:p w14:paraId="18099A9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32.9 </w:t>
            </w:r>
          </w:p>
        </w:tc>
        <w:tc>
          <w:tcPr>
            <w:tcW w:w="844" w:type="pct"/>
          </w:tcPr>
          <w:p w14:paraId="6859A520">
            <w:pPr>
              <w:pStyle w:val="109"/>
              <w:rPr>
                <w:color w:val="000000" w:themeColor="text1"/>
                <w14:textFill>
                  <w14:solidFill>
                    <w14:schemeClr w14:val="tx1"/>
                  </w14:solidFill>
                </w14:textFill>
              </w:rPr>
            </w:pPr>
            <w:r>
              <w:rPr>
                <w:color w:val="000000" w:themeColor="text1"/>
                <w14:textFill>
                  <w14:solidFill>
                    <w14:schemeClr w14:val="tx1"/>
                  </w14:solidFill>
                </w14:textFill>
              </w:rPr>
              <w:t>31.1</w:t>
            </w:r>
          </w:p>
        </w:tc>
        <w:tc>
          <w:tcPr>
            <w:tcW w:w="715" w:type="pct"/>
          </w:tcPr>
          <w:p w14:paraId="109EC75E">
            <w:pPr>
              <w:pStyle w:val="109"/>
              <w:rPr>
                <w:color w:val="000000" w:themeColor="text1"/>
                <w14:textFill>
                  <w14:solidFill>
                    <w14:schemeClr w14:val="tx1"/>
                  </w14:solidFill>
                </w14:textFill>
              </w:rPr>
            </w:pPr>
            <w:r>
              <w:rPr>
                <w:color w:val="000000" w:themeColor="text1"/>
                <w14:textFill>
                  <w14:solidFill>
                    <w14:schemeClr w14:val="tx1"/>
                  </w14:solidFill>
                </w14:textFill>
              </w:rPr>
              <w:t>35.1</w:t>
            </w:r>
          </w:p>
        </w:tc>
        <w:tc>
          <w:tcPr>
            <w:tcW w:w="715" w:type="pct"/>
            <w:vMerge w:val="continue"/>
            <w:vAlign w:val="center"/>
          </w:tcPr>
          <w:p w14:paraId="437BF6C2">
            <w:pPr>
              <w:pStyle w:val="109"/>
              <w:rPr>
                <w:color w:val="000000" w:themeColor="text1"/>
                <w14:textFill>
                  <w14:solidFill>
                    <w14:schemeClr w14:val="tx1"/>
                  </w14:solidFill>
                </w14:textFill>
              </w:rPr>
            </w:pPr>
          </w:p>
        </w:tc>
        <w:tc>
          <w:tcPr>
            <w:tcW w:w="579" w:type="pct"/>
            <w:vAlign w:val="center"/>
          </w:tcPr>
          <w:p w14:paraId="05B645E6">
            <w:pPr>
              <w:pStyle w:val="109"/>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67B6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14:paraId="04074BED">
            <w:pPr>
              <w:pStyle w:val="109"/>
              <w:rPr>
                <w:color w:val="000000" w:themeColor="text1"/>
                <w14:textFill>
                  <w14:solidFill>
                    <w14:schemeClr w14:val="tx1"/>
                  </w14:solidFill>
                </w14:textFill>
              </w:rPr>
            </w:pPr>
            <w:r>
              <w:rPr>
                <w:color w:val="000000" w:themeColor="text1"/>
                <w14:textFill>
                  <w14:solidFill>
                    <w14:schemeClr w14:val="tx1"/>
                  </w14:solidFill>
                </w14:textFill>
              </w:rPr>
              <w:t>西侧场界</w:t>
            </w:r>
          </w:p>
        </w:tc>
        <w:tc>
          <w:tcPr>
            <w:tcW w:w="715" w:type="pct"/>
            <w:vMerge w:val="continue"/>
            <w:vAlign w:val="center"/>
          </w:tcPr>
          <w:p w14:paraId="26F87B39">
            <w:pPr>
              <w:pStyle w:val="109"/>
              <w:rPr>
                <w:color w:val="000000" w:themeColor="text1"/>
                <w14:textFill>
                  <w14:solidFill>
                    <w14:schemeClr w14:val="tx1"/>
                  </w14:solidFill>
                </w14:textFill>
              </w:rPr>
            </w:pPr>
          </w:p>
        </w:tc>
        <w:tc>
          <w:tcPr>
            <w:tcW w:w="715" w:type="pct"/>
          </w:tcPr>
          <w:p w14:paraId="259BEF0F">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27.1 </w:t>
            </w:r>
          </w:p>
        </w:tc>
        <w:tc>
          <w:tcPr>
            <w:tcW w:w="844" w:type="pct"/>
          </w:tcPr>
          <w:p w14:paraId="4ADC7B00">
            <w:pPr>
              <w:pStyle w:val="109"/>
              <w:rPr>
                <w:color w:val="000000" w:themeColor="text1"/>
                <w14:textFill>
                  <w14:solidFill>
                    <w14:schemeClr w14:val="tx1"/>
                  </w14:solidFill>
                </w14:textFill>
              </w:rPr>
            </w:pPr>
            <w:r>
              <w:rPr>
                <w:color w:val="000000" w:themeColor="text1"/>
                <w14:textFill>
                  <w14:solidFill>
                    <w14:schemeClr w14:val="tx1"/>
                  </w14:solidFill>
                </w14:textFill>
              </w:rPr>
              <w:t>43.8</w:t>
            </w:r>
          </w:p>
        </w:tc>
        <w:tc>
          <w:tcPr>
            <w:tcW w:w="715" w:type="pct"/>
          </w:tcPr>
          <w:p w14:paraId="2D1A067D">
            <w:pPr>
              <w:pStyle w:val="109"/>
              <w:rPr>
                <w:color w:val="000000" w:themeColor="text1"/>
                <w14:textFill>
                  <w14:solidFill>
                    <w14:schemeClr w14:val="tx1"/>
                  </w14:solidFill>
                </w14:textFill>
              </w:rPr>
            </w:pPr>
            <w:r>
              <w:rPr>
                <w:color w:val="000000" w:themeColor="text1"/>
                <w14:textFill>
                  <w14:solidFill>
                    <w14:schemeClr w14:val="tx1"/>
                  </w14:solidFill>
                </w14:textFill>
              </w:rPr>
              <w:t>43.9</w:t>
            </w:r>
          </w:p>
        </w:tc>
        <w:tc>
          <w:tcPr>
            <w:tcW w:w="715" w:type="pct"/>
            <w:vMerge w:val="continue"/>
            <w:vAlign w:val="center"/>
          </w:tcPr>
          <w:p w14:paraId="6A2ED283">
            <w:pPr>
              <w:pStyle w:val="109"/>
              <w:rPr>
                <w:color w:val="000000" w:themeColor="text1"/>
                <w14:textFill>
                  <w14:solidFill>
                    <w14:schemeClr w14:val="tx1"/>
                  </w14:solidFill>
                </w14:textFill>
              </w:rPr>
            </w:pPr>
          </w:p>
        </w:tc>
        <w:tc>
          <w:tcPr>
            <w:tcW w:w="579" w:type="pct"/>
            <w:vAlign w:val="center"/>
          </w:tcPr>
          <w:p w14:paraId="214ED10C">
            <w:pPr>
              <w:pStyle w:val="109"/>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2BD1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14:paraId="5C23E34B">
            <w:pPr>
              <w:pStyle w:val="109"/>
              <w:rPr>
                <w:color w:val="000000" w:themeColor="text1"/>
                <w14:textFill>
                  <w14:solidFill>
                    <w14:schemeClr w14:val="tx1"/>
                  </w14:solidFill>
                </w14:textFill>
              </w:rPr>
            </w:pPr>
            <w:r>
              <w:rPr>
                <w:color w:val="000000" w:themeColor="text1"/>
                <w14:textFill>
                  <w14:solidFill>
                    <w14:schemeClr w14:val="tx1"/>
                  </w14:solidFill>
                </w14:textFill>
              </w:rPr>
              <w:t>北侧场界</w:t>
            </w:r>
          </w:p>
        </w:tc>
        <w:tc>
          <w:tcPr>
            <w:tcW w:w="715" w:type="pct"/>
            <w:vMerge w:val="continue"/>
            <w:vAlign w:val="center"/>
          </w:tcPr>
          <w:p w14:paraId="67D3962D">
            <w:pPr>
              <w:pStyle w:val="109"/>
              <w:rPr>
                <w:color w:val="000000" w:themeColor="text1"/>
                <w14:textFill>
                  <w14:solidFill>
                    <w14:schemeClr w14:val="tx1"/>
                  </w14:solidFill>
                </w14:textFill>
              </w:rPr>
            </w:pPr>
          </w:p>
        </w:tc>
        <w:tc>
          <w:tcPr>
            <w:tcW w:w="715" w:type="pct"/>
          </w:tcPr>
          <w:p w14:paraId="3B3525B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32.1 </w:t>
            </w:r>
          </w:p>
        </w:tc>
        <w:tc>
          <w:tcPr>
            <w:tcW w:w="844" w:type="pct"/>
          </w:tcPr>
          <w:p w14:paraId="2B07A59F">
            <w:pPr>
              <w:pStyle w:val="109"/>
              <w:rPr>
                <w:color w:val="000000" w:themeColor="text1"/>
                <w14:textFill>
                  <w14:solidFill>
                    <w14:schemeClr w14:val="tx1"/>
                  </w14:solidFill>
                </w14:textFill>
              </w:rPr>
            </w:pPr>
            <w:r>
              <w:rPr>
                <w:color w:val="000000" w:themeColor="text1"/>
                <w14:textFill>
                  <w14:solidFill>
                    <w14:schemeClr w14:val="tx1"/>
                  </w14:solidFill>
                </w14:textFill>
              </w:rPr>
              <w:t>43.1</w:t>
            </w:r>
          </w:p>
        </w:tc>
        <w:tc>
          <w:tcPr>
            <w:tcW w:w="715" w:type="pct"/>
          </w:tcPr>
          <w:p w14:paraId="3B403153">
            <w:pPr>
              <w:pStyle w:val="109"/>
              <w:rPr>
                <w:color w:val="000000" w:themeColor="text1"/>
                <w14:textFill>
                  <w14:solidFill>
                    <w14:schemeClr w14:val="tx1"/>
                  </w14:solidFill>
                </w14:textFill>
              </w:rPr>
            </w:pPr>
            <w:r>
              <w:rPr>
                <w:color w:val="000000" w:themeColor="text1"/>
                <w14:textFill>
                  <w14:solidFill>
                    <w14:schemeClr w14:val="tx1"/>
                  </w14:solidFill>
                </w14:textFill>
              </w:rPr>
              <w:t>43.4</w:t>
            </w:r>
          </w:p>
        </w:tc>
        <w:tc>
          <w:tcPr>
            <w:tcW w:w="715" w:type="pct"/>
            <w:vMerge w:val="continue"/>
            <w:vAlign w:val="center"/>
          </w:tcPr>
          <w:p w14:paraId="00F40658">
            <w:pPr>
              <w:pStyle w:val="109"/>
              <w:rPr>
                <w:color w:val="000000" w:themeColor="text1"/>
                <w14:textFill>
                  <w14:solidFill>
                    <w14:schemeClr w14:val="tx1"/>
                  </w14:solidFill>
                </w14:textFill>
              </w:rPr>
            </w:pPr>
          </w:p>
        </w:tc>
        <w:tc>
          <w:tcPr>
            <w:tcW w:w="579" w:type="pct"/>
            <w:vAlign w:val="center"/>
          </w:tcPr>
          <w:p w14:paraId="2CA407EE">
            <w:pPr>
              <w:pStyle w:val="109"/>
              <w:rPr>
                <w:color w:val="000000" w:themeColor="text1"/>
                <w14:textFill>
                  <w14:solidFill>
                    <w14:schemeClr w14:val="tx1"/>
                  </w14:solidFill>
                </w14:textFill>
              </w:rPr>
            </w:pPr>
            <w:r>
              <w:rPr>
                <w:color w:val="000000" w:themeColor="text1"/>
                <w14:textFill>
                  <w14:solidFill>
                    <w14:schemeClr w14:val="tx1"/>
                  </w14:solidFill>
                </w14:textFill>
              </w:rPr>
              <w:t>达标</w:t>
            </w:r>
          </w:p>
        </w:tc>
      </w:tr>
    </w:tbl>
    <w:p w14:paraId="60B1905A">
      <w:pPr>
        <w:ind w:firstLine="480"/>
        <w:rPr>
          <w:color w:val="000000" w:themeColor="text1"/>
          <w14:textFill>
            <w14:solidFill>
              <w14:schemeClr w14:val="tx1"/>
            </w14:solidFill>
          </w14:textFill>
        </w:rPr>
      </w:pPr>
      <w:r>
        <w:rPr>
          <w:bCs/>
          <w:color w:val="000000" w:themeColor="text1"/>
          <w14:textFill>
            <w14:solidFill>
              <w14:schemeClr w14:val="tx1"/>
            </w14:solidFill>
          </w14:textFill>
        </w:rPr>
        <w:t>根据预测结果可知，项目建成投运后，厂界噪声贡献值满足《工业企业厂界环境噪声排放标准》（GB12348-2008）中的3类标准排放限值要求。</w:t>
      </w:r>
      <w:r>
        <w:rPr>
          <w:color w:val="000000" w:themeColor="text1"/>
          <w14:textFill>
            <w14:solidFill>
              <w14:schemeClr w14:val="tx1"/>
            </w14:solidFill>
          </w14:textFill>
        </w:rPr>
        <w:t>由上表可见，本项目厂界噪声贡献值与现状贡献值叠加后，各厂界昼、夜间噪声预测值均能满足《工业企业厂界环境噪声排放标准》（GB12348-2008）3类标准，同时满足《声环境质量标准》（GB3096-2008）3类标准，因此，项目产生噪声对周边环境影响较小。为进一步降低噪声对运输路线的影响，应合理安排危废运输车量运输时间和路线计划，当途经噪声敏感点时应控制好车速，同时采用低噪声设备、消音、隔声和减振等措施，以降低主要噪声源强。</w:t>
      </w:r>
    </w:p>
    <w:p w14:paraId="72AFCC13">
      <w:pPr>
        <w:pStyle w:val="3"/>
        <w:rPr>
          <w:rFonts w:ascii="Times New Roman" w:cs="Times New Roman"/>
          <w:color w:val="000000" w:themeColor="text1"/>
          <w:lang w:val="zh-CN"/>
          <w14:textFill>
            <w14:solidFill>
              <w14:schemeClr w14:val="tx1"/>
            </w14:solidFill>
          </w14:textFill>
        </w:rPr>
      </w:pPr>
      <w:bookmarkStart w:id="447" w:name="_Toc225268321"/>
      <w:r>
        <w:rPr>
          <w:rFonts w:ascii="Times New Roman" w:cs="Times New Roman"/>
          <w:color w:val="000000" w:themeColor="text1"/>
          <w:lang w:val="zh-CN"/>
          <w14:textFill>
            <w14:solidFill>
              <w14:schemeClr w14:val="tx1"/>
            </w14:solidFill>
          </w14:textFill>
        </w:rPr>
        <w:t>固体废物影响分析</w:t>
      </w:r>
      <w:bookmarkEnd w:id="447"/>
    </w:p>
    <w:p w14:paraId="5D34ED63">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本项目固废产生及处置情况</w:t>
      </w:r>
    </w:p>
    <w:p w14:paraId="5283CBC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本项目产生的固废主要包括废活性炭、多效蒸发废盐；废气处理设施沉淀池泥渣；废脱硝催化剂；废盐包装袋；化验残渣、化验废液、破损的化验容器；废润滑油及废油桶；生活垃圾。</w:t>
      </w:r>
    </w:p>
    <w:p w14:paraId="252E5356">
      <w:pPr>
        <w:ind w:firstLine="480"/>
        <w:rPr>
          <w:color w:val="000000" w:themeColor="text1"/>
          <w14:textFill>
            <w14:solidFill>
              <w14:schemeClr w14:val="tx1"/>
            </w14:solidFill>
          </w14:textFill>
        </w:rPr>
      </w:pPr>
      <w:r>
        <w:rPr>
          <w:color w:val="000000" w:themeColor="text1"/>
          <w14:textFill>
            <w14:solidFill>
              <w14:schemeClr w14:val="tx1"/>
            </w14:solidFill>
          </w14:textFill>
        </w:rPr>
        <w:t>固体废物产生情况见下表。</w:t>
      </w:r>
    </w:p>
    <w:p w14:paraId="7D3FD83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固体废物排放情况一览表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704"/>
        <w:gridCol w:w="1528"/>
        <w:gridCol w:w="2876"/>
        <w:gridCol w:w="989"/>
        <w:gridCol w:w="1410"/>
        <w:gridCol w:w="1915"/>
      </w:tblGrid>
      <w:tr w14:paraId="675F32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1ED9B602">
            <w:pPr>
              <w:pStyle w:val="109"/>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811" w:type="pct"/>
            <w:tcBorders>
              <w:left w:val="single" w:color="auto" w:sz="4" w:space="0"/>
            </w:tcBorders>
            <w:vAlign w:val="center"/>
          </w:tcPr>
          <w:p w14:paraId="21282566">
            <w:pPr>
              <w:pStyle w:val="109"/>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1526" w:type="pct"/>
            <w:vAlign w:val="center"/>
          </w:tcPr>
          <w:p w14:paraId="1C2F7626">
            <w:pPr>
              <w:pStyle w:val="109"/>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525" w:type="pct"/>
            <w:vAlign w:val="center"/>
          </w:tcPr>
          <w:p w14:paraId="63D45D34">
            <w:pPr>
              <w:pStyle w:val="109"/>
              <w:rPr>
                <w:color w:val="000000" w:themeColor="text1"/>
                <w14:textFill>
                  <w14:solidFill>
                    <w14:schemeClr w14:val="tx1"/>
                  </w14:solidFill>
                </w14:textFill>
              </w:rPr>
            </w:pPr>
            <w:r>
              <w:rPr>
                <w:color w:val="000000" w:themeColor="text1"/>
                <w14:textFill>
                  <w14:solidFill>
                    <w14:schemeClr w14:val="tx1"/>
                  </w14:solidFill>
                </w14:textFill>
              </w:rPr>
              <w:t>产生量</w:t>
            </w:r>
          </w:p>
        </w:tc>
        <w:tc>
          <w:tcPr>
            <w:tcW w:w="748" w:type="pct"/>
            <w:vAlign w:val="center"/>
          </w:tcPr>
          <w:p w14:paraId="65088614">
            <w:pPr>
              <w:pStyle w:val="109"/>
              <w:rPr>
                <w:color w:val="000000" w:themeColor="text1"/>
                <w14:textFill>
                  <w14:solidFill>
                    <w14:schemeClr w14:val="tx1"/>
                  </w14:solidFill>
                </w14:textFill>
              </w:rPr>
            </w:pPr>
            <w:r>
              <w:rPr>
                <w:color w:val="000000" w:themeColor="text1"/>
                <w14:textFill>
                  <w14:solidFill>
                    <w14:schemeClr w14:val="tx1"/>
                  </w14:solidFill>
                </w14:textFill>
              </w:rPr>
              <w:t>废物代码</w:t>
            </w:r>
          </w:p>
        </w:tc>
        <w:tc>
          <w:tcPr>
            <w:tcW w:w="1016" w:type="pct"/>
            <w:vAlign w:val="center"/>
          </w:tcPr>
          <w:p w14:paraId="130CA694">
            <w:pPr>
              <w:pStyle w:val="109"/>
              <w:rPr>
                <w:color w:val="000000" w:themeColor="text1"/>
                <w14:textFill>
                  <w14:solidFill>
                    <w14:schemeClr w14:val="tx1"/>
                  </w14:solidFill>
                </w14:textFill>
              </w:rPr>
            </w:pPr>
            <w:r>
              <w:rPr>
                <w:color w:val="000000" w:themeColor="text1"/>
                <w14:textFill>
                  <w14:solidFill>
                    <w14:schemeClr w14:val="tx1"/>
                  </w14:solidFill>
                </w14:textFill>
              </w:rPr>
              <w:t>措施及去向</w:t>
            </w:r>
          </w:p>
        </w:tc>
      </w:tr>
      <w:tr w14:paraId="30B68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4A144A27">
            <w:pPr>
              <w:pStyle w:val="109"/>
              <w:rPr>
                <w:color w:val="000000" w:themeColor="text1"/>
                <w14:textFill>
                  <w14:solidFill>
                    <w14:schemeClr w14:val="tx1"/>
                  </w14:solidFill>
                </w14:textFill>
              </w:rPr>
            </w:pPr>
            <w:r>
              <w:rPr>
                <w:color w:val="000000" w:themeColor="text1"/>
                <w14:textFill>
                  <w14:solidFill>
                    <w14:schemeClr w14:val="tx1"/>
                  </w14:solidFill>
                </w14:textFill>
              </w:rPr>
              <w:t>S1</w:t>
            </w:r>
          </w:p>
        </w:tc>
        <w:tc>
          <w:tcPr>
            <w:tcW w:w="811" w:type="pct"/>
            <w:tcBorders>
              <w:left w:val="single" w:color="auto" w:sz="4" w:space="0"/>
            </w:tcBorders>
            <w:vAlign w:val="center"/>
          </w:tcPr>
          <w:p w14:paraId="076D8C4B">
            <w:pPr>
              <w:pStyle w:val="109"/>
              <w:rPr>
                <w:color w:val="000000" w:themeColor="text1"/>
                <w14:textFill>
                  <w14:solidFill>
                    <w14:schemeClr w14:val="tx1"/>
                  </w14:solidFill>
                </w14:textFill>
              </w:rPr>
            </w:pPr>
            <w:r>
              <w:rPr>
                <w:color w:val="000000" w:themeColor="text1"/>
                <w14:textFill>
                  <w14:solidFill>
                    <w14:schemeClr w14:val="tx1"/>
                  </w14:solidFill>
                </w14:textFill>
              </w:rPr>
              <w:t>废活性炭</w:t>
            </w:r>
          </w:p>
        </w:tc>
        <w:tc>
          <w:tcPr>
            <w:tcW w:w="1526" w:type="pct"/>
            <w:vAlign w:val="center"/>
          </w:tcPr>
          <w:p w14:paraId="10ABCFB9">
            <w:pPr>
              <w:pStyle w:val="109"/>
              <w:rPr>
                <w:color w:val="000000" w:themeColor="text1"/>
                <w14:textFill>
                  <w14:solidFill>
                    <w14:schemeClr w14:val="tx1"/>
                  </w14:solidFill>
                </w14:textFill>
              </w:rPr>
            </w:pPr>
            <w:r>
              <w:rPr>
                <w:color w:val="000000" w:themeColor="text1"/>
                <w14:textFill>
                  <w14:solidFill>
                    <w14:schemeClr w14:val="tx1"/>
                  </w14:solidFill>
                </w14:textFill>
              </w:rPr>
              <w:t>活性炭、重金属、二噁英、有机废气</w:t>
            </w:r>
          </w:p>
        </w:tc>
        <w:tc>
          <w:tcPr>
            <w:tcW w:w="525" w:type="pct"/>
            <w:vAlign w:val="center"/>
          </w:tcPr>
          <w:p w14:paraId="2A4CA1B5">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748" w:type="pct"/>
            <w:vAlign w:val="center"/>
          </w:tcPr>
          <w:p w14:paraId="58E46AC1">
            <w:pPr>
              <w:pStyle w:val="109"/>
              <w:rPr>
                <w:color w:val="000000" w:themeColor="text1"/>
                <w14:textFill>
                  <w14:solidFill>
                    <w14:schemeClr w14:val="tx1"/>
                  </w14:solidFill>
                </w14:textFill>
              </w:rPr>
            </w:pPr>
            <w:r>
              <w:rPr>
                <w:color w:val="000000" w:themeColor="text1"/>
                <w14:textFill>
                  <w14:solidFill>
                    <w14:schemeClr w14:val="tx1"/>
                  </w14:solidFill>
                </w14:textFill>
              </w:rPr>
              <w:t>900-041-49</w:t>
            </w:r>
          </w:p>
        </w:tc>
        <w:tc>
          <w:tcPr>
            <w:tcW w:w="1016" w:type="pct"/>
            <w:vMerge w:val="restart"/>
            <w:vAlign w:val="center"/>
          </w:tcPr>
          <w:p w14:paraId="4DE04B53">
            <w:pPr>
              <w:pStyle w:val="109"/>
              <w:rPr>
                <w:color w:val="000000" w:themeColor="text1"/>
                <w14:textFill>
                  <w14:solidFill>
                    <w14:schemeClr w14:val="tx1"/>
                  </w14:solidFill>
                </w14:textFill>
              </w:rPr>
            </w:pPr>
            <w:r>
              <w:rPr>
                <w:color w:val="000000" w:themeColor="text1"/>
                <w14:textFill>
                  <w14:solidFill>
                    <w14:schemeClr w14:val="tx1"/>
                  </w14:solidFill>
                </w14:textFill>
              </w:rPr>
              <w:t>资质经收集在厂区危废间暂存后，委托有相关资质的危废处置单位进行收集处置单位处置</w:t>
            </w:r>
          </w:p>
        </w:tc>
      </w:tr>
      <w:tr w14:paraId="6B3CB3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6578CC88">
            <w:pPr>
              <w:pStyle w:val="109"/>
              <w:rPr>
                <w:color w:val="000000" w:themeColor="text1"/>
                <w14:textFill>
                  <w14:solidFill>
                    <w14:schemeClr w14:val="tx1"/>
                  </w14:solidFill>
                </w14:textFill>
              </w:rPr>
            </w:pPr>
            <w:r>
              <w:rPr>
                <w:color w:val="000000" w:themeColor="text1"/>
                <w14:textFill>
                  <w14:solidFill>
                    <w14:schemeClr w14:val="tx1"/>
                  </w14:solidFill>
                </w14:textFill>
              </w:rPr>
              <w:t>S2</w:t>
            </w:r>
          </w:p>
        </w:tc>
        <w:tc>
          <w:tcPr>
            <w:tcW w:w="811" w:type="pct"/>
            <w:tcBorders>
              <w:left w:val="single" w:color="auto" w:sz="4" w:space="0"/>
            </w:tcBorders>
            <w:vAlign w:val="center"/>
          </w:tcPr>
          <w:p w14:paraId="664B5C7D">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多效蒸发废盐</w:t>
            </w:r>
          </w:p>
        </w:tc>
        <w:tc>
          <w:tcPr>
            <w:tcW w:w="1526" w:type="pct"/>
            <w:vAlign w:val="center"/>
          </w:tcPr>
          <w:p w14:paraId="74281481">
            <w:pPr>
              <w:pStyle w:val="109"/>
              <w:rPr>
                <w:color w:val="000000" w:themeColor="text1"/>
                <w14:textFill>
                  <w14:solidFill>
                    <w14:schemeClr w14:val="tx1"/>
                  </w14:solidFill>
                </w14:textFill>
              </w:rPr>
            </w:pPr>
            <w:r>
              <w:rPr>
                <w:color w:val="000000" w:themeColor="text1"/>
                <w14:textFill>
                  <w14:solidFill>
                    <w14:schemeClr w14:val="tx1"/>
                  </w14:solidFill>
                </w14:textFill>
              </w:rPr>
              <w:t>废盐、重金属、二噁英</w:t>
            </w:r>
          </w:p>
        </w:tc>
        <w:tc>
          <w:tcPr>
            <w:tcW w:w="525" w:type="pct"/>
            <w:vAlign w:val="center"/>
          </w:tcPr>
          <w:p w14:paraId="40A784AF">
            <w:pPr>
              <w:pStyle w:val="109"/>
              <w:rPr>
                <w:color w:val="000000" w:themeColor="text1"/>
                <w14:textFill>
                  <w14:solidFill>
                    <w14:schemeClr w14:val="tx1"/>
                  </w14:solidFill>
                </w14:textFill>
              </w:rPr>
            </w:pPr>
            <w:r>
              <w:rPr>
                <w:color w:val="000000" w:themeColor="text1"/>
                <w14:textFill>
                  <w14:solidFill>
                    <w14:schemeClr w14:val="tx1"/>
                  </w14:solidFill>
                </w14:textFill>
              </w:rPr>
              <w:t>1286.5</w:t>
            </w:r>
          </w:p>
        </w:tc>
        <w:tc>
          <w:tcPr>
            <w:tcW w:w="748" w:type="pct"/>
            <w:vAlign w:val="center"/>
          </w:tcPr>
          <w:p w14:paraId="759A1619">
            <w:pPr>
              <w:pStyle w:val="109"/>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1016" w:type="pct"/>
            <w:vMerge w:val="continue"/>
            <w:vAlign w:val="center"/>
          </w:tcPr>
          <w:p w14:paraId="334EA5D5">
            <w:pPr>
              <w:pStyle w:val="109"/>
              <w:rPr>
                <w:color w:val="000000" w:themeColor="text1"/>
                <w14:textFill>
                  <w14:solidFill>
                    <w14:schemeClr w14:val="tx1"/>
                  </w14:solidFill>
                </w14:textFill>
              </w:rPr>
            </w:pPr>
          </w:p>
        </w:tc>
      </w:tr>
      <w:tr w14:paraId="24FD5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12CB5828">
            <w:pPr>
              <w:pStyle w:val="109"/>
              <w:rPr>
                <w:color w:val="000000" w:themeColor="text1"/>
                <w14:textFill>
                  <w14:solidFill>
                    <w14:schemeClr w14:val="tx1"/>
                  </w14:solidFill>
                </w14:textFill>
              </w:rPr>
            </w:pPr>
            <w:r>
              <w:rPr>
                <w:color w:val="000000" w:themeColor="text1"/>
                <w14:textFill>
                  <w14:solidFill>
                    <w14:schemeClr w14:val="tx1"/>
                  </w14:solidFill>
                </w14:textFill>
              </w:rPr>
              <w:t>S3</w:t>
            </w:r>
          </w:p>
        </w:tc>
        <w:tc>
          <w:tcPr>
            <w:tcW w:w="811" w:type="pct"/>
            <w:tcBorders>
              <w:left w:val="single" w:color="auto" w:sz="4" w:space="0"/>
            </w:tcBorders>
            <w:vAlign w:val="center"/>
          </w:tcPr>
          <w:p w14:paraId="1E01BA7E">
            <w:pPr>
              <w:pStyle w:val="109"/>
              <w:rPr>
                <w:color w:val="000000" w:themeColor="text1"/>
                <w14:textFill>
                  <w14:solidFill>
                    <w14:schemeClr w14:val="tx1"/>
                  </w14:solidFill>
                </w14:textFill>
              </w:rPr>
            </w:pPr>
            <w:r>
              <w:rPr>
                <w:color w:val="000000" w:themeColor="text1"/>
                <w14:textFill>
                  <w14:solidFill>
                    <w14:schemeClr w14:val="tx1"/>
                  </w14:solidFill>
                </w14:textFill>
              </w:rPr>
              <w:t>废气处理设施沉淀池泥渣</w:t>
            </w:r>
          </w:p>
        </w:tc>
        <w:tc>
          <w:tcPr>
            <w:tcW w:w="1526" w:type="pct"/>
            <w:vAlign w:val="center"/>
          </w:tcPr>
          <w:p w14:paraId="435C43F2">
            <w:pPr>
              <w:pStyle w:val="109"/>
              <w:rPr>
                <w:color w:val="000000" w:themeColor="text1"/>
                <w14:textFill>
                  <w14:solidFill>
                    <w14:schemeClr w14:val="tx1"/>
                  </w14:solidFill>
                </w14:textFill>
              </w:rPr>
            </w:pPr>
            <w:r>
              <w:rPr>
                <w:color w:val="000000" w:themeColor="text1"/>
                <w14:textFill>
                  <w14:solidFill>
                    <w14:schemeClr w14:val="tx1"/>
                  </w14:solidFill>
                </w14:textFill>
              </w:rPr>
              <w:t>泥渣、重金属</w:t>
            </w:r>
          </w:p>
        </w:tc>
        <w:tc>
          <w:tcPr>
            <w:tcW w:w="525" w:type="pct"/>
            <w:vAlign w:val="center"/>
          </w:tcPr>
          <w:p w14:paraId="45A78264">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748" w:type="pct"/>
            <w:vAlign w:val="center"/>
          </w:tcPr>
          <w:p w14:paraId="46420A3F">
            <w:pPr>
              <w:pStyle w:val="109"/>
              <w:rPr>
                <w:color w:val="000000" w:themeColor="text1"/>
                <w14:textFill>
                  <w14:solidFill>
                    <w14:schemeClr w14:val="tx1"/>
                  </w14:solidFill>
                </w14:textFill>
              </w:rPr>
            </w:pPr>
            <w:r>
              <w:rPr>
                <w:color w:val="000000" w:themeColor="text1"/>
                <w14:textFill>
                  <w14:solidFill>
                    <w14:schemeClr w14:val="tx1"/>
                  </w14:solidFill>
                </w14:textFill>
              </w:rPr>
              <w:t>900-041-49</w:t>
            </w:r>
          </w:p>
        </w:tc>
        <w:tc>
          <w:tcPr>
            <w:tcW w:w="1016" w:type="pct"/>
            <w:vMerge w:val="continue"/>
            <w:vAlign w:val="center"/>
          </w:tcPr>
          <w:p w14:paraId="6E8FFD82">
            <w:pPr>
              <w:pStyle w:val="109"/>
              <w:rPr>
                <w:color w:val="000000" w:themeColor="text1"/>
                <w14:textFill>
                  <w14:solidFill>
                    <w14:schemeClr w14:val="tx1"/>
                  </w14:solidFill>
                </w14:textFill>
              </w:rPr>
            </w:pPr>
          </w:p>
        </w:tc>
      </w:tr>
      <w:tr w14:paraId="006B08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24FD6493">
            <w:pPr>
              <w:pStyle w:val="109"/>
              <w:rPr>
                <w:color w:val="000000" w:themeColor="text1"/>
                <w14:textFill>
                  <w14:solidFill>
                    <w14:schemeClr w14:val="tx1"/>
                  </w14:solidFill>
                </w14:textFill>
              </w:rPr>
            </w:pPr>
            <w:r>
              <w:rPr>
                <w:color w:val="000000" w:themeColor="text1"/>
                <w14:textFill>
                  <w14:solidFill>
                    <w14:schemeClr w14:val="tx1"/>
                  </w14:solidFill>
                </w14:textFill>
              </w:rPr>
              <w:t>S4</w:t>
            </w:r>
          </w:p>
        </w:tc>
        <w:tc>
          <w:tcPr>
            <w:tcW w:w="811" w:type="pct"/>
            <w:tcBorders>
              <w:left w:val="single" w:color="auto" w:sz="4" w:space="0"/>
            </w:tcBorders>
            <w:vAlign w:val="center"/>
          </w:tcPr>
          <w:p w14:paraId="28081865">
            <w:pPr>
              <w:pStyle w:val="109"/>
              <w:rPr>
                <w:color w:val="000000" w:themeColor="text1"/>
                <w14:textFill>
                  <w14:solidFill>
                    <w14:schemeClr w14:val="tx1"/>
                  </w14:solidFill>
                </w14:textFill>
              </w:rPr>
            </w:pPr>
            <w:r>
              <w:rPr>
                <w:color w:val="000000" w:themeColor="text1"/>
                <w14:textFill>
                  <w14:solidFill>
                    <w14:schemeClr w14:val="tx1"/>
                  </w14:solidFill>
                </w14:textFill>
              </w:rPr>
              <w:t>废脱硝催化剂</w:t>
            </w:r>
          </w:p>
        </w:tc>
        <w:tc>
          <w:tcPr>
            <w:tcW w:w="1526" w:type="pct"/>
            <w:vAlign w:val="center"/>
          </w:tcPr>
          <w:p w14:paraId="599CAEFC">
            <w:pPr>
              <w:pStyle w:val="109"/>
              <w:rPr>
                <w:color w:val="000000" w:themeColor="text1"/>
                <w14:textFill>
                  <w14:solidFill>
                    <w14:schemeClr w14:val="tx1"/>
                  </w14:solidFill>
                </w14:textFill>
              </w:rPr>
            </w:pPr>
            <w:r>
              <w:rPr>
                <w:color w:val="000000" w:themeColor="text1"/>
                <w14:textFill>
                  <w14:solidFill>
                    <w14:schemeClr w14:val="tx1"/>
                  </w14:solidFill>
                </w14:textFill>
              </w:rPr>
              <w:t>V₂O₅-WO₃/TiO₂</w:t>
            </w:r>
          </w:p>
        </w:tc>
        <w:tc>
          <w:tcPr>
            <w:tcW w:w="525" w:type="pct"/>
            <w:vAlign w:val="center"/>
          </w:tcPr>
          <w:p w14:paraId="6AF1E0A5">
            <w:pPr>
              <w:pStyle w:val="109"/>
              <w:rPr>
                <w:color w:val="000000" w:themeColor="text1"/>
                <w14:textFill>
                  <w14:solidFill>
                    <w14:schemeClr w14:val="tx1"/>
                  </w14:solidFill>
                </w14:textFill>
              </w:rPr>
            </w:pPr>
            <w:r>
              <w:rPr>
                <w:color w:val="000000" w:themeColor="text1"/>
                <w14:textFill>
                  <w14:solidFill>
                    <w14:schemeClr w14:val="tx1"/>
                  </w14:solidFill>
                </w14:textFill>
              </w:rPr>
              <w:t>0.75t/3a</w:t>
            </w:r>
          </w:p>
        </w:tc>
        <w:tc>
          <w:tcPr>
            <w:tcW w:w="748" w:type="pct"/>
            <w:vAlign w:val="center"/>
          </w:tcPr>
          <w:p w14:paraId="5C4417BF">
            <w:pPr>
              <w:pStyle w:val="109"/>
              <w:rPr>
                <w:color w:val="000000" w:themeColor="text1"/>
                <w14:textFill>
                  <w14:solidFill>
                    <w14:schemeClr w14:val="tx1"/>
                  </w14:solidFill>
                </w14:textFill>
              </w:rPr>
            </w:pPr>
            <w:r>
              <w:rPr>
                <w:color w:val="000000" w:themeColor="text1"/>
                <w14:textFill>
                  <w14:solidFill>
                    <w14:schemeClr w14:val="tx1"/>
                  </w14:solidFill>
                </w14:textFill>
              </w:rPr>
              <w:t>772-007-50</w:t>
            </w:r>
          </w:p>
        </w:tc>
        <w:tc>
          <w:tcPr>
            <w:tcW w:w="1016" w:type="pct"/>
            <w:vMerge w:val="continue"/>
            <w:vAlign w:val="center"/>
          </w:tcPr>
          <w:p w14:paraId="3B4FD354">
            <w:pPr>
              <w:pStyle w:val="109"/>
              <w:rPr>
                <w:color w:val="000000" w:themeColor="text1"/>
                <w14:textFill>
                  <w14:solidFill>
                    <w14:schemeClr w14:val="tx1"/>
                  </w14:solidFill>
                </w14:textFill>
              </w:rPr>
            </w:pPr>
          </w:p>
        </w:tc>
      </w:tr>
      <w:tr w14:paraId="57C666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252A09BA">
            <w:pPr>
              <w:pStyle w:val="109"/>
              <w:rPr>
                <w:color w:val="000000" w:themeColor="text1"/>
                <w14:textFill>
                  <w14:solidFill>
                    <w14:schemeClr w14:val="tx1"/>
                  </w14:solidFill>
                </w14:textFill>
              </w:rPr>
            </w:pPr>
            <w:r>
              <w:rPr>
                <w:color w:val="000000" w:themeColor="text1"/>
                <w14:textFill>
                  <w14:solidFill>
                    <w14:schemeClr w14:val="tx1"/>
                  </w14:solidFill>
                </w14:textFill>
              </w:rPr>
              <w:t>S5</w:t>
            </w:r>
          </w:p>
        </w:tc>
        <w:tc>
          <w:tcPr>
            <w:tcW w:w="811" w:type="pct"/>
            <w:tcBorders>
              <w:left w:val="single" w:color="auto" w:sz="4" w:space="0"/>
            </w:tcBorders>
            <w:vAlign w:val="center"/>
          </w:tcPr>
          <w:p w14:paraId="58C3EE4D">
            <w:pPr>
              <w:pStyle w:val="109"/>
              <w:rPr>
                <w:color w:val="000000" w:themeColor="text1"/>
                <w14:textFill>
                  <w14:solidFill>
                    <w14:schemeClr w14:val="tx1"/>
                  </w14:solidFill>
                </w14:textFill>
              </w:rPr>
            </w:pPr>
            <w:r>
              <w:rPr>
                <w:color w:val="000000" w:themeColor="text1"/>
                <w14:textFill>
                  <w14:solidFill>
                    <w14:schemeClr w14:val="tx1"/>
                  </w14:solidFill>
                </w14:textFill>
              </w:rPr>
              <w:t>废包装袋</w:t>
            </w:r>
          </w:p>
        </w:tc>
        <w:tc>
          <w:tcPr>
            <w:tcW w:w="1526" w:type="pct"/>
            <w:vAlign w:val="center"/>
          </w:tcPr>
          <w:p w14:paraId="6F99DB1F">
            <w:pPr>
              <w:pStyle w:val="109"/>
              <w:rPr>
                <w:color w:val="000000" w:themeColor="text1"/>
                <w14:textFill>
                  <w14:solidFill>
                    <w14:schemeClr w14:val="tx1"/>
                  </w14:solidFill>
                </w14:textFill>
              </w:rPr>
            </w:pPr>
            <w:r>
              <w:rPr>
                <w:color w:val="000000" w:themeColor="text1"/>
                <w14:textFill>
                  <w14:solidFill>
                    <w14:schemeClr w14:val="tx1"/>
                  </w14:solidFill>
                </w14:textFill>
              </w:rPr>
              <w:t>塑料包装袋、废盐</w:t>
            </w:r>
          </w:p>
        </w:tc>
        <w:tc>
          <w:tcPr>
            <w:tcW w:w="525" w:type="pct"/>
            <w:vAlign w:val="center"/>
          </w:tcPr>
          <w:p w14:paraId="7C782001">
            <w:pPr>
              <w:pStyle w:val="109"/>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748" w:type="pct"/>
            <w:vAlign w:val="center"/>
          </w:tcPr>
          <w:p w14:paraId="2770CE5C">
            <w:pPr>
              <w:pStyle w:val="109"/>
              <w:rPr>
                <w:color w:val="000000" w:themeColor="text1"/>
                <w14:textFill>
                  <w14:solidFill>
                    <w14:schemeClr w14:val="tx1"/>
                  </w14:solidFill>
                </w14:textFill>
              </w:rPr>
            </w:pPr>
            <w:r>
              <w:rPr>
                <w:color w:val="000000" w:themeColor="text1"/>
                <w14:textFill>
                  <w14:solidFill>
                    <w14:schemeClr w14:val="tx1"/>
                  </w14:solidFill>
                </w14:textFill>
              </w:rPr>
              <w:t>900-041-49</w:t>
            </w:r>
          </w:p>
        </w:tc>
        <w:tc>
          <w:tcPr>
            <w:tcW w:w="1016" w:type="pct"/>
            <w:vMerge w:val="continue"/>
            <w:vAlign w:val="center"/>
          </w:tcPr>
          <w:p w14:paraId="2DA96CF9">
            <w:pPr>
              <w:pStyle w:val="109"/>
              <w:rPr>
                <w:color w:val="000000" w:themeColor="text1"/>
                <w14:textFill>
                  <w14:solidFill>
                    <w14:schemeClr w14:val="tx1"/>
                  </w14:solidFill>
                </w14:textFill>
              </w:rPr>
            </w:pPr>
          </w:p>
        </w:tc>
      </w:tr>
      <w:tr w14:paraId="4DB858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714C6368">
            <w:pPr>
              <w:pStyle w:val="109"/>
              <w:rPr>
                <w:color w:val="000000" w:themeColor="text1"/>
                <w14:textFill>
                  <w14:solidFill>
                    <w14:schemeClr w14:val="tx1"/>
                  </w14:solidFill>
                </w14:textFill>
              </w:rPr>
            </w:pPr>
            <w:r>
              <w:rPr>
                <w:color w:val="000000" w:themeColor="text1"/>
                <w14:textFill>
                  <w14:solidFill>
                    <w14:schemeClr w14:val="tx1"/>
                  </w14:solidFill>
                </w14:textFill>
              </w:rPr>
              <w:t>S6</w:t>
            </w:r>
          </w:p>
        </w:tc>
        <w:tc>
          <w:tcPr>
            <w:tcW w:w="811" w:type="pct"/>
            <w:tcBorders>
              <w:left w:val="single" w:color="auto" w:sz="4" w:space="0"/>
            </w:tcBorders>
            <w:vAlign w:val="center"/>
          </w:tcPr>
          <w:p w14:paraId="1A8E90A8">
            <w:pPr>
              <w:pStyle w:val="109"/>
              <w:rPr>
                <w:color w:val="000000" w:themeColor="text1"/>
                <w14:textFill>
                  <w14:solidFill>
                    <w14:schemeClr w14:val="tx1"/>
                  </w14:solidFill>
                </w14:textFill>
              </w:rPr>
            </w:pPr>
            <w:r>
              <w:rPr>
                <w:color w:val="000000" w:themeColor="text1"/>
                <w14:textFill>
                  <w14:solidFill>
                    <w14:schemeClr w14:val="tx1"/>
                  </w14:solidFill>
                </w14:textFill>
              </w:rPr>
              <w:t>化验室废物</w:t>
            </w:r>
          </w:p>
        </w:tc>
        <w:tc>
          <w:tcPr>
            <w:tcW w:w="1526" w:type="pct"/>
            <w:vAlign w:val="center"/>
          </w:tcPr>
          <w:p w14:paraId="6A504AE1">
            <w:pPr>
              <w:pStyle w:val="109"/>
              <w:rPr>
                <w:color w:val="000000" w:themeColor="text1"/>
                <w14:textFill>
                  <w14:solidFill>
                    <w14:schemeClr w14:val="tx1"/>
                  </w14:solidFill>
                </w14:textFill>
              </w:rPr>
            </w:pPr>
            <w:r>
              <w:rPr>
                <w:color w:val="000000" w:themeColor="text1"/>
                <w14:textFill>
                  <w14:solidFill>
                    <w14:schemeClr w14:val="tx1"/>
                  </w14:solidFill>
                </w14:textFill>
              </w:rPr>
              <w:t>化验残渣、化验废液、破损的化验容器</w:t>
            </w:r>
          </w:p>
        </w:tc>
        <w:tc>
          <w:tcPr>
            <w:tcW w:w="525" w:type="pct"/>
            <w:vAlign w:val="center"/>
          </w:tcPr>
          <w:p w14:paraId="25558F61">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748" w:type="pct"/>
            <w:vAlign w:val="center"/>
          </w:tcPr>
          <w:p w14:paraId="5E6A367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900-047-49 </w:t>
            </w:r>
          </w:p>
        </w:tc>
        <w:tc>
          <w:tcPr>
            <w:tcW w:w="1016" w:type="pct"/>
            <w:vMerge w:val="continue"/>
            <w:vAlign w:val="center"/>
          </w:tcPr>
          <w:p w14:paraId="2BB80584">
            <w:pPr>
              <w:pStyle w:val="109"/>
              <w:rPr>
                <w:color w:val="000000" w:themeColor="text1"/>
                <w14:textFill>
                  <w14:solidFill>
                    <w14:schemeClr w14:val="tx1"/>
                  </w14:solidFill>
                </w14:textFill>
              </w:rPr>
            </w:pPr>
          </w:p>
        </w:tc>
      </w:tr>
      <w:tr w14:paraId="04AF2B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3430546D">
            <w:pPr>
              <w:pStyle w:val="109"/>
              <w:rPr>
                <w:color w:val="000000" w:themeColor="text1"/>
                <w14:textFill>
                  <w14:solidFill>
                    <w14:schemeClr w14:val="tx1"/>
                  </w14:solidFill>
                </w14:textFill>
              </w:rPr>
            </w:pPr>
            <w:r>
              <w:rPr>
                <w:color w:val="000000" w:themeColor="text1"/>
                <w14:textFill>
                  <w14:solidFill>
                    <w14:schemeClr w14:val="tx1"/>
                  </w14:solidFill>
                </w14:textFill>
              </w:rPr>
              <w:t>S7</w:t>
            </w:r>
          </w:p>
        </w:tc>
        <w:tc>
          <w:tcPr>
            <w:tcW w:w="811" w:type="pct"/>
            <w:tcBorders>
              <w:left w:val="single" w:color="auto" w:sz="4" w:space="0"/>
            </w:tcBorders>
            <w:vAlign w:val="center"/>
          </w:tcPr>
          <w:p w14:paraId="3D239B4F">
            <w:pPr>
              <w:pStyle w:val="109"/>
              <w:rPr>
                <w:color w:val="000000" w:themeColor="text1"/>
                <w14:textFill>
                  <w14:solidFill>
                    <w14:schemeClr w14:val="tx1"/>
                  </w14:solidFill>
                </w14:textFill>
              </w:rPr>
            </w:pPr>
            <w:r>
              <w:rPr>
                <w:color w:val="000000" w:themeColor="text1"/>
                <w14:textFill>
                  <w14:solidFill>
                    <w14:schemeClr w14:val="tx1"/>
                  </w14:solidFill>
                </w14:textFill>
              </w:rPr>
              <w:t>废润滑油</w:t>
            </w:r>
            <w:r>
              <w:rPr>
                <w:rFonts w:hint="eastAsia"/>
                <w:color w:val="000000" w:themeColor="text1"/>
                <w14:textFill>
                  <w14:solidFill>
                    <w14:schemeClr w14:val="tx1"/>
                  </w14:solidFill>
                </w14:textFill>
              </w:rPr>
              <w:t>、废油桶</w:t>
            </w:r>
          </w:p>
        </w:tc>
        <w:tc>
          <w:tcPr>
            <w:tcW w:w="1526" w:type="pct"/>
            <w:vAlign w:val="center"/>
          </w:tcPr>
          <w:p w14:paraId="1A0A0B01">
            <w:pPr>
              <w:pStyle w:val="109"/>
              <w:rPr>
                <w:color w:val="000000" w:themeColor="text1"/>
                <w14:textFill>
                  <w14:solidFill>
                    <w14:schemeClr w14:val="tx1"/>
                  </w14:solidFill>
                </w14:textFill>
              </w:rPr>
            </w:pPr>
            <w:r>
              <w:rPr>
                <w:color w:val="000000" w:themeColor="text1"/>
                <w14:textFill>
                  <w14:solidFill>
                    <w14:schemeClr w14:val="tx1"/>
                  </w14:solidFill>
                </w14:textFill>
              </w:rPr>
              <w:t>矿物油</w:t>
            </w:r>
          </w:p>
        </w:tc>
        <w:tc>
          <w:tcPr>
            <w:tcW w:w="525" w:type="pct"/>
            <w:vAlign w:val="center"/>
          </w:tcPr>
          <w:p w14:paraId="0E54EF05">
            <w:pPr>
              <w:pStyle w:val="109"/>
              <w:rPr>
                <w:color w:val="000000" w:themeColor="text1"/>
                <w14:textFill>
                  <w14:solidFill>
                    <w14:schemeClr w14:val="tx1"/>
                  </w14:solidFill>
                </w14:textFill>
              </w:rPr>
            </w:pPr>
            <w:r>
              <w:rPr>
                <w:color w:val="000000" w:themeColor="text1"/>
                <w14:textFill>
                  <w14:solidFill>
                    <w14:schemeClr w14:val="tx1"/>
                  </w14:solidFill>
                </w14:textFill>
              </w:rPr>
              <w:t>0.1</w:t>
            </w:r>
            <w:r>
              <w:rPr>
                <w:rFonts w:hint="eastAsia"/>
                <w:color w:val="000000" w:themeColor="text1"/>
                <w14:textFill>
                  <w14:solidFill>
                    <w14:schemeClr w14:val="tx1"/>
                  </w14:solidFill>
                </w14:textFill>
              </w:rPr>
              <w:t>6</w:t>
            </w:r>
          </w:p>
        </w:tc>
        <w:tc>
          <w:tcPr>
            <w:tcW w:w="748" w:type="pct"/>
            <w:vAlign w:val="center"/>
          </w:tcPr>
          <w:p w14:paraId="6B625B7F">
            <w:pPr>
              <w:pStyle w:val="109"/>
              <w:rPr>
                <w:color w:val="000000" w:themeColor="text1"/>
                <w14:textFill>
                  <w14:solidFill>
                    <w14:schemeClr w14:val="tx1"/>
                  </w14:solidFill>
                </w14:textFill>
              </w:rPr>
            </w:pPr>
            <w:r>
              <w:rPr>
                <w:color w:val="000000" w:themeColor="text1"/>
                <w14:textFill>
                  <w14:solidFill>
                    <w14:schemeClr w14:val="tx1"/>
                  </w14:solidFill>
                </w14:textFill>
              </w:rPr>
              <w:t>900-249-08</w:t>
            </w:r>
          </w:p>
        </w:tc>
        <w:tc>
          <w:tcPr>
            <w:tcW w:w="1016" w:type="pct"/>
            <w:vMerge w:val="continue"/>
            <w:vAlign w:val="center"/>
          </w:tcPr>
          <w:p w14:paraId="375CF852">
            <w:pPr>
              <w:pStyle w:val="109"/>
              <w:rPr>
                <w:color w:val="000000" w:themeColor="text1"/>
                <w14:textFill>
                  <w14:solidFill>
                    <w14:schemeClr w14:val="tx1"/>
                  </w14:solidFill>
                </w14:textFill>
              </w:rPr>
            </w:pPr>
          </w:p>
        </w:tc>
      </w:tr>
      <w:tr w14:paraId="565AE6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4F33BC51">
            <w:pPr>
              <w:pStyle w:val="109"/>
              <w:rPr>
                <w:color w:val="000000" w:themeColor="text1"/>
                <w14:textFill>
                  <w14:solidFill>
                    <w14:schemeClr w14:val="tx1"/>
                  </w14:solidFill>
                </w14:textFill>
              </w:rPr>
            </w:pPr>
            <w:r>
              <w:rPr>
                <w:color w:val="000000" w:themeColor="text1"/>
                <w14:textFill>
                  <w14:solidFill>
                    <w14:schemeClr w14:val="tx1"/>
                  </w14:solidFill>
                </w14:textFill>
              </w:rPr>
              <w:t>S8</w:t>
            </w:r>
          </w:p>
        </w:tc>
        <w:tc>
          <w:tcPr>
            <w:tcW w:w="811" w:type="pct"/>
            <w:tcBorders>
              <w:left w:val="single" w:color="auto" w:sz="4" w:space="0"/>
            </w:tcBorders>
            <w:vAlign w:val="center"/>
          </w:tcPr>
          <w:p w14:paraId="0ECC5E40">
            <w:pPr>
              <w:pStyle w:val="109"/>
              <w:rPr>
                <w:color w:val="000000" w:themeColor="text1"/>
                <w14:textFill>
                  <w14:solidFill>
                    <w14:schemeClr w14:val="tx1"/>
                  </w14:solidFill>
                </w14:textFill>
              </w:rPr>
            </w:pPr>
            <w:r>
              <w:rPr>
                <w:color w:val="000000" w:themeColor="text1"/>
                <w14:textFill>
                  <w14:solidFill>
                    <w14:schemeClr w14:val="tx1"/>
                  </w14:solidFill>
                </w14:textFill>
              </w:rPr>
              <w:t>办公生活</w:t>
            </w:r>
          </w:p>
        </w:tc>
        <w:tc>
          <w:tcPr>
            <w:tcW w:w="1526" w:type="pct"/>
            <w:vAlign w:val="center"/>
          </w:tcPr>
          <w:p w14:paraId="5148632A">
            <w:pPr>
              <w:pStyle w:val="109"/>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525" w:type="pct"/>
            <w:vAlign w:val="center"/>
          </w:tcPr>
          <w:p w14:paraId="611118A6">
            <w:pPr>
              <w:pStyle w:val="109"/>
              <w:rPr>
                <w:color w:val="000000" w:themeColor="text1"/>
                <w14:textFill>
                  <w14:solidFill>
                    <w14:schemeClr w14:val="tx1"/>
                  </w14:solidFill>
                </w14:textFill>
              </w:rPr>
            </w:pPr>
            <w:r>
              <w:rPr>
                <w:color w:val="000000" w:themeColor="text1"/>
                <w14:textFill>
                  <w14:solidFill>
                    <w14:schemeClr w14:val="tx1"/>
                  </w14:solidFill>
                </w14:textFill>
              </w:rPr>
              <w:t>4.5</w:t>
            </w:r>
          </w:p>
        </w:tc>
        <w:tc>
          <w:tcPr>
            <w:tcW w:w="748" w:type="pct"/>
            <w:vAlign w:val="center"/>
          </w:tcPr>
          <w:p w14:paraId="67EB82B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016" w:type="pct"/>
            <w:vAlign w:val="center"/>
          </w:tcPr>
          <w:p w14:paraId="51020A88">
            <w:pPr>
              <w:pStyle w:val="109"/>
              <w:rPr>
                <w:color w:val="000000" w:themeColor="text1"/>
                <w14:textFill>
                  <w14:solidFill>
                    <w14:schemeClr w14:val="tx1"/>
                  </w14:solidFill>
                </w14:textFill>
              </w:rPr>
            </w:pPr>
            <w:r>
              <w:rPr>
                <w:color w:val="000000" w:themeColor="text1"/>
                <w14:textFill>
                  <w14:solidFill>
                    <w14:schemeClr w14:val="tx1"/>
                  </w14:solidFill>
                </w14:textFill>
              </w:rPr>
              <w:t>由园区环卫部门统一收集处理</w:t>
            </w:r>
          </w:p>
        </w:tc>
      </w:tr>
    </w:tbl>
    <w:p w14:paraId="728A735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环境影响分析</w:t>
      </w:r>
    </w:p>
    <w:p w14:paraId="4476B248">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根据《危险废物收集贮存 运输技术规范》（</w:t>
      </w:r>
      <w:r>
        <w:rPr>
          <w:rFonts w:eastAsia="黑体"/>
          <w:color w:val="000000" w:themeColor="text1"/>
          <w14:textFill>
            <w14:solidFill>
              <w14:schemeClr w14:val="tx1"/>
            </w14:solidFill>
          </w14:textFill>
        </w:rPr>
        <w:t>HJ 2025-2012</w:t>
      </w:r>
      <w:r>
        <w:rPr>
          <w:color w:val="000000" w:themeColor="text1"/>
          <w14:textFill>
            <w14:solidFill>
              <w14:schemeClr w14:val="tx1"/>
            </w14:solidFill>
          </w14:textFill>
        </w:rPr>
        <w:t>），危险废物在收集、贮存及运输过程中应注意以下内容。</w:t>
      </w:r>
    </w:p>
    <w:p w14:paraId="18A2557E">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危险废物收集相关要求</w:t>
      </w:r>
    </w:p>
    <w:p w14:paraId="26B67461">
      <w:pPr>
        <w:ind w:firstLine="480"/>
        <w:contextualSpacing/>
        <w:rPr>
          <w:color w:val="000000" w:themeColor="text1"/>
          <w14:textFill>
            <w14:solidFill>
              <w14:schemeClr w14:val="tx1"/>
            </w14:solidFill>
          </w14:textFill>
        </w:rPr>
      </w:pPr>
      <w:r>
        <w:rPr>
          <w:rFonts w:eastAsia="黑体"/>
          <w:color w:val="000000" w:themeColor="text1"/>
          <w14:textFill>
            <w14:solidFill>
              <w14:schemeClr w14:val="tx1"/>
            </w14:solidFill>
          </w14:textFill>
        </w:rPr>
        <w:t>1</w:t>
      </w:r>
      <w:r>
        <w:rPr>
          <w:color w:val="000000" w:themeColor="text1"/>
          <w14:textFill>
            <w14:solidFill>
              <w14:schemeClr w14:val="tx1"/>
            </w14:solidFill>
          </w14:textFill>
        </w:rPr>
        <w:t>、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14:paraId="409B6A28">
      <w:pPr>
        <w:ind w:firstLine="480"/>
        <w:contextualSpacing/>
        <w:rPr>
          <w:color w:val="000000" w:themeColor="text1"/>
          <w14:textFill>
            <w14:solidFill>
              <w14:schemeClr w14:val="tx1"/>
            </w14:solidFill>
          </w14:textFill>
        </w:rPr>
      </w:pPr>
      <w:r>
        <w:rPr>
          <w:rFonts w:eastAsia="黑体"/>
          <w:color w:val="000000" w:themeColor="text1"/>
          <w14:textFill>
            <w14:solidFill>
              <w14:schemeClr w14:val="tx1"/>
            </w14:solidFill>
          </w14:textFill>
        </w:rPr>
        <w:t>2</w:t>
      </w:r>
      <w:r>
        <w:rPr>
          <w:color w:val="000000" w:themeColor="text1"/>
          <w14:textFill>
            <w14:solidFill>
              <w14:schemeClr w14:val="tx1"/>
            </w14:solidFill>
          </w14:textFill>
        </w:rPr>
        <w:t>、危险废物的收集应制定详细的操作规程，内容至少应包括适用范围、操作程序和方法、专用设备和工具、转移和交接、安全保障和应急防护等。</w:t>
      </w:r>
    </w:p>
    <w:p w14:paraId="25444DDC">
      <w:pPr>
        <w:ind w:firstLine="480"/>
        <w:contextualSpacing/>
        <w:rPr>
          <w:color w:val="000000" w:themeColor="text1"/>
          <w14:textFill>
            <w14:solidFill>
              <w14:schemeClr w14:val="tx1"/>
            </w14:solidFill>
          </w14:textFill>
        </w:rPr>
      </w:pPr>
      <w:r>
        <w:rPr>
          <w:rFonts w:eastAsia="黑体"/>
          <w:color w:val="000000" w:themeColor="text1"/>
          <w14:textFill>
            <w14:solidFill>
              <w14:schemeClr w14:val="tx1"/>
            </w14:solidFill>
          </w14:textFill>
        </w:rPr>
        <w:t>3</w:t>
      </w:r>
      <w:r>
        <w:rPr>
          <w:color w:val="000000" w:themeColor="text1"/>
          <w14:textFill>
            <w14:solidFill>
              <w14:schemeClr w14:val="tx1"/>
            </w14:solidFill>
          </w14:textFill>
        </w:rPr>
        <w:t>、危险废物收集和转运作业人员应根据工作需要配备必要的个人防护装备，如手套、防护镜、防护服、防毒面具或口罩等。</w:t>
      </w:r>
    </w:p>
    <w:p w14:paraId="486BB5C8">
      <w:pPr>
        <w:ind w:firstLine="480"/>
        <w:contextualSpacing/>
        <w:rPr>
          <w:color w:val="000000" w:themeColor="text1"/>
          <w14:textFill>
            <w14:solidFill>
              <w14:schemeClr w14:val="tx1"/>
            </w14:solidFill>
          </w14:textFill>
        </w:rPr>
      </w:pPr>
      <w:r>
        <w:rPr>
          <w:rFonts w:eastAsia="黑体"/>
          <w:color w:val="000000" w:themeColor="text1"/>
          <w14:textFill>
            <w14:solidFill>
              <w14:schemeClr w14:val="tx1"/>
            </w14:solidFill>
          </w14:textFill>
        </w:rPr>
        <w:t>4</w:t>
      </w:r>
      <w:r>
        <w:rPr>
          <w:color w:val="000000" w:themeColor="text1"/>
          <w14:textFill>
            <w14:solidFill>
              <w14:schemeClr w14:val="tx1"/>
            </w14:solidFill>
          </w14:textFill>
        </w:rPr>
        <w:t>、在危险废物的收集和转运过程中，应采取相应的安全防护和污染防治措施，包括防爆、防火、防中毒、防感染、防泄露、防飞扬、防雨或其它防止污染环境的措施。</w:t>
      </w:r>
    </w:p>
    <w:p w14:paraId="672990B9">
      <w:pPr>
        <w:ind w:firstLine="480"/>
        <w:contextualSpacing/>
        <w:rPr>
          <w:color w:val="000000" w:themeColor="text1"/>
          <w14:textFill>
            <w14:solidFill>
              <w14:schemeClr w14:val="tx1"/>
            </w14:solidFill>
          </w14:textFill>
        </w:rPr>
      </w:pPr>
      <w:r>
        <w:rPr>
          <w:rFonts w:eastAsia="黑体"/>
          <w:color w:val="000000" w:themeColor="text1"/>
          <w14:textFill>
            <w14:solidFill>
              <w14:schemeClr w14:val="tx1"/>
            </w14:solidFill>
          </w14:textFill>
        </w:rPr>
        <w:t>5</w:t>
      </w:r>
      <w:r>
        <w:rPr>
          <w:color w:val="000000" w:themeColor="text1"/>
          <w14:textFill>
            <w14:solidFill>
              <w14:schemeClr w14:val="tx1"/>
            </w14:solidFill>
          </w14:textFill>
        </w:rPr>
        <w:t>、危险废物收集时应根据危险废物的种类、数量、危险特性、物理形态、运输要求等因素确定包装形式，具体包装应符合如下要求：</w:t>
      </w:r>
    </w:p>
    <w:p w14:paraId="40A1E598">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w:t>
      </w:r>
      <w:r>
        <w:rPr>
          <w:rFonts w:eastAsia="黑体"/>
          <w:color w:val="000000" w:themeColor="text1"/>
          <w14:textFill>
            <w14:solidFill>
              <w14:schemeClr w14:val="tx1"/>
            </w14:solidFill>
          </w14:textFill>
        </w:rPr>
        <w:t>1</w:t>
      </w:r>
      <w:r>
        <w:rPr>
          <w:color w:val="000000" w:themeColor="text1"/>
          <w14:textFill>
            <w14:solidFill>
              <w14:schemeClr w14:val="tx1"/>
            </w14:solidFill>
          </w14:textFill>
        </w:rPr>
        <w:t>）包装材质要与危险废物相容，可根据废物特性选择钢、铝、塑料等材质。</w:t>
      </w:r>
    </w:p>
    <w:p w14:paraId="1DF1D0A3">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w:t>
      </w:r>
      <w:r>
        <w:rPr>
          <w:rFonts w:eastAsia="黑体"/>
          <w:color w:val="000000" w:themeColor="text1"/>
          <w14:textFill>
            <w14:solidFill>
              <w14:schemeClr w14:val="tx1"/>
            </w14:solidFill>
          </w14:textFill>
        </w:rPr>
        <w:t>2</w:t>
      </w:r>
      <w:r>
        <w:rPr>
          <w:color w:val="000000" w:themeColor="text1"/>
          <w14:textFill>
            <w14:solidFill>
              <w14:schemeClr w14:val="tx1"/>
            </w14:solidFill>
          </w14:textFill>
        </w:rPr>
        <w:t>）性质类似的废物可收集到同一容器中，性质不相容的危险废物不应混合包装。</w:t>
      </w:r>
    </w:p>
    <w:p w14:paraId="60DDBD94">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w:t>
      </w:r>
      <w:r>
        <w:rPr>
          <w:rFonts w:eastAsia="黑体"/>
          <w:color w:val="000000" w:themeColor="text1"/>
          <w14:textFill>
            <w14:solidFill>
              <w14:schemeClr w14:val="tx1"/>
            </w14:solidFill>
          </w14:textFill>
        </w:rPr>
        <w:t>3</w:t>
      </w:r>
      <w:r>
        <w:rPr>
          <w:color w:val="000000" w:themeColor="text1"/>
          <w14:textFill>
            <w14:solidFill>
              <w14:schemeClr w14:val="tx1"/>
            </w14:solidFill>
          </w14:textFill>
        </w:rPr>
        <w:t>）危险废物包装应能有效隔断危险废物迁移扩散途径，并达到防渗、防漏要求。</w:t>
      </w:r>
    </w:p>
    <w:p w14:paraId="35BEB1BB">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w:t>
      </w:r>
      <w:r>
        <w:rPr>
          <w:rFonts w:eastAsia="黑体"/>
          <w:color w:val="000000" w:themeColor="text1"/>
          <w14:textFill>
            <w14:solidFill>
              <w14:schemeClr w14:val="tx1"/>
            </w14:solidFill>
          </w14:textFill>
        </w:rPr>
        <w:t>4</w:t>
      </w:r>
      <w:r>
        <w:rPr>
          <w:color w:val="000000" w:themeColor="text1"/>
          <w14:textFill>
            <w14:solidFill>
              <w14:schemeClr w14:val="tx1"/>
            </w14:solidFill>
          </w14:textFill>
        </w:rPr>
        <w:t>）包装好的危险废物应设置相应的标签，标签信息应填写完整翔实。</w:t>
      </w:r>
    </w:p>
    <w:p w14:paraId="6FB51A0A">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w:t>
      </w:r>
      <w:r>
        <w:rPr>
          <w:rFonts w:eastAsia="黑体"/>
          <w:color w:val="000000" w:themeColor="text1"/>
          <w14:textFill>
            <w14:solidFill>
              <w14:schemeClr w14:val="tx1"/>
            </w14:solidFill>
          </w14:textFill>
        </w:rPr>
        <w:t>5</w:t>
      </w:r>
      <w:r>
        <w:rPr>
          <w:color w:val="000000" w:themeColor="text1"/>
          <w14:textFill>
            <w14:solidFill>
              <w14:schemeClr w14:val="tx1"/>
            </w14:solidFill>
          </w14:textFill>
        </w:rPr>
        <w:t>）盛装过危险废物的包装袋或包装容器破损后应按危险废物进行管理和处置。</w:t>
      </w:r>
    </w:p>
    <w:p w14:paraId="11B4D9F0">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w:t>
      </w:r>
      <w:r>
        <w:rPr>
          <w:rFonts w:eastAsia="黑体"/>
          <w:color w:val="000000" w:themeColor="text1"/>
          <w14:textFill>
            <w14:solidFill>
              <w14:schemeClr w14:val="tx1"/>
            </w14:solidFill>
          </w14:textFill>
        </w:rPr>
        <w:t>6</w:t>
      </w:r>
      <w:r>
        <w:rPr>
          <w:color w:val="000000" w:themeColor="text1"/>
          <w14:textFill>
            <w14:solidFill>
              <w14:schemeClr w14:val="tx1"/>
            </w14:solidFill>
          </w14:textFill>
        </w:rPr>
        <w:t>）危险废物还应根据</w:t>
      </w:r>
      <w:r>
        <w:rPr>
          <w:rFonts w:eastAsia="黑体"/>
          <w:color w:val="000000" w:themeColor="text1"/>
          <w14:textFill>
            <w14:solidFill>
              <w14:schemeClr w14:val="tx1"/>
            </w14:solidFill>
          </w14:textFill>
        </w:rPr>
        <w:t xml:space="preserve">GB12463 </w:t>
      </w:r>
      <w:r>
        <w:rPr>
          <w:color w:val="000000" w:themeColor="text1"/>
          <w14:textFill>
            <w14:solidFill>
              <w14:schemeClr w14:val="tx1"/>
            </w14:solidFill>
          </w14:textFill>
        </w:rPr>
        <w:t>的有关要求进行运输包装。</w:t>
      </w:r>
    </w:p>
    <w:p w14:paraId="621979AB">
      <w:pPr>
        <w:ind w:firstLine="480"/>
        <w:contextualSpacing/>
        <w:rPr>
          <w:color w:val="000000" w:themeColor="text1"/>
          <w14:textFill>
            <w14:solidFill>
              <w14:schemeClr w14:val="tx1"/>
            </w14:solidFill>
          </w14:textFill>
        </w:rPr>
      </w:pPr>
      <w:r>
        <w:rPr>
          <w:rFonts w:eastAsia="黑体"/>
          <w:color w:val="000000" w:themeColor="text1"/>
          <w14:textFill>
            <w14:solidFill>
              <w14:schemeClr w14:val="tx1"/>
            </w14:solidFill>
          </w14:textFill>
        </w:rPr>
        <w:t>6</w:t>
      </w:r>
      <w:r>
        <w:rPr>
          <w:color w:val="000000" w:themeColor="text1"/>
          <w14:textFill>
            <w14:solidFill>
              <w14:schemeClr w14:val="tx1"/>
            </w14:solidFill>
          </w14:textFill>
        </w:rPr>
        <w:t>、收集不具备运输包装条件的危险废物时，且危险特性不会对环境和操作人员造成重大危害，可在临时包装后进行暂时贮存，但正式运输前应按本标准要求进行包装。</w:t>
      </w:r>
    </w:p>
    <w:p w14:paraId="4AEF3419">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危险废物贮存相关要求</w:t>
      </w:r>
    </w:p>
    <w:p w14:paraId="55AE79B3">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本工程在废盐仓库按照《危险废物贮存污染控制标准》等有关规定，提出贮存系统的环保要求如下：</w:t>
      </w:r>
    </w:p>
    <w:p w14:paraId="217FA0F8">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1、贮存危险废物时应按危险废物的种类和特性进行分区贮存，每个贮存区域之间宜设置挡墙间隔，并应设置防雨、防火、防雷、防扬尘装置。</w:t>
      </w:r>
    </w:p>
    <w:p w14:paraId="384F14DF">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2、贮存易燃易爆危险废物应配置有机气体报警、火灾报警装置和导出静电的接地装置。</w:t>
      </w:r>
    </w:p>
    <w:p w14:paraId="4CE0937D">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3、危险废物贮存期限应符合《中华人民共和国固体废物污染环境防治法》的有关规定。</w:t>
      </w:r>
    </w:p>
    <w:p w14:paraId="5E871280">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4、危险废物贮存单位应建立危险废物贮存的台帐制度，危险废物出入库交接记录内容应参照《危险废物收集贮存 运输技术规范》（HJ 2025-2012）附录C 执行。</w:t>
      </w:r>
    </w:p>
    <w:p w14:paraId="7EDDAE82">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5、危险废物贮存设施应根据贮存的废物种类和特性设置标志。</w:t>
      </w:r>
    </w:p>
    <w:p w14:paraId="197CB4A7">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6、危险废物贮存设施的关闭应按照GB18597 和《危险废物经营许可证管理办法》的有关规定执行。</w:t>
      </w:r>
    </w:p>
    <w:p w14:paraId="602B3538">
      <w:pPr>
        <w:ind w:firstLine="480"/>
        <w:rPr>
          <w:color w:val="000000" w:themeColor="text1"/>
          <w14:textFill>
            <w14:solidFill>
              <w14:schemeClr w14:val="tx1"/>
            </w14:solidFill>
          </w14:textFill>
        </w:rPr>
      </w:pPr>
      <w:r>
        <w:rPr>
          <w:color w:val="000000" w:themeColor="text1"/>
          <w14:textFill>
            <w14:solidFill>
              <w14:schemeClr w14:val="tx1"/>
            </w14:solidFill>
          </w14:textFill>
        </w:rPr>
        <w:t>7、防渗效果应满足导则及相关规范中的相关要求，等效黏土防渗层Mb≥6.0m，K≤1×10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重点防渗区是指在生产过程中有可能发生物料、固体危险物或含有污染物的介质泄漏到地面或地下的区域。项目拟采取的防渗措施为：在现有防渗设施（300mm厚3:7灰土夯实+150mm厚C15混凝土层）上，采用20mm厚的1:2水泥砂浆抹面压实赶光，刷防渗底油一道，4mm厚一布二胶耐酸碱玻璃钢网布防油渗胶泥隔离层，满涂防油渗水泥浆一道，100mm厚C</w:t>
      </w:r>
      <w:r>
        <w:rPr>
          <w:color w:val="000000" w:themeColor="text1"/>
          <w:vertAlign w:val="subscript"/>
          <w14:textFill>
            <w14:solidFill>
              <w14:schemeClr w14:val="tx1"/>
            </w14:solidFill>
          </w14:textFill>
        </w:rPr>
        <w:t>30</w:t>
      </w:r>
      <w:r>
        <w:rPr>
          <w:color w:val="000000" w:themeColor="text1"/>
          <w14:textFill>
            <w14:solidFill>
              <w14:schemeClr w14:val="tx1"/>
            </w14:solidFill>
          </w14:textFill>
        </w:rPr>
        <w:t>混凝土，混凝土抹光后涂环氧地坪漆，渗透系数 ≤10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w:t>
      </w:r>
    </w:p>
    <w:p w14:paraId="74A59B47">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一般防渗区是指在生产过程中有可能发生低污染的固（粉）体物料泄漏到地面上的区域。包括：成品仓库、普通仓库、周转库、过道、生产车间等。项目成品仓库、生产车间拟采取的防渗措施为：在现有防渗设施（300mm厚3:7灰土夯实+150mm厚C</w:t>
      </w:r>
      <w:r>
        <w:rPr>
          <w:color w:val="000000" w:themeColor="text1"/>
          <w:vertAlign w:val="subscript"/>
          <w14:textFill>
            <w14:solidFill>
              <w14:schemeClr w14:val="tx1"/>
            </w14:solidFill>
          </w14:textFill>
        </w:rPr>
        <w:t>15</w:t>
      </w:r>
      <w:r>
        <w:rPr>
          <w:color w:val="000000" w:themeColor="text1"/>
          <w14:textFill>
            <w14:solidFill>
              <w14:schemeClr w14:val="tx1"/>
            </w14:solidFill>
          </w14:textFill>
        </w:rPr>
        <w:t>混凝土层）上，抹素水泥一道+满涂地面固化剂。过道拟采取的防渗措施为：在现有防渗设施（300mm厚3:7灰土夯实+150mm厚C</w:t>
      </w:r>
      <w:r>
        <w:rPr>
          <w:color w:val="000000" w:themeColor="text1"/>
          <w:vertAlign w:val="subscript"/>
          <w14:textFill>
            <w14:solidFill>
              <w14:schemeClr w14:val="tx1"/>
            </w14:solidFill>
          </w14:textFill>
        </w:rPr>
        <w:t>15</w:t>
      </w:r>
      <w:r>
        <w:rPr>
          <w:color w:val="000000" w:themeColor="text1"/>
          <w14:textFill>
            <w14:solidFill>
              <w14:schemeClr w14:val="tx1"/>
            </w14:solidFill>
          </w14:textFill>
        </w:rPr>
        <w:t>混凝土层）上满涂环氧地坪漆。</w:t>
      </w:r>
    </w:p>
    <w:p w14:paraId="1042EF41">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危险废物运输相关要求</w:t>
      </w:r>
    </w:p>
    <w:p w14:paraId="72E138D9">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1、危险废物运输应由持有危险废物经营许可证的单位按照其许可证的经营范围组织实施，承担危险废物运输的单位应获得交通运输部门颁发的危险货物运输资质。</w:t>
      </w:r>
    </w:p>
    <w:p w14:paraId="454ECB6D">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2、危险废物公路运输应按照《道路危险货物运输管理规定》(交通部令[2005年]第9号)、JT617以及JT618执行；危险废物铁路运输应按《铁路危险货物运输管理规则》(铁运[2006]79 号)规定执行；危险废物水路运输应按《水路危险货物运输规则》(交通部令[1996年]第10号)规定执行。</w:t>
      </w:r>
    </w:p>
    <w:p w14:paraId="7ADEF254">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3、废弃危险化学品的运输应执行《危险化学品安全管理条例》有关运输的规定。</w:t>
      </w:r>
    </w:p>
    <w:p w14:paraId="560389A2">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4、运输单位承运危险废物时，应在危险废物包装上设置标志。</w:t>
      </w:r>
    </w:p>
    <w:p w14:paraId="60C3F546">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5、危险废物公路运输时，运输车辆应按GB13392设置车辆标志。</w:t>
      </w:r>
    </w:p>
    <w:p w14:paraId="58A56E12">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6、危险废物运输时的中转、装卸过程应遵守如下技术要求：</w:t>
      </w:r>
    </w:p>
    <w:p w14:paraId="5D7C9B1A">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（1）卸载区的工作人员应熟悉废物的危险特性，并配备适当的个人防护装备，装卸剧毒废物应配备特殊的防护装备。</w:t>
      </w:r>
    </w:p>
    <w:p w14:paraId="10572A3C">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（2）卸载区应配备必要的消防设备和设施，并设置明显的指示标志。</w:t>
      </w:r>
    </w:p>
    <w:p w14:paraId="7AFC07F3">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（3）危险废物装卸区应设置隔离设施，液态废物卸载区应设置收集槽和缓冲罐。</w:t>
      </w:r>
    </w:p>
    <w:p w14:paraId="31C9F269">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由工程分析可知，本项目危险废物采用密闭容器储存，可以有效的减少扬尘的产生，对周围大气环境影响较小。整个过程严格按照《危险废物收集贮存 运输技术规范》（HJ 2025-2012）的要求执行，对周围环境产生不利影响较小。</w:t>
      </w:r>
    </w:p>
    <w:p w14:paraId="2B6566CF">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综上所述，本项目固废均可以得到妥善处置，满足环境保护设计及相关法规的要求，可以最大限度减轻对周围环境的影响。</w:t>
      </w:r>
    </w:p>
    <w:p w14:paraId="6C25E3AB">
      <w:pPr>
        <w:pStyle w:val="3"/>
        <w:rPr>
          <w:rFonts w:ascii="Times New Roman" w:cs="Times New Roman"/>
          <w:color w:val="000000" w:themeColor="text1"/>
          <w:lang w:val="zh-CN"/>
          <w14:textFill>
            <w14:solidFill>
              <w14:schemeClr w14:val="tx1"/>
            </w14:solidFill>
          </w14:textFill>
        </w:rPr>
      </w:pPr>
      <w:bookmarkStart w:id="448" w:name="_Toc225268322"/>
      <w:r>
        <w:rPr>
          <w:rFonts w:ascii="Times New Roman" w:cs="Times New Roman"/>
          <w:color w:val="000000" w:themeColor="text1"/>
          <w:lang w:val="zh-CN"/>
          <w14:textFill>
            <w14:solidFill>
              <w14:schemeClr w14:val="tx1"/>
            </w14:solidFill>
          </w14:textFill>
        </w:rPr>
        <w:t>土壤环境影响分析</w:t>
      </w:r>
      <w:bookmarkEnd w:id="448"/>
    </w:p>
    <w:p w14:paraId="049C1A7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评价等级确定</w:t>
      </w:r>
    </w:p>
    <w:p w14:paraId="73B05777">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土壤环境（试行）》（HJ 964-2018）要求，本项目属于污染影响型，属于“环境和公共设施管理”中的“危险废物利用及处置”项目，属于I类项目，项目周围土壤环境敏感程度为不敏感，占地面积为0.3360hm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，占地规模属于小型（＜5hm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），判定评价等级为二级（见下表）。</w:t>
      </w:r>
    </w:p>
    <w:p w14:paraId="4F186352">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本项目土壤环境影响评价工作等级分级表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932"/>
        <w:gridCol w:w="932"/>
        <w:gridCol w:w="932"/>
        <w:gridCol w:w="932"/>
        <w:gridCol w:w="932"/>
        <w:gridCol w:w="932"/>
        <w:gridCol w:w="932"/>
        <w:gridCol w:w="932"/>
        <w:gridCol w:w="934"/>
      </w:tblGrid>
      <w:tr w14:paraId="01A4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restart"/>
            <w:tcBorders>
              <w:tl2br w:val="single" w:color="auto" w:sz="4" w:space="0"/>
            </w:tcBorders>
            <w:noWrap/>
            <w:vAlign w:val="center"/>
          </w:tcPr>
          <w:p w14:paraId="75A71AA0">
            <w:pPr>
              <w:pStyle w:val="109"/>
              <w:jc w:val="right"/>
              <w:rPr>
                <w:color w:val="000000" w:themeColor="text1"/>
                <w14:textFill>
                  <w14:solidFill>
                    <w14:schemeClr w14:val="tx1"/>
                  </w14:solidFill>
                </w14:textFill>
              </w:rPr>
            </w:pPr>
            <w:r>
              <w:rPr>
                <w:color w:val="000000" w:themeColor="text1"/>
                <w14:textFill>
                  <w14:solidFill>
                    <w14:schemeClr w14:val="tx1"/>
                  </w14:solidFill>
                </w14:textFill>
              </w:rPr>
              <w:t>类别</w:t>
            </w:r>
          </w:p>
          <w:p w14:paraId="26B56429">
            <w:pPr>
              <w:pStyle w:val="109"/>
              <w:rPr>
                <w:color w:val="000000" w:themeColor="text1"/>
                <w14:textFill>
                  <w14:solidFill>
                    <w14:schemeClr w14:val="tx1"/>
                  </w14:solidFill>
                </w14:textFill>
              </w:rPr>
            </w:pPr>
            <w:r>
              <w:rPr>
                <w:color w:val="000000" w:themeColor="text1"/>
                <w14:textFill>
                  <w14:solidFill>
                    <w14:schemeClr w14:val="tx1"/>
                  </w14:solidFill>
                </w14:textFill>
              </w:rPr>
              <w:t>敏感程度</w:t>
            </w:r>
          </w:p>
        </w:tc>
        <w:tc>
          <w:tcPr>
            <w:tcW w:w="1452" w:type="pct"/>
            <w:gridSpan w:val="3"/>
            <w:noWrap/>
            <w:vAlign w:val="center"/>
          </w:tcPr>
          <w:p w14:paraId="17D05270">
            <w:pPr>
              <w:pStyle w:val="109"/>
              <w:rPr>
                <w:color w:val="000000" w:themeColor="text1"/>
                <w14:textFill>
                  <w14:solidFill>
                    <w14:schemeClr w14:val="tx1"/>
                  </w14:solidFill>
                </w14:textFill>
              </w:rPr>
            </w:pPr>
            <w:r>
              <w:rPr>
                <w:color w:val="000000" w:themeColor="text1"/>
                <w14:textFill>
                  <w14:solidFill>
                    <w14:schemeClr w14:val="tx1"/>
                  </w14:solidFill>
                </w14:textFill>
              </w:rPr>
              <w:t>I类项目</w:t>
            </w:r>
          </w:p>
        </w:tc>
        <w:tc>
          <w:tcPr>
            <w:tcW w:w="1452" w:type="pct"/>
            <w:gridSpan w:val="3"/>
            <w:noWrap/>
            <w:vAlign w:val="center"/>
          </w:tcPr>
          <w:p w14:paraId="2DF7487D">
            <w:pPr>
              <w:pStyle w:val="109"/>
              <w:rPr>
                <w:color w:val="000000" w:themeColor="text1"/>
                <w14:textFill>
                  <w14:solidFill>
                    <w14:schemeClr w14:val="tx1"/>
                  </w14:solidFill>
                </w14:textFill>
              </w:rPr>
            </w:pPr>
            <w:r>
              <w:rPr>
                <w:color w:val="000000" w:themeColor="text1"/>
                <w14:textFill>
                  <w14:solidFill>
                    <w14:schemeClr w14:val="tx1"/>
                  </w14:solidFill>
                </w14:textFill>
              </w:rPr>
              <w:t>II类项目</w:t>
            </w:r>
          </w:p>
        </w:tc>
        <w:tc>
          <w:tcPr>
            <w:tcW w:w="1452" w:type="pct"/>
            <w:gridSpan w:val="3"/>
            <w:noWrap/>
            <w:vAlign w:val="center"/>
          </w:tcPr>
          <w:p w14:paraId="02A4A6ED">
            <w:pPr>
              <w:pStyle w:val="109"/>
              <w:rPr>
                <w:color w:val="000000" w:themeColor="text1"/>
                <w14:textFill>
                  <w14:solidFill>
                    <w14:schemeClr w14:val="tx1"/>
                  </w14:solidFill>
                </w14:textFill>
              </w:rPr>
            </w:pPr>
            <w:r>
              <w:rPr>
                <w:color w:val="000000" w:themeColor="text1"/>
                <w14:textFill>
                  <w14:solidFill>
                    <w14:schemeClr w14:val="tx1"/>
                  </w14:solidFill>
                </w14:textFill>
              </w:rPr>
              <w:t>III类项目</w:t>
            </w:r>
          </w:p>
        </w:tc>
      </w:tr>
      <w:tr w14:paraId="6DC3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continue"/>
            <w:tcBorders>
              <w:top w:val="nil"/>
              <w:tl2br w:val="single" w:color="auto" w:sz="4" w:space="0"/>
            </w:tcBorders>
            <w:noWrap/>
            <w:vAlign w:val="center"/>
          </w:tcPr>
          <w:p w14:paraId="1DAE20B6">
            <w:pPr>
              <w:pStyle w:val="109"/>
              <w:rPr>
                <w:color w:val="000000" w:themeColor="text1"/>
                <w14:textFill>
                  <w14:solidFill>
                    <w14:schemeClr w14:val="tx1"/>
                  </w14:solidFill>
                </w14:textFill>
              </w:rPr>
            </w:pPr>
          </w:p>
        </w:tc>
        <w:tc>
          <w:tcPr>
            <w:tcW w:w="484" w:type="pct"/>
            <w:noWrap/>
            <w:vAlign w:val="center"/>
          </w:tcPr>
          <w:p w14:paraId="3C29A86C">
            <w:pPr>
              <w:pStyle w:val="109"/>
              <w:rPr>
                <w:color w:val="000000" w:themeColor="text1"/>
                <w14:textFill>
                  <w14:solidFill>
                    <w14:schemeClr w14:val="tx1"/>
                  </w14:solidFill>
                </w14:textFill>
              </w:rPr>
            </w:pPr>
            <w:r>
              <w:rPr>
                <w:color w:val="000000" w:themeColor="text1"/>
                <w14:textFill>
                  <w14:solidFill>
                    <w14:schemeClr w14:val="tx1"/>
                  </w14:solidFill>
                </w14:textFill>
              </w:rPr>
              <w:t>大</w:t>
            </w:r>
          </w:p>
        </w:tc>
        <w:tc>
          <w:tcPr>
            <w:tcW w:w="484" w:type="pct"/>
            <w:noWrap/>
            <w:vAlign w:val="center"/>
          </w:tcPr>
          <w:p w14:paraId="252F1AC7">
            <w:pPr>
              <w:pStyle w:val="109"/>
              <w:rPr>
                <w:color w:val="000000" w:themeColor="text1"/>
                <w14:textFill>
                  <w14:solidFill>
                    <w14:schemeClr w14:val="tx1"/>
                  </w14:solidFill>
                </w14:textFill>
              </w:rPr>
            </w:pPr>
            <w:r>
              <w:rPr>
                <w:color w:val="000000" w:themeColor="text1"/>
                <w14:textFill>
                  <w14:solidFill>
                    <w14:schemeClr w14:val="tx1"/>
                  </w14:solidFill>
                </w14:textFill>
              </w:rPr>
              <w:t>中</w:t>
            </w:r>
          </w:p>
        </w:tc>
        <w:tc>
          <w:tcPr>
            <w:tcW w:w="484" w:type="pct"/>
            <w:noWrap/>
            <w:vAlign w:val="center"/>
          </w:tcPr>
          <w:p w14:paraId="1B2316DE">
            <w:pPr>
              <w:pStyle w:val="109"/>
              <w:rPr>
                <w:color w:val="000000" w:themeColor="text1"/>
                <w14:textFill>
                  <w14:solidFill>
                    <w14:schemeClr w14:val="tx1"/>
                  </w14:solidFill>
                </w14:textFill>
              </w:rPr>
            </w:pPr>
            <w:r>
              <w:rPr>
                <w:color w:val="000000" w:themeColor="text1"/>
                <w14:textFill>
                  <w14:solidFill>
                    <w14:schemeClr w14:val="tx1"/>
                  </w14:solidFill>
                </w14:textFill>
              </w:rPr>
              <w:t>小</w:t>
            </w:r>
          </w:p>
        </w:tc>
        <w:tc>
          <w:tcPr>
            <w:tcW w:w="484" w:type="pct"/>
            <w:noWrap/>
            <w:vAlign w:val="center"/>
          </w:tcPr>
          <w:p w14:paraId="2C30FC92">
            <w:pPr>
              <w:pStyle w:val="109"/>
              <w:rPr>
                <w:color w:val="000000" w:themeColor="text1"/>
                <w14:textFill>
                  <w14:solidFill>
                    <w14:schemeClr w14:val="tx1"/>
                  </w14:solidFill>
                </w14:textFill>
              </w:rPr>
            </w:pPr>
            <w:r>
              <w:rPr>
                <w:color w:val="000000" w:themeColor="text1"/>
                <w14:textFill>
                  <w14:solidFill>
                    <w14:schemeClr w14:val="tx1"/>
                  </w14:solidFill>
                </w14:textFill>
              </w:rPr>
              <w:t>大</w:t>
            </w:r>
          </w:p>
        </w:tc>
        <w:tc>
          <w:tcPr>
            <w:tcW w:w="484" w:type="pct"/>
            <w:noWrap/>
            <w:vAlign w:val="center"/>
          </w:tcPr>
          <w:p w14:paraId="6E56302C">
            <w:pPr>
              <w:pStyle w:val="109"/>
              <w:rPr>
                <w:color w:val="000000" w:themeColor="text1"/>
                <w14:textFill>
                  <w14:solidFill>
                    <w14:schemeClr w14:val="tx1"/>
                  </w14:solidFill>
                </w14:textFill>
              </w:rPr>
            </w:pPr>
            <w:r>
              <w:rPr>
                <w:color w:val="000000" w:themeColor="text1"/>
                <w14:textFill>
                  <w14:solidFill>
                    <w14:schemeClr w14:val="tx1"/>
                  </w14:solidFill>
                </w14:textFill>
              </w:rPr>
              <w:t>中</w:t>
            </w:r>
          </w:p>
        </w:tc>
        <w:tc>
          <w:tcPr>
            <w:tcW w:w="484" w:type="pct"/>
            <w:noWrap/>
            <w:vAlign w:val="center"/>
          </w:tcPr>
          <w:p w14:paraId="7B82FE98">
            <w:pPr>
              <w:pStyle w:val="109"/>
              <w:rPr>
                <w:color w:val="000000" w:themeColor="text1"/>
                <w14:textFill>
                  <w14:solidFill>
                    <w14:schemeClr w14:val="tx1"/>
                  </w14:solidFill>
                </w14:textFill>
              </w:rPr>
            </w:pPr>
            <w:r>
              <w:rPr>
                <w:color w:val="000000" w:themeColor="text1"/>
                <w14:textFill>
                  <w14:solidFill>
                    <w14:schemeClr w14:val="tx1"/>
                  </w14:solidFill>
                </w14:textFill>
              </w:rPr>
              <w:t>小</w:t>
            </w:r>
          </w:p>
        </w:tc>
        <w:tc>
          <w:tcPr>
            <w:tcW w:w="484" w:type="pct"/>
            <w:noWrap/>
            <w:vAlign w:val="center"/>
          </w:tcPr>
          <w:p w14:paraId="6B6DFBBC">
            <w:pPr>
              <w:pStyle w:val="109"/>
              <w:rPr>
                <w:color w:val="000000" w:themeColor="text1"/>
                <w14:textFill>
                  <w14:solidFill>
                    <w14:schemeClr w14:val="tx1"/>
                  </w14:solidFill>
                </w14:textFill>
              </w:rPr>
            </w:pPr>
            <w:r>
              <w:rPr>
                <w:color w:val="000000" w:themeColor="text1"/>
                <w14:textFill>
                  <w14:solidFill>
                    <w14:schemeClr w14:val="tx1"/>
                  </w14:solidFill>
                </w14:textFill>
              </w:rPr>
              <w:t>大</w:t>
            </w:r>
          </w:p>
        </w:tc>
        <w:tc>
          <w:tcPr>
            <w:tcW w:w="484" w:type="pct"/>
            <w:noWrap/>
            <w:vAlign w:val="center"/>
          </w:tcPr>
          <w:p w14:paraId="755F5880">
            <w:pPr>
              <w:pStyle w:val="109"/>
              <w:rPr>
                <w:color w:val="000000" w:themeColor="text1"/>
                <w14:textFill>
                  <w14:solidFill>
                    <w14:schemeClr w14:val="tx1"/>
                  </w14:solidFill>
                </w14:textFill>
              </w:rPr>
            </w:pPr>
            <w:r>
              <w:rPr>
                <w:color w:val="000000" w:themeColor="text1"/>
                <w14:textFill>
                  <w14:solidFill>
                    <w14:schemeClr w14:val="tx1"/>
                  </w14:solidFill>
                </w14:textFill>
              </w:rPr>
              <w:t>中</w:t>
            </w:r>
          </w:p>
        </w:tc>
        <w:tc>
          <w:tcPr>
            <w:tcW w:w="484" w:type="pct"/>
            <w:noWrap/>
            <w:vAlign w:val="center"/>
          </w:tcPr>
          <w:p w14:paraId="65D3146B">
            <w:pPr>
              <w:pStyle w:val="109"/>
              <w:rPr>
                <w:color w:val="000000" w:themeColor="text1"/>
                <w14:textFill>
                  <w14:solidFill>
                    <w14:schemeClr w14:val="tx1"/>
                  </w14:solidFill>
                </w14:textFill>
              </w:rPr>
            </w:pPr>
            <w:r>
              <w:rPr>
                <w:color w:val="000000" w:themeColor="text1"/>
                <w14:textFill>
                  <w14:solidFill>
                    <w14:schemeClr w14:val="tx1"/>
                  </w14:solidFill>
                </w14:textFill>
              </w:rPr>
              <w:t>小</w:t>
            </w:r>
          </w:p>
        </w:tc>
      </w:tr>
      <w:tr w14:paraId="7AA5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ign w:val="center"/>
          </w:tcPr>
          <w:p w14:paraId="7562C6BF">
            <w:pPr>
              <w:pStyle w:val="109"/>
              <w:rPr>
                <w:color w:val="000000" w:themeColor="text1"/>
                <w14:textFill>
                  <w14:solidFill>
                    <w14:schemeClr w14:val="tx1"/>
                  </w14:solidFill>
                </w14:textFill>
              </w:rPr>
            </w:pPr>
            <w:r>
              <w:rPr>
                <w:color w:val="000000" w:themeColor="text1"/>
                <w14:textFill>
                  <w14:solidFill>
                    <w14:schemeClr w14:val="tx1"/>
                  </w14:solidFill>
                </w14:textFill>
              </w:rPr>
              <w:t>敏感</w:t>
            </w:r>
          </w:p>
        </w:tc>
        <w:tc>
          <w:tcPr>
            <w:tcW w:w="484" w:type="pct"/>
            <w:noWrap/>
            <w:vAlign w:val="center"/>
          </w:tcPr>
          <w:p w14:paraId="696F95AE">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484" w:type="pct"/>
            <w:noWrap/>
            <w:vAlign w:val="center"/>
          </w:tcPr>
          <w:p w14:paraId="78CE1DA2">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484" w:type="pct"/>
            <w:noWrap/>
            <w:vAlign w:val="center"/>
          </w:tcPr>
          <w:p w14:paraId="1653BF7F">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484" w:type="pct"/>
            <w:noWrap/>
            <w:vAlign w:val="center"/>
          </w:tcPr>
          <w:p w14:paraId="25E6377E">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484" w:type="pct"/>
            <w:noWrap/>
            <w:vAlign w:val="center"/>
          </w:tcPr>
          <w:p w14:paraId="0BEB93C6">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484" w:type="pct"/>
            <w:noWrap/>
            <w:vAlign w:val="center"/>
          </w:tcPr>
          <w:p w14:paraId="6790D2D7">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484" w:type="pct"/>
            <w:noWrap/>
            <w:vAlign w:val="center"/>
          </w:tcPr>
          <w:p w14:paraId="39F57FFC">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484" w:type="pct"/>
            <w:noWrap/>
            <w:vAlign w:val="center"/>
          </w:tcPr>
          <w:p w14:paraId="1A3BC662">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484" w:type="pct"/>
            <w:noWrap/>
            <w:vAlign w:val="center"/>
          </w:tcPr>
          <w:p w14:paraId="02365D4B">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r>
      <w:tr w14:paraId="6E84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ign w:val="center"/>
          </w:tcPr>
          <w:p w14:paraId="451765C2">
            <w:pPr>
              <w:pStyle w:val="109"/>
              <w:rPr>
                <w:color w:val="000000" w:themeColor="text1"/>
                <w14:textFill>
                  <w14:solidFill>
                    <w14:schemeClr w14:val="tx1"/>
                  </w14:solidFill>
                </w14:textFill>
              </w:rPr>
            </w:pPr>
            <w:r>
              <w:rPr>
                <w:color w:val="000000" w:themeColor="text1"/>
                <w14:textFill>
                  <w14:solidFill>
                    <w14:schemeClr w14:val="tx1"/>
                  </w14:solidFill>
                </w14:textFill>
              </w:rPr>
              <w:t>较敏感</w:t>
            </w:r>
          </w:p>
        </w:tc>
        <w:tc>
          <w:tcPr>
            <w:tcW w:w="484" w:type="pct"/>
            <w:noWrap/>
            <w:vAlign w:val="center"/>
          </w:tcPr>
          <w:p w14:paraId="2DA7991F">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484" w:type="pct"/>
            <w:noWrap/>
            <w:vAlign w:val="center"/>
          </w:tcPr>
          <w:p w14:paraId="11AA0558">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484" w:type="pct"/>
            <w:noWrap/>
            <w:vAlign w:val="center"/>
          </w:tcPr>
          <w:p w14:paraId="429BB498">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484" w:type="pct"/>
            <w:noWrap/>
            <w:vAlign w:val="center"/>
          </w:tcPr>
          <w:p w14:paraId="6A6C0AD3">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484" w:type="pct"/>
            <w:noWrap/>
            <w:vAlign w:val="center"/>
          </w:tcPr>
          <w:p w14:paraId="4DE8382A">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484" w:type="pct"/>
            <w:noWrap/>
            <w:vAlign w:val="center"/>
          </w:tcPr>
          <w:p w14:paraId="60BF723B">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484" w:type="pct"/>
            <w:noWrap/>
            <w:vAlign w:val="center"/>
          </w:tcPr>
          <w:p w14:paraId="2B8E2C82">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484" w:type="pct"/>
            <w:noWrap/>
            <w:vAlign w:val="center"/>
          </w:tcPr>
          <w:p w14:paraId="084E405C">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484" w:type="pct"/>
            <w:noWrap/>
            <w:vAlign w:val="center"/>
          </w:tcPr>
          <w:p w14:paraId="3D07C7B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2213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ign w:val="center"/>
          </w:tcPr>
          <w:p w14:paraId="6C933BB6">
            <w:pPr>
              <w:pStyle w:val="109"/>
              <w:rPr>
                <w:color w:val="000000" w:themeColor="text1"/>
                <w14:textFill>
                  <w14:solidFill>
                    <w14:schemeClr w14:val="tx1"/>
                  </w14:solidFill>
                </w14:textFill>
              </w:rPr>
            </w:pPr>
            <w:r>
              <w:rPr>
                <w:color w:val="000000" w:themeColor="text1"/>
                <w14:textFill>
                  <w14:solidFill>
                    <w14:schemeClr w14:val="tx1"/>
                  </w14:solidFill>
                </w14:textFill>
              </w:rPr>
              <w:t>不敏感</w:t>
            </w:r>
          </w:p>
        </w:tc>
        <w:tc>
          <w:tcPr>
            <w:tcW w:w="484" w:type="pct"/>
            <w:noWrap/>
            <w:vAlign w:val="center"/>
          </w:tcPr>
          <w:p w14:paraId="6766B95D">
            <w:pPr>
              <w:pStyle w:val="109"/>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484" w:type="pct"/>
            <w:noWrap/>
            <w:vAlign w:val="center"/>
          </w:tcPr>
          <w:p w14:paraId="6AE2158D">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484" w:type="pct"/>
            <w:shd w:val="clear" w:color="auto" w:fill="D8D8D8" w:themeFill="background1" w:themeFillShade="D9"/>
            <w:noWrap/>
            <w:vAlign w:val="center"/>
          </w:tcPr>
          <w:p w14:paraId="7E61AA38">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484" w:type="pct"/>
            <w:noWrap/>
            <w:vAlign w:val="center"/>
          </w:tcPr>
          <w:p w14:paraId="03CC2B0C">
            <w:pPr>
              <w:pStyle w:val="109"/>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484" w:type="pct"/>
            <w:noWrap/>
            <w:vAlign w:val="center"/>
          </w:tcPr>
          <w:p w14:paraId="4A9C12D9">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484" w:type="pct"/>
            <w:noWrap/>
            <w:vAlign w:val="center"/>
          </w:tcPr>
          <w:p w14:paraId="608BDE1B">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484" w:type="pct"/>
            <w:noWrap/>
            <w:vAlign w:val="center"/>
          </w:tcPr>
          <w:p w14:paraId="70D49263">
            <w:pPr>
              <w:pStyle w:val="109"/>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484" w:type="pct"/>
            <w:noWrap/>
            <w:vAlign w:val="center"/>
          </w:tcPr>
          <w:p w14:paraId="2600E55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484" w:type="pct"/>
            <w:noWrap/>
            <w:vAlign w:val="center"/>
          </w:tcPr>
          <w:p w14:paraId="0B6AFA5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6D76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noWrap/>
            <w:vAlign w:val="center"/>
          </w:tcPr>
          <w:p w14:paraId="6E55D26E">
            <w:pPr>
              <w:pStyle w:val="109"/>
              <w:rPr>
                <w:color w:val="000000" w:themeColor="text1"/>
                <w14:textFill>
                  <w14:solidFill>
                    <w14:schemeClr w14:val="tx1"/>
                  </w14:solidFill>
                </w14:textFill>
              </w:rPr>
            </w:pPr>
            <w:r>
              <w:rPr>
                <w:color w:val="000000" w:themeColor="text1"/>
                <w14:textFill>
                  <w14:solidFill>
                    <w14:schemeClr w14:val="tx1"/>
                  </w14:solidFill>
                </w14:textFill>
              </w:rPr>
              <w:t>注：“—”表示可不开展土壤环境影响评价工作</w:t>
            </w:r>
          </w:p>
        </w:tc>
      </w:tr>
    </w:tbl>
    <w:p w14:paraId="7C95195B">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评价范围及敏感目标分布</w:t>
      </w:r>
    </w:p>
    <w:p w14:paraId="7EFAA72C">
      <w:pPr>
        <w:ind w:firstLine="480"/>
        <w:rPr>
          <w:color w:val="000000" w:themeColor="text1"/>
          <w14:textFill>
            <w14:solidFill>
              <w14:schemeClr w14:val="tx1"/>
            </w14:solidFill>
          </w14:textFill>
        </w:rPr>
      </w:pPr>
      <w:r>
        <w:rPr>
          <w:color w:val="000000" w:themeColor="text1"/>
          <w14:textFill>
            <w14:solidFill>
              <w14:schemeClr w14:val="tx1"/>
            </w14:solidFill>
          </w14:textFill>
        </w:rPr>
        <w:t>污染影响型项目二级评价以本项目占地范围及外扩200m范围内为评价范围，本工程占地属于工业用地，所在地现状调查范围内无耕地、园地、牧草地、饮用水源地或居民区、学校、医院、疗养院、养老院等土壤环境敏感目标，土壤环境敏感程度为不敏感。</w:t>
      </w:r>
    </w:p>
    <w:p w14:paraId="70EC5192">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区域土壤资料调查</w:t>
      </w:r>
    </w:p>
    <w:p w14:paraId="7003CFDD">
      <w:pPr>
        <w:ind w:firstLine="480"/>
        <w:rPr>
          <w:color w:val="000000" w:themeColor="text1"/>
          <w14:textFill>
            <w14:solidFill>
              <w14:schemeClr w14:val="tx1"/>
            </w14:solidFill>
          </w14:textFill>
        </w:rPr>
      </w:pPr>
      <w:r>
        <w:rPr>
          <w:color w:val="000000" w:themeColor="text1"/>
          <w:lang w:bidi="zh-CN"/>
          <w14:textFill>
            <w14:solidFill>
              <w14:schemeClr w14:val="tx1"/>
            </w14:solidFill>
          </w14:textFill>
        </w:rPr>
        <w:t>项目区域</w:t>
      </w:r>
      <w:r>
        <w:rPr>
          <w:color w:val="000000" w:themeColor="text1"/>
          <w:lang w:val="zh-CN" w:bidi="zh-CN"/>
          <w14:textFill>
            <w14:solidFill>
              <w14:schemeClr w14:val="tx1"/>
            </w14:solidFill>
          </w14:textFill>
        </w:rPr>
        <w:t>范围内分布的土壤类型为灰漠土、漠境盐土、草甸土和盐土，项目用地位于</w:t>
      </w:r>
      <w:r>
        <w:rPr>
          <w:color w:val="000000" w:themeColor="text1"/>
          <w14:textFill>
            <w14:solidFill>
              <w14:schemeClr w14:val="tx1"/>
            </w14:solidFill>
          </w14:textFill>
        </w:rPr>
        <w:t>乌鲁木齐甘泉堡经济技术开发区（工业区）化工园区总体规划范围内，用地规划为工业用地。</w:t>
      </w:r>
    </w:p>
    <w:p w14:paraId="5D4A34A3">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土壤环境影响识别</w:t>
      </w:r>
    </w:p>
    <w:p w14:paraId="2D5B1964">
      <w:pPr>
        <w:ind w:firstLine="480"/>
        <w:rPr>
          <w:color w:val="000000" w:themeColor="text1"/>
          <w14:textFill>
            <w14:solidFill>
              <w14:schemeClr w14:val="tx1"/>
            </w14:solidFill>
          </w14:textFill>
        </w:rPr>
      </w:pPr>
      <w:r>
        <w:rPr>
          <w:color w:val="000000" w:themeColor="text1"/>
          <w14:textFill>
            <w14:solidFill>
              <w14:schemeClr w14:val="tx1"/>
            </w14:solidFill>
          </w14:textFill>
        </w:rPr>
        <w:t>项目生产过程中会产生工艺废气，主要成分重金属、二噁英等，排放的重金属、二噁英可因重力沉降作用迁移至土壤中，对土壤环境产生一定的影响。</w:t>
      </w:r>
    </w:p>
    <w:p w14:paraId="02D24C07">
      <w:pPr>
        <w:ind w:firstLine="480"/>
        <w:rPr>
          <w:color w:val="000000" w:themeColor="text1"/>
          <w14:textFill>
            <w14:solidFill>
              <w14:schemeClr w14:val="tx1"/>
            </w14:solidFill>
          </w14:textFill>
        </w:rPr>
      </w:pPr>
      <w:r>
        <w:rPr>
          <w:color w:val="000000" w:themeColor="text1"/>
          <w14:textFill>
            <w14:solidFill>
              <w14:schemeClr w14:val="tx1"/>
            </w14:solidFill>
          </w14:textFill>
        </w:rPr>
        <w:t>（1）土壤环境影响类型与影响途径识别</w:t>
      </w:r>
    </w:p>
    <w:p w14:paraId="58BB50DA">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建设项目土壤环境影响类型与影响途径表</w:t>
      </w:r>
    </w:p>
    <w:tbl>
      <w:tblPr>
        <w:tblStyle w:val="7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25"/>
        <w:gridCol w:w="1925"/>
        <w:gridCol w:w="1926"/>
        <w:gridCol w:w="1926"/>
        <w:gridCol w:w="1926"/>
      </w:tblGrid>
      <w:tr w14:paraId="1DE0B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0" w:type="pct"/>
            <w:vMerge w:val="restart"/>
            <w:tcBorders>
              <w:top w:val="single" w:color="000000" w:sz="4" w:space="0"/>
              <w:left w:val="single" w:color="000000" w:sz="4" w:space="0"/>
              <w:bottom w:val="single" w:color="000000" w:sz="4" w:space="0"/>
              <w:right w:val="single" w:color="000000" w:sz="4" w:space="0"/>
            </w:tcBorders>
            <w:vAlign w:val="center"/>
          </w:tcPr>
          <w:p w14:paraId="2519B0C3">
            <w:pPr>
              <w:pStyle w:val="109"/>
              <w:rPr>
                <w:color w:val="000000" w:themeColor="text1"/>
                <w14:textFill>
                  <w14:solidFill>
                    <w14:schemeClr w14:val="tx1"/>
                  </w14:solidFill>
                </w14:textFill>
              </w:rPr>
            </w:pPr>
            <w:r>
              <w:rPr>
                <w:color w:val="000000" w:themeColor="text1"/>
                <w14:textFill>
                  <w14:solidFill>
                    <w14:schemeClr w14:val="tx1"/>
                  </w14:solidFill>
                </w14:textFill>
              </w:rPr>
              <w:t>不同时段</w:t>
            </w:r>
          </w:p>
        </w:tc>
        <w:tc>
          <w:tcPr>
            <w:tcW w:w="4000" w:type="pct"/>
            <w:gridSpan w:val="4"/>
            <w:tcBorders>
              <w:top w:val="single" w:color="000000" w:sz="4" w:space="0"/>
              <w:left w:val="single" w:color="000000" w:sz="4" w:space="0"/>
              <w:bottom w:val="single" w:color="000000" w:sz="4" w:space="0"/>
              <w:right w:val="single" w:color="000000" w:sz="4" w:space="0"/>
            </w:tcBorders>
            <w:vAlign w:val="center"/>
          </w:tcPr>
          <w:p w14:paraId="659EF318">
            <w:pPr>
              <w:pStyle w:val="109"/>
              <w:rPr>
                <w:color w:val="000000" w:themeColor="text1"/>
                <w14:textFill>
                  <w14:solidFill>
                    <w14:schemeClr w14:val="tx1"/>
                  </w14:solidFill>
                </w14:textFill>
              </w:rPr>
            </w:pPr>
            <w:r>
              <w:rPr>
                <w:color w:val="000000" w:themeColor="text1"/>
                <w14:textFill>
                  <w14:solidFill>
                    <w14:schemeClr w14:val="tx1"/>
                  </w14:solidFill>
                </w14:textFill>
              </w:rPr>
              <w:t>污染影响类型</w:t>
            </w:r>
          </w:p>
        </w:tc>
      </w:tr>
      <w:tr w14:paraId="7A129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44143B">
            <w:pPr>
              <w:pStyle w:val="109"/>
              <w:rPr>
                <w:color w:val="000000" w:themeColor="text1"/>
                <w14:textFill>
                  <w14:solidFill>
                    <w14:schemeClr w14:val="tx1"/>
                  </w14:solidFill>
                </w14:textFill>
              </w:rPr>
            </w:pPr>
          </w:p>
        </w:tc>
        <w:tc>
          <w:tcPr>
            <w:tcW w:w="1000" w:type="pct"/>
            <w:tcBorders>
              <w:top w:val="single" w:color="000000" w:sz="4" w:space="0"/>
              <w:left w:val="single" w:color="000000" w:sz="4" w:space="0"/>
              <w:bottom w:val="single" w:color="000000" w:sz="4" w:space="0"/>
              <w:right w:val="single" w:color="000000" w:sz="4" w:space="0"/>
            </w:tcBorders>
            <w:vAlign w:val="center"/>
          </w:tcPr>
          <w:p w14:paraId="3BC90ED3">
            <w:pPr>
              <w:pStyle w:val="109"/>
              <w:rPr>
                <w:color w:val="000000" w:themeColor="text1"/>
                <w14:textFill>
                  <w14:solidFill>
                    <w14:schemeClr w14:val="tx1"/>
                  </w14:solidFill>
                </w14:textFill>
              </w:rPr>
            </w:pPr>
            <w:r>
              <w:rPr>
                <w:color w:val="000000" w:themeColor="text1"/>
                <w14:textFill>
                  <w14:solidFill>
                    <w14:schemeClr w14:val="tx1"/>
                  </w14:solidFill>
                </w14:textFill>
              </w:rPr>
              <w:t>大气沉降</w:t>
            </w:r>
          </w:p>
        </w:tc>
        <w:tc>
          <w:tcPr>
            <w:tcW w:w="1000" w:type="pct"/>
            <w:tcBorders>
              <w:top w:val="single" w:color="000000" w:sz="4" w:space="0"/>
              <w:left w:val="single" w:color="000000" w:sz="4" w:space="0"/>
              <w:bottom w:val="single" w:color="000000" w:sz="4" w:space="0"/>
              <w:right w:val="single" w:color="000000" w:sz="4" w:space="0"/>
            </w:tcBorders>
            <w:vAlign w:val="center"/>
          </w:tcPr>
          <w:p w14:paraId="2B4A8401">
            <w:pPr>
              <w:pStyle w:val="109"/>
              <w:rPr>
                <w:color w:val="000000" w:themeColor="text1"/>
                <w14:textFill>
                  <w14:solidFill>
                    <w14:schemeClr w14:val="tx1"/>
                  </w14:solidFill>
                </w14:textFill>
              </w:rPr>
            </w:pPr>
            <w:r>
              <w:rPr>
                <w:color w:val="000000" w:themeColor="text1"/>
                <w14:textFill>
                  <w14:solidFill>
                    <w14:schemeClr w14:val="tx1"/>
                  </w14:solidFill>
                </w14:textFill>
              </w:rPr>
              <w:t>地面漫流</w:t>
            </w:r>
          </w:p>
        </w:tc>
        <w:tc>
          <w:tcPr>
            <w:tcW w:w="1000" w:type="pct"/>
            <w:tcBorders>
              <w:top w:val="single" w:color="000000" w:sz="4" w:space="0"/>
              <w:left w:val="single" w:color="000000" w:sz="4" w:space="0"/>
              <w:bottom w:val="single" w:color="000000" w:sz="4" w:space="0"/>
              <w:right w:val="single" w:color="000000" w:sz="4" w:space="0"/>
            </w:tcBorders>
            <w:vAlign w:val="center"/>
          </w:tcPr>
          <w:p w14:paraId="64B6DB8D">
            <w:pPr>
              <w:pStyle w:val="109"/>
              <w:rPr>
                <w:color w:val="000000" w:themeColor="text1"/>
                <w14:textFill>
                  <w14:solidFill>
                    <w14:schemeClr w14:val="tx1"/>
                  </w14:solidFill>
                </w14:textFill>
              </w:rPr>
            </w:pPr>
            <w:r>
              <w:rPr>
                <w:color w:val="000000" w:themeColor="text1"/>
                <w14:textFill>
                  <w14:solidFill>
                    <w14:schemeClr w14:val="tx1"/>
                  </w14:solidFill>
                </w14:textFill>
              </w:rPr>
              <w:t>垂直入渗</w:t>
            </w:r>
          </w:p>
        </w:tc>
        <w:tc>
          <w:tcPr>
            <w:tcW w:w="1000" w:type="pct"/>
            <w:tcBorders>
              <w:top w:val="single" w:color="000000" w:sz="4" w:space="0"/>
              <w:left w:val="single" w:color="000000" w:sz="4" w:space="0"/>
              <w:bottom w:val="single" w:color="000000" w:sz="4" w:space="0"/>
              <w:right w:val="single" w:color="000000" w:sz="4" w:space="0"/>
            </w:tcBorders>
            <w:vAlign w:val="center"/>
          </w:tcPr>
          <w:p w14:paraId="56118B1C">
            <w:pPr>
              <w:pStyle w:val="109"/>
              <w:rPr>
                <w:color w:val="000000" w:themeColor="text1"/>
                <w14:textFill>
                  <w14:solidFill>
                    <w14:schemeClr w14:val="tx1"/>
                  </w14:solidFill>
                </w14:textFill>
              </w:rPr>
            </w:pPr>
            <w:r>
              <w:rPr>
                <w:color w:val="000000" w:themeColor="text1"/>
                <w14:textFill>
                  <w14:solidFill>
                    <w14:schemeClr w14:val="tx1"/>
                  </w14:solidFill>
                </w14:textFill>
              </w:rPr>
              <w:t>其他</w:t>
            </w:r>
          </w:p>
        </w:tc>
      </w:tr>
      <w:tr w14:paraId="69049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0" w:type="pct"/>
            <w:tcBorders>
              <w:top w:val="single" w:color="000000" w:sz="4" w:space="0"/>
              <w:left w:val="single" w:color="000000" w:sz="4" w:space="0"/>
              <w:bottom w:val="single" w:color="000000" w:sz="4" w:space="0"/>
              <w:right w:val="single" w:color="000000" w:sz="4" w:space="0"/>
            </w:tcBorders>
            <w:vAlign w:val="center"/>
          </w:tcPr>
          <w:p w14:paraId="36518DE8">
            <w:pPr>
              <w:pStyle w:val="109"/>
              <w:rPr>
                <w:color w:val="000000" w:themeColor="text1"/>
                <w:lang w:eastAsia="en-US"/>
                <w14:textFill>
                  <w14:solidFill>
                    <w14:schemeClr w14:val="tx1"/>
                  </w14:solidFill>
                </w14:textFill>
              </w:rPr>
            </w:pPr>
            <w:r>
              <w:rPr>
                <w:color w:val="000000" w:themeColor="text1"/>
                <w14:textFill>
                  <w14:solidFill>
                    <w14:schemeClr w14:val="tx1"/>
                  </w14:solidFill>
                </w14:textFill>
              </w:rPr>
              <w:t>建设期</w:t>
            </w:r>
          </w:p>
        </w:tc>
        <w:tc>
          <w:tcPr>
            <w:tcW w:w="1000" w:type="pct"/>
            <w:tcBorders>
              <w:top w:val="single" w:color="000000" w:sz="4" w:space="0"/>
              <w:left w:val="single" w:color="000000" w:sz="4" w:space="0"/>
              <w:bottom w:val="single" w:color="000000" w:sz="4" w:space="0"/>
              <w:right w:val="single" w:color="000000" w:sz="4" w:space="0"/>
            </w:tcBorders>
            <w:vAlign w:val="center"/>
          </w:tcPr>
          <w:p w14:paraId="71BDD0D3">
            <w:pPr>
              <w:pStyle w:val="109"/>
              <w:rPr>
                <w:color w:val="000000" w:themeColor="text1"/>
                <w:lang w:eastAsia="en-US"/>
                <w14:textFill>
                  <w14:solidFill>
                    <w14:schemeClr w14:val="tx1"/>
                  </w14:solidFill>
                </w14:textFill>
              </w:rPr>
            </w:pPr>
          </w:p>
        </w:tc>
        <w:tc>
          <w:tcPr>
            <w:tcW w:w="1000" w:type="pct"/>
            <w:tcBorders>
              <w:top w:val="single" w:color="000000" w:sz="4" w:space="0"/>
              <w:left w:val="single" w:color="000000" w:sz="4" w:space="0"/>
              <w:bottom w:val="single" w:color="000000" w:sz="4" w:space="0"/>
              <w:right w:val="single" w:color="000000" w:sz="4" w:space="0"/>
            </w:tcBorders>
            <w:vAlign w:val="center"/>
          </w:tcPr>
          <w:p w14:paraId="1A011CCD">
            <w:pPr>
              <w:pStyle w:val="109"/>
              <w:rPr>
                <w:color w:val="000000" w:themeColor="text1"/>
                <w:lang w:eastAsia="en-US"/>
                <w14:textFill>
                  <w14:solidFill>
                    <w14:schemeClr w14:val="tx1"/>
                  </w14:solidFill>
                </w14:textFill>
              </w:rPr>
            </w:pPr>
          </w:p>
        </w:tc>
        <w:tc>
          <w:tcPr>
            <w:tcW w:w="1000" w:type="pct"/>
            <w:tcBorders>
              <w:top w:val="single" w:color="000000" w:sz="4" w:space="0"/>
              <w:left w:val="single" w:color="000000" w:sz="4" w:space="0"/>
              <w:bottom w:val="single" w:color="000000" w:sz="4" w:space="0"/>
              <w:right w:val="single" w:color="000000" w:sz="4" w:space="0"/>
            </w:tcBorders>
            <w:vAlign w:val="center"/>
          </w:tcPr>
          <w:p w14:paraId="37BA988C">
            <w:pPr>
              <w:pStyle w:val="109"/>
              <w:rPr>
                <w:color w:val="000000" w:themeColor="text1"/>
                <w:lang w:eastAsia="en-US"/>
                <w14:textFill>
                  <w14:solidFill>
                    <w14:schemeClr w14:val="tx1"/>
                  </w14:solidFill>
                </w14:textFill>
              </w:rPr>
            </w:pPr>
          </w:p>
        </w:tc>
        <w:tc>
          <w:tcPr>
            <w:tcW w:w="1000" w:type="pct"/>
            <w:tcBorders>
              <w:top w:val="single" w:color="000000" w:sz="4" w:space="0"/>
              <w:left w:val="single" w:color="000000" w:sz="4" w:space="0"/>
              <w:bottom w:val="single" w:color="000000" w:sz="4" w:space="0"/>
              <w:right w:val="single" w:color="000000" w:sz="4" w:space="0"/>
            </w:tcBorders>
            <w:vAlign w:val="center"/>
          </w:tcPr>
          <w:p w14:paraId="0C7B15EB">
            <w:pPr>
              <w:pStyle w:val="109"/>
              <w:rPr>
                <w:color w:val="000000" w:themeColor="text1"/>
                <w:lang w:eastAsia="en-US"/>
                <w14:textFill>
                  <w14:solidFill>
                    <w14:schemeClr w14:val="tx1"/>
                  </w14:solidFill>
                </w14:textFill>
              </w:rPr>
            </w:pPr>
          </w:p>
        </w:tc>
      </w:tr>
      <w:tr w14:paraId="7147D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0" w:type="pct"/>
            <w:tcBorders>
              <w:top w:val="single" w:color="000000" w:sz="4" w:space="0"/>
              <w:left w:val="single" w:color="000000" w:sz="4" w:space="0"/>
              <w:bottom w:val="single" w:color="000000" w:sz="4" w:space="0"/>
              <w:right w:val="single" w:color="000000" w:sz="4" w:space="0"/>
            </w:tcBorders>
            <w:vAlign w:val="center"/>
          </w:tcPr>
          <w:p w14:paraId="6F338CF7">
            <w:pPr>
              <w:pStyle w:val="109"/>
              <w:rPr>
                <w:color w:val="000000" w:themeColor="text1"/>
                <w14:textFill>
                  <w14:solidFill>
                    <w14:schemeClr w14:val="tx1"/>
                  </w14:solidFill>
                </w14:textFill>
              </w:rPr>
            </w:pPr>
            <w:r>
              <w:rPr>
                <w:color w:val="000000" w:themeColor="text1"/>
                <w14:textFill>
                  <w14:solidFill>
                    <w14:schemeClr w14:val="tx1"/>
                  </w14:solidFill>
                </w14:textFill>
              </w:rPr>
              <w:t>运营期</w:t>
            </w:r>
          </w:p>
        </w:tc>
        <w:tc>
          <w:tcPr>
            <w:tcW w:w="1000" w:type="pct"/>
            <w:tcBorders>
              <w:top w:val="single" w:color="000000" w:sz="4" w:space="0"/>
              <w:left w:val="single" w:color="000000" w:sz="4" w:space="0"/>
              <w:bottom w:val="single" w:color="000000" w:sz="4" w:space="0"/>
              <w:right w:val="single" w:color="000000" w:sz="4" w:space="0"/>
            </w:tcBorders>
            <w:vAlign w:val="center"/>
          </w:tcPr>
          <w:p w14:paraId="27B3DC0A">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w:t>
            </w:r>
          </w:p>
        </w:tc>
        <w:tc>
          <w:tcPr>
            <w:tcW w:w="1000" w:type="pct"/>
            <w:tcBorders>
              <w:top w:val="single" w:color="000000" w:sz="4" w:space="0"/>
              <w:left w:val="single" w:color="000000" w:sz="4" w:space="0"/>
              <w:bottom w:val="single" w:color="000000" w:sz="4" w:space="0"/>
              <w:right w:val="single" w:color="000000" w:sz="4" w:space="0"/>
            </w:tcBorders>
            <w:vAlign w:val="center"/>
          </w:tcPr>
          <w:p w14:paraId="3A0D2C4C">
            <w:pPr>
              <w:pStyle w:val="109"/>
              <w:rPr>
                <w:color w:val="000000" w:themeColor="text1"/>
                <w:lang w:eastAsia="en-US"/>
                <w14:textFill>
                  <w14:solidFill>
                    <w14:schemeClr w14:val="tx1"/>
                  </w14:solidFill>
                </w14:textFill>
              </w:rPr>
            </w:pPr>
          </w:p>
        </w:tc>
        <w:tc>
          <w:tcPr>
            <w:tcW w:w="1000" w:type="pct"/>
            <w:tcBorders>
              <w:top w:val="single" w:color="000000" w:sz="4" w:space="0"/>
              <w:left w:val="single" w:color="000000" w:sz="4" w:space="0"/>
              <w:bottom w:val="single" w:color="000000" w:sz="4" w:space="0"/>
              <w:right w:val="single" w:color="000000" w:sz="4" w:space="0"/>
            </w:tcBorders>
            <w:vAlign w:val="center"/>
          </w:tcPr>
          <w:p w14:paraId="26693016">
            <w:pPr>
              <w:pStyle w:val="109"/>
              <w:rPr>
                <w:color w:val="000000" w:themeColor="text1"/>
                <w:lang w:eastAsia="en-US"/>
                <w14:textFill>
                  <w14:solidFill>
                    <w14:schemeClr w14:val="tx1"/>
                  </w14:solidFill>
                </w14:textFill>
              </w:rPr>
            </w:pPr>
          </w:p>
        </w:tc>
        <w:tc>
          <w:tcPr>
            <w:tcW w:w="1000" w:type="pct"/>
            <w:tcBorders>
              <w:top w:val="single" w:color="000000" w:sz="4" w:space="0"/>
              <w:left w:val="single" w:color="000000" w:sz="4" w:space="0"/>
              <w:bottom w:val="single" w:color="000000" w:sz="4" w:space="0"/>
              <w:right w:val="single" w:color="000000" w:sz="4" w:space="0"/>
            </w:tcBorders>
            <w:vAlign w:val="center"/>
          </w:tcPr>
          <w:p w14:paraId="2C66729E">
            <w:pPr>
              <w:pStyle w:val="109"/>
              <w:rPr>
                <w:color w:val="000000" w:themeColor="text1"/>
                <w:lang w:eastAsia="en-US"/>
                <w14:textFill>
                  <w14:solidFill>
                    <w14:schemeClr w14:val="tx1"/>
                  </w14:solidFill>
                </w14:textFill>
              </w:rPr>
            </w:pPr>
          </w:p>
        </w:tc>
      </w:tr>
      <w:tr w14:paraId="693CE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0" w:type="pct"/>
            <w:tcBorders>
              <w:top w:val="single" w:color="000000" w:sz="4" w:space="0"/>
              <w:left w:val="single" w:color="000000" w:sz="4" w:space="0"/>
              <w:bottom w:val="single" w:color="000000" w:sz="4" w:space="0"/>
              <w:right w:val="single" w:color="000000" w:sz="4" w:space="0"/>
            </w:tcBorders>
            <w:vAlign w:val="center"/>
          </w:tcPr>
          <w:p w14:paraId="6CA3097F">
            <w:pPr>
              <w:pStyle w:val="109"/>
              <w:rPr>
                <w:color w:val="000000" w:themeColor="text1"/>
                <w14:textFill>
                  <w14:solidFill>
                    <w14:schemeClr w14:val="tx1"/>
                  </w14:solidFill>
                </w14:textFill>
              </w:rPr>
            </w:pPr>
            <w:r>
              <w:rPr>
                <w:color w:val="000000" w:themeColor="text1"/>
                <w14:textFill>
                  <w14:solidFill>
                    <w14:schemeClr w14:val="tx1"/>
                  </w14:solidFill>
                </w14:textFill>
              </w:rPr>
              <w:t>服务期满后</w:t>
            </w:r>
          </w:p>
        </w:tc>
        <w:tc>
          <w:tcPr>
            <w:tcW w:w="1000" w:type="pct"/>
            <w:tcBorders>
              <w:top w:val="single" w:color="000000" w:sz="4" w:space="0"/>
              <w:left w:val="single" w:color="000000" w:sz="4" w:space="0"/>
              <w:bottom w:val="single" w:color="000000" w:sz="4" w:space="0"/>
              <w:right w:val="single" w:color="000000" w:sz="4" w:space="0"/>
            </w:tcBorders>
            <w:vAlign w:val="center"/>
          </w:tcPr>
          <w:p w14:paraId="45B05189">
            <w:pPr>
              <w:pStyle w:val="109"/>
              <w:rPr>
                <w:color w:val="000000" w:themeColor="text1"/>
                <w:lang w:eastAsia="en-US"/>
                <w14:textFill>
                  <w14:solidFill>
                    <w14:schemeClr w14:val="tx1"/>
                  </w14:solidFill>
                </w14:textFill>
              </w:rPr>
            </w:pPr>
          </w:p>
        </w:tc>
        <w:tc>
          <w:tcPr>
            <w:tcW w:w="1000" w:type="pct"/>
            <w:tcBorders>
              <w:top w:val="single" w:color="000000" w:sz="4" w:space="0"/>
              <w:left w:val="single" w:color="000000" w:sz="4" w:space="0"/>
              <w:bottom w:val="single" w:color="000000" w:sz="4" w:space="0"/>
              <w:right w:val="single" w:color="000000" w:sz="4" w:space="0"/>
            </w:tcBorders>
            <w:vAlign w:val="center"/>
          </w:tcPr>
          <w:p w14:paraId="1834CD1D">
            <w:pPr>
              <w:pStyle w:val="109"/>
              <w:rPr>
                <w:color w:val="000000" w:themeColor="text1"/>
                <w:lang w:eastAsia="en-US"/>
                <w14:textFill>
                  <w14:solidFill>
                    <w14:schemeClr w14:val="tx1"/>
                  </w14:solidFill>
                </w14:textFill>
              </w:rPr>
            </w:pPr>
          </w:p>
        </w:tc>
        <w:tc>
          <w:tcPr>
            <w:tcW w:w="1000" w:type="pct"/>
            <w:tcBorders>
              <w:top w:val="single" w:color="000000" w:sz="4" w:space="0"/>
              <w:left w:val="single" w:color="000000" w:sz="4" w:space="0"/>
              <w:bottom w:val="single" w:color="000000" w:sz="4" w:space="0"/>
              <w:right w:val="single" w:color="000000" w:sz="4" w:space="0"/>
            </w:tcBorders>
            <w:vAlign w:val="center"/>
          </w:tcPr>
          <w:p w14:paraId="3CAD8AEE">
            <w:pPr>
              <w:pStyle w:val="109"/>
              <w:rPr>
                <w:color w:val="000000" w:themeColor="text1"/>
                <w:lang w:eastAsia="en-US"/>
                <w14:textFill>
                  <w14:solidFill>
                    <w14:schemeClr w14:val="tx1"/>
                  </w14:solidFill>
                </w14:textFill>
              </w:rPr>
            </w:pPr>
          </w:p>
        </w:tc>
        <w:tc>
          <w:tcPr>
            <w:tcW w:w="1000" w:type="pct"/>
            <w:tcBorders>
              <w:top w:val="single" w:color="000000" w:sz="4" w:space="0"/>
              <w:left w:val="single" w:color="000000" w:sz="4" w:space="0"/>
              <w:bottom w:val="single" w:color="000000" w:sz="4" w:space="0"/>
              <w:right w:val="single" w:color="000000" w:sz="4" w:space="0"/>
            </w:tcBorders>
            <w:vAlign w:val="center"/>
          </w:tcPr>
          <w:p w14:paraId="68B7AB8B">
            <w:pPr>
              <w:pStyle w:val="109"/>
              <w:rPr>
                <w:color w:val="000000" w:themeColor="text1"/>
                <w:lang w:eastAsia="en-US"/>
                <w14:textFill>
                  <w14:solidFill>
                    <w14:schemeClr w14:val="tx1"/>
                  </w14:solidFill>
                </w14:textFill>
              </w:rPr>
            </w:pPr>
          </w:p>
        </w:tc>
      </w:tr>
    </w:tbl>
    <w:p w14:paraId="5F80ECAD">
      <w:pPr>
        <w:ind w:firstLine="480"/>
        <w:rPr>
          <w:color w:val="000000" w:themeColor="text1"/>
          <w14:textFill>
            <w14:solidFill>
              <w14:schemeClr w14:val="tx1"/>
            </w14:solidFill>
          </w14:textFill>
        </w:rPr>
      </w:pPr>
      <w:r>
        <w:rPr>
          <w:color w:val="000000" w:themeColor="text1"/>
          <w14:textFill>
            <w14:solidFill>
              <w14:schemeClr w14:val="tx1"/>
            </w14:solidFill>
          </w14:textFill>
        </w:rPr>
        <w:t>（2）建设项目土壤环境影响源及影响因子识别</w:t>
      </w:r>
    </w:p>
    <w:p w14:paraId="023167AE">
      <w:pPr>
        <w:pStyle w:val="1232"/>
        <w:spacing w:line="360" w:lineRule="auto"/>
        <w:ind w:firstLine="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项目土壤环境影响源及影响因子识别结果见</w:t>
      </w:r>
      <w:r>
        <w:rPr>
          <w:rFonts w:hint="eastAsia" w:ascii="Times New Roman" w:hAnsi="Times New Roman" w:cs="Times New Roman"/>
          <w:color w:val="000000" w:themeColor="text1"/>
          <w:sz w:val="24"/>
          <w:szCs w:val="24"/>
          <w14:textFill>
            <w14:solidFill>
              <w14:schemeClr w14:val="tx1"/>
            </w14:solidFill>
          </w14:textFill>
        </w:rPr>
        <w:t>下表</w:t>
      </w:r>
      <w:r>
        <w:rPr>
          <w:rFonts w:ascii="Times New Roman" w:hAnsi="Times New Roman" w:cs="Times New Roman"/>
          <w:color w:val="000000" w:themeColor="text1"/>
          <w:sz w:val="24"/>
          <w:szCs w:val="24"/>
          <w14:textFill>
            <w14:solidFill>
              <w14:schemeClr w14:val="tx1"/>
            </w14:solidFill>
          </w14:textFill>
        </w:rPr>
        <w:t>。</w:t>
      </w:r>
    </w:p>
    <w:p w14:paraId="3C633C1A">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eastAsia="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污染影响型土壤环境影响源及影响因子识别表</w:t>
      </w:r>
    </w:p>
    <w:tbl>
      <w:tblPr>
        <w:tblStyle w:val="76"/>
        <w:tblW w:w="9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2"/>
        <w:gridCol w:w="995"/>
        <w:gridCol w:w="706"/>
        <w:gridCol w:w="3602"/>
        <w:gridCol w:w="1787"/>
        <w:gridCol w:w="980"/>
      </w:tblGrid>
      <w:tr w14:paraId="068D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22" w:type="dxa"/>
            <w:vAlign w:val="center"/>
          </w:tcPr>
          <w:p w14:paraId="46058CA3">
            <w:pPr>
              <w:pStyle w:val="109"/>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994" w:type="dxa"/>
          </w:tcPr>
          <w:p w14:paraId="5DF115DD">
            <w:pPr>
              <w:pStyle w:val="109"/>
              <w:rPr>
                <w:color w:val="000000" w:themeColor="text1"/>
                <w14:textFill>
                  <w14:solidFill>
                    <w14:schemeClr w14:val="tx1"/>
                  </w14:solidFill>
                </w14:textFill>
              </w:rPr>
            </w:pPr>
            <w:r>
              <w:rPr>
                <w:color w:val="000000" w:themeColor="text1"/>
                <w14:textFill>
                  <w14:solidFill>
                    <w14:schemeClr w14:val="tx1"/>
                  </w14:solidFill>
                </w14:textFill>
              </w:rPr>
              <w:t>工艺流程</w:t>
            </w:r>
            <w:r>
              <w:rPr>
                <w:rFonts w:eastAsia="Times New Roman"/>
                <w:color w:val="000000" w:themeColor="text1"/>
                <w14:textFill>
                  <w14:solidFill>
                    <w14:schemeClr w14:val="tx1"/>
                  </w14:solidFill>
                </w14:textFill>
              </w:rPr>
              <w:t xml:space="preserve">/ </w:t>
            </w:r>
            <w:r>
              <w:rPr>
                <w:color w:val="000000" w:themeColor="text1"/>
                <w14:textFill>
                  <w14:solidFill>
                    <w14:schemeClr w14:val="tx1"/>
                  </w14:solidFill>
                </w14:textFill>
              </w:rPr>
              <w:t>节点</w:t>
            </w:r>
          </w:p>
        </w:tc>
        <w:tc>
          <w:tcPr>
            <w:tcW w:w="706" w:type="dxa"/>
          </w:tcPr>
          <w:p w14:paraId="04E0B886">
            <w:pPr>
              <w:pStyle w:val="109"/>
              <w:rPr>
                <w:color w:val="000000" w:themeColor="text1"/>
                <w14:textFill>
                  <w14:solidFill>
                    <w14:schemeClr w14:val="tx1"/>
                  </w14:solidFill>
                </w14:textFill>
              </w:rPr>
            </w:pPr>
            <w:r>
              <w:rPr>
                <w:color w:val="000000" w:themeColor="text1"/>
                <w14:textFill>
                  <w14:solidFill>
                    <w14:schemeClr w14:val="tx1"/>
                  </w14:solidFill>
                </w14:textFill>
              </w:rPr>
              <w:t>污染途 径</w:t>
            </w:r>
          </w:p>
        </w:tc>
        <w:tc>
          <w:tcPr>
            <w:tcW w:w="3600" w:type="dxa"/>
            <w:vAlign w:val="center"/>
          </w:tcPr>
          <w:p w14:paraId="3C139C1C">
            <w:pPr>
              <w:pStyle w:val="109"/>
              <w:rPr>
                <w:color w:val="000000" w:themeColor="text1"/>
                <w14:textFill>
                  <w14:solidFill>
                    <w14:schemeClr w14:val="tx1"/>
                  </w14:solidFill>
                </w14:textFill>
              </w:rPr>
            </w:pPr>
            <w:r>
              <w:rPr>
                <w:color w:val="000000" w:themeColor="text1"/>
                <w14:textFill>
                  <w14:solidFill>
                    <w14:schemeClr w14:val="tx1"/>
                  </w14:solidFill>
                </w14:textFill>
              </w:rPr>
              <w:t>全部污染指标</w:t>
            </w:r>
          </w:p>
        </w:tc>
        <w:tc>
          <w:tcPr>
            <w:tcW w:w="1786" w:type="dxa"/>
            <w:vAlign w:val="center"/>
          </w:tcPr>
          <w:p w14:paraId="5758B730">
            <w:pPr>
              <w:pStyle w:val="109"/>
              <w:rPr>
                <w:color w:val="000000" w:themeColor="text1"/>
                <w14:textFill>
                  <w14:solidFill>
                    <w14:schemeClr w14:val="tx1"/>
                  </w14:solidFill>
                </w14:textFill>
              </w:rPr>
            </w:pPr>
            <w:r>
              <w:rPr>
                <w:color w:val="000000" w:themeColor="text1"/>
                <w14:textFill>
                  <w14:solidFill>
                    <w14:schemeClr w14:val="tx1"/>
                  </w14:solidFill>
                </w14:textFill>
              </w:rPr>
              <w:t>特征因子</w:t>
            </w:r>
          </w:p>
        </w:tc>
        <w:tc>
          <w:tcPr>
            <w:tcW w:w="979" w:type="dxa"/>
            <w:vAlign w:val="center"/>
          </w:tcPr>
          <w:p w14:paraId="01787E30">
            <w:pPr>
              <w:pStyle w:val="109"/>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0E89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22" w:type="dxa"/>
            <w:vAlign w:val="center"/>
          </w:tcPr>
          <w:p w14:paraId="22C28896">
            <w:pPr>
              <w:pStyle w:val="109"/>
              <w:rPr>
                <w:color w:val="000000" w:themeColor="text1"/>
                <w14:textFill>
                  <w14:solidFill>
                    <w14:schemeClr w14:val="tx1"/>
                  </w14:solidFill>
                </w14:textFill>
              </w:rPr>
            </w:pPr>
            <w:r>
              <w:rPr>
                <w:color w:val="000000" w:themeColor="text1"/>
                <w14:textFill>
                  <w14:solidFill>
                    <w14:schemeClr w14:val="tx1"/>
                  </w14:solidFill>
                </w14:textFill>
              </w:rPr>
              <w:t>废气排放</w:t>
            </w:r>
          </w:p>
        </w:tc>
        <w:tc>
          <w:tcPr>
            <w:tcW w:w="994" w:type="dxa"/>
            <w:vAlign w:val="center"/>
          </w:tcPr>
          <w:p w14:paraId="1BFEB1F8">
            <w:pPr>
              <w:pStyle w:val="109"/>
              <w:rPr>
                <w:color w:val="000000" w:themeColor="text1"/>
                <w14:textFill>
                  <w14:solidFill>
                    <w14:schemeClr w14:val="tx1"/>
                  </w14:solidFill>
                </w14:textFill>
              </w:rPr>
            </w:pPr>
            <w:r>
              <w:rPr>
                <w:color w:val="000000" w:themeColor="text1"/>
                <w14:textFill>
                  <w14:solidFill>
                    <w14:schemeClr w14:val="tx1"/>
                  </w14:solidFill>
                </w14:textFill>
              </w:rPr>
              <w:t>生产过程</w:t>
            </w:r>
          </w:p>
        </w:tc>
        <w:tc>
          <w:tcPr>
            <w:tcW w:w="706" w:type="dxa"/>
            <w:vAlign w:val="center"/>
          </w:tcPr>
          <w:p w14:paraId="14FE4672">
            <w:pPr>
              <w:pStyle w:val="109"/>
              <w:rPr>
                <w:color w:val="000000" w:themeColor="text1"/>
                <w14:textFill>
                  <w14:solidFill>
                    <w14:schemeClr w14:val="tx1"/>
                  </w14:solidFill>
                </w14:textFill>
              </w:rPr>
            </w:pPr>
            <w:r>
              <w:rPr>
                <w:color w:val="000000" w:themeColor="text1"/>
                <w14:textFill>
                  <w14:solidFill>
                    <w14:schemeClr w14:val="tx1"/>
                  </w14:solidFill>
                </w14:textFill>
              </w:rPr>
              <w:t>大气沉 降</w:t>
            </w:r>
          </w:p>
        </w:tc>
        <w:tc>
          <w:tcPr>
            <w:tcW w:w="3600" w:type="dxa"/>
            <w:vAlign w:val="bottom"/>
          </w:tcPr>
          <w:p w14:paraId="09A0ABF6">
            <w:pPr>
              <w:pStyle w:val="109"/>
              <w:rPr>
                <w:color w:val="000000" w:themeColor="text1"/>
                <w14:textFill>
                  <w14:solidFill>
                    <w14:schemeClr w14:val="tx1"/>
                  </w14:solidFill>
                </w14:textFill>
              </w:rPr>
            </w:pPr>
            <w:r>
              <w:rPr>
                <w:color w:val="000000" w:themeColor="text1"/>
                <w14:textFill>
                  <w14:solidFill>
                    <w14:schemeClr w14:val="tx1"/>
                  </w14:solidFill>
                </w14:textFill>
              </w:rPr>
              <w:t>颗粒物、二氧化硫、氮氧化物、</w:t>
            </w:r>
            <w:r>
              <w:rPr>
                <w:rFonts w:eastAsia="Times New Roman"/>
                <w:color w:val="000000" w:themeColor="text1"/>
                <w:lang w:bidi="en-US"/>
                <w14:textFill>
                  <w14:solidFill>
                    <w14:schemeClr w14:val="tx1"/>
                  </w14:solidFill>
                </w14:textFill>
              </w:rPr>
              <w:t>CO</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HCl</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HF</w:t>
            </w:r>
            <w:r>
              <w:rPr>
                <w:color w:val="000000" w:themeColor="text1"/>
                <w:lang w:bidi="en-US"/>
                <w14:textFill>
                  <w14:solidFill>
                    <w14:schemeClr w14:val="tx1"/>
                  </w14:solidFill>
                </w14:textFill>
              </w:rPr>
              <w:t>、</w:t>
            </w:r>
            <w:r>
              <w:rPr>
                <w:color w:val="000000" w:themeColor="text1"/>
                <w14:textFill>
                  <w14:solidFill>
                    <w14:schemeClr w14:val="tx1"/>
                  </w14:solidFill>
                </w14:textFill>
              </w:rPr>
              <w:t>砷、镉、铬、铅、汞、</w:t>
            </w:r>
            <w:r>
              <w:rPr>
                <w:rFonts w:eastAsia="Times New Roman"/>
                <w:color w:val="000000" w:themeColor="text1"/>
                <w:lang w:eastAsia="en-US" w:bidi="en-US"/>
                <w14:textFill>
                  <w14:solidFill>
                    <w14:schemeClr w14:val="tx1"/>
                  </w14:solidFill>
                </w14:textFill>
              </w:rPr>
              <w:t>Sn+Sb+Cu+Mn+Co+Ni</w:t>
            </w:r>
            <w:r>
              <w:rPr>
                <w:color w:val="000000" w:themeColor="text1"/>
                <w:lang w:eastAsia="en-US" w:bidi="en-US"/>
                <w14:textFill>
                  <w14:solidFill>
                    <w14:schemeClr w14:val="tx1"/>
                  </w14:solidFill>
                </w14:textFill>
              </w:rPr>
              <w:t>、</w:t>
            </w:r>
            <w:r>
              <w:rPr>
                <w:color w:val="000000" w:themeColor="text1"/>
                <w14:textFill>
                  <w14:solidFill>
                    <w14:schemeClr w14:val="tx1"/>
                  </w14:solidFill>
                </w14:textFill>
              </w:rPr>
              <w:t>二噁英</w:t>
            </w:r>
          </w:p>
        </w:tc>
        <w:tc>
          <w:tcPr>
            <w:tcW w:w="1786" w:type="dxa"/>
            <w:vAlign w:val="center"/>
          </w:tcPr>
          <w:p w14:paraId="73F1A307">
            <w:pPr>
              <w:pStyle w:val="109"/>
              <w:rPr>
                <w:color w:val="000000" w:themeColor="text1"/>
                <w14:textFill>
                  <w14:solidFill>
                    <w14:schemeClr w14:val="tx1"/>
                  </w14:solidFill>
                </w14:textFill>
              </w:rPr>
            </w:pPr>
            <w:r>
              <w:rPr>
                <w:color w:val="000000" w:themeColor="text1"/>
                <w14:textFill>
                  <w14:solidFill>
                    <w14:schemeClr w14:val="tx1"/>
                  </w14:solidFill>
                </w14:textFill>
              </w:rPr>
              <w:t>砷、镉、铬、铅、 汞、二噁英</w:t>
            </w:r>
          </w:p>
        </w:tc>
        <w:tc>
          <w:tcPr>
            <w:tcW w:w="979" w:type="dxa"/>
            <w:vAlign w:val="center"/>
          </w:tcPr>
          <w:p w14:paraId="18083942">
            <w:pPr>
              <w:pStyle w:val="109"/>
              <w:rPr>
                <w:color w:val="000000" w:themeColor="text1"/>
                <w14:textFill>
                  <w14:solidFill>
                    <w14:schemeClr w14:val="tx1"/>
                  </w14:solidFill>
                </w14:textFill>
              </w:rPr>
            </w:pPr>
            <w:r>
              <w:rPr>
                <w:color w:val="000000" w:themeColor="text1"/>
                <w14:textFill>
                  <w14:solidFill>
                    <w14:schemeClr w14:val="tx1"/>
                  </w14:solidFill>
                </w14:textFill>
              </w:rPr>
              <w:t>正常工况</w:t>
            </w:r>
          </w:p>
        </w:tc>
      </w:tr>
    </w:tbl>
    <w:p w14:paraId="7A46F263">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土壤环境影响预测预评价</w:t>
      </w:r>
    </w:p>
    <w:p w14:paraId="06914087">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预测因子</w:t>
      </w:r>
    </w:p>
    <w:p w14:paraId="0D65271B">
      <w:pPr>
        <w:ind w:firstLine="480"/>
        <w:rPr>
          <w:color w:val="000000" w:themeColor="text1"/>
          <w14:textFill>
            <w14:solidFill>
              <w14:schemeClr w14:val="tx1"/>
            </w14:solidFill>
          </w14:textFill>
        </w:rPr>
      </w:pPr>
      <w:r>
        <w:rPr>
          <w:color w:val="000000" w:themeColor="text1"/>
          <w14:textFill>
            <w14:solidFill>
              <w14:schemeClr w14:val="tx1"/>
            </w14:solidFill>
          </w14:textFill>
        </w:rPr>
        <w:t>根据现状监测结果，本项目选取二噁英以及重金属作为预测和分析的因子。</w:t>
      </w:r>
    </w:p>
    <w:p w14:paraId="7C99E2CA">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预测方法</w:t>
      </w:r>
    </w:p>
    <w:p w14:paraId="369E5120">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按照《环境影响评价技术导则 土壤环境（HJ964-2018）》附录E给出的涉及大气沉降影响的预测方法进行预测。</w:t>
      </w:r>
    </w:p>
    <w:p w14:paraId="729B0845">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单位质量土壤中某种物质的增量可用下式计算：</w:t>
      </w:r>
    </w:p>
    <w:p w14:paraId="4099427E">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60288" behindDoc="0" locked="0" layoutInCell="1" allowOverlap="1">
            <wp:simplePos x="0" y="0"/>
            <wp:positionH relativeFrom="column">
              <wp:posOffset>628015</wp:posOffset>
            </wp:positionH>
            <wp:positionV relativeFrom="paragraph">
              <wp:posOffset>7620</wp:posOffset>
            </wp:positionV>
            <wp:extent cx="2268855" cy="234950"/>
            <wp:effectExtent l="0" t="0" r="0" b="0"/>
            <wp:wrapNone/>
            <wp:docPr id="1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图片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17095" cy="240215"/>
                    </a:xfrm>
                    <a:prstGeom prst="rect">
                      <a:avLst/>
                    </a:prstGeom>
                    <a:noFill/>
                  </pic:spPr>
                </pic:pic>
              </a:graphicData>
            </a:graphic>
          </wp:anchor>
        </w:drawing>
      </w:r>
      <w:r>
        <w:rPr>
          <w:color w:val="000000" w:themeColor="text1"/>
          <w14:textFill>
            <w14:solidFill>
              <w14:schemeClr w14:val="tx1"/>
            </w14:solidFill>
          </w14:textFill>
        </w:rPr>
        <w:t>（1）</w:t>
      </w:r>
    </w:p>
    <w:p w14:paraId="4531B417">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式中：ΔS——单位质量表层土壤中某种物质的增量，g/kg；</w:t>
      </w:r>
    </w:p>
    <w:p w14:paraId="1ED6AC73">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I</w:t>
      </w:r>
      <w:r>
        <w:rPr>
          <w:color w:val="000000" w:themeColor="text1"/>
          <w:szCs w:val="22"/>
          <w:vertAlign w:val="subscript"/>
          <w14:textFill>
            <w14:solidFill>
              <w14:schemeClr w14:val="tx1"/>
            </w14:solidFill>
          </w14:textFill>
        </w:rPr>
        <w:t>S</w:t>
      </w:r>
      <w:r>
        <w:rPr>
          <w:color w:val="000000" w:themeColor="text1"/>
          <w:szCs w:val="22"/>
          <w14:textFill>
            <w14:solidFill>
              <w14:schemeClr w14:val="tx1"/>
            </w14:solidFill>
          </w14:textFill>
        </w:rPr>
        <w:t>——预测评价范围内单位年份表层土壤中某种物质的输入量，g；</w:t>
      </w:r>
    </w:p>
    <w:p w14:paraId="2CA2864E">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L</w:t>
      </w:r>
      <w:r>
        <w:rPr>
          <w:color w:val="000000" w:themeColor="text1"/>
          <w:szCs w:val="22"/>
          <w:vertAlign w:val="subscript"/>
          <w14:textFill>
            <w14:solidFill>
              <w14:schemeClr w14:val="tx1"/>
            </w14:solidFill>
          </w14:textFill>
        </w:rPr>
        <w:t>S</w:t>
      </w:r>
      <w:r>
        <w:rPr>
          <w:color w:val="000000" w:themeColor="text1"/>
          <w:szCs w:val="22"/>
          <w14:textFill>
            <w14:solidFill>
              <w14:schemeClr w14:val="tx1"/>
            </w14:solidFill>
          </w14:textFill>
        </w:rPr>
        <w:t>——预测评价范围内单位年份表层土壤中某种物质经淋溶排出的量，g。项目所在区降水量极少，预测评价范围内单位年份表层土壤中重金属经淋溶排出的量为0；</w:t>
      </w:r>
    </w:p>
    <w:p w14:paraId="72071F99">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R</w:t>
      </w:r>
      <w:r>
        <w:rPr>
          <w:color w:val="000000" w:themeColor="text1"/>
          <w:szCs w:val="22"/>
          <w:vertAlign w:val="subscript"/>
          <w14:textFill>
            <w14:solidFill>
              <w14:schemeClr w14:val="tx1"/>
            </w14:solidFill>
          </w14:textFill>
        </w:rPr>
        <w:t>S</w:t>
      </w:r>
      <w:r>
        <w:rPr>
          <w:color w:val="000000" w:themeColor="text1"/>
          <w:szCs w:val="22"/>
          <w14:textFill>
            <w14:solidFill>
              <w14:schemeClr w14:val="tx1"/>
            </w14:solidFill>
          </w14:textFill>
        </w:rPr>
        <w:t>——预测评价范围内单位年份表层土壤中某种物质经径流排出的量，g。项目所在区降水量极少，预测评价范围内单位年份表层土壤中重金属经径流排出的量为0；</w:t>
      </w:r>
    </w:p>
    <w:p w14:paraId="16541271">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ρ</w:t>
      </w:r>
      <w:r>
        <w:rPr>
          <w:color w:val="000000" w:themeColor="text1"/>
          <w:szCs w:val="22"/>
          <w:vertAlign w:val="subscript"/>
          <w14:textFill>
            <w14:solidFill>
              <w14:schemeClr w14:val="tx1"/>
            </w14:solidFill>
          </w14:textFill>
        </w:rPr>
        <w:t>b</w:t>
      </w:r>
      <w:r>
        <w:rPr>
          <w:color w:val="000000" w:themeColor="text1"/>
          <w:szCs w:val="22"/>
          <w14:textFill>
            <w14:solidFill>
              <w14:schemeClr w14:val="tx1"/>
            </w14:solidFill>
          </w14:textFill>
        </w:rPr>
        <w:t>——表层土壤容重，kg/m³；</w:t>
      </w:r>
    </w:p>
    <w:p w14:paraId="32543538">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A——预测评价范围，m</w:t>
      </w:r>
      <w:r>
        <w:rPr>
          <w:color w:val="000000" w:themeColor="text1"/>
          <w:szCs w:val="22"/>
          <w:vertAlign w:val="superscript"/>
          <w14:textFill>
            <w14:solidFill>
              <w14:schemeClr w14:val="tx1"/>
            </w14:solidFill>
          </w14:textFill>
        </w:rPr>
        <w:t>2</w:t>
      </w:r>
      <w:r>
        <w:rPr>
          <w:color w:val="000000" w:themeColor="text1"/>
          <w:szCs w:val="22"/>
          <w14:textFill>
            <w14:solidFill>
              <w14:schemeClr w14:val="tx1"/>
            </w14:solidFill>
          </w14:textFill>
        </w:rPr>
        <w:t>；</w:t>
      </w:r>
    </w:p>
    <w:p w14:paraId="638A79B6">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D——表层土壤深度，m；</w:t>
      </w:r>
    </w:p>
    <w:p w14:paraId="526C2930">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n——持续年份，a。</w:t>
      </w:r>
    </w:p>
    <w:p w14:paraId="1A74E9C3">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（2）单位质量土壤中某种物质的预测值可根据其增量叠加现状值进行计算：</w:t>
      </w:r>
    </w:p>
    <w:p w14:paraId="123890B8">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S = S</w:t>
      </w:r>
      <w:r>
        <w:rPr>
          <w:color w:val="000000" w:themeColor="text1"/>
          <w:szCs w:val="22"/>
          <w:vertAlign w:val="subscript"/>
          <w14:textFill>
            <w14:solidFill>
              <w14:schemeClr w14:val="tx1"/>
            </w14:solidFill>
          </w14:textFill>
        </w:rPr>
        <w:t>b</w:t>
      </w:r>
      <w:r>
        <w:rPr>
          <w:color w:val="000000" w:themeColor="text1"/>
          <w:szCs w:val="22"/>
          <w14:textFill>
            <w14:solidFill>
              <w14:schemeClr w14:val="tx1"/>
            </w14:solidFill>
          </w14:textFill>
        </w:rPr>
        <w:t>+</w:t>
      </w:r>
      <w:r>
        <w:rPr>
          <w:rFonts w:eastAsia="MS Mincho"/>
          <w:color w:val="000000" w:themeColor="text1"/>
          <w:szCs w:val="22"/>
          <w14:textFill>
            <w14:solidFill>
              <w14:schemeClr w14:val="tx1"/>
            </w14:solidFill>
          </w14:textFill>
        </w:rPr>
        <w:t>∆</w:t>
      </w:r>
      <w:r>
        <w:rPr>
          <w:color w:val="000000" w:themeColor="text1"/>
          <w:szCs w:val="22"/>
          <w14:textFill>
            <w14:solidFill>
              <w14:schemeClr w14:val="tx1"/>
            </w14:solidFill>
          </w14:textFill>
        </w:rPr>
        <w:t>S</w:t>
      </w:r>
    </w:p>
    <w:p w14:paraId="1F14A322">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式中：S</w:t>
      </w:r>
      <w:r>
        <w:rPr>
          <w:color w:val="000000" w:themeColor="text1"/>
          <w:szCs w:val="22"/>
          <w:vertAlign w:val="subscript"/>
          <w14:textFill>
            <w14:solidFill>
              <w14:schemeClr w14:val="tx1"/>
            </w14:solidFill>
          </w14:textFill>
        </w:rPr>
        <w:t>b</w:t>
      </w:r>
      <w:r>
        <w:rPr>
          <w:color w:val="000000" w:themeColor="text1"/>
          <w:szCs w:val="22"/>
          <w14:textFill>
            <w14:solidFill>
              <w14:schemeClr w14:val="tx1"/>
            </w14:solidFill>
          </w14:textFill>
        </w:rPr>
        <w:t>—单位质量土壤中某种物质的现状值，g/kg；</w:t>
      </w:r>
    </w:p>
    <w:p w14:paraId="75C32358">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S—单位质量土壤中某种物质的预测值，g/kg。</w:t>
      </w:r>
    </w:p>
    <w:p w14:paraId="5A2FD88F">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预测结果</w:t>
      </w:r>
    </w:p>
    <w:p w14:paraId="7893CDDF">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Is的计算：Is=C×V×T×A</w:t>
      </w:r>
    </w:p>
    <w:p w14:paraId="594DE1BD">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式中：C—污染物的最大小时落地浓度；根据大气评价中得到具体污染物的最大落地浓度，mg/m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，由于区域土壤背景值可较长时间维持一定值，变化缓慢，故本次评价区域土壤背景值采用项目土壤现状监测值的最大值。</w:t>
      </w:r>
    </w:p>
    <w:p w14:paraId="1BDA0813">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V—污染物沉降速率，m/s。</w:t>
      </w:r>
    </w:p>
    <w:p w14:paraId="16747069">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T—年内污染物沉降时间，s。</w:t>
      </w:r>
    </w:p>
    <w:p w14:paraId="0C0925C5">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A—预测评价范围，㎡。</w:t>
      </w:r>
    </w:p>
    <w:p w14:paraId="48A0170E">
      <w:pPr>
        <w:pStyle w:val="245"/>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Ls 的取值：</w:t>
      </w:r>
    </w:p>
    <w:p w14:paraId="40A13EF1">
      <w:pPr>
        <w:pStyle w:val="245"/>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当污染物可能通过淋溶进入土壤时，需要给出淋溶时每年排入土壤</w:t>
      </w:r>
      <w:r>
        <w:rPr>
          <w:rFonts w:hint="eastAsia" w:ascii="Times New Roman" w:hAnsi="Times New Roman" w:eastAsia="宋体" w:cs="Times New Roman"/>
          <w:color w:val="000000" w:themeColor="text1"/>
          <w:lang w:eastAsia="zh-CN"/>
          <w14:textFill>
            <w14:solidFill>
              <w14:schemeClr w14:val="tx1"/>
            </w14:solidFill>
          </w14:textFill>
        </w:rPr>
        <w:t>的</w:t>
      </w:r>
      <w:r>
        <w:rPr>
          <w:rFonts w:ascii="Times New Roman" w:hAnsi="Times New Roman" w:eastAsia="宋体" w:cs="Times New Roman"/>
          <w:color w:val="000000" w:themeColor="text1"/>
          <w14:textFill>
            <w14:solidFill>
              <w14:schemeClr w14:val="tx1"/>
            </w14:solidFill>
          </w14:textFill>
        </w:rPr>
        <w:t>量；本项目中污染物为二噁英、</w:t>
      </w:r>
      <w:r>
        <w:rPr>
          <w:rFonts w:hint="eastAsia" w:ascii="Times New Roman" w:hAnsi="Times New Roman" w:eastAsia="宋体" w:cs="Times New Roman"/>
          <w:color w:val="000000" w:themeColor="text1"/>
          <w14:textFill>
            <w14:solidFill>
              <w14:schemeClr w14:val="tx1"/>
            </w14:solidFill>
          </w14:textFill>
        </w:rPr>
        <w:t>重金属</w:t>
      </w:r>
      <w:r>
        <w:rPr>
          <w:rFonts w:ascii="Times New Roman" w:hAnsi="Times New Roman" w:eastAsia="宋体" w:cs="Times New Roman"/>
          <w:color w:val="000000" w:themeColor="text1"/>
          <w14:textFill>
            <w14:solidFill>
              <w14:schemeClr w14:val="tx1"/>
            </w14:solidFill>
          </w14:textFill>
        </w:rPr>
        <w:t>，不考虑淋溶的量，Ls=0。</w:t>
      </w:r>
    </w:p>
    <w:p w14:paraId="04F868A3">
      <w:pPr>
        <w:pStyle w:val="245"/>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Rs 的取值：当污染物经径流进入土壤时，需要给出通过径流每年排入土壤的量；本项目中污染物为二噁英、重金属，不考虑径流的量。</w:t>
      </w:r>
    </w:p>
    <w:p w14:paraId="48D2FAD3">
      <w:pPr>
        <w:pStyle w:val="245"/>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Rs=0。</w:t>
      </w:r>
    </w:p>
    <w:p w14:paraId="60ED40AD">
      <w:pPr>
        <w:pStyle w:val="245"/>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ρb 的取值：本项目取值ρb=</w:t>
      </w:r>
      <w:r>
        <w:rPr>
          <w:rFonts w:ascii="Times New Roman" w:hAnsi="Times New Roman" w:cs="Times New Roman" w:eastAsiaTheme="minorEastAsia"/>
          <w:color w:val="000000" w:themeColor="text1"/>
          <w:lang w:bidi="en-US"/>
          <w14:textFill>
            <w14:solidFill>
              <w14:schemeClr w14:val="tx1"/>
            </w14:solidFill>
          </w14:textFill>
        </w:rPr>
        <w:t>1.</w:t>
      </w:r>
      <w:r>
        <w:rPr>
          <w:rFonts w:hint="eastAsia" w:ascii="Times New Roman" w:hAnsi="Times New Roman" w:cs="Times New Roman" w:eastAsiaTheme="minorEastAsia"/>
          <w:color w:val="000000" w:themeColor="text1"/>
          <w:lang w:bidi="en-US"/>
          <w14:textFill>
            <w14:solidFill>
              <w14:schemeClr w14:val="tx1"/>
            </w14:solidFill>
          </w14:textFill>
        </w:rPr>
        <w:t>32</w:t>
      </w:r>
      <w:r>
        <w:rPr>
          <w:rFonts w:ascii="Times New Roman" w:hAnsi="Times New Roman" w:eastAsia="Times New Roman" w:cs="Times New Roman"/>
          <w:color w:val="000000" w:themeColor="text1"/>
          <w:lang w:bidi="en-US"/>
          <w14:textFill>
            <w14:solidFill>
              <w14:schemeClr w14:val="tx1"/>
            </w14:solidFill>
          </w14:textFill>
        </w:rPr>
        <w:t>g/</w:t>
      </w:r>
      <w:r>
        <w:rPr>
          <w:rFonts w:ascii="Times New Roman" w:hAnsi="Times New Roman" w:cs="Times New Roman" w:eastAsiaTheme="minorEastAsia"/>
          <w:color w:val="000000" w:themeColor="text1"/>
          <w:lang w:bidi="en-US"/>
          <w14:textFill>
            <w14:solidFill>
              <w14:schemeClr w14:val="tx1"/>
            </w14:solidFill>
          </w14:textFill>
        </w:rPr>
        <w:t>c</w:t>
      </w:r>
      <w:r>
        <w:rPr>
          <w:rFonts w:ascii="Times New Roman" w:hAnsi="Times New Roman" w:eastAsia="Times New Roman" w:cs="Times New Roman"/>
          <w:color w:val="000000" w:themeColor="text1"/>
          <w:lang w:bidi="en-US"/>
          <w14:textFill>
            <w14:solidFill>
              <w14:schemeClr w14:val="tx1"/>
            </w14:solidFill>
          </w14:textFill>
        </w:rPr>
        <w:t>m³</w:t>
      </w:r>
      <w:r>
        <w:rPr>
          <w:rFonts w:ascii="Times New Roman" w:hAnsi="Times New Roman" w:eastAsia="宋体" w:cs="Times New Roman"/>
          <w:color w:val="000000" w:themeColor="text1"/>
          <w:lang w:bidi="en-US"/>
          <w14:textFill>
            <w14:solidFill>
              <w14:schemeClr w14:val="tx1"/>
            </w14:solidFill>
          </w14:textFill>
        </w:rPr>
        <w:t>。</w:t>
      </w:r>
    </w:p>
    <w:p w14:paraId="08D70664">
      <w:pPr>
        <w:pStyle w:val="245"/>
        <w:spacing w:line="360" w:lineRule="auto"/>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A的取值：可按照项目的预测评价范围，即项目周围环带状面积即，㎡；本评价取</w:t>
      </w:r>
      <w:r>
        <w:rPr>
          <w:rFonts w:hint="eastAsia" w:ascii="Times New Roman" w:hAnsi="Times New Roman" w:eastAsia="宋体" w:cs="Times New Roman"/>
          <w:color w:val="000000" w:themeColor="text1"/>
          <w14:textFill>
            <w14:solidFill>
              <w14:schemeClr w14:val="tx1"/>
            </w14:solidFill>
          </w14:textFill>
        </w:rPr>
        <w:t>20</w:t>
      </w:r>
      <w:r>
        <w:rPr>
          <w:rFonts w:ascii="Times New Roman" w:hAnsi="Times New Roman" w:eastAsia="宋体" w:cs="Times New Roman"/>
          <w:color w:val="000000" w:themeColor="text1"/>
          <w14:textFill>
            <w14:solidFill>
              <w14:schemeClr w14:val="tx1"/>
            </w14:solidFill>
          </w14:textFill>
        </w:rPr>
        <w:t>0000㎡。</w:t>
      </w:r>
    </w:p>
    <w:p w14:paraId="3509FAF0">
      <w:pPr>
        <w:pStyle w:val="117"/>
        <w:rPr>
          <w:rFonts w:hint="eastAsia"/>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7AC49C54">
      <w:pPr>
        <w:pStyle w:val="11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预测参数及结果</w:t>
      </w:r>
    </w:p>
    <w:tbl>
      <w:tblPr>
        <w:tblStyle w:val="76"/>
        <w:tblW w:w="13728" w:type="dxa"/>
        <w:tblInd w:w="0" w:type="dxa"/>
        <w:tblLayout w:type="autofit"/>
        <w:tblCellMar>
          <w:top w:w="0" w:type="dxa"/>
          <w:left w:w="108" w:type="dxa"/>
          <w:bottom w:w="0" w:type="dxa"/>
          <w:right w:w="108" w:type="dxa"/>
        </w:tblCellMar>
      </w:tblPr>
      <w:tblGrid>
        <w:gridCol w:w="1696"/>
        <w:gridCol w:w="1140"/>
        <w:gridCol w:w="1411"/>
        <w:gridCol w:w="1277"/>
        <w:gridCol w:w="1144"/>
        <w:gridCol w:w="1124"/>
        <w:gridCol w:w="1310"/>
        <w:gridCol w:w="960"/>
        <w:gridCol w:w="1123"/>
        <w:gridCol w:w="1123"/>
        <w:gridCol w:w="1420"/>
      </w:tblGrid>
      <w:tr w14:paraId="20015AC4">
        <w:tblPrEx>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noWrap/>
            <w:vAlign w:val="center"/>
          </w:tcPr>
          <w:p w14:paraId="3BC17CB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1140" w:type="dxa"/>
            <w:tcBorders>
              <w:top w:val="single" w:color="auto" w:sz="4" w:space="0"/>
              <w:left w:val="nil"/>
              <w:bottom w:val="single" w:color="auto" w:sz="4" w:space="0"/>
              <w:right w:val="single" w:color="auto" w:sz="4" w:space="0"/>
            </w:tcBorders>
            <w:noWrap/>
            <w:vAlign w:val="center"/>
          </w:tcPr>
          <w:p w14:paraId="08DAC6E9">
            <w:pPr>
              <w:pStyle w:val="109"/>
              <w:rPr>
                <w:color w:val="000000" w:themeColor="text1"/>
                <w14:textFill>
                  <w14:solidFill>
                    <w14:schemeClr w14:val="tx1"/>
                  </w14:solidFill>
                </w14:textFill>
              </w:rPr>
            </w:pPr>
            <w:r>
              <w:rPr>
                <w:color w:val="000000" w:themeColor="text1"/>
                <w14:textFill>
                  <w14:solidFill>
                    <w14:schemeClr w14:val="tx1"/>
                  </w14:solidFill>
                </w14:textFill>
              </w:rPr>
              <w:t>Is</w:t>
            </w:r>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g</w:t>
            </w:r>
            <w:r>
              <w:rPr>
                <w:rFonts w:hint="eastAsia" w:ascii="宋体" w:hAnsi="宋体"/>
                <w:color w:val="000000" w:themeColor="text1"/>
                <w14:textFill>
                  <w14:solidFill>
                    <w14:schemeClr w14:val="tx1"/>
                  </w14:solidFill>
                </w14:textFill>
              </w:rPr>
              <w:t>）</w:t>
            </w:r>
          </w:p>
        </w:tc>
        <w:tc>
          <w:tcPr>
            <w:tcW w:w="1411" w:type="dxa"/>
            <w:tcBorders>
              <w:top w:val="single" w:color="auto" w:sz="4" w:space="0"/>
              <w:left w:val="nil"/>
              <w:bottom w:val="single" w:color="auto" w:sz="4" w:space="0"/>
              <w:right w:val="single" w:color="auto" w:sz="4" w:space="0"/>
            </w:tcBorders>
            <w:noWrap/>
            <w:vAlign w:val="center"/>
          </w:tcPr>
          <w:p w14:paraId="4C0D9C3B">
            <w:pPr>
              <w:pStyle w:val="109"/>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(mg/m³)</w:t>
            </w:r>
          </w:p>
        </w:tc>
        <w:tc>
          <w:tcPr>
            <w:tcW w:w="1277" w:type="dxa"/>
            <w:tcBorders>
              <w:top w:val="single" w:color="auto" w:sz="4" w:space="0"/>
              <w:left w:val="nil"/>
              <w:bottom w:val="single" w:color="auto" w:sz="4" w:space="0"/>
              <w:right w:val="single" w:color="auto" w:sz="4" w:space="0"/>
            </w:tcBorders>
            <w:noWrap/>
            <w:vAlign w:val="center"/>
          </w:tcPr>
          <w:p w14:paraId="412F572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V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m/s</w:t>
            </w:r>
            <w:r>
              <w:rPr>
                <w:rFonts w:hint="eastAsia"/>
                <w:color w:val="000000" w:themeColor="text1"/>
                <w14:textFill>
                  <w14:solidFill>
                    <w14:schemeClr w14:val="tx1"/>
                  </w14:solidFill>
                </w14:textFill>
              </w:rPr>
              <w:t>）</w:t>
            </w:r>
          </w:p>
        </w:tc>
        <w:tc>
          <w:tcPr>
            <w:tcW w:w="1144" w:type="dxa"/>
            <w:tcBorders>
              <w:top w:val="single" w:color="auto" w:sz="4" w:space="0"/>
              <w:left w:val="nil"/>
              <w:bottom w:val="single" w:color="auto" w:sz="4" w:space="0"/>
              <w:right w:val="single" w:color="auto" w:sz="4" w:space="0"/>
            </w:tcBorders>
            <w:noWrap/>
            <w:vAlign w:val="center"/>
          </w:tcPr>
          <w:p w14:paraId="502E62B5">
            <w:pPr>
              <w:pStyle w:val="109"/>
              <w:rPr>
                <w:color w:val="000000" w:themeColor="text1"/>
                <w14:textFill>
                  <w14:solidFill>
                    <w14:schemeClr w14:val="tx1"/>
                  </w14:solidFill>
                </w14:textFill>
              </w:rPr>
            </w:pPr>
            <w:r>
              <w:rPr>
                <w:color w:val="000000" w:themeColor="text1"/>
                <w14:textFill>
                  <w14:solidFill>
                    <w14:schemeClr w14:val="tx1"/>
                  </w14:solidFill>
                </w14:textFill>
              </w:rPr>
              <w:t>T</w:t>
            </w:r>
            <w:r>
              <w:rPr>
                <w:rFonts w:hint="eastAsia"/>
                <w:color w:val="000000" w:themeColor="text1"/>
                <w14:textFill>
                  <w14:solidFill>
                    <w14:schemeClr w14:val="tx1"/>
                  </w14:solidFill>
                </w14:textFill>
              </w:rPr>
              <w:t>（S）</w:t>
            </w:r>
          </w:p>
        </w:tc>
        <w:tc>
          <w:tcPr>
            <w:tcW w:w="1124" w:type="dxa"/>
            <w:tcBorders>
              <w:top w:val="single" w:color="auto" w:sz="4" w:space="0"/>
              <w:left w:val="nil"/>
              <w:bottom w:val="single" w:color="auto" w:sz="4" w:space="0"/>
              <w:right w:val="single" w:color="auto" w:sz="4" w:space="0"/>
            </w:tcBorders>
            <w:noWrap/>
            <w:vAlign w:val="center"/>
          </w:tcPr>
          <w:p w14:paraId="1E8D8BCE">
            <w:pPr>
              <w:pStyle w:val="109"/>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w:t>
            </w:r>
          </w:p>
        </w:tc>
        <w:tc>
          <w:tcPr>
            <w:tcW w:w="1310" w:type="dxa"/>
            <w:tcBorders>
              <w:top w:val="single" w:color="auto" w:sz="4" w:space="0"/>
              <w:left w:val="nil"/>
              <w:bottom w:val="single" w:color="auto" w:sz="4" w:space="0"/>
              <w:right w:val="single" w:color="auto" w:sz="4" w:space="0"/>
            </w:tcBorders>
            <w:noWrap/>
            <w:vAlign w:val="center"/>
          </w:tcPr>
          <w:p w14:paraId="22C1A297">
            <w:pPr>
              <w:pStyle w:val="109"/>
              <w:rPr>
                <w:color w:val="000000" w:themeColor="text1"/>
                <w14:textFill>
                  <w14:solidFill>
                    <w14:schemeClr w14:val="tx1"/>
                  </w14:solidFill>
                </w14:textFill>
              </w:rPr>
            </w:pPr>
            <w:r>
              <w:rPr>
                <w:color w:val="000000" w:themeColor="text1"/>
                <w14:textFill>
                  <w14:solidFill>
                    <w14:schemeClr w14:val="tx1"/>
                  </w14:solidFill>
                </w14:textFill>
              </w:rPr>
              <w:t>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kg/m³</w:t>
            </w:r>
            <w:r>
              <w:rPr>
                <w:rFonts w:hint="eastAsia"/>
                <w:color w:val="000000" w:themeColor="text1"/>
                <w14:textFill>
                  <w14:solidFill>
                    <w14:schemeClr w14:val="tx1"/>
                  </w14:solidFill>
                </w14:textFill>
              </w:rPr>
              <w:t>）</w:t>
            </w:r>
          </w:p>
        </w:tc>
        <w:tc>
          <w:tcPr>
            <w:tcW w:w="960" w:type="dxa"/>
            <w:tcBorders>
              <w:top w:val="single" w:color="auto" w:sz="4" w:space="0"/>
              <w:left w:val="nil"/>
              <w:bottom w:val="single" w:color="auto" w:sz="4" w:space="0"/>
              <w:right w:val="single" w:color="auto" w:sz="4" w:space="0"/>
            </w:tcBorders>
            <w:noWrap/>
            <w:vAlign w:val="center"/>
          </w:tcPr>
          <w:p w14:paraId="7987487A">
            <w:pPr>
              <w:pStyle w:val="109"/>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1123" w:type="dxa"/>
            <w:tcBorders>
              <w:top w:val="single" w:color="auto" w:sz="4" w:space="0"/>
              <w:left w:val="nil"/>
              <w:bottom w:val="single" w:color="auto" w:sz="4" w:space="0"/>
              <w:right w:val="single" w:color="auto" w:sz="4" w:space="0"/>
            </w:tcBorders>
            <w:noWrap/>
            <w:vAlign w:val="center"/>
          </w:tcPr>
          <w:p w14:paraId="55F4776A">
            <w:pPr>
              <w:pStyle w:val="109"/>
              <w:rPr>
                <w:color w:val="000000" w:themeColor="text1"/>
                <w14:textFill>
                  <w14:solidFill>
                    <w14:schemeClr w14:val="tx1"/>
                  </w14:solidFill>
                </w14:textFill>
              </w:rPr>
            </w:pPr>
            <w:r>
              <w:rPr>
                <w:rFonts w:ascii="Cambria Math" w:hAnsi="Cambria Math"/>
                <w:color w:val="000000" w:themeColor="text1"/>
                <w14:textFill>
                  <w14:solidFill>
                    <w14:schemeClr w14:val="tx1"/>
                  </w14:solidFill>
                </w14:textFill>
              </w:rPr>
              <w:t>∆</w:t>
            </w:r>
            <w:r>
              <w:rPr>
                <w:color w:val="000000" w:themeColor="text1"/>
                <w14:textFill>
                  <w14:solidFill>
                    <w14:schemeClr w14:val="tx1"/>
                  </w14:solidFill>
                </w14:textFill>
              </w:rPr>
              <w:t>S</w:t>
            </w:r>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/kg</w:t>
            </w:r>
            <w:r>
              <w:rPr>
                <w:rFonts w:hint="eastAsia" w:ascii="宋体" w:hAnsi="宋体"/>
                <w:color w:val="000000" w:themeColor="text1"/>
                <w14:textFill>
                  <w14:solidFill>
                    <w14:schemeClr w14:val="tx1"/>
                  </w14:solidFill>
                </w14:textFill>
              </w:rPr>
              <w:t>）</w:t>
            </w:r>
          </w:p>
        </w:tc>
        <w:tc>
          <w:tcPr>
            <w:tcW w:w="1123" w:type="dxa"/>
            <w:tcBorders>
              <w:top w:val="single" w:color="auto" w:sz="4" w:space="0"/>
              <w:left w:val="nil"/>
              <w:bottom w:val="single" w:color="auto" w:sz="4" w:space="0"/>
              <w:right w:val="single" w:color="auto" w:sz="4" w:space="0"/>
            </w:tcBorders>
            <w:noWrap/>
            <w:vAlign w:val="center"/>
          </w:tcPr>
          <w:p w14:paraId="1E960A88">
            <w:pPr>
              <w:pStyle w:val="109"/>
              <w:rPr>
                <w:color w:val="000000" w:themeColor="text1"/>
                <w14:textFill>
                  <w14:solidFill>
                    <w14:schemeClr w14:val="tx1"/>
                  </w14:solidFill>
                </w14:textFill>
              </w:rPr>
            </w:pPr>
            <w:r>
              <w:rPr>
                <w:color w:val="000000" w:themeColor="text1"/>
                <w14:textFill>
                  <w14:solidFill>
                    <w14:schemeClr w14:val="tx1"/>
                  </w14:solidFill>
                </w14:textFill>
              </w:rPr>
              <w:t>Sb</w:t>
            </w:r>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/kg</w:t>
            </w:r>
            <w:r>
              <w:rPr>
                <w:rFonts w:hint="eastAsia" w:ascii="宋体" w:hAnsi="宋体"/>
                <w:color w:val="000000" w:themeColor="text1"/>
                <w14:textFill>
                  <w14:solidFill>
                    <w14:schemeClr w14:val="tx1"/>
                  </w14:solidFill>
                </w14:textFill>
              </w:rPr>
              <w:t>）</w:t>
            </w:r>
          </w:p>
        </w:tc>
        <w:tc>
          <w:tcPr>
            <w:tcW w:w="1420" w:type="dxa"/>
            <w:tcBorders>
              <w:top w:val="single" w:color="auto" w:sz="4" w:space="0"/>
              <w:left w:val="nil"/>
              <w:bottom w:val="single" w:color="auto" w:sz="4" w:space="0"/>
              <w:right w:val="single" w:color="auto" w:sz="4" w:space="0"/>
            </w:tcBorders>
            <w:noWrap/>
            <w:vAlign w:val="center"/>
          </w:tcPr>
          <w:p w14:paraId="7D1EC1E5">
            <w:pPr>
              <w:pStyle w:val="109"/>
              <w:rPr>
                <w:color w:val="000000" w:themeColor="text1"/>
                <w14:textFill>
                  <w14:solidFill>
                    <w14:schemeClr w14:val="tx1"/>
                  </w14:solidFill>
                </w14:textFill>
              </w:rPr>
            </w:pPr>
            <w:r>
              <w:rPr>
                <w:color w:val="000000" w:themeColor="text1"/>
                <w14:textFill>
                  <w14:solidFill>
                    <w14:schemeClr w14:val="tx1"/>
                  </w14:solidFill>
                </w14:textFill>
              </w:rPr>
              <w:t>S</w:t>
            </w:r>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/kg</w:t>
            </w:r>
            <w:r>
              <w:rPr>
                <w:rFonts w:hint="eastAsia" w:ascii="宋体" w:hAnsi="宋体"/>
                <w:color w:val="000000" w:themeColor="text1"/>
                <w14:textFill>
                  <w14:solidFill>
                    <w14:schemeClr w14:val="tx1"/>
                  </w14:solidFill>
                </w14:textFill>
              </w:rPr>
              <w:t>）</w:t>
            </w:r>
          </w:p>
        </w:tc>
      </w:tr>
      <w:tr w14:paraId="3313F08C">
        <w:tblPrEx>
          <w:tblCellMar>
            <w:top w:w="0" w:type="dxa"/>
            <w:left w:w="108" w:type="dxa"/>
            <w:bottom w:w="0" w:type="dxa"/>
            <w:right w:w="108" w:type="dxa"/>
          </w:tblCellMar>
        </w:tblPrEx>
        <w:tc>
          <w:tcPr>
            <w:tcW w:w="1696" w:type="dxa"/>
            <w:tcBorders>
              <w:top w:val="nil"/>
              <w:left w:val="single" w:color="auto" w:sz="4" w:space="0"/>
              <w:bottom w:val="single" w:color="auto" w:sz="4" w:space="0"/>
              <w:right w:val="single" w:color="auto" w:sz="4" w:space="0"/>
            </w:tcBorders>
            <w:vAlign w:val="center"/>
          </w:tcPr>
          <w:p w14:paraId="6F03CC52">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汞及其化合物</w:t>
            </w:r>
          </w:p>
        </w:tc>
        <w:tc>
          <w:tcPr>
            <w:tcW w:w="1140" w:type="dxa"/>
            <w:tcBorders>
              <w:top w:val="nil"/>
              <w:left w:val="nil"/>
              <w:bottom w:val="single" w:color="auto" w:sz="4" w:space="0"/>
              <w:right w:val="single" w:color="auto" w:sz="4" w:space="0"/>
            </w:tcBorders>
            <w:noWrap/>
            <w:vAlign w:val="center"/>
          </w:tcPr>
          <w:p w14:paraId="7FC24BB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86</w:t>
            </w:r>
          </w:p>
        </w:tc>
        <w:tc>
          <w:tcPr>
            <w:tcW w:w="1411" w:type="dxa"/>
            <w:tcBorders>
              <w:top w:val="nil"/>
              <w:left w:val="nil"/>
              <w:bottom w:val="single" w:color="auto" w:sz="4" w:space="0"/>
              <w:right w:val="single" w:color="auto" w:sz="4" w:space="0"/>
            </w:tcBorders>
            <w:vAlign w:val="center"/>
          </w:tcPr>
          <w:p w14:paraId="5BDEA05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1.50E-07</w:t>
            </w:r>
          </w:p>
        </w:tc>
        <w:tc>
          <w:tcPr>
            <w:tcW w:w="1277" w:type="dxa"/>
            <w:tcBorders>
              <w:top w:val="nil"/>
              <w:left w:val="nil"/>
              <w:bottom w:val="single" w:color="auto" w:sz="4" w:space="0"/>
              <w:right w:val="single" w:color="auto" w:sz="4" w:space="0"/>
            </w:tcBorders>
            <w:noWrap/>
            <w:vAlign w:val="center"/>
          </w:tcPr>
          <w:p w14:paraId="06B9F7C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144" w:type="dxa"/>
            <w:tcBorders>
              <w:top w:val="nil"/>
              <w:left w:val="nil"/>
              <w:bottom w:val="single" w:color="auto" w:sz="4" w:space="0"/>
              <w:right w:val="single" w:color="auto" w:sz="4" w:space="0"/>
            </w:tcBorders>
            <w:noWrap/>
            <w:vAlign w:val="center"/>
          </w:tcPr>
          <w:p w14:paraId="2762924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28800000</w:t>
            </w:r>
          </w:p>
        </w:tc>
        <w:tc>
          <w:tcPr>
            <w:tcW w:w="1124" w:type="dxa"/>
            <w:tcBorders>
              <w:top w:val="nil"/>
              <w:left w:val="nil"/>
              <w:bottom w:val="single" w:color="auto" w:sz="4" w:space="0"/>
              <w:right w:val="single" w:color="auto" w:sz="4" w:space="0"/>
            </w:tcBorders>
            <w:noWrap/>
            <w:vAlign w:val="center"/>
          </w:tcPr>
          <w:p w14:paraId="0B91E47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200000</w:t>
            </w:r>
          </w:p>
        </w:tc>
        <w:tc>
          <w:tcPr>
            <w:tcW w:w="1310" w:type="dxa"/>
            <w:tcBorders>
              <w:top w:val="nil"/>
              <w:left w:val="nil"/>
              <w:bottom w:val="single" w:color="auto" w:sz="4" w:space="0"/>
              <w:right w:val="single" w:color="auto" w:sz="4" w:space="0"/>
            </w:tcBorders>
            <w:noWrap/>
            <w:vAlign w:val="center"/>
          </w:tcPr>
          <w:p w14:paraId="42D0BF3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1320</w:t>
            </w:r>
          </w:p>
        </w:tc>
        <w:tc>
          <w:tcPr>
            <w:tcW w:w="960" w:type="dxa"/>
            <w:tcBorders>
              <w:top w:val="nil"/>
              <w:left w:val="nil"/>
              <w:bottom w:val="single" w:color="auto" w:sz="4" w:space="0"/>
              <w:right w:val="single" w:color="auto" w:sz="4" w:space="0"/>
            </w:tcBorders>
            <w:noWrap/>
            <w:vAlign w:val="center"/>
          </w:tcPr>
          <w:p w14:paraId="5D44183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123" w:type="dxa"/>
            <w:tcBorders>
              <w:top w:val="nil"/>
              <w:left w:val="nil"/>
              <w:bottom w:val="single" w:color="auto" w:sz="4" w:space="0"/>
              <w:right w:val="single" w:color="auto" w:sz="4" w:space="0"/>
            </w:tcBorders>
            <w:noWrap/>
            <w:vAlign w:val="center"/>
          </w:tcPr>
          <w:p w14:paraId="1861C62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1.64E-06</w:t>
            </w:r>
          </w:p>
        </w:tc>
        <w:tc>
          <w:tcPr>
            <w:tcW w:w="1123" w:type="dxa"/>
            <w:tcBorders>
              <w:top w:val="nil"/>
              <w:left w:val="nil"/>
              <w:bottom w:val="single" w:color="auto" w:sz="4" w:space="0"/>
              <w:right w:val="single" w:color="auto" w:sz="4" w:space="0"/>
            </w:tcBorders>
            <w:noWrap/>
            <w:vAlign w:val="center"/>
          </w:tcPr>
          <w:p w14:paraId="79FBADA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0.000082</w:t>
            </w:r>
          </w:p>
        </w:tc>
        <w:tc>
          <w:tcPr>
            <w:tcW w:w="1420" w:type="dxa"/>
            <w:tcBorders>
              <w:top w:val="nil"/>
              <w:left w:val="nil"/>
              <w:bottom w:val="single" w:color="auto" w:sz="4" w:space="0"/>
              <w:right w:val="single" w:color="auto" w:sz="4" w:space="0"/>
            </w:tcBorders>
            <w:noWrap/>
            <w:vAlign w:val="center"/>
          </w:tcPr>
          <w:p w14:paraId="474166D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0.000084</w:t>
            </w:r>
          </w:p>
        </w:tc>
      </w:tr>
      <w:tr w14:paraId="0EC63D19">
        <w:tblPrEx>
          <w:tblCellMar>
            <w:top w:w="0" w:type="dxa"/>
            <w:left w:w="108" w:type="dxa"/>
            <w:bottom w:w="0" w:type="dxa"/>
            <w:right w:w="108" w:type="dxa"/>
          </w:tblCellMar>
        </w:tblPrEx>
        <w:tc>
          <w:tcPr>
            <w:tcW w:w="1696" w:type="dxa"/>
            <w:tcBorders>
              <w:top w:val="nil"/>
              <w:left w:val="single" w:color="auto" w:sz="4" w:space="0"/>
              <w:bottom w:val="single" w:color="auto" w:sz="4" w:space="0"/>
              <w:right w:val="single" w:color="auto" w:sz="4" w:space="0"/>
            </w:tcBorders>
            <w:vAlign w:val="center"/>
          </w:tcPr>
          <w:p w14:paraId="1EFFF08C">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镉及其化合物</w:t>
            </w:r>
          </w:p>
        </w:tc>
        <w:tc>
          <w:tcPr>
            <w:tcW w:w="1140" w:type="dxa"/>
            <w:tcBorders>
              <w:top w:val="nil"/>
              <w:left w:val="nil"/>
              <w:bottom w:val="single" w:color="auto" w:sz="4" w:space="0"/>
              <w:right w:val="single" w:color="auto" w:sz="4" w:space="0"/>
            </w:tcBorders>
            <w:noWrap/>
            <w:vAlign w:val="center"/>
          </w:tcPr>
          <w:p w14:paraId="5BBBDB7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259</w:t>
            </w:r>
          </w:p>
        </w:tc>
        <w:tc>
          <w:tcPr>
            <w:tcW w:w="1411" w:type="dxa"/>
            <w:tcBorders>
              <w:top w:val="nil"/>
              <w:left w:val="nil"/>
              <w:bottom w:val="single" w:color="auto" w:sz="4" w:space="0"/>
              <w:right w:val="single" w:color="auto" w:sz="4" w:space="0"/>
            </w:tcBorders>
            <w:vAlign w:val="center"/>
          </w:tcPr>
          <w:p w14:paraId="50E01FD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4.49E-07</w:t>
            </w:r>
          </w:p>
        </w:tc>
        <w:tc>
          <w:tcPr>
            <w:tcW w:w="1277" w:type="dxa"/>
            <w:tcBorders>
              <w:top w:val="nil"/>
              <w:left w:val="nil"/>
              <w:bottom w:val="single" w:color="auto" w:sz="4" w:space="0"/>
              <w:right w:val="single" w:color="auto" w:sz="4" w:space="0"/>
            </w:tcBorders>
            <w:noWrap/>
            <w:vAlign w:val="center"/>
          </w:tcPr>
          <w:p w14:paraId="4131E48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144" w:type="dxa"/>
            <w:tcBorders>
              <w:top w:val="nil"/>
              <w:left w:val="nil"/>
              <w:bottom w:val="single" w:color="auto" w:sz="4" w:space="0"/>
              <w:right w:val="single" w:color="auto" w:sz="4" w:space="0"/>
            </w:tcBorders>
            <w:noWrap/>
            <w:vAlign w:val="center"/>
          </w:tcPr>
          <w:p w14:paraId="3219DB9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28800000</w:t>
            </w:r>
          </w:p>
        </w:tc>
        <w:tc>
          <w:tcPr>
            <w:tcW w:w="1124" w:type="dxa"/>
            <w:tcBorders>
              <w:top w:val="nil"/>
              <w:left w:val="nil"/>
              <w:bottom w:val="single" w:color="auto" w:sz="4" w:space="0"/>
              <w:right w:val="single" w:color="auto" w:sz="4" w:space="0"/>
            </w:tcBorders>
            <w:noWrap/>
            <w:vAlign w:val="center"/>
          </w:tcPr>
          <w:p w14:paraId="250974E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200000</w:t>
            </w:r>
          </w:p>
        </w:tc>
        <w:tc>
          <w:tcPr>
            <w:tcW w:w="1310" w:type="dxa"/>
            <w:tcBorders>
              <w:top w:val="nil"/>
              <w:left w:val="nil"/>
              <w:bottom w:val="single" w:color="auto" w:sz="4" w:space="0"/>
              <w:right w:val="single" w:color="auto" w:sz="4" w:space="0"/>
            </w:tcBorders>
            <w:noWrap/>
            <w:vAlign w:val="center"/>
          </w:tcPr>
          <w:p w14:paraId="0B6B18C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1320</w:t>
            </w:r>
          </w:p>
        </w:tc>
        <w:tc>
          <w:tcPr>
            <w:tcW w:w="960" w:type="dxa"/>
            <w:tcBorders>
              <w:top w:val="nil"/>
              <w:left w:val="nil"/>
              <w:bottom w:val="single" w:color="auto" w:sz="4" w:space="0"/>
              <w:right w:val="single" w:color="auto" w:sz="4" w:space="0"/>
            </w:tcBorders>
            <w:noWrap/>
            <w:vAlign w:val="center"/>
          </w:tcPr>
          <w:p w14:paraId="26A2497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123" w:type="dxa"/>
            <w:tcBorders>
              <w:top w:val="nil"/>
              <w:left w:val="nil"/>
              <w:bottom w:val="single" w:color="auto" w:sz="4" w:space="0"/>
              <w:right w:val="single" w:color="auto" w:sz="4" w:space="0"/>
            </w:tcBorders>
            <w:noWrap/>
            <w:vAlign w:val="center"/>
          </w:tcPr>
          <w:p w14:paraId="3AE8EC1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4.9E-06</w:t>
            </w:r>
          </w:p>
        </w:tc>
        <w:tc>
          <w:tcPr>
            <w:tcW w:w="1123" w:type="dxa"/>
            <w:tcBorders>
              <w:top w:val="nil"/>
              <w:left w:val="nil"/>
              <w:bottom w:val="single" w:color="auto" w:sz="4" w:space="0"/>
              <w:right w:val="single" w:color="auto" w:sz="4" w:space="0"/>
            </w:tcBorders>
            <w:noWrap/>
            <w:vAlign w:val="center"/>
          </w:tcPr>
          <w:p w14:paraId="14B5047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0.00042</w:t>
            </w:r>
          </w:p>
        </w:tc>
        <w:tc>
          <w:tcPr>
            <w:tcW w:w="1420" w:type="dxa"/>
            <w:tcBorders>
              <w:top w:val="nil"/>
              <w:left w:val="nil"/>
              <w:bottom w:val="single" w:color="auto" w:sz="4" w:space="0"/>
              <w:right w:val="single" w:color="auto" w:sz="4" w:space="0"/>
            </w:tcBorders>
            <w:noWrap/>
            <w:vAlign w:val="center"/>
          </w:tcPr>
          <w:p w14:paraId="7F7A381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0.000425</w:t>
            </w:r>
          </w:p>
        </w:tc>
      </w:tr>
      <w:tr w14:paraId="3B0BB91F">
        <w:tblPrEx>
          <w:tblCellMar>
            <w:top w:w="0" w:type="dxa"/>
            <w:left w:w="108" w:type="dxa"/>
            <w:bottom w:w="0" w:type="dxa"/>
            <w:right w:w="108" w:type="dxa"/>
          </w:tblCellMar>
        </w:tblPrEx>
        <w:tc>
          <w:tcPr>
            <w:tcW w:w="1696" w:type="dxa"/>
            <w:tcBorders>
              <w:top w:val="nil"/>
              <w:left w:val="single" w:color="auto" w:sz="4" w:space="0"/>
              <w:bottom w:val="single" w:color="auto" w:sz="4" w:space="0"/>
              <w:right w:val="single" w:color="auto" w:sz="4" w:space="0"/>
            </w:tcBorders>
            <w:vAlign w:val="center"/>
          </w:tcPr>
          <w:p w14:paraId="662295DC">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铅及其化合物</w:t>
            </w:r>
          </w:p>
        </w:tc>
        <w:tc>
          <w:tcPr>
            <w:tcW w:w="1140" w:type="dxa"/>
            <w:tcBorders>
              <w:top w:val="nil"/>
              <w:left w:val="nil"/>
              <w:bottom w:val="single" w:color="auto" w:sz="4" w:space="0"/>
              <w:right w:val="single" w:color="auto" w:sz="4" w:space="0"/>
            </w:tcBorders>
            <w:noWrap/>
            <w:vAlign w:val="center"/>
          </w:tcPr>
          <w:p w14:paraId="57DC187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899</w:t>
            </w:r>
          </w:p>
        </w:tc>
        <w:tc>
          <w:tcPr>
            <w:tcW w:w="1411" w:type="dxa"/>
            <w:tcBorders>
              <w:top w:val="nil"/>
              <w:left w:val="nil"/>
              <w:bottom w:val="single" w:color="auto" w:sz="4" w:space="0"/>
              <w:right w:val="single" w:color="auto" w:sz="4" w:space="0"/>
            </w:tcBorders>
            <w:vAlign w:val="center"/>
          </w:tcPr>
          <w:p w14:paraId="31A2D37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1.56E-06</w:t>
            </w:r>
          </w:p>
        </w:tc>
        <w:tc>
          <w:tcPr>
            <w:tcW w:w="1277" w:type="dxa"/>
            <w:tcBorders>
              <w:top w:val="nil"/>
              <w:left w:val="nil"/>
              <w:bottom w:val="single" w:color="auto" w:sz="4" w:space="0"/>
              <w:right w:val="single" w:color="auto" w:sz="4" w:space="0"/>
            </w:tcBorders>
            <w:noWrap/>
            <w:vAlign w:val="center"/>
          </w:tcPr>
          <w:p w14:paraId="4E972DF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144" w:type="dxa"/>
            <w:tcBorders>
              <w:top w:val="nil"/>
              <w:left w:val="nil"/>
              <w:bottom w:val="single" w:color="auto" w:sz="4" w:space="0"/>
              <w:right w:val="single" w:color="auto" w:sz="4" w:space="0"/>
            </w:tcBorders>
            <w:noWrap/>
            <w:vAlign w:val="center"/>
          </w:tcPr>
          <w:p w14:paraId="18CBE76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28800000</w:t>
            </w:r>
          </w:p>
        </w:tc>
        <w:tc>
          <w:tcPr>
            <w:tcW w:w="1124" w:type="dxa"/>
            <w:tcBorders>
              <w:top w:val="nil"/>
              <w:left w:val="nil"/>
              <w:bottom w:val="single" w:color="auto" w:sz="4" w:space="0"/>
              <w:right w:val="single" w:color="auto" w:sz="4" w:space="0"/>
            </w:tcBorders>
            <w:noWrap/>
            <w:vAlign w:val="center"/>
          </w:tcPr>
          <w:p w14:paraId="61791F8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200000</w:t>
            </w:r>
          </w:p>
        </w:tc>
        <w:tc>
          <w:tcPr>
            <w:tcW w:w="1310" w:type="dxa"/>
            <w:tcBorders>
              <w:top w:val="nil"/>
              <w:left w:val="nil"/>
              <w:bottom w:val="single" w:color="auto" w:sz="4" w:space="0"/>
              <w:right w:val="single" w:color="auto" w:sz="4" w:space="0"/>
            </w:tcBorders>
            <w:noWrap/>
            <w:vAlign w:val="center"/>
          </w:tcPr>
          <w:p w14:paraId="4EA0BAF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1320</w:t>
            </w:r>
          </w:p>
        </w:tc>
        <w:tc>
          <w:tcPr>
            <w:tcW w:w="960" w:type="dxa"/>
            <w:tcBorders>
              <w:top w:val="nil"/>
              <w:left w:val="nil"/>
              <w:bottom w:val="single" w:color="auto" w:sz="4" w:space="0"/>
              <w:right w:val="single" w:color="auto" w:sz="4" w:space="0"/>
            </w:tcBorders>
            <w:noWrap/>
            <w:vAlign w:val="center"/>
          </w:tcPr>
          <w:p w14:paraId="073208B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123" w:type="dxa"/>
            <w:tcBorders>
              <w:top w:val="nil"/>
              <w:left w:val="nil"/>
              <w:bottom w:val="single" w:color="auto" w:sz="4" w:space="0"/>
              <w:right w:val="single" w:color="auto" w:sz="4" w:space="0"/>
            </w:tcBorders>
            <w:noWrap/>
            <w:vAlign w:val="center"/>
          </w:tcPr>
          <w:p w14:paraId="25857D5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1.7E-05</w:t>
            </w:r>
          </w:p>
        </w:tc>
        <w:tc>
          <w:tcPr>
            <w:tcW w:w="1123" w:type="dxa"/>
            <w:tcBorders>
              <w:top w:val="nil"/>
              <w:left w:val="nil"/>
              <w:bottom w:val="single" w:color="auto" w:sz="4" w:space="0"/>
              <w:right w:val="single" w:color="auto" w:sz="4" w:space="0"/>
            </w:tcBorders>
            <w:noWrap/>
            <w:vAlign w:val="center"/>
          </w:tcPr>
          <w:p w14:paraId="0D27690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0.042</w:t>
            </w:r>
          </w:p>
        </w:tc>
        <w:tc>
          <w:tcPr>
            <w:tcW w:w="1420" w:type="dxa"/>
            <w:tcBorders>
              <w:top w:val="nil"/>
              <w:left w:val="nil"/>
              <w:bottom w:val="single" w:color="auto" w:sz="4" w:space="0"/>
              <w:right w:val="single" w:color="auto" w:sz="4" w:space="0"/>
            </w:tcBorders>
            <w:noWrap/>
            <w:vAlign w:val="center"/>
          </w:tcPr>
          <w:p w14:paraId="3BF4D7E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0.042</w:t>
            </w:r>
          </w:p>
        </w:tc>
      </w:tr>
      <w:tr w14:paraId="00C08F06">
        <w:tblPrEx>
          <w:tblCellMar>
            <w:top w:w="0" w:type="dxa"/>
            <w:left w:w="108" w:type="dxa"/>
            <w:bottom w:w="0" w:type="dxa"/>
            <w:right w:w="108" w:type="dxa"/>
          </w:tblCellMar>
        </w:tblPrEx>
        <w:tc>
          <w:tcPr>
            <w:tcW w:w="1696" w:type="dxa"/>
            <w:tcBorders>
              <w:top w:val="nil"/>
              <w:left w:val="single" w:color="auto" w:sz="4" w:space="0"/>
              <w:bottom w:val="single" w:color="auto" w:sz="4" w:space="0"/>
              <w:right w:val="single" w:color="auto" w:sz="4" w:space="0"/>
            </w:tcBorders>
            <w:vAlign w:val="center"/>
          </w:tcPr>
          <w:p w14:paraId="4BC9ABEF">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砷及其化合物</w:t>
            </w:r>
          </w:p>
        </w:tc>
        <w:tc>
          <w:tcPr>
            <w:tcW w:w="1140" w:type="dxa"/>
            <w:tcBorders>
              <w:top w:val="nil"/>
              <w:left w:val="nil"/>
              <w:bottom w:val="single" w:color="auto" w:sz="4" w:space="0"/>
              <w:right w:val="single" w:color="auto" w:sz="4" w:space="0"/>
            </w:tcBorders>
            <w:noWrap/>
            <w:vAlign w:val="center"/>
          </w:tcPr>
          <w:p w14:paraId="12D5C93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1722</w:t>
            </w:r>
          </w:p>
        </w:tc>
        <w:tc>
          <w:tcPr>
            <w:tcW w:w="1411" w:type="dxa"/>
            <w:tcBorders>
              <w:top w:val="nil"/>
              <w:left w:val="nil"/>
              <w:bottom w:val="single" w:color="auto" w:sz="4" w:space="0"/>
              <w:right w:val="single" w:color="auto" w:sz="4" w:space="0"/>
            </w:tcBorders>
            <w:vAlign w:val="center"/>
          </w:tcPr>
          <w:p w14:paraId="2E95113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2.99E-06</w:t>
            </w:r>
          </w:p>
        </w:tc>
        <w:tc>
          <w:tcPr>
            <w:tcW w:w="1277" w:type="dxa"/>
            <w:tcBorders>
              <w:top w:val="nil"/>
              <w:left w:val="nil"/>
              <w:bottom w:val="single" w:color="auto" w:sz="4" w:space="0"/>
              <w:right w:val="single" w:color="auto" w:sz="4" w:space="0"/>
            </w:tcBorders>
            <w:noWrap/>
            <w:vAlign w:val="center"/>
          </w:tcPr>
          <w:p w14:paraId="27C1EA0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144" w:type="dxa"/>
            <w:tcBorders>
              <w:top w:val="nil"/>
              <w:left w:val="nil"/>
              <w:bottom w:val="single" w:color="auto" w:sz="4" w:space="0"/>
              <w:right w:val="single" w:color="auto" w:sz="4" w:space="0"/>
            </w:tcBorders>
            <w:noWrap/>
            <w:vAlign w:val="center"/>
          </w:tcPr>
          <w:p w14:paraId="553B1AB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28800000</w:t>
            </w:r>
          </w:p>
        </w:tc>
        <w:tc>
          <w:tcPr>
            <w:tcW w:w="1124" w:type="dxa"/>
            <w:tcBorders>
              <w:top w:val="nil"/>
              <w:left w:val="nil"/>
              <w:bottom w:val="single" w:color="auto" w:sz="4" w:space="0"/>
              <w:right w:val="single" w:color="auto" w:sz="4" w:space="0"/>
            </w:tcBorders>
            <w:noWrap/>
            <w:vAlign w:val="center"/>
          </w:tcPr>
          <w:p w14:paraId="577C4C4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200000</w:t>
            </w:r>
          </w:p>
        </w:tc>
        <w:tc>
          <w:tcPr>
            <w:tcW w:w="1310" w:type="dxa"/>
            <w:tcBorders>
              <w:top w:val="nil"/>
              <w:left w:val="nil"/>
              <w:bottom w:val="single" w:color="auto" w:sz="4" w:space="0"/>
              <w:right w:val="single" w:color="auto" w:sz="4" w:space="0"/>
            </w:tcBorders>
            <w:noWrap/>
            <w:vAlign w:val="center"/>
          </w:tcPr>
          <w:p w14:paraId="116358E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1320</w:t>
            </w:r>
          </w:p>
        </w:tc>
        <w:tc>
          <w:tcPr>
            <w:tcW w:w="960" w:type="dxa"/>
            <w:tcBorders>
              <w:top w:val="nil"/>
              <w:left w:val="nil"/>
              <w:bottom w:val="single" w:color="auto" w:sz="4" w:space="0"/>
              <w:right w:val="single" w:color="auto" w:sz="4" w:space="0"/>
            </w:tcBorders>
            <w:noWrap/>
            <w:vAlign w:val="center"/>
          </w:tcPr>
          <w:p w14:paraId="2B5720D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123" w:type="dxa"/>
            <w:tcBorders>
              <w:top w:val="nil"/>
              <w:left w:val="nil"/>
              <w:bottom w:val="single" w:color="auto" w:sz="4" w:space="0"/>
              <w:right w:val="single" w:color="auto" w:sz="4" w:space="0"/>
            </w:tcBorders>
            <w:noWrap/>
            <w:vAlign w:val="center"/>
          </w:tcPr>
          <w:p w14:paraId="4892A58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3.26E-05</w:t>
            </w:r>
          </w:p>
        </w:tc>
        <w:tc>
          <w:tcPr>
            <w:tcW w:w="1123" w:type="dxa"/>
            <w:tcBorders>
              <w:top w:val="nil"/>
              <w:left w:val="nil"/>
              <w:bottom w:val="single" w:color="auto" w:sz="4" w:space="0"/>
              <w:right w:val="single" w:color="auto" w:sz="4" w:space="0"/>
            </w:tcBorders>
            <w:noWrap/>
            <w:vAlign w:val="center"/>
          </w:tcPr>
          <w:p w14:paraId="3CE5F1D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0.0101</w:t>
            </w:r>
          </w:p>
        </w:tc>
        <w:tc>
          <w:tcPr>
            <w:tcW w:w="1420" w:type="dxa"/>
            <w:tcBorders>
              <w:top w:val="nil"/>
              <w:left w:val="nil"/>
              <w:bottom w:val="single" w:color="auto" w:sz="4" w:space="0"/>
              <w:right w:val="single" w:color="auto" w:sz="4" w:space="0"/>
            </w:tcBorders>
            <w:noWrap/>
            <w:vAlign w:val="center"/>
          </w:tcPr>
          <w:p w14:paraId="5C7B498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0.010</w:t>
            </w:r>
          </w:p>
        </w:tc>
      </w:tr>
      <w:tr w14:paraId="0BA1CE25">
        <w:tblPrEx>
          <w:tblCellMar>
            <w:top w:w="0" w:type="dxa"/>
            <w:left w:w="108" w:type="dxa"/>
            <w:bottom w:w="0" w:type="dxa"/>
            <w:right w:w="108" w:type="dxa"/>
          </w:tblCellMar>
        </w:tblPrEx>
        <w:tc>
          <w:tcPr>
            <w:tcW w:w="1696" w:type="dxa"/>
            <w:tcBorders>
              <w:top w:val="nil"/>
              <w:left w:val="single" w:color="auto" w:sz="4" w:space="0"/>
              <w:bottom w:val="single" w:color="auto" w:sz="4" w:space="0"/>
              <w:right w:val="single" w:color="auto" w:sz="4" w:space="0"/>
            </w:tcBorders>
            <w:vAlign w:val="center"/>
          </w:tcPr>
          <w:p w14:paraId="763B7786">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铬及其化合物</w:t>
            </w:r>
          </w:p>
        </w:tc>
        <w:tc>
          <w:tcPr>
            <w:tcW w:w="1140" w:type="dxa"/>
            <w:tcBorders>
              <w:top w:val="nil"/>
              <w:left w:val="nil"/>
              <w:bottom w:val="single" w:color="auto" w:sz="4" w:space="0"/>
              <w:right w:val="single" w:color="auto" w:sz="4" w:space="0"/>
            </w:tcBorders>
            <w:noWrap/>
            <w:vAlign w:val="center"/>
          </w:tcPr>
          <w:p w14:paraId="62653F2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1411" w:type="dxa"/>
            <w:tcBorders>
              <w:top w:val="nil"/>
              <w:left w:val="nil"/>
              <w:bottom w:val="single" w:color="auto" w:sz="4" w:space="0"/>
              <w:right w:val="single" w:color="auto" w:sz="4" w:space="0"/>
            </w:tcBorders>
            <w:vAlign w:val="center"/>
          </w:tcPr>
          <w:p w14:paraId="61356B2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7.48E-08</w:t>
            </w:r>
          </w:p>
        </w:tc>
        <w:tc>
          <w:tcPr>
            <w:tcW w:w="1277" w:type="dxa"/>
            <w:tcBorders>
              <w:top w:val="nil"/>
              <w:left w:val="nil"/>
              <w:bottom w:val="single" w:color="auto" w:sz="4" w:space="0"/>
              <w:right w:val="single" w:color="auto" w:sz="4" w:space="0"/>
            </w:tcBorders>
            <w:noWrap/>
            <w:vAlign w:val="center"/>
          </w:tcPr>
          <w:p w14:paraId="595C8DC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144" w:type="dxa"/>
            <w:tcBorders>
              <w:top w:val="nil"/>
              <w:left w:val="nil"/>
              <w:bottom w:val="single" w:color="auto" w:sz="4" w:space="0"/>
              <w:right w:val="single" w:color="auto" w:sz="4" w:space="0"/>
            </w:tcBorders>
            <w:noWrap/>
            <w:vAlign w:val="center"/>
          </w:tcPr>
          <w:p w14:paraId="4EB830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28800000</w:t>
            </w:r>
          </w:p>
        </w:tc>
        <w:tc>
          <w:tcPr>
            <w:tcW w:w="1124" w:type="dxa"/>
            <w:tcBorders>
              <w:top w:val="nil"/>
              <w:left w:val="nil"/>
              <w:bottom w:val="single" w:color="auto" w:sz="4" w:space="0"/>
              <w:right w:val="single" w:color="auto" w:sz="4" w:space="0"/>
            </w:tcBorders>
            <w:noWrap/>
            <w:vAlign w:val="center"/>
          </w:tcPr>
          <w:p w14:paraId="0B3B182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200000</w:t>
            </w:r>
          </w:p>
        </w:tc>
        <w:tc>
          <w:tcPr>
            <w:tcW w:w="1310" w:type="dxa"/>
            <w:tcBorders>
              <w:top w:val="nil"/>
              <w:left w:val="nil"/>
              <w:bottom w:val="single" w:color="auto" w:sz="4" w:space="0"/>
              <w:right w:val="single" w:color="auto" w:sz="4" w:space="0"/>
            </w:tcBorders>
            <w:noWrap/>
            <w:vAlign w:val="center"/>
          </w:tcPr>
          <w:p w14:paraId="077A527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1320</w:t>
            </w:r>
          </w:p>
        </w:tc>
        <w:tc>
          <w:tcPr>
            <w:tcW w:w="960" w:type="dxa"/>
            <w:tcBorders>
              <w:top w:val="nil"/>
              <w:left w:val="nil"/>
              <w:bottom w:val="single" w:color="auto" w:sz="4" w:space="0"/>
              <w:right w:val="single" w:color="auto" w:sz="4" w:space="0"/>
            </w:tcBorders>
            <w:noWrap/>
            <w:vAlign w:val="center"/>
          </w:tcPr>
          <w:p w14:paraId="7ABA6EE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123" w:type="dxa"/>
            <w:tcBorders>
              <w:top w:val="nil"/>
              <w:left w:val="nil"/>
              <w:bottom w:val="single" w:color="auto" w:sz="4" w:space="0"/>
              <w:right w:val="single" w:color="auto" w:sz="4" w:space="0"/>
            </w:tcBorders>
            <w:noWrap/>
            <w:vAlign w:val="center"/>
          </w:tcPr>
          <w:p w14:paraId="5D3C8AC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8.16E-07</w:t>
            </w:r>
          </w:p>
        </w:tc>
        <w:tc>
          <w:tcPr>
            <w:tcW w:w="1123" w:type="dxa"/>
            <w:tcBorders>
              <w:top w:val="nil"/>
              <w:left w:val="nil"/>
              <w:bottom w:val="single" w:color="auto" w:sz="4" w:space="0"/>
              <w:right w:val="single" w:color="auto" w:sz="4" w:space="0"/>
            </w:tcBorders>
            <w:noWrap/>
            <w:vAlign w:val="center"/>
          </w:tcPr>
          <w:p w14:paraId="76A5A50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20" w:type="dxa"/>
            <w:tcBorders>
              <w:top w:val="nil"/>
              <w:left w:val="nil"/>
              <w:bottom w:val="single" w:color="auto" w:sz="4" w:space="0"/>
              <w:right w:val="single" w:color="auto" w:sz="4" w:space="0"/>
            </w:tcBorders>
            <w:noWrap/>
            <w:vAlign w:val="center"/>
          </w:tcPr>
          <w:p w14:paraId="4BB8CD1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0.00000082</w:t>
            </w:r>
          </w:p>
        </w:tc>
      </w:tr>
      <w:tr w14:paraId="16544DF9">
        <w:tblPrEx>
          <w:tblCellMar>
            <w:top w:w="0" w:type="dxa"/>
            <w:left w:w="108" w:type="dxa"/>
            <w:bottom w:w="0" w:type="dxa"/>
            <w:right w:w="108" w:type="dxa"/>
          </w:tblCellMar>
        </w:tblPrEx>
        <w:tc>
          <w:tcPr>
            <w:tcW w:w="1696" w:type="dxa"/>
            <w:tcBorders>
              <w:top w:val="nil"/>
              <w:left w:val="single" w:color="auto" w:sz="4" w:space="0"/>
              <w:bottom w:val="single" w:color="auto" w:sz="4" w:space="0"/>
              <w:right w:val="single" w:color="auto" w:sz="4" w:space="0"/>
            </w:tcBorders>
            <w:vAlign w:val="center"/>
          </w:tcPr>
          <w:p w14:paraId="596E178A">
            <w:pPr>
              <w:pStyle w:val="109"/>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二噁英类</w:t>
            </w:r>
            <w:r>
              <w:rPr>
                <w:color w:val="000000" w:themeColor="text1"/>
                <w:szCs w:val="21"/>
                <w14:textFill>
                  <w14:solidFill>
                    <w14:schemeClr w14:val="tx1"/>
                  </w14:solidFill>
                </w14:textFill>
              </w:rPr>
              <w:t>pgTEQ/Nm³</w:t>
            </w:r>
          </w:p>
        </w:tc>
        <w:tc>
          <w:tcPr>
            <w:tcW w:w="1140" w:type="dxa"/>
            <w:tcBorders>
              <w:top w:val="nil"/>
              <w:left w:val="nil"/>
              <w:bottom w:val="single" w:color="auto" w:sz="4" w:space="0"/>
              <w:right w:val="single" w:color="auto" w:sz="4" w:space="0"/>
            </w:tcBorders>
            <w:noWrap/>
            <w:vAlign w:val="center"/>
          </w:tcPr>
          <w:p w14:paraId="6F89E88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449280</w:t>
            </w:r>
          </w:p>
        </w:tc>
        <w:tc>
          <w:tcPr>
            <w:tcW w:w="1411" w:type="dxa"/>
            <w:tcBorders>
              <w:top w:val="nil"/>
              <w:left w:val="nil"/>
              <w:bottom w:val="single" w:color="auto" w:sz="4" w:space="0"/>
              <w:right w:val="single" w:color="auto" w:sz="4" w:space="0"/>
            </w:tcBorders>
            <w:vAlign w:val="center"/>
          </w:tcPr>
          <w:p w14:paraId="18A9F29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0.00078</w:t>
            </w:r>
          </w:p>
        </w:tc>
        <w:tc>
          <w:tcPr>
            <w:tcW w:w="1277" w:type="dxa"/>
            <w:tcBorders>
              <w:top w:val="nil"/>
              <w:left w:val="nil"/>
              <w:bottom w:val="single" w:color="auto" w:sz="4" w:space="0"/>
              <w:right w:val="single" w:color="auto" w:sz="4" w:space="0"/>
            </w:tcBorders>
            <w:noWrap/>
            <w:vAlign w:val="center"/>
          </w:tcPr>
          <w:p w14:paraId="4ACB334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144" w:type="dxa"/>
            <w:tcBorders>
              <w:top w:val="nil"/>
              <w:left w:val="nil"/>
              <w:bottom w:val="single" w:color="auto" w:sz="4" w:space="0"/>
              <w:right w:val="single" w:color="auto" w:sz="4" w:space="0"/>
            </w:tcBorders>
            <w:noWrap/>
            <w:vAlign w:val="center"/>
          </w:tcPr>
          <w:p w14:paraId="707B617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28800000</w:t>
            </w:r>
          </w:p>
        </w:tc>
        <w:tc>
          <w:tcPr>
            <w:tcW w:w="1124" w:type="dxa"/>
            <w:tcBorders>
              <w:top w:val="nil"/>
              <w:left w:val="nil"/>
              <w:bottom w:val="single" w:color="auto" w:sz="4" w:space="0"/>
              <w:right w:val="single" w:color="auto" w:sz="4" w:space="0"/>
            </w:tcBorders>
            <w:noWrap/>
            <w:vAlign w:val="center"/>
          </w:tcPr>
          <w:p w14:paraId="48570C4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200000</w:t>
            </w:r>
          </w:p>
        </w:tc>
        <w:tc>
          <w:tcPr>
            <w:tcW w:w="1310" w:type="dxa"/>
            <w:tcBorders>
              <w:top w:val="nil"/>
              <w:left w:val="nil"/>
              <w:bottom w:val="single" w:color="auto" w:sz="4" w:space="0"/>
              <w:right w:val="single" w:color="auto" w:sz="4" w:space="0"/>
            </w:tcBorders>
            <w:noWrap/>
            <w:vAlign w:val="center"/>
          </w:tcPr>
          <w:p w14:paraId="0413EDD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1320</w:t>
            </w:r>
          </w:p>
        </w:tc>
        <w:tc>
          <w:tcPr>
            <w:tcW w:w="960" w:type="dxa"/>
            <w:tcBorders>
              <w:top w:val="nil"/>
              <w:left w:val="nil"/>
              <w:bottom w:val="single" w:color="auto" w:sz="4" w:space="0"/>
              <w:right w:val="single" w:color="auto" w:sz="4" w:space="0"/>
            </w:tcBorders>
            <w:noWrap/>
            <w:vAlign w:val="center"/>
          </w:tcPr>
          <w:p w14:paraId="0B99090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1123" w:type="dxa"/>
            <w:tcBorders>
              <w:top w:val="nil"/>
              <w:left w:val="nil"/>
              <w:bottom w:val="single" w:color="auto" w:sz="4" w:space="0"/>
              <w:right w:val="single" w:color="auto" w:sz="4" w:space="0"/>
            </w:tcBorders>
            <w:noWrap/>
            <w:vAlign w:val="center"/>
          </w:tcPr>
          <w:p w14:paraId="08FC584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0.008509</w:t>
            </w:r>
          </w:p>
        </w:tc>
        <w:tc>
          <w:tcPr>
            <w:tcW w:w="1123" w:type="dxa"/>
            <w:tcBorders>
              <w:top w:val="nil"/>
              <w:left w:val="nil"/>
              <w:bottom w:val="single" w:color="auto" w:sz="4" w:space="0"/>
              <w:right w:val="single" w:color="auto" w:sz="4" w:space="0"/>
            </w:tcBorders>
            <w:noWrap/>
            <w:vAlign w:val="center"/>
          </w:tcPr>
          <w:p w14:paraId="53D2F2C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420" w:type="dxa"/>
            <w:tcBorders>
              <w:top w:val="nil"/>
              <w:left w:val="nil"/>
              <w:bottom w:val="single" w:color="auto" w:sz="4" w:space="0"/>
              <w:right w:val="single" w:color="auto" w:sz="4" w:space="0"/>
            </w:tcBorders>
            <w:noWrap/>
            <w:vAlign w:val="center"/>
          </w:tcPr>
          <w:p w14:paraId="5EB9BB5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0.0085</w:t>
            </w:r>
          </w:p>
        </w:tc>
      </w:tr>
    </w:tbl>
    <w:p w14:paraId="5AEC897A">
      <w:pPr>
        <w:pStyle w:val="1232"/>
        <w:spacing w:line="504" w:lineRule="exact"/>
        <w:ind w:firstLine="480"/>
        <w:jc w:val="both"/>
        <w:rPr>
          <w:rFonts w:hint="eastAsia"/>
          <w:color w:val="000000" w:themeColor="text1"/>
          <w14:textFill>
            <w14:solidFill>
              <w14:schemeClr w14:val="tx1"/>
            </w14:solidFill>
          </w14:textFill>
        </w:rPr>
        <w:sectPr>
          <w:type w:val="nextColumn"/>
          <w:pgSz w:w="16838" w:h="11906" w:orient="landscape"/>
          <w:pgMar w:top="1247" w:right="1418" w:bottom="1247" w:left="1418" w:header="964" w:footer="964" w:gutter="0"/>
          <w:cols w:space="720" w:num="1"/>
          <w:docGrid w:linePitch="312" w:charSpace="0"/>
        </w:sectPr>
      </w:pPr>
    </w:p>
    <w:p w14:paraId="750CD82A">
      <w:pPr>
        <w:ind w:firstLine="480"/>
        <w:rPr>
          <w:color w:val="000000" w:themeColor="text1"/>
          <w14:textFill>
            <w14:solidFill>
              <w14:schemeClr w14:val="tx1"/>
            </w14:solidFill>
          </w14:textFill>
        </w:rPr>
      </w:pPr>
      <w:r>
        <w:rPr>
          <w:color w:val="000000" w:themeColor="text1"/>
          <w14:textFill>
            <w14:solidFill>
              <w14:schemeClr w14:val="tx1"/>
            </w14:solidFill>
          </w14:textFill>
        </w:rPr>
        <w:t>现状土壤环境质量监测结果表明：本项目用地范围内各监测点土壤监测指标均不超标，低于</w:t>
      </w:r>
      <w:r>
        <w:rPr>
          <w:rFonts w:eastAsia="Times New Roman"/>
          <w:color w:val="000000" w:themeColor="text1"/>
          <w:lang w:bidi="en-US"/>
          <w14:textFill>
            <w14:solidFill>
              <w14:schemeClr w14:val="tx1"/>
            </w14:solidFill>
          </w14:textFill>
        </w:rPr>
        <w:t>GB36600-2018</w:t>
      </w:r>
      <w:r>
        <w:rPr>
          <w:color w:val="000000" w:themeColor="text1"/>
          <w14:textFill>
            <w14:solidFill>
              <w14:schemeClr w14:val="tx1"/>
            </w14:solidFill>
          </w14:textFill>
        </w:rPr>
        <w:t>第二类建设用地筛选值。</w:t>
      </w:r>
    </w:p>
    <w:p w14:paraId="14AA1F96">
      <w:pPr>
        <w:ind w:firstLine="480"/>
        <w:rPr>
          <w:color w:val="000000" w:themeColor="text1"/>
          <w14:textFill>
            <w14:solidFill>
              <w14:schemeClr w14:val="tx1"/>
            </w14:solidFill>
          </w14:textFill>
        </w:rPr>
      </w:pPr>
      <w:r>
        <w:rPr>
          <w:color w:val="000000" w:themeColor="text1"/>
          <w14:textFill>
            <w14:solidFill>
              <w14:schemeClr w14:val="tx1"/>
            </w14:solidFill>
          </w14:textFill>
        </w:rPr>
        <w:t>（1）大气污染：污染物质来源于被污染的大气，污染物质主要集中在土壤表层，其主要污染物是大气中的恶臭气体等，它们降落到地表可引起土壤酸化，破坏土壤肥力与生态系统的平衡；各种大气飘尘等降落地面，会造成土壤的多种污染。</w:t>
      </w:r>
    </w:p>
    <w:p w14:paraId="5D8A8C8A">
      <w:pPr>
        <w:ind w:firstLine="480"/>
        <w:rPr>
          <w:color w:val="000000" w:themeColor="text1"/>
          <w14:textFill>
            <w14:solidFill>
              <w14:schemeClr w14:val="tx1"/>
            </w14:solidFill>
          </w14:textFill>
        </w:rPr>
      </w:pPr>
      <w:r>
        <w:rPr>
          <w:color w:val="000000" w:themeColor="text1"/>
          <w14:textFill>
            <w14:solidFill>
              <w14:schemeClr w14:val="tx1"/>
            </w14:solidFill>
          </w14:textFill>
        </w:rPr>
        <w:t>（2）水污染：拟建项目废水和生活污水不能做到全部达标排放或事故状态下未经处理直接排放，或发生泄漏，致使土壤受到有机物、无机盐等污染物的污染。</w:t>
      </w:r>
    </w:p>
    <w:p w14:paraId="273E7C2D">
      <w:pPr>
        <w:ind w:firstLine="480"/>
        <w:rPr>
          <w:color w:val="000000" w:themeColor="text1"/>
          <w14:textFill>
            <w14:solidFill>
              <w14:schemeClr w14:val="tx1"/>
            </w14:solidFill>
          </w14:textFill>
        </w:rPr>
      </w:pPr>
      <w:r>
        <w:rPr>
          <w:color w:val="000000" w:themeColor="text1"/>
          <w14:textFill>
            <w14:solidFill>
              <w14:schemeClr w14:val="tx1"/>
            </w14:solidFill>
          </w14:textFill>
        </w:rPr>
        <w:t>（3）固体废物污染：拟建项目污泥等在储存、运输、堆放过程中通过扩散、降水淋洗等直接或间接地影响土壤。</w:t>
      </w:r>
    </w:p>
    <w:p w14:paraId="232E8F5C">
      <w:pPr>
        <w:ind w:firstLine="480"/>
        <w:rPr>
          <w:color w:val="000000" w:themeColor="text1"/>
          <w14:textFill>
            <w14:solidFill>
              <w14:schemeClr w14:val="tx1"/>
            </w14:solidFill>
          </w14:textFill>
        </w:rPr>
      </w:pPr>
      <w:r>
        <w:rPr>
          <w:color w:val="000000" w:themeColor="text1"/>
          <w14:textFill>
            <w14:solidFill>
              <w14:schemeClr w14:val="tx1"/>
            </w14:solidFill>
          </w14:textFill>
        </w:rPr>
        <w:t>通过类比分析及数值预测可知，本项目建设对厂址附近土壤环境影响较小。</w:t>
      </w:r>
    </w:p>
    <w:p w14:paraId="6288102D">
      <w:pPr>
        <w:pStyle w:val="4"/>
        <w:rPr>
          <w:color w:val="000000" w:themeColor="text1"/>
          <w14:textFill>
            <w14:solidFill>
              <w14:schemeClr w14:val="tx1"/>
            </w14:solidFill>
          </w14:textFill>
        </w:rPr>
      </w:pPr>
      <w:r>
        <w:rPr>
          <w:color w:val="000000" w:themeColor="text1"/>
          <w14:textFill>
            <w14:solidFill>
              <w14:schemeClr w14:val="tx1"/>
            </w14:solidFill>
          </w14:textFill>
        </w:rPr>
        <w:t>土壤的污染及防治措施</w:t>
      </w:r>
    </w:p>
    <w:p w14:paraId="06AE8CB9">
      <w:pPr>
        <w:ind w:firstLine="480"/>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）源头控制：加强废气收集与处理设备的维护，避免出现有组织废气超标排放，降低物质泄漏和污染土壤环境的隐患。</w:t>
      </w:r>
    </w:p>
    <w:p w14:paraId="71594562">
      <w:pPr>
        <w:ind w:firstLine="480"/>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过程防控：厂区内涉及化学品区域，应设置硬化地面或围堰；根据分区防渗原则，厂区内各装置区、车间、危废暂存间、厂区室外地面应采取有效的硬化与防渗措施。通过分区防渗和严格管理，地面防渗措施满足《环境影响评价技术导则地下水环境》</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HJ610-2016</w:t>
      </w:r>
      <w:r>
        <w:rPr>
          <w:color w:val="000000" w:themeColor="text1"/>
          <w:lang w:bidi="en-US"/>
          <w14:textFill>
            <w14:solidFill>
              <w14:schemeClr w14:val="tx1"/>
            </w14:solidFill>
          </w14:textFill>
        </w:rPr>
        <w:t>）</w:t>
      </w:r>
      <w:r>
        <w:rPr>
          <w:color w:val="000000" w:themeColor="text1"/>
          <w14:textFill>
            <w14:solidFill>
              <w14:schemeClr w14:val="tx1"/>
            </w14:solidFill>
          </w14:textFill>
        </w:rPr>
        <w:t>和《危险废物贮存污染控制标准》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GB18597-2001</w:t>
      </w:r>
      <w:r>
        <w:rPr>
          <w:color w:val="000000" w:themeColor="text1"/>
          <w:lang w:bidi="en-US"/>
          <w14:textFill>
            <w14:solidFill>
              <w14:schemeClr w14:val="tx1"/>
            </w14:solidFill>
          </w14:textFill>
        </w:rPr>
        <w:t>）</w:t>
      </w:r>
      <w:r>
        <w:rPr>
          <w:color w:val="000000" w:themeColor="text1"/>
          <w14:textFill>
            <w14:solidFill>
              <w14:schemeClr w14:val="tx1"/>
            </w14:solidFill>
          </w14:textFill>
        </w:rPr>
        <w:t>规定的防渗要求。此外，企业还应加强对防渗地坪的维护，保证防渗效果。</w:t>
      </w:r>
    </w:p>
    <w:p w14:paraId="08C7B8F1">
      <w:pPr>
        <w:ind w:firstLine="480"/>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）跟踪监测：企业应定期进行装置区、车间、废气处理区、污水处理区等区域的上下游开展动态监测，掌握占地范围内土壤环境质量情况，保证项目建设不对土壤造成污染。</w:t>
      </w:r>
    </w:p>
    <w:p w14:paraId="37FAB02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本项目在落实土壤保护措施的前提下，项目建设对厂区及周围土壤环境的影响可接受。</w:t>
      </w:r>
    </w:p>
    <w:p w14:paraId="01EA92FA">
      <w:pPr>
        <w:pStyle w:val="4"/>
        <w:rPr>
          <w:color w:val="000000" w:themeColor="text1"/>
          <w14:textFill>
            <w14:solidFill>
              <w14:schemeClr w14:val="tx1"/>
            </w14:solidFill>
          </w14:textFill>
        </w:rPr>
      </w:pPr>
      <w:r>
        <w:rPr>
          <w:color w:val="000000" w:themeColor="text1"/>
          <w14:textFill>
            <w14:solidFill>
              <w14:schemeClr w14:val="tx1"/>
            </w14:solidFill>
          </w14:textFill>
        </w:rPr>
        <w:t>土壤评价结论</w:t>
      </w:r>
    </w:p>
    <w:p w14:paraId="1F152CF5">
      <w:pPr>
        <w:ind w:firstLine="480"/>
        <w:rPr>
          <w:color w:val="000000" w:themeColor="text1"/>
          <w14:textFill>
            <w14:solidFill>
              <w14:schemeClr w14:val="tx1"/>
            </w14:solidFill>
          </w14:textFill>
        </w:rPr>
      </w:pPr>
      <w:r>
        <w:rPr>
          <w:color w:val="000000" w:themeColor="text1"/>
          <w14:textFill>
            <w14:solidFill>
              <w14:schemeClr w14:val="tx1"/>
            </w14:solidFill>
          </w14:textFill>
        </w:rPr>
        <w:t>综上分析，厂区及周边区域目前土壤环境质量良好；根据预测评价，拟建项目运营期对其土壤环境影响较小；在严格落实土壤环境保护措施的条件下，拟建项目对土壤环境影响风险较小。从土壤保护的角度考虑，项目建设基本可行。</w:t>
      </w:r>
    </w:p>
    <w:p w14:paraId="0A6A65F6">
      <w:pPr>
        <w:pStyle w:val="117"/>
        <w:rPr>
          <w:rFonts w:hint="eastAsia"/>
          <w:color w:val="000000" w:themeColor="text1"/>
          <w14:textFill>
            <w14:solidFill>
              <w14:schemeClr w14:val="tx1"/>
            </w14:solidFill>
          </w14:textFill>
        </w:rPr>
      </w:pPr>
      <w:r>
        <w:rPr>
          <w:color w:val="000000" w:themeColor="text1"/>
          <w14:textFill>
            <w14:solidFill>
              <w14:schemeClr w14:val="tx1"/>
            </w14:solidFill>
          </w14:textFill>
        </w:rPr>
        <w:t>土壤环境影响评价自查表</w:t>
      </w:r>
    </w:p>
    <w:tbl>
      <w:tblPr>
        <w:tblStyle w:val="76"/>
        <w:tblW w:w="9582" w:type="dxa"/>
        <w:jc w:val="center"/>
        <w:tblLayout w:type="fixed"/>
        <w:tblCellMar>
          <w:top w:w="0" w:type="dxa"/>
          <w:left w:w="85" w:type="dxa"/>
          <w:bottom w:w="0" w:type="dxa"/>
          <w:right w:w="85" w:type="dxa"/>
        </w:tblCellMar>
      </w:tblPr>
      <w:tblGrid>
        <w:gridCol w:w="992"/>
        <w:gridCol w:w="1970"/>
        <w:gridCol w:w="869"/>
        <w:gridCol w:w="223"/>
        <w:gridCol w:w="658"/>
        <w:gridCol w:w="881"/>
        <w:gridCol w:w="1013"/>
        <w:gridCol w:w="1276"/>
        <w:gridCol w:w="1700"/>
      </w:tblGrid>
      <w:tr w14:paraId="4B6BC0C8">
        <w:tblPrEx>
          <w:tblCellMar>
            <w:top w:w="0" w:type="dxa"/>
            <w:left w:w="85" w:type="dxa"/>
            <w:bottom w:w="0" w:type="dxa"/>
            <w:right w:w="85" w:type="dxa"/>
          </w:tblCellMar>
        </w:tblPrEx>
        <w:trPr>
          <w:jc w:val="center"/>
        </w:trPr>
        <w:tc>
          <w:tcPr>
            <w:tcW w:w="2962" w:type="dxa"/>
            <w:gridSpan w:val="2"/>
            <w:tcBorders>
              <w:top w:val="single" w:color="000000" w:sz="4" w:space="0"/>
              <w:left w:val="single" w:color="000000" w:sz="4" w:space="0"/>
              <w:bottom w:val="single" w:color="000000" w:sz="4" w:space="0"/>
              <w:right w:val="single" w:color="000000" w:sz="4" w:space="0"/>
            </w:tcBorders>
            <w:vAlign w:val="center"/>
          </w:tcPr>
          <w:p w14:paraId="2ED64644">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工作内容</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6D526582">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完成情况</w:t>
            </w:r>
          </w:p>
        </w:tc>
        <w:tc>
          <w:tcPr>
            <w:tcW w:w="1700" w:type="dxa"/>
            <w:tcBorders>
              <w:top w:val="single" w:color="000000" w:sz="4" w:space="0"/>
              <w:left w:val="single" w:color="000000" w:sz="4" w:space="0"/>
              <w:bottom w:val="single" w:color="000000" w:sz="4" w:space="0"/>
              <w:right w:val="single" w:color="000000" w:sz="4" w:space="0"/>
            </w:tcBorders>
            <w:vAlign w:val="center"/>
          </w:tcPr>
          <w:p w14:paraId="0D0D1F05">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备注</w:t>
            </w:r>
          </w:p>
        </w:tc>
      </w:tr>
      <w:tr w14:paraId="421FCD3B">
        <w:tblPrEx>
          <w:tblCellMar>
            <w:top w:w="0" w:type="dxa"/>
            <w:left w:w="85" w:type="dxa"/>
            <w:bottom w:w="0" w:type="dxa"/>
            <w:right w:w="85" w:type="dxa"/>
          </w:tblCellMar>
        </w:tblPrEx>
        <w:trPr>
          <w:jc w:val="center"/>
        </w:trPr>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7FCF9ACF">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影响识别</w:t>
            </w:r>
          </w:p>
        </w:tc>
        <w:tc>
          <w:tcPr>
            <w:tcW w:w="1970" w:type="dxa"/>
            <w:tcBorders>
              <w:top w:val="single" w:color="000000" w:sz="4" w:space="0"/>
              <w:left w:val="single" w:color="000000" w:sz="4" w:space="0"/>
              <w:bottom w:val="single" w:color="000000" w:sz="4" w:space="0"/>
              <w:right w:val="single" w:color="000000" w:sz="4" w:space="0"/>
            </w:tcBorders>
            <w:vAlign w:val="center"/>
          </w:tcPr>
          <w:p w14:paraId="5A72F574">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影响类型</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073F3F88">
            <w:pPr>
              <w:pStyle w:val="109"/>
              <w:rPr>
                <w:color w:val="000000" w:themeColor="text1"/>
                <w14:textFill>
                  <w14:solidFill>
                    <w14:schemeClr w14:val="tx1"/>
                  </w14:solidFill>
                </w14:textFill>
              </w:rPr>
            </w:pPr>
            <w:r>
              <w:rPr>
                <w:color w:val="000000" w:themeColor="text1"/>
                <w14:textFill>
                  <w14:solidFill>
                    <w14:schemeClr w14:val="tx1"/>
                  </w14:solidFill>
                </w14:textFill>
              </w:rPr>
              <w:t>污染影响型</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；生态影响型□；两种兼有□</w:t>
            </w:r>
          </w:p>
        </w:tc>
        <w:tc>
          <w:tcPr>
            <w:tcW w:w="1700" w:type="dxa"/>
            <w:tcBorders>
              <w:top w:val="single" w:color="000000" w:sz="4" w:space="0"/>
              <w:left w:val="single" w:color="000000" w:sz="4" w:space="0"/>
              <w:bottom w:val="single" w:color="000000" w:sz="4" w:space="0"/>
              <w:right w:val="single" w:color="000000" w:sz="4" w:space="0"/>
            </w:tcBorders>
            <w:vAlign w:val="center"/>
          </w:tcPr>
          <w:p w14:paraId="2074F676">
            <w:pPr>
              <w:pStyle w:val="109"/>
              <w:rPr>
                <w:color w:val="000000" w:themeColor="text1"/>
                <w14:textFill>
                  <w14:solidFill>
                    <w14:schemeClr w14:val="tx1"/>
                  </w14:solidFill>
                </w14:textFill>
              </w:rPr>
            </w:pPr>
          </w:p>
        </w:tc>
      </w:tr>
      <w:tr w14:paraId="1E86B163">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59112B65">
            <w:pPr>
              <w:pStyle w:val="109"/>
              <w:rPr>
                <w:color w:val="000000" w:themeColor="text1"/>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02BAAF2A">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土地利用类型</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4EDEA032">
            <w:pPr>
              <w:pStyle w:val="109"/>
              <w:rPr>
                <w:color w:val="000000" w:themeColor="text1"/>
                <w14:textFill>
                  <w14:solidFill>
                    <w14:schemeClr w14:val="tx1"/>
                  </w14:solidFill>
                </w14:textFill>
              </w:rPr>
            </w:pPr>
            <w:r>
              <w:rPr>
                <w:color w:val="000000" w:themeColor="text1"/>
                <w14:textFill>
                  <w14:solidFill>
                    <w14:schemeClr w14:val="tx1"/>
                  </w14:solidFill>
                </w14:textFill>
              </w:rPr>
              <w:t>建设用地</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；农用地□；未利用地□</w:t>
            </w:r>
          </w:p>
        </w:tc>
        <w:tc>
          <w:tcPr>
            <w:tcW w:w="1700" w:type="dxa"/>
            <w:tcBorders>
              <w:top w:val="single" w:color="000000" w:sz="4" w:space="0"/>
              <w:left w:val="single" w:color="000000" w:sz="4" w:space="0"/>
              <w:bottom w:val="single" w:color="000000" w:sz="4" w:space="0"/>
              <w:right w:val="single" w:color="000000" w:sz="4" w:space="0"/>
            </w:tcBorders>
            <w:vAlign w:val="center"/>
          </w:tcPr>
          <w:p w14:paraId="4DB47203">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土地利用类型图</w:t>
            </w:r>
          </w:p>
        </w:tc>
      </w:tr>
      <w:tr w14:paraId="649EC043">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304FE3B4">
            <w:pPr>
              <w:pStyle w:val="109"/>
              <w:rPr>
                <w:color w:val="000000" w:themeColor="text1"/>
                <w:lang w:eastAsia="en-US"/>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03DF47D6">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占地规模</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27D38F3F">
            <w:pPr>
              <w:pStyle w:val="109"/>
              <w:rPr>
                <w:color w:val="000000" w:themeColor="text1"/>
                <w:lang w:eastAsia="en-US"/>
                <w14:textFill>
                  <w14:solidFill>
                    <w14:schemeClr w14:val="tx1"/>
                  </w14:solidFill>
                </w14:textFill>
              </w:rPr>
            </w:pPr>
            <w:r>
              <w:rPr>
                <w:rFonts w:hint="eastAsia"/>
                <w:color w:val="000000" w:themeColor="text1"/>
                <w14:textFill>
                  <w14:solidFill>
                    <w14:schemeClr w14:val="tx1"/>
                  </w14:solidFill>
                </w14:textFill>
              </w:rPr>
              <w:t>3360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p>
        </w:tc>
        <w:tc>
          <w:tcPr>
            <w:tcW w:w="1700" w:type="dxa"/>
            <w:tcBorders>
              <w:top w:val="single" w:color="000000" w:sz="4" w:space="0"/>
              <w:left w:val="single" w:color="000000" w:sz="4" w:space="0"/>
              <w:bottom w:val="single" w:color="000000" w:sz="4" w:space="0"/>
              <w:right w:val="single" w:color="000000" w:sz="4" w:space="0"/>
            </w:tcBorders>
            <w:vAlign w:val="center"/>
          </w:tcPr>
          <w:p w14:paraId="7A2B27B2">
            <w:pPr>
              <w:pStyle w:val="109"/>
              <w:rPr>
                <w:color w:val="000000" w:themeColor="text1"/>
                <w:lang w:eastAsia="en-US"/>
                <w14:textFill>
                  <w14:solidFill>
                    <w14:schemeClr w14:val="tx1"/>
                  </w14:solidFill>
                </w14:textFill>
              </w:rPr>
            </w:pPr>
          </w:p>
        </w:tc>
      </w:tr>
      <w:tr w14:paraId="2C008200">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3942BA0F">
            <w:pPr>
              <w:pStyle w:val="109"/>
              <w:rPr>
                <w:color w:val="000000" w:themeColor="text1"/>
                <w:lang w:eastAsia="en-US"/>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4FE8A49E">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敏感目标信息</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2B003311">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无</w:t>
            </w:r>
          </w:p>
        </w:tc>
        <w:tc>
          <w:tcPr>
            <w:tcW w:w="1700" w:type="dxa"/>
            <w:tcBorders>
              <w:top w:val="single" w:color="000000" w:sz="4" w:space="0"/>
              <w:left w:val="single" w:color="000000" w:sz="4" w:space="0"/>
              <w:bottom w:val="single" w:color="000000" w:sz="4" w:space="0"/>
              <w:right w:val="single" w:color="000000" w:sz="4" w:space="0"/>
            </w:tcBorders>
            <w:vAlign w:val="center"/>
          </w:tcPr>
          <w:p w14:paraId="41B3DBB5">
            <w:pPr>
              <w:pStyle w:val="109"/>
              <w:rPr>
                <w:color w:val="000000" w:themeColor="text1"/>
                <w:lang w:eastAsia="en-US"/>
                <w14:textFill>
                  <w14:solidFill>
                    <w14:schemeClr w14:val="tx1"/>
                  </w14:solidFill>
                </w14:textFill>
              </w:rPr>
            </w:pPr>
          </w:p>
        </w:tc>
      </w:tr>
      <w:tr w14:paraId="0A5309F6">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2A880C46">
            <w:pPr>
              <w:pStyle w:val="109"/>
              <w:rPr>
                <w:color w:val="000000" w:themeColor="text1"/>
                <w:lang w:eastAsia="en-US"/>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404B9DD7">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影响途径</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2FF314BA">
            <w:pPr>
              <w:pStyle w:val="109"/>
              <w:rPr>
                <w:color w:val="000000" w:themeColor="text1"/>
                <w14:textFill>
                  <w14:solidFill>
                    <w14:schemeClr w14:val="tx1"/>
                  </w14:solidFill>
                </w14:textFill>
              </w:rPr>
            </w:pPr>
            <w:r>
              <w:rPr>
                <w:color w:val="000000" w:themeColor="text1"/>
                <w14:textFill>
                  <w14:solidFill>
                    <w14:schemeClr w14:val="tx1"/>
                  </w14:solidFill>
                </w14:textFill>
              </w:rPr>
              <w:t>大气沉降</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；地表漫流□；垂直入渗□；地下水□；其他（）</w:t>
            </w:r>
          </w:p>
        </w:tc>
        <w:tc>
          <w:tcPr>
            <w:tcW w:w="1700" w:type="dxa"/>
            <w:tcBorders>
              <w:top w:val="single" w:color="000000" w:sz="4" w:space="0"/>
              <w:left w:val="single" w:color="000000" w:sz="4" w:space="0"/>
              <w:bottom w:val="single" w:color="000000" w:sz="4" w:space="0"/>
              <w:right w:val="single" w:color="000000" w:sz="4" w:space="0"/>
            </w:tcBorders>
            <w:vAlign w:val="center"/>
          </w:tcPr>
          <w:p w14:paraId="1B6EF253">
            <w:pPr>
              <w:pStyle w:val="109"/>
              <w:rPr>
                <w:color w:val="000000" w:themeColor="text1"/>
                <w14:textFill>
                  <w14:solidFill>
                    <w14:schemeClr w14:val="tx1"/>
                  </w14:solidFill>
                </w14:textFill>
              </w:rPr>
            </w:pPr>
          </w:p>
        </w:tc>
      </w:tr>
      <w:tr w14:paraId="331FE083">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2EB1D180">
            <w:pPr>
              <w:pStyle w:val="109"/>
              <w:rPr>
                <w:color w:val="000000" w:themeColor="text1"/>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76BED8A3">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全部污染物</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1289EDD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0" w:type="dxa"/>
            <w:tcBorders>
              <w:top w:val="single" w:color="000000" w:sz="4" w:space="0"/>
              <w:left w:val="single" w:color="000000" w:sz="4" w:space="0"/>
              <w:bottom w:val="single" w:color="000000" w:sz="4" w:space="0"/>
              <w:right w:val="single" w:color="000000" w:sz="4" w:space="0"/>
            </w:tcBorders>
            <w:vAlign w:val="center"/>
          </w:tcPr>
          <w:p w14:paraId="5074FD22">
            <w:pPr>
              <w:pStyle w:val="109"/>
              <w:rPr>
                <w:color w:val="000000" w:themeColor="text1"/>
                <w:lang w:eastAsia="en-US"/>
                <w14:textFill>
                  <w14:solidFill>
                    <w14:schemeClr w14:val="tx1"/>
                  </w14:solidFill>
                </w14:textFill>
              </w:rPr>
            </w:pPr>
          </w:p>
        </w:tc>
      </w:tr>
      <w:tr w14:paraId="177C6BBA">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68F4CF4A">
            <w:pPr>
              <w:pStyle w:val="109"/>
              <w:rPr>
                <w:color w:val="000000" w:themeColor="text1"/>
                <w:lang w:eastAsia="en-US"/>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12C13196">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特征因子</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189809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汞及其化合物、镉及其化合物、铅及其化合物、砷及其化合物、铬及其化合物、</w:t>
            </w:r>
            <w:r>
              <w:rPr>
                <w:color w:val="000000" w:themeColor="text1"/>
                <w14:textFill>
                  <w14:solidFill>
                    <w14:schemeClr w14:val="tx1"/>
                  </w14:solidFill>
                </w14:textFill>
              </w:rPr>
              <w:t>二噁英</w:t>
            </w:r>
          </w:p>
        </w:tc>
        <w:tc>
          <w:tcPr>
            <w:tcW w:w="1700" w:type="dxa"/>
            <w:tcBorders>
              <w:top w:val="single" w:color="000000" w:sz="4" w:space="0"/>
              <w:left w:val="single" w:color="000000" w:sz="4" w:space="0"/>
              <w:bottom w:val="single" w:color="000000" w:sz="4" w:space="0"/>
              <w:right w:val="single" w:color="000000" w:sz="4" w:space="0"/>
            </w:tcBorders>
            <w:vAlign w:val="center"/>
          </w:tcPr>
          <w:p w14:paraId="1BC2B3E7">
            <w:pPr>
              <w:pStyle w:val="109"/>
              <w:rPr>
                <w:color w:val="000000" w:themeColor="text1"/>
                <w14:textFill>
                  <w14:solidFill>
                    <w14:schemeClr w14:val="tx1"/>
                  </w14:solidFill>
                </w14:textFill>
              </w:rPr>
            </w:pPr>
          </w:p>
        </w:tc>
      </w:tr>
      <w:tr w14:paraId="1D19645F">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1B3D8B00">
            <w:pPr>
              <w:pStyle w:val="109"/>
              <w:rPr>
                <w:color w:val="000000" w:themeColor="text1"/>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230A3CF8">
            <w:pPr>
              <w:pStyle w:val="109"/>
              <w:rPr>
                <w:color w:val="000000" w:themeColor="text1"/>
                <w14:textFill>
                  <w14:solidFill>
                    <w14:schemeClr w14:val="tx1"/>
                  </w14:solidFill>
                </w14:textFill>
              </w:rPr>
            </w:pPr>
            <w:r>
              <w:rPr>
                <w:color w:val="000000" w:themeColor="text1"/>
                <w14:textFill>
                  <w14:solidFill>
                    <w14:schemeClr w14:val="tx1"/>
                  </w14:solidFill>
                </w14:textFill>
              </w:rPr>
              <w:t>所属土壤环境影响评价项目类别</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5AD1B1E3">
            <w:pPr>
              <w:pStyle w:val="109"/>
              <w:rPr>
                <w:color w:val="000000" w:themeColor="text1"/>
                <w14:textFill>
                  <w14:solidFill>
                    <w14:schemeClr w14:val="tx1"/>
                  </w14:solidFill>
                </w14:textFill>
              </w:rPr>
            </w:pPr>
            <w:r>
              <w:rPr>
                <w:color w:val="000000" w:themeColor="text1"/>
                <w14:textFill>
                  <w14:solidFill>
                    <w14:schemeClr w14:val="tx1"/>
                  </w14:solidFill>
                </w14:textFill>
              </w:rPr>
              <w:t>Ⅰ类</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；Ⅱ类□；Ⅲ类□；Ⅳ类□</w:t>
            </w:r>
          </w:p>
        </w:tc>
        <w:tc>
          <w:tcPr>
            <w:tcW w:w="1700" w:type="dxa"/>
            <w:tcBorders>
              <w:top w:val="single" w:color="000000" w:sz="4" w:space="0"/>
              <w:left w:val="single" w:color="000000" w:sz="4" w:space="0"/>
              <w:bottom w:val="single" w:color="000000" w:sz="4" w:space="0"/>
              <w:right w:val="single" w:color="000000" w:sz="4" w:space="0"/>
            </w:tcBorders>
            <w:vAlign w:val="center"/>
          </w:tcPr>
          <w:p w14:paraId="39A2295B">
            <w:pPr>
              <w:pStyle w:val="109"/>
              <w:rPr>
                <w:color w:val="000000" w:themeColor="text1"/>
                <w14:textFill>
                  <w14:solidFill>
                    <w14:schemeClr w14:val="tx1"/>
                  </w14:solidFill>
                </w14:textFill>
              </w:rPr>
            </w:pPr>
          </w:p>
        </w:tc>
      </w:tr>
      <w:tr w14:paraId="13CFF2A2">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single" w:color="000000" w:sz="4" w:space="0"/>
              <w:right w:val="single" w:color="000000" w:sz="4" w:space="0"/>
            </w:tcBorders>
            <w:vAlign w:val="center"/>
          </w:tcPr>
          <w:p w14:paraId="722C61F5">
            <w:pPr>
              <w:pStyle w:val="109"/>
              <w:rPr>
                <w:color w:val="000000" w:themeColor="text1"/>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2BB6DEDA">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敏感程度</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21902BF0">
            <w:pPr>
              <w:pStyle w:val="109"/>
              <w:rPr>
                <w:color w:val="000000" w:themeColor="text1"/>
                <w14:textFill>
                  <w14:solidFill>
                    <w14:schemeClr w14:val="tx1"/>
                  </w14:solidFill>
                </w14:textFill>
              </w:rPr>
            </w:pPr>
            <w:r>
              <w:rPr>
                <w:color w:val="000000" w:themeColor="text1"/>
                <w14:textFill>
                  <w14:solidFill>
                    <w14:schemeClr w14:val="tx1"/>
                  </w14:solidFill>
                </w14:textFill>
              </w:rPr>
              <w:t>敏感□；较敏感□；不敏感</w:t>
            </w:r>
            <w:r>
              <w:rPr>
                <w:rFonts w:eastAsia="Times New Roman"/>
                <w:color w:val="000000" w:themeColor="text1"/>
                <w14:textFill>
                  <w14:solidFill>
                    <w14:schemeClr w14:val="tx1"/>
                  </w14:solidFill>
                </w14:textFill>
              </w:rPr>
              <w:t>√</w:t>
            </w:r>
          </w:p>
        </w:tc>
        <w:tc>
          <w:tcPr>
            <w:tcW w:w="1700" w:type="dxa"/>
            <w:tcBorders>
              <w:top w:val="single" w:color="000000" w:sz="4" w:space="0"/>
              <w:left w:val="single" w:color="000000" w:sz="4" w:space="0"/>
              <w:bottom w:val="single" w:color="000000" w:sz="4" w:space="0"/>
              <w:right w:val="single" w:color="000000" w:sz="4" w:space="0"/>
            </w:tcBorders>
            <w:vAlign w:val="center"/>
          </w:tcPr>
          <w:p w14:paraId="32F24864">
            <w:pPr>
              <w:pStyle w:val="109"/>
              <w:rPr>
                <w:color w:val="000000" w:themeColor="text1"/>
                <w14:textFill>
                  <w14:solidFill>
                    <w14:schemeClr w14:val="tx1"/>
                  </w14:solidFill>
                </w14:textFill>
              </w:rPr>
            </w:pPr>
          </w:p>
        </w:tc>
      </w:tr>
      <w:tr w14:paraId="62848DFA">
        <w:tblPrEx>
          <w:tblCellMar>
            <w:top w:w="0" w:type="dxa"/>
            <w:left w:w="85" w:type="dxa"/>
            <w:bottom w:w="0" w:type="dxa"/>
            <w:right w:w="85" w:type="dxa"/>
          </w:tblCellMar>
        </w:tblPrEx>
        <w:trPr>
          <w:jc w:val="center"/>
        </w:trPr>
        <w:tc>
          <w:tcPr>
            <w:tcW w:w="2962" w:type="dxa"/>
            <w:gridSpan w:val="2"/>
            <w:tcBorders>
              <w:top w:val="single" w:color="000000" w:sz="4" w:space="0"/>
              <w:left w:val="single" w:color="000000" w:sz="4" w:space="0"/>
              <w:bottom w:val="single" w:color="000000" w:sz="4" w:space="0"/>
              <w:right w:val="single" w:color="000000" w:sz="4" w:space="0"/>
            </w:tcBorders>
            <w:vAlign w:val="center"/>
          </w:tcPr>
          <w:p w14:paraId="2B9BDD36">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评价工作等级</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1582287A">
            <w:pPr>
              <w:pStyle w:val="109"/>
              <w:rPr>
                <w:color w:val="000000" w:themeColor="text1"/>
                <w14:textFill>
                  <w14:solidFill>
                    <w14:schemeClr w14:val="tx1"/>
                  </w14:solidFill>
                </w14:textFill>
              </w:rPr>
            </w:pPr>
            <w:r>
              <w:rPr>
                <w:color w:val="000000" w:themeColor="text1"/>
                <w14:textFill>
                  <w14:solidFill>
                    <w14:schemeClr w14:val="tx1"/>
                  </w14:solidFill>
                </w14:textFill>
              </w:rPr>
              <w:t>一级□；二级</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；三级□</w:t>
            </w:r>
          </w:p>
        </w:tc>
        <w:tc>
          <w:tcPr>
            <w:tcW w:w="1700" w:type="dxa"/>
            <w:tcBorders>
              <w:top w:val="single" w:color="000000" w:sz="4" w:space="0"/>
              <w:left w:val="single" w:color="000000" w:sz="4" w:space="0"/>
              <w:bottom w:val="single" w:color="000000" w:sz="4" w:space="0"/>
              <w:right w:val="single" w:color="000000" w:sz="4" w:space="0"/>
            </w:tcBorders>
            <w:vAlign w:val="center"/>
          </w:tcPr>
          <w:p w14:paraId="3D578B37">
            <w:pPr>
              <w:pStyle w:val="109"/>
              <w:rPr>
                <w:color w:val="000000" w:themeColor="text1"/>
                <w14:textFill>
                  <w14:solidFill>
                    <w14:schemeClr w14:val="tx1"/>
                  </w14:solidFill>
                </w14:textFill>
              </w:rPr>
            </w:pPr>
          </w:p>
        </w:tc>
      </w:tr>
      <w:tr w14:paraId="6676F688">
        <w:tblPrEx>
          <w:tblCellMar>
            <w:top w:w="0" w:type="dxa"/>
            <w:left w:w="85" w:type="dxa"/>
            <w:bottom w:w="0" w:type="dxa"/>
            <w:right w:w="85" w:type="dxa"/>
          </w:tblCellMar>
        </w:tblPrEx>
        <w:trPr>
          <w:jc w:val="center"/>
        </w:trPr>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12479739">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现状调查内容</w:t>
            </w:r>
          </w:p>
        </w:tc>
        <w:tc>
          <w:tcPr>
            <w:tcW w:w="1970" w:type="dxa"/>
            <w:tcBorders>
              <w:top w:val="single" w:color="000000" w:sz="4" w:space="0"/>
              <w:left w:val="single" w:color="000000" w:sz="4" w:space="0"/>
              <w:bottom w:val="single" w:color="000000" w:sz="4" w:space="0"/>
              <w:right w:val="single" w:color="000000" w:sz="4" w:space="0"/>
            </w:tcBorders>
            <w:vAlign w:val="center"/>
          </w:tcPr>
          <w:p w14:paraId="5F8132A8">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资料收集</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7A8145C6">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a）</w:t>
            </w:r>
            <w:r>
              <w:rPr>
                <w:rFonts w:eastAsia="Times New Roman"/>
                <w:color w:val="000000" w:themeColor="text1"/>
                <w14:textFill>
                  <w14:solidFill>
                    <w14:schemeClr w14:val="tx1"/>
                  </w14:solidFill>
                </w14:textFill>
              </w:rPr>
              <w:t>√</w:t>
            </w:r>
            <w:r>
              <w:rPr>
                <w:color w:val="000000" w:themeColor="text1"/>
                <w:lang w:eastAsia="en-US"/>
                <w14:textFill>
                  <w14:solidFill>
                    <w14:schemeClr w14:val="tx1"/>
                  </w14:solidFill>
                </w14:textFill>
              </w:rPr>
              <w:t>；b）</w:t>
            </w:r>
            <w:r>
              <w:rPr>
                <w:rFonts w:eastAsia="Times New Roman"/>
                <w:color w:val="000000" w:themeColor="text1"/>
                <w14:textFill>
                  <w14:solidFill>
                    <w14:schemeClr w14:val="tx1"/>
                  </w14:solidFill>
                </w14:textFill>
              </w:rPr>
              <w:t>√</w:t>
            </w:r>
            <w:r>
              <w:rPr>
                <w:color w:val="000000" w:themeColor="text1"/>
                <w:lang w:eastAsia="en-US"/>
                <w14:textFill>
                  <w14:solidFill>
                    <w14:schemeClr w14:val="tx1"/>
                  </w14:solidFill>
                </w14:textFill>
              </w:rPr>
              <w:t>；c）</w:t>
            </w:r>
            <w:r>
              <w:rPr>
                <w:rFonts w:eastAsia="Times New Roman"/>
                <w:color w:val="000000" w:themeColor="text1"/>
                <w14:textFill>
                  <w14:solidFill>
                    <w14:schemeClr w14:val="tx1"/>
                  </w14:solidFill>
                </w14:textFill>
              </w:rPr>
              <w:t>√</w:t>
            </w:r>
            <w:r>
              <w:rPr>
                <w:color w:val="000000" w:themeColor="text1"/>
                <w:lang w:eastAsia="en-US"/>
                <w14:textFill>
                  <w14:solidFill>
                    <w14:schemeClr w14:val="tx1"/>
                  </w14:solidFill>
                </w14:textFill>
              </w:rPr>
              <w:t>；d）</w:t>
            </w:r>
            <w:r>
              <w:rPr>
                <w:rFonts w:eastAsia="Times New Roman"/>
                <w:color w:val="000000" w:themeColor="text1"/>
                <w14:textFill>
                  <w14:solidFill>
                    <w14:schemeClr w14:val="tx1"/>
                  </w14:solidFill>
                </w14:textFill>
              </w:rPr>
              <w:t>√</w:t>
            </w:r>
          </w:p>
        </w:tc>
        <w:tc>
          <w:tcPr>
            <w:tcW w:w="1700" w:type="dxa"/>
            <w:tcBorders>
              <w:top w:val="single" w:color="000000" w:sz="4" w:space="0"/>
              <w:left w:val="single" w:color="000000" w:sz="4" w:space="0"/>
              <w:bottom w:val="single" w:color="000000" w:sz="4" w:space="0"/>
              <w:right w:val="single" w:color="000000" w:sz="4" w:space="0"/>
            </w:tcBorders>
            <w:vAlign w:val="center"/>
          </w:tcPr>
          <w:p w14:paraId="4C5EA89A">
            <w:pPr>
              <w:pStyle w:val="109"/>
              <w:rPr>
                <w:color w:val="000000" w:themeColor="text1"/>
                <w:lang w:eastAsia="en-US"/>
                <w14:textFill>
                  <w14:solidFill>
                    <w14:schemeClr w14:val="tx1"/>
                  </w14:solidFill>
                </w14:textFill>
              </w:rPr>
            </w:pPr>
          </w:p>
        </w:tc>
      </w:tr>
      <w:tr w14:paraId="6FE0230A">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7CDCB065">
            <w:pPr>
              <w:pStyle w:val="109"/>
              <w:rPr>
                <w:color w:val="000000" w:themeColor="text1"/>
                <w:lang w:eastAsia="en-US"/>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39680F99">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理化特性</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682B32A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0" w:type="dxa"/>
            <w:tcBorders>
              <w:top w:val="single" w:color="000000" w:sz="4" w:space="0"/>
              <w:left w:val="single" w:color="000000" w:sz="4" w:space="0"/>
              <w:bottom w:val="single" w:color="000000" w:sz="4" w:space="0"/>
              <w:right w:val="single" w:color="000000" w:sz="4" w:space="0"/>
            </w:tcBorders>
            <w:vAlign w:val="center"/>
          </w:tcPr>
          <w:p w14:paraId="5C42205B">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同附录C</w:t>
            </w:r>
          </w:p>
        </w:tc>
      </w:tr>
      <w:tr w14:paraId="0A9ACAD3">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04AD2AA0">
            <w:pPr>
              <w:pStyle w:val="109"/>
              <w:rPr>
                <w:color w:val="000000" w:themeColor="text1"/>
                <w:lang w:eastAsia="en-US"/>
                <w14:textFill>
                  <w14:solidFill>
                    <w14:schemeClr w14:val="tx1"/>
                  </w14:solidFill>
                </w14:textFill>
              </w:rPr>
            </w:pPr>
          </w:p>
        </w:tc>
        <w:tc>
          <w:tcPr>
            <w:tcW w:w="1970" w:type="dxa"/>
            <w:vMerge w:val="restart"/>
            <w:tcBorders>
              <w:top w:val="single" w:color="000000" w:sz="4" w:space="0"/>
              <w:left w:val="single" w:color="000000" w:sz="4" w:space="0"/>
              <w:bottom w:val="single" w:color="000000" w:sz="4" w:space="0"/>
              <w:right w:val="single" w:color="000000" w:sz="4" w:space="0"/>
            </w:tcBorders>
            <w:vAlign w:val="center"/>
          </w:tcPr>
          <w:p w14:paraId="0248F680">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现状监测点位</w:t>
            </w:r>
          </w:p>
        </w:tc>
        <w:tc>
          <w:tcPr>
            <w:tcW w:w="869" w:type="dxa"/>
            <w:tcBorders>
              <w:top w:val="single" w:color="000000" w:sz="4" w:space="0"/>
              <w:left w:val="single" w:color="000000" w:sz="4" w:space="0"/>
              <w:bottom w:val="single" w:color="000000" w:sz="4" w:space="0"/>
              <w:right w:val="single" w:color="000000" w:sz="4" w:space="0"/>
            </w:tcBorders>
            <w:vAlign w:val="center"/>
          </w:tcPr>
          <w:p w14:paraId="44252CB8">
            <w:pPr>
              <w:pStyle w:val="109"/>
              <w:rPr>
                <w:color w:val="000000" w:themeColor="text1"/>
                <w:lang w:eastAsia="en-US"/>
                <w14:textFill>
                  <w14:solidFill>
                    <w14:schemeClr w14:val="tx1"/>
                  </w14:solidFill>
                </w14:textFill>
              </w:rPr>
            </w:pPr>
          </w:p>
        </w:tc>
        <w:tc>
          <w:tcPr>
            <w:tcW w:w="881" w:type="dxa"/>
            <w:gridSpan w:val="2"/>
            <w:tcBorders>
              <w:top w:val="single" w:color="000000" w:sz="4" w:space="0"/>
              <w:left w:val="single" w:color="000000" w:sz="4" w:space="0"/>
              <w:bottom w:val="single" w:color="000000" w:sz="4" w:space="0"/>
              <w:right w:val="single" w:color="000000" w:sz="4" w:space="0"/>
            </w:tcBorders>
            <w:vAlign w:val="center"/>
          </w:tcPr>
          <w:p w14:paraId="61316CBB">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占地范围内</w:t>
            </w:r>
          </w:p>
        </w:tc>
        <w:tc>
          <w:tcPr>
            <w:tcW w:w="881" w:type="dxa"/>
            <w:tcBorders>
              <w:top w:val="single" w:color="000000" w:sz="4" w:space="0"/>
              <w:left w:val="single" w:color="000000" w:sz="4" w:space="0"/>
              <w:bottom w:val="single" w:color="000000" w:sz="4" w:space="0"/>
              <w:right w:val="single" w:color="000000" w:sz="4" w:space="0"/>
            </w:tcBorders>
            <w:vAlign w:val="center"/>
          </w:tcPr>
          <w:p w14:paraId="40252344">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占地范围外</w:t>
            </w:r>
          </w:p>
        </w:tc>
        <w:tc>
          <w:tcPr>
            <w:tcW w:w="2289" w:type="dxa"/>
            <w:gridSpan w:val="2"/>
            <w:tcBorders>
              <w:top w:val="single" w:color="000000" w:sz="4" w:space="0"/>
              <w:left w:val="single" w:color="000000" w:sz="4" w:space="0"/>
              <w:bottom w:val="single" w:color="000000" w:sz="4" w:space="0"/>
              <w:right w:val="single" w:color="000000" w:sz="4" w:space="0"/>
            </w:tcBorders>
            <w:vAlign w:val="center"/>
          </w:tcPr>
          <w:p w14:paraId="6BC6BFAB">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深度</w:t>
            </w:r>
          </w:p>
        </w:tc>
        <w:tc>
          <w:tcPr>
            <w:tcW w:w="1700" w:type="dxa"/>
            <w:vMerge w:val="restart"/>
            <w:tcBorders>
              <w:top w:val="single" w:color="000000" w:sz="4" w:space="0"/>
              <w:left w:val="single" w:color="000000" w:sz="4" w:space="0"/>
              <w:bottom w:val="single" w:color="000000" w:sz="4" w:space="0"/>
              <w:right w:val="single" w:color="000000" w:sz="4" w:space="0"/>
            </w:tcBorders>
            <w:vAlign w:val="center"/>
          </w:tcPr>
          <w:p w14:paraId="42B3E667">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点位布置图</w:t>
            </w:r>
          </w:p>
        </w:tc>
      </w:tr>
      <w:tr w14:paraId="129C6D92">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6F63A61D">
            <w:pPr>
              <w:pStyle w:val="109"/>
              <w:rPr>
                <w:color w:val="000000" w:themeColor="text1"/>
                <w:lang w:eastAsia="en-US"/>
                <w14:textFill>
                  <w14:solidFill>
                    <w14:schemeClr w14:val="tx1"/>
                  </w14:solidFill>
                </w14:textFill>
              </w:rPr>
            </w:pPr>
          </w:p>
        </w:tc>
        <w:tc>
          <w:tcPr>
            <w:tcW w:w="1970" w:type="dxa"/>
            <w:vMerge w:val="continue"/>
            <w:tcBorders>
              <w:top w:val="nil"/>
              <w:left w:val="single" w:color="000000" w:sz="4" w:space="0"/>
              <w:bottom w:val="nil"/>
              <w:right w:val="single" w:color="000000" w:sz="4" w:space="0"/>
            </w:tcBorders>
            <w:vAlign w:val="center"/>
          </w:tcPr>
          <w:p w14:paraId="5CE89FD8">
            <w:pPr>
              <w:pStyle w:val="109"/>
              <w:rPr>
                <w:color w:val="000000" w:themeColor="text1"/>
                <w:lang w:eastAsia="en-US"/>
                <w14:textFill>
                  <w14:solidFill>
                    <w14:schemeClr w14:val="tx1"/>
                  </w14:solidFill>
                </w14:textFill>
              </w:rPr>
            </w:pPr>
          </w:p>
        </w:tc>
        <w:tc>
          <w:tcPr>
            <w:tcW w:w="869" w:type="dxa"/>
            <w:tcBorders>
              <w:top w:val="single" w:color="000000" w:sz="4" w:space="0"/>
              <w:left w:val="single" w:color="000000" w:sz="4" w:space="0"/>
              <w:bottom w:val="single" w:color="000000" w:sz="4" w:space="0"/>
              <w:right w:val="single" w:color="000000" w:sz="4" w:space="0"/>
            </w:tcBorders>
            <w:vAlign w:val="center"/>
          </w:tcPr>
          <w:p w14:paraId="6348FE4E">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表层样点数</w:t>
            </w:r>
          </w:p>
        </w:tc>
        <w:tc>
          <w:tcPr>
            <w:tcW w:w="881" w:type="dxa"/>
            <w:gridSpan w:val="2"/>
            <w:tcBorders>
              <w:top w:val="single" w:color="000000" w:sz="4" w:space="0"/>
              <w:left w:val="single" w:color="000000" w:sz="4" w:space="0"/>
              <w:bottom w:val="single" w:color="000000" w:sz="4" w:space="0"/>
              <w:right w:val="single" w:color="000000" w:sz="4" w:space="0"/>
            </w:tcBorders>
            <w:vAlign w:val="center"/>
          </w:tcPr>
          <w:p w14:paraId="0250D234">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719CBC86">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289" w:type="dxa"/>
            <w:gridSpan w:val="2"/>
            <w:tcBorders>
              <w:top w:val="single" w:color="000000" w:sz="4" w:space="0"/>
              <w:left w:val="single" w:color="000000" w:sz="4" w:space="0"/>
              <w:bottom w:val="single" w:color="000000" w:sz="4" w:space="0"/>
              <w:right w:val="single" w:color="000000" w:sz="4" w:space="0"/>
            </w:tcBorders>
            <w:vAlign w:val="center"/>
          </w:tcPr>
          <w:p w14:paraId="24F96442">
            <w:pPr>
              <w:pStyle w:val="109"/>
              <w:rPr>
                <w:color w:val="000000" w:themeColor="text1"/>
                <w:szCs w:val="18"/>
                <w14:textFill>
                  <w14:solidFill>
                    <w14:schemeClr w14:val="tx1"/>
                  </w14:solidFill>
                </w14:textFill>
              </w:rPr>
            </w:pPr>
            <w:r>
              <w:rPr>
                <w:color w:val="000000" w:themeColor="text1"/>
                <w:szCs w:val="18"/>
                <w14:textFill>
                  <w14:solidFill>
                    <w14:schemeClr w14:val="tx1"/>
                  </w14:solidFill>
                </w14:textFill>
              </w:rPr>
              <w:t>0~20cm</w:t>
            </w:r>
          </w:p>
        </w:tc>
        <w:tc>
          <w:tcPr>
            <w:tcW w:w="1700" w:type="dxa"/>
            <w:vMerge w:val="continue"/>
            <w:tcBorders>
              <w:top w:val="nil"/>
              <w:left w:val="single" w:color="000000" w:sz="4" w:space="0"/>
              <w:bottom w:val="nil"/>
              <w:right w:val="single" w:color="000000" w:sz="4" w:space="0"/>
            </w:tcBorders>
            <w:vAlign w:val="center"/>
          </w:tcPr>
          <w:p w14:paraId="0E880109">
            <w:pPr>
              <w:pStyle w:val="109"/>
              <w:rPr>
                <w:color w:val="000000" w:themeColor="text1"/>
                <w:lang w:eastAsia="en-US"/>
                <w14:textFill>
                  <w14:solidFill>
                    <w14:schemeClr w14:val="tx1"/>
                  </w14:solidFill>
                </w14:textFill>
              </w:rPr>
            </w:pPr>
          </w:p>
        </w:tc>
      </w:tr>
      <w:tr w14:paraId="5A8B353C">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16242F77">
            <w:pPr>
              <w:pStyle w:val="109"/>
              <w:rPr>
                <w:color w:val="000000" w:themeColor="text1"/>
                <w:lang w:eastAsia="en-US"/>
                <w14:textFill>
                  <w14:solidFill>
                    <w14:schemeClr w14:val="tx1"/>
                  </w14:solidFill>
                </w14:textFill>
              </w:rPr>
            </w:pPr>
          </w:p>
        </w:tc>
        <w:tc>
          <w:tcPr>
            <w:tcW w:w="1970" w:type="dxa"/>
            <w:vMerge w:val="continue"/>
            <w:tcBorders>
              <w:top w:val="nil"/>
              <w:left w:val="single" w:color="000000" w:sz="4" w:space="0"/>
              <w:bottom w:val="single" w:color="000000" w:sz="4" w:space="0"/>
              <w:right w:val="single" w:color="000000" w:sz="4" w:space="0"/>
            </w:tcBorders>
            <w:vAlign w:val="center"/>
          </w:tcPr>
          <w:p w14:paraId="053DAF44">
            <w:pPr>
              <w:pStyle w:val="109"/>
              <w:rPr>
                <w:color w:val="000000" w:themeColor="text1"/>
                <w:lang w:eastAsia="en-US"/>
                <w14:textFill>
                  <w14:solidFill>
                    <w14:schemeClr w14:val="tx1"/>
                  </w14:solidFill>
                </w14:textFill>
              </w:rPr>
            </w:pPr>
          </w:p>
        </w:tc>
        <w:tc>
          <w:tcPr>
            <w:tcW w:w="869" w:type="dxa"/>
            <w:tcBorders>
              <w:top w:val="single" w:color="000000" w:sz="4" w:space="0"/>
              <w:left w:val="single" w:color="000000" w:sz="4" w:space="0"/>
              <w:bottom w:val="single" w:color="000000" w:sz="4" w:space="0"/>
              <w:right w:val="single" w:color="000000" w:sz="4" w:space="0"/>
            </w:tcBorders>
            <w:vAlign w:val="center"/>
          </w:tcPr>
          <w:p w14:paraId="2A797EAC">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柱状样点数</w:t>
            </w:r>
          </w:p>
        </w:tc>
        <w:tc>
          <w:tcPr>
            <w:tcW w:w="881" w:type="dxa"/>
            <w:gridSpan w:val="2"/>
            <w:tcBorders>
              <w:top w:val="single" w:color="000000" w:sz="4" w:space="0"/>
              <w:left w:val="single" w:color="000000" w:sz="4" w:space="0"/>
              <w:bottom w:val="single" w:color="000000" w:sz="4" w:space="0"/>
              <w:right w:val="single" w:color="000000" w:sz="4" w:space="0"/>
            </w:tcBorders>
            <w:vAlign w:val="center"/>
          </w:tcPr>
          <w:p w14:paraId="11FD6474">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4103730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2289" w:type="dxa"/>
            <w:gridSpan w:val="2"/>
            <w:tcBorders>
              <w:top w:val="single" w:color="000000" w:sz="4" w:space="0"/>
              <w:left w:val="single" w:color="000000" w:sz="4" w:space="0"/>
              <w:bottom w:val="single" w:color="000000" w:sz="4" w:space="0"/>
              <w:right w:val="single" w:color="000000" w:sz="4" w:space="0"/>
            </w:tcBorders>
            <w:vAlign w:val="center"/>
          </w:tcPr>
          <w:p w14:paraId="3C61D3C7">
            <w:pPr>
              <w:pStyle w:val="109"/>
              <w:rPr>
                <w:color w:val="000000" w:themeColor="text1"/>
                <w:szCs w:val="18"/>
                <w14:textFill>
                  <w14:solidFill>
                    <w14:schemeClr w14:val="tx1"/>
                  </w14:solidFill>
                </w14:textFill>
              </w:rPr>
            </w:pPr>
            <w:r>
              <w:rPr>
                <w:color w:val="000000" w:themeColor="text1"/>
                <w:szCs w:val="18"/>
                <w14:textFill>
                  <w14:solidFill>
                    <w14:schemeClr w14:val="tx1"/>
                  </w14:solidFill>
                </w14:textFill>
              </w:rPr>
              <w:t>0~0.5m，0.5~1.5m，1.5~3m分别取样</w:t>
            </w:r>
          </w:p>
        </w:tc>
        <w:tc>
          <w:tcPr>
            <w:tcW w:w="1700" w:type="dxa"/>
            <w:vMerge w:val="continue"/>
            <w:tcBorders>
              <w:top w:val="nil"/>
              <w:left w:val="single" w:color="000000" w:sz="4" w:space="0"/>
              <w:bottom w:val="single" w:color="000000" w:sz="4" w:space="0"/>
              <w:right w:val="single" w:color="000000" w:sz="4" w:space="0"/>
            </w:tcBorders>
            <w:vAlign w:val="center"/>
          </w:tcPr>
          <w:p w14:paraId="10063E28">
            <w:pPr>
              <w:pStyle w:val="109"/>
              <w:rPr>
                <w:color w:val="000000" w:themeColor="text1"/>
                <w:lang w:eastAsia="en-US"/>
                <w14:textFill>
                  <w14:solidFill>
                    <w14:schemeClr w14:val="tx1"/>
                  </w14:solidFill>
                </w14:textFill>
              </w:rPr>
            </w:pPr>
          </w:p>
        </w:tc>
      </w:tr>
      <w:tr w14:paraId="09F49B52">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single" w:color="000000" w:sz="4" w:space="0"/>
              <w:right w:val="single" w:color="000000" w:sz="4" w:space="0"/>
            </w:tcBorders>
            <w:vAlign w:val="center"/>
          </w:tcPr>
          <w:p w14:paraId="29861B2F">
            <w:pPr>
              <w:pStyle w:val="109"/>
              <w:rPr>
                <w:color w:val="000000" w:themeColor="text1"/>
                <w:lang w:eastAsia="en-US"/>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18CDB27E">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现状监测因子</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26454C24">
            <w:pPr>
              <w:pStyle w:val="109"/>
              <w:rPr>
                <w:color w:val="000000" w:themeColor="text1"/>
                <w14:textFill>
                  <w14:solidFill>
                    <w14:schemeClr w14:val="tx1"/>
                  </w14:solidFill>
                </w14:textFill>
              </w:rPr>
            </w:pPr>
            <w:r>
              <w:rPr>
                <w:color w:val="000000" w:themeColor="text1"/>
                <w14:textFill>
                  <w14:solidFill>
                    <w14:schemeClr w14:val="tx1"/>
                  </w14:solidFill>
                </w14:textFill>
              </w:rPr>
              <w:t>《土壤环境质量建设用地土壤污染风险管控标准（试行）》（GB/36600-2018）》中基本项目，同时监测了二噁英</w:t>
            </w:r>
          </w:p>
        </w:tc>
        <w:tc>
          <w:tcPr>
            <w:tcW w:w="1700" w:type="dxa"/>
            <w:tcBorders>
              <w:top w:val="single" w:color="000000" w:sz="4" w:space="0"/>
              <w:left w:val="single" w:color="000000" w:sz="4" w:space="0"/>
              <w:bottom w:val="single" w:color="000000" w:sz="4" w:space="0"/>
              <w:right w:val="single" w:color="000000" w:sz="4" w:space="0"/>
            </w:tcBorders>
            <w:vAlign w:val="center"/>
          </w:tcPr>
          <w:p w14:paraId="4B86B5AD">
            <w:pPr>
              <w:pStyle w:val="109"/>
              <w:rPr>
                <w:color w:val="000000" w:themeColor="text1"/>
                <w14:textFill>
                  <w14:solidFill>
                    <w14:schemeClr w14:val="tx1"/>
                  </w14:solidFill>
                </w14:textFill>
              </w:rPr>
            </w:pPr>
          </w:p>
        </w:tc>
      </w:tr>
      <w:tr w14:paraId="2AAB4C6E">
        <w:tblPrEx>
          <w:tblCellMar>
            <w:top w:w="0" w:type="dxa"/>
            <w:left w:w="85" w:type="dxa"/>
            <w:bottom w:w="0" w:type="dxa"/>
            <w:right w:w="85" w:type="dxa"/>
          </w:tblCellMar>
        </w:tblPrEx>
        <w:trPr>
          <w:jc w:val="center"/>
        </w:trPr>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07F75ABB">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现状评价</w:t>
            </w:r>
          </w:p>
        </w:tc>
        <w:tc>
          <w:tcPr>
            <w:tcW w:w="1970" w:type="dxa"/>
            <w:tcBorders>
              <w:top w:val="single" w:color="000000" w:sz="4" w:space="0"/>
              <w:left w:val="single" w:color="000000" w:sz="4" w:space="0"/>
              <w:bottom w:val="single" w:color="000000" w:sz="4" w:space="0"/>
              <w:right w:val="single" w:color="000000" w:sz="4" w:space="0"/>
            </w:tcBorders>
            <w:vAlign w:val="center"/>
          </w:tcPr>
          <w:p w14:paraId="3760656A">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评价因子</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081F772B">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同监测因子</w:t>
            </w:r>
          </w:p>
        </w:tc>
        <w:tc>
          <w:tcPr>
            <w:tcW w:w="1700" w:type="dxa"/>
            <w:tcBorders>
              <w:top w:val="single" w:color="000000" w:sz="4" w:space="0"/>
              <w:left w:val="single" w:color="000000" w:sz="4" w:space="0"/>
              <w:bottom w:val="single" w:color="000000" w:sz="4" w:space="0"/>
              <w:right w:val="single" w:color="000000" w:sz="4" w:space="0"/>
            </w:tcBorders>
            <w:vAlign w:val="center"/>
          </w:tcPr>
          <w:p w14:paraId="3A2B5010">
            <w:pPr>
              <w:pStyle w:val="109"/>
              <w:rPr>
                <w:color w:val="000000" w:themeColor="text1"/>
                <w:lang w:eastAsia="en-US"/>
                <w14:textFill>
                  <w14:solidFill>
                    <w14:schemeClr w14:val="tx1"/>
                  </w14:solidFill>
                </w14:textFill>
              </w:rPr>
            </w:pPr>
          </w:p>
        </w:tc>
      </w:tr>
      <w:tr w14:paraId="0DCAF995">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089FF0E8">
            <w:pPr>
              <w:pStyle w:val="109"/>
              <w:rPr>
                <w:color w:val="000000" w:themeColor="text1"/>
                <w:lang w:eastAsia="en-US"/>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7AE998B1">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评价标准</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6E93C924">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GB15618</w:t>
            </w:r>
            <w:r>
              <w:rPr>
                <w:color w:val="000000" w:themeColor="text1"/>
                <w14:textFill>
                  <w14:solidFill>
                    <w14:schemeClr w14:val="tx1"/>
                  </w14:solidFill>
                </w14:textFill>
              </w:rPr>
              <w:t>□</w:t>
            </w:r>
            <w:r>
              <w:rPr>
                <w:color w:val="000000" w:themeColor="text1"/>
                <w:lang w:eastAsia="en-US"/>
                <w14:textFill>
                  <w14:solidFill>
                    <w14:schemeClr w14:val="tx1"/>
                  </w14:solidFill>
                </w14:textFill>
              </w:rPr>
              <w:t>；GB36600</w:t>
            </w:r>
            <w:r>
              <w:rPr>
                <w:rFonts w:eastAsia="Times New Roman"/>
                <w:color w:val="000000" w:themeColor="text1"/>
                <w14:textFill>
                  <w14:solidFill>
                    <w14:schemeClr w14:val="tx1"/>
                  </w14:solidFill>
                </w14:textFill>
              </w:rPr>
              <w:t>√</w:t>
            </w:r>
            <w:r>
              <w:rPr>
                <w:color w:val="000000" w:themeColor="text1"/>
                <w:lang w:eastAsia="en-US"/>
                <w14:textFill>
                  <w14:solidFill>
                    <w14:schemeClr w14:val="tx1"/>
                  </w14:solidFill>
                </w14:textFill>
              </w:rPr>
              <w:t>；表D.1</w:t>
            </w:r>
            <w:r>
              <w:rPr>
                <w:color w:val="000000" w:themeColor="text1"/>
                <w14:textFill>
                  <w14:solidFill>
                    <w14:schemeClr w14:val="tx1"/>
                  </w14:solidFill>
                </w14:textFill>
              </w:rPr>
              <w:t>□</w:t>
            </w:r>
            <w:r>
              <w:rPr>
                <w:color w:val="000000" w:themeColor="text1"/>
                <w:lang w:eastAsia="en-US"/>
                <w14:textFill>
                  <w14:solidFill>
                    <w14:schemeClr w14:val="tx1"/>
                  </w14:solidFill>
                </w14:textFill>
              </w:rPr>
              <w:t>；表D.2</w:t>
            </w:r>
            <w:r>
              <w:rPr>
                <w:color w:val="000000" w:themeColor="text1"/>
                <w14:textFill>
                  <w14:solidFill>
                    <w14:schemeClr w14:val="tx1"/>
                  </w14:solidFill>
                </w14:textFill>
              </w:rPr>
              <w:t>□</w:t>
            </w:r>
            <w:r>
              <w:rPr>
                <w:color w:val="000000" w:themeColor="text1"/>
                <w:lang w:eastAsia="en-US"/>
                <w14:textFill>
                  <w14:solidFill>
                    <w14:schemeClr w14:val="tx1"/>
                  </w14:solidFill>
                </w14:textFill>
              </w:rPr>
              <w:t>；其他（）</w:t>
            </w:r>
          </w:p>
        </w:tc>
        <w:tc>
          <w:tcPr>
            <w:tcW w:w="1700" w:type="dxa"/>
            <w:tcBorders>
              <w:top w:val="single" w:color="000000" w:sz="4" w:space="0"/>
              <w:left w:val="single" w:color="000000" w:sz="4" w:space="0"/>
              <w:bottom w:val="single" w:color="000000" w:sz="4" w:space="0"/>
              <w:right w:val="single" w:color="000000" w:sz="4" w:space="0"/>
            </w:tcBorders>
            <w:vAlign w:val="center"/>
          </w:tcPr>
          <w:p w14:paraId="36985A3F">
            <w:pPr>
              <w:pStyle w:val="109"/>
              <w:rPr>
                <w:color w:val="000000" w:themeColor="text1"/>
                <w:lang w:eastAsia="en-US"/>
                <w14:textFill>
                  <w14:solidFill>
                    <w14:schemeClr w14:val="tx1"/>
                  </w14:solidFill>
                </w14:textFill>
              </w:rPr>
            </w:pPr>
          </w:p>
        </w:tc>
      </w:tr>
      <w:tr w14:paraId="53858B21">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single" w:color="000000" w:sz="4" w:space="0"/>
              <w:right w:val="single" w:color="000000" w:sz="4" w:space="0"/>
            </w:tcBorders>
            <w:vAlign w:val="center"/>
          </w:tcPr>
          <w:p w14:paraId="3ED582AD">
            <w:pPr>
              <w:pStyle w:val="109"/>
              <w:rPr>
                <w:color w:val="000000" w:themeColor="text1"/>
                <w:lang w:eastAsia="en-US"/>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2002ED82">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现状评价结论</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2B5E52B8">
            <w:pPr>
              <w:pStyle w:val="109"/>
              <w:rPr>
                <w:color w:val="000000" w:themeColor="text1"/>
                <w14:textFill>
                  <w14:solidFill>
                    <w14:schemeClr w14:val="tx1"/>
                  </w14:solidFill>
                </w14:textFill>
              </w:rPr>
            </w:pPr>
            <w:r>
              <w:rPr>
                <w:color w:val="000000" w:themeColor="text1"/>
                <w14:textFill>
                  <w14:solidFill>
                    <w14:schemeClr w14:val="tx1"/>
                  </w14:solidFill>
                </w14:textFill>
              </w:rPr>
              <w:t>各监测点指标均GB/36600-2018中风险筛选值及（GB 15618-2018）表 1其他标准</w:t>
            </w:r>
          </w:p>
        </w:tc>
        <w:tc>
          <w:tcPr>
            <w:tcW w:w="1700" w:type="dxa"/>
            <w:tcBorders>
              <w:top w:val="single" w:color="000000" w:sz="4" w:space="0"/>
              <w:left w:val="single" w:color="000000" w:sz="4" w:space="0"/>
              <w:bottom w:val="single" w:color="000000" w:sz="4" w:space="0"/>
              <w:right w:val="single" w:color="000000" w:sz="4" w:space="0"/>
            </w:tcBorders>
            <w:vAlign w:val="center"/>
          </w:tcPr>
          <w:p w14:paraId="5C98230D">
            <w:pPr>
              <w:pStyle w:val="109"/>
              <w:rPr>
                <w:color w:val="000000" w:themeColor="text1"/>
                <w14:textFill>
                  <w14:solidFill>
                    <w14:schemeClr w14:val="tx1"/>
                  </w14:solidFill>
                </w14:textFill>
              </w:rPr>
            </w:pPr>
          </w:p>
        </w:tc>
      </w:tr>
      <w:tr w14:paraId="48CFC6BD">
        <w:tblPrEx>
          <w:tblCellMar>
            <w:top w:w="0" w:type="dxa"/>
            <w:left w:w="85" w:type="dxa"/>
            <w:bottom w:w="0" w:type="dxa"/>
            <w:right w:w="85" w:type="dxa"/>
          </w:tblCellMar>
        </w:tblPrEx>
        <w:trPr>
          <w:jc w:val="center"/>
        </w:trPr>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45374FEC">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影响预测</w:t>
            </w:r>
          </w:p>
        </w:tc>
        <w:tc>
          <w:tcPr>
            <w:tcW w:w="1970" w:type="dxa"/>
            <w:tcBorders>
              <w:top w:val="single" w:color="000000" w:sz="4" w:space="0"/>
              <w:left w:val="single" w:color="000000" w:sz="4" w:space="0"/>
              <w:bottom w:val="single" w:color="000000" w:sz="4" w:space="0"/>
              <w:right w:val="single" w:color="000000" w:sz="4" w:space="0"/>
            </w:tcBorders>
            <w:vAlign w:val="center"/>
          </w:tcPr>
          <w:p w14:paraId="7601EFE4">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预测因子</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435CF1E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汞及其化合物、镉及其化合物、铅及其化合物、砷及其化合物、铬及其化合物、</w:t>
            </w:r>
            <w:r>
              <w:rPr>
                <w:color w:val="000000" w:themeColor="text1"/>
                <w14:textFill>
                  <w14:solidFill>
                    <w14:schemeClr w14:val="tx1"/>
                  </w14:solidFill>
                </w14:textFill>
              </w:rPr>
              <w:t>二噁英</w:t>
            </w:r>
          </w:p>
        </w:tc>
        <w:tc>
          <w:tcPr>
            <w:tcW w:w="1700" w:type="dxa"/>
            <w:tcBorders>
              <w:top w:val="single" w:color="000000" w:sz="4" w:space="0"/>
              <w:left w:val="single" w:color="000000" w:sz="4" w:space="0"/>
              <w:bottom w:val="single" w:color="000000" w:sz="4" w:space="0"/>
              <w:right w:val="single" w:color="000000" w:sz="4" w:space="0"/>
            </w:tcBorders>
            <w:vAlign w:val="center"/>
          </w:tcPr>
          <w:p w14:paraId="5FB89F9A">
            <w:pPr>
              <w:pStyle w:val="109"/>
              <w:rPr>
                <w:color w:val="000000" w:themeColor="text1"/>
                <w14:textFill>
                  <w14:solidFill>
                    <w14:schemeClr w14:val="tx1"/>
                  </w14:solidFill>
                </w14:textFill>
              </w:rPr>
            </w:pPr>
          </w:p>
        </w:tc>
      </w:tr>
      <w:tr w14:paraId="5A1ECEAC">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66081ACC">
            <w:pPr>
              <w:pStyle w:val="109"/>
              <w:rPr>
                <w:color w:val="000000" w:themeColor="text1"/>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5FF8F1A7">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预测方法</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6C5B82EF">
            <w:pPr>
              <w:pStyle w:val="109"/>
              <w:rPr>
                <w:color w:val="000000" w:themeColor="text1"/>
                <w14:textFill>
                  <w14:solidFill>
                    <w14:schemeClr w14:val="tx1"/>
                  </w14:solidFill>
                </w14:textFill>
              </w:rPr>
            </w:pPr>
            <w:r>
              <w:rPr>
                <w:color w:val="000000" w:themeColor="text1"/>
                <w14:textFill>
                  <w14:solidFill>
                    <w14:schemeClr w14:val="tx1"/>
                  </w14:solidFill>
                </w14:textFill>
              </w:rPr>
              <w:t>附录E</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；附录F□；其他（）</w:t>
            </w:r>
          </w:p>
        </w:tc>
        <w:tc>
          <w:tcPr>
            <w:tcW w:w="1700" w:type="dxa"/>
            <w:tcBorders>
              <w:top w:val="single" w:color="000000" w:sz="4" w:space="0"/>
              <w:left w:val="single" w:color="000000" w:sz="4" w:space="0"/>
              <w:bottom w:val="single" w:color="000000" w:sz="4" w:space="0"/>
              <w:right w:val="single" w:color="000000" w:sz="4" w:space="0"/>
            </w:tcBorders>
            <w:vAlign w:val="center"/>
          </w:tcPr>
          <w:p w14:paraId="0DBB00EA">
            <w:pPr>
              <w:pStyle w:val="109"/>
              <w:rPr>
                <w:color w:val="000000" w:themeColor="text1"/>
                <w14:textFill>
                  <w14:solidFill>
                    <w14:schemeClr w14:val="tx1"/>
                  </w14:solidFill>
                </w14:textFill>
              </w:rPr>
            </w:pPr>
          </w:p>
        </w:tc>
      </w:tr>
      <w:tr w14:paraId="5104E0F8">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6AEB8921">
            <w:pPr>
              <w:pStyle w:val="109"/>
              <w:rPr>
                <w:color w:val="000000" w:themeColor="text1"/>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68F89F5C">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预测分析内容</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25068DAD">
            <w:pPr>
              <w:pStyle w:val="109"/>
              <w:rPr>
                <w:color w:val="000000" w:themeColor="text1"/>
                <w14:textFill>
                  <w14:solidFill>
                    <w14:schemeClr w14:val="tx1"/>
                  </w14:solidFill>
                </w14:textFill>
              </w:rPr>
            </w:pPr>
            <w:r>
              <w:rPr>
                <w:color w:val="000000" w:themeColor="text1"/>
                <w14:textFill>
                  <w14:solidFill>
                    <w14:schemeClr w14:val="tx1"/>
                  </w14:solidFill>
                </w14:textFill>
              </w:rPr>
              <w:t>影响范围（）影响程度（）</w:t>
            </w:r>
          </w:p>
        </w:tc>
        <w:tc>
          <w:tcPr>
            <w:tcW w:w="1700" w:type="dxa"/>
            <w:tcBorders>
              <w:top w:val="single" w:color="000000" w:sz="4" w:space="0"/>
              <w:left w:val="single" w:color="000000" w:sz="4" w:space="0"/>
              <w:bottom w:val="single" w:color="000000" w:sz="4" w:space="0"/>
              <w:right w:val="single" w:color="000000" w:sz="4" w:space="0"/>
            </w:tcBorders>
            <w:vAlign w:val="center"/>
          </w:tcPr>
          <w:p w14:paraId="0775E5FD">
            <w:pPr>
              <w:pStyle w:val="109"/>
              <w:rPr>
                <w:color w:val="000000" w:themeColor="text1"/>
                <w14:textFill>
                  <w14:solidFill>
                    <w14:schemeClr w14:val="tx1"/>
                  </w14:solidFill>
                </w14:textFill>
              </w:rPr>
            </w:pPr>
          </w:p>
        </w:tc>
      </w:tr>
      <w:tr w14:paraId="5684C638">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single" w:color="000000" w:sz="4" w:space="0"/>
              <w:right w:val="single" w:color="000000" w:sz="4" w:space="0"/>
            </w:tcBorders>
            <w:vAlign w:val="center"/>
          </w:tcPr>
          <w:p w14:paraId="43375D90">
            <w:pPr>
              <w:pStyle w:val="109"/>
              <w:rPr>
                <w:color w:val="000000" w:themeColor="text1"/>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3E0D447D">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预测结论</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1E094DD2">
            <w:pPr>
              <w:pStyle w:val="109"/>
              <w:rPr>
                <w:color w:val="000000" w:themeColor="text1"/>
                <w14:textFill>
                  <w14:solidFill>
                    <w14:schemeClr w14:val="tx1"/>
                  </w14:solidFill>
                </w14:textFill>
              </w:rPr>
            </w:pPr>
            <w:r>
              <w:rPr>
                <w:color w:val="000000" w:themeColor="text1"/>
                <w14:textFill>
                  <w14:solidFill>
                    <w14:schemeClr w14:val="tx1"/>
                  </w14:solidFill>
                </w14:textFill>
              </w:rPr>
              <w:t>达标结论：a）□；b）□；c）□</w:t>
            </w:r>
          </w:p>
          <w:p w14:paraId="65FB4608">
            <w:pPr>
              <w:pStyle w:val="109"/>
              <w:rPr>
                <w:color w:val="000000" w:themeColor="text1"/>
                <w14:textFill>
                  <w14:solidFill>
                    <w14:schemeClr w14:val="tx1"/>
                  </w14:solidFill>
                </w14:textFill>
              </w:rPr>
            </w:pPr>
            <w:r>
              <w:rPr>
                <w:color w:val="000000" w:themeColor="text1"/>
                <w14:textFill>
                  <w14:solidFill>
                    <w14:schemeClr w14:val="tx1"/>
                  </w14:solidFill>
                </w14:textFill>
              </w:rPr>
              <w:t>不达标结论：a）□；b）□</w:t>
            </w:r>
          </w:p>
        </w:tc>
        <w:tc>
          <w:tcPr>
            <w:tcW w:w="1700" w:type="dxa"/>
            <w:tcBorders>
              <w:top w:val="single" w:color="000000" w:sz="4" w:space="0"/>
              <w:left w:val="single" w:color="000000" w:sz="4" w:space="0"/>
              <w:bottom w:val="single" w:color="000000" w:sz="4" w:space="0"/>
              <w:right w:val="single" w:color="000000" w:sz="4" w:space="0"/>
            </w:tcBorders>
            <w:vAlign w:val="center"/>
          </w:tcPr>
          <w:p w14:paraId="73BA8B74">
            <w:pPr>
              <w:pStyle w:val="109"/>
              <w:rPr>
                <w:color w:val="000000" w:themeColor="text1"/>
                <w14:textFill>
                  <w14:solidFill>
                    <w14:schemeClr w14:val="tx1"/>
                  </w14:solidFill>
                </w14:textFill>
              </w:rPr>
            </w:pPr>
          </w:p>
        </w:tc>
      </w:tr>
      <w:tr w14:paraId="33B36EDD">
        <w:tblPrEx>
          <w:tblCellMar>
            <w:top w:w="0" w:type="dxa"/>
            <w:left w:w="85" w:type="dxa"/>
            <w:bottom w:w="0" w:type="dxa"/>
            <w:right w:w="85" w:type="dxa"/>
          </w:tblCellMar>
        </w:tblPrEx>
        <w:trPr>
          <w:jc w:val="center"/>
        </w:trPr>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3EB52D88">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防治措施</w:t>
            </w:r>
          </w:p>
        </w:tc>
        <w:tc>
          <w:tcPr>
            <w:tcW w:w="1970" w:type="dxa"/>
            <w:tcBorders>
              <w:top w:val="single" w:color="000000" w:sz="4" w:space="0"/>
              <w:left w:val="single" w:color="000000" w:sz="4" w:space="0"/>
              <w:bottom w:val="single" w:color="000000" w:sz="4" w:space="0"/>
              <w:right w:val="single" w:color="000000" w:sz="4" w:space="0"/>
            </w:tcBorders>
            <w:vAlign w:val="center"/>
          </w:tcPr>
          <w:p w14:paraId="47A0966B">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防控措施</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76B762CE">
            <w:pPr>
              <w:pStyle w:val="109"/>
              <w:rPr>
                <w:color w:val="000000" w:themeColor="text1"/>
                <w14:textFill>
                  <w14:solidFill>
                    <w14:schemeClr w14:val="tx1"/>
                  </w14:solidFill>
                </w14:textFill>
              </w:rPr>
            </w:pPr>
            <w:r>
              <w:rPr>
                <w:color w:val="000000" w:themeColor="text1"/>
                <w14:textFill>
                  <w14:solidFill>
                    <w14:schemeClr w14:val="tx1"/>
                  </w14:solidFill>
                </w14:textFill>
              </w:rPr>
              <w:t>土壤环境质量现状保障</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；源头控制</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；过程防控</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；其他（）</w:t>
            </w:r>
          </w:p>
        </w:tc>
        <w:tc>
          <w:tcPr>
            <w:tcW w:w="1700" w:type="dxa"/>
            <w:tcBorders>
              <w:top w:val="single" w:color="000000" w:sz="4" w:space="0"/>
              <w:left w:val="single" w:color="000000" w:sz="4" w:space="0"/>
              <w:bottom w:val="single" w:color="000000" w:sz="4" w:space="0"/>
              <w:right w:val="single" w:color="000000" w:sz="4" w:space="0"/>
            </w:tcBorders>
            <w:vAlign w:val="center"/>
          </w:tcPr>
          <w:p w14:paraId="7456742A">
            <w:pPr>
              <w:pStyle w:val="109"/>
              <w:rPr>
                <w:color w:val="000000" w:themeColor="text1"/>
                <w14:textFill>
                  <w14:solidFill>
                    <w14:schemeClr w14:val="tx1"/>
                  </w14:solidFill>
                </w14:textFill>
              </w:rPr>
            </w:pPr>
          </w:p>
        </w:tc>
      </w:tr>
      <w:tr w14:paraId="3DF16522">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05B0D4A7">
            <w:pPr>
              <w:pStyle w:val="109"/>
              <w:rPr>
                <w:color w:val="000000" w:themeColor="text1"/>
                <w14:textFill>
                  <w14:solidFill>
                    <w14:schemeClr w14:val="tx1"/>
                  </w14:solidFill>
                </w14:textFill>
              </w:rPr>
            </w:pPr>
          </w:p>
        </w:tc>
        <w:tc>
          <w:tcPr>
            <w:tcW w:w="1970" w:type="dxa"/>
            <w:vMerge w:val="restart"/>
            <w:tcBorders>
              <w:top w:val="single" w:color="000000" w:sz="4" w:space="0"/>
              <w:left w:val="single" w:color="000000" w:sz="4" w:space="0"/>
              <w:bottom w:val="single" w:color="000000" w:sz="4" w:space="0"/>
              <w:right w:val="single" w:color="000000" w:sz="4" w:space="0"/>
            </w:tcBorders>
            <w:vAlign w:val="center"/>
          </w:tcPr>
          <w:p w14:paraId="6BDABF44">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跟踪监测</w:t>
            </w:r>
          </w:p>
        </w:tc>
        <w:tc>
          <w:tcPr>
            <w:tcW w:w="1092" w:type="dxa"/>
            <w:gridSpan w:val="2"/>
            <w:tcBorders>
              <w:top w:val="single" w:color="000000" w:sz="4" w:space="0"/>
              <w:left w:val="single" w:color="000000" w:sz="4" w:space="0"/>
              <w:bottom w:val="single" w:color="000000" w:sz="4" w:space="0"/>
              <w:right w:val="single" w:color="000000" w:sz="4" w:space="0"/>
            </w:tcBorders>
            <w:vAlign w:val="center"/>
          </w:tcPr>
          <w:p w14:paraId="41E8812C">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监测点数</w:t>
            </w:r>
          </w:p>
        </w:tc>
        <w:tc>
          <w:tcPr>
            <w:tcW w:w="2552" w:type="dxa"/>
            <w:gridSpan w:val="3"/>
            <w:tcBorders>
              <w:top w:val="single" w:color="000000" w:sz="4" w:space="0"/>
              <w:left w:val="single" w:color="000000" w:sz="4" w:space="0"/>
              <w:bottom w:val="single" w:color="000000" w:sz="4" w:space="0"/>
              <w:right w:val="single" w:color="000000" w:sz="4" w:space="0"/>
            </w:tcBorders>
            <w:vAlign w:val="center"/>
          </w:tcPr>
          <w:p w14:paraId="0FB05D5D">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监测指标</w:t>
            </w:r>
          </w:p>
        </w:tc>
        <w:tc>
          <w:tcPr>
            <w:tcW w:w="1276" w:type="dxa"/>
            <w:tcBorders>
              <w:top w:val="single" w:color="000000" w:sz="4" w:space="0"/>
              <w:left w:val="single" w:color="000000" w:sz="4" w:space="0"/>
              <w:bottom w:val="single" w:color="000000" w:sz="4" w:space="0"/>
              <w:right w:val="single" w:color="000000" w:sz="4" w:space="0"/>
            </w:tcBorders>
            <w:vAlign w:val="center"/>
          </w:tcPr>
          <w:p w14:paraId="7BFA6D3B">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监测频次</w:t>
            </w:r>
          </w:p>
        </w:tc>
        <w:tc>
          <w:tcPr>
            <w:tcW w:w="1700" w:type="dxa"/>
            <w:vMerge w:val="restart"/>
            <w:tcBorders>
              <w:top w:val="single" w:color="000000" w:sz="4" w:space="0"/>
              <w:left w:val="single" w:color="000000" w:sz="4" w:space="0"/>
              <w:bottom w:val="single" w:color="000000" w:sz="4" w:space="0"/>
              <w:right w:val="single" w:color="000000" w:sz="4" w:space="0"/>
            </w:tcBorders>
            <w:vAlign w:val="center"/>
          </w:tcPr>
          <w:p w14:paraId="513D7654">
            <w:pPr>
              <w:pStyle w:val="109"/>
              <w:rPr>
                <w:color w:val="000000" w:themeColor="text1"/>
                <w:lang w:eastAsia="en-US"/>
                <w14:textFill>
                  <w14:solidFill>
                    <w14:schemeClr w14:val="tx1"/>
                  </w14:solidFill>
                </w14:textFill>
              </w:rPr>
            </w:pPr>
          </w:p>
        </w:tc>
      </w:tr>
      <w:tr w14:paraId="4FA7DFDD">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nil"/>
              <w:right w:val="single" w:color="000000" w:sz="4" w:space="0"/>
            </w:tcBorders>
            <w:vAlign w:val="center"/>
          </w:tcPr>
          <w:p w14:paraId="70C1A36A">
            <w:pPr>
              <w:pStyle w:val="109"/>
              <w:rPr>
                <w:color w:val="000000" w:themeColor="text1"/>
                <w:lang w:eastAsia="en-US"/>
                <w14:textFill>
                  <w14:solidFill>
                    <w14:schemeClr w14:val="tx1"/>
                  </w14:solidFill>
                </w14:textFill>
              </w:rPr>
            </w:pPr>
          </w:p>
        </w:tc>
        <w:tc>
          <w:tcPr>
            <w:tcW w:w="1970" w:type="dxa"/>
            <w:vMerge w:val="continue"/>
            <w:tcBorders>
              <w:top w:val="nil"/>
              <w:left w:val="single" w:color="000000" w:sz="4" w:space="0"/>
              <w:bottom w:val="single" w:color="000000" w:sz="4" w:space="0"/>
              <w:right w:val="single" w:color="000000" w:sz="4" w:space="0"/>
            </w:tcBorders>
            <w:vAlign w:val="center"/>
          </w:tcPr>
          <w:p w14:paraId="4FA70016">
            <w:pPr>
              <w:pStyle w:val="109"/>
              <w:rPr>
                <w:color w:val="000000" w:themeColor="text1"/>
                <w:lang w:eastAsia="en-US"/>
                <w14:textFill>
                  <w14:solidFill>
                    <w14:schemeClr w14:val="tx1"/>
                  </w14:solidFill>
                </w14:textFill>
              </w:rPr>
            </w:pPr>
          </w:p>
        </w:tc>
        <w:tc>
          <w:tcPr>
            <w:tcW w:w="1092" w:type="dxa"/>
            <w:gridSpan w:val="2"/>
            <w:tcBorders>
              <w:top w:val="single" w:color="000000" w:sz="4" w:space="0"/>
              <w:left w:val="single" w:color="000000" w:sz="4" w:space="0"/>
              <w:bottom w:val="single" w:color="000000" w:sz="4" w:space="0"/>
              <w:right w:val="single" w:color="000000" w:sz="4" w:space="0"/>
            </w:tcBorders>
            <w:vAlign w:val="center"/>
          </w:tcPr>
          <w:p w14:paraId="54BB1918">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52" w:type="dxa"/>
            <w:gridSpan w:val="3"/>
            <w:tcBorders>
              <w:top w:val="single" w:color="000000" w:sz="4" w:space="0"/>
              <w:left w:val="single" w:color="000000" w:sz="4" w:space="0"/>
              <w:bottom w:val="single" w:color="000000" w:sz="4" w:space="0"/>
              <w:right w:val="single" w:color="000000" w:sz="4" w:space="0"/>
            </w:tcBorders>
            <w:vAlign w:val="center"/>
          </w:tcPr>
          <w:p w14:paraId="28BE840A">
            <w:pPr>
              <w:pStyle w:val="109"/>
              <w:rPr>
                <w:color w:val="000000" w:themeColor="text1"/>
                <w14:textFill>
                  <w14:solidFill>
                    <w14:schemeClr w14:val="tx1"/>
                  </w14:solidFill>
                </w14:textFill>
              </w:rPr>
            </w:pPr>
            <w:r>
              <w:rPr>
                <w:color w:val="000000" w:themeColor="text1"/>
                <w14:textFill>
                  <w14:solidFill>
                    <w14:schemeClr w14:val="tx1"/>
                  </w14:solidFill>
                </w14:textFill>
              </w:rPr>
              <w:t>砷、镉、铬（六价）、铜、铅、汞、镍、挥发性有机物、半挥发性有机物、石油烃、氟化物、二噁英</w:t>
            </w:r>
          </w:p>
        </w:tc>
        <w:tc>
          <w:tcPr>
            <w:tcW w:w="1276" w:type="dxa"/>
            <w:tcBorders>
              <w:top w:val="single" w:color="000000" w:sz="4" w:space="0"/>
              <w:left w:val="single" w:color="000000" w:sz="4" w:space="0"/>
              <w:bottom w:val="single" w:color="000000" w:sz="4" w:space="0"/>
              <w:right w:val="single" w:color="000000" w:sz="4" w:space="0"/>
            </w:tcBorders>
            <w:vAlign w:val="center"/>
          </w:tcPr>
          <w:p w14:paraId="2FDC30B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年一次</w:t>
            </w:r>
          </w:p>
        </w:tc>
        <w:tc>
          <w:tcPr>
            <w:tcW w:w="1700" w:type="dxa"/>
            <w:vMerge w:val="continue"/>
            <w:tcBorders>
              <w:top w:val="nil"/>
              <w:left w:val="single" w:color="000000" w:sz="4" w:space="0"/>
              <w:bottom w:val="nil"/>
              <w:right w:val="single" w:color="000000" w:sz="4" w:space="0"/>
            </w:tcBorders>
            <w:vAlign w:val="center"/>
          </w:tcPr>
          <w:p w14:paraId="2D451E4B">
            <w:pPr>
              <w:pStyle w:val="109"/>
              <w:rPr>
                <w:color w:val="000000" w:themeColor="text1"/>
                <w:lang w:eastAsia="en-US"/>
                <w14:textFill>
                  <w14:solidFill>
                    <w14:schemeClr w14:val="tx1"/>
                  </w14:solidFill>
                </w14:textFill>
              </w:rPr>
            </w:pPr>
          </w:p>
        </w:tc>
      </w:tr>
      <w:tr w14:paraId="372DE6C0">
        <w:tblPrEx>
          <w:tblCellMar>
            <w:top w:w="0" w:type="dxa"/>
            <w:left w:w="85" w:type="dxa"/>
            <w:bottom w:w="0" w:type="dxa"/>
            <w:right w:w="85" w:type="dxa"/>
          </w:tblCellMar>
        </w:tblPrEx>
        <w:trPr>
          <w:jc w:val="center"/>
        </w:trPr>
        <w:tc>
          <w:tcPr>
            <w:tcW w:w="992" w:type="dxa"/>
            <w:vMerge w:val="continue"/>
            <w:tcBorders>
              <w:top w:val="nil"/>
              <w:left w:val="single" w:color="000000" w:sz="4" w:space="0"/>
              <w:bottom w:val="single" w:color="000000" w:sz="4" w:space="0"/>
              <w:right w:val="single" w:color="000000" w:sz="4" w:space="0"/>
            </w:tcBorders>
            <w:vAlign w:val="center"/>
          </w:tcPr>
          <w:p w14:paraId="7643F919">
            <w:pPr>
              <w:pStyle w:val="109"/>
              <w:rPr>
                <w:color w:val="000000" w:themeColor="text1"/>
                <w:lang w:eastAsia="en-US"/>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vAlign w:val="center"/>
          </w:tcPr>
          <w:p w14:paraId="28B82FCA">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信息公开指标</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3D0E2E07">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监测点位及监测值</w:t>
            </w:r>
          </w:p>
        </w:tc>
        <w:tc>
          <w:tcPr>
            <w:tcW w:w="1700" w:type="dxa"/>
            <w:vMerge w:val="continue"/>
            <w:tcBorders>
              <w:top w:val="nil"/>
              <w:left w:val="single" w:color="000000" w:sz="4" w:space="0"/>
              <w:bottom w:val="single" w:color="000000" w:sz="4" w:space="0"/>
              <w:right w:val="single" w:color="000000" w:sz="4" w:space="0"/>
            </w:tcBorders>
            <w:vAlign w:val="center"/>
          </w:tcPr>
          <w:p w14:paraId="64088D9F">
            <w:pPr>
              <w:pStyle w:val="109"/>
              <w:rPr>
                <w:color w:val="000000" w:themeColor="text1"/>
                <w:lang w:eastAsia="en-US"/>
                <w14:textFill>
                  <w14:solidFill>
                    <w14:schemeClr w14:val="tx1"/>
                  </w14:solidFill>
                </w14:textFill>
              </w:rPr>
            </w:pPr>
          </w:p>
        </w:tc>
      </w:tr>
      <w:tr w14:paraId="421A171C">
        <w:tblPrEx>
          <w:tblCellMar>
            <w:top w:w="0" w:type="dxa"/>
            <w:left w:w="85" w:type="dxa"/>
            <w:bottom w:w="0" w:type="dxa"/>
            <w:right w:w="85" w:type="dxa"/>
          </w:tblCellMar>
        </w:tblPrEx>
        <w:trPr>
          <w:jc w:val="center"/>
        </w:trPr>
        <w:tc>
          <w:tcPr>
            <w:tcW w:w="2962" w:type="dxa"/>
            <w:gridSpan w:val="2"/>
            <w:tcBorders>
              <w:top w:val="single" w:color="000000" w:sz="4" w:space="0"/>
              <w:left w:val="single" w:color="000000" w:sz="4" w:space="0"/>
              <w:bottom w:val="single" w:color="000000" w:sz="4" w:space="0"/>
              <w:right w:val="single" w:color="000000" w:sz="4" w:space="0"/>
            </w:tcBorders>
            <w:vAlign w:val="center"/>
          </w:tcPr>
          <w:p w14:paraId="76FA335B">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评价结论</w:t>
            </w:r>
          </w:p>
        </w:tc>
        <w:tc>
          <w:tcPr>
            <w:tcW w:w="4920" w:type="dxa"/>
            <w:gridSpan w:val="6"/>
            <w:tcBorders>
              <w:top w:val="single" w:color="000000" w:sz="4" w:space="0"/>
              <w:left w:val="single" w:color="000000" w:sz="4" w:space="0"/>
              <w:bottom w:val="single" w:color="000000" w:sz="4" w:space="0"/>
              <w:right w:val="single" w:color="000000" w:sz="4" w:space="0"/>
            </w:tcBorders>
            <w:vAlign w:val="center"/>
          </w:tcPr>
          <w:p w14:paraId="77912191">
            <w:pPr>
              <w:pStyle w:val="109"/>
              <w:rPr>
                <w:color w:val="000000" w:themeColor="text1"/>
                <w14:textFill>
                  <w14:solidFill>
                    <w14:schemeClr w14:val="tx1"/>
                  </w14:solidFill>
                </w14:textFill>
              </w:rPr>
            </w:pPr>
            <w:r>
              <w:rPr>
                <w:color w:val="000000" w:themeColor="text1"/>
                <w14:textFill>
                  <w14:solidFill>
                    <w14:schemeClr w14:val="tx1"/>
                  </w14:solidFill>
                </w14:textFill>
              </w:rPr>
              <w:t>采取环评提出的措施，影响可接受。</w:t>
            </w:r>
          </w:p>
        </w:tc>
        <w:tc>
          <w:tcPr>
            <w:tcW w:w="1700" w:type="dxa"/>
            <w:tcBorders>
              <w:top w:val="single" w:color="000000" w:sz="4" w:space="0"/>
              <w:left w:val="single" w:color="000000" w:sz="4" w:space="0"/>
              <w:bottom w:val="single" w:color="000000" w:sz="4" w:space="0"/>
              <w:right w:val="single" w:color="000000" w:sz="4" w:space="0"/>
            </w:tcBorders>
            <w:vAlign w:val="center"/>
          </w:tcPr>
          <w:p w14:paraId="15C1AD17">
            <w:pPr>
              <w:pStyle w:val="109"/>
              <w:rPr>
                <w:color w:val="000000" w:themeColor="text1"/>
                <w14:textFill>
                  <w14:solidFill>
                    <w14:schemeClr w14:val="tx1"/>
                  </w14:solidFill>
                </w14:textFill>
              </w:rPr>
            </w:pPr>
          </w:p>
        </w:tc>
      </w:tr>
      <w:tr w14:paraId="2DC88105">
        <w:tblPrEx>
          <w:tblCellMar>
            <w:top w:w="0" w:type="dxa"/>
            <w:left w:w="85" w:type="dxa"/>
            <w:bottom w:w="0" w:type="dxa"/>
            <w:right w:w="85" w:type="dxa"/>
          </w:tblCellMar>
        </w:tblPrEx>
        <w:trPr>
          <w:jc w:val="center"/>
        </w:trPr>
        <w:tc>
          <w:tcPr>
            <w:tcW w:w="7882" w:type="dxa"/>
            <w:gridSpan w:val="8"/>
            <w:tcBorders>
              <w:top w:val="single" w:color="000000" w:sz="4" w:space="0"/>
              <w:left w:val="single" w:color="000000" w:sz="4" w:space="0"/>
              <w:bottom w:val="single" w:color="000000" w:sz="4" w:space="0"/>
              <w:right w:val="nil"/>
            </w:tcBorders>
            <w:vAlign w:val="center"/>
          </w:tcPr>
          <w:p w14:paraId="7DF55925">
            <w:pPr>
              <w:pStyle w:val="109"/>
              <w:rPr>
                <w:color w:val="000000" w:themeColor="text1"/>
                <w14:textFill>
                  <w14:solidFill>
                    <w14:schemeClr w14:val="tx1"/>
                  </w14:solidFill>
                </w14:textFill>
              </w:rPr>
            </w:pPr>
            <w:r>
              <w:rPr>
                <w:color w:val="000000" w:themeColor="text1"/>
                <w14:textFill>
                  <w14:solidFill>
                    <w14:schemeClr w14:val="tx1"/>
                  </w14:solidFill>
                </w14:textFill>
              </w:rPr>
              <w:t>注1：“□”为勾选项，可√；“（）”为内容填写项；“备注”为其他补充内容。</w:t>
            </w:r>
          </w:p>
          <w:p w14:paraId="4869E7B0">
            <w:pPr>
              <w:pStyle w:val="109"/>
              <w:rPr>
                <w:color w:val="000000" w:themeColor="text1"/>
                <w14:textFill>
                  <w14:solidFill>
                    <w14:schemeClr w14:val="tx1"/>
                  </w14:solidFill>
                </w14:textFill>
              </w:rPr>
            </w:pPr>
            <w:r>
              <w:rPr>
                <w:color w:val="000000" w:themeColor="text1"/>
                <w14:textFill>
                  <w14:solidFill>
                    <w14:schemeClr w14:val="tx1"/>
                  </w14:solidFill>
                </w14:textFill>
              </w:rPr>
              <w:t>注2：需要分别开展土壤环境影响评级工作，分别填写自查表。</w:t>
            </w:r>
          </w:p>
        </w:tc>
        <w:tc>
          <w:tcPr>
            <w:tcW w:w="1700" w:type="dxa"/>
            <w:tcBorders>
              <w:top w:val="single" w:color="000000" w:sz="4" w:space="0"/>
              <w:left w:val="nil"/>
              <w:bottom w:val="single" w:color="000000" w:sz="4" w:space="0"/>
              <w:right w:val="single" w:color="000000" w:sz="4" w:space="0"/>
            </w:tcBorders>
            <w:vAlign w:val="center"/>
          </w:tcPr>
          <w:p w14:paraId="21EA1F89">
            <w:pPr>
              <w:pStyle w:val="109"/>
              <w:rPr>
                <w:color w:val="000000" w:themeColor="text1"/>
                <w14:textFill>
                  <w14:solidFill>
                    <w14:schemeClr w14:val="tx1"/>
                  </w14:solidFill>
                </w14:textFill>
              </w:rPr>
            </w:pPr>
          </w:p>
        </w:tc>
      </w:tr>
    </w:tbl>
    <w:p w14:paraId="10AB2BDD">
      <w:pPr>
        <w:pStyle w:val="3"/>
        <w:rPr>
          <w:rFonts w:ascii="Times New Roman" w:cs="Times New Roman"/>
          <w:color w:val="000000" w:themeColor="text1"/>
          <w14:textFill>
            <w14:solidFill>
              <w14:schemeClr w14:val="tx1"/>
            </w14:solidFill>
          </w14:textFill>
        </w:rPr>
      </w:pPr>
      <w:bookmarkStart w:id="449" w:name="_Toc225268323"/>
      <w:r>
        <w:rPr>
          <w:rFonts w:ascii="Times New Roman" w:cs="Times New Roman"/>
          <w:color w:val="000000" w:themeColor="text1"/>
          <w14:textFill>
            <w14:solidFill>
              <w14:schemeClr w14:val="tx1"/>
            </w14:solidFill>
          </w14:textFill>
        </w:rPr>
        <w:t>生态环境影响</w:t>
      </w:r>
      <w:bookmarkEnd w:id="449"/>
    </w:p>
    <w:p w14:paraId="0140551B">
      <w:pPr>
        <w:pStyle w:val="5"/>
        <w:rPr>
          <w:rFonts w:ascii="Times New Roman" w:hAnsi="Times New Roman" w:eastAsia="宋体"/>
          <w:color w:val="000000" w:themeColor="text1"/>
          <w:szCs w:val="28"/>
          <w14:textFill>
            <w14:solidFill>
              <w14:schemeClr w14:val="tx1"/>
            </w14:solidFill>
          </w14:textFill>
        </w:rPr>
      </w:pPr>
      <w:r>
        <w:rPr>
          <w:rFonts w:ascii="Times New Roman" w:hAnsi="Times New Roman"/>
          <w:color w:val="000000" w:themeColor="text1"/>
          <w14:textFill>
            <w14:solidFill>
              <w14:schemeClr w14:val="tx1"/>
            </w14:solidFill>
          </w14:textFill>
        </w:rPr>
        <w:t>生态功能区划</w:t>
      </w:r>
    </w:p>
    <w:p w14:paraId="1C0D9127">
      <w:pPr>
        <w:ind w:firstLine="480"/>
        <w:rPr>
          <w:color w:val="000000" w:themeColor="text1"/>
          <w14:textFill>
            <w14:solidFill>
              <w14:schemeClr w14:val="tx1"/>
            </w14:solidFill>
          </w14:textFill>
        </w:rPr>
      </w:pPr>
      <w:r>
        <w:rPr>
          <w:color w:val="000000" w:themeColor="text1"/>
          <w14:textFill>
            <w14:solidFill>
              <w14:schemeClr w14:val="tx1"/>
            </w14:solidFill>
          </w14:textFill>
        </w:rPr>
        <w:t>根据《新疆生态功能区划》，本项目生态功能区的主要生态服务功能、生态敏感因子、主要生态环境问题和主要保护目标见下表。</w:t>
      </w:r>
    </w:p>
    <w:p w14:paraId="4F863C51">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区域生态功能区划特征表</w:t>
      </w:r>
    </w:p>
    <w:tbl>
      <w:tblPr>
        <w:tblStyle w:val="7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157"/>
        <w:gridCol w:w="1373"/>
        <w:gridCol w:w="821"/>
        <w:gridCol w:w="1064"/>
        <w:gridCol w:w="1573"/>
        <w:gridCol w:w="1146"/>
        <w:gridCol w:w="1397"/>
      </w:tblGrid>
      <w:tr w14:paraId="58E6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13" w:type="pct"/>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BC4C8C7">
            <w:pPr>
              <w:pStyle w:val="109"/>
              <w:rPr>
                <w:color w:val="000000" w:themeColor="text1"/>
                <w14:textFill>
                  <w14:solidFill>
                    <w14:schemeClr w14:val="tx1"/>
                  </w14:solidFill>
                </w14:textFill>
              </w:rPr>
            </w:pPr>
            <w:r>
              <w:rPr>
                <w:color w:val="000000" w:themeColor="text1"/>
                <w14:textFill>
                  <w14:solidFill>
                    <w14:schemeClr w14:val="tx1"/>
                  </w14:solidFill>
                </w14:textFill>
              </w:rPr>
              <w:t>生态功能分区单元</w:t>
            </w:r>
          </w:p>
        </w:tc>
        <w:tc>
          <w:tcPr>
            <w:tcW w:w="436"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7575840">
            <w:pPr>
              <w:pStyle w:val="109"/>
              <w:rPr>
                <w:color w:val="000000" w:themeColor="text1"/>
                <w14:textFill>
                  <w14:solidFill>
                    <w14:schemeClr w14:val="tx1"/>
                  </w14:solidFill>
                </w14:textFill>
              </w:rPr>
            </w:pPr>
            <w:r>
              <w:rPr>
                <w:color w:val="000000" w:themeColor="text1"/>
                <w14:textFill>
                  <w14:solidFill>
                    <w14:schemeClr w14:val="tx1"/>
                  </w14:solidFill>
                </w14:textFill>
              </w:rPr>
              <w:t>所属区域</w:t>
            </w:r>
          </w:p>
        </w:tc>
        <w:tc>
          <w:tcPr>
            <w:tcW w:w="565"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CE1870F">
            <w:pPr>
              <w:pStyle w:val="109"/>
              <w:rPr>
                <w:color w:val="000000" w:themeColor="text1"/>
                <w14:textFill>
                  <w14:solidFill>
                    <w14:schemeClr w14:val="tx1"/>
                  </w14:solidFill>
                </w14:textFill>
              </w:rPr>
            </w:pPr>
            <w:r>
              <w:rPr>
                <w:color w:val="000000" w:themeColor="text1"/>
                <w14:textFill>
                  <w14:solidFill>
                    <w14:schemeClr w14:val="tx1"/>
                  </w14:solidFill>
                </w14:textFill>
              </w:rPr>
              <w:t>主要生态服务功能</w:t>
            </w:r>
          </w:p>
        </w:tc>
        <w:tc>
          <w:tcPr>
            <w:tcW w:w="835"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3073560">
            <w:pPr>
              <w:pStyle w:val="109"/>
              <w:rPr>
                <w:color w:val="000000" w:themeColor="text1"/>
                <w14:textFill>
                  <w14:solidFill>
                    <w14:schemeClr w14:val="tx1"/>
                  </w14:solidFill>
                </w14:textFill>
              </w:rPr>
            </w:pPr>
            <w:r>
              <w:rPr>
                <w:color w:val="000000" w:themeColor="text1"/>
                <w14:textFill>
                  <w14:solidFill>
                    <w14:schemeClr w14:val="tx1"/>
                  </w14:solidFill>
                </w14:textFill>
              </w:rPr>
              <w:t>主要生态环境问题</w:t>
            </w:r>
          </w:p>
        </w:tc>
        <w:tc>
          <w:tcPr>
            <w:tcW w:w="608"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6975F24">
            <w:pPr>
              <w:pStyle w:val="109"/>
              <w:rPr>
                <w:color w:val="000000" w:themeColor="text1"/>
                <w14:textFill>
                  <w14:solidFill>
                    <w14:schemeClr w14:val="tx1"/>
                  </w14:solidFill>
                </w14:textFill>
              </w:rPr>
            </w:pPr>
            <w:r>
              <w:rPr>
                <w:color w:val="000000" w:themeColor="text1"/>
                <w14:textFill>
                  <w14:solidFill>
                    <w14:schemeClr w14:val="tx1"/>
                  </w14:solidFill>
                </w14:textFill>
              </w:rPr>
              <w:t>主要生态敏感因子、敏感程度</w:t>
            </w:r>
          </w:p>
        </w:tc>
        <w:tc>
          <w:tcPr>
            <w:tcW w:w="741"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829DBEB">
            <w:pPr>
              <w:pStyle w:val="109"/>
              <w:rPr>
                <w:color w:val="000000" w:themeColor="text1"/>
                <w14:textFill>
                  <w14:solidFill>
                    <w14:schemeClr w14:val="tx1"/>
                  </w14:solidFill>
                </w14:textFill>
              </w:rPr>
            </w:pPr>
            <w:r>
              <w:rPr>
                <w:color w:val="000000" w:themeColor="text1"/>
                <w14:textFill>
                  <w14:solidFill>
                    <w14:schemeClr w14:val="tx1"/>
                  </w14:solidFill>
                </w14:textFill>
              </w:rPr>
              <w:t>主要保护目标</w:t>
            </w:r>
          </w:p>
        </w:tc>
      </w:tr>
      <w:tr w14:paraId="7CC4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7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18ED573">
            <w:pPr>
              <w:pStyle w:val="109"/>
              <w:rPr>
                <w:color w:val="000000" w:themeColor="text1"/>
                <w14:textFill>
                  <w14:solidFill>
                    <w14:schemeClr w14:val="tx1"/>
                  </w14:solidFill>
                </w14:textFill>
              </w:rPr>
            </w:pPr>
            <w:r>
              <w:rPr>
                <w:color w:val="000000" w:themeColor="text1"/>
                <w14:textFill>
                  <w14:solidFill>
                    <w14:schemeClr w14:val="tx1"/>
                  </w14:solidFill>
                </w14:textFill>
              </w:rPr>
              <w:t>生态区</w:t>
            </w:r>
          </w:p>
        </w:tc>
        <w:tc>
          <w:tcPr>
            <w:tcW w:w="6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F9F538C">
            <w:pPr>
              <w:pStyle w:val="109"/>
              <w:rPr>
                <w:color w:val="000000" w:themeColor="text1"/>
                <w14:textFill>
                  <w14:solidFill>
                    <w14:schemeClr w14:val="tx1"/>
                  </w14:solidFill>
                </w14:textFill>
              </w:rPr>
            </w:pPr>
            <w:r>
              <w:rPr>
                <w:color w:val="000000" w:themeColor="text1"/>
                <w14:textFill>
                  <w14:solidFill>
                    <w14:schemeClr w14:val="tx1"/>
                  </w14:solidFill>
                </w14:textFill>
              </w:rPr>
              <w:t>生态亚区</w:t>
            </w:r>
          </w:p>
        </w:tc>
        <w:tc>
          <w:tcPr>
            <w:tcW w:w="72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E551999">
            <w:pPr>
              <w:pStyle w:val="109"/>
              <w:rPr>
                <w:color w:val="000000" w:themeColor="text1"/>
                <w14:textFill>
                  <w14:solidFill>
                    <w14:schemeClr w14:val="tx1"/>
                  </w14:solidFill>
                </w14:textFill>
              </w:rPr>
            </w:pPr>
            <w:r>
              <w:rPr>
                <w:color w:val="000000" w:themeColor="text1"/>
                <w14:textFill>
                  <w14:solidFill>
                    <w14:schemeClr w14:val="tx1"/>
                  </w14:solidFill>
                </w14:textFill>
              </w:rPr>
              <w:t>生态功能区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1C3C040">
            <w:pPr>
              <w:pStyle w:val="109"/>
              <w:rPr>
                <w:color w:val="000000" w:themeColor="text1"/>
                <w:kern w:val="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B31D89">
            <w:pPr>
              <w:pStyle w:val="109"/>
              <w:rPr>
                <w:color w:val="000000" w:themeColor="text1"/>
                <w:kern w:val="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80D2C8">
            <w:pPr>
              <w:pStyle w:val="109"/>
              <w:rPr>
                <w:color w:val="000000" w:themeColor="text1"/>
                <w:kern w:val="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8231D79">
            <w:pPr>
              <w:pStyle w:val="109"/>
              <w:rPr>
                <w:color w:val="000000" w:themeColor="text1"/>
                <w:kern w:val="2"/>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62E6421">
            <w:pPr>
              <w:pStyle w:val="109"/>
              <w:rPr>
                <w:color w:val="000000" w:themeColor="text1"/>
                <w:kern w:val="2"/>
                <w14:textFill>
                  <w14:solidFill>
                    <w14:schemeClr w14:val="tx1"/>
                  </w14:solidFill>
                </w14:textFill>
              </w:rPr>
            </w:pPr>
          </w:p>
        </w:tc>
      </w:tr>
      <w:tr w14:paraId="0922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jc w:val="center"/>
        </w:trPr>
        <w:tc>
          <w:tcPr>
            <w:tcW w:w="47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8AD14B8">
            <w:pPr>
              <w:pStyle w:val="109"/>
              <w:rPr>
                <w:color w:val="000000" w:themeColor="text1"/>
                <w14:textFill>
                  <w14:solidFill>
                    <w14:schemeClr w14:val="tx1"/>
                  </w14:solidFill>
                </w14:textFill>
              </w:rPr>
            </w:pPr>
            <w:r>
              <w:rPr>
                <w:color w:val="000000" w:themeColor="text1"/>
                <w14:textFill>
                  <w14:solidFill>
                    <w14:schemeClr w14:val="tx1"/>
                  </w14:solidFill>
                </w14:textFill>
              </w:rPr>
              <w:t>准噶尔盆地温性荒漠与绿洲农业生态区</w:t>
            </w:r>
          </w:p>
        </w:tc>
        <w:tc>
          <w:tcPr>
            <w:tcW w:w="61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3009B40">
            <w:pPr>
              <w:pStyle w:val="109"/>
              <w:rPr>
                <w:color w:val="000000" w:themeColor="text1"/>
                <w14:textFill>
                  <w14:solidFill>
                    <w14:schemeClr w14:val="tx1"/>
                  </w14:solidFill>
                </w14:textFill>
              </w:rPr>
            </w:pPr>
            <w:r>
              <w:rPr>
                <w:color w:val="000000" w:themeColor="text1"/>
                <w14:textFill>
                  <w14:solidFill>
                    <w14:schemeClr w14:val="tx1"/>
                  </w14:solidFill>
                </w14:textFill>
              </w:rPr>
              <w:t>准噶尔盆地南部荒漠绿洲农业生态亚区</w:t>
            </w:r>
          </w:p>
        </w:tc>
        <w:tc>
          <w:tcPr>
            <w:tcW w:w="72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950E03B">
            <w:pPr>
              <w:pStyle w:val="109"/>
              <w:rPr>
                <w:color w:val="000000" w:themeColor="text1"/>
                <w14:textFill>
                  <w14:solidFill>
                    <w14:schemeClr w14:val="tx1"/>
                  </w14:solidFill>
                </w14:textFill>
              </w:rPr>
            </w:pPr>
            <w:r>
              <w:rPr>
                <w:color w:val="000000" w:themeColor="text1"/>
                <w14:textFill>
                  <w14:solidFill>
                    <w14:schemeClr w14:val="tx1"/>
                  </w14:solidFill>
                </w14:textFill>
              </w:rPr>
              <w:t>乌鲁木齐城市及城郊农业生态功能区</w:t>
            </w:r>
          </w:p>
        </w:tc>
        <w:tc>
          <w:tcPr>
            <w:tcW w:w="43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EB72C8C">
            <w:pPr>
              <w:pStyle w:val="109"/>
              <w:rPr>
                <w:color w:val="000000" w:themeColor="text1"/>
                <w14:textFill>
                  <w14:solidFill>
                    <w14:schemeClr w14:val="tx1"/>
                  </w14:solidFill>
                </w14:textFill>
              </w:rPr>
            </w:pPr>
            <w:r>
              <w:rPr>
                <w:color w:val="000000" w:themeColor="text1"/>
                <w14:textFill>
                  <w14:solidFill>
                    <w14:schemeClr w14:val="tx1"/>
                  </w14:solidFill>
                </w14:textFill>
              </w:rPr>
              <w:t>乌鲁木齐市、米东区（注原米泉市）</w:t>
            </w:r>
          </w:p>
        </w:tc>
        <w:tc>
          <w:tcPr>
            <w:tcW w:w="5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434CD1A">
            <w:pPr>
              <w:pStyle w:val="109"/>
              <w:rPr>
                <w:color w:val="000000" w:themeColor="text1"/>
                <w14:textFill>
                  <w14:solidFill>
                    <w14:schemeClr w14:val="tx1"/>
                  </w14:solidFill>
                </w14:textFill>
              </w:rPr>
            </w:pPr>
            <w:r>
              <w:rPr>
                <w:color w:val="000000" w:themeColor="text1"/>
                <w14:textFill>
                  <w14:solidFill>
                    <w14:schemeClr w14:val="tx1"/>
                  </w14:solidFill>
                </w14:textFill>
              </w:rPr>
              <w:t>人居环境、工农业产品生产、旅游</w:t>
            </w:r>
          </w:p>
        </w:tc>
        <w:tc>
          <w:tcPr>
            <w:tcW w:w="83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8AD3AE8">
            <w:pPr>
              <w:pStyle w:val="109"/>
              <w:rPr>
                <w:color w:val="000000" w:themeColor="text1"/>
                <w14:textFill>
                  <w14:solidFill>
                    <w14:schemeClr w14:val="tx1"/>
                  </w14:solidFill>
                </w14:textFill>
              </w:rPr>
            </w:pPr>
            <w:r>
              <w:rPr>
                <w:color w:val="000000" w:themeColor="text1"/>
                <w14:textFill>
                  <w14:solidFill>
                    <w14:schemeClr w14:val="tx1"/>
                  </w14:solidFill>
                </w14:textFill>
              </w:rPr>
              <w:t>大气污染严重、水质污染、城市绿化面积不足、供水紧缺、湿地萎缩、土壤质量下降</w:t>
            </w:r>
          </w:p>
        </w:tc>
        <w:tc>
          <w:tcPr>
            <w:tcW w:w="6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8B9B5AA">
            <w:pPr>
              <w:pStyle w:val="109"/>
              <w:rPr>
                <w:color w:val="000000" w:themeColor="text1"/>
                <w14:textFill>
                  <w14:solidFill>
                    <w14:schemeClr w14:val="tx1"/>
                  </w14:solidFill>
                </w14:textFill>
              </w:rPr>
            </w:pPr>
            <w:r>
              <w:rPr>
                <w:color w:val="000000" w:themeColor="text1"/>
                <w14:textFill>
                  <w14:solidFill>
                    <w14:schemeClr w14:val="tx1"/>
                  </w14:solidFill>
                </w14:textFill>
              </w:rPr>
              <w:t>生物多样性及其生境中度敏感</w:t>
            </w:r>
          </w:p>
        </w:tc>
        <w:tc>
          <w:tcPr>
            <w:tcW w:w="74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77B1D5D">
            <w:pPr>
              <w:pStyle w:val="109"/>
              <w:rPr>
                <w:color w:val="000000" w:themeColor="text1"/>
                <w14:textFill>
                  <w14:solidFill>
                    <w14:schemeClr w14:val="tx1"/>
                  </w14:solidFill>
                </w14:textFill>
              </w:rPr>
            </w:pPr>
            <w:r>
              <w:rPr>
                <w:color w:val="000000" w:themeColor="text1"/>
                <w14:textFill>
                  <w14:solidFill>
                    <w14:schemeClr w14:val="tx1"/>
                  </w14:solidFill>
                </w14:textFill>
              </w:rPr>
              <w:t>保护水源地、保护城市大气和水环境质量、保护城市绿地及景观多样性</w:t>
            </w:r>
          </w:p>
        </w:tc>
      </w:tr>
    </w:tbl>
    <w:p w14:paraId="05021337">
      <w:pPr>
        <w:pStyle w:val="5"/>
        <w:spacing w:before="60" w:beforeLines="25" w:after="60" w:afterLines="25" w:line="376" w:lineRule="auto"/>
        <w:rPr>
          <w:rFonts w:ascii="Times New Roman" w:hAnsi="Times New Roman"/>
          <w:color w:val="000000" w:themeColor="text1"/>
          <w:kern w:val="2"/>
          <w:szCs w:val="28"/>
          <w14:textFill>
            <w14:solidFill>
              <w14:schemeClr w14:val="tx1"/>
            </w14:solidFill>
          </w14:textFill>
        </w:rPr>
      </w:pPr>
      <w:r>
        <w:rPr>
          <w:rFonts w:ascii="Times New Roman" w:hAnsi="Times New Roman"/>
          <w:color w:val="000000" w:themeColor="text1"/>
          <w:kern w:val="2"/>
          <w14:textFill>
            <w14:solidFill>
              <w14:schemeClr w14:val="tx1"/>
            </w14:solidFill>
          </w14:textFill>
        </w:rPr>
        <w:t>土地利用现状调查</w:t>
      </w:r>
    </w:p>
    <w:p w14:paraId="3BA7D250">
      <w:pPr>
        <w:ind w:firstLine="480"/>
        <w:jc w:val="both"/>
        <w:rPr>
          <w:color w:val="000000" w:themeColor="text1"/>
          <w:kern w:val="2"/>
          <w14:textFill>
            <w14:solidFill>
              <w14:schemeClr w14:val="tx1"/>
            </w14:solidFill>
          </w14:textFill>
        </w:rPr>
      </w:pPr>
      <w:r>
        <w:rPr>
          <w:color w:val="000000" w:themeColor="text1"/>
          <w14:textFill>
            <w14:solidFill>
              <w14:schemeClr w14:val="tx1"/>
            </w14:solidFill>
          </w14:textFill>
        </w:rPr>
        <w:t>根据园区规划可知，本项目用地性质为工业用地。</w:t>
      </w:r>
    </w:p>
    <w:p w14:paraId="778D2D41">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根据《土壤服务信息服务平台》查询可知，本项目调查评价范围内的土壤类型为“干旱盐土”。</w:t>
      </w:r>
    </w:p>
    <w:p w14:paraId="233C8EF4">
      <w:pPr>
        <w:pStyle w:val="5"/>
        <w:spacing w:before="60" w:beforeLines="25" w:after="60" w:afterLines="25" w:line="376" w:lineRule="auto"/>
        <w:rPr>
          <w:rFonts w:ascii="Times New Roman" w:hAnsi="Times New Roman"/>
          <w:color w:val="000000" w:themeColor="text1"/>
          <w:kern w:val="2"/>
          <w:szCs w:val="28"/>
          <w14:textFill>
            <w14:solidFill>
              <w14:schemeClr w14:val="tx1"/>
            </w14:solidFill>
          </w14:textFill>
        </w:rPr>
      </w:pPr>
      <w:r>
        <w:rPr>
          <w:rFonts w:ascii="Times New Roman" w:hAnsi="Times New Roman"/>
          <w:color w:val="000000" w:themeColor="text1"/>
          <w:kern w:val="2"/>
          <w14:textFill>
            <w14:solidFill>
              <w14:schemeClr w14:val="tx1"/>
            </w14:solidFill>
          </w14:textFill>
        </w:rPr>
        <w:t>植被现状调查</w:t>
      </w:r>
    </w:p>
    <w:p w14:paraId="6544F025">
      <w:pPr>
        <w:pStyle w:val="1291"/>
        <w:widowControl w:val="0"/>
        <w:spacing w:line="360" w:lineRule="auto"/>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根据现场调查，本项目</w:t>
      </w:r>
      <w:r>
        <w:rPr>
          <w:color w:val="000000" w:themeColor="text1"/>
          <w14:textFill>
            <w14:solidFill>
              <w14:schemeClr w14:val="tx1"/>
            </w14:solidFill>
          </w14:textFill>
        </w:rPr>
        <w:t>生态评价范围内</w:t>
      </w:r>
      <w:r>
        <w:rPr>
          <w:color w:val="000000" w:themeColor="text1"/>
          <w:szCs w:val="24"/>
          <w14:textFill>
            <w14:solidFill>
              <w14:schemeClr w14:val="tx1"/>
            </w14:solidFill>
          </w14:textFill>
        </w:rPr>
        <w:t>无野生植被存在，场地只有少量人工种植绿化植被。</w:t>
      </w:r>
    </w:p>
    <w:p w14:paraId="20BD9C8D">
      <w:pPr>
        <w:pStyle w:val="5"/>
        <w:spacing w:before="60" w:beforeLines="25" w:after="60" w:afterLines="25" w:line="376" w:lineRule="auto"/>
        <w:rPr>
          <w:rFonts w:ascii="Times New Roman" w:hAnsi="Times New Roman"/>
          <w:color w:val="000000" w:themeColor="text1"/>
          <w:kern w:val="2"/>
          <w:szCs w:val="28"/>
          <w14:textFill>
            <w14:solidFill>
              <w14:schemeClr w14:val="tx1"/>
            </w14:solidFill>
          </w14:textFill>
        </w:rPr>
      </w:pPr>
      <w:r>
        <w:rPr>
          <w:rFonts w:ascii="Times New Roman" w:hAnsi="Times New Roman"/>
          <w:color w:val="000000" w:themeColor="text1"/>
          <w:kern w:val="2"/>
          <w14:textFill>
            <w14:solidFill>
              <w14:schemeClr w14:val="tx1"/>
            </w14:solidFill>
          </w14:textFill>
        </w:rPr>
        <w:t>野生动物现状调查</w:t>
      </w:r>
    </w:p>
    <w:p w14:paraId="252B9049">
      <w:pPr>
        <w:ind w:firstLine="480"/>
        <w:rPr>
          <w:color w:val="000000" w:themeColor="text1"/>
          <w14:textFill>
            <w14:solidFill>
              <w14:schemeClr w14:val="tx1"/>
            </w14:solidFill>
          </w14:textFill>
        </w:rPr>
      </w:pPr>
      <w:r>
        <w:rPr>
          <w:color w:val="000000" w:themeColor="text1"/>
          <w14:textFill>
            <w14:solidFill>
              <w14:schemeClr w14:val="tx1"/>
            </w14:solidFill>
          </w14:textFill>
        </w:rPr>
        <w:t>根据现场调查，在调查期间本项目生态评价范围内无野生动物存在。</w:t>
      </w:r>
    </w:p>
    <w:p w14:paraId="134B09CD">
      <w:pPr>
        <w:pStyle w:val="5"/>
        <w:spacing w:before="1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项目区域水土流失现状调查</w:t>
      </w:r>
    </w:p>
    <w:p w14:paraId="40C3C9AD">
      <w:pPr>
        <w:adjustRightInd w:val="0"/>
        <w:snapToGrid w:val="0"/>
        <w:ind w:firstLine="480"/>
        <w:jc w:val="both"/>
        <w:textAlignment w:val="baseline"/>
        <w:rPr>
          <w:color w:val="000000" w:themeColor="text1"/>
          <w14:textFill>
            <w14:solidFill>
              <w14:schemeClr w14:val="tx1"/>
            </w14:solidFill>
          </w14:textFill>
        </w:rPr>
      </w:pPr>
      <w:r>
        <w:rPr>
          <w:color w:val="000000" w:themeColor="text1"/>
          <w14:textFill>
            <w14:solidFill>
              <w14:schemeClr w14:val="tx1"/>
            </w14:solidFill>
          </w14:textFill>
        </w:rPr>
        <w:t>根据《关于印发新疆维吾尔自治区级水土流失重点预防区和重点治理区复核划分成果的通知》（新水水保〔2019〕4号），新疆共划分了2个自治区级重点预防区，4个自治区级重点治理区。其中，重点预防区面积19615.9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，包括、塔里木河中上游重点预防区；重点治理区面积283963km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，包括额尔齐斯河流域重点治理区、天山北坡诸小河流域重点治理区、塔里木河流域重点治理区、伊犁河流域重点治理区。</w:t>
      </w:r>
    </w:p>
    <w:p w14:paraId="321CC146">
      <w:pPr>
        <w:adjustRightInd w:val="0"/>
        <w:snapToGrid w:val="0"/>
        <w:ind w:firstLine="480"/>
        <w:jc w:val="both"/>
        <w:textAlignment w:val="baseline"/>
        <w:rPr>
          <w:color w:val="000000" w:themeColor="text1"/>
          <w14:textFill>
            <w14:solidFill>
              <w14:schemeClr w14:val="tx1"/>
            </w14:solidFill>
          </w14:textFill>
        </w:rPr>
      </w:pPr>
      <w:r>
        <w:rPr>
          <w:color w:val="000000" w:themeColor="text1"/>
          <w14:textFill>
            <w14:solidFill>
              <w14:schemeClr w14:val="tx1"/>
            </w14:solidFill>
          </w14:textFill>
        </w:rPr>
        <w:t>本项目位于乌鲁木齐市甘泉堡经济技术开发区（工业区），属于天山北坡诸小河流域重点治理区。</w:t>
      </w:r>
    </w:p>
    <w:p w14:paraId="142F6297">
      <w:pPr>
        <w:pStyle w:val="5"/>
        <w:rPr>
          <w:rFonts w:ascii="Times New Roman" w:hAnsi="Times New Roman"/>
          <w:color w:val="000000" w:themeColor="text1"/>
          <w:szCs w:val="28"/>
          <w14:textFill>
            <w14:solidFill>
              <w14:schemeClr w14:val="tx1"/>
            </w14:solidFill>
          </w14:textFill>
        </w:rPr>
      </w:pPr>
      <w:r>
        <w:rPr>
          <w:rFonts w:ascii="Times New Roman" w:hAnsi="Times New Roman"/>
          <w:color w:val="000000" w:themeColor="text1"/>
          <w14:textFill>
            <w14:solidFill>
              <w14:schemeClr w14:val="tx1"/>
            </w14:solidFill>
          </w14:textFill>
        </w:rPr>
        <w:t>项目区域土地沙化现状调查</w:t>
      </w:r>
    </w:p>
    <w:p w14:paraId="78E5EB42">
      <w:pPr>
        <w:adjustRightInd w:val="0"/>
        <w:snapToGrid w:val="0"/>
        <w:ind w:firstLine="480"/>
        <w:jc w:val="both"/>
        <w:textAlignment w:val="baseline"/>
        <w:rPr>
          <w:color w:val="000000" w:themeColor="text1"/>
          <w14:textFill>
            <w14:solidFill>
              <w14:schemeClr w14:val="tx1"/>
            </w14:solidFill>
          </w14:textFill>
        </w:rPr>
      </w:pPr>
      <w:r>
        <w:rPr>
          <w:color w:val="000000" w:themeColor="text1"/>
          <w14:textFill>
            <w14:solidFill>
              <w14:schemeClr w14:val="tx1"/>
            </w14:solidFill>
          </w14:textFill>
        </w:rPr>
        <w:t>本项目位于乌鲁木齐市甘泉堡经济技术开发区（工业区），根据新疆沙化土地类型分布图，项目选址所在区域属于非沙化土地。</w:t>
      </w:r>
    </w:p>
    <w:p w14:paraId="277F29DB">
      <w:pPr>
        <w:adjustRightInd w:val="0"/>
        <w:snapToGrid w:val="0"/>
        <w:ind w:firstLine="0" w:firstLineChars="0"/>
        <w:textAlignment w:val="baseline"/>
        <w:rPr>
          <w:color w:val="000000" w:themeColor="text1"/>
          <w14:textFill>
            <w14:solidFill>
              <w14:schemeClr w14:val="tx1"/>
            </w14:solidFill>
          </w14:textFill>
        </w:rPr>
      </w:pPr>
    </w:p>
    <w:p w14:paraId="1DC3EC85">
      <w:pPr>
        <w:pStyle w:val="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项目与新疆沙化土地类型分布关系图</w:t>
      </w:r>
    </w:p>
    <w:p w14:paraId="00556C8F">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生态环境影响预测与评价</w:t>
      </w:r>
    </w:p>
    <w:p w14:paraId="2074DDAB">
      <w:pPr>
        <w:ind w:firstLine="480"/>
        <w:rPr>
          <w:rFonts w:eastAsia="楷体_GB2312"/>
          <w:color w:val="000000" w:themeColor="text1"/>
          <w14:textFill>
            <w14:solidFill>
              <w14:schemeClr w14:val="tx1"/>
            </w14:solidFill>
          </w14:textFill>
        </w:rPr>
      </w:pPr>
      <w:r>
        <w:rPr>
          <w:color w:val="000000" w:themeColor="text1"/>
          <w14:textFill>
            <w14:solidFill>
              <w14:schemeClr w14:val="tx1"/>
            </w14:solidFill>
          </w14:textFill>
        </w:rPr>
        <w:t>本项目生态环境影响评价等级为简单分析。根据本项目特点，本项目对生态环境的影响主要集中在施工期，运营期不会对生态造成不良影响。</w:t>
      </w:r>
    </w:p>
    <w:p w14:paraId="3E68AFA1">
      <w:pPr>
        <w:ind w:firstLine="480"/>
        <w:rPr>
          <w:color w:val="000000" w:themeColor="text1"/>
          <w14:textFill>
            <w14:solidFill>
              <w14:schemeClr w14:val="tx1"/>
            </w14:solidFill>
          </w14:textFill>
        </w:rPr>
        <w:sectPr>
          <w:pgSz w:w="11906" w:h="16838"/>
          <w:pgMar w:top="1418" w:right="1247" w:bottom="1418" w:left="1247" w:header="964" w:footer="964" w:gutter="0"/>
          <w:cols w:space="720" w:num="1"/>
          <w:docGrid w:linePitch="312" w:charSpace="0"/>
        </w:sectPr>
      </w:pPr>
    </w:p>
    <w:p w14:paraId="51268A68">
      <w:pPr>
        <w:pStyle w:val="2"/>
        <w:rPr>
          <w:rFonts w:ascii="Times New Roman" w:cs="Times New Roman"/>
          <w:color w:val="000000" w:themeColor="text1"/>
          <w14:textFill>
            <w14:solidFill>
              <w14:schemeClr w14:val="tx1"/>
            </w14:solidFill>
          </w14:textFill>
        </w:rPr>
      </w:pPr>
      <w:bookmarkStart w:id="450" w:name="_Toc329793662"/>
      <w:bookmarkStart w:id="451" w:name="_Toc330460806"/>
      <w:bookmarkStart w:id="452" w:name="_Toc225268324"/>
      <w:r>
        <w:rPr>
          <w:rFonts w:ascii="Times New Roman" w:cs="Times New Roman"/>
          <w:color w:val="000000" w:themeColor="text1"/>
          <w14:textFill>
            <w14:solidFill>
              <w14:schemeClr w14:val="tx1"/>
            </w14:solidFill>
          </w14:textFill>
        </w:rPr>
        <w:t>污染防治措施分析</w:t>
      </w:r>
      <w:bookmarkEnd w:id="450"/>
      <w:bookmarkEnd w:id="451"/>
      <w:bookmarkEnd w:id="452"/>
      <w:bookmarkStart w:id="453" w:name="_Toc266187726"/>
    </w:p>
    <w:p w14:paraId="4E98863B">
      <w:pPr>
        <w:ind w:firstLine="480"/>
        <w:rPr>
          <w:color w:val="000000" w:themeColor="text1"/>
          <w14:textFill>
            <w14:solidFill>
              <w14:schemeClr w14:val="tx1"/>
            </w14:solidFill>
          </w14:textFill>
        </w:rPr>
      </w:pPr>
      <w:r>
        <w:rPr>
          <w:color w:val="000000" w:themeColor="text1"/>
          <w14:textFill>
            <w14:solidFill>
              <w14:schemeClr w14:val="tx1"/>
            </w14:solidFill>
          </w14:textFill>
        </w:rPr>
        <w:t>本章根据《危险废物处置工程技术导则》（HJ 2042-2014）、《危险废物焚烧污染控制标准》（GB18484-2020）、《危险废物集中焚烧处置工程建设技术规范》（HJ/T176-2005）、《排污许可证申请与核发技术规范 危险废物焚烧》（HJ 1038-2019）以及《排污许可证申请与核发技术规范 工业固体废物和危险废物治理》（HJ 1033-2019）的规定要求，对危险废物处置过程产生的环境问题及其拟采用的环保措施的可行性进行分析论述，并提出相应的对策措施。</w:t>
      </w:r>
    </w:p>
    <w:p w14:paraId="4C626617">
      <w:pPr>
        <w:pStyle w:val="3"/>
        <w:rPr>
          <w:rFonts w:ascii="Times New Roman" w:cs="Times New Roman"/>
          <w:color w:val="000000" w:themeColor="text1"/>
          <w14:textFill>
            <w14:solidFill>
              <w14:schemeClr w14:val="tx1"/>
            </w14:solidFill>
          </w14:textFill>
        </w:rPr>
      </w:pPr>
      <w:bookmarkStart w:id="454" w:name="_Toc225268325"/>
      <w:r>
        <w:rPr>
          <w:rFonts w:ascii="Times New Roman" w:cs="Times New Roman"/>
          <w:color w:val="000000" w:themeColor="text1"/>
          <w14:textFill>
            <w14:solidFill>
              <w14:schemeClr w14:val="tx1"/>
            </w14:solidFill>
          </w14:textFill>
        </w:rPr>
        <w:t>废气污染防治措施分析</w:t>
      </w:r>
      <w:bookmarkEnd w:id="454"/>
    </w:p>
    <w:p w14:paraId="5091C732">
      <w:pPr>
        <w:ind w:firstLine="480"/>
        <w:rPr>
          <w:color w:val="000000" w:themeColor="text1"/>
          <w14:textFill>
            <w14:solidFill>
              <w14:schemeClr w14:val="tx1"/>
            </w14:solidFill>
          </w14:textFill>
        </w:rPr>
      </w:pPr>
      <w:r>
        <w:rPr>
          <w:color w:val="000000" w:themeColor="text1"/>
          <w14:textFill>
            <w14:solidFill>
              <w14:schemeClr w14:val="tx1"/>
            </w14:solidFill>
          </w14:textFill>
        </w:rPr>
        <w:t>项目废盐热解焙烧产生的有组织烟气，核心治理需求为去除酸性气体（HCl、HF、SO₂）、NOₓ、颗粒物、二噁英及重金属，结合项目烟气量（最大</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00Nm³/h）、温度（最高1100℃）及污染物浓度特点，筛选3种可行治理方案进行比选，最终确定采用“热解焙烧窑（二级）+二燃室（SNCR）+石墨急冷塔+二级碱洗塔+水洗塔+湿电除尘+活性炭吸附+GGH换热+热风炉（电加热）+SCR+50m烟囱”的组合治理工艺（方案一，即项目设计方案）。</w:t>
      </w:r>
    </w:p>
    <w:p w14:paraId="51CF2481">
      <w:pPr>
        <w:pStyle w:val="4"/>
        <w:rPr>
          <w:rFonts w:ascii="Times New Roman" w:cs="Times New Roman"/>
          <w:color w:val="000000" w:themeColor="text1"/>
          <w14:textFill>
            <w14:solidFill>
              <w14:schemeClr w14:val="tx1"/>
            </w14:solidFill>
          </w14:textFill>
        </w:rPr>
      </w:pPr>
      <w:bookmarkStart w:id="455" w:name="heading_4"/>
      <w:r>
        <w:rPr>
          <w:rFonts w:ascii="Times New Roman" w:cs="Times New Roman"/>
          <w:color w:val="000000" w:themeColor="text1"/>
          <w14:textFill>
            <w14:solidFill>
              <w14:schemeClr w14:val="tx1"/>
            </w14:solidFill>
          </w14:textFill>
        </w:rPr>
        <w:t>废盐热解焙烧废气防治措施分析</w:t>
      </w:r>
    </w:p>
    <w:p w14:paraId="4F2FF0A9">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废气处理设施比选</w:t>
      </w:r>
    </w:p>
    <w:p w14:paraId="4BAF28B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本项目废气污染物种类包括颗粒物（包含重金属）、有机物、酸性气体、氮氧化物。</w:t>
      </w:r>
    </w:p>
    <w:p w14:paraId="483CE235">
      <w:pPr>
        <w:pStyle w:val="1293"/>
        <w:keepNext/>
        <w:keepLines/>
        <w:spacing w:line="360" w:lineRule="auto"/>
        <w:ind w:firstLine="482" w:firstLineChars="200"/>
        <w:jc w:val="both"/>
        <w:rPr>
          <w:rFonts w:ascii="Times New Roman" w:hAnsi="Times New Roman" w:eastAsia="Times New Roman" w:cs="Times New Roman"/>
          <w:color w:val="000000" w:themeColor="text1"/>
          <w:sz w:val="24"/>
          <w:szCs w:val="24"/>
          <w14:textFill>
            <w14:solidFill>
              <w14:schemeClr w14:val="tx1"/>
            </w14:solidFill>
          </w14:textFill>
        </w:rPr>
      </w:pPr>
      <w:bookmarkStart w:id="456" w:name="bookmark492"/>
      <w:r>
        <w:rPr>
          <w:rFonts w:ascii="Times New Roman" w:hAnsi="Times New Roman" w:cs="Times New Roman"/>
          <w:color w:val="000000" w:themeColor="text1"/>
          <w:sz w:val="24"/>
          <w:szCs w:val="24"/>
          <w14:textFill>
            <w14:solidFill>
              <w14:schemeClr w14:val="tx1"/>
            </w14:solidFill>
          </w14:textFill>
        </w:rPr>
        <w:t>一、含尘气体治理措施</w:t>
      </w:r>
      <w:bookmarkEnd w:id="456"/>
    </w:p>
    <w:p w14:paraId="62BEF4FA">
      <w:pPr>
        <w:ind w:firstLine="480"/>
        <w:rPr>
          <w:color w:val="000000" w:themeColor="text1"/>
          <w14:textFill>
            <w14:solidFill>
              <w14:schemeClr w14:val="tx1"/>
            </w14:solidFill>
          </w14:textFill>
        </w:rPr>
      </w:pPr>
      <w:r>
        <w:rPr>
          <w:color w:val="000000" w:themeColor="text1"/>
          <w14:textFill>
            <w14:solidFill>
              <w14:schemeClr w14:val="tx1"/>
            </w14:solidFill>
          </w14:textFill>
        </w:rPr>
        <w:t>1、废气处理措施比选</w:t>
      </w:r>
    </w:p>
    <w:p w14:paraId="52C8FFF9">
      <w:pPr>
        <w:ind w:firstLine="480"/>
        <w:rPr>
          <w:color w:val="000000" w:themeColor="text1"/>
          <w14:textFill>
            <w14:solidFill>
              <w14:schemeClr w14:val="tx1"/>
            </w14:solidFill>
          </w14:textFill>
        </w:rPr>
      </w:pPr>
      <w:r>
        <w:rPr>
          <w:color w:val="000000" w:themeColor="text1"/>
          <w14:textFill>
            <w14:solidFill>
              <w14:schemeClr w14:val="tx1"/>
            </w14:solidFill>
          </w14:textFill>
        </w:rPr>
        <w:t>常用除尘方式主要工艺特点、设备及性能对比如下表所示：</w:t>
      </w:r>
    </w:p>
    <w:p w14:paraId="0410D58B">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常用除尘方式主要工艺特点、设备及性能对比</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78"/>
        <w:gridCol w:w="1138"/>
        <w:gridCol w:w="4536"/>
        <w:gridCol w:w="1807"/>
        <w:gridCol w:w="878"/>
      </w:tblGrid>
      <w:tr w14:paraId="3038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78" w:type="dxa"/>
            <w:vAlign w:val="center"/>
          </w:tcPr>
          <w:p w14:paraId="14DCE00F">
            <w:pPr>
              <w:pStyle w:val="109"/>
              <w:rPr>
                <w:color w:val="000000" w:themeColor="text1"/>
                <w14:textFill>
                  <w14:solidFill>
                    <w14:schemeClr w14:val="tx1"/>
                  </w14:solidFill>
                </w14:textFill>
              </w:rPr>
            </w:pPr>
            <w:r>
              <w:rPr>
                <w:color w:val="000000" w:themeColor="text1"/>
                <w14:textFill>
                  <w14:solidFill>
                    <w14:schemeClr w14:val="tx1"/>
                  </w14:solidFill>
                </w14:textFill>
              </w:rPr>
              <w:t>工艺类型</w:t>
            </w:r>
          </w:p>
        </w:tc>
        <w:tc>
          <w:tcPr>
            <w:tcW w:w="1138" w:type="dxa"/>
            <w:vAlign w:val="center"/>
          </w:tcPr>
          <w:p w14:paraId="788C5984">
            <w:pPr>
              <w:pStyle w:val="109"/>
              <w:rPr>
                <w:color w:val="000000" w:themeColor="text1"/>
                <w14:textFill>
                  <w14:solidFill>
                    <w14:schemeClr w14:val="tx1"/>
                  </w14:solidFill>
                </w14:textFill>
              </w:rPr>
            </w:pPr>
            <w:r>
              <w:rPr>
                <w:color w:val="000000" w:themeColor="text1"/>
                <w14:textFill>
                  <w14:solidFill>
                    <w14:schemeClr w14:val="tx1"/>
                  </w14:solidFill>
                </w14:textFill>
              </w:rPr>
              <w:t>结构形式</w:t>
            </w:r>
          </w:p>
        </w:tc>
        <w:tc>
          <w:tcPr>
            <w:tcW w:w="4536" w:type="dxa"/>
            <w:vAlign w:val="center"/>
          </w:tcPr>
          <w:p w14:paraId="3B531464">
            <w:pPr>
              <w:pStyle w:val="109"/>
              <w:rPr>
                <w:color w:val="000000" w:themeColor="text1"/>
                <w14:textFill>
                  <w14:solidFill>
                    <w14:schemeClr w14:val="tx1"/>
                  </w14:solidFill>
                </w14:textFill>
              </w:rPr>
            </w:pPr>
            <w:r>
              <w:rPr>
                <w:color w:val="000000" w:themeColor="text1"/>
                <w14:textFill>
                  <w14:solidFill>
                    <w14:schemeClr w14:val="tx1"/>
                  </w14:solidFill>
                </w14:textFill>
              </w:rPr>
              <w:t>工艺原理</w:t>
            </w:r>
          </w:p>
        </w:tc>
        <w:tc>
          <w:tcPr>
            <w:tcW w:w="1807" w:type="dxa"/>
            <w:vAlign w:val="center"/>
          </w:tcPr>
          <w:p w14:paraId="7D42087B">
            <w:pPr>
              <w:pStyle w:val="109"/>
              <w:rPr>
                <w:color w:val="000000" w:themeColor="text1"/>
                <w14:textFill>
                  <w14:solidFill>
                    <w14:schemeClr w14:val="tx1"/>
                  </w14:solidFill>
                </w14:textFill>
              </w:rPr>
            </w:pPr>
            <w:r>
              <w:rPr>
                <w:color w:val="000000" w:themeColor="text1"/>
                <w14:textFill>
                  <w14:solidFill>
                    <w14:schemeClr w14:val="tx1"/>
                  </w14:solidFill>
                </w14:textFill>
              </w:rPr>
              <w:t>主要设备</w:t>
            </w:r>
          </w:p>
        </w:tc>
        <w:tc>
          <w:tcPr>
            <w:tcW w:w="878" w:type="dxa"/>
            <w:vAlign w:val="bottom"/>
          </w:tcPr>
          <w:p w14:paraId="694C53D0">
            <w:pPr>
              <w:pStyle w:val="109"/>
              <w:rPr>
                <w:color w:val="000000" w:themeColor="text1"/>
                <w14:textFill>
                  <w14:solidFill>
                    <w14:schemeClr w14:val="tx1"/>
                  </w14:solidFill>
                </w14:textFill>
              </w:rPr>
            </w:pPr>
            <w:r>
              <w:rPr>
                <w:color w:val="000000" w:themeColor="text1"/>
                <w14:textFill>
                  <w14:solidFill>
                    <w14:schemeClr w14:val="tx1"/>
                  </w14:solidFill>
                </w14:textFill>
              </w:rPr>
              <w:t>除尘效 率</w:t>
            </w:r>
            <w:r>
              <w:rPr>
                <w:rFonts w:eastAsia="Times New Roman"/>
                <w:color w:val="000000" w:themeColor="text1"/>
                <w14:textFill>
                  <w14:solidFill>
                    <w14:schemeClr w14:val="tx1"/>
                  </w14:solidFill>
                </w14:textFill>
              </w:rPr>
              <w:t>%</w:t>
            </w:r>
          </w:p>
        </w:tc>
      </w:tr>
      <w:tr w14:paraId="4C76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78" w:type="dxa"/>
            <w:vAlign w:val="center"/>
          </w:tcPr>
          <w:p w14:paraId="78062653">
            <w:pPr>
              <w:pStyle w:val="109"/>
              <w:rPr>
                <w:color w:val="000000" w:themeColor="text1"/>
                <w14:textFill>
                  <w14:solidFill>
                    <w14:schemeClr w14:val="tx1"/>
                  </w14:solidFill>
                </w14:textFill>
              </w:rPr>
            </w:pPr>
            <w:r>
              <w:rPr>
                <w:color w:val="000000" w:themeColor="text1"/>
                <w14:textFill>
                  <w14:solidFill>
                    <w14:schemeClr w14:val="tx1"/>
                  </w14:solidFill>
                </w14:textFill>
              </w:rPr>
              <w:t>重力除尘</w:t>
            </w:r>
          </w:p>
        </w:tc>
        <w:tc>
          <w:tcPr>
            <w:tcW w:w="1138" w:type="dxa"/>
            <w:vAlign w:val="center"/>
          </w:tcPr>
          <w:p w14:paraId="1EF94181">
            <w:pPr>
              <w:pStyle w:val="109"/>
              <w:rPr>
                <w:color w:val="000000" w:themeColor="text1"/>
                <w14:textFill>
                  <w14:solidFill>
                    <w14:schemeClr w14:val="tx1"/>
                  </w14:solidFill>
                </w14:textFill>
              </w:rPr>
            </w:pPr>
            <w:r>
              <w:rPr>
                <w:color w:val="000000" w:themeColor="text1"/>
                <w14:textFill>
                  <w14:solidFill>
                    <w14:schemeClr w14:val="tx1"/>
                  </w14:solidFill>
                </w14:textFill>
              </w:rPr>
              <w:t>沉降式</w:t>
            </w:r>
          </w:p>
        </w:tc>
        <w:tc>
          <w:tcPr>
            <w:tcW w:w="4536" w:type="dxa"/>
            <w:vAlign w:val="center"/>
          </w:tcPr>
          <w:p w14:paraId="5B52B55F">
            <w:pPr>
              <w:pStyle w:val="109"/>
              <w:rPr>
                <w:color w:val="000000" w:themeColor="text1"/>
                <w14:textFill>
                  <w14:solidFill>
                    <w14:schemeClr w14:val="tx1"/>
                  </w14:solidFill>
                </w14:textFill>
              </w:rPr>
            </w:pPr>
            <w:r>
              <w:rPr>
                <w:color w:val="000000" w:themeColor="text1"/>
                <w14:textFill>
                  <w14:solidFill>
                    <w14:schemeClr w14:val="tx1"/>
                  </w14:solidFill>
                </w14:textFill>
              </w:rPr>
              <w:t>含尘气流进入沉降室后，由于流通截面积扩大使得 气流速度大大降低，使较重颗粒在重力的作用下缓 慢向灰斗沉降</w:t>
            </w:r>
          </w:p>
        </w:tc>
        <w:tc>
          <w:tcPr>
            <w:tcW w:w="1807" w:type="dxa"/>
          </w:tcPr>
          <w:p w14:paraId="0F04F09B">
            <w:pPr>
              <w:pStyle w:val="109"/>
              <w:rPr>
                <w:color w:val="000000" w:themeColor="text1"/>
                <w14:textFill>
                  <w14:solidFill>
                    <w14:schemeClr w14:val="tx1"/>
                  </w14:solidFill>
                </w14:textFill>
              </w:rPr>
            </w:pPr>
            <w:r>
              <w:rPr>
                <w:color w:val="000000" w:themeColor="text1"/>
                <w14:textFill>
                  <w14:solidFill>
                    <w14:schemeClr w14:val="tx1"/>
                  </w14:solidFill>
                </w14:textFill>
              </w:rPr>
              <w:t>进口带膨胀口、 出口带收缩口烟 道的沉降室，灰 斗及输灰装置</w:t>
            </w:r>
          </w:p>
        </w:tc>
        <w:tc>
          <w:tcPr>
            <w:tcW w:w="878" w:type="dxa"/>
            <w:vAlign w:val="center"/>
          </w:tcPr>
          <w:p w14:paraId="4B8F1DC9">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40~60</w:t>
            </w:r>
          </w:p>
        </w:tc>
      </w:tr>
      <w:tr w14:paraId="4C5E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78" w:type="dxa"/>
            <w:vAlign w:val="center"/>
          </w:tcPr>
          <w:p w14:paraId="782754B0">
            <w:pPr>
              <w:pStyle w:val="109"/>
              <w:rPr>
                <w:color w:val="000000" w:themeColor="text1"/>
                <w14:textFill>
                  <w14:solidFill>
                    <w14:schemeClr w14:val="tx1"/>
                  </w14:solidFill>
                </w14:textFill>
              </w:rPr>
            </w:pPr>
            <w:r>
              <w:rPr>
                <w:color w:val="000000" w:themeColor="text1"/>
                <w14:textFill>
                  <w14:solidFill>
                    <w14:schemeClr w14:val="tx1"/>
                  </w14:solidFill>
                </w14:textFill>
              </w:rPr>
              <w:t>离心除尘</w:t>
            </w:r>
          </w:p>
        </w:tc>
        <w:tc>
          <w:tcPr>
            <w:tcW w:w="1138" w:type="dxa"/>
            <w:vAlign w:val="center"/>
          </w:tcPr>
          <w:p w14:paraId="17E8D887">
            <w:pPr>
              <w:pStyle w:val="109"/>
              <w:rPr>
                <w:color w:val="000000" w:themeColor="text1"/>
                <w14:textFill>
                  <w14:solidFill>
                    <w14:schemeClr w14:val="tx1"/>
                  </w14:solidFill>
                </w14:textFill>
              </w:rPr>
            </w:pPr>
            <w:r>
              <w:rPr>
                <w:color w:val="000000" w:themeColor="text1"/>
                <w14:textFill>
                  <w14:solidFill>
                    <w14:schemeClr w14:val="tx1"/>
                  </w14:solidFill>
                </w14:textFill>
              </w:rPr>
              <w:t>旋风式</w:t>
            </w:r>
          </w:p>
        </w:tc>
        <w:tc>
          <w:tcPr>
            <w:tcW w:w="4536" w:type="dxa"/>
          </w:tcPr>
          <w:p w14:paraId="5AC77ECB">
            <w:pPr>
              <w:pStyle w:val="109"/>
              <w:rPr>
                <w:color w:val="000000" w:themeColor="text1"/>
                <w14:textFill>
                  <w14:solidFill>
                    <w14:schemeClr w14:val="tx1"/>
                  </w14:solidFill>
                </w14:textFill>
              </w:rPr>
            </w:pPr>
            <w:r>
              <w:rPr>
                <w:color w:val="000000" w:themeColor="text1"/>
                <w14:textFill>
                  <w14:solidFill>
                    <w14:schemeClr w14:val="tx1"/>
                  </w14:solidFill>
                </w14:textFill>
              </w:rPr>
              <w:t>通过烟道使含尘气流作旋转运动，借助离心力将尘 粒从气流分离并捕集于器壁，再借助重力作用使尘 粒落入灰斗</w:t>
            </w:r>
          </w:p>
        </w:tc>
        <w:tc>
          <w:tcPr>
            <w:tcW w:w="1807" w:type="dxa"/>
            <w:vAlign w:val="center"/>
          </w:tcPr>
          <w:p w14:paraId="32582416">
            <w:pPr>
              <w:pStyle w:val="109"/>
              <w:rPr>
                <w:color w:val="000000" w:themeColor="text1"/>
                <w14:textFill>
                  <w14:solidFill>
                    <w14:schemeClr w14:val="tx1"/>
                  </w14:solidFill>
                </w14:textFill>
              </w:rPr>
            </w:pPr>
            <w:r>
              <w:rPr>
                <w:color w:val="000000" w:themeColor="text1"/>
                <w14:textFill>
                  <w14:solidFill>
                    <w14:schemeClr w14:val="tx1"/>
                  </w14:solidFill>
                </w14:textFill>
              </w:rPr>
              <w:t>旋风分离器、灰 斗及输灰装置</w:t>
            </w:r>
          </w:p>
        </w:tc>
        <w:tc>
          <w:tcPr>
            <w:tcW w:w="878" w:type="dxa"/>
            <w:vAlign w:val="center"/>
          </w:tcPr>
          <w:p w14:paraId="7A6D40D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60~80</w:t>
            </w:r>
          </w:p>
        </w:tc>
      </w:tr>
      <w:tr w14:paraId="1F46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78" w:type="dxa"/>
            <w:vAlign w:val="center"/>
          </w:tcPr>
          <w:p w14:paraId="660F17D5">
            <w:pPr>
              <w:pStyle w:val="109"/>
              <w:rPr>
                <w:color w:val="000000" w:themeColor="text1"/>
                <w14:textFill>
                  <w14:solidFill>
                    <w14:schemeClr w14:val="tx1"/>
                  </w14:solidFill>
                </w14:textFill>
              </w:rPr>
            </w:pPr>
            <w:r>
              <w:rPr>
                <w:color w:val="000000" w:themeColor="text1"/>
                <w14:textFill>
                  <w14:solidFill>
                    <w14:schemeClr w14:val="tx1"/>
                  </w14:solidFill>
                </w14:textFill>
              </w:rPr>
              <w:t>湿式除尘</w:t>
            </w:r>
          </w:p>
        </w:tc>
        <w:tc>
          <w:tcPr>
            <w:tcW w:w="1138" w:type="dxa"/>
            <w:vAlign w:val="center"/>
          </w:tcPr>
          <w:p w14:paraId="6C1237D1">
            <w:pPr>
              <w:pStyle w:val="109"/>
              <w:rPr>
                <w:color w:val="000000" w:themeColor="text1"/>
                <w14:textFill>
                  <w14:solidFill>
                    <w14:schemeClr w14:val="tx1"/>
                  </w14:solidFill>
                </w14:textFill>
              </w:rPr>
            </w:pPr>
            <w:r>
              <w:rPr>
                <w:color w:val="000000" w:themeColor="text1"/>
                <w14:textFill>
                  <w14:solidFill>
                    <w14:schemeClr w14:val="tx1"/>
                  </w14:solidFill>
                </w14:textFill>
              </w:rPr>
              <w:t>文丘里式</w:t>
            </w:r>
          </w:p>
        </w:tc>
        <w:tc>
          <w:tcPr>
            <w:tcW w:w="4536" w:type="dxa"/>
            <w:vAlign w:val="center"/>
          </w:tcPr>
          <w:p w14:paraId="11F44D48">
            <w:pPr>
              <w:pStyle w:val="109"/>
              <w:rPr>
                <w:color w:val="000000" w:themeColor="text1"/>
                <w14:textFill>
                  <w14:solidFill>
                    <w14:schemeClr w14:val="tx1"/>
                  </w14:solidFill>
                </w14:textFill>
              </w:rPr>
            </w:pPr>
            <w:r>
              <w:rPr>
                <w:color w:val="000000" w:themeColor="text1"/>
                <w14:textFill>
                  <w14:solidFill>
                    <w14:schemeClr w14:val="tx1"/>
                  </w14:solidFill>
                </w14:textFill>
              </w:rPr>
              <w:t>含尘气体在除尘器内与液体（一般为水）密切接触， 利用水滴和颗粒的惯性碰撞及其他作用捕集颗粒 或使颗粒增大从气流中分离</w:t>
            </w:r>
          </w:p>
        </w:tc>
        <w:tc>
          <w:tcPr>
            <w:tcW w:w="1807" w:type="dxa"/>
          </w:tcPr>
          <w:p w14:paraId="64457C79">
            <w:pPr>
              <w:pStyle w:val="109"/>
              <w:rPr>
                <w:color w:val="000000" w:themeColor="text1"/>
                <w14:textFill>
                  <w14:solidFill>
                    <w14:schemeClr w14:val="tx1"/>
                  </w14:solidFill>
                </w14:textFill>
              </w:rPr>
            </w:pPr>
            <w:r>
              <w:rPr>
                <w:color w:val="000000" w:themeColor="text1"/>
                <w14:textFill>
                  <w14:solidFill>
                    <w14:schemeClr w14:val="tx1"/>
                  </w14:solidFill>
                </w14:textFill>
              </w:rPr>
              <w:t>风机、水泵及喷 嘴、灰水分离装 置、灰渣输送装 置</w:t>
            </w:r>
          </w:p>
        </w:tc>
        <w:tc>
          <w:tcPr>
            <w:tcW w:w="878" w:type="dxa"/>
            <w:vAlign w:val="center"/>
          </w:tcPr>
          <w:p w14:paraId="58C52C6F">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80~90</w:t>
            </w:r>
          </w:p>
        </w:tc>
      </w:tr>
      <w:tr w14:paraId="65BF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78" w:type="dxa"/>
            <w:vMerge w:val="restart"/>
            <w:vAlign w:val="center"/>
          </w:tcPr>
          <w:p w14:paraId="70FD8C94">
            <w:pPr>
              <w:pStyle w:val="109"/>
              <w:rPr>
                <w:color w:val="000000" w:themeColor="text1"/>
                <w14:textFill>
                  <w14:solidFill>
                    <w14:schemeClr w14:val="tx1"/>
                  </w14:solidFill>
                </w14:textFill>
              </w:rPr>
            </w:pPr>
            <w:r>
              <w:rPr>
                <w:color w:val="000000" w:themeColor="text1"/>
                <w14:textFill>
                  <w14:solidFill>
                    <w14:schemeClr w14:val="tx1"/>
                  </w14:solidFill>
                </w14:textFill>
              </w:rPr>
              <w:t>过滤除尘</w:t>
            </w:r>
          </w:p>
        </w:tc>
        <w:tc>
          <w:tcPr>
            <w:tcW w:w="1138" w:type="dxa"/>
            <w:vAlign w:val="center"/>
          </w:tcPr>
          <w:p w14:paraId="4A06F5BD">
            <w:pPr>
              <w:pStyle w:val="109"/>
              <w:rPr>
                <w:color w:val="000000" w:themeColor="text1"/>
                <w14:textFill>
                  <w14:solidFill>
                    <w14:schemeClr w14:val="tx1"/>
                  </w14:solidFill>
                </w14:textFill>
              </w:rPr>
            </w:pPr>
            <w:r>
              <w:rPr>
                <w:color w:val="000000" w:themeColor="text1"/>
                <w14:textFill>
                  <w14:solidFill>
                    <w14:schemeClr w14:val="tx1"/>
                  </w14:solidFill>
                </w14:textFill>
              </w:rPr>
              <w:t>袋式</w:t>
            </w:r>
          </w:p>
        </w:tc>
        <w:tc>
          <w:tcPr>
            <w:tcW w:w="4536" w:type="dxa"/>
          </w:tcPr>
          <w:p w14:paraId="080E23C3">
            <w:pPr>
              <w:pStyle w:val="109"/>
              <w:rPr>
                <w:color w:val="000000" w:themeColor="text1"/>
                <w14:textFill>
                  <w14:solidFill>
                    <w14:schemeClr w14:val="tx1"/>
                  </w14:solidFill>
                </w14:textFill>
              </w:rPr>
            </w:pPr>
            <w:r>
              <w:rPr>
                <w:color w:val="000000" w:themeColor="text1"/>
                <w14:textFill>
                  <w14:solidFill>
                    <w14:schemeClr w14:val="tx1"/>
                  </w14:solidFill>
                </w14:textFill>
              </w:rPr>
              <w:t>含尘烟气通过过滤材料，尘粒被过滤下来，过滤材 料捕集粗粒粉尘主要靠惯性碰撞作用，捕集细粒粉 尘主要靠扩散和筛分作用，滤料的粉尘层也有一定 的过滤作用</w:t>
            </w:r>
          </w:p>
        </w:tc>
        <w:tc>
          <w:tcPr>
            <w:tcW w:w="1807" w:type="dxa"/>
            <w:vAlign w:val="center"/>
          </w:tcPr>
          <w:p w14:paraId="217EA9FD">
            <w:pPr>
              <w:pStyle w:val="109"/>
              <w:rPr>
                <w:color w:val="000000" w:themeColor="text1"/>
                <w14:textFill>
                  <w14:solidFill>
                    <w14:schemeClr w14:val="tx1"/>
                  </w14:solidFill>
                </w14:textFill>
              </w:rPr>
            </w:pPr>
            <w:r>
              <w:rPr>
                <w:color w:val="000000" w:themeColor="text1"/>
                <w14:textFill>
                  <w14:solidFill>
                    <w14:schemeClr w14:val="tx1"/>
                  </w14:solidFill>
                </w14:textFill>
              </w:rPr>
              <w:t>布袋除尘器、灰仓及输灰装置、 压缩空气系统</w:t>
            </w:r>
          </w:p>
        </w:tc>
        <w:tc>
          <w:tcPr>
            <w:tcW w:w="878" w:type="dxa"/>
            <w:vAlign w:val="center"/>
          </w:tcPr>
          <w:p w14:paraId="134C0097">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99</w:t>
            </w:r>
          </w:p>
        </w:tc>
      </w:tr>
      <w:tr w14:paraId="66F0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78" w:type="dxa"/>
            <w:vMerge w:val="continue"/>
            <w:vAlign w:val="center"/>
          </w:tcPr>
          <w:p w14:paraId="7A88963A">
            <w:pPr>
              <w:pStyle w:val="109"/>
              <w:rPr>
                <w:color w:val="000000" w:themeColor="text1"/>
                <w14:textFill>
                  <w14:solidFill>
                    <w14:schemeClr w14:val="tx1"/>
                  </w14:solidFill>
                </w14:textFill>
              </w:rPr>
            </w:pPr>
          </w:p>
        </w:tc>
        <w:tc>
          <w:tcPr>
            <w:tcW w:w="1138" w:type="dxa"/>
            <w:vAlign w:val="center"/>
          </w:tcPr>
          <w:p w14:paraId="64F81AAA">
            <w:pPr>
              <w:pStyle w:val="109"/>
              <w:rPr>
                <w:color w:val="000000" w:themeColor="text1"/>
                <w14:textFill>
                  <w14:solidFill>
                    <w14:schemeClr w14:val="tx1"/>
                  </w14:solidFill>
                </w14:textFill>
              </w:rPr>
            </w:pPr>
            <w:r>
              <w:rPr>
                <w:color w:val="000000" w:themeColor="text1"/>
                <w14:textFill>
                  <w14:solidFill>
                    <w14:schemeClr w14:val="tx1"/>
                  </w14:solidFill>
                </w14:textFill>
              </w:rPr>
              <w:t>塑烧板式</w:t>
            </w:r>
          </w:p>
        </w:tc>
        <w:tc>
          <w:tcPr>
            <w:tcW w:w="4536" w:type="dxa"/>
          </w:tcPr>
          <w:p w14:paraId="1D23E5AB">
            <w:pPr>
              <w:pStyle w:val="109"/>
              <w:rPr>
                <w:color w:val="000000" w:themeColor="text1"/>
                <w14:textFill>
                  <w14:solidFill>
                    <w14:schemeClr w14:val="tx1"/>
                  </w14:solidFill>
                </w14:textFill>
              </w:rPr>
            </w:pPr>
            <w:r>
              <w:rPr>
                <w:color w:val="000000" w:themeColor="text1"/>
                <w14:textFill>
                  <w14:solidFill>
                    <w14:schemeClr w14:val="tx1"/>
                  </w14:solidFill>
                </w14:textFill>
              </w:rPr>
              <w:t>塑烧板除尘器用了独特的波浪式塑烧板过滤芯取 代传统布袋，由于塑烧板是刚性结构，不会变形， 又无骨架磨损，由于塑烧板表面经过深度处理，孔 径细小均匀，具有疏水性，不易粘附含水量较高的 粉尘，所以在处理含水量较高及纤维性粉尘时塑烧 板除尘器是最佳选择。此外，由于塑烧板的高精度 工艺制造保持了均匀的微米级孔径，所以还可以处 理超细粉尘和高浓度粉尘，具有强耐湿性塑烧板采 用特殊配方，具有疏水性。从实际使用情况来看， 即使在冬天严重结露，入口的含水粉尘在饱和水的 情况下也能正常使用</w:t>
            </w:r>
          </w:p>
        </w:tc>
        <w:tc>
          <w:tcPr>
            <w:tcW w:w="1807" w:type="dxa"/>
            <w:vAlign w:val="center"/>
          </w:tcPr>
          <w:p w14:paraId="052E98E8">
            <w:pPr>
              <w:pStyle w:val="109"/>
              <w:rPr>
                <w:color w:val="000000" w:themeColor="text1"/>
                <w14:textFill>
                  <w14:solidFill>
                    <w14:schemeClr w14:val="tx1"/>
                  </w14:solidFill>
                </w14:textFill>
              </w:rPr>
            </w:pPr>
            <w:r>
              <w:rPr>
                <w:color w:val="000000" w:themeColor="text1"/>
                <w14:textFill>
                  <w14:solidFill>
                    <w14:schemeClr w14:val="tx1"/>
                  </w14:solidFill>
                </w14:textFill>
              </w:rPr>
              <w:t>主箱体、塑烧板、 进出风总管路、 压缩空气管道、 清灰系统、输灰 系统</w:t>
            </w:r>
          </w:p>
        </w:tc>
        <w:tc>
          <w:tcPr>
            <w:tcW w:w="878" w:type="dxa"/>
            <w:vAlign w:val="center"/>
          </w:tcPr>
          <w:p w14:paraId="67ACB034">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99.9</w:t>
            </w:r>
          </w:p>
        </w:tc>
      </w:tr>
      <w:tr w14:paraId="5AB5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78" w:type="dxa"/>
            <w:vAlign w:val="center"/>
          </w:tcPr>
          <w:p w14:paraId="3B91418A">
            <w:pPr>
              <w:pStyle w:val="109"/>
              <w:rPr>
                <w:color w:val="000000" w:themeColor="text1"/>
                <w14:textFill>
                  <w14:solidFill>
                    <w14:schemeClr w14:val="tx1"/>
                  </w14:solidFill>
                </w14:textFill>
              </w:rPr>
            </w:pPr>
            <w:r>
              <w:rPr>
                <w:color w:val="000000" w:themeColor="text1"/>
                <w14:textFill>
                  <w14:solidFill>
                    <w14:schemeClr w14:val="tx1"/>
                  </w14:solidFill>
                </w14:textFill>
              </w:rPr>
              <w:t>静电除尘</w:t>
            </w:r>
          </w:p>
        </w:tc>
        <w:tc>
          <w:tcPr>
            <w:tcW w:w="1138" w:type="dxa"/>
            <w:vAlign w:val="center"/>
          </w:tcPr>
          <w:p w14:paraId="4E8C1B9B">
            <w:pPr>
              <w:pStyle w:val="109"/>
              <w:rPr>
                <w:color w:val="000000" w:themeColor="text1"/>
                <w14:textFill>
                  <w14:solidFill>
                    <w14:schemeClr w14:val="tx1"/>
                  </w14:solidFill>
                </w14:textFill>
              </w:rPr>
            </w:pPr>
            <w:r>
              <w:rPr>
                <w:color w:val="000000" w:themeColor="text1"/>
                <w14:textFill>
                  <w14:solidFill>
                    <w14:schemeClr w14:val="tx1"/>
                  </w14:solidFill>
                </w14:textFill>
              </w:rPr>
              <w:t>电场</w:t>
            </w:r>
          </w:p>
        </w:tc>
        <w:tc>
          <w:tcPr>
            <w:tcW w:w="4536" w:type="dxa"/>
          </w:tcPr>
          <w:p w14:paraId="700BE64B">
            <w:pPr>
              <w:pStyle w:val="109"/>
              <w:rPr>
                <w:color w:val="000000" w:themeColor="text1"/>
                <w14:textFill>
                  <w14:solidFill>
                    <w14:schemeClr w14:val="tx1"/>
                  </w14:solidFill>
                </w14:textFill>
              </w:rPr>
            </w:pPr>
            <w:r>
              <w:rPr>
                <w:color w:val="000000" w:themeColor="text1"/>
                <w14:textFill>
                  <w14:solidFill>
                    <w14:schemeClr w14:val="tx1"/>
                  </w14:solidFill>
                </w14:textFill>
              </w:rPr>
              <w:t>利用高压电场使烟气发生分离，气流中的粉尘荷电 在电场的作用下与气流分离。负极由不同断面形状 的金属导线制成（放电电极）正极由 不同几何形状的金属板制成（集尘阳极）</w:t>
            </w:r>
          </w:p>
        </w:tc>
        <w:tc>
          <w:tcPr>
            <w:tcW w:w="1807" w:type="dxa"/>
          </w:tcPr>
          <w:p w14:paraId="138EB50C">
            <w:pPr>
              <w:pStyle w:val="109"/>
              <w:rPr>
                <w:color w:val="000000" w:themeColor="text1"/>
                <w14:textFill>
                  <w14:solidFill>
                    <w14:schemeClr w14:val="tx1"/>
                  </w14:solidFill>
                </w14:textFill>
              </w:rPr>
            </w:pPr>
            <w:r>
              <w:rPr>
                <w:color w:val="000000" w:themeColor="text1"/>
                <w14:textFill>
                  <w14:solidFill>
                    <w14:schemeClr w14:val="tx1"/>
                  </w14:solidFill>
                </w14:textFill>
              </w:rPr>
              <w:t>高压电源、电极 板、集尘器、清 灰装置、灰斗及 输灰装置</w:t>
            </w:r>
          </w:p>
        </w:tc>
        <w:tc>
          <w:tcPr>
            <w:tcW w:w="878" w:type="dxa"/>
            <w:vAlign w:val="center"/>
          </w:tcPr>
          <w:p w14:paraId="64C4531E">
            <w:pPr>
              <w:pStyle w:val="109"/>
              <w:rPr>
                <w:color w:val="000000" w:themeColor="text1"/>
                <w14:textFill>
                  <w14:solidFill>
                    <w14:schemeClr w14:val="tx1"/>
                  </w14:solidFill>
                </w14:textFill>
              </w:rPr>
            </w:pPr>
            <w:r>
              <w:rPr>
                <w:color w:val="000000" w:themeColor="text1"/>
                <w14:textFill>
                  <w14:solidFill>
                    <w14:schemeClr w14:val="tx1"/>
                  </w14:solidFill>
                </w14:textFill>
              </w:rPr>
              <w:t>&gt;</w:t>
            </w:r>
            <w:r>
              <w:rPr>
                <w:rFonts w:eastAsia="Times New Roman"/>
                <w:color w:val="000000" w:themeColor="text1"/>
                <w14:textFill>
                  <w14:solidFill>
                    <w14:schemeClr w14:val="tx1"/>
                  </w14:solidFill>
                </w14:textFill>
              </w:rPr>
              <w:t>99</w:t>
            </w:r>
          </w:p>
        </w:tc>
      </w:tr>
    </w:tbl>
    <w:p w14:paraId="0090603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本项目热解焙烧废气除尘措施分别采用湿电除尘组合方式：</w:t>
      </w:r>
    </w:p>
    <w:p w14:paraId="3DC82141">
      <w:pPr>
        <w:ind w:firstLine="480"/>
        <w:rPr>
          <w:color w:val="000000" w:themeColor="text1"/>
          <w14:textFill>
            <w14:solidFill>
              <w14:schemeClr w14:val="tx1"/>
            </w14:solidFill>
          </w14:textFill>
        </w:rPr>
      </w:pPr>
      <w:r>
        <w:rPr>
          <w:color w:val="000000" w:themeColor="text1"/>
          <w14:textFill>
            <w14:solidFill>
              <w14:schemeClr w14:val="tx1"/>
            </w14:solidFill>
          </w14:textFill>
        </w:rPr>
        <w:t>热解焙烧废气中颗粒物主要成分为飞灰、金属颗粒及废盐粉尘，前序还有碱喷淋和水洗工艺，已对颗粒物进行一大部分的去除，故选用湿电除尘，综合去除效率可达</w:t>
      </w:r>
      <w:r>
        <w:rPr>
          <w:rFonts w:eastAsia="Times New Roman"/>
          <w:color w:val="000000" w:themeColor="text1"/>
          <w14:textFill>
            <w14:solidFill>
              <w14:schemeClr w14:val="tx1"/>
            </w14:solidFill>
          </w14:textFill>
        </w:rPr>
        <w:t>99.5%</w:t>
      </w:r>
      <w:r>
        <w:rPr>
          <w:color w:val="000000" w:themeColor="text1"/>
          <w14:textFill>
            <w14:solidFill>
              <w14:schemeClr w14:val="tx1"/>
            </w14:solidFill>
          </w14:textFill>
        </w:rPr>
        <w:t>以上。</w:t>
      </w:r>
    </w:p>
    <w:p w14:paraId="41B09D72">
      <w:pPr>
        <w:ind w:firstLine="480"/>
        <w:rPr>
          <w:color w:val="000000" w:themeColor="text1"/>
          <w14:textFill>
            <w14:solidFill>
              <w14:schemeClr w14:val="tx1"/>
            </w14:solidFill>
          </w14:textFill>
        </w:rPr>
      </w:pPr>
      <w:r>
        <w:rPr>
          <w:color w:val="000000" w:themeColor="text1"/>
          <w14:textFill>
            <w14:solidFill>
              <w14:schemeClr w14:val="tx1"/>
            </w14:solidFill>
          </w14:textFill>
        </w:rPr>
        <w:t>2、湿电除尘工艺原理</w:t>
      </w:r>
    </w:p>
    <w:p w14:paraId="5ADA2999">
      <w:pPr>
        <w:ind w:firstLine="480"/>
        <w:rPr>
          <w:color w:val="000000" w:themeColor="text1"/>
          <w14:textFill>
            <w14:solidFill>
              <w14:schemeClr w14:val="tx1"/>
            </w14:solidFill>
          </w14:textFill>
        </w:rPr>
      </w:pPr>
      <w:r>
        <w:rPr>
          <w:color w:val="000000" w:themeColor="text1"/>
          <w14:textFill>
            <w14:solidFill>
              <w14:schemeClr w14:val="tx1"/>
            </w14:solidFill>
          </w14:textFill>
        </w:rPr>
        <w:t>湿电除尘的核心原理是：</w:t>
      </w:r>
      <w:r>
        <w:rPr>
          <w:rStyle w:val="84"/>
          <w:b w:val="0"/>
          <w:bCs w:val="0"/>
          <w:color w:val="000000" w:themeColor="text1"/>
          <w14:textFill>
            <w14:solidFill>
              <w14:schemeClr w14:val="tx1"/>
            </w14:solidFill>
          </w14:textFill>
        </w:rPr>
        <w:t>高压电场使粉尘 / 雾滴荷电→电场力捕集到阳极→水膜连续冲洗清灰</w:t>
      </w:r>
      <w:r>
        <w:rPr>
          <w:b/>
          <w:bCs/>
          <w:color w:val="000000" w:themeColor="text1"/>
          <w14:textFill>
            <w14:solidFill>
              <w14:schemeClr w14:val="tx1"/>
            </w14:solidFill>
          </w14:textFill>
        </w:rPr>
        <w:t>，</w:t>
      </w:r>
      <w:r>
        <w:rPr>
          <w:color w:val="000000" w:themeColor="text1"/>
          <w14:textFill>
            <w14:solidFill>
              <w14:schemeClr w14:val="tx1"/>
            </w14:solidFill>
          </w14:textFill>
        </w:rPr>
        <w:t>实现高湿、微细颗粒物（PM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、酸雾、气溶胶）的深度净化。</w:t>
      </w:r>
    </w:p>
    <w:p w14:paraId="7E7AC79E">
      <w:pPr>
        <w:ind w:firstLine="480"/>
        <w:rPr>
          <w:color w:val="000000" w:themeColor="text1"/>
          <w14:textFill>
            <w14:solidFill>
              <w14:schemeClr w14:val="tx1"/>
            </w14:solidFill>
          </w14:textFill>
        </w:rPr>
      </w:pPr>
      <w:r>
        <w:rPr>
          <w:color w:val="000000" w:themeColor="text1"/>
          <w14:textFill>
            <w14:solidFill>
              <w14:schemeClr w14:val="tx1"/>
            </w14:solidFill>
          </w14:textFill>
        </w:rPr>
        <w:t>（1）核心工作流程</w:t>
      </w:r>
    </w:p>
    <w:p w14:paraId="4748EDF6">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烟气均布（预处理）</w:t>
      </w:r>
    </w:p>
    <w:p w14:paraId="53DDD00E">
      <w:pPr>
        <w:ind w:firstLine="480"/>
        <w:rPr>
          <w:color w:val="000000" w:themeColor="text1"/>
          <w14:textFill>
            <w14:solidFill>
              <w14:schemeClr w14:val="tx1"/>
            </w14:solidFill>
          </w14:textFill>
        </w:rPr>
      </w:pPr>
      <w:r>
        <w:rPr>
          <w:color w:val="000000" w:themeColor="text1"/>
          <w14:textFill>
            <w14:solidFill>
              <w14:schemeClr w14:val="tx1"/>
            </w14:solidFill>
          </w14:textFill>
        </w:rPr>
        <w:t>含尘烟气进入除尘器，经均布装置均匀分布，保证全电场处理效率一致。</w:t>
      </w:r>
    </w:p>
    <w:p w14:paraId="7F83932E">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电晕放电与颗粒荷电（核心第一步）</w:t>
      </w:r>
    </w:p>
    <w:p w14:paraId="75B253B4">
      <w:pPr>
        <w:ind w:firstLine="480"/>
        <w:rPr>
          <w:color w:val="000000" w:themeColor="text1"/>
          <w14:textFill>
            <w14:solidFill>
              <w14:schemeClr w14:val="tx1"/>
            </w14:solidFill>
          </w14:textFill>
        </w:rPr>
      </w:pPr>
      <w:r>
        <w:rPr>
          <w:color w:val="000000" w:themeColor="text1"/>
          <w14:textFill>
            <w14:solidFill>
              <w14:schemeClr w14:val="tx1"/>
            </w14:solidFill>
          </w14:textFill>
        </w:rPr>
        <w:t>在</w:t>
      </w:r>
      <w:r>
        <w:rPr>
          <w:rStyle w:val="84"/>
          <w:b w:val="0"/>
          <w:bCs w:val="0"/>
          <w:color w:val="000000" w:themeColor="text1"/>
          <w14:textFill>
            <w14:solidFill>
              <w14:schemeClr w14:val="tx1"/>
            </w14:solidFill>
          </w14:textFill>
        </w:rPr>
        <w:t>阴极线（电晕极）与阳极板 / 管（收尘极）间施加数万伏高压直流电</w:t>
      </w:r>
      <w:r>
        <w:rPr>
          <w:b/>
          <w:bCs/>
          <w:color w:val="000000" w:themeColor="text1"/>
          <w14:textFill>
            <w14:solidFill>
              <w14:schemeClr w14:val="tx1"/>
            </w14:solidFill>
          </w14:textFill>
        </w:rPr>
        <w:t>，</w:t>
      </w:r>
      <w:r>
        <w:rPr>
          <w:color w:val="000000" w:themeColor="text1"/>
          <w14:textFill>
            <w14:solidFill>
              <w14:schemeClr w14:val="tx1"/>
            </w14:solidFill>
          </w14:textFill>
        </w:rPr>
        <w:t>形成强电场。</w:t>
      </w:r>
    </w:p>
    <w:p w14:paraId="5542144E">
      <w:pPr>
        <w:ind w:firstLine="480"/>
        <w:rPr>
          <w:color w:val="000000" w:themeColor="text1"/>
          <w14:textFill>
            <w14:solidFill>
              <w14:schemeClr w14:val="tx1"/>
            </w14:solidFill>
          </w14:textFill>
        </w:rPr>
      </w:pPr>
      <w:r>
        <w:rPr>
          <w:color w:val="000000" w:themeColor="text1"/>
          <w14:textFill>
            <w14:solidFill>
              <w14:schemeClr w14:val="tx1"/>
            </w14:solidFill>
          </w14:textFill>
        </w:rPr>
        <w:t>阴极附近气体被电离，产生大量</w:t>
      </w:r>
      <w:r>
        <w:rPr>
          <w:rStyle w:val="84"/>
          <w:b w:val="0"/>
          <w:bCs w:val="0"/>
          <w:color w:val="000000" w:themeColor="text1"/>
          <w14:textFill>
            <w14:solidFill>
              <w14:schemeClr w14:val="tx1"/>
            </w14:solidFill>
          </w14:textFill>
        </w:rPr>
        <w:t>电子、负离子</w:t>
      </w:r>
      <w:r>
        <w:rPr>
          <w:color w:val="000000" w:themeColor="text1"/>
          <w14:textFill>
            <w14:solidFill>
              <w14:schemeClr w14:val="tx1"/>
            </w14:solidFill>
          </w14:textFill>
        </w:rPr>
        <w:t>（电晕区）。</w:t>
      </w:r>
    </w:p>
    <w:p w14:paraId="6311CE2C">
      <w:pPr>
        <w:ind w:firstLine="480"/>
        <w:rPr>
          <w:color w:val="000000" w:themeColor="text1"/>
          <w14:textFill>
            <w14:solidFill>
              <w14:schemeClr w14:val="tx1"/>
            </w14:solidFill>
          </w14:textFill>
        </w:rPr>
      </w:pPr>
      <w:r>
        <w:rPr>
          <w:color w:val="000000" w:themeColor="text1"/>
          <w14:textFill>
            <w14:solidFill>
              <w14:schemeClr w14:val="tx1"/>
            </w14:solidFill>
          </w14:textFill>
        </w:rPr>
        <w:t>烟气中的粉尘、酸雾、液滴等穿过电晕区，与电子 / 负离子碰撞，</w:t>
      </w:r>
      <w:r>
        <w:rPr>
          <w:rStyle w:val="84"/>
          <w:b w:val="0"/>
          <w:bCs w:val="0"/>
          <w:color w:val="000000" w:themeColor="text1"/>
          <w14:textFill>
            <w14:solidFill>
              <w14:schemeClr w14:val="tx1"/>
            </w14:solidFill>
          </w14:textFill>
        </w:rPr>
        <w:t>带上负电</w:t>
      </w:r>
      <w:r>
        <w:rPr>
          <w:b/>
          <w:bCs/>
          <w:color w:val="000000" w:themeColor="text1"/>
          <w14:textFill>
            <w14:solidFill>
              <w14:schemeClr w14:val="tx1"/>
            </w14:solidFill>
          </w14:textFill>
        </w:rPr>
        <w:t>。</w:t>
      </w:r>
    </w:p>
    <w:p w14:paraId="3D1F6605">
      <w:pPr>
        <w:ind w:firstLine="480"/>
        <w:rPr>
          <w:color w:val="000000" w:themeColor="text1"/>
          <w14:textFill>
            <w14:solidFill>
              <w14:schemeClr w14:val="tx1"/>
            </w14:solidFill>
          </w14:textFill>
        </w:rPr>
      </w:pPr>
      <w:r>
        <w:rPr>
          <w:color w:val="000000" w:themeColor="text1"/>
          <w14:textFill>
            <w14:solidFill>
              <w14:schemeClr w14:val="tx1"/>
            </w14:solidFill>
          </w14:textFill>
        </w:rPr>
        <w:t>3. 电场捕集（核心第二步）</w:t>
      </w:r>
    </w:p>
    <w:p w14:paraId="7899A734">
      <w:pPr>
        <w:ind w:firstLine="480"/>
        <w:rPr>
          <w:color w:val="000000" w:themeColor="text1"/>
          <w14:textFill>
            <w14:solidFill>
              <w14:schemeClr w14:val="tx1"/>
            </w14:solidFill>
          </w14:textFill>
        </w:rPr>
      </w:pPr>
      <w:r>
        <w:rPr>
          <w:color w:val="000000" w:themeColor="text1"/>
          <w14:textFill>
            <w14:solidFill>
              <w14:schemeClr w14:val="tx1"/>
            </w14:solidFill>
          </w14:textFill>
        </w:rPr>
        <w:t>带负电的颗粒在</w:t>
      </w:r>
      <w:r>
        <w:rPr>
          <w:rStyle w:val="84"/>
          <w:b w:val="0"/>
          <w:bCs w:val="0"/>
          <w:color w:val="000000" w:themeColor="text1"/>
          <w14:textFill>
            <w14:solidFill>
              <w14:schemeClr w14:val="tx1"/>
            </w14:solidFill>
          </w14:textFill>
        </w:rPr>
        <w:t>库仑力</w:t>
      </w:r>
      <w:r>
        <w:rPr>
          <w:color w:val="000000" w:themeColor="text1"/>
          <w14:textFill>
            <w14:solidFill>
              <w14:schemeClr w14:val="tx1"/>
            </w14:solidFill>
          </w14:textFill>
        </w:rPr>
        <w:t>作用下，</w:t>
      </w:r>
      <w:r>
        <w:rPr>
          <w:rStyle w:val="84"/>
          <w:b w:val="0"/>
          <w:bCs w:val="0"/>
          <w:color w:val="000000" w:themeColor="text1"/>
          <w14:textFill>
            <w14:solidFill>
              <w14:schemeClr w14:val="tx1"/>
            </w14:solidFill>
          </w14:textFill>
        </w:rPr>
        <w:t>定向向阳极板 / 管迁移</w:t>
      </w:r>
      <w:r>
        <w:rPr>
          <w:color w:val="000000" w:themeColor="text1"/>
          <w14:textFill>
            <w14:solidFill>
              <w14:schemeClr w14:val="tx1"/>
            </w14:solidFill>
          </w14:textFill>
        </w:rPr>
        <w:t>，最终被吸附在阳极表面。</w:t>
      </w:r>
    </w:p>
    <w:p w14:paraId="39B06A7B">
      <w:pPr>
        <w:ind w:firstLine="480"/>
        <w:rPr>
          <w:color w:val="000000" w:themeColor="text1"/>
          <w14:textFill>
            <w14:solidFill>
              <w14:schemeClr w14:val="tx1"/>
            </w14:solidFill>
          </w14:textFill>
        </w:rPr>
      </w:pPr>
      <w:r>
        <w:rPr>
          <w:color w:val="000000" w:themeColor="text1"/>
          <w14:textFill>
            <w14:solidFill>
              <w14:schemeClr w14:val="tx1"/>
            </w14:solidFill>
          </w14:textFill>
        </w:rPr>
        <w:t>4. 水膜清灰（与干电除尘最大区别）</w:t>
      </w:r>
    </w:p>
    <w:p w14:paraId="3FF1BC70">
      <w:pPr>
        <w:ind w:firstLine="480"/>
        <w:rPr>
          <w:color w:val="000000" w:themeColor="text1"/>
          <w14:textFill>
            <w14:solidFill>
              <w14:schemeClr w14:val="tx1"/>
            </w14:solidFill>
          </w14:textFill>
        </w:rPr>
      </w:pPr>
      <w:r>
        <w:rPr>
          <w:color w:val="000000" w:themeColor="text1"/>
          <w14:textFill>
            <w14:solidFill>
              <w14:schemeClr w14:val="tx1"/>
            </w14:solidFill>
          </w14:textFill>
        </w:rPr>
        <w:t>阳极顶部通过</w:t>
      </w:r>
      <w:r>
        <w:rPr>
          <w:rStyle w:val="84"/>
          <w:b w:val="0"/>
          <w:bCs w:val="0"/>
          <w:color w:val="000000" w:themeColor="text1"/>
          <w14:textFill>
            <w14:solidFill>
              <w14:schemeClr w14:val="tx1"/>
            </w14:solidFill>
          </w14:textFill>
        </w:rPr>
        <w:t>喷淋 / 溢流</w:t>
      </w:r>
      <w:r>
        <w:rPr>
          <w:color w:val="000000" w:themeColor="text1"/>
          <w14:textFill>
            <w14:solidFill>
              <w14:schemeClr w14:val="tx1"/>
            </w14:solidFill>
          </w14:textFill>
        </w:rPr>
        <w:t>形成</w:t>
      </w:r>
      <w:r>
        <w:rPr>
          <w:rStyle w:val="84"/>
          <w:b w:val="0"/>
          <w:bCs w:val="0"/>
          <w:color w:val="000000" w:themeColor="text1"/>
          <w14:textFill>
            <w14:solidFill>
              <w14:schemeClr w14:val="tx1"/>
            </w14:solidFill>
          </w14:textFill>
        </w:rPr>
        <w:t>连续向下流动的水膜</w:t>
      </w:r>
      <w:r>
        <w:rPr>
          <w:color w:val="000000" w:themeColor="text1"/>
          <w14:textFill>
            <w14:solidFill>
              <w14:schemeClr w14:val="tx1"/>
            </w14:solidFill>
          </w14:textFill>
        </w:rPr>
        <w:t>。</w:t>
      </w:r>
    </w:p>
    <w:p w14:paraId="37D6E0AA">
      <w:pPr>
        <w:ind w:firstLine="480"/>
        <w:rPr>
          <w:color w:val="000000" w:themeColor="text1"/>
          <w14:textFill>
            <w14:solidFill>
              <w14:schemeClr w14:val="tx1"/>
            </w14:solidFill>
          </w14:textFill>
        </w:rPr>
      </w:pPr>
      <w:r>
        <w:rPr>
          <w:color w:val="000000" w:themeColor="text1"/>
          <w14:textFill>
            <w14:solidFill>
              <w14:schemeClr w14:val="tx1"/>
            </w14:solidFill>
          </w14:textFill>
        </w:rPr>
        <w:t>水膜将极板上的粉尘、酸雾</w:t>
      </w:r>
      <w:r>
        <w:rPr>
          <w:rStyle w:val="84"/>
          <w:b w:val="0"/>
          <w:bCs w:val="0"/>
          <w:color w:val="000000" w:themeColor="text1"/>
          <w14:textFill>
            <w14:solidFill>
              <w14:schemeClr w14:val="tx1"/>
            </w14:solidFill>
          </w14:textFill>
        </w:rPr>
        <w:t>实时冲刷剥离</w:t>
      </w:r>
      <w:r>
        <w:rPr>
          <w:color w:val="000000" w:themeColor="text1"/>
          <w14:textFill>
            <w14:solidFill>
              <w14:schemeClr w14:val="tx1"/>
            </w14:solidFill>
          </w14:textFill>
        </w:rPr>
        <w:t>，随水流汇入底部灰斗。</w:t>
      </w:r>
    </w:p>
    <w:p w14:paraId="7CA66847">
      <w:pPr>
        <w:pStyle w:val="1293"/>
        <w:keepNext/>
        <w:keepLines/>
        <w:spacing w:line="360" w:lineRule="auto"/>
        <w:ind w:firstLine="482" w:firstLineChars="200"/>
        <w:jc w:val="both"/>
        <w:rPr>
          <w:rFonts w:ascii="Times New Roman" w:hAnsi="Times New Roman" w:cs="Times New Roman"/>
          <w:color w:val="000000" w:themeColor="text1"/>
          <w14:textFill>
            <w14:solidFill>
              <w14:schemeClr w14:val="tx1"/>
            </w14:solidFill>
          </w14:textFill>
        </w:rPr>
      </w:pPr>
      <w:bookmarkStart w:id="457" w:name="bookmark494"/>
      <w:r>
        <w:rPr>
          <w:rFonts w:ascii="Times New Roman" w:hAnsi="Times New Roman" w:cs="Times New Roman"/>
          <w:color w:val="000000" w:themeColor="text1"/>
          <w:sz w:val="24"/>
          <w:szCs w:val="24"/>
          <w14:textFill>
            <w14:solidFill>
              <w14:schemeClr w14:val="tx1"/>
            </w14:solidFill>
          </w14:textFill>
        </w:rPr>
        <w:t>二、脱硝措施</w:t>
      </w:r>
      <w:bookmarkEnd w:id="457"/>
    </w:p>
    <w:p w14:paraId="16FB65EE">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）废气处理措施比选及工艺原理</w:t>
      </w:r>
    </w:p>
    <w:p w14:paraId="458211EF">
      <w:pPr>
        <w:ind w:firstLine="482"/>
        <w:rPr>
          <w:b/>
          <w:bCs/>
          <w:color w:val="000000" w:themeColor="text1"/>
          <w14:textFill>
            <w14:solidFill>
              <w14:schemeClr w14:val="tx1"/>
            </w14:solidFill>
          </w14:textFill>
        </w:rPr>
      </w:pPr>
      <w:r>
        <w:rPr>
          <w:rFonts w:ascii="Cambria Math" w:hAnsi="Cambria Math" w:cs="Cambria Math"/>
          <w:b/>
          <w:bCs/>
          <w:color w:val="000000" w:themeColor="text1"/>
          <w:lang w:val="zh-CN" w:bidi="zh-CN"/>
          <w14:textFill>
            <w14:solidFill>
              <w14:schemeClr w14:val="tx1"/>
            </w14:solidFill>
          </w14:textFill>
        </w:rPr>
        <w:t>①</w:t>
      </w:r>
      <w:r>
        <w:rPr>
          <w:b/>
          <w:bCs/>
          <w:color w:val="000000" w:themeColor="text1"/>
          <w:lang w:bidi="en-US"/>
          <w14:textFill>
            <w14:solidFill>
              <w14:schemeClr w14:val="tx1"/>
            </w14:solidFill>
          </w14:textFill>
        </w:rPr>
        <w:t>SNCR</w:t>
      </w:r>
    </w:p>
    <w:p w14:paraId="29F6D9B0">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SNCR</w:t>
      </w:r>
      <w:r>
        <w:rPr>
          <w:color w:val="000000" w:themeColor="text1"/>
          <w14:textFill>
            <w14:solidFill>
              <w14:schemeClr w14:val="tx1"/>
            </w14:solidFill>
          </w14:textFill>
        </w:rPr>
        <w:t>脱硝是指在锅炉炉膛出口</w:t>
      </w:r>
      <w:r>
        <w:rPr>
          <w:rFonts w:eastAsia="Times New Roman"/>
          <w:color w:val="000000" w:themeColor="text1"/>
          <w14:textFill>
            <w14:solidFill>
              <w14:schemeClr w14:val="tx1"/>
            </w14:solidFill>
          </w14:textFill>
        </w:rPr>
        <w:t>850-1100℃</w:t>
      </w:r>
      <w:r>
        <w:rPr>
          <w:color w:val="000000" w:themeColor="text1"/>
          <w14:textFill>
            <w14:solidFill>
              <w14:schemeClr w14:val="tx1"/>
            </w14:solidFill>
          </w14:textFill>
        </w:rPr>
        <w:t>的温度范围内喷入还原剂（如氨水、尿素等）将其中的</w:t>
      </w: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选择性还原成</w:t>
      </w:r>
      <w:r>
        <w:rPr>
          <w:rFonts w:eastAsia="Times New Roman"/>
          <w:color w:val="000000" w:themeColor="text1"/>
          <w:lang w:bidi="en-US"/>
          <w14:textFill>
            <w14:solidFill>
              <w14:schemeClr w14:val="tx1"/>
            </w14:solidFill>
          </w14:textFill>
        </w:rPr>
        <w:t>N</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和</w:t>
      </w:r>
      <w:r>
        <w:rPr>
          <w:rFonts w:eastAsia="Times New Roman"/>
          <w:color w:val="000000" w:themeColor="text1"/>
          <w:lang w:bidi="en-US"/>
          <w14:textFill>
            <w14:solidFill>
              <w14:schemeClr w14:val="tx1"/>
            </w14:solidFill>
          </w14:textFill>
        </w:rPr>
        <w:t>H</w:t>
      </w:r>
      <w:r>
        <w:rPr>
          <w:rFonts w:eastAsia="Times New Roman"/>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O</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SNCR</w:t>
      </w:r>
      <w:r>
        <w:rPr>
          <w:color w:val="000000" w:themeColor="text1"/>
          <w14:textFill>
            <w14:solidFill>
              <w14:schemeClr w14:val="tx1"/>
            </w14:solidFill>
          </w14:textFill>
        </w:rPr>
        <w:t>工艺对温度要求十分严格，脱硝效率在</w:t>
      </w:r>
      <w:r>
        <w:rPr>
          <w:rFonts w:eastAsia="Times New Roman"/>
          <w:color w:val="000000" w:themeColor="text1"/>
          <w14:textFill>
            <w14:solidFill>
              <w14:schemeClr w14:val="tx1"/>
            </w14:solidFill>
          </w14:textFill>
        </w:rPr>
        <w:t>60%</w:t>
      </w:r>
      <w:r>
        <w:rPr>
          <w:rFonts w:eastAsia="Arial Unicode MS"/>
          <w:color w:val="000000" w:themeColor="text1"/>
          <w:sz w:val="20"/>
          <w:szCs w:val="20"/>
          <w14:textFill>
            <w14:solidFill>
              <w14:schemeClr w14:val="tx1"/>
            </w14:solidFill>
          </w14:textFill>
        </w:rPr>
        <w:t>〜</w:t>
      </w:r>
      <w:r>
        <w:rPr>
          <w:rFonts w:eastAsia="Times New Roman"/>
          <w:color w:val="000000" w:themeColor="text1"/>
          <w14:textFill>
            <w14:solidFill>
              <w14:schemeClr w14:val="tx1"/>
            </w14:solidFill>
          </w14:textFill>
        </w:rPr>
        <w:t>80%</w:t>
      </w:r>
      <w:r>
        <w:rPr>
          <w:color w:val="000000" w:themeColor="text1"/>
          <w14:textFill>
            <w14:solidFill>
              <w14:schemeClr w14:val="tx1"/>
            </w14:solidFill>
          </w14:textFill>
        </w:rPr>
        <w:t>，</w:t>
      </w:r>
      <w:r>
        <w:rPr>
          <w:rFonts w:eastAsia="Times New Roman"/>
          <w:color w:val="000000" w:themeColor="text1"/>
          <w:lang w:bidi="en-US"/>
          <w14:textFill>
            <w14:solidFill>
              <w14:schemeClr w14:val="tx1"/>
            </w14:solidFill>
          </w14:textFill>
        </w:rPr>
        <w:t>SNCR</w:t>
      </w:r>
      <w:r>
        <w:rPr>
          <w:color w:val="000000" w:themeColor="text1"/>
          <w14:textFill>
            <w14:solidFill>
              <w14:schemeClr w14:val="tx1"/>
            </w14:solidFill>
          </w14:textFill>
        </w:rPr>
        <w:t>脱硝技术一般只适用于</w:t>
      </w: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排放要求不高烟气治理，如工业炉窑烟气脱硝。</w:t>
      </w:r>
    </w:p>
    <w:p w14:paraId="611F8E66">
      <w:pPr>
        <w:ind w:firstLine="480"/>
        <w:rPr>
          <w:color w:val="000000" w:themeColor="text1"/>
          <w14:textFill>
            <w14:solidFill>
              <w14:schemeClr w14:val="tx1"/>
            </w14:solidFill>
          </w14:textFill>
        </w:rPr>
      </w:pPr>
      <w:r>
        <w:rPr>
          <w:color w:val="000000" w:themeColor="text1"/>
          <w14:textFill>
            <w14:solidFill>
              <w14:schemeClr w14:val="tx1"/>
            </w14:solidFill>
          </w14:textFill>
        </w:rPr>
        <w:t>非催化还原脱硝技术</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SNCR</w:t>
      </w:r>
      <w:r>
        <w:rPr>
          <w:color w:val="000000" w:themeColor="text1"/>
          <w:lang w:bidi="en-US"/>
          <w14:textFill>
            <w14:solidFill>
              <w14:schemeClr w14:val="tx1"/>
            </w14:solidFill>
          </w14:textFill>
        </w:rPr>
        <w:t>）</w:t>
      </w:r>
      <w:r>
        <w:rPr>
          <w:color w:val="000000" w:themeColor="text1"/>
          <w14:textFill>
            <w14:solidFill>
              <w14:schemeClr w14:val="tx1"/>
            </w14:solidFill>
          </w14:textFill>
        </w:rPr>
        <w:t>脱硝是将</w:t>
      </w:r>
      <w:r>
        <w:rPr>
          <w:rFonts w:hint="eastAsia"/>
          <w:color w:val="000000" w:themeColor="text1"/>
          <w14:textFill>
            <w14:solidFill>
              <w14:schemeClr w14:val="tx1"/>
            </w14:solidFill>
          </w14:textFill>
        </w:rPr>
        <w:t>氨水</w:t>
      </w:r>
      <w:r>
        <w:rPr>
          <w:color w:val="000000" w:themeColor="text1"/>
          <w14:textFill>
            <w14:solidFill>
              <w14:schemeClr w14:val="tx1"/>
            </w14:solidFill>
          </w14:textFill>
        </w:rPr>
        <w:t>喷射系统直接喷入锅炉炉膛出口合适温度区域（</w:t>
      </w:r>
      <w:r>
        <w:rPr>
          <w:rFonts w:eastAsia="Times New Roman"/>
          <w:color w:val="000000" w:themeColor="text1"/>
          <w14:textFill>
            <w14:solidFill>
              <w14:schemeClr w14:val="tx1"/>
            </w14:solidFill>
          </w14:textFill>
        </w:rPr>
        <w:t>850~1100℃</w:t>
      </w:r>
      <w:r>
        <w:rPr>
          <w:color w:val="000000" w:themeColor="text1"/>
          <w14:textFill>
            <w14:solidFill>
              <w14:schemeClr w14:val="tx1"/>
            </w14:solidFill>
          </w14:textFill>
        </w:rPr>
        <w:t>），雾化后氨与</w:t>
      </w:r>
      <w:r>
        <w:rPr>
          <w:rFonts w:eastAsia="Times New Roman"/>
          <w:color w:val="000000" w:themeColor="text1"/>
          <w:lang w:bidi="en-US"/>
          <w14:textFill>
            <w14:solidFill>
              <w14:schemeClr w14:val="tx1"/>
            </w14:solidFill>
          </w14:textFill>
        </w:rPr>
        <w:t>NOx</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NO</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NO</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等混合物）进行选择性非催化还原反应，将</w:t>
      </w: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转化成无污染的</w:t>
      </w:r>
      <w:r>
        <w:rPr>
          <w:rFonts w:eastAsia="Times New Roman"/>
          <w:color w:val="000000" w:themeColor="text1"/>
          <w:lang w:bidi="en-US"/>
          <w14:textFill>
            <w14:solidFill>
              <w14:schemeClr w14:val="tx1"/>
            </w14:solidFill>
          </w14:textFill>
        </w:rPr>
        <w:t>N</w:t>
      </w:r>
      <w:r>
        <w:rPr>
          <w:rFonts w:eastAsia="Times New Roman"/>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w:t>
      </w:r>
      <w:r>
        <w:rPr>
          <w:color w:val="000000" w:themeColor="text1"/>
          <w14:textFill>
            <w14:solidFill>
              <w14:schemeClr w14:val="tx1"/>
            </w14:solidFill>
          </w14:textFill>
        </w:rPr>
        <w:t>当反应区温度过低时，反应效率会降低；当反应区温度过高时，氨会直接被氧化成</w:t>
      </w:r>
      <w:r>
        <w:rPr>
          <w:rFonts w:eastAsia="Times New Roman"/>
          <w:color w:val="000000" w:themeColor="text1"/>
          <w:lang w:bidi="en-US"/>
          <w14:textFill>
            <w14:solidFill>
              <w14:schemeClr w14:val="tx1"/>
            </w14:solidFill>
          </w14:textFill>
        </w:rPr>
        <w:t>N</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和</w:t>
      </w:r>
      <w:r>
        <w:rPr>
          <w:rFonts w:eastAsia="Times New Roman"/>
          <w:color w:val="000000" w:themeColor="text1"/>
          <w:lang w:bidi="en-US"/>
          <w14:textFill>
            <w14:solidFill>
              <w14:schemeClr w14:val="tx1"/>
            </w14:solidFill>
          </w14:textFill>
        </w:rPr>
        <w:t>NO</w:t>
      </w:r>
      <w:r>
        <w:rPr>
          <w:color w:val="000000" w:themeColor="text1"/>
          <w:lang w:bidi="en-US"/>
          <w14:textFill>
            <w14:solidFill>
              <w14:schemeClr w14:val="tx1"/>
            </w14:solidFill>
          </w14:textFill>
        </w:rPr>
        <w:t>。</w:t>
      </w:r>
      <w:r>
        <w:rPr>
          <w:color w:val="000000" w:themeColor="text1"/>
          <w14:textFill>
            <w14:solidFill>
              <w14:schemeClr w14:val="tx1"/>
            </w14:solidFill>
          </w14:textFill>
        </w:rPr>
        <w:t>在无催化剂的作用下，氨、尿素或等氨基还原剂可选择性地将烟气中的</w:t>
      </w: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还原为</w:t>
      </w:r>
      <w:r>
        <w:rPr>
          <w:rFonts w:eastAsia="Times New Roman"/>
          <w:color w:val="000000" w:themeColor="text1"/>
          <w:lang w:bidi="en-US"/>
          <w14:textFill>
            <w14:solidFill>
              <w14:schemeClr w14:val="tx1"/>
            </w14:solidFill>
          </w14:textFill>
        </w:rPr>
        <w:t>N</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和</w:t>
      </w:r>
      <w:r>
        <w:rPr>
          <w:rFonts w:eastAsia="Times New Roman"/>
          <w:color w:val="000000" w:themeColor="text1"/>
          <w:lang w:bidi="en-US"/>
          <w14:textFill>
            <w14:solidFill>
              <w14:schemeClr w14:val="tx1"/>
            </w14:solidFill>
          </w14:textFill>
        </w:rPr>
        <w:t>H</w:t>
      </w:r>
      <w:r>
        <w:rPr>
          <w:rFonts w:eastAsia="Times New Roman"/>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O</w:t>
      </w:r>
      <w:r>
        <w:rPr>
          <w:color w:val="000000" w:themeColor="text1"/>
          <w:lang w:bidi="en-US"/>
          <w14:textFill>
            <w14:solidFill>
              <w14:schemeClr w14:val="tx1"/>
            </w14:solidFill>
          </w14:textFill>
        </w:rPr>
        <w:t>（</w:t>
      </w:r>
      <w:r>
        <w:rPr>
          <w:color w:val="000000" w:themeColor="text1"/>
          <w14:textFill>
            <w14:solidFill>
              <w14:schemeClr w14:val="tx1"/>
            </w14:solidFill>
          </w14:textFill>
        </w:rPr>
        <w:t>基本上不与烟气中的烟气作用），以达到降低</w:t>
      </w: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的目的。</w:t>
      </w:r>
    </w:p>
    <w:p w14:paraId="71649146">
      <w:pPr>
        <w:pStyle w:val="113"/>
        <w:spacing w:line="360" w:lineRule="auto"/>
        <w:ind w:firstLine="480"/>
        <w:jc w:val="both"/>
        <w:rPr>
          <w:b/>
          <w:bCs/>
          <w:color w:val="000000" w:themeColor="text1"/>
          <w14:textFill>
            <w14:solidFill>
              <w14:schemeClr w14:val="tx1"/>
            </w14:solidFill>
          </w14:textFill>
        </w:rPr>
      </w:pPr>
      <w:r>
        <w:rPr>
          <w:rFonts w:ascii="Cambria Math" w:hAnsi="Cambria Math" w:eastAsia="宋体" w:cs="Cambria Math"/>
          <w:b/>
          <w:bCs/>
          <w:color w:val="000000" w:themeColor="text1"/>
          <w:sz w:val="24"/>
          <w:szCs w:val="24"/>
          <w:lang w:val="zh-CN" w:bidi="zh-CN"/>
          <w14:textFill>
            <w14:solidFill>
              <w14:schemeClr w14:val="tx1"/>
            </w14:solidFill>
          </w14:textFill>
        </w:rPr>
        <w:t>②</w:t>
      </w:r>
      <w:r>
        <w:rPr>
          <w:b/>
          <w:bCs/>
          <w:color w:val="000000" w:themeColor="text1"/>
          <w:sz w:val="24"/>
          <w:szCs w:val="24"/>
          <w:lang w:bidi="en-US"/>
          <w14:textFill>
            <w14:solidFill>
              <w14:schemeClr w14:val="tx1"/>
            </w14:solidFill>
          </w14:textFill>
        </w:rPr>
        <w:t>SCR</w:t>
      </w:r>
    </w:p>
    <w:p w14:paraId="61AF23AB">
      <w:pPr>
        <w:pStyle w:val="1232"/>
        <w:spacing w:line="360" w:lineRule="auto"/>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本项目热解焙烧废气最终进入</w:t>
      </w:r>
      <w:r>
        <w:rPr>
          <w:rFonts w:ascii="Times New Roman" w:hAnsi="Times New Roman" w:eastAsia="Times New Roman" w:cs="Times New Roman"/>
          <w:color w:val="000000" w:themeColor="text1"/>
          <w:sz w:val="24"/>
          <w:szCs w:val="24"/>
          <w:lang w:val="en-US" w:bidi="en-US"/>
          <w14:textFill>
            <w14:solidFill>
              <w14:schemeClr w14:val="tx1"/>
            </w14:solidFill>
          </w14:textFill>
        </w:rPr>
        <w:t>SCR</w:t>
      </w:r>
      <w:r>
        <w:rPr>
          <w:rFonts w:ascii="Times New Roman" w:hAnsi="Times New Roman" w:cs="Times New Roman"/>
          <w:color w:val="000000" w:themeColor="text1"/>
          <w:sz w:val="24"/>
          <w:szCs w:val="24"/>
          <w14:textFill>
            <w14:solidFill>
              <w14:schemeClr w14:val="tx1"/>
            </w14:solidFill>
          </w14:textFill>
        </w:rPr>
        <w:t>脱硝装置，温度为</w:t>
      </w:r>
      <w:r>
        <w:rPr>
          <w:rFonts w:ascii="Times New Roman" w:hAnsi="Times New Roman" w:eastAsia="Times New Roman" w:cs="Times New Roman"/>
          <w:color w:val="000000" w:themeColor="text1"/>
          <w:sz w:val="24"/>
          <w:szCs w:val="24"/>
          <w14:textFill>
            <w14:solidFill>
              <w14:schemeClr w14:val="tx1"/>
            </w14:solidFill>
          </w14:textFill>
        </w:rPr>
        <w:t>300</w:t>
      </w:r>
      <w:r>
        <w:rPr>
          <w:rFonts w:ascii="Times New Roman" w:hAnsi="Times New Roman" w:eastAsia="Arial Unicode MS" w:cs="Times New Roman"/>
          <w:color w:val="000000" w:themeColor="text1"/>
          <w:sz w:val="20"/>
          <w:szCs w:val="20"/>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450℃</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eastAsiaTheme="minorEastAsia"/>
          <w:color w:val="000000" w:themeColor="text1"/>
          <w:sz w:val="24"/>
          <w:szCs w:val="24"/>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的氨水溶液与烟气充分混合后进入催化剂模块，在催化反应区</w:t>
      </w:r>
      <w:r>
        <w:rPr>
          <w:rFonts w:ascii="Times New Roman" w:hAnsi="Times New Roman" w:eastAsia="Times New Roman" w:cs="Times New Roman"/>
          <w:color w:val="000000" w:themeColor="text1"/>
          <w:sz w:val="24"/>
          <w:szCs w:val="24"/>
          <w:lang w:val="en-US" w:bidi="en-US"/>
          <w14:textFill>
            <w14:solidFill>
              <w14:schemeClr w14:val="tx1"/>
            </w14:solidFill>
          </w14:textFill>
        </w:rPr>
        <w:t>NH</w:t>
      </w:r>
      <w:r>
        <w:rPr>
          <w:rFonts w:ascii="Times New Roman" w:hAnsi="Times New Roman" w:eastAsia="Times New Roman" w:cs="Times New Roman"/>
          <w:color w:val="000000" w:themeColor="text1"/>
          <w:sz w:val="15"/>
          <w:szCs w:val="15"/>
          <w:lang w:val="en-US" w:bidi="en-US"/>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和</w:t>
      </w:r>
      <w:r>
        <w:rPr>
          <w:rFonts w:ascii="Times New Roman" w:hAnsi="Times New Roman" w:eastAsia="Times New Roman" w:cs="Times New Roman"/>
          <w:smallCaps/>
          <w:color w:val="000000" w:themeColor="text1"/>
          <w:sz w:val="24"/>
          <w:szCs w:val="24"/>
          <w:lang w:val="en-US" w:bidi="en-US"/>
          <w14:textFill>
            <w14:solidFill>
              <w14:schemeClr w14:val="tx1"/>
            </w14:solidFill>
          </w14:textFill>
        </w:rPr>
        <w:t>NO</w:t>
      </w:r>
      <w:r>
        <w:rPr>
          <w:rFonts w:ascii="Times New Roman" w:hAnsi="Times New Roman" w:eastAsia="Times New Roman" w:cs="Times New Roman"/>
          <w:smallCaps/>
          <w:color w:val="000000" w:themeColor="text1"/>
          <w:sz w:val="19"/>
          <w:szCs w:val="19"/>
          <w:lang w:val="en-US" w:bidi="en-US"/>
          <w14:textFill>
            <w14:solidFill>
              <w14:schemeClr w14:val="tx1"/>
            </w14:solidFill>
          </w14:textFill>
        </w:rPr>
        <w:t>x</w:t>
      </w:r>
      <w:r>
        <w:rPr>
          <w:rFonts w:ascii="Times New Roman" w:hAnsi="Times New Roman" w:cs="Times New Roman"/>
          <w:color w:val="000000" w:themeColor="text1"/>
          <w:sz w:val="24"/>
          <w:szCs w:val="24"/>
          <w14:textFill>
            <w14:solidFill>
              <w14:schemeClr w14:val="tx1"/>
            </w14:solidFill>
          </w14:textFill>
        </w:rPr>
        <w:t>反应生成无害的氮气</w:t>
      </w:r>
      <w:r>
        <w:rPr>
          <w:rFonts w:ascii="Times New Roman" w:hAnsi="Times New Roman" w:eastAsia="Times New Roman" w:cs="Times New Roman"/>
          <w:color w:val="000000" w:themeColor="text1"/>
          <w:sz w:val="24"/>
          <w:szCs w:val="24"/>
          <w:lang w:val="en-US" w:bidi="en-US"/>
          <w14:textFill>
            <w14:solidFill>
              <w14:schemeClr w14:val="tx1"/>
            </w14:solidFill>
          </w14:textFill>
        </w:rPr>
        <w:t>(N</w:t>
      </w:r>
      <w:r>
        <w:rPr>
          <w:rFonts w:ascii="Times New Roman" w:hAnsi="Times New Roman" w:eastAsia="Times New Roman" w:cs="Times New Roman"/>
          <w:color w:val="000000" w:themeColor="text1"/>
          <w:sz w:val="15"/>
          <w:szCs w:val="15"/>
          <w:lang w:val="en-US" w:bidi="en-US"/>
          <w14:textFill>
            <w14:solidFill>
              <w14:schemeClr w14:val="tx1"/>
            </w14:solidFill>
          </w14:textFill>
        </w:rPr>
        <w:t>2</w:t>
      </w:r>
      <w:r>
        <w:rPr>
          <w:rFonts w:ascii="Times New Roman" w:hAnsi="Times New Roman" w:cs="Times New Roman"/>
          <w:color w:val="000000" w:themeColor="text1"/>
          <w:sz w:val="24"/>
          <w:szCs w:val="24"/>
          <w:lang w:val="en-US" w:bidi="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和水</w:t>
      </w:r>
      <w:r>
        <w:rPr>
          <w:rFonts w:ascii="Times New Roman" w:hAnsi="Times New Roman" w:eastAsia="Times New Roman" w:cs="Times New Roman"/>
          <w:color w:val="000000" w:themeColor="text1"/>
          <w:sz w:val="24"/>
          <w:szCs w:val="24"/>
          <w:lang w:val="en-US" w:bidi="en-US"/>
          <w14:textFill>
            <w14:solidFill>
              <w14:schemeClr w14:val="tx1"/>
            </w14:solidFill>
          </w14:textFill>
        </w:rPr>
        <w:t>(H</w:t>
      </w:r>
      <w:r>
        <w:rPr>
          <w:rFonts w:ascii="Times New Roman" w:hAnsi="Times New Roman" w:eastAsia="Times New Roman" w:cs="Times New Roman"/>
          <w:color w:val="000000" w:themeColor="text1"/>
          <w:sz w:val="15"/>
          <w:szCs w:val="15"/>
          <w:lang w:val="en-US" w:bidi="en-US"/>
          <w14:textFill>
            <w14:solidFill>
              <w14:schemeClr w14:val="tx1"/>
            </w14:solidFill>
          </w14:textFill>
        </w:rPr>
        <w:t>2</w:t>
      </w:r>
      <w:r>
        <w:rPr>
          <w:rFonts w:ascii="Times New Roman" w:hAnsi="Times New Roman" w:eastAsia="Times New Roman" w:cs="Times New Roman"/>
          <w:color w:val="000000" w:themeColor="text1"/>
          <w:sz w:val="24"/>
          <w:szCs w:val="24"/>
          <w:lang w:val="en-US" w:bidi="en-US"/>
          <w14:textFill>
            <w14:solidFill>
              <w14:schemeClr w14:val="tx1"/>
            </w14:solidFill>
          </w14:textFill>
        </w:rPr>
        <w:t>O)</w:t>
      </w:r>
      <w:r>
        <w:rPr>
          <w:rFonts w:ascii="Times New Roman" w:hAnsi="Times New Roman" w:cs="Times New Roman"/>
          <w:color w:val="000000" w:themeColor="text1"/>
          <w:sz w:val="24"/>
          <w:szCs w:val="24"/>
          <w:lang w:val="en-US" w:bidi="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最终通过排烟管道达标排放。</w:t>
      </w:r>
    </w:p>
    <w:p w14:paraId="1B523B64">
      <w:pPr>
        <w:pStyle w:val="1232"/>
        <w:spacing w:line="360" w:lineRule="auto"/>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氮氧化物</w:t>
      </w:r>
      <w:r>
        <w:rPr>
          <w:rFonts w:ascii="Times New Roman" w:hAnsi="Times New Roman" w:eastAsia="Times New Roman" w:cs="Times New Roman"/>
          <w:color w:val="000000" w:themeColor="text1"/>
          <w:sz w:val="24"/>
          <w:szCs w:val="24"/>
          <w:lang w:val="en-US" w:bidi="en-US"/>
          <w14:textFill>
            <w14:solidFill>
              <w14:schemeClr w14:val="tx1"/>
            </w14:solidFill>
          </w14:textFill>
        </w:rPr>
        <w:t>(NOx)</w:t>
      </w:r>
      <w:r>
        <w:rPr>
          <w:rFonts w:ascii="Times New Roman" w:hAnsi="Times New Roman" w:cs="Times New Roman"/>
          <w:color w:val="000000" w:themeColor="text1"/>
          <w:sz w:val="24"/>
          <w:szCs w:val="24"/>
          <w14:textFill>
            <w14:solidFill>
              <w14:schemeClr w14:val="tx1"/>
            </w14:solidFill>
          </w14:textFill>
        </w:rPr>
        <w:t>选择性催化还原过程是在催化剂的作用下，通过加氨</w:t>
      </w:r>
      <w:r>
        <w:rPr>
          <w:rFonts w:ascii="Times New Roman" w:hAnsi="Times New Roman" w:eastAsia="Times New Roman" w:cs="Times New Roman"/>
          <w:color w:val="000000" w:themeColor="text1"/>
          <w:sz w:val="24"/>
          <w:szCs w:val="24"/>
          <w:lang w:val="en-US" w:bidi="en-US"/>
          <w14:textFill>
            <w14:solidFill>
              <w14:schemeClr w14:val="tx1"/>
            </w14:solidFill>
          </w14:textFill>
        </w:rPr>
        <w:t>(NH</w:t>
      </w:r>
      <w:r>
        <w:rPr>
          <w:rFonts w:ascii="Times New Roman" w:hAnsi="Times New Roman" w:eastAsia="Times New Roman" w:cs="Times New Roman"/>
          <w:color w:val="000000" w:themeColor="text1"/>
          <w:sz w:val="15"/>
          <w:szCs w:val="15"/>
          <w:lang w:val="en-US" w:bidi="en-US"/>
          <w14:textFill>
            <w14:solidFill>
              <w14:schemeClr w14:val="tx1"/>
            </w14:solidFill>
          </w14:textFill>
        </w:rPr>
        <w:t>3</w:t>
      </w:r>
      <w:r>
        <w:rPr>
          <w:rFonts w:ascii="Times New Roman" w:hAnsi="Times New Roman" w:cs="Times New Roman"/>
          <w:color w:val="000000" w:themeColor="text1"/>
          <w:sz w:val="24"/>
          <w:szCs w:val="24"/>
          <w:lang w:val="en-US" w:bidi="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可以把</w:t>
      </w:r>
      <w:r>
        <w:rPr>
          <w:rFonts w:ascii="Times New Roman" w:hAnsi="Times New Roman" w:eastAsia="Times New Roman" w:cs="Times New Roman"/>
          <w:color w:val="000000" w:themeColor="text1"/>
          <w:sz w:val="24"/>
          <w:szCs w:val="24"/>
          <w:lang w:val="en-US" w:bidi="en-US"/>
          <w14:textFill>
            <w14:solidFill>
              <w14:schemeClr w14:val="tx1"/>
            </w14:solidFill>
          </w14:textFill>
        </w:rPr>
        <w:t>NOx</w:t>
      </w:r>
      <w:r>
        <w:rPr>
          <w:rFonts w:ascii="Times New Roman" w:hAnsi="Times New Roman" w:cs="Times New Roman"/>
          <w:color w:val="000000" w:themeColor="text1"/>
          <w:sz w:val="24"/>
          <w:szCs w:val="24"/>
          <w14:textFill>
            <w14:solidFill>
              <w14:schemeClr w14:val="tx1"/>
            </w14:solidFill>
          </w14:textFill>
        </w:rPr>
        <w:t>转化成空气中天然含有的氮气</w:t>
      </w:r>
      <w:r>
        <w:rPr>
          <w:rFonts w:ascii="Times New Roman" w:hAnsi="Times New Roman" w:eastAsia="Times New Roman" w:cs="Times New Roman"/>
          <w:color w:val="000000" w:themeColor="text1"/>
          <w:sz w:val="24"/>
          <w:szCs w:val="24"/>
          <w:lang w:val="en-US" w:bidi="en-US"/>
          <w14:textFill>
            <w14:solidFill>
              <w14:schemeClr w14:val="tx1"/>
            </w14:solidFill>
          </w14:textFill>
        </w:rPr>
        <w:t>(N</w:t>
      </w:r>
      <w:r>
        <w:rPr>
          <w:rFonts w:ascii="Times New Roman" w:hAnsi="Times New Roman" w:eastAsia="Times New Roman" w:cs="Times New Roman"/>
          <w:color w:val="000000" w:themeColor="text1"/>
          <w:sz w:val="15"/>
          <w:szCs w:val="15"/>
          <w:lang w:val="en-US" w:bidi="en-US"/>
          <w14:textFill>
            <w14:solidFill>
              <w14:schemeClr w14:val="tx1"/>
            </w14:solidFill>
          </w14:textFill>
        </w:rPr>
        <w:t>2</w:t>
      </w:r>
      <w:r>
        <w:rPr>
          <w:rFonts w:ascii="Times New Roman" w:hAnsi="Times New Roman" w:eastAsia="Times New Roman" w:cs="Times New Roman"/>
          <w:color w:val="000000" w:themeColor="text1"/>
          <w:sz w:val="24"/>
          <w:szCs w:val="24"/>
          <w:lang w:val="en-US" w:bidi="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和水，由于</w:t>
      </w:r>
      <w:r>
        <w:rPr>
          <w:rFonts w:ascii="Times New Roman" w:hAnsi="Times New Roman" w:eastAsia="Times New Roman" w:cs="Times New Roman"/>
          <w:color w:val="000000" w:themeColor="text1"/>
          <w:sz w:val="24"/>
          <w:szCs w:val="24"/>
          <w:lang w:val="en-US" w:bidi="en-US"/>
          <w14:textFill>
            <w14:solidFill>
              <w14:schemeClr w14:val="tx1"/>
            </w14:solidFill>
          </w14:textFill>
        </w:rPr>
        <w:t>NH</w:t>
      </w:r>
      <w:r>
        <w:rPr>
          <w:rFonts w:ascii="Times New Roman" w:hAnsi="Times New Roman" w:eastAsia="Times New Roman" w:cs="Times New Roman"/>
          <w:color w:val="000000" w:themeColor="text1"/>
          <w:sz w:val="15"/>
          <w:szCs w:val="15"/>
          <w:lang w:val="en-US" w:bidi="en-US"/>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可以</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选择性的</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和</w:t>
      </w:r>
      <w:r>
        <w:rPr>
          <w:rFonts w:ascii="Times New Roman" w:hAnsi="Times New Roman" w:eastAsia="Times New Roman" w:cs="Times New Roman"/>
          <w:color w:val="000000" w:themeColor="text1"/>
          <w:sz w:val="24"/>
          <w:szCs w:val="24"/>
          <w:lang w:val="en-US" w:bidi="en-US"/>
          <w14:textFill>
            <w14:solidFill>
              <w14:schemeClr w14:val="tx1"/>
            </w14:solidFill>
          </w14:textFill>
        </w:rPr>
        <w:t>NOx</w:t>
      </w:r>
      <w:r>
        <w:rPr>
          <w:rFonts w:ascii="Times New Roman" w:hAnsi="Times New Roman" w:cs="Times New Roman"/>
          <w:color w:val="000000" w:themeColor="text1"/>
          <w:sz w:val="24"/>
          <w:szCs w:val="24"/>
          <w14:textFill>
            <w14:solidFill>
              <w14:schemeClr w14:val="tx1"/>
            </w14:solidFill>
          </w14:textFill>
        </w:rPr>
        <w:t>反应而不是被氧气</w:t>
      </w:r>
      <w:r>
        <w:rPr>
          <w:rFonts w:ascii="Times New Roman" w:hAnsi="Times New Roman" w:eastAsia="Times New Roman" w:cs="Times New Roman"/>
          <w:color w:val="000000" w:themeColor="text1"/>
          <w:sz w:val="24"/>
          <w:szCs w:val="24"/>
          <w14:textFill>
            <w14:solidFill>
              <w14:schemeClr w14:val="tx1"/>
            </w14:solidFill>
          </w14:textFill>
        </w:rPr>
        <w:t>(0</w:t>
      </w:r>
      <w:r>
        <w:rPr>
          <w:rFonts w:ascii="Times New Roman" w:hAnsi="Times New Roman" w:eastAsia="Times New Roman" w:cs="Times New Roman"/>
          <w:color w:val="000000" w:themeColor="text1"/>
          <w:sz w:val="15"/>
          <w:szCs w:val="15"/>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)氧化，因此反应被称为具有</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选择性</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。主要反应方程式如下：</w:t>
      </w:r>
    </w:p>
    <w:p w14:paraId="3CBD3A61">
      <w:pPr>
        <w:pStyle w:val="113"/>
        <w:spacing w:line="360" w:lineRule="auto"/>
        <w:ind w:firstLine="480"/>
        <w:jc w:val="both"/>
        <w:rPr>
          <w:color w:val="000000" w:themeColor="text1"/>
          <w14:textFill>
            <w14:solidFill>
              <w14:schemeClr w14:val="tx1"/>
            </w14:solidFill>
          </w14:textFill>
        </w:rPr>
      </w:pPr>
      <w:r>
        <w:rPr>
          <w:color w:val="000000" w:themeColor="text1"/>
          <w:sz w:val="24"/>
          <w:szCs w:val="24"/>
          <w:lang w:bidi="en-US"/>
          <w14:textFill>
            <w14:solidFill>
              <w14:schemeClr w14:val="tx1"/>
            </w14:solidFill>
          </w14:textFill>
        </w:rPr>
        <w:t>4NO</w:t>
      </w:r>
      <w:r>
        <w:rPr>
          <w:color w:val="000000" w:themeColor="text1"/>
          <w:sz w:val="24"/>
          <w:szCs w:val="24"/>
          <w:lang w:bidi="zh-CN"/>
          <w14:textFill>
            <w14:solidFill>
              <w14:schemeClr w14:val="tx1"/>
            </w14:solidFill>
          </w14:textFill>
        </w:rPr>
        <w:t>+</w:t>
      </w:r>
      <w:r>
        <w:rPr>
          <w:color w:val="000000" w:themeColor="text1"/>
          <w:sz w:val="24"/>
          <w:szCs w:val="24"/>
          <w:lang w:bidi="en-US"/>
          <w14:textFill>
            <w14:solidFill>
              <w14:schemeClr w14:val="tx1"/>
            </w14:solidFill>
          </w14:textFill>
        </w:rPr>
        <w:t>4NH</w:t>
      </w:r>
      <w:r>
        <w:rPr>
          <w:color w:val="000000" w:themeColor="text1"/>
          <w:sz w:val="15"/>
          <w:szCs w:val="15"/>
          <w:lang w:bidi="en-US"/>
          <w14:textFill>
            <w14:solidFill>
              <w14:schemeClr w14:val="tx1"/>
            </w14:solidFill>
          </w14:textFill>
        </w:rPr>
        <w:t>3</w:t>
      </w:r>
      <w:r>
        <w:rPr>
          <w:color w:val="000000" w:themeColor="text1"/>
          <w:sz w:val="24"/>
          <w:szCs w:val="24"/>
          <w:lang w:bidi="zh-CN"/>
          <w14:textFill>
            <w14:solidFill>
              <w14:schemeClr w14:val="tx1"/>
            </w14:solidFill>
          </w14:textFill>
        </w:rPr>
        <w:t>+</w:t>
      </w:r>
      <w:r>
        <w:rPr>
          <w:color w:val="000000" w:themeColor="text1"/>
          <w:sz w:val="24"/>
          <w:szCs w:val="24"/>
          <w:lang w:bidi="en-US"/>
          <w14:textFill>
            <w14:solidFill>
              <w14:schemeClr w14:val="tx1"/>
            </w14:solidFill>
          </w14:textFill>
        </w:rPr>
        <w:t>O</w:t>
      </w:r>
      <w:r>
        <w:rPr>
          <w:color w:val="000000" w:themeColor="text1"/>
          <w:sz w:val="15"/>
          <w:szCs w:val="15"/>
          <w:lang w:bidi="en-US"/>
          <w14:textFill>
            <w14:solidFill>
              <w14:schemeClr w14:val="tx1"/>
            </w14:solidFill>
          </w14:textFill>
        </w:rPr>
        <w:t>2</w:t>
      </w:r>
      <w:r>
        <w:rPr>
          <w:color w:val="000000" w:themeColor="text1"/>
          <w:sz w:val="24"/>
          <w:szCs w:val="24"/>
          <w:lang w:bidi="en-US"/>
          <w14:textFill>
            <w14:solidFill>
              <w14:schemeClr w14:val="tx1"/>
            </w14:solidFill>
          </w14:textFill>
        </w:rPr>
        <w:t>-4N</w:t>
      </w:r>
      <w:r>
        <w:rPr>
          <w:color w:val="000000" w:themeColor="text1"/>
          <w:sz w:val="15"/>
          <w:szCs w:val="15"/>
          <w:lang w:bidi="en-US"/>
          <w14:textFill>
            <w14:solidFill>
              <w14:schemeClr w14:val="tx1"/>
            </w14:solidFill>
          </w14:textFill>
        </w:rPr>
        <w:t>2</w:t>
      </w:r>
      <w:r>
        <w:rPr>
          <w:color w:val="000000" w:themeColor="text1"/>
          <w:sz w:val="24"/>
          <w:szCs w:val="24"/>
          <w:lang w:bidi="zh-CN"/>
          <w14:textFill>
            <w14:solidFill>
              <w14:schemeClr w14:val="tx1"/>
            </w14:solidFill>
          </w14:textFill>
        </w:rPr>
        <w:t>+</w:t>
      </w:r>
      <w:r>
        <w:rPr>
          <w:color w:val="000000" w:themeColor="text1"/>
          <w:sz w:val="24"/>
          <w:szCs w:val="24"/>
          <w:lang w:bidi="en-US"/>
          <w14:textFill>
            <w14:solidFill>
              <w14:schemeClr w14:val="tx1"/>
            </w14:solidFill>
          </w14:textFill>
        </w:rPr>
        <w:t>6H</w:t>
      </w:r>
      <w:r>
        <w:rPr>
          <w:color w:val="000000" w:themeColor="text1"/>
          <w:sz w:val="15"/>
          <w:szCs w:val="15"/>
          <w:lang w:bidi="en-US"/>
          <w14:textFill>
            <w14:solidFill>
              <w14:schemeClr w14:val="tx1"/>
            </w14:solidFill>
          </w14:textFill>
        </w:rPr>
        <w:t>2</w:t>
      </w:r>
      <w:r>
        <w:rPr>
          <w:color w:val="000000" w:themeColor="text1"/>
          <w:sz w:val="24"/>
          <w:szCs w:val="24"/>
          <w:lang w:bidi="en-US"/>
          <w14:textFill>
            <w14:solidFill>
              <w14:schemeClr w14:val="tx1"/>
            </w14:solidFill>
          </w14:textFill>
        </w:rPr>
        <w:t>O</w:t>
      </w:r>
    </w:p>
    <w:p w14:paraId="427566EB">
      <w:pPr>
        <w:pStyle w:val="113"/>
        <w:spacing w:line="360" w:lineRule="auto"/>
        <w:ind w:firstLine="480"/>
        <w:jc w:val="both"/>
        <w:rPr>
          <w:color w:val="000000" w:themeColor="text1"/>
          <w14:textFill>
            <w14:solidFill>
              <w14:schemeClr w14:val="tx1"/>
            </w14:solidFill>
          </w14:textFill>
        </w:rPr>
      </w:pPr>
      <w:r>
        <w:rPr>
          <w:color w:val="000000" w:themeColor="text1"/>
          <w:sz w:val="24"/>
          <w:szCs w:val="24"/>
          <w:lang w:bidi="en-US"/>
          <w14:textFill>
            <w14:solidFill>
              <w14:schemeClr w14:val="tx1"/>
            </w14:solidFill>
          </w14:textFill>
        </w:rPr>
        <w:t>6NO</w:t>
      </w:r>
      <w:r>
        <w:rPr>
          <w:color w:val="000000" w:themeColor="text1"/>
          <w:sz w:val="24"/>
          <w:szCs w:val="24"/>
          <w:lang w:bidi="zh-CN"/>
          <w14:textFill>
            <w14:solidFill>
              <w14:schemeClr w14:val="tx1"/>
            </w14:solidFill>
          </w14:textFill>
        </w:rPr>
        <w:t>+</w:t>
      </w:r>
      <w:r>
        <w:rPr>
          <w:color w:val="000000" w:themeColor="text1"/>
          <w:sz w:val="24"/>
          <w:szCs w:val="24"/>
          <w:lang w:bidi="en-US"/>
          <w14:textFill>
            <w14:solidFill>
              <w14:schemeClr w14:val="tx1"/>
            </w14:solidFill>
          </w14:textFill>
        </w:rPr>
        <w:t>4NH</w:t>
      </w:r>
      <w:r>
        <w:rPr>
          <w:color w:val="000000" w:themeColor="text1"/>
          <w:sz w:val="15"/>
          <w:szCs w:val="15"/>
          <w:lang w:bidi="en-US"/>
          <w14:textFill>
            <w14:solidFill>
              <w14:schemeClr w14:val="tx1"/>
            </w14:solidFill>
          </w14:textFill>
        </w:rPr>
        <w:t>3</w:t>
      </w:r>
      <w:r>
        <w:rPr>
          <w:color w:val="000000" w:themeColor="text1"/>
          <w:sz w:val="24"/>
          <w:szCs w:val="24"/>
          <w:lang w:bidi="en-US"/>
          <w14:textFill>
            <w14:solidFill>
              <w14:schemeClr w14:val="tx1"/>
            </w14:solidFill>
          </w14:textFill>
        </w:rPr>
        <w:t>-5N</w:t>
      </w:r>
      <w:r>
        <w:rPr>
          <w:color w:val="000000" w:themeColor="text1"/>
          <w:sz w:val="15"/>
          <w:szCs w:val="15"/>
          <w:lang w:bidi="en-US"/>
          <w14:textFill>
            <w14:solidFill>
              <w14:schemeClr w14:val="tx1"/>
            </w14:solidFill>
          </w14:textFill>
        </w:rPr>
        <w:t>2</w:t>
      </w:r>
      <w:r>
        <w:rPr>
          <w:color w:val="000000" w:themeColor="text1"/>
          <w:sz w:val="24"/>
          <w:szCs w:val="24"/>
          <w:lang w:bidi="zh-CN"/>
          <w14:textFill>
            <w14:solidFill>
              <w14:schemeClr w14:val="tx1"/>
            </w14:solidFill>
          </w14:textFill>
        </w:rPr>
        <w:t>+</w:t>
      </w:r>
      <w:r>
        <w:rPr>
          <w:color w:val="000000" w:themeColor="text1"/>
          <w:sz w:val="24"/>
          <w:szCs w:val="24"/>
          <w:lang w:bidi="en-US"/>
          <w14:textFill>
            <w14:solidFill>
              <w14:schemeClr w14:val="tx1"/>
            </w14:solidFill>
          </w14:textFill>
        </w:rPr>
        <w:t>6H</w:t>
      </w:r>
      <w:r>
        <w:rPr>
          <w:color w:val="000000" w:themeColor="text1"/>
          <w:sz w:val="15"/>
          <w:szCs w:val="15"/>
          <w:lang w:bidi="en-US"/>
          <w14:textFill>
            <w14:solidFill>
              <w14:schemeClr w14:val="tx1"/>
            </w14:solidFill>
          </w14:textFill>
        </w:rPr>
        <w:t>2</w:t>
      </w:r>
      <w:r>
        <w:rPr>
          <w:color w:val="000000" w:themeColor="text1"/>
          <w:sz w:val="24"/>
          <w:szCs w:val="24"/>
          <w:lang w:bidi="en-US"/>
          <w14:textFill>
            <w14:solidFill>
              <w14:schemeClr w14:val="tx1"/>
            </w14:solidFill>
          </w14:textFill>
        </w:rPr>
        <w:t>O</w:t>
      </w:r>
    </w:p>
    <w:p w14:paraId="2CFA0A62">
      <w:pPr>
        <w:pStyle w:val="113"/>
        <w:spacing w:line="360" w:lineRule="auto"/>
        <w:ind w:firstLine="480"/>
        <w:jc w:val="both"/>
        <w:rPr>
          <w:color w:val="000000" w:themeColor="text1"/>
          <w14:textFill>
            <w14:solidFill>
              <w14:schemeClr w14:val="tx1"/>
            </w14:solidFill>
          </w14:textFill>
        </w:rPr>
      </w:pPr>
      <w:r>
        <w:rPr>
          <w:color w:val="000000" w:themeColor="text1"/>
          <w:sz w:val="24"/>
          <w:szCs w:val="24"/>
          <w:lang w:bidi="en-US"/>
          <w14:textFill>
            <w14:solidFill>
              <w14:schemeClr w14:val="tx1"/>
            </w14:solidFill>
          </w14:textFill>
        </w:rPr>
        <w:t>2NO</w:t>
      </w:r>
      <w:r>
        <w:rPr>
          <w:color w:val="000000" w:themeColor="text1"/>
          <w:sz w:val="15"/>
          <w:szCs w:val="15"/>
          <w:lang w:bidi="en-US"/>
          <w14:textFill>
            <w14:solidFill>
              <w14:schemeClr w14:val="tx1"/>
            </w14:solidFill>
          </w14:textFill>
        </w:rPr>
        <w:t>2</w:t>
      </w:r>
      <w:r>
        <w:rPr>
          <w:color w:val="000000" w:themeColor="text1"/>
          <w:sz w:val="24"/>
          <w:szCs w:val="24"/>
          <w:lang w:bidi="en-US"/>
          <w14:textFill>
            <w14:solidFill>
              <w14:schemeClr w14:val="tx1"/>
            </w14:solidFill>
          </w14:textFill>
        </w:rPr>
        <w:t>+4NH</w:t>
      </w:r>
      <w:r>
        <w:rPr>
          <w:color w:val="000000" w:themeColor="text1"/>
          <w:sz w:val="15"/>
          <w:szCs w:val="15"/>
          <w:lang w:bidi="en-US"/>
          <w14:textFill>
            <w14:solidFill>
              <w14:schemeClr w14:val="tx1"/>
            </w14:solidFill>
          </w14:textFill>
        </w:rPr>
        <w:t>3</w:t>
      </w:r>
      <w:r>
        <w:rPr>
          <w:color w:val="000000" w:themeColor="text1"/>
          <w:sz w:val="24"/>
          <w:szCs w:val="24"/>
          <w:lang w:bidi="en-US"/>
          <w14:textFill>
            <w14:solidFill>
              <w14:schemeClr w14:val="tx1"/>
            </w14:solidFill>
          </w14:textFill>
        </w:rPr>
        <w:t>+O</w:t>
      </w:r>
      <w:r>
        <w:rPr>
          <w:color w:val="000000" w:themeColor="text1"/>
          <w:sz w:val="15"/>
          <w:szCs w:val="15"/>
          <w:lang w:bidi="en-US"/>
          <w14:textFill>
            <w14:solidFill>
              <w14:schemeClr w14:val="tx1"/>
            </w14:solidFill>
          </w14:textFill>
        </w:rPr>
        <w:t>2T</w:t>
      </w:r>
      <w:r>
        <w:rPr>
          <w:color w:val="000000" w:themeColor="text1"/>
          <w:sz w:val="24"/>
          <w:szCs w:val="24"/>
          <w:lang w:bidi="en-US"/>
          <w14:textFill>
            <w14:solidFill>
              <w14:schemeClr w14:val="tx1"/>
            </w14:solidFill>
          </w14:textFill>
        </w:rPr>
        <w:t>N</w:t>
      </w:r>
      <w:r>
        <w:rPr>
          <w:color w:val="000000" w:themeColor="text1"/>
          <w:sz w:val="15"/>
          <w:szCs w:val="15"/>
          <w:lang w:bidi="en-US"/>
          <w14:textFill>
            <w14:solidFill>
              <w14:schemeClr w14:val="tx1"/>
            </w14:solidFill>
          </w14:textFill>
        </w:rPr>
        <w:t>2</w:t>
      </w:r>
      <w:r>
        <w:rPr>
          <w:color w:val="000000" w:themeColor="text1"/>
          <w:sz w:val="24"/>
          <w:szCs w:val="24"/>
          <w:lang w:bidi="en-US"/>
          <w14:textFill>
            <w14:solidFill>
              <w14:schemeClr w14:val="tx1"/>
            </w14:solidFill>
          </w14:textFill>
        </w:rPr>
        <w:t>+6H</w:t>
      </w:r>
      <w:r>
        <w:rPr>
          <w:color w:val="000000" w:themeColor="text1"/>
          <w:sz w:val="15"/>
          <w:szCs w:val="15"/>
          <w:lang w:bidi="en-US"/>
          <w14:textFill>
            <w14:solidFill>
              <w14:schemeClr w14:val="tx1"/>
            </w14:solidFill>
          </w14:textFill>
        </w:rPr>
        <w:t>2</w:t>
      </w:r>
      <w:r>
        <w:rPr>
          <w:color w:val="000000" w:themeColor="text1"/>
          <w:sz w:val="24"/>
          <w:szCs w:val="24"/>
          <w:lang w:bidi="en-US"/>
          <w14:textFill>
            <w14:solidFill>
              <w14:schemeClr w14:val="tx1"/>
            </w14:solidFill>
          </w14:textFill>
        </w:rPr>
        <w:t>O</w:t>
      </w:r>
    </w:p>
    <w:p w14:paraId="0F6D103F">
      <w:pPr>
        <w:pStyle w:val="113"/>
        <w:spacing w:line="360" w:lineRule="auto"/>
        <w:ind w:firstLine="480"/>
        <w:jc w:val="both"/>
        <w:rPr>
          <w:color w:val="000000" w:themeColor="text1"/>
          <w14:textFill>
            <w14:solidFill>
              <w14:schemeClr w14:val="tx1"/>
            </w14:solidFill>
          </w14:textFill>
        </w:rPr>
      </w:pPr>
      <w:r>
        <w:rPr>
          <w:color w:val="000000" w:themeColor="text1"/>
          <w:sz w:val="24"/>
          <w:szCs w:val="24"/>
          <w:lang w:bidi="en-US"/>
          <w14:textFill>
            <w14:solidFill>
              <w14:schemeClr w14:val="tx1"/>
            </w14:solidFill>
          </w14:textFill>
        </w:rPr>
        <w:t>6NO</w:t>
      </w:r>
      <w:r>
        <w:rPr>
          <w:color w:val="000000" w:themeColor="text1"/>
          <w:sz w:val="15"/>
          <w:szCs w:val="15"/>
          <w:lang w:bidi="en-US"/>
          <w14:textFill>
            <w14:solidFill>
              <w14:schemeClr w14:val="tx1"/>
            </w14:solidFill>
          </w14:textFill>
        </w:rPr>
        <w:t>2</w:t>
      </w:r>
      <w:r>
        <w:rPr>
          <w:color w:val="000000" w:themeColor="text1"/>
          <w:sz w:val="24"/>
          <w:szCs w:val="24"/>
          <w:lang w:bidi="en-US"/>
          <w14:textFill>
            <w14:solidFill>
              <w14:schemeClr w14:val="tx1"/>
            </w14:solidFill>
          </w14:textFill>
        </w:rPr>
        <w:t>+8NH</w:t>
      </w:r>
      <w:r>
        <w:rPr>
          <w:color w:val="000000" w:themeColor="text1"/>
          <w:sz w:val="15"/>
          <w:szCs w:val="15"/>
          <w:lang w:bidi="en-US"/>
          <w14:textFill>
            <w14:solidFill>
              <w14:schemeClr w14:val="tx1"/>
            </w14:solidFill>
          </w14:textFill>
        </w:rPr>
        <w:t>3</w:t>
      </w:r>
      <w:r>
        <w:rPr>
          <w:color w:val="000000" w:themeColor="text1"/>
          <w:sz w:val="24"/>
          <w:szCs w:val="24"/>
          <w:lang w:bidi="en-US"/>
          <w14:textFill>
            <w14:solidFill>
              <w14:schemeClr w14:val="tx1"/>
            </w14:solidFill>
          </w14:textFill>
        </w:rPr>
        <w:t>-7N</w:t>
      </w:r>
      <w:r>
        <w:rPr>
          <w:color w:val="000000" w:themeColor="text1"/>
          <w:sz w:val="15"/>
          <w:szCs w:val="15"/>
          <w:lang w:bidi="en-US"/>
          <w14:textFill>
            <w14:solidFill>
              <w14:schemeClr w14:val="tx1"/>
            </w14:solidFill>
          </w14:textFill>
        </w:rPr>
        <w:t>2</w:t>
      </w:r>
      <w:r>
        <w:rPr>
          <w:color w:val="000000" w:themeColor="text1"/>
          <w:sz w:val="24"/>
          <w:szCs w:val="24"/>
          <w:lang w:bidi="en-US"/>
          <w14:textFill>
            <w14:solidFill>
              <w14:schemeClr w14:val="tx1"/>
            </w14:solidFill>
          </w14:textFill>
        </w:rPr>
        <w:t>+12H</w:t>
      </w:r>
      <w:r>
        <w:rPr>
          <w:color w:val="000000" w:themeColor="text1"/>
          <w:sz w:val="15"/>
          <w:szCs w:val="15"/>
          <w:lang w:bidi="en-US"/>
          <w14:textFill>
            <w14:solidFill>
              <w14:schemeClr w14:val="tx1"/>
            </w14:solidFill>
          </w14:textFill>
        </w:rPr>
        <w:t>2</w:t>
      </w:r>
      <w:r>
        <w:rPr>
          <w:color w:val="000000" w:themeColor="text1"/>
          <w:sz w:val="24"/>
          <w:szCs w:val="24"/>
          <w:lang w:bidi="en-US"/>
          <w14:textFill>
            <w14:solidFill>
              <w14:schemeClr w14:val="tx1"/>
            </w14:solidFill>
          </w14:textFill>
        </w:rPr>
        <w:t>O</w:t>
      </w:r>
    </w:p>
    <w:p w14:paraId="6614EEAA">
      <w:pPr>
        <w:pStyle w:val="113"/>
        <w:spacing w:line="360" w:lineRule="auto"/>
        <w:ind w:firstLine="480"/>
        <w:rPr>
          <w:color w:val="000000" w:themeColor="text1"/>
          <w14:textFill>
            <w14:solidFill>
              <w14:schemeClr w14:val="tx1"/>
            </w14:solidFill>
          </w14:textFill>
        </w:rPr>
      </w:pPr>
      <w:r>
        <w:rPr>
          <w:color w:val="000000" w:themeColor="text1"/>
          <w:sz w:val="24"/>
          <w:szCs w:val="24"/>
          <w:lang w:eastAsia="en-US" w:bidi="en-US"/>
          <w14:textFill>
            <w14:solidFill>
              <w14:schemeClr w14:val="tx1"/>
            </w14:solidFill>
          </w14:textFill>
        </w:rPr>
        <w:t>NO+NO</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+2NH</w:t>
      </w:r>
      <w:r>
        <w:rPr>
          <w:color w:val="000000" w:themeColor="text1"/>
          <w:sz w:val="15"/>
          <w:szCs w:val="15"/>
          <w:lang w:eastAsia="en-US" w:bidi="en-US"/>
          <w14:textFill>
            <w14:solidFill>
              <w14:schemeClr w14:val="tx1"/>
            </w14:solidFill>
          </w14:textFill>
        </w:rPr>
        <w:t>3</w:t>
      </w:r>
      <w:r>
        <w:rPr>
          <w:color w:val="000000" w:themeColor="text1"/>
          <w:sz w:val="24"/>
          <w:szCs w:val="24"/>
          <w:lang w:eastAsia="en-US" w:bidi="en-US"/>
          <w14:textFill>
            <w14:solidFill>
              <w14:schemeClr w14:val="tx1"/>
            </w14:solidFill>
          </w14:textFill>
        </w:rPr>
        <w:t>-2N</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+3H</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O</w:t>
      </w:r>
    </w:p>
    <w:p w14:paraId="4C14EF49">
      <w:pPr>
        <w:pStyle w:val="1232"/>
        <w:spacing w:line="360" w:lineRule="auto"/>
        <w:ind w:firstLine="480"/>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除上述反应之外</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在条件改变时</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还可能发生以下副反应</w:t>
      </w:r>
      <w:r>
        <w:rPr>
          <w:rFonts w:ascii="Times New Roman" w:hAnsi="Times New Roman" w:cs="Times New Roman"/>
          <w:color w:val="000000" w:themeColor="text1"/>
          <w:sz w:val="24"/>
          <w:szCs w:val="24"/>
          <w:lang w:val="en-US"/>
          <w14:textFill>
            <w14:solidFill>
              <w14:schemeClr w14:val="tx1"/>
            </w14:solidFill>
          </w14:textFill>
        </w:rPr>
        <w:t>：</w:t>
      </w:r>
    </w:p>
    <w:p w14:paraId="5A2CA334">
      <w:pPr>
        <w:pStyle w:val="113"/>
        <w:spacing w:line="360" w:lineRule="auto"/>
        <w:ind w:firstLine="480"/>
        <w:rPr>
          <w:color w:val="000000" w:themeColor="text1"/>
          <w14:textFill>
            <w14:solidFill>
              <w14:schemeClr w14:val="tx1"/>
            </w14:solidFill>
          </w14:textFill>
        </w:rPr>
      </w:pPr>
      <w:r>
        <w:rPr>
          <w:color w:val="000000" w:themeColor="text1"/>
          <w:sz w:val="24"/>
          <w:szCs w:val="24"/>
          <w:lang w:eastAsia="en-US" w:bidi="en-US"/>
          <w14:textFill>
            <w14:solidFill>
              <w14:schemeClr w14:val="tx1"/>
            </w14:solidFill>
          </w14:textFill>
        </w:rPr>
        <w:t>4NH</w:t>
      </w:r>
      <w:r>
        <w:rPr>
          <w:color w:val="000000" w:themeColor="text1"/>
          <w:sz w:val="15"/>
          <w:szCs w:val="15"/>
          <w:lang w:eastAsia="en-US" w:bidi="en-US"/>
          <w14:textFill>
            <w14:solidFill>
              <w14:schemeClr w14:val="tx1"/>
            </w14:solidFill>
          </w14:textFill>
        </w:rPr>
        <w:t>3</w:t>
      </w:r>
      <w:r>
        <w:rPr>
          <w:color w:val="000000" w:themeColor="text1"/>
          <w:sz w:val="24"/>
          <w:szCs w:val="24"/>
          <w:lang w:eastAsia="en-US" w:bidi="en-US"/>
          <w14:textFill>
            <w14:solidFill>
              <w14:schemeClr w14:val="tx1"/>
            </w14:solidFill>
          </w14:textFill>
        </w:rPr>
        <w:t>+3O</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-2N</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+6H</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O</w:t>
      </w:r>
    </w:p>
    <w:p w14:paraId="7D7DDA01">
      <w:pPr>
        <w:pStyle w:val="113"/>
        <w:spacing w:line="360" w:lineRule="auto"/>
        <w:ind w:firstLine="480"/>
        <w:rPr>
          <w:color w:val="000000" w:themeColor="text1"/>
          <w14:textFill>
            <w14:solidFill>
              <w14:schemeClr w14:val="tx1"/>
            </w14:solidFill>
          </w14:textFill>
        </w:rPr>
      </w:pPr>
      <w:r>
        <w:rPr>
          <w:color w:val="000000" w:themeColor="text1"/>
          <w:sz w:val="24"/>
          <w:szCs w:val="24"/>
          <w:lang w:eastAsia="en-US" w:bidi="en-US"/>
          <w14:textFill>
            <w14:solidFill>
              <w14:schemeClr w14:val="tx1"/>
            </w14:solidFill>
          </w14:textFill>
        </w:rPr>
        <w:t>4NH</w:t>
      </w:r>
      <w:r>
        <w:rPr>
          <w:color w:val="000000" w:themeColor="text1"/>
          <w:sz w:val="15"/>
          <w:szCs w:val="15"/>
          <w:lang w:eastAsia="en-US" w:bidi="en-US"/>
          <w14:textFill>
            <w14:solidFill>
              <w14:schemeClr w14:val="tx1"/>
            </w14:solidFill>
          </w14:textFill>
        </w:rPr>
        <w:t>3</w:t>
      </w:r>
      <w:r>
        <w:rPr>
          <w:color w:val="000000" w:themeColor="text1"/>
          <w:sz w:val="24"/>
          <w:szCs w:val="24"/>
          <w:lang w:eastAsia="en-US" w:bidi="en-US"/>
          <w14:textFill>
            <w14:solidFill>
              <w14:schemeClr w14:val="tx1"/>
            </w14:solidFill>
          </w14:textFill>
        </w:rPr>
        <w:t>+5O</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-4NO+6H</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O</w:t>
      </w:r>
    </w:p>
    <w:p w14:paraId="60214994">
      <w:pPr>
        <w:pStyle w:val="113"/>
        <w:spacing w:line="360" w:lineRule="auto"/>
        <w:ind w:firstLine="480"/>
        <w:rPr>
          <w:color w:val="000000" w:themeColor="text1"/>
          <w:sz w:val="15"/>
          <w:szCs w:val="15"/>
          <w14:textFill>
            <w14:solidFill>
              <w14:schemeClr w14:val="tx1"/>
            </w14:solidFill>
          </w14:textFill>
        </w:rPr>
      </w:pPr>
      <w:r>
        <w:rPr>
          <w:color w:val="000000" w:themeColor="text1"/>
          <w:sz w:val="24"/>
          <w:szCs w:val="24"/>
          <w:lang w:eastAsia="en-US" w:bidi="en-US"/>
          <w14:textFill>
            <w14:solidFill>
              <w14:schemeClr w14:val="tx1"/>
            </w14:solidFill>
          </w14:textFill>
        </w:rPr>
        <w:t>2NH</w:t>
      </w:r>
      <w:r>
        <w:rPr>
          <w:color w:val="000000" w:themeColor="text1"/>
          <w:sz w:val="15"/>
          <w:szCs w:val="15"/>
          <w:lang w:eastAsia="en-US" w:bidi="en-US"/>
          <w14:textFill>
            <w14:solidFill>
              <w14:schemeClr w14:val="tx1"/>
            </w14:solidFill>
          </w14:textFill>
        </w:rPr>
        <w:t>3</w:t>
      </w:r>
      <w:r>
        <w:rPr>
          <w:color w:val="000000" w:themeColor="text1"/>
          <w:sz w:val="24"/>
          <w:szCs w:val="24"/>
          <w:lang w:eastAsia="en-US" w:bidi="en-US"/>
          <w14:textFill>
            <w14:solidFill>
              <w14:schemeClr w14:val="tx1"/>
            </w14:solidFill>
          </w14:textFill>
        </w:rPr>
        <w:t>TN</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+3H</w:t>
      </w:r>
      <w:r>
        <w:rPr>
          <w:color w:val="000000" w:themeColor="text1"/>
          <w:sz w:val="15"/>
          <w:szCs w:val="15"/>
          <w:lang w:eastAsia="en-US" w:bidi="en-US"/>
          <w14:textFill>
            <w14:solidFill>
              <w14:schemeClr w14:val="tx1"/>
            </w14:solidFill>
          </w14:textFill>
        </w:rPr>
        <w:t>2</w:t>
      </w:r>
    </w:p>
    <w:p w14:paraId="78109E49">
      <w:pPr>
        <w:pStyle w:val="113"/>
        <w:spacing w:line="360" w:lineRule="auto"/>
        <w:ind w:firstLine="480"/>
        <w:rPr>
          <w:color w:val="000000" w:themeColor="text1"/>
          <w:sz w:val="19"/>
          <w:szCs w:val="19"/>
          <w14:textFill>
            <w14:solidFill>
              <w14:schemeClr w14:val="tx1"/>
            </w14:solidFill>
          </w14:textFill>
        </w:rPr>
      </w:pPr>
      <w:r>
        <w:rPr>
          <w:color w:val="000000" w:themeColor="text1"/>
          <w:sz w:val="24"/>
          <w:szCs w:val="24"/>
          <w:lang w:eastAsia="en-US" w:bidi="en-US"/>
          <w14:textFill>
            <w14:solidFill>
              <w14:schemeClr w14:val="tx1"/>
            </w14:solidFill>
          </w14:textFill>
        </w:rPr>
        <w:t>SO</w:t>
      </w:r>
      <w:r>
        <w:rPr>
          <w:color w:val="000000" w:themeColor="text1"/>
          <w:sz w:val="15"/>
          <w:szCs w:val="15"/>
          <w:lang w:eastAsia="en-US" w:bidi="en-US"/>
          <w14:textFill>
            <w14:solidFill>
              <w14:schemeClr w14:val="tx1"/>
            </w14:solidFill>
          </w14:textFill>
        </w:rPr>
        <w:t>3</w:t>
      </w:r>
      <w:r>
        <w:rPr>
          <w:color w:val="000000" w:themeColor="text1"/>
          <w:sz w:val="24"/>
          <w:szCs w:val="24"/>
          <w:lang w:eastAsia="en-US" w:bidi="en-US"/>
          <w14:textFill>
            <w14:solidFill>
              <w14:schemeClr w14:val="tx1"/>
            </w14:solidFill>
          </w14:textFill>
        </w:rPr>
        <w:t>+2NH</w:t>
      </w:r>
      <w:r>
        <w:rPr>
          <w:color w:val="000000" w:themeColor="text1"/>
          <w:sz w:val="15"/>
          <w:szCs w:val="15"/>
          <w:lang w:eastAsia="en-US" w:bidi="en-US"/>
          <w14:textFill>
            <w14:solidFill>
              <w14:schemeClr w14:val="tx1"/>
            </w14:solidFill>
          </w14:textFill>
        </w:rPr>
        <w:t>3</w:t>
      </w:r>
      <w:r>
        <w:rPr>
          <w:color w:val="000000" w:themeColor="text1"/>
          <w:sz w:val="24"/>
          <w:szCs w:val="24"/>
          <w:lang w:eastAsia="en-US" w:bidi="en-US"/>
          <w14:textFill>
            <w14:solidFill>
              <w14:schemeClr w14:val="tx1"/>
            </w14:solidFill>
          </w14:textFill>
        </w:rPr>
        <w:t>+</w:t>
      </w:r>
      <w:r>
        <w:rPr>
          <w:smallCaps/>
          <w:color w:val="000000" w:themeColor="text1"/>
          <w:sz w:val="24"/>
          <w:szCs w:val="24"/>
          <w:lang w:eastAsia="en-US" w:bidi="en-US"/>
          <w14:textFill>
            <w14:solidFill>
              <w14:schemeClr w14:val="tx1"/>
            </w14:solidFill>
          </w14:textFill>
        </w:rPr>
        <w:t>H2Ot(NH</w:t>
      </w:r>
      <w:r>
        <w:rPr>
          <w:smallCaps/>
          <w:color w:val="000000" w:themeColor="text1"/>
          <w:sz w:val="19"/>
          <w:szCs w:val="19"/>
          <w:lang w:eastAsia="en-US" w:bidi="en-US"/>
          <w14:textFill>
            <w14:solidFill>
              <w14:schemeClr w14:val="tx1"/>
            </w14:solidFill>
          </w14:textFill>
        </w:rPr>
        <w:t>4</w:t>
      </w:r>
      <w:r>
        <w:rPr>
          <w:rFonts w:eastAsia="宋体"/>
          <w:smallCaps/>
          <w:color w:val="000000" w:themeColor="text1"/>
          <w:sz w:val="24"/>
          <w:szCs w:val="24"/>
          <w:lang w:eastAsia="en-US" w:bidi="en-US"/>
          <w14:textFill>
            <w14:solidFill>
              <w14:schemeClr w14:val="tx1"/>
            </w14:solidFill>
          </w14:textFill>
        </w:rPr>
        <w:t>)</w:t>
      </w:r>
      <w:r>
        <w:rPr>
          <w:smallCaps/>
          <w:color w:val="000000" w:themeColor="text1"/>
          <w:sz w:val="19"/>
          <w:szCs w:val="19"/>
          <w:lang w:eastAsia="en-US" w:bidi="en-US"/>
          <w14:textFill>
            <w14:solidFill>
              <w14:schemeClr w14:val="tx1"/>
            </w14:solidFill>
          </w14:textFill>
        </w:rPr>
        <w:t>2</w:t>
      </w:r>
      <w:r>
        <w:rPr>
          <w:smallCaps/>
          <w:color w:val="000000" w:themeColor="text1"/>
          <w:sz w:val="24"/>
          <w:szCs w:val="24"/>
          <w:lang w:eastAsia="en-US" w:bidi="en-US"/>
          <w14:textFill>
            <w14:solidFill>
              <w14:schemeClr w14:val="tx1"/>
            </w14:solidFill>
          </w14:textFill>
        </w:rPr>
        <w:t>SO</w:t>
      </w:r>
      <w:r>
        <w:rPr>
          <w:smallCaps/>
          <w:color w:val="000000" w:themeColor="text1"/>
          <w:sz w:val="19"/>
          <w:szCs w:val="19"/>
          <w:lang w:eastAsia="en-US" w:bidi="en-US"/>
          <w14:textFill>
            <w14:solidFill>
              <w14:schemeClr w14:val="tx1"/>
            </w14:solidFill>
          </w14:textFill>
        </w:rPr>
        <w:t>4</w:t>
      </w:r>
    </w:p>
    <w:p w14:paraId="30954976">
      <w:pPr>
        <w:pStyle w:val="113"/>
        <w:spacing w:line="360" w:lineRule="auto"/>
        <w:ind w:firstLine="480"/>
        <w:rPr>
          <w:color w:val="000000" w:themeColor="text1"/>
          <w:sz w:val="15"/>
          <w:szCs w:val="15"/>
          <w14:textFill>
            <w14:solidFill>
              <w14:schemeClr w14:val="tx1"/>
            </w14:solidFill>
          </w14:textFill>
        </w:rPr>
      </w:pPr>
      <w:r>
        <w:rPr>
          <w:color w:val="000000" w:themeColor="text1"/>
          <w:sz w:val="24"/>
          <w:szCs w:val="24"/>
          <w:lang w:eastAsia="en-US" w:bidi="en-US"/>
          <w14:textFill>
            <w14:solidFill>
              <w14:schemeClr w14:val="tx1"/>
            </w14:solidFill>
          </w14:textFill>
        </w:rPr>
        <w:t>SO</w:t>
      </w:r>
      <w:r>
        <w:rPr>
          <w:color w:val="000000" w:themeColor="text1"/>
          <w:sz w:val="15"/>
          <w:szCs w:val="15"/>
          <w:lang w:eastAsia="en-US" w:bidi="en-US"/>
          <w14:textFill>
            <w14:solidFill>
              <w14:schemeClr w14:val="tx1"/>
            </w14:solidFill>
          </w14:textFill>
        </w:rPr>
        <w:t>3</w:t>
      </w:r>
      <w:r>
        <w:rPr>
          <w:color w:val="000000" w:themeColor="text1"/>
          <w:sz w:val="24"/>
          <w:szCs w:val="24"/>
          <w:lang w:eastAsia="en-US" w:bidi="en-US"/>
          <w14:textFill>
            <w14:solidFill>
              <w14:schemeClr w14:val="tx1"/>
            </w14:solidFill>
          </w14:textFill>
        </w:rPr>
        <w:t>+NH</w:t>
      </w:r>
      <w:r>
        <w:rPr>
          <w:color w:val="000000" w:themeColor="text1"/>
          <w:sz w:val="15"/>
          <w:szCs w:val="15"/>
          <w:lang w:eastAsia="en-US" w:bidi="en-US"/>
          <w14:textFill>
            <w14:solidFill>
              <w14:schemeClr w14:val="tx1"/>
            </w14:solidFill>
          </w14:textFill>
        </w:rPr>
        <w:t>3</w:t>
      </w:r>
      <w:r>
        <w:rPr>
          <w:color w:val="000000" w:themeColor="text1"/>
          <w:sz w:val="24"/>
          <w:szCs w:val="24"/>
          <w:lang w:eastAsia="en-US" w:bidi="en-US"/>
          <w14:textFill>
            <w14:solidFill>
              <w14:schemeClr w14:val="tx1"/>
            </w14:solidFill>
          </w14:textFill>
        </w:rPr>
        <w:t>+H</w:t>
      </w:r>
      <w:r>
        <w:rPr>
          <w:color w:val="000000" w:themeColor="text1"/>
          <w:sz w:val="15"/>
          <w:szCs w:val="15"/>
          <w:lang w:eastAsia="en-US" w:bidi="en-US"/>
          <w14:textFill>
            <w14:solidFill>
              <w14:schemeClr w14:val="tx1"/>
            </w14:solidFill>
          </w14:textFill>
        </w:rPr>
        <w:t>2</w:t>
      </w:r>
      <w:r>
        <w:rPr>
          <w:color w:val="000000" w:themeColor="text1"/>
          <w:sz w:val="24"/>
          <w:szCs w:val="24"/>
          <w:lang w:eastAsia="en-US" w:bidi="en-US"/>
          <w14:textFill>
            <w14:solidFill>
              <w14:schemeClr w14:val="tx1"/>
            </w14:solidFill>
          </w14:textFill>
        </w:rPr>
        <w:t>OTNH</w:t>
      </w:r>
      <w:r>
        <w:rPr>
          <w:color w:val="000000" w:themeColor="text1"/>
          <w:sz w:val="15"/>
          <w:szCs w:val="15"/>
          <w:lang w:eastAsia="en-US" w:bidi="en-US"/>
          <w14:textFill>
            <w14:solidFill>
              <w14:schemeClr w14:val="tx1"/>
            </w14:solidFill>
          </w14:textFill>
        </w:rPr>
        <w:t>4</w:t>
      </w:r>
      <w:r>
        <w:rPr>
          <w:color w:val="000000" w:themeColor="text1"/>
          <w:sz w:val="24"/>
          <w:szCs w:val="24"/>
          <w:lang w:eastAsia="en-US" w:bidi="en-US"/>
          <w14:textFill>
            <w14:solidFill>
              <w14:schemeClr w14:val="tx1"/>
            </w14:solidFill>
          </w14:textFill>
        </w:rPr>
        <w:t>HSO</w:t>
      </w:r>
      <w:r>
        <w:rPr>
          <w:color w:val="000000" w:themeColor="text1"/>
          <w:sz w:val="15"/>
          <w:szCs w:val="15"/>
          <w:lang w:eastAsia="en-US" w:bidi="en-US"/>
          <w14:textFill>
            <w14:solidFill>
              <w14:schemeClr w14:val="tx1"/>
            </w14:solidFill>
          </w14:textFill>
        </w:rPr>
        <w:t>4</w:t>
      </w:r>
    </w:p>
    <w:p w14:paraId="326F7ACA">
      <w:pPr>
        <w:ind w:firstLine="482"/>
        <w:rPr>
          <w:b/>
          <w:bCs/>
          <w:color w:val="000000" w:themeColor="text1"/>
          <w14:textFill>
            <w14:solidFill>
              <w14:schemeClr w14:val="tx1"/>
            </w14:solidFill>
          </w14:textFill>
        </w:rPr>
      </w:pPr>
      <w:r>
        <w:rPr>
          <w:rFonts w:ascii="Cambria Math" w:hAnsi="Cambria Math" w:cs="Cambria Math"/>
          <w:b/>
          <w:bCs/>
          <w:color w:val="000000" w:themeColor="text1"/>
          <w:lang w:bidi="zh-CN"/>
          <w14:textFill>
            <w14:solidFill>
              <w14:schemeClr w14:val="tx1"/>
            </w14:solidFill>
          </w14:textFill>
        </w:rPr>
        <w:t>③</w:t>
      </w:r>
      <w:r>
        <w:rPr>
          <w:b/>
          <w:bCs/>
          <w:color w:val="000000" w:themeColor="text1"/>
          <w:lang w:bidi="en-US"/>
          <w14:textFill>
            <w14:solidFill>
              <w14:schemeClr w14:val="tx1"/>
            </w14:solidFill>
          </w14:textFill>
        </w:rPr>
        <w:t>SNCR+SCR</w:t>
      </w:r>
      <w:r>
        <w:rPr>
          <w:b/>
          <w:bCs/>
          <w:color w:val="000000" w:themeColor="text1"/>
          <w:lang w:val="zh-CN" w:bidi="zh-CN"/>
          <w14:textFill>
            <w14:solidFill>
              <w14:schemeClr w14:val="tx1"/>
            </w14:solidFill>
          </w14:textFill>
        </w:rPr>
        <w:t>工艺原理</w:t>
      </w:r>
    </w:p>
    <w:p w14:paraId="79C652A6">
      <w:pPr>
        <w:ind w:firstLine="480"/>
        <w:rPr>
          <w:color w:val="000000" w:themeColor="text1"/>
          <w14:textFill>
            <w14:solidFill>
              <w14:schemeClr w14:val="tx1"/>
            </w14:solidFill>
          </w14:textFill>
        </w:rPr>
      </w:pPr>
      <w:r>
        <w:rPr>
          <w:color w:val="000000" w:themeColor="text1"/>
          <w14:textFill>
            <w14:solidFill>
              <w14:schemeClr w14:val="tx1"/>
            </w14:solidFill>
          </w14:textFill>
        </w:rPr>
        <w:t>在炉膛内采用</w:t>
      </w:r>
      <w:r>
        <w:rPr>
          <w:rFonts w:eastAsia="Times New Roman"/>
          <w:color w:val="000000" w:themeColor="text1"/>
          <w:lang w:bidi="en-US"/>
          <w14:textFill>
            <w14:solidFill>
              <w14:schemeClr w14:val="tx1"/>
            </w14:solidFill>
          </w14:textFill>
        </w:rPr>
        <w:t>SNCR</w:t>
      </w:r>
      <w:r>
        <w:rPr>
          <w:color w:val="000000" w:themeColor="text1"/>
          <w14:textFill>
            <w14:solidFill>
              <w14:schemeClr w14:val="tx1"/>
            </w14:solidFill>
          </w14:textFill>
        </w:rPr>
        <w:t>工艺(前端)，反应同</w:t>
      </w:r>
      <w:r>
        <w:rPr>
          <w:rFonts w:eastAsia="Times New Roman"/>
          <w:color w:val="000000" w:themeColor="text1"/>
          <w:lang w:bidi="en-US"/>
          <w14:textFill>
            <w14:solidFill>
              <w14:schemeClr w14:val="tx1"/>
            </w14:solidFill>
          </w14:textFill>
        </w:rPr>
        <w:t>SNCR</w:t>
      </w:r>
      <w:r>
        <w:rPr>
          <w:color w:val="000000" w:themeColor="text1"/>
          <w:lang w:bidi="en-US"/>
          <w14:textFill>
            <w14:solidFill>
              <w14:schemeClr w14:val="tx1"/>
            </w14:solidFill>
          </w14:textFill>
        </w:rPr>
        <w:t>；</w:t>
      </w:r>
      <w:r>
        <w:rPr>
          <w:color w:val="000000" w:themeColor="text1"/>
          <w14:textFill>
            <w14:solidFill>
              <w14:schemeClr w14:val="tx1"/>
            </w14:solidFill>
          </w14:textFill>
        </w:rPr>
        <w:t>逃逸的氨在省煤器与空预器间使用</w:t>
      </w:r>
      <w:r>
        <w:rPr>
          <w:rFonts w:eastAsia="Times New Roman"/>
          <w:color w:val="000000" w:themeColor="text1"/>
          <w:lang w:bidi="en-US"/>
          <w14:textFill>
            <w14:solidFill>
              <w14:schemeClr w14:val="tx1"/>
            </w14:solidFill>
          </w14:textFill>
        </w:rPr>
        <w:t>SCR</w:t>
      </w:r>
      <w:r>
        <w:rPr>
          <w:color w:val="000000" w:themeColor="text1"/>
          <w14:textFill>
            <w14:solidFill>
              <w14:schemeClr w14:val="tx1"/>
            </w14:solidFill>
          </w14:textFill>
        </w:rPr>
        <w:t>工艺(后段)被再利用，反应同</w:t>
      </w:r>
      <w:r>
        <w:rPr>
          <w:rFonts w:eastAsia="Times New Roman"/>
          <w:color w:val="000000" w:themeColor="text1"/>
          <w:lang w:bidi="en-US"/>
          <w14:textFill>
            <w14:solidFill>
              <w14:schemeClr w14:val="tx1"/>
            </w14:solidFill>
          </w14:textFill>
        </w:rPr>
        <w:t>SCR</w:t>
      </w:r>
      <w:r>
        <w:rPr>
          <w:color w:val="000000" w:themeColor="text1"/>
          <w:lang w:bidi="en-US"/>
          <w14:textFill>
            <w14:solidFill>
              <w14:schemeClr w14:val="tx1"/>
            </w14:solidFill>
          </w14:textFill>
        </w:rPr>
        <w:t>，</w:t>
      </w:r>
      <w:r>
        <w:rPr>
          <w:color w:val="000000" w:themeColor="text1"/>
          <w14:textFill>
            <w14:solidFill>
              <w14:schemeClr w14:val="tx1"/>
            </w14:solidFill>
          </w14:textFill>
        </w:rPr>
        <w:t>省掉混合系统及旁路烟道系统。</w:t>
      </w:r>
    </w:p>
    <w:p w14:paraId="485D9E25">
      <w:pPr>
        <w:ind w:firstLine="480"/>
        <w:rPr>
          <w:color w:val="000000" w:themeColor="text1"/>
          <w14:textFill>
            <w14:solidFill>
              <w14:schemeClr w14:val="tx1"/>
            </w14:solidFill>
          </w14:textFill>
        </w:rPr>
      </w:pPr>
      <w:r>
        <w:rPr>
          <w:color w:val="000000" w:themeColor="text1"/>
          <w:lang w:bidi="en-US"/>
          <w14:textFill>
            <w14:solidFill>
              <w14:schemeClr w14:val="tx1"/>
            </w14:solidFill>
          </w14:textFill>
        </w:rPr>
        <w:t>SNCR+SCR</w:t>
      </w:r>
      <w:r>
        <w:rPr>
          <w:color w:val="000000" w:themeColor="text1"/>
          <w:lang w:val="zh-CN" w:bidi="zh-CN"/>
          <w14:textFill>
            <w14:solidFill>
              <w14:schemeClr w14:val="tx1"/>
            </w14:solidFill>
          </w14:textFill>
        </w:rPr>
        <w:t>工艺的特点：</w:t>
      </w:r>
    </w:p>
    <w:p w14:paraId="4A88C463">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color w:val="000000" w:themeColor="text1"/>
          <w14:textFill>
            <w14:solidFill>
              <w14:schemeClr w14:val="tx1"/>
            </w14:solidFill>
          </w14:textFill>
        </w:rPr>
        <w:t>总脱硝效率</w:t>
      </w:r>
      <w:r>
        <w:rPr>
          <w:rFonts w:eastAsia="Times New Roman"/>
          <w:color w:val="000000" w:themeColor="text1"/>
          <w14:textFill>
            <w14:solidFill>
              <w14:schemeClr w14:val="tx1"/>
            </w14:solidFill>
          </w14:textFill>
        </w:rPr>
        <w:t>50</w:t>
      </w:r>
      <w:r>
        <w:rPr>
          <w:rFonts w:eastAsia="Arial Unicode MS"/>
          <w:color w:val="000000" w:themeColor="text1"/>
          <w:sz w:val="20"/>
          <w:szCs w:val="20"/>
          <w14:textFill>
            <w14:solidFill>
              <w14:schemeClr w14:val="tx1"/>
            </w14:solidFill>
          </w14:textFill>
        </w:rPr>
        <w:t>〜</w:t>
      </w:r>
      <w:r>
        <w:rPr>
          <w:rFonts w:eastAsia="Times New Roman"/>
          <w:color w:val="000000" w:themeColor="text1"/>
          <w14:textFill>
            <w14:solidFill>
              <w14:schemeClr w14:val="tx1"/>
            </w14:solidFill>
          </w14:textFill>
        </w:rPr>
        <w:t>80%</w:t>
      </w:r>
      <w:r>
        <w:rPr>
          <w:color w:val="000000" w:themeColor="text1"/>
          <w14:textFill>
            <w14:solidFill>
              <w14:schemeClr w14:val="tx1"/>
            </w14:solidFill>
          </w14:textFill>
        </w:rPr>
        <w:t>；</w:t>
      </w:r>
    </w:p>
    <w:p w14:paraId="7BE2E6B9">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b</w:t>
      </w:r>
      <w:r>
        <w:rPr>
          <w:color w:val="000000" w:themeColor="text1"/>
          <w:lang w:bidi="en-US"/>
          <w14:textFill>
            <w14:solidFill>
              <w14:schemeClr w14:val="tx1"/>
            </w14:solidFill>
          </w14:textFill>
        </w:rPr>
        <w:t>)</w:t>
      </w:r>
      <w:r>
        <w:rPr>
          <w:color w:val="000000" w:themeColor="text1"/>
          <w14:textFill>
            <w14:solidFill>
              <w14:schemeClr w14:val="tx1"/>
            </w14:solidFill>
          </w14:textFill>
        </w:rPr>
        <w:t>投资及运行成本较独立</w:t>
      </w:r>
      <w:r>
        <w:rPr>
          <w:rFonts w:eastAsia="Times New Roman"/>
          <w:color w:val="000000" w:themeColor="text1"/>
          <w:lang w:bidi="en-US"/>
          <w14:textFill>
            <w14:solidFill>
              <w14:schemeClr w14:val="tx1"/>
            </w14:solidFill>
          </w14:textFill>
        </w:rPr>
        <w:t>SCR</w:t>
      </w:r>
      <w:r>
        <w:rPr>
          <w:color w:val="000000" w:themeColor="text1"/>
          <w14:textFill>
            <w14:solidFill>
              <w14:schemeClr w14:val="tx1"/>
            </w14:solidFill>
          </w14:textFill>
        </w:rPr>
        <w:t>降低；</w:t>
      </w:r>
    </w:p>
    <w:p w14:paraId="4ABA4277">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color w:val="000000" w:themeColor="text1"/>
          <w14:textFill>
            <w14:solidFill>
              <w14:schemeClr w14:val="tx1"/>
            </w14:solidFill>
          </w14:textFill>
        </w:rPr>
        <w:t>较少的催化剂及较小的催化反应器、压降减少，不需要附加引风机；</w:t>
      </w:r>
    </w:p>
    <w:p w14:paraId="6694A16D">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d</w:t>
      </w:r>
      <w:r>
        <w:rPr>
          <w:color w:val="000000" w:themeColor="text1"/>
          <w:lang w:bidi="en-US"/>
          <w14:textFill>
            <w14:solidFill>
              <w14:schemeClr w14:val="tx1"/>
            </w14:solidFill>
          </w14:textFill>
        </w:rPr>
        <w:t>）</w:t>
      </w:r>
      <w:r>
        <w:rPr>
          <w:color w:val="000000" w:themeColor="text1"/>
          <w14:textFill>
            <w14:solidFill>
              <w14:schemeClr w14:val="tx1"/>
            </w14:solidFill>
          </w14:textFill>
        </w:rPr>
        <w:t>氨利用率提高、逃逸率降低。</w:t>
      </w:r>
    </w:p>
    <w:p w14:paraId="6F01B666">
      <w:pPr>
        <w:ind w:firstLine="482"/>
        <w:rPr>
          <w:b/>
          <w:bCs/>
          <w:color w:val="000000" w:themeColor="text1"/>
          <w14:textFill>
            <w14:solidFill>
              <w14:schemeClr w14:val="tx1"/>
            </w14:solidFill>
          </w14:textFill>
        </w:rPr>
      </w:pPr>
      <w:r>
        <w:rPr>
          <w:rFonts w:ascii="Cambria Math" w:hAnsi="Cambria Math" w:cs="Cambria Math"/>
          <w:b/>
          <w:bCs/>
          <w:color w:val="000000" w:themeColor="text1"/>
          <w14:textFill>
            <w14:solidFill>
              <w14:schemeClr w14:val="tx1"/>
            </w14:solidFill>
          </w14:textFill>
        </w:rPr>
        <w:t>④</w:t>
      </w:r>
      <w:r>
        <w:rPr>
          <w:b/>
          <w:bCs/>
          <w:color w:val="000000" w:themeColor="text1"/>
          <w14:textFill>
            <w14:solidFill>
              <w14:schemeClr w14:val="tx1"/>
            </w14:solidFill>
          </w14:textFill>
        </w:rPr>
        <w:t>电子束法工艺原理</w:t>
      </w:r>
    </w:p>
    <w:p w14:paraId="2FBF6529">
      <w:pPr>
        <w:ind w:firstLine="480"/>
        <w:rPr>
          <w:color w:val="000000" w:themeColor="text1"/>
          <w14:textFill>
            <w14:solidFill>
              <w14:schemeClr w14:val="tx1"/>
            </w14:solidFill>
          </w14:textFill>
        </w:rPr>
      </w:pPr>
      <w:r>
        <w:rPr>
          <w:color w:val="000000" w:themeColor="text1"/>
          <w14:textFill>
            <w14:solidFill>
              <w14:schemeClr w14:val="tx1"/>
            </w14:solidFill>
          </w14:textFill>
        </w:rPr>
        <w:t>用电子束对烟气进行照射而达到烟气脱硫脱硝的技术，是近年发展起来的一种干法烟气脱硫工艺。在反应器内加入一定量的氨并进行电子束照射，并与氨反应分别生成硫酸铵、硝酸铵微粒子。从电气除尘器出来的烟气在冷却塔中通过喷雾干燥工艺冷却至</w:t>
      </w:r>
      <w:r>
        <w:rPr>
          <w:rFonts w:eastAsia="Times New Roman"/>
          <w:color w:val="000000" w:themeColor="text1"/>
          <w14:textFill>
            <w14:solidFill>
              <w14:schemeClr w14:val="tx1"/>
            </w14:solidFill>
          </w14:textFill>
        </w:rPr>
        <w:t>60</w:t>
      </w:r>
      <w:r>
        <w:rPr>
          <w:rFonts w:eastAsia="Arial Unicode MS"/>
          <w:color w:val="000000" w:themeColor="text1"/>
          <w:sz w:val="20"/>
          <w:szCs w:val="20"/>
          <w14:textFill>
            <w14:solidFill>
              <w14:schemeClr w14:val="tx1"/>
            </w14:solidFill>
          </w14:textFill>
        </w:rPr>
        <w:t>〜</w:t>
      </w:r>
      <w:r>
        <w:rPr>
          <w:rFonts w:eastAsia="Times New Roman"/>
          <w:color w:val="000000" w:themeColor="text1"/>
          <w14:textFill>
            <w14:solidFill>
              <w14:schemeClr w14:val="tx1"/>
            </w14:solidFill>
          </w14:textFill>
        </w:rPr>
        <w:t>70℃</w:t>
      </w:r>
      <w:r>
        <w:rPr>
          <w:color w:val="000000" w:themeColor="text1"/>
          <w14:textFill>
            <w14:solidFill>
              <w14:schemeClr w14:val="tx1"/>
            </w14:solidFill>
          </w14:textFill>
        </w:rPr>
        <w:t>，然后送入反应器，烟气在反应器入口处与适量的氨气混合，经电子束照射，排烟中的</w:t>
      </w:r>
      <w:r>
        <w:rPr>
          <w:rFonts w:eastAsia="Times New Roman"/>
          <w:color w:val="000000" w:themeColor="text1"/>
          <w:lang w:bidi="en-US"/>
          <w14:textFill>
            <w14:solidFill>
              <w14:schemeClr w14:val="tx1"/>
            </w14:solidFill>
          </w14:textFill>
        </w:rPr>
        <w:t>SOx</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被急速氧化最终生成微粒状的硫酸铵和硝酸铵。最后烟气通过另一电除尘器将副产品硫酸铵和硝酸铵粉从烟气中分离出来。由于烟气的温度高于露点温度，因此在烟气通过烟囱排到大气之前不需再加热。</w:t>
      </w:r>
    </w:p>
    <w:p w14:paraId="5C98A458">
      <w:pPr>
        <w:ind w:firstLine="480"/>
        <w:rPr>
          <w:color w:val="000000" w:themeColor="text1"/>
          <w14:textFill>
            <w14:solidFill>
              <w14:schemeClr w14:val="tx1"/>
            </w14:solidFill>
          </w14:textFill>
        </w:rPr>
      </w:pPr>
      <w:r>
        <w:rPr>
          <w:color w:val="000000" w:themeColor="text1"/>
          <w14:textFill>
            <w14:solidFill>
              <w14:schemeClr w14:val="tx1"/>
            </w14:solidFill>
          </w14:textFill>
        </w:rPr>
        <w:t>电子束法工艺的特点：</w:t>
      </w:r>
    </w:p>
    <w:p w14:paraId="66E5A4A0">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color w:val="000000" w:themeColor="text1"/>
          <w14:textFill>
            <w14:solidFill>
              <w14:schemeClr w14:val="tx1"/>
            </w14:solidFill>
          </w14:textFill>
        </w:rPr>
        <w:t>脱硫率可达</w:t>
      </w:r>
      <w:r>
        <w:rPr>
          <w:rFonts w:eastAsia="Times New Roman"/>
          <w:color w:val="000000" w:themeColor="text1"/>
          <w14:textFill>
            <w14:solidFill>
              <w14:schemeClr w14:val="tx1"/>
            </w14:solidFill>
          </w14:textFill>
        </w:rPr>
        <w:t>90%</w:t>
      </w:r>
      <w:r>
        <w:rPr>
          <w:color w:val="000000" w:themeColor="text1"/>
          <w14:textFill>
            <w14:solidFill>
              <w14:schemeClr w14:val="tx1"/>
            </w14:solidFill>
          </w14:textFill>
        </w:rPr>
        <w:t>以上，脱硝率可达</w:t>
      </w:r>
      <w:r>
        <w:rPr>
          <w:rFonts w:eastAsia="Times New Roman"/>
          <w:color w:val="000000" w:themeColor="text1"/>
          <w14:textFill>
            <w14:solidFill>
              <w14:schemeClr w14:val="tx1"/>
            </w14:solidFill>
          </w14:textFill>
        </w:rPr>
        <w:t>80%</w:t>
      </w:r>
      <w:r>
        <w:rPr>
          <w:color w:val="000000" w:themeColor="text1"/>
          <w14:textFill>
            <w14:solidFill>
              <w14:schemeClr w14:val="tx1"/>
            </w14:solidFill>
          </w14:textFill>
        </w:rPr>
        <w:t>以上；</w:t>
      </w:r>
    </w:p>
    <w:p w14:paraId="12E9741B">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b</w:t>
      </w:r>
      <w:r>
        <w:rPr>
          <w:color w:val="000000" w:themeColor="text1"/>
          <w:lang w:bidi="en-US"/>
          <w14:textFill>
            <w14:solidFill>
              <w14:schemeClr w14:val="tx1"/>
            </w14:solidFill>
          </w14:textFill>
        </w:rPr>
        <w:t>）</w:t>
      </w:r>
      <w:r>
        <w:rPr>
          <w:color w:val="000000" w:themeColor="text1"/>
          <w14:textFill>
            <w14:solidFill>
              <w14:schemeClr w14:val="tx1"/>
            </w14:solidFill>
          </w14:textFill>
        </w:rPr>
        <w:t>治理中无废水、废酸的排出，减少了二次污染；</w:t>
      </w:r>
    </w:p>
    <w:p w14:paraId="2117EB74">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color w:val="000000" w:themeColor="text1"/>
          <w14:textFill>
            <w14:solidFill>
              <w14:schemeClr w14:val="tx1"/>
            </w14:solidFill>
          </w14:textFill>
        </w:rPr>
        <w:t>需氨源，氨具有危险性，耗电量大；</w:t>
      </w:r>
    </w:p>
    <w:p w14:paraId="2DB08B19">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d</w:t>
      </w:r>
      <w:r>
        <w:rPr>
          <w:color w:val="000000" w:themeColor="text1"/>
          <w:lang w:bidi="en-US"/>
          <w14:textFill>
            <w14:solidFill>
              <w14:schemeClr w14:val="tx1"/>
            </w14:solidFill>
          </w14:textFill>
        </w:rPr>
        <w:t>）</w:t>
      </w:r>
      <w:r>
        <w:rPr>
          <w:color w:val="000000" w:themeColor="text1"/>
          <w14:textFill>
            <w14:solidFill>
              <w14:schemeClr w14:val="tx1"/>
            </w14:solidFill>
          </w14:textFill>
        </w:rPr>
        <w:t>占地面积大，脱硝成本高。</w:t>
      </w:r>
    </w:p>
    <w:p w14:paraId="68D4FC45">
      <w:pPr>
        <w:ind w:firstLine="482"/>
        <w:rPr>
          <w:b/>
          <w:bCs/>
          <w:color w:val="000000" w:themeColor="text1"/>
          <w14:textFill>
            <w14:solidFill>
              <w14:schemeClr w14:val="tx1"/>
            </w14:solidFill>
          </w14:textFill>
        </w:rPr>
      </w:pPr>
      <w:r>
        <w:rPr>
          <w:rFonts w:ascii="Cambria Math" w:hAnsi="Cambria Math" w:cs="Cambria Math"/>
          <w:b/>
          <w:bCs/>
          <w:color w:val="000000" w:themeColor="text1"/>
          <w14:textFill>
            <w14:solidFill>
              <w14:schemeClr w14:val="tx1"/>
            </w14:solidFill>
          </w14:textFill>
        </w:rPr>
        <w:t>⑤</w:t>
      </w:r>
      <w:r>
        <w:rPr>
          <w:b/>
          <w:bCs/>
          <w:color w:val="000000" w:themeColor="text1"/>
          <w14:textFill>
            <w14:solidFill>
              <w14:schemeClr w14:val="tx1"/>
            </w14:solidFill>
          </w14:textFill>
        </w:rPr>
        <w:t>臭氧氧化法工艺原理</w:t>
      </w:r>
    </w:p>
    <w:p w14:paraId="4DDEDA20">
      <w:pPr>
        <w:ind w:firstLine="480"/>
        <w:rPr>
          <w:color w:val="000000" w:themeColor="text1"/>
          <w14:textFill>
            <w14:solidFill>
              <w14:schemeClr w14:val="tx1"/>
            </w14:solidFill>
          </w14:textFill>
        </w:rPr>
      </w:pPr>
      <w:r>
        <w:rPr>
          <w:color w:val="000000" w:themeColor="text1"/>
          <w14:textFill>
            <w14:solidFill>
              <w14:schemeClr w14:val="tx1"/>
            </w14:solidFill>
          </w14:textFill>
        </w:rPr>
        <w:t>在</w:t>
      </w:r>
      <w:r>
        <w:rPr>
          <w:rFonts w:eastAsia="Times New Roman"/>
          <w:color w:val="000000" w:themeColor="text1"/>
          <w14:textFill>
            <w14:solidFill>
              <w14:schemeClr w14:val="tx1"/>
            </w14:solidFill>
          </w14:textFill>
        </w:rPr>
        <w:t>200</w:t>
      </w:r>
      <w:r>
        <w:rPr>
          <w:color w:val="000000" w:themeColor="text1"/>
          <w14:textFill>
            <w14:solidFill>
              <w14:schemeClr w14:val="tx1"/>
            </w14:solidFill>
          </w14:textFill>
        </w:rPr>
        <w:t>度左右，利用臭氧将难溶于水的</w:t>
      </w:r>
      <w:r>
        <w:rPr>
          <w:rFonts w:eastAsia="Times New Roman"/>
          <w:color w:val="000000" w:themeColor="text1"/>
          <w:lang w:bidi="en-US"/>
          <w14:textFill>
            <w14:solidFill>
              <w14:schemeClr w14:val="tx1"/>
            </w14:solidFill>
          </w14:textFill>
        </w:rPr>
        <w:t>NO</w:t>
      </w:r>
      <w:r>
        <w:rPr>
          <w:color w:val="000000" w:themeColor="text1"/>
          <w14:textFill>
            <w14:solidFill>
              <w14:schemeClr w14:val="tx1"/>
            </w14:solidFill>
          </w14:textFill>
        </w:rPr>
        <w:t>氧化成</w:t>
      </w:r>
      <w:r>
        <w:rPr>
          <w:rFonts w:eastAsia="Times New Roman"/>
          <w:color w:val="000000" w:themeColor="text1"/>
          <w:lang w:bidi="en-US"/>
          <w14:textFill>
            <w14:solidFill>
              <w14:schemeClr w14:val="tx1"/>
            </w14:solidFill>
          </w14:textFill>
        </w:rPr>
        <w:t>NO</w:t>
      </w:r>
      <w:r>
        <w:rPr>
          <w:rFonts w:eastAsia="Times New Roman"/>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w:t>
      </w:r>
      <w:r>
        <w:rPr>
          <w:rFonts w:eastAsia="Times New Roman"/>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O</w:t>
      </w:r>
      <w:r>
        <w:rPr>
          <w:rFonts w:eastAsia="Times New Roman"/>
          <w:color w:val="000000" w:themeColor="text1"/>
          <w:sz w:val="15"/>
          <w:szCs w:val="15"/>
          <w:lang w:bidi="en-US"/>
          <w14:textFill>
            <w14:solidFill>
              <w14:schemeClr w14:val="tx1"/>
            </w14:solidFill>
          </w14:textFill>
        </w:rPr>
        <w:t>3</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w:t>
      </w:r>
      <w:r>
        <w:rPr>
          <w:rFonts w:eastAsia="Times New Roman"/>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O</w:t>
      </w:r>
      <w:r>
        <w:rPr>
          <w:rFonts w:eastAsia="Times New Roman"/>
          <w:color w:val="000000" w:themeColor="text1"/>
          <w:sz w:val="15"/>
          <w:szCs w:val="15"/>
          <w:lang w:bidi="en-US"/>
          <w14:textFill>
            <w14:solidFill>
              <w14:schemeClr w14:val="tx1"/>
            </w14:solidFill>
          </w14:textFill>
        </w:rPr>
        <w:t>5</w:t>
      </w:r>
      <w:r>
        <w:rPr>
          <w:color w:val="000000" w:themeColor="text1"/>
          <w14:textFill>
            <w14:solidFill>
              <w14:schemeClr w14:val="tx1"/>
            </w14:solidFill>
          </w14:textFill>
        </w:rPr>
        <w:t>等高价态的氮氧化物，即将氧</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臭氧混合气体注入再生器烟道，然后通过洗涤形成硝酸，再同洗涤剂氢氧化钠反应生成盐类。主要反应：</w:t>
      </w:r>
    </w:p>
    <w:p w14:paraId="7962EF83">
      <w:pPr>
        <w:ind w:firstLine="480"/>
        <w:rPr>
          <w:color w:val="000000" w:themeColor="text1"/>
          <w:sz w:val="15"/>
          <w:szCs w:val="15"/>
          <w14:textFill>
            <w14:solidFill>
              <w14:schemeClr w14:val="tx1"/>
            </w14:solidFill>
          </w14:textFill>
        </w:rPr>
      </w:pPr>
      <w:r>
        <w:rPr>
          <w:color w:val="000000" w:themeColor="text1"/>
          <w:lang w:bidi="en-US"/>
          <w14:textFill>
            <w14:solidFill>
              <w14:schemeClr w14:val="tx1"/>
            </w14:solidFill>
          </w14:textFill>
        </w:rPr>
        <w:t>NO+O</w:t>
      </w:r>
      <w:r>
        <w:rPr>
          <w:color w:val="000000" w:themeColor="text1"/>
          <w:sz w:val="15"/>
          <w:szCs w:val="15"/>
          <w:lang w:bidi="en-US"/>
          <w14:textFill>
            <w14:solidFill>
              <w14:schemeClr w14:val="tx1"/>
            </w14:solidFill>
          </w14:textFill>
        </w:rPr>
        <w:t>3</w:t>
      </w:r>
      <w:r>
        <w:rPr>
          <w:color w:val="000000" w:themeColor="text1"/>
          <w:lang w:bidi="en-US"/>
          <w14:textFill>
            <w14:solidFill>
              <w14:schemeClr w14:val="tx1"/>
            </w14:solidFill>
          </w14:textFill>
        </w:rPr>
        <w:t>TNO</w:t>
      </w:r>
      <w:r>
        <w:rPr>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+O</w:t>
      </w:r>
      <w:r>
        <w:rPr>
          <w:color w:val="000000" w:themeColor="text1"/>
          <w:sz w:val="15"/>
          <w:szCs w:val="15"/>
          <w:lang w:bidi="en-US"/>
          <w14:textFill>
            <w14:solidFill>
              <w14:schemeClr w14:val="tx1"/>
            </w14:solidFill>
          </w14:textFill>
        </w:rPr>
        <w:t>2</w:t>
      </w:r>
    </w:p>
    <w:p w14:paraId="638B7863">
      <w:pPr>
        <w:ind w:firstLine="480"/>
        <w:rPr>
          <w:color w:val="000000" w:themeColor="text1"/>
          <w:sz w:val="15"/>
          <w:szCs w:val="15"/>
          <w14:textFill>
            <w14:solidFill>
              <w14:schemeClr w14:val="tx1"/>
            </w14:solidFill>
          </w14:textFill>
        </w:rPr>
      </w:pPr>
      <w:r>
        <w:rPr>
          <w:color w:val="000000" w:themeColor="text1"/>
          <w:lang w:bidi="en-US"/>
          <w14:textFill>
            <w14:solidFill>
              <w14:schemeClr w14:val="tx1"/>
            </w14:solidFill>
          </w14:textFill>
        </w:rPr>
        <w:t>2NO</w:t>
      </w:r>
      <w:r>
        <w:rPr>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+O</w:t>
      </w:r>
      <w:r>
        <w:rPr>
          <w:color w:val="000000" w:themeColor="text1"/>
          <w:sz w:val="15"/>
          <w:szCs w:val="15"/>
          <w:lang w:bidi="en-US"/>
          <w14:textFill>
            <w14:solidFill>
              <w14:schemeClr w14:val="tx1"/>
            </w14:solidFill>
          </w14:textFill>
        </w:rPr>
        <w:t>3</w:t>
      </w:r>
      <w:r>
        <w:rPr>
          <w:color w:val="000000" w:themeColor="text1"/>
          <w:lang w:bidi="en-US"/>
          <w14:textFill>
            <w14:solidFill>
              <w14:schemeClr w14:val="tx1"/>
            </w14:solidFill>
          </w14:textFill>
        </w:rPr>
        <w:t>TN</w:t>
      </w:r>
      <w:r>
        <w:rPr>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O</w:t>
      </w:r>
      <w:r>
        <w:rPr>
          <w:color w:val="000000" w:themeColor="text1"/>
          <w:sz w:val="15"/>
          <w:szCs w:val="15"/>
          <w:lang w:bidi="en-US"/>
          <w14:textFill>
            <w14:solidFill>
              <w14:schemeClr w14:val="tx1"/>
            </w14:solidFill>
          </w14:textFill>
        </w:rPr>
        <w:t>5</w:t>
      </w:r>
      <w:r>
        <w:rPr>
          <w:color w:val="000000" w:themeColor="text1"/>
          <w:lang w:bidi="en-US"/>
          <w14:textFill>
            <w14:solidFill>
              <w14:schemeClr w14:val="tx1"/>
            </w14:solidFill>
          </w14:textFill>
        </w:rPr>
        <w:t>+O</w:t>
      </w:r>
      <w:r>
        <w:rPr>
          <w:color w:val="000000" w:themeColor="text1"/>
          <w:sz w:val="15"/>
          <w:szCs w:val="15"/>
          <w:lang w:bidi="en-US"/>
          <w14:textFill>
            <w14:solidFill>
              <w14:schemeClr w14:val="tx1"/>
            </w14:solidFill>
          </w14:textFill>
        </w:rPr>
        <w:t>2</w:t>
      </w:r>
    </w:p>
    <w:p w14:paraId="78965B48">
      <w:pPr>
        <w:ind w:firstLine="480"/>
        <w:rPr>
          <w:color w:val="000000" w:themeColor="text1"/>
          <w:sz w:val="15"/>
          <w:szCs w:val="15"/>
          <w14:textFill>
            <w14:solidFill>
              <w14:schemeClr w14:val="tx1"/>
            </w14:solidFill>
          </w14:textFill>
        </w:rPr>
      </w:pPr>
      <w:r>
        <w:rPr>
          <w:color w:val="000000" w:themeColor="text1"/>
          <w:lang w:bidi="en-US"/>
          <w14:textFill>
            <w14:solidFill>
              <w14:schemeClr w14:val="tx1"/>
            </w14:solidFill>
          </w14:textFill>
        </w:rPr>
        <w:t>N</w:t>
      </w:r>
      <w:r>
        <w:rPr>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O</w:t>
      </w:r>
      <w:r>
        <w:rPr>
          <w:color w:val="000000" w:themeColor="text1"/>
          <w:sz w:val="15"/>
          <w:szCs w:val="15"/>
          <w:lang w:bidi="en-US"/>
          <w14:textFill>
            <w14:solidFill>
              <w14:schemeClr w14:val="tx1"/>
            </w14:solidFill>
          </w14:textFill>
        </w:rPr>
        <w:t>5</w:t>
      </w:r>
      <w:r>
        <w:rPr>
          <w:color w:val="000000" w:themeColor="text1"/>
          <w:lang w:bidi="en-US"/>
          <w14:textFill>
            <w14:solidFill>
              <w14:schemeClr w14:val="tx1"/>
            </w14:solidFill>
          </w14:textFill>
        </w:rPr>
        <w:t>+H</w:t>
      </w:r>
      <w:r>
        <w:rPr>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OT2HNO</w:t>
      </w:r>
      <w:r>
        <w:rPr>
          <w:color w:val="000000" w:themeColor="text1"/>
          <w:sz w:val="15"/>
          <w:szCs w:val="15"/>
          <w:lang w:bidi="en-US"/>
          <w14:textFill>
            <w14:solidFill>
              <w14:schemeClr w14:val="tx1"/>
            </w14:solidFill>
          </w14:textFill>
        </w:rPr>
        <w:t>3</w:t>
      </w:r>
    </w:p>
    <w:p w14:paraId="3B38D9E2">
      <w:pPr>
        <w:ind w:firstLine="480"/>
        <w:rPr>
          <w:color w:val="000000" w:themeColor="text1"/>
          <w:sz w:val="20"/>
          <w:szCs w:val="20"/>
          <w14:textFill>
            <w14:solidFill>
              <w14:schemeClr w14:val="tx1"/>
            </w14:solidFill>
          </w14:textFill>
        </w:rPr>
      </w:pPr>
      <w:r>
        <w:rPr>
          <w:color w:val="000000" w:themeColor="text1"/>
          <w:lang w:bidi="en-US"/>
          <w14:textFill>
            <w14:solidFill>
              <w14:schemeClr w14:val="tx1"/>
            </w14:solidFill>
          </w14:textFill>
        </w:rPr>
        <w:t>HNO</w:t>
      </w:r>
      <w:r>
        <w:rPr>
          <w:color w:val="000000" w:themeColor="text1"/>
          <w:sz w:val="15"/>
          <w:szCs w:val="15"/>
          <w:lang w:bidi="en-US"/>
          <w14:textFill>
            <w14:solidFill>
              <w14:schemeClr w14:val="tx1"/>
            </w14:solidFill>
          </w14:textFill>
        </w:rPr>
        <w:t>3</w:t>
      </w:r>
      <w:r>
        <w:rPr>
          <w:color w:val="000000" w:themeColor="text1"/>
          <w:lang w:bidi="en-US"/>
          <w14:textFill>
            <w14:solidFill>
              <w14:schemeClr w14:val="tx1"/>
            </w14:solidFill>
          </w14:textFill>
        </w:rPr>
        <w:t>+NaOH—NaNO</w:t>
      </w:r>
      <w:r>
        <w:rPr>
          <w:color w:val="000000" w:themeColor="text1"/>
          <w:sz w:val="15"/>
          <w:szCs w:val="15"/>
          <w:lang w:bidi="en-US"/>
          <w14:textFill>
            <w14:solidFill>
              <w14:schemeClr w14:val="tx1"/>
            </w14:solidFill>
          </w14:textFill>
        </w:rPr>
        <w:t>3</w:t>
      </w:r>
      <w:r>
        <w:rPr>
          <w:color w:val="000000" w:themeColor="text1"/>
          <w:lang w:bidi="en-US"/>
          <w14:textFill>
            <w14:solidFill>
              <w14:schemeClr w14:val="tx1"/>
            </w14:solidFill>
          </w14:textFill>
        </w:rPr>
        <w:t>+H</w:t>
      </w:r>
      <w:r>
        <w:rPr>
          <w:color w:val="000000" w:themeColor="text1"/>
          <w:sz w:val="15"/>
          <w:szCs w:val="15"/>
          <w:lang w:bidi="en-US"/>
          <w14:textFill>
            <w14:solidFill>
              <w14:schemeClr w14:val="tx1"/>
            </w14:solidFill>
          </w14:textFill>
        </w:rPr>
        <w:t>2</w:t>
      </w:r>
      <w:r>
        <w:rPr>
          <w:rFonts w:eastAsia="Arial Unicode MS"/>
          <w:color w:val="000000" w:themeColor="text1"/>
          <w:sz w:val="20"/>
          <w:szCs w:val="20"/>
          <w:lang w:bidi="en-US"/>
          <w14:textFill>
            <w14:solidFill>
              <w14:schemeClr w14:val="tx1"/>
            </w14:solidFill>
          </w14:textFill>
        </w:rPr>
        <w:t>。</w:t>
      </w:r>
    </w:p>
    <w:p w14:paraId="0F0B8F57">
      <w:pPr>
        <w:ind w:firstLine="480"/>
        <w:rPr>
          <w:color w:val="000000" w:themeColor="text1"/>
          <w14:textFill>
            <w14:solidFill>
              <w14:schemeClr w14:val="tx1"/>
            </w14:solidFill>
          </w14:textFill>
        </w:rPr>
      </w:pPr>
      <w:r>
        <w:rPr>
          <w:color w:val="000000" w:themeColor="text1"/>
          <w14:textFill>
            <w14:solidFill>
              <w14:schemeClr w14:val="tx1"/>
            </w14:solidFill>
          </w14:textFill>
        </w:rPr>
        <w:t>臭氧氧化法工艺的特点：</w:t>
      </w:r>
    </w:p>
    <w:p w14:paraId="4986C715">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color w:val="000000" w:themeColor="text1"/>
          <w14:textFill>
            <w14:solidFill>
              <w14:schemeClr w14:val="tx1"/>
            </w14:solidFill>
          </w14:textFill>
        </w:rPr>
        <w:t>脱硝效率</w:t>
      </w:r>
      <w:r>
        <w:rPr>
          <w:rFonts w:eastAsia="Times New Roman"/>
          <w:color w:val="000000" w:themeColor="text1"/>
          <w14:textFill>
            <w14:solidFill>
              <w14:schemeClr w14:val="tx1"/>
            </w14:solidFill>
          </w14:textFill>
        </w:rPr>
        <w:t>60</w:t>
      </w:r>
      <w:r>
        <w:rPr>
          <w:rFonts w:eastAsia="Arial Unicode MS"/>
          <w:color w:val="000000" w:themeColor="text1"/>
          <w:sz w:val="20"/>
          <w:szCs w:val="20"/>
          <w14:textFill>
            <w14:solidFill>
              <w14:schemeClr w14:val="tx1"/>
            </w14:solidFill>
          </w14:textFill>
        </w:rPr>
        <w:t>〜</w:t>
      </w:r>
      <w:r>
        <w:rPr>
          <w:rFonts w:eastAsia="Times New Roman"/>
          <w:color w:val="000000" w:themeColor="text1"/>
          <w14:textFill>
            <w14:solidFill>
              <w14:schemeClr w14:val="tx1"/>
            </w14:solidFill>
          </w14:textFill>
        </w:rPr>
        <w:t>90%</w:t>
      </w:r>
      <w:r>
        <w:rPr>
          <w:color w:val="000000" w:themeColor="text1"/>
          <w14:textFill>
            <w14:solidFill>
              <w14:schemeClr w14:val="tx1"/>
            </w14:solidFill>
          </w14:textFill>
        </w:rPr>
        <w:t>；</w:t>
      </w:r>
    </w:p>
    <w:p w14:paraId="52905F99">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b</w:t>
      </w:r>
      <w:r>
        <w:rPr>
          <w:color w:val="000000" w:themeColor="text1"/>
          <w:lang w:bidi="en-US"/>
          <w14:textFill>
            <w14:solidFill>
              <w14:schemeClr w14:val="tx1"/>
            </w14:solidFill>
          </w14:textFill>
        </w:rPr>
        <w:t>）</w:t>
      </w:r>
      <w:r>
        <w:rPr>
          <w:color w:val="000000" w:themeColor="text1"/>
          <w14:textFill>
            <w14:solidFill>
              <w14:schemeClr w14:val="tx1"/>
            </w14:solidFill>
          </w14:textFill>
        </w:rPr>
        <w:t>在不同的</w:t>
      </w: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浓度和</w:t>
      </w:r>
      <w:r>
        <w:rPr>
          <w:rFonts w:eastAsia="Times New Roman"/>
          <w:color w:val="000000" w:themeColor="text1"/>
          <w:lang w:bidi="en-US"/>
          <w14:textFill>
            <w14:solidFill>
              <w14:schemeClr w14:val="tx1"/>
            </w14:solidFill>
          </w14:textFill>
        </w:rPr>
        <w:t>NO</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NO</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的比例下保持高效率；</w:t>
      </w:r>
    </w:p>
    <w:p w14:paraId="07B04ACD">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color w:val="000000" w:themeColor="text1"/>
          <w14:textFill>
            <w14:solidFill>
              <w14:schemeClr w14:val="tx1"/>
            </w14:solidFill>
          </w14:textFill>
        </w:rPr>
        <w:t>不存在</w:t>
      </w:r>
      <w:r>
        <w:rPr>
          <w:rFonts w:eastAsia="Times New Roman"/>
          <w:color w:val="000000" w:themeColor="text1"/>
          <w:lang w:bidi="en-US"/>
          <w14:textFill>
            <w14:solidFill>
              <w14:schemeClr w14:val="tx1"/>
            </w14:solidFill>
          </w14:textFill>
        </w:rPr>
        <w:t>O</w:t>
      </w:r>
      <w:r>
        <w:rPr>
          <w:rFonts w:eastAsia="Times New Roman"/>
          <w:color w:val="000000" w:themeColor="text1"/>
          <w:sz w:val="15"/>
          <w:szCs w:val="15"/>
          <w:lang w:bidi="en-US"/>
          <w14:textFill>
            <w14:solidFill>
              <w14:schemeClr w14:val="tx1"/>
            </w14:solidFill>
          </w14:textFill>
        </w:rPr>
        <w:t>3</w:t>
      </w:r>
      <w:r>
        <w:rPr>
          <w:color w:val="000000" w:themeColor="text1"/>
          <w14:textFill>
            <w14:solidFill>
              <w14:schemeClr w14:val="tx1"/>
            </w14:solidFill>
          </w14:textFill>
        </w:rPr>
        <w:t>泄漏问题；</w:t>
      </w:r>
    </w:p>
    <w:p w14:paraId="11324243">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d</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SO</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和</w:t>
      </w:r>
      <w:r>
        <w:rPr>
          <w:rFonts w:eastAsia="Times New Roman"/>
          <w:color w:val="000000" w:themeColor="text1"/>
          <w:lang w:bidi="en-US"/>
          <w14:textFill>
            <w14:solidFill>
              <w14:schemeClr w14:val="tx1"/>
            </w14:solidFill>
          </w14:textFill>
        </w:rPr>
        <w:t>CO</w:t>
      </w:r>
      <w:r>
        <w:rPr>
          <w:color w:val="000000" w:themeColor="text1"/>
          <w14:textFill>
            <w14:solidFill>
              <w14:schemeClr w14:val="tx1"/>
            </w14:solidFill>
          </w14:textFill>
        </w:rPr>
        <w:t>的存在不影响脱硝效率，也不影响其它污染物控制技术。</w:t>
      </w:r>
    </w:p>
    <w:p w14:paraId="5024C920">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）达标可行性分析</w:t>
      </w:r>
    </w:p>
    <w:p w14:paraId="2E44A0B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本项目采用二燃室（SNCR）+末端SCR的方法，10%</w:t>
      </w:r>
      <w:r>
        <w:rPr>
          <w:rFonts w:hint="eastAsia"/>
          <w:color w:val="000000" w:themeColor="text1"/>
          <w14:textFill>
            <w14:solidFill>
              <w14:schemeClr w14:val="tx1"/>
            </w14:solidFill>
          </w14:textFill>
        </w:rPr>
        <w:t>氨水</w:t>
      </w:r>
      <w:r>
        <w:rPr>
          <w:color w:val="000000" w:themeColor="text1"/>
          <w14:textFill>
            <w14:solidFill>
              <w14:schemeClr w14:val="tx1"/>
            </w14:solidFill>
          </w14:textFill>
        </w:rPr>
        <w:t>通过雾化喷射系统直接喷入二燃室出口合适温度区域（</w:t>
      </w:r>
      <w:r>
        <w:rPr>
          <w:rFonts w:eastAsia="Times New Roman"/>
          <w:color w:val="000000" w:themeColor="text1"/>
          <w14:textFill>
            <w14:solidFill>
              <w14:schemeClr w14:val="tx1"/>
            </w14:solidFill>
          </w14:textFill>
        </w:rPr>
        <w:t>850~1100℃</w:t>
      </w:r>
      <w:r>
        <w:rPr>
          <w:color w:val="000000" w:themeColor="text1"/>
          <w14:textFill>
            <w14:solidFill>
              <w14:schemeClr w14:val="tx1"/>
            </w14:solidFill>
          </w14:textFill>
        </w:rPr>
        <w:t>），氨与</w:t>
      </w:r>
      <w:r>
        <w:rPr>
          <w:rFonts w:eastAsia="Times New Roman"/>
          <w:color w:val="000000" w:themeColor="text1"/>
          <w:lang w:bidi="en-US"/>
          <w14:textFill>
            <w14:solidFill>
              <w14:schemeClr w14:val="tx1"/>
            </w14:solidFill>
          </w14:textFill>
        </w:rPr>
        <w:t>NOx(NO</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NO</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等混合物</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进行选择性非催化还原反应，将</w:t>
      </w:r>
      <w:r>
        <w:rPr>
          <w:rFonts w:eastAsia="Times New Roman"/>
          <w:color w:val="000000" w:themeColor="text1"/>
          <w:lang w:bidi="en-US"/>
          <w14:textFill>
            <w14:solidFill>
              <w14:schemeClr w14:val="tx1"/>
            </w14:solidFill>
          </w14:textFill>
        </w:rPr>
        <w:t>NOx</w:t>
      </w:r>
      <w:r>
        <w:rPr>
          <w:color w:val="000000" w:themeColor="text1"/>
          <w14:textFill>
            <w14:solidFill>
              <w14:schemeClr w14:val="tx1"/>
            </w14:solidFill>
          </w14:textFill>
        </w:rPr>
        <w:t>转化成无污染的</w:t>
      </w:r>
      <w:r>
        <w:rPr>
          <w:rFonts w:eastAsia="Times New Roman"/>
          <w:color w:val="000000" w:themeColor="text1"/>
          <w:lang w:bidi="en-US"/>
          <w14:textFill>
            <w14:solidFill>
              <w14:schemeClr w14:val="tx1"/>
            </w14:solidFill>
          </w14:textFill>
        </w:rPr>
        <w:t>N</w:t>
      </w:r>
      <w:r>
        <w:rPr>
          <w:rFonts w:eastAsia="Times New Roman"/>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w:t>
      </w:r>
      <w:r>
        <w:rPr>
          <w:color w:val="000000" w:themeColor="text1"/>
          <w14:textFill>
            <w14:solidFill>
              <w14:schemeClr w14:val="tx1"/>
            </w14:solidFill>
          </w14:textFill>
        </w:rPr>
        <w:t>烟气末端经升温后进入</w:t>
      </w:r>
      <w:r>
        <w:rPr>
          <w:rFonts w:eastAsia="Times New Roman"/>
          <w:color w:val="000000" w:themeColor="text1"/>
          <w:lang w:bidi="en-US"/>
          <w14:textFill>
            <w14:solidFill>
              <w14:schemeClr w14:val="tx1"/>
            </w14:solidFill>
          </w14:textFill>
        </w:rPr>
        <w:t>SCR</w:t>
      </w:r>
      <w:r>
        <w:rPr>
          <w:color w:val="000000" w:themeColor="text1"/>
          <w14:textFill>
            <w14:solidFill>
              <w14:schemeClr w14:val="tx1"/>
            </w14:solidFill>
          </w14:textFill>
        </w:rPr>
        <w:t>脱硝装置，温度为</w:t>
      </w:r>
      <w:r>
        <w:rPr>
          <w:rFonts w:eastAsia="Times New Roman"/>
          <w:color w:val="000000" w:themeColor="text1"/>
          <w14:textFill>
            <w14:solidFill>
              <w14:schemeClr w14:val="tx1"/>
            </w14:solidFill>
          </w14:textFill>
        </w:rPr>
        <w:t>300</w:t>
      </w:r>
      <w:r>
        <w:rPr>
          <w:rFonts w:eastAsia="Arial Unicode MS"/>
          <w:color w:val="000000" w:themeColor="text1"/>
          <w:sz w:val="20"/>
          <w:szCs w:val="20"/>
          <w14:textFill>
            <w14:solidFill>
              <w14:schemeClr w14:val="tx1"/>
            </w14:solidFill>
          </w14:textFill>
        </w:rPr>
        <w:t>〜</w:t>
      </w:r>
      <w:r>
        <w:rPr>
          <w:rFonts w:eastAsia="Times New Roman"/>
          <w:color w:val="000000" w:themeColor="text1"/>
          <w14:textFill>
            <w14:solidFill>
              <w14:schemeClr w14:val="tx1"/>
            </w14:solidFill>
          </w14:textFill>
        </w:rPr>
        <w:t>450℃</w:t>
      </w:r>
      <w:r>
        <w:rPr>
          <w:color w:val="000000" w:themeColor="text1"/>
          <w14:textFill>
            <w14:solidFill>
              <w14:schemeClr w14:val="tx1"/>
            </w14:solidFill>
          </w14:textFill>
        </w:rPr>
        <w:t>，</w:t>
      </w:r>
      <w:r>
        <w:rPr>
          <w:rFonts w:hint="eastAsia" w:eastAsiaTheme="minorEastAsia"/>
          <w:color w:val="000000" w:themeColor="text1"/>
          <w14:textFill>
            <w14:solidFill>
              <w14:schemeClr w14:val="tx1"/>
            </w14:solidFill>
          </w14:textFill>
        </w:rPr>
        <w:t>氨水</w:t>
      </w:r>
      <w:r>
        <w:rPr>
          <w:color w:val="000000" w:themeColor="text1"/>
          <w14:textFill>
            <w14:solidFill>
              <w14:schemeClr w14:val="tx1"/>
            </w14:solidFill>
          </w14:textFill>
        </w:rPr>
        <w:t>与烟气充分混合后进入催化剂模块，在催化反应区</w:t>
      </w:r>
      <w:r>
        <w:rPr>
          <w:rFonts w:eastAsia="Times New Roman"/>
          <w:color w:val="000000" w:themeColor="text1"/>
          <w:lang w:bidi="en-US"/>
          <w14:textFill>
            <w14:solidFill>
              <w14:schemeClr w14:val="tx1"/>
            </w14:solidFill>
          </w14:textFill>
        </w:rPr>
        <w:t>NH</w:t>
      </w:r>
      <w:r>
        <w:rPr>
          <w:rFonts w:eastAsia="Times New Roman"/>
          <w:color w:val="000000" w:themeColor="text1"/>
          <w:sz w:val="15"/>
          <w:szCs w:val="15"/>
          <w:lang w:bidi="en-US"/>
          <w14:textFill>
            <w14:solidFill>
              <w14:schemeClr w14:val="tx1"/>
            </w14:solidFill>
          </w14:textFill>
        </w:rPr>
        <w:t>3</w:t>
      </w:r>
      <w:r>
        <w:rPr>
          <w:color w:val="000000" w:themeColor="text1"/>
          <w14:textFill>
            <w14:solidFill>
              <w14:schemeClr w14:val="tx1"/>
            </w14:solidFill>
          </w14:textFill>
        </w:rPr>
        <w:t>和</w:t>
      </w:r>
      <w:r>
        <w:rPr>
          <w:rFonts w:eastAsia="Times New Roman"/>
          <w:smallCaps/>
          <w:color w:val="000000" w:themeColor="text1"/>
          <w:lang w:bidi="en-US"/>
          <w14:textFill>
            <w14:solidFill>
              <w14:schemeClr w14:val="tx1"/>
            </w14:solidFill>
          </w14:textFill>
        </w:rPr>
        <w:t>NO</w:t>
      </w:r>
      <w:r>
        <w:rPr>
          <w:rFonts w:eastAsia="Times New Roman"/>
          <w:smallCaps/>
          <w:color w:val="000000" w:themeColor="text1"/>
          <w:sz w:val="19"/>
          <w:szCs w:val="19"/>
          <w:lang w:bidi="en-US"/>
          <w14:textFill>
            <w14:solidFill>
              <w14:schemeClr w14:val="tx1"/>
            </w14:solidFill>
          </w14:textFill>
        </w:rPr>
        <w:t>x</w:t>
      </w:r>
      <w:r>
        <w:rPr>
          <w:color w:val="000000" w:themeColor="text1"/>
          <w14:textFill>
            <w14:solidFill>
              <w14:schemeClr w14:val="tx1"/>
            </w14:solidFill>
          </w14:textFill>
        </w:rPr>
        <w:t>反应生成无害的氮气</w:t>
      </w:r>
      <w:r>
        <w:rPr>
          <w:rFonts w:eastAsia="Times New Roman"/>
          <w:color w:val="000000" w:themeColor="text1"/>
          <w:lang w:bidi="en-US"/>
          <w14:textFill>
            <w14:solidFill>
              <w14:schemeClr w14:val="tx1"/>
            </w14:solidFill>
          </w14:textFill>
        </w:rPr>
        <w:t>(N</w:t>
      </w:r>
      <w:r>
        <w:rPr>
          <w:rFonts w:eastAsia="Times New Roman"/>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w:t>
      </w:r>
      <w:r>
        <w:rPr>
          <w:color w:val="000000" w:themeColor="text1"/>
          <w14:textFill>
            <w14:solidFill>
              <w14:schemeClr w14:val="tx1"/>
            </w14:solidFill>
          </w14:textFill>
        </w:rPr>
        <w:t>和水</w:t>
      </w:r>
      <w:r>
        <w:rPr>
          <w:rFonts w:eastAsia="Times New Roman"/>
          <w:color w:val="000000" w:themeColor="text1"/>
          <w:lang w:bidi="en-US"/>
          <w14:textFill>
            <w14:solidFill>
              <w14:schemeClr w14:val="tx1"/>
            </w14:solidFill>
          </w14:textFill>
        </w:rPr>
        <w:t>(H</w:t>
      </w:r>
      <w:r>
        <w:rPr>
          <w:rFonts w:eastAsia="Times New Roman"/>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O)</w:t>
      </w:r>
      <w:r>
        <w:rPr>
          <w:color w:val="000000" w:themeColor="text1"/>
          <w:lang w:bidi="en-US"/>
          <w14:textFill>
            <w14:solidFill>
              <w14:schemeClr w14:val="tx1"/>
            </w14:solidFill>
          </w14:textFill>
        </w:rPr>
        <w:t>，</w:t>
      </w:r>
      <w:r>
        <w:rPr>
          <w:color w:val="000000" w:themeColor="text1"/>
          <w14:textFill>
            <w14:solidFill>
              <w14:schemeClr w14:val="tx1"/>
            </w14:solidFill>
          </w14:textFill>
        </w:rPr>
        <w:t>最终通过排烟管道达标排放。</w:t>
      </w:r>
    </w:p>
    <w:p w14:paraId="19D6B9B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w:t>
      </w:r>
      <w:r>
        <w:rPr>
          <w:rFonts w:eastAsia="Times New Roman"/>
          <w:color w:val="000000" w:themeColor="text1"/>
          <w:lang w:bidi="en-US"/>
          <w14:textFill>
            <w14:solidFill>
              <w14:schemeClr w14:val="tx1"/>
            </w14:solidFill>
          </w14:textFill>
        </w:rPr>
        <w:t>SNCR+SCR</w:t>
      </w:r>
      <w:r>
        <w:rPr>
          <w:color w:val="000000" w:themeColor="text1"/>
          <w14:textFill>
            <w14:solidFill>
              <w14:schemeClr w14:val="tx1"/>
            </w14:solidFill>
          </w14:textFill>
        </w:rPr>
        <w:t>联合脱硝技术，确保出口烟气中氮氧化物浓度满足《危险废物焚烧污染控制标准》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GB18484-2020</w:t>
      </w:r>
      <w:r>
        <w:rPr>
          <w:color w:val="000000" w:themeColor="text1"/>
          <w:lang w:bidi="en-US"/>
          <w14:textFill>
            <w14:solidFill>
              <w14:schemeClr w14:val="tx1"/>
            </w14:solidFill>
          </w14:textFill>
        </w:rPr>
        <w:t>)</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中标准限值要求。</w:t>
      </w:r>
    </w:p>
    <w:p w14:paraId="5D9F7985">
      <w:pPr>
        <w:pStyle w:val="1293"/>
        <w:keepNext/>
        <w:keepLines/>
        <w:spacing w:line="360" w:lineRule="auto"/>
        <w:ind w:firstLine="482" w:firstLineChars="200"/>
        <w:jc w:val="both"/>
        <w:rPr>
          <w:rFonts w:ascii="Times New Roman" w:hAnsi="Times New Roman" w:cs="Times New Roman"/>
          <w:color w:val="000000" w:themeColor="text1"/>
          <w:sz w:val="24"/>
          <w:szCs w:val="24"/>
          <w14:textFill>
            <w14:solidFill>
              <w14:schemeClr w14:val="tx1"/>
            </w14:solidFill>
          </w14:textFill>
        </w:rPr>
      </w:pPr>
      <w:bookmarkStart w:id="458" w:name="bookmark496"/>
      <w:r>
        <w:rPr>
          <w:rFonts w:ascii="Times New Roman" w:hAnsi="Times New Roman" w:cs="Times New Roman"/>
          <w:color w:val="000000" w:themeColor="text1"/>
          <w:sz w:val="24"/>
          <w:szCs w:val="24"/>
          <w14:textFill>
            <w14:solidFill>
              <w14:schemeClr w14:val="tx1"/>
            </w14:solidFill>
          </w14:textFill>
        </w:rPr>
        <w:t>三、酸性气体治理措施</w:t>
      </w:r>
      <w:bookmarkEnd w:id="458"/>
    </w:p>
    <w:p w14:paraId="4A05CD90">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)废气处理措施比选及工艺原理</w:t>
      </w:r>
    </w:p>
    <w:p w14:paraId="5BABFCE1">
      <w:pPr>
        <w:ind w:firstLine="480"/>
        <w:rPr>
          <w:color w:val="000000" w:themeColor="text1"/>
          <w14:textFill>
            <w14:solidFill>
              <w14:schemeClr w14:val="tx1"/>
            </w14:solidFill>
          </w14:textFill>
        </w:rPr>
      </w:pPr>
      <w:r>
        <w:rPr>
          <w:color w:val="000000" w:themeColor="text1"/>
          <w14:textFill>
            <w14:solidFill>
              <w14:schemeClr w14:val="tx1"/>
            </w14:solidFill>
          </w14:textFill>
        </w:rPr>
        <w:t>烟气中的酸性气体净化工艺按照有无废水的产生分为干法、半干法及湿法三种处理工艺。</w:t>
      </w:r>
    </w:p>
    <w:p w14:paraId="70112F55">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干法脱酸</w:t>
      </w:r>
    </w:p>
    <w:p w14:paraId="5E51C9C9">
      <w:pPr>
        <w:ind w:firstLine="480"/>
        <w:rPr>
          <w:color w:val="000000" w:themeColor="text1"/>
          <w14:textFill>
            <w14:solidFill>
              <w14:schemeClr w14:val="tx1"/>
            </w14:solidFill>
          </w14:textFill>
        </w:rPr>
      </w:pPr>
      <w:r>
        <w:rPr>
          <w:color w:val="000000" w:themeColor="text1"/>
          <w14:textFill>
            <w14:solidFill>
              <w14:schemeClr w14:val="tx1"/>
            </w14:solidFill>
          </w14:textFill>
        </w:rPr>
        <w:t>干法脱酸就是在干性药剂在反应塔内或在进入除尘器之前的烟道内与酸性气体反应。</w:t>
      </w:r>
    </w:p>
    <w:p w14:paraId="02B7123E">
      <w:pPr>
        <w:ind w:firstLine="480"/>
        <w:rPr>
          <w:color w:val="000000" w:themeColor="text1"/>
          <w14:textFill>
            <w14:solidFill>
              <w14:schemeClr w14:val="tx1"/>
            </w14:solidFill>
          </w14:textFill>
        </w:rPr>
      </w:pPr>
      <w:r>
        <w:rPr>
          <w:color w:val="000000" w:themeColor="text1"/>
          <w14:textFill>
            <w14:solidFill>
              <w14:schemeClr w14:val="tx1"/>
            </w14:solidFill>
          </w14:textFill>
        </w:rPr>
        <w:t>干法脱酸大多选用的是消石灰</w:t>
      </w:r>
      <w:r>
        <w:rPr>
          <w:rFonts w:eastAsia="Times New Roman"/>
          <w:color w:val="000000" w:themeColor="text1"/>
          <w:lang w:bidi="en-US"/>
          <w14:textFill>
            <w14:solidFill>
              <w14:schemeClr w14:val="tx1"/>
            </w14:solidFill>
          </w14:textFill>
        </w:rPr>
        <w:t>(Ca(OH</w:t>
      </w:r>
      <w:r>
        <w:rPr>
          <w:color w:val="000000" w:themeColor="text1"/>
          <w:lang w:bidi="en-US"/>
          <w14:textFill>
            <w14:solidFill>
              <w14:schemeClr w14:val="tx1"/>
            </w14:solidFill>
          </w14:textFill>
        </w:rPr>
        <w:t>)</w:t>
      </w:r>
      <w:r>
        <w:rPr>
          <w:rFonts w:eastAsia="Times New Roman"/>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w:t>
      </w:r>
      <w:r>
        <w:rPr>
          <w:color w:val="000000" w:themeColor="text1"/>
          <w14:textFill>
            <w14:solidFill>
              <w14:schemeClr w14:val="tx1"/>
            </w14:solidFill>
          </w14:textFill>
        </w:rPr>
        <w:t>药剂，让酸性气体与</w:t>
      </w:r>
      <w:r>
        <w:rPr>
          <w:rFonts w:eastAsia="Times New Roman"/>
          <w:color w:val="000000" w:themeColor="text1"/>
          <w:lang w:bidi="en-US"/>
          <w14:textFill>
            <w14:solidFill>
              <w14:schemeClr w14:val="tx1"/>
            </w14:solidFill>
          </w14:textFill>
        </w:rPr>
        <w:t>Ca(OH</w:t>
      </w:r>
      <w:r>
        <w:rPr>
          <w:color w:val="000000" w:themeColor="text1"/>
          <w:lang w:bidi="en-US"/>
          <w14:textFill>
            <w14:solidFill>
              <w14:schemeClr w14:val="tx1"/>
            </w14:solidFill>
          </w14:textFill>
        </w:rPr>
        <w:t>)</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微粒表面直接的接触，会发生中和化学反应，产生了无害的中性盐颗粒，之后会经过除尘器，会把烟气中的粉尘、没有参加化学反应的药剂以及盐颗粒一起捕集下来，从而达到脱酸的目的。</w:t>
      </w:r>
    </w:p>
    <w:p w14:paraId="44438F6B">
      <w:pPr>
        <w:ind w:firstLine="480"/>
        <w:rPr>
          <w:color w:val="000000" w:themeColor="text1"/>
          <w14:textFill>
            <w14:solidFill>
              <w14:schemeClr w14:val="tx1"/>
            </w14:solidFill>
          </w14:textFill>
        </w:rPr>
      </w:pPr>
      <w:r>
        <w:rPr>
          <w:color w:val="000000" w:themeColor="text1"/>
          <w14:textFill>
            <w14:solidFill>
              <w14:schemeClr w14:val="tx1"/>
            </w14:solidFill>
          </w14:textFill>
        </w:rPr>
        <w:t>干法脱酸的特点：</w:t>
      </w:r>
    </w:p>
    <w:p w14:paraId="6EE1CCDE">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color w:val="000000" w:themeColor="text1"/>
          <w14:textFill>
            <w14:solidFill>
              <w14:schemeClr w14:val="tx1"/>
            </w14:solidFill>
          </w14:textFill>
        </w:rPr>
        <w:t>工艺流程简单，不需要再配置其它复杂的石灰浆的制备与分配系统，设备的出故障率较低，维护方便。</w:t>
      </w:r>
    </w:p>
    <w:p w14:paraId="677D5F0D">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b</w:t>
      </w:r>
      <w:r>
        <w:rPr>
          <w:color w:val="000000" w:themeColor="text1"/>
          <w:lang w:bidi="en-US"/>
          <w14:textFill>
            <w14:solidFill>
              <w14:schemeClr w14:val="tx1"/>
            </w14:solidFill>
          </w14:textFill>
        </w:rPr>
        <w:t>)</w:t>
      </w:r>
      <w:r>
        <w:rPr>
          <w:color w:val="000000" w:themeColor="text1"/>
          <w14:textFill>
            <w14:solidFill>
              <w14:schemeClr w14:val="tx1"/>
            </w14:solidFill>
          </w14:textFill>
        </w:rPr>
        <w:t>药剂的使用量较大，运行的费用较高。</w:t>
      </w:r>
    </w:p>
    <w:p w14:paraId="4FB4600C">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color w:val="000000" w:themeColor="text1"/>
          <w14:textFill>
            <w14:solidFill>
              <w14:schemeClr w14:val="tx1"/>
            </w14:solidFill>
          </w14:textFill>
        </w:rPr>
        <w:t>脱酸效率相对湿法和半干法低些。</w:t>
      </w:r>
    </w:p>
    <w:p w14:paraId="55D57C88">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半干法脱酸</w:t>
      </w:r>
    </w:p>
    <w:p w14:paraId="7A1754E1">
      <w:pPr>
        <w:ind w:firstLine="480"/>
        <w:rPr>
          <w:color w:val="000000" w:themeColor="text1"/>
          <w14:textFill>
            <w14:solidFill>
              <w14:schemeClr w14:val="tx1"/>
            </w14:solidFill>
          </w14:textFill>
        </w:rPr>
      </w:pPr>
      <w:r>
        <w:rPr>
          <w:color w:val="000000" w:themeColor="text1"/>
          <w14:textFill>
            <w14:solidFill>
              <w14:schemeClr w14:val="tx1"/>
            </w14:solidFill>
          </w14:textFill>
        </w:rPr>
        <w:t>半干法脱酸时一般采用氢氧化钙</w:t>
      </w:r>
      <w:r>
        <w:rPr>
          <w:rFonts w:eastAsia="Times New Roman"/>
          <w:color w:val="000000" w:themeColor="text1"/>
          <w:lang w:bidi="en-US"/>
          <w14:textFill>
            <w14:solidFill>
              <w14:schemeClr w14:val="tx1"/>
            </w14:solidFill>
          </w14:textFill>
        </w:rPr>
        <w:t>(Ca(OH)</w:t>
      </w:r>
      <w:r>
        <w:rPr>
          <w:rFonts w:eastAsia="Times New Roman"/>
          <w:color w:val="000000" w:themeColor="text1"/>
          <w:sz w:val="15"/>
          <w:szCs w:val="15"/>
          <w:lang w:bidi="en-US"/>
          <w14:textFill>
            <w14:solidFill>
              <w14:schemeClr w14:val="tx1"/>
            </w14:solidFill>
          </w14:textFill>
        </w:rPr>
        <w:t>2</w:t>
      </w:r>
      <w:r>
        <w:rPr>
          <w:rFonts w:eastAsia="Times New Roman"/>
          <w:color w:val="000000" w:themeColor="text1"/>
          <w:lang w:bidi="en-US"/>
          <w14:textFill>
            <w14:solidFill>
              <w14:schemeClr w14:val="tx1"/>
            </w14:solidFill>
          </w14:textFill>
        </w:rPr>
        <w:t>)</w:t>
      </w:r>
      <w:r>
        <w:rPr>
          <w:color w:val="000000" w:themeColor="text1"/>
          <w14:textFill>
            <w14:solidFill>
              <w14:schemeClr w14:val="tx1"/>
            </w14:solidFill>
          </w14:textFill>
        </w:rPr>
        <w:t>或氧化钙</w:t>
      </w:r>
      <w:r>
        <w:rPr>
          <w:rFonts w:eastAsia="Times New Roman"/>
          <w:color w:val="000000" w:themeColor="text1"/>
          <w:lang w:bidi="en-US"/>
          <w14:textFill>
            <w14:solidFill>
              <w14:schemeClr w14:val="tx1"/>
            </w14:solidFill>
          </w14:textFill>
        </w:rPr>
        <w:t>(CaO)</w:t>
      </w:r>
      <w:r>
        <w:rPr>
          <w:color w:val="000000" w:themeColor="text1"/>
          <w14:textFill>
            <w14:solidFill>
              <w14:schemeClr w14:val="tx1"/>
            </w14:solidFill>
          </w14:textFill>
        </w:rPr>
        <w:t>为药剂，制备成</w:t>
      </w:r>
      <w:r>
        <w:rPr>
          <w:rFonts w:eastAsia="Times New Roman"/>
          <w:color w:val="000000" w:themeColor="text1"/>
          <w:lang w:bidi="en-US"/>
          <w14:textFill>
            <w14:solidFill>
              <w14:schemeClr w14:val="tx1"/>
            </w14:solidFill>
          </w14:textFill>
        </w:rPr>
        <w:t>Ca(OH)</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浆液，在废气净化的流程工艺中一般放在除尘设备的前面，因为注入的石灰浆会在反应塔里形成大量的颗粒物，必须用除尘器来去除。由喷嘴或旋转喷雾器将</w:t>
      </w:r>
      <w:r>
        <w:rPr>
          <w:rFonts w:eastAsia="Times New Roman"/>
          <w:color w:val="000000" w:themeColor="text1"/>
          <w:lang w:bidi="en-US"/>
          <w14:textFill>
            <w14:solidFill>
              <w14:schemeClr w14:val="tx1"/>
            </w14:solidFill>
          </w14:textFill>
        </w:rPr>
        <w:t>Ca(OH)</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浆液喷到反应器中，形成的粒径非常小的液滴。又由于水分挥发后会使废气的温度降低并提高废气的湿度，使酸性气体与石灰浆中和反应为盐颗粒，掉落到底部。</w:t>
      </w:r>
    </w:p>
    <w:p w14:paraId="6C203605">
      <w:pPr>
        <w:ind w:firstLine="480"/>
        <w:rPr>
          <w:color w:val="000000" w:themeColor="text1"/>
          <w14:textFill>
            <w14:solidFill>
              <w14:schemeClr w14:val="tx1"/>
            </w14:solidFill>
          </w14:textFill>
        </w:rPr>
      </w:pPr>
      <w:r>
        <w:rPr>
          <w:color w:val="000000" w:themeColor="text1"/>
          <w14:textFill>
            <w14:solidFill>
              <w14:schemeClr w14:val="tx1"/>
            </w14:solidFill>
          </w14:textFill>
        </w:rPr>
        <w:t>在半干法中没有反应完全的石灰，会随着烟气进入下一阶段的除尘器，假若这个除尘设备是袋式除尘器，那么，没有反应的部分石灰会附在滤袋上，并会与通过滤袋的酸性气体发生进一步的反应，会提高脱酸效率，也会提高石灰浆的利用率。</w:t>
      </w:r>
    </w:p>
    <w:p w14:paraId="2AC54871">
      <w:pPr>
        <w:ind w:firstLine="480"/>
        <w:rPr>
          <w:color w:val="000000" w:themeColor="text1"/>
          <w14:textFill>
            <w14:solidFill>
              <w14:schemeClr w14:val="tx1"/>
            </w14:solidFill>
          </w14:textFill>
        </w:rPr>
      </w:pPr>
      <w:r>
        <w:rPr>
          <w:color w:val="000000" w:themeColor="text1"/>
          <w14:textFill>
            <w14:solidFill>
              <w14:schemeClr w14:val="tx1"/>
            </w14:solidFill>
          </w14:textFill>
        </w:rPr>
        <w:t>半干法脱酸的特点：</w:t>
      </w:r>
    </w:p>
    <w:p w14:paraId="6D78DCCE">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color w:val="000000" w:themeColor="text1"/>
          <w14:textFill>
            <w14:solidFill>
              <w14:schemeClr w14:val="tx1"/>
            </w14:solidFill>
          </w14:textFill>
        </w:rPr>
        <w:t>半干法反应塔的脱酸效率较高，</w:t>
      </w:r>
      <w:r>
        <w:rPr>
          <w:rFonts w:eastAsia="Times New Roman"/>
          <w:color w:val="000000" w:themeColor="text1"/>
          <w:lang w:bidi="en-US"/>
          <w14:textFill>
            <w14:solidFill>
              <w14:schemeClr w14:val="tx1"/>
            </w14:solidFill>
          </w14:textFill>
        </w:rPr>
        <w:t>HCl</w:t>
      </w:r>
      <w:r>
        <w:rPr>
          <w:color w:val="000000" w:themeColor="text1"/>
          <w14:textFill>
            <w14:solidFill>
              <w14:schemeClr w14:val="tx1"/>
            </w14:solidFill>
          </w14:textFill>
        </w:rPr>
        <w:t>去除率可以超过</w:t>
      </w:r>
      <w:r>
        <w:rPr>
          <w:rFonts w:eastAsia="Times New Roman"/>
          <w:color w:val="000000" w:themeColor="text1"/>
          <w14:textFill>
            <w14:solidFill>
              <w14:schemeClr w14:val="tx1"/>
            </w14:solidFill>
          </w14:textFill>
        </w:rPr>
        <w:t>90%</w:t>
      </w:r>
      <w:r>
        <w:rPr>
          <w:color w:val="000000" w:themeColor="text1"/>
          <w14:textFill>
            <w14:solidFill>
              <w14:schemeClr w14:val="tx1"/>
            </w14:solidFill>
          </w14:textFill>
        </w:rPr>
        <w:t>，此外，对一般的有机污染物与重金属的去除率也很好，若在后面的除尘器是袋式除尘器，那么重金属的去除效率可以到达</w:t>
      </w:r>
      <w:r>
        <w:rPr>
          <w:rFonts w:eastAsia="Times New Roman"/>
          <w:color w:val="000000" w:themeColor="text1"/>
          <w14:textFill>
            <w14:solidFill>
              <w14:schemeClr w14:val="tx1"/>
            </w14:solidFill>
          </w14:textFill>
        </w:rPr>
        <w:t>99%</w:t>
      </w:r>
      <w:r>
        <w:rPr>
          <w:color w:val="000000" w:themeColor="text1"/>
          <w14:textFill>
            <w14:solidFill>
              <w14:schemeClr w14:val="tx1"/>
            </w14:solidFill>
          </w14:textFill>
        </w:rPr>
        <w:t>以上。</w:t>
      </w:r>
    </w:p>
    <w:p w14:paraId="50BBCF29">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b</w:t>
      </w:r>
      <w:r>
        <w:rPr>
          <w:color w:val="000000" w:themeColor="text1"/>
          <w:lang w:bidi="en-US"/>
          <w14:textFill>
            <w14:solidFill>
              <w14:schemeClr w14:val="tx1"/>
            </w14:solidFill>
          </w14:textFill>
        </w:rPr>
        <w:t>）</w:t>
      </w:r>
      <w:r>
        <w:rPr>
          <w:color w:val="000000" w:themeColor="text1"/>
          <w14:textFill>
            <w14:solidFill>
              <w14:schemeClr w14:val="tx1"/>
            </w14:solidFill>
          </w14:textFill>
        </w:rPr>
        <w:t>没有废水的排放，耗水量比湿法脱酸塔的少。</w:t>
      </w:r>
    </w:p>
    <w:p w14:paraId="50072957">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color w:val="000000" w:themeColor="text1"/>
          <w14:textFill>
            <w14:solidFill>
              <w14:schemeClr w14:val="tx1"/>
            </w14:solidFill>
          </w14:textFill>
        </w:rPr>
        <w:t>工艺简单，投资和运行的费用相对比较低。</w:t>
      </w:r>
    </w:p>
    <w:p w14:paraId="3DC9D974">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d</w:t>
      </w:r>
      <w:r>
        <w:rPr>
          <w:color w:val="000000" w:themeColor="text1"/>
          <w:lang w:bidi="en-US"/>
          <w14:textFill>
            <w14:solidFill>
              <w14:schemeClr w14:val="tx1"/>
            </w14:solidFill>
          </w14:textFill>
        </w:rPr>
        <w:t>）</w:t>
      </w:r>
      <w:r>
        <w:rPr>
          <w:color w:val="000000" w:themeColor="text1"/>
          <w14:textFill>
            <w14:solidFill>
              <w14:schemeClr w14:val="tx1"/>
            </w14:solidFill>
          </w14:textFill>
        </w:rPr>
        <w:t>石灰浆的制备系统比较复杂。</w:t>
      </w:r>
    </w:p>
    <w:p w14:paraId="03A811BC">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湿法脱酸</w:t>
      </w:r>
    </w:p>
    <w:p w14:paraId="61BCFD8F">
      <w:pPr>
        <w:ind w:firstLine="480"/>
        <w:rPr>
          <w:color w:val="000000" w:themeColor="text1"/>
          <w14:textFill>
            <w14:solidFill>
              <w14:schemeClr w14:val="tx1"/>
            </w14:solidFill>
          </w14:textFill>
        </w:rPr>
      </w:pPr>
      <w:r>
        <w:rPr>
          <w:color w:val="000000" w:themeColor="text1"/>
          <w14:textFill>
            <w14:solidFill>
              <w14:schemeClr w14:val="tx1"/>
            </w14:solidFill>
          </w14:textFill>
        </w:rPr>
        <w:t>湿法脱酸选用的是与洗涤塔类似的形式，当废气进入洗涤塔后，会通过酸性气体与碱性浆液的充分接触，从而会得到很好的脱酸效果。湿法脱酸塔一般使用</w:t>
      </w:r>
      <w:r>
        <w:rPr>
          <w:rFonts w:eastAsia="Times New Roman"/>
          <w:color w:val="000000" w:themeColor="text1"/>
          <w:lang w:bidi="en-US"/>
          <w14:textFill>
            <w14:solidFill>
              <w14:schemeClr w14:val="tx1"/>
            </w14:solidFill>
          </w14:textFill>
        </w:rPr>
        <w:t>NaOH</w:t>
      </w:r>
      <w:r>
        <w:rPr>
          <w:color w:val="000000" w:themeColor="text1"/>
          <w14:textFill>
            <w14:solidFill>
              <w14:schemeClr w14:val="tx1"/>
            </w14:solidFill>
          </w14:textFill>
        </w:rPr>
        <w:t>碱浆，很少使用石灰</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Ca</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OH</w:t>
      </w:r>
      <w:r>
        <w:rPr>
          <w:color w:val="000000" w:themeColor="text1"/>
          <w:lang w:bidi="en-US"/>
          <w14:textFill>
            <w14:solidFill>
              <w14:schemeClr w14:val="tx1"/>
            </w14:solidFill>
          </w14:textFill>
        </w:rPr>
        <w:t>）</w:t>
      </w:r>
      <w:r>
        <w:rPr>
          <w:rFonts w:eastAsia="Times New Roman"/>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w:t>
      </w:r>
      <w:r>
        <w:rPr>
          <w:color w:val="000000" w:themeColor="text1"/>
          <w14:textFill>
            <w14:solidFill>
              <w14:schemeClr w14:val="tx1"/>
            </w14:solidFill>
          </w14:textFill>
        </w:rPr>
        <w:t>浆液，为了避免结垢。烟气（废气）进入碱洗塔，酸性气体被洗涤吸收并被氢氧化钠溶液中和。氢氧化钠溶液的加入量由</w:t>
      </w:r>
      <w:r>
        <w:rPr>
          <w:rFonts w:eastAsia="Times New Roman"/>
          <w:color w:val="000000" w:themeColor="text1"/>
          <w:lang w:bidi="en-US"/>
          <w14:textFill>
            <w14:solidFill>
              <w14:schemeClr w14:val="tx1"/>
            </w14:solidFill>
          </w14:textFill>
        </w:rPr>
        <w:t>pH</w:t>
      </w:r>
      <w:r>
        <w:rPr>
          <w:color w:val="000000" w:themeColor="text1"/>
          <w14:textFill>
            <w14:solidFill>
              <w14:schemeClr w14:val="tx1"/>
            </w14:solidFill>
          </w14:textFill>
        </w:rPr>
        <w:t>值控制。中和反应生成的可溶性盐浓度控制在</w:t>
      </w:r>
      <w:r>
        <w:rPr>
          <w:rFonts w:eastAsia="Times New Roman"/>
          <w:color w:val="000000" w:themeColor="text1"/>
          <w14:textFill>
            <w14:solidFill>
              <w14:schemeClr w14:val="tx1"/>
            </w14:solidFill>
          </w14:textFill>
        </w:rPr>
        <w:t>12%</w:t>
      </w:r>
      <w:r>
        <w:rPr>
          <w:color w:val="000000" w:themeColor="text1"/>
          <w14:textFill>
            <w14:solidFill>
              <w14:schemeClr w14:val="tx1"/>
            </w14:solidFill>
          </w14:textFill>
        </w:rPr>
        <w:t>。盐的浓度由电导率仪控制。当到达设定值时，将排废水至废水处理单元。</w:t>
      </w:r>
    </w:p>
    <w:p w14:paraId="2A5853DB">
      <w:pPr>
        <w:ind w:firstLine="480"/>
        <w:rPr>
          <w:color w:val="000000" w:themeColor="text1"/>
          <w14:textFill>
            <w14:solidFill>
              <w14:schemeClr w14:val="tx1"/>
            </w14:solidFill>
          </w14:textFill>
        </w:rPr>
      </w:pPr>
      <w:r>
        <w:rPr>
          <w:color w:val="000000" w:themeColor="text1"/>
          <w14:textFill>
            <w14:solidFill>
              <w14:schemeClr w14:val="tx1"/>
            </w14:solidFill>
          </w14:textFill>
        </w:rPr>
        <w:t>湿法脱酸的特点：</w:t>
      </w:r>
    </w:p>
    <w:p w14:paraId="1995CA88">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a</w:t>
      </w:r>
      <w:r>
        <w:rPr>
          <w:color w:val="000000" w:themeColor="text1"/>
          <w:lang w:bidi="en-US"/>
          <w14:textFill>
            <w14:solidFill>
              <w14:schemeClr w14:val="tx1"/>
            </w14:solidFill>
          </w14:textFill>
        </w:rPr>
        <w:t>）</w:t>
      </w:r>
      <w:r>
        <w:rPr>
          <w:color w:val="000000" w:themeColor="text1"/>
          <w14:textFill>
            <w14:solidFill>
              <w14:schemeClr w14:val="tx1"/>
            </w14:solidFill>
          </w14:textFill>
        </w:rPr>
        <w:t>工艺复杂，配套的设备比较多。</w:t>
      </w:r>
    </w:p>
    <w:p w14:paraId="2287924F">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b</w:t>
      </w:r>
      <w:r>
        <w:rPr>
          <w:color w:val="000000" w:themeColor="text1"/>
          <w:lang w:bidi="en-US"/>
          <w14:textFill>
            <w14:solidFill>
              <w14:schemeClr w14:val="tx1"/>
            </w14:solidFill>
          </w14:textFill>
        </w:rPr>
        <w:t>）</w:t>
      </w:r>
      <w:r>
        <w:rPr>
          <w:color w:val="000000" w:themeColor="text1"/>
          <w14:textFill>
            <w14:solidFill>
              <w14:schemeClr w14:val="tx1"/>
            </w14:solidFill>
          </w14:textFill>
        </w:rPr>
        <w:t>净化效率比较高，对</w:t>
      </w:r>
      <w:r>
        <w:rPr>
          <w:rFonts w:eastAsia="Times New Roman"/>
          <w:color w:val="000000" w:themeColor="text1"/>
          <w:lang w:bidi="en-US"/>
          <w14:textFill>
            <w14:solidFill>
              <w14:schemeClr w14:val="tx1"/>
            </w14:solidFill>
          </w14:textFill>
        </w:rPr>
        <w:t>HCl</w:t>
      </w:r>
      <w:r>
        <w:rPr>
          <w:color w:val="000000" w:themeColor="text1"/>
          <w14:textFill>
            <w14:solidFill>
              <w14:schemeClr w14:val="tx1"/>
            </w14:solidFill>
          </w14:textFill>
        </w:rPr>
        <w:t>的脱除效率可以超过</w:t>
      </w:r>
      <w:r>
        <w:rPr>
          <w:rFonts w:eastAsia="Times New Roman"/>
          <w:color w:val="000000" w:themeColor="text1"/>
          <w14:textFill>
            <w14:solidFill>
              <w14:schemeClr w14:val="tx1"/>
            </w14:solidFill>
          </w14:textFill>
        </w:rPr>
        <w:t>9</w:t>
      </w:r>
      <w:r>
        <w:rPr>
          <w:rFonts w:hint="eastAsia" w:eastAsiaTheme="minorEastAsia"/>
          <w:color w:val="000000" w:themeColor="text1"/>
          <w14:textFill>
            <w14:solidFill>
              <w14:schemeClr w14:val="tx1"/>
            </w14:solidFill>
          </w14:textFill>
        </w:rPr>
        <w:t>9</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，对</w:t>
      </w:r>
      <w:r>
        <w:rPr>
          <w:rFonts w:eastAsia="Times New Roman"/>
          <w:color w:val="000000" w:themeColor="text1"/>
          <w:lang w:bidi="en-US"/>
          <w14:textFill>
            <w14:solidFill>
              <w14:schemeClr w14:val="tx1"/>
            </w14:solidFill>
          </w14:textFill>
        </w:rPr>
        <w:t>SO</w:t>
      </w:r>
      <w:r>
        <w:rPr>
          <w:rFonts w:eastAsia="Times New Roman"/>
          <w:color w:val="000000" w:themeColor="text1"/>
          <w:sz w:val="15"/>
          <w:szCs w:val="15"/>
          <w:lang w:bidi="en-US"/>
          <w14:textFill>
            <w14:solidFill>
              <w14:schemeClr w14:val="tx1"/>
            </w14:solidFill>
          </w14:textFill>
        </w:rPr>
        <w:t>2</w:t>
      </w:r>
      <w:r>
        <w:rPr>
          <w:color w:val="000000" w:themeColor="text1"/>
          <w14:textFill>
            <w14:solidFill>
              <w14:schemeClr w14:val="tx1"/>
            </w14:solidFill>
          </w14:textFill>
        </w:rPr>
        <w:t>的脱除也可超过</w:t>
      </w:r>
      <w:r>
        <w:rPr>
          <w:rFonts w:eastAsia="Times New Roman"/>
          <w:color w:val="000000" w:themeColor="text1"/>
          <w14:textFill>
            <w14:solidFill>
              <w14:schemeClr w14:val="tx1"/>
            </w14:solidFill>
          </w14:textFill>
        </w:rPr>
        <w:t>9</w:t>
      </w:r>
      <w:r>
        <w:rPr>
          <w:rFonts w:hint="eastAsia" w:eastAsiaTheme="minorEastAsia"/>
          <w:color w:val="000000" w:themeColor="text1"/>
          <w14:textFill>
            <w14:solidFill>
              <w14:schemeClr w14:val="tx1"/>
            </w14:solidFill>
          </w14:textFill>
        </w:rPr>
        <w:t>9</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w:t>
      </w:r>
    </w:p>
    <w:p w14:paraId="46049E71">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c</w:t>
      </w:r>
      <w:r>
        <w:rPr>
          <w:color w:val="000000" w:themeColor="text1"/>
          <w:lang w:bidi="en-US"/>
          <w14:textFill>
            <w14:solidFill>
              <w14:schemeClr w14:val="tx1"/>
            </w14:solidFill>
          </w14:textFill>
        </w:rPr>
        <w:t>）</w:t>
      </w:r>
      <w:r>
        <w:rPr>
          <w:color w:val="000000" w:themeColor="text1"/>
          <w14:textFill>
            <w14:solidFill>
              <w14:schemeClr w14:val="tx1"/>
            </w14:solidFill>
          </w14:textFill>
        </w:rPr>
        <w:t>产生包含有高浓度的无机氯盐和重金属的废水，需要经处理后才可以排放。</w:t>
      </w:r>
    </w:p>
    <w:p w14:paraId="3A3F224D">
      <w:pPr>
        <w:ind w:firstLine="480"/>
        <w:rPr>
          <w:color w:val="000000" w:themeColor="text1"/>
          <w14:textFill>
            <w14:solidFill>
              <w14:schemeClr w14:val="tx1"/>
            </w14:solidFill>
          </w14:textFill>
        </w:rPr>
      </w:pPr>
      <w:r>
        <w:rPr>
          <w:rFonts w:eastAsia="Times New Roman"/>
          <w:color w:val="000000" w:themeColor="text1"/>
          <w:lang w:bidi="en-US"/>
          <w14:textFill>
            <w14:solidFill>
              <w14:schemeClr w14:val="tx1"/>
            </w14:solidFill>
          </w14:textFill>
        </w:rPr>
        <w:t>d</w:t>
      </w:r>
      <w:r>
        <w:rPr>
          <w:color w:val="000000" w:themeColor="text1"/>
          <w:lang w:bidi="en-US"/>
          <w14:textFill>
            <w14:solidFill>
              <w14:schemeClr w14:val="tx1"/>
            </w14:solidFill>
          </w14:textFill>
        </w:rPr>
        <w:t>）</w:t>
      </w:r>
      <w:r>
        <w:rPr>
          <w:color w:val="000000" w:themeColor="text1"/>
          <w14:textFill>
            <w14:solidFill>
              <w14:schemeClr w14:val="tx1"/>
            </w14:solidFill>
          </w14:textFill>
        </w:rPr>
        <w:t>处理完的废气因为温度降低到露点以下，所有需要再加热，为了防止烟囱在出口处形成白烟的现象，造成不良的景观。</w:t>
      </w:r>
    </w:p>
    <w:p w14:paraId="2313C83B">
      <w:pPr>
        <w:ind w:firstLine="480"/>
        <w:rPr>
          <w:color w:val="000000" w:themeColor="text1"/>
          <w14:textFill>
            <w14:solidFill>
              <w14:schemeClr w14:val="tx1"/>
            </w14:solidFill>
          </w14:textFill>
        </w:rPr>
      </w:pPr>
      <w:r>
        <w:rPr>
          <w:color w:val="000000" w:themeColor="text1"/>
          <w14:textFill>
            <w14:solidFill>
              <w14:schemeClr w14:val="tx1"/>
            </w14:solidFill>
          </w14:textFill>
        </w:rPr>
        <w:t>根据本项目烟气酸性气体含量和排放指标等情况综合考虑，本项目热化学处理烟气采用</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二级碱液喷淋+水喷淋</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脱酸系统。</w:t>
      </w:r>
    </w:p>
    <w:p w14:paraId="78EDD9A3">
      <w:pPr>
        <w:ind w:firstLine="480"/>
        <w:rPr>
          <w:color w:val="000000" w:themeColor="text1"/>
          <w14:textFill>
            <w14:solidFill>
              <w14:schemeClr w14:val="tx1"/>
            </w14:solidFill>
          </w14:textFill>
        </w:rPr>
      </w:pPr>
      <w:r>
        <w:rPr>
          <w:color w:val="000000" w:themeColor="text1"/>
          <w14:textFill>
            <w14:solidFill>
              <w14:schemeClr w14:val="tx1"/>
            </w14:solidFill>
          </w14:textFill>
        </w:rPr>
        <w:t>经处理后，热化学处理烟气中</w:t>
      </w:r>
      <w:r>
        <w:rPr>
          <w:rFonts w:eastAsia="Times New Roman"/>
          <w:color w:val="000000" w:themeColor="text1"/>
          <w:lang w:bidi="en-US"/>
          <w14:textFill>
            <w14:solidFill>
              <w14:schemeClr w14:val="tx1"/>
            </w14:solidFill>
          </w14:textFill>
        </w:rPr>
        <w:t>SO</w:t>
      </w:r>
      <w:r>
        <w:rPr>
          <w:rFonts w:eastAsia="Times New Roman"/>
          <w:color w:val="000000" w:themeColor="text1"/>
          <w:sz w:val="15"/>
          <w:szCs w:val="15"/>
          <w:lang w:bidi="en-US"/>
          <w14:textFill>
            <w14:solidFill>
              <w14:schemeClr w14:val="tx1"/>
            </w14:solidFill>
          </w14:textFill>
        </w:rPr>
        <w:t>2</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HCl</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HF</w:t>
      </w:r>
      <w:r>
        <w:rPr>
          <w:color w:val="000000" w:themeColor="text1"/>
          <w:lang w:bidi="en-US"/>
          <w14:textFill>
            <w14:solidFill>
              <w14:schemeClr w14:val="tx1"/>
            </w14:solidFill>
          </w14:textFill>
        </w:rPr>
        <w:t>等酸性废气</w:t>
      </w:r>
      <w:r>
        <w:rPr>
          <w:color w:val="000000" w:themeColor="text1"/>
          <w14:textFill>
            <w14:solidFill>
              <w14:schemeClr w14:val="tx1"/>
            </w14:solidFill>
          </w14:textFill>
        </w:rPr>
        <w:t>可满足《危险废物焚烧污染控制标准》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GB18484-2020</w:t>
      </w:r>
      <w:r>
        <w:rPr>
          <w:color w:val="000000" w:themeColor="text1"/>
          <w:lang w:bidi="en-US"/>
          <w14:textFill>
            <w14:solidFill>
              <w14:schemeClr w14:val="tx1"/>
            </w14:solidFill>
          </w14:textFill>
        </w:rPr>
        <w:t>）</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中标准限值要求，其他废气可满足《大气污染物综合排放标准》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GB16297-1996</w:t>
      </w:r>
      <w:r>
        <w:rPr>
          <w:color w:val="000000" w:themeColor="text1"/>
          <w:lang w:bidi="en-US"/>
          <w14:textFill>
            <w14:solidFill>
              <w14:schemeClr w14:val="tx1"/>
            </w14:solidFill>
          </w14:textFill>
        </w:rPr>
        <w:t>）</w:t>
      </w:r>
      <w:r>
        <w:rPr>
          <w:color w:val="000000" w:themeColor="text1"/>
          <w14:textFill>
            <w14:solidFill>
              <w14:schemeClr w14:val="tx1"/>
            </w14:solidFill>
          </w14:textFill>
        </w:rPr>
        <w:t>中表</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标准要求。</w:t>
      </w:r>
    </w:p>
    <w:p w14:paraId="57C33F45">
      <w:pPr>
        <w:pStyle w:val="1293"/>
        <w:keepNext/>
        <w:keepLines/>
        <w:spacing w:line="360" w:lineRule="auto"/>
        <w:ind w:firstLine="482" w:firstLineChars="200"/>
        <w:jc w:val="both"/>
        <w:rPr>
          <w:rFonts w:ascii="Times New Roman" w:hAnsi="Times New Roman" w:cs="Times New Roman"/>
          <w:color w:val="000000" w:themeColor="text1"/>
          <w:sz w:val="24"/>
          <w:szCs w:val="24"/>
          <w14:textFill>
            <w14:solidFill>
              <w14:schemeClr w14:val="tx1"/>
            </w14:solidFill>
          </w14:textFill>
        </w:rPr>
      </w:pPr>
      <w:bookmarkStart w:id="459" w:name="bookmark498"/>
      <w:r>
        <w:rPr>
          <w:rFonts w:ascii="Times New Roman" w:hAnsi="Times New Roman" w:cs="Times New Roman"/>
          <w:color w:val="000000" w:themeColor="text1"/>
          <w:sz w:val="24"/>
          <w:szCs w:val="24"/>
          <w14:textFill>
            <w14:solidFill>
              <w14:schemeClr w14:val="tx1"/>
            </w14:solidFill>
          </w14:textFill>
        </w:rPr>
        <w:t>四、二噁英治理措施</w:t>
      </w:r>
      <w:bookmarkEnd w:id="459"/>
    </w:p>
    <w:p w14:paraId="785F1A0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本项目二噁英控制措施主要从源头防控、过程控制及末端治理措施三方面入手，具体分析如下：</w:t>
      </w:r>
    </w:p>
    <w:p w14:paraId="73773258">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）源头防控措施</w:t>
      </w:r>
    </w:p>
    <w:p w14:paraId="3ED36111">
      <w:pPr>
        <w:ind w:firstLine="480"/>
        <w:rPr>
          <w:color w:val="000000" w:themeColor="text1"/>
          <w14:textFill>
            <w14:solidFill>
              <w14:schemeClr w14:val="tx1"/>
            </w14:solidFill>
          </w14:textFill>
        </w:rPr>
      </w:pPr>
      <w:r>
        <w:rPr>
          <w:color w:val="000000" w:themeColor="text1"/>
          <w14:textFill>
            <w14:solidFill>
              <w14:schemeClr w14:val="tx1"/>
            </w14:solidFill>
          </w14:textFill>
        </w:rPr>
        <w:t>采用三级配伍方式，保证进入热化学处理器的物料的水分、热值、有机污染物含量、非工艺元素</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NPE</w:t>
      </w:r>
      <w:r>
        <w:rPr>
          <w:color w:val="000000" w:themeColor="text1"/>
          <w:lang w:bidi="en-US"/>
          <w14:textFill>
            <w14:solidFill>
              <w14:schemeClr w14:val="tx1"/>
            </w14:solidFill>
          </w14:textFill>
        </w:rPr>
        <w:t>，</w:t>
      </w:r>
      <w:r>
        <w:rPr>
          <w:color w:val="000000" w:themeColor="text1"/>
          <w14:textFill>
            <w14:solidFill>
              <w14:schemeClr w14:val="tx1"/>
            </w14:solidFill>
          </w14:textFill>
        </w:rPr>
        <w:t>包括</w:t>
      </w:r>
      <w:r>
        <w:rPr>
          <w:rFonts w:eastAsia="Times New Roman"/>
          <w:color w:val="000000" w:themeColor="text1"/>
          <w:lang w:bidi="en-US"/>
          <w14:textFill>
            <w14:solidFill>
              <w14:schemeClr w14:val="tx1"/>
            </w14:solidFill>
          </w14:textFill>
        </w:rPr>
        <w:t>S</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Cl</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F</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P</w:t>
      </w:r>
      <w:r>
        <w:rPr>
          <w:color w:val="000000" w:themeColor="text1"/>
          <w14:textFill>
            <w14:solidFill>
              <w14:schemeClr w14:val="tx1"/>
            </w14:solidFill>
          </w14:textFill>
        </w:rPr>
        <w:t>等污染元素）、重金属含量、灰熔点等理化性质不会出现很大的波动，对运行稳定行和污染排放形成大的冲击。</w:t>
      </w:r>
    </w:p>
    <w:p w14:paraId="4E3F8FD5">
      <w:pPr>
        <w:ind w:firstLine="480"/>
        <w:rPr>
          <w:color w:val="000000" w:themeColor="text1"/>
          <w14:textFill>
            <w14:solidFill>
              <w14:schemeClr w14:val="tx1"/>
            </w14:solidFill>
          </w14:textFill>
        </w:rPr>
      </w:pPr>
      <w:r>
        <w:rPr>
          <w:color w:val="000000" w:themeColor="text1"/>
          <w14:textFill>
            <w14:solidFill>
              <w14:schemeClr w14:val="tx1"/>
            </w14:solidFill>
          </w14:textFill>
        </w:rPr>
        <w:t>当入炉指标如有</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项指标超出限值，应告知运行班组采取相应措施确保产品质量和污染排放控制达标；如有</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项以上（含）指标超出限值，应重新优化配伍，重新取样检测，直到达入炉标准。</w:t>
      </w:r>
    </w:p>
    <w:p w14:paraId="777DC33B">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）过程控制措施</w:t>
      </w:r>
    </w:p>
    <w:p w14:paraId="1677B184">
      <w:pPr>
        <w:ind w:firstLine="480"/>
        <w:rPr>
          <w:color w:val="000000" w:themeColor="text1"/>
          <w14:textFill>
            <w14:solidFill>
              <w14:schemeClr w14:val="tx1"/>
            </w14:solidFill>
          </w14:textFill>
        </w:rPr>
      </w:pPr>
      <w:r>
        <w:rPr>
          <w:color w:val="000000" w:themeColor="text1"/>
          <w14:textFill>
            <w14:solidFill>
              <w14:schemeClr w14:val="tx1"/>
            </w14:solidFill>
          </w14:textFill>
        </w:rPr>
        <w:t>对二噁英生成机理进行解耦，实现源头减排。二噁英的合成条件及阻断如下。</w:t>
      </w:r>
    </w:p>
    <w:p w14:paraId="1EE224AE">
      <w:pPr>
        <w:ind w:firstLine="480"/>
        <w:rPr>
          <w:color w:val="000000" w:themeColor="text1"/>
          <w14:textFill>
            <w14:solidFill>
              <w14:schemeClr w14:val="tx1"/>
            </w14:solidFill>
          </w14:textFill>
        </w:rPr>
      </w:pPr>
      <w:r>
        <w:rPr>
          <w:color w:val="000000" w:themeColor="text1"/>
          <w14:textFill>
            <w14:solidFill>
              <w14:schemeClr w14:val="tx1"/>
            </w14:solidFill>
          </w14:textFill>
        </w:rPr>
        <w:t>在第一区，颗粒状废盐给入反应器后，迅速分散并借助炉内的强烈混合和传热条件，在还原性气氛下将给料在</w:t>
      </w:r>
      <w:r>
        <w:rPr>
          <w:rFonts w:eastAsia="Times New Roman"/>
          <w:color w:val="000000" w:themeColor="text1"/>
          <w14:textFill>
            <w14:solidFill>
              <w14:schemeClr w14:val="tx1"/>
            </w14:solidFill>
          </w14:textFill>
        </w:rPr>
        <w:t>10</w:t>
      </w:r>
      <w:r>
        <w:rPr>
          <w:color w:val="000000" w:themeColor="text1"/>
          <w14:textFill>
            <w14:solidFill>
              <w14:schemeClr w14:val="tx1"/>
            </w14:solidFill>
          </w14:textFill>
        </w:rPr>
        <w:t>秒内从常温加热至</w:t>
      </w:r>
      <w:r>
        <w:rPr>
          <w:rFonts w:eastAsia="Times New Roman"/>
          <w:color w:val="000000" w:themeColor="text1"/>
          <w14:textFill>
            <w14:solidFill>
              <w14:schemeClr w14:val="tx1"/>
            </w14:solidFill>
          </w14:textFill>
        </w:rPr>
        <w:t>600℃</w:t>
      </w:r>
      <w:r>
        <w:rPr>
          <w:color w:val="000000" w:themeColor="text1"/>
          <w14:textFill>
            <w14:solidFill>
              <w14:schemeClr w14:val="tx1"/>
            </w14:solidFill>
          </w14:textFill>
        </w:rPr>
        <w:t>以上，迅速跨越二噁英合成的温度区间。</w:t>
      </w:r>
    </w:p>
    <w:p w14:paraId="64A5E34D">
      <w:pPr>
        <w:ind w:firstLine="480"/>
        <w:rPr>
          <w:color w:val="000000" w:themeColor="text1"/>
          <w14:textFill>
            <w14:solidFill>
              <w14:schemeClr w14:val="tx1"/>
            </w14:solidFill>
          </w14:textFill>
        </w:rPr>
      </w:pPr>
      <w:r>
        <w:rPr>
          <w:color w:val="000000" w:themeColor="text1"/>
          <w14:textFill>
            <w14:solidFill>
              <w14:schemeClr w14:val="tx1"/>
            </w14:solidFill>
          </w14:textFill>
        </w:rPr>
        <w:t>第二区：包括主反应区和二燃室，皆为氧化性气氛，其中主反应区温度</w:t>
      </w:r>
      <w:r>
        <w:rPr>
          <w:rFonts w:eastAsia="Times New Roman"/>
          <w:color w:val="000000" w:themeColor="text1"/>
          <w14:textFill>
            <w14:solidFill>
              <w14:schemeClr w14:val="tx1"/>
            </w14:solidFill>
          </w14:textFill>
        </w:rPr>
        <w:t>600</w:t>
      </w:r>
      <w:r>
        <w:rPr>
          <w:rFonts w:eastAsia="Arial Unicode MS"/>
          <w:color w:val="000000" w:themeColor="text1"/>
          <w:sz w:val="20"/>
          <w:szCs w:val="20"/>
          <w14:textFill>
            <w14:solidFill>
              <w14:schemeClr w14:val="tx1"/>
            </w14:solidFill>
          </w14:textFill>
        </w:rPr>
        <w:t>〜</w:t>
      </w:r>
      <w:r>
        <w:rPr>
          <w:rFonts w:eastAsia="Times New Roman"/>
          <w:color w:val="000000" w:themeColor="text1"/>
          <w:lang w:bidi="en-US"/>
          <w14:textFill>
            <w14:solidFill>
              <w14:schemeClr w14:val="tx1"/>
            </w14:solidFill>
          </w14:textFill>
        </w:rPr>
        <w:t>1000°C</w:t>
      </w:r>
      <w:r>
        <w:rPr>
          <w:color w:val="000000" w:themeColor="text1"/>
          <w:lang w:bidi="en-US"/>
          <w14:textFill>
            <w14:solidFill>
              <w14:schemeClr w14:val="tx1"/>
            </w14:solidFill>
          </w14:textFill>
        </w:rPr>
        <w:t>，</w:t>
      </w:r>
      <w:r>
        <w:rPr>
          <w:color w:val="000000" w:themeColor="text1"/>
          <w14:textFill>
            <w14:solidFill>
              <w14:schemeClr w14:val="tx1"/>
            </w14:solidFill>
          </w14:textFill>
        </w:rPr>
        <w:t>二燃室温度为</w:t>
      </w:r>
      <w:r>
        <w:rPr>
          <w:rFonts w:eastAsia="Times New Roman"/>
          <w:color w:val="000000" w:themeColor="text1"/>
          <w14:textFill>
            <w14:solidFill>
              <w14:schemeClr w14:val="tx1"/>
            </w14:solidFill>
          </w14:textFill>
        </w:rPr>
        <w:t>1100</w:t>
      </w:r>
      <w:r>
        <w:rPr>
          <w:rFonts w:eastAsia="Arial Unicode MS"/>
          <w:color w:val="000000" w:themeColor="text1"/>
          <w:sz w:val="20"/>
          <w:szCs w:val="20"/>
          <w14:textFill>
            <w14:solidFill>
              <w14:schemeClr w14:val="tx1"/>
            </w14:solidFill>
          </w14:textFill>
        </w:rPr>
        <w:t>〜</w:t>
      </w:r>
      <w:r>
        <w:rPr>
          <w:rFonts w:eastAsia="Times New Roman"/>
          <w:color w:val="000000" w:themeColor="text1"/>
          <w14:textFill>
            <w14:solidFill>
              <w14:schemeClr w14:val="tx1"/>
            </w14:solidFill>
          </w14:textFill>
        </w:rPr>
        <w:t>1150℃</w:t>
      </w:r>
      <w:r>
        <w:rPr>
          <w:color w:val="000000" w:themeColor="text1"/>
          <w14:textFill>
            <w14:solidFill>
              <w14:schemeClr w14:val="tx1"/>
            </w14:solidFill>
          </w14:textFill>
        </w:rPr>
        <w:t>，气相停留时间</w:t>
      </w:r>
      <w:r>
        <w:rPr>
          <w:rFonts w:eastAsia="Times New Roman"/>
          <w:color w:val="000000" w:themeColor="text1"/>
          <w:lang w:bidi="en-US"/>
          <w14:textFill>
            <w14:solidFill>
              <w14:schemeClr w14:val="tx1"/>
            </w14:solidFill>
          </w14:textFill>
        </w:rPr>
        <w:t>2s</w:t>
      </w:r>
      <w:r>
        <w:rPr>
          <w:color w:val="000000" w:themeColor="text1"/>
          <w14:textFill>
            <w14:solidFill>
              <w14:schemeClr w14:val="tx1"/>
            </w14:solidFill>
          </w14:textFill>
        </w:rPr>
        <w:t>以上，且不存在未燃尽碳。该区的操作条件不仅可以防止二噁英的合成，而且能对给料中可能带入的二噁英进行去除。</w:t>
      </w:r>
    </w:p>
    <w:p w14:paraId="4B0DF4BD">
      <w:pPr>
        <w:ind w:firstLine="480"/>
        <w:rPr>
          <w:color w:val="000000" w:themeColor="text1"/>
          <w14:textFill>
            <w14:solidFill>
              <w14:schemeClr w14:val="tx1"/>
            </w14:solidFill>
          </w14:textFill>
        </w:rPr>
      </w:pPr>
      <w:r>
        <w:rPr>
          <w:color w:val="000000" w:themeColor="text1"/>
          <w14:textFill>
            <w14:solidFill>
              <w14:schemeClr w14:val="tx1"/>
            </w14:solidFill>
          </w14:textFill>
        </w:rPr>
        <w:t>第三区：烟气净化系统入口设置急冷塔，烟气温度从</w:t>
      </w:r>
      <w:r>
        <w:rPr>
          <w:rFonts w:eastAsia="Times New Roman"/>
          <w:color w:val="000000" w:themeColor="text1"/>
          <w14:textFill>
            <w14:solidFill>
              <w14:schemeClr w14:val="tx1"/>
            </w14:solidFill>
          </w14:textFill>
        </w:rPr>
        <w:t>500</w:t>
      </w:r>
      <w:r>
        <w:rPr>
          <w:rFonts w:eastAsia="Arial Unicode MS"/>
          <w:color w:val="000000" w:themeColor="text1"/>
          <w:sz w:val="20"/>
          <w:szCs w:val="20"/>
          <w14:textFill>
            <w14:solidFill>
              <w14:schemeClr w14:val="tx1"/>
            </w14:solidFill>
          </w14:textFill>
        </w:rPr>
        <w:t>〜</w:t>
      </w:r>
      <w:r>
        <w:rPr>
          <w:rFonts w:eastAsia="Times New Roman"/>
          <w:color w:val="000000" w:themeColor="text1"/>
          <w14:textFill>
            <w14:solidFill>
              <w14:schemeClr w14:val="tx1"/>
            </w14:solidFill>
          </w14:textFill>
        </w:rPr>
        <w:t>550℃</w:t>
      </w:r>
      <w:r>
        <w:rPr>
          <w:color w:val="000000" w:themeColor="text1"/>
          <w14:textFill>
            <w14:solidFill>
              <w14:schemeClr w14:val="tx1"/>
            </w14:solidFill>
          </w14:textFill>
        </w:rPr>
        <w:t>在</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秒内急冷至</w:t>
      </w:r>
      <w:r>
        <w:rPr>
          <w:rFonts w:eastAsiaTheme="minorEastAsia"/>
          <w:color w:val="000000" w:themeColor="text1"/>
          <w14:textFill>
            <w14:solidFill>
              <w14:schemeClr w14:val="tx1"/>
            </w14:solidFill>
          </w14:textFill>
        </w:rPr>
        <w:t>8</w:t>
      </w:r>
      <w:r>
        <w:rPr>
          <w:rFonts w:eastAsia="Times New Roman"/>
          <w:color w:val="000000" w:themeColor="text1"/>
          <w14:textFill>
            <w14:solidFill>
              <w14:schemeClr w14:val="tx1"/>
            </w14:solidFill>
          </w14:textFill>
        </w:rPr>
        <w:t>0℃</w:t>
      </w:r>
      <w:r>
        <w:rPr>
          <w:color w:val="000000" w:themeColor="text1"/>
          <w14:textFill>
            <w14:solidFill>
              <w14:schemeClr w14:val="tx1"/>
            </w14:solidFill>
          </w14:textFill>
        </w:rPr>
        <w:t>以下，跨越合成二噁英的主要温区，减少二噁英的生成。</w:t>
      </w:r>
    </w:p>
    <w:p w14:paraId="7172C27C">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）末端治理措施</w:t>
      </w:r>
    </w:p>
    <w:p w14:paraId="5A9C085B">
      <w:pPr>
        <w:ind w:firstLine="480"/>
        <w:rPr>
          <w:color w:val="000000" w:themeColor="text1"/>
          <w14:textFill>
            <w14:solidFill>
              <w14:schemeClr w14:val="tx1"/>
            </w14:solidFill>
          </w14:textFill>
        </w:rPr>
      </w:pPr>
      <w:r>
        <w:rPr>
          <w:color w:val="000000" w:themeColor="text1"/>
          <w14:textFill>
            <w14:solidFill>
              <w14:schemeClr w14:val="tx1"/>
            </w14:solidFill>
          </w14:textFill>
        </w:rPr>
        <w:t>为了使二噁英达标排放，本项烟气净化系统设置了烟气二燃室和烟气急冷塔，同时还有活性炭吸附系统，多孔性吸附剂活性炭由于具有较大的比表面积，所以吸附能力较强，不但能吸附二噁英类物质，还能吸附重金属及其化合物。</w:t>
      </w:r>
    </w:p>
    <w:p w14:paraId="210BF302">
      <w:pPr>
        <w:ind w:firstLine="480"/>
        <w:rPr>
          <w:color w:val="000000" w:themeColor="text1"/>
          <w14:textFill>
            <w14:solidFill>
              <w14:schemeClr w14:val="tx1"/>
            </w14:solidFill>
          </w14:textFill>
        </w:rPr>
      </w:pPr>
      <w:r>
        <w:rPr>
          <w:color w:val="000000" w:themeColor="text1"/>
          <w14:textFill>
            <w14:solidFill>
              <w14:schemeClr w14:val="tx1"/>
            </w14:solidFill>
          </w14:textFill>
        </w:rPr>
        <w:t>经处理后，项目排放的二噁英可满足《危险废物焚烧污染控制标准》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GB18484-2020</w:t>
      </w:r>
      <w:r>
        <w:rPr>
          <w:color w:val="000000" w:themeColor="text1"/>
          <w:lang w:bidi="en-US"/>
          <w14:textFill>
            <w14:solidFill>
              <w14:schemeClr w14:val="tx1"/>
            </w14:solidFill>
          </w14:textFill>
        </w:rPr>
        <w:t>）</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中标准限值要求。</w:t>
      </w:r>
    </w:p>
    <w:p w14:paraId="03939D03">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比选方案详情</w:t>
      </w:r>
      <w:bookmarkEnd w:id="455"/>
    </w:p>
    <w:p w14:paraId="5186E256">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废气处理方案比选</w:t>
      </w:r>
    </w:p>
    <w:tbl>
      <w:tblPr>
        <w:tblStyle w:val="76"/>
        <w:tblW w:w="8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85"/>
        <w:gridCol w:w="1650"/>
        <w:gridCol w:w="2547"/>
        <w:gridCol w:w="1843"/>
        <w:gridCol w:w="1185"/>
      </w:tblGrid>
      <w:tr w14:paraId="6CBE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5" w:type="dxa"/>
            <w:tcMar>
              <w:top w:w="60" w:type="dxa"/>
              <w:left w:w="120" w:type="dxa"/>
              <w:bottom w:w="30" w:type="dxa"/>
              <w:right w:w="120" w:type="dxa"/>
            </w:tcMar>
            <w:vAlign w:val="center"/>
          </w:tcPr>
          <w:p w14:paraId="50FB3961">
            <w:pPr>
              <w:pStyle w:val="109"/>
              <w:rPr>
                <w:color w:val="000000" w:themeColor="text1"/>
                <w14:textFill>
                  <w14:solidFill>
                    <w14:schemeClr w14:val="tx1"/>
                  </w14:solidFill>
                </w14:textFill>
              </w:rPr>
            </w:pPr>
            <w:r>
              <w:rPr>
                <w:color w:val="000000" w:themeColor="text1"/>
                <w14:textFill>
                  <w14:solidFill>
                    <w14:schemeClr w14:val="tx1"/>
                  </w14:solidFill>
                </w14:textFill>
              </w:rPr>
              <w:t>比选方案</w:t>
            </w:r>
          </w:p>
        </w:tc>
        <w:tc>
          <w:tcPr>
            <w:tcW w:w="1650" w:type="dxa"/>
            <w:tcMar>
              <w:top w:w="60" w:type="dxa"/>
              <w:left w:w="120" w:type="dxa"/>
              <w:bottom w:w="30" w:type="dxa"/>
              <w:right w:w="120" w:type="dxa"/>
            </w:tcMar>
            <w:vAlign w:val="center"/>
          </w:tcPr>
          <w:p w14:paraId="50D52E68">
            <w:pPr>
              <w:pStyle w:val="109"/>
              <w:rPr>
                <w:color w:val="000000" w:themeColor="text1"/>
                <w14:textFill>
                  <w14:solidFill>
                    <w14:schemeClr w14:val="tx1"/>
                  </w14:solidFill>
                </w14:textFill>
              </w:rPr>
            </w:pPr>
            <w:r>
              <w:rPr>
                <w:color w:val="000000" w:themeColor="text1"/>
                <w14:textFill>
                  <w14:solidFill>
                    <w14:schemeClr w14:val="tx1"/>
                  </w14:solidFill>
                </w14:textFill>
              </w:rPr>
              <w:t>工艺路线</w:t>
            </w:r>
          </w:p>
        </w:tc>
        <w:tc>
          <w:tcPr>
            <w:tcW w:w="2547" w:type="dxa"/>
            <w:tcMar>
              <w:top w:w="60" w:type="dxa"/>
              <w:left w:w="120" w:type="dxa"/>
              <w:bottom w:w="30" w:type="dxa"/>
              <w:right w:w="120" w:type="dxa"/>
            </w:tcMar>
            <w:vAlign w:val="center"/>
          </w:tcPr>
          <w:p w14:paraId="1D622267">
            <w:pPr>
              <w:pStyle w:val="109"/>
              <w:rPr>
                <w:color w:val="000000" w:themeColor="text1"/>
                <w14:textFill>
                  <w14:solidFill>
                    <w14:schemeClr w14:val="tx1"/>
                  </w14:solidFill>
                </w14:textFill>
              </w:rPr>
            </w:pPr>
            <w:r>
              <w:rPr>
                <w:color w:val="000000" w:themeColor="text1"/>
                <w14:textFill>
                  <w14:solidFill>
                    <w14:schemeClr w14:val="tx1"/>
                  </w14:solidFill>
                </w14:textFill>
              </w:rPr>
              <w:t>技术特点</w:t>
            </w:r>
          </w:p>
        </w:tc>
        <w:tc>
          <w:tcPr>
            <w:tcW w:w="1843" w:type="dxa"/>
            <w:tcMar>
              <w:top w:w="60" w:type="dxa"/>
              <w:left w:w="120" w:type="dxa"/>
              <w:bottom w:w="30" w:type="dxa"/>
              <w:right w:w="120" w:type="dxa"/>
            </w:tcMar>
            <w:vAlign w:val="center"/>
          </w:tcPr>
          <w:p w14:paraId="7EB7B6FC">
            <w:pPr>
              <w:pStyle w:val="109"/>
              <w:rPr>
                <w:color w:val="000000" w:themeColor="text1"/>
                <w14:textFill>
                  <w14:solidFill>
                    <w14:schemeClr w14:val="tx1"/>
                  </w14:solidFill>
                </w14:textFill>
              </w:rPr>
            </w:pPr>
            <w:r>
              <w:rPr>
                <w:color w:val="000000" w:themeColor="text1"/>
                <w14:textFill>
                  <w14:solidFill>
                    <w14:schemeClr w14:val="tx1"/>
                  </w14:solidFill>
                </w14:textFill>
              </w:rPr>
              <w:t>处理效果</w:t>
            </w:r>
          </w:p>
        </w:tc>
        <w:tc>
          <w:tcPr>
            <w:tcW w:w="1185" w:type="dxa"/>
            <w:tcMar>
              <w:top w:w="60" w:type="dxa"/>
              <w:left w:w="120" w:type="dxa"/>
              <w:bottom w:w="30" w:type="dxa"/>
              <w:right w:w="120" w:type="dxa"/>
            </w:tcMar>
            <w:vAlign w:val="center"/>
          </w:tcPr>
          <w:p w14:paraId="68F3D1A3">
            <w:pPr>
              <w:pStyle w:val="109"/>
              <w:rPr>
                <w:color w:val="000000" w:themeColor="text1"/>
                <w14:textFill>
                  <w14:solidFill>
                    <w14:schemeClr w14:val="tx1"/>
                  </w14:solidFill>
                </w14:textFill>
              </w:rPr>
            </w:pPr>
            <w:r>
              <w:rPr>
                <w:color w:val="000000" w:themeColor="text1"/>
                <w14:textFill>
                  <w14:solidFill>
                    <w14:schemeClr w14:val="tx1"/>
                  </w14:solidFill>
                </w14:textFill>
              </w:rPr>
              <w:t>适用场景</w:t>
            </w:r>
          </w:p>
        </w:tc>
      </w:tr>
      <w:tr w14:paraId="5A5A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5" w:type="dxa"/>
            <w:tcMar>
              <w:top w:w="60" w:type="dxa"/>
              <w:left w:w="120" w:type="dxa"/>
              <w:bottom w:w="30" w:type="dxa"/>
              <w:right w:w="120" w:type="dxa"/>
            </w:tcMar>
            <w:vAlign w:val="center"/>
          </w:tcPr>
          <w:p w14:paraId="5C189E21">
            <w:pPr>
              <w:pStyle w:val="109"/>
              <w:rPr>
                <w:color w:val="000000" w:themeColor="text1"/>
                <w14:textFill>
                  <w14:solidFill>
                    <w14:schemeClr w14:val="tx1"/>
                  </w14:solidFill>
                </w14:textFill>
              </w:rPr>
            </w:pPr>
            <w:r>
              <w:rPr>
                <w:color w:val="000000" w:themeColor="text1"/>
                <w14:textFill>
                  <w14:solidFill>
                    <w14:schemeClr w14:val="tx1"/>
                  </w14:solidFill>
                </w14:textFill>
              </w:rPr>
              <w:t>方案一（设计方案）</w:t>
            </w:r>
          </w:p>
        </w:tc>
        <w:tc>
          <w:tcPr>
            <w:tcW w:w="1650" w:type="dxa"/>
            <w:tcMar>
              <w:top w:w="60" w:type="dxa"/>
              <w:left w:w="120" w:type="dxa"/>
              <w:bottom w:w="30" w:type="dxa"/>
              <w:right w:w="120" w:type="dxa"/>
            </w:tcMar>
            <w:vAlign w:val="center"/>
          </w:tcPr>
          <w:p w14:paraId="377748E8">
            <w:pPr>
              <w:pStyle w:val="109"/>
              <w:rPr>
                <w:color w:val="000000" w:themeColor="text1"/>
                <w14:textFill>
                  <w14:solidFill>
                    <w14:schemeClr w14:val="tx1"/>
                  </w14:solidFill>
                </w14:textFill>
              </w:rPr>
            </w:pPr>
            <w:r>
              <w:rPr>
                <w:color w:val="000000" w:themeColor="text1"/>
                <w14:textFill>
                  <w14:solidFill>
                    <w14:schemeClr w14:val="tx1"/>
                  </w14:solidFill>
                </w14:textFill>
              </w:rPr>
              <w:t>热解焙烧窑（二级）+二燃室（SNCR）+石墨急冷塔+二级碱洗塔+水洗塔+湿电除尘+活性炭吸附+GGH换热+热风炉+SCR+50m烟囱</w:t>
            </w:r>
          </w:p>
        </w:tc>
        <w:tc>
          <w:tcPr>
            <w:tcW w:w="2547" w:type="dxa"/>
            <w:tcMar>
              <w:top w:w="60" w:type="dxa"/>
              <w:left w:w="120" w:type="dxa"/>
              <w:bottom w:w="30" w:type="dxa"/>
              <w:right w:w="120" w:type="dxa"/>
            </w:tcMar>
            <w:vAlign w:val="center"/>
          </w:tcPr>
          <w:p w14:paraId="7634BBDA">
            <w:pPr>
              <w:pStyle w:val="109"/>
              <w:rPr>
                <w:color w:val="000000" w:themeColor="text1"/>
                <w14:textFill>
                  <w14:solidFill>
                    <w14:schemeClr w14:val="tx1"/>
                  </w14:solidFill>
                </w14:textFill>
              </w:rPr>
            </w:pPr>
            <w:r>
              <w:rPr>
                <w:color w:val="000000" w:themeColor="text1"/>
                <w14:textFill>
                  <w14:solidFill>
                    <w14:schemeClr w14:val="tx1"/>
                  </w14:solidFill>
                </w14:textFill>
              </w:rPr>
              <w:t>1. 二级热解+二燃室设计，确保有机物充分分解；2. 石墨急冷塔快速降温，有效抑制二噁英再合成；3. 二级碱洗+水洗深度脱酸，湿电除尘去除细微颗粒，活性炭吸附+SCR深度脱硝，治理流程完整；4. 自动化程度高，运行稳定，可应对烟气成分波动；5. 石墨材质耐腐蚀性强，适配高温烟气。</w:t>
            </w:r>
          </w:p>
        </w:tc>
        <w:tc>
          <w:tcPr>
            <w:tcW w:w="1843" w:type="dxa"/>
            <w:tcMar>
              <w:top w:w="60" w:type="dxa"/>
              <w:left w:w="120" w:type="dxa"/>
              <w:bottom w:w="30" w:type="dxa"/>
              <w:right w:w="120" w:type="dxa"/>
            </w:tcMar>
            <w:vAlign w:val="center"/>
          </w:tcPr>
          <w:p w14:paraId="5BB6464C">
            <w:pPr>
              <w:pStyle w:val="109"/>
              <w:rPr>
                <w:color w:val="000000" w:themeColor="text1"/>
                <w14:textFill>
                  <w14:solidFill>
                    <w14:schemeClr w14:val="tx1"/>
                  </w14:solidFill>
                </w14:textFill>
              </w:rPr>
            </w:pPr>
            <w:r>
              <w:rPr>
                <w:color w:val="000000" w:themeColor="text1"/>
                <w14:textFill>
                  <w14:solidFill>
                    <w14:schemeClr w14:val="tx1"/>
                  </w14:solidFill>
                </w14:textFill>
              </w:rPr>
              <w:t>颗粒物去除率≥99%，SO₂、HCl、HF去除率≥95%，NOₓ去除率≥94%（SNCR+SCR），二噁英、重金属达标排放，完全满足GB18484-2020标准。</w:t>
            </w:r>
          </w:p>
        </w:tc>
        <w:tc>
          <w:tcPr>
            <w:tcW w:w="1185" w:type="dxa"/>
            <w:tcMar>
              <w:top w:w="60" w:type="dxa"/>
              <w:left w:w="120" w:type="dxa"/>
              <w:bottom w:w="30" w:type="dxa"/>
              <w:right w:w="120" w:type="dxa"/>
            </w:tcMar>
            <w:vAlign w:val="center"/>
          </w:tcPr>
          <w:p w14:paraId="7AB3AF57">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危险废物焚烧烟气，成分复杂、污染物种类多、浓度波动大，对处理效果要求高的项目。</w:t>
            </w:r>
          </w:p>
        </w:tc>
      </w:tr>
      <w:tr w14:paraId="3A3C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5" w:type="dxa"/>
            <w:tcMar>
              <w:top w:w="60" w:type="dxa"/>
              <w:left w:w="120" w:type="dxa"/>
              <w:bottom w:w="30" w:type="dxa"/>
              <w:right w:w="120" w:type="dxa"/>
            </w:tcMar>
            <w:vAlign w:val="center"/>
          </w:tcPr>
          <w:p w14:paraId="629493A1">
            <w:pPr>
              <w:pStyle w:val="109"/>
              <w:rPr>
                <w:color w:val="000000" w:themeColor="text1"/>
                <w14:textFill>
                  <w14:solidFill>
                    <w14:schemeClr w14:val="tx1"/>
                  </w14:solidFill>
                </w14:textFill>
              </w:rPr>
            </w:pPr>
            <w:r>
              <w:rPr>
                <w:color w:val="000000" w:themeColor="text1"/>
                <w14:textFill>
                  <w14:solidFill>
                    <w14:schemeClr w14:val="tx1"/>
                  </w14:solidFill>
                </w14:textFill>
              </w:rPr>
              <w:t>方案二（备选方案）</w:t>
            </w:r>
          </w:p>
        </w:tc>
        <w:tc>
          <w:tcPr>
            <w:tcW w:w="1650" w:type="dxa"/>
            <w:tcMar>
              <w:top w:w="60" w:type="dxa"/>
              <w:left w:w="120" w:type="dxa"/>
              <w:bottom w:w="30" w:type="dxa"/>
              <w:right w:w="120" w:type="dxa"/>
            </w:tcMar>
            <w:vAlign w:val="center"/>
          </w:tcPr>
          <w:p w14:paraId="78F07721">
            <w:pPr>
              <w:pStyle w:val="109"/>
              <w:rPr>
                <w:color w:val="000000" w:themeColor="text1"/>
                <w14:textFill>
                  <w14:solidFill>
                    <w14:schemeClr w14:val="tx1"/>
                  </w14:solidFill>
                </w14:textFill>
              </w:rPr>
            </w:pPr>
            <w:r>
              <w:rPr>
                <w:color w:val="000000" w:themeColor="text1"/>
                <w14:textFill>
                  <w14:solidFill>
                    <w14:schemeClr w14:val="tx1"/>
                  </w14:solidFill>
                </w14:textFill>
              </w:rPr>
              <w:t>热解焙烧窑（二级）+二燃室+石英砂急冷塔+喷淋塔（碱洗+水洗一体）+布袋除尘器+活性炭吸附+SNCR+45m烟囱</w:t>
            </w:r>
          </w:p>
        </w:tc>
        <w:tc>
          <w:tcPr>
            <w:tcW w:w="2547" w:type="dxa"/>
            <w:tcMar>
              <w:top w:w="60" w:type="dxa"/>
              <w:left w:w="120" w:type="dxa"/>
              <w:bottom w:w="30" w:type="dxa"/>
              <w:right w:w="120" w:type="dxa"/>
            </w:tcMar>
            <w:vAlign w:val="center"/>
          </w:tcPr>
          <w:p w14:paraId="3C171F8E">
            <w:pPr>
              <w:pStyle w:val="109"/>
              <w:rPr>
                <w:color w:val="000000" w:themeColor="text1"/>
                <w14:textFill>
                  <w14:solidFill>
                    <w14:schemeClr w14:val="tx1"/>
                  </w14:solidFill>
                </w14:textFill>
              </w:rPr>
            </w:pPr>
            <w:r>
              <w:rPr>
                <w:color w:val="000000" w:themeColor="text1"/>
                <w14:textFill>
                  <w14:solidFill>
                    <w14:schemeClr w14:val="tx1"/>
                  </w14:solidFill>
                </w14:textFill>
              </w:rPr>
              <w:t>1. 采用石英砂急冷塔替代石墨急冷塔，成本较低；2. 碱洗+水洗一体化喷淋塔，简化工艺流程；3. 布袋除尘器替代湿电除尘，设备投资低、维护简便；4. 仅采用SNCR脱硝，无SCR深度脱硝，工艺相对简单。</w:t>
            </w:r>
          </w:p>
        </w:tc>
        <w:tc>
          <w:tcPr>
            <w:tcW w:w="1843" w:type="dxa"/>
            <w:tcMar>
              <w:top w:w="60" w:type="dxa"/>
              <w:left w:w="120" w:type="dxa"/>
              <w:bottom w:w="30" w:type="dxa"/>
              <w:right w:w="120" w:type="dxa"/>
            </w:tcMar>
            <w:vAlign w:val="center"/>
          </w:tcPr>
          <w:p w14:paraId="3F57CA8B">
            <w:pPr>
              <w:pStyle w:val="109"/>
              <w:rPr>
                <w:color w:val="000000" w:themeColor="text1"/>
                <w14:textFill>
                  <w14:solidFill>
                    <w14:schemeClr w14:val="tx1"/>
                  </w14:solidFill>
                </w14:textFill>
              </w:rPr>
            </w:pPr>
            <w:r>
              <w:rPr>
                <w:color w:val="000000" w:themeColor="text1"/>
                <w14:textFill>
                  <w14:solidFill>
                    <w14:schemeClr w14:val="tx1"/>
                  </w14:solidFill>
                </w14:textFill>
              </w:rPr>
              <w:t>颗粒物去除率≥98%，SO₂、HCl、HF去除率≥90%，NOₓ去除率≥40%，二噁英、重金属可达标，但NOₓ排放浓度接近标准限值，抗波动能力弱。</w:t>
            </w:r>
          </w:p>
        </w:tc>
        <w:tc>
          <w:tcPr>
            <w:tcW w:w="1185" w:type="dxa"/>
            <w:tcMar>
              <w:top w:w="60" w:type="dxa"/>
              <w:left w:w="120" w:type="dxa"/>
              <w:bottom w:w="30" w:type="dxa"/>
              <w:right w:w="120" w:type="dxa"/>
            </w:tcMar>
            <w:vAlign w:val="center"/>
          </w:tcPr>
          <w:p w14:paraId="26021DC0">
            <w:pPr>
              <w:pStyle w:val="109"/>
              <w:rPr>
                <w:color w:val="000000" w:themeColor="text1"/>
                <w14:textFill>
                  <w14:solidFill>
                    <w14:schemeClr w14:val="tx1"/>
                  </w14:solidFill>
                </w14:textFill>
              </w:rPr>
            </w:pPr>
            <w:r>
              <w:rPr>
                <w:color w:val="000000" w:themeColor="text1"/>
                <w14:textFill>
                  <w14:solidFill>
                    <w14:schemeClr w14:val="tx1"/>
                  </w14:solidFill>
                </w14:textFill>
              </w:rPr>
              <w:t>中低浓度危险废物焚烧烟气，污染物浓度稳定，对NOₓ排放要求较低的项目。</w:t>
            </w:r>
          </w:p>
        </w:tc>
      </w:tr>
      <w:tr w14:paraId="30F7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tcMar>
              <w:top w:w="60" w:type="dxa"/>
              <w:left w:w="120" w:type="dxa"/>
              <w:bottom w:w="30" w:type="dxa"/>
              <w:right w:w="120" w:type="dxa"/>
            </w:tcMar>
            <w:vAlign w:val="center"/>
          </w:tcPr>
          <w:p w14:paraId="2CE8E8D4">
            <w:pPr>
              <w:pStyle w:val="109"/>
              <w:rPr>
                <w:color w:val="000000" w:themeColor="text1"/>
                <w14:textFill>
                  <w14:solidFill>
                    <w14:schemeClr w14:val="tx1"/>
                  </w14:solidFill>
                </w14:textFill>
              </w:rPr>
            </w:pPr>
            <w:r>
              <w:rPr>
                <w:color w:val="000000" w:themeColor="text1"/>
                <w14:textFill>
                  <w14:solidFill>
                    <w14:schemeClr w14:val="tx1"/>
                  </w14:solidFill>
                </w14:textFill>
              </w:rPr>
              <w:t>方案三（备选方案）</w:t>
            </w:r>
          </w:p>
        </w:tc>
        <w:tc>
          <w:tcPr>
            <w:tcW w:w="1650" w:type="dxa"/>
            <w:tcMar>
              <w:top w:w="60" w:type="dxa"/>
              <w:left w:w="120" w:type="dxa"/>
              <w:bottom w:w="30" w:type="dxa"/>
              <w:right w:w="120" w:type="dxa"/>
            </w:tcMar>
            <w:vAlign w:val="center"/>
          </w:tcPr>
          <w:p w14:paraId="7E38D192">
            <w:pPr>
              <w:pStyle w:val="109"/>
              <w:rPr>
                <w:color w:val="000000" w:themeColor="text1"/>
                <w14:textFill>
                  <w14:solidFill>
                    <w14:schemeClr w14:val="tx1"/>
                  </w14:solidFill>
                </w14:textFill>
              </w:rPr>
            </w:pPr>
            <w:r>
              <w:rPr>
                <w:color w:val="000000" w:themeColor="text1"/>
                <w14:textFill>
                  <w14:solidFill>
                    <w14:schemeClr w14:val="tx1"/>
                  </w14:solidFill>
                </w14:textFill>
              </w:rPr>
              <w:t>热解焙烧窑（二级）+二燃室+陶瓷纤维急冷塔+三级碱洗塔+静电除尘器+活性炭吸附+SCR+50m烟囱</w:t>
            </w:r>
          </w:p>
        </w:tc>
        <w:tc>
          <w:tcPr>
            <w:tcW w:w="2547" w:type="dxa"/>
            <w:tcMar>
              <w:top w:w="60" w:type="dxa"/>
              <w:left w:w="120" w:type="dxa"/>
              <w:bottom w:w="30" w:type="dxa"/>
              <w:right w:w="120" w:type="dxa"/>
            </w:tcMar>
            <w:vAlign w:val="center"/>
          </w:tcPr>
          <w:p w14:paraId="64CCD5F5">
            <w:pPr>
              <w:pStyle w:val="109"/>
              <w:rPr>
                <w:color w:val="000000" w:themeColor="text1"/>
                <w14:textFill>
                  <w14:solidFill>
                    <w14:schemeClr w14:val="tx1"/>
                  </w14:solidFill>
                </w14:textFill>
              </w:rPr>
            </w:pPr>
            <w:r>
              <w:rPr>
                <w:color w:val="000000" w:themeColor="text1"/>
                <w14:textFill>
                  <w14:solidFill>
                    <w14:schemeClr w14:val="tx1"/>
                  </w14:solidFill>
                </w14:textFill>
              </w:rPr>
              <w:t>1. 陶瓷纤维急冷塔降温速度快，但耐腐蚀性略弱于石墨；2. 三级碱洗塔脱酸效果更优，但工艺复杂、能耗高；3. 静电除尘器去除颗粒物效率高，但投资及维护成本高；4. 仅采用SCR脱硝，需额外增设加热装置，能耗增加。</w:t>
            </w:r>
          </w:p>
        </w:tc>
        <w:tc>
          <w:tcPr>
            <w:tcW w:w="1843" w:type="dxa"/>
            <w:tcMar>
              <w:top w:w="60" w:type="dxa"/>
              <w:left w:w="120" w:type="dxa"/>
              <w:bottom w:w="30" w:type="dxa"/>
              <w:right w:w="120" w:type="dxa"/>
            </w:tcMar>
            <w:vAlign w:val="center"/>
          </w:tcPr>
          <w:p w14:paraId="64A8CB7A">
            <w:pPr>
              <w:pStyle w:val="109"/>
              <w:rPr>
                <w:color w:val="000000" w:themeColor="text1"/>
                <w14:textFill>
                  <w14:solidFill>
                    <w14:schemeClr w14:val="tx1"/>
                  </w14:solidFill>
                </w14:textFill>
              </w:rPr>
            </w:pPr>
            <w:r>
              <w:rPr>
                <w:color w:val="000000" w:themeColor="text1"/>
                <w14:textFill>
                  <w14:solidFill>
                    <w14:schemeClr w14:val="tx1"/>
                  </w14:solidFill>
                </w14:textFill>
              </w:rPr>
              <w:t>颗粒物去除率≥99.5%，SO₂、HCl、HF去除率≥9</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%，NOₓ去除率≥</w:t>
            </w:r>
            <w:r>
              <w:rPr>
                <w:rFonts w:hint="eastAsia"/>
                <w:color w:val="000000" w:themeColor="text1"/>
                <w14:textFill>
                  <w14:solidFill>
                    <w14:schemeClr w14:val="tx1"/>
                  </w14:solidFill>
                </w14:textFill>
              </w:rPr>
              <w:t>85</w:t>
            </w:r>
            <w:r>
              <w:rPr>
                <w:color w:val="000000" w:themeColor="text1"/>
                <w14:textFill>
                  <w14:solidFill>
                    <w14:schemeClr w14:val="tx1"/>
                  </w14:solidFill>
                </w14:textFill>
              </w:rPr>
              <w:t>%，处理效果最优，但冗余度高。</w:t>
            </w:r>
          </w:p>
        </w:tc>
        <w:tc>
          <w:tcPr>
            <w:tcW w:w="1185" w:type="dxa"/>
            <w:tcMar>
              <w:top w:w="60" w:type="dxa"/>
              <w:left w:w="120" w:type="dxa"/>
              <w:bottom w:w="30" w:type="dxa"/>
              <w:right w:w="120" w:type="dxa"/>
            </w:tcMar>
            <w:vAlign w:val="center"/>
          </w:tcPr>
          <w:p w14:paraId="3A92E8BA">
            <w:pPr>
              <w:pStyle w:val="109"/>
              <w:rPr>
                <w:color w:val="000000" w:themeColor="text1"/>
                <w14:textFill>
                  <w14:solidFill>
                    <w14:schemeClr w14:val="tx1"/>
                  </w14:solidFill>
                </w14:textFill>
              </w:rPr>
            </w:pPr>
            <w:r>
              <w:rPr>
                <w:color w:val="000000" w:themeColor="text1"/>
                <w14:textFill>
                  <w14:solidFill>
                    <w14:schemeClr w14:val="tx1"/>
                  </w14:solidFill>
                </w14:textFill>
              </w:rPr>
              <w:t>高浓度危险废物焚烧烟气，对污染物排放要求极高，环保管控严格的高端项目。</w:t>
            </w:r>
          </w:p>
        </w:tc>
      </w:tr>
    </w:tbl>
    <w:p w14:paraId="0FC16207">
      <w:pPr>
        <w:pStyle w:val="5"/>
        <w:rPr>
          <w:rFonts w:ascii="Times New Roman" w:hAnsi="Times New Roman"/>
          <w:color w:val="000000" w:themeColor="text1"/>
          <w14:textFill>
            <w14:solidFill>
              <w14:schemeClr w14:val="tx1"/>
            </w14:solidFill>
          </w14:textFill>
        </w:rPr>
      </w:pPr>
      <w:bookmarkStart w:id="460" w:name="heading_5"/>
      <w:r>
        <w:rPr>
          <w:rFonts w:ascii="Times New Roman" w:hAnsi="Times New Roman"/>
          <w:color w:val="000000" w:themeColor="text1"/>
          <w14:textFill>
            <w14:solidFill>
              <w14:schemeClr w14:val="tx1"/>
            </w14:solidFill>
          </w14:textFill>
        </w:rPr>
        <w:t>比选结论</w:t>
      </w:r>
      <w:bookmarkEnd w:id="460"/>
    </w:p>
    <w:p w14:paraId="08DA4DE2">
      <w:pPr>
        <w:ind w:firstLine="480"/>
        <w:rPr>
          <w:color w:val="000000" w:themeColor="text1"/>
          <w14:textFill>
            <w14:solidFill>
              <w14:schemeClr w14:val="tx1"/>
            </w14:solidFill>
          </w14:textFill>
        </w:rPr>
      </w:pPr>
      <w:r>
        <w:rPr>
          <w:color w:val="000000" w:themeColor="text1"/>
          <w14:textFill>
            <w14:solidFill>
              <w14:schemeClr w14:val="tx1"/>
            </w14:solidFill>
          </w14:textFill>
        </w:rPr>
        <w:t>综合对比三个方案的技术特点、投资及运营成本、处理效果及适用场景，结合本项目实际情况，确定方案一（设计方案）为最优方案，理由如下：</w:t>
      </w:r>
    </w:p>
    <w:p w14:paraId="39EA9871">
      <w:pPr>
        <w:ind w:firstLine="480"/>
        <w:rPr>
          <w:color w:val="000000" w:themeColor="text1"/>
          <w14:textFill>
            <w14:solidFill>
              <w14:schemeClr w14:val="tx1"/>
            </w14:solidFill>
          </w14:textFill>
        </w:rPr>
      </w:pPr>
      <w:r>
        <w:rPr>
          <w:color w:val="000000" w:themeColor="text1"/>
          <w14:textFill>
            <w14:solidFill>
              <w14:schemeClr w14:val="tx1"/>
            </w14:solidFill>
          </w14:textFill>
        </w:rPr>
        <w:t>处理效果适配项目需求：本项目废盐来源广泛、成分复杂，烟气污染物浓度波动大，方案一治理流程完整，各环节协同作用，可确保各类污染物稳定达标，尤其是NOₓ去除率≥94%，远高于方案二，且二噁英抑制效果优于方案二、三（石墨急冷塔耐腐蚀性强，降温稳定）。</w:t>
      </w:r>
    </w:p>
    <w:p w14:paraId="77E6E982">
      <w:pPr>
        <w:ind w:firstLine="480"/>
        <w:rPr>
          <w:color w:val="000000" w:themeColor="text1"/>
          <w14:textFill>
            <w14:solidFill>
              <w14:schemeClr w14:val="tx1"/>
            </w14:solidFill>
          </w14:textFill>
        </w:rPr>
      </w:pPr>
      <w:r>
        <w:rPr>
          <w:color w:val="000000" w:themeColor="text1"/>
          <w14:textFill>
            <w14:solidFill>
              <w14:schemeClr w14:val="tx1"/>
            </w14:solidFill>
          </w14:textFill>
        </w:rPr>
        <w:t>经济合理性最优：方案一投资成本（800-900万元）介于方案二（550-650万元）和方案三（950-1050万元）之间，年运营成本（80-100万元）合理，与项目总投资（5000万元）及运营能力匹配；方案二虽成本较低，但处理效果不稳定，易出现NOₓ超标风险，后续可能面临环保处罚，隐性成本高；方案三处理效果最优，但投资及运营成本过高，超出项目经济承受范围，且存在工艺冗余。</w:t>
      </w:r>
    </w:p>
    <w:p w14:paraId="709924D9">
      <w:pPr>
        <w:ind w:firstLine="480"/>
        <w:rPr>
          <w:color w:val="000000" w:themeColor="text1"/>
          <w14:textFill>
            <w14:solidFill>
              <w14:schemeClr w14:val="tx1"/>
            </w14:solidFill>
          </w14:textFill>
        </w:rPr>
      </w:pPr>
      <w:r>
        <w:rPr>
          <w:color w:val="000000" w:themeColor="text1"/>
          <w14:textFill>
            <w14:solidFill>
              <w14:schemeClr w14:val="tx1"/>
            </w14:solidFill>
          </w14:textFill>
        </w:rPr>
        <w:t>技术成熟度及适配性强：方案一采用的石墨急冷塔、二级碱洗、湿电除尘、SNCR+SCR组合工艺，均为危险废物焚烧烟气治理的成熟技术，自动化程度高，可应对项目烟气成分波动，且设备维护简便，适配项目年运行8000h的连续生产需求；方案二布袋除尘器易受烟气湿度影响堵塞，方案三陶瓷纤维急冷塔耐腐蚀性弱，均存在运行隐患。</w:t>
      </w:r>
    </w:p>
    <w:p w14:paraId="3E278627">
      <w:pPr>
        <w:pStyle w:val="5"/>
        <w:rPr>
          <w:rFonts w:ascii="Times New Roman" w:hAnsi="Times New Roman"/>
          <w:color w:val="000000" w:themeColor="text1"/>
          <w14:textFill>
            <w14:solidFill>
              <w14:schemeClr w14:val="tx1"/>
            </w14:solidFill>
          </w14:textFill>
        </w:rPr>
      </w:pPr>
      <w:bookmarkStart w:id="461" w:name="heading_6"/>
      <w:r>
        <w:rPr>
          <w:rFonts w:ascii="Times New Roman" w:hAnsi="Times New Roman"/>
          <w:color w:val="000000" w:themeColor="text1"/>
          <w14:textFill>
            <w14:solidFill>
              <w14:schemeClr w14:val="tx1"/>
            </w14:solidFill>
          </w14:textFill>
        </w:rPr>
        <w:t>设计方案详细可行性分析</w:t>
      </w:r>
      <w:bookmarkEnd w:id="461"/>
    </w:p>
    <w:p w14:paraId="0D52609C">
      <w:pPr>
        <w:ind w:firstLine="482"/>
        <w:rPr>
          <w:color w:val="000000" w:themeColor="text1"/>
          <w14:textFill>
            <w14:solidFill>
              <w14:schemeClr w14:val="tx1"/>
            </w14:solidFill>
          </w14:textFill>
        </w:rPr>
      </w:pPr>
      <w:r>
        <w:rPr>
          <w:b/>
          <w:color w:val="000000" w:themeColor="text1"/>
          <w14:textFill>
            <w14:solidFill>
              <w14:schemeClr w14:val="tx1"/>
            </w14:solidFill>
          </w14:textFill>
        </w:rPr>
        <w:t>源头控制措施</w:t>
      </w:r>
      <w:r>
        <w:rPr>
          <w:color w:val="000000" w:themeColor="text1"/>
          <w14:textFill>
            <w14:solidFill>
              <w14:schemeClr w14:val="tx1"/>
            </w14:solidFill>
          </w14:textFill>
        </w:rPr>
        <w:t>：采用“三级配伍”方案，对入厂废盐的理化性质进行严格控制，明确入厂及入炉限值，禁止接收爆炸性、含放射性物质及污染元素超标的废盐，从源头减少烟气中污染物的产生量。该措施贴合危险废物处理的行业规范，通过前期检测、分类配伍，可有效稳定入炉物料特性，避免因物料波动导致烟气污染物浓度骤升，技术上可实现，且无需额外增加大量投资，管理可操作性强。</w:t>
      </w:r>
    </w:p>
    <w:p w14:paraId="2C50FD5E">
      <w:pPr>
        <w:ind w:firstLine="482"/>
        <w:rPr>
          <w:color w:val="000000" w:themeColor="text1"/>
          <w14:textFill>
            <w14:solidFill>
              <w14:schemeClr w14:val="tx1"/>
            </w14:solidFill>
          </w14:textFill>
        </w:rPr>
      </w:pPr>
      <w:r>
        <w:rPr>
          <w:b/>
          <w:color w:val="000000" w:themeColor="text1"/>
          <w14:textFill>
            <w14:solidFill>
              <w14:schemeClr w14:val="tx1"/>
            </w14:solidFill>
          </w14:textFill>
        </w:rPr>
        <w:t>焚烧过程管控措施</w:t>
      </w:r>
      <w:r>
        <w:rPr>
          <w:color w:val="000000" w:themeColor="text1"/>
          <w14:textFill>
            <w14:solidFill>
              <w14:schemeClr w14:val="tx1"/>
            </w14:solidFill>
          </w14:textFill>
        </w:rPr>
        <w:t>：热解焙烧窑采用外加热间接加热方式，天然气燃烧烟气与废盐不直接接触，避免燃料燃烧污染物与废盐热解污染物叠加；二燃室温度控制在≥1100℃，烟气停留时间≥2.5s，燃烧效率≥99.9%，焚毁去除率≥99.99%，可充分分解烟气中的有机污染物及二噁英前体物。该措施符合《危险废物焚烧污染控制标准》（GB18484-2020）对焚烧温度、停留时间的强制性要求，设备配置（比调式天然气燃烧器、环形二次供风装置）成熟可靠，自动化控制程度高，可通过控制室远程监控或自动调节，运行稳定性强。</w:t>
      </w:r>
    </w:p>
    <w:p w14:paraId="47D32D43">
      <w:pPr>
        <w:ind w:firstLine="482"/>
        <w:rPr>
          <w:color w:val="000000" w:themeColor="text1"/>
          <w14:textFill>
            <w14:solidFill>
              <w14:schemeClr w14:val="tx1"/>
            </w14:solidFill>
          </w14:textFill>
        </w:rPr>
      </w:pPr>
      <w:r>
        <w:rPr>
          <w:b/>
          <w:color w:val="000000" w:themeColor="text1"/>
          <w14:textFill>
            <w14:solidFill>
              <w14:schemeClr w14:val="tx1"/>
            </w14:solidFill>
          </w14:textFill>
        </w:rPr>
        <w:t>烟气末端治理措施</w:t>
      </w:r>
      <w:r>
        <w:rPr>
          <w:color w:val="000000" w:themeColor="text1"/>
          <w14:textFill>
            <w14:solidFill>
              <w14:schemeClr w14:val="tx1"/>
            </w14:solidFill>
          </w14:textFill>
        </w:rPr>
        <w:t>：SNCR脱硝系统：布置于二燃室出口950~1050℃温度窗口，采用</w:t>
      </w:r>
      <w:r>
        <w:rPr>
          <w:rFonts w:hint="eastAsia"/>
          <w:color w:val="000000" w:themeColor="text1"/>
          <w14:textFill>
            <w14:solidFill>
              <w14:schemeClr w14:val="tx1"/>
            </w14:solidFill>
          </w14:textFill>
        </w:rPr>
        <w:t>10%氨水</w:t>
      </w:r>
      <w:r>
        <w:rPr>
          <w:color w:val="000000" w:themeColor="text1"/>
          <w14:textFill>
            <w14:solidFill>
              <w14:schemeClr w14:val="tx1"/>
            </w14:solidFill>
          </w14:textFill>
        </w:rPr>
        <w:t>作为还原剂，脱硝效率＞40%，可有效去除烟气中的NOₓ，工艺成熟、投资适中，无需催化剂，运行成本较低，适配项目烟气处理需求。</w:t>
      </w:r>
    </w:p>
    <w:p w14:paraId="0B7C3949">
      <w:pPr>
        <w:ind w:firstLine="480"/>
        <w:rPr>
          <w:color w:val="000000" w:themeColor="text1"/>
          <w14:textFill>
            <w14:solidFill>
              <w14:schemeClr w14:val="tx1"/>
            </w14:solidFill>
          </w14:textFill>
        </w:rPr>
      </w:pPr>
      <w:r>
        <w:rPr>
          <w:color w:val="000000" w:themeColor="text1"/>
          <w14:textFill>
            <w14:solidFill>
              <w14:schemeClr w14:val="tx1"/>
            </w14:solidFill>
          </w14:textFill>
        </w:rPr>
        <w:t>石墨急冷塔：可在1s内将1100℃以上烟气降至80℃以下，有效抑制二噁英再合成，同时吸收部分酸性气体（HF、HCl、SO₂），设备设计参数合理（进口烟气量~2800Nm³/h，循环水量80t/h），石墨材质耐腐蚀性强，适配高温烟气处理场景，技术可行性高。</w:t>
      </w:r>
    </w:p>
    <w:p w14:paraId="37AE661C">
      <w:pPr>
        <w:ind w:firstLine="480"/>
        <w:rPr>
          <w:color w:val="000000" w:themeColor="text1"/>
          <w14:textFill>
            <w14:solidFill>
              <w14:schemeClr w14:val="tx1"/>
            </w14:solidFill>
          </w14:textFill>
        </w:rPr>
      </w:pPr>
      <w:r>
        <w:rPr>
          <w:color w:val="000000" w:themeColor="text1"/>
          <w14:textFill>
            <w14:solidFill>
              <w14:schemeClr w14:val="tx1"/>
            </w14:solidFill>
          </w14:textFill>
        </w:rPr>
        <w:t>二级碱洗塔+水洗塔：二级碱洗塔采用NaOH溶液中和烟气中的酸性气体，水洗塔进一步吸收逃逸的酸性物质，且水洗废水可逆流回用于碱洗塔，实现水资源循环利用，单台碱洗塔喷淋量20T/h，双塔设计可确保脱酸效果，脱酸效率可达95%以上，能够满足酸性气体达标排放要求。</w:t>
      </w:r>
    </w:p>
    <w:p w14:paraId="389009AD">
      <w:pPr>
        <w:ind w:firstLine="480"/>
        <w:rPr>
          <w:color w:val="000000" w:themeColor="text1"/>
          <w14:textFill>
            <w14:solidFill>
              <w14:schemeClr w14:val="tx1"/>
            </w14:solidFill>
          </w14:textFill>
        </w:rPr>
      </w:pPr>
      <w:r>
        <w:rPr>
          <w:color w:val="000000" w:themeColor="text1"/>
          <w14:textFill>
            <w14:solidFill>
              <w14:schemeClr w14:val="tx1"/>
            </w14:solidFill>
          </w14:textFill>
        </w:rPr>
        <w:t>湿电除尘器：用于捕捉烟气中的细微粉尘、液滴、PM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及重金属颗粒，除尘（雾）效率≥9</w:t>
      </w:r>
      <w:r>
        <w:rPr>
          <w:rFonts w:hint="eastAsia"/>
          <w:color w:val="000000" w:themeColor="text1"/>
          <w14:textFill>
            <w14:solidFill>
              <w14:schemeClr w14:val="tx1"/>
            </w14:solidFill>
          </w14:textFill>
        </w:rPr>
        <w:t>9.5</w:t>
      </w:r>
      <w:r>
        <w:rPr>
          <w:color w:val="000000" w:themeColor="text1"/>
          <w14:textFill>
            <w14:solidFill>
              <w14:schemeClr w14:val="tx1"/>
            </w14:solidFill>
          </w14:textFill>
        </w:rPr>
        <w:t>%，间断喷淋冲洗设计可避免设备堵塞，适配湿法烟气处理后的尾气净化，技术成熟、运行稳定。</w:t>
      </w:r>
    </w:p>
    <w:p w14:paraId="08D012F5">
      <w:pPr>
        <w:ind w:firstLine="480"/>
        <w:rPr>
          <w:color w:val="000000" w:themeColor="text1"/>
          <w14:textFill>
            <w14:solidFill>
              <w14:schemeClr w14:val="tx1"/>
            </w14:solidFill>
          </w14:textFill>
        </w:rPr>
      </w:pPr>
      <w:r>
        <w:rPr>
          <w:color w:val="000000" w:themeColor="text1"/>
          <w14:textFill>
            <w14:solidFill>
              <w14:schemeClr w14:val="tx1"/>
            </w14:solidFill>
          </w14:textFill>
        </w:rPr>
        <w:t>活性炭吸附塔：采用比表面积＞700m²/h的活性炭，对烟气中的二噁英、重金属等残余污染物进行深度吸附，活性炭使用寿命2000h，更换便捷，可确保尾气中微量污染物达标，补充了前序治理工艺的不足，进一步降低排放风险。</w:t>
      </w:r>
    </w:p>
    <w:p w14:paraId="31740411">
      <w:pPr>
        <w:ind w:firstLine="480"/>
        <w:rPr>
          <w:color w:val="000000" w:themeColor="text1"/>
          <w14:textFill>
            <w14:solidFill>
              <w14:schemeClr w14:val="tx1"/>
            </w14:solidFill>
          </w14:textFill>
        </w:rPr>
      </w:pPr>
      <w:r>
        <w:rPr>
          <w:color w:val="000000" w:themeColor="text1"/>
          <w14:textFill>
            <w14:solidFill>
              <w14:schemeClr w14:val="tx1"/>
            </w14:solidFill>
          </w14:textFill>
        </w:rPr>
        <w:t>SCR脱硝系统：采用低温SCR技术，以</w:t>
      </w:r>
      <w:r>
        <w:rPr>
          <w:rFonts w:hint="eastAsia"/>
          <w:color w:val="000000" w:themeColor="text1"/>
          <w14:textFill>
            <w14:solidFill>
              <w14:schemeClr w14:val="tx1"/>
            </w14:solidFill>
          </w14:textFill>
        </w:rPr>
        <w:t>10%氨水</w:t>
      </w:r>
      <w:r>
        <w:rPr>
          <w:color w:val="000000" w:themeColor="text1"/>
          <w14:textFill>
            <w14:solidFill>
              <w14:schemeClr w14:val="tx1"/>
            </w14:solidFill>
          </w14:textFill>
        </w:rPr>
        <w:t>为还原剂，脱硝效率＞90%，可将出口NOₓ浓度控制在＜85mg/m³，通过GGH换热及热风炉补温，确保烟气温度满足160~250℃的脱硝反应要求，设备配置贴合项目烟气流量（</w:t>
      </w:r>
      <w:r>
        <w:rPr>
          <w:rFonts w:hint="eastAsia"/>
          <w:color w:val="000000" w:themeColor="text1"/>
          <w14:textFill>
            <w14:solidFill>
              <w14:schemeClr w14:val="tx1"/>
            </w14:solidFill>
          </w14:textFill>
        </w:rPr>
        <w:t>4000</w:t>
      </w:r>
      <w:r>
        <w:rPr>
          <w:color w:val="000000" w:themeColor="text1"/>
          <w14:textFill>
            <w14:solidFill>
              <w14:schemeClr w14:val="tx1"/>
            </w14:solidFill>
          </w14:textFill>
        </w:rPr>
        <w:t>Nm³/h），虽存在催化剂易中毒、运行成本较高的问题，但作为末端深度脱硝措施，可确保NOₓ排放达标，技术上可通过定期更换催化剂、优化运行参数规避缺陷。</w:t>
      </w:r>
    </w:p>
    <w:p w14:paraId="4ACCC975">
      <w:pPr>
        <w:ind w:firstLine="480"/>
        <w:rPr>
          <w:color w:val="000000" w:themeColor="text1"/>
          <w14:textFill>
            <w14:solidFill>
              <w14:schemeClr w14:val="tx1"/>
            </w14:solidFill>
          </w14:textFill>
        </w:rPr>
      </w:pPr>
      <w:r>
        <w:rPr>
          <w:color w:val="000000" w:themeColor="text1"/>
          <w14:textFill>
            <w14:solidFill>
              <w14:schemeClr w14:val="tx1"/>
            </w14:solidFill>
          </w14:textFill>
        </w:rPr>
        <w:t>烟囱：采用50m高玻璃钢烟囱，出口直径400mm，满足《危险废物焚烧污染控制标准》（GB18484-2020）中“焚烧量≥2500kg/h时排气筒高度不小于50m”的要求，玻璃钢材质耐腐蚀性强，顶部设置避雷针，可有效避免烟气扩散过程中的二次污染，设计合理、安全可靠。</w:t>
      </w:r>
    </w:p>
    <w:p w14:paraId="2D5959B5">
      <w:pPr>
        <w:ind w:firstLine="482"/>
        <w:rPr>
          <w:color w:val="000000" w:themeColor="text1"/>
          <w14:textFill>
            <w14:solidFill>
              <w14:schemeClr w14:val="tx1"/>
            </w14:solidFill>
          </w14:textFill>
        </w:rPr>
      </w:pPr>
      <w:r>
        <w:rPr>
          <w:b/>
          <w:color w:val="000000" w:themeColor="text1"/>
          <w14:textFill>
            <w14:solidFill>
              <w14:schemeClr w14:val="tx1"/>
            </w14:solidFill>
          </w14:textFill>
        </w:rPr>
        <w:t>在线监测措施</w:t>
      </w:r>
      <w:r>
        <w:rPr>
          <w:color w:val="000000" w:themeColor="text1"/>
          <w14:textFill>
            <w14:solidFill>
              <w14:schemeClr w14:val="tx1"/>
            </w14:solidFill>
          </w14:textFill>
        </w:rPr>
        <w:t>：采用直接抽取法烟气在线监测系统（CEMS），监测参数包括烟气量、SO₂、NOₓ、颗粒物、HCl、CO、O₂，实现全自动化监测、校正及数据传输，具备压力、温度补偿功能，可实时监控烟气排放浓度，及时发现异常并处理，符合环保管理要求，管理可操作性强。</w:t>
      </w:r>
    </w:p>
    <w:p w14:paraId="2B12C230">
      <w:pPr>
        <w:ind w:firstLine="480"/>
        <w:rPr>
          <w:color w:val="000000" w:themeColor="text1"/>
          <w14:textFill>
            <w14:solidFill>
              <w14:schemeClr w14:val="tx1"/>
            </w14:solidFill>
          </w14:textFill>
        </w:rPr>
      </w:pPr>
      <w:r>
        <w:rPr>
          <w:color w:val="000000" w:themeColor="text1"/>
          <w14:textFill>
            <w14:solidFill>
              <w14:schemeClr w14:val="tx1"/>
            </w14:solidFill>
          </w14:textFill>
        </w:rPr>
        <w:t>根据《排污许可证申请与核发技术规范 危险废物焚烧》（HJ 1038-2019），推荐废气污染防治设施如下：</w:t>
      </w:r>
    </w:p>
    <w:p w14:paraId="683C80E5">
      <w:pPr>
        <w:ind w:firstLine="480"/>
        <w:rPr>
          <w:color w:val="000000" w:themeColor="text1"/>
          <w14:textFill>
            <w14:solidFill>
              <w14:schemeClr w14:val="tx1"/>
            </w14:solidFill>
          </w14:textFill>
        </w:rPr>
      </w:pPr>
    </w:p>
    <w:p w14:paraId="7FBB0ABE">
      <w:pPr>
        <w:widowControl/>
        <w:autoSpaceDE/>
        <w:autoSpaceDN/>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br w:type="page"/>
      </w:r>
    </w:p>
    <w:p w14:paraId="345A62BB">
      <w:pPr>
        <w:widowControl/>
        <w:autoSpaceDE/>
        <w:autoSpaceDN/>
        <w:spacing w:line="240" w:lineRule="auto"/>
        <w:ind w:firstLine="0" w:firstLineChars="0"/>
        <w:rPr>
          <w:color w:val="000000" w:themeColor="text1"/>
          <w14:textFill>
            <w14:solidFill>
              <w14:schemeClr w14:val="tx1"/>
            </w14:solidFill>
          </w14:textFill>
        </w:rPr>
        <w:sectPr>
          <w:headerReference r:id="rId29" w:type="first"/>
          <w:footerReference r:id="rId32" w:type="first"/>
          <w:headerReference r:id="rId27" w:type="default"/>
          <w:footerReference r:id="rId30" w:type="default"/>
          <w:headerReference r:id="rId28" w:type="even"/>
          <w:footerReference r:id="rId31" w:type="even"/>
          <w:type w:val="nextColumn"/>
          <w:pgSz w:w="11906" w:h="16838"/>
          <w:pgMar w:top="1418" w:right="1247" w:bottom="1418" w:left="1247" w:header="964" w:footer="964" w:gutter="0"/>
          <w:cols w:space="720" w:num="1"/>
          <w:docGrid w:linePitch="312" w:charSpace="0"/>
        </w:sectPr>
      </w:pPr>
    </w:p>
    <w:p w14:paraId="709B7D43">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《排污许可证申请与核发技术规范 危险废物焚烧》（HJ 1038-2019）推荐废气污染防治设施一览表</w:t>
      </w:r>
    </w:p>
    <w:p w14:paraId="6E712397">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8957310" cy="4702175"/>
            <wp:effectExtent l="0" t="0" r="0" b="3175"/>
            <wp:docPr id="50714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169" name="图片 1"/>
                    <pic:cNvPicPr>
                      <a:picLocks noChangeAspect="1"/>
                    </pic:cNvPicPr>
                  </pic:nvPicPr>
                  <pic:blipFill>
                    <a:blip r:embed="rId65"/>
                    <a:stretch>
                      <a:fillRect/>
                    </a:stretch>
                  </pic:blipFill>
                  <pic:spPr>
                    <a:xfrm>
                      <a:off x="0" y="0"/>
                      <a:ext cx="8977736" cy="4713342"/>
                    </a:xfrm>
                    <a:prstGeom prst="rect">
                      <a:avLst/>
                    </a:prstGeom>
                  </pic:spPr>
                </pic:pic>
              </a:graphicData>
            </a:graphic>
          </wp:inline>
        </w:drawing>
      </w:r>
    </w:p>
    <w:p w14:paraId="7975B980">
      <w:pPr>
        <w:widowControl/>
        <w:autoSpaceDE/>
        <w:autoSpaceDN/>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8926195" cy="4277995"/>
            <wp:effectExtent l="0" t="0" r="8255" b="8255"/>
            <wp:docPr id="446287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87539" name="图片 1"/>
                    <pic:cNvPicPr>
                      <a:picLocks noChangeAspect="1"/>
                    </pic:cNvPicPr>
                  </pic:nvPicPr>
                  <pic:blipFill>
                    <a:blip r:embed="rId66"/>
                    <a:stretch>
                      <a:fillRect/>
                    </a:stretch>
                  </pic:blipFill>
                  <pic:spPr>
                    <a:xfrm>
                      <a:off x="0" y="0"/>
                      <a:ext cx="8935137" cy="4282566"/>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br w:type="page"/>
      </w:r>
    </w:p>
    <w:p w14:paraId="0A8A63E6">
      <w:pPr>
        <w:ind w:firstLine="480"/>
        <w:rPr>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p>
    <w:p w14:paraId="57D9B3D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热解焙烧废气处理工艺为“二燃室（SNCR）+石墨急冷塔+二级碱洗塔+水洗塔+湿电除尘+引风机+活性炭吸附+GGH换热+热风炉（电加热）+SCR”。项目所采用的废气处理设施均属于《排污许可证申请与核发技术规范 危险废物焚烧》（HJ 1038-2019）中的推荐工艺。</w:t>
      </w:r>
    </w:p>
    <w:p w14:paraId="57D3442D">
      <w:pPr>
        <w:ind w:firstLine="480"/>
        <w:rPr>
          <w:color w:val="000000" w:themeColor="text1"/>
          <w14:textFill>
            <w14:solidFill>
              <w14:schemeClr w14:val="tx1"/>
            </w14:solidFill>
          </w14:textFill>
        </w:rPr>
      </w:pPr>
      <w:r>
        <w:rPr>
          <w:color w:val="000000" w:themeColor="text1"/>
          <w14:textFill>
            <w14:solidFill>
              <w14:schemeClr w14:val="tx1"/>
            </w14:solidFill>
          </w14:textFill>
        </w:rPr>
        <w:t>综上，有组织烟气防治措施工艺路线完整、设备配置合理，各环节相互衔接，可有效去除烟气中的各类污染物，确保排放浓度满足相关标准要求，技术成熟、运行稳定，经济上与项目总投资匹配，管理可操作性强，可行性良好。</w:t>
      </w:r>
    </w:p>
    <w:p w14:paraId="1CB07CF0">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达标排放可行性分析</w:t>
      </w:r>
    </w:p>
    <w:p w14:paraId="39B5B28B">
      <w:pPr>
        <w:ind w:firstLine="480"/>
        <w:rPr>
          <w:color w:val="000000" w:themeColor="text1"/>
          <w14:textFill>
            <w14:solidFill>
              <w14:schemeClr w14:val="tx1"/>
            </w14:solidFill>
          </w14:textFill>
        </w:rPr>
      </w:pPr>
      <w:r>
        <w:rPr>
          <w:color w:val="000000" w:themeColor="text1"/>
          <w14:textFill>
            <w14:solidFill>
              <w14:schemeClr w14:val="tx1"/>
            </w14:solidFill>
          </w14:textFill>
        </w:rPr>
        <w:t>热解尾气经燃烧室充分燃烧，会产生烟尘、SO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HCl、HF、CO、二噁英等污染物，经过“二燃室（SNCR）+石墨急冷塔+二级碱洗塔+水洗塔+湿电除尘+活性炭吸附+GGH换热+热风炉+SCR”处理后，各污染物能够处理后可满足全面优于《危险废物焚烧污染控制标准》（GB18484-2020）的设计排放限值要求。</w:t>
      </w:r>
    </w:p>
    <w:p w14:paraId="0A8F508C">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在严格控制入厂废物接收品质，保证各项污染防治设施正常运行，加强生产设备运行维护的前提下，本项目采用的热解焙烧窑废气治理措施在技术上是可行的，类比同类工程运行情况，热解焙烧窑废气经“二燃室（SNCR）+石墨急冷塔+二级碱洗塔+水洗塔+湿电除尘+活性炭吸附+GGH换热+热风炉+SCR”处理后可确保各项污染物稳定达标排放。</w:t>
      </w:r>
    </w:p>
    <w:p w14:paraId="3711BA5D">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仓库存储废气</w:t>
      </w:r>
    </w:p>
    <w:p w14:paraId="3E2761C5">
      <w:pPr>
        <w:ind w:firstLine="482"/>
        <w:rPr>
          <w:b/>
          <w:color w:val="000000" w:themeColor="text1"/>
          <w14:textFill>
            <w14:solidFill>
              <w14:schemeClr w14:val="tx1"/>
            </w14:solidFill>
          </w14:textFill>
        </w:rPr>
      </w:pPr>
      <w:r>
        <w:rPr>
          <w:b/>
          <w:color w:val="000000" w:themeColor="text1"/>
          <w14:textFill>
            <w14:solidFill>
              <w14:schemeClr w14:val="tx1"/>
            </w14:solidFill>
          </w14:textFill>
        </w:rPr>
        <w:t>1、处理方案</w:t>
      </w:r>
    </w:p>
    <w:p w14:paraId="07DE9032">
      <w:pPr>
        <w:ind w:firstLine="480"/>
        <w:rPr>
          <w:color w:val="000000" w:themeColor="text1"/>
          <w14:textFill>
            <w14:solidFill>
              <w14:schemeClr w14:val="tx1"/>
            </w14:solidFill>
          </w14:textFill>
        </w:rPr>
      </w:pPr>
      <w:r>
        <w:rPr>
          <w:color w:val="000000" w:themeColor="text1"/>
          <w14:textFill>
            <w14:solidFill>
              <w14:schemeClr w14:val="tx1"/>
            </w14:solidFill>
          </w14:textFill>
        </w:rPr>
        <w:t>根据仓库的设计情况，通风排气量参照《化工采暖通风与空气调节设计规定》（HG/T20698-2016），防爆通风换气次数4-5次考虑，仓库设置抽排风设施，负压运行，废气经二级活性炭处理。</w:t>
      </w:r>
    </w:p>
    <w:p w14:paraId="004E888A">
      <w:pPr>
        <w:pStyle w:val="28"/>
        <w:ind w:firstLine="480"/>
        <w:rPr>
          <w:rFonts w:ascii="Times New Roman" w:cs="Times New Roman"/>
          <w:color w:val="000000" w:themeColor="text1"/>
          <w14:textFill>
            <w14:solidFill>
              <w14:schemeClr w14:val="tx1"/>
            </w14:solidFill>
          </w14:textFill>
        </w:rPr>
      </w:pPr>
      <w:r>
        <w:rPr>
          <w:rFonts w:ascii="Times New Roman" w:cs="Times New Roman"/>
          <w:color w:val="000000" w:themeColor="text1"/>
          <w:lang w:val="zh-CN"/>
          <w14:textFill>
            <w14:solidFill>
              <w14:schemeClr w14:val="tx1"/>
            </w14:solidFill>
          </w14:textFill>
        </w:rPr>
        <w:t>本项目废盐处置前需要按照热解炉设计进料要求对不同种类的废盐进行配伍，配伍过程中废盐吸附的VOCs会有一部分散逸出来，本项目配伍工序在废盐仓库内进行，设置单独封闭的配伍间，并进行抽负压设计，废气与仓库废气共用1套二级活性炭吸附装置处理。</w:t>
      </w:r>
    </w:p>
    <w:p w14:paraId="17D87896">
      <w:pPr>
        <w:ind w:firstLine="480"/>
        <w:rPr>
          <w:color w:val="000000" w:themeColor="text1"/>
          <w14:textFill>
            <w14:solidFill>
              <w14:schemeClr w14:val="tx1"/>
            </w14:solidFill>
          </w14:textFill>
        </w:rPr>
      </w:pPr>
      <w:r>
        <w:rPr>
          <w:color w:val="000000" w:themeColor="text1"/>
          <w14:textFill>
            <w14:solidFill>
              <w14:schemeClr w14:val="tx1"/>
            </w14:solidFill>
          </w14:textFill>
        </w:rPr>
        <w:t>为进一步削减仓库储存废气VOCs有组织排放量，拟配置二级活性炭吸附装置，总体去除效率可达90%。仓库废气经处理后经15米排气筒排放，VOCs可以满足《大气污染物综合排放标准》（GB16297-1996）表 2标准要求。</w:t>
      </w:r>
    </w:p>
    <w:p w14:paraId="6696C4D8">
      <w:pPr>
        <w:ind w:firstLine="480"/>
        <w:rPr>
          <w:color w:val="000000" w:themeColor="text1"/>
          <w14:textFill>
            <w14:solidFill>
              <w14:schemeClr w14:val="tx1"/>
            </w14:solidFill>
          </w14:textFill>
        </w:rPr>
      </w:pPr>
      <w:r>
        <w:rPr>
          <w:color w:val="000000" w:themeColor="text1"/>
          <w14:textFill>
            <w14:solidFill>
              <w14:schemeClr w14:val="tx1"/>
            </w14:solidFill>
          </w14:textFill>
        </w:rPr>
        <w:t>同时，为进一步控制废盐仓库的无组织逸散，储存过程全程密封、负压，原料包装到厂后不拆封，全程密闭保存；所有装、卸货过程都在厂房内设置的周转区内进行；投料区、出料区均为全密闭房间，房间内设有废气收集口和收集管道，整个仓库、投料间整体换风，保持微负压状态，以保证废气得到有效收集，厂界有机废气污染物无组织监控浓度满足《大气污染物综合排放标准》（GB16297-1996）表 2无组织排放监控浓度限值，厂区内（厂房外）有机废气污染物无组织排放监控浓度满足《挥发性有机物无组织排放控制标准》（GB37822-2019）的要求。</w:t>
      </w:r>
    </w:p>
    <w:p w14:paraId="410A6EB5">
      <w:pPr>
        <w:ind w:firstLine="482"/>
        <w:rPr>
          <w:b/>
          <w:color w:val="000000" w:themeColor="text1"/>
          <w14:textFill>
            <w14:solidFill>
              <w14:schemeClr w14:val="tx1"/>
            </w14:solidFill>
          </w14:textFill>
        </w:rPr>
      </w:pPr>
      <w:r>
        <w:rPr>
          <w:b/>
          <w:color w:val="000000" w:themeColor="text1"/>
          <w14:textFill>
            <w14:solidFill>
              <w14:schemeClr w14:val="tx1"/>
            </w14:solidFill>
          </w14:textFill>
        </w:rPr>
        <w:t>2、处理工艺技术可行性分析</w:t>
      </w:r>
    </w:p>
    <w:p w14:paraId="4845E03C">
      <w:pPr>
        <w:ind w:firstLine="480"/>
        <w:rPr>
          <w:color w:val="000000" w:themeColor="text1"/>
          <w14:textFill>
            <w14:solidFill>
              <w14:schemeClr w14:val="tx1"/>
            </w14:solidFill>
          </w14:textFill>
        </w:rPr>
      </w:pPr>
      <w:r>
        <w:rPr>
          <w:color w:val="000000" w:themeColor="text1"/>
          <w14:textFill>
            <w14:solidFill>
              <w14:schemeClr w14:val="tx1"/>
            </w14:solidFill>
          </w14:textFill>
        </w:rPr>
        <w:t>目前常用的有机废气处理方法主要包括吸附、催化燃烧、吸附-催化燃烧、冷凝回收、吸附-冷凝回收、药剂吸收、低温等离子体、光催化等。各种方法的优缺点见下表</w:t>
      </w:r>
      <w:bookmarkStart w:id="462" w:name="_Ref4591457"/>
      <w:r>
        <w:rPr>
          <w:color w:val="000000" w:themeColor="text1"/>
          <w14:textFill>
            <w14:solidFill>
              <w14:schemeClr w14:val="tx1"/>
            </w14:solidFill>
          </w14:textFill>
        </w:rPr>
        <w:t>。</w:t>
      </w:r>
    </w:p>
    <w:bookmarkEnd w:id="462"/>
    <w:p w14:paraId="3BB82667">
      <w:pPr>
        <w:pStyle w:val="117"/>
        <w:rPr>
          <w:rFonts w:ascii="Times New Roman" w:hAnsi="Times New Roman" w:cs="Times New Roman"/>
          <w:b/>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有机废气治理方法的适用范围及优缺点比较</w:t>
      </w:r>
    </w:p>
    <w:tbl>
      <w:tblPr>
        <w:tblStyle w:val="76"/>
        <w:tblW w:w="50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303"/>
        <w:gridCol w:w="3275"/>
        <w:gridCol w:w="2620"/>
        <w:gridCol w:w="2526"/>
      </w:tblGrid>
      <w:tr w14:paraId="17AD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70" w:type="pct"/>
            <w:vAlign w:val="center"/>
          </w:tcPr>
          <w:p w14:paraId="22A617A2">
            <w:pPr>
              <w:pStyle w:val="109"/>
              <w:rPr>
                <w:color w:val="000000" w:themeColor="text1"/>
                <w14:textFill>
                  <w14:solidFill>
                    <w14:schemeClr w14:val="tx1"/>
                  </w14:solidFill>
                </w14:textFill>
              </w:rPr>
            </w:pPr>
            <w:r>
              <w:rPr>
                <w:color w:val="000000" w:themeColor="text1"/>
                <w14:textFill>
                  <w14:solidFill>
                    <w14:schemeClr w14:val="tx1"/>
                  </w14:solidFill>
                </w14:textFill>
              </w:rPr>
              <w:t>治理技术</w:t>
            </w:r>
          </w:p>
        </w:tc>
        <w:tc>
          <w:tcPr>
            <w:tcW w:w="1684" w:type="pct"/>
            <w:vAlign w:val="center"/>
          </w:tcPr>
          <w:p w14:paraId="58E57000">
            <w:pPr>
              <w:pStyle w:val="109"/>
              <w:rPr>
                <w:color w:val="000000" w:themeColor="text1"/>
                <w14:textFill>
                  <w14:solidFill>
                    <w14:schemeClr w14:val="tx1"/>
                  </w14:solidFill>
                </w14:textFill>
              </w:rPr>
            </w:pPr>
            <w:r>
              <w:rPr>
                <w:color w:val="000000" w:themeColor="text1"/>
                <w14:textFill>
                  <w14:solidFill>
                    <w14:schemeClr w14:val="tx1"/>
                  </w14:solidFill>
                </w14:textFill>
              </w:rPr>
              <w:t>原理</w:t>
            </w:r>
          </w:p>
        </w:tc>
        <w:tc>
          <w:tcPr>
            <w:tcW w:w="1347" w:type="pct"/>
            <w:vAlign w:val="center"/>
          </w:tcPr>
          <w:p w14:paraId="75069B25">
            <w:pPr>
              <w:pStyle w:val="109"/>
              <w:rPr>
                <w:color w:val="000000" w:themeColor="text1"/>
                <w14:textFill>
                  <w14:solidFill>
                    <w14:schemeClr w14:val="tx1"/>
                  </w14:solidFill>
                </w14:textFill>
              </w:rPr>
            </w:pPr>
            <w:r>
              <w:rPr>
                <w:color w:val="000000" w:themeColor="text1"/>
                <w14:textFill>
                  <w14:solidFill>
                    <w14:schemeClr w14:val="tx1"/>
                  </w14:solidFill>
                </w14:textFill>
              </w:rPr>
              <w:t>优点</w:t>
            </w:r>
          </w:p>
        </w:tc>
        <w:tc>
          <w:tcPr>
            <w:tcW w:w="1299" w:type="pct"/>
            <w:vAlign w:val="center"/>
          </w:tcPr>
          <w:p w14:paraId="197AD0E8">
            <w:pPr>
              <w:pStyle w:val="109"/>
              <w:rPr>
                <w:color w:val="000000" w:themeColor="text1"/>
                <w14:textFill>
                  <w14:solidFill>
                    <w14:schemeClr w14:val="tx1"/>
                  </w14:solidFill>
                </w14:textFill>
              </w:rPr>
            </w:pPr>
            <w:r>
              <w:rPr>
                <w:color w:val="000000" w:themeColor="text1"/>
                <w14:textFill>
                  <w14:solidFill>
                    <w14:schemeClr w14:val="tx1"/>
                  </w14:solidFill>
                </w14:textFill>
              </w:rPr>
              <w:t>缺点</w:t>
            </w:r>
          </w:p>
        </w:tc>
      </w:tr>
      <w:tr w14:paraId="560E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70" w:type="pct"/>
            <w:vAlign w:val="center"/>
          </w:tcPr>
          <w:p w14:paraId="65122382">
            <w:pPr>
              <w:pStyle w:val="109"/>
              <w:rPr>
                <w:color w:val="000000" w:themeColor="text1"/>
                <w14:textFill>
                  <w14:solidFill>
                    <w14:schemeClr w14:val="tx1"/>
                  </w14:solidFill>
                </w14:textFill>
              </w:rPr>
            </w:pPr>
            <w:r>
              <w:rPr>
                <w:color w:val="000000" w:themeColor="text1"/>
                <w14:textFill>
                  <w14:solidFill>
                    <w14:schemeClr w14:val="tx1"/>
                  </w14:solidFill>
                </w14:textFill>
              </w:rPr>
              <w:t>吸附法</w:t>
            </w:r>
          </w:p>
        </w:tc>
        <w:tc>
          <w:tcPr>
            <w:tcW w:w="1684" w:type="pct"/>
            <w:vAlign w:val="center"/>
          </w:tcPr>
          <w:p w14:paraId="03E9185C">
            <w:pPr>
              <w:pStyle w:val="109"/>
              <w:rPr>
                <w:color w:val="000000" w:themeColor="text1"/>
                <w14:textFill>
                  <w14:solidFill>
                    <w14:schemeClr w14:val="tx1"/>
                  </w14:solidFill>
                </w14:textFill>
              </w:rPr>
            </w:pPr>
            <w:r>
              <w:rPr>
                <w:color w:val="000000" w:themeColor="text1"/>
                <w14:textFill>
                  <w14:solidFill>
                    <w14:schemeClr w14:val="tx1"/>
                  </w14:solidFill>
                </w14:textFill>
              </w:rPr>
              <w:t>利用某些具有吸附能力的物质如活性炭等吸附有害成分而达到消除有害污染的目的。</w:t>
            </w:r>
          </w:p>
        </w:tc>
        <w:tc>
          <w:tcPr>
            <w:tcW w:w="1347" w:type="pct"/>
            <w:vAlign w:val="center"/>
          </w:tcPr>
          <w:p w14:paraId="205824A4">
            <w:pPr>
              <w:pStyle w:val="109"/>
              <w:rPr>
                <w:color w:val="000000" w:themeColor="text1"/>
                <w14:textFill>
                  <w14:solidFill>
                    <w14:schemeClr w14:val="tx1"/>
                  </w14:solidFill>
                </w14:textFill>
              </w:rPr>
            </w:pPr>
            <w:r>
              <w:rPr>
                <w:color w:val="000000" w:themeColor="text1"/>
                <w14:textFill>
                  <w14:solidFill>
                    <w14:schemeClr w14:val="tx1"/>
                  </w14:solidFill>
                </w14:textFill>
              </w:rPr>
              <w:t>去除效率高、能耗低、工艺成熟、脱附后溶剂可回收。</w:t>
            </w:r>
          </w:p>
        </w:tc>
        <w:tc>
          <w:tcPr>
            <w:tcW w:w="1299" w:type="pct"/>
            <w:vAlign w:val="center"/>
          </w:tcPr>
          <w:p w14:paraId="7082694A">
            <w:pPr>
              <w:pStyle w:val="109"/>
              <w:rPr>
                <w:color w:val="000000" w:themeColor="text1"/>
                <w14:textFill>
                  <w14:solidFill>
                    <w14:schemeClr w14:val="tx1"/>
                  </w14:solidFill>
                </w14:textFill>
              </w:rPr>
            </w:pPr>
            <w:r>
              <w:rPr>
                <w:color w:val="000000" w:themeColor="text1"/>
                <w14:textFill>
                  <w14:solidFill>
                    <w14:schemeClr w14:val="tx1"/>
                  </w14:solidFill>
                </w14:textFill>
              </w:rPr>
              <w:t>运行费用较高，有二次污染（废吸附材料等）产生。</w:t>
            </w:r>
          </w:p>
        </w:tc>
      </w:tr>
      <w:tr w14:paraId="3EC2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70" w:type="pct"/>
            <w:vAlign w:val="center"/>
          </w:tcPr>
          <w:p w14:paraId="771BF817">
            <w:pPr>
              <w:pStyle w:val="109"/>
              <w:rPr>
                <w:color w:val="000000" w:themeColor="text1"/>
                <w14:textFill>
                  <w14:solidFill>
                    <w14:schemeClr w14:val="tx1"/>
                  </w14:solidFill>
                </w14:textFill>
              </w:rPr>
            </w:pPr>
            <w:r>
              <w:rPr>
                <w:color w:val="000000" w:themeColor="text1"/>
                <w14:textFill>
                  <w14:solidFill>
                    <w14:schemeClr w14:val="tx1"/>
                  </w14:solidFill>
                </w14:textFill>
              </w:rPr>
              <w:t>吸收法</w:t>
            </w:r>
          </w:p>
        </w:tc>
        <w:tc>
          <w:tcPr>
            <w:tcW w:w="1684" w:type="pct"/>
            <w:vAlign w:val="center"/>
          </w:tcPr>
          <w:p w14:paraId="07097967">
            <w:pPr>
              <w:pStyle w:val="109"/>
              <w:rPr>
                <w:color w:val="000000" w:themeColor="text1"/>
                <w14:textFill>
                  <w14:solidFill>
                    <w14:schemeClr w14:val="tx1"/>
                  </w14:solidFill>
                </w14:textFill>
              </w:rPr>
            </w:pPr>
            <w:r>
              <w:rPr>
                <w:color w:val="000000" w:themeColor="text1"/>
                <w14:textFill>
                  <w14:solidFill>
                    <w14:schemeClr w14:val="tx1"/>
                  </w14:solidFill>
                </w14:textFill>
              </w:rPr>
              <w:t>用适当的吸收剂对废气中有机组分进行物理吸收，温度范围为常温</w:t>
            </w:r>
          </w:p>
        </w:tc>
        <w:tc>
          <w:tcPr>
            <w:tcW w:w="1347" w:type="pct"/>
            <w:vAlign w:val="center"/>
          </w:tcPr>
          <w:p w14:paraId="11831F64">
            <w:pPr>
              <w:pStyle w:val="109"/>
              <w:rPr>
                <w:color w:val="000000" w:themeColor="text1"/>
                <w14:textFill>
                  <w14:solidFill>
                    <w14:schemeClr w14:val="tx1"/>
                  </w14:solidFill>
                </w14:textFill>
              </w:rPr>
            </w:pPr>
            <w:r>
              <w:rPr>
                <w:color w:val="000000" w:themeColor="text1"/>
                <w14:textFill>
                  <w14:solidFill>
                    <w14:schemeClr w14:val="tx1"/>
                  </w14:solidFill>
                </w14:textFill>
              </w:rPr>
              <w:t>对废气浓度限制较小，适用于含有颗粒废气的净化。</w:t>
            </w:r>
          </w:p>
        </w:tc>
        <w:tc>
          <w:tcPr>
            <w:tcW w:w="1299" w:type="pct"/>
            <w:vAlign w:val="center"/>
          </w:tcPr>
          <w:p w14:paraId="6E57F0EE">
            <w:pPr>
              <w:pStyle w:val="109"/>
              <w:rPr>
                <w:color w:val="000000" w:themeColor="text1"/>
                <w14:textFill>
                  <w14:solidFill>
                    <w14:schemeClr w14:val="tx1"/>
                  </w14:solidFill>
                </w14:textFill>
              </w:rPr>
            </w:pPr>
            <w:r>
              <w:rPr>
                <w:color w:val="000000" w:themeColor="text1"/>
                <w14:textFill>
                  <w14:solidFill>
                    <w14:schemeClr w14:val="tx1"/>
                  </w14:solidFill>
                </w14:textFill>
              </w:rPr>
              <w:t>对成分复杂的废气或难以降解的VOCs，去除效果较差，且有二次污染产生。</w:t>
            </w:r>
          </w:p>
        </w:tc>
      </w:tr>
      <w:tr w14:paraId="3651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70" w:type="pct"/>
            <w:vAlign w:val="center"/>
          </w:tcPr>
          <w:p w14:paraId="4FF5EF6C">
            <w:pPr>
              <w:pStyle w:val="109"/>
              <w:rPr>
                <w:color w:val="000000" w:themeColor="text1"/>
                <w14:textFill>
                  <w14:solidFill>
                    <w14:schemeClr w14:val="tx1"/>
                  </w14:solidFill>
                </w14:textFill>
              </w:rPr>
            </w:pPr>
            <w:r>
              <w:rPr>
                <w:color w:val="000000" w:themeColor="text1"/>
                <w14:textFill>
                  <w14:solidFill>
                    <w14:schemeClr w14:val="tx1"/>
                  </w14:solidFill>
                </w14:textFill>
              </w:rPr>
              <w:t>热破坏法</w:t>
            </w:r>
          </w:p>
        </w:tc>
        <w:tc>
          <w:tcPr>
            <w:tcW w:w="1684" w:type="pct"/>
            <w:vAlign w:val="center"/>
          </w:tcPr>
          <w:p w14:paraId="28EEF46D">
            <w:pPr>
              <w:pStyle w:val="109"/>
              <w:rPr>
                <w:color w:val="000000" w:themeColor="text1"/>
                <w14:textFill>
                  <w14:solidFill>
                    <w14:schemeClr w14:val="tx1"/>
                  </w14:solidFill>
                </w14:textFill>
              </w:rPr>
            </w:pPr>
            <w:r>
              <w:rPr>
                <w:color w:val="000000" w:themeColor="text1"/>
                <w14:textFill>
                  <w14:solidFill>
                    <w14:schemeClr w14:val="tx1"/>
                  </w14:solidFill>
                </w14:textFill>
              </w:rPr>
              <w:t>分为直接燃烧法、催化燃烧法和浓缩燃烧法。其破坏机理是氧化、热裂解和热分解，从而达到治理VOCs的目的。</w:t>
            </w:r>
          </w:p>
        </w:tc>
        <w:tc>
          <w:tcPr>
            <w:tcW w:w="1347" w:type="pct"/>
            <w:vAlign w:val="center"/>
          </w:tcPr>
          <w:p w14:paraId="7223CC8A">
            <w:pPr>
              <w:pStyle w:val="109"/>
              <w:rPr>
                <w:color w:val="000000" w:themeColor="text1"/>
                <w14:textFill>
                  <w14:solidFill>
                    <w14:schemeClr w14:val="tx1"/>
                  </w14:solidFill>
                </w14:textFill>
              </w:rPr>
            </w:pPr>
            <w:r>
              <w:rPr>
                <w:color w:val="000000" w:themeColor="text1"/>
                <w14:textFill>
                  <w14:solidFill>
                    <w14:schemeClr w14:val="tx1"/>
                  </w14:solidFill>
                </w14:textFill>
              </w:rPr>
              <w:t>适合小风量，高浓度，连续排放的场合，设备简单，投资少，操作方便，占地面积少，可以回收利用热能，净化彻底；催化燃烧，起燃温度低。</w:t>
            </w:r>
          </w:p>
        </w:tc>
        <w:tc>
          <w:tcPr>
            <w:tcW w:w="1299" w:type="pct"/>
            <w:vAlign w:val="center"/>
          </w:tcPr>
          <w:p w14:paraId="626ACD41">
            <w:pPr>
              <w:pStyle w:val="109"/>
              <w:rPr>
                <w:color w:val="000000" w:themeColor="text1"/>
                <w14:textFill>
                  <w14:solidFill>
                    <w14:schemeClr w14:val="tx1"/>
                  </w14:solidFill>
                </w14:textFill>
              </w:rPr>
            </w:pPr>
            <w:r>
              <w:rPr>
                <w:color w:val="000000" w:themeColor="text1"/>
                <w14:textFill>
                  <w14:solidFill>
                    <w14:schemeClr w14:val="tx1"/>
                  </w14:solidFill>
                </w14:textFill>
              </w:rPr>
              <w:t>有燃烧爆炸危险，热力燃烧需消耗燃料，不能回收溶剂，催化燃烧的催化剂成本高，还存在中毒和寿命问题。</w:t>
            </w:r>
          </w:p>
        </w:tc>
      </w:tr>
      <w:tr w14:paraId="044A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70" w:type="pct"/>
            <w:vAlign w:val="center"/>
          </w:tcPr>
          <w:p w14:paraId="63F8C9DF">
            <w:pPr>
              <w:pStyle w:val="109"/>
              <w:rPr>
                <w:color w:val="000000" w:themeColor="text1"/>
                <w14:textFill>
                  <w14:solidFill>
                    <w14:schemeClr w14:val="tx1"/>
                  </w14:solidFill>
                </w14:textFill>
              </w:rPr>
            </w:pPr>
            <w:r>
              <w:rPr>
                <w:color w:val="000000" w:themeColor="text1"/>
                <w14:textFill>
                  <w14:solidFill>
                    <w14:schemeClr w14:val="tx1"/>
                  </w14:solidFill>
                </w14:textFill>
              </w:rPr>
              <w:t>生物法</w:t>
            </w:r>
          </w:p>
        </w:tc>
        <w:tc>
          <w:tcPr>
            <w:tcW w:w="1684" w:type="pct"/>
            <w:vAlign w:val="center"/>
          </w:tcPr>
          <w:p w14:paraId="5A656AF8">
            <w:pPr>
              <w:pStyle w:val="109"/>
              <w:rPr>
                <w:color w:val="000000" w:themeColor="text1"/>
                <w14:textFill>
                  <w14:solidFill>
                    <w14:schemeClr w14:val="tx1"/>
                  </w14:solidFill>
                </w14:textFill>
              </w:rPr>
            </w:pPr>
            <w:r>
              <w:rPr>
                <w:color w:val="000000" w:themeColor="text1"/>
                <w14:textFill>
                  <w14:solidFill>
                    <w14:schemeClr w14:val="tx1"/>
                  </w14:solidFill>
                </w14:textFill>
              </w:rPr>
              <w:t>利用微生物的新陈代谢过程对多种有机物和某些无机物进行生物降解，生成CO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和H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O，进而有效去除工业废气中的污染物质。</w:t>
            </w:r>
          </w:p>
        </w:tc>
        <w:tc>
          <w:tcPr>
            <w:tcW w:w="1347" w:type="pct"/>
            <w:vAlign w:val="center"/>
          </w:tcPr>
          <w:p w14:paraId="7FC588B4">
            <w:pPr>
              <w:pStyle w:val="109"/>
              <w:rPr>
                <w:color w:val="000000" w:themeColor="text1"/>
                <w14:textFill>
                  <w14:solidFill>
                    <w14:schemeClr w14:val="tx1"/>
                  </w14:solidFill>
                </w14:textFill>
              </w:rPr>
            </w:pPr>
            <w:r>
              <w:rPr>
                <w:color w:val="000000" w:themeColor="text1"/>
                <w14:textFill>
                  <w14:solidFill>
                    <w14:schemeClr w14:val="tx1"/>
                  </w14:solidFill>
                </w14:textFill>
              </w:rPr>
              <w:t>具有设备简单，运行维护费用低，无二次污染等优点</w:t>
            </w:r>
          </w:p>
        </w:tc>
        <w:tc>
          <w:tcPr>
            <w:tcW w:w="1299" w:type="pct"/>
            <w:vAlign w:val="center"/>
          </w:tcPr>
          <w:p w14:paraId="581A4EB6">
            <w:pPr>
              <w:pStyle w:val="109"/>
              <w:rPr>
                <w:color w:val="000000" w:themeColor="text1"/>
                <w14:textFill>
                  <w14:solidFill>
                    <w14:schemeClr w14:val="tx1"/>
                  </w14:solidFill>
                </w14:textFill>
              </w:rPr>
            </w:pPr>
            <w:r>
              <w:rPr>
                <w:color w:val="000000" w:themeColor="text1"/>
                <w14:textFill>
                  <w14:solidFill>
                    <w14:schemeClr w14:val="tx1"/>
                  </w14:solidFill>
                </w14:textFill>
              </w:rPr>
              <w:t>占地面积大，一次投资成本高。</w:t>
            </w:r>
          </w:p>
        </w:tc>
      </w:tr>
      <w:tr w14:paraId="29A3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70" w:type="pct"/>
            <w:vAlign w:val="center"/>
          </w:tcPr>
          <w:p w14:paraId="37B308A4">
            <w:pPr>
              <w:pStyle w:val="109"/>
              <w:rPr>
                <w:color w:val="000000" w:themeColor="text1"/>
                <w14:textFill>
                  <w14:solidFill>
                    <w14:schemeClr w14:val="tx1"/>
                  </w14:solidFill>
                </w14:textFill>
              </w:rPr>
            </w:pPr>
            <w:r>
              <w:rPr>
                <w:color w:val="000000" w:themeColor="text1"/>
                <w14:textFill>
                  <w14:solidFill>
                    <w14:schemeClr w14:val="tx1"/>
                  </w14:solidFill>
                </w14:textFill>
              </w:rPr>
              <w:t>低温等离子体技术</w:t>
            </w:r>
          </w:p>
        </w:tc>
        <w:tc>
          <w:tcPr>
            <w:tcW w:w="1684" w:type="pct"/>
            <w:vAlign w:val="center"/>
          </w:tcPr>
          <w:p w14:paraId="6A5F5A5C">
            <w:pPr>
              <w:pStyle w:val="109"/>
              <w:rPr>
                <w:color w:val="000000" w:themeColor="text1"/>
                <w14:textFill>
                  <w14:solidFill>
                    <w14:schemeClr w14:val="tx1"/>
                  </w14:solidFill>
                </w14:textFill>
              </w:rPr>
            </w:pPr>
            <w:r>
              <w:rPr>
                <w:color w:val="000000" w:themeColor="text1"/>
                <w14:textFill>
                  <w14:solidFill>
                    <w14:schemeClr w14:val="tx1"/>
                  </w14:solidFill>
                </w14:textFill>
              </w:rPr>
              <w:t>介质阻挡放电过程中，等离子体内部产生富含极高化学活性的粒子，如电子、离子、自由基和激发态分子等。废气中的污染物质与这些具有较高能量的活性基团发生反应，最终转化为CO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和H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O等物质，从而达到净化废气的目的。</w:t>
            </w:r>
          </w:p>
        </w:tc>
        <w:tc>
          <w:tcPr>
            <w:tcW w:w="1347" w:type="pct"/>
            <w:vAlign w:val="center"/>
          </w:tcPr>
          <w:p w14:paraId="671A7301">
            <w:pPr>
              <w:pStyle w:val="109"/>
              <w:rPr>
                <w:color w:val="000000" w:themeColor="text1"/>
                <w14:textFill>
                  <w14:solidFill>
                    <w14:schemeClr w14:val="tx1"/>
                  </w14:solidFill>
                </w14:textFill>
              </w:rPr>
            </w:pPr>
            <w:r>
              <w:rPr>
                <w:color w:val="000000" w:themeColor="text1"/>
                <w14:textFill>
                  <w14:solidFill>
                    <w14:schemeClr w14:val="tx1"/>
                  </w14:solidFill>
                </w14:textFill>
              </w:rPr>
              <w:t>电子能量高，几乎可以和所有的气体分子作用；运行费用低；反应快，设备启动、停止十分迅速，随用随开。</w:t>
            </w:r>
          </w:p>
        </w:tc>
        <w:tc>
          <w:tcPr>
            <w:tcW w:w="1299" w:type="pct"/>
            <w:vAlign w:val="center"/>
          </w:tcPr>
          <w:p w14:paraId="7CBAE9AA">
            <w:pPr>
              <w:pStyle w:val="109"/>
              <w:rPr>
                <w:color w:val="000000" w:themeColor="text1"/>
                <w14:textFill>
                  <w14:solidFill>
                    <w14:schemeClr w14:val="tx1"/>
                  </w14:solidFill>
                </w14:textFill>
              </w:rPr>
            </w:pPr>
            <w:r>
              <w:rPr>
                <w:color w:val="000000" w:themeColor="text1"/>
                <w14:textFill>
                  <w14:solidFill>
                    <w14:schemeClr w14:val="tx1"/>
                  </w14:solidFill>
                </w14:textFill>
              </w:rPr>
              <w:t>一次性投资较高，电耗大，运行费用高。</w:t>
            </w:r>
          </w:p>
        </w:tc>
      </w:tr>
      <w:tr w14:paraId="1D06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70" w:type="pct"/>
            <w:vAlign w:val="center"/>
          </w:tcPr>
          <w:p w14:paraId="73DE9E8E">
            <w:pPr>
              <w:pStyle w:val="109"/>
              <w:rPr>
                <w:color w:val="000000" w:themeColor="text1"/>
                <w14:textFill>
                  <w14:solidFill>
                    <w14:schemeClr w14:val="tx1"/>
                  </w14:solidFill>
                </w14:textFill>
              </w:rPr>
            </w:pPr>
            <w:r>
              <w:rPr>
                <w:color w:val="000000" w:themeColor="text1"/>
                <w14:textFill>
                  <w14:solidFill>
                    <w14:schemeClr w14:val="tx1"/>
                  </w14:solidFill>
                </w14:textFill>
              </w:rPr>
              <w:t>UV光解技术</w:t>
            </w:r>
          </w:p>
        </w:tc>
        <w:tc>
          <w:tcPr>
            <w:tcW w:w="1684" w:type="pct"/>
            <w:vAlign w:val="center"/>
          </w:tcPr>
          <w:p w14:paraId="3E759CA1">
            <w:pPr>
              <w:pStyle w:val="109"/>
              <w:rPr>
                <w:color w:val="000000" w:themeColor="text1"/>
                <w14:textFill>
                  <w14:solidFill>
                    <w14:schemeClr w14:val="tx1"/>
                  </w14:solidFill>
                </w14:textFill>
              </w:rPr>
            </w:pPr>
            <w:r>
              <w:rPr>
                <w:color w:val="000000" w:themeColor="text1"/>
                <w14:textFill>
                  <w14:solidFill>
                    <w14:schemeClr w14:val="tx1"/>
                  </w14:solidFill>
                </w14:textFill>
              </w:rPr>
              <w:t>在高能紫外线的作用下，一方面空气中的氧气被裂解，然后组合产生臭氧；另一方面将恶臭气体的化学键断裂，使之形成游离态的原子或基团；同时产生的臭氧参与到反应过程中，使恶臭气体最终被裂解、氧化生成简单的稳定的化合物，如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O、N</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等。</w:t>
            </w:r>
          </w:p>
        </w:tc>
        <w:tc>
          <w:tcPr>
            <w:tcW w:w="1347" w:type="pct"/>
            <w:vAlign w:val="center"/>
          </w:tcPr>
          <w:p w14:paraId="4106ADD2">
            <w:pPr>
              <w:pStyle w:val="109"/>
              <w:rPr>
                <w:color w:val="000000" w:themeColor="text1"/>
                <w14:textFill>
                  <w14:solidFill>
                    <w14:schemeClr w14:val="tx1"/>
                  </w14:solidFill>
                </w14:textFill>
              </w:rPr>
            </w:pPr>
            <w:r>
              <w:rPr>
                <w:color w:val="000000" w:themeColor="text1"/>
                <w14:textFill>
                  <w14:solidFill>
                    <w14:schemeClr w14:val="tx1"/>
                  </w14:solidFill>
                </w14:textFill>
              </w:rPr>
              <w:t>几乎可以和所有的气体分子作用；运行费用低；反应快，设备启动、停止十分迅速，随用随开。</w:t>
            </w:r>
          </w:p>
        </w:tc>
        <w:tc>
          <w:tcPr>
            <w:tcW w:w="1299" w:type="pct"/>
            <w:vAlign w:val="center"/>
          </w:tcPr>
          <w:p w14:paraId="38472941">
            <w:pPr>
              <w:pStyle w:val="109"/>
              <w:rPr>
                <w:color w:val="000000" w:themeColor="text1"/>
                <w14:textFill>
                  <w14:solidFill>
                    <w14:schemeClr w14:val="tx1"/>
                  </w14:solidFill>
                </w14:textFill>
              </w:rPr>
            </w:pPr>
            <w:r>
              <w:rPr>
                <w:color w:val="000000" w:themeColor="text1"/>
                <w14:textFill>
                  <w14:solidFill>
                    <w14:schemeClr w14:val="tx1"/>
                  </w14:solidFill>
                </w14:textFill>
              </w:rPr>
              <w:t>一次性投资较高，电耗大，运行费用高。</w:t>
            </w:r>
          </w:p>
        </w:tc>
      </w:tr>
    </w:tbl>
    <w:p w14:paraId="1E4B6F85">
      <w:pPr>
        <w:ind w:firstLine="480"/>
        <w:rPr>
          <w:color w:val="000000" w:themeColor="text1"/>
          <w14:textFill>
            <w14:solidFill>
              <w14:schemeClr w14:val="tx1"/>
            </w14:solidFill>
          </w14:textFill>
        </w:rPr>
      </w:pPr>
      <w:r>
        <w:rPr>
          <w:color w:val="000000" w:themeColor="text1"/>
          <w14:textFill>
            <w14:solidFill>
              <w14:schemeClr w14:val="tx1"/>
            </w14:solidFill>
          </w14:textFill>
        </w:rPr>
        <w:t>同时参考《大气污染治理工程技术导则》（HJ2000-2010）内容，挥发性有机化合物的基本处理方法包括回收类方法和消除类方法，回收类方法包括吸附法、吸收法、冷凝法和膜分离法；消除类方法包括燃烧法、生物法、低温等离子法和催化氧化法等。</w:t>
      </w:r>
    </w:p>
    <w:p w14:paraId="4F02062D">
      <w:pPr>
        <w:ind w:firstLine="480"/>
        <w:rPr>
          <w:color w:val="000000" w:themeColor="text1"/>
          <w14:textFill>
            <w14:solidFill>
              <w14:schemeClr w14:val="tx1"/>
            </w14:solidFill>
          </w14:textFill>
        </w:rPr>
      </w:pPr>
      <w:r>
        <w:rPr>
          <w:color w:val="000000" w:themeColor="text1"/>
          <w14:textFill>
            <w14:solidFill>
              <w14:schemeClr w14:val="tx1"/>
            </w14:solidFill>
          </w14:textFill>
        </w:rPr>
        <w:t>吸收法主要根据有机物相似相溶原理，采用沸点较高、蒸汽压较低的柴油、煤油作为溶剂，使VOCs从气相转移到液相中，然后对吸收液进行解吸处理，回收其中的有机化合物。吸收法具有去除效率高、能耗低、工艺成熟、脱附后溶剂可回收的优点，但吸收法对成分复杂的废气或难以降解的VOCs，去除效果较差，且有二次污染产生。</w:t>
      </w:r>
    </w:p>
    <w:p w14:paraId="1BB3C36B">
      <w:pPr>
        <w:ind w:firstLine="480"/>
        <w:rPr>
          <w:color w:val="000000" w:themeColor="text1"/>
          <w14:textFill>
            <w14:solidFill>
              <w14:schemeClr w14:val="tx1"/>
            </w14:solidFill>
          </w14:textFill>
        </w:rPr>
      </w:pPr>
      <w:r>
        <w:rPr>
          <w:color w:val="000000" w:themeColor="text1"/>
          <w14:textFill>
            <w14:solidFill>
              <w14:schemeClr w14:val="tx1"/>
            </w14:solidFill>
          </w14:textFill>
        </w:rPr>
        <w:t>吸附法多采用活性炭、活性炭纤维、分子筛等作为吸附剂，具有去除效率高、工艺成熟、一次性投资成本低的优点，但也存在一些问题：吸附剂需要及时更换、吸附后产生危险固废等缺点。</w:t>
      </w:r>
    </w:p>
    <w:p w14:paraId="5A5C95E5">
      <w:pPr>
        <w:ind w:firstLine="480"/>
        <w:rPr>
          <w:color w:val="000000" w:themeColor="text1"/>
          <w14:textFill>
            <w14:solidFill>
              <w14:schemeClr w14:val="tx1"/>
            </w14:solidFill>
          </w14:textFill>
        </w:rPr>
      </w:pPr>
      <w:r>
        <w:rPr>
          <w:color w:val="000000" w:themeColor="text1"/>
          <w14:textFill>
            <w14:solidFill>
              <w14:schemeClr w14:val="tx1"/>
            </w14:solidFill>
          </w14:textFill>
        </w:rPr>
        <w:t>燃烧法分为直接燃烧法、催化燃烧法和浓缩燃烧法。其破坏机理是氧化、热裂解和热分解，从而达到治理VOCs的目的。燃烧法适用于小风量、高浓度、连续排放的工况，占地面积少，可以回收利用热能，净化彻底；但有燃烧爆炸危险，热力燃烧需消耗燃料，不能回收溶剂，催化燃烧的催化剂成本高，还存在中毒和寿命问题。</w:t>
      </w:r>
    </w:p>
    <w:p w14:paraId="2CEF4A9C">
      <w:pPr>
        <w:ind w:firstLine="480"/>
        <w:rPr>
          <w:color w:val="000000" w:themeColor="text1"/>
          <w14:textFill>
            <w14:solidFill>
              <w14:schemeClr w14:val="tx1"/>
            </w14:solidFill>
          </w14:textFill>
        </w:rPr>
      </w:pPr>
      <w:r>
        <w:rPr>
          <w:color w:val="000000" w:themeColor="text1"/>
          <w14:textFill>
            <w14:solidFill>
              <w14:schemeClr w14:val="tx1"/>
            </w14:solidFill>
          </w14:textFill>
        </w:rPr>
        <w:t>生物法是通过附着在反应器内填料上的微生物，在新陈代谢过程中将废气中的污染物转化为简单的无机物（CO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O等）和微生物细胞质的过程。生物法设备简单，无运转部件，除臭除异味效果良好，运行维护费用低，无二次污染。但设备体积大，占地面积大，一次投资成本高。</w:t>
      </w:r>
    </w:p>
    <w:p w14:paraId="730E0308">
      <w:pPr>
        <w:ind w:firstLine="480"/>
        <w:rPr>
          <w:color w:val="000000" w:themeColor="text1"/>
          <w14:textFill>
            <w14:solidFill>
              <w14:schemeClr w14:val="tx1"/>
            </w14:solidFill>
          </w14:textFill>
        </w:rPr>
      </w:pPr>
      <w:r>
        <w:rPr>
          <w:color w:val="000000" w:themeColor="text1"/>
          <w14:textFill>
            <w14:solidFill>
              <w14:schemeClr w14:val="tx1"/>
            </w14:solidFill>
          </w14:textFill>
        </w:rPr>
        <w:t>UV光解技术是在高能紫外线的作用下，一方面空气中的氧气被裂解，然后组合产生臭氧；另一方面将恶臭气体的化学键断裂，使之形成游离态的原子或基团；同时产生的臭氧参与到反应过程中，使恶臭气体最终被裂解、氧化生成简单的稳定的化合物，如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O、N</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等。</w:t>
      </w:r>
    </w:p>
    <w:p w14:paraId="7B974B3B">
      <w:pPr>
        <w:ind w:firstLine="480"/>
        <w:rPr>
          <w:color w:val="000000" w:themeColor="text1"/>
          <w14:textFill>
            <w14:solidFill>
              <w14:schemeClr w14:val="tx1"/>
            </w14:solidFill>
          </w14:textFill>
        </w:rPr>
      </w:pPr>
      <w:r>
        <w:rPr>
          <w:color w:val="000000" w:themeColor="text1"/>
          <w14:textFill>
            <w14:solidFill>
              <w14:schemeClr w14:val="tx1"/>
            </w14:solidFill>
          </w14:textFill>
        </w:rPr>
        <w:t>低温等离子体技术是是利用特种高压电源供电，在一个由高压和接地电极形成的强电场中形成稳定的流光放电，流光放电可直接作用于有机气体，流光产生大量的自由基、OH、O、和O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等活性因子，同时也可打开有机气体中某些分子的化学链，使气体中的活性因子、自由基等混合产生氧化和还原反应，同时进行复杂的链式反应和协同反应，使有机气体在反应器中转化和生成无臭的水、二氧化碳和简单的碳水化合物。低温等离子体技术对污染物具有很大的广谱性，净化效率高，运行维护费用低，运行阻力小；但一次性投资成本高。</w:t>
      </w:r>
    </w:p>
    <w:p w14:paraId="762E040D">
      <w:pPr>
        <w:ind w:firstLine="480"/>
        <w:rPr>
          <w:color w:val="000000" w:themeColor="text1"/>
          <w14:textFill>
            <w14:solidFill>
              <w14:schemeClr w14:val="tx1"/>
            </w14:solidFill>
          </w14:textFill>
        </w:rPr>
      </w:pPr>
      <w:r>
        <w:rPr>
          <w:color w:val="000000" w:themeColor="text1"/>
          <w14:textFill>
            <w14:solidFill>
              <w14:schemeClr w14:val="tx1"/>
            </w14:solidFill>
          </w14:textFill>
        </w:rPr>
        <w:t>从投资成本及可操作性等方面考虑，本项目仓储存储废气治理选取活性炭吸附处理装置：</w:t>
      </w:r>
    </w:p>
    <w:p w14:paraId="5E5E5D08">
      <w:pPr>
        <w:ind w:firstLine="480"/>
        <w:rPr>
          <w:color w:val="000000" w:themeColor="text1"/>
          <w14:textFill>
            <w14:solidFill>
              <w14:schemeClr w14:val="tx1"/>
            </w14:solidFill>
          </w14:textFill>
        </w:rPr>
      </w:pPr>
      <w:r>
        <w:rPr>
          <w:color w:val="000000" w:themeColor="text1"/>
          <w14:textFill>
            <w14:solidFill>
              <w14:schemeClr w14:val="tx1"/>
            </w14:solidFill>
          </w14:textFill>
        </w:rPr>
        <w:t>活性炭吸附原理：指废气在风机的动力作用下，经过收集装置及管道进入主体治理设备—吸附器。吸附器内填充高效活性炭，活性炭具有巨大的比表面积（高达600～1500m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g）以及精细的多孔表面构造。废气经过活性炭时，其中的一种或几种组分浓集在固体表面，从而与其他组分分开，气体得到净化处理。该方法几乎适用于所有的气相污染物，一般是中低浓度的气相污染物，具有去除效率高等优点；由于活性炭本身对吸附气体有一定的饱和度，当活性炭达到饱和后需进行更换或再生。</w:t>
      </w:r>
    </w:p>
    <w:p w14:paraId="6523F4EA">
      <w:pPr>
        <w:ind w:firstLine="480"/>
        <w:rPr>
          <w:color w:val="000000" w:themeColor="text1"/>
          <w14:textFill>
            <w14:solidFill>
              <w14:schemeClr w14:val="tx1"/>
            </w14:solidFill>
          </w14:textFill>
        </w:rPr>
      </w:pPr>
      <w:r>
        <w:rPr>
          <w:color w:val="000000" w:themeColor="text1"/>
          <w14:textFill>
            <w14:solidFill>
              <w14:schemeClr w14:val="tx1"/>
            </w14:solidFill>
          </w14:textFill>
        </w:rPr>
        <w:t>从投资成本及可操作性等方面考虑，本项目有机废气治理选取活性炭吸附法处理工艺。活性炭具有非极性表面，为疏水性和亲有机物的吸附剂，表面积大，可有效吸附废气中的有机成分。活性炭吸附法是一种较为成熟、简单的工艺，经过多项工程实践和实际的使用情况表明，废气中的各项指标均达到国家允许排放标准，效果良好。</w:t>
      </w:r>
    </w:p>
    <w:p w14:paraId="2F779C43">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只要按相关规范做好抽排风设施和排气筒，确保仓库通风换气，采用二级活性炭吸附处理工艺，VOCs综合去除效率可达到90%以上，可保证废盐仓库储存废气满足参考标准《大气污染物综合排放标准》（GB16297-1996）表 2 二级标准要求。</w:t>
      </w:r>
    </w:p>
    <w:p w14:paraId="50B67E42">
      <w:pPr>
        <w:pStyle w:val="4"/>
        <w:rPr>
          <w:rFonts w:ascii="Times New Roman" w:cs="Times New Roman"/>
          <w:color w:val="000000" w:themeColor="text1"/>
          <w14:textFill>
            <w14:solidFill>
              <w14:schemeClr w14:val="tx1"/>
            </w14:solidFill>
          </w14:textFill>
        </w:rPr>
      </w:pPr>
      <w:bookmarkStart w:id="463" w:name="bookmark508"/>
      <w:r>
        <w:rPr>
          <w:rFonts w:ascii="Times New Roman" w:cs="Times New Roman"/>
          <w:color w:val="000000" w:themeColor="text1"/>
          <w14:textFill>
            <w14:solidFill>
              <w14:schemeClr w14:val="tx1"/>
            </w14:solidFill>
          </w14:textFill>
        </w:rPr>
        <w:t>排气筒设置合理性分析</w:t>
      </w:r>
      <w:bookmarkEnd w:id="463"/>
    </w:p>
    <w:p w14:paraId="233239C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本项目共有排气筒</w:t>
      </w:r>
      <w:r>
        <w:rPr>
          <w:rFonts w:eastAsiaTheme="minorEastAsia"/>
          <w:color w:val="000000" w:themeColor="text1"/>
          <w14:textFill>
            <w14:solidFill>
              <w14:schemeClr w14:val="tx1"/>
            </w14:solidFill>
          </w14:textFill>
        </w:rPr>
        <w:t>3</w:t>
      </w:r>
      <w:r>
        <w:rPr>
          <w:color w:val="000000" w:themeColor="text1"/>
          <w14:textFill>
            <w14:solidFill>
              <w14:schemeClr w14:val="tx1"/>
            </w14:solidFill>
          </w14:textFill>
        </w:rPr>
        <w:t>个，其中废盐仓库废气处理设施排气筒高度为15m、热解焙烧废气处理设施排气筒高度为50m、热解焙烧炉天然气燃烧烟气排气筒高度为15m。</w:t>
      </w:r>
    </w:p>
    <w:p w14:paraId="07A94FDC">
      <w:pPr>
        <w:ind w:firstLine="480"/>
        <w:rPr>
          <w:color w:val="000000" w:themeColor="text1"/>
          <w14:textFill>
            <w14:solidFill>
              <w14:schemeClr w14:val="tx1"/>
            </w14:solidFill>
          </w14:textFill>
        </w:rPr>
      </w:pPr>
      <w:r>
        <w:rPr>
          <w:color w:val="000000" w:themeColor="text1"/>
          <w14:textFill>
            <w14:solidFill>
              <w14:schemeClr w14:val="tx1"/>
            </w14:solidFill>
          </w14:textFill>
        </w:rPr>
        <w:t>热解焙烧废气处理设施排气筒高度可满足《危险废物焚烧污染控 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GB18484-2020</w:t>
      </w:r>
      <w:r>
        <w:rPr>
          <w:color w:val="000000" w:themeColor="text1"/>
          <w:lang w:bidi="en-US"/>
          <w14:textFill>
            <w14:solidFill>
              <w14:schemeClr w14:val="tx1"/>
            </w14:solidFill>
          </w14:textFill>
        </w:rPr>
        <w:t>）</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中</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焚烧处理能力</w:t>
      </w:r>
      <w:r>
        <w:rPr>
          <w:rFonts w:eastAsia="Arial Unicode MS"/>
          <w:color w:val="000000" w:themeColor="text1"/>
          <w:sz w:val="20"/>
          <w:szCs w:val="20"/>
          <w14:textFill>
            <w14:solidFill>
              <w14:schemeClr w14:val="tx1"/>
            </w14:solidFill>
          </w14:textFill>
        </w:rPr>
        <w:t>≥</w:t>
      </w:r>
      <w:r>
        <w:rPr>
          <w:rFonts w:eastAsia="Times New Roman"/>
          <w:color w:val="000000" w:themeColor="text1"/>
          <w:lang w:bidi="en-US"/>
          <w14:textFill>
            <w14:solidFill>
              <w14:schemeClr w14:val="tx1"/>
            </w14:solidFill>
          </w14:textFill>
        </w:rPr>
        <w:t>2500kg/h</w:t>
      </w:r>
      <w:r>
        <w:rPr>
          <w:color w:val="000000" w:themeColor="text1"/>
          <w:lang w:bidi="en-US"/>
          <w14:textFill>
            <w14:solidFill>
              <w14:schemeClr w14:val="tx1"/>
            </w14:solidFill>
          </w14:textFill>
        </w:rPr>
        <w:t>，</w:t>
      </w:r>
      <w:r>
        <w:rPr>
          <w:color w:val="000000" w:themeColor="text1"/>
          <w14:textFill>
            <w14:solidFill>
              <w14:schemeClr w14:val="tx1"/>
            </w14:solidFill>
          </w14:textFill>
        </w:rPr>
        <w:t>排气筒高度不低于</w:t>
      </w:r>
      <w:r>
        <w:rPr>
          <w:rFonts w:eastAsia="Times New Roman"/>
          <w:color w:val="000000" w:themeColor="text1"/>
          <w:lang w:bidi="en-US"/>
          <w14:textFill>
            <w14:solidFill>
              <w14:schemeClr w14:val="tx1"/>
            </w14:solidFill>
          </w14:textFill>
        </w:rPr>
        <w:t xml:space="preserve">50m” </w:t>
      </w:r>
      <w:r>
        <w:rPr>
          <w:color w:val="000000" w:themeColor="text1"/>
          <w14:textFill>
            <w14:solidFill>
              <w14:schemeClr w14:val="tx1"/>
            </w14:solidFill>
          </w14:textFill>
        </w:rPr>
        <w:t>要求。</w:t>
      </w:r>
    </w:p>
    <w:p w14:paraId="5F40B6ED">
      <w:pPr>
        <w:ind w:firstLine="480"/>
        <w:rPr>
          <w:color w:val="000000" w:themeColor="text1"/>
          <w14:textFill>
            <w14:solidFill>
              <w14:schemeClr w14:val="tx1"/>
            </w14:solidFill>
          </w14:textFill>
        </w:rPr>
      </w:pPr>
      <w:r>
        <w:rPr>
          <w:color w:val="000000" w:themeColor="text1"/>
          <w14:textFill>
            <w14:solidFill>
              <w14:schemeClr w14:val="tx1"/>
            </w14:solidFill>
          </w14:textFill>
        </w:rPr>
        <w:t>其他废气排气筒高度可满足《大气污染物综合排放标准》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GB16297-1996</w:t>
      </w:r>
      <w:r>
        <w:rPr>
          <w:color w:val="000000" w:themeColor="text1"/>
          <w:lang w:bidi="en-US"/>
          <w14:textFill>
            <w14:solidFill>
              <w14:schemeClr w14:val="tx1"/>
            </w14:solidFill>
          </w14:textFill>
        </w:rPr>
        <w:t>）</w:t>
      </w:r>
      <w:r>
        <w:rPr>
          <w:color w:val="000000" w:themeColor="text1"/>
          <w14:textFill>
            <w14:solidFill>
              <w14:schemeClr w14:val="tx1"/>
            </w14:solidFill>
          </w14:textFill>
        </w:rPr>
        <w:t>中</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大气污染物的排气筒高度不应该低于</w:t>
      </w:r>
      <w:r>
        <w:rPr>
          <w:rFonts w:eastAsia="Times New Roman"/>
          <w:color w:val="000000" w:themeColor="text1"/>
          <w:lang w:bidi="en-US"/>
          <w14:textFill>
            <w14:solidFill>
              <w14:schemeClr w14:val="tx1"/>
            </w14:solidFill>
          </w14:textFill>
        </w:rPr>
        <w:t>15m”</w:t>
      </w:r>
      <w:r>
        <w:rPr>
          <w:color w:val="000000" w:themeColor="text1"/>
          <w:lang w:bidi="en-US"/>
          <w14:textFill>
            <w14:solidFill>
              <w14:schemeClr w14:val="tx1"/>
            </w14:solidFill>
          </w14:textFill>
        </w:rPr>
        <w:t>、</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排气筒高度应高出本体建（构）筑物</w:t>
      </w:r>
      <w:r>
        <w:rPr>
          <w:rFonts w:eastAsia="Times New Roman"/>
          <w:color w:val="000000" w:themeColor="text1"/>
          <w:lang w:bidi="en-US"/>
          <w14:textFill>
            <w14:solidFill>
              <w14:schemeClr w14:val="tx1"/>
            </w14:solidFill>
          </w14:textFill>
        </w:rPr>
        <w:t>3m</w:t>
      </w:r>
      <w:r>
        <w:rPr>
          <w:color w:val="000000" w:themeColor="text1"/>
          <w14:textFill>
            <w14:solidFill>
              <w14:schemeClr w14:val="tx1"/>
            </w14:solidFill>
          </w14:textFill>
        </w:rPr>
        <w:t>以上</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等的要求；符合排气筒设计相关要求，因而本项目排气筒设置合理可行。</w:t>
      </w:r>
    </w:p>
    <w:p w14:paraId="0212E5BC">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 xml:space="preserve">无组织排放废气治理措施 </w:t>
      </w:r>
    </w:p>
    <w:bookmarkEnd w:id="453"/>
    <w:p w14:paraId="2A0418F1">
      <w:pPr>
        <w:ind w:firstLine="480"/>
        <w:rPr>
          <w:color w:val="000000" w:themeColor="text1"/>
          <w14:textFill>
            <w14:solidFill>
              <w14:schemeClr w14:val="tx1"/>
            </w14:solidFill>
          </w14:textFill>
        </w:rPr>
      </w:pPr>
      <w:bookmarkStart w:id="464" w:name="_Toc293592571"/>
      <w:bookmarkStart w:id="465" w:name="_Toc329793674"/>
      <w:bookmarkStart w:id="466" w:name="_Toc280691349"/>
      <w:bookmarkStart w:id="467" w:name="_Toc321821913"/>
      <w:bookmarkStart w:id="468" w:name="_Toc216665034"/>
      <w:bookmarkStart w:id="469" w:name="_Toc278649619"/>
      <w:bookmarkStart w:id="470" w:name="_Toc330460809"/>
      <w:bookmarkStart w:id="471" w:name="_Toc266187736"/>
      <w:r>
        <w:rPr>
          <w:color w:val="000000" w:themeColor="text1"/>
          <w14:textFill>
            <w14:solidFill>
              <w14:schemeClr w14:val="tx1"/>
            </w14:solidFill>
          </w14:textFill>
        </w:rPr>
        <w:t>本项目废气无组织排放主要来源于废盐仓库储存过程中VOCs的挥发逸散，为减少全厂的废气无组织排放，拟建项目拟采取如下无组织排放控制措施：</w:t>
      </w:r>
    </w:p>
    <w:p w14:paraId="7A3D9F81">
      <w:pPr>
        <w:ind w:firstLine="480"/>
        <w:rPr>
          <w:color w:val="000000" w:themeColor="text1"/>
          <w14:textFill>
            <w14:solidFill>
              <w14:schemeClr w14:val="tx1"/>
            </w14:solidFill>
          </w14:textFill>
        </w:rPr>
      </w:pPr>
      <w:r>
        <w:rPr>
          <w:color w:val="000000" w:themeColor="text1"/>
          <w14:textFill>
            <w14:solidFill>
              <w14:schemeClr w14:val="tx1"/>
            </w14:solidFill>
          </w14:textFill>
        </w:rPr>
        <w:t>（1）废盐含有VOCs，采用密封的双层覆膜塑料袋包装，贮存于仓库，贮存过程均保持密闭，贮存仓库为封闭区域，严格按照《危险废物贮存污染控制标准》（GB18597-2023）的要求进行建设，运营期间除人员、车辆、设备、物料进出时，以及排气筒、通风口外，门窗及其他开口（孔）部位保持关闭状态，满足《挥发性有机物无组织排放控制标准》（GB37822-2019）中关于VOCs物料储存无组织排放控制的要求。</w:t>
      </w:r>
    </w:p>
    <w:p w14:paraId="291D136C">
      <w:pPr>
        <w:ind w:firstLine="480"/>
        <w:rPr>
          <w:color w:val="000000" w:themeColor="text1"/>
          <w14:textFill>
            <w14:solidFill>
              <w14:schemeClr w14:val="tx1"/>
            </w14:solidFill>
          </w14:textFill>
        </w:rPr>
      </w:pPr>
      <w:r>
        <w:rPr>
          <w:color w:val="000000" w:themeColor="text1"/>
          <w14:textFill>
            <w14:solidFill>
              <w14:schemeClr w14:val="tx1"/>
            </w14:solidFill>
          </w14:textFill>
        </w:rPr>
        <w:t>（2）废盐含有VOCs，生产时先进行自动拆包后采用密闭输送方式的螺旋输送机进料，满足《挥发性有机物无组织排放控制标准》（GB37822-2019）中关于VOCs物料转移和输送无组织排放控制的要求。</w:t>
      </w:r>
    </w:p>
    <w:p w14:paraId="5B7EDDF0">
      <w:pPr>
        <w:ind w:firstLine="480"/>
        <w:rPr>
          <w:color w:val="000000" w:themeColor="text1"/>
          <w14:textFill>
            <w14:solidFill>
              <w14:schemeClr w14:val="tx1"/>
            </w14:solidFill>
          </w14:textFill>
        </w:rPr>
      </w:pPr>
      <w:r>
        <w:rPr>
          <w:color w:val="000000" w:themeColor="text1"/>
          <w14:textFill>
            <w14:solidFill>
              <w14:schemeClr w14:val="tx1"/>
            </w14:solidFill>
          </w14:textFill>
        </w:rPr>
        <w:t>（3）废盐进料采用密闭的螺旋输送机，出料过程均为全密封冷却出料机，满足《挥发性有机物无组织排放控制标准》（GB37822-2019）中关于工艺过程无组织排放控制的要求。</w:t>
      </w:r>
    </w:p>
    <w:p w14:paraId="2D1539DF">
      <w:pPr>
        <w:ind w:firstLine="480"/>
        <w:rPr>
          <w:color w:val="000000" w:themeColor="text1"/>
          <w14:textFill>
            <w14:solidFill>
              <w14:schemeClr w14:val="tx1"/>
            </w14:solidFill>
          </w14:textFill>
        </w:rPr>
      </w:pPr>
      <w:r>
        <w:rPr>
          <w:color w:val="000000" w:themeColor="text1"/>
          <w14:textFill>
            <w14:solidFill>
              <w14:schemeClr w14:val="tx1"/>
            </w14:solidFill>
          </w14:textFill>
        </w:rPr>
        <w:t>（4）加强生产管理和车间通风，生产车间设置全面排风系统，排风设备为屋顶防爆离心或轴流通风机，保证车间换气次数达到《工作场所有害因素职业接触限值 化学有害因素》（GBZ2.1-2007）中的要求。废盐仓库为全封闭，仓库内部设置废气收集口，在引风机作用下形成微负压，引风机抽出的投料间废气进入活性炭吸附装置进行处理。</w:t>
      </w:r>
    </w:p>
    <w:p w14:paraId="2259F941">
      <w:pPr>
        <w:ind w:firstLine="480"/>
        <w:rPr>
          <w:color w:val="000000" w:themeColor="text1"/>
          <w14:textFill>
            <w14:solidFill>
              <w14:schemeClr w14:val="tx1"/>
            </w14:solidFill>
          </w14:textFill>
        </w:rPr>
      </w:pPr>
      <w:r>
        <w:rPr>
          <w:color w:val="000000" w:themeColor="text1"/>
          <w14:textFill>
            <w14:solidFill>
              <w14:schemeClr w14:val="tx1"/>
            </w14:solidFill>
          </w14:textFill>
        </w:rPr>
        <w:t>（5）在生产车间周围及厂区四周进行植被绿化等措施。</w:t>
      </w:r>
    </w:p>
    <w:p w14:paraId="70BBF2E6">
      <w:pPr>
        <w:ind w:firstLine="480"/>
        <w:rPr>
          <w:color w:val="000000" w:themeColor="text1"/>
          <w14:textFill>
            <w14:solidFill>
              <w14:schemeClr w14:val="tx1"/>
            </w14:solidFill>
          </w14:textFill>
        </w:rPr>
      </w:pPr>
      <w:r>
        <w:rPr>
          <w:color w:val="000000" w:themeColor="text1"/>
          <w14:textFill>
            <w14:solidFill>
              <w14:schemeClr w14:val="tx1"/>
            </w14:solidFill>
          </w14:textFill>
        </w:rPr>
        <w:t>（6）在生产中加强对无组织排放废气的控制监管，尽量减少无组织废气的排放，建设单位拟成立专业设备管理部门，匹配专业设备管理员，建立相对完善和严格管理制度，确保设备完好率达到100％，杜绝跑冒滴漏发生。</w:t>
      </w:r>
    </w:p>
    <w:p w14:paraId="75625BE9">
      <w:pPr>
        <w:ind w:firstLine="480"/>
        <w:rPr>
          <w:color w:val="000000" w:themeColor="text1"/>
          <w14:textFill>
            <w14:solidFill>
              <w14:schemeClr w14:val="tx1"/>
            </w14:solidFill>
          </w14:textFill>
        </w:rPr>
      </w:pPr>
      <w:r>
        <w:rPr>
          <w:color w:val="000000" w:themeColor="text1"/>
          <w14:textFill>
            <w14:solidFill>
              <w14:schemeClr w14:val="tx1"/>
            </w14:solidFill>
          </w14:textFill>
        </w:rPr>
        <w:t>（7）提高设备的自动化水平，最大限度的避免人与有害物质的接触，改善操作人员的工作条件。采用先进可靠的控制技术，除了常规控制和检测外，在危险和关键岗位均制订了应急处理方案，并每年演练，确保装置生产操作能稳定运行。</w:t>
      </w:r>
    </w:p>
    <w:p w14:paraId="596CEB4F">
      <w:pPr>
        <w:ind w:firstLine="480"/>
        <w:rPr>
          <w:color w:val="000000" w:themeColor="text1"/>
          <w14:textFill>
            <w14:solidFill>
              <w14:schemeClr w14:val="tx1"/>
            </w14:solidFill>
          </w14:textFill>
        </w:rPr>
      </w:pPr>
      <w:r>
        <w:rPr>
          <w:color w:val="000000" w:themeColor="text1"/>
          <w14:textFill>
            <w14:solidFill>
              <w14:schemeClr w14:val="tx1"/>
            </w14:solidFill>
          </w14:textFill>
        </w:rPr>
        <w:t>（8）废盐采用双层覆膜吨袋进行包装运输，其使用的吨袋材质为HDPE 塑料或聚丙烯，为可密闭收集，吨袋为可封口设计，可有效抑制危险废物在运输、储存、转运过程中腐蚀、挥发、溢出、渗漏。废盐入厂时采用全密封的双层覆膜吨袋进行包装，具备接收要求的废物在装卸时采用叉车吊装覆膜吨袋的吊带，运送至废盐仓库分类存放。在装卸作业时，要避免造成吨袋破损，如果发现有破损的，立即用缠绕膜对包装袋进行密封，并清理泄露的废盐。</w:t>
      </w:r>
    </w:p>
    <w:bookmarkEnd w:id="464"/>
    <w:bookmarkEnd w:id="465"/>
    <w:bookmarkEnd w:id="466"/>
    <w:bookmarkEnd w:id="467"/>
    <w:bookmarkEnd w:id="468"/>
    <w:bookmarkEnd w:id="469"/>
    <w:bookmarkEnd w:id="470"/>
    <w:bookmarkEnd w:id="471"/>
    <w:p w14:paraId="71BBF726">
      <w:pPr>
        <w:pStyle w:val="3"/>
        <w:rPr>
          <w:rFonts w:ascii="Times New Roman" w:cs="Times New Roman"/>
          <w:color w:val="000000" w:themeColor="text1"/>
          <w14:textFill>
            <w14:solidFill>
              <w14:schemeClr w14:val="tx1"/>
            </w14:solidFill>
          </w14:textFill>
        </w:rPr>
      </w:pPr>
      <w:bookmarkStart w:id="472" w:name="_Toc216665039"/>
      <w:bookmarkStart w:id="473" w:name="_Toc176254436"/>
      <w:bookmarkStart w:id="474" w:name="_Toc176254833"/>
      <w:bookmarkStart w:id="475" w:name="_Toc187590290"/>
      <w:bookmarkStart w:id="476" w:name="_Toc176255180"/>
      <w:bookmarkStart w:id="477" w:name="_Toc293592573"/>
      <w:bookmarkStart w:id="478" w:name="_Toc280691351"/>
      <w:bookmarkStart w:id="479" w:name="_Toc329793676"/>
      <w:bookmarkStart w:id="480" w:name="_Toc321821915"/>
      <w:bookmarkStart w:id="481" w:name="_Toc278649621"/>
      <w:bookmarkStart w:id="482" w:name="_Toc266187738"/>
      <w:bookmarkStart w:id="483" w:name="_Toc225268326"/>
      <w:r>
        <w:rPr>
          <w:rFonts w:ascii="Times New Roman" w:cs="Times New Roman"/>
          <w:color w:val="000000" w:themeColor="text1"/>
          <w14:textFill>
            <w14:solidFill>
              <w14:schemeClr w14:val="tx1"/>
            </w14:solidFill>
          </w14:textFill>
        </w:rPr>
        <w:t>废水水污染防治</w:t>
      </w:r>
      <w:bookmarkEnd w:id="472"/>
      <w:bookmarkEnd w:id="473"/>
      <w:bookmarkEnd w:id="474"/>
      <w:bookmarkEnd w:id="475"/>
      <w:bookmarkEnd w:id="476"/>
      <w:r>
        <w:rPr>
          <w:rFonts w:ascii="Times New Roman" w:cs="Times New Roman"/>
          <w:color w:val="000000" w:themeColor="text1"/>
          <w14:textFill>
            <w14:solidFill>
              <w14:schemeClr w14:val="tx1"/>
            </w14:solidFill>
          </w14:textFill>
        </w:rPr>
        <w:t>措施</w:t>
      </w:r>
      <w:bookmarkEnd w:id="477"/>
      <w:bookmarkEnd w:id="478"/>
      <w:bookmarkEnd w:id="479"/>
      <w:bookmarkEnd w:id="480"/>
      <w:bookmarkEnd w:id="481"/>
      <w:bookmarkEnd w:id="482"/>
      <w:r>
        <w:rPr>
          <w:rFonts w:ascii="Times New Roman" w:cs="Times New Roman"/>
          <w:color w:val="000000" w:themeColor="text1"/>
          <w14:textFill>
            <w14:solidFill>
              <w14:schemeClr w14:val="tx1"/>
            </w14:solidFill>
          </w14:textFill>
        </w:rPr>
        <w:t>分析</w:t>
      </w:r>
      <w:bookmarkEnd w:id="483"/>
    </w:p>
    <w:p w14:paraId="6BC3494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水采用“分类收集、分质处理、循环利用”的原则，针对不同来源废水采取针对性处理措施，实现废水资源化利用与达标排放相结合。结合项目废水类型（高盐废水、常规废水）及处理需求，确保措施设计贴合项目废水产生特征，技术可行、经济合理。</w:t>
      </w:r>
    </w:p>
    <w:p w14:paraId="77AB3F4B">
      <w:pPr>
        <w:pStyle w:val="4"/>
        <w:rPr>
          <w:rFonts w:ascii="Times New Roman" w:cs="Times New Roman"/>
          <w:color w:val="000000" w:themeColor="text1"/>
          <w14:textFill>
            <w14:solidFill>
              <w14:schemeClr w14:val="tx1"/>
            </w14:solidFill>
          </w14:textFill>
        </w:rPr>
      </w:pPr>
      <w:bookmarkStart w:id="484" w:name="_Toc329793677"/>
      <w:bookmarkStart w:id="485" w:name="_Toc293592574"/>
      <w:bookmarkStart w:id="486" w:name="_Toc278649622"/>
      <w:bookmarkStart w:id="487" w:name="_Toc176254439"/>
      <w:bookmarkStart w:id="488" w:name="_Toc321821916"/>
      <w:bookmarkStart w:id="489" w:name="_Toc280691352"/>
      <w:bookmarkStart w:id="490" w:name="_Toc187590294"/>
      <w:bookmarkStart w:id="491" w:name="_Toc176254836"/>
      <w:bookmarkStart w:id="492" w:name="_Toc266187739"/>
      <w:bookmarkStart w:id="493" w:name="_Toc216665043"/>
      <w:bookmarkStart w:id="494" w:name="_Toc176255181"/>
      <w:r>
        <w:rPr>
          <w:rFonts w:ascii="Times New Roman" w:cs="Times New Roman"/>
          <w:color w:val="000000" w:themeColor="text1"/>
          <w14:textFill>
            <w14:solidFill>
              <w14:schemeClr w14:val="tx1"/>
            </w14:solidFill>
          </w14:textFill>
        </w:rPr>
        <w:t>废水分类处理措施及比选方案</w:t>
      </w:r>
    </w:p>
    <w:p w14:paraId="7FA82A7C">
      <w:pPr>
        <w:ind w:firstLine="480"/>
        <w:rPr>
          <w:color w:val="000000" w:themeColor="text1"/>
          <w14:textFill>
            <w14:solidFill>
              <w14:schemeClr w14:val="tx1"/>
            </w14:solidFill>
          </w14:textFill>
        </w:rPr>
      </w:pPr>
      <w:r>
        <w:rPr>
          <w:color w:val="000000" w:themeColor="text1"/>
          <w14:textFill>
            <w14:solidFill>
              <w14:schemeClr w14:val="tx1"/>
            </w14:solidFill>
          </w14:textFill>
        </w:rPr>
        <w:t>项目废水核心处理需求分为两类：一是高盐废水（烟气处理系统废水，含盐量高、污染物浓度高），二是常规废水（循环冷却排污水、化验室废水、地面冲洗废水、生活污水，含盐量低、污染物简单）。针对高盐废水，筛选2种可行处理方案进行比。</w:t>
      </w:r>
    </w:p>
    <w:p w14:paraId="5BDD67ED">
      <w:pPr>
        <w:pStyle w:val="117"/>
        <w:rPr>
          <w:rFonts w:ascii="Times New Roman" w:hAnsi="Times New Roman" w:cs="Times New Roman"/>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bookmarkStart w:id="495" w:name="heading_10"/>
    </w:p>
    <w:p w14:paraId="7172DC31">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高盐废水（烟气处理系统废水）比选方案</w:t>
      </w:r>
      <w:bookmarkEnd w:id="495"/>
    </w:p>
    <w:tbl>
      <w:tblPr>
        <w:tblStyle w:val="76"/>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85"/>
        <w:gridCol w:w="1185"/>
        <w:gridCol w:w="4288"/>
        <w:gridCol w:w="1185"/>
        <w:gridCol w:w="1366"/>
        <w:gridCol w:w="2449"/>
        <w:gridCol w:w="2371"/>
      </w:tblGrid>
      <w:tr w14:paraId="538B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5" w:type="dxa"/>
            <w:tcMar>
              <w:top w:w="60" w:type="dxa"/>
              <w:left w:w="120" w:type="dxa"/>
              <w:bottom w:w="30" w:type="dxa"/>
              <w:right w:w="120" w:type="dxa"/>
            </w:tcMar>
            <w:vAlign w:val="center"/>
          </w:tcPr>
          <w:p w14:paraId="5E763B76">
            <w:pPr>
              <w:pStyle w:val="109"/>
              <w:rPr>
                <w:color w:val="000000" w:themeColor="text1"/>
                <w14:textFill>
                  <w14:solidFill>
                    <w14:schemeClr w14:val="tx1"/>
                  </w14:solidFill>
                </w14:textFill>
              </w:rPr>
            </w:pPr>
            <w:r>
              <w:rPr>
                <w:color w:val="000000" w:themeColor="text1"/>
                <w14:textFill>
                  <w14:solidFill>
                    <w14:schemeClr w14:val="tx1"/>
                  </w14:solidFill>
                </w14:textFill>
              </w:rPr>
              <w:t>比选方案</w:t>
            </w:r>
          </w:p>
        </w:tc>
        <w:tc>
          <w:tcPr>
            <w:tcW w:w="1185" w:type="dxa"/>
            <w:tcMar>
              <w:top w:w="60" w:type="dxa"/>
              <w:left w:w="120" w:type="dxa"/>
              <w:bottom w:w="30" w:type="dxa"/>
              <w:right w:w="120" w:type="dxa"/>
            </w:tcMar>
            <w:vAlign w:val="center"/>
          </w:tcPr>
          <w:p w14:paraId="78D3FADA">
            <w:pPr>
              <w:pStyle w:val="109"/>
              <w:rPr>
                <w:color w:val="000000" w:themeColor="text1"/>
                <w14:textFill>
                  <w14:solidFill>
                    <w14:schemeClr w14:val="tx1"/>
                  </w14:solidFill>
                </w14:textFill>
              </w:rPr>
            </w:pPr>
            <w:r>
              <w:rPr>
                <w:color w:val="000000" w:themeColor="text1"/>
                <w14:textFill>
                  <w14:solidFill>
                    <w14:schemeClr w14:val="tx1"/>
                  </w14:solidFill>
                </w14:textFill>
              </w:rPr>
              <w:t>处理工艺</w:t>
            </w:r>
          </w:p>
        </w:tc>
        <w:tc>
          <w:tcPr>
            <w:tcW w:w="4288" w:type="dxa"/>
            <w:tcMar>
              <w:top w:w="60" w:type="dxa"/>
              <w:left w:w="120" w:type="dxa"/>
              <w:bottom w:w="30" w:type="dxa"/>
              <w:right w:w="120" w:type="dxa"/>
            </w:tcMar>
            <w:vAlign w:val="center"/>
          </w:tcPr>
          <w:p w14:paraId="774B66FE">
            <w:pPr>
              <w:pStyle w:val="109"/>
              <w:rPr>
                <w:color w:val="000000" w:themeColor="text1"/>
                <w14:textFill>
                  <w14:solidFill>
                    <w14:schemeClr w14:val="tx1"/>
                  </w14:solidFill>
                </w14:textFill>
              </w:rPr>
            </w:pPr>
            <w:r>
              <w:rPr>
                <w:color w:val="000000" w:themeColor="text1"/>
                <w14:textFill>
                  <w14:solidFill>
                    <w14:schemeClr w14:val="tx1"/>
                  </w14:solidFill>
                </w14:textFill>
              </w:rPr>
              <w:t>技术特点</w:t>
            </w:r>
          </w:p>
        </w:tc>
        <w:tc>
          <w:tcPr>
            <w:tcW w:w="1185" w:type="dxa"/>
            <w:tcMar>
              <w:top w:w="60" w:type="dxa"/>
              <w:left w:w="120" w:type="dxa"/>
              <w:bottom w:w="30" w:type="dxa"/>
              <w:right w:w="120" w:type="dxa"/>
            </w:tcMar>
            <w:vAlign w:val="center"/>
          </w:tcPr>
          <w:p w14:paraId="22BB0A66">
            <w:pPr>
              <w:pStyle w:val="109"/>
              <w:rPr>
                <w:color w:val="000000" w:themeColor="text1"/>
                <w14:textFill>
                  <w14:solidFill>
                    <w14:schemeClr w14:val="tx1"/>
                  </w14:solidFill>
                </w14:textFill>
              </w:rPr>
            </w:pPr>
            <w:r>
              <w:rPr>
                <w:color w:val="000000" w:themeColor="text1"/>
                <w14:textFill>
                  <w14:solidFill>
                    <w14:schemeClr w14:val="tx1"/>
                  </w14:solidFill>
                </w14:textFill>
              </w:rPr>
              <w:t>投资成本（万元）</w:t>
            </w:r>
          </w:p>
        </w:tc>
        <w:tc>
          <w:tcPr>
            <w:tcW w:w="1366" w:type="dxa"/>
            <w:tcMar>
              <w:top w:w="60" w:type="dxa"/>
              <w:left w:w="120" w:type="dxa"/>
              <w:bottom w:w="30" w:type="dxa"/>
              <w:right w:w="120" w:type="dxa"/>
            </w:tcMar>
            <w:vAlign w:val="center"/>
          </w:tcPr>
          <w:p w14:paraId="7C8AA2B9">
            <w:pPr>
              <w:pStyle w:val="109"/>
              <w:rPr>
                <w:color w:val="000000" w:themeColor="text1"/>
                <w14:textFill>
                  <w14:solidFill>
                    <w14:schemeClr w14:val="tx1"/>
                  </w14:solidFill>
                </w14:textFill>
              </w:rPr>
            </w:pPr>
            <w:r>
              <w:rPr>
                <w:color w:val="000000" w:themeColor="text1"/>
                <w14:textFill>
                  <w14:solidFill>
                    <w14:schemeClr w14:val="tx1"/>
                  </w14:solidFill>
                </w14:textFill>
              </w:rPr>
              <w:t>年运营成本（万元）</w:t>
            </w:r>
          </w:p>
        </w:tc>
        <w:tc>
          <w:tcPr>
            <w:tcW w:w="2449" w:type="dxa"/>
            <w:tcMar>
              <w:top w:w="60" w:type="dxa"/>
              <w:left w:w="120" w:type="dxa"/>
              <w:bottom w:w="30" w:type="dxa"/>
              <w:right w:w="120" w:type="dxa"/>
            </w:tcMar>
            <w:vAlign w:val="center"/>
          </w:tcPr>
          <w:p w14:paraId="6D9191D5">
            <w:pPr>
              <w:pStyle w:val="109"/>
              <w:rPr>
                <w:color w:val="000000" w:themeColor="text1"/>
                <w14:textFill>
                  <w14:solidFill>
                    <w14:schemeClr w14:val="tx1"/>
                  </w14:solidFill>
                </w14:textFill>
              </w:rPr>
            </w:pPr>
            <w:r>
              <w:rPr>
                <w:color w:val="000000" w:themeColor="text1"/>
                <w14:textFill>
                  <w14:solidFill>
                    <w14:schemeClr w14:val="tx1"/>
                  </w14:solidFill>
                </w14:textFill>
              </w:rPr>
              <w:t>处理效果及去向</w:t>
            </w:r>
          </w:p>
        </w:tc>
        <w:tc>
          <w:tcPr>
            <w:tcW w:w="2371" w:type="dxa"/>
            <w:tcMar>
              <w:top w:w="60" w:type="dxa"/>
              <w:left w:w="120" w:type="dxa"/>
              <w:bottom w:w="30" w:type="dxa"/>
              <w:right w:w="120" w:type="dxa"/>
            </w:tcMar>
            <w:vAlign w:val="center"/>
          </w:tcPr>
          <w:p w14:paraId="049497B0">
            <w:pPr>
              <w:pStyle w:val="109"/>
              <w:rPr>
                <w:color w:val="000000" w:themeColor="text1"/>
                <w14:textFill>
                  <w14:solidFill>
                    <w14:schemeClr w14:val="tx1"/>
                  </w14:solidFill>
                </w14:textFill>
              </w:rPr>
            </w:pPr>
            <w:r>
              <w:rPr>
                <w:color w:val="000000" w:themeColor="text1"/>
                <w14:textFill>
                  <w14:solidFill>
                    <w14:schemeClr w14:val="tx1"/>
                  </w14:solidFill>
                </w14:textFill>
              </w:rPr>
              <w:t>适用场景</w:t>
            </w:r>
          </w:p>
        </w:tc>
      </w:tr>
      <w:tr w14:paraId="3A7B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5" w:type="dxa"/>
            <w:tcMar>
              <w:top w:w="60" w:type="dxa"/>
              <w:left w:w="120" w:type="dxa"/>
              <w:bottom w:w="30" w:type="dxa"/>
              <w:right w:w="120" w:type="dxa"/>
            </w:tcMar>
            <w:vAlign w:val="center"/>
          </w:tcPr>
          <w:p w14:paraId="3807440C">
            <w:pPr>
              <w:pStyle w:val="109"/>
              <w:rPr>
                <w:color w:val="000000" w:themeColor="text1"/>
                <w14:textFill>
                  <w14:solidFill>
                    <w14:schemeClr w14:val="tx1"/>
                  </w14:solidFill>
                </w14:textFill>
              </w:rPr>
            </w:pPr>
            <w:r>
              <w:rPr>
                <w:color w:val="000000" w:themeColor="text1"/>
                <w14:textFill>
                  <w14:solidFill>
                    <w14:schemeClr w14:val="tx1"/>
                  </w14:solidFill>
                </w14:textFill>
              </w:rPr>
              <w:t>方案一（设计方案）</w:t>
            </w:r>
          </w:p>
        </w:tc>
        <w:tc>
          <w:tcPr>
            <w:tcW w:w="1185" w:type="dxa"/>
            <w:tcMar>
              <w:top w:w="60" w:type="dxa"/>
              <w:left w:w="120" w:type="dxa"/>
              <w:bottom w:w="30" w:type="dxa"/>
              <w:right w:w="120" w:type="dxa"/>
            </w:tcMar>
            <w:vAlign w:val="center"/>
          </w:tcPr>
          <w:p w14:paraId="09CA45F9">
            <w:pPr>
              <w:pStyle w:val="109"/>
              <w:rPr>
                <w:color w:val="000000" w:themeColor="text1"/>
                <w14:textFill>
                  <w14:solidFill>
                    <w14:schemeClr w14:val="tx1"/>
                  </w14:solidFill>
                </w14:textFill>
              </w:rPr>
            </w:pPr>
            <w:r>
              <w:rPr>
                <w:color w:val="000000" w:themeColor="text1"/>
                <w14:textFill>
                  <w14:solidFill>
                    <w14:schemeClr w14:val="tx1"/>
                  </w14:solidFill>
                </w14:textFill>
              </w:rPr>
              <w:t>中和预处理+多效蒸发+冷凝水循环利用</w:t>
            </w:r>
          </w:p>
        </w:tc>
        <w:tc>
          <w:tcPr>
            <w:tcW w:w="4288" w:type="dxa"/>
            <w:tcMar>
              <w:top w:w="60" w:type="dxa"/>
              <w:left w:w="120" w:type="dxa"/>
              <w:bottom w:w="30" w:type="dxa"/>
              <w:right w:w="120" w:type="dxa"/>
            </w:tcMar>
            <w:vAlign w:val="center"/>
          </w:tcPr>
          <w:p w14:paraId="2FEB0B1E">
            <w:pPr>
              <w:pStyle w:val="109"/>
              <w:rPr>
                <w:color w:val="000000" w:themeColor="text1"/>
                <w14:textFill>
                  <w14:solidFill>
                    <w14:schemeClr w14:val="tx1"/>
                  </w14:solidFill>
                </w14:textFill>
              </w:rPr>
            </w:pPr>
            <w:r>
              <w:rPr>
                <w:color w:val="000000" w:themeColor="text1"/>
                <w14:textFill>
                  <w14:solidFill>
                    <w14:schemeClr w14:val="tx1"/>
                  </w14:solidFill>
                </w14:textFill>
              </w:rPr>
              <w:t>1. 先通过中和处理调节废水pH值，去除部分重金属及杂质；2. 多效蒸发蒸除盐分，能耗较低（相比单效蒸发）；3. 冷凝水回收率≥90%，可循环用于水洗塔、急冷塔，实现水资源资源化；4. 蒸出盐分可作为融雪剂原料，实现固废资源化；5. 工艺成熟，运行稳定，自动化程度高。</w:t>
            </w:r>
          </w:p>
        </w:tc>
        <w:tc>
          <w:tcPr>
            <w:tcW w:w="1185" w:type="dxa"/>
            <w:tcMar>
              <w:top w:w="60" w:type="dxa"/>
              <w:left w:w="120" w:type="dxa"/>
              <w:bottom w:w="30" w:type="dxa"/>
              <w:right w:w="120" w:type="dxa"/>
            </w:tcMar>
            <w:vAlign w:val="center"/>
          </w:tcPr>
          <w:p w14:paraId="67165770">
            <w:pPr>
              <w:pStyle w:val="109"/>
              <w:rPr>
                <w:color w:val="000000" w:themeColor="text1"/>
                <w14:textFill>
                  <w14:solidFill>
                    <w14:schemeClr w14:val="tx1"/>
                  </w14:solidFill>
                </w14:textFill>
              </w:rPr>
            </w:pPr>
            <w:r>
              <w:rPr>
                <w:color w:val="000000" w:themeColor="text1"/>
                <w14:textFill>
                  <w14:solidFill>
                    <w14:schemeClr w14:val="tx1"/>
                  </w14:solidFill>
                </w14:textFill>
              </w:rPr>
              <w:t>250-300</w:t>
            </w:r>
          </w:p>
        </w:tc>
        <w:tc>
          <w:tcPr>
            <w:tcW w:w="1366" w:type="dxa"/>
            <w:tcMar>
              <w:top w:w="60" w:type="dxa"/>
              <w:left w:w="120" w:type="dxa"/>
              <w:bottom w:w="30" w:type="dxa"/>
              <w:right w:w="120" w:type="dxa"/>
            </w:tcMar>
            <w:vAlign w:val="center"/>
          </w:tcPr>
          <w:p w14:paraId="5F253FD9">
            <w:pPr>
              <w:pStyle w:val="109"/>
              <w:rPr>
                <w:color w:val="000000" w:themeColor="text1"/>
                <w14:textFill>
                  <w14:solidFill>
                    <w14:schemeClr w14:val="tx1"/>
                  </w14:solidFill>
                </w14:textFill>
              </w:rPr>
            </w:pPr>
            <w:r>
              <w:rPr>
                <w:color w:val="000000" w:themeColor="text1"/>
                <w14:textFill>
                  <w14:solidFill>
                    <w14:schemeClr w14:val="tx1"/>
                  </w14:solidFill>
                </w14:textFill>
              </w:rPr>
              <w:t>30-40</w:t>
            </w:r>
          </w:p>
        </w:tc>
        <w:tc>
          <w:tcPr>
            <w:tcW w:w="2449" w:type="dxa"/>
            <w:tcMar>
              <w:top w:w="60" w:type="dxa"/>
              <w:left w:w="120" w:type="dxa"/>
              <w:bottom w:w="30" w:type="dxa"/>
              <w:right w:w="120" w:type="dxa"/>
            </w:tcMar>
            <w:vAlign w:val="center"/>
          </w:tcPr>
          <w:p w14:paraId="330F51B5">
            <w:pPr>
              <w:pStyle w:val="109"/>
              <w:rPr>
                <w:color w:val="000000" w:themeColor="text1"/>
                <w14:textFill>
                  <w14:solidFill>
                    <w14:schemeClr w14:val="tx1"/>
                  </w14:solidFill>
                </w14:textFill>
              </w:rPr>
            </w:pPr>
            <w:r>
              <w:rPr>
                <w:color w:val="000000" w:themeColor="text1"/>
                <w14:textFill>
                  <w14:solidFill>
                    <w14:schemeClr w14:val="tx1"/>
                  </w14:solidFill>
                </w14:textFill>
              </w:rPr>
              <w:t>中和后废水COD、重金属达标，多效蒸发后盐分含水率≤15%，冷凝水水质满足生产补水要求，无废水外排；蒸出盐分资源化利用，无二次固废产生。</w:t>
            </w:r>
          </w:p>
        </w:tc>
        <w:tc>
          <w:tcPr>
            <w:tcW w:w="2371" w:type="dxa"/>
            <w:tcMar>
              <w:top w:w="60" w:type="dxa"/>
              <w:left w:w="120" w:type="dxa"/>
              <w:bottom w:w="30" w:type="dxa"/>
              <w:right w:w="120" w:type="dxa"/>
            </w:tcMar>
            <w:vAlign w:val="center"/>
          </w:tcPr>
          <w:p w14:paraId="6DBE597A">
            <w:pPr>
              <w:pStyle w:val="109"/>
              <w:rPr>
                <w:color w:val="000000" w:themeColor="text1"/>
                <w14:textFill>
                  <w14:solidFill>
                    <w14:schemeClr w14:val="tx1"/>
                  </w14:solidFill>
                </w14:textFill>
              </w:rPr>
            </w:pPr>
            <w:r>
              <w:rPr>
                <w:color w:val="000000" w:themeColor="text1"/>
                <w14:textFill>
                  <w14:solidFill>
                    <w14:schemeClr w14:val="tx1"/>
                  </w14:solidFill>
                </w14:textFill>
              </w:rPr>
              <w:t>高盐废水产生量较大，且有水资源循环利用需求、固废资源化需求的项目，适配本项目10440m³/a的高盐废水处理规模。</w:t>
            </w:r>
          </w:p>
        </w:tc>
      </w:tr>
      <w:tr w14:paraId="4B57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5" w:type="dxa"/>
            <w:tcMar>
              <w:top w:w="60" w:type="dxa"/>
              <w:left w:w="120" w:type="dxa"/>
              <w:bottom w:w="30" w:type="dxa"/>
              <w:right w:w="120" w:type="dxa"/>
            </w:tcMar>
            <w:vAlign w:val="center"/>
          </w:tcPr>
          <w:p w14:paraId="3356EF6D">
            <w:pPr>
              <w:pStyle w:val="109"/>
              <w:rPr>
                <w:color w:val="000000" w:themeColor="text1"/>
                <w14:textFill>
                  <w14:solidFill>
                    <w14:schemeClr w14:val="tx1"/>
                  </w14:solidFill>
                </w14:textFill>
              </w:rPr>
            </w:pPr>
            <w:r>
              <w:rPr>
                <w:color w:val="000000" w:themeColor="text1"/>
                <w14:textFill>
                  <w14:solidFill>
                    <w14:schemeClr w14:val="tx1"/>
                  </w14:solidFill>
                </w14:textFill>
              </w:rPr>
              <w:t>方案二（备选方案）</w:t>
            </w:r>
          </w:p>
        </w:tc>
        <w:tc>
          <w:tcPr>
            <w:tcW w:w="1185" w:type="dxa"/>
            <w:tcMar>
              <w:top w:w="60" w:type="dxa"/>
              <w:left w:w="120" w:type="dxa"/>
              <w:bottom w:w="30" w:type="dxa"/>
              <w:right w:w="120" w:type="dxa"/>
            </w:tcMar>
            <w:vAlign w:val="center"/>
          </w:tcPr>
          <w:p w14:paraId="292C08F5">
            <w:pPr>
              <w:pStyle w:val="109"/>
              <w:rPr>
                <w:color w:val="000000" w:themeColor="text1"/>
                <w14:textFill>
                  <w14:solidFill>
                    <w14:schemeClr w14:val="tx1"/>
                  </w14:solidFill>
                </w14:textFill>
              </w:rPr>
            </w:pPr>
            <w:r>
              <w:rPr>
                <w:color w:val="000000" w:themeColor="text1"/>
                <w14:textFill>
                  <w14:solidFill>
                    <w14:schemeClr w14:val="tx1"/>
                  </w14:solidFill>
                </w14:textFill>
              </w:rPr>
              <w:t>中和预处理+反渗透（RO）+浓水焚烧处置</w:t>
            </w:r>
          </w:p>
        </w:tc>
        <w:tc>
          <w:tcPr>
            <w:tcW w:w="4288" w:type="dxa"/>
            <w:tcMar>
              <w:top w:w="60" w:type="dxa"/>
              <w:left w:w="120" w:type="dxa"/>
              <w:bottom w:w="30" w:type="dxa"/>
              <w:right w:w="120" w:type="dxa"/>
            </w:tcMar>
            <w:vAlign w:val="center"/>
          </w:tcPr>
          <w:p w14:paraId="1960691C">
            <w:pPr>
              <w:pStyle w:val="109"/>
              <w:rPr>
                <w:color w:val="000000" w:themeColor="text1"/>
                <w14:textFill>
                  <w14:solidFill>
                    <w14:schemeClr w14:val="tx1"/>
                  </w14:solidFill>
                </w14:textFill>
              </w:rPr>
            </w:pPr>
            <w:r>
              <w:rPr>
                <w:color w:val="000000" w:themeColor="text1"/>
                <w14:textFill>
                  <w14:solidFill>
                    <w14:schemeClr w14:val="tx1"/>
                  </w14:solidFill>
                </w14:textFill>
              </w:rPr>
              <w:t>1. 中和预处理后，采用反渗透技术截留盐分，产水可循环利用；2. 反渗透浓水（含盐量极高）需委托专业单位焚烧处置；3. 工艺流程相对简单，设备占地面积小；4. 反渗透膜需定期更换，维护成本较高，浓水处置存在委托难度。</w:t>
            </w:r>
          </w:p>
        </w:tc>
        <w:tc>
          <w:tcPr>
            <w:tcW w:w="1185" w:type="dxa"/>
            <w:tcMar>
              <w:top w:w="60" w:type="dxa"/>
              <w:left w:w="120" w:type="dxa"/>
              <w:bottom w:w="30" w:type="dxa"/>
              <w:right w:w="120" w:type="dxa"/>
            </w:tcMar>
            <w:vAlign w:val="center"/>
          </w:tcPr>
          <w:p w14:paraId="22AD234D">
            <w:pPr>
              <w:pStyle w:val="109"/>
              <w:rPr>
                <w:color w:val="000000" w:themeColor="text1"/>
                <w14:textFill>
                  <w14:solidFill>
                    <w14:schemeClr w14:val="tx1"/>
                  </w14:solidFill>
                </w14:textFill>
              </w:rPr>
            </w:pPr>
            <w:r>
              <w:rPr>
                <w:color w:val="000000" w:themeColor="text1"/>
                <w14:textFill>
                  <w14:solidFill>
                    <w14:schemeClr w14:val="tx1"/>
                  </w14:solidFill>
                </w14:textFill>
              </w:rPr>
              <w:t>200-250</w:t>
            </w:r>
          </w:p>
        </w:tc>
        <w:tc>
          <w:tcPr>
            <w:tcW w:w="1366" w:type="dxa"/>
            <w:tcMar>
              <w:top w:w="60" w:type="dxa"/>
              <w:left w:w="120" w:type="dxa"/>
              <w:bottom w:w="30" w:type="dxa"/>
              <w:right w:w="120" w:type="dxa"/>
            </w:tcMar>
            <w:vAlign w:val="center"/>
          </w:tcPr>
          <w:p w14:paraId="6730096D">
            <w:pPr>
              <w:pStyle w:val="109"/>
              <w:rPr>
                <w:color w:val="000000" w:themeColor="text1"/>
                <w14:textFill>
                  <w14:solidFill>
                    <w14:schemeClr w14:val="tx1"/>
                  </w14:solidFill>
                </w14:textFill>
              </w:rPr>
            </w:pPr>
            <w:r>
              <w:rPr>
                <w:color w:val="000000" w:themeColor="text1"/>
                <w14:textFill>
                  <w14:solidFill>
                    <w14:schemeClr w14:val="tx1"/>
                  </w14:solidFill>
                </w14:textFill>
              </w:rPr>
              <w:t>45-55</w:t>
            </w:r>
          </w:p>
        </w:tc>
        <w:tc>
          <w:tcPr>
            <w:tcW w:w="2449" w:type="dxa"/>
            <w:tcMar>
              <w:top w:w="60" w:type="dxa"/>
              <w:left w:w="120" w:type="dxa"/>
              <w:bottom w:w="30" w:type="dxa"/>
              <w:right w:w="120" w:type="dxa"/>
            </w:tcMar>
            <w:vAlign w:val="center"/>
          </w:tcPr>
          <w:p w14:paraId="38E68D3D">
            <w:pPr>
              <w:pStyle w:val="109"/>
              <w:rPr>
                <w:color w:val="000000" w:themeColor="text1"/>
                <w14:textFill>
                  <w14:solidFill>
                    <w14:schemeClr w14:val="tx1"/>
                  </w14:solidFill>
                </w14:textFill>
              </w:rPr>
            </w:pPr>
            <w:r>
              <w:rPr>
                <w:color w:val="000000" w:themeColor="text1"/>
                <w14:textFill>
                  <w14:solidFill>
                    <w14:schemeClr w14:val="tx1"/>
                  </w14:solidFill>
                </w14:textFill>
              </w:rPr>
              <w:t>产水回收率≥70%，可循环利用；浓水需焚烧处置，处置成本高，且存在处置延迟风险；整体无废水外排，但固废处置量增加。</w:t>
            </w:r>
          </w:p>
        </w:tc>
        <w:tc>
          <w:tcPr>
            <w:tcW w:w="2371" w:type="dxa"/>
            <w:tcMar>
              <w:top w:w="60" w:type="dxa"/>
              <w:left w:w="120" w:type="dxa"/>
              <w:bottom w:w="30" w:type="dxa"/>
              <w:right w:w="120" w:type="dxa"/>
            </w:tcMar>
            <w:vAlign w:val="center"/>
          </w:tcPr>
          <w:p w14:paraId="7FC5338D">
            <w:pPr>
              <w:pStyle w:val="109"/>
              <w:rPr>
                <w:color w:val="000000" w:themeColor="text1"/>
                <w14:textFill>
                  <w14:solidFill>
                    <w14:schemeClr w14:val="tx1"/>
                  </w14:solidFill>
                </w14:textFill>
              </w:rPr>
            </w:pPr>
            <w:r>
              <w:rPr>
                <w:color w:val="000000" w:themeColor="text1"/>
                <w14:textFill>
                  <w14:solidFill>
                    <w14:schemeClr w14:val="tx1"/>
                  </w14:solidFill>
                </w14:textFill>
              </w:rPr>
              <w:t>高盐废水产生量较小，浓水处置渠道便捷，且对水资源循环利用要求不高的项目。</w:t>
            </w:r>
          </w:p>
        </w:tc>
      </w:tr>
    </w:tbl>
    <w:p w14:paraId="57E8C5B7">
      <w:pPr>
        <w:spacing w:before="260" w:after="120" w:line="288" w:lineRule="auto"/>
        <w:ind w:firstLine="560"/>
        <w:outlineLvl w:val="3"/>
        <w:rPr>
          <w:rFonts w:eastAsia="等线"/>
          <w:b/>
          <w:color w:val="000000" w:themeColor="text1"/>
          <w:sz w:val="28"/>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bookmarkStart w:id="496" w:name="heading_11"/>
    </w:p>
    <w:p w14:paraId="79A0B4E6">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比选结论</w:t>
      </w:r>
      <w:bookmarkEnd w:id="496"/>
    </w:p>
    <w:p w14:paraId="2D0C9E1B">
      <w:pPr>
        <w:ind w:firstLine="480"/>
        <w:rPr>
          <w:color w:val="000000" w:themeColor="text1"/>
          <w14:textFill>
            <w14:solidFill>
              <w14:schemeClr w14:val="tx1"/>
            </w14:solidFill>
          </w14:textFill>
        </w:rPr>
      </w:pPr>
      <w:r>
        <w:rPr>
          <w:color w:val="000000" w:themeColor="text1"/>
          <w14:textFill>
            <w14:solidFill>
              <w14:schemeClr w14:val="tx1"/>
            </w14:solidFill>
          </w14:textFill>
        </w:rPr>
        <w:t>综合对比两个方案的技术特点、投资及运营成本、处理效果及适用场景，结合本项目实际情况，确定方案一（设计方案）为最优方案，项目循环冷却系统排污水、化验室废水、地面冲洗废水、生活污水均直接</w:t>
      </w:r>
      <w:r>
        <w:rPr>
          <w:color w:val="000000" w:themeColor="text1"/>
          <w:lang w:bidi="en-US"/>
          <w14:textFill>
            <w14:solidFill>
              <w14:schemeClr w14:val="tx1"/>
            </w14:solidFill>
          </w14:textFill>
        </w:rPr>
        <w:t>排入园区市政污水管网</w:t>
      </w:r>
      <w:r>
        <w:rPr>
          <w:color w:val="000000" w:themeColor="text1"/>
          <w14:textFill>
            <w14:solidFill>
              <w14:schemeClr w14:val="tx1"/>
            </w14:solidFill>
          </w14:textFill>
        </w:rPr>
        <w:t>。烟气处理系统废水经多效蒸发器进行处理，蒸发出的废盐作为危废处置，多效蒸发冷凝水回用于急冷塔和水洗塔补水。</w:t>
      </w:r>
    </w:p>
    <w:p w14:paraId="2548E546">
      <w:pPr>
        <w:ind w:firstLine="480"/>
        <w:rPr>
          <w:color w:val="000000" w:themeColor="text1"/>
          <w14:textFill>
            <w14:solidFill>
              <w14:schemeClr w14:val="tx1"/>
            </w14:solidFill>
          </w14:textFill>
        </w:rPr>
      </w:pPr>
      <w:r>
        <w:rPr>
          <w:color w:val="000000" w:themeColor="text1"/>
          <w14:textFill>
            <w14:solidFill>
              <w14:schemeClr w14:val="tx1"/>
            </w14:solidFill>
          </w14:textFill>
        </w:rPr>
        <w:t>理由如下：</w:t>
      </w:r>
    </w:p>
    <w:p w14:paraId="789082DF">
      <w:pPr>
        <w:ind w:firstLine="480"/>
        <w:rPr>
          <w:color w:val="000000" w:themeColor="text1"/>
          <w14:textFill>
            <w14:solidFill>
              <w14:schemeClr w14:val="tx1"/>
            </w14:solidFill>
          </w14:textFill>
        </w:rPr>
      </w:pPr>
      <w:r>
        <w:rPr>
          <w:color w:val="000000" w:themeColor="text1"/>
          <w14:textFill>
            <w14:solidFill>
              <w14:schemeClr w14:val="tx1"/>
            </w14:solidFill>
          </w14:textFill>
        </w:rPr>
        <w:t>方案二反渗透浓水需委托焚烧处置，不仅增加运营成本，还存在处置渠道不稳定的风险。</w:t>
      </w:r>
    </w:p>
    <w:p w14:paraId="3497B413">
      <w:pPr>
        <w:ind w:firstLine="480"/>
        <w:rPr>
          <w:color w:val="000000" w:themeColor="text1"/>
          <w14:textFill>
            <w14:solidFill>
              <w14:schemeClr w14:val="tx1"/>
            </w14:solidFill>
          </w14:textFill>
        </w:rPr>
      </w:pPr>
      <w:r>
        <w:rPr>
          <w:color w:val="000000" w:themeColor="text1"/>
          <w14:textFill>
            <w14:solidFill>
              <w14:schemeClr w14:val="tx1"/>
            </w14:solidFill>
          </w14:textFill>
        </w:rPr>
        <w:t>技术适配性更强：方案一多效蒸发工艺成熟，适配高盐废水处理，运行稳定，自动化程度高，可满足项目年运行8000h的连续生产需求；方案二反渗透膜易受废水中杂质污染，需频繁更换，维护难度大，且浓水处置需依赖外部单位，适配性不如方案一。</w:t>
      </w:r>
    </w:p>
    <w:p w14:paraId="3AE3FE17">
      <w:pPr>
        <w:ind w:firstLine="480"/>
        <w:rPr>
          <w:color w:val="000000" w:themeColor="text1"/>
          <w14:textFill>
            <w14:solidFill>
              <w14:schemeClr w14:val="tx1"/>
            </w14:solidFill>
          </w14:textFill>
        </w:rPr>
      </w:pPr>
      <w:r>
        <w:rPr>
          <w:color w:val="000000" w:themeColor="text1"/>
          <w14:textFill>
            <w14:solidFill>
              <w14:schemeClr w14:val="tx1"/>
            </w14:solidFill>
          </w14:textFill>
        </w:rPr>
        <w:t>水资源利用效率更高：方案一冷凝水回收率≥90%，可充分循环用于生产，减少新鲜水用量，符合节水要求；方案二产水回收率仅70%，水资源利用效率较低。</w:t>
      </w:r>
    </w:p>
    <w:p w14:paraId="5797933E">
      <w:pPr>
        <w:pStyle w:val="4"/>
        <w:rPr>
          <w:rFonts w:ascii="Times New Roman" w:cs="Times New Roman"/>
          <w:color w:val="000000" w:themeColor="text1"/>
          <w14:textFill>
            <w14:solidFill>
              <w14:schemeClr w14:val="tx1"/>
            </w14:solidFill>
          </w14:textFill>
        </w:rPr>
      </w:pPr>
      <w:bookmarkStart w:id="497" w:name="heading_12"/>
      <w:r>
        <w:rPr>
          <w:rFonts w:ascii="Times New Roman" w:cs="Times New Roman"/>
          <w:color w:val="000000" w:themeColor="text1"/>
          <w14:textFill>
            <w14:solidFill>
              <w14:schemeClr w14:val="tx1"/>
            </w14:solidFill>
          </w14:textFill>
        </w:rPr>
        <w:t>各类废水设计方案详细可行性分析</w:t>
      </w:r>
      <w:bookmarkEnd w:id="497"/>
    </w:p>
    <w:p w14:paraId="6CF89806">
      <w:pPr>
        <w:ind w:firstLine="482"/>
        <w:rPr>
          <w:color w:val="000000" w:themeColor="text1"/>
          <w14:textFill>
            <w14:solidFill>
              <w14:schemeClr w14:val="tx1"/>
            </w14:solidFill>
          </w14:textFill>
        </w:rPr>
      </w:pPr>
      <w:r>
        <w:rPr>
          <w:b/>
          <w:color w:val="000000" w:themeColor="text1"/>
          <w14:textFill>
            <w14:solidFill>
              <w14:schemeClr w14:val="tx1"/>
            </w14:solidFill>
          </w14:textFill>
        </w:rPr>
        <w:t>烟气处理系统废水</w:t>
      </w:r>
      <w:r>
        <w:rPr>
          <w:color w:val="000000" w:themeColor="text1"/>
          <w14:textFill>
            <w14:solidFill>
              <w14:schemeClr w14:val="tx1"/>
            </w14:solidFill>
          </w14:textFill>
        </w:rPr>
        <w:t>：该类废水主要来自一级碱液喷淋塔排放废水（10440m³/a），经中和处理后进入多效蒸发器蒸除盐分，蒸发产生的冷凝水（9360m³/a）作为水洗塔和急冷塔补水循环利用，蒸出的盐分作为固废处置。中和+多效蒸发工艺成熟，可有效去除废水中的盐分及污染物，实现水资源循环利用，减少废水外排，设备配置符合项目废水处理规模，运行稳定，技术可行性高；循环利用模式可降低新鲜水用量，减少运行成本，经济合理性良好。</w:t>
      </w:r>
    </w:p>
    <w:p w14:paraId="17ED0A9B">
      <w:pPr>
        <w:ind w:firstLine="482"/>
        <w:rPr>
          <w:color w:val="000000" w:themeColor="text1"/>
          <w14:textFill>
            <w14:solidFill>
              <w14:schemeClr w14:val="tx1"/>
            </w14:solidFill>
          </w14:textFill>
        </w:rPr>
      </w:pPr>
      <w:r>
        <w:rPr>
          <w:b/>
          <w:color w:val="000000" w:themeColor="text1"/>
          <w14:textFill>
            <w14:solidFill>
              <w14:schemeClr w14:val="tx1"/>
            </w14:solidFill>
          </w14:textFill>
        </w:rPr>
        <w:t>循环冷却系统排污水</w:t>
      </w:r>
      <w:r>
        <w:rPr>
          <w:color w:val="000000" w:themeColor="text1"/>
          <w14:textFill>
            <w14:solidFill>
              <w14:schemeClr w14:val="tx1"/>
            </w14:solidFill>
          </w14:textFill>
        </w:rPr>
        <w:t>：水质相对简单，主要污染物为盐类，直接排入园区市政污水管网，符合园区污水处理厂接收标准，无需额外处理，措施简单可行，且排放去向合理，符合环保管理要求。</w:t>
      </w:r>
    </w:p>
    <w:p w14:paraId="7BBC897D">
      <w:pPr>
        <w:ind w:firstLine="482"/>
        <w:rPr>
          <w:color w:val="000000" w:themeColor="text1"/>
          <w14:textFill>
            <w14:solidFill>
              <w14:schemeClr w14:val="tx1"/>
            </w14:solidFill>
          </w14:textFill>
        </w:rPr>
      </w:pPr>
      <w:r>
        <w:rPr>
          <w:b/>
          <w:color w:val="000000" w:themeColor="text1"/>
          <w14:textFill>
            <w14:solidFill>
              <w14:schemeClr w14:val="tx1"/>
            </w14:solidFill>
          </w14:textFill>
        </w:rPr>
        <w:t>化验室废水</w:t>
      </w:r>
      <w:r>
        <w:rPr>
          <w:color w:val="000000" w:themeColor="text1"/>
          <w14:textFill>
            <w14:solidFill>
              <w14:schemeClr w14:val="tx1"/>
            </w14:solidFill>
          </w14:textFill>
        </w:rPr>
        <w:t>：前两遍清洗废水作为危废处置，后续冲洗水排入园区市政污水管网。该分类处理方式贴合化验室废水污染物浓度不均的特点，可避免高浓度废水污染市政管网，措施操作简便，管理可操作性强，符合危险废物处置规范。</w:t>
      </w:r>
    </w:p>
    <w:p w14:paraId="0AF36E8F">
      <w:pPr>
        <w:ind w:firstLine="482"/>
        <w:rPr>
          <w:color w:val="000000" w:themeColor="text1"/>
          <w14:textFill>
            <w14:solidFill>
              <w14:schemeClr w14:val="tx1"/>
            </w14:solidFill>
          </w14:textFill>
        </w:rPr>
      </w:pPr>
      <w:r>
        <w:rPr>
          <w:b/>
          <w:color w:val="000000" w:themeColor="text1"/>
          <w14:textFill>
            <w14:solidFill>
              <w14:schemeClr w14:val="tx1"/>
            </w14:solidFill>
          </w14:textFill>
        </w:rPr>
        <w:t>地面冲洗废水</w:t>
      </w:r>
      <w:r>
        <w:rPr>
          <w:color w:val="000000" w:themeColor="text1"/>
          <w14:textFill>
            <w14:solidFill>
              <w14:schemeClr w14:val="tx1"/>
            </w14:solidFill>
          </w14:textFill>
        </w:rPr>
        <w:t>：水质简单，直接排入园区市政污水管网，无需额外处理，措施可行，排放去向合理。</w:t>
      </w:r>
    </w:p>
    <w:p w14:paraId="37E51806">
      <w:pPr>
        <w:ind w:firstLine="482"/>
        <w:rPr>
          <w:color w:val="000000" w:themeColor="text1"/>
          <w14:textFill>
            <w14:solidFill>
              <w14:schemeClr w14:val="tx1"/>
            </w14:solidFill>
          </w14:textFill>
        </w:rPr>
      </w:pPr>
      <w:r>
        <w:rPr>
          <w:b/>
          <w:color w:val="000000" w:themeColor="text1"/>
          <w14:textFill>
            <w14:solidFill>
              <w14:schemeClr w14:val="tx1"/>
            </w14:solidFill>
          </w14:textFill>
        </w:rPr>
        <w:t>生活污水</w:t>
      </w:r>
      <w:r>
        <w:rPr>
          <w:color w:val="000000" w:themeColor="text1"/>
          <w14:textFill>
            <w14:solidFill>
              <w14:schemeClr w14:val="tx1"/>
            </w14:solidFill>
          </w14:textFill>
        </w:rPr>
        <w:t>：经化粪池处理达标后排入园区市政污水管网，化粪池处理工艺成熟、投资低、维护简便，可有效去除生活污水中的悬浮物、有机物等污染物，满足市政污水管网接收标准，可行性良好。</w:t>
      </w:r>
    </w:p>
    <w:p w14:paraId="6AD7813C">
      <w:pPr>
        <w:pStyle w:val="4"/>
        <w:rPr>
          <w:rFonts w:ascii="Times New Roman" w:cs="Times New Roman"/>
          <w:color w:val="000000" w:themeColor="text1"/>
          <w14:textFill>
            <w14:solidFill>
              <w14:schemeClr w14:val="tx1"/>
            </w14:solidFill>
          </w14:textFill>
        </w:rPr>
      </w:pPr>
      <w:bookmarkStart w:id="498" w:name="heading_13"/>
      <w:r>
        <w:rPr>
          <w:rFonts w:ascii="Times New Roman" w:cs="Times New Roman"/>
          <w:color w:val="000000" w:themeColor="text1"/>
          <w14:textFill>
            <w14:solidFill>
              <w14:schemeClr w14:val="tx1"/>
            </w14:solidFill>
          </w14:textFill>
        </w:rPr>
        <w:t>可行性综合分析</w:t>
      </w:r>
      <w:bookmarkEnd w:id="498"/>
    </w:p>
    <w:p w14:paraId="2432A25F">
      <w:pPr>
        <w:ind w:firstLine="480"/>
        <w:rPr>
          <w:color w:val="000000" w:themeColor="text1"/>
          <w14:textFill>
            <w14:solidFill>
              <w14:schemeClr w14:val="tx1"/>
            </w14:solidFill>
          </w14:textFill>
        </w:rPr>
      </w:pPr>
      <w:r>
        <w:rPr>
          <w:color w:val="000000" w:themeColor="text1"/>
          <w14:textFill>
            <w14:solidFill>
              <w14:schemeClr w14:val="tx1"/>
            </w14:solidFill>
          </w14:textFill>
        </w:rPr>
        <w:t>项目废水处理措施遵循“分类处理、资源化利用”的原则，针对不同水质的废水采取差异化处理方案，既确保了废水达标排放，又实现了烟气处理系统废水的循环利用，减少了新鲜水消耗和废水外排总量。各类处理工艺均为成熟的废水处理技术，设备配置与废水产生量匹配，运行成本适中，与项目总投资（5000万元）相匹配；管理上可通过制定废水收集、处理、排放管理制度，定期维护处理设备，确保措施落实到位。综上，废水污染防治措施技术可行、经济合理、管理可操作，能够满足相关环保标准要求。</w:t>
      </w:r>
    </w:p>
    <w:p w14:paraId="5034B6E0">
      <w:pPr>
        <w:pStyle w:val="3"/>
        <w:rPr>
          <w:rFonts w:ascii="Times New Roman" w:cs="Times New Roman"/>
          <w:color w:val="000000" w:themeColor="text1"/>
          <w14:textFill>
            <w14:solidFill>
              <w14:schemeClr w14:val="tx1"/>
            </w14:solidFill>
          </w14:textFill>
        </w:rPr>
      </w:pPr>
      <w:bookmarkStart w:id="499" w:name="_Toc225268327"/>
      <w:r>
        <w:rPr>
          <w:rFonts w:ascii="Times New Roman" w:cs="Times New Roman"/>
          <w:color w:val="000000" w:themeColor="text1"/>
          <w14:textFill>
            <w14:solidFill>
              <w14:schemeClr w14:val="tx1"/>
            </w14:solidFill>
          </w14:textFill>
        </w:rPr>
        <w:t>地下水污染防治措施</w:t>
      </w:r>
      <w:bookmarkEnd w:id="499"/>
    </w:p>
    <w:p w14:paraId="50015ACA">
      <w:pPr>
        <w:pStyle w:val="4"/>
        <w:rPr>
          <w:rFonts w:ascii="Times New Roman" w:cs="Times New Roman"/>
          <w:color w:val="000000" w:themeColor="text1"/>
          <w14:textFill>
            <w14:solidFill>
              <w14:schemeClr w14:val="tx1"/>
            </w14:solidFill>
          </w14:textFill>
        </w:rPr>
      </w:pPr>
      <w:bookmarkStart w:id="500" w:name="bookmark551"/>
      <w:r>
        <w:rPr>
          <w:rFonts w:ascii="Times New Roman" w:cs="Times New Roman"/>
          <w:color w:val="000000" w:themeColor="text1"/>
          <w14:textFill>
            <w14:solidFill>
              <w14:schemeClr w14:val="tx1"/>
            </w14:solidFill>
          </w14:textFill>
        </w:rPr>
        <w:t>地下水污染防治原则</w:t>
      </w:r>
      <w:bookmarkEnd w:id="500"/>
    </w:p>
    <w:p w14:paraId="5F04E2AE">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根据《环境影响技术评价导则地下水环境》</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HJ610-2016</w:t>
      </w:r>
      <w:r>
        <w:rPr>
          <w:color w:val="000000" w:themeColor="text1"/>
          <w:lang w:bidi="en-US"/>
          <w14:textFill>
            <w14:solidFill>
              <w14:schemeClr w14:val="tx1"/>
            </w14:solidFill>
          </w14:textFill>
        </w:rPr>
        <w:t>)</w:t>
      </w:r>
      <w:r>
        <w:rPr>
          <w:color w:val="000000" w:themeColor="text1"/>
          <w14:textFill>
            <w14:solidFill>
              <w14:schemeClr w14:val="tx1"/>
            </w14:solidFill>
          </w14:textFill>
        </w:rPr>
        <w:t>的要求，地下水保护措施与对策应符合《中华人民共和国水污染防治法》的相关规定，按照</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源头控制，分区防治，污染监控，应急响应</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、突出饮用水安全的原则确定，项目地下水污染防治原则如下：</w:t>
      </w:r>
    </w:p>
    <w:p w14:paraId="59790B3F">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)源头控制，主要包括在工艺、管道、设备、储存及处理构筑物采取相应措施，防止和降低污染物跑、冒、滴、漏，将污染物泄漏的环境风险事故降到最低程度；</w:t>
      </w:r>
    </w:p>
    <w:p w14:paraId="13B14828">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分区防治措施，结合建设项目各生产设备、管廊或管线、贮存与运输装置、污染物贮存与处理装置、事故应急装置等的布局，根据可能进入地下水环境的各种有毒有害原辅材料、中间物料和产品的泄漏（含跑、冒、滴、漏）量及其他各类污染物的性质、产生量和排放量，划分污染防治区，提出不同区域的地面防渗方案，给出具体的防渗材料及防渗标准要求，建立防渗设施的检漏系统。以特殊装置区为主，一般生产区为辅；事故易发生区为主，一般区为辅。</w:t>
      </w:r>
    </w:p>
    <w:p w14:paraId="1329D8F6">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）地下水污染监控。建立厂区地下水环境监控体系，包括建立下水污染监控制度和环境管理体系、制定监测计划、配备先进的检测仪器和设备，以便及时发现问题，及时采取措施；</w:t>
      </w:r>
    </w:p>
    <w:p w14:paraId="47751235">
      <w:pPr>
        <w:pStyle w:val="4"/>
        <w:rPr>
          <w:rFonts w:ascii="Times New Roman" w:cs="Times New Roman"/>
          <w:color w:val="000000" w:themeColor="text1"/>
          <w14:textFill>
            <w14:solidFill>
              <w14:schemeClr w14:val="tx1"/>
            </w14:solidFill>
          </w14:textFill>
        </w:rPr>
      </w:pPr>
      <w:bookmarkStart w:id="501" w:name="bookmark553"/>
      <w:r>
        <w:rPr>
          <w:rFonts w:ascii="Times New Roman" w:cs="Times New Roman"/>
          <w:color w:val="000000" w:themeColor="text1"/>
          <w14:textFill>
            <w14:solidFill>
              <w14:schemeClr w14:val="tx1"/>
            </w14:solidFill>
          </w14:textFill>
        </w:rPr>
        <w:t>源头控制措施</w:t>
      </w:r>
      <w:bookmarkEnd w:id="501"/>
    </w:p>
    <w:p w14:paraId="714867F9">
      <w:pPr>
        <w:ind w:firstLine="480"/>
        <w:rPr>
          <w:color w:val="000000" w:themeColor="text1"/>
          <w14:textFill>
            <w14:solidFill>
              <w14:schemeClr w14:val="tx1"/>
            </w14:solidFill>
          </w14:textFill>
        </w:rPr>
      </w:pPr>
      <w:r>
        <w:rPr>
          <w:color w:val="000000" w:themeColor="text1"/>
          <w14:textFill>
            <w14:solidFill>
              <w14:schemeClr w14:val="tx1"/>
            </w14:solidFill>
          </w14:textFill>
        </w:rPr>
        <w:t>源头控制主要包括实施清洁生产及各类废物循环利用，减少污染物的产生量和排放量；对工艺、管道、设备、污水储存及处理构筑物采取相应措施，防止和降低污染物跑、冒、滴、漏，将污染物泄漏的环境风险事故降到最低限度。</w:t>
      </w:r>
    </w:p>
    <w:p w14:paraId="01C9AACE">
      <w:pPr>
        <w:ind w:firstLine="480"/>
        <w:rPr>
          <w:color w:val="000000" w:themeColor="text1"/>
          <w14:textFill>
            <w14:solidFill>
              <w14:schemeClr w14:val="tx1"/>
            </w14:solidFill>
          </w14:textFill>
        </w:rPr>
      </w:pPr>
      <w:r>
        <w:rPr>
          <w:color w:val="000000" w:themeColor="text1"/>
          <w14:textFill>
            <w14:solidFill>
              <w14:schemeClr w14:val="tx1"/>
            </w14:solidFill>
          </w14:textFill>
        </w:rPr>
        <w:t>本工程对产生的废水进行合理的治理和综合利用，使用先进工艺，良好的管道、设备和污水储存设施，尽可能从源头上减少污染物产生；严格按照国家相关规范要求，对工艺、管道、设备、污水储存及处理构筑物采取相应的措施，以防止和降低污染物的跑、冒、滴、漏，将环境风险事故降到最低；管线铺设尽量采用</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可视为</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原则，即管道尽可能地上铺设，做到污染物</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早发现、早处理</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，以减少由于地埋管道泄漏而可能造成的地下水污染。</w:t>
      </w:r>
    </w:p>
    <w:p w14:paraId="30AA5151">
      <w:pPr>
        <w:pStyle w:val="4"/>
        <w:rPr>
          <w:rFonts w:ascii="Times New Roman" w:cs="Times New Roman"/>
          <w:color w:val="000000" w:themeColor="text1"/>
          <w14:textFill>
            <w14:solidFill>
              <w14:schemeClr w14:val="tx1"/>
            </w14:solidFill>
          </w14:textFill>
        </w:rPr>
      </w:pPr>
      <w:bookmarkStart w:id="502" w:name="bookmark555"/>
      <w:r>
        <w:rPr>
          <w:rFonts w:ascii="Times New Roman" w:cs="Times New Roman"/>
          <w:color w:val="000000" w:themeColor="text1"/>
          <w14:textFill>
            <w14:solidFill>
              <w14:schemeClr w14:val="tx1"/>
            </w14:solidFill>
          </w14:textFill>
        </w:rPr>
        <w:t>污染防渗分区</w:t>
      </w:r>
      <w:bookmarkEnd w:id="502"/>
    </w:p>
    <w:p w14:paraId="10FE57EA">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根据《环境影响技术评价导则 地下水环境》</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HJ610-2016</w:t>
      </w:r>
      <w:r>
        <w:rPr>
          <w:color w:val="000000" w:themeColor="text1"/>
          <w:lang w:bidi="en-US"/>
          <w14:textFill>
            <w14:solidFill>
              <w14:schemeClr w14:val="tx1"/>
            </w14:solidFill>
          </w14:textFill>
        </w:rPr>
        <w:t>）</w:t>
      </w:r>
      <w:r>
        <w:rPr>
          <w:color w:val="000000" w:themeColor="text1"/>
          <w14:textFill>
            <w14:solidFill>
              <w14:schemeClr w14:val="tx1"/>
            </w14:solidFill>
          </w14:textFill>
        </w:rPr>
        <w:t>要求，项目应进行分区防控措施。因此本项目应根据建设项目场地天然包气带防污性能、污染控制难易程度和污染物特性，按照《环境影响技术评价导则 地下水环境》</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HJ610-2016</w:t>
      </w:r>
      <w:r>
        <w:rPr>
          <w:color w:val="000000" w:themeColor="text1"/>
          <w:lang w:bidi="en-US"/>
          <w14:textFill>
            <w14:solidFill>
              <w14:schemeClr w14:val="tx1"/>
            </w14:solidFill>
          </w14:textFill>
        </w:rPr>
        <w:t>）</w:t>
      </w:r>
      <w:r>
        <w:rPr>
          <w:color w:val="000000" w:themeColor="text1"/>
          <w14:textFill>
            <w14:solidFill>
              <w14:schemeClr w14:val="tx1"/>
            </w14:solidFill>
          </w14:textFill>
        </w:rPr>
        <w:t>中参照表</w:t>
      </w:r>
      <w:r>
        <w:rPr>
          <w:rFonts w:eastAsia="Times New Roman"/>
          <w:color w:val="000000" w:themeColor="text1"/>
          <w14:textFill>
            <w14:solidFill>
              <w14:schemeClr w14:val="tx1"/>
            </w14:solidFill>
          </w14:textFill>
        </w:rPr>
        <w:t>7</w:t>
      </w:r>
      <w:r>
        <w:rPr>
          <w:color w:val="000000" w:themeColor="text1"/>
          <w14:textFill>
            <w14:solidFill>
              <w14:schemeClr w14:val="tx1"/>
            </w14:solidFill>
          </w14:textFill>
        </w:rPr>
        <w:t>中提出防渗技术要求进行划分及确定。</w:t>
      </w:r>
    </w:p>
    <w:p w14:paraId="087F5B11">
      <w:pPr>
        <w:ind w:firstLine="480"/>
        <w:rPr>
          <w:color w:val="000000" w:themeColor="text1"/>
          <w14:textFill>
            <w14:solidFill>
              <w14:schemeClr w14:val="tx1"/>
            </w14:solidFill>
          </w14:textFill>
        </w:rPr>
      </w:pPr>
      <w:r>
        <w:rPr>
          <w:color w:val="000000" w:themeColor="text1"/>
          <w14:textFill>
            <w14:solidFill>
              <w14:schemeClr w14:val="tx1"/>
            </w14:solidFill>
          </w14:textFill>
        </w:rPr>
        <w:t>根据厂区可能泄漏至地面区域污染物的性质和生产单元的构筑方式，以及潜在的地下水污染分类分析，将厂区划分为一般防渗区和重点防渗区。</w:t>
      </w:r>
    </w:p>
    <w:p w14:paraId="18D5515A">
      <w:pPr>
        <w:ind w:firstLine="480"/>
        <w:rPr>
          <w:color w:val="000000" w:themeColor="text1"/>
          <w14:textFill>
            <w14:solidFill>
              <w14:schemeClr w14:val="tx1"/>
            </w14:solidFill>
          </w14:textFill>
        </w:rPr>
      </w:pPr>
      <w:r>
        <w:rPr>
          <w:color w:val="000000" w:themeColor="text1"/>
          <w14:textFill>
            <w14:solidFill>
              <w14:schemeClr w14:val="tx1"/>
            </w14:solidFill>
          </w14:textFill>
        </w:rPr>
        <w:t>拟建项目所在区分区防渗情况见下表和图</w:t>
      </w:r>
      <w:r>
        <w:rPr>
          <w:rFonts w:eastAsia="Times New Roman"/>
          <w:color w:val="000000" w:themeColor="text1"/>
          <w14:textFill>
            <w14:solidFill>
              <w14:schemeClr w14:val="tx1"/>
            </w14:solidFill>
          </w14:textFill>
        </w:rPr>
        <w:t>6.5.3-1</w:t>
      </w:r>
      <w:r>
        <w:rPr>
          <w:color w:val="000000" w:themeColor="text1"/>
          <w14:textFill>
            <w14:solidFill>
              <w14:schemeClr w14:val="tx1"/>
            </w14:solidFill>
          </w14:textFill>
        </w:rPr>
        <w:t>。</w:t>
      </w:r>
    </w:p>
    <w:p w14:paraId="4A9EA9AF">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本项目分区防渗一览表</w:t>
      </w:r>
    </w:p>
    <w:tbl>
      <w:tblPr>
        <w:tblStyle w:val="76"/>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29"/>
        <w:gridCol w:w="3225"/>
        <w:gridCol w:w="4253"/>
      </w:tblGrid>
      <w:tr w14:paraId="0B7B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129" w:type="dxa"/>
            <w:vAlign w:val="center"/>
          </w:tcPr>
          <w:p w14:paraId="43E07D0F">
            <w:pPr>
              <w:pStyle w:val="109"/>
              <w:rPr>
                <w:color w:val="000000" w:themeColor="text1"/>
                <w14:textFill>
                  <w14:solidFill>
                    <w14:schemeClr w14:val="tx1"/>
                  </w14:solidFill>
                </w14:textFill>
              </w:rPr>
            </w:pPr>
            <w:r>
              <w:rPr>
                <w:color w:val="000000" w:themeColor="text1"/>
                <w14:textFill>
                  <w14:solidFill>
                    <w14:schemeClr w14:val="tx1"/>
                  </w14:solidFill>
                </w14:textFill>
              </w:rPr>
              <w:t>防渗分区</w:t>
            </w:r>
          </w:p>
        </w:tc>
        <w:tc>
          <w:tcPr>
            <w:tcW w:w="3225" w:type="dxa"/>
            <w:vAlign w:val="center"/>
          </w:tcPr>
          <w:p w14:paraId="162A842A">
            <w:pPr>
              <w:pStyle w:val="109"/>
              <w:rPr>
                <w:color w:val="000000" w:themeColor="text1"/>
                <w14:textFill>
                  <w14:solidFill>
                    <w14:schemeClr w14:val="tx1"/>
                  </w14:solidFill>
                </w14:textFill>
              </w:rPr>
            </w:pPr>
            <w:r>
              <w:rPr>
                <w:color w:val="000000" w:themeColor="text1"/>
                <w14:textFill>
                  <w14:solidFill>
                    <w14:schemeClr w14:val="tx1"/>
                  </w14:solidFill>
                </w14:textFill>
              </w:rPr>
              <w:t>防渗单元</w:t>
            </w:r>
          </w:p>
        </w:tc>
        <w:tc>
          <w:tcPr>
            <w:tcW w:w="4253" w:type="dxa"/>
            <w:vAlign w:val="center"/>
          </w:tcPr>
          <w:p w14:paraId="781CFF52">
            <w:pPr>
              <w:pStyle w:val="109"/>
              <w:rPr>
                <w:color w:val="000000" w:themeColor="text1"/>
                <w14:textFill>
                  <w14:solidFill>
                    <w14:schemeClr w14:val="tx1"/>
                  </w14:solidFill>
                </w14:textFill>
              </w:rPr>
            </w:pPr>
            <w:r>
              <w:rPr>
                <w:color w:val="000000" w:themeColor="text1"/>
                <w14:textFill>
                  <w14:solidFill>
                    <w14:schemeClr w14:val="tx1"/>
                  </w14:solidFill>
                </w14:textFill>
              </w:rPr>
              <w:t>防渗技术要求</w:t>
            </w:r>
          </w:p>
        </w:tc>
      </w:tr>
      <w:tr w14:paraId="2A6B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129" w:type="dxa"/>
            <w:vMerge w:val="restart"/>
            <w:vAlign w:val="center"/>
          </w:tcPr>
          <w:p w14:paraId="283D6C44">
            <w:pPr>
              <w:pStyle w:val="109"/>
              <w:rPr>
                <w:color w:val="000000" w:themeColor="text1"/>
                <w14:textFill>
                  <w14:solidFill>
                    <w14:schemeClr w14:val="tx1"/>
                  </w14:solidFill>
                </w14:textFill>
              </w:rPr>
            </w:pPr>
            <w:r>
              <w:rPr>
                <w:color w:val="000000" w:themeColor="text1"/>
                <w14:textFill>
                  <w14:solidFill>
                    <w14:schemeClr w14:val="tx1"/>
                  </w14:solidFill>
                </w14:textFill>
              </w:rPr>
              <w:t>重点防渗区</w:t>
            </w:r>
          </w:p>
        </w:tc>
        <w:tc>
          <w:tcPr>
            <w:tcW w:w="3225" w:type="dxa"/>
            <w:vAlign w:val="center"/>
          </w:tcPr>
          <w:p w14:paraId="576F3B14">
            <w:pPr>
              <w:pStyle w:val="109"/>
              <w:rPr>
                <w:color w:val="000000" w:themeColor="text1"/>
                <w14:textFill>
                  <w14:solidFill>
                    <w14:schemeClr w14:val="tx1"/>
                  </w14:solidFill>
                </w14:textFill>
              </w:rPr>
            </w:pPr>
            <w:r>
              <w:rPr>
                <w:color w:val="000000" w:themeColor="text1"/>
                <w14:textFill>
                  <w14:solidFill>
                    <w14:schemeClr w14:val="tx1"/>
                  </w14:solidFill>
                </w14:textFill>
              </w:rPr>
              <w:t>生产车间、废气处理设施各循环水池、沉淀池、事故水池、化粪池</w:t>
            </w:r>
          </w:p>
        </w:tc>
        <w:tc>
          <w:tcPr>
            <w:tcW w:w="4253" w:type="dxa"/>
            <w:vAlign w:val="center"/>
          </w:tcPr>
          <w:p w14:paraId="13E745BE">
            <w:pPr>
              <w:pStyle w:val="109"/>
              <w:rPr>
                <w:color w:val="000000" w:themeColor="text1"/>
                <w14:textFill>
                  <w14:solidFill>
                    <w14:schemeClr w14:val="tx1"/>
                  </w14:solidFill>
                </w14:textFill>
              </w:rPr>
            </w:pPr>
            <w:r>
              <w:rPr>
                <w:color w:val="000000" w:themeColor="text1"/>
                <w14:textFill>
                  <w14:solidFill>
                    <w14:schemeClr w14:val="tx1"/>
                  </w14:solidFill>
                </w14:textFill>
              </w:rPr>
              <w:t>等效黏土防渗层Mb&gt;6.0m，K&lt;1x10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cm/s；或参照GB18598执行</w:t>
            </w:r>
          </w:p>
        </w:tc>
      </w:tr>
      <w:tr w14:paraId="08FA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129" w:type="dxa"/>
            <w:vMerge w:val="continue"/>
            <w:vAlign w:val="center"/>
          </w:tcPr>
          <w:p w14:paraId="704E1BB8">
            <w:pPr>
              <w:pStyle w:val="109"/>
              <w:rPr>
                <w:color w:val="000000" w:themeColor="text1"/>
                <w14:textFill>
                  <w14:solidFill>
                    <w14:schemeClr w14:val="tx1"/>
                  </w14:solidFill>
                </w14:textFill>
              </w:rPr>
            </w:pPr>
          </w:p>
        </w:tc>
        <w:tc>
          <w:tcPr>
            <w:tcW w:w="3225" w:type="dxa"/>
            <w:vAlign w:val="center"/>
          </w:tcPr>
          <w:p w14:paraId="7F8A5B00">
            <w:pPr>
              <w:pStyle w:val="109"/>
              <w:rPr>
                <w:color w:val="000000" w:themeColor="text1"/>
                <w14:textFill>
                  <w14:solidFill>
                    <w14:schemeClr w14:val="tx1"/>
                  </w14:solidFill>
                </w14:textFill>
              </w:rPr>
            </w:pPr>
            <w:r>
              <w:rPr>
                <w:color w:val="000000" w:themeColor="text1"/>
                <w14:textFill>
                  <w14:solidFill>
                    <w14:schemeClr w14:val="tx1"/>
                  </w14:solidFill>
                </w14:textFill>
              </w:rPr>
              <w:t>废盐仓库、自产危废库</w:t>
            </w:r>
          </w:p>
        </w:tc>
        <w:tc>
          <w:tcPr>
            <w:tcW w:w="4253" w:type="dxa"/>
            <w:vAlign w:val="center"/>
          </w:tcPr>
          <w:p w14:paraId="79D20442">
            <w:pPr>
              <w:pStyle w:val="109"/>
              <w:rPr>
                <w:color w:val="000000" w:themeColor="text1"/>
                <w14:textFill>
                  <w14:solidFill>
                    <w14:schemeClr w14:val="tx1"/>
                  </w14:solidFill>
                </w14:textFill>
              </w:rPr>
            </w:pPr>
            <w:r>
              <w:rPr>
                <w:color w:val="000000" w:themeColor="text1"/>
                <w14:textFill>
                  <w14:solidFill>
                    <w14:schemeClr w14:val="tx1"/>
                  </w14:solidFill>
                </w14:textFill>
              </w:rPr>
              <w:t>表面防渗材料应与所接触的物料或污染物相容，可采用抗渗混凝土、高密度聚乙烯膜、钠基膨润土防水毡或其他防渗性能等效的材料。贮存的危险废物直接接触地面的，还应进行基础防渗，防渗层为至少1m厚黏土层，或至少2mm厚高密度聚乙烯膜等人工防渗材料</w:t>
            </w:r>
          </w:p>
        </w:tc>
      </w:tr>
      <w:tr w14:paraId="30E6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129" w:type="dxa"/>
            <w:vAlign w:val="center"/>
          </w:tcPr>
          <w:p w14:paraId="08A25C9D">
            <w:pPr>
              <w:pStyle w:val="109"/>
              <w:rPr>
                <w:color w:val="000000" w:themeColor="text1"/>
                <w14:textFill>
                  <w14:solidFill>
                    <w14:schemeClr w14:val="tx1"/>
                  </w14:solidFill>
                </w14:textFill>
              </w:rPr>
            </w:pPr>
            <w:r>
              <w:rPr>
                <w:color w:val="000000" w:themeColor="text1"/>
                <w14:textFill>
                  <w14:solidFill>
                    <w14:schemeClr w14:val="tx1"/>
                  </w14:solidFill>
                </w14:textFill>
              </w:rPr>
              <w:t>一般防渗区</w:t>
            </w:r>
          </w:p>
        </w:tc>
        <w:tc>
          <w:tcPr>
            <w:tcW w:w="3225" w:type="dxa"/>
            <w:vAlign w:val="center"/>
          </w:tcPr>
          <w:p w14:paraId="57C7B3C6">
            <w:pPr>
              <w:pStyle w:val="109"/>
              <w:rPr>
                <w:color w:val="000000" w:themeColor="text1"/>
                <w14:textFill>
                  <w14:solidFill>
                    <w14:schemeClr w14:val="tx1"/>
                  </w14:solidFill>
                </w14:textFill>
              </w:rPr>
            </w:pPr>
            <w:r>
              <w:rPr>
                <w:color w:val="000000" w:themeColor="text1"/>
                <w14:textFill>
                  <w14:solidFill>
                    <w14:schemeClr w14:val="tx1"/>
                  </w14:solidFill>
                </w14:textFill>
              </w:rPr>
              <w:t>融雪剂成品库</w:t>
            </w:r>
          </w:p>
        </w:tc>
        <w:tc>
          <w:tcPr>
            <w:tcW w:w="4253" w:type="dxa"/>
            <w:vAlign w:val="center"/>
          </w:tcPr>
          <w:p w14:paraId="30F13761">
            <w:pPr>
              <w:pStyle w:val="109"/>
              <w:rPr>
                <w:color w:val="000000" w:themeColor="text1"/>
                <w14:textFill>
                  <w14:solidFill>
                    <w14:schemeClr w14:val="tx1"/>
                  </w14:solidFill>
                </w14:textFill>
              </w:rPr>
            </w:pPr>
            <w:r>
              <w:rPr>
                <w:color w:val="000000" w:themeColor="text1"/>
                <w14:textFill>
                  <w14:solidFill>
                    <w14:schemeClr w14:val="tx1"/>
                  </w14:solidFill>
                </w14:textFill>
              </w:rPr>
              <w:t>等效黏土防渗层Mb&gt;1.5m，K&lt;1x10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cm/s；或参照GB18598执行</w:t>
            </w:r>
          </w:p>
        </w:tc>
      </w:tr>
    </w:tbl>
    <w:p w14:paraId="7D21E877">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地下水污染监控措施</w:t>
      </w:r>
    </w:p>
    <w:p w14:paraId="18E00589">
      <w:pPr>
        <w:ind w:firstLine="480"/>
        <w:rPr>
          <w:color w:val="000000" w:themeColor="text1"/>
          <w14:textFill>
            <w14:solidFill>
              <w14:schemeClr w14:val="tx1"/>
            </w14:solidFill>
          </w14:textFill>
        </w:rPr>
      </w:pPr>
      <w:r>
        <w:rPr>
          <w:color w:val="000000" w:themeColor="text1"/>
          <w14:textFill>
            <w14:solidFill>
              <w14:schemeClr w14:val="tx1"/>
            </w14:solidFill>
          </w14:textFill>
        </w:rPr>
        <w:t>（1）地下水监测计划</w:t>
      </w:r>
    </w:p>
    <w:p w14:paraId="65410640">
      <w:pPr>
        <w:ind w:firstLine="480"/>
        <w:rPr>
          <w:color w:val="000000" w:themeColor="text1"/>
          <w14:textFill>
            <w14:solidFill>
              <w14:schemeClr w14:val="tx1"/>
            </w14:solidFill>
          </w14:textFill>
        </w:rPr>
      </w:pPr>
      <w:r>
        <w:rPr>
          <w:color w:val="000000" w:themeColor="text1"/>
          <w14:textFill>
            <w14:solidFill>
              <w14:schemeClr w14:val="tx1"/>
            </w14:solidFill>
          </w14:textFill>
        </w:rPr>
        <w:t>为了及时准确地掌握厂址及下游地区地下水环境质量状况和地下水体中污染物的动态变化，拟建项目应建立覆盖全厂的地下水长期监控系统，包括科学、合理地设置地下水污染监控井，建立完善的监测制度，配备先进的检测仪器和设备，以便及时发现并及时控制。</w:t>
      </w:r>
    </w:p>
    <w:p w14:paraId="0A99A8E9">
      <w:pPr>
        <w:ind w:firstLine="480"/>
        <w:rPr>
          <w:color w:val="000000" w:themeColor="text1"/>
          <w14:textFill>
            <w14:solidFill>
              <w14:schemeClr w14:val="tx1"/>
            </w14:solidFill>
          </w14:textFill>
        </w:rPr>
      </w:pPr>
      <w:r>
        <w:rPr>
          <w:color w:val="000000" w:themeColor="text1"/>
          <w14:textFill>
            <w14:solidFill>
              <w14:schemeClr w14:val="tx1"/>
            </w14:solidFill>
          </w14:textFill>
        </w:rPr>
        <w:t>目前尚没有针对建设项目地下水环境监测的法律法规或规程规范，本期项目地下水环境监测主要参考《地下水环境监测技术规范》</w:t>
      </w:r>
      <w:r>
        <w:rPr>
          <w:color w:val="000000" w:themeColor="text1"/>
          <w:lang w:bidi="en-US"/>
          <w14:textFill>
            <w14:solidFill>
              <w14:schemeClr w14:val="tx1"/>
            </w14:solidFill>
          </w14:textFill>
        </w:rPr>
        <w:t>（HJ/T164-2004），</w:t>
      </w:r>
      <w:r>
        <w:rPr>
          <w:color w:val="000000" w:themeColor="text1"/>
          <w14:textFill>
            <w14:solidFill>
              <w14:schemeClr w14:val="tx1"/>
            </w14:solidFill>
          </w14:textFill>
        </w:rPr>
        <w:t>结合研究区含水层系统和地下水径流系统特征，考虑潜在污染源、环境保护目标等因素，布置地下水监测点。</w:t>
      </w:r>
    </w:p>
    <w:p w14:paraId="43F19616">
      <w:pPr>
        <w:ind w:firstLine="480"/>
        <w:rPr>
          <w:color w:val="000000" w:themeColor="text1"/>
          <w14:textFill>
            <w14:solidFill>
              <w14:schemeClr w14:val="tx1"/>
            </w14:solidFill>
          </w14:textFill>
        </w:rPr>
      </w:pPr>
      <w:r>
        <w:rPr>
          <w:color w:val="000000" w:themeColor="text1"/>
          <w14:textFill>
            <w14:solidFill>
              <w14:schemeClr w14:val="tx1"/>
            </w14:solidFill>
          </w14:textFill>
        </w:rPr>
        <w:t>（2）地下水监测原则</w:t>
      </w:r>
    </w:p>
    <w:p w14:paraId="2617A09C">
      <w:pPr>
        <w:ind w:firstLine="480"/>
        <w:rPr>
          <w:color w:val="000000" w:themeColor="text1"/>
          <w14:textFill>
            <w14:solidFill>
              <w14:schemeClr w14:val="tx1"/>
            </w14:solidFill>
          </w14:textFill>
        </w:rPr>
      </w:pPr>
      <w:r>
        <w:rPr>
          <w:color w:val="000000" w:themeColor="text1"/>
          <w14:textFill>
            <w14:solidFill>
              <w14:schemeClr w14:val="tx1"/>
            </w14:solidFill>
          </w14:textFill>
        </w:rPr>
        <w:t>重点污染防治区加密监测原则；</w:t>
      </w:r>
    </w:p>
    <w:p w14:paraId="7379599C">
      <w:pPr>
        <w:ind w:firstLine="480"/>
        <w:rPr>
          <w:color w:val="000000" w:themeColor="text1"/>
          <w14:textFill>
            <w14:solidFill>
              <w14:schemeClr w14:val="tx1"/>
            </w14:solidFill>
          </w14:textFill>
        </w:rPr>
      </w:pPr>
      <w:r>
        <w:rPr>
          <w:color w:val="000000" w:themeColor="text1"/>
          <w14:textFill>
            <w14:solidFill>
              <w14:schemeClr w14:val="tx1"/>
            </w14:solidFill>
          </w14:textFill>
        </w:rPr>
        <w:t>以浅层地下水监测为主的原则；</w:t>
      </w:r>
    </w:p>
    <w:p w14:paraId="116FA6D1">
      <w:pPr>
        <w:ind w:firstLine="480"/>
        <w:rPr>
          <w:color w:val="000000" w:themeColor="text1"/>
          <w14:textFill>
            <w14:solidFill>
              <w14:schemeClr w14:val="tx1"/>
            </w14:solidFill>
          </w14:textFill>
        </w:rPr>
      </w:pPr>
      <w:r>
        <w:rPr>
          <w:color w:val="000000" w:themeColor="text1"/>
          <w14:textFill>
            <w14:solidFill>
              <w14:schemeClr w14:val="tx1"/>
            </w14:solidFill>
          </w14:textFill>
        </w:rPr>
        <w:t>上、下游同步对比监测原则；</w:t>
      </w:r>
    </w:p>
    <w:p w14:paraId="035F5E32">
      <w:pPr>
        <w:ind w:firstLine="480"/>
        <w:rPr>
          <w:color w:val="000000" w:themeColor="text1"/>
          <w14:textFill>
            <w14:solidFill>
              <w14:schemeClr w14:val="tx1"/>
            </w14:solidFill>
          </w14:textFill>
        </w:rPr>
      </w:pPr>
      <w:r>
        <w:rPr>
          <w:color w:val="000000" w:themeColor="text1"/>
          <w14:textFill>
            <w14:solidFill>
              <w14:schemeClr w14:val="tx1"/>
            </w14:solidFill>
          </w14:textFill>
        </w:rPr>
        <w:t>水质监测项目参照《地下水质量标准》相关要求和潜在污染源特征污染因子确定，各监测井可依据监测目</w:t>
      </w:r>
      <w:r>
        <w:rPr>
          <w:rFonts w:hint="eastAsia"/>
          <w:color w:val="000000" w:themeColor="text1"/>
          <w:lang w:eastAsia="zh-CN"/>
          <w14:textFill>
            <w14:solidFill>
              <w14:schemeClr w14:val="tx1"/>
            </w14:solidFill>
          </w14:textFill>
        </w:rPr>
        <w:t>的</w:t>
      </w:r>
      <w:r>
        <w:rPr>
          <w:color w:val="000000" w:themeColor="text1"/>
          <w14:textFill>
            <w14:solidFill>
              <w14:schemeClr w14:val="tx1"/>
            </w14:solidFill>
          </w14:textFill>
        </w:rPr>
        <w:t>不同适当增加和减少监测项目。</w:t>
      </w:r>
    </w:p>
    <w:p w14:paraId="7CAD5577">
      <w:pPr>
        <w:ind w:firstLine="480"/>
        <w:rPr>
          <w:color w:val="000000" w:themeColor="text1"/>
          <w14:textFill>
            <w14:solidFill>
              <w14:schemeClr w14:val="tx1"/>
            </w14:solidFill>
          </w14:textFill>
        </w:rPr>
      </w:pPr>
      <w:r>
        <w:rPr>
          <w:color w:val="000000" w:themeColor="text1"/>
          <w14:textFill>
            <w14:solidFill>
              <w14:schemeClr w14:val="tx1"/>
            </w14:solidFill>
          </w14:textFill>
        </w:rPr>
        <w:t>（3）监测井布置</w:t>
      </w:r>
    </w:p>
    <w:p w14:paraId="20B4A401">
      <w:pPr>
        <w:ind w:firstLine="480"/>
        <w:rPr>
          <w:color w:val="000000" w:themeColor="text1"/>
          <w14:textFill>
            <w14:solidFill>
              <w14:schemeClr w14:val="tx1"/>
            </w14:solidFill>
          </w14:textFill>
        </w:rPr>
      </w:pPr>
      <w:r>
        <w:rPr>
          <w:color w:val="000000" w:themeColor="text1"/>
          <w14:textFill>
            <w14:solidFill>
              <w14:schemeClr w14:val="tx1"/>
            </w14:solidFill>
          </w14:textFill>
        </w:rPr>
        <w:t>依据地下水监测原则，参照《地下水环境监测技术规范》</w:t>
      </w:r>
      <w:r>
        <w:rPr>
          <w:color w:val="000000" w:themeColor="text1"/>
          <w:lang w:bidi="en-US"/>
          <w14:textFill>
            <w14:solidFill>
              <w14:schemeClr w14:val="tx1"/>
            </w14:solidFill>
          </w14:textFill>
        </w:rPr>
        <w:t>（HJ/T164-2004）</w:t>
      </w:r>
      <w:r>
        <w:rPr>
          <w:color w:val="000000" w:themeColor="text1"/>
          <w14:textFill>
            <w14:solidFill>
              <w14:schemeClr w14:val="tx1"/>
            </w14:solidFill>
          </w14:textFill>
        </w:rPr>
        <w:t>的要求，结合研究区水文地质条件及厂区平面布置，在拟建项目场地共布设地下水水质监测井3眼。</w:t>
      </w:r>
    </w:p>
    <w:p w14:paraId="0B610BB5">
      <w:pPr>
        <w:ind w:firstLine="480"/>
        <w:rPr>
          <w:color w:val="000000" w:themeColor="text1"/>
          <w14:textFill>
            <w14:solidFill>
              <w14:schemeClr w14:val="tx1"/>
            </w14:solidFill>
          </w14:textFill>
        </w:rPr>
      </w:pPr>
      <w:r>
        <w:rPr>
          <w:color w:val="000000" w:themeColor="text1"/>
          <w14:textFill>
            <w14:solidFill>
              <w14:schemeClr w14:val="tx1"/>
            </w14:solidFill>
          </w14:textFill>
        </w:rPr>
        <w:t>地下水监测主要针对厂区污染源，主要监测的地下水层位为浅层地下水，监测频率为每年一次，监测项目包括pH、氯化物、硫酸盐、总硬度、溶解性总固体、氨氮、硝酸盐、亚硝酸盐、挥发性酚类、氰化物、氟化物、铁、锰、砷、汞、六价铬、铅、镉以及石油类、COD等特征因子。</w:t>
      </w:r>
    </w:p>
    <w:p w14:paraId="250AD049">
      <w:pPr>
        <w:pStyle w:val="117"/>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 xml:space="preserve"> 地下水监测计划一览表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688"/>
        <w:gridCol w:w="1651"/>
        <w:gridCol w:w="994"/>
        <w:gridCol w:w="4564"/>
      </w:tblGrid>
      <w:tr w14:paraId="2B9C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2AE5367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孔号</w:t>
            </w:r>
          </w:p>
        </w:tc>
        <w:tc>
          <w:tcPr>
            <w:tcW w:w="876" w:type="pct"/>
            <w:vAlign w:val="center"/>
          </w:tcPr>
          <w:p w14:paraId="36676B0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区位</w:t>
            </w:r>
          </w:p>
        </w:tc>
        <w:tc>
          <w:tcPr>
            <w:tcW w:w="857" w:type="pct"/>
            <w:vAlign w:val="center"/>
          </w:tcPr>
          <w:p w14:paraId="3882497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监测层位</w:t>
            </w:r>
          </w:p>
        </w:tc>
        <w:tc>
          <w:tcPr>
            <w:tcW w:w="516" w:type="pct"/>
            <w:vAlign w:val="center"/>
          </w:tcPr>
          <w:p w14:paraId="7949CE4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p>
          <w:p w14:paraId="1F7B1E1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频率</w:t>
            </w:r>
          </w:p>
        </w:tc>
        <w:tc>
          <w:tcPr>
            <w:tcW w:w="2369" w:type="pct"/>
            <w:vAlign w:val="center"/>
          </w:tcPr>
          <w:p w14:paraId="513CFBF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r>
      <w:tr w14:paraId="6F07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1D4E6CC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JC01</w:t>
            </w:r>
          </w:p>
        </w:tc>
        <w:tc>
          <w:tcPr>
            <w:tcW w:w="876" w:type="pct"/>
            <w:vAlign w:val="center"/>
          </w:tcPr>
          <w:p w14:paraId="64B03F1F">
            <w:pPr>
              <w:pStyle w:val="109"/>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上游厂区50m背景观测井</w:t>
            </w:r>
          </w:p>
        </w:tc>
        <w:tc>
          <w:tcPr>
            <w:tcW w:w="857" w:type="pct"/>
            <w:vMerge w:val="restart"/>
            <w:vAlign w:val="center"/>
          </w:tcPr>
          <w:p w14:paraId="58727BE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浅层潜水</w:t>
            </w:r>
          </w:p>
        </w:tc>
        <w:tc>
          <w:tcPr>
            <w:tcW w:w="516" w:type="pct"/>
            <w:vMerge w:val="restart"/>
            <w:vAlign w:val="center"/>
          </w:tcPr>
          <w:p w14:paraId="3B0724A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每年监测一次</w:t>
            </w:r>
          </w:p>
        </w:tc>
        <w:tc>
          <w:tcPr>
            <w:tcW w:w="2369" w:type="pct"/>
            <w:vMerge w:val="restart"/>
            <w:vAlign w:val="center"/>
          </w:tcPr>
          <w:p w14:paraId="1C150FAE">
            <w:pPr>
              <w:pStyle w:val="109"/>
              <w:rPr>
                <w:color w:val="000000" w:themeColor="text1"/>
                <w:szCs w:val="21"/>
                <w14:textFill>
                  <w14:solidFill>
                    <w14:schemeClr w14:val="tx1"/>
                  </w14:solidFill>
                </w14:textFill>
              </w:rPr>
            </w:pPr>
            <w:r>
              <w:rPr>
                <w:rFonts w:eastAsia="Times New Roman"/>
                <w:color w:val="000000" w:themeColor="text1"/>
                <w:szCs w:val="21"/>
                <w:lang w:bidi="en-US"/>
                <w14:textFill>
                  <w14:solidFill>
                    <w14:schemeClr w14:val="tx1"/>
                  </w14:solidFill>
                </w14:textFill>
              </w:rPr>
              <w:t>K</w:t>
            </w:r>
            <w:r>
              <w:rPr>
                <w:rFonts w:eastAsia="Times New Roman"/>
                <w:color w:val="000000" w:themeColor="text1"/>
                <w:szCs w:val="21"/>
                <w:vertAlign w:val="superscript"/>
                <w:lang w:bidi="en-US"/>
                <w14:textFill>
                  <w14:solidFill>
                    <w14:schemeClr w14:val="tx1"/>
                  </w14:solidFill>
                </w14:textFill>
              </w:rPr>
              <w:t>+</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Na</w:t>
            </w:r>
            <w:r>
              <w:rPr>
                <w:rFonts w:eastAsia="Times New Roman"/>
                <w:color w:val="000000" w:themeColor="text1"/>
                <w:szCs w:val="21"/>
                <w:vertAlign w:val="superscript"/>
                <w:lang w:bidi="en-US"/>
                <w14:textFill>
                  <w14:solidFill>
                    <w14:schemeClr w14:val="tx1"/>
                  </w14:solidFill>
                </w14:textFill>
              </w:rPr>
              <w:t>+</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Ca</w:t>
            </w:r>
            <w:r>
              <w:rPr>
                <w:rFonts w:eastAsia="Times New Roman"/>
                <w:color w:val="000000" w:themeColor="text1"/>
                <w:szCs w:val="21"/>
                <w:vertAlign w:val="superscript"/>
                <w:lang w:bidi="en-US"/>
                <w14:textFill>
                  <w14:solidFill>
                    <w14:schemeClr w14:val="tx1"/>
                  </w14:solidFill>
                </w14:textFill>
              </w:rPr>
              <w:t>2+</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Mg</w:t>
            </w:r>
            <w:r>
              <w:rPr>
                <w:rFonts w:eastAsia="Times New Roman"/>
                <w:color w:val="000000" w:themeColor="text1"/>
                <w:szCs w:val="21"/>
                <w:vertAlign w:val="superscript"/>
                <w:lang w:bidi="en-US"/>
                <w14:textFill>
                  <w14:solidFill>
                    <w14:schemeClr w14:val="tx1"/>
                  </w14:solidFill>
                </w14:textFill>
              </w:rPr>
              <w:t>2+</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CO3</w:t>
            </w:r>
            <w:r>
              <w:rPr>
                <w:rFonts w:eastAsia="Times New Roman"/>
                <w:color w:val="000000" w:themeColor="text1"/>
                <w:szCs w:val="21"/>
                <w:vertAlign w:val="superscript"/>
                <w:lang w:bidi="en-US"/>
                <w14:textFill>
                  <w14:solidFill>
                    <w14:schemeClr w14:val="tx1"/>
                  </w14:solidFill>
                </w14:textFill>
              </w:rPr>
              <w:t>2-</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HCO</w:t>
            </w:r>
            <w:r>
              <w:rPr>
                <w:rFonts w:eastAsia="Times New Roman"/>
                <w:color w:val="000000" w:themeColor="text1"/>
                <w:szCs w:val="21"/>
                <w:vertAlign w:val="superscript"/>
                <w:lang w:bidi="en-US"/>
                <w14:textFill>
                  <w14:solidFill>
                    <w14:schemeClr w14:val="tx1"/>
                  </w14:solidFill>
                </w14:textFill>
              </w:rPr>
              <w:t>3-</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Cl</w:t>
            </w:r>
            <w:r>
              <w:rPr>
                <w:rFonts w:eastAsia="Times New Roman"/>
                <w:color w:val="000000" w:themeColor="text1"/>
                <w:szCs w:val="21"/>
                <w:vertAlign w:val="superscript"/>
                <w:lang w:bidi="en-US"/>
                <w14:textFill>
                  <w14:solidFill>
                    <w14:schemeClr w14:val="tx1"/>
                  </w14:solidFill>
                </w14:textFill>
              </w:rPr>
              <w:t>-</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SO4</w:t>
            </w:r>
            <w:r>
              <w:rPr>
                <w:rFonts w:eastAsia="Times New Roman"/>
                <w:color w:val="000000" w:themeColor="text1"/>
                <w:szCs w:val="21"/>
                <w:vertAlign w:val="superscript"/>
                <w:lang w:bidi="en-US"/>
                <w14:textFill>
                  <w14:solidFill>
                    <w14:schemeClr w14:val="tx1"/>
                  </w14:solidFill>
                </w14:textFill>
              </w:rPr>
              <w:t>2-</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pH</w:t>
            </w:r>
            <w:r>
              <w:rPr>
                <w:color w:val="000000" w:themeColor="text1"/>
                <w:szCs w:val="21"/>
                <w:lang w:bidi="en-US"/>
                <w14:textFill>
                  <w14:solidFill>
                    <w14:schemeClr w14:val="tx1"/>
                  </w14:solidFill>
                </w14:textFill>
              </w:rPr>
              <w:t>、</w:t>
            </w:r>
            <w:r>
              <w:rPr>
                <w:color w:val="000000" w:themeColor="text1"/>
                <w:szCs w:val="21"/>
                <w14:textFill>
                  <w14:solidFill>
                    <w14:schemeClr w14:val="tx1"/>
                  </w14:solidFill>
                </w14:textFill>
              </w:rPr>
              <w:t>总硬度、溶解性总固体、氨氮、硝酸盐（以</w:t>
            </w:r>
            <w:r>
              <w:rPr>
                <w:rFonts w:eastAsia="Times New Roman"/>
                <w:color w:val="000000" w:themeColor="text1"/>
                <w:szCs w:val="21"/>
                <w:lang w:bidi="en-US"/>
                <w14:textFill>
                  <w14:solidFill>
                    <w14:schemeClr w14:val="tx1"/>
                  </w14:solidFill>
                </w14:textFill>
              </w:rPr>
              <w:t>N</w:t>
            </w:r>
            <w:r>
              <w:rPr>
                <w:color w:val="000000" w:themeColor="text1"/>
                <w:szCs w:val="21"/>
                <w14:textFill>
                  <w14:solidFill>
                    <w14:schemeClr w14:val="tx1"/>
                  </w14:solidFill>
                </w14:textFill>
              </w:rPr>
              <w:t>计）、亚硝酸盐、高锰酸盐指数、挥发性酚类、氯化物、氰化物、砷、汞、铬（六价）、铅、氟化物、镉、铁、锰、硫酸盐、粪大肠菌群</w:t>
            </w:r>
          </w:p>
        </w:tc>
      </w:tr>
      <w:tr w14:paraId="12D1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039042D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JC02</w:t>
            </w:r>
          </w:p>
        </w:tc>
        <w:tc>
          <w:tcPr>
            <w:tcW w:w="876" w:type="pct"/>
            <w:vAlign w:val="center"/>
          </w:tcPr>
          <w:p w14:paraId="5061C6F7">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厂区内</w:t>
            </w:r>
          </w:p>
        </w:tc>
        <w:tc>
          <w:tcPr>
            <w:tcW w:w="857" w:type="pct"/>
            <w:vMerge w:val="continue"/>
            <w:vAlign w:val="center"/>
          </w:tcPr>
          <w:p w14:paraId="521AD1CA">
            <w:pPr>
              <w:pStyle w:val="109"/>
              <w:rPr>
                <w:color w:val="000000" w:themeColor="text1"/>
                <w:szCs w:val="21"/>
                <w14:textFill>
                  <w14:solidFill>
                    <w14:schemeClr w14:val="tx1"/>
                  </w14:solidFill>
                </w14:textFill>
              </w:rPr>
            </w:pPr>
          </w:p>
        </w:tc>
        <w:tc>
          <w:tcPr>
            <w:tcW w:w="516" w:type="pct"/>
            <w:vMerge w:val="continue"/>
            <w:vAlign w:val="center"/>
          </w:tcPr>
          <w:p w14:paraId="69EF06FA">
            <w:pPr>
              <w:pStyle w:val="109"/>
              <w:rPr>
                <w:color w:val="000000" w:themeColor="text1"/>
                <w:szCs w:val="21"/>
                <w14:textFill>
                  <w14:solidFill>
                    <w14:schemeClr w14:val="tx1"/>
                  </w14:solidFill>
                </w14:textFill>
              </w:rPr>
            </w:pPr>
          </w:p>
        </w:tc>
        <w:tc>
          <w:tcPr>
            <w:tcW w:w="2369" w:type="pct"/>
            <w:vMerge w:val="continue"/>
            <w:vAlign w:val="center"/>
          </w:tcPr>
          <w:p w14:paraId="11EB816F">
            <w:pPr>
              <w:pStyle w:val="109"/>
              <w:rPr>
                <w:color w:val="000000" w:themeColor="text1"/>
                <w:szCs w:val="21"/>
                <w14:textFill>
                  <w14:solidFill>
                    <w14:schemeClr w14:val="tx1"/>
                  </w14:solidFill>
                </w14:textFill>
              </w:rPr>
            </w:pPr>
          </w:p>
        </w:tc>
      </w:tr>
      <w:tr w14:paraId="137A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0182128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JC03</w:t>
            </w:r>
          </w:p>
        </w:tc>
        <w:tc>
          <w:tcPr>
            <w:tcW w:w="876" w:type="pct"/>
            <w:vAlign w:val="center"/>
          </w:tcPr>
          <w:p w14:paraId="760D546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厂区下游</w:t>
            </w:r>
          </w:p>
        </w:tc>
        <w:tc>
          <w:tcPr>
            <w:tcW w:w="857" w:type="pct"/>
            <w:vMerge w:val="continue"/>
            <w:vAlign w:val="center"/>
          </w:tcPr>
          <w:p w14:paraId="786BD652">
            <w:pPr>
              <w:pStyle w:val="109"/>
              <w:rPr>
                <w:color w:val="000000" w:themeColor="text1"/>
                <w:szCs w:val="21"/>
                <w14:textFill>
                  <w14:solidFill>
                    <w14:schemeClr w14:val="tx1"/>
                  </w14:solidFill>
                </w14:textFill>
              </w:rPr>
            </w:pPr>
          </w:p>
        </w:tc>
        <w:tc>
          <w:tcPr>
            <w:tcW w:w="516" w:type="pct"/>
            <w:vMerge w:val="continue"/>
            <w:vAlign w:val="center"/>
          </w:tcPr>
          <w:p w14:paraId="5C0A0A8A">
            <w:pPr>
              <w:pStyle w:val="109"/>
              <w:rPr>
                <w:color w:val="000000" w:themeColor="text1"/>
                <w:szCs w:val="21"/>
                <w14:textFill>
                  <w14:solidFill>
                    <w14:schemeClr w14:val="tx1"/>
                  </w14:solidFill>
                </w14:textFill>
              </w:rPr>
            </w:pPr>
          </w:p>
        </w:tc>
        <w:tc>
          <w:tcPr>
            <w:tcW w:w="2369" w:type="pct"/>
            <w:vMerge w:val="continue"/>
            <w:vAlign w:val="center"/>
          </w:tcPr>
          <w:p w14:paraId="084328A0">
            <w:pPr>
              <w:pStyle w:val="109"/>
              <w:rPr>
                <w:color w:val="000000" w:themeColor="text1"/>
                <w:szCs w:val="21"/>
                <w14:textFill>
                  <w14:solidFill>
                    <w14:schemeClr w14:val="tx1"/>
                  </w14:solidFill>
                </w14:textFill>
              </w:rPr>
            </w:pPr>
          </w:p>
        </w:tc>
      </w:tr>
    </w:tbl>
    <w:p w14:paraId="24E37D5B">
      <w:pPr>
        <w:ind w:firstLine="480"/>
        <w:rPr>
          <w:color w:val="000000" w:themeColor="text1"/>
          <w14:textFill>
            <w14:solidFill>
              <w14:schemeClr w14:val="tx1"/>
            </w14:solidFill>
          </w14:textFill>
        </w:rPr>
      </w:pPr>
      <w:r>
        <w:rPr>
          <w:color w:val="000000" w:themeColor="text1"/>
          <w14:textFill>
            <w14:solidFill>
              <w14:schemeClr w14:val="tx1"/>
            </w14:solidFill>
          </w14:textFill>
        </w:rPr>
        <w:t>（4）监测数据管理</w:t>
      </w:r>
    </w:p>
    <w:p w14:paraId="464CCD19">
      <w:pPr>
        <w:ind w:firstLine="480"/>
        <w:rPr>
          <w:color w:val="000000" w:themeColor="text1"/>
          <w14:textFill>
            <w14:solidFill>
              <w14:schemeClr w14:val="tx1"/>
            </w14:solidFill>
          </w14:textFill>
        </w:rPr>
      </w:pPr>
      <w:r>
        <w:rPr>
          <w:color w:val="000000" w:themeColor="text1"/>
          <w14:textFill>
            <w14:solidFill>
              <w14:schemeClr w14:val="tx1"/>
            </w14:solidFill>
          </w14:textFill>
        </w:rPr>
        <w:t>上述监测结果应按项目有关规定及时建立档案，并定期向公司环保部汇报，对于常规监测数据应该进行公开。如发现异常或发生事故，加密监测频次，改为每周或每日监测一次，并分析污染原因，确定泄漏污染源，及时采取应急措施。</w:t>
      </w:r>
    </w:p>
    <w:p w14:paraId="0B65050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地下水风险事故应急响应</w:t>
      </w:r>
    </w:p>
    <w:p w14:paraId="3D7EF2A7">
      <w:pPr>
        <w:ind w:firstLine="480"/>
        <w:rPr>
          <w:color w:val="000000" w:themeColor="text1"/>
          <w14:textFill>
            <w14:solidFill>
              <w14:schemeClr w14:val="tx1"/>
            </w14:solidFill>
          </w14:textFill>
        </w:rPr>
      </w:pPr>
      <w:r>
        <w:rPr>
          <w:color w:val="000000" w:themeColor="text1"/>
          <w14:textFill>
            <w14:solidFill>
              <w14:schemeClr w14:val="tx1"/>
            </w14:solidFill>
          </w14:textFill>
        </w:rPr>
        <w:t>地下水抽提系统是根据建设项目对地下水可能产生影响而采取的被动防范措施，是建设项目环境工程的重要组成部分。当地下水污染事件发生后，应及时控制污染源，切断污染途径，启动地下水抽提应急系统，抑制污染物向下游扩散速度，控制污染范围，使地下水质量得到尽快恢复。</w:t>
      </w:r>
    </w:p>
    <w:p w14:paraId="4A2FB5FA">
      <w:pPr>
        <w:ind w:firstLine="480"/>
        <w:rPr>
          <w:color w:val="000000" w:themeColor="text1"/>
          <w14:textFill>
            <w14:solidFill>
              <w14:schemeClr w14:val="tx1"/>
            </w14:solidFill>
          </w14:textFill>
        </w:rPr>
      </w:pPr>
      <w:r>
        <w:rPr>
          <w:color w:val="000000" w:themeColor="text1"/>
          <w14:textFill>
            <w14:solidFill>
              <w14:schemeClr w14:val="tx1"/>
            </w14:solidFill>
          </w14:textFill>
        </w:rPr>
        <w:t>事故状态下启动地下水抽提预案，控制潜水含水层地下水中的污染物，污水排入厂区污水收集管道，统一送污水处理场事故池，集中处理，将使污染地下水扩散得到有效抑制，最大限度地保护下游地下水水质安全。</w:t>
      </w:r>
    </w:p>
    <w:p w14:paraId="23651256">
      <w:pPr>
        <w:ind w:firstLine="480"/>
        <w:rPr>
          <w:color w:val="000000" w:themeColor="text1"/>
          <w14:textFill>
            <w14:solidFill>
              <w14:schemeClr w14:val="tx1"/>
            </w14:solidFill>
          </w14:textFill>
        </w:rPr>
      </w:pPr>
      <w:r>
        <w:rPr>
          <w:color w:val="000000" w:themeColor="text1"/>
          <w14:textFill>
            <w14:solidFill>
              <w14:schemeClr w14:val="tx1"/>
            </w14:solidFill>
          </w14:textFill>
        </w:rPr>
        <w:t>对突发事件中污染的土壤，应首先进行调查，确定其污染范围和深度，其次对污染土壤进行收集，进行环保、无害化处理。</w:t>
      </w:r>
    </w:p>
    <w:p w14:paraId="777D30E6">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（1）风险应急程序</w:t>
      </w:r>
    </w:p>
    <w:p w14:paraId="18C9E895">
      <w:pPr>
        <w:ind w:firstLine="480"/>
        <w:rPr>
          <w:color w:val="000000" w:themeColor="text1"/>
          <w14:textFill>
            <w14:solidFill>
              <w14:schemeClr w14:val="tx1"/>
            </w14:solidFill>
          </w14:textFill>
        </w:rPr>
      </w:pPr>
      <w:r>
        <w:rPr>
          <w:color w:val="000000" w:themeColor="text1"/>
          <w14:textFill>
            <w14:solidFill>
              <w14:schemeClr w14:val="tx1"/>
            </w14:solidFill>
          </w14:textFill>
        </w:rPr>
        <w:t>制定风险事故应急预案的目的是为了在发生风险事故时，能以最快的速度发挥最大的效能，有序地实施救援，尽快控制事态的发展，降低事故对潜水含水层的污染。针对应急工作需要，参照相关技术导则，结合地下水污染治理的技术特点，制定地下水污染应急响应程序。</w:t>
      </w:r>
    </w:p>
    <w:p w14:paraId="14EC6DE1">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800600" cy="5516880"/>
            <wp:effectExtent l="0" t="0" r="0" b="7620"/>
            <wp:docPr id="90164619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46197" name="图片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800600" cy="5516880"/>
                    </a:xfrm>
                    <a:prstGeom prst="rect">
                      <a:avLst/>
                    </a:prstGeom>
                    <a:noFill/>
                    <a:ln>
                      <a:noFill/>
                    </a:ln>
                  </pic:spPr>
                </pic:pic>
              </a:graphicData>
            </a:graphic>
          </wp:inline>
        </w:drawing>
      </w:r>
    </w:p>
    <w:p w14:paraId="4D400ABB">
      <w:pPr>
        <w:pStyle w:val="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地下水污染应急响应程序框图</w:t>
      </w:r>
    </w:p>
    <w:p w14:paraId="2CE89867">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（2）应急治理措施</w:t>
      </w:r>
    </w:p>
    <w:p w14:paraId="722B738B">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一旦发生地下水污染事故，应立即启动应急预案。</w:t>
      </w:r>
    </w:p>
    <w:p w14:paraId="07FC8A52">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查明并切断污染源。</w:t>
      </w:r>
    </w:p>
    <w:p w14:paraId="7E5311C6">
      <w:pPr>
        <w:ind w:firstLine="480"/>
        <w:rPr>
          <w:color w:val="000000" w:themeColor="text1"/>
          <w14:textFill>
            <w14:solidFill>
              <w14:schemeClr w14:val="tx1"/>
            </w14:solidFill>
          </w14:textFill>
        </w:rPr>
      </w:pPr>
      <w:r>
        <w:rPr>
          <w:color w:val="000000" w:themeColor="text1"/>
          <w14:textFill>
            <w14:solidFill>
              <w14:schemeClr w14:val="tx1"/>
            </w14:solidFill>
          </w14:textFill>
        </w:rPr>
        <w:t>组织专业队伍对事故现场进行调查、监测，查找环境事故发生地点、分析事故原因，尽量将紧急事件局部化，如可能应予以消除，采取包括切断生产装置或设施等措施，对污水进行封闭、截流，防止事故的扩散、蔓延及连锁反应，尽量缩小地下水污染事故对人和财产的影响。</w:t>
      </w:r>
    </w:p>
    <w:p w14:paraId="53DDDCA7">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探明地下水污染深度、范围和污染程度。</w:t>
      </w:r>
    </w:p>
    <w:p w14:paraId="0166D919">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color w:val="000000" w:themeColor="text1"/>
          <w14:textFill>
            <w14:solidFill>
              <w14:schemeClr w14:val="tx1"/>
            </w14:solidFill>
          </w14:textFill>
        </w:rPr>
        <w:t>依据探明的地下水污染情况，合理布置截渗井，并进行试抽工作。</w:t>
      </w:r>
    </w:p>
    <w:p w14:paraId="61A3532C">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⑤</w:t>
      </w:r>
      <w:r>
        <w:rPr>
          <w:color w:val="000000" w:themeColor="text1"/>
          <w14:textFill>
            <w14:solidFill>
              <w14:schemeClr w14:val="tx1"/>
            </w14:solidFill>
          </w14:textFill>
        </w:rPr>
        <w:t>依据抽水设计方案进行施工，抽取被污染的地下水体，并依据各井孔出水情况进行调整。</w:t>
      </w:r>
    </w:p>
    <w:p w14:paraId="51BA9693">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⑥</w:t>
      </w:r>
      <w:r>
        <w:rPr>
          <w:color w:val="000000" w:themeColor="text1"/>
          <w14:textFill>
            <w14:solidFill>
              <w14:schemeClr w14:val="tx1"/>
            </w14:solidFill>
          </w14:textFill>
        </w:rPr>
        <w:t>将抽取的地下水进行集中收集处理，并送实验室进行化验分析。</w:t>
      </w:r>
    </w:p>
    <w:p w14:paraId="7E2F77AA">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⑦</w:t>
      </w:r>
      <w:r>
        <w:rPr>
          <w:color w:val="000000" w:themeColor="text1"/>
          <w14:textFill>
            <w14:solidFill>
              <w14:schemeClr w14:val="tx1"/>
            </w14:solidFill>
          </w14:textFill>
        </w:rPr>
        <w:t>当地下水中的特征污染物浓度满足地下水功能区划的标准后，逐步停止抽水，并进行土壤修复治理工作。</w:t>
      </w:r>
    </w:p>
    <w:p w14:paraId="7E0EB508">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地下水污染应急预案一览表</w:t>
      </w:r>
    </w:p>
    <w:tbl>
      <w:tblPr>
        <w:tblStyle w:val="76"/>
        <w:tblW w:w="50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9"/>
        <w:gridCol w:w="6904"/>
      </w:tblGrid>
      <w:tr w14:paraId="7BE8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1543F2EA">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3561" w:type="pct"/>
            <w:noWrap/>
            <w:vAlign w:val="center"/>
          </w:tcPr>
          <w:p w14:paraId="6ACAA9FC">
            <w:pPr>
              <w:pStyle w:val="109"/>
              <w:rPr>
                <w:color w:val="000000" w:themeColor="text1"/>
                <w14:textFill>
                  <w14:solidFill>
                    <w14:schemeClr w14:val="tx1"/>
                  </w14:solidFill>
                </w14:textFill>
              </w:rPr>
            </w:pPr>
            <w:r>
              <w:rPr>
                <w:color w:val="000000" w:themeColor="text1"/>
                <w14:textFill>
                  <w14:solidFill>
                    <w14:schemeClr w14:val="tx1"/>
                  </w14:solidFill>
                </w14:textFill>
              </w:rPr>
              <w:t>内容及要求</w:t>
            </w:r>
          </w:p>
        </w:tc>
      </w:tr>
      <w:tr w14:paraId="585D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13CC46F2">
            <w:pPr>
              <w:pStyle w:val="109"/>
              <w:rPr>
                <w:color w:val="000000" w:themeColor="text1"/>
                <w14:textFill>
                  <w14:solidFill>
                    <w14:schemeClr w14:val="tx1"/>
                  </w14:solidFill>
                </w14:textFill>
              </w:rPr>
            </w:pPr>
            <w:r>
              <w:rPr>
                <w:color w:val="000000" w:themeColor="text1"/>
                <w14:textFill>
                  <w14:solidFill>
                    <w14:schemeClr w14:val="tx1"/>
                  </w14:solidFill>
                </w14:textFill>
              </w:rPr>
              <w:t>总则</w:t>
            </w:r>
          </w:p>
        </w:tc>
        <w:tc>
          <w:tcPr>
            <w:tcW w:w="3561" w:type="pct"/>
            <w:noWrap/>
            <w:vAlign w:val="center"/>
          </w:tcPr>
          <w:p w14:paraId="1ECA77AD">
            <w:pPr>
              <w:pStyle w:val="109"/>
              <w:rPr>
                <w:color w:val="000000" w:themeColor="text1"/>
                <w14:textFill>
                  <w14:solidFill>
                    <w14:schemeClr w14:val="tx1"/>
                  </w14:solidFill>
                </w14:textFill>
              </w:rPr>
            </w:pPr>
          </w:p>
        </w:tc>
      </w:tr>
      <w:tr w14:paraId="4229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2451E9B7">
            <w:pPr>
              <w:pStyle w:val="109"/>
              <w:rPr>
                <w:color w:val="000000" w:themeColor="text1"/>
                <w14:textFill>
                  <w14:solidFill>
                    <w14:schemeClr w14:val="tx1"/>
                  </w14:solidFill>
                </w14:textFill>
              </w:rPr>
            </w:pPr>
            <w:r>
              <w:rPr>
                <w:color w:val="000000" w:themeColor="text1"/>
                <w14:textFill>
                  <w14:solidFill>
                    <w14:schemeClr w14:val="tx1"/>
                  </w14:solidFill>
                </w14:textFill>
              </w:rPr>
              <w:t>污染源概况</w:t>
            </w:r>
          </w:p>
        </w:tc>
        <w:tc>
          <w:tcPr>
            <w:tcW w:w="3561" w:type="pct"/>
            <w:noWrap/>
            <w:vAlign w:val="center"/>
          </w:tcPr>
          <w:p w14:paraId="757FC806">
            <w:pPr>
              <w:pStyle w:val="109"/>
              <w:rPr>
                <w:color w:val="000000" w:themeColor="text1"/>
                <w14:textFill>
                  <w14:solidFill>
                    <w14:schemeClr w14:val="tx1"/>
                  </w14:solidFill>
                </w14:textFill>
              </w:rPr>
            </w:pPr>
            <w:r>
              <w:rPr>
                <w:color w:val="000000" w:themeColor="text1"/>
                <w14:textFill>
                  <w14:solidFill>
                    <w14:schemeClr w14:val="tx1"/>
                  </w14:solidFill>
                </w14:textFill>
              </w:rPr>
              <w:t>详述污染源类型、数量及其分布，包括生产装置、辅助设施、公用工程。</w:t>
            </w:r>
          </w:p>
        </w:tc>
      </w:tr>
      <w:tr w14:paraId="050B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50A107D4">
            <w:pPr>
              <w:pStyle w:val="109"/>
              <w:rPr>
                <w:color w:val="000000" w:themeColor="text1"/>
                <w14:textFill>
                  <w14:solidFill>
                    <w14:schemeClr w14:val="tx1"/>
                  </w14:solidFill>
                </w14:textFill>
              </w:rPr>
            </w:pPr>
            <w:r>
              <w:rPr>
                <w:color w:val="000000" w:themeColor="text1"/>
                <w14:textFill>
                  <w14:solidFill>
                    <w14:schemeClr w14:val="tx1"/>
                  </w14:solidFill>
                </w14:textFill>
              </w:rPr>
              <w:t>应急计划区</w:t>
            </w:r>
          </w:p>
        </w:tc>
        <w:tc>
          <w:tcPr>
            <w:tcW w:w="3561" w:type="pct"/>
            <w:noWrap/>
            <w:vAlign w:val="center"/>
          </w:tcPr>
          <w:p w14:paraId="4CB63492">
            <w:pPr>
              <w:pStyle w:val="109"/>
              <w:rPr>
                <w:color w:val="000000" w:themeColor="text1"/>
                <w14:textFill>
                  <w14:solidFill>
                    <w14:schemeClr w14:val="tx1"/>
                  </w14:solidFill>
                </w14:textFill>
              </w:rPr>
            </w:pPr>
            <w:r>
              <w:rPr>
                <w:color w:val="000000" w:themeColor="text1"/>
                <w14:textFill>
                  <w14:solidFill>
                    <w14:schemeClr w14:val="tx1"/>
                  </w14:solidFill>
                </w14:textFill>
              </w:rPr>
              <w:t>列出危险目标：危险物、污水处理池和收集井等，在厂区总图中标明位置。</w:t>
            </w:r>
          </w:p>
        </w:tc>
      </w:tr>
      <w:tr w14:paraId="709B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287C3F31">
            <w:pPr>
              <w:pStyle w:val="109"/>
              <w:rPr>
                <w:color w:val="000000" w:themeColor="text1"/>
                <w14:textFill>
                  <w14:solidFill>
                    <w14:schemeClr w14:val="tx1"/>
                  </w14:solidFill>
                </w14:textFill>
              </w:rPr>
            </w:pPr>
            <w:r>
              <w:rPr>
                <w:color w:val="000000" w:themeColor="text1"/>
                <w14:textFill>
                  <w14:solidFill>
                    <w14:schemeClr w14:val="tx1"/>
                  </w14:solidFill>
                </w14:textFill>
              </w:rPr>
              <w:t>应急组织</w:t>
            </w:r>
          </w:p>
        </w:tc>
        <w:tc>
          <w:tcPr>
            <w:tcW w:w="3561" w:type="pct"/>
            <w:noWrap/>
            <w:vAlign w:val="center"/>
          </w:tcPr>
          <w:p w14:paraId="4190F1E0">
            <w:pPr>
              <w:pStyle w:val="109"/>
              <w:rPr>
                <w:color w:val="000000" w:themeColor="text1"/>
                <w14:textFill>
                  <w14:solidFill>
                    <w14:schemeClr w14:val="tx1"/>
                  </w14:solidFill>
                </w14:textFill>
              </w:rPr>
            </w:pPr>
            <w:r>
              <w:rPr>
                <w:color w:val="000000" w:themeColor="text1"/>
                <w14:textFill>
                  <w14:solidFill>
                    <w14:schemeClr w14:val="tx1"/>
                  </w14:solidFill>
                </w14:textFill>
              </w:rPr>
              <w:t>应急指挥部-负责现场全面指挥专业救援队伍-负责事故控制、救援、善后处理；专业监测队伍负责对厂监测站的支援；地方医院负责收治受伤、中毒人员。</w:t>
            </w:r>
          </w:p>
        </w:tc>
      </w:tr>
      <w:tr w14:paraId="7C39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27B6E860">
            <w:pPr>
              <w:pStyle w:val="109"/>
              <w:rPr>
                <w:color w:val="000000" w:themeColor="text1"/>
                <w14:textFill>
                  <w14:solidFill>
                    <w14:schemeClr w14:val="tx1"/>
                  </w14:solidFill>
                </w14:textFill>
              </w:rPr>
            </w:pPr>
            <w:r>
              <w:rPr>
                <w:color w:val="000000" w:themeColor="text1"/>
                <w14:textFill>
                  <w14:solidFill>
                    <w14:schemeClr w14:val="tx1"/>
                  </w14:solidFill>
                </w14:textFill>
              </w:rPr>
              <w:t>应急状态分类及应急响应程序</w:t>
            </w:r>
          </w:p>
        </w:tc>
        <w:tc>
          <w:tcPr>
            <w:tcW w:w="3561" w:type="pct"/>
            <w:noWrap/>
            <w:vAlign w:val="center"/>
          </w:tcPr>
          <w:p w14:paraId="2EFD64CC">
            <w:pPr>
              <w:pStyle w:val="109"/>
              <w:rPr>
                <w:color w:val="000000" w:themeColor="text1"/>
                <w14:textFill>
                  <w14:solidFill>
                    <w14:schemeClr w14:val="tx1"/>
                  </w14:solidFill>
                </w14:textFill>
              </w:rPr>
            </w:pPr>
            <w:r>
              <w:rPr>
                <w:color w:val="000000" w:themeColor="text1"/>
                <w14:textFill>
                  <w14:solidFill>
                    <w14:schemeClr w14:val="tx1"/>
                  </w14:solidFill>
                </w14:textFill>
              </w:rPr>
              <w:t>规定地下水污染事故的级别及相应的应急分类响应程序。</w:t>
            </w:r>
          </w:p>
          <w:p w14:paraId="4A10A93F">
            <w:pPr>
              <w:pStyle w:val="109"/>
              <w:rPr>
                <w:color w:val="000000" w:themeColor="text1"/>
                <w14:textFill>
                  <w14:solidFill>
                    <w14:schemeClr w14:val="tx1"/>
                  </w14:solidFill>
                </w14:textFill>
              </w:rPr>
            </w:pPr>
            <w:r>
              <w:rPr>
                <w:color w:val="000000" w:themeColor="text1"/>
                <w14:textFill>
                  <w14:solidFill>
                    <w14:schemeClr w14:val="tx1"/>
                  </w14:solidFill>
                </w14:textFill>
              </w:rPr>
              <w:t>按照突发环境事件严重性和紧急程度，该预案将突发环境事件分为特别重大环境事件（Ⅰ级）、重大环境事件（Ⅱ级）、较大环境事件（Ⅲ级）和一般环境事件（Ⅳ级）四级。</w:t>
            </w:r>
          </w:p>
        </w:tc>
      </w:tr>
      <w:tr w14:paraId="3CC2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4AA754CC">
            <w:pPr>
              <w:pStyle w:val="109"/>
              <w:rPr>
                <w:color w:val="000000" w:themeColor="text1"/>
                <w14:textFill>
                  <w14:solidFill>
                    <w14:schemeClr w14:val="tx1"/>
                  </w14:solidFill>
                </w14:textFill>
              </w:rPr>
            </w:pPr>
            <w:r>
              <w:rPr>
                <w:color w:val="000000" w:themeColor="text1"/>
                <w14:textFill>
                  <w14:solidFill>
                    <w14:schemeClr w14:val="tx1"/>
                  </w14:solidFill>
                </w14:textFill>
              </w:rPr>
              <w:t>应急设施、设备与材料</w:t>
            </w:r>
          </w:p>
        </w:tc>
        <w:tc>
          <w:tcPr>
            <w:tcW w:w="3561" w:type="pct"/>
            <w:noWrap/>
            <w:vAlign w:val="center"/>
          </w:tcPr>
          <w:p w14:paraId="106CE610">
            <w:pPr>
              <w:pStyle w:val="109"/>
              <w:rPr>
                <w:color w:val="000000" w:themeColor="text1"/>
                <w14:textFill>
                  <w14:solidFill>
                    <w14:schemeClr w14:val="tx1"/>
                  </w14:solidFill>
                </w14:textFill>
              </w:rPr>
            </w:pPr>
            <w:r>
              <w:rPr>
                <w:color w:val="000000" w:themeColor="text1"/>
                <w14:textFill>
                  <w14:solidFill>
                    <w14:schemeClr w14:val="tx1"/>
                  </w14:solidFill>
                </w14:textFill>
              </w:rPr>
              <w:t>防有毒有害物质外溢、扩散的应急设施、设备与材料。</w:t>
            </w:r>
          </w:p>
        </w:tc>
      </w:tr>
      <w:tr w14:paraId="32BF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1181C01A">
            <w:pPr>
              <w:pStyle w:val="109"/>
              <w:rPr>
                <w:color w:val="000000" w:themeColor="text1"/>
                <w14:textFill>
                  <w14:solidFill>
                    <w14:schemeClr w14:val="tx1"/>
                  </w14:solidFill>
                </w14:textFill>
              </w:rPr>
            </w:pPr>
            <w:r>
              <w:rPr>
                <w:color w:val="000000" w:themeColor="text1"/>
                <w14:textFill>
                  <w14:solidFill>
                    <w14:schemeClr w14:val="tx1"/>
                  </w14:solidFill>
                </w14:textFill>
              </w:rPr>
              <w:t>应急通讯、通讯和交通</w:t>
            </w:r>
          </w:p>
        </w:tc>
        <w:tc>
          <w:tcPr>
            <w:tcW w:w="3561" w:type="pct"/>
            <w:noWrap/>
            <w:vAlign w:val="center"/>
          </w:tcPr>
          <w:p w14:paraId="39B36895">
            <w:pPr>
              <w:pStyle w:val="109"/>
              <w:rPr>
                <w:color w:val="000000" w:themeColor="text1"/>
                <w14:textFill>
                  <w14:solidFill>
                    <w14:schemeClr w14:val="tx1"/>
                  </w14:solidFill>
                </w14:textFill>
              </w:rPr>
            </w:pPr>
            <w:r>
              <w:rPr>
                <w:color w:val="000000" w:themeColor="text1"/>
                <w14:textFill>
                  <w14:solidFill>
                    <w14:schemeClr w14:val="tx1"/>
                  </w14:solidFill>
                </w14:textFill>
              </w:rPr>
              <w:t>规定应急状态下的通讯方式、通知方式和交通保障、管制。</w:t>
            </w:r>
          </w:p>
        </w:tc>
      </w:tr>
      <w:tr w14:paraId="0156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07DC0D53">
            <w:pPr>
              <w:pStyle w:val="109"/>
              <w:rPr>
                <w:color w:val="000000" w:themeColor="text1"/>
                <w14:textFill>
                  <w14:solidFill>
                    <w14:schemeClr w14:val="tx1"/>
                  </w14:solidFill>
                </w14:textFill>
              </w:rPr>
            </w:pPr>
            <w:r>
              <w:rPr>
                <w:color w:val="000000" w:themeColor="text1"/>
                <w14:textFill>
                  <w14:solidFill>
                    <w14:schemeClr w14:val="tx1"/>
                  </w14:solidFill>
                </w14:textFill>
              </w:rPr>
              <w:t>应急环境监测及事故后评估</w:t>
            </w:r>
          </w:p>
        </w:tc>
        <w:tc>
          <w:tcPr>
            <w:tcW w:w="3561" w:type="pct"/>
            <w:noWrap/>
            <w:vAlign w:val="center"/>
          </w:tcPr>
          <w:p w14:paraId="1FF7D297">
            <w:pPr>
              <w:pStyle w:val="109"/>
              <w:rPr>
                <w:color w:val="000000" w:themeColor="text1"/>
                <w14:textFill>
                  <w14:solidFill>
                    <w14:schemeClr w14:val="tx1"/>
                  </w14:solidFill>
                </w14:textFill>
              </w:rPr>
            </w:pPr>
            <w:r>
              <w:rPr>
                <w:color w:val="000000" w:themeColor="text1"/>
                <w14:textFill>
                  <w14:solidFill>
                    <w14:schemeClr w14:val="tx1"/>
                  </w14:solidFill>
                </w14:textFill>
              </w:rPr>
              <w:t>由厂区环境监测站进行现场地下水环境进行监测。对事故性质与后果进行评估，为指挥部门提供决策依据。</w:t>
            </w:r>
          </w:p>
        </w:tc>
      </w:tr>
      <w:tr w14:paraId="77E3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759736EF">
            <w:pPr>
              <w:pStyle w:val="109"/>
              <w:rPr>
                <w:color w:val="000000" w:themeColor="text1"/>
                <w14:textFill>
                  <w14:solidFill>
                    <w14:schemeClr w14:val="tx1"/>
                  </w14:solidFill>
                </w14:textFill>
              </w:rPr>
            </w:pPr>
            <w:r>
              <w:rPr>
                <w:color w:val="000000" w:themeColor="text1"/>
                <w14:textFill>
                  <w14:solidFill>
                    <w14:schemeClr w14:val="tx1"/>
                  </w14:solidFill>
                </w14:textFill>
              </w:rPr>
              <w:t>应急防护措施、清除泄漏措施方法和器材</w:t>
            </w:r>
          </w:p>
        </w:tc>
        <w:tc>
          <w:tcPr>
            <w:tcW w:w="3561" w:type="pct"/>
            <w:noWrap/>
            <w:vAlign w:val="center"/>
          </w:tcPr>
          <w:p w14:paraId="45235793">
            <w:pPr>
              <w:pStyle w:val="109"/>
              <w:rPr>
                <w:color w:val="000000" w:themeColor="text1"/>
                <w14:textFill>
                  <w14:solidFill>
                    <w14:schemeClr w14:val="tx1"/>
                  </w14:solidFill>
                </w14:textFill>
              </w:rPr>
            </w:pPr>
            <w:r>
              <w:rPr>
                <w:color w:val="000000" w:themeColor="text1"/>
                <w14:textFill>
                  <w14:solidFill>
                    <w14:schemeClr w14:val="tx1"/>
                  </w14:solidFill>
                </w14:textFill>
              </w:rPr>
              <w:t>事故现场：控制事故、防止扩大、蔓延及链锁反应。降低危害，相应的设施器材配备。邻近区域：控制污染区域，控制和清除污染措施及相应设备配备。</w:t>
            </w:r>
          </w:p>
        </w:tc>
      </w:tr>
      <w:tr w14:paraId="76BE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6E7B18AC">
            <w:pPr>
              <w:pStyle w:val="109"/>
              <w:rPr>
                <w:color w:val="000000" w:themeColor="text1"/>
                <w14:textFill>
                  <w14:solidFill>
                    <w14:schemeClr w14:val="tx1"/>
                  </w14:solidFill>
                </w14:textFill>
              </w:rPr>
            </w:pPr>
            <w:r>
              <w:rPr>
                <w:color w:val="000000" w:themeColor="text1"/>
                <w14:textFill>
                  <w14:solidFill>
                    <w14:schemeClr w14:val="tx1"/>
                  </w14:solidFill>
                </w14:textFill>
              </w:rPr>
              <w:t>应急浓度、排放量控制、撤离组织计划、医疗救护与公众健康</w:t>
            </w:r>
          </w:p>
        </w:tc>
        <w:tc>
          <w:tcPr>
            <w:tcW w:w="3561" w:type="pct"/>
            <w:noWrap/>
            <w:vAlign w:val="center"/>
          </w:tcPr>
          <w:p w14:paraId="419470F6">
            <w:pPr>
              <w:pStyle w:val="109"/>
              <w:rPr>
                <w:color w:val="000000" w:themeColor="text1"/>
                <w14:textFill>
                  <w14:solidFill>
                    <w14:schemeClr w14:val="tx1"/>
                  </w14:solidFill>
                </w14:textFill>
              </w:rPr>
            </w:pPr>
            <w:r>
              <w:rPr>
                <w:color w:val="000000" w:themeColor="text1"/>
                <w14:textFill>
                  <w14:solidFill>
                    <w14:schemeClr w14:val="tx1"/>
                  </w14:solidFill>
                </w14:textFill>
              </w:rPr>
              <w:t>事故现场：事故处理人员制定污染物的应急控制浓度、排放量，现场及邻近装置人员撤离组织计划及救护。环境敏感目标：受事故影响的邻近区域人员及公众对污染物应急控制浓度、排放量规定，撤离组织计划及救护。</w:t>
            </w:r>
          </w:p>
        </w:tc>
      </w:tr>
      <w:tr w14:paraId="62BE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7F25E978">
            <w:pPr>
              <w:pStyle w:val="109"/>
              <w:rPr>
                <w:color w:val="000000" w:themeColor="text1"/>
                <w14:textFill>
                  <w14:solidFill>
                    <w14:schemeClr w14:val="tx1"/>
                  </w14:solidFill>
                </w14:textFill>
              </w:rPr>
            </w:pPr>
            <w:r>
              <w:rPr>
                <w:color w:val="000000" w:themeColor="text1"/>
                <w14:textFill>
                  <w14:solidFill>
                    <w14:schemeClr w14:val="tx1"/>
                  </w14:solidFill>
                </w14:textFill>
              </w:rPr>
              <w:t>应急状态终止与恢复措施</w:t>
            </w:r>
          </w:p>
        </w:tc>
        <w:tc>
          <w:tcPr>
            <w:tcW w:w="3561" w:type="pct"/>
            <w:noWrap/>
            <w:vAlign w:val="center"/>
          </w:tcPr>
          <w:p w14:paraId="6C7A9BD9">
            <w:pPr>
              <w:pStyle w:val="109"/>
              <w:rPr>
                <w:color w:val="000000" w:themeColor="text1"/>
                <w14:textFill>
                  <w14:solidFill>
                    <w14:schemeClr w14:val="tx1"/>
                  </w14:solidFill>
                </w14:textFill>
              </w:rPr>
            </w:pPr>
            <w:r>
              <w:rPr>
                <w:color w:val="000000" w:themeColor="text1"/>
                <w14:textFill>
                  <w14:solidFill>
                    <w14:schemeClr w14:val="tx1"/>
                  </w14:solidFill>
                </w14:textFill>
              </w:rPr>
              <w:t>规定应急状态终止程序。</w:t>
            </w:r>
          </w:p>
          <w:p w14:paraId="36B9CC64">
            <w:pPr>
              <w:pStyle w:val="109"/>
              <w:rPr>
                <w:color w:val="000000" w:themeColor="text1"/>
                <w14:textFill>
                  <w14:solidFill>
                    <w14:schemeClr w14:val="tx1"/>
                  </w14:solidFill>
                </w14:textFill>
              </w:rPr>
            </w:pPr>
            <w:r>
              <w:rPr>
                <w:color w:val="000000" w:themeColor="text1"/>
                <w14:textFill>
                  <w14:solidFill>
                    <w14:schemeClr w14:val="tx1"/>
                  </w14:solidFill>
                </w14:textFill>
              </w:rPr>
              <w:t>事故现场善后处理，恢复措施。</w:t>
            </w:r>
          </w:p>
          <w:p w14:paraId="10E2FC36">
            <w:pPr>
              <w:pStyle w:val="109"/>
              <w:rPr>
                <w:color w:val="000000" w:themeColor="text1"/>
                <w14:textFill>
                  <w14:solidFill>
                    <w14:schemeClr w14:val="tx1"/>
                  </w14:solidFill>
                </w14:textFill>
              </w:rPr>
            </w:pPr>
            <w:r>
              <w:rPr>
                <w:color w:val="000000" w:themeColor="text1"/>
                <w14:textFill>
                  <w14:solidFill>
                    <w14:schemeClr w14:val="tx1"/>
                  </w14:solidFill>
                </w14:textFill>
              </w:rPr>
              <w:t>邻近区域解除事故警戒及善后恢复措施。</w:t>
            </w:r>
          </w:p>
          <w:p w14:paraId="6EF25BF6">
            <w:pPr>
              <w:pStyle w:val="109"/>
              <w:rPr>
                <w:color w:val="000000" w:themeColor="text1"/>
                <w14:textFill>
                  <w14:solidFill>
                    <w14:schemeClr w14:val="tx1"/>
                  </w14:solidFill>
                </w14:textFill>
              </w:rPr>
            </w:pPr>
            <w:r>
              <w:rPr>
                <w:color w:val="000000" w:themeColor="text1"/>
                <w14:textFill>
                  <w14:solidFill>
                    <w14:schemeClr w14:val="tx1"/>
                  </w14:solidFill>
                </w14:textFill>
              </w:rPr>
              <w:t>建立重大环境事故责任追究、奖惩制度。</w:t>
            </w:r>
          </w:p>
        </w:tc>
      </w:tr>
      <w:tr w14:paraId="0155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4F3089AF">
            <w:pPr>
              <w:pStyle w:val="109"/>
              <w:rPr>
                <w:color w:val="000000" w:themeColor="text1"/>
                <w14:textFill>
                  <w14:solidFill>
                    <w14:schemeClr w14:val="tx1"/>
                  </w14:solidFill>
                </w14:textFill>
              </w:rPr>
            </w:pPr>
            <w:r>
              <w:rPr>
                <w:color w:val="000000" w:themeColor="text1"/>
                <w14:textFill>
                  <w14:solidFill>
                    <w14:schemeClr w14:val="tx1"/>
                  </w14:solidFill>
                </w14:textFill>
              </w:rPr>
              <w:t>人员培训与演练</w:t>
            </w:r>
          </w:p>
        </w:tc>
        <w:tc>
          <w:tcPr>
            <w:tcW w:w="3561" w:type="pct"/>
            <w:noWrap/>
            <w:vAlign w:val="center"/>
          </w:tcPr>
          <w:p w14:paraId="141EEC1F">
            <w:pPr>
              <w:pStyle w:val="109"/>
              <w:rPr>
                <w:color w:val="000000" w:themeColor="text1"/>
                <w14:textFill>
                  <w14:solidFill>
                    <w14:schemeClr w14:val="tx1"/>
                  </w14:solidFill>
                </w14:textFill>
              </w:rPr>
            </w:pPr>
            <w:r>
              <w:rPr>
                <w:color w:val="000000" w:themeColor="text1"/>
                <w14:textFill>
                  <w14:solidFill>
                    <w14:schemeClr w14:val="tx1"/>
                  </w14:solidFill>
                </w14:textFill>
              </w:rPr>
              <w:t>应急计划制定后，平时安排人员培训与演练。</w:t>
            </w:r>
          </w:p>
        </w:tc>
      </w:tr>
      <w:tr w14:paraId="7812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3B3F8358">
            <w:pPr>
              <w:pStyle w:val="109"/>
              <w:rPr>
                <w:color w:val="000000" w:themeColor="text1"/>
                <w14:textFill>
                  <w14:solidFill>
                    <w14:schemeClr w14:val="tx1"/>
                  </w14:solidFill>
                </w14:textFill>
              </w:rPr>
            </w:pPr>
            <w:r>
              <w:rPr>
                <w:color w:val="000000" w:themeColor="text1"/>
                <w14:textFill>
                  <w14:solidFill>
                    <w14:schemeClr w14:val="tx1"/>
                  </w14:solidFill>
                </w14:textFill>
              </w:rPr>
              <w:t>公众教育和信息</w:t>
            </w:r>
          </w:p>
        </w:tc>
        <w:tc>
          <w:tcPr>
            <w:tcW w:w="3561" w:type="pct"/>
            <w:noWrap/>
            <w:vAlign w:val="center"/>
          </w:tcPr>
          <w:p w14:paraId="0E9EAB01">
            <w:pPr>
              <w:pStyle w:val="109"/>
              <w:rPr>
                <w:color w:val="000000" w:themeColor="text1"/>
                <w14:textFill>
                  <w14:solidFill>
                    <w14:schemeClr w14:val="tx1"/>
                  </w14:solidFill>
                </w14:textFill>
              </w:rPr>
            </w:pPr>
            <w:r>
              <w:rPr>
                <w:color w:val="000000" w:themeColor="text1"/>
                <w14:textFill>
                  <w14:solidFill>
                    <w14:schemeClr w14:val="tx1"/>
                  </w14:solidFill>
                </w14:textFill>
              </w:rPr>
              <w:t>对邻近地区开展公众教育、培训和发布有关信息。</w:t>
            </w:r>
          </w:p>
        </w:tc>
      </w:tr>
      <w:tr w14:paraId="49FC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09AAAFC0">
            <w:pPr>
              <w:pStyle w:val="109"/>
              <w:rPr>
                <w:color w:val="000000" w:themeColor="text1"/>
                <w14:textFill>
                  <w14:solidFill>
                    <w14:schemeClr w14:val="tx1"/>
                  </w14:solidFill>
                </w14:textFill>
              </w:rPr>
            </w:pPr>
            <w:r>
              <w:rPr>
                <w:color w:val="000000" w:themeColor="text1"/>
                <w14:textFill>
                  <w14:solidFill>
                    <w14:schemeClr w14:val="tx1"/>
                  </w14:solidFill>
                </w14:textFill>
              </w:rPr>
              <w:t>记录和报告</w:t>
            </w:r>
          </w:p>
        </w:tc>
        <w:tc>
          <w:tcPr>
            <w:tcW w:w="3561" w:type="pct"/>
            <w:noWrap/>
            <w:vAlign w:val="center"/>
          </w:tcPr>
          <w:p w14:paraId="7424FCA3">
            <w:pPr>
              <w:pStyle w:val="109"/>
              <w:rPr>
                <w:color w:val="000000" w:themeColor="text1"/>
                <w14:textFill>
                  <w14:solidFill>
                    <w14:schemeClr w14:val="tx1"/>
                  </w14:solidFill>
                </w14:textFill>
              </w:rPr>
            </w:pPr>
            <w:r>
              <w:rPr>
                <w:color w:val="000000" w:themeColor="text1"/>
                <w14:textFill>
                  <w14:solidFill>
                    <w14:schemeClr w14:val="tx1"/>
                  </w14:solidFill>
                </w14:textFill>
              </w:rPr>
              <w:t>设置应急事故专门记录，建档案和专门报告制度，设专门部门和负责管理。</w:t>
            </w:r>
          </w:p>
        </w:tc>
      </w:tr>
      <w:tr w14:paraId="689C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pct"/>
            <w:noWrap/>
            <w:vAlign w:val="center"/>
          </w:tcPr>
          <w:p w14:paraId="0901EF4F">
            <w:pPr>
              <w:pStyle w:val="109"/>
              <w:rPr>
                <w:color w:val="000000" w:themeColor="text1"/>
                <w14:textFill>
                  <w14:solidFill>
                    <w14:schemeClr w14:val="tx1"/>
                  </w14:solidFill>
                </w14:textFill>
              </w:rPr>
            </w:pPr>
            <w:r>
              <w:rPr>
                <w:color w:val="000000" w:themeColor="text1"/>
                <w14:textFill>
                  <w14:solidFill>
                    <w14:schemeClr w14:val="tx1"/>
                  </w14:solidFill>
                </w14:textFill>
              </w:rPr>
              <w:t>附件</w:t>
            </w:r>
          </w:p>
        </w:tc>
        <w:tc>
          <w:tcPr>
            <w:tcW w:w="3561" w:type="pct"/>
            <w:noWrap/>
            <w:vAlign w:val="center"/>
          </w:tcPr>
          <w:p w14:paraId="2A465E4D">
            <w:pPr>
              <w:pStyle w:val="109"/>
              <w:rPr>
                <w:color w:val="000000" w:themeColor="text1"/>
                <w14:textFill>
                  <w14:solidFill>
                    <w14:schemeClr w14:val="tx1"/>
                  </w14:solidFill>
                </w14:textFill>
              </w:rPr>
            </w:pPr>
            <w:r>
              <w:rPr>
                <w:color w:val="000000" w:themeColor="text1"/>
                <w14:textFill>
                  <w14:solidFill>
                    <w14:schemeClr w14:val="tx1"/>
                  </w14:solidFill>
                </w14:textFill>
              </w:rPr>
              <w:t>与应急事故有关的多种附件材料的准备和形成。</w:t>
            </w:r>
          </w:p>
        </w:tc>
      </w:tr>
    </w:tbl>
    <w:p w14:paraId="55912291">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⑧</w:t>
      </w:r>
      <w:r>
        <w:rPr>
          <w:color w:val="000000" w:themeColor="text1"/>
          <w14:textFill>
            <w14:solidFill>
              <w14:schemeClr w14:val="tx1"/>
            </w14:solidFill>
          </w14:textFill>
        </w:rPr>
        <w:t>当通过监测发现对周围地下水造成污染时，根据观测井的反馈信息，控制污染区地下水流场，防止污染物扩散。地下水排水系统是根据建设项目对地下水可能产生影响而采取的被动防范措施，是建设项目环境工程的重要组成部分。当地下水污染事件发生后，启动地下水排水应急系统，抽出污水送污水处理场集中处理，可有效抑制污染物向下游扩散速度，控制污染范围，使地下水质量得到尽快恢复。</w:t>
      </w:r>
    </w:p>
    <w:p w14:paraId="3BE7E885">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⑨</w:t>
      </w:r>
      <w:r>
        <w:rPr>
          <w:color w:val="000000" w:themeColor="text1"/>
          <w14:textFill>
            <w14:solidFill>
              <w14:schemeClr w14:val="tx1"/>
            </w14:solidFill>
          </w14:textFill>
        </w:rPr>
        <w:t>对事故后果进行评估，并制定防止类似事件发生的措施。</w:t>
      </w:r>
    </w:p>
    <w:p w14:paraId="4AD019F8">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⑩</w:t>
      </w:r>
      <w:r>
        <w:rPr>
          <w:color w:val="000000" w:themeColor="text1"/>
          <w14:textFill>
            <w14:solidFill>
              <w14:schemeClr w14:val="tx1"/>
            </w14:solidFill>
          </w14:textFill>
        </w:rPr>
        <w:t>如果自身力量无法应对污染事故，应立即请求社会应急力量协助处理。</w:t>
      </w:r>
    </w:p>
    <w:p w14:paraId="2C812F43">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（3）风险事故应急预案</w:t>
      </w:r>
    </w:p>
    <w:p w14:paraId="72FEF3F4">
      <w:pPr>
        <w:ind w:firstLine="480"/>
        <w:rPr>
          <w:color w:val="000000" w:themeColor="text1"/>
          <w14:textFill>
            <w14:solidFill>
              <w14:schemeClr w14:val="tx1"/>
            </w14:solidFill>
          </w14:textFill>
        </w:rPr>
      </w:pPr>
      <w:r>
        <w:rPr>
          <w:color w:val="000000" w:themeColor="text1"/>
          <w14:textFill>
            <w14:solidFill>
              <w14:schemeClr w14:val="tx1"/>
            </w14:solidFill>
          </w14:textFill>
        </w:rPr>
        <w:t>制定风险事故应急预案的目的是为了在发生风险事故时，能以最快的速度发挥最大的效能，有序地实施救援，尽快控制事态的发展，降低事故对地下水的污染。针对应急工作需要，参照相关技术导则，结合地下水污染治理的技术特点，制定地下水污染应急治理程序。</w:t>
      </w:r>
    </w:p>
    <w:p w14:paraId="39E1D6F2">
      <w:pPr>
        <w:ind w:firstLine="480"/>
        <w:rPr>
          <w:color w:val="000000" w:themeColor="text1"/>
          <w14:textFill>
            <w14:solidFill>
              <w14:schemeClr w14:val="tx1"/>
            </w14:solidFill>
          </w14:textFill>
        </w:rPr>
      </w:pPr>
      <w:r>
        <w:rPr>
          <w:color w:val="000000" w:themeColor="text1"/>
          <w14:textFill>
            <w14:solidFill>
              <w14:schemeClr w14:val="tx1"/>
            </w14:solidFill>
          </w14:textFill>
        </w:rPr>
        <w:t>在制定全厂安全管理体制的基础上，制订专门的地下水污染事故的应急预案，并应与其它应急预案相协调。地下水环境应急预案应包括以下内容：</w:t>
      </w:r>
    </w:p>
    <w:p w14:paraId="27FFCCC5">
      <w:pPr>
        <w:ind w:firstLine="480"/>
        <w:rPr>
          <w:color w:val="000000" w:themeColor="text1"/>
          <w14:textFill>
            <w14:solidFill>
              <w14:schemeClr w14:val="tx1"/>
            </w14:solidFill>
          </w14:textFill>
        </w:rPr>
      </w:pPr>
      <w:r>
        <w:rPr>
          <w:color w:val="000000" w:themeColor="text1"/>
          <w14:textFill>
            <w14:solidFill>
              <w14:schemeClr w14:val="tx1"/>
            </w14:solidFill>
          </w14:textFill>
        </w:rPr>
        <w:t>1）应急预案的日常协调和指挥机构；</w:t>
      </w:r>
    </w:p>
    <w:p w14:paraId="1B5F66A7">
      <w:pPr>
        <w:ind w:firstLine="480"/>
        <w:rPr>
          <w:color w:val="000000" w:themeColor="text1"/>
          <w14:textFill>
            <w14:solidFill>
              <w14:schemeClr w14:val="tx1"/>
            </w14:solidFill>
          </w14:textFill>
        </w:rPr>
      </w:pPr>
      <w:r>
        <w:rPr>
          <w:color w:val="000000" w:themeColor="text1"/>
          <w14:textFill>
            <w14:solidFill>
              <w14:schemeClr w14:val="tx1"/>
            </w14:solidFill>
          </w14:textFill>
        </w:rPr>
        <w:t>2）相关部门在应急预案中的职责和分工；</w:t>
      </w:r>
    </w:p>
    <w:p w14:paraId="35F1DA47">
      <w:pPr>
        <w:ind w:firstLine="480"/>
        <w:rPr>
          <w:color w:val="000000" w:themeColor="text1"/>
          <w14:textFill>
            <w14:solidFill>
              <w14:schemeClr w14:val="tx1"/>
            </w14:solidFill>
          </w14:textFill>
        </w:rPr>
      </w:pPr>
      <w:r>
        <w:rPr>
          <w:color w:val="000000" w:themeColor="text1"/>
          <w14:textFill>
            <w14:solidFill>
              <w14:schemeClr w14:val="tx1"/>
            </w14:solidFill>
          </w14:textFill>
        </w:rPr>
        <w:t>3）地下水环境保护目标的确定，采取的紧急处置措施和潜在污染可能性评估；</w:t>
      </w:r>
    </w:p>
    <w:p w14:paraId="1A4FA5D2">
      <w:pPr>
        <w:ind w:firstLine="480"/>
        <w:rPr>
          <w:color w:val="000000" w:themeColor="text1"/>
          <w14:textFill>
            <w14:solidFill>
              <w14:schemeClr w14:val="tx1"/>
            </w14:solidFill>
          </w14:textFill>
        </w:rPr>
      </w:pPr>
      <w:r>
        <w:rPr>
          <w:color w:val="000000" w:themeColor="text1"/>
          <w14:textFill>
            <w14:solidFill>
              <w14:schemeClr w14:val="tx1"/>
            </w14:solidFill>
          </w14:textFill>
        </w:rPr>
        <w:t>4）特大事故应急救援组织状况和人员、装备情况，平常的训练和演习；</w:t>
      </w:r>
    </w:p>
    <w:p w14:paraId="7C991C76">
      <w:pPr>
        <w:ind w:firstLine="480"/>
        <w:rPr>
          <w:color w:val="000000" w:themeColor="text1"/>
          <w14:textFill>
            <w14:solidFill>
              <w14:schemeClr w14:val="tx1"/>
            </w14:solidFill>
          </w14:textFill>
        </w:rPr>
      </w:pPr>
      <w:r>
        <w:rPr>
          <w:color w:val="000000" w:themeColor="text1"/>
          <w14:textFill>
            <w14:solidFill>
              <w14:schemeClr w14:val="tx1"/>
            </w14:solidFill>
          </w14:textFill>
        </w:rPr>
        <w:t>5）特大事故的社会支持和援助，应急救援的经费保障。</w:t>
      </w:r>
    </w:p>
    <w:p w14:paraId="18E5DD65">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（4）防止污染物向环境转移的措施</w:t>
      </w:r>
    </w:p>
    <w:p w14:paraId="456B2F5A">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厂区建设事故水池，用于装置非正常运行状态下废水的储存，保证废水不外排至厂外污染环境。紧急事故情况下，污水首先经装置区内初期雨水池进行收集，剩余的废水经后期雨水管线进入初期雨水池。事故处理完毕后，对应急事故池储水检测，无污染（满足排放标准）时经达标外排废水管线排出厂外；当检测超过排放标准，送入污水处理装置进行处理。</w:t>
      </w:r>
    </w:p>
    <w:p w14:paraId="3C046A5C">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厂区非绿化地均采用混凝土防渗地坪，并合理设计径流坡度，雨季时前0~15min雨水沿防渗排水沟汇至专用集水池，并送至污水处理场集中处理；</w:t>
      </w:r>
    </w:p>
    <w:p w14:paraId="10711D06">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各类地下管道严格按照建筑防渗设计规范，确保建设工程无渗漏。对地下管道和阀门设防渗管沟和活动观察顶盖，以便出现渗漏问题及时观察、解决；</w:t>
      </w:r>
    </w:p>
    <w:p w14:paraId="5E731B3C">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color w:val="000000" w:themeColor="text1"/>
          <w14:textFill>
            <w14:solidFill>
              <w14:schemeClr w14:val="tx1"/>
            </w14:solidFill>
          </w14:textFill>
        </w:rPr>
        <w:t>各类污水输送设置专门的防渗管沟；</w:t>
      </w:r>
    </w:p>
    <w:p w14:paraId="00E8C583">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⑤</w:t>
      </w:r>
      <w:r>
        <w:rPr>
          <w:color w:val="000000" w:themeColor="text1"/>
          <w14:textFill>
            <w14:solidFill>
              <w14:schemeClr w14:val="tx1"/>
            </w14:solidFill>
          </w14:textFill>
        </w:rPr>
        <w:t>对于地上管道、阀门严格质量管理，如发现问题，及时更换。</w:t>
      </w:r>
    </w:p>
    <w:p w14:paraId="7CEDD79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（5）土壤和地下水污染治理措施</w:t>
      </w:r>
    </w:p>
    <w:p w14:paraId="4B7524CF">
      <w:pPr>
        <w:ind w:firstLine="480"/>
        <w:rPr>
          <w:color w:val="000000" w:themeColor="text1"/>
          <w14:textFill>
            <w14:solidFill>
              <w14:schemeClr w14:val="tx1"/>
            </w14:solidFill>
          </w14:textFill>
        </w:rPr>
      </w:pPr>
      <w:r>
        <w:rPr>
          <w:color w:val="000000" w:themeColor="text1"/>
          <w14:textFill>
            <w14:solidFill>
              <w14:schemeClr w14:val="tx1"/>
            </w14:solidFill>
          </w14:textFill>
        </w:rPr>
        <w:t>当厂区发生污染泄漏事件或地下水污染监控系统发现明显地下水污染，应及时调查并切断污染源，对泄漏区域的地面可见污染物进行及时的去污染清理，并立即启动抽水设施，利用污染泄漏点附近的监测井，把受污染的地下水进行抽出治理，一方面，抑制污染物向下游扩散速度，控制潜水含水层地下水中的污染物，另一方面，抽出的污水应统一送至污水处理场的事故池，并对污水进行采样分析，根据污染情况和污水处理场的处理能力，选择送污水处理场或外送至其他有资质的单位处理。</w:t>
      </w:r>
    </w:p>
    <w:p w14:paraId="0E5DDC83">
      <w:pPr>
        <w:pStyle w:val="28"/>
        <w:ind w:firstLine="480"/>
        <w:rPr>
          <w:rFonts w:ascii="Times New Roman" w:cs="Times New Roman"/>
          <w:color w:val="000000" w:themeColor="text1"/>
          <w:lang w:val="zh-CN"/>
          <w14:textFill>
            <w14:solidFill>
              <w14:schemeClr w14:val="tx1"/>
            </w14:solidFill>
          </w14:textFill>
        </w:rPr>
      </w:pPr>
      <w:r>
        <w:rPr>
          <w:rFonts w:ascii="Times New Roman" w:cs="Times New Roman"/>
          <w:color w:val="000000" w:themeColor="text1"/>
          <w14:textFill>
            <w14:solidFill>
              <w14:schemeClr w14:val="tx1"/>
            </w14:solidFill>
          </w14:textFill>
        </w:rPr>
        <w:t>对突发环境事件中污染的土壤和地下水，应根据《建设用地土壤污染状况调查技术导则》（HJ25.1-2019）；《建设用地土壤污染风险管控和修复监测技术导则》（HJ25.2-2019）；《建设用地土壤污染风险评估技术导则》（HJ25.3-2019）；《建设用地土壤修复技术导则》（HJ25.4-2019）等系列导则的要求，同时结合场地现状，依次开展场地环境调查，确定场地土壤和地下水污染范围和程度，再进行污染场地风险评估，明确现在和未来场地利用可能产生的健康风险水平，提出污染物修复目标值，确定场地土壤和地下水的修复范围，最后筛选修复技术和制定修复方案，开展污染场地的修复工程。</w:t>
      </w:r>
    </w:p>
    <w:bookmarkEnd w:id="484"/>
    <w:bookmarkEnd w:id="485"/>
    <w:bookmarkEnd w:id="486"/>
    <w:bookmarkEnd w:id="487"/>
    <w:bookmarkEnd w:id="488"/>
    <w:bookmarkEnd w:id="489"/>
    <w:bookmarkEnd w:id="490"/>
    <w:bookmarkEnd w:id="491"/>
    <w:bookmarkEnd w:id="492"/>
    <w:bookmarkEnd w:id="493"/>
    <w:bookmarkEnd w:id="494"/>
    <w:p w14:paraId="48319F92">
      <w:pPr>
        <w:pStyle w:val="3"/>
        <w:rPr>
          <w:rFonts w:ascii="Times New Roman" w:cs="Times New Roman"/>
          <w:color w:val="000000" w:themeColor="text1"/>
          <w14:textFill>
            <w14:solidFill>
              <w14:schemeClr w14:val="tx1"/>
            </w14:solidFill>
          </w14:textFill>
        </w:rPr>
      </w:pPr>
      <w:bookmarkStart w:id="503" w:name="bookmark569"/>
      <w:bookmarkStart w:id="504" w:name="_Toc225268328"/>
      <w:bookmarkStart w:id="505" w:name="bookmark568"/>
      <w:r>
        <w:rPr>
          <w:rFonts w:ascii="Times New Roman" w:cs="Times New Roman"/>
          <w:color w:val="000000" w:themeColor="text1"/>
          <w14:textFill>
            <w14:solidFill>
              <w14:schemeClr w14:val="tx1"/>
            </w14:solidFill>
          </w14:textFill>
        </w:rPr>
        <w:t>土壤污染防治措施</w:t>
      </w:r>
      <w:bookmarkEnd w:id="503"/>
      <w:bookmarkEnd w:id="504"/>
      <w:bookmarkEnd w:id="505"/>
    </w:p>
    <w:p w14:paraId="32C383CC">
      <w:pPr>
        <w:pStyle w:val="4"/>
        <w:rPr>
          <w:rFonts w:ascii="Times New Roman" w:cs="Times New Roman"/>
          <w:color w:val="000000" w:themeColor="text1"/>
          <w14:textFill>
            <w14:solidFill>
              <w14:schemeClr w14:val="tx1"/>
            </w14:solidFill>
          </w14:textFill>
        </w:rPr>
      </w:pPr>
      <w:bookmarkStart w:id="506" w:name="bookmark571"/>
      <w:r>
        <w:rPr>
          <w:rFonts w:ascii="Times New Roman" w:cs="Times New Roman"/>
          <w:color w:val="000000" w:themeColor="text1"/>
          <w14:textFill>
            <w14:solidFill>
              <w14:schemeClr w14:val="tx1"/>
            </w14:solidFill>
          </w14:textFill>
        </w:rPr>
        <w:t>土壤防治原则</w:t>
      </w:r>
      <w:bookmarkEnd w:id="506"/>
    </w:p>
    <w:p w14:paraId="11A4083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本项目土壤污染防治措施按照</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源头控制、过程防控和跟踪监控</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相结合的原则，从污染物的产生、入渗和扩散等方面进行控制，具体控制措施如下：</w:t>
      </w:r>
    </w:p>
    <w:p w14:paraId="5CDB2CE5">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）源头控制措施，企业应从工艺、管道、设备、污水储存及处理构筑物等方面采取相应措施，防止和降低污染物跑、冒、滴、漏，将污染物泄漏的环境风险事故降到最低程度。</w:t>
      </w:r>
    </w:p>
    <w:p w14:paraId="5F563903">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过程防控措施，主要包括厂内污染区地面的防渗措施和泄漏、渗漏污染物收集措施，即在污染区地面进行防渗处理，防止洒落地面的污染物渗入地下，并把滞留在地面的污染物收集起来，集中进行处理，且占地范围内采取绿化措施，以种植具有较强吸附能力的植物为主。</w:t>
      </w:r>
    </w:p>
    <w:p w14:paraId="09D6108B">
      <w:pPr>
        <w:pStyle w:val="4"/>
        <w:rPr>
          <w:rFonts w:ascii="Times New Roman" w:cs="Times New Roman"/>
          <w:color w:val="000000" w:themeColor="text1"/>
          <w14:textFill>
            <w14:solidFill>
              <w14:schemeClr w14:val="tx1"/>
            </w14:solidFill>
          </w14:textFill>
        </w:rPr>
      </w:pPr>
      <w:bookmarkStart w:id="507" w:name="bookmark573"/>
      <w:r>
        <w:rPr>
          <w:rFonts w:ascii="Times New Roman" w:cs="Times New Roman"/>
          <w:color w:val="000000" w:themeColor="text1"/>
          <w14:textFill>
            <w14:solidFill>
              <w14:schemeClr w14:val="tx1"/>
            </w14:solidFill>
          </w14:textFill>
        </w:rPr>
        <w:t>土壤环境保护措施</w:t>
      </w:r>
      <w:bookmarkEnd w:id="507"/>
    </w:p>
    <w:p w14:paraId="74455FE9">
      <w:pPr>
        <w:ind w:firstLine="480"/>
        <w:rPr>
          <w:color w:val="000000" w:themeColor="text1"/>
          <w14:textFill>
            <w14:solidFill>
              <w14:schemeClr w14:val="tx1"/>
            </w14:solidFill>
          </w14:textFill>
        </w:rPr>
      </w:pPr>
      <w:r>
        <w:rPr>
          <w:color w:val="000000" w:themeColor="text1"/>
          <w14:textFill>
            <w14:solidFill>
              <w14:schemeClr w14:val="tx1"/>
            </w14:solidFill>
          </w14:textFill>
        </w:rPr>
        <w:t>企业运营过程中，为防止事故状态对土壤的污染，厂区应采取如下措施：</w:t>
      </w:r>
    </w:p>
    <w:p w14:paraId="247D6F6C">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危险废物严格按要求进行处理处置，严禁随意倾倒、丢弃；企业应及时联系危废单位回收，在危废处理单位未回收期间，应集中收集，专人管理，集中贮存，厂区内建设危废暂存场，各类危险废物按性质不同分类进行贮存。临时危险废物贮存设施应满足《危险废物贮存污染控制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GB18597-2023</w:t>
      </w:r>
      <w:r>
        <w:rPr>
          <w:color w:val="000000" w:themeColor="text1"/>
          <w:lang w:bidi="en-US"/>
          <w14:textFill>
            <w14:solidFill>
              <w14:schemeClr w14:val="tx1"/>
            </w14:solidFill>
          </w14:textFill>
        </w:rPr>
        <w:t>）</w:t>
      </w:r>
      <w:r>
        <w:rPr>
          <w:color w:val="000000" w:themeColor="text1"/>
          <w14:textFill>
            <w14:solidFill>
              <w14:schemeClr w14:val="tx1"/>
            </w14:solidFill>
          </w14:textFill>
        </w:rPr>
        <w:t>的相关规定。贮存场所要防风、防雨、防晒，并设计建造径流疏导系统、泄漏液体收集装置，在厂区内应避开易燃、易爆危险品仓库防护区域。项目产生的危险废物在送有危废处置单位处置前，可暂存在相应的危废储存装置中，设施应符合上述要求。</w:t>
      </w:r>
    </w:p>
    <w:p w14:paraId="7B284CC9">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厂区一旦发生废水泄漏事故，公司应及时通知有关部门并采取必要的安全措施，减少事故损失，防止事故蔓延、扩大；因此在生产区建设应急事故池，且项目雨水排口应设置切换阀，当事故发生时，应及时关闭切换阀，阻止消防废水进入市政雨水管网，使其消防废水自流或者通过泵送入事故池内，若是不能自流，设置水泵抽水，应配套应急发电机。</w:t>
      </w:r>
    </w:p>
    <w:p w14:paraId="5416B0F5">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加强生产管理，减少废气的有组织和无组织排放，以减少废气污染物通过大气沉降落在地面，污染土壤。企业必须确保废气收集系统和净化装置的正常运行，并达到项目所要求的治理效果，定期检查废气收集装置、净化装置和排气筒；若废气收集系统和净化装置发生故障或效率降低时，企业必须及时修复，在未修复前必须根据故障情况采取限产或停产措施。</w:t>
      </w:r>
    </w:p>
    <w:p w14:paraId="058F7D40">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）在占地范围采取绿化措施，种植具有较强吸附能力的植物为主，厂区绿化率为</w:t>
      </w:r>
      <w:r>
        <w:rPr>
          <w:rFonts w:eastAsia="Times New Roman"/>
          <w:color w:val="000000" w:themeColor="text1"/>
          <w14:textFill>
            <w14:solidFill>
              <w14:schemeClr w14:val="tx1"/>
            </w14:solidFill>
          </w14:textFill>
        </w:rPr>
        <w:t>10%</w:t>
      </w:r>
      <w:r>
        <w:rPr>
          <w:color w:val="000000" w:themeColor="text1"/>
          <w14:textFill>
            <w14:solidFill>
              <w14:schemeClr w14:val="tx1"/>
            </w14:solidFill>
          </w14:textFill>
        </w:rPr>
        <w:t>，满足要求。</w:t>
      </w:r>
    </w:p>
    <w:p w14:paraId="6CC4B659">
      <w:pPr>
        <w:ind w:firstLine="480"/>
        <w:rPr>
          <w:color w:val="000000" w:themeColor="text1"/>
          <w14:textFill>
            <w14:solidFill>
              <w14:schemeClr w14:val="tx1"/>
            </w14:solidFill>
          </w14:textFill>
        </w:rPr>
      </w:pPr>
      <w:r>
        <w:rPr>
          <w:color w:val="000000" w:themeColor="text1"/>
          <w14:textFill>
            <w14:solidFill>
              <w14:schemeClr w14:val="tx1"/>
            </w14:solidFill>
          </w14:textFill>
        </w:rPr>
        <w:t>采取以上措施后，本项目对当地的土壤环境产生影响较小。</w:t>
      </w:r>
    </w:p>
    <w:p w14:paraId="519453B7">
      <w:pPr>
        <w:pStyle w:val="4"/>
        <w:rPr>
          <w:rFonts w:ascii="Times New Roman" w:cs="Times New Roman"/>
          <w:color w:val="000000" w:themeColor="text1"/>
          <w14:textFill>
            <w14:solidFill>
              <w14:schemeClr w14:val="tx1"/>
            </w14:solidFill>
          </w14:textFill>
        </w:rPr>
      </w:pPr>
      <w:bookmarkStart w:id="508" w:name="bookmark575"/>
      <w:r>
        <w:rPr>
          <w:rFonts w:ascii="Times New Roman" w:cs="Times New Roman"/>
          <w:color w:val="000000" w:themeColor="text1"/>
          <w14:textFill>
            <w14:solidFill>
              <w14:schemeClr w14:val="tx1"/>
            </w14:solidFill>
          </w14:textFill>
        </w:rPr>
        <w:t>土壤跟踪监测计划</w:t>
      </w:r>
      <w:bookmarkEnd w:id="508"/>
    </w:p>
    <w:p w14:paraId="425C7629">
      <w:pPr>
        <w:ind w:firstLine="480"/>
        <w:rPr>
          <w:color w:val="000000" w:themeColor="text1"/>
          <w14:textFill>
            <w14:solidFill>
              <w14:schemeClr w14:val="tx1"/>
            </w14:solidFill>
          </w14:textFill>
        </w:rPr>
      </w:pPr>
      <w:r>
        <w:rPr>
          <w:color w:val="000000" w:themeColor="text1"/>
          <w14:textFill>
            <w14:solidFill>
              <w14:schemeClr w14:val="tx1"/>
            </w14:solidFill>
          </w14:textFill>
        </w:rPr>
        <w:t>结合本项目的平面布置情况及周边环境概况，确定本次设置</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个土壤跟踪监测点，在厂内车间主导风向下风向设</w:t>
      </w:r>
      <w:r>
        <w:rPr>
          <w:rFonts w:eastAsia="Times New Roman"/>
          <w:color w:val="000000" w:themeColor="text1"/>
          <w:sz w:val="28"/>
          <w:szCs w:val="28"/>
          <w14:textFill>
            <w14:solidFill>
              <w14:schemeClr w14:val="tx1"/>
            </w14:solidFill>
          </w14:textFill>
        </w:rPr>
        <w:t>1</w:t>
      </w:r>
      <w:r>
        <w:rPr>
          <w:color w:val="000000" w:themeColor="text1"/>
          <w14:textFill>
            <w14:solidFill>
              <w14:schemeClr w14:val="tx1"/>
            </w14:solidFill>
          </w14:textFill>
        </w:rPr>
        <w:t>个监测点，采集</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个柱状样品</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0.5-3m</w:t>
      </w:r>
      <w:r>
        <w:rPr>
          <w:color w:val="000000" w:themeColor="text1"/>
          <w:lang w:bidi="en-US"/>
          <w14:textFill>
            <w14:solidFill>
              <w14:schemeClr w14:val="tx1"/>
            </w14:solidFill>
          </w14:textFill>
        </w:rPr>
        <w:t>）</w:t>
      </w:r>
      <w:r>
        <w:rPr>
          <w:color w:val="000000" w:themeColor="text1"/>
          <w14:textFill>
            <w14:solidFill>
              <w14:schemeClr w14:val="tx1"/>
            </w14:solidFill>
          </w14:textFill>
        </w:rPr>
        <w:t>，在厂区办公区布设</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个对照监测点，采集表面样品。具体监测点位、监测指标、监测频次以及执行标准见下表及图</w:t>
      </w:r>
      <w:r>
        <w:rPr>
          <w:rFonts w:eastAsia="Times New Roman"/>
          <w:color w:val="000000" w:themeColor="text1"/>
          <w14:textFill>
            <w14:solidFill>
              <w14:schemeClr w14:val="tx1"/>
            </w14:solidFill>
          </w14:textFill>
        </w:rPr>
        <w:t>6.5.4-1</w:t>
      </w:r>
      <w:r>
        <w:rPr>
          <w:color w:val="000000" w:themeColor="text1"/>
          <w14:textFill>
            <w14:solidFill>
              <w14:schemeClr w14:val="tx1"/>
            </w14:solidFill>
          </w14:textFill>
        </w:rPr>
        <w:t>。</w:t>
      </w:r>
    </w:p>
    <w:tbl>
      <w:tblPr>
        <w:tblStyle w:val="76"/>
        <w:tblW w:w="8661" w:type="dxa"/>
        <w:jc w:val="center"/>
        <w:tblLayout w:type="fixed"/>
        <w:tblCellMar>
          <w:top w:w="0" w:type="dxa"/>
          <w:left w:w="10" w:type="dxa"/>
          <w:bottom w:w="0" w:type="dxa"/>
          <w:right w:w="10" w:type="dxa"/>
        </w:tblCellMar>
      </w:tblPr>
      <w:tblGrid>
        <w:gridCol w:w="595"/>
        <w:gridCol w:w="1390"/>
        <w:gridCol w:w="2693"/>
        <w:gridCol w:w="992"/>
        <w:gridCol w:w="1983"/>
        <w:gridCol w:w="979"/>
        <w:gridCol w:w="29"/>
      </w:tblGrid>
      <w:tr w14:paraId="2BBEBB5B">
        <w:tblPrEx>
          <w:tblCellMar>
            <w:top w:w="0" w:type="dxa"/>
            <w:left w:w="10" w:type="dxa"/>
            <w:bottom w:w="0" w:type="dxa"/>
            <w:right w:w="10" w:type="dxa"/>
          </w:tblCellMar>
        </w:tblPrEx>
        <w:trPr>
          <w:trHeight w:val="336" w:hRule="exact"/>
          <w:jc w:val="center"/>
        </w:trPr>
        <w:tc>
          <w:tcPr>
            <w:tcW w:w="8661" w:type="dxa"/>
            <w:gridSpan w:val="7"/>
            <w:tcBorders>
              <w:bottom w:val="single" w:color="auto" w:sz="4" w:space="0"/>
            </w:tcBorders>
          </w:tcPr>
          <w:p w14:paraId="702DE533">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土壤跟踪监测计划一览表</w:t>
            </w:r>
          </w:p>
        </w:tc>
      </w:tr>
      <w:tr w14:paraId="6A9365F7">
        <w:tblPrEx>
          <w:tblCellMar>
            <w:top w:w="0" w:type="dxa"/>
            <w:left w:w="10" w:type="dxa"/>
            <w:bottom w:w="0" w:type="dxa"/>
            <w:right w:w="10" w:type="dxa"/>
          </w:tblCellMar>
        </w:tblPrEx>
        <w:trPr>
          <w:gridAfter w:val="1"/>
          <w:wAfter w:w="29" w:type="dxa"/>
          <w:jc w:val="center"/>
        </w:trPr>
        <w:tc>
          <w:tcPr>
            <w:tcW w:w="595" w:type="dxa"/>
            <w:tcBorders>
              <w:top w:val="single" w:color="auto" w:sz="4" w:space="0"/>
              <w:left w:val="single" w:color="auto" w:sz="4" w:space="0"/>
              <w:bottom w:val="single" w:color="auto" w:sz="4" w:space="0"/>
            </w:tcBorders>
            <w:vAlign w:val="center"/>
          </w:tcPr>
          <w:p w14:paraId="4F266634">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90" w:type="dxa"/>
            <w:tcBorders>
              <w:top w:val="single" w:color="auto" w:sz="4" w:space="0"/>
              <w:left w:val="single" w:color="auto" w:sz="4" w:space="0"/>
              <w:bottom w:val="single" w:color="auto" w:sz="4" w:space="0"/>
            </w:tcBorders>
            <w:vAlign w:val="center"/>
          </w:tcPr>
          <w:p w14:paraId="0F2BB20F">
            <w:pPr>
              <w:pStyle w:val="109"/>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2693" w:type="dxa"/>
            <w:tcBorders>
              <w:top w:val="single" w:color="auto" w:sz="4" w:space="0"/>
              <w:left w:val="single" w:color="auto" w:sz="4" w:space="0"/>
              <w:bottom w:val="single" w:color="auto" w:sz="4" w:space="0"/>
            </w:tcBorders>
            <w:vAlign w:val="center"/>
          </w:tcPr>
          <w:p w14:paraId="1A5AA2C6">
            <w:pPr>
              <w:pStyle w:val="109"/>
              <w:rPr>
                <w:color w:val="000000" w:themeColor="text1"/>
                <w14:textFill>
                  <w14:solidFill>
                    <w14:schemeClr w14:val="tx1"/>
                  </w14:solidFill>
                </w14:textFill>
              </w:rPr>
            </w:pPr>
            <w:r>
              <w:rPr>
                <w:color w:val="000000" w:themeColor="text1"/>
                <w14:textFill>
                  <w14:solidFill>
                    <w14:schemeClr w14:val="tx1"/>
                  </w14:solidFill>
                </w14:textFill>
              </w:rPr>
              <w:t>主要监测指标</w:t>
            </w:r>
          </w:p>
        </w:tc>
        <w:tc>
          <w:tcPr>
            <w:tcW w:w="992" w:type="dxa"/>
            <w:tcBorders>
              <w:top w:val="single" w:color="auto" w:sz="4" w:space="0"/>
              <w:left w:val="single" w:color="auto" w:sz="4" w:space="0"/>
              <w:bottom w:val="single" w:color="auto" w:sz="4" w:space="0"/>
            </w:tcBorders>
          </w:tcPr>
          <w:p w14:paraId="222337AF">
            <w:pPr>
              <w:pStyle w:val="109"/>
              <w:rPr>
                <w:color w:val="000000" w:themeColor="text1"/>
                <w14:textFill>
                  <w14:solidFill>
                    <w14:schemeClr w14:val="tx1"/>
                  </w14:solidFill>
                </w14:textFill>
              </w:rPr>
            </w:pPr>
            <w:r>
              <w:rPr>
                <w:color w:val="000000" w:themeColor="text1"/>
                <w14:textFill>
                  <w14:solidFill>
                    <w14:schemeClr w14:val="tx1"/>
                  </w14:solidFill>
                </w14:textFill>
              </w:rPr>
              <w:t>监测频次</w:t>
            </w:r>
          </w:p>
        </w:tc>
        <w:tc>
          <w:tcPr>
            <w:tcW w:w="1983" w:type="dxa"/>
            <w:tcBorders>
              <w:top w:val="single" w:color="auto" w:sz="4" w:space="0"/>
              <w:left w:val="single" w:color="auto" w:sz="4" w:space="0"/>
              <w:bottom w:val="single" w:color="auto" w:sz="4" w:space="0"/>
            </w:tcBorders>
            <w:vAlign w:val="center"/>
          </w:tcPr>
          <w:p w14:paraId="3C1BFF6E">
            <w:pPr>
              <w:pStyle w:val="109"/>
              <w:rPr>
                <w:color w:val="000000" w:themeColor="text1"/>
                <w14:textFill>
                  <w14:solidFill>
                    <w14:schemeClr w14:val="tx1"/>
                  </w14:solidFill>
                </w14:textFill>
              </w:rPr>
            </w:pPr>
            <w:r>
              <w:rPr>
                <w:color w:val="000000" w:themeColor="text1"/>
                <w14:textFill>
                  <w14:solidFill>
                    <w14:schemeClr w14:val="tx1"/>
                  </w14:solidFill>
                </w14:textFill>
              </w:rPr>
              <w:t>执行标准</w:t>
            </w:r>
          </w:p>
        </w:tc>
        <w:tc>
          <w:tcPr>
            <w:tcW w:w="979" w:type="dxa"/>
            <w:tcBorders>
              <w:top w:val="single" w:color="auto" w:sz="4" w:space="0"/>
              <w:left w:val="single" w:color="auto" w:sz="4" w:space="0"/>
              <w:bottom w:val="single" w:color="auto" w:sz="4" w:space="0"/>
              <w:right w:val="single" w:color="auto" w:sz="4" w:space="0"/>
            </w:tcBorders>
            <w:vAlign w:val="center"/>
          </w:tcPr>
          <w:p w14:paraId="1922E40C">
            <w:pPr>
              <w:pStyle w:val="109"/>
              <w:rPr>
                <w:color w:val="000000" w:themeColor="text1"/>
                <w14:textFill>
                  <w14:solidFill>
                    <w14:schemeClr w14:val="tx1"/>
                  </w14:solidFill>
                </w14:textFill>
              </w:rPr>
            </w:pPr>
            <w:r>
              <w:rPr>
                <w:color w:val="000000" w:themeColor="text1"/>
                <w14:textFill>
                  <w14:solidFill>
                    <w14:schemeClr w14:val="tx1"/>
                  </w14:solidFill>
                </w14:textFill>
              </w:rPr>
              <w:t>监测技术</w:t>
            </w:r>
          </w:p>
        </w:tc>
      </w:tr>
      <w:tr w14:paraId="7FA1A96D">
        <w:tblPrEx>
          <w:tblCellMar>
            <w:top w:w="0" w:type="dxa"/>
            <w:left w:w="10" w:type="dxa"/>
            <w:bottom w:w="0" w:type="dxa"/>
            <w:right w:w="10" w:type="dxa"/>
          </w:tblCellMar>
        </w:tblPrEx>
        <w:trPr>
          <w:gridAfter w:val="1"/>
          <w:wAfter w:w="29" w:type="dxa"/>
          <w:jc w:val="center"/>
        </w:trPr>
        <w:tc>
          <w:tcPr>
            <w:tcW w:w="595" w:type="dxa"/>
            <w:tcBorders>
              <w:top w:val="single" w:color="auto" w:sz="4" w:space="0"/>
              <w:left w:val="single" w:color="auto" w:sz="4" w:space="0"/>
              <w:bottom w:val="single" w:color="auto" w:sz="4" w:space="0"/>
            </w:tcBorders>
            <w:vAlign w:val="center"/>
          </w:tcPr>
          <w:p w14:paraId="41A0777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1390" w:type="dxa"/>
            <w:tcBorders>
              <w:top w:val="single" w:color="auto" w:sz="4" w:space="0"/>
              <w:left w:val="single" w:color="auto" w:sz="4" w:space="0"/>
              <w:bottom w:val="single" w:color="auto" w:sz="4" w:space="0"/>
            </w:tcBorders>
            <w:vAlign w:val="center"/>
          </w:tcPr>
          <w:p w14:paraId="4412DFD9">
            <w:pPr>
              <w:pStyle w:val="109"/>
              <w:rPr>
                <w:color w:val="000000" w:themeColor="text1"/>
                <w14:textFill>
                  <w14:solidFill>
                    <w14:schemeClr w14:val="tx1"/>
                  </w14:solidFill>
                </w14:textFill>
              </w:rPr>
            </w:pPr>
            <w:r>
              <w:rPr>
                <w:color w:val="000000" w:themeColor="text1"/>
                <w14:textFill>
                  <w14:solidFill>
                    <w14:schemeClr w14:val="tx1"/>
                  </w14:solidFill>
                </w14:textFill>
              </w:rPr>
              <w:t>废盐处理车间下风向</w:t>
            </w:r>
          </w:p>
        </w:tc>
        <w:tc>
          <w:tcPr>
            <w:tcW w:w="2693" w:type="dxa"/>
            <w:vMerge w:val="restart"/>
            <w:tcBorders>
              <w:top w:val="single" w:color="auto" w:sz="4" w:space="0"/>
              <w:left w:val="single" w:color="auto" w:sz="4" w:space="0"/>
            </w:tcBorders>
            <w:vAlign w:val="bottom"/>
          </w:tcPr>
          <w:p w14:paraId="232271B5">
            <w:pPr>
              <w:pStyle w:val="109"/>
              <w:rPr>
                <w:color w:val="000000" w:themeColor="text1"/>
                <w14:textFill>
                  <w14:solidFill>
                    <w14:schemeClr w14:val="tx1"/>
                  </w14:solidFill>
                </w14:textFill>
              </w:rPr>
            </w:pPr>
            <w:r>
              <w:rPr>
                <w:color w:val="000000" w:themeColor="text1"/>
                <w14:textFill>
                  <w14:solidFill>
                    <w14:schemeClr w14:val="tx1"/>
                  </w14:solidFill>
                </w14:textFill>
              </w:rPr>
              <w:t>砷、镉、铬（六价）、铜、铅、汞、镍、挥发性有机物、半挥发性有机物、石油烃、氟化物、二噁英</w:t>
            </w:r>
          </w:p>
        </w:tc>
        <w:tc>
          <w:tcPr>
            <w:tcW w:w="992" w:type="dxa"/>
            <w:vMerge w:val="restart"/>
            <w:tcBorders>
              <w:top w:val="single" w:color="auto" w:sz="4" w:space="0"/>
              <w:left w:val="single" w:color="auto" w:sz="4" w:space="0"/>
              <w:bottom w:val="single" w:color="auto" w:sz="4" w:space="0"/>
            </w:tcBorders>
            <w:vAlign w:val="center"/>
          </w:tcPr>
          <w:p w14:paraId="7B70F97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年1次</w:t>
            </w:r>
          </w:p>
        </w:tc>
        <w:tc>
          <w:tcPr>
            <w:tcW w:w="1983" w:type="dxa"/>
            <w:vMerge w:val="restart"/>
            <w:tcBorders>
              <w:top w:val="single" w:color="auto" w:sz="4" w:space="0"/>
              <w:left w:val="single" w:color="auto" w:sz="4" w:space="0"/>
            </w:tcBorders>
            <w:vAlign w:val="center"/>
          </w:tcPr>
          <w:p w14:paraId="5AA928F4">
            <w:pPr>
              <w:pStyle w:val="109"/>
              <w:rPr>
                <w:color w:val="000000" w:themeColor="text1"/>
                <w14:textFill>
                  <w14:solidFill>
                    <w14:schemeClr w14:val="tx1"/>
                  </w14:solidFill>
                </w14:textFill>
              </w:rPr>
            </w:pPr>
            <w:r>
              <w:rPr>
                <w:color w:val="000000" w:themeColor="text1"/>
                <w14:textFill>
                  <w14:solidFill>
                    <w14:schemeClr w14:val="tx1"/>
                  </w14:solidFill>
                </w14:textFill>
              </w:rPr>
              <w:t>《土壤环境质量建设用地土壤污染风险管控标准（试行）》</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GB36600-2</w:t>
            </w:r>
            <w:r>
              <w:rPr>
                <w:rFonts w:eastAsia="Times New Roman"/>
                <w:color w:val="000000" w:themeColor="text1"/>
                <w14:textFill>
                  <w14:solidFill>
                    <w14:schemeClr w14:val="tx1"/>
                  </w14:solidFill>
                </w14:textFill>
              </w:rPr>
              <w:t>018</w:t>
            </w:r>
            <w:r>
              <w:rPr>
                <w:color w:val="000000" w:themeColor="text1"/>
                <w14:textFill>
                  <w14:solidFill>
                    <w14:schemeClr w14:val="tx1"/>
                  </w14:solidFill>
                </w14:textFill>
              </w:rPr>
              <w:t>）</w:t>
            </w:r>
          </w:p>
        </w:tc>
        <w:tc>
          <w:tcPr>
            <w:tcW w:w="979" w:type="dxa"/>
            <w:vMerge w:val="restart"/>
            <w:tcBorders>
              <w:top w:val="single" w:color="auto" w:sz="4" w:space="0"/>
              <w:left w:val="single" w:color="auto" w:sz="4" w:space="0"/>
              <w:bottom w:val="single" w:color="auto" w:sz="4" w:space="0"/>
              <w:right w:val="single" w:color="auto" w:sz="4" w:space="0"/>
            </w:tcBorders>
            <w:vAlign w:val="center"/>
          </w:tcPr>
          <w:p w14:paraId="2695091C">
            <w:pPr>
              <w:pStyle w:val="109"/>
              <w:rPr>
                <w:color w:val="000000" w:themeColor="text1"/>
                <w14:textFill>
                  <w14:solidFill>
                    <w14:schemeClr w14:val="tx1"/>
                  </w14:solidFill>
                </w14:textFill>
              </w:rPr>
            </w:pPr>
            <w:r>
              <w:rPr>
                <w:color w:val="000000" w:themeColor="text1"/>
                <w14:textFill>
                  <w14:solidFill>
                    <w14:schemeClr w14:val="tx1"/>
                  </w14:solidFill>
                </w14:textFill>
              </w:rPr>
              <w:t>《环境监</w:t>
            </w:r>
          </w:p>
          <w:p w14:paraId="3E8B434D">
            <w:pPr>
              <w:pStyle w:val="109"/>
              <w:rPr>
                <w:color w:val="000000" w:themeColor="text1"/>
                <w14:textFill>
                  <w14:solidFill>
                    <w14:schemeClr w14:val="tx1"/>
                  </w14:solidFill>
                </w14:textFill>
              </w:rPr>
            </w:pPr>
            <w:r>
              <w:rPr>
                <w:color w:val="000000" w:themeColor="text1"/>
                <w14:textFill>
                  <w14:solidFill>
                    <w14:schemeClr w14:val="tx1"/>
                  </w14:solidFill>
                </w14:textFill>
              </w:rPr>
              <w:t>测分析方法》</w:t>
            </w:r>
          </w:p>
        </w:tc>
      </w:tr>
      <w:tr w14:paraId="7F239305">
        <w:tblPrEx>
          <w:tblCellMar>
            <w:top w:w="0" w:type="dxa"/>
            <w:left w:w="10" w:type="dxa"/>
            <w:bottom w:w="0" w:type="dxa"/>
            <w:right w:w="10" w:type="dxa"/>
          </w:tblCellMar>
        </w:tblPrEx>
        <w:trPr>
          <w:gridAfter w:val="1"/>
          <w:wAfter w:w="29" w:type="dxa"/>
          <w:jc w:val="center"/>
        </w:trPr>
        <w:tc>
          <w:tcPr>
            <w:tcW w:w="595" w:type="dxa"/>
            <w:tcBorders>
              <w:top w:val="single" w:color="auto" w:sz="4" w:space="0"/>
              <w:left w:val="single" w:color="auto" w:sz="4" w:space="0"/>
              <w:bottom w:val="single" w:color="auto" w:sz="4" w:space="0"/>
            </w:tcBorders>
            <w:vAlign w:val="center"/>
          </w:tcPr>
          <w:p w14:paraId="77EDAD3C">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p>
        </w:tc>
        <w:tc>
          <w:tcPr>
            <w:tcW w:w="1390" w:type="dxa"/>
            <w:tcBorders>
              <w:top w:val="single" w:color="auto" w:sz="4" w:space="0"/>
              <w:left w:val="single" w:color="auto" w:sz="4" w:space="0"/>
              <w:bottom w:val="single" w:color="auto" w:sz="4" w:space="0"/>
            </w:tcBorders>
            <w:vAlign w:val="center"/>
          </w:tcPr>
          <w:p w14:paraId="741BD3B3">
            <w:pPr>
              <w:pStyle w:val="109"/>
              <w:rPr>
                <w:color w:val="000000" w:themeColor="text1"/>
                <w14:textFill>
                  <w14:solidFill>
                    <w14:schemeClr w14:val="tx1"/>
                  </w14:solidFill>
                </w14:textFill>
              </w:rPr>
            </w:pPr>
            <w:r>
              <w:rPr>
                <w:color w:val="000000" w:themeColor="text1"/>
                <w14:textFill>
                  <w14:solidFill>
                    <w14:schemeClr w14:val="tx1"/>
                  </w14:solidFill>
                </w14:textFill>
              </w:rPr>
              <w:t>厂区办公区（背景值）</w:t>
            </w:r>
          </w:p>
        </w:tc>
        <w:tc>
          <w:tcPr>
            <w:tcW w:w="2693" w:type="dxa"/>
            <w:vMerge w:val="continue"/>
            <w:tcBorders>
              <w:left w:val="single" w:color="auto" w:sz="4" w:space="0"/>
              <w:bottom w:val="single" w:color="auto" w:sz="4" w:space="0"/>
            </w:tcBorders>
            <w:vAlign w:val="center"/>
          </w:tcPr>
          <w:p w14:paraId="6A95726F">
            <w:pPr>
              <w:pStyle w:val="109"/>
              <w:rPr>
                <w:color w:val="000000" w:themeColor="text1"/>
                <w14:textFill>
                  <w14:solidFill>
                    <w14:schemeClr w14:val="tx1"/>
                  </w14:solidFill>
                </w14:textFill>
              </w:rPr>
            </w:pPr>
          </w:p>
        </w:tc>
        <w:tc>
          <w:tcPr>
            <w:tcW w:w="992" w:type="dxa"/>
            <w:vMerge w:val="continue"/>
            <w:tcBorders>
              <w:top w:val="single" w:color="auto" w:sz="4" w:space="0"/>
              <w:left w:val="single" w:color="auto" w:sz="4" w:space="0"/>
              <w:bottom w:val="single" w:color="auto" w:sz="4" w:space="0"/>
            </w:tcBorders>
            <w:vAlign w:val="center"/>
          </w:tcPr>
          <w:p w14:paraId="025408A2">
            <w:pPr>
              <w:pStyle w:val="109"/>
              <w:rPr>
                <w:color w:val="000000" w:themeColor="text1"/>
                <w14:textFill>
                  <w14:solidFill>
                    <w14:schemeClr w14:val="tx1"/>
                  </w14:solidFill>
                </w14:textFill>
              </w:rPr>
            </w:pPr>
          </w:p>
        </w:tc>
        <w:tc>
          <w:tcPr>
            <w:tcW w:w="1983" w:type="dxa"/>
            <w:vMerge w:val="continue"/>
            <w:tcBorders>
              <w:left w:val="single" w:color="auto" w:sz="4" w:space="0"/>
              <w:bottom w:val="single" w:color="auto" w:sz="4" w:space="0"/>
            </w:tcBorders>
          </w:tcPr>
          <w:p w14:paraId="4C7D8B8F">
            <w:pPr>
              <w:pStyle w:val="109"/>
              <w:rPr>
                <w:color w:val="000000" w:themeColor="text1"/>
                <w14:textFill>
                  <w14:solidFill>
                    <w14:schemeClr w14:val="tx1"/>
                  </w14:solidFill>
                </w14:textFill>
              </w:rPr>
            </w:pPr>
          </w:p>
        </w:tc>
        <w:tc>
          <w:tcPr>
            <w:tcW w:w="979" w:type="dxa"/>
            <w:vMerge w:val="continue"/>
            <w:tcBorders>
              <w:top w:val="single" w:color="auto" w:sz="4" w:space="0"/>
              <w:left w:val="single" w:color="auto" w:sz="4" w:space="0"/>
              <w:bottom w:val="single" w:color="auto" w:sz="4" w:space="0"/>
              <w:right w:val="single" w:color="auto" w:sz="4" w:space="0"/>
            </w:tcBorders>
            <w:vAlign w:val="center"/>
          </w:tcPr>
          <w:p w14:paraId="075FBEB3">
            <w:pPr>
              <w:pStyle w:val="109"/>
              <w:rPr>
                <w:color w:val="000000" w:themeColor="text1"/>
                <w14:textFill>
                  <w14:solidFill>
                    <w14:schemeClr w14:val="tx1"/>
                  </w14:solidFill>
                </w14:textFill>
              </w:rPr>
            </w:pPr>
          </w:p>
        </w:tc>
      </w:tr>
    </w:tbl>
    <w:p w14:paraId="040EF70F">
      <w:pPr>
        <w:pStyle w:val="3"/>
        <w:rPr>
          <w:rFonts w:ascii="Times New Roman" w:cs="Times New Roman"/>
          <w:color w:val="000000" w:themeColor="text1"/>
          <w14:textFill>
            <w14:solidFill>
              <w14:schemeClr w14:val="tx1"/>
            </w14:solidFill>
          </w14:textFill>
        </w:rPr>
      </w:pPr>
      <w:bookmarkStart w:id="509" w:name="_Toc225268329"/>
      <w:r>
        <w:rPr>
          <w:rFonts w:ascii="Times New Roman" w:cs="Times New Roman"/>
          <w:color w:val="000000" w:themeColor="text1"/>
          <w14:textFill>
            <w14:solidFill>
              <w14:schemeClr w14:val="tx1"/>
            </w14:solidFill>
          </w14:textFill>
        </w:rPr>
        <w:t>噪声污染防治措施技术经济可行性分析</w:t>
      </w:r>
      <w:bookmarkEnd w:id="509"/>
    </w:p>
    <w:p w14:paraId="4D28B09F">
      <w:pPr>
        <w:pStyle w:val="4"/>
        <w:rPr>
          <w:rFonts w:ascii="Times New Roman" w:cs="Times New Roman"/>
          <w:color w:val="000000" w:themeColor="text1"/>
          <w14:textFill>
            <w14:solidFill>
              <w14:schemeClr w14:val="tx1"/>
            </w14:solidFill>
          </w14:textFill>
        </w:rPr>
      </w:pPr>
      <w:bookmarkStart w:id="510" w:name="_Toc176254837"/>
      <w:bookmarkStart w:id="511" w:name="_Toc293592575"/>
      <w:bookmarkStart w:id="512" w:name="_Toc280691353"/>
      <w:bookmarkStart w:id="513" w:name="_Toc329793678"/>
      <w:bookmarkStart w:id="514" w:name="_Toc176254440"/>
      <w:bookmarkStart w:id="515" w:name="_Toc266187740"/>
      <w:bookmarkStart w:id="516" w:name="_Toc187590297"/>
      <w:bookmarkStart w:id="517" w:name="_Toc278649623"/>
      <w:bookmarkStart w:id="518" w:name="_Toc176255182"/>
      <w:bookmarkStart w:id="519" w:name="_Toc321821917"/>
      <w:bookmarkStart w:id="520" w:name="_Toc216665046"/>
      <w:r>
        <w:rPr>
          <w:rFonts w:ascii="Times New Roman" w:cs="Times New Roman"/>
          <w:color w:val="000000" w:themeColor="text1"/>
          <w14:textFill>
            <w14:solidFill>
              <w14:schemeClr w14:val="tx1"/>
            </w14:solidFill>
          </w14:textFill>
        </w:rPr>
        <w:t>噪声治理措施</w:t>
      </w:r>
    </w:p>
    <w:p w14:paraId="2D0CAA1E">
      <w:pPr>
        <w:pStyle w:val="854"/>
        <w:spacing w:line="360" w:lineRule="auto"/>
        <w:ind w:firstLine="48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噪声多发生于各车间内部，主要噪声源是各类泵类、风机、冷却塔、废气处理设施等。结合类比调查可知，噪声级一般在70～80dB(A)。各类设备声源较强，如果噪声没有得到有效的控制，将会对周边环境造成一定的影响。建设单位拟采取隔声、消声和减振等措施，声环境保护具体措施和对策如下：</w:t>
      </w:r>
    </w:p>
    <w:p w14:paraId="59E6F905">
      <w:pPr>
        <w:pStyle w:val="854"/>
        <w:spacing w:line="360" w:lineRule="auto"/>
        <w:ind w:firstLine="48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1、拟建项目在工程设计，设备选型，管线设计，隔声消声设计等方面应严格按照《工业企业噪声控制设计规范》（GB50087-2013）的要求进行，对施工质量也要严格把关。</w:t>
      </w:r>
    </w:p>
    <w:p w14:paraId="0CEC1088">
      <w:pPr>
        <w:pStyle w:val="854"/>
        <w:spacing w:line="360" w:lineRule="auto"/>
        <w:ind w:firstLine="48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2、从声源上降低噪声是积极的措施，具体措施如下：</w:t>
      </w:r>
    </w:p>
    <w:p w14:paraId="5742F178">
      <w:pPr>
        <w:pStyle w:val="854"/>
        <w:spacing w:line="360" w:lineRule="auto"/>
        <w:ind w:firstLineChars="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（1）在噪声较大的设备基础上安装橡胶隔震垫或减震器。</w:t>
      </w:r>
    </w:p>
    <w:p w14:paraId="3E366E0C">
      <w:pPr>
        <w:pStyle w:val="854"/>
        <w:spacing w:line="360" w:lineRule="auto"/>
        <w:ind w:firstLineChars="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（2）管道采用隔震避震喉，以减少噪声的传播。</w:t>
      </w:r>
    </w:p>
    <w:p w14:paraId="492899F3">
      <w:pPr>
        <w:pStyle w:val="854"/>
        <w:spacing w:line="360" w:lineRule="auto"/>
        <w:ind w:firstLineChars="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（3）空压机气体进口管道装消声器，减少由于气扰动产生的噪声。</w:t>
      </w:r>
    </w:p>
    <w:p w14:paraId="35A6E614">
      <w:pPr>
        <w:pStyle w:val="854"/>
        <w:spacing w:line="360" w:lineRule="auto"/>
        <w:ind w:firstLine="48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3、在设备安装时，噪声大的设备不要安排在临厂界一侧，应安排在厂房与厂房之间。</w:t>
      </w:r>
    </w:p>
    <w:p w14:paraId="5ED56F32">
      <w:pPr>
        <w:pStyle w:val="854"/>
        <w:spacing w:line="360" w:lineRule="auto"/>
        <w:ind w:firstLine="48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高噪声设备安置车间内壁采用具有较高吸声功能的建筑材料，以减少噪声在车间内混响及向环境传播。据调查类似企业，如引风机位于车间外，可能对声环境造成较大的影响。可采取以下治理措施：引风机出气管进入隔声间，隔音间采取扩张管和膨胀室相结合的技术措施可降低气体流速，同时又起抗性消声作用。当低流速的气体进入降噪间进一步膨胀后，再经过阻性材料吸声降噪，通过管道引至排气底部的抗性消声器，废气经排气筒顶部的膨胀管排入大气。由于风机的出口噪声较高，须对裸露风管的表面隔声处理，可用10cm 树脂棉外加玻璃纤维布包扎，同时要注意运行设施的维护。</w:t>
      </w:r>
    </w:p>
    <w:p w14:paraId="3D17BA84">
      <w:pPr>
        <w:pStyle w:val="854"/>
        <w:spacing w:line="360" w:lineRule="auto"/>
        <w:ind w:firstLine="48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5、噪声的产生与机械设备的运动情况也有很大的关系，工厂应加强设备运行管理，对各机械设备定期检查，维修，使各机械设备保持良好的工作状态。</w:t>
      </w:r>
    </w:p>
    <w:p w14:paraId="525B1C44">
      <w:pPr>
        <w:pStyle w:val="854"/>
        <w:spacing w:line="360" w:lineRule="auto"/>
        <w:ind w:firstLine="48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6、厂界及车间外，应结合厂区绿化，种植一些吸尘，消声效果好的常绿乔木和灌木，以减少噪声对外界的影响。</w:t>
      </w:r>
    </w:p>
    <w:p w14:paraId="0C582D08">
      <w:pPr>
        <w:pStyle w:val="854"/>
        <w:spacing w:line="360" w:lineRule="auto"/>
        <w:ind w:firstLineChars="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通过以上噪声控制措施，可有效地降低项目产生噪声对环境的影响。根据估算，企业噪声治理措施投资约5 万元，占项目总投资比例小，在企业可接受范围之内。</w:t>
      </w:r>
    </w:p>
    <w:p w14:paraId="2DC43498">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噪声治理措施可行性分析</w:t>
      </w:r>
    </w:p>
    <w:p w14:paraId="5B2276E5">
      <w:pPr>
        <w:pStyle w:val="854"/>
        <w:spacing w:line="360" w:lineRule="auto"/>
        <w:ind w:firstLineChars="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拟采取的噪声污染防治措施均为已较为成熟的、被应用于大多数工程的治理措施，是切实可行的。通过采取各项减振、隔声、吸声、消声等综合治理措施后，项目各边界昼间噪声可低于65dB（A），夜间噪声可低于55dB（A），符合《工业企业厂界环境噪声排放标准》（GB12348-2008）中的3类标准限值要求。</w:t>
      </w:r>
    </w:p>
    <w:p w14:paraId="54381A90">
      <w:pPr>
        <w:pStyle w:val="854"/>
        <w:spacing w:line="360" w:lineRule="auto"/>
        <w:ind w:firstLineChars="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综上所述，建设单位拟采取的噪声治理措施技术可行，经济合理。</w:t>
      </w:r>
    </w:p>
    <w:p w14:paraId="075FEB52">
      <w:pPr>
        <w:pStyle w:val="3"/>
        <w:rPr>
          <w:rFonts w:ascii="Times New Roman" w:cs="Times New Roman"/>
          <w:color w:val="000000" w:themeColor="text1"/>
          <w14:textFill>
            <w14:solidFill>
              <w14:schemeClr w14:val="tx1"/>
            </w14:solidFill>
          </w14:textFill>
        </w:rPr>
      </w:pPr>
      <w:bookmarkStart w:id="521" w:name="_Toc225268330"/>
      <w:r>
        <w:rPr>
          <w:rFonts w:ascii="Times New Roman" w:cs="Times New Roman"/>
          <w:color w:val="000000" w:themeColor="text1"/>
          <w14:textFill>
            <w14:solidFill>
              <w14:schemeClr w14:val="tx1"/>
            </w14:solidFill>
          </w14:textFill>
        </w:rPr>
        <w:t>固体废弃物污染防治措施</w:t>
      </w:r>
      <w:bookmarkEnd w:id="510"/>
      <w:bookmarkEnd w:id="511"/>
      <w:bookmarkEnd w:id="512"/>
      <w:bookmarkEnd w:id="513"/>
      <w:bookmarkEnd w:id="514"/>
      <w:bookmarkEnd w:id="515"/>
      <w:bookmarkEnd w:id="516"/>
      <w:bookmarkEnd w:id="517"/>
      <w:bookmarkEnd w:id="518"/>
      <w:bookmarkEnd w:id="519"/>
      <w:bookmarkEnd w:id="520"/>
      <w:r>
        <w:rPr>
          <w:rFonts w:ascii="Times New Roman" w:cs="Times New Roman"/>
          <w:color w:val="000000" w:themeColor="text1"/>
          <w14:textFill>
            <w14:solidFill>
              <w14:schemeClr w14:val="tx1"/>
            </w14:solidFill>
          </w14:textFill>
        </w:rPr>
        <w:t>分析</w:t>
      </w:r>
      <w:bookmarkEnd w:id="521"/>
    </w:p>
    <w:p w14:paraId="05D35693">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固废产生量及处理措施</w:t>
      </w:r>
    </w:p>
    <w:p w14:paraId="17ACF83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本项目固废的种类、排放量及其处理措施见下表。</w:t>
      </w:r>
    </w:p>
    <w:p w14:paraId="61BAC293">
      <w:pPr>
        <w:pStyle w:val="117"/>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项目固体废物产排情况统计表  单位：t/a</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704"/>
        <w:gridCol w:w="1528"/>
        <w:gridCol w:w="2876"/>
        <w:gridCol w:w="989"/>
        <w:gridCol w:w="1410"/>
        <w:gridCol w:w="1915"/>
      </w:tblGrid>
      <w:tr w14:paraId="28766C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2EE79739">
            <w:pPr>
              <w:pStyle w:val="109"/>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811" w:type="pct"/>
            <w:tcBorders>
              <w:left w:val="single" w:color="auto" w:sz="4" w:space="0"/>
            </w:tcBorders>
            <w:vAlign w:val="center"/>
          </w:tcPr>
          <w:p w14:paraId="05A123FA">
            <w:pPr>
              <w:pStyle w:val="109"/>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1526" w:type="pct"/>
            <w:vAlign w:val="center"/>
          </w:tcPr>
          <w:p w14:paraId="11EDDF20">
            <w:pPr>
              <w:pStyle w:val="109"/>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525" w:type="pct"/>
            <w:vAlign w:val="center"/>
          </w:tcPr>
          <w:p w14:paraId="6D959607">
            <w:pPr>
              <w:pStyle w:val="109"/>
              <w:rPr>
                <w:color w:val="000000" w:themeColor="text1"/>
                <w14:textFill>
                  <w14:solidFill>
                    <w14:schemeClr w14:val="tx1"/>
                  </w14:solidFill>
                </w14:textFill>
              </w:rPr>
            </w:pPr>
            <w:r>
              <w:rPr>
                <w:color w:val="000000" w:themeColor="text1"/>
                <w14:textFill>
                  <w14:solidFill>
                    <w14:schemeClr w14:val="tx1"/>
                  </w14:solidFill>
                </w14:textFill>
              </w:rPr>
              <w:t>产生量</w:t>
            </w:r>
          </w:p>
        </w:tc>
        <w:tc>
          <w:tcPr>
            <w:tcW w:w="748" w:type="pct"/>
            <w:vAlign w:val="center"/>
          </w:tcPr>
          <w:p w14:paraId="1EA98EB8">
            <w:pPr>
              <w:pStyle w:val="109"/>
              <w:rPr>
                <w:color w:val="000000" w:themeColor="text1"/>
                <w14:textFill>
                  <w14:solidFill>
                    <w14:schemeClr w14:val="tx1"/>
                  </w14:solidFill>
                </w14:textFill>
              </w:rPr>
            </w:pPr>
            <w:r>
              <w:rPr>
                <w:color w:val="000000" w:themeColor="text1"/>
                <w14:textFill>
                  <w14:solidFill>
                    <w14:schemeClr w14:val="tx1"/>
                  </w14:solidFill>
                </w14:textFill>
              </w:rPr>
              <w:t>废物代码</w:t>
            </w:r>
          </w:p>
        </w:tc>
        <w:tc>
          <w:tcPr>
            <w:tcW w:w="1016" w:type="pct"/>
            <w:vAlign w:val="center"/>
          </w:tcPr>
          <w:p w14:paraId="69D4EC34">
            <w:pPr>
              <w:pStyle w:val="109"/>
              <w:rPr>
                <w:color w:val="000000" w:themeColor="text1"/>
                <w14:textFill>
                  <w14:solidFill>
                    <w14:schemeClr w14:val="tx1"/>
                  </w14:solidFill>
                </w14:textFill>
              </w:rPr>
            </w:pPr>
            <w:r>
              <w:rPr>
                <w:color w:val="000000" w:themeColor="text1"/>
                <w14:textFill>
                  <w14:solidFill>
                    <w14:schemeClr w14:val="tx1"/>
                  </w14:solidFill>
                </w14:textFill>
              </w:rPr>
              <w:t>措施及去向</w:t>
            </w:r>
          </w:p>
        </w:tc>
      </w:tr>
      <w:tr w14:paraId="4A3ED1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621BC413">
            <w:pPr>
              <w:pStyle w:val="109"/>
              <w:rPr>
                <w:color w:val="000000" w:themeColor="text1"/>
                <w14:textFill>
                  <w14:solidFill>
                    <w14:schemeClr w14:val="tx1"/>
                  </w14:solidFill>
                </w14:textFill>
              </w:rPr>
            </w:pPr>
            <w:r>
              <w:rPr>
                <w:color w:val="000000" w:themeColor="text1"/>
                <w14:textFill>
                  <w14:solidFill>
                    <w14:schemeClr w14:val="tx1"/>
                  </w14:solidFill>
                </w14:textFill>
              </w:rPr>
              <w:t>S1</w:t>
            </w:r>
          </w:p>
        </w:tc>
        <w:tc>
          <w:tcPr>
            <w:tcW w:w="811" w:type="pct"/>
            <w:tcBorders>
              <w:left w:val="single" w:color="auto" w:sz="4" w:space="0"/>
            </w:tcBorders>
            <w:vAlign w:val="center"/>
          </w:tcPr>
          <w:p w14:paraId="5E3E0430">
            <w:pPr>
              <w:pStyle w:val="109"/>
              <w:rPr>
                <w:color w:val="000000" w:themeColor="text1"/>
                <w14:textFill>
                  <w14:solidFill>
                    <w14:schemeClr w14:val="tx1"/>
                  </w14:solidFill>
                </w14:textFill>
              </w:rPr>
            </w:pPr>
            <w:r>
              <w:rPr>
                <w:color w:val="000000" w:themeColor="text1"/>
                <w14:textFill>
                  <w14:solidFill>
                    <w14:schemeClr w14:val="tx1"/>
                  </w14:solidFill>
                </w14:textFill>
              </w:rPr>
              <w:t>废活性炭</w:t>
            </w:r>
          </w:p>
        </w:tc>
        <w:tc>
          <w:tcPr>
            <w:tcW w:w="1526" w:type="pct"/>
            <w:vAlign w:val="center"/>
          </w:tcPr>
          <w:p w14:paraId="0C3385E0">
            <w:pPr>
              <w:pStyle w:val="109"/>
              <w:rPr>
                <w:color w:val="000000" w:themeColor="text1"/>
                <w14:textFill>
                  <w14:solidFill>
                    <w14:schemeClr w14:val="tx1"/>
                  </w14:solidFill>
                </w14:textFill>
              </w:rPr>
            </w:pPr>
            <w:r>
              <w:rPr>
                <w:color w:val="000000" w:themeColor="text1"/>
                <w14:textFill>
                  <w14:solidFill>
                    <w14:schemeClr w14:val="tx1"/>
                  </w14:solidFill>
                </w14:textFill>
              </w:rPr>
              <w:t>活性炭、重金属、二噁英、有机废气</w:t>
            </w:r>
          </w:p>
        </w:tc>
        <w:tc>
          <w:tcPr>
            <w:tcW w:w="525" w:type="pct"/>
            <w:vAlign w:val="center"/>
          </w:tcPr>
          <w:p w14:paraId="2FA38D16">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748" w:type="pct"/>
            <w:vAlign w:val="center"/>
          </w:tcPr>
          <w:p w14:paraId="30684D00">
            <w:pPr>
              <w:pStyle w:val="109"/>
              <w:rPr>
                <w:color w:val="000000" w:themeColor="text1"/>
                <w14:textFill>
                  <w14:solidFill>
                    <w14:schemeClr w14:val="tx1"/>
                  </w14:solidFill>
                </w14:textFill>
              </w:rPr>
            </w:pPr>
            <w:r>
              <w:rPr>
                <w:color w:val="000000" w:themeColor="text1"/>
                <w14:textFill>
                  <w14:solidFill>
                    <w14:schemeClr w14:val="tx1"/>
                  </w14:solidFill>
                </w14:textFill>
              </w:rPr>
              <w:t>900-041-49</w:t>
            </w:r>
          </w:p>
        </w:tc>
        <w:tc>
          <w:tcPr>
            <w:tcW w:w="1016" w:type="pct"/>
            <w:vMerge w:val="restart"/>
            <w:vAlign w:val="center"/>
          </w:tcPr>
          <w:p w14:paraId="2C5EC1D5">
            <w:pPr>
              <w:pStyle w:val="109"/>
              <w:rPr>
                <w:color w:val="000000" w:themeColor="text1"/>
                <w14:textFill>
                  <w14:solidFill>
                    <w14:schemeClr w14:val="tx1"/>
                  </w14:solidFill>
                </w14:textFill>
              </w:rPr>
            </w:pPr>
            <w:r>
              <w:rPr>
                <w:color w:val="000000" w:themeColor="text1"/>
                <w14:textFill>
                  <w14:solidFill>
                    <w14:schemeClr w14:val="tx1"/>
                  </w14:solidFill>
                </w14:textFill>
              </w:rPr>
              <w:t>资质经收集在厂区危废间暂存后，委托有相关资质的危废处置单位进行收集处置单位处置</w:t>
            </w:r>
          </w:p>
        </w:tc>
      </w:tr>
      <w:tr w14:paraId="12F201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66E9ED80">
            <w:pPr>
              <w:pStyle w:val="109"/>
              <w:rPr>
                <w:color w:val="000000" w:themeColor="text1"/>
                <w14:textFill>
                  <w14:solidFill>
                    <w14:schemeClr w14:val="tx1"/>
                  </w14:solidFill>
                </w14:textFill>
              </w:rPr>
            </w:pPr>
            <w:r>
              <w:rPr>
                <w:color w:val="000000" w:themeColor="text1"/>
                <w14:textFill>
                  <w14:solidFill>
                    <w14:schemeClr w14:val="tx1"/>
                  </w14:solidFill>
                </w14:textFill>
              </w:rPr>
              <w:t>S2</w:t>
            </w:r>
          </w:p>
        </w:tc>
        <w:tc>
          <w:tcPr>
            <w:tcW w:w="811" w:type="pct"/>
            <w:tcBorders>
              <w:left w:val="single" w:color="auto" w:sz="4" w:space="0"/>
            </w:tcBorders>
            <w:vAlign w:val="center"/>
          </w:tcPr>
          <w:p w14:paraId="374933C6">
            <w:pPr>
              <w:pStyle w:val="109"/>
              <w:rPr>
                <w:color w:val="000000" w:themeColor="text1"/>
                <w14:textFill>
                  <w14:solidFill>
                    <w14:schemeClr w14:val="tx1"/>
                  </w14:solidFill>
                </w14:textFill>
              </w:rPr>
            </w:pPr>
            <w:r>
              <w:rPr>
                <w:color w:val="000000" w:themeColor="text1"/>
                <w14:textFill>
                  <w14:solidFill>
                    <w14:schemeClr w14:val="tx1"/>
                  </w14:solidFill>
                </w14:textFill>
              </w:rPr>
              <w:t>多效蒸发废盐</w:t>
            </w:r>
          </w:p>
        </w:tc>
        <w:tc>
          <w:tcPr>
            <w:tcW w:w="1526" w:type="pct"/>
            <w:vAlign w:val="center"/>
          </w:tcPr>
          <w:p w14:paraId="0E53F877">
            <w:pPr>
              <w:pStyle w:val="109"/>
              <w:rPr>
                <w:color w:val="000000" w:themeColor="text1"/>
                <w14:textFill>
                  <w14:solidFill>
                    <w14:schemeClr w14:val="tx1"/>
                  </w14:solidFill>
                </w14:textFill>
              </w:rPr>
            </w:pPr>
            <w:r>
              <w:rPr>
                <w:color w:val="000000" w:themeColor="text1"/>
                <w14:textFill>
                  <w14:solidFill>
                    <w14:schemeClr w14:val="tx1"/>
                  </w14:solidFill>
                </w14:textFill>
              </w:rPr>
              <w:t>废盐、重金属、二噁英</w:t>
            </w:r>
          </w:p>
        </w:tc>
        <w:tc>
          <w:tcPr>
            <w:tcW w:w="525" w:type="pct"/>
            <w:vAlign w:val="center"/>
          </w:tcPr>
          <w:p w14:paraId="466FB649">
            <w:pPr>
              <w:pStyle w:val="109"/>
              <w:rPr>
                <w:color w:val="000000" w:themeColor="text1"/>
                <w14:textFill>
                  <w14:solidFill>
                    <w14:schemeClr w14:val="tx1"/>
                  </w14:solidFill>
                </w14:textFill>
              </w:rPr>
            </w:pPr>
            <w:r>
              <w:rPr>
                <w:color w:val="000000" w:themeColor="text1"/>
                <w14:textFill>
                  <w14:solidFill>
                    <w14:schemeClr w14:val="tx1"/>
                  </w14:solidFill>
                </w14:textFill>
              </w:rPr>
              <w:t>1286.5</w:t>
            </w:r>
          </w:p>
        </w:tc>
        <w:tc>
          <w:tcPr>
            <w:tcW w:w="748" w:type="pct"/>
            <w:vAlign w:val="center"/>
          </w:tcPr>
          <w:p w14:paraId="46B0EC2E">
            <w:pPr>
              <w:pStyle w:val="109"/>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1016" w:type="pct"/>
            <w:vMerge w:val="continue"/>
            <w:vAlign w:val="center"/>
          </w:tcPr>
          <w:p w14:paraId="0C617C80">
            <w:pPr>
              <w:pStyle w:val="109"/>
              <w:rPr>
                <w:color w:val="000000" w:themeColor="text1"/>
                <w14:textFill>
                  <w14:solidFill>
                    <w14:schemeClr w14:val="tx1"/>
                  </w14:solidFill>
                </w14:textFill>
              </w:rPr>
            </w:pPr>
          </w:p>
        </w:tc>
      </w:tr>
      <w:tr w14:paraId="1E3425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69319FBC">
            <w:pPr>
              <w:pStyle w:val="109"/>
              <w:rPr>
                <w:color w:val="000000" w:themeColor="text1"/>
                <w14:textFill>
                  <w14:solidFill>
                    <w14:schemeClr w14:val="tx1"/>
                  </w14:solidFill>
                </w14:textFill>
              </w:rPr>
            </w:pPr>
            <w:r>
              <w:rPr>
                <w:color w:val="000000" w:themeColor="text1"/>
                <w14:textFill>
                  <w14:solidFill>
                    <w14:schemeClr w14:val="tx1"/>
                  </w14:solidFill>
                </w14:textFill>
              </w:rPr>
              <w:t>S3</w:t>
            </w:r>
          </w:p>
        </w:tc>
        <w:tc>
          <w:tcPr>
            <w:tcW w:w="811" w:type="pct"/>
            <w:tcBorders>
              <w:left w:val="single" w:color="auto" w:sz="4" w:space="0"/>
            </w:tcBorders>
            <w:vAlign w:val="center"/>
          </w:tcPr>
          <w:p w14:paraId="2FC9EDA1">
            <w:pPr>
              <w:pStyle w:val="109"/>
              <w:rPr>
                <w:color w:val="000000" w:themeColor="text1"/>
                <w14:textFill>
                  <w14:solidFill>
                    <w14:schemeClr w14:val="tx1"/>
                  </w14:solidFill>
                </w14:textFill>
              </w:rPr>
            </w:pPr>
            <w:r>
              <w:rPr>
                <w:color w:val="000000" w:themeColor="text1"/>
                <w14:textFill>
                  <w14:solidFill>
                    <w14:schemeClr w14:val="tx1"/>
                  </w14:solidFill>
                </w14:textFill>
              </w:rPr>
              <w:t>废气处理设施沉淀池泥渣</w:t>
            </w:r>
          </w:p>
        </w:tc>
        <w:tc>
          <w:tcPr>
            <w:tcW w:w="1526" w:type="pct"/>
            <w:vAlign w:val="center"/>
          </w:tcPr>
          <w:p w14:paraId="70ADF667">
            <w:pPr>
              <w:pStyle w:val="109"/>
              <w:rPr>
                <w:color w:val="000000" w:themeColor="text1"/>
                <w14:textFill>
                  <w14:solidFill>
                    <w14:schemeClr w14:val="tx1"/>
                  </w14:solidFill>
                </w14:textFill>
              </w:rPr>
            </w:pPr>
            <w:r>
              <w:rPr>
                <w:color w:val="000000" w:themeColor="text1"/>
                <w14:textFill>
                  <w14:solidFill>
                    <w14:schemeClr w14:val="tx1"/>
                  </w14:solidFill>
                </w14:textFill>
              </w:rPr>
              <w:t>泥渣、重金属</w:t>
            </w:r>
          </w:p>
        </w:tc>
        <w:tc>
          <w:tcPr>
            <w:tcW w:w="525" w:type="pct"/>
            <w:vAlign w:val="center"/>
          </w:tcPr>
          <w:p w14:paraId="5CD2C11B">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748" w:type="pct"/>
            <w:vAlign w:val="center"/>
          </w:tcPr>
          <w:p w14:paraId="1C471409">
            <w:pPr>
              <w:pStyle w:val="109"/>
              <w:rPr>
                <w:color w:val="000000" w:themeColor="text1"/>
                <w14:textFill>
                  <w14:solidFill>
                    <w14:schemeClr w14:val="tx1"/>
                  </w14:solidFill>
                </w14:textFill>
              </w:rPr>
            </w:pPr>
            <w:r>
              <w:rPr>
                <w:color w:val="000000" w:themeColor="text1"/>
                <w14:textFill>
                  <w14:solidFill>
                    <w14:schemeClr w14:val="tx1"/>
                  </w14:solidFill>
                </w14:textFill>
              </w:rPr>
              <w:t>900-041-49</w:t>
            </w:r>
          </w:p>
        </w:tc>
        <w:tc>
          <w:tcPr>
            <w:tcW w:w="1016" w:type="pct"/>
            <w:vMerge w:val="continue"/>
            <w:vAlign w:val="center"/>
          </w:tcPr>
          <w:p w14:paraId="6DD84DF8">
            <w:pPr>
              <w:pStyle w:val="109"/>
              <w:rPr>
                <w:color w:val="000000" w:themeColor="text1"/>
                <w14:textFill>
                  <w14:solidFill>
                    <w14:schemeClr w14:val="tx1"/>
                  </w14:solidFill>
                </w14:textFill>
              </w:rPr>
            </w:pPr>
          </w:p>
        </w:tc>
      </w:tr>
      <w:tr w14:paraId="6EB63A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519CA7F5">
            <w:pPr>
              <w:pStyle w:val="109"/>
              <w:rPr>
                <w:color w:val="000000" w:themeColor="text1"/>
                <w14:textFill>
                  <w14:solidFill>
                    <w14:schemeClr w14:val="tx1"/>
                  </w14:solidFill>
                </w14:textFill>
              </w:rPr>
            </w:pPr>
            <w:r>
              <w:rPr>
                <w:color w:val="000000" w:themeColor="text1"/>
                <w14:textFill>
                  <w14:solidFill>
                    <w14:schemeClr w14:val="tx1"/>
                  </w14:solidFill>
                </w14:textFill>
              </w:rPr>
              <w:t>S4</w:t>
            </w:r>
          </w:p>
        </w:tc>
        <w:tc>
          <w:tcPr>
            <w:tcW w:w="811" w:type="pct"/>
            <w:tcBorders>
              <w:left w:val="single" w:color="auto" w:sz="4" w:space="0"/>
            </w:tcBorders>
            <w:vAlign w:val="center"/>
          </w:tcPr>
          <w:p w14:paraId="01E44FB4">
            <w:pPr>
              <w:pStyle w:val="109"/>
              <w:rPr>
                <w:color w:val="000000" w:themeColor="text1"/>
                <w14:textFill>
                  <w14:solidFill>
                    <w14:schemeClr w14:val="tx1"/>
                  </w14:solidFill>
                </w14:textFill>
              </w:rPr>
            </w:pPr>
            <w:r>
              <w:rPr>
                <w:color w:val="000000" w:themeColor="text1"/>
                <w14:textFill>
                  <w14:solidFill>
                    <w14:schemeClr w14:val="tx1"/>
                  </w14:solidFill>
                </w14:textFill>
              </w:rPr>
              <w:t>废脱硝催化剂</w:t>
            </w:r>
          </w:p>
        </w:tc>
        <w:tc>
          <w:tcPr>
            <w:tcW w:w="1526" w:type="pct"/>
            <w:vAlign w:val="center"/>
          </w:tcPr>
          <w:p w14:paraId="2ED25CDF">
            <w:pPr>
              <w:pStyle w:val="109"/>
              <w:rPr>
                <w:color w:val="000000" w:themeColor="text1"/>
                <w14:textFill>
                  <w14:solidFill>
                    <w14:schemeClr w14:val="tx1"/>
                  </w14:solidFill>
                </w14:textFill>
              </w:rPr>
            </w:pPr>
            <w:r>
              <w:rPr>
                <w:color w:val="000000" w:themeColor="text1"/>
                <w14:textFill>
                  <w14:solidFill>
                    <w14:schemeClr w14:val="tx1"/>
                  </w14:solidFill>
                </w14:textFill>
              </w:rPr>
              <w:t>V₂O₅-WO₃/TiO₂</w:t>
            </w:r>
          </w:p>
        </w:tc>
        <w:tc>
          <w:tcPr>
            <w:tcW w:w="525" w:type="pct"/>
            <w:vAlign w:val="center"/>
          </w:tcPr>
          <w:p w14:paraId="57419E7F">
            <w:pPr>
              <w:pStyle w:val="109"/>
              <w:rPr>
                <w:color w:val="000000" w:themeColor="text1"/>
                <w14:textFill>
                  <w14:solidFill>
                    <w14:schemeClr w14:val="tx1"/>
                  </w14:solidFill>
                </w14:textFill>
              </w:rPr>
            </w:pPr>
            <w:r>
              <w:rPr>
                <w:color w:val="000000" w:themeColor="text1"/>
                <w14:textFill>
                  <w14:solidFill>
                    <w14:schemeClr w14:val="tx1"/>
                  </w14:solidFill>
                </w14:textFill>
              </w:rPr>
              <w:t>0.75t/3a</w:t>
            </w:r>
          </w:p>
        </w:tc>
        <w:tc>
          <w:tcPr>
            <w:tcW w:w="748" w:type="pct"/>
            <w:vAlign w:val="center"/>
          </w:tcPr>
          <w:p w14:paraId="0B6A438F">
            <w:pPr>
              <w:pStyle w:val="109"/>
              <w:rPr>
                <w:color w:val="000000" w:themeColor="text1"/>
                <w14:textFill>
                  <w14:solidFill>
                    <w14:schemeClr w14:val="tx1"/>
                  </w14:solidFill>
                </w14:textFill>
              </w:rPr>
            </w:pPr>
            <w:r>
              <w:rPr>
                <w:color w:val="000000" w:themeColor="text1"/>
                <w14:textFill>
                  <w14:solidFill>
                    <w14:schemeClr w14:val="tx1"/>
                  </w14:solidFill>
                </w14:textFill>
              </w:rPr>
              <w:t>772-007-50</w:t>
            </w:r>
          </w:p>
        </w:tc>
        <w:tc>
          <w:tcPr>
            <w:tcW w:w="1016" w:type="pct"/>
            <w:vMerge w:val="continue"/>
            <w:vAlign w:val="center"/>
          </w:tcPr>
          <w:p w14:paraId="06AE7B20">
            <w:pPr>
              <w:pStyle w:val="109"/>
              <w:rPr>
                <w:color w:val="000000" w:themeColor="text1"/>
                <w14:textFill>
                  <w14:solidFill>
                    <w14:schemeClr w14:val="tx1"/>
                  </w14:solidFill>
                </w14:textFill>
              </w:rPr>
            </w:pPr>
          </w:p>
        </w:tc>
      </w:tr>
      <w:tr w14:paraId="1DBC0C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5FF37785">
            <w:pPr>
              <w:pStyle w:val="109"/>
              <w:rPr>
                <w:color w:val="000000" w:themeColor="text1"/>
                <w14:textFill>
                  <w14:solidFill>
                    <w14:schemeClr w14:val="tx1"/>
                  </w14:solidFill>
                </w14:textFill>
              </w:rPr>
            </w:pPr>
            <w:r>
              <w:rPr>
                <w:color w:val="000000" w:themeColor="text1"/>
                <w14:textFill>
                  <w14:solidFill>
                    <w14:schemeClr w14:val="tx1"/>
                  </w14:solidFill>
                </w14:textFill>
              </w:rPr>
              <w:t>S5</w:t>
            </w:r>
          </w:p>
        </w:tc>
        <w:tc>
          <w:tcPr>
            <w:tcW w:w="811" w:type="pct"/>
            <w:tcBorders>
              <w:left w:val="single" w:color="auto" w:sz="4" w:space="0"/>
            </w:tcBorders>
            <w:vAlign w:val="center"/>
          </w:tcPr>
          <w:p w14:paraId="1A3D051B">
            <w:pPr>
              <w:pStyle w:val="109"/>
              <w:rPr>
                <w:color w:val="000000" w:themeColor="text1"/>
                <w14:textFill>
                  <w14:solidFill>
                    <w14:schemeClr w14:val="tx1"/>
                  </w14:solidFill>
                </w14:textFill>
              </w:rPr>
            </w:pPr>
            <w:r>
              <w:rPr>
                <w:color w:val="000000" w:themeColor="text1"/>
                <w14:textFill>
                  <w14:solidFill>
                    <w14:schemeClr w14:val="tx1"/>
                  </w14:solidFill>
                </w14:textFill>
              </w:rPr>
              <w:t>废包装袋</w:t>
            </w:r>
          </w:p>
        </w:tc>
        <w:tc>
          <w:tcPr>
            <w:tcW w:w="1526" w:type="pct"/>
            <w:vAlign w:val="center"/>
          </w:tcPr>
          <w:p w14:paraId="31F9A3D8">
            <w:pPr>
              <w:pStyle w:val="109"/>
              <w:rPr>
                <w:color w:val="000000" w:themeColor="text1"/>
                <w14:textFill>
                  <w14:solidFill>
                    <w14:schemeClr w14:val="tx1"/>
                  </w14:solidFill>
                </w14:textFill>
              </w:rPr>
            </w:pPr>
            <w:r>
              <w:rPr>
                <w:color w:val="000000" w:themeColor="text1"/>
                <w14:textFill>
                  <w14:solidFill>
                    <w14:schemeClr w14:val="tx1"/>
                  </w14:solidFill>
                </w14:textFill>
              </w:rPr>
              <w:t>塑料包装袋、废盐</w:t>
            </w:r>
          </w:p>
        </w:tc>
        <w:tc>
          <w:tcPr>
            <w:tcW w:w="525" w:type="pct"/>
            <w:vAlign w:val="center"/>
          </w:tcPr>
          <w:p w14:paraId="510F5070">
            <w:pPr>
              <w:pStyle w:val="109"/>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748" w:type="pct"/>
            <w:vAlign w:val="center"/>
          </w:tcPr>
          <w:p w14:paraId="538DB0A7">
            <w:pPr>
              <w:pStyle w:val="109"/>
              <w:rPr>
                <w:color w:val="000000" w:themeColor="text1"/>
                <w14:textFill>
                  <w14:solidFill>
                    <w14:schemeClr w14:val="tx1"/>
                  </w14:solidFill>
                </w14:textFill>
              </w:rPr>
            </w:pPr>
            <w:r>
              <w:rPr>
                <w:color w:val="000000" w:themeColor="text1"/>
                <w14:textFill>
                  <w14:solidFill>
                    <w14:schemeClr w14:val="tx1"/>
                  </w14:solidFill>
                </w14:textFill>
              </w:rPr>
              <w:t>900-041-49</w:t>
            </w:r>
          </w:p>
        </w:tc>
        <w:tc>
          <w:tcPr>
            <w:tcW w:w="1016" w:type="pct"/>
            <w:vMerge w:val="continue"/>
            <w:vAlign w:val="center"/>
          </w:tcPr>
          <w:p w14:paraId="7DBED9F2">
            <w:pPr>
              <w:pStyle w:val="109"/>
              <w:rPr>
                <w:color w:val="000000" w:themeColor="text1"/>
                <w14:textFill>
                  <w14:solidFill>
                    <w14:schemeClr w14:val="tx1"/>
                  </w14:solidFill>
                </w14:textFill>
              </w:rPr>
            </w:pPr>
          </w:p>
        </w:tc>
      </w:tr>
      <w:tr w14:paraId="3F3100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523C5B2B">
            <w:pPr>
              <w:pStyle w:val="109"/>
              <w:rPr>
                <w:color w:val="000000" w:themeColor="text1"/>
                <w14:textFill>
                  <w14:solidFill>
                    <w14:schemeClr w14:val="tx1"/>
                  </w14:solidFill>
                </w14:textFill>
              </w:rPr>
            </w:pPr>
            <w:r>
              <w:rPr>
                <w:color w:val="000000" w:themeColor="text1"/>
                <w14:textFill>
                  <w14:solidFill>
                    <w14:schemeClr w14:val="tx1"/>
                  </w14:solidFill>
                </w14:textFill>
              </w:rPr>
              <w:t>S6</w:t>
            </w:r>
          </w:p>
        </w:tc>
        <w:tc>
          <w:tcPr>
            <w:tcW w:w="811" w:type="pct"/>
            <w:tcBorders>
              <w:left w:val="single" w:color="auto" w:sz="4" w:space="0"/>
            </w:tcBorders>
            <w:vAlign w:val="center"/>
          </w:tcPr>
          <w:p w14:paraId="708257AF">
            <w:pPr>
              <w:pStyle w:val="109"/>
              <w:rPr>
                <w:color w:val="000000" w:themeColor="text1"/>
                <w14:textFill>
                  <w14:solidFill>
                    <w14:schemeClr w14:val="tx1"/>
                  </w14:solidFill>
                </w14:textFill>
              </w:rPr>
            </w:pPr>
            <w:r>
              <w:rPr>
                <w:color w:val="000000" w:themeColor="text1"/>
                <w14:textFill>
                  <w14:solidFill>
                    <w14:schemeClr w14:val="tx1"/>
                  </w14:solidFill>
                </w14:textFill>
              </w:rPr>
              <w:t>化验室废物</w:t>
            </w:r>
          </w:p>
        </w:tc>
        <w:tc>
          <w:tcPr>
            <w:tcW w:w="1526" w:type="pct"/>
            <w:vAlign w:val="center"/>
          </w:tcPr>
          <w:p w14:paraId="536AD753">
            <w:pPr>
              <w:pStyle w:val="109"/>
              <w:rPr>
                <w:color w:val="000000" w:themeColor="text1"/>
                <w14:textFill>
                  <w14:solidFill>
                    <w14:schemeClr w14:val="tx1"/>
                  </w14:solidFill>
                </w14:textFill>
              </w:rPr>
            </w:pPr>
            <w:r>
              <w:rPr>
                <w:color w:val="000000" w:themeColor="text1"/>
                <w14:textFill>
                  <w14:solidFill>
                    <w14:schemeClr w14:val="tx1"/>
                  </w14:solidFill>
                </w14:textFill>
              </w:rPr>
              <w:t>化验残渣、化验废液、破损的化验容器</w:t>
            </w:r>
          </w:p>
        </w:tc>
        <w:tc>
          <w:tcPr>
            <w:tcW w:w="525" w:type="pct"/>
            <w:vAlign w:val="center"/>
          </w:tcPr>
          <w:p w14:paraId="44D363A5">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748" w:type="pct"/>
            <w:vAlign w:val="center"/>
          </w:tcPr>
          <w:p w14:paraId="7CA27845">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900-047-49 </w:t>
            </w:r>
          </w:p>
        </w:tc>
        <w:tc>
          <w:tcPr>
            <w:tcW w:w="1016" w:type="pct"/>
            <w:vMerge w:val="continue"/>
            <w:vAlign w:val="center"/>
          </w:tcPr>
          <w:p w14:paraId="7FECEC45">
            <w:pPr>
              <w:pStyle w:val="109"/>
              <w:rPr>
                <w:color w:val="000000" w:themeColor="text1"/>
                <w14:textFill>
                  <w14:solidFill>
                    <w14:schemeClr w14:val="tx1"/>
                  </w14:solidFill>
                </w14:textFill>
              </w:rPr>
            </w:pPr>
          </w:p>
        </w:tc>
      </w:tr>
      <w:tr w14:paraId="4D8CFB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55FFAF5E">
            <w:pPr>
              <w:pStyle w:val="109"/>
              <w:rPr>
                <w:color w:val="000000" w:themeColor="text1"/>
                <w14:textFill>
                  <w14:solidFill>
                    <w14:schemeClr w14:val="tx1"/>
                  </w14:solidFill>
                </w14:textFill>
              </w:rPr>
            </w:pPr>
            <w:r>
              <w:rPr>
                <w:color w:val="000000" w:themeColor="text1"/>
                <w14:textFill>
                  <w14:solidFill>
                    <w14:schemeClr w14:val="tx1"/>
                  </w14:solidFill>
                </w14:textFill>
              </w:rPr>
              <w:t>S7</w:t>
            </w:r>
          </w:p>
        </w:tc>
        <w:tc>
          <w:tcPr>
            <w:tcW w:w="811" w:type="pct"/>
            <w:tcBorders>
              <w:left w:val="single" w:color="auto" w:sz="4" w:space="0"/>
            </w:tcBorders>
            <w:vAlign w:val="center"/>
          </w:tcPr>
          <w:p w14:paraId="4CF79199">
            <w:pPr>
              <w:pStyle w:val="109"/>
              <w:rPr>
                <w:color w:val="000000" w:themeColor="text1"/>
                <w14:textFill>
                  <w14:solidFill>
                    <w14:schemeClr w14:val="tx1"/>
                  </w14:solidFill>
                </w14:textFill>
              </w:rPr>
            </w:pPr>
            <w:r>
              <w:rPr>
                <w:color w:val="000000" w:themeColor="text1"/>
                <w14:textFill>
                  <w14:solidFill>
                    <w14:schemeClr w14:val="tx1"/>
                  </w14:solidFill>
                </w14:textFill>
              </w:rPr>
              <w:t>废润滑油</w:t>
            </w:r>
            <w:r>
              <w:rPr>
                <w:rFonts w:hint="eastAsia"/>
                <w:color w:val="000000" w:themeColor="text1"/>
                <w14:textFill>
                  <w14:solidFill>
                    <w14:schemeClr w14:val="tx1"/>
                  </w14:solidFill>
                </w14:textFill>
              </w:rPr>
              <w:t>、废油桶</w:t>
            </w:r>
          </w:p>
        </w:tc>
        <w:tc>
          <w:tcPr>
            <w:tcW w:w="1526" w:type="pct"/>
            <w:vAlign w:val="center"/>
          </w:tcPr>
          <w:p w14:paraId="50997C5D">
            <w:pPr>
              <w:pStyle w:val="109"/>
              <w:rPr>
                <w:color w:val="000000" w:themeColor="text1"/>
                <w14:textFill>
                  <w14:solidFill>
                    <w14:schemeClr w14:val="tx1"/>
                  </w14:solidFill>
                </w14:textFill>
              </w:rPr>
            </w:pPr>
            <w:r>
              <w:rPr>
                <w:color w:val="000000" w:themeColor="text1"/>
                <w14:textFill>
                  <w14:solidFill>
                    <w14:schemeClr w14:val="tx1"/>
                  </w14:solidFill>
                </w14:textFill>
              </w:rPr>
              <w:t>矿物油</w:t>
            </w:r>
          </w:p>
        </w:tc>
        <w:tc>
          <w:tcPr>
            <w:tcW w:w="525" w:type="pct"/>
            <w:vAlign w:val="center"/>
          </w:tcPr>
          <w:p w14:paraId="2B44D733">
            <w:pPr>
              <w:pStyle w:val="109"/>
              <w:rPr>
                <w:color w:val="000000" w:themeColor="text1"/>
                <w14:textFill>
                  <w14:solidFill>
                    <w14:schemeClr w14:val="tx1"/>
                  </w14:solidFill>
                </w14:textFill>
              </w:rPr>
            </w:pPr>
            <w:r>
              <w:rPr>
                <w:color w:val="000000" w:themeColor="text1"/>
                <w14:textFill>
                  <w14:solidFill>
                    <w14:schemeClr w14:val="tx1"/>
                  </w14:solidFill>
                </w14:textFill>
              </w:rPr>
              <w:t>0.1</w:t>
            </w:r>
            <w:r>
              <w:rPr>
                <w:rFonts w:hint="eastAsia"/>
                <w:color w:val="000000" w:themeColor="text1"/>
                <w14:textFill>
                  <w14:solidFill>
                    <w14:schemeClr w14:val="tx1"/>
                  </w14:solidFill>
                </w14:textFill>
              </w:rPr>
              <w:t>6</w:t>
            </w:r>
          </w:p>
        </w:tc>
        <w:tc>
          <w:tcPr>
            <w:tcW w:w="748" w:type="pct"/>
            <w:vAlign w:val="center"/>
          </w:tcPr>
          <w:p w14:paraId="0B008A16">
            <w:pPr>
              <w:pStyle w:val="109"/>
              <w:rPr>
                <w:color w:val="000000" w:themeColor="text1"/>
                <w14:textFill>
                  <w14:solidFill>
                    <w14:schemeClr w14:val="tx1"/>
                  </w14:solidFill>
                </w14:textFill>
              </w:rPr>
            </w:pPr>
            <w:r>
              <w:rPr>
                <w:color w:val="000000" w:themeColor="text1"/>
                <w14:textFill>
                  <w14:solidFill>
                    <w14:schemeClr w14:val="tx1"/>
                  </w14:solidFill>
                </w14:textFill>
              </w:rPr>
              <w:t>900-249-08</w:t>
            </w:r>
          </w:p>
        </w:tc>
        <w:tc>
          <w:tcPr>
            <w:tcW w:w="1016" w:type="pct"/>
            <w:vMerge w:val="continue"/>
            <w:vAlign w:val="center"/>
          </w:tcPr>
          <w:p w14:paraId="2EBE1734">
            <w:pPr>
              <w:pStyle w:val="109"/>
              <w:rPr>
                <w:color w:val="000000" w:themeColor="text1"/>
                <w14:textFill>
                  <w14:solidFill>
                    <w14:schemeClr w14:val="tx1"/>
                  </w14:solidFill>
                </w14:textFill>
              </w:rPr>
            </w:pPr>
          </w:p>
        </w:tc>
      </w:tr>
      <w:tr w14:paraId="60DC16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374" w:type="pct"/>
            <w:tcBorders>
              <w:right w:val="single" w:color="auto" w:sz="4" w:space="0"/>
            </w:tcBorders>
            <w:vAlign w:val="center"/>
          </w:tcPr>
          <w:p w14:paraId="34ABC113">
            <w:pPr>
              <w:pStyle w:val="109"/>
              <w:rPr>
                <w:color w:val="000000" w:themeColor="text1"/>
                <w14:textFill>
                  <w14:solidFill>
                    <w14:schemeClr w14:val="tx1"/>
                  </w14:solidFill>
                </w14:textFill>
              </w:rPr>
            </w:pPr>
            <w:r>
              <w:rPr>
                <w:color w:val="000000" w:themeColor="text1"/>
                <w14:textFill>
                  <w14:solidFill>
                    <w14:schemeClr w14:val="tx1"/>
                  </w14:solidFill>
                </w14:textFill>
              </w:rPr>
              <w:t>S8</w:t>
            </w:r>
          </w:p>
        </w:tc>
        <w:tc>
          <w:tcPr>
            <w:tcW w:w="811" w:type="pct"/>
            <w:tcBorders>
              <w:left w:val="single" w:color="auto" w:sz="4" w:space="0"/>
            </w:tcBorders>
            <w:vAlign w:val="center"/>
          </w:tcPr>
          <w:p w14:paraId="3C1AB72A">
            <w:pPr>
              <w:pStyle w:val="109"/>
              <w:rPr>
                <w:color w:val="000000" w:themeColor="text1"/>
                <w14:textFill>
                  <w14:solidFill>
                    <w14:schemeClr w14:val="tx1"/>
                  </w14:solidFill>
                </w14:textFill>
              </w:rPr>
            </w:pPr>
            <w:r>
              <w:rPr>
                <w:color w:val="000000" w:themeColor="text1"/>
                <w14:textFill>
                  <w14:solidFill>
                    <w14:schemeClr w14:val="tx1"/>
                  </w14:solidFill>
                </w14:textFill>
              </w:rPr>
              <w:t>办公生活</w:t>
            </w:r>
          </w:p>
        </w:tc>
        <w:tc>
          <w:tcPr>
            <w:tcW w:w="1526" w:type="pct"/>
            <w:vAlign w:val="center"/>
          </w:tcPr>
          <w:p w14:paraId="67F1A81D">
            <w:pPr>
              <w:pStyle w:val="109"/>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525" w:type="pct"/>
            <w:vAlign w:val="center"/>
          </w:tcPr>
          <w:p w14:paraId="3CCB42EB">
            <w:pPr>
              <w:pStyle w:val="109"/>
              <w:rPr>
                <w:color w:val="000000" w:themeColor="text1"/>
                <w14:textFill>
                  <w14:solidFill>
                    <w14:schemeClr w14:val="tx1"/>
                  </w14:solidFill>
                </w14:textFill>
              </w:rPr>
            </w:pPr>
            <w:r>
              <w:rPr>
                <w:color w:val="000000" w:themeColor="text1"/>
                <w14:textFill>
                  <w14:solidFill>
                    <w14:schemeClr w14:val="tx1"/>
                  </w14:solidFill>
                </w14:textFill>
              </w:rPr>
              <w:t>4.5</w:t>
            </w:r>
          </w:p>
        </w:tc>
        <w:tc>
          <w:tcPr>
            <w:tcW w:w="748" w:type="pct"/>
            <w:vAlign w:val="center"/>
          </w:tcPr>
          <w:p w14:paraId="5CD2F7CD">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016" w:type="pct"/>
            <w:vAlign w:val="center"/>
          </w:tcPr>
          <w:p w14:paraId="247969C9">
            <w:pPr>
              <w:pStyle w:val="109"/>
              <w:rPr>
                <w:color w:val="000000" w:themeColor="text1"/>
                <w14:textFill>
                  <w14:solidFill>
                    <w14:schemeClr w14:val="tx1"/>
                  </w14:solidFill>
                </w14:textFill>
              </w:rPr>
            </w:pPr>
            <w:r>
              <w:rPr>
                <w:color w:val="000000" w:themeColor="text1"/>
                <w14:textFill>
                  <w14:solidFill>
                    <w14:schemeClr w14:val="tx1"/>
                  </w14:solidFill>
                </w14:textFill>
              </w:rPr>
              <w:t>由园区环卫部门统一收集处理</w:t>
            </w:r>
          </w:p>
        </w:tc>
      </w:tr>
    </w:tbl>
    <w:p w14:paraId="03471BD6">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废盐的收集、贮存、运输要求</w:t>
      </w:r>
    </w:p>
    <w:p w14:paraId="5A03A0A8">
      <w:pPr>
        <w:ind w:firstLine="480"/>
        <w:rPr>
          <w:color w:val="000000" w:themeColor="text1"/>
          <w14:textFill>
            <w14:solidFill>
              <w14:schemeClr w14:val="tx1"/>
            </w14:solidFill>
          </w14:textFill>
        </w:rPr>
      </w:pPr>
      <w:r>
        <w:rPr>
          <w:color w:val="000000" w:themeColor="text1"/>
          <w14:textFill>
            <w14:solidFill>
              <w14:schemeClr w14:val="tx1"/>
            </w14:solidFill>
          </w14:textFill>
        </w:rPr>
        <w:t>项目主要原料废盐属于危险废物，企业应按相关规定申领危险废物经营许可证，在试运行阶段，企业做好危险废物入厂化验台账、进出库和生产台账、转移联单等管理制度。</w:t>
      </w:r>
    </w:p>
    <w:p w14:paraId="5837248C">
      <w:pPr>
        <w:ind w:firstLine="480"/>
        <w:rPr>
          <w:color w:val="000000" w:themeColor="text1"/>
          <w14:textFill>
            <w14:solidFill>
              <w14:schemeClr w14:val="tx1"/>
            </w14:solidFill>
          </w14:textFill>
        </w:rPr>
      </w:pPr>
      <w:r>
        <w:rPr>
          <w:color w:val="000000" w:themeColor="text1"/>
          <w14:textFill>
            <w14:solidFill>
              <w14:schemeClr w14:val="tx1"/>
            </w14:solidFill>
          </w14:textFill>
        </w:rPr>
        <w:t>废盐的收集、运输和贮存应满足《危险废物贮存污染控制标准》（GB18597-2023）和《危险废物收集、贮存、运输技术规范》（HJ2025-2012）的要求。</w:t>
      </w:r>
    </w:p>
    <w:p w14:paraId="568205B2">
      <w:pPr>
        <w:ind w:firstLine="480"/>
        <w:rPr>
          <w:color w:val="000000" w:themeColor="text1"/>
          <w14:textFill>
            <w14:solidFill>
              <w14:schemeClr w14:val="tx1"/>
            </w14:solidFill>
          </w14:textFill>
        </w:rPr>
      </w:pPr>
      <w:r>
        <w:rPr>
          <w:color w:val="000000" w:themeColor="text1"/>
          <w14:textFill>
            <w14:solidFill>
              <w14:schemeClr w14:val="tx1"/>
            </w14:solidFill>
          </w14:textFill>
        </w:rPr>
        <w:t>企业委托有资质单位运输废盐，受委托单位应按照《道路危险货物运输管理规定》（交通运输部令2013年第2号）、《汽车运输危险货物规则》（JT617-2004）以及《汽车运输、装卸危险货物作业规程》（JT618-2004）等文件执行；（GB13392-2005）要求设置车辆标志；转移过程应严格执行《危险废物转移管理办法》。</w:t>
      </w:r>
    </w:p>
    <w:p w14:paraId="55215AA6">
      <w:pPr>
        <w:ind w:firstLine="480"/>
        <w:rPr>
          <w:color w:val="000000" w:themeColor="text1"/>
          <w14:textFill>
            <w14:solidFill>
              <w14:schemeClr w14:val="tx1"/>
            </w14:solidFill>
          </w14:textFill>
        </w:rPr>
      </w:pPr>
      <w:r>
        <w:rPr>
          <w:color w:val="000000" w:themeColor="text1"/>
          <w14:textFill>
            <w14:solidFill>
              <w14:schemeClr w14:val="tx1"/>
            </w14:solidFill>
          </w14:textFill>
        </w:rPr>
        <w:t>日常管理中，企业派专人对进场废盐进行检验，并设立台账等管理制度，杜绝经营许可范围外的固体废物进厂。</w:t>
      </w:r>
    </w:p>
    <w:p w14:paraId="7B9F7C1A">
      <w:pPr>
        <w:ind w:firstLine="480"/>
        <w:rPr>
          <w:color w:val="000000" w:themeColor="text1"/>
          <w14:textFill>
            <w14:solidFill>
              <w14:schemeClr w14:val="tx1"/>
            </w14:solidFill>
          </w14:textFill>
        </w:rPr>
      </w:pPr>
      <w:r>
        <w:rPr>
          <w:color w:val="000000" w:themeColor="text1"/>
          <w14:textFill>
            <w14:solidFill>
              <w14:schemeClr w14:val="tx1"/>
            </w14:solidFill>
          </w14:textFill>
        </w:rPr>
        <w:t>废盐厂内贮存严格执行《危险废物贮存污染控制标准》（GB18597-2023），做到“三防”，即防扬撒、防流失、防渗漏。该贮存所在地地质结构稳定，不受地震、洪水、泥石流等自然灾害的影响；周边无易燃、易爆等危险品仓库和高压输电线路。贮存仓库地面与裙角用坚固、防渗的材料建造，防渗层渗透系数≤10</w:t>
      </w:r>
      <w:r>
        <w:rPr>
          <w:color w:val="000000" w:themeColor="text1"/>
          <w:vertAlign w:val="superscript"/>
          <w14:textFill>
            <w14:solidFill>
              <w14:schemeClr w14:val="tx1"/>
            </w14:solidFill>
          </w14:textFill>
        </w:rPr>
        <w:t xml:space="preserve"> -10</w:t>
      </w:r>
      <w:r>
        <w:rPr>
          <w:color w:val="000000" w:themeColor="text1"/>
          <w14:textFill>
            <w14:solidFill>
              <w14:schemeClr w14:val="tx1"/>
            </w14:solidFill>
          </w14:textFill>
        </w:rPr>
        <w:t>m/s。</w:t>
      </w:r>
    </w:p>
    <w:p w14:paraId="3068DD91">
      <w:pPr>
        <w:ind w:firstLine="480"/>
        <w:rPr>
          <w:color w:val="000000" w:themeColor="text1"/>
          <w14:textFill>
            <w14:solidFill>
              <w14:schemeClr w14:val="tx1"/>
            </w14:solidFill>
          </w14:textFill>
        </w:rPr>
      </w:pPr>
      <w:r>
        <w:rPr>
          <w:color w:val="000000" w:themeColor="text1"/>
          <w14:textFill>
            <w14:solidFill>
              <w14:schemeClr w14:val="tx1"/>
            </w14:solidFill>
          </w14:textFill>
        </w:rPr>
        <w:t>企业应建立规范的管理和技术人员培训制度，定期针对管理和技术人员进行培训；企业应编制应急预案，并定期组织应急演练；厂区设置事故应急池，防止消防废水外流。</w:t>
      </w:r>
    </w:p>
    <w:p w14:paraId="4208E1B6">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固废管理要求</w:t>
      </w:r>
    </w:p>
    <w:p w14:paraId="69C7DB61">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本项目进厂废盐为吨包袋装，项目运营过程中产生的液态、半固态危废装桶后送固废堆场暂存，再委托有资质单位处理；废盐仓库和危废暂存间设置导流沟和收集槽，如有泄漏可有效收集。</w:t>
      </w:r>
    </w:p>
    <w:p w14:paraId="3338176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本项目厂内危废暂存场按照《危险废物贮存污染控制标准》（GB18597-2023）相关要求落实相应的污染防治措施。</w:t>
      </w:r>
    </w:p>
    <w:p w14:paraId="6C549AF7">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废盐仓库的一般要求</w:t>
      </w:r>
    </w:p>
    <w:p w14:paraId="786434C0">
      <w:pPr>
        <w:pStyle w:val="106"/>
        <w:numPr>
          <w:ilvl w:val="0"/>
          <w:numId w:val="10"/>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14:paraId="6323575C">
      <w:pPr>
        <w:pStyle w:val="106"/>
        <w:numPr>
          <w:ilvl w:val="0"/>
          <w:numId w:val="10"/>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贮存设施应根据危险废物的类别、数量、形态、物理化学性质和污染防治等要求设置必要的贮存分区，避免不相容的危险废物接触、混合。</w:t>
      </w:r>
    </w:p>
    <w:p w14:paraId="41042A16">
      <w:pPr>
        <w:pStyle w:val="106"/>
        <w:numPr>
          <w:ilvl w:val="0"/>
          <w:numId w:val="10"/>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贮存设施或贮存分区内地面、墙面裙脚、堵截泄漏的围堰、接触危险废物的隔板和墙体等应采用坚固的材料建造，表面无裂缝。</w:t>
      </w:r>
    </w:p>
    <w:p w14:paraId="1DADB4D1">
      <w:pPr>
        <w:pStyle w:val="106"/>
        <w:numPr>
          <w:ilvl w:val="0"/>
          <w:numId w:val="10"/>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cm/s），或至少2mm厚高密度聚乙烯膜等人工防渗材料（渗透系数不大于10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cm/s），或其他防渗性能等效的材料。</w:t>
      </w:r>
    </w:p>
    <w:p w14:paraId="3D28EF0D">
      <w:pPr>
        <w:pStyle w:val="106"/>
        <w:numPr>
          <w:ilvl w:val="0"/>
          <w:numId w:val="10"/>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p w14:paraId="11D47ACF">
      <w:pPr>
        <w:pStyle w:val="106"/>
        <w:numPr>
          <w:ilvl w:val="0"/>
          <w:numId w:val="10"/>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贮存设施应采取技术和管理措施防止无关人员进入。</w:t>
      </w:r>
    </w:p>
    <w:p w14:paraId="79546292">
      <w:pPr>
        <w:pStyle w:val="106"/>
        <w:numPr>
          <w:ilvl w:val="0"/>
          <w:numId w:val="10"/>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贮存库内不同贮存分区之间应采取隔离措施。隔离措施可根据危险废物特性采用过道、隔板或隔墙等方式。</w:t>
      </w:r>
    </w:p>
    <w:p w14:paraId="7E1CEB97">
      <w:pPr>
        <w:pStyle w:val="106"/>
        <w:numPr>
          <w:ilvl w:val="0"/>
          <w:numId w:val="10"/>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w:t>
      </w:r>
      <w:r>
        <w:rPr>
          <w:rFonts w:eastAsia="TimesNewRomanPSMT"/>
          <w:color w:val="000000" w:themeColor="text1"/>
          <w:sz w:val="24"/>
          <w14:textFill>
            <w14:solidFill>
              <w14:schemeClr w14:val="tx1"/>
            </w14:solidFill>
          </w14:textFill>
        </w:rPr>
        <w:t>1/10</w:t>
      </w:r>
      <w:r>
        <w:rPr>
          <w:color w:val="000000" w:themeColor="text1"/>
          <w:sz w:val="24"/>
          <w14:textFill>
            <w14:solidFill>
              <w14:schemeClr w14:val="tx1"/>
            </w14:solidFill>
          </w14:textFill>
        </w:rPr>
        <w:t>（二者取较大者）；用于贮存可能产生渗滤液的危险废物的贮存库或贮存分区应设计渗滤液收集设施，收集设施容积应满足渗滤液的收集要求。</w:t>
      </w:r>
    </w:p>
    <w:p w14:paraId="1A3C0492">
      <w:pPr>
        <w:pStyle w:val="106"/>
        <w:numPr>
          <w:ilvl w:val="0"/>
          <w:numId w:val="10"/>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贮存易产生粉尘、</w:t>
      </w:r>
      <w:r>
        <w:rPr>
          <w:rFonts w:eastAsia="TimesNewRomanPSMT"/>
          <w:color w:val="000000" w:themeColor="text1"/>
          <w:sz w:val="24"/>
          <w14:textFill>
            <w14:solidFill>
              <w14:schemeClr w14:val="tx1"/>
            </w14:solidFill>
          </w14:textFill>
        </w:rPr>
        <w:t>VOCs</w:t>
      </w:r>
      <w:r>
        <w:rPr>
          <w:color w:val="000000" w:themeColor="text1"/>
          <w:sz w:val="24"/>
          <w14:textFill>
            <w14:solidFill>
              <w14:schemeClr w14:val="tx1"/>
            </w14:solidFill>
          </w14:textFill>
        </w:rPr>
        <w:t>、酸雾、有毒有害大气污染物和刺激性气味气体的危险废物贮存库，应设置气体收集装置和气体净化设施；气体净化设施的排气筒高度应符合</w:t>
      </w:r>
      <w:r>
        <w:rPr>
          <w:rFonts w:eastAsia="TimesNewRomanPSMT"/>
          <w:color w:val="000000" w:themeColor="text1"/>
          <w:sz w:val="24"/>
          <w14:textFill>
            <w14:solidFill>
              <w14:schemeClr w14:val="tx1"/>
            </w14:solidFill>
          </w14:textFill>
        </w:rPr>
        <w:t>GB16297</w:t>
      </w:r>
      <w:r>
        <w:rPr>
          <w:color w:val="000000" w:themeColor="text1"/>
          <w:sz w:val="24"/>
          <w14:textFill>
            <w14:solidFill>
              <w14:schemeClr w14:val="tx1"/>
            </w14:solidFill>
          </w14:textFill>
        </w:rPr>
        <w:t>要求。</w:t>
      </w:r>
    </w:p>
    <w:p w14:paraId="382EC45A">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贮存过程污染控制要求</w:t>
      </w:r>
    </w:p>
    <w:p w14:paraId="220688F8">
      <w:pPr>
        <w:pStyle w:val="106"/>
        <w:numPr>
          <w:ilvl w:val="0"/>
          <w:numId w:val="11"/>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在常温常压下不易水解、不易挥发的固态危险废物可分类堆放贮存，其他固态危险废物应装入容器或包装物内贮存。</w:t>
      </w:r>
    </w:p>
    <w:p w14:paraId="6FC16928">
      <w:pPr>
        <w:pStyle w:val="106"/>
        <w:numPr>
          <w:ilvl w:val="0"/>
          <w:numId w:val="11"/>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液态危险废物应装入容器内贮存，或直接采用贮存池、贮存罐区贮存。</w:t>
      </w:r>
    </w:p>
    <w:p w14:paraId="69EC2647">
      <w:pPr>
        <w:pStyle w:val="106"/>
        <w:numPr>
          <w:ilvl w:val="0"/>
          <w:numId w:val="11"/>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半固态危险废物应装入容器或包装袋内贮存，或直接采用贮存池贮存。</w:t>
      </w:r>
    </w:p>
    <w:p w14:paraId="238570A6">
      <w:pPr>
        <w:pStyle w:val="106"/>
        <w:numPr>
          <w:ilvl w:val="0"/>
          <w:numId w:val="11"/>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具有热塑性的危险废物应装入容器或包装袋内进行贮存。</w:t>
      </w:r>
    </w:p>
    <w:p w14:paraId="0611DF10">
      <w:pPr>
        <w:pStyle w:val="106"/>
        <w:numPr>
          <w:ilvl w:val="0"/>
          <w:numId w:val="11"/>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易产生粉尘、VOCs、酸雾、有毒有害大气污染物和刺激性气味气体的危险废物应装入闭口容器或包装物内贮存。</w:t>
      </w:r>
    </w:p>
    <w:p w14:paraId="76A709EE">
      <w:pPr>
        <w:pStyle w:val="106"/>
        <w:numPr>
          <w:ilvl w:val="0"/>
          <w:numId w:val="11"/>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危险废物贮存过程中易产生粉尘等无组织排放的，应采取抑尘等有效措施。</w:t>
      </w:r>
    </w:p>
    <w:p w14:paraId="0134D43E">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贮存设施运行环境管理要求</w:t>
      </w:r>
    </w:p>
    <w:p w14:paraId="41618A97">
      <w:pPr>
        <w:pStyle w:val="106"/>
        <w:numPr>
          <w:ilvl w:val="0"/>
          <w:numId w:val="12"/>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危险废物存入贮存设施前应对危险废物类别和特性与危险废物标签等危险废物识别标志的一致性进行核验，不一致的或类别、特性不明的不应存入。</w:t>
      </w:r>
    </w:p>
    <w:p w14:paraId="2E4991DA">
      <w:pPr>
        <w:pStyle w:val="106"/>
        <w:numPr>
          <w:ilvl w:val="0"/>
          <w:numId w:val="12"/>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p>
    <w:p w14:paraId="1164E91F">
      <w:pPr>
        <w:pStyle w:val="106"/>
        <w:numPr>
          <w:ilvl w:val="0"/>
          <w:numId w:val="12"/>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作业设备及车辆等结束作业离开贮存设施时，应对其残留的危险废物进行清理，清理的废物或清洗废水应收集处理。</w:t>
      </w:r>
    </w:p>
    <w:p w14:paraId="674FF3FF">
      <w:pPr>
        <w:pStyle w:val="106"/>
        <w:numPr>
          <w:ilvl w:val="0"/>
          <w:numId w:val="12"/>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贮存设施运行期间，应按国家有关标准和规定建立危险废物管理台账并保存。</w:t>
      </w:r>
    </w:p>
    <w:p w14:paraId="0338897C">
      <w:pPr>
        <w:pStyle w:val="106"/>
        <w:numPr>
          <w:ilvl w:val="0"/>
          <w:numId w:val="12"/>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贮存设施所有者或运营者应建立贮存设施环境管理制度、管理人员岗位职责制度、设施运行操作制度、人员岗位培训制度等。</w:t>
      </w:r>
    </w:p>
    <w:p w14:paraId="2AFF1DEF">
      <w:pPr>
        <w:pStyle w:val="106"/>
        <w:numPr>
          <w:ilvl w:val="0"/>
          <w:numId w:val="12"/>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贮存设施所有者或运营者应依据国家土壤和地下水污染防治的有关规定，结合贮存设施特点建</w:t>
      </w:r>
    </w:p>
    <w:p w14:paraId="7201D448">
      <w:pPr>
        <w:pStyle w:val="106"/>
        <w:numPr>
          <w:ilvl w:val="0"/>
          <w:numId w:val="12"/>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立土壤和地下水污染隐患排查制度，并定期开展隐患排查；发现隐患应及时采取措施消除隐患，并建立档案。</w:t>
      </w:r>
    </w:p>
    <w:p w14:paraId="69CC37D8">
      <w:pPr>
        <w:pStyle w:val="106"/>
        <w:numPr>
          <w:ilvl w:val="0"/>
          <w:numId w:val="12"/>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贮存设施所有者或运营者应建立贮存设施全部档案，包括设计、施工、验收、运行、监测和环境应急等，应按国家有关档案管理的法律法规进行整理和归档。</w:t>
      </w:r>
    </w:p>
    <w:p w14:paraId="67619195">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环境应急要求</w:t>
      </w:r>
    </w:p>
    <w:p w14:paraId="15518B1C">
      <w:pPr>
        <w:pStyle w:val="106"/>
        <w:numPr>
          <w:ilvl w:val="0"/>
          <w:numId w:val="13"/>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贮存设施所有者或运营者应按照国家有关规定编制突发环境事件应急预案，定期开展必要的培训和环境应急演练，并做好培训、演练记录。</w:t>
      </w:r>
    </w:p>
    <w:p w14:paraId="191138CA">
      <w:pPr>
        <w:pStyle w:val="106"/>
        <w:numPr>
          <w:ilvl w:val="0"/>
          <w:numId w:val="13"/>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贮存设施所有者或运营者应配备满足其突发环境事件应急要求的应急人员、装备和物资，并应设置应急照明系统。</w:t>
      </w:r>
    </w:p>
    <w:p w14:paraId="48256C2E">
      <w:pPr>
        <w:pStyle w:val="106"/>
        <w:numPr>
          <w:ilvl w:val="0"/>
          <w:numId w:val="13"/>
        </w:numPr>
        <w:spacing w:line="360" w:lineRule="auto"/>
        <w:ind w:left="0" w:firstLine="442"/>
        <w:rPr>
          <w:color w:val="000000" w:themeColor="text1"/>
          <w:sz w:val="24"/>
          <w14:textFill>
            <w14:solidFill>
              <w14:schemeClr w14:val="tx1"/>
            </w14:solidFill>
          </w14:textFill>
        </w:rPr>
      </w:pPr>
      <w:r>
        <w:rPr>
          <w:color w:val="000000" w:themeColor="text1"/>
          <w:sz w:val="24"/>
          <w14:textFill>
            <w14:solidFill>
              <w14:schemeClr w14:val="tx1"/>
            </w14:solidFill>
          </w14:textFill>
        </w:rPr>
        <w:t>相关部门发布自然灾害或恶劣天气预警后，贮存设施所有者或运营者应启动相应防控措施，若有必要可将危险废物转移至其他具有防护条件的地点贮存。</w:t>
      </w:r>
    </w:p>
    <w:p w14:paraId="5A873C5F">
      <w:pPr>
        <w:ind w:firstLine="480"/>
        <w:rPr>
          <w:color w:val="000000" w:themeColor="text1"/>
          <w14:textFill>
            <w14:solidFill>
              <w14:schemeClr w14:val="tx1"/>
            </w14:solidFill>
          </w14:textFill>
        </w:rPr>
      </w:pPr>
      <w:r>
        <w:rPr>
          <w:color w:val="000000" w:themeColor="text1"/>
          <w14:textFill>
            <w14:solidFill>
              <w14:schemeClr w14:val="tx1"/>
            </w14:solidFill>
          </w14:textFill>
        </w:rPr>
        <w:t>综上，本项目产生的固体废物处理处置率 100%，对周围环境不产生二次影响。</w:t>
      </w:r>
    </w:p>
    <w:p w14:paraId="3D66C8EB">
      <w:pPr>
        <w:ind w:firstLine="480"/>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2B36B7A3">
      <w:pPr>
        <w:pStyle w:val="2"/>
        <w:rPr>
          <w:rFonts w:ascii="Times New Roman" w:cs="Times New Roman"/>
          <w:color w:val="000000" w:themeColor="text1"/>
          <w14:textFill>
            <w14:solidFill>
              <w14:schemeClr w14:val="tx1"/>
            </w14:solidFill>
          </w14:textFill>
        </w:rPr>
      </w:pPr>
      <w:bookmarkStart w:id="522" w:name="_Toc225268331"/>
      <w:r>
        <w:rPr>
          <w:rFonts w:ascii="Times New Roman" w:cs="Times New Roman"/>
          <w:color w:val="000000" w:themeColor="text1"/>
          <w14:textFill>
            <w14:solidFill>
              <w14:schemeClr w14:val="tx1"/>
            </w14:solidFill>
          </w14:textFill>
        </w:rPr>
        <w:t>项目建设可行性分析</w:t>
      </w:r>
      <w:bookmarkEnd w:id="522"/>
    </w:p>
    <w:p w14:paraId="6D2FC101">
      <w:pPr>
        <w:pStyle w:val="3"/>
        <w:rPr>
          <w:rFonts w:ascii="Times New Roman" w:cs="Times New Roman"/>
          <w:color w:val="000000" w:themeColor="text1"/>
          <w14:textFill>
            <w14:solidFill>
              <w14:schemeClr w14:val="tx1"/>
            </w14:solidFill>
          </w14:textFill>
        </w:rPr>
      </w:pPr>
      <w:bookmarkStart w:id="523" w:name="_Toc225268332"/>
      <w:r>
        <w:rPr>
          <w:rFonts w:ascii="Times New Roman" w:cs="Times New Roman"/>
          <w:color w:val="000000" w:themeColor="text1"/>
          <w14:textFill>
            <w14:solidFill>
              <w14:schemeClr w14:val="tx1"/>
            </w14:solidFill>
          </w14:textFill>
        </w:rPr>
        <w:t>产业政策符合性分析</w:t>
      </w:r>
      <w:bookmarkEnd w:id="523"/>
    </w:p>
    <w:p w14:paraId="09258CC8">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与《产业结构调整指导目录（2024年本）》符合性分析</w:t>
      </w:r>
    </w:p>
    <w:p w14:paraId="5C0C2691">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w:t>
      </w:r>
      <w:r>
        <w:rPr>
          <w:rFonts w:ascii="Times New Roman" w:hAnsi="Times New Roman"/>
          <w:color w:val="000000" w:themeColor="text1"/>
          <w:szCs w:val="21"/>
          <w14:textFill>
            <w14:solidFill>
              <w14:schemeClr w14:val="tx1"/>
            </w14:solidFill>
          </w14:textFill>
        </w:rPr>
        <w:t>拟建</w:t>
      </w:r>
      <w:r>
        <w:rPr>
          <w:rFonts w:ascii="Times New Roman" w:hAnsi="Times New Roman"/>
          <w:color w:val="000000" w:themeColor="text1"/>
          <w14:textFill>
            <w14:solidFill>
              <w14:schemeClr w14:val="tx1"/>
            </w14:solidFill>
          </w14:textFill>
        </w:rPr>
        <w:t>1</w:t>
      </w:r>
      <w:r>
        <w:rPr>
          <w:rFonts w:ascii="Times New Roman" w:hAnsi="Times New Roman"/>
          <w:color w:val="000000" w:themeColor="text1"/>
          <w:szCs w:val="21"/>
          <w14:textFill>
            <w14:solidFill>
              <w14:schemeClr w14:val="tx1"/>
            </w14:solidFill>
          </w14:textFill>
        </w:rPr>
        <w:t>条</w:t>
      </w:r>
      <w:r>
        <w:rPr>
          <w:rFonts w:ascii="Times New Roman" w:hAnsi="Times New Roman"/>
          <w:color w:val="000000" w:themeColor="text1"/>
          <w14:textFill>
            <w14:solidFill>
              <w14:schemeClr w14:val="tx1"/>
            </w14:solidFill>
          </w14:textFill>
        </w:rPr>
        <w:t>废盐处置</w:t>
      </w:r>
      <w:r>
        <w:rPr>
          <w:rFonts w:ascii="Times New Roman" w:hAnsi="Times New Roman"/>
          <w:color w:val="000000" w:themeColor="text1"/>
          <w:szCs w:val="21"/>
          <w14:textFill>
            <w14:solidFill>
              <w14:schemeClr w14:val="tx1"/>
            </w14:solidFill>
          </w14:textFill>
        </w:rPr>
        <w:t>生产线，采用“热解焙烧法”对废盐进行处理</w:t>
      </w:r>
      <w:r>
        <w:rPr>
          <w:rFonts w:ascii="Times New Roman" w:hAnsi="Times New Roman"/>
          <w:color w:val="000000" w:themeColor="text1"/>
          <w14:textFill>
            <w14:solidFill>
              <w14:schemeClr w14:val="tx1"/>
            </w14:solidFill>
          </w14:textFill>
        </w:rPr>
        <w:t>。本项目属于《产业结构调整指导目录》（2024年本）鼓励类-四十二类中环境保护与资源节约综合利用-“10.工业“三废”循环利用：“三废”综合利用与治理技术、装备和工程，“三废”处理用生物菌种和添加剂开发与生产，废水高效循环利用技术应用，工业难降解有机废水循环利用、高盐废水循环利用、循环水回收利用、高效分离膜材料、高效催化氧化材料等技术装备，高盐废水和工业副产盐的资源化利用，轻烃类石化副产物综合利用技术装备，硫回收装备(低温克劳斯法)”，符合产业政策要求。</w:t>
      </w:r>
    </w:p>
    <w:p w14:paraId="33149309">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2025年7月17日该项目取得《新疆维吾尔自治区投资项目备案证》，备案证号：2507171677650108000064，项目代码2507-650108-04-01-117714)，本项目的建设符合产业政策要求。</w:t>
      </w:r>
    </w:p>
    <w:p w14:paraId="77E56732">
      <w:pPr>
        <w:pStyle w:val="4"/>
        <w:rPr>
          <w:rFonts w:ascii="Times New Roman" w:cs="Times New Roman"/>
          <w:color w:val="000000" w:themeColor="text1"/>
          <w:sz w:val="24"/>
          <w14:textFill>
            <w14:solidFill>
              <w14:schemeClr w14:val="tx1"/>
            </w14:solidFill>
          </w14:textFill>
        </w:rPr>
      </w:pPr>
      <w:r>
        <w:rPr>
          <w:rFonts w:ascii="Times New Roman" w:cs="Times New Roman"/>
          <w:color w:val="000000" w:themeColor="text1"/>
          <w14:textFill>
            <w14:solidFill>
              <w14:schemeClr w14:val="tx1"/>
            </w14:solidFill>
          </w14:textFill>
        </w:rPr>
        <w:t>与《西部地区鼓励类产业目录（2025年本）》的符合性分析</w:t>
      </w:r>
    </w:p>
    <w:p w14:paraId="36B4EF49">
      <w:pPr>
        <w:widowControl/>
        <w:autoSpaceDE/>
        <w:autoSpaceDN/>
        <w:ind w:firstLine="48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根据《西部地区鼓励类产业目录（2025年本）》，本项目不属于“（十）新疆维吾尔自治区（含新疆生产建设兵团）”中规定的鼓励类项目。</w:t>
      </w:r>
    </w:p>
    <w:p w14:paraId="564CA2C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与《市场准入负面清单（2025年版）》的符合性分析</w:t>
      </w:r>
    </w:p>
    <w:p w14:paraId="6435D52C">
      <w:pPr>
        <w:pStyle w:val="28"/>
        <w:ind w:firstLine="480"/>
        <w:rPr>
          <w:rFonts w:ascii="Times New Roman" w:cs="Times New Roman"/>
          <w:color w:val="000000" w:themeColor="text1"/>
          <w:szCs w:val="28"/>
          <w14:textFill>
            <w14:solidFill>
              <w14:schemeClr w14:val="tx1"/>
            </w14:solidFill>
          </w14:textFill>
        </w:rPr>
      </w:pPr>
      <w:r>
        <w:rPr>
          <w:rFonts w:ascii="Times New Roman" w:cs="Times New Roman"/>
          <w:color w:val="000000" w:themeColor="text1"/>
          <w:szCs w:val="28"/>
          <w14:textFill>
            <w14:solidFill>
              <w14:schemeClr w14:val="tx1"/>
            </w14:solidFill>
          </w14:textFill>
        </w:rPr>
        <w:t>根据《市场准入负面清单（2025年版）》，对禁止准入事项，经营主体不得进入，政府依法不予审批、核准，不予办理有关手续；对许可准入事项，地方各级政府要公开法律法规依据、技术标准、许可要求、办理流程、办理时限，制定市场准入服务规程，由经营主体按照规定的条件和方式合规进入；对市场准入负面清单以外的行业、领域、业务等，各类经营主体皆可依法平等进入。</w:t>
      </w:r>
    </w:p>
    <w:p w14:paraId="4816EFA3">
      <w:pPr>
        <w:pStyle w:val="28"/>
        <w:ind w:firstLine="480"/>
        <w:rPr>
          <w:rFonts w:ascii="Times New Roman" w:cs="Times New Roman"/>
          <w:color w:val="000000" w:themeColor="text1"/>
          <w:lang w:val="zh-CN"/>
          <w14:textFill>
            <w14:solidFill>
              <w14:schemeClr w14:val="tx1"/>
            </w14:solidFill>
          </w14:textFill>
        </w:rPr>
      </w:pPr>
      <w:r>
        <w:rPr>
          <w:rFonts w:ascii="Times New Roman" w:cs="Times New Roman"/>
          <w:color w:val="000000" w:themeColor="text1"/>
          <w:szCs w:val="28"/>
          <w14:textFill>
            <w14:solidFill>
              <w14:schemeClr w14:val="tx1"/>
            </w14:solidFill>
          </w14:textFill>
        </w:rPr>
        <w:t>本项目不属于清单中禁止准入类项目，故本项目与《市场准入负面清单（2025年版）》相符。</w:t>
      </w:r>
    </w:p>
    <w:p w14:paraId="375996F6">
      <w:pPr>
        <w:pStyle w:val="3"/>
        <w:rPr>
          <w:rFonts w:ascii="Times New Roman" w:cs="Times New Roman"/>
          <w:color w:val="000000" w:themeColor="text1"/>
          <w14:textFill>
            <w14:solidFill>
              <w14:schemeClr w14:val="tx1"/>
            </w14:solidFill>
          </w14:textFill>
        </w:rPr>
      </w:pPr>
      <w:bookmarkStart w:id="524" w:name="_Toc225268333"/>
      <w:bookmarkStart w:id="525" w:name="_Hlk62309090"/>
      <w:r>
        <w:rPr>
          <w:rFonts w:ascii="Times New Roman" w:cs="Times New Roman"/>
          <w:color w:val="000000" w:themeColor="text1"/>
          <w14:textFill>
            <w14:solidFill>
              <w14:schemeClr w14:val="tx1"/>
            </w14:solidFill>
          </w14:textFill>
        </w:rPr>
        <w:t>与有关环境保护法律法规、标准、政策和规范符合性分析</w:t>
      </w:r>
      <w:bookmarkEnd w:id="524"/>
    </w:p>
    <w:bookmarkEnd w:id="525"/>
    <w:p w14:paraId="44817DD4">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与大气有关环境保护法律法规、标准、政策和规范符合性分析</w:t>
      </w:r>
    </w:p>
    <w:p w14:paraId="36C50EC0">
      <w:pPr>
        <w:widowControl/>
        <w:autoSpaceDE/>
        <w:autoSpaceDN/>
        <w:ind w:firstLine="48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本项目与大气有关环境保护法律法规、标准、政策和规范符合性分析详见下表。</w:t>
      </w:r>
    </w:p>
    <w:p w14:paraId="40D3A255">
      <w:pPr>
        <w:pStyle w:val="117"/>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本项目与大气有关环境保护法律法规、标准、政策和规范符合性分析一览表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5226"/>
        <w:gridCol w:w="2070"/>
        <w:gridCol w:w="985"/>
      </w:tblGrid>
      <w:tr w14:paraId="6FAE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120774C4">
            <w:pPr>
              <w:pStyle w:val="109"/>
              <w:rPr>
                <w:color w:val="000000" w:themeColor="text1"/>
                <w14:textFill>
                  <w14:solidFill>
                    <w14:schemeClr w14:val="tx1"/>
                  </w14:solidFill>
                </w14:textFill>
              </w:rPr>
            </w:pPr>
            <w:r>
              <w:rPr>
                <w:color w:val="000000" w:themeColor="text1"/>
                <w14:textFill>
                  <w14:solidFill>
                    <w14:schemeClr w14:val="tx1"/>
                  </w14:solidFill>
                </w14:textFill>
              </w:rPr>
              <w:t>文件名称</w:t>
            </w:r>
          </w:p>
        </w:tc>
        <w:tc>
          <w:tcPr>
            <w:tcW w:w="4506" w:type="dxa"/>
            <w:vAlign w:val="center"/>
          </w:tcPr>
          <w:p w14:paraId="43174D88">
            <w:pPr>
              <w:pStyle w:val="109"/>
              <w:rPr>
                <w:color w:val="000000" w:themeColor="text1"/>
                <w14:textFill>
                  <w14:solidFill>
                    <w14:schemeClr w14:val="tx1"/>
                  </w14:solidFill>
                </w14:textFill>
              </w:rPr>
            </w:pPr>
            <w:r>
              <w:rPr>
                <w:color w:val="000000" w:themeColor="text1"/>
                <w14:textFill>
                  <w14:solidFill>
                    <w14:schemeClr w14:val="tx1"/>
                  </w14:solidFill>
                </w14:textFill>
              </w:rPr>
              <w:t>文件相关要求</w:t>
            </w:r>
          </w:p>
        </w:tc>
        <w:tc>
          <w:tcPr>
            <w:tcW w:w="1785" w:type="dxa"/>
            <w:vAlign w:val="center"/>
          </w:tcPr>
          <w:p w14:paraId="70063B70">
            <w:pPr>
              <w:pStyle w:val="109"/>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849" w:type="dxa"/>
            <w:vAlign w:val="center"/>
          </w:tcPr>
          <w:p w14:paraId="3A231A25">
            <w:pPr>
              <w:pStyle w:val="109"/>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0EBD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44C7FFAB">
            <w:pPr>
              <w:pStyle w:val="109"/>
              <w:rPr>
                <w:color w:val="000000" w:themeColor="text1"/>
                <w14:textFill>
                  <w14:solidFill>
                    <w14:schemeClr w14:val="tx1"/>
                  </w14:solidFill>
                </w14:textFill>
              </w:rPr>
            </w:pPr>
            <w:r>
              <w:rPr>
                <w:color w:val="000000" w:themeColor="text1"/>
                <w14:textFill>
                  <w14:solidFill>
                    <w14:schemeClr w14:val="tx1"/>
                  </w14:solidFill>
                </w14:textFill>
              </w:rPr>
              <w:t>《新疆维吾尔自治区大气污染防治条例》</w:t>
            </w:r>
          </w:p>
        </w:tc>
        <w:tc>
          <w:tcPr>
            <w:tcW w:w="4506" w:type="dxa"/>
            <w:vAlign w:val="center"/>
          </w:tcPr>
          <w:p w14:paraId="47A8164B">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第二十七条 禁止在自治区行政区域内引进能（水）耗不符合相关国家标准中准入值要求且污染物排放和环境风险防控不符合国家（地方）标准及有关产业准入条件的高污染（排放）、高能（水）耗、高环境风险的工业项目。自治区人民政府应当制定或者适时修订高污染（排放）、高能（水）耗、高环境风险项目认定标准，并向社会公布。</w:t>
            </w:r>
          </w:p>
          <w:p w14:paraId="166C068D">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第二十八条 自治区人民政府工业和信息化、发展和改革、生态环境等部门制定产业结构调整目录时，应当将严重污染大气的工艺、设备、产品列入淘汰目录。州、市（地）、县（市、区）人民政府（行政公署）应当组织制定现有高污染工业项目标准改造或者关停计划，并组织实施。禁止新建、改建、扩建列入淘汰类目录的高污染工业项目。禁止使用列入淘汰类目录的工艺、设备、产品。</w:t>
            </w:r>
          </w:p>
          <w:p w14:paraId="494417C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第二十九条 县级以上人民政府应当鼓励产业集聚发展，按照主体功能区划合理规划工业园区的布局，引导工业企业入驻工业园区。</w:t>
            </w:r>
          </w:p>
          <w:p w14:paraId="54501A5C">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第三十条 下列产生含挥发性有机物废气的生产和服务活动，应当按照国家规定在密闭空间或者设备中进行，并安装、使用污染防治设施；无法密闭的，应当采取措施减少废气排放：</w:t>
            </w:r>
          </w:p>
          <w:p w14:paraId="20100DB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（一）石油、化工等含挥发性有机物原料的生产；</w:t>
            </w:r>
          </w:p>
          <w:p w14:paraId="22EA2A13">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（二）燃油、溶剂的储存、运输和销售；</w:t>
            </w:r>
          </w:p>
          <w:p w14:paraId="0C5CEE8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（三）涂料、油墨、胶粘剂、农药等以挥发性有机物为原料的生产；</w:t>
            </w:r>
          </w:p>
          <w:p w14:paraId="6437596D">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（四）涂装、印刷、粘合、工业清洗等含挥发性有机物的产品使用；</w:t>
            </w:r>
          </w:p>
          <w:p w14:paraId="3A6EA72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（五）其他产生挥发性有机物的生产和服务活动。</w:t>
            </w:r>
          </w:p>
          <w:p w14:paraId="420E727B">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石油、化工等排放挥发性有机物的企业事业单位和其他生产经营者在维修、检修时，应当按照技术规范，对生产装置系统的停运、倒空、清洗等环节实施挥发性有机物排放控制。</w:t>
            </w:r>
          </w:p>
        </w:tc>
        <w:tc>
          <w:tcPr>
            <w:tcW w:w="1785" w:type="dxa"/>
            <w:vAlign w:val="center"/>
          </w:tcPr>
          <w:p w14:paraId="3F4ABC30">
            <w:pPr>
              <w:pStyle w:val="109"/>
              <w:rPr>
                <w:color w:val="000000" w:themeColor="text1"/>
                <w14:textFill>
                  <w14:solidFill>
                    <w14:schemeClr w14:val="tx1"/>
                  </w14:solidFill>
                </w14:textFill>
              </w:rPr>
            </w:pPr>
            <w:r>
              <w:rPr>
                <w:color w:val="000000" w:themeColor="text1"/>
                <w14:textFill>
                  <w14:solidFill>
                    <w14:schemeClr w14:val="tx1"/>
                  </w14:solidFill>
                </w14:textFill>
              </w:rPr>
              <w:t>本项目不属于高污染（排放）、高能（水）耗、高环境风险的工业项目，不涉及使用列入淘汰类目录的工艺、设备、产品，本项目位于园区，采取相应的大气污染防治措施，确保大气污染物达标排放</w:t>
            </w:r>
          </w:p>
        </w:tc>
        <w:tc>
          <w:tcPr>
            <w:tcW w:w="849" w:type="dxa"/>
            <w:vAlign w:val="center"/>
          </w:tcPr>
          <w:p w14:paraId="31225FAB">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E5C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0401D261">
            <w:pPr>
              <w:pStyle w:val="109"/>
              <w:rPr>
                <w:color w:val="000000" w:themeColor="text1"/>
                <w:kern w:val="2"/>
                <w14:textFill>
                  <w14:solidFill>
                    <w14:schemeClr w14:val="tx1"/>
                  </w14:solidFill>
                </w14:textFill>
              </w:rPr>
            </w:pPr>
            <w:r>
              <w:rPr>
                <w:color w:val="000000" w:themeColor="text1"/>
                <w14:textFill>
                  <w14:solidFill>
                    <w14:schemeClr w14:val="tx1"/>
                  </w14:solidFill>
                </w14:textFill>
              </w:rPr>
              <w:t>《新疆维吾尔自治区工业炉窑大气污染综合治理实施方案》</w:t>
            </w:r>
          </w:p>
        </w:tc>
        <w:tc>
          <w:tcPr>
            <w:tcW w:w="4506" w:type="dxa"/>
            <w:vAlign w:val="center"/>
          </w:tcPr>
          <w:p w14:paraId="54F07EB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（一）加大产业结构调整力度</w:t>
            </w:r>
          </w:p>
          <w:p w14:paraId="293959F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严格建设项目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14:paraId="183E2B4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加大落后产能和不达标工业炉窑淘汰力度。分行业清理《产业结构调整指导目录》淘汰类工业炉窑。对热效率低下、敞开未封闭，装备简易落后、自动化程度低，无组织排放突出，以及无治理设施或治理设施工艺落后等严重污染环境的工业炉窑，依法责令停业关闭。（自治区生态环境厅牵头，工业和信息化厅、发展改革委配合）</w:t>
            </w:r>
          </w:p>
          <w:p w14:paraId="240E4F7B">
            <w:pPr>
              <w:pStyle w:val="109"/>
              <w:jc w:val="left"/>
              <w:rPr>
                <w:color w:val="000000" w:themeColor="text1"/>
                <w14:textFill>
                  <w14:solidFill>
                    <w14:schemeClr w14:val="tx1"/>
                  </w14:solidFill>
                </w14:textFill>
              </w:rPr>
            </w:pPr>
            <w:r>
              <w:rPr>
                <w:color w:val="000000" w:themeColor="text1"/>
                <w:kern w:val="2"/>
                <w14:textFill>
                  <w14:solidFill>
                    <w14:schemeClr w14:val="tx1"/>
                  </w14:solidFill>
                </w14:textFill>
              </w:rPr>
              <w:t>（二）</w:t>
            </w:r>
            <w:r>
              <w:rPr>
                <w:color w:val="000000" w:themeColor="text1"/>
                <w14:textFill>
                  <w14:solidFill>
                    <w14:schemeClr w14:val="tx1"/>
                  </w14:solidFill>
                </w14:textFill>
              </w:rPr>
              <w:t>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14:paraId="540BE69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加大煤气发生炉淘汰力度。2020年6月底前，重点区域淘汰炉膛直径3米以下燃料类煤气发生炉；集中使用煤气发生炉的工业园区，暂不具备改用天然气条件的，但具备多家企业集中统一建设使用煤制气中心条件的，应建设统一的清洁煤制气中心。</w:t>
            </w:r>
          </w:p>
          <w:p w14:paraId="679B196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加快淘汰燃煤工业炉窑。2020年6月底前，重点区域取缔燃煤热风炉，基本淘汰热电联产供热管网覆盖范围内的燃煤加热、烘干炉（窑）。加快推动铸造（10吨/小时及以下）、岩棉等行业冲天炉改为电炉。</w:t>
            </w:r>
          </w:p>
          <w:p w14:paraId="442B8F9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（三）实施污染深度治理</w:t>
            </w:r>
          </w:p>
          <w:p w14:paraId="56306CA5">
            <w:pPr>
              <w:pStyle w:val="109"/>
              <w:jc w:val="left"/>
              <w:rPr>
                <w:color w:val="000000" w:themeColor="text1"/>
                <w:kern w:val="2"/>
                <w14:textFill>
                  <w14:solidFill>
                    <w14:schemeClr w14:val="tx1"/>
                  </w14:solidFill>
                </w14:textFill>
              </w:rPr>
            </w:pPr>
            <w:r>
              <w:rPr>
                <w:color w:val="000000" w:themeColor="text1"/>
                <w14:textFill>
                  <w14:solidFill>
                    <w14:schemeClr w14:val="tx1"/>
                  </w14:solidFill>
                </w14:textFill>
              </w:rPr>
              <w:t>推进工业炉窑全面达标排放。已有行业排放标准的工业炉窑，严格执行行业排放标准相关规定，配套建设高效脱硫脱硝除尘设施，确保稳定达标排放。重点区域钢铁、水泥、焦化、石化、化工、有色等行业，二氧化硫、氮氧化物、颗粒物、挥发性有机物（VOCs）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w:t>
            </w:r>
          </w:p>
        </w:tc>
        <w:tc>
          <w:tcPr>
            <w:tcW w:w="1785" w:type="dxa"/>
            <w:vAlign w:val="center"/>
          </w:tcPr>
          <w:p w14:paraId="1AC4D926">
            <w:pPr>
              <w:pStyle w:val="109"/>
              <w:rPr>
                <w:color w:val="000000" w:themeColor="text1"/>
                <w14:textFill>
                  <w14:solidFill>
                    <w14:schemeClr w14:val="tx1"/>
                  </w14:solidFill>
                </w14:textFill>
              </w:rPr>
            </w:pPr>
            <w:r>
              <w:rPr>
                <w:color w:val="000000" w:themeColor="text1"/>
                <w14:textFill>
                  <w14:solidFill>
                    <w14:schemeClr w14:val="tx1"/>
                  </w14:solidFill>
                </w14:textFill>
              </w:rPr>
              <w:t>本项目位于园区，工艺加热使用清洁能源天然气，本项目采取相应的大气污染防治措施，确保大气污染物达标排放</w:t>
            </w:r>
          </w:p>
        </w:tc>
        <w:tc>
          <w:tcPr>
            <w:tcW w:w="849" w:type="dxa"/>
            <w:vAlign w:val="center"/>
          </w:tcPr>
          <w:p w14:paraId="0CCB4D2A">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311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5C74B3DA">
            <w:pPr>
              <w:pStyle w:val="109"/>
              <w:rPr>
                <w:color w:val="000000" w:themeColor="text1"/>
                <w14:textFill>
                  <w14:solidFill>
                    <w14:schemeClr w14:val="tx1"/>
                  </w14:solidFill>
                </w14:textFill>
              </w:rPr>
            </w:pPr>
            <w:r>
              <w:rPr>
                <w:color w:val="000000" w:themeColor="text1"/>
                <w14:textFill>
                  <w14:solidFill>
                    <w14:schemeClr w14:val="tx1"/>
                  </w14:solidFill>
                </w14:textFill>
              </w:rPr>
              <w:t>新疆维吾尔自治区人民政府办公厅 新疆生产建设兵团办公厅关于印发《新疆维吾尔自治区2025年空气质量持续改善行动实施方案》的通知</w:t>
            </w:r>
          </w:p>
          <w:p w14:paraId="0424922F">
            <w:pPr>
              <w:pStyle w:val="109"/>
              <w:rPr>
                <w:color w:val="000000" w:themeColor="text1"/>
                <w14:textFill>
                  <w14:solidFill>
                    <w14:schemeClr w14:val="tx1"/>
                  </w14:solidFill>
                </w14:textFill>
              </w:rPr>
            </w:pPr>
            <w:r>
              <w:rPr>
                <w:color w:val="000000" w:themeColor="text1"/>
                <w14:textFill>
                  <w14:solidFill>
                    <w14:schemeClr w14:val="tx1"/>
                  </w14:solidFill>
                </w14:textFill>
              </w:rPr>
              <w:t>（新政办发〔2024〕58号）</w:t>
            </w:r>
          </w:p>
        </w:tc>
        <w:tc>
          <w:tcPr>
            <w:tcW w:w="4506" w:type="dxa"/>
            <w:vAlign w:val="center"/>
          </w:tcPr>
          <w:p w14:paraId="0A08BC5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一）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严格落实钢铁产能置换，联防联控区严禁新增钢铁产能。推行钢铁、焦化、烧结一体化布局，大幅减少独立焦化、烧结、球团和热轧企业及工序。到2025年，短流程炼钢产量占比力争提升至15%。</w:t>
            </w:r>
          </w:p>
          <w:p w14:paraId="0C2E0FF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二）退出重点行业落后产能。严格执行《产业结构调整指导目录》，依法依规淘汰落后产能。联防联控区进一步提高落后产能能耗、环保、质量、安全、技术等要求，逐步退出限制类涉气行业工艺和装备。提升工业重点领域产能能效标杆水平，到2025年，重点行业能效标杆水平产能比例力争达到30%，能效基准水平以下产能基本清零。联防联控区淘汰炭化室高度4.3米及以下焦炉。</w:t>
            </w:r>
          </w:p>
          <w:p w14:paraId="5E27B067">
            <w:pPr>
              <w:pStyle w:val="109"/>
              <w:jc w:val="left"/>
              <w:rPr>
                <w:color w:val="000000" w:themeColor="text1"/>
                <w14:textFill>
                  <w14:solidFill>
                    <w14:schemeClr w14:val="tx1"/>
                  </w14:solidFill>
                </w14:textFill>
              </w:rPr>
            </w:pPr>
            <w:r>
              <w:rPr>
                <w:color w:val="000000" w:themeColor="text1"/>
                <w:kern w:val="2"/>
                <w14:textFill>
                  <w14:solidFill>
                    <w14:schemeClr w14:val="tx1"/>
                  </w14:solidFill>
                </w14:textFill>
              </w:rPr>
              <w:t>（三）</w:t>
            </w:r>
            <w:r>
              <w:rPr>
                <w:color w:val="000000" w:themeColor="text1"/>
                <w14:textFill>
                  <w14:solidFill>
                    <w14:schemeClr w14:val="tx1"/>
                  </w14:solidFill>
                </w14:textFill>
              </w:rPr>
              <w:t>推进传统产业集群升级改造。推动传统产业集群升级发展，开展产业集群专项治理，依法淘汰关停一批、搬迁入园一批、就地改造一批、做优做强一批，因地制宜建设集中供热中心、集中喷涂中心、活性炭集中再生中心和有机溶剂集中回收处置中心。</w:t>
            </w:r>
          </w:p>
          <w:p w14:paraId="33A73D4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七）持续推进工业炉窑清洁能源替代。有序推进以电代煤，稳妥推进以气代煤。联防联控区原则上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p w14:paraId="31E7A3A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十七）强化挥发性有机物和氮氧化物综合治理。优化含VOCs原辅材料和产品结构，加快推进含VOCs原辅材料源头替代，推广使用低（无）VOCs含量涂料，严格执行VOCs含量限值标准。实施石化、化工、工业涂装、包装印刷等重点行业及油品储运销（储罐）VOCs深度治理。企业开停工、检维修期间，及时收集处理退料、清洗、吹扫等作业产生的VOCs废气，不得将火炬燃烧装置作为日常大气污染处理设施。联防联控区石化、化工行业集中的园区，建立统一的泄漏检测与修复信息管理平台。加大锅炉、炉窑及移动源氮氧化物减排力度，有序实施燃气锅炉低氮燃烧改造。加强氮肥、纯碱等行业大气氨排放治理，强化工业源烟气脱硫脱硝氨逃逸防控。</w:t>
            </w:r>
          </w:p>
        </w:tc>
        <w:tc>
          <w:tcPr>
            <w:tcW w:w="1785" w:type="dxa"/>
            <w:vAlign w:val="center"/>
          </w:tcPr>
          <w:p w14:paraId="1E7E91CB">
            <w:pPr>
              <w:pStyle w:val="109"/>
              <w:rPr>
                <w:color w:val="000000" w:themeColor="text1"/>
                <w14:textFill>
                  <w14:solidFill>
                    <w14:schemeClr w14:val="tx1"/>
                  </w14:solidFill>
                </w14:textFill>
              </w:rPr>
            </w:pPr>
            <w:r>
              <w:rPr>
                <w:color w:val="000000" w:themeColor="text1"/>
                <w14:textFill>
                  <w14:solidFill>
                    <w14:schemeClr w14:val="tx1"/>
                  </w14:solidFill>
                </w14:textFill>
              </w:rPr>
              <w:t>本项目不属于高耗能、高排放、低水平项目，不属于重点行业落后产能项目，位于园区，工艺加热使用清洁能源天然气，本项目采取相应的大气污染防治措施，确保大气污染物达标排放</w:t>
            </w:r>
          </w:p>
        </w:tc>
        <w:tc>
          <w:tcPr>
            <w:tcW w:w="849" w:type="dxa"/>
            <w:vAlign w:val="center"/>
          </w:tcPr>
          <w:p w14:paraId="78ABD4D6">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CAA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6FA68C20">
            <w:pPr>
              <w:pStyle w:val="109"/>
              <w:rPr>
                <w:color w:val="000000" w:themeColor="text1"/>
                <w:kern w:val="2"/>
                <w14:textFill>
                  <w14:solidFill>
                    <w14:schemeClr w14:val="tx1"/>
                  </w14:solidFill>
                </w14:textFill>
              </w:rPr>
            </w:pPr>
            <w:r>
              <w:rPr>
                <w:color w:val="000000" w:themeColor="text1"/>
                <w14:textFill>
                  <w14:solidFill>
                    <w14:schemeClr w14:val="tx1"/>
                  </w14:solidFill>
                </w14:textFill>
              </w:rPr>
              <w:t>《关于印发新疆维吾尔自治区新污染物治理工作方案的通知》（新政办发〔2023〕3号）</w:t>
            </w:r>
          </w:p>
        </w:tc>
        <w:tc>
          <w:tcPr>
            <w:tcW w:w="4506" w:type="dxa"/>
            <w:vAlign w:val="center"/>
          </w:tcPr>
          <w:p w14:paraId="635AA7F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完善重点管控新污染物管控措施。针对列入优先控制化学品名录的化学物质以及抗生素、微塑料等其他重点新污染物，制定“一品一策”管控措施，依据管控措施的技术可行性和经济社会影响评估结果。按照国家重点管控新污染物清单及其环境风险管控措施，加强对优先控制化学品的主要环境排放源的监管。</w:t>
            </w:r>
          </w:p>
          <w:p w14:paraId="27EB018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2、落实新化学物质环境管理登记制度。严格执行《新化学物质环境管理登记办法》（生态环境部令第12号），依法加强对新化学物质生产、进口、使用等环节的监管，督促落实企业新化学物质污染环境风险防控主体责任。将新化学物质环境管理纳入“双随机、一公开”监督执法范围，加大对违法企业的处罚力度。</w:t>
            </w:r>
          </w:p>
          <w:p w14:paraId="7DA589FA">
            <w:pPr>
              <w:pStyle w:val="109"/>
              <w:jc w:val="left"/>
              <w:rPr>
                <w:color w:val="000000" w:themeColor="text1"/>
                <w:kern w:val="2"/>
                <w14:textFill>
                  <w14:solidFill>
                    <w14:schemeClr w14:val="tx1"/>
                  </w14:solidFill>
                </w14:textFill>
              </w:rPr>
            </w:pPr>
            <w:r>
              <w:rPr>
                <w:color w:val="000000" w:themeColor="text1"/>
                <w14:textFill>
                  <w14:solidFill>
                    <w14:schemeClr w14:val="tx1"/>
                  </w14:solidFill>
                </w14:textFill>
              </w:rPr>
              <w:t>3、严格实施淘汰或限用措施。对纳入《产业结构调整指导目录》淘汰类的工业化学品、农药、兽药、药品、化妆品等，未按期淘汰的，依法停止其产品登记或生产许可证核发。严格落实禁止进（出）口货物目录和《中国严格限制的有毒化学品名录》，加强进出口环境管控。强化环境影响评价管理，严格涉新污染物建设项目准入管理。依法严厉打击已淘汰六溴环十二烷等持久性有机污染物（POPs）的非法生产和加工使用。加强新增列POPs的淘汰，确保按照国家公告、公约的时间节点，按期完成淘汰任务。</w:t>
            </w:r>
          </w:p>
        </w:tc>
        <w:tc>
          <w:tcPr>
            <w:tcW w:w="1785" w:type="dxa"/>
            <w:vAlign w:val="center"/>
          </w:tcPr>
          <w:p w14:paraId="52AB2D09">
            <w:pPr>
              <w:pStyle w:val="109"/>
              <w:rPr>
                <w:color w:val="000000" w:themeColor="text1"/>
                <w14:textFill>
                  <w14:solidFill>
                    <w14:schemeClr w14:val="tx1"/>
                  </w14:solidFill>
                </w14:textFill>
              </w:rPr>
            </w:pPr>
            <w:r>
              <w:rPr>
                <w:color w:val="000000" w:themeColor="text1"/>
                <w14:textFill>
                  <w14:solidFill>
                    <w14:schemeClr w14:val="tx1"/>
                  </w14:solidFill>
                </w14:textFill>
              </w:rPr>
              <w:t>1、根据《重点管控新污染物清单（2023年版）》，本项目不涉及重点管控新污染物。</w:t>
            </w:r>
          </w:p>
          <w:p w14:paraId="0BEB9DCC">
            <w:pPr>
              <w:pStyle w:val="109"/>
              <w:rPr>
                <w:color w:val="000000" w:themeColor="text1"/>
                <w14:textFill>
                  <w14:solidFill>
                    <w14:schemeClr w14:val="tx1"/>
                  </w14:solidFill>
                </w14:textFill>
              </w:rPr>
            </w:pPr>
            <w:r>
              <w:rPr>
                <w:color w:val="000000" w:themeColor="text1"/>
                <w14:textFill>
                  <w14:solidFill>
                    <w14:schemeClr w14:val="tx1"/>
                  </w14:solidFill>
                </w14:textFill>
              </w:rPr>
              <w:t>2、本项目不涉及新化学物质的研究、生产、进口和加工使用活动。</w:t>
            </w:r>
          </w:p>
          <w:p w14:paraId="69114152">
            <w:pPr>
              <w:pStyle w:val="109"/>
              <w:rPr>
                <w:color w:val="000000" w:themeColor="text1"/>
                <w:kern w:val="2"/>
                <w14:textFill>
                  <w14:solidFill>
                    <w14:schemeClr w14:val="tx1"/>
                  </w14:solidFill>
                </w14:textFill>
              </w:rPr>
            </w:pPr>
            <w:r>
              <w:rPr>
                <w:color w:val="000000" w:themeColor="text1"/>
                <w14:textFill>
                  <w14:solidFill>
                    <w14:schemeClr w14:val="tx1"/>
                  </w14:solidFill>
                </w14:textFill>
              </w:rPr>
              <w:t>3、本项目不涉及《产业结构调整指导目录》淘汰类的物质，不涉及进出口货物，不涉及《中国严格限制的有毒化学品名录》中物质，不涉及六溴环十二烷等持久性有机污染物（POPs）的非法生产和加工使用</w:t>
            </w:r>
          </w:p>
        </w:tc>
        <w:tc>
          <w:tcPr>
            <w:tcW w:w="849" w:type="dxa"/>
            <w:vAlign w:val="center"/>
          </w:tcPr>
          <w:p w14:paraId="5603D90E">
            <w:pPr>
              <w:pStyle w:val="109"/>
              <w:rPr>
                <w:color w:val="000000" w:themeColor="text1"/>
                <w14:textFill>
                  <w14:solidFill>
                    <w14:schemeClr w14:val="tx1"/>
                  </w14:solidFill>
                </w14:textFill>
              </w:rPr>
            </w:pPr>
          </w:p>
        </w:tc>
      </w:tr>
      <w:tr w14:paraId="2C5A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6EC780A3">
            <w:pPr>
              <w:pStyle w:val="109"/>
              <w:rPr>
                <w:color w:val="000000" w:themeColor="text1"/>
                <w14:textFill>
                  <w14:solidFill>
                    <w14:schemeClr w14:val="tx1"/>
                  </w14:solidFill>
                </w14:textFill>
              </w:rPr>
            </w:pPr>
            <w:r>
              <w:rPr>
                <w:color w:val="000000" w:themeColor="text1"/>
                <w14:textFill>
                  <w14:solidFill>
                    <w14:schemeClr w14:val="tx1"/>
                  </w14:solidFill>
                </w14:textFill>
              </w:rPr>
              <w:t>《关于进一步加强乌鲁木齐、昌吉、石河子、五家渠区域大气环境同防同治的意见》的通知（新政办发〔2023〕29号）</w:t>
            </w:r>
          </w:p>
        </w:tc>
        <w:tc>
          <w:tcPr>
            <w:tcW w:w="4506" w:type="dxa"/>
            <w:vAlign w:val="center"/>
          </w:tcPr>
          <w:p w14:paraId="769EE8EB">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坚决遏制“高耗能、高排放、低水平”项目盲目发展。加快推进产业布局调整，严格高耗能、高排放、低水平（“两高一低”）项目准入，严格落实国家产业规划、产业政策、“三线一单”、规划环评，以及产能置换、煤炭消费见谅替代、区域污染物削减等要求，坚决叫停不符合要求的“两高一低”项目。新建、改建、扩建“两高一低”项目须符合生态环境保护法律法规和相关法定规划，满足重点污染物排放总量控制、碳排放碳达峰目标、生态环境准入清单、相关规划环评和相应行业建设项目环境准入条件、环评文件审批原则要求。要充分考虑环境容量、能耗双控、碳排放等因素，除国家规定新增原料用能不纳入能源消费总量控制的项目和列入国家规划项目外，“乌—昌—石”区域严控新建、扩建使用煤炭项目，严控新增钢铁、焦化、炼油、电解铝、水泥熟料、平板玻璃、煤化工产能。新建、改建、扩建项目严格按照产能置换办法实施减量置换。推行钢铁、焦化、烧结一体化布局，有序推动长流程炼钢转型为电炉短流程炼钢。</w:t>
            </w:r>
          </w:p>
        </w:tc>
        <w:tc>
          <w:tcPr>
            <w:tcW w:w="1785" w:type="dxa"/>
            <w:vAlign w:val="center"/>
          </w:tcPr>
          <w:p w14:paraId="495A7B61">
            <w:pPr>
              <w:pStyle w:val="109"/>
              <w:rPr>
                <w:color w:val="000000" w:themeColor="text1"/>
                <w14:textFill>
                  <w14:solidFill>
                    <w14:schemeClr w14:val="tx1"/>
                  </w14:solidFill>
                </w14:textFill>
              </w:rPr>
            </w:pPr>
            <w:r>
              <w:rPr>
                <w:color w:val="000000" w:themeColor="text1"/>
                <w14:textFill>
                  <w14:solidFill>
                    <w14:schemeClr w14:val="tx1"/>
                  </w14:solidFill>
                </w14:textFill>
              </w:rPr>
              <w:t>本项目不属于“高耗能、高排放、低水平”项目，符合园区产业布局规划，不属于“两高一低”项目，符合相关法律法规</w:t>
            </w:r>
          </w:p>
        </w:tc>
        <w:tc>
          <w:tcPr>
            <w:tcW w:w="849" w:type="dxa"/>
            <w:vAlign w:val="center"/>
          </w:tcPr>
          <w:p w14:paraId="2F3C0365">
            <w:pPr>
              <w:pStyle w:val="109"/>
              <w:rPr>
                <w:color w:val="000000" w:themeColor="text1"/>
                <w14:textFill>
                  <w14:solidFill>
                    <w14:schemeClr w14:val="tx1"/>
                  </w14:solidFill>
                </w14:textFill>
              </w:rPr>
            </w:pPr>
            <w:r>
              <w:rPr>
                <w:color w:val="000000" w:themeColor="text1"/>
                <w14:textFill>
                  <w14:solidFill>
                    <w14:schemeClr w14:val="tx1"/>
                  </w14:solidFill>
                </w14:textFill>
              </w:rPr>
              <w:t>复合</w:t>
            </w:r>
          </w:p>
        </w:tc>
      </w:tr>
      <w:tr w14:paraId="0B2C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385A7002">
            <w:pPr>
              <w:pStyle w:val="109"/>
              <w:rPr>
                <w:color w:val="000000" w:themeColor="text1"/>
                <w14:textFill>
                  <w14:solidFill>
                    <w14:schemeClr w14:val="tx1"/>
                  </w14:solidFill>
                </w14:textFill>
              </w:rPr>
            </w:pPr>
            <w:r>
              <w:rPr>
                <w:color w:val="000000" w:themeColor="text1"/>
                <w14:textFill>
                  <w14:solidFill>
                    <w14:schemeClr w14:val="tx1"/>
                  </w14:solidFill>
                </w14:textFill>
              </w:rPr>
              <w:t>《新疆维吾尔自治区“乌-昌-石”区域大气环境整治2024-2025年行动方案》</w:t>
            </w:r>
          </w:p>
        </w:tc>
        <w:tc>
          <w:tcPr>
            <w:tcW w:w="4506" w:type="dxa"/>
            <w:vAlign w:val="center"/>
          </w:tcPr>
          <w:p w14:paraId="0087CE4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加强高污染高排放行业生态环境源头防控。新（改、扩）建项目严格落实国家产业规划、产业政策、生态环境分区管控方案、规划环评、项目环评、节能审查、产能置换、重点污染物总量控制、污染物排放区域削减、碳排放达峰目标等相关要求。科学精准落实项目环评及“三同时”管理要求，监理高污染高排放项目环评管理台账，严格执行环评审批原则和准入条件，推动相关产业优化和结构调整，坚决避免“一刀切”。</w:t>
            </w:r>
          </w:p>
          <w:p w14:paraId="750038B3">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13、持续推进重点行业污染深度治理。继续推进排放总量在100吨以上的135家企业完成2024-2025年“一企一策”污染治理措施，同时增加区域内污染物排放总量在50-100吨的20家企业定制2024-2025年“一企一策”污染治理方案，选择成熟稳定的高效废气治理技术，明确污染物减排措施和完成时限，实现四项污染物减排约0.1万吨。完成钢铁行业、铸造行业（包括烧结、球团、高炉炼铁等工艺）超低排放改造。完成焦化、水泥行业超低排放改造主体设施建设。实现污染物无组织排放全流程控制和收集处理，实现厂区内无可见烟粉尘及明显异味。全面开展低效失效大气污染治理设施排查整治工作。</w:t>
            </w:r>
          </w:p>
        </w:tc>
        <w:tc>
          <w:tcPr>
            <w:tcW w:w="1785" w:type="dxa"/>
            <w:vAlign w:val="center"/>
          </w:tcPr>
          <w:p w14:paraId="248C27DC">
            <w:pPr>
              <w:pStyle w:val="109"/>
              <w:rPr>
                <w:color w:val="000000" w:themeColor="text1"/>
                <w14:textFill>
                  <w14:solidFill>
                    <w14:schemeClr w14:val="tx1"/>
                  </w14:solidFill>
                </w14:textFill>
              </w:rPr>
            </w:pPr>
            <w:r>
              <w:rPr>
                <w:color w:val="000000" w:themeColor="text1"/>
                <w14:textFill>
                  <w14:solidFill>
                    <w14:schemeClr w14:val="tx1"/>
                  </w14:solidFill>
                </w14:textFill>
              </w:rPr>
              <w:t>本项目不属于高污染高排放行业，采取相应的大气污染防治措施，确保大气污染物达标排放</w:t>
            </w:r>
          </w:p>
        </w:tc>
        <w:tc>
          <w:tcPr>
            <w:tcW w:w="849" w:type="dxa"/>
            <w:vAlign w:val="center"/>
          </w:tcPr>
          <w:p w14:paraId="2FE1F977">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542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3642C5CB">
            <w:pPr>
              <w:pStyle w:val="109"/>
              <w:rPr>
                <w:color w:val="000000" w:themeColor="text1"/>
                <w14:textFill>
                  <w14:solidFill>
                    <w14:schemeClr w14:val="tx1"/>
                  </w14:solidFill>
                </w14:textFill>
              </w:rPr>
            </w:pPr>
            <w:r>
              <w:rPr>
                <w:color w:val="000000" w:themeColor="text1"/>
                <w14:textFill>
                  <w14:solidFill>
                    <w14:schemeClr w14:val="tx1"/>
                  </w14:solidFill>
                </w14:textFill>
              </w:rPr>
              <w:t>《乌鲁木齐市大气污染防治条例》</w:t>
            </w:r>
          </w:p>
        </w:tc>
        <w:tc>
          <w:tcPr>
            <w:tcW w:w="4506" w:type="dxa"/>
            <w:vAlign w:val="center"/>
          </w:tcPr>
          <w:p w14:paraId="3AAABA7D">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第十八条 本市对大气污染物实行排污许可管理制度。实行排污许可管理的企业事业单位和其他生产经营者，应当按照国家、自治区和本市有关规定申请核发排污许可证，并按照排污许可证载明的污染物种类、许可排放浓度、许可排放量、排放方式、排放去向等要求排放污染物。</w:t>
            </w:r>
          </w:p>
          <w:p w14:paraId="42C11AA9">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第十九条 向大气排放污染物的企业事业单位和其他生产经营者，应当保持大气污染物处理设施的正常使用。大气污染物处理设施因维修、故障等原因不能正常使用的，排污单位应当及时向生态环境部门报告并采取措施，确保大气污染物排放达到规定的标准。</w:t>
            </w:r>
          </w:p>
          <w:p w14:paraId="0528A9A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第二十一条 向大气排放污染物的企业事业单位和其他生产经营者，应当按照国家、自治区和本市技术规范和标准设置大气污染物排放口，并明确其标志。其污染物排放不得超过国家、自治区和本市规定的标准，并符合重点大气污染物排放总量控制要求。</w:t>
            </w:r>
          </w:p>
        </w:tc>
        <w:tc>
          <w:tcPr>
            <w:tcW w:w="1785" w:type="dxa"/>
            <w:vAlign w:val="center"/>
          </w:tcPr>
          <w:p w14:paraId="0401207F">
            <w:pPr>
              <w:pStyle w:val="109"/>
              <w:rPr>
                <w:color w:val="000000" w:themeColor="text1"/>
                <w14:textFill>
                  <w14:solidFill>
                    <w14:schemeClr w14:val="tx1"/>
                  </w14:solidFill>
                </w14:textFill>
              </w:rPr>
            </w:pPr>
            <w:r>
              <w:rPr>
                <w:color w:val="000000" w:themeColor="text1"/>
                <w14:textFill>
                  <w14:solidFill>
                    <w14:schemeClr w14:val="tx1"/>
                  </w14:solidFill>
                </w14:textFill>
              </w:rPr>
              <w:t>本项目严格按照国家规范申请排污许可证，同时采取相应的大气污染治理措施，确保大气污染物达标排放</w:t>
            </w:r>
          </w:p>
        </w:tc>
        <w:tc>
          <w:tcPr>
            <w:tcW w:w="849" w:type="dxa"/>
            <w:vAlign w:val="center"/>
          </w:tcPr>
          <w:p w14:paraId="3A485DC9">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B84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6D6462F8">
            <w:pPr>
              <w:pStyle w:val="109"/>
              <w:rPr>
                <w:color w:val="000000" w:themeColor="text1"/>
                <w14:textFill>
                  <w14:solidFill>
                    <w14:schemeClr w14:val="tx1"/>
                  </w14:solidFill>
                </w14:textFill>
              </w:rPr>
            </w:pPr>
            <w:r>
              <w:rPr>
                <w:color w:val="000000" w:themeColor="text1"/>
                <w14:textFill>
                  <w14:solidFill>
                    <w14:schemeClr w14:val="tx1"/>
                  </w14:solidFill>
                </w14:textFill>
              </w:rPr>
              <w:t>《乌鲁木齐甘泉堡经济技术开发区(工业区)条例》</w:t>
            </w:r>
          </w:p>
        </w:tc>
        <w:tc>
          <w:tcPr>
            <w:tcW w:w="4506" w:type="dxa"/>
            <w:vAlign w:val="center"/>
          </w:tcPr>
          <w:p w14:paraId="3F35C38C">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第十二条 开发区管委会应当建立严格的生态环境保护制度，严禁不符合生态环境保护规定的产业项目进入园区。</w:t>
            </w:r>
          </w:p>
        </w:tc>
        <w:tc>
          <w:tcPr>
            <w:tcW w:w="1785" w:type="dxa"/>
            <w:vAlign w:val="center"/>
          </w:tcPr>
          <w:p w14:paraId="0C9BAAA7">
            <w:pPr>
              <w:pStyle w:val="109"/>
              <w:rPr>
                <w:color w:val="000000" w:themeColor="text1"/>
                <w14:textFill>
                  <w14:solidFill>
                    <w14:schemeClr w14:val="tx1"/>
                  </w14:solidFill>
                </w14:textFill>
              </w:rPr>
            </w:pPr>
            <w:r>
              <w:rPr>
                <w:color w:val="000000" w:themeColor="text1"/>
                <w14:textFill>
                  <w14:solidFill>
                    <w14:schemeClr w14:val="tx1"/>
                  </w14:solidFill>
                </w14:textFill>
              </w:rPr>
              <w:t>本项目不属于不符合生态环境保护规定的产业项目</w:t>
            </w:r>
          </w:p>
        </w:tc>
        <w:tc>
          <w:tcPr>
            <w:tcW w:w="849" w:type="dxa"/>
            <w:vAlign w:val="center"/>
          </w:tcPr>
          <w:p w14:paraId="4AEE8582">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6DB80B4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与废水有关环境保护法律法规、标准、政策和规范符合性分析</w:t>
      </w:r>
    </w:p>
    <w:p w14:paraId="4894B9A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本项目与废水有关环境保护法律法规、标准、政策和规范符合性分析详见下表。</w:t>
      </w:r>
    </w:p>
    <w:p w14:paraId="0CA3B51C">
      <w:pPr>
        <w:pStyle w:val="117"/>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本项目与废水有关环境保护法律法规、标准、政策和规范符合性分析一览表</w:t>
      </w:r>
    </w:p>
    <w:tbl>
      <w:tblPr>
        <w:tblStyle w:val="77"/>
        <w:tblW w:w="51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5523"/>
        <w:gridCol w:w="2102"/>
        <w:gridCol w:w="948"/>
      </w:tblGrid>
      <w:tr w14:paraId="459D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Align w:val="center"/>
          </w:tcPr>
          <w:p w14:paraId="7F679A6E">
            <w:pPr>
              <w:pStyle w:val="109"/>
              <w:rPr>
                <w:color w:val="000000" w:themeColor="text1"/>
                <w14:textFill>
                  <w14:solidFill>
                    <w14:schemeClr w14:val="tx1"/>
                  </w14:solidFill>
                </w14:textFill>
              </w:rPr>
            </w:pPr>
            <w:r>
              <w:rPr>
                <w:color w:val="000000" w:themeColor="text1"/>
                <w14:textFill>
                  <w14:solidFill>
                    <w14:schemeClr w14:val="tx1"/>
                  </w14:solidFill>
                </w14:textFill>
              </w:rPr>
              <w:t>文件名称</w:t>
            </w:r>
          </w:p>
        </w:tc>
        <w:tc>
          <w:tcPr>
            <w:tcW w:w="4763" w:type="dxa"/>
            <w:vAlign w:val="center"/>
          </w:tcPr>
          <w:p w14:paraId="449C750F">
            <w:pPr>
              <w:pStyle w:val="109"/>
              <w:rPr>
                <w:color w:val="000000" w:themeColor="text1"/>
                <w14:textFill>
                  <w14:solidFill>
                    <w14:schemeClr w14:val="tx1"/>
                  </w14:solidFill>
                </w14:textFill>
              </w:rPr>
            </w:pPr>
            <w:r>
              <w:rPr>
                <w:color w:val="000000" w:themeColor="text1"/>
                <w14:textFill>
                  <w14:solidFill>
                    <w14:schemeClr w14:val="tx1"/>
                  </w14:solidFill>
                </w14:textFill>
              </w:rPr>
              <w:t>文件相关要求</w:t>
            </w:r>
          </w:p>
        </w:tc>
        <w:tc>
          <w:tcPr>
            <w:tcW w:w="1813" w:type="dxa"/>
            <w:vAlign w:val="center"/>
          </w:tcPr>
          <w:p w14:paraId="4143871B">
            <w:pPr>
              <w:pStyle w:val="109"/>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817" w:type="dxa"/>
            <w:vAlign w:val="center"/>
          </w:tcPr>
          <w:p w14:paraId="56A2FBA9">
            <w:pPr>
              <w:pStyle w:val="109"/>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1A01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Align w:val="center"/>
          </w:tcPr>
          <w:p w14:paraId="43B6DB23">
            <w:pPr>
              <w:pStyle w:val="109"/>
              <w:rPr>
                <w:color w:val="000000" w:themeColor="text1"/>
                <w14:textFill>
                  <w14:solidFill>
                    <w14:schemeClr w14:val="tx1"/>
                  </w14:solidFill>
                </w14:textFill>
              </w:rPr>
            </w:pPr>
            <w:r>
              <w:rPr>
                <w:color w:val="000000" w:themeColor="text1"/>
                <w14:textFill>
                  <w14:solidFill>
                    <w14:schemeClr w14:val="tx1"/>
                  </w14:solidFill>
                </w14:textFill>
              </w:rPr>
              <w:t>《中华人民共和国水污染防治法》</w:t>
            </w:r>
          </w:p>
        </w:tc>
        <w:tc>
          <w:tcPr>
            <w:tcW w:w="4763" w:type="dxa"/>
            <w:vAlign w:val="center"/>
          </w:tcPr>
          <w:p w14:paraId="5901ACA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第四十四条  国务院有关部门和县级以上地方人民政府应当合理规划工业布局，要求造成水污染的企业进行技术改造，采取综合防治措施，提高水的重复利用率，减少废水和污染物排放量。</w:t>
            </w:r>
          </w:p>
          <w:p w14:paraId="30493B7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第四十五条  排放工业废水的企业应当采取有效措施，收集和处理产生的全部废水，防止污染环境。含有毒有害水污染物的工业废水应当分类收集和处理，不得稀释排放。</w:t>
            </w:r>
          </w:p>
          <w:p w14:paraId="047B11EF">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工业集聚区应当配套建设相应的污水集中处理设施，安装自动监测设备，与环境保护主管部门的监控设备联网，并保证监测设备正常运行。</w:t>
            </w:r>
          </w:p>
          <w:p w14:paraId="006BBF2A">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向污水集中处理设施排放工业废水的，应当按照国家有关规定进行预处理，达到集中处理设施处理工艺要求后方可排放。</w:t>
            </w:r>
          </w:p>
          <w:p w14:paraId="409170B8">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第四十六条  国家对严重污染水环境的落后工艺和设备实行淘汰制度。国务院经济综合宏观调控部门会同国务院有关部门，公布限期禁止采用的严重污染水环境的工艺名录和限期禁止生产、销售、进口、使用的严重污染水环境的设备名录。生产者、销售者、进口者或者使用者应当在规定的期限内停止生产、销售、进口或者使用列入前款规定的设备名录中的设备。工艺的采用者应当在规定的期限内停止采用列入前款规定的工艺名录中的工艺。依照本条第二款、第三款规定被淘汰的设备，不得转让给他人使用。</w:t>
            </w:r>
          </w:p>
          <w:p w14:paraId="269E211B">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第四十七条  国家禁止新建不符合国家产业政策的小型造纸、制革、印染、染料、炼焦、炼硫、炼砷、炼汞、炼油、电镀、农药、石棉、水泥、玻璃、钢铁、火电以及其他严重污染水环境的生产项目。</w:t>
            </w:r>
          </w:p>
          <w:p w14:paraId="1B68DB15">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第四十八条  企业应当采用原材料利用效率高、污染物排放量少的清洁工艺，并加强管理，减少水污染物的产生。</w:t>
            </w:r>
          </w:p>
        </w:tc>
        <w:tc>
          <w:tcPr>
            <w:tcW w:w="1813" w:type="dxa"/>
            <w:vAlign w:val="center"/>
          </w:tcPr>
          <w:p w14:paraId="20A9790A">
            <w:pPr>
              <w:pStyle w:val="109"/>
              <w:rPr>
                <w:color w:val="000000" w:themeColor="text1"/>
                <w14:textFill>
                  <w14:solidFill>
                    <w14:schemeClr w14:val="tx1"/>
                  </w14:solidFill>
                </w14:textFill>
              </w:rPr>
            </w:pPr>
            <w:r>
              <w:rPr>
                <w:color w:val="000000" w:themeColor="text1"/>
                <w14:textFill>
                  <w14:solidFill>
                    <w14:schemeClr w14:val="tx1"/>
                  </w14:solidFill>
                </w14:textFill>
              </w:rPr>
              <w:t>本项目废水经园区污水管网，排入园区污水处理厂，无废水直接外排</w:t>
            </w:r>
          </w:p>
        </w:tc>
        <w:tc>
          <w:tcPr>
            <w:tcW w:w="817" w:type="dxa"/>
            <w:vAlign w:val="center"/>
          </w:tcPr>
          <w:p w14:paraId="20954841">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4E7129F4">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与噪声有关环境保护法律法规、标准、政策和规范符合性分析</w:t>
      </w:r>
    </w:p>
    <w:p w14:paraId="66634B2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本项目与噪声有关环境保护法律法规、标准、政策和规范符合性分析详见下表。</w:t>
      </w:r>
    </w:p>
    <w:p w14:paraId="0A463ADC">
      <w:pPr>
        <w:pStyle w:val="117"/>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本项目与噪声有关环境保护法律法规、标准、政策和规范符合性分析一览表</w:t>
      </w:r>
    </w:p>
    <w:tbl>
      <w:tblPr>
        <w:tblStyle w:val="77"/>
        <w:tblW w:w="51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5523"/>
        <w:gridCol w:w="2102"/>
        <w:gridCol w:w="948"/>
      </w:tblGrid>
      <w:tr w14:paraId="4850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Align w:val="center"/>
          </w:tcPr>
          <w:p w14:paraId="434CC5CA">
            <w:pPr>
              <w:pStyle w:val="109"/>
              <w:rPr>
                <w:color w:val="000000" w:themeColor="text1"/>
                <w14:textFill>
                  <w14:solidFill>
                    <w14:schemeClr w14:val="tx1"/>
                  </w14:solidFill>
                </w14:textFill>
              </w:rPr>
            </w:pPr>
            <w:r>
              <w:rPr>
                <w:color w:val="000000" w:themeColor="text1"/>
                <w14:textFill>
                  <w14:solidFill>
                    <w14:schemeClr w14:val="tx1"/>
                  </w14:solidFill>
                </w14:textFill>
              </w:rPr>
              <w:t>文件名称</w:t>
            </w:r>
          </w:p>
        </w:tc>
        <w:tc>
          <w:tcPr>
            <w:tcW w:w="4763" w:type="dxa"/>
            <w:vAlign w:val="center"/>
          </w:tcPr>
          <w:p w14:paraId="734CB53D">
            <w:pPr>
              <w:pStyle w:val="109"/>
              <w:rPr>
                <w:color w:val="000000" w:themeColor="text1"/>
                <w14:textFill>
                  <w14:solidFill>
                    <w14:schemeClr w14:val="tx1"/>
                  </w14:solidFill>
                </w14:textFill>
              </w:rPr>
            </w:pPr>
            <w:r>
              <w:rPr>
                <w:color w:val="000000" w:themeColor="text1"/>
                <w14:textFill>
                  <w14:solidFill>
                    <w14:schemeClr w14:val="tx1"/>
                  </w14:solidFill>
                </w14:textFill>
              </w:rPr>
              <w:t>文件相关要求</w:t>
            </w:r>
          </w:p>
        </w:tc>
        <w:tc>
          <w:tcPr>
            <w:tcW w:w="1813" w:type="dxa"/>
            <w:vAlign w:val="center"/>
          </w:tcPr>
          <w:p w14:paraId="60D1E3B6">
            <w:pPr>
              <w:pStyle w:val="109"/>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817" w:type="dxa"/>
            <w:vAlign w:val="center"/>
          </w:tcPr>
          <w:p w14:paraId="6F19B560">
            <w:pPr>
              <w:pStyle w:val="109"/>
              <w:ind w:left="-144" w:leftChars="-60" w:right="-103" w:rightChars="-43"/>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2E02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Align w:val="center"/>
          </w:tcPr>
          <w:p w14:paraId="42D5E3D9">
            <w:pPr>
              <w:pStyle w:val="109"/>
              <w:rPr>
                <w:color w:val="000000" w:themeColor="text1"/>
                <w14:textFill>
                  <w14:solidFill>
                    <w14:schemeClr w14:val="tx1"/>
                  </w14:solidFill>
                </w14:textFill>
              </w:rPr>
            </w:pPr>
            <w:r>
              <w:rPr>
                <w:color w:val="000000" w:themeColor="text1"/>
                <w14:textFill>
                  <w14:solidFill>
                    <w14:schemeClr w14:val="tx1"/>
                  </w14:solidFill>
                </w14:textFill>
              </w:rPr>
              <w:t>《中华人民共和国噪声污染防治法》</w:t>
            </w:r>
          </w:p>
        </w:tc>
        <w:tc>
          <w:tcPr>
            <w:tcW w:w="4763" w:type="dxa"/>
            <w:vAlign w:val="center"/>
          </w:tcPr>
          <w:p w14:paraId="2292C8B6">
            <w:pPr>
              <w:pStyle w:val="109"/>
              <w:rPr>
                <w:color w:val="000000" w:themeColor="text1"/>
                <w14:textFill>
                  <w14:solidFill>
                    <w14:schemeClr w14:val="tx1"/>
                  </w14:solidFill>
                </w14:textFill>
              </w:rPr>
            </w:pPr>
            <w:r>
              <w:rPr>
                <w:color w:val="000000" w:themeColor="text1"/>
                <w14:textFill>
                  <w14:solidFill>
                    <w14:schemeClr w14:val="tx1"/>
                  </w14:solidFill>
                </w14:textFill>
              </w:rPr>
              <w:t>第三十五条 工业企业选址应当符合国土空间规划以及相关规划要求，县级以上地方人民政府应当按照规划要求优化工业企业布局，防止工业噪声污染。在噪声敏感建筑物集中区域，禁止新建排放噪声的工业企业，改建、扩建工业企业的，应当采取有效措施防止工业噪声污染。</w:t>
            </w:r>
          </w:p>
          <w:p w14:paraId="742AAF87">
            <w:pPr>
              <w:pStyle w:val="109"/>
              <w:rPr>
                <w:color w:val="000000" w:themeColor="text1"/>
                <w14:textFill>
                  <w14:solidFill>
                    <w14:schemeClr w14:val="tx1"/>
                  </w14:solidFill>
                </w14:textFill>
              </w:rPr>
            </w:pPr>
            <w:r>
              <w:rPr>
                <w:color w:val="000000" w:themeColor="text1"/>
                <w14:textFill>
                  <w14:solidFill>
                    <w14:schemeClr w14:val="tx1"/>
                  </w14:solidFill>
                </w14:textFill>
              </w:rPr>
              <w:t>第三十六条 排放工业噪声的企业事业单位和其他生产经营者，应当采取有效措施，减少振动、降低噪声，依法取得排污许可证或者填报排污登记表。实行排污许可管理的单位，不得无排污许可证排放工业噪声，并应当按照排污许可证的要求进行噪声污染防治。</w:t>
            </w:r>
          </w:p>
          <w:p w14:paraId="249CBDD7">
            <w:pPr>
              <w:pStyle w:val="109"/>
              <w:rPr>
                <w:color w:val="000000" w:themeColor="text1"/>
                <w14:textFill>
                  <w14:solidFill>
                    <w14:schemeClr w14:val="tx1"/>
                  </w14:solidFill>
                </w14:textFill>
              </w:rPr>
            </w:pPr>
            <w:r>
              <w:rPr>
                <w:color w:val="000000" w:themeColor="text1"/>
                <w14:textFill>
                  <w14:solidFill>
                    <w14:schemeClr w14:val="tx1"/>
                  </w14:solidFill>
                </w14:textFill>
              </w:rPr>
              <w:t>第三十八条 实行排污许可管理的单位应当按照规定，对工业噪声开展自行监测，保存原始监测记录，向社会公开监测结果，对监测数据的真实性和准确性负责。噪声重点排污单位应当按照国家规定，安装、使用、维护噪声自动监测设备，与生态环境主管部门的监控设备联网。</w:t>
            </w:r>
          </w:p>
        </w:tc>
        <w:tc>
          <w:tcPr>
            <w:tcW w:w="1813" w:type="dxa"/>
            <w:vAlign w:val="center"/>
          </w:tcPr>
          <w:p w14:paraId="2C2B94E2">
            <w:pPr>
              <w:pStyle w:val="109"/>
              <w:rPr>
                <w:color w:val="000000" w:themeColor="text1"/>
                <w14:textFill>
                  <w14:solidFill>
                    <w14:schemeClr w14:val="tx1"/>
                  </w14:solidFill>
                </w14:textFill>
              </w:rPr>
            </w:pPr>
            <w:r>
              <w:rPr>
                <w:color w:val="000000" w:themeColor="text1"/>
                <w14:textFill>
                  <w14:solidFill>
                    <w14:schemeClr w14:val="tx1"/>
                  </w14:solidFill>
                </w14:textFill>
              </w:rPr>
              <w:t>本项目位于园区，符合园区相关规划，同时本项目采取相应的噪声防治措施，并按国家规范申请排污许可证，同时进行监测</w:t>
            </w:r>
          </w:p>
        </w:tc>
        <w:tc>
          <w:tcPr>
            <w:tcW w:w="817" w:type="dxa"/>
            <w:vAlign w:val="center"/>
          </w:tcPr>
          <w:p w14:paraId="1EFB6949">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3F1BCB52">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与固体废物有关环境保护法律法规、标准、政策和规范符合性分析</w:t>
      </w:r>
    </w:p>
    <w:p w14:paraId="2853ECD2">
      <w:pPr>
        <w:widowControl/>
        <w:autoSpaceDE/>
        <w:autoSpaceDN/>
        <w:ind w:firstLine="48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本项目与固体废物有关环境保护法律法规、标准、政策和规范符合性分析详见下表。</w:t>
      </w:r>
    </w:p>
    <w:p w14:paraId="36B0FA93">
      <w:pPr>
        <w:pStyle w:val="117"/>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本项目与固体废物有关环境保护法律法规、标准、政策和规范符合性分析一览表</w:t>
      </w:r>
    </w:p>
    <w:tbl>
      <w:tblPr>
        <w:tblStyle w:val="77"/>
        <w:tblW w:w="51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5512"/>
        <w:gridCol w:w="2114"/>
        <w:gridCol w:w="947"/>
      </w:tblGrid>
      <w:tr w14:paraId="30D2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3E899B6A">
            <w:pPr>
              <w:pStyle w:val="109"/>
              <w:rPr>
                <w:color w:val="000000" w:themeColor="text1"/>
                <w14:textFill>
                  <w14:solidFill>
                    <w14:schemeClr w14:val="tx1"/>
                  </w14:solidFill>
                </w14:textFill>
              </w:rPr>
            </w:pPr>
            <w:r>
              <w:rPr>
                <w:color w:val="000000" w:themeColor="text1"/>
                <w14:textFill>
                  <w14:solidFill>
                    <w14:schemeClr w14:val="tx1"/>
                  </w14:solidFill>
                </w14:textFill>
              </w:rPr>
              <w:t>文件名称</w:t>
            </w:r>
          </w:p>
        </w:tc>
        <w:tc>
          <w:tcPr>
            <w:tcW w:w="5383" w:type="dxa"/>
            <w:vAlign w:val="center"/>
          </w:tcPr>
          <w:p w14:paraId="401C0C52">
            <w:pPr>
              <w:pStyle w:val="109"/>
              <w:rPr>
                <w:color w:val="000000" w:themeColor="text1"/>
                <w14:textFill>
                  <w14:solidFill>
                    <w14:schemeClr w14:val="tx1"/>
                  </w14:solidFill>
                </w14:textFill>
              </w:rPr>
            </w:pPr>
            <w:r>
              <w:rPr>
                <w:color w:val="000000" w:themeColor="text1"/>
                <w14:textFill>
                  <w14:solidFill>
                    <w14:schemeClr w14:val="tx1"/>
                  </w14:solidFill>
                </w14:textFill>
              </w:rPr>
              <w:t>文件相关要求</w:t>
            </w:r>
          </w:p>
        </w:tc>
        <w:tc>
          <w:tcPr>
            <w:tcW w:w="2064" w:type="dxa"/>
            <w:vAlign w:val="center"/>
          </w:tcPr>
          <w:p w14:paraId="0F118553">
            <w:pPr>
              <w:pStyle w:val="109"/>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925" w:type="dxa"/>
            <w:vAlign w:val="center"/>
          </w:tcPr>
          <w:p w14:paraId="2E348B55">
            <w:pPr>
              <w:pStyle w:val="109"/>
              <w:ind w:left="-144" w:leftChars="-60" w:right="-103" w:rightChars="-43"/>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6B3A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vAlign w:val="center"/>
          </w:tcPr>
          <w:p w14:paraId="05955129">
            <w:pPr>
              <w:pStyle w:val="109"/>
              <w:rPr>
                <w:color w:val="000000" w:themeColor="text1"/>
                <w14:textFill>
                  <w14:solidFill>
                    <w14:schemeClr w14:val="tx1"/>
                  </w14:solidFill>
                </w14:textFill>
              </w:rPr>
            </w:pPr>
            <w:r>
              <w:rPr>
                <w:color w:val="000000" w:themeColor="text1"/>
                <w14:textFill>
                  <w14:solidFill>
                    <w14:schemeClr w14:val="tx1"/>
                  </w14:solidFill>
                </w14:textFill>
              </w:rPr>
              <w:t>《中华人民共和国固体废物污染环境防治法》</w:t>
            </w:r>
          </w:p>
        </w:tc>
        <w:tc>
          <w:tcPr>
            <w:tcW w:w="5383" w:type="dxa"/>
            <w:vAlign w:val="center"/>
          </w:tcPr>
          <w:p w14:paraId="4C57382F">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第三十六条 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w:t>
            </w:r>
          </w:p>
          <w:p w14:paraId="491335F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第三十七条 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w:t>
            </w:r>
          </w:p>
          <w:p w14:paraId="01095AB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第三十八条 产生工业固体废物的单位应当依法实施清洁生产审核，合理选择和利用原材料、能源和其他资源，采用先进的生产工艺和设备，减少工业固体废物的产生量，降低工业固体废物的危害性。</w:t>
            </w:r>
          </w:p>
          <w:p w14:paraId="5EE9AAC4">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第三十九条 产生工业固体废物的单位应当取得排污许可证。排污许可的具体办法和实施步骤由国务院规定。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45491950">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第四十条 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建设工业固体废物贮存、处置的设施、场所，应当符合国家环境保护标准。</w:t>
            </w:r>
          </w:p>
          <w:p w14:paraId="205CFDE3">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第四十一条 产生工业固体废物的单位终止的，应当在终止前对工业固体废物的贮存、处置的设施、场所采取污染防治措施，并对未处置的工业固体废物作出妥善处置，防止污染环境。产生工业固体废物的单位发生变更的，变更后的单位应当按照国家有关环境保护的规定对未处置的工业固体废物及其贮存、处置的设施、场所进行安全处置或者采取有效措施保证该设施、场所安全运行。变更前当事人对工业固体废物及其贮存、处置的设施、场所的污染防治责任另有约定的，从其约定；但是，不得免除当事人的污染防治义务。对2005年4月1日前已经终止的单位未处置的工业固体废物及其贮存、处置的设施、场所进行安全处置的费用，由有关人民政府承担；但是，该单位享有的土地使用权依法转让的，应当由土地使用权受让人承担处置费用。当事人另有约定的，从其约定；但是，不得免除当事人的污染防治义务。</w:t>
            </w:r>
          </w:p>
        </w:tc>
        <w:tc>
          <w:tcPr>
            <w:tcW w:w="2064" w:type="dxa"/>
            <w:vAlign w:val="center"/>
          </w:tcPr>
          <w:p w14:paraId="2A84AF8E">
            <w:pPr>
              <w:pStyle w:val="109"/>
              <w:rPr>
                <w:color w:val="000000" w:themeColor="text1"/>
                <w14:textFill>
                  <w14:solidFill>
                    <w14:schemeClr w14:val="tx1"/>
                  </w14:solidFill>
                </w14:textFill>
              </w:rPr>
            </w:pPr>
            <w:r>
              <w:rPr>
                <w:color w:val="000000" w:themeColor="text1"/>
                <w14:textFill>
                  <w14:solidFill>
                    <w14:schemeClr w14:val="tx1"/>
                  </w14:solidFill>
                </w14:textFill>
              </w:rPr>
              <w:t>本项目由企业主要负责人负责环保管理工作，包括：建立工业固体废物管理台账、签订固废处置协议等，项目拟建的工业固废暂存场所，符合国家环境保护标准的防护措施</w:t>
            </w:r>
          </w:p>
        </w:tc>
        <w:tc>
          <w:tcPr>
            <w:tcW w:w="925" w:type="dxa"/>
            <w:vAlign w:val="center"/>
          </w:tcPr>
          <w:p w14:paraId="3F4F9601">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4DE1DB16">
      <w:pPr>
        <w:pStyle w:val="4"/>
        <w:rPr>
          <w:color w:val="000000" w:themeColor="text1"/>
          <w14:textFill>
            <w14:solidFill>
              <w14:schemeClr w14:val="tx1"/>
            </w14:solidFill>
          </w14:textFill>
        </w:rPr>
      </w:pPr>
      <w:bookmarkStart w:id="526" w:name="_Toc225268334"/>
      <w:bookmarkStart w:id="527" w:name="_Hlk63671713"/>
      <w:r>
        <w:rPr>
          <w:color w:val="000000" w:themeColor="text1"/>
          <w14:textFill>
            <w14:solidFill>
              <w14:schemeClr w14:val="tx1"/>
            </w14:solidFill>
          </w14:textFill>
        </w:rPr>
        <w:t>项目与《新疆维吾尔自治区 2026 年危险废物利用处置设施投资建设引导性公告》的协调性分析</w:t>
      </w:r>
    </w:p>
    <w:p w14:paraId="748659E6">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为规范危险废物利用处置市场、优化能力结构、避免低水平重复建设，新疆维吾尔自治区生态环境厅发布《关于新疆维吾尔自治区2026年危险废物利用处置设施投资建设引导性公告》（以下简称《公告》），明确全区危险废物利用、处置总能力已高于产生总量，基本形成焚烧、填埋、综合利用等多方式并举的处理体系；同时对鼓励建设、谨慎建设类别作出分类引导，重点防范过剩类别盲目扩能，补齐部分类别资源化短板。本项目为</w:t>
      </w:r>
      <w:r>
        <w:rPr>
          <w:rStyle w:val="84"/>
          <w:rFonts w:ascii="Arial" w:hAnsi="Arial" w:cs="Arial"/>
          <w:b w:val="0"/>
          <w:bCs w:val="0"/>
          <w:color w:val="000000" w:themeColor="text1"/>
          <w14:textFill>
            <w14:solidFill>
              <w14:schemeClr w14:val="tx1"/>
            </w14:solidFill>
          </w14:textFill>
        </w:rPr>
        <w:t>工业废盐（危险废物）热解焚烧+资源化制融雪剂</w:t>
      </w:r>
      <w:r>
        <w:rPr>
          <w:color w:val="000000" w:themeColor="text1"/>
          <w14:textFill>
            <w14:solidFill>
              <w14:schemeClr w14:val="tx1"/>
            </w14:solidFill>
          </w14:textFill>
        </w:rPr>
        <w:t>项目，属于危险废物治理（N7724）范畴，其建设内容、工艺路线及产品方案与《公告》总体导向</w:t>
      </w:r>
      <w:r>
        <w:rPr>
          <w:rStyle w:val="84"/>
          <w:rFonts w:ascii="Arial" w:hAnsi="Arial" w:cs="Arial"/>
          <w:b w:val="0"/>
          <w:bCs w:val="0"/>
          <w:color w:val="000000" w:themeColor="text1"/>
          <w14:textFill>
            <w14:solidFill>
              <w14:schemeClr w14:val="tx1"/>
            </w14:solidFill>
          </w14:textFill>
        </w:rPr>
        <w:t>高度协调、符合区域危废治理政策要求</w:t>
      </w:r>
      <w:r>
        <w:rPr>
          <w:color w:val="000000" w:themeColor="text1"/>
          <w14:textFill>
            <w14:solidFill>
              <w14:schemeClr w14:val="tx1"/>
            </w14:solidFill>
          </w14:textFill>
        </w:rPr>
        <w:t>，具体协调性分析如下：</w:t>
      </w:r>
    </w:p>
    <w:p w14:paraId="6133C3D7">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一、项目类别不属于《公告》明确“能力过剩、谨慎建设”范畴</w:t>
      </w:r>
    </w:p>
    <w:p w14:paraId="19ECEF8A">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《公告》将</w:t>
      </w:r>
      <w:r>
        <w:rPr>
          <w:rStyle w:val="84"/>
          <w:rFonts w:ascii="Arial" w:hAnsi="Arial" w:cs="Arial"/>
          <w:b w:val="0"/>
          <w:bCs w:val="0"/>
          <w:color w:val="000000" w:themeColor="text1"/>
          <w14:textFill>
            <w14:solidFill>
              <w14:schemeClr w14:val="tx1"/>
            </w14:solidFill>
          </w14:textFill>
        </w:rPr>
        <w:t>废矿物油、精馏残渣、有色金属冶炼废物、废铅酸蓄电池、废包装桶、废催化剂</w:t>
      </w:r>
      <w:r>
        <w:rPr>
          <w:color w:val="000000" w:themeColor="text1"/>
          <w14:textFill>
            <w14:solidFill>
              <w14:schemeClr w14:val="tx1"/>
            </w14:solidFill>
          </w14:textFill>
        </w:rPr>
        <w:t>等列为能力明显过剩、建议谨慎投资的利用类别；对</w:t>
      </w:r>
      <w:r>
        <w:rPr>
          <w:rStyle w:val="84"/>
          <w:rFonts w:ascii="Arial" w:hAnsi="Arial" w:cs="Arial"/>
          <w:b w:val="0"/>
          <w:bCs w:val="0"/>
          <w:color w:val="000000" w:themeColor="text1"/>
          <w14:textFill>
            <w14:solidFill>
              <w14:schemeClr w14:val="tx1"/>
            </w14:solidFill>
          </w14:textFill>
        </w:rPr>
        <w:t>一般综合处置（含焚烧填埋）、水泥窑协同处置</w:t>
      </w:r>
      <w:r>
        <w:rPr>
          <w:color w:val="000000" w:themeColor="text1"/>
          <w14:textFill>
            <w14:solidFill>
              <w14:schemeClr w14:val="tx1"/>
            </w14:solidFill>
          </w14:textFill>
        </w:rPr>
        <w:t>等也提示谨慎建设。</w:t>
      </w:r>
    </w:p>
    <w:p w14:paraId="31AE5235">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本项目处理对象为</w:t>
      </w:r>
      <w:r>
        <w:rPr>
          <w:rStyle w:val="84"/>
          <w:rFonts w:ascii="Arial" w:hAnsi="Arial" w:cs="Arial"/>
          <w:b w:val="0"/>
          <w:bCs w:val="0"/>
          <w:color w:val="000000" w:themeColor="text1"/>
          <w14:textFill>
            <w14:solidFill>
              <w14:schemeClr w14:val="tx1"/>
            </w14:solidFill>
          </w14:textFill>
        </w:rPr>
        <w:t>工业废盐</w:t>
      </w:r>
      <w:r>
        <w:rPr>
          <w:color w:val="000000" w:themeColor="text1"/>
          <w14:textFill>
            <w14:solidFill>
              <w14:schemeClr w14:val="tx1"/>
            </w14:solidFill>
          </w14:textFill>
        </w:rPr>
        <w:t>，不在上述“过剩类别清单”内。对照历年自治区危废引导性公告及市场分析，</w:t>
      </w:r>
      <w:r>
        <w:rPr>
          <w:rStyle w:val="84"/>
          <w:rFonts w:ascii="Arial" w:hAnsi="Arial" w:cs="Arial"/>
          <w:b w:val="0"/>
          <w:bCs w:val="0"/>
          <w:color w:val="000000" w:themeColor="text1"/>
          <w14:textFill>
            <w14:solidFill>
              <w14:schemeClr w14:val="tx1"/>
            </w14:solidFill>
          </w14:textFill>
        </w:rPr>
        <w:t>废盐长期属于区内利用处置能力相对不足、需合理补齐的类别</w:t>
      </w:r>
      <w:r>
        <w:rPr>
          <w:color w:val="000000" w:themeColor="text1"/>
          <w14:textFill>
            <w14:solidFill>
              <w14:schemeClr w14:val="tx1"/>
            </w14:solidFill>
          </w14:textFill>
        </w:rPr>
        <w:t>。本项目以园区及乌鲁木齐市域化工废盐为主、辐射周边，属于</w:t>
      </w:r>
      <w:r>
        <w:rPr>
          <w:rStyle w:val="84"/>
          <w:rFonts w:ascii="Arial" w:hAnsi="Arial" w:cs="Arial"/>
          <w:b w:val="0"/>
          <w:bCs w:val="0"/>
          <w:color w:val="000000" w:themeColor="text1"/>
          <w14:textFill>
            <w14:solidFill>
              <w14:schemeClr w14:val="tx1"/>
            </w14:solidFill>
          </w14:textFill>
        </w:rPr>
        <w:t>区域性补短板、资源化导向型项目</w:t>
      </w:r>
      <w:r>
        <w:rPr>
          <w:color w:val="000000" w:themeColor="text1"/>
          <w14:textFill>
            <w14:solidFill>
              <w14:schemeClr w14:val="tx1"/>
            </w14:solidFill>
          </w14:textFill>
        </w:rPr>
        <w:t>，不属于低水平重复建设，与《公告》“优化结构、避免过剩”的总体精神一致。</w:t>
      </w:r>
    </w:p>
    <w:p w14:paraId="07948344">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二、项目符合《公告》鼓励的“资源化、产业链延伸、高标准利用”方向</w:t>
      </w:r>
    </w:p>
    <w:p w14:paraId="677C6A2B">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《公告》</w:t>
      </w:r>
      <w:r>
        <w:rPr>
          <w:rStyle w:val="84"/>
          <w:rFonts w:ascii="Arial" w:hAnsi="Arial" w:cs="Arial"/>
          <w:b w:val="0"/>
          <w:bCs w:val="0"/>
          <w:color w:val="000000" w:themeColor="text1"/>
          <w14:textFill>
            <w14:solidFill>
              <w14:schemeClr w14:val="tx1"/>
            </w14:solidFill>
          </w14:textFill>
        </w:rPr>
        <w:t>鼓励</w:t>
      </w:r>
      <w:r>
        <w:rPr>
          <w:color w:val="000000" w:themeColor="text1"/>
          <w14:textFill>
            <w14:solidFill>
              <w14:schemeClr w14:val="tx1"/>
            </w14:solidFill>
          </w14:textFill>
        </w:rPr>
        <w:t>三大类项目：</w:t>
      </w:r>
    </w:p>
    <w:p w14:paraId="2B01E2BE">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1）以填埋为主危废的高标准利用项目；</w:t>
      </w:r>
    </w:p>
    <w:p w14:paraId="026454D1">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2）现有危废企业提标升级、延伸产业链的改扩建项目；</w:t>
      </w:r>
    </w:p>
    <w:p w14:paraId="5E167578">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3）集物化、焚烧、填埋、再生利用于一体的综合性处置项目。</w:t>
      </w:r>
    </w:p>
    <w:p w14:paraId="1EA5687F">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本项目虽为新建，但在工艺先进性、资源化深度、环保标准上完全契合鼓励方向：</w:t>
      </w:r>
    </w:p>
    <w:p w14:paraId="4AA689D5">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采用三级配伍+二级回转热解+二燃室（≥1100℃、≥2.5s）+SNCR+急冷+碱洗+水洗+湿电+活性炭+SCR全流程烟气治理，满足并严于GB18484-2020标准，属于高标准焚烧+资源化利用组合工艺；</w:t>
      </w:r>
    </w:p>
    <w:p w14:paraId="720284F8">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处置后废盐100%用于生产融雪剂（年产46250t），实现危险废物“无害化→减量化→资源化”全链条，直接减少废盐填埋量、降低环境风险，与《公告》“减少填埋、强化再生利用”导向高度一致；</w:t>
      </w:r>
    </w:p>
    <w:p w14:paraId="65B42111">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选址位于甘泉堡经开区化工园区现有厂区内，依托园区基础设施、环保管理体系及产废企业集群，属于园区内配套型、产业链补链项目，符合“无废园区”建设导向，避免分散布局、降低环境风险。</w:t>
      </w:r>
    </w:p>
    <w:p w14:paraId="4A65767F">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三、项目规模、服务范围与区域危废产废格局相匹配，不存在盲目扩能</w:t>
      </w:r>
    </w:p>
    <w:p w14:paraId="317FC080">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《公告》核心目的为防止同质化、低水平过剩，引导投资与实际产废种类、产生量、区域分布相匹配。</w:t>
      </w:r>
    </w:p>
    <w:p w14:paraId="0D08CA97">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本项目设计处理规模5万吨/年（6.25t/h），以甘泉堡经开区及乌鲁木齐市辖区化工废盐为主，辐射周边园区，服务半径合理、产废来源稳定；</w:t>
      </w:r>
    </w:p>
    <w:p w14:paraId="2550BF66">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废盐入厂/入炉设置严格限值（有机质≤5%、有机氯≤0.4%、重金属严格管控等），配套成分检测、三级配伍、CEMS在线监测、紧急排放与应急体系，从源头规避风险、保障稳定达标，符合《公告》“理性投资、充分论证、防范风险”的要求。</w:t>
      </w:r>
    </w:p>
    <w:p w14:paraId="25CB7CE7">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四、结论</w:t>
      </w:r>
    </w:p>
    <w:p w14:paraId="0A838363">
      <w:pPr>
        <w:pStyle w:val="1305"/>
        <w:ind w:firstLine="480"/>
        <w:rPr>
          <w:color w:val="000000" w:themeColor="text1"/>
          <w14:textFill>
            <w14:solidFill>
              <w14:schemeClr w14:val="tx1"/>
            </w14:solidFill>
          </w14:textFill>
        </w:rPr>
      </w:pPr>
      <w:r>
        <w:rPr>
          <w:color w:val="000000" w:themeColor="text1"/>
          <w14:textFill>
            <w14:solidFill>
              <w14:schemeClr w14:val="tx1"/>
            </w14:solidFill>
          </w14:textFill>
        </w:rPr>
        <w:t>综上，本项目不属于《公告》所列能力过剩、谨慎建设类别，而是针对区域废盐处置短板、采用先进工艺、实现深度资源化、符合园区定位的危险废物治理项目，完全契合《公告》“优化结构、鼓励高标准资源化、避免低水平重复建设”的政策导向，项目建设与自治区危险废物利用处置设施投资引导政策协调一致、合规可行。</w:t>
      </w:r>
    </w:p>
    <w:p w14:paraId="298CFE71">
      <w:pPr>
        <w:pStyle w:val="3"/>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规划符合性分析</w:t>
      </w:r>
      <w:bookmarkEnd w:id="526"/>
    </w:p>
    <w:bookmarkEnd w:id="527"/>
    <w:p w14:paraId="4CBA5F1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与《甘泉堡工业园总体规划(2016-2030)》符合性分析</w:t>
      </w:r>
    </w:p>
    <w:p w14:paraId="24DDEE7D">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甘泉堡工业园的产业定位以实施优势资源转化战略为基础，以高新技术创新研发为先导的新兴战略产业基地，以新能源和优势资源深度开发利用为主，具有循环经济特色，面向中亚和东欧市场的出口加工基地，形成重点发展产业、补充发展产业和配套发展产业“7+3+2 ”的产业体系。</w:t>
      </w:r>
    </w:p>
    <w:p w14:paraId="7112E6AE">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重点发展产业：确保现有煤电煤化工产业和精细化工业有序建设，重点发展新能源与新材料工业、先进装备制造业和机电工业（主要是电气设备和通讯设备），积极开拓生物医药、电子信息产业。</w:t>
      </w:r>
    </w:p>
    <w:p w14:paraId="7D28A708">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补充发展产业：合理发展新型建材业和有色金属加工业，鼓励发展众创众筹等小微产业；配套发展产业：包括为生产性服务业和消费性服务业。</w:t>
      </w:r>
    </w:p>
    <w:p w14:paraId="1B9CC7A2">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鼓励发展的产业：新材料、新型建材、医药研发、机电工业、精密机械加工、特种设备制造和新型轻工产品、环保技术开发与设备制造。用地以工业用地为主。</w:t>
      </w:r>
    </w:p>
    <w:p w14:paraId="68A350B7">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本项目属于废盐处置项目，类别为N7724危险废物治理行业，本项目作为煤化工、精细化工等园区主导产业的</w:t>
      </w:r>
      <w:r>
        <w:rPr>
          <w:rStyle w:val="84"/>
          <w:b w:val="0"/>
          <w:bCs w:val="0"/>
          <w:color w:val="000000" w:themeColor="text1"/>
          <w14:textFill>
            <w14:solidFill>
              <w14:schemeClr w14:val="tx1"/>
            </w14:solidFill>
          </w14:textFill>
        </w:rPr>
        <w:t>配套环保处置环节</w:t>
      </w:r>
      <w:r>
        <w:rPr>
          <w:color w:val="000000" w:themeColor="text1"/>
          <w14:textFill>
            <w14:solidFill>
              <w14:schemeClr w14:val="tx1"/>
            </w14:solidFill>
          </w14:textFill>
        </w:rPr>
        <w:t>，可实现 “化工生产 — 废盐产生 — 资源化利用 — 产品输出” 的产业循环，完善园区绿色低碳产业链，符合循环经济发展要求。园区以煤电煤化工、精细化工为基础产业，每年产生大量工业废盐（区域危废处置缺口显著）。本项目将废盐这一 “废弃资源” 转化为融雪剂产品，是对区域工业副产资源的</w:t>
      </w:r>
      <w:r>
        <w:rPr>
          <w:rStyle w:val="84"/>
          <w:b w:val="0"/>
          <w:bCs w:val="0"/>
          <w:color w:val="000000" w:themeColor="text1"/>
          <w14:textFill>
            <w14:solidFill>
              <w14:schemeClr w14:val="tx1"/>
            </w14:solidFill>
          </w14:textFill>
        </w:rPr>
        <w:t>深度开发与高效转化</w:t>
      </w:r>
      <w:r>
        <w:rPr>
          <w:color w:val="000000" w:themeColor="text1"/>
          <w14:textFill>
            <w14:solidFill>
              <w14:schemeClr w14:val="tx1"/>
            </w14:solidFill>
          </w14:textFill>
        </w:rPr>
        <w:t>，契合 “优势资源深度开发利用” 的规划导向。故本项目与甘泉堡工业园的产业发展定位是相符的。</w:t>
      </w:r>
    </w:p>
    <w:p w14:paraId="5C5C6587">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与《乌鲁木齐甘泉堡经济技术开发区（工业区）化工园区总体规划（2023-2035）》规划符合性</w:t>
      </w:r>
    </w:p>
    <w:p w14:paraId="5FAFDF35">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规划名称：《乌鲁木齐甘泉堡经济技术开发区（工业区）化工园区总体规划（2023-2035）》</w:t>
      </w:r>
    </w:p>
    <w:p w14:paraId="7912D50F">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规划范围：乌鲁木齐甘泉堡经济技术开发区（工业区）化工园区位于甘泉堡经济技术开发区已批准范围内，根据乌鲁木齐甘泉堡经济技术开发区（工业区）化工园区总体规划（2023-2035），规划总面积12.26平方千米，共分为3个片区，其中：</w:t>
      </w:r>
    </w:p>
    <w:p w14:paraId="6284945D">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1号片区：硅基新材料产业园，规划用地面积3.59平方千米，规划范围南起中部合盛硅业内部道路（支一路），北至锦泉街，西沿春晓路，东至云帆路。</w:t>
      </w:r>
    </w:p>
    <w:p w14:paraId="133C8DA1">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2号片区：煤化工产业园、功能材料产业园，规划用地面积7.44平方千米，规划范围南起祥华路，北邻贤清西街，西临四通路，东沿甘津路—月恒街—甘源路。</w:t>
      </w:r>
    </w:p>
    <w:p w14:paraId="151204CD">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3号片区：铝基新材料产业园，规划用地面积1.23平方千米，规划范围南起玉泉东街，北至净明东街，西临博润路，东靠春晓路。</w:t>
      </w:r>
    </w:p>
    <w:p w14:paraId="6F4EDF7F">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根据《乌鲁木齐甘泉堡经济技术开发区（工业区）化工园区总体规划》（2023-2035）甘泉堡经济技术开发区（工业区）化工园区主要承接硅基新材料、煤化工、铝基新材料产业。化工园依托园内现有大企业为龙头企业，逐步形成以硅基新材料为重点，煤化工精细化工、铝基新材料协同发展。</w:t>
      </w:r>
    </w:p>
    <w:p w14:paraId="3FE0FFBA">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化工园共分为3个产业园，硅基新材料产业园围绕合盛硅业发展多晶硅、有机硅、硅基材料下游产品制造产业；铝基新材料产业园围绕远洋科技发展铝基结构性材料、铝基功能性材料及下游产品制造产业；煤化工产业园及功能性材料产业园围绕国能新疆煤化工发展煤化工精细化工产业；并在相应产业园中配套循环经济产业。</w:t>
      </w:r>
    </w:p>
    <w:p w14:paraId="35BF4E53">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（1）硅基新材料</w:t>
      </w:r>
    </w:p>
    <w:p w14:paraId="072C9222">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1）在头部企业合盛硅业的产业基础下，充分利用新疆丰富的煤、电、硅资源，延伸扩展高技术含量、高附加值、各链环相互配套和支持的光伏新能源材料产业链，形成多晶硅-硅《棒》-多《单）晶硅片等光伏硅基基础材料环节，进一步提升硅基光伏基础材料的纯度及其品质稳定性，增强硅基光伏基础材料美誉度和市场竞争力。</w:t>
      </w:r>
    </w:p>
    <w:p w14:paraId="53EEDCDF">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2）在进一步巩固现有硅基光伏基础材料优势基础上，着力开发有利于形成光伏制造全产业链和光伏产业循环经济体系的光伏璃-多（单）晶电池片-多（单）晶组件薄膜组件-光伏浆料-光伏背板-封装胶膜-逆变器等组件的关键环节制造，拓展产业集中度和影响力。积极推动光伏胶膜、超薄高透光伏玻璃、湿电子化学品及电子气体、碳纤维保温毡等光伏配套项目。</w:t>
      </w:r>
    </w:p>
    <w:p w14:paraId="0D9C2B89">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3）充分发挥甘泉堡区位优势，延伸硅基产业链，完善配套产业，积极推动特种石墨应急气源LNG站、高纯洁净包装袋等配套产业。</w:t>
      </w:r>
    </w:p>
    <w:p w14:paraId="3B3ED60D">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（2）煤化工产业园、功能材料产业园</w:t>
      </w:r>
    </w:p>
    <w:p w14:paraId="74A67BCC">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1）产业技术升级。重点开展煤制烯烃、煤制油升级示范，提升资源利用、环境保护水平；有序开展煤制天然气、煤制乙二醇产业化示范，逐步完善工艺技术装备及系统配置；稳步开展煤制芳烃工程化示范，加快推进科研成果转化应用。</w:t>
      </w:r>
    </w:p>
    <w:p w14:paraId="31E84176">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2）节能减排，实现资源综合利用。提升资源综合利用水平，进一步提高烯经收率，降低能耗、水耗和污染物排放。加强产业发展与二氧化碳减排潜力统筹协调，大力推广煤化电热一体化技术，尝试提高现代煤化工项目二氧化碳过程捕集的比重，降低捕获成本。探索开展二氧化碳微藻转化、发酵制取丁二酸等应用示范及综合利用。</w:t>
      </w:r>
    </w:p>
    <w:p w14:paraId="36242B8D">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3）关联产业融合发展。按照循环经济理念，采取煤化电热一体化、多联产方式，大力推动现代煤化工与煤炭开采、电力、石油化工、化纤、盐化工、冶金建材等产业融合发展，延伸产业链，壮大产业集群，提高资源转化效率和产业竞争力。</w:t>
      </w:r>
    </w:p>
    <w:p w14:paraId="24A79857">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（3）铝基新材料</w:t>
      </w:r>
    </w:p>
    <w:p w14:paraId="4C8C0C75">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围绕特种铝基新材料及应用产品、大尺寸超高纯铝合金靶材、高性能铝基复合材料、高强高韧铝合金材料等先进结构材料方向，配套发展铝基先进功能性材料。</w:t>
      </w:r>
    </w:p>
    <w:p w14:paraId="7119852B">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 xml:space="preserve">本项目为工业废盐无害化处置与资源化利用项目，属于危险废物综合利用、循环经济、环保基础设施类项目，完全契合园区绿色、低碳、循环、安全的总体发展定位。本项目处置的工业废盐，正是煤化工、精细化工、盐化工生产过程中产生的典型副产危险废物。 </w:t>
      </w:r>
    </w:p>
    <w:p w14:paraId="33C6CFF4">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项目为园区煤化工、精细化工产业提供必需的危险废物处置配套保障，是产业链安全、稳定、绿色运行的关键支撑环节。因此本项目符合园区总体规划及产业布局要求，是园区化工及新材料产业高质量、可持续发展的重要环保配套项目，符合《乌鲁木齐甘泉堡经济技术开发区（工业区）化工园区总体规划（2023-2035）》规划要求。甘泉堡工业园区（化工园）产业布局总体规划见图</w:t>
      </w:r>
      <w:r>
        <w:rPr>
          <w:rFonts w:hint="eastAsia"/>
          <w:color w:val="000000" w:themeColor="text1"/>
          <w14:textFill>
            <w14:solidFill>
              <w14:schemeClr w14:val="tx1"/>
            </w14:solidFill>
          </w14:textFill>
        </w:rPr>
        <w:t>8.3</w:t>
      </w:r>
      <w:r>
        <w:rPr>
          <w:color w:val="000000" w:themeColor="text1"/>
          <w14:textFill>
            <w14:solidFill>
              <w14:schemeClr w14:val="tx1"/>
            </w14:solidFill>
          </w14:textFill>
        </w:rPr>
        <w:t>-1。</w:t>
      </w:r>
    </w:p>
    <w:p w14:paraId="6D24893F">
      <w:pPr>
        <w:widowControl/>
        <w:ind w:firstLine="480"/>
        <w:jc w:val="both"/>
        <w:rPr>
          <w:rFonts w:eastAsia="黑体"/>
          <w:color w:val="000000" w:themeColor="text1"/>
          <w14:textFill>
            <w14:solidFill>
              <w14:schemeClr w14:val="tx1"/>
            </w14:solidFill>
          </w14:textFill>
        </w:rPr>
        <w:sectPr>
          <w:headerReference r:id="rId34" w:type="first"/>
          <w:headerReference r:id="rId33" w:type="default"/>
          <w:footerReference r:id="rId35" w:type="default"/>
          <w:type w:val="nextColumn"/>
          <w:pgSz w:w="11906" w:h="16838"/>
          <w:pgMar w:top="1418" w:right="1247" w:bottom="1418" w:left="1247" w:header="964" w:footer="964" w:gutter="0"/>
          <w:cols w:space="720" w:num="1"/>
          <w:titlePg/>
          <w:docGrid w:linePitch="329" w:charSpace="0"/>
        </w:sectPr>
      </w:pPr>
      <w:r>
        <w:rPr>
          <w:color w:val="000000" w:themeColor="text1"/>
          <w14:textFill>
            <w14:solidFill>
              <w14:schemeClr w14:val="tx1"/>
            </w14:solidFill>
          </w14:textFill>
        </w:rPr>
        <w:t>项目用地为三类工业用地，符合乌鲁木齐甘泉堡经济技术开发区（工业区）化工园区土地利用规划， 甘泉堡工业园区（化工园）土地利用规划见图</w:t>
      </w:r>
      <w:r>
        <w:rPr>
          <w:rFonts w:hint="eastAsia"/>
          <w:color w:val="000000" w:themeColor="text1"/>
          <w14:textFill>
            <w14:solidFill>
              <w14:schemeClr w14:val="tx1"/>
            </w14:solidFill>
          </w14:textFill>
        </w:rPr>
        <w:t>8.3</w:t>
      </w:r>
      <w:r>
        <w:rPr>
          <w:color w:val="000000" w:themeColor="text1"/>
          <w14:textFill>
            <w14:solidFill>
              <w14:schemeClr w14:val="tx1"/>
            </w14:solidFill>
          </w14:textFill>
        </w:rPr>
        <w:t>-2。</w:t>
      </w:r>
    </w:p>
    <w:p w14:paraId="035756ED">
      <w:pPr>
        <w:autoSpaceDE/>
        <w:autoSpaceDN/>
        <w:ind w:firstLine="0" w:firstLineChars="0"/>
        <w:jc w:val="center"/>
        <w:rPr>
          <w:b/>
          <w:color w:val="000000" w:themeColor="text1"/>
          <w14:textFill>
            <w14:solidFill>
              <w14:schemeClr w14:val="tx1"/>
            </w14:solidFill>
          </w14:textFill>
        </w:rPr>
      </w:pPr>
    </w:p>
    <w:p w14:paraId="2DB22C46">
      <w:pPr>
        <w:pStyle w:val="7"/>
        <w:rPr>
          <w:rFonts w:hint="eastAsia"/>
          <w:color w:val="000000" w:themeColor="text1"/>
          <w14:textFill>
            <w14:solidFill>
              <w14:schemeClr w14:val="tx1"/>
            </w14:solidFill>
          </w14:textFill>
        </w:rPr>
      </w:pPr>
      <w:r>
        <w:rPr>
          <w:color w:val="000000" w:themeColor="text1"/>
          <w14:textFill>
            <w14:solidFill>
              <w14:schemeClr w14:val="tx1"/>
            </w14:solidFill>
          </w14:textFill>
        </w:rPr>
        <w:t>甘泉堡工业园区（化工园）产业布局总体规划图</w:t>
      </w:r>
    </w:p>
    <w:p w14:paraId="275952F9">
      <w:pPr>
        <w:ind w:firstLine="0" w:firstLineChars="0"/>
        <w:jc w:val="center"/>
        <w:rPr>
          <w:b/>
          <w:bCs/>
          <w:color w:val="000000" w:themeColor="text1"/>
          <w:szCs w:val="32"/>
          <w:u w:val="single"/>
          <w14:textFill>
            <w14:solidFill>
              <w14:schemeClr w14:val="tx1"/>
            </w14:solidFill>
          </w14:textFill>
        </w:rPr>
      </w:pPr>
    </w:p>
    <w:p w14:paraId="28D0D042">
      <w:pPr>
        <w:pStyle w:val="7"/>
        <w:rPr>
          <w:rFonts w:hint="eastAsia"/>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titlePg/>
          <w:docGrid w:linePitch="329" w:charSpace="0"/>
        </w:sectPr>
      </w:pPr>
      <w:r>
        <w:rPr>
          <w:color w:val="000000" w:themeColor="text1"/>
          <w14:textFill>
            <w14:solidFill>
              <w14:schemeClr w14:val="tx1"/>
            </w14:solidFill>
          </w14:textFill>
        </w:rPr>
        <w:t>甘泉堡工业园区（化工园）土地利用规划图</w:t>
      </w:r>
    </w:p>
    <w:p w14:paraId="6DD2377C">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与《乌鲁木齐甘泉堡经济技术开发区（工业区）化工园区总体规划（2023-2035）环境影响报告书》的审查意见的符合性</w:t>
      </w:r>
    </w:p>
    <w:p w14:paraId="34A78323">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甘泉堡工业园前身为乌鲁木齐米东高新技术产业园，成立于2008年，2010年1月，自治区人民政府以“新政函〔2010〕11号”文批准同意将乌鲁木齐米东高新技术产业园规划变更为甘泉堡工业园总体规划。2012年9月，国务院以“国办函〔2012〕163号”文将甘泉堡工业园的南部高新技术产业区内7.56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部分批准为国家级开发区，实行现行国家级经济技术开发区政策。2016年8月，自治区人民政府办公厅出具《关于同意调整和修改甘泉堡工业园区总体规划的复函》（新政办函〔2016〕222号），同意开展调整和修改《乌鲁木齐甘泉堡工业园区总体规划》有关工作。2017年2月，自治区人民政府出具了《关于甘泉堡工业园总体规划（2016-2030年）的批复》（新政函〔2017〕42号），并要求园区建设要坚持集约化发展模式，集约和节约利用建设用地，至2030年园区规划建设用地规模应控制在193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以内。</w:t>
      </w:r>
    </w:p>
    <w:p w14:paraId="5CEA058E">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本次乌鲁木齐甘泉堡经济技术开发区（工业区）化工园区（以下简称“化工园区”）位于甘泉堡经济技术开发区已批准范围内，规划范围不涉及国家级开发区，规划总用地面积为12.26km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主要承接硅基新材料、煤化工、铝基新材料产业。根据《乌鲁木齐甘泉堡经济技术开发区（工业区）化工园区总体规划（2023-2035）》（以下简称《规划》），化工园区共分为3个片区，分别为硅基新材料产业园：围绕合盛硅业发展多晶硅、有机硅、硅基材料下游产品制造产业；铝基新材料产业园：围绕远洋科技发展铝基结构性材料、铝基功能性材料及下游产品制造产业；煤化工产业园及功能性材料产业园：围绕国能新疆煤化工发展煤化工精细化工产业，并在相应产业园中配套循环经济产业。</w:t>
      </w:r>
    </w:p>
    <w:p w14:paraId="154424AF">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 xml:space="preserve">本项目为工业废盐无害化处置与资源化利用项目，属于危险废物综合利用、循环经济、环保基础设施类项目，完全契合园区绿色、低碳、循环、安全的总体发展定位。本项目处置的工业废盐，正是煤化工、精细化工、盐化工生产过程中产生的典型副产危险废物。 </w:t>
      </w:r>
    </w:p>
    <w:p w14:paraId="6081AC42">
      <w:pPr>
        <w:ind w:firstLine="480"/>
        <w:jc w:val="both"/>
        <w:rPr>
          <w:rFonts w:eastAsia="黑体"/>
          <w:b/>
          <w:bCs/>
          <w:color w:val="000000" w:themeColor="text1"/>
          <w14:textFill>
            <w14:solidFill>
              <w14:schemeClr w14:val="tx1"/>
            </w14:solidFill>
          </w14:textFill>
        </w:rPr>
      </w:pPr>
      <w:r>
        <w:rPr>
          <w:color w:val="000000" w:themeColor="text1"/>
          <w14:textFill>
            <w14:solidFill>
              <w14:schemeClr w14:val="tx1"/>
            </w14:solidFill>
          </w14:textFill>
        </w:rPr>
        <w:t>项目为园区煤化工、精细化工产业提供必需的危险废物处置配套保障，是产业链安全、稳定、绿色运行的关键支撑环节。因此本项目符合园区总体规划及产业布局要求，是园区化工及新材料产业高质量、可持续发展的重要环保配套项目，因此本项目符合产业定位，选址合理。</w:t>
      </w:r>
    </w:p>
    <w:p w14:paraId="69BA395D">
      <w:pPr>
        <w:pStyle w:val="117"/>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与《乌鲁木齐甘泉堡经济技术开发区（工业区）化工园区总体规划（2023-2035）》规划环评及审查意见的符合性</w:t>
      </w:r>
    </w:p>
    <w:tbl>
      <w:tblPr>
        <w:tblStyle w:val="76"/>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2551"/>
        <w:gridCol w:w="1096"/>
      </w:tblGrid>
      <w:tr w14:paraId="717B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vAlign w:val="center"/>
          </w:tcPr>
          <w:p w14:paraId="28379960">
            <w:pPr>
              <w:pStyle w:val="109"/>
              <w:rPr>
                <w:color w:val="000000" w:themeColor="text1"/>
                <w14:textFill>
                  <w14:solidFill>
                    <w14:schemeClr w14:val="tx1"/>
                  </w14:solidFill>
                </w14:textFill>
              </w:rPr>
            </w:pPr>
            <w:r>
              <w:rPr>
                <w:color w:val="000000" w:themeColor="text1"/>
                <w14:textFill>
                  <w14:solidFill>
                    <w14:schemeClr w14:val="tx1"/>
                  </w14:solidFill>
                </w14:textFill>
              </w:rPr>
              <w:t>要求</w:t>
            </w:r>
          </w:p>
        </w:tc>
        <w:tc>
          <w:tcPr>
            <w:tcW w:w="2551" w:type="dxa"/>
            <w:vAlign w:val="center"/>
          </w:tcPr>
          <w:p w14:paraId="7803C3A0">
            <w:pPr>
              <w:pStyle w:val="109"/>
              <w:rPr>
                <w:color w:val="000000" w:themeColor="text1"/>
                <w14:textFill>
                  <w14:solidFill>
                    <w14:schemeClr w14:val="tx1"/>
                  </w14:solidFill>
                </w14:textFill>
              </w:rPr>
            </w:pPr>
            <w:r>
              <w:rPr>
                <w:color w:val="000000" w:themeColor="text1"/>
                <w14:textFill>
                  <w14:solidFill>
                    <w14:schemeClr w14:val="tx1"/>
                  </w14:solidFill>
                </w14:textFill>
              </w:rPr>
              <w:t>本项目的情况</w:t>
            </w:r>
          </w:p>
        </w:tc>
        <w:tc>
          <w:tcPr>
            <w:tcW w:w="1096" w:type="dxa"/>
            <w:vAlign w:val="center"/>
          </w:tcPr>
          <w:p w14:paraId="4374C377">
            <w:pPr>
              <w:pStyle w:val="109"/>
              <w:rPr>
                <w:color w:val="000000" w:themeColor="text1"/>
                <w14:textFill>
                  <w14:solidFill>
                    <w14:schemeClr w14:val="tx1"/>
                  </w14:solidFill>
                </w14:textFill>
              </w:rPr>
            </w:pPr>
            <w:r>
              <w:rPr>
                <w:color w:val="000000" w:themeColor="text1"/>
                <w14:textFill>
                  <w14:solidFill>
                    <w14:schemeClr w14:val="tx1"/>
                  </w14:solidFill>
                </w14:textFill>
              </w:rPr>
              <w:t>是否符合</w:t>
            </w:r>
          </w:p>
        </w:tc>
      </w:tr>
      <w:tr w14:paraId="4D3B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vAlign w:val="center"/>
          </w:tcPr>
          <w:p w14:paraId="2BE725CC">
            <w:pPr>
              <w:pStyle w:val="109"/>
              <w:rPr>
                <w:color w:val="000000" w:themeColor="text1"/>
                <w14:textFill>
                  <w14:solidFill>
                    <w14:schemeClr w14:val="tx1"/>
                  </w14:solidFill>
                </w14:textFill>
              </w:rPr>
            </w:pPr>
            <w:r>
              <w:rPr>
                <w:color w:val="000000" w:themeColor="text1"/>
                <w14:textFill>
                  <w14:solidFill>
                    <w14:schemeClr w14:val="tx1"/>
                  </w14:solidFill>
                </w14:textFill>
              </w:rPr>
              <w:t>（一）坚持绿色发展，优化化工园区产业结构、规划布局和实施时序，坚决遏制“两高”行业盲目发展。根据区域实际及《甘泉堡工业园总体规划》和产业区块功能及环保要求，结合化工园区周边居民聚集区、“500”水库以及西延干渠等环境敏感目标，合理确定化工园区产业结构和布局，铝基新材料产业园片区在引进项目前应优先考虑项目对“500”水库以及西延干渠的影响，对于水环境风险较大的企业，不得引入，同时化工园区须严格控制化工产业用水用能，明确依托的中水回用体系相关设施建设时序，对中水去向及周边环境的消纳情况给出明确规划，以支撑中水回用率指标。通过调整能源消费结构、加强资源循环利用，统筹协调经济和社会发展各领域，深入开展应对气候变化工作，切实增强控制温室气体排放能力，促进经济绿色低碳可持续发展、引导化工产业向绿色低碳方向转型，推动减污降碳协同管控。同时综合考虑化工园区企业现状情况及环境管理要求，加强环境影响评价事中事后监管，进一步督促化工产业集中区企业认真执行环境影响评价制度、排污许可制度和环保验收“三同时”制度，及时发现、查处“未批先建”“未验先投”等环境违法违规行为。针对化工园区集中供热、中水回用等基础设施建设滞后且再生水利用率不高，环境质量及污染源监测体系不完善等方面的问题，细化整改方案和计划，并有序推进，强化化工园区环境综合治理，妥善解决现有环境问题及园区发展制约因素。结合生态环境管控、环境风险防范要求，制定产业发展负面清单，对化工园区化工企业实施清单式管理，入园企业应符合规划的产业定位及功能布局要求。</w:t>
            </w:r>
          </w:p>
        </w:tc>
        <w:tc>
          <w:tcPr>
            <w:tcW w:w="2551" w:type="dxa"/>
            <w:vAlign w:val="center"/>
          </w:tcPr>
          <w:p w14:paraId="1DE81EE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本项目为工业废盐无害化处置与资源化利用项目，属于危险废物综合利用、循环经济、环保基础设施类项目，完全契合园区绿色、低碳、循环、安全的总体发展定位。本项目处置的工业废盐，正是煤化工、精细化工、盐化工生产过程中产生的典型副产危险废物。 </w:t>
            </w:r>
          </w:p>
          <w:p w14:paraId="5DA1D0A9">
            <w:pPr>
              <w:pStyle w:val="109"/>
              <w:rPr>
                <w:color w:val="000000" w:themeColor="text1"/>
                <w14:textFill>
                  <w14:solidFill>
                    <w14:schemeClr w14:val="tx1"/>
                  </w14:solidFill>
                </w14:textFill>
              </w:rPr>
            </w:pPr>
            <w:r>
              <w:rPr>
                <w:color w:val="000000" w:themeColor="text1"/>
                <w14:textFill>
                  <w14:solidFill>
                    <w14:schemeClr w14:val="tx1"/>
                  </w14:solidFill>
                </w14:textFill>
              </w:rPr>
              <w:t>项目为园区煤化工、精细化工产业提供必需的危险废物处置配套保障，是产业链安全、稳定、绿色运行的关键支撑环节。因此本项目符合园区总体规划及产业布局要求，是园区化工及新材料产业高质量、可持续发展的重要环保配套项目，符合《乌鲁木齐甘泉堡经济技术开发区（工业区）化工园区总体规划（2023-2035）》规划要求。项目烟气处理系统废水全部经过多效蒸发后回用，循环冷却系统排污水、化验室废水、地面冲洗废水、多效蒸发冷凝水、生活污水排入园区污水处理厂处理。对“500”水库以及西延干渠影响较小</w:t>
            </w:r>
          </w:p>
        </w:tc>
        <w:tc>
          <w:tcPr>
            <w:tcW w:w="1096" w:type="dxa"/>
            <w:vAlign w:val="center"/>
          </w:tcPr>
          <w:p w14:paraId="23CEBD29">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91B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vAlign w:val="center"/>
          </w:tcPr>
          <w:p w14:paraId="025A0319">
            <w:pPr>
              <w:pStyle w:val="109"/>
              <w:rPr>
                <w:color w:val="000000" w:themeColor="text1"/>
                <w14:textFill>
                  <w14:solidFill>
                    <w14:schemeClr w14:val="tx1"/>
                  </w14:solidFill>
                </w14:textFill>
              </w:rPr>
            </w:pPr>
            <w:r>
              <w:rPr>
                <w:color w:val="000000" w:themeColor="text1"/>
                <w14:textFill>
                  <w14:solidFill>
                    <w14:schemeClr w14:val="tx1"/>
                  </w14:solidFill>
                </w14:textFill>
              </w:rPr>
              <w:t>（二）加强空间管控，严守生态保护红线。衔接自治区及乌鲁木齐市国土空间规划和“三线一单”最新成果，进一步优化化工园区空间布局，严格控制化工园区开发范围，确保居民集中居住区等重要环境保护目标得到有效保护。完善生态环境各要素保障，重点关注区域大气环境、地下水环境、土壤环境质量，细化化工园区所在生态环境管控单元的管控要求，保障化工产业集中区开发不突破区域生态保护红线、环境质量底线和资源利用上线。针对化工企业空间布局，严格落实化工产业集中区安全风险评估报告提出的安全控制线距离，防范环境风险。</w:t>
            </w:r>
          </w:p>
        </w:tc>
        <w:tc>
          <w:tcPr>
            <w:tcW w:w="2551" w:type="dxa"/>
            <w:vAlign w:val="center"/>
          </w:tcPr>
          <w:p w14:paraId="52357D92">
            <w:pPr>
              <w:pStyle w:val="109"/>
              <w:rPr>
                <w:color w:val="000000" w:themeColor="text1"/>
                <w14:textFill>
                  <w14:solidFill>
                    <w14:schemeClr w14:val="tx1"/>
                  </w14:solidFill>
                </w14:textFill>
              </w:rPr>
            </w:pPr>
            <w:r>
              <w:rPr>
                <w:color w:val="000000" w:themeColor="text1"/>
                <w14:textFill>
                  <w14:solidFill>
                    <w14:schemeClr w14:val="tx1"/>
                  </w14:solidFill>
                </w14:textFill>
              </w:rPr>
              <w:t>本项目选址位于乌鲁木齐市甘泉堡经济技术开发区，对照《关于印发乌鲁木齐市生态环境分区管控动态更新成果的通知》，本项目所在区域属于重点管控单元范围内（甘泉堡经济技术开发区重点管控单元，编号ZH65010920013），符合三线一单的要求。</w:t>
            </w:r>
          </w:p>
        </w:tc>
        <w:tc>
          <w:tcPr>
            <w:tcW w:w="1096" w:type="dxa"/>
            <w:vAlign w:val="center"/>
          </w:tcPr>
          <w:p w14:paraId="691F195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406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vAlign w:val="center"/>
          </w:tcPr>
          <w:p w14:paraId="4D4DFB3F">
            <w:pPr>
              <w:pStyle w:val="109"/>
              <w:rPr>
                <w:color w:val="000000" w:themeColor="text1"/>
                <w14:textFill>
                  <w14:solidFill>
                    <w14:schemeClr w14:val="tx1"/>
                  </w14:solidFill>
                </w14:textFill>
              </w:rPr>
            </w:pPr>
            <w:r>
              <w:rPr>
                <w:color w:val="000000" w:themeColor="text1"/>
                <w14:textFill>
                  <w14:solidFill>
                    <w14:schemeClr w14:val="tx1"/>
                  </w14:solidFill>
                </w14:textFill>
              </w:rPr>
              <w:t>要求</w:t>
            </w:r>
          </w:p>
        </w:tc>
        <w:tc>
          <w:tcPr>
            <w:tcW w:w="2551" w:type="dxa"/>
            <w:vAlign w:val="center"/>
          </w:tcPr>
          <w:p w14:paraId="43AC86D7">
            <w:pPr>
              <w:pStyle w:val="109"/>
              <w:rPr>
                <w:color w:val="000000" w:themeColor="text1"/>
                <w14:textFill>
                  <w14:solidFill>
                    <w14:schemeClr w14:val="tx1"/>
                  </w14:solidFill>
                </w14:textFill>
              </w:rPr>
            </w:pPr>
            <w:r>
              <w:rPr>
                <w:color w:val="000000" w:themeColor="text1"/>
                <w14:textFill>
                  <w14:solidFill>
                    <w14:schemeClr w14:val="tx1"/>
                  </w14:solidFill>
                </w14:textFill>
              </w:rPr>
              <w:t>本项目的情况</w:t>
            </w:r>
          </w:p>
        </w:tc>
        <w:tc>
          <w:tcPr>
            <w:tcW w:w="1096" w:type="dxa"/>
            <w:vAlign w:val="center"/>
          </w:tcPr>
          <w:p w14:paraId="4CBDAF9C">
            <w:pPr>
              <w:pStyle w:val="109"/>
              <w:rPr>
                <w:color w:val="000000" w:themeColor="text1"/>
                <w14:textFill>
                  <w14:solidFill>
                    <w14:schemeClr w14:val="tx1"/>
                  </w14:solidFill>
                </w14:textFill>
              </w:rPr>
            </w:pPr>
            <w:r>
              <w:rPr>
                <w:color w:val="000000" w:themeColor="text1"/>
                <w14:textFill>
                  <w14:solidFill>
                    <w14:schemeClr w14:val="tx1"/>
                  </w14:solidFill>
                </w14:textFill>
              </w:rPr>
              <w:t>是否符合</w:t>
            </w:r>
          </w:p>
        </w:tc>
      </w:tr>
      <w:tr w14:paraId="0363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vAlign w:val="center"/>
          </w:tcPr>
          <w:p w14:paraId="351DBFB8">
            <w:pPr>
              <w:pStyle w:val="109"/>
              <w:rPr>
                <w:color w:val="000000" w:themeColor="text1"/>
                <w14:textFill>
                  <w14:solidFill>
                    <w14:schemeClr w14:val="tx1"/>
                  </w14:solidFill>
                </w14:textFill>
              </w:rPr>
            </w:pPr>
            <w:r>
              <w:rPr>
                <w:color w:val="000000" w:themeColor="text1"/>
                <w14:textFill>
                  <w14:solidFill>
                    <w14:schemeClr w14:val="tx1"/>
                  </w14:solidFill>
                </w14:textFill>
              </w:rPr>
              <w:t>（三）坚守环境质量底线，严格污染物总量管控。贯彻落实自治区人民政府及新疆生产建设兵团关于乌-昌-石区域大气环境同防同治相关政策要求，结合当地重污染天气应对方案，制定详细的重污染天气应对措施，同时开展区域应急联动，统筹推进乌-昌-石区域大气污染联防联控，完善和落实重大项目区域会商机制，严格执行区域生态环境同防同治框架协议，促进区域大气环境质量改善，推动区域生态环境健康发展。依据化工园区区域及周边环境质量改善目标，落实重点行业污染防治措施，纳入日常环境管理工作，并建立考核机制。督促企业积极开展清洁生产审核和验收工作，适时开展化工园区温室气体排放清单摸排，结合区域碳减排和碳中和实施方案，持续推进企业节能降碳改造；科学核定区域污染物排放总量，制定化工园区碳减排规划，提出污染物协同脱除、减污降碳协同控制要求。各类污染物排放须满足国家及自治区最新污染物排放标准要求，落实污染物总量控制和减排任务。</w:t>
            </w:r>
          </w:p>
        </w:tc>
        <w:tc>
          <w:tcPr>
            <w:tcW w:w="2551" w:type="dxa"/>
            <w:vAlign w:val="center"/>
          </w:tcPr>
          <w:p w14:paraId="5150BF1F">
            <w:pPr>
              <w:pStyle w:val="109"/>
              <w:rPr>
                <w:color w:val="000000" w:themeColor="text1"/>
                <w14:textFill>
                  <w14:solidFill>
                    <w14:schemeClr w14:val="tx1"/>
                  </w14:solidFill>
                </w14:textFill>
              </w:rPr>
            </w:pPr>
            <w:r>
              <w:rPr>
                <w:color w:val="000000" w:themeColor="text1"/>
                <w14:textFill>
                  <w14:solidFill>
                    <w14:schemeClr w14:val="tx1"/>
                  </w14:solidFill>
                </w14:textFill>
              </w:rPr>
              <w:t>本项目废气经收集处理后均可达标排放，符合自治区人民政府及新疆生产建设兵团关于乌-昌-石区域大气环境同防同治相关政策要求。</w:t>
            </w:r>
          </w:p>
        </w:tc>
        <w:tc>
          <w:tcPr>
            <w:tcW w:w="1096" w:type="dxa"/>
            <w:vAlign w:val="center"/>
          </w:tcPr>
          <w:p w14:paraId="21C0FAD4">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E76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vAlign w:val="center"/>
          </w:tcPr>
          <w:p w14:paraId="175DC536">
            <w:pPr>
              <w:pStyle w:val="109"/>
              <w:rPr>
                <w:color w:val="000000" w:themeColor="text1"/>
                <w14:textFill>
                  <w14:solidFill>
                    <w14:schemeClr w14:val="tx1"/>
                  </w14:solidFill>
                </w14:textFill>
              </w:rPr>
            </w:pPr>
            <w:r>
              <w:rPr>
                <w:color w:val="000000" w:themeColor="text1"/>
                <w14:textFill>
                  <w14:solidFill>
                    <w14:schemeClr w14:val="tx1"/>
                  </w14:solidFill>
                </w14:textFill>
              </w:rPr>
              <w:t>（四）严格资源利用总量和强度“双控”，制定入化工园区产业和项目的环境准入条件。根据水资源论证结果采取有效措施，确保化工园区工业用水满足水资源“三条红线”指标要求，依据供水规划及水资源论证报告相关要求，进一步论证化工园区供水的合理性与保障性，严禁以地下水作为工业用水水源，同时保障天银污水处理设施和中水回用设施建成投运，推进各类事故池、污水处理设施在线及日常监测规范化建设，严防土壤及地下水污染。综合考虑区域水资源、土地资源、环境承载能力，结合环境影响预测与评价结果，坚持“以水定产、以水定量”，优化调整化工园区的产业规模和布局，严格化工园区产业和项目环境准入。严格按照规划产业布局入驻企业，结合区域发展定位、开发布局、生态环境保护目标，实行入化工园区企业环保准入审核制度，不符合产业政策、行业准入条件、生态环境准入清单及国家、自治区明令禁止的化工项目一律不得入驻化工园区。引进项目的生产工艺、设备、污染治理技术，以及单位产品能耗、物耗、污染物排放和资源利用率均需达到同行业国内先进水平，积极推进产业技术进步和化工园区循环化建设。化工园区水资源利用不得突破批准的水资源利用上线指标，土地资源利用不得突破国土空间规划确定的城镇开发边界。</w:t>
            </w:r>
          </w:p>
        </w:tc>
        <w:tc>
          <w:tcPr>
            <w:tcW w:w="2551" w:type="dxa"/>
            <w:vAlign w:val="center"/>
          </w:tcPr>
          <w:p w14:paraId="03635906">
            <w:pPr>
              <w:pStyle w:val="109"/>
              <w:rPr>
                <w:color w:val="000000" w:themeColor="text1"/>
                <w14:textFill>
                  <w14:solidFill>
                    <w14:schemeClr w14:val="tx1"/>
                  </w14:solidFill>
                </w14:textFill>
              </w:rPr>
            </w:pPr>
            <w:r>
              <w:rPr>
                <w:color w:val="000000" w:themeColor="text1"/>
                <w14:textFill>
                  <w14:solidFill>
                    <w14:schemeClr w14:val="tx1"/>
                  </w14:solidFill>
                </w14:textFill>
              </w:rPr>
              <w:t>本项目占地为工业占地，符合产业政策、行业准入条件、生态环境准入清单，供水由园区管网供水。</w:t>
            </w:r>
          </w:p>
        </w:tc>
        <w:tc>
          <w:tcPr>
            <w:tcW w:w="1096" w:type="dxa"/>
            <w:vAlign w:val="center"/>
          </w:tcPr>
          <w:p w14:paraId="155AFBB2">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D7F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vAlign w:val="center"/>
          </w:tcPr>
          <w:p w14:paraId="079FEFC2">
            <w:pPr>
              <w:pStyle w:val="109"/>
              <w:rPr>
                <w:color w:val="000000" w:themeColor="text1"/>
                <w14:textFill>
                  <w14:solidFill>
                    <w14:schemeClr w14:val="tx1"/>
                  </w14:solidFill>
                </w14:textFill>
              </w:rPr>
            </w:pPr>
            <w:r>
              <w:rPr>
                <w:color w:val="000000" w:themeColor="text1"/>
                <w14:textFill>
                  <w14:solidFill>
                    <w14:schemeClr w14:val="tx1"/>
                  </w14:solidFill>
                </w14:textFill>
              </w:rPr>
              <w:t>（五）加快完善化工园区依托的中水回用、环境监测等环境基础设施建设，按照“清污分流”、“污污分治”原则规划，逐步建成完整的雨、污分流排水体系。根据化工园区发展实际，完善化工产业集中区污废水排放方案、中水回用方案；强化节水措施，优先将回用中水作为化工园区工业生产用水水源，减少新鲜水用量，降低废水排放量，确保各类废水安全有效利用，最大限度提高水资源综合利用率。制定切实可行的一般固体废物综合利用方案，加快建设固废综合处置设施，根据相关设施建设情况，优化硅基新材料、铝基新材料等产业的发展建设时序，确保相关产业固废处置依托可行。严格按照国家有关规定，依法、合规处理处置危险废物。</w:t>
            </w:r>
          </w:p>
        </w:tc>
        <w:tc>
          <w:tcPr>
            <w:tcW w:w="2551" w:type="dxa"/>
            <w:vAlign w:val="center"/>
          </w:tcPr>
          <w:p w14:paraId="1DBDA82A">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危险废物暂存于危废间，委托有资质单位处理。</w:t>
            </w:r>
          </w:p>
        </w:tc>
        <w:tc>
          <w:tcPr>
            <w:tcW w:w="1096" w:type="dxa"/>
            <w:vAlign w:val="center"/>
          </w:tcPr>
          <w:p w14:paraId="0FE9201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E1C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vAlign w:val="center"/>
          </w:tcPr>
          <w:p w14:paraId="28FF7187">
            <w:pPr>
              <w:pStyle w:val="109"/>
              <w:rPr>
                <w:color w:val="000000" w:themeColor="text1"/>
                <w14:textFill>
                  <w14:solidFill>
                    <w14:schemeClr w14:val="tx1"/>
                  </w14:solidFill>
                </w14:textFill>
              </w:rPr>
            </w:pPr>
            <w:r>
              <w:rPr>
                <w:color w:val="000000" w:themeColor="text1"/>
                <w14:textFill>
                  <w14:solidFill>
                    <w14:schemeClr w14:val="tx1"/>
                  </w14:solidFill>
                </w14:textFill>
              </w:rPr>
              <w:t>（六）加强化工园区环境风险管理，限期编制完成化工园区环境风险应急预案，强化突发环境事件应急响应联动机制，保障生态环境安全。建立化工园区环境监测系统，合理设置环境空气质量自动检测站，足额配备应急物资，定期开展应急演练，不断完善突发环境事件应急预案，防范《规划》实施可能引发的环境风险。</w:t>
            </w:r>
          </w:p>
        </w:tc>
        <w:tc>
          <w:tcPr>
            <w:tcW w:w="2551" w:type="dxa"/>
            <w:vAlign w:val="center"/>
          </w:tcPr>
          <w:p w14:paraId="6AB321E1">
            <w:pPr>
              <w:pStyle w:val="109"/>
              <w:rPr>
                <w:color w:val="000000" w:themeColor="text1"/>
                <w14:textFill>
                  <w14:solidFill>
                    <w14:schemeClr w14:val="tx1"/>
                  </w14:solidFill>
                </w14:textFill>
              </w:rPr>
            </w:pPr>
            <w:r>
              <w:rPr>
                <w:color w:val="000000" w:themeColor="text1"/>
                <w14:textFill>
                  <w14:solidFill>
                    <w14:schemeClr w14:val="tx1"/>
                  </w14:solidFill>
                </w14:textFill>
              </w:rPr>
              <w:t>制定突发环境应急预案，足额配备应急物资，定期开展应急演练</w:t>
            </w:r>
          </w:p>
        </w:tc>
        <w:tc>
          <w:tcPr>
            <w:tcW w:w="1096" w:type="dxa"/>
            <w:vAlign w:val="center"/>
          </w:tcPr>
          <w:p w14:paraId="7527ACC5">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57328A52">
      <w:pPr>
        <w:pStyle w:val="3"/>
        <w:rPr>
          <w:rFonts w:ascii="Times New Roman" w:cs="Times New Roman"/>
          <w:color w:val="000000" w:themeColor="text1"/>
          <w14:textFill>
            <w14:solidFill>
              <w14:schemeClr w14:val="tx1"/>
            </w14:solidFill>
          </w14:textFill>
        </w:rPr>
      </w:pPr>
      <w:bookmarkStart w:id="528" w:name="_Toc225268335"/>
      <w:r>
        <w:rPr>
          <w:rFonts w:ascii="Times New Roman" w:cs="Times New Roman"/>
          <w:color w:val="000000" w:themeColor="text1"/>
          <w14:textFill>
            <w14:solidFill>
              <w14:schemeClr w14:val="tx1"/>
            </w14:solidFill>
          </w14:textFill>
        </w:rPr>
        <w:t>与生态环境分区管控符合性分析</w:t>
      </w:r>
      <w:bookmarkEnd w:id="528"/>
    </w:p>
    <w:p w14:paraId="48F14973">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与《新疆维吾尔自治区生态环境分区管控动态更新成果》（新环环评发〔2024〕157号）符合性分析</w:t>
      </w:r>
    </w:p>
    <w:p w14:paraId="6B9B9C90">
      <w:pPr>
        <w:pStyle w:val="1298"/>
        <w:spacing w:line="360" w:lineRule="auto"/>
        <w:ind w:firstLine="480"/>
        <w:rPr>
          <w:b w:val="0"/>
          <w:bCs/>
          <w:color w:val="000000" w:themeColor="text1"/>
          <w14:textFill>
            <w14:solidFill>
              <w14:schemeClr w14:val="tx1"/>
            </w14:solidFill>
          </w14:textFill>
        </w:rPr>
      </w:pPr>
      <w:r>
        <w:rPr>
          <w:b w:val="0"/>
          <w:bCs/>
          <w:color w:val="000000" w:themeColor="text1"/>
          <w14:textFill>
            <w14:solidFill>
              <w14:schemeClr w14:val="tx1"/>
            </w14:solidFill>
          </w14:textFill>
        </w:rPr>
        <w:t>本项目与《新疆维吾尔自治区生态环境分区管控动态更新成果》（新环环评发〔2024〕157号）管控要求符合性分析见下表。</w:t>
      </w:r>
    </w:p>
    <w:p w14:paraId="4BD22DB5">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本项目与新疆维吾尔自治区生态环境分区管控要求符合性分析</w:t>
      </w:r>
    </w:p>
    <w:tbl>
      <w:tblPr>
        <w:tblStyle w:val="1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09"/>
        <w:gridCol w:w="2706"/>
        <w:gridCol w:w="787"/>
        <w:gridCol w:w="10"/>
        <w:gridCol w:w="11"/>
      </w:tblGrid>
      <w:tr w14:paraId="51BC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2" w:type="dxa"/>
            <w:vAlign w:val="center"/>
          </w:tcPr>
          <w:p w14:paraId="59305A16">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管控要求</w:t>
            </w:r>
          </w:p>
        </w:tc>
        <w:tc>
          <w:tcPr>
            <w:tcW w:w="2185" w:type="dxa"/>
            <w:vAlign w:val="center"/>
          </w:tcPr>
          <w:p w14:paraId="2EFCD5F6">
            <w:pPr>
              <w:pStyle w:val="109"/>
              <w:rPr>
                <w:bCs/>
                <w:color w:val="000000" w:themeColor="text1"/>
                <w:spacing w:val="-6"/>
                <w:lang w:eastAsia="en-US"/>
                <w14:textFill>
                  <w14:solidFill>
                    <w14:schemeClr w14:val="tx1"/>
                  </w14:solidFill>
                </w14:textFill>
              </w:rPr>
            </w:pPr>
            <w:r>
              <w:rPr>
                <w:bCs/>
                <w:color w:val="000000" w:themeColor="text1"/>
                <w:lang w:eastAsia="en-US"/>
                <w14:textFill>
                  <w14:solidFill>
                    <w14:schemeClr w14:val="tx1"/>
                  </w14:solidFill>
                </w14:textFill>
              </w:rPr>
              <w:t>本项目情况</w:t>
            </w:r>
          </w:p>
        </w:tc>
        <w:tc>
          <w:tcPr>
            <w:tcW w:w="648" w:type="dxa"/>
            <w:gridSpan w:val="3"/>
            <w:vAlign w:val="center"/>
          </w:tcPr>
          <w:p w14:paraId="34A8FB49">
            <w:pPr>
              <w:pStyle w:val="109"/>
              <w:rPr>
                <w:bCs/>
                <w:color w:val="000000" w:themeColor="text1"/>
                <w:spacing w:val="-6"/>
                <w:lang w:eastAsia="en-US"/>
                <w14:textFill>
                  <w14:solidFill>
                    <w14:schemeClr w14:val="tx1"/>
                  </w14:solidFill>
                </w14:textFill>
              </w:rPr>
            </w:pPr>
            <w:r>
              <w:rPr>
                <w:bCs/>
                <w:color w:val="000000" w:themeColor="text1"/>
                <w:lang w:eastAsia="en-US"/>
                <w14:textFill>
                  <w14:solidFill>
                    <w14:schemeClr w14:val="tx1"/>
                  </w14:solidFill>
                </w14:textFill>
              </w:rPr>
              <w:t>符合性</w:t>
            </w:r>
          </w:p>
        </w:tc>
      </w:tr>
      <w:tr w14:paraId="0A83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2" w:type="dxa"/>
            <w:vAlign w:val="center"/>
          </w:tcPr>
          <w:p w14:paraId="57D705B1">
            <w:pPr>
              <w:pStyle w:val="109"/>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〔A1.1-1〕禁止新建、扩建《产业结构调整指导目录（2024年本）》</w:t>
            </w:r>
            <w:r>
              <w:rPr>
                <w:color w:val="000000" w:themeColor="text1"/>
                <w:lang w:eastAsia="zh-CN"/>
                <w14:textFill>
                  <w14:solidFill>
                    <w14:schemeClr w14:val="tx1"/>
                  </w14:solidFill>
                </w14:textFill>
              </w:rPr>
              <w:t>中淘汰类项目。禁止引入《市场准入负面清单（2022年版）》禁止准</w:t>
            </w:r>
            <w:r>
              <w:rPr>
                <w:color w:val="000000" w:themeColor="text1"/>
                <w:spacing w:val="17"/>
                <w:lang w:eastAsia="zh-CN"/>
                <w14:textFill>
                  <w14:solidFill>
                    <w14:schemeClr w14:val="tx1"/>
                  </w14:solidFill>
                </w14:textFill>
              </w:rPr>
              <w:t>入类事项。</w:t>
            </w:r>
          </w:p>
        </w:tc>
        <w:tc>
          <w:tcPr>
            <w:tcW w:w="2185" w:type="dxa"/>
            <w:vAlign w:val="center"/>
          </w:tcPr>
          <w:p w14:paraId="6F022E5D">
            <w:pPr>
              <w:pStyle w:val="109"/>
              <w:rPr>
                <w:color w:val="000000" w:themeColor="text1"/>
                <w:spacing w:val="3"/>
                <w:lang w:eastAsia="zh-CN"/>
                <w14:textFill>
                  <w14:solidFill>
                    <w14:schemeClr w14:val="tx1"/>
                  </w14:solidFill>
                </w14:textFill>
              </w:rPr>
            </w:pPr>
            <w:r>
              <w:rPr>
                <w:color w:val="000000" w:themeColor="text1"/>
                <w:spacing w:val="3"/>
                <w:lang w:eastAsia="zh-CN"/>
                <w14:textFill>
                  <w14:solidFill>
                    <w14:schemeClr w14:val="tx1"/>
                  </w14:solidFill>
                </w14:textFill>
              </w:rPr>
              <w:t>本项目属于《产业结构调整指导目录（2024年本）》中鼓励类，不属于</w:t>
            </w:r>
            <w:r>
              <w:rPr>
                <w:color w:val="000000" w:themeColor="text1"/>
                <w:lang w:eastAsia="zh-CN"/>
                <w14:textFill>
                  <w14:solidFill>
                    <w14:schemeClr w14:val="tx1"/>
                  </w14:solidFill>
                </w14:textFill>
              </w:rPr>
              <w:t>《市场准入负面清单（2025年版）》淘汰类</w:t>
            </w:r>
            <w:r>
              <w:rPr>
                <w:color w:val="000000" w:themeColor="text1"/>
                <w:spacing w:val="17"/>
                <w:lang w:eastAsia="zh-CN"/>
                <w14:textFill>
                  <w14:solidFill>
                    <w14:schemeClr w14:val="tx1"/>
                  </w14:solidFill>
                </w14:textFill>
              </w:rPr>
              <w:t>项目。</w:t>
            </w:r>
          </w:p>
        </w:tc>
        <w:tc>
          <w:tcPr>
            <w:tcW w:w="648" w:type="dxa"/>
            <w:gridSpan w:val="3"/>
            <w:vAlign w:val="center"/>
          </w:tcPr>
          <w:p w14:paraId="41B9A889">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3F4F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2" w:type="dxa"/>
            <w:vAlign w:val="center"/>
          </w:tcPr>
          <w:p w14:paraId="6E4399AB">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〔A1.1-2〕禁止建设不符合国家和自治区环境保护标</w:t>
            </w:r>
            <w:r>
              <w:rPr>
                <w:color w:val="000000" w:themeColor="text1"/>
                <w:spacing w:val="3"/>
                <w:lang w:eastAsia="zh-CN"/>
                <w14:textFill>
                  <w14:solidFill>
                    <w14:schemeClr w14:val="tx1"/>
                  </w14:solidFill>
                </w14:textFill>
              </w:rPr>
              <w:t>准的项目。</w:t>
            </w:r>
          </w:p>
        </w:tc>
        <w:tc>
          <w:tcPr>
            <w:tcW w:w="2185" w:type="dxa"/>
            <w:vAlign w:val="center"/>
          </w:tcPr>
          <w:p w14:paraId="326B3254">
            <w:pPr>
              <w:pStyle w:val="109"/>
              <w:rPr>
                <w:color w:val="000000" w:themeColor="text1"/>
                <w:spacing w:val="4"/>
                <w:lang w:eastAsia="zh-CN"/>
                <w14:textFill>
                  <w14:solidFill>
                    <w14:schemeClr w14:val="tx1"/>
                  </w14:solidFill>
                </w14:textFill>
              </w:rPr>
            </w:pPr>
            <w:r>
              <w:rPr>
                <w:color w:val="000000" w:themeColor="text1"/>
                <w:spacing w:val="4"/>
                <w:lang w:eastAsia="zh-CN"/>
                <w14:textFill>
                  <w14:solidFill>
                    <w14:schemeClr w14:val="tx1"/>
                  </w14:solidFill>
                </w14:textFill>
              </w:rPr>
              <w:t>本项目符合国家和自治区环境保护标</w:t>
            </w:r>
            <w:r>
              <w:rPr>
                <w:color w:val="000000" w:themeColor="text1"/>
                <w:spacing w:val="3"/>
                <w:lang w:eastAsia="zh-CN"/>
                <w14:textFill>
                  <w14:solidFill>
                    <w14:schemeClr w14:val="tx1"/>
                  </w14:solidFill>
                </w14:textFill>
              </w:rPr>
              <w:t>准</w:t>
            </w:r>
          </w:p>
        </w:tc>
        <w:tc>
          <w:tcPr>
            <w:tcW w:w="648" w:type="dxa"/>
            <w:gridSpan w:val="3"/>
            <w:vAlign w:val="center"/>
          </w:tcPr>
          <w:p w14:paraId="55768812">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8E5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2" w:type="dxa"/>
            <w:vAlign w:val="center"/>
          </w:tcPr>
          <w:p w14:paraId="55B10000">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〔A1.1-3〕禁止在饮用水水源保护区、风景名胜区、自然保护区的</w:t>
            </w:r>
            <w:r>
              <w:rPr>
                <w:color w:val="000000" w:themeColor="text1"/>
                <w:spacing w:val="1"/>
                <w:lang w:eastAsia="zh-CN"/>
                <w14:textFill>
                  <w14:solidFill>
                    <w14:schemeClr w14:val="tx1"/>
                  </w14:solidFill>
                </w14:textFill>
              </w:rPr>
              <w:t>核心区和缓冲区、城镇居民区、文化教育科</w:t>
            </w:r>
            <w:r>
              <w:rPr>
                <w:color w:val="000000" w:themeColor="text1"/>
                <w:lang w:eastAsia="zh-CN"/>
                <w14:textFill>
                  <w14:solidFill>
                    <w14:schemeClr w14:val="tx1"/>
                  </w14:solidFill>
                </w14:textFill>
              </w:rPr>
              <w:t>学研究区等人口集中区</w:t>
            </w:r>
            <w:r>
              <w:rPr>
                <w:color w:val="000000" w:themeColor="text1"/>
                <w:spacing w:val="-1"/>
                <w:lang w:eastAsia="zh-CN"/>
                <w14:textFill>
                  <w14:solidFill>
                    <w14:schemeClr w14:val="tx1"/>
                  </w14:solidFill>
                </w14:textFill>
              </w:rPr>
              <w:t>域以及法律法规规定的其他禁止养殖区域建设畜禽养殖场、养殖小区。</w:t>
            </w:r>
          </w:p>
        </w:tc>
        <w:tc>
          <w:tcPr>
            <w:tcW w:w="2185" w:type="dxa"/>
            <w:vAlign w:val="center"/>
          </w:tcPr>
          <w:p w14:paraId="0259E5E8">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本项目不在饮用水水源保护区、风景名胜区、自然保护区的</w:t>
            </w:r>
            <w:r>
              <w:rPr>
                <w:color w:val="000000" w:themeColor="text1"/>
                <w:spacing w:val="1"/>
                <w:lang w:eastAsia="zh-CN"/>
                <w14:textFill>
                  <w14:solidFill>
                    <w14:schemeClr w14:val="tx1"/>
                  </w14:solidFill>
                </w14:textFill>
              </w:rPr>
              <w:t>核心区和缓冲区、城镇居民区、文化教育科</w:t>
            </w:r>
            <w:r>
              <w:rPr>
                <w:color w:val="000000" w:themeColor="text1"/>
                <w:lang w:eastAsia="zh-CN"/>
                <w14:textFill>
                  <w14:solidFill>
                    <w14:schemeClr w14:val="tx1"/>
                  </w14:solidFill>
                </w14:textFill>
              </w:rPr>
              <w:t>学研究区等人口集中区</w:t>
            </w:r>
            <w:r>
              <w:rPr>
                <w:color w:val="000000" w:themeColor="text1"/>
                <w:spacing w:val="-1"/>
                <w:lang w:eastAsia="zh-CN"/>
                <w14:textFill>
                  <w14:solidFill>
                    <w14:schemeClr w14:val="tx1"/>
                  </w14:solidFill>
                </w14:textFill>
              </w:rPr>
              <w:t>域。</w:t>
            </w:r>
          </w:p>
        </w:tc>
        <w:tc>
          <w:tcPr>
            <w:tcW w:w="648" w:type="dxa"/>
            <w:gridSpan w:val="3"/>
            <w:vAlign w:val="center"/>
          </w:tcPr>
          <w:p w14:paraId="4DD5A9F5">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44DC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2" w:type="dxa"/>
            <w:vAlign w:val="center"/>
          </w:tcPr>
          <w:p w14:paraId="4751FC73">
            <w:pPr>
              <w:pStyle w:val="109"/>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〔A1.1-4〕禁止在水源涵养区、地下水源、饮用水源、自然</w:t>
            </w:r>
            <w:r>
              <w:rPr>
                <w:color w:val="000000" w:themeColor="text1"/>
                <w:spacing w:val="-2"/>
                <w:lang w:eastAsia="zh-CN"/>
                <w14:textFill>
                  <w14:solidFill>
                    <w14:schemeClr w14:val="tx1"/>
                  </w14:solidFill>
                </w14:textFill>
              </w:rPr>
              <w:t>保护区、</w:t>
            </w:r>
            <w:r>
              <w:rPr>
                <w:color w:val="000000" w:themeColor="text1"/>
                <w:spacing w:val="-3"/>
                <w:lang w:eastAsia="zh-CN"/>
                <w14:textFill>
                  <w14:solidFill>
                    <w14:schemeClr w14:val="tx1"/>
                  </w14:solidFill>
                </w14:textFill>
              </w:rPr>
              <w:t>风景名胜区、森林公园、重要湿地及人群密集区等生态敏感区域内</w:t>
            </w:r>
            <w:r>
              <w:rPr>
                <w:color w:val="000000" w:themeColor="text1"/>
                <w:spacing w:val="-4"/>
                <w:lang w:eastAsia="zh-CN"/>
                <w14:textFill>
                  <w14:solidFill>
                    <w14:schemeClr w14:val="tx1"/>
                  </w14:solidFill>
                </w14:textFill>
              </w:rPr>
              <w:t>进行煤炭、石油、天然气开发。</w:t>
            </w:r>
          </w:p>
        </w:tc>
        <w:tc>
          <w:tcPr>
            <w:tcW w:w="2185" w:type="dxa"/>
            <w:vAlign w:val="center"/>
          </w:tcPr>
          <w:p w14:paraId="2F4E92EF">
            <w:pPr>
              <w:pStyle w:val="109"/>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本项目不位于</w:t>
            </w:r>
            <w:r>
              <w:rPr>
                <w:color w:val="000000" w:themeColor="text1"/>
                <w:spacing w:val="-3"/>
                <w:lang w:eastAsia="zh-CN"/>
                <w14:textFill>
                  <w14:solidFill>
                    <w14:schemeClr w14:val="tx1"/>
                  </w14:solidFill>
                </w14:textFill>
              </w:rPr>
              <w:t>生态敏感区域内</w:t>
            </w:r>
          </w:p>
        </w:tc>
        <w:tc>
          <w:tcPr>
            <w:tcW w:w="648" w:type="dxa"/>
            <w:gridSpan w:val="3"/>
            <w:vAlign w:val="center"/>
          </w:tcPr>
          <w:p w14:paraId="7467956A">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455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2" w:type="dxa"/>
            <w:vAlign w:val="center"/>
          </w:tcPr>
          <w:p w14:paraId="47C66C05">
            <w:pPr>
              <w:pStyle w:val="109"/>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〔A1</w:t>
            </w:r>
            <w:r>
              <w:rPr>
                <w:color w:val="000000" w:themeColor="text1"/>
                <w:spacing w:val="-54"/>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.1-5〕禁止下列破坏湿地及其生态功能的行为：</w:t>
            </w:r>
          </w:p>
          <w:p w14:paraId="222ACE3D">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（一）开（围）垦、排干自然湿地，永久性截断自然湿地水源；</w:t>
            </w:r>
          </w:p>
          <w:p w14:paraId="5F36CC81">
            <w:pPr>
              <w:pStyle w:val="109"/>
              <w:rPr>
                <w:color w:val="000000" w:themeColor="text1"/>
                <w:lang w:eastAsia="zh-CN"/>
                <w14:textFill>
                  <w14:solidFill>
                    <w14:schemeClr w14:val="tx1"/>
                  </w14:solidFill>
                </w14:textFill>
              </w:rPr>
            </w:pPr>
            <w:r>
              <w:rPr>
                <w:color w:val="000000" w:themeColor="text1"/>
                <w:spacing w:val="5"/>
                <w:lang w:eastAsia="zh-CN"/>
                <w14:textFill>
                  <w14:solidFill>
                    <w14:schemeClr w14:val="tx1"/>
                  </w14:solidFill>
                </w14:textFill>
              </w:rPr>
              <w:t>（二）擅自填埋自然湿地，擅自采砂、采矿、取土；</w:t>
            </w:r>
          </w:p>
          <w:p w14:paraId="5450629A">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（三）排放不符合水污染物排放标准的工业废水、生活污水及其他</w:t>
            </w:r>
            <w:r>
              <w:rPr>
                <w:color w:val="000000" w:themeColor="text1"/>
                <w:spacing w:val="4"/>
                <w:lang w:eastAsia="zh-CN"/>
                <w14:textFill>
                  <w14:solidFill>
                    <w14:schemeClr w14:val="tx1"/>
                  </w14:solidFill>
                </w14:textFill>
              </w:rPr>
              <w:t>污染湿地的废水、污水，倾倒、堆放、丢弃、遗撒固体废物；</w:t>
            </w:r>
          </w:p>
          <w:p w14:paraId="2AE3A3CF">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（四）过度放牧或者滥采野生植物，过度捕捞或者灭绝式捕捞，过</w:t>
            </w:r>
            <w:r>
              <w:rPr>
                <w:color w:val="000000" w:themeColor="text1"/>
                <w:spacing w:val="5"/>
                <w:lang w:eastAsia="zh-CN"/>
                <w14:textFill>
                  <w14:solidFill>
                    <w14:schemeClr w14:val="tx1"/>
                  </w14:solidFill>
                </w14:textFill>
              </w:rPr>
              <w:t>度施肥、投药、投放饵料等污染湿地的种植养殖行</w:t>
            </w:r>
            <w:r>
              <w:rPr>
                <w:color w:val="000000" w:themeColor="text1"/>
                <w:spacing w:val="4"/>
                <w:lang w:eastAsia="zh-CN"/>
                <w14:textFill>
                  <w14:solidFill>
                    <w14:schemeClr w14:val="tx1"/>
                  </w14:solidFill>
                </w14:textFill>
              </w:rPr>
              <w:t>为；</w:t>
            </w:r>
          </w:p>
          <w:p w14:paraId="7A100B52">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（五）其他破坏湿地及其生态功能的行为。</w:t>
            </w:r>
          </w:p>
        </w:tc>
        <w:tc>
          <w:tcPr>
            <w:tcW w:w="2185" w:type="dxa"/>
            <w:vAlign w:val="center"/>
          </w:tcPr>
          <w:p w14:paraId="548F41CC">
            <w:pPr>
              <w:pStyle w:val="109"/>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本项目不属于破坏湿地及其生态功能的行为</w:t>
            </w:r>
          </w:p>
        </w:tc>
        <w:tc>
          <w:tcPr>
            <w:tcW w:w="648" w:type="dxa"/>
            <w:gridSpan w:val="3"/>
            <w:vAlign w:val="center"/>
          </w:tcPr>
          <w:p w14:paraId="16DC1670">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4DB3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2" w:type="dxa"/>
            <w:vAlign w:val="center"/>
          </w:tcPr>
          <w:p w14:paraId="31026EFD">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〔A1.1-6〕禁止在自治区行政区域内引进能（水）耗不符合相关国</w:t>
            </w:r>
            <w:r>
              <w:rPr>
                <w:color w:val="000000" w:themeColor="text1"/>
                <w:lang w:eastAsia="zh-CN"/>
                <w14:textFill>
                  <w14:solidFill>
                    <w14:schemeClr w14:val="tx1"/>
                  </w14:solidFill>
                </w14:textFill>
              </w:rPr>
              <w:t>家标准中准入值要求且污染物排放和环境风险防控不符合国家（地方）标准及有关产业准入条件的高污染（排放）、高能（水）耗、高</w:t>
            </w:r>
            <w:r>
              <w:rPr>
                <w:color w:val="000000" w:themeColor="text1"/>
                <w:spacing w:val="-1"/>
                <w:lang w:eastAsia="zh-CN"/>
                <w14:textFill>
                  <w14:solidFill>
                    <w14:schemeClr w14:val="tx1"/>
                  </w14:solidFill>
                </w14:textFill>
              </w:rPr>
              <w:t>环境风险的工业项目。</w:t>
            </w:r>
          </w:p>
        </w:tc>
        <w:tc>
          <w:tcPr>
            <w:tcW w:w="2185" w:type="dxa"/>
            <w:vAlign w:val="center"/>
          </w:tcPr>
          <w:p w14:paraId="4568A4D8">
            <w:pPr>
              <w:pStyle w:val="109"/>
              <w:rPr>
                <w:color w:val="000000" w:themeColor="text1"/>
                <w:spacing w:val="-1"/>
                <w:lang w:eastAsia="zh-CN"/>
                <w14:textFill>
                  <w14:solidFill>
                    <w14:schemeClr w14:val="tx1"/>
                  </w14:solidFill>
                </w14:textFill>
              </w:rPr>
            </w:pPr>
            <w:r>
              <w:rPr>
                <w:color w:val="000000" w:themeColor="text1"/>
                <w:spacing w:val="4"/>
                <w:lang w:eastAsia="zh-CN"/>
                <w14:textFill>
                  <w14:solidFill>
                    <w14:schemeClr w14:val="tx1"/>
                  </w14:solidFill>
                </w14:textFill>
              </w:rPr>
              <w:t>本项目不属于</w:t>
            </w:r>
            <w:r>
              <w:rPr>
                <w:color w:val="000000" w:themeColor="text1"/>
                <w:lang w:eastAsia="zh-CN"/>
                <w14:textFill>
                  <w14:solidFill>
                    <w14:schemeClr w14:val="tx1"/>
                  </w14:solidFill>
                </w14:textFill>
              </w:rPr>
              <w:t>高污染（排放）、高能（水）耗、高</w:t>
            </w:r>
            <w:r>
              <w:rPr>
                <w:color w:val="000000" w:themeColor="text1"/>
                <w:spacing w:val="-1"/>
                <w:lang w:eastAsia="zh-CN"/>
                <w14:textFill>
                  <w14:solidFill>
                    <w14:schemeClr w14:val="tx1"/>
                  </w14:solidFill>
                </w14:textFill>
              </w:rPr>
              <w:t>环境风险的工业项目</w:t>
            </w:r>
          </w:p>
        </w:tc>
        <w:tc>
          <w:tcPr>
            <w:tcW w:w="648" w:type="dxa"/>
            <w:gridSpan w:val="3"/>
            <w:vAlign w:val="center"/>
          </w:tcPr>
          <w:p w14:paraId="5A88D081">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671B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2" w:type="dxa"/>
            <w:vAlign w:val="center"/>
          </w:tcPr>
          <w:p w14:paraId="036B73C8">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〔A1.1-7〕</w:t>
            </w:r>
            <w:r>
              <w:rPr>
                <w:rFonts w:ascii="Cambria Math" w:hAnsi="Cambria Math" w:cs="Cambria Math"/>
                <w:color w:val="000000" w:themeColor="text1"/>
                <w:spacing w:val="4"/>
                <w:lang w:eastAsia="zh-CN"/>
                <w14:textFill>
                  <w14:solidFill>
                    <w14:schemeClr w14:val="tx1"/>
                  </w14:solidFill>
                </w14:textFill>
              </w:rPr>
              <w:t>①</w:t>
            </w:r>
            <w:r>
              <w:rPr>
                <w:color w:val="000000" w:themeColor="text1"/>
                <w:spacing w:val="4"/>
                <w:lang w:eastAsia="zh-CN"/>
                <w14:textFill>
                  <w14:solidFill>
                    <w14:schemeClr w14:val="tx1"/>
                  </w14:solidFill>
                </w14:textFill>
              </w:rPr>
              <w:t>坚决遏制高耗能高排放低水平项目盲目发展。严把高</w:t>
            </w:r>
            <w:r>
              <w:rPr>
                <w:color w:val="000000" w:themeColor="text1"/>
                <w:lang w:eastAsia="zh-CN"/>
                <w14:textFill>
                  <w14:solidFill>
                    <w14:schemeClr w14:val="tx1"/>
                  </w14:solidFill>
                </w14:textFill>
              </w:rPr>
              <w:t>耗能高排放低水平项目准入关口，严格落实污染物排放区域削减要求，对不符合规定的项目坚决停批停建。依法依规淘汰落后产能和</w:t>
            </w:r>
            <w:r>
              <w:rPr>
                <w:color w:val="000000" w:themeColor="text1"/>
                <w:spacing w:val="-2"/>
                <w:lang w:eastAsia="zh-CN"/>
                <w14:textFill>
                  <w14:solidFill>
                    <w14:schemeClr w14:val="tx1"/>
                  </w14:solidFill>
                </w14:textFill>
              </w:rPr>
              <w:t>化解过剩产能。</w:t>
            </w:r>
            <w:r>
              <w:rPr>
                <w:rFonts w:ascii="Cambria Math" w:hAnsi="Cambria Math" w:cs="Cambria Math"/>
                <w:color w:val="000000" w:themeColor="text1"/>
                <w:spacing w:val="-2"/>
                <w:lang w:eastAsia="zh-CN"/>
                <w14:textFill>
                  <w14:solidFill>
                    <w14:schemeClr w14:val="tx1"/>
                  </w14:solidFill>
                </w14:textFill>
              </w:rPr>
              <w:t>②</w:t>
            </w:r>
            <w:r>
              <w:rPr>
                <w:color w:val="000000" w:themeColor="text1"/>
                <w:spacing w:val="-2"/>
                <w:lang w:eastAsia="zh-CN"/>
                <w14:textFill>
                  <w14:solidFill>
                    <w14:schemeClr w14:val="tx1"/>
                  </w14:solidFill>
                </w14:textFill>
              </w:rPr>
              <w:t>重点行业企业纳入重污染天气绩效分级，制定“一</w:t>
            </w:r>
            <w:r>
              <w:rPr>
                <w:color w:val="000000" w:themeColor="text1"/>
                <w:lang w:eastAsia="zh-CN"/>
                <w14:textFill>
                  <w14:solidFill>
                    <w14:schemeClr w14:val="tx1"/>
                  </w14:solidFill>
                </w14:textFill>
              </w:rPr>
              <w:t>厂一策”应急减排清单，实现应纳尽纳；引导重点企业在秋冬季安</w:t>
            </w:r>
            <w:r>
              <w:rPr>
                <w:color w:val="000000" w:themeColor="text1"/>
                <w:spacing w:val="-2"/>
                <w:lang w:eastAsia="zh-CN"/>
                <w14:textFill>
                  <w14:solidFill>
                    <w14:schemeClr w14:val="tx1"/>
                  </w14:solidFill>
                </w14:textFill>
              </w:rPr>
              <w:t>排停产检修计划，减少冬季和采暖期排放。推进重点行业深度治理，</w:t>
            </w:r>
            <w:r>
              <w:rPr>
                <w:color w:val="000000" w:themeColor="text1"/>
                <w:spacing w:val="-1"/>
                <w:lang w:eastAsia="zh-CN"/>
                <w14:textFill>
                  <w14:solidFill>
                    <w14:schemeClr w14:val="tx1"/>
                  </w14:solidFill>
                </w14:textFill>
              </w:rPr>
              <w:t>实施全工况脱硫脱硝提标改造，加大无组织排放治理</w:t>
            </w:r>
            <w:r>
              <w:rPr>
                <w:color w:val="000000" w:themeColor="text1"/>
                <w:spacing w:val="-2"/>
                <w:lang w:eastAsia="zh-CN"/>
                <w14:textFill>
                  <w14:solidFill>
                    <w14:schemeClr w14:val="tx1"/>
                  </w14:solidFill>
                </w14:textFill>
              </w:rPr>
              <w:t>力度，深度开</w:t>
            </w:r>
            <w:r>
              <w:rPr>
                <w:color w:val="000000" w:themeColor="text1"/>
                <w:spacing w:val="2"/>
                <w:lang w:eastAsia="zh-CN"/>
                <w14:textFill>
                  <w14:solidFill>
                    <w14:schemeClr w14:val="tx1"/>
                  </w14:solidFill>
                </w14:textFill>
              </w:rPr>
              <w:t>展工业炉窑综合整治，全面提升电解铝、活性炭、硅冶炼、纯碱、</w:t>
            </w:r>
            <w:r>
              <w:rPr>
                <w:color w:val="000000" w:themeColor="text1"/>
                <w:spacing w:val="-2"/>
                <w:lang w:eastAsia="zh-CN"/>
                <w14:textFill>
                  <w14:solidFill>
                    <w14:schemeClr w14:val="tx1"/>
                  </w14:solidFill>
                </w14:textFill>
              </w:rPr>
              <w:t>电石、聚氯乙烯、石化等行业污染治理水平。</w:t>
            </w:r>
          </w:p>
        </w:tc>
        <w:tc>
          <w:tcPr>
            <w:tcW w:w="2185" w:type="dxa"/>
            <w:vAlign w:val="center"/>
          </w:tcPr>
          <w:p w14:paraId="4C457C7F">
            <w:pPr>
              <w:pStyle w:val="109"/>
              <w:rPr>
                <w:color w:val="000000" w:themeColor="text1"/>
                <w:spacing w:val="-2"/>
                <w:lang w:eastAsia="zh-CN"/>
                <w14:textFill>
                  <w14:solidFill>
                    <w14:schemeClr w14:val="tx1"/>
                  </w14:solidFill>
                </w14:textFill>
              </w:rPr>
            </w:pPr>
            <w:r>
              <w:rPr>
                <w:color w:val="000000" w:themeColor="text1"/>
                <w:spacing w:val="4"/>
                <w:lang w:eastAsia="zh-CN"/>
                <w14:textFill>
                  <w14:solidFill>
                    <w14:schemeClr w14:val="tx1"/>
                  </w14:solidFill>
                </w14:textFill>
              </w:rPr>
              <w:t>本项目不属于高耗能高排放低水平项目，不属于</w:t>
            </w:r>
            <w:r>
              <w:rPr>
                <w:color w:val="000000" w:themeColor="text1"/>
                <w:spacing w:val="-2"/>
                <w:lang w:eastAsia="zh-CN"/>
                <w14:textFill>
                  <w14:solidFill>
                    <w14:schemeClr w14:val="tx1"/>
                  </w14:solidFill>
                </w14:textFill>
              </w:rPr>
              <w:t>重点行业企业</w:t>
            </w:r>
          </w:p>
        </w:tc>
        <w:tc>
          <w:tcPr>
            <w:tcW w:w="648" w:type="dxa"/>
            <w:gridSpan w:val="3"/>
            <w:vAlign w:val="center"/>
          </w:tcPr>
          <w:p w14:paraId="20C600DC">
            <w:pPr>
              <w:pStyle w:val="109"/>
              <w:rPr>
                <w:color w:val="000000" w:themeColor="text1"/>
                <w:spacing w:val="-2"/>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0DF2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 w:hRule="atLeast"/>
          <w:jc w:val="center"/>
        </w:trPr>
        <w:tc>
          <w:tcPr>
            <w:tcW w:w="4772" w:type="dxa"/>
            <w:vAlign w:val="center"/>
          </w:tcPr>
          <w:p w14:paraId="2EC4349D">
            <w:pPr>
              <w:pStyle w:val="109"/>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〔A1.1-8〕严格执行危险化学品“禁限控”目录，新建危险化学品</w:t>
            </w:r>
            <w:r>
              <w:rPr>
                <w:color w:val="000000" w:themeColor="text1"/>
                <w:spacing w:val="-1"/>
                <w:lang w:eastAsia="zh-CN"/>
                <w14:textFill>
                  <w14:solidFill>
                    <w14:schemeClr w14:val="tx1"/>
                  </w14:solidFill>
                </w14:textFill>
              </w:rPr>
              <w:t>生产项目必须进入一般或较低安全风险的化工园区（与其他</w:t>
            </w:r>
            <w:r>
              <w:rPr>
                <w:color w:val="000000" w:themeColor="text1"/>
                <w:spacing w:val="-2"/>
                <w:lang w:eastAsia="zh-CN"/>
                <w14:textFill>
                  <w14:solidFill>
                    <w14:schemeClr w14:val="tx1"/>
                  </w14:solidFill>
                </w14:textFill>
              </w:rPr>
              <w:t>行业生</w:t>
            </w:r>
            <w:r>
              <w:rPr>
                <w:color w:val="000000" w:themeColor="text1"/>
                <w:spacing w:val="-11"/>
                <w:lang w:eastAsia="zh-CN"/>
                <w14:textFill>
                  <w14:solidFill>
                    <w14:schemeClr w14:val="tx1"/>
                  </w14:solidFill>
                </w14:textFill>
              </w:rPr>
              <w:t>产装置配套建设的项目除外），引导其他石化化工项目在化工园区发展。</w:t>
            </w:r>
          </w:p>
        </w:tc>
        <w:tc>
          <w:tcPr>
            <w:tcW w:w="2185" w:type="dxa"/>
            <w:vAlign w:val="center"/>
          </w:tcPr>
          <w:p w14:paraId="38232495">
            <w:pPr>
              <w:pStyle w:val="109"/>
              <w:rPr>
                <w:color w:val="000000" w:themeColor="text1"/>
                <w:spacing w:val="1"/>
                <w:lang w:eastAsia="zh-CN"/>
                <w14:textFill>
                  <w14:solidFill>
                    <w14:schemeClr w14:val="tx1"/>
                  </w14:solidFill>
                </w14:textFill>
              </w:rPr>
            </w:pPr>
            <w:r>
              <w:rPr>
                <w:color w:val="000000" w:themeColor="text1"/>
                <w:spacing w:val="1"/>
                <w:lang w:eastAsia="zh-CN"/>
                <w14:textFill>
                  <w14:solidFill>
                    <w14:schemeClr w14:val="tx1"/>
                  </w14:solidFill>
                </w14:textFill>
              </w:rPr>
              <w:t>本项目不属于新建危险化学品</w:t>
            </w:r>
            <w:r>
              <w:rPr>
                <w:color w:val="000000" w:themeColor="text1"/>
                <w:spacing w:val="-1"/>
                <w:lang w:eastAsia="zh-CN"/>
                <w14:textFill>
                  <w14:solidFill>
                    <w14:schemeClr w14:val="tx1"/>
                  </w14:solidFill>
                </w14:textFill>
              </w:rPr>
              <w:t>生产项目</w:t>
            </w:r>
          </w:p>
        </w:tc>
        <w:tc>
          <w:tcPr>
            <w:tcW w:w="642" w:type="dxa"/>
            <w:gridSpan w:val="2"/>
            <w:vAlign w:val="center"/>
          </w:tcPr>
          <w:p w14:paraId="373F2ECA">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5FAB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33D18C95">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〔A1.1-9〕严禁新建自治区《禁止、控制和限</w:t>
            </w:r>
            <w:r>
              <w:rPr>
                <w:color w:val="000000" w:themeColor="text1"/>
                <w:spacing w:val="3"/>
                <w:lang w:eastAsia="zh-CN"/>
                <w14:textFill>
                  <w14:solidFill>
                    <w14:schemeClr w14:val="tx1"/>
                  </w14:solidFill>
                </w14:textFill>
              </w:rPr>
              <w:t>制危险化学品目录》</w:t>
            </w:r>
            <w:r>
              <w:rPr>
                <w:color w:val="000000" w:themeColor="text1"/>
                <w:spacing w:val="4"/>
                <w:lang w:eastAsia="zh-CN"/>
                <w14:textFill>
                  <w14:solidFill>
                    <w14:schemeClr w14:val="tx1"/>
                  </w14:solidFill>
                </w14:textFill>
              </w:rPr>
              <w:t>中淘汰类、禁止类危险化学品化工项目。严格执行生态保护红线、</w:t>
            </w:r>
            <w:r>
              <w:rPr>
                <w:color w:val="000000" w:themeColor="text1"/>
                <w:spacing w:val="1"/>
                <w:lang w:eastAsia="zh-CN"/>
                <w14:textFill>
                  <w14:solidFill>
                    <w14:schemeClr w14:val="tx1"/>
                  </w14:solidFill>
                </w14:textFill>
              </w:rPr>
              <w:t>永久基本农田管控要求，禁止新（改、扩）建化工项目违规占用</w:t>
            </w:r>
            <w:r>
              <w:rPr>
                <w:color w:val="000000" w:themeColor="text1"/>
                <w:lang w:eastAsia="zh-CN"/>
                <w14:textFill>
                  <w14:solidFill>
                    <w14:schemeClr w14:val="tx1"/>
                  </w14:solidFill>
                </w14:textFill>
              </w:rPr>
              <w:t>生态保护红线和永久基本农田。在塔里木河、伊犁河、额尔齐斯河</w:t>
            </w:r>
            <w:r>
              <w:rPr>
                <w:color w:val="000000" w:themeColor="text1"/>
                <w:spacing w:val="3"/>
                <w:lang w:eastAsia="zh-CN"/>
                <w14:textFill>
                  <w14:solidFill>
                    <w14:schemeClr w14:val="tx1"/>
                  </w14:solidFill>
                </w14:textFill>
              </w:rPr>
              <w:t>干流及主要支流岸线1公里范围内，除提升安全、环</w:t>
            </w:r>
            <w:r>
              <w:rPr>
                <w:color w:val="000000" w:themeColor="text1"/>
                <w:spacing w:val="2"/>
                <w:lang w:eastAsia="zh-CN"/>
                <w14:textFill>
                  <w14:solidFill>
                    <w14:schemeClr w14:val="tx1"/>
                  </w14:solidFill>
                </w14:textFill>
              </w:rPr>
              <w:t>保、节能、智</w:t>
            </w:r>
            <w:r>
              <w:rPr>
                <w:color w:val="000000" w:themeColor="text1"/>
                <w:lang w:eastAsia="zh-CN"/>
                <w14:textFill>
                  <w14:solidFill>
                    <w14:schemeClr w14:val="tx1"/>
                  </w14:solidFill>
                </w14:textFill>
              </w:rPr>
              <w:t xml:space="preserve"> 能化、产品质量水平的技术改造项目外，严格禁止新建、扩建化工项目，不得布局新的化工园区（含化工集中区）</w:t>
            </w:r>
            <w:r>
              <w:rPr>
                <w:color w:val="000000" w:themeColor="text1"/>
                <w:spacing w:val="-1"/>
                <w:lang w:eastAsia="zh-CN"/>
                <w14:textFill>
                  <w14:solidFill>
                    <w14:schemeClr w14:val="tx1"/>
                  </w14:solidFill>
                </w14:textFill>
              </w:rPr>
              <w:t>。</w:t>
            </w:r>
          </w:p>
        </w:tc>
        <w:tc>
          <w:tcPr>
            <w:tcW w:w="2185" w:type="dxa"/>
            <w:vAlign w:val="center"/>
          </w:tcPr>
          <w:p w14:paraId="090B118A">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本项目不属于危险化学品化工项目。</w:t>
            </w:r>
          </w:p>
        </w:tc>
        <w:tc>
          <w:tcPr>
            <w:tcW w:w="635" w:type="dxa"/>
            <w:vAlign w:val="center"/>
          </w:tcPr>
          <w:p w14:paraId="08AC93B5">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6308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47B1D1EC">
            <w:pPr>
              <w:pStyle w:val="109"/>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〔A1.1-10〕推动涉重金属产业集中优化发展，禁止新建用汞的电石</w:t>
            </w:r>
            <w:r>
              <w:rPr>
                <w:color w:val="000000" w:themeColor="text1"/>
                <w:spacing w:val="4"/>
                <w:lang w:eastAsia="zh-CN"/>
                <w14:textFill>
                  <w14:solidFill>
                    <w14:schemeClr w14:val="tx1"/>
                  </w14:solidFill>
                </w14:textFill>
              </w:rPr>
              <w:t>法（聚）氯乙烯生产工艺，新建、扩建的重有色金属冶炼、电镀、</w:t>
            </w:r>
            <w:r>
              <w:rPr>
                <w:color w:val="000000" w:themeColor="text1"/>
                <w:spacing w:val="-1"/>
                <w:lang w:eastAsia="zh-CN"/>
                <w14:textFill>
                  <w14:solidFill>
                    <w14:schemeClr w14:val="tx1"/>
                  </w14:solidFill>
                </w14:textFill>
              </w:rPr>
              <w:t>制革企业优先选择布设在依法合规设立并依法开展规划环境影响评</w:t>
            </w:r>
            <w:r>
              <w:rPr>
                <w:color w:val="000000" w:themeColor="text1"/>
                <w:spacing w:val="17"/>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价的产业园区。</w:t>
            </w:r>
          </w:p>
        </w:tc>
        <w:tc>
          <w:tcPr>
            <w:tcW w:w="2185" w:type="dxa"/>
            <w:vAlign w:val="center"/>
          </w:tcPr>
          <w:p w14:paraId="0BCF3270">
            <w:pPr>
              <w:pStyle w:val="109"/>
              <w:rPr>
                <w:color w:val="000000" w:themeColor="text1"/>
                <w:spacing w:val="-1"/>
                <w:lang w:eastAsia="en-US"/>
                <w14:textFill>
                  <w14:solidFill>
                    <w14:schemeClr w14:val="tx1"/>
                  </w14:solidFill>
                </w14:textFill>
              </w:rPr>
            </w:pPr>
            <w:r>
              <w:rPr>
                <w:color w:val="000000" w:themeColor="text1"/>
                <w:spacing w:val="-1"/>
                <w:lang w:eastAsia="en-US"/>
                <w14:textFill>
                  <w14:solidFill>
                    <w14:schemeClr w14:val="tx1"/>
                  </w14:solidFill>
                </w14:textFill>
              </w:rPr>
              <w:t>本项目不涉及重金属</w:t>
            </w:r>
          </w:p>
        </w:tc>
        <w:tc>
          <w:tcPr>
            <w:tcW w:w="635" w:type="dxa"/>
            <w:vAlign w:val="center"/>
          </w:tcPr>
          <w:p w14:paraId="26CEB527">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3722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511ABFFB">
            <w:pPr>
              <w:pStyle w:val="109"/>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〔A1.1-11〕国务院有关部门和青藏高原县级以上地方人民政府应当</w:t>
            </w:r>
            <w:r>
              <w:rPr>
                <w:color w:val="000000" w:themeColor="text1"/>
                <w:spacing w:val="-3"/>
                <w:lang w:eastAsia="zh-CN"/>
                <w14:textFill>
                  <w14:solidFill>
                    <w14:schemeClr w14:val="tx1"/>
                  </w14:solidFill>
                </w14:textFill>
              </w:rPr>
              <w:t>建立健全青藏高原雪山冰川冻土保护制度，加强对雪山冰川冻土的</w:t>
            </w:r>
            <w:r>
              <w:rPr>
                <w:color w:val="000000" w:themeColor="text1"/>
                <w:spacing w:val="1"/>
                <w:lang w:eastAsia="zh-CN"/>
                <w14:textFill>
                  <w14:solidFill>
                    <w14:schemeClr w14:val="tx1"/>
                  </w14:solidFill>
                </w14:textFill>
              </w:rPr>
              <w:t>监测预警和系统保护。青藏高原省级人民政府</w:t>
            </w:r>
            <w:r>
              <w:rPr>
                <w:color w:val="000000" w:themeColor="text1"/>
                <w:lang w:eastAsia="zh-CN"/>
                <w14:textFill>
                  <w14:solidFill>
                    <w14:schemeClr w14:val="tx1"/>
                  </w14:solidFill>
                </w14:textFill>
              </w:rPr>
              <w:t>应当将大型冰帽冰川、</w:t>
            </w:r>
            <w:r>
              <w:rPr>
                <w:color w:val="000000" w:themeColor="text1"/>
                <w:spacing w:val="-1"/>
                <w:lang w:eastAsia="zh-CN"/>
                <w14:textFill>
                  <w14:solidFill>
                    <w14:schemeClr w14:val="tx1"/>
                  </w14:solidFill>
                </w14:textFill>
              </w:rPr>
              <w:t>小规模冰川群等划入生态保护红线，对重要雪山冰川实</w:t>
            </w:r>
            <w:r>
              <w:rPr>
                <w:color w:val="000000" w:themeColor="text1"/>
                <w:spacing w:val="-2"/>
                <w:lang w:eastAsia="zh-CN"/>
                <w14:textFill>
                  <w14:solidFill>
                    <w14:schemeClr w14:val="tx1"/>
                  </w14:solidFill>
                </w14:textFill>
              </w:rPr>
              <w:t>施封禁保护，</w:t>
            </w:r>
            <w:r>
              <w:rPr>
                <w:color w:val="000000" w:themeColor="text1"/>
                <w:lang w:eastAsia="zh-CN"/>
                <w14:textFill>
                  <w14:solidFill>
                    <w14:schemeClr w14:val="tx1"/>
                  </w14:solidFill>
                </w14:textFill>
              </w:rPr>
              <w:t>采取有效措施，严格控制人为扰动。青藏高原省级人民政府应当划</w:t>
            </w:r>
            <w:r>
              <w:rPr>
                <w:color w:val="000000" w:themeColor="text1"/>
                <w:spacing w:val="2"/>
                <w:lang w:eastAsia="zh-CN"/>
                <w14:textFill>
                  <w14:solidFill>
                    <w14:schemeClr w14:val="tx1"/>
                  </w14:solidFill>
                </w14:textFill>
              </w:rPr>
              <w:t>定冻土区保护范围，加强对多年冻土区和中深季节冻土区的保护，</w:t>
            </w:r>
            <w:r>
              <w:rPr>
                <w:color w:val="000000" w:themeColor="text1"/>
                <w:lang w:eastAsia="zh-CN"/>
                <w14:textFill>
                  <w14:solidFill>
                    <w14:schemeClr w14:val="tx1"/>
                  </w14:solidFill>
                </w14:textFill>
              </w:rPr>
              <w:t>严格控制多年冻土区资源开发，严格审批多年冻土区城镇规划和交</w:t>
            </w:r>
            <w:r>
              <w:rPr>
                <w:color w:val="000000" w:themeColor="text1"/>
                <w:spacing w:val="-1"/>
                <w:lang w:eastAsia="zh-CN"/>
                <w14:textFill>
                  <w14:solidFill>
                    <w14:schemeClr w14:val="tx1"/>
                  </w14:solidFill>
                </w14:textFill>
              </w:rPr>
              <w:t>通、管线、输变电等重大工程项目。青藏高原省级人民政府应当开</w:t>
            </w:r>
            <w:r>
              <w:rPr>
                <w:color w:val="000000" w:themeColor="text1"/>
                <w:spacing w:val="1"/>
                <w:lang w:eastAsia="zh-CN"/>
                <w14:textFill>
                  <w14:solidFill>
                    <w14:schemeClr w14:val="tx1"/>
                  </w14:solidFill>
                </w14:textFill>
              </w:rPr>
              <w:t>展雪山冰川冻土与周边生态系统的协同保护，维持有利于雪</w:t>
            </w:r>
            <w:r>
              <w:rPr>
                <w:color w:val="000000" w:themeColor="text1"/>
                <w:lang w:eastAsia="zh-CN"/>
                <w14:textFill>
                  <w14:solidFill>
                    <w14:schemeClr w14:val="tx1"/>
                  </w14:solidFill>
                </w14:textFill>
              </w:rPr>
              <w:t>山冰川冻土保护的自然生态环境。</w:t>
            </w:r>
          </w:p>
        </w:tc>
        <w:tc>
          <w:tcPr>
            <w:tcW w:w="2185" w:type="dxa"/>
            <w:vAlign w:val="center"/>
          </w:tcPr>
          <w:p w14:paraId="0A43F2FA">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本项目不涉及</w:t>
            </w:r>
          </w:p>
        </w:tc>
        <w:tc>
          <w:tcPr>
            <w:tcW w:w="635" w:type="dxa"/>
            <w:vAlign w:val="center"/>
          </w:tcPr>
          <w:p w14:paraId="6BCD1EC9">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7B4C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510B8163">
            <w:pPr>
              <w:pStyle w:val="109"/>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〔A1.2-1〕严格控制缺水地区、水污染严重区域和敏</w:t>
            </w:r>
            <w:r>
              <w:rPr>
                <w:color w:val="000000" w:themeColor="text1"/>
                <w:spacing w:val="-2"/>
                <w:lang w:eastAsia="zh-CN"/>
                <w14:textFill>
                  <w14:solidFill>
                    <w14:schemeClr w14:val="tx1"/>
                  </w14:solidFill>
                </w14:textFill>
              </w:rPr>
              <w:t>感区域高耗水、</w:t>
            </w:r>
            <w:r>
              <w:rPr>
                <w:color w:val="000000" w:themeColor="text1"/>
                <w:spacing w:val="-3"/>
                <w:lang w:eastAsia="zh-CN"/>
                <w14:textFill>
                  <w14:solidFill>
                    <w14:schemeClr w14:val="tx1"/>
                  </w14:solidFill>
                </w14:textFill>
              </w:rPr>
              <w:t>高污染行业发展。</w:t>
            </w:r>
          </w:p>
        </w:tc>
        <w:tc>
          <w:tcPr>
            <w:tcW w:w="2185" w:type="dxa"/>
            <w:vAlign w:val="center"/>
          </w:tcPr>
          <w:p w14:paraId="416F9D37">
            <w:pPr>
              <w:pStyle w:val="109"/>
              <w:rPr>
                <w:color w:val="000000" w:themeColor="text1"/>
                <w:spacing w:val="-1"/>
                <w:lang w:eastAsia="zh-CN"/>
                <w14:textFill>
                  <w14:solidFill>
                    <w14:schemeClr w14:val="tx1"/>
                  </w14:solidFill>
                </w14:textFill>
              </w:rPr>
            </w:pPr>
            <w:r>
              <w:rPr>
                <w:color w:val="000000" w:themeColor="text1"/>
                <w:lang w:eastAsia="zh-CN"/>
                <w14:textFill>
                  <w14:solidFill>
                    <w14:schemeClr w14:val="tx1"/>
                  </w14:solidFill>
                </w14:textFill>
              </w:rPr>
              <w:t>本项目不属于</w:t>
            </w:r>
            <w:r>
              <w:rPr>
                <w:color w:val="000000" w:themeColor="text1"/>
                <w:spacing w:val="-2"/>
                <w:lang w:eastAsia="zh-CN"/>
                <w14:textFill>
                  <w14:solidFill>
                    <w14:schemeClr w14:val="tx1"/>
                  </w14:solidFill>
                </w14:textFill>
              </w:rPr>
              <w:t>高耗水、</w:t>
            </w:r>
            <w:r>
              <w:rPr>
                <w:color w:val="000000" w:themeColor="text1"/>
                <w:spacing w:val="-3"/>
                <w:lang w:eastAsia="zh-CN"/>
                <w14:textFill>
                  <w14:solidFill>
                    <w14:schemeClr w14:val="tx1"/>
                  </w14:solidFill>
                </w14:textFill>
              </w:rPr>
              <w:t>高污染行业</w:t>
            </w:r>
          </w:p>
        </w:tc>
        <w:tc>
          <w:tcPr>
            <w:tcW w:w="635" w:type="dxa"/>
            <w:vAlign w:val="center"/>
          </w:tcPr>
          <w:p w14:paraId="71EF102F">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3A2B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4B6E8807">
            <w:pPr>
              <w:pStyle w:val="109"/>
              <w:rPr>
                <w:color w:val="000000" w:themeColor="text1"/>
                <w:lang w:eastAsia="zh-CN"/>
                <w14:textFill>
                  <w14:solidFill>
                    <w14:schemeClr w14:val="tx1"/>
                  </w14:solidFill>
                </w14:textFill>
              </w:rPr>
            </w:pPr>
            <w:r>
              <w:rPr>
                <w:color w:val="000000" w:themeColor="text1"/>
                <w:spacing w:val="5"/>
                <w:lang w:eastAsia="zh-CN"/>
                <w14:textFill>
                  <w14:solidFill>
                    <w14:schemeClr w14:val="tx1"/>
                  </w14:solidFill>
                </w14:textFill>
              </w:rPr>
              <w:t>〔A1.2-2〕建设项目用地原则上不得</w:t>
            </w:r>
            <w:r>
              <w:rPr>
                <w:color w:val="000000" w:themeColor="text1"/>
                <w:spacing w:val="4"/>
                <w:lang w:eastAsia="zh-CN"/>
                <w14:textFill>
                  <w14:solidFill>
                    <w14:schemeClr w14:val="tx1"/>
                  </w14:solidFill>
                </w14:textFill>
              </w:rPr>
              <w:t>占用永久基本农田，确需占用</w:t>
            </w:r>
            <w:r>
              <w:rPr>
                <w:color w:val="000000" w:themeColor="text1"/>
                <w:lang w:eastAsia="zh-CN"/>
                <w14:textFill>
                  <w14:solidFill>
                    <w14:schemeClr w14:val="tx1"/>
                  </w14:solidFill>
                </w14:textFill>
              </w:rPr>
              <w:t>永久基本农田的建设项目须符合《中华人民共和国基本农田保护条</w:t>
            </w:r>
            <w:r>
              <w:rPr>
                <w:color w:val="000000" w:themeColor="text1"/>
                <w:spacing w:val="4"/>
                <w:lang w:eastAsia="zh-CN"/>
                <w14:textFill>
                  <w14:solidFill>
                    <w14:schemeClr w14:val="tx1"/>
                  </w14:solidFill>
                </w14:textFill>
              </w:rPr>
              <w:t>例》中相关要求，占用耕地、林地或草地的建设项目须按照国家、</w:t>
            </w:r>
            <w:r>
              <w:rPr>
                <w:color w:val="000000" w:themeColor="text1"/>
                <w:spacing w:val="2"/>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自治区相关补偿要求进行补偿。</w:t>
            </w:r>
          </w:p>
        </w:tc>
        <w:tc>
          <w:tcPr>
            <w:tcW w:w="2185" w:type="dxa"/>
            <w:vAlign w:val="center"/>
          </w:tcPr>
          <w:p w14:paraId="6A6562C3">
            <w:pPr>
              <w:pStyle w:val="109"/>
              <w:rPr>
                <w:color w:val="000000" w:themeColor="text1"/>
                <w:spacing w:val="5"/>
                <w:lang w:eastAsia="zh-CN"/>
                <w14:textFill>
                  <w14:solidFill>
                    <w14:schemeClr w14:val="tx1"/>
                  </w14:solidFill>
                </w14:textFill>
              </w:rPr>
            </w:pPr>
            <w:r>
              <w:rPr>
                <w:color w:val="000000" w:themeColor="text1"/>
                <w:spacing w:val="4"/>
                <w:lang w:eastAsia="zh-CN"/>
                <w14:textFill>
                  <w14:solidFill>
                    <w14:schemeClr w14:val="tx1"/>
                  </w14:solidFill>
                </w14:textFill>
              </w:rPr>
              <w:t>本项目不占用永久基本农田</w:t>
            </w:r>
          </w:p>
        </w:tc>
        <w:tc>
          <w:tcPr>
            <w:tcW w:w="635" w:type="dxa"/>
            <w:vAlign w:val="center"/>
          </w:tcPr>
          <w:p w14:paraId="4E8AB419">
            <w:pPr>
              <w:pStyle w:val="109"/>
              <w:rPr>
                <w:color w:val="000000" w:themeColor="text1"/>
                <w:spacing w:val="5"/>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765D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433F8AAB">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〔A1.2-3〕以用途变更为住宅、公共管理与公共服务用地的地块为</w:t>
            </w:r>
            <w:r>
              <w:rPr>
                <w:color w:val="000000" w:themeColor="text1"/>
                <w:spacing w:val="1"/>
                <w:lang w:eastAsia="zh-CN"/>
                <w14:textFill>
                  <w14:solidFill>
                    <w14:schemeClr w14:val="tx1"/>
                  </w14:solidFill>
                </w14:textFill>
              </w:rPr>
              <w:t>重点，严格建设用地准入管理和风险管控，未依法完成土壤污染状况调查或风险评估的地块，不得开工建设与风险管控和修复无关的</w:t>
            </w:r>
            <w:r>
              <w:rPr>
                <w:color w:val="000000" w:themeColor="text1"/>
                <w:spacing w:val="18"/>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项目。</w:t>
            </w:r>
          </w:p>
        </w:tc>
        <w:tc>
          <w:tcPr>
            <w:tcW w:w="2185" w:type="dxa"/>
            <w:vAlign w:val="center"/>
          </w:tcPr>
          <w:p w14:paraId="77B78F12">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本项目不涉及</w:t>
            </w:r>
          </w:p>
        </w:tc>
        <w:tc>
          <w:tcPr>
            <w:tcW w:w="635" w:type="dxa"/>
            <w:vAlign w:val="center"/>
          </w:tcPr>
          <w:p w14:paraId="57F89448">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5227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7B1D5444">
            <w:pPr>
              <w:pStyle w:val="109"/>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〔A1.2-4〕严格控制建设项目占用湿地。因国家和自治区重</w:t>
            </w:r>
            <w:r>
              <w:rPr>
                <w:color w:val="000000" w:themeColor="text1"/>
                <w:spacing w:val="2"/>
                <w:lang w:eastAsia="zh-CN"/>
                <w14:textFill>
                  <w14:solidFill>
                    <w14:schemeClr w14:val="tx1"/>
                  </w14:solidFill>
                </w14:textFill>
              </w:rPr>
              <w:t>点建设</w:t>
            </w:r>
            <w:r>
              <w:rPr>
                <w:color w:val="000000" w:themeColor="text1"/>
                <w:spacing w:val="-1"/>
                <w:lang w:eastAsia="zh-CN"/>
                <w14:textFill>
                  <w14:solidFill>
                    <w14:schemeClr w14:val="tx1"/>
                  </w14:solidFill>
                </w14:textFill>
              </w:rPr>
              <w:t>工程、基础设施建设，以及重点公益性项目建设</w:t>
            </w:r>
            <w:r>
              <w:rPr>
                <w:color w:val="000000" w:themeColor="text1"/>
                <w:spacing w:val="-2"/>
                <w:lang w:eastAsia="zh-CN"/>
                <w14:textFill>
                  <w14:solidFill>
                    <w14:schemeClr w14:val="tx1"/>
                  </w14:solidFill>
                </w14:textFill>
              </w:rPr>
              <w:t>，确需占用湿地的，</w:t>
            </w:r>
            <w:r>
              <w:rPr>
                <w:color w:val="000000" w:themeColor="text1"/>
                <w:spacing w:val="1"/>
                <w:lang w:eastAsia="zh-CN"/>
                <w14:textFill>
                  <w14:solidFill>
                    <w14:schemeClr w14:val="tx1"/>
                  </w14:solidFill>
                </w14:textFill>
              </w:rPr>
              <w:t>应当按照有关法律法规规定的权限和程序办理批准手续。</w:t>
            </w:r>
          </w:p>
        </w:tc>
        <w:tc>
          <w:tcPr>
            <w:tcW w:w="2185" w:type="dxa"/>
            <w:vAlign w:val="center"/>
          </w:tcPr>
          <w:p w14:paraId="2F36BD00">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本项目不占用湿地</w:t>
            </w:r>
          </w:p>
        </w:tc>
        <w:tc>
          <w:tcPr>
            <w:tcW w:w="635" w:type="dxa"/>
            <w:vAlign w:val="center"/>
          </w:tcPr>
          <w:p w14:paraId="61FD6C0F">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4CD6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4D4443EC">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〔A1.2-5〕严格管控自然保护地范围内非生态活动，稳妥推进核心</w:t>
            </w:r>
            <w:r>
              <w:rPr>
                <w:color w:val="000000" w:themeColor="text1"/>
                <w:lang w:eastAsia="zh-CN"/>
                <w14:textFill>
                  <w14:solidFill>
                    <w14:schemeClr w14:val="tx1"/>
                  </w14:solidFill>
                </w14:textFill>
              </w:rPr>
              <w:t>区内居民、耕地有序退出，矿权依法依规退出。</w:t>
            </w:r>
          </w:p>
        </w:tc>
        <w:tc>
          <w:tcPr>
            <w:tcW w:w="2185" w:type="dxa"/>
            <w:vAlign w:val="center"/>
          </w:tcPr>
          <w:p w14:paraId="4EEE8428">
            <w:pPr>
              <w:pStyle w:val="109"/>
              <w:rPr>
                <w:color w:val="000000" w:themeColor="text1"/>
                <w:spacing w:val="4"/>
                <w:lang w:eastAsia="zh-CN"/>
                <w14:textFill>
                  <w14:solidFill>
                    <w14:schemeClr w14:val="tx1"/>
                  </w14:solidFill>
                </w14:textFill>
              </w:rPr>
            </w:pPr>
            <w:r>
              <w:rPr>
                <w:color w:val="000000" w:themeColor="text1"/>
                <w:spacing w:val="4"/>
                <w:lang w:eastAsia="zh-CN"/>
                <w14:textFill>
                  <w14:solidFill>
                    <w14:schemeClr w14:val="tx1"/>
                  </w14:solidFill>
                </w14:textFill>
              </w:rPr>
              <w:t>本项目不涉及自然保护地范围</w:t>
            </w:r>
          </w:p>
        </w:tc>
        <w:tc>
          <w:tcPr>
            <w:tcW w:w="635" w:type="dxa"/>
            <w:vAlign w:val="center"/>
          </w:tcPr>
          <w:p w14:paraId="2F50E10D">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711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5CF25049">
            <w:pPr>
              <w:pStyle w:val="109"/>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〔A1.3-1〕任何单位和个人不得在水源涵养区、饮用水水源保护区</w:t>
            </w:r>
            <w:r>
              <w:rPr>
                <w:color w:val="000000" w:themeColor="text1"/>
                <w:spacing w:val="-3"/>
                <w:lang w:eastAsia="zh-CN"/>
                <w14:textFill>
                  <w14:solidFill>
                    <w14:schemeClr w14:val="tx1"/>
                  </w14:solidFill>
                </w14:textFill>
              </w:rPr>
              <w:t>内和河流、湖泊、水库周围建设重化工、涉重</w:t>
            </w:r>
            <w:r>
              <w:rPr>
                <w:color w:val="000000" w:themeColor="text1"/>
                <w:spacing w:val="-4"/>
                <w:lang w:eastAsia="zh-CN"/>
                <w14:textFill>
                  <w14:solidFill>
                    <w14:schemeClr w14:val="tx1"/>
                  </w14:solidFill>
                </w14:textFill>
              </w:rPr>
              <w:t>金属等工业污染项目；</w:t>
            </w:r>
            <w:r>
              <w:rPr>
                <w:color w:val="000000" w:themeColor="text1"/>
                <w:spacing w:val="-3"/>
                <w:lang w:eastAsia="zh-CN"/>
                <w14:textFill>
                  <w14:solidFill>
                    <w14:schemeClr w14:val="tx1"/>
                  </w14:solidFill>
                </w14:textFill>
              </w:rPr>
              <w:t>对已建成的工业污染项目，当地人民政府应当组织</w:t>
            </w:r>
            <w:r>
              <w:rPr>
                <w:color w:val="000000" w:themeColor="text1"/>
                <w:spacing w:val="-4"/>
                <w:lang w:eastAsia="zh-CN"/>
                <w14:textFill>
                  <w14:solidFill>
                    <w14:schemeClr w14:val="tx1"/>
                  </w14:solidFill>
                </w14:textFill>
              </w:rPr>
              <w:t>限期搬迁。</w:t>
            </w:r>
          </w:p>
        </w:tc>
        <w:tc>
          <w:tcPr>
            <w:tcW w:w="2185" w:type="dxa"/>
            <w:vAlign w:val="center"/>
          </w:tcPr>
          <w:p w14:paraId="56FEE96B">
            <w:pPr>
              <w:pStyle w:val="109"/>
              <w:rPr>
                <w:color w:val="000000" w:themeColor="text1"/>
                <w:spacing w:val="1"/>
                <w:lang w:eastAsia="zh-CN"/>
                <w14:textFill>
                  <w14:solidFill>
                    <w14:schemeClr w14:val="tx1"/>
                  </w14:solidFill>
                </w14:textFill>
              </w:rPr>
            </w:pPr>
            <w:r>
              <w:rPr>
                <w:color w:val="000000" w:themeColor="text1"/>
                <w:spacing w:val="-3"/>
                <w:lang w:eastAsia="zh-CN"/>
                <w14:textFill>
                  <w14:solidFill>
                    <w14:schemeClr w14:val="tx1"/>
                  </w14:solidFill>
                </w14:textFill>
              </w:rPr>
              <w:t>本项目不属于重化工、涉重</w:t>
            </w:r>
            <w:r>
              <w:rPr>
                <w:color w:val="000000" w:themeColor="text1"/>
                <w:spacing w:val="-4"/>
                <w:lang w:eastAsia="zh-CN"/>
                <w14:textFill>
                  <w14:solidFill>
                    <w14:schemeClr w14:val="tx1"/>
                  </w14:solidFill>
                </w14:textFill>
              </w:rPr>
              <w:t>金属等工业污染项目</w:t>
            </w:r>
          </w:p>
        </w:tc>
        <w:tc>
          <w:tcPr>
            <w:tcW w:w="635" w:type="dxa"/>
            <w:vAlign w:val="center"/>
          </w:tcPr>
          <w:p w14:paraId="0C4D931A">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2137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047E5828">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〔A1.3-2〕对不符合国家产业政策、严重污染水环境的生产项目全</w:t>
            </w:r>
            <w:r>
              <w:rPr>
                <w:color w:val="000000" w:themeColor="text1"/>
                <w:spacing w:val="-1"/>
                <w:lang w:eastAsia="zh-CN"/>
                <w14:textFill>
                  <w14:solidFill>
                    <w14:schemeClr w14:val="tx1"/>
                  </w14:solidFill>
                </w14:textFill>
              </w:rPr>
              <w:t>部予以取缔。</w:t>
            </w:r>
          </w:p>
        </w:tc>
        <w:tc>
          <w:tcPr>
            <w:tcW w:w="2185" w:type="dxa"/>
            <w:vAlign w:val="center"/>
          </w:tcPr>
          <w:p w14:paraId="7E08B0F9">
            <w:pPr>
              <w:pStyle w:val="109"/>
              <w:rPr>
                <w:color w:val="000000" w:themeColor="text1"/>
                <w:spacing w:val="4"/>
                <w:lang w:eastAsia="zh-CN"/>
                <w14:textFill>
                  <w14:solidFill>
                    <w14:schemeClr w14:val="tx1"/>
                  </w14:solidFill>
                </w14:textFill>
              </w:rPr>
            </w:pPr>
            <w:r>
              <w:rPr>
                <w:color w:val="000000" w:themeColor="text1"/>
                <w:spacing w:val="4"/>
                <w:lang w:eastAsia="zh-CN"/>
                <w14:textFill>
                  <w14:solidFill>
                    <w14:schemeClr w14:val="tx1"/>
                  </w14:solidFill>
                </w14:textFill>
              </w:rPr>
              <w:t>本项目符合国家产业政策、不属于严重污染水环境的生产项目</w:t>
            </w:r>
          </w:p>
        </w:tc>
        <w:tc>
          <w:tcPr>
            <w:tcW w:w="635" w:type="dxa"/>
            <w:vAlign w:val="center"/>
          </w:tcPr>
          <w:p w14:paraId="2E7A345F">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2D04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7B8C205D">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〔A1.3-3〕根据《产业结构调整指导目录》《限期淘汰产生严重污染</w:t>
            </w:r>
            <w:r>
              <w:rPr>
                <w:color w:val="000000" w:themeColor="text1"/>
                <w:spacing w:val="2"/>
                <w:lang w:eastAsia="zh-CN"/>
                <w14:textFill>
                  <w14:solidFill>
                    <w14:schemeClr w14:val="tx1"/>
                  </w14:solidFill>
                </w14:textFill>
              </w:rPr>
              <w:t>环境的工业固体废物的落后生产工艺设备名录》等要求，配合有关</w:t>
            </w:r>
            <w:r>
              <w:rPr>
                <w:color w:val="000000" w:themeColor="text1"/>
                <w:lang w:eastAsia="zh-CN"/>
                <w14:textFill>
                  <w14:solidFill>
                    <w14:schemeClr w14:val="tx1"/>
                  </w14:solidFill>
                </w14:textFill>
              </w:rPr>
              <w:t>部门依法淘汰烧结-鼓风炉5炼铅工艺炼铅等涉重金属落后产能和化</w:t>
            </w:r>
            <w:r>
              <w:rPr>
                <w:color w:val="000000" w:themeColor="text1"/>
                <w:spacing w:val="4"/>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解过剩产能。严格执行生态环境保护等相关法规</w:t>
            </w:r>
            <w:r>
              <w:rPr>
                <w:color w:val="000000" w:themeColor="text1"/>
                <w:spacing w:val="1"/>
                <w:lang w:eastAsia="zh-CN"/>
                <w14:textFill>
                  <w14:solidFill>
                    <w14:schemeClr w14:val="tx1"/>
                  </w14:solidFill>
                </w14:textFill>
              </w:rPr>
              <w:t>标准，推动经整改</w:t>
            </w:r>
            <w:r>
              <w:rPr>
                <w:color w:val="000000" w:themeColor="text1"/>
                <w:spacing w:val="3"/>
                <w:lang w:eastAsia="zh-CN"/>
                <w14:textFill>
                  <w14:solidFill>
                    <w14:schemeClr w14:val="tx1"/>
                  </w14:solidFill>
                </w14:textFill>
              </w:rPr>
              <w:t>仍达不到要求的产能依法依规关闭退出。</w:t>
            </w:r>
          </w:p>
        </w:tc>
        <w:tc>
          <w:tcPr>
            <w:tcW w:w="2185" w:type="dxa"/>
            <w:vAlign w:val="center"/>
          </w:tcPr>
          <w:p w14:paraId="49C28F8A">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本项目符合国家产业政策</w:t>
            </w:r>
          </w:p>
        </w:tc>
        <w:tc>
          <w:tcPr>
            <w:tcW w:w="635" w:type="dxa"/>
            <w:vAlign w:val="center"/>
          </w:tcPr>
          <w:p w14:paraId="48096F6F">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452B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2B7B3C38">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〔A1.3-4〕城市建成区、重点流域内已建成投产化工企业和危险化</w:t>
            </w:r>
            <w:r>
              <w:rPr>
                <w:color w:val="000000" w:themeColor="text1"/>
                <w:lang w:eastAsia="zh-CN"/>
                <w14:textFill>
                  <w14:solidFill>
                    <w14:schemeClr w14:val="tx1"/>
                  </w14:solidFill>
                </w14:textFill>
              </w:rPr>
              <w:t>学品生产企业应加快退城入园，搬入化工园区前企业不应实施改扩建工程扩大生产规模。</w:t>
            </w:r>
          </w:p>
        </w:tc>
        <w:tc>
          <w:tcPr>
            <w:tcW w:w="2185" w:type="dxa"/>
            <w:vAlign w:val="center"/>
          </w:tcPr>
          <w:p w14:paraId="31C1EB3D">
            <w:pPr>
              <w:pStyle w:val="109"/>
              <w:rPr>
                <w:color w:val="000000" w:themeColor="text1"/>
                <w:spacing w:val="4"/>
                <w:lang w:eastAsia="zh-CN"/>
                <w14:textFill>
                  <w14:solidFill>
                    <w14:schemeClr w14:val="tx1"/>
                  </w14:solidFill>
                </w14:textFill>
              </w:rPr>
            </w:pPr>
            <w:r>
              <w:rPr>
                <w:color w:val="000000" w:themeColor="text1"/>
                <w:spacing w:val="-3"/>
                <w:lang w:eastAsia="zh-CN"/>
                <w14:textFill>
                  <w14:solidFill>
                    <w14:schemeClr w14:val="tx1"/>
                  </w14:solidFill>
                </w14:textFill>
              </w:rPr>
              <w:t>本项目不属于</w:t>
            </w:r>
            <w:r>
              <w:rPr>
                <w:color w:val="000000" w:themeColor="text1"/>
                <w:spacing w:val="4"/>
                <w:lang w:eastAsia="zh-CN"/>
                <w14:textFill>
                  <w14:solidFill>
                    <w14:schemeClr w14:val="tx1"/>
                  </w14:solidFill>
                </w14:textFill>
              </w:rPr>
              <w:t>化工企业和危险化</w:t>
            </w:r>
            <w:r>
              <w:rPr>
                <w:color w:val="000000" w:themeColor="text1"/>
                <w:lang w:eastAsia="zh-CN"/>
                <w14:textFill>
                  <w14:solidFill>
                    <w14:schemeClr w14:val="tx1"/>
                  </w14:solidFill>
                </w14:textFill>
              </w:rPr>
              <w:t>学品生产企业</w:t>
            </w:r>
          </w:p>
        </w:tc>
        <w:tc>
          <w:tcPr>
            <w:tcW w:w="635" w:type="dxa"/>
            <w:vAlign w:val="center"/>
          </w:tcPr>
          <w:p w14:paraId="776A5428">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5DFD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2D8BC2C7">
            <w:pPr>
              <w:pStyle w:val="109"/>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〔A1.4-1〕一切开发建设活动应符合</w:t>
            </w:r>
            <w:r>
              <w:rPr>
                <w:color w:val="000000" w:themeColor="text1"/>
                <w:lang w:eastAsia="zh-CN"/>
                <w14:textFill>
                  <w14:solidFill>
                    <w14:schemeClr w14:val="tx1"/>
                  </w14:solidFill>
                </w14:textFill>
              </w:rPr>
              <w:t>国家、自治区主体功能区规划、</w:t>
            </w:r>
            <w:r>
              <w:rPr>
                <w:color w:val="000000" w:themeColor="text1"/>
                <w:spacing w:val="1"/>
                <w:lang w:eastAsia="zh-CN"/>
                <w14:textFill>
                  <w14:solidFill>
                    <w14:schemeClr w14:val="tx1"/>
                  </w14:solidFill>
                </w14:textFill>
              </w:rPr>
              <w:t>自治区和各地颁布实施的生态环境功能区划、国民经</w:t>
            </w:r>
            <w:r>
              <w:rPr>
                <w:color w:val="000000" w:themeColor="text1"/>
                <w:lang w:eastAsia="zh-CN"/>
                <w14:textFill>
                  <w14:solidFill>
                    <w14:schemeClr w14:val="tx1"/>
                  </w14:solidFill>
                </w14:textFill>
              </w:rPr>
              <w:t>济发展规划、</w:t>
            </w:r>
            <w:r>
              <w:rPr>
                <w:color w:val="000000" w:themeColor="text1"/>
                <w:spacing w:val="-3"/>
                <w:lang w:eastAsia="zh-CN"/>
                <w14:textFill>
                  <w14:solidFill>
                    <w14:schemeClr w14:val="tx1"/>
                  </w14:solidFill>
                </w14:textFill>
              </w:rPr>
              <w:t>产业发展规划、国土空间规划等相关规划及重点生态功能区负面清</w:t>
            </w:r>
            <w:r>
              <w:rPr>
                <w:color w:val="000000" w:themeColor="text1"/>
                <w:spacing w:val="-4"/>
                <w:lang w:eastAsia="zh-CN"/>
                <w14:textFill>
                  <w14:solidFill>
                    <w14:schemeClr w14:val="tx1"/>
                  </w14:solidFill>
                </w14:textFill>
              </w:rPr>
              <w:t>单要求，符合区域或产业规划环评要求。</w:t>
            </w:r>
          </w:p>
        </w:tc>
        <w:tc>
          <w:tcPr>
            <w:tcW w:w="2185" w:type="dxa"/>
            <w:vAlign w:val="center"/>
          </w:tcPr>
          <w:p w14:paraId="65BC14AC">
            <w:pPr>
              <w:pStyle w:val="109"/>
              <w:rPr>
                <w:color w:val="000000" w:themeColor="text1"/>
                <w:spacing w:val="1"/>
                <w:lang w:eastAsia="zh-CN"/>
                <w14:textFill>
                  <w14:solidFill>
                    <w14:schemeClr w14:val="tx1"/>
                  </w14:solidFill>
                </w14:textFill>
              </w:rPr>
            </w:pPr>
            <w:r>
              <w:rPr>
                <w:color w:val="000000" w:themeColor="text1"/>
                <w:spacing w:val="1"/>
                <w:lang w:eastAsia="zh-CN"/>
                <w14:textFill>
                  <w14:solidFill>
                    <w14:schemeClr w14:val="tx1"/>
                  </w14:solidFill>
                </w14:textFill>
              </w:rPr>
              <w:t>本项目符合国家、自治区和当地相关规划</w:t>
            </w:r>
          </w:p>
        </w:tc>
        <w:tc>
          <w:tcPr>
            <w:tcW w:w="635" w:type="dxa"/>
            <w:vAlign w:val="center"/>
          </w:tcPr>
          <w:p w14:paraId="7B71F627">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5BF5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56358B05">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〔A1.4-2〕新建、扩建石化、化工、焦化、有色金属冶炼、平板玻</w:t>
            </w:r>
            <w:r>
              <w:rPr>
                <w:color w:val="000000" w:themeColor="text1"/>
                <w:lang w:eastAsia="zh-CN"/>
                <w14:textFill>
                  <w14:solidFill>
                    <w14:schemeClr w14:val="tx1"/>
                  </w14:solidFill>
                </w14:textFill>
              </w:rPr>
              <w:t>璃项目应布设在依法合规设立并经规划环评的产业园区。</w:t>
            </w:r>
          </w:p>
        </w:tc>
        <w:tc>
          <w:tcPr>
            <w:tcW w:w="2185" w:type="dxa"/>
            <w:vAlign w:val="center"/>
          </w:tcPr>
          <w:p w14:paraId="5F23197A">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本项目位于园区</w:t>
            </w:r>
          </w:p>
        </w:tc>
        <w:tc>
          <w:tcPr>
            <w:tcW w:w="635" w:type="dxa"/>
            <w:vAlign w:val="center"/>
          </w:tcPr>
          <w:p w14:paraId="60955547">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737A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73DF691C">
            <w:pPr>
              <w:pStyle w:val="109"/>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〔A1.4-3〕危险化学品生产企业搬迁改造及新建化工项目必须进入</w:t>
            </w:r>
            <w:r>
              <w:rPr>
                <w:color w:val="000000" w:themeColor="text1"/>
                <w:spacing w:val="-1"/>
                <w:lang w:eastAsia="zh-CN"/>
                <w14:textFill>
                  <w14:solidFill>
                    <w14:schemeClr w14:val="tx1"/>
                  </w14:solidFill>
                </w14:textFill>
              </w:rPr>
              <w:t>国家及自治区各级人民政府正式批准设立，规</w:t>
            </w:r>
            <w:r>
              <w:rPr>
                <w:color w:val="000000" w:themeColor="text1"/>
                <w:spacing w:val="-2"/>
                <w:lang w:eastAsia="zh-CN"/>
                <w14:textFill>
                  <w14:solidFill>
                    <w14:schemeClr w14:val="tx1"/>
                  </w14:solidFill>
                </w14:textFill>
              </w:rPr>
              <w:t>划环评通过审查，规划通过审批且环保基础设施完善的工业园区，并符合国土空间规划、</w:t>
            </w:r>
            <w:r>
              <w:rPr>
                <w:color w:val="000000" w:themeColor="text1"/>
                <w:spacing w:val="-1"/>
                <w:lang w:eastAsia="zh-CN"/>
                <w14:textFill>
                  <w14:solidFill>
                    <w14:schemeClr w14:val="tx1"/>
                  </w14:solidFill>
                </w14:textFill>
              </w:rPr>
              <w:t>产业发展规划和生态红线管控要求。</w:t>
            </w:r>
          </w:p>
        </w:tc>
        <w:tc>
          <w:tcPr>
            <w:tcW w:w="2185" w:type="dxa"/>
            <w:vAlign w:val="center"/>
          </w:tcPr>
          <w:p w14:paraId="5CD048E9">
            <w:pPr>
              <w:pStyle w:val="109"/>
              <w:rPr>
                <w:color w:val="000000" w:themeColor="text1"/>
                <w:spacing w:val="1"/>
                <w:lang w:eastAsia="zh-CN"/>
                <w14:textFill>
                  <w14:solidFill>
                    <w14:schemeClr w14:val="tx1"/>
                  </w14:solidFill>
                </w14:textFill>
              </w:rPr>
            </w:pPr>
            <w:r>
              <w:rPr>
                <w:color w:val="000000" w:themeColor="text1"/>
                <w:spacing w:val="4"/>
                <w:lang w:eastAsia="zh-CN"/>
                <w14:textFill>
                  <w14:solidFill>
                    <w14:schemeClr w14:val="tx1"/>
                  </w14:solidFill>
                </w14:textFill>
              </w:rPr>
              <w:t>本项目不属于</w:t>
            </w:r>
            <w:r>
              <w:rPr>
                <w:color w:val="000000" w:themeColor="text1"/>
                <w:spacing w:val="1"/>
                <w:lang w:eastAsia="zh-CN"/>
                <w14:textFill>
                  <w14:solidFill>
                    <w14:schemeClr w14:val="tx1"/>
                  </w14:solidFill>
                </w14:textFill>
              </w:rPr>
              <w:t>危险化学品生产企业</w:t>
            </w:r>
          </w:p>
        </w:tc>
        <w:tc>
          <w:tcPr>
            <w:tcW w:w="635" w:type="dxa"/>
            <w:vAlign w:val="center"/>
          </w:tcPr>
          <w:p w14:paraId="3D8A08A8">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C77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4EA64D1F">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〔A2.1-1〕新、改、扩建重点行业建设项目应符合“三线一单”、产</w:t>
            </w:r>
            <w:r>
              <w:rPr>
                <w:color w:val="000000" w:themeColor="text1"/>
                <w:spacing w:val="1"/>
                <w:lang w:eastAsia="zh-CN"/>
                <w14:textFill>
                  <w14:solidFill>
                    <w14:schemeClr w14:val="tx1"/>
                  </w14:solidFill>
                </w14:textFill>
              </w:rPr>
              <w:t>业政策、区域环评、规划环评和行业环境准入管控要求。重点区域</w:t>
            </w:r>
            <w:r>
              <w:rPr>
                <w:color w:val="000000" w:themeColor="text1"/>
                <w:spacing w:val="-1"/>
                <w:lang w:eastAsia="zh-CN"/>
                <w14:textFill>
                  <w14:solidFill>
                    <w14:schemeClr w14:val="tx1"/>
                  </w14:solidFill>
                </w14:textFill>
              </w:rPr>
              <w:t>的新、改、扩建重点行业建设项目应遵循重</w:t>
            </w:r>
            <w:r>
              <w:rPr>
                <w:color w:val="000000" w:themeColor="text1"/>
                <w:spacing w:val="-2"/>
                <w:lang w:eastAsia="zh-CN"/>
                <w14:textFill>
                  <w14:solidFill>
                    <w14:schemeClr w14:val="tx1"/>
                  </w14:solidFill>
                </w14:textFill>
              </w:rPr>
              <w:t>点重金属污染物排放“减</w:t>
            </w:r>
            <w:r>
              <w:rPr>
                <w:color w:val="000000" w:themeColor="text1"/>
                <w:spacing w:val="8"/>
                <w:lang w:eastAsia="zh-CN"/>
                <w14:textFill>
                  <w14:solidFill>
                    <w14:schemeClr w14:val="tx1"/>
                  </w14:solidFill>
                </w14:textFill>
              </w:rPr>
              <w:t>量替代”原则。</w:t>
            </w:r>
          </w:p>
        </w:tc>
        <w:tc>
          <w:tcPr>
            <w:tcW w:w="2185" w:type="dxa"/>
            <w:vAlign w:val="center"/>
          </w:tcPr>
          <w:p w14:paraId="5CE98656">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本项目不属于重点行业建设项目</w:t>
            </w:r>
          </w:p>
        </w:tc>
        <w:tc>
          <w:tcPr>
            <w:tcW w:w="635" w:type="dxa"/>
            <w:vAlign w:val="center"/>
          </w:tcPr>
          <w:p w14:paraId="05D3768D">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671D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34A26AA2">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〔A2.1-2〕以石化、化工、涂装、医药、包装印刷、油品储运销等</w:t>
            </w:r>
            <w:r>
              <w:rPr>
                <w:color w:val="000000" w:themeColor="text1"/>
                <w:lang w:eastAsia="zh-CN"/>
                <w14:textFill>
                  <w14:solidFill>
                    <w14:schemeClr w14:val="tx1"/>
                  </w14:solidFill>
                </w14:textFill>
              </w:rPr>
              <w:t>行业领域为重点，安全高效推进挥发性有机物综合治理，实施原辅材料和产品源头替代工程。</w:t>
            </w:r>
          </w:p>
        </w:tc>
        <w:tc>
          <w:tcPr>
            <w:tcW w:w="2185" w:type="dxa"/>
            <w:vAlign w:val="center"/>
          </w:tcPr>
          <w:p w14:paraId="55E1AA08">
            <w:pPr>
              <w:pStyle w:val="109"/>
              <w:rPr>
                <w:color w:val="000000" w:themeColor="text1"/>
                <w:spacing w:val="4"/>
                <w:lang w:eastAsia="zh-CN"/>
                <w14:textFill>
                  <w14:solidFill>
                    <w14:schemeClr w14:val="tx1"/>
                  </w14:solidFill>
                </w14:textFill>
              </w:rPr>
            </w:pPr>
            <w:r>
              <w:rPr>
                <w:color w:val="000000" w:themeColor="text1"/>
                <w:spacing w:val="3"/>
                <w:lang w:eastAsia="zh-CN"/>
                <w14:textFill>
                  <w14:solidFill>
                    <w14:schemeClr w14:val="tx1"/>
                  </w14:solidFill>
                </w14:textFill>
              </w:rPr>
              <w:t>本项目挥发性有机物采取治理措施后达标排放</w:t>
            </w:r>
          </w:p>
        </w:tc>
        <w:tc>
          <w:tcPr>
            <w:tcW w:w="635" w:type="dxa"/>
            <w:vAlign w:val="center"/>
          </w:tcPr>
          <w:p w14:paraId="4D44E54C">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2F5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71C964ED">
            <w:pPr>
              <w:pStyle w:val="109"/>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〔A2.1-3〕促进大气污染物与温室气体协同控制。实施污染物和温</w:t>
            </w:r>
            <w:r>
              <w:rPr>
                <w:color w:val="000000" w:themeColor="text1"/>
                <w:spacing w:val="2"/>
                <w:lang w:eastAsia="zh-CN"/>
                <w14:textFill>
                  <w14:solidFill>
                    <w14:schemeClr w14:val="tx1"/>
                  </w14:solidFill>
                </w14:textFill>
              </w:rPr>
              <w:t>室气体协同控制，实现减污降碳协同效应。开展工业、农业</w:t>
            </w:r>
            <w:r>
              <w:rPr>
                <w:color w:val="000000" w:themeColor="text1"/>
                <w:spacing w:val="1"/>
                <w:lang w:eastAsia="zh-CN"/>
                <w14:textFill>
                  <w14:solidFill>
                    <w14:schemeClr w14:val="tx1"/>
                  </w14:solidFill>
                </w14:textFill>
              </w:rPr>
              <w:t>温室气</w:t>
            </w:r>
            <w:r>
              <w:rPr>
                <w:color w:val="000000" w:themeColor="text1"/>
                <w:spacing w:val="2"/>
                <w:lang w:eastAsia="zh-CN"/>
                <w14:textFill>
                  <w14:solidFill>
                    <w14:schemeClr w14:val="tx1"/>
                  </w14:solidFill>
                </w14:textFill>
              </w:rPr>
              <w:t>体和污染减排协同控制研究，减少温室气体和污染物</w:t>
            </w:r>
            <w:r>
              <w:rPr>
                <w:color w:val="000000" w:themeColor="text1"/>
                <w:spacing w:val="1"/>
                <w:lang w:eastAsia="zh-CN"/>
                <w14:textFill>
                  <w14:solidFill>
                    <w14:schemeClr w14:val="tx1"/>
                  </w14:solidFill>
                </w14:textFill>
              </w:rPr>
              <w:t>排放。强化污</w:t>
            </w:r>
            <w:r>
              <w:rPr>
                <w:color w:val="000000" w:themeColor="text1"/>
                <w:lang w:eastAsia="zh-CN"/>
                <w14:textFill>
                  <w14:solidFill>
                    <w14:schemeClr w14:val="tx1"/>
                  </w14:solidFill>
                </w14:textFill>
              </w:rPr>
              <w:t xml:space="preserve">  </w:t>
            </w:r>
            <w:r>
              <w:rPr>
                <w:color w:val="000000" w:themeColor="text1"/>
                <w:spacing w:val="5"/>
                <w:lang w:eastAsia="zh-CN"/>
                <w14:textFill>
                  <w14:solidFill>
                    <w14:schemeClr w14:val="tx1"/>
                  </w14:solidFill>
                </w14:textFill>
              </w:rPr>
              <w:t>水、垃圾等集中处置设施环境管理，协同控制氢氟碳化物、甲烷、</w:t>
            </w:r>
            <w:r>
              <w:rPr>
                <w:color w:val="000000" w:themeColor="text1"/>
                <w:spacing w:val="-1"/>
                <w:lang w:eastAsia="zh-CN"/>
                <w14:textFill>
                  <w14:solidFill>
                    <w14:schemeClr w14:val="tx1"/>
                  </w14:solidFill>
                </w14:textFill>
              </w:rPr>
              <w:t>氧化亚氮等温室气体。加强节约能源与大气污染防治协同有效衔接，</w:t>
            </w:r>
            <w:r>
              <w:rPr>
                <w:color w:val="000000" w:themeColor="text1"/>
                <w:spacing w:val="4"/>
                <w:lang w:eastAsia="zh-CN"/>
                <w14:textFill>
                  <w14:solidFill>
                    <w14:schemeClr w14:val="tx1"/>
                  </w14:solidFill>
                </w14:textFill>
              </w:rPr>
              <w:t>促进大气污染防治协同增效。</w:t>
            </w:r>
          </w:p>
        </w:tc>
        <w:tc>
          <w:tcPr>
            <w:tcW w:w="2185" w:type="dxa"/>
            <w:vAlign w:val="center"/>
          </w:tcPr>
          <w:p w14:paraId="5631CA5D">
            <w:pPr>
              <w:pStyle w:val="109"/>
              <w:rPr>
                <w:color w:val="000000" w:themeColor="text1"/>
                <w:spacing w:val="3"/>
                <w:lang w:eastAsia="zh-CN"/>
                <w14:textFill>
                  <w14:solidFill>
                    <w14:schemeClr w14:val="tx1"/>
                  </w14:solidFill>
                </w14:textFill>
              </w:rPr>
            </w:pPr>
            <w:r>
              <w:rPr>
                <w:color w:val="000000" w:themeColor="text1"/>
                <w:lang w:eastAsia="zh-CN"/>
                <w14:textFill>
                  <w14:solidFill>
                    <w14:schemeClr w14:val="tx1"/>
                  </w14:solidFill>
                </w14:textFill>
              </w:rPr>
              <w:t>本项目采取严格的大气污染防治措施，确保大气污染物达标排放</w:t>
            </w:r>
          </w:p>
        </w:tc>
        <w:tc>
          <w:tcPr>
            <w:tcW w:w="635" w:type="dxa"/>
            <w:vAlign w:val="center"/>
          </w:tcPr>
          <w:p w14:paraId="4F2D2BC6">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2DC3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626DC147">
            <w:pPr>
              <w:pStyle w:val="109"/>
              <w:rPr>
                <w:color w:val="000000" w:themeColor="text1"/>
                <w:lang w:eastAsia="zh-CN"/>
                <w14:textFill>
                  <w14:solidFill>
                    <w14:schemeClr w14:val="tx1"/>
                  </w14:solidFill>
                </w14:textFill>
              </w:rPr>
            </w:pPr>
            <w:r>
              <w:rPr>
                <w:color w:val="000000" w:themeColor="text1"/>
                <w:spacing w:val="7"/>
                <w:lang w:eastAsia="zh-CN"/>
                <w14:textFill>
                  <w14:solidFill>
                    <w14:schemeClr w14:val="tx1"/>
                  </w14:solidFill>
                </w14:textFill>
              </w:rPr>
              <w:t>〔A2.1-4〕严控建材、铸造、冶炼等行业无组织排放，推进石化、</w:t>
            </w:r>
            <w:r>
              <w:rPr>
                <w:color w:val="000000" w:themeColor="text1"/>
                <w:lang w:eastAsia="zh-CN"/>
                <w14:textFill>
                  <w14:solidFill>
                    <w14:schemeClr w14:val="tx1"/>
                  </w14:solidFill>
                </w14:textFill>
              </w:rPr>
              <w:t>化工、涂装、医药、包装印刷、油品储运销等行业项目挥发性</w:t>
            </w:r>
            <w:r>
              <w:rPr>
                <w:color w:val="000000" w:themeColor="text1"/>
                <w:spacing w:val="-1"/>
                <w:lang w:eastAsia="zh-CN"/>
                <w14:textFill>
                  <w14:solidFill>
                    <w14:schemeClr w14:val="tx1"/>
                  </w14:solidFill>
                </w14:textFill>
              </w:rPr>
              <w:t>有机</w:t>
            </w:r>
            <w:r>
              <w:rPr>
                <w:color w:val="000000" w:themeColor="text1"/>
                <w:lang w:eastAsia="zh-CN"/>
                <w14:textFill>
                  <w14:solidFill>
                    <w14:schemeClr w14:val="tx1"/>
                  </w14:solidFill>
                </w14:textFill>
              </w:rPr>
              <w:t>物（VOCs）防治。严格有色金属冶炼、石油加工、化工、焦化等行业项目的土壤、地下水污染防治措施要求。</w:t>
            </w:r>
            <w:r>
              <w:rPr>
                <w:color w:val="000000" w:themeColor="text1"/>
                <w:spacing w:val="-1"/>
                <w:lang w:eastAsia="zh-CN"/>
                <w14:textFill>
                  <w14:solidFill>
                    <w14:schemeClr w14:val="tx1"/>
                  </w14:solidFill>
                </w14:textFill>
              </w:rPr>
              <w:t>推进工业园区和企业集</w:t>
            </w:r>
            <w:r>
              <w:rPr>
                <w:color w:val="000000" w:themeColor="text1"/>
                <w:lang w:eastAsia="zh-CN"/>
                <w14:textFill>
                  <w14:solidFill>
                    <w14:schemeClr w14:val="tx1"/>
                  </w14:solidFill>
                </w14:textFill>
              </w:rPr>
              <w:t>群建设涉VOCs“绿岛”项目，统筹规划建设一批集中涂装中心、活性炭集中处理中心、溶剂回收中心等，实现VOCs集中高效处理。</w:t>
            </w:r>
          </w:p>
        </w:tc>
        <w:tc>
          <w:tcPr>
            <w:tcW w:w="2185" w:type="dxa"/>
            <w:vAlign w:val="center"/>
          </w:tcPr>
          <w:p w14:paraId="279CB622">
            <w:pPr>
              <w:pStyle w:val="109"/>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本项目挥发性有机物采取治理措施后达标排放</w:t>
            </w:r>
          </w:p>
        </w:tc>
        <w:tc>
          <w:tcPr>
            <w:tcW w:w="635" w:type="dxa"/>
            <w:vAlign w:val="center"/>
          </w:tcPr>
          <w:p w14:paraId="4203FB10">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28AB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3AF7CB2E">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〔A2.2-1〕推动能源、钢铁、建材、有色、电力、化工等重点领域</w:t>
            </w:r>
            <w:r>
              <w:rPr>
                <w:color w:val="000000" w:themeColor="text1"/>
                <w:spacing w:val="1"/>
                <w:lang w:eastAsia="zh-CN"/>
                <w14:textFill>
                  <w14:solidFill>
                    <w14:schemeClr w14:val="tx1"/>
                  </w14:solidFill>
                </w14:textFill>
              </w:rPr>
              <w:t>技术升级，控制工业过程温室气体排放，推动工业领域绿色低碳发展。积极鼓励发展二氧化碳捕集利用与封存等低碳技术。促进大气</w:t>
            </w:r>
            <w:r>
              <w:rPr>
                <w:color w:val="000000" w:themeColor="text1"/>
                <w:spacing w:val="5"/>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污染物与温室气体协同控制。实施污染物和温室气体协同控制，实</w:t>
            </w:r>
            <w:r>
              <w:rPr>
                <w:color w:val="000000" w:themeColor="text1"/>
                <w:spacing w:val="3"/>
                <w:lang w:eastAsia="zh-CN"/>
                <w14:textFill>
                  <w14:solidFill>
                    <w14:schemeClr w14:val="tx1"/>
                  </w14:solidFill>
                </w14:textFill>
              </w:rPr>
              <w:t>现减污降碳协同效应。强化污水、垃圾等集中处</w:t>
            </w:r>
            <w:r>
              <w:rPr>
                <w:color w:val="000000" w:themeColor="text1"/>
                <w:spacing w:val="2"/>
                <w:lang w:eastAsia="zh-CN"/>
                <w14:textFill>
                  <w14:solidFill>
                    <w14:schemeClr w14:val="tx1"/>
                  </w14:solidFill>
                </w14:textFill>
              </w:rPr>
              <w:t>置设施环境管理，</w:t>
            </w:r>
            <w:r>
              <w:rPr>
                <w:color w:val="000000" w:themeColor="text1"/>
                <w:spacing w:val="1"/>
                <w:lang w:eastAsia="zh-CN"/>
                <w14:textFill>
                  <w14:solidFill>
                    <w14:schemeClr w14:val="tx1"/>
                  </w14:solidFill>
                </w14:textFill>
              </w:rPr>
              <w:t>协同控制氢氟碳化物、甲烷、氧化亚氮等温室气体。加强节约能源</w:t>
            </w:r>
            <w:r>
              <w:rPr>
                <w:color w:val="000000" w:themeColor="text1"/>
                <w:lang w:eastAsia="zh-CN"/>
                <w14:textFill>
                  <w14:solidFill>
                    <w14:schemeClr w14:val="tx1"/>
                  </w14:solidFill>
                </w14:textFill>
              </w:rPr>
              <w:t>与大气污染防治协同有效衔接，促进大气污染防治协同增</w:t>
            </w:r>
            <w:r>
              <w:rPr>
                <w:color w:val="000000" w:themeColor="text1"/>
                <w:spacing w:val="-1"/>
                <w:lang w:eastAsia="zh-CN"/>
                <w14:textFill>
                  <w14:solidFill>
                    <w14:schemeClr w14:val="tx1"/>
                  </w14:solidFill>
                </w14:textFill>
              </w:rPr>
              <w:t>效。</w:t>
            </w:r>
          </w:p>
        </w:tc>
        <w:tc>
          <w:tcPr>
            <w:tcW w:w="2185" w:type="dxa"/>
            <w:vAlign w:val="center"/>
          </w:tcPr>
          <w:p w14:paraId="4F3A7B60">
            <w:pPr>
              <w:pStyle w:val="109"/>
              <w:rPr>
                <w:color w:val="000000" w:themeColor="text1"/>
                <w:spacing w:val="4"/>
                <w:lang w:eastAsia="zh-CN"/>
                <w14:textFill>
                  <w14:solidFill>
                    <w14:schemeClr w14:val="tx1"/>
                  </w14:solidFill>
                </w14:textFill>
              </w:rPr>
            </w:pPr>
            <w:r>
              <w:rPr>
                <w:color w:val="000000" w:themeColor="text1"/>
                <w:lang w:eastAsia="zh-CN"/>
                <w14:textFill>
                  <w14:solidFill>
                    <w14:schemeClr w14:val="tx1"/>
                  </w14:solidFill>
                </w14:textFill>
              </w:rPr>
              <w:t>本项目采取严格的大气污染防治措施，确保大气污染物达标排放</w:t>
            </w:r>
          </w:p>
        </w:tc>
        <w:tc>
          <w:tcPr>
            <w:tcW w:w="635" w:type="dxa"/>
            <w:vAlign w:val="center"/>
          </w:tcPr>
          <w:p w14:paraId="119BFFA6">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373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4BF9C179">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〔A2.2-2〕实施重点行业氮氧化物等污染物深度治理。持续推进钢</w:t>
            </w:r>
            <w:r>
              <w:rPr>
                <w:color w:val="000000" w:themeColor="text1"/>
                <w:lang w:eastAsia="zh-CN"/>
                <w14:textFill>
                  <w14:solidFill>
                    <w14:schemeClr w14:val="tx1"/>
                  </w14:solidFill>
                </w14:textFill>
              </w:rPr>
              <w:t>铁、水泥、焦化行业超低排放改造。推进玻</w:t>
            </w:r>
            <w:r>
              <w:rPr>
                <w:color w:val="000000" w:themeColor="text1"/>
                <w:spacing w:val="-1"/>
                <w:lang w:eastAsia="zh-CN"/>
                <w14:textFill>
                  <w14:solidFill>
                    <w14:schemeClr w14:val="tx1"/>
                  </w14:solidFill>
                </w14:textFill>
              </w:rPr>
              <w:t>璃、陶瓷、铸造、铁合金、有色、煤化和石化等行业采取清洁生产、提标改造、深度治理</w:t>
            </w:r>
            <w:r>
              <w:rPr>
                <w:color w:val="000000" w:themeColor="text1"/>
                <w:lang w:eastAsia="zh-CN"/>
                <w14:textFill>
                  <w14:solidFill>
                    <w14:schemeClr w14:val="tx1"/>
                  </w14:solidFill>
                </w14:textFill>
              </w:rPr>
              <w:t>等综合措施。加强自备燃煤机组污染治理设施运行管控，确保按照超低排放标准运行。针对铸造、铁合金、焦化、水泥、砖瓦、石灰、耐火材料、金属冶炼以及煤化工、石油化工等行业，严格控制物料储存、输送及生产工艺过程无组织排放。重</w:t>
            </w:r>
            <w:r>
              <w:rPr>
                <w:color w:val="000000" w:themeColor="text1"/>
                <w:spacing w:val="-1"/>
                <w:lang w:eastAsia="zh-CN"/>
                <w14:textFill>
                  <w14:solidFill>
                    <w14:schemeClr w14:val="tx1"/>
                  </w14:solidFill>
                </w14:textFill>
              </w:rPr>
              <w:t>点涉气排放企业逐步取</w:t>
            </w:r>
            <w:r>
              <w:rPr>
                <w:color w:val="000000" w:themeColor="text1"/>
                <w:lang w:eastAsia="zh-CN"/>
                <w14:textFill>
                  <w14:solidFill>
                    <w14:schemeClr w14:val="tx1"/>
                  </w14:solidFill>
                </w14:textFill>
              </w:rPr>
              <w:t>消烟气旁路，因安全生产无法取消的，安装在线监控系统。</w:t>
            </w:r>
          </w:p>
        </w:tc>
        <w:tc>
          <w:tcPr>
            <w:tcW w:w="2185" w:type="dxa"/>
            <w:vAlign w:val="center"/>
          </w:tcPr>
          <w:p w14:paraId="4780241C">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本项目采取严格的大气污染防治措施，确保大气污染物达标排放</w:t>
            </w:r>
          </w:p>
        </w:tc>
        <w:tc>
          <w:tcPr>
            <w:tcW w:w="635" w:type="dxa"/>
            <w:vAlign w:val="center"/>
          </w:tcPr>
          <w:p w14:paraId="19F62841">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46B4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41346634">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〔A2.2-3〕强化重点区域大气污染联防联控，</w:t>
            </w:r>
            <w:r>
              <w:rPr>
                <w:color w:val="000000" w:themeColor="text1"/>
                <w:spacing w:val="3"/>
                <w:lang w:eastAsia="zh-CN"/>
                <w14:textFill>
                  <w14:solidFill>
                    <w14:schemeClr w14:val="tx1"/>
                  </w14:solidFill>
                </w14:textFill>
              </w:rPr>
              <w:t>合理确定产业布局，</w:t>
            </w:r>
            <w:r>
              <w:rPr>
                <w:color w:val="000000" w:themeColor="text1"/>
                <w:spacing w:val="1"/>
                <w:lang w:eastAsia="zh-CN"/>
                <w14:textFill>
                  <w14:solidFill>
                    <w14:schemeClr w14:val="tx1"/>
                  </w14:solidFill>
                </w14:textFill>
              </w:rPr>
              <w:t>推动区域内统一产业准入和排放标准。实施</w:t>
            </w:r>
            <w:r>
              <w:rPr>
                <w:color w:val="000000" w:themeColor="text1"/>
                <w:lang w:eastAsia="zh-CN"/>
                <w14:textFill>
                  <w14:solidFill>
                    <w14:schemeClr w14:val="tx1"/>
                  </w14:solidFill>
                </w14:textFill>
              </w:rPr>
              <w:t>水泥行业错峰生产，推</w:t>
            </w:r>
            <w:r>
              <w:rPr>
                <w:color w:val="000000" w:themeColor="text1"/>
                <w:spacing w:val="1"/>
                <w:lang w:eastAsia="zh-CN"/>
                <w14:textFill>
                  <w14:solidFill>
                    <w14:schemeClr w14:val="tx1"/>
                  </w14:solidFill>
                </w14:textFill>
              </w:rPr>
              <w:t>进散煤整治、挥发性有机污染物综合治理、钢铁</w:t>
            </w:r>
            <w:r>
              <w:rPr>
                <w:color w:val="000000" w:themeColor="text1"/>
                <w:lang w:eastAsia="zh-CN"/>
                <w14:textFill>
                  <w14:solidFill>
                    <w14:schemeClr w14:val="tx1"/>
                  </w14:solidFill>
                </w14:textFill>
              </w:rPr>
              <w:t xml:space="preserve">、水泥、焦化和燃 </w:t>
            </w:r>
            <w:r>
              <w:rPr>
                <w:color w:val="000000" w:themeColor="text1"/>
                <w:spacing w:val="2"/>
                <w:lang w:eastAsia="zh-CN"/>
                <w14:textFill>
                  <w14:solidFill>
                    <w14:schemeClr w14:val="tx1"/>
                  </w14:solidFill>
                </w14:textFill>
              </w:rPr>
              <w:t>煤工业锅炉行业超低排放改造、燃气锅炉低氮</w:t>
            </w:r>
            <w:r>
              <w:rPr>
                <w:color w:val="000000" w:themeColor="text1"/>
                <w:spacing w:val="1"/>
                <w:lang w:eastAsia="zh-CN"/>
                <w14:textFill>
                  <w14:solidFill>
                    <w14:schemeClr w14:val="tx1"/>
                  </w14:solidFill>
                </w14:textFill>
              </w:rPr>
              <w:t>燃烧改造、工业园区内轨道运输（大宗货物“公转铁”）、柴油货车治理、锅炉炉窑综合治理等工程项目。全面推行绿色施工，持续推动城市建成区重污染</w:t>
            </w:r>
            <w:r>
              <w:rPr>
                <w:color w:val="000000" w:themeColor="text1"/>
                <w:spacing w:val="-1"/>
                <w:lang w:eastAsia="zh-CN"/>
                <w14:textFill>
                  <w14:solidFill>
                    <w14:schemeClr w14:val="tx1"/>
                  </w14:solidFill>
                </w14:textFill>
              </w:rPr>
              <w:t>企业搬迁或关闭退出。</w:t>
            </w:r>
          </w:p>
        </w:tc>
        <w:tc>
          <w:tcPr>
            <w:tcW w:w="2185" w:type="dxa"/>
            <w:vAlign w:val="center"/>
          </w:tcPr>
          <w:p w14:paraId="1241A9F7">
            <w:pPr>
              <w:pStyle w:val="109"/>
              <w:rPr>
                <w:color w:val="000000" w:themeColor="text1"/>
                <w:spacing w:val="4"/>
                <w:lang w:eastAsia="zh-CN"/>
                <w14:textFill>
                  <w14:solidFill>
                    <w14:schemeClr w14:val="tx1"/>
                  </w14:solidFill>
                </w14:textFill>
              </w:rPr>
            </w:pPr>
            <w:r>
              <w:rPr>
                <w:color w:val="000000" w:themeColor="text1"/>
                <w:lang w:eastAsia="zh-CN"/>
                <w14:textFill>
                  <w14:solidFill>
                    <w14:schemeClr w14:val="tx1"/>
                  </w14:solidFill>
                </w14:textFill>
              </w:rPr>
              <w:t>本项目采取严格的大气污染防治措施，确保大气污染物达标排放</w:t>
            </w:r>
          </w:p>
        </w:tc>
        <w:tc>
          <w:tcPr>
            <w:tcW w:w="635" w:type="dxa"/>
            <w:vAlign w:val="center"/>
          </w:tcPr>
          <w:p w14:paraId="7C2230BC">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7420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17582988">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〔A2.2-4〕强化用水定额管理。推进地下水超采综合治理。开展河</w:t>
            </w:r>
            <w:r>
              <w:rPr>
                <w:color w:val="000000" w:themeColor="text1"/>
                <w:lang w:eastAsia="zh-CN"/>
                <w14:textFill>
                  <w14:solidFill>
                    <w14:schemeClr w14:val="tx1"/>
                  </w14:solidFill>
                </w14:textFill>
              </w:rPr>
              <w:t>湖生态流量（水量）确定工作，强化生态用水保</w:t>
            </w:r>
            <w:r>
              <w:rPr>
                <w:color w:val="000000" w:themeColor="text1"/>
                <w:spacing w:val="-1"/>
                <w:lang w:eastAsia="zh-CN"/>
                <w14:textFill>
                  <w14:solidFill>
                    <w14:schemeClr w14:val="tx1"/>
                  </w14:solidFill>
                </w14:textFill>
              </w:rPr>
              <w:t>障。</w:t>
            </w:r>
          </w:p>
        </w:tc>
        <w:tc>
          <w:tcPr>
            <w:tcW w:w="2185" w:type="dxa"/>
            <w:vAlign w:val="center"/>
          </w:tcPr>
          <w:p w14:paraId="2C3E0832">
            <w:pPr>
              <w:pStyle w:val="109"/>
              <w:rPr>
                <w:color w:val="000000" w:themeColor="text1"/>
                <w:spacing w:val="4"/>
                <w:lang w:eastAsia="zh-CN"/>
                <w14:textFill>
                  <w14:solidFill>
                    <w14:schemeClr w14:val="tx1"/>
                  </w14:solidFill>
                </w14:textFill>
              </w:rPr>
            </w:pPr>
            <w:r>
              <w:rPr>
                <w:color w:val="000000" w:themeColor="text1"/>
                <w:spacing w:val="4"/>
                <w:lang w:eastAsia="zh-CN"/>
                <w14:textFill>
                  <w14:solidFill>
                    <w14:schemeClr w14:val="tx1"/>
                  </w14:solidFill>
                </w14:textFill>
              </w:rPr>
              <w:t>本项目不涉及地下水开采</w:t>
            </w:r>
          </w:p>
        </w:tc>
        <w:tc>
          <w:tcPr>
            <w:tcW w:w="635" w:type="dxa"/>
            <w:vAlign w:val="center"/>
          </w:tcPr>
          <w:p w14:paraId="62CD2C12">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0613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21D183BF">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〔A2.2-5〕持续推进伊犁河、额尔齐斯河、额敏河、玛纳斯河、乌</w:t>
            </w:r>
            <w:r>
              <w:rPr>
                <w:color w:val="000000" w:themeColor="text1"/>
                <w:lang w:eastAsia="zh-CN"/>
                <w14:textFill>
                  <w14:solidFill>
                    <w14:schemeClr w14:val="tx1"/>
                  </w14:solidFill>
                </w14:textFill>
              </w:rPr>
              <w:t>伦古湖、博斯腾湖等流域生态治理，加强生态修复。推动重点行业、重点企业绿色发展，严格落实水污染物排放标准。加强农副食品加</w:t>
            </w:r>
            <w:r>
              <w:rPr>
                <w:color w:val="000000" w:themeColor="text1"/>
                <w:spacing w:val="-2"/>
                <w:lang w:eastAsia="zh-CN"/>
                <w14:textFill>
                  <w14:solidFill>
                    <w14:schemeClr w14:val="tx1"/>
                  </w14:solidFill>
                </w14:textFill>
              </w:rPr>
              <w:t>工、化工、印染、棉浆粕、粘胶纤维等企业综合治理和清洁化改造。</w:t>
            </w:r>
          </w:p>
        </w:tc>
        <w:tc>
          <w:tcPr>
            <w:tcW w:w="2185" w:type="dxa"/>
            <w:vAlign w:val="center"/>
          </w:tcPr>
          <w:p w14:paraId="7DB7EDC1">
            <w:pPr>
              <w:pStyle w:val="109"/>
              <w:rPr>
                <w:color w:val="000000" w:themeColor="text1"/>
                <w:spacing w:val="-2"/>
                <w:lang w:eastAsia="en-US"/>
                <w14:textFill>
                  <w14:solidFill>
                    <w14:schemeClr w14:val="tx1"/>
                  </w14:solidFill>
                </w14:textFill>
              </w:rPr>
            </w:pPr>
            <w:r>
              <w:rPr>
                <w:color w:val="000000" w:themeColor="text1"/>
                <w:lang w:eastAsia="en-US"/>
                <w14:textFill>
                  <w14:solidFill>
                    <w14:schemeClr w14:val="tx1"/>
                  </w14:solidFill>
                </w14:textFill>
              </w:rPr>
              <w:t>本项目不涉及</w:t>
            </w:r>
          </w:p>
        </w:tc>
        <w:tc>
          <w:tcPr>
            <w:tcW w:w="635" w:type="dxa"/>
            <w:vAlign w:val="center"/>
          </w:tcPr>
          <w:p w14:paraId="14290E3C">
            <w:pPr>
              <w:pStyle w:val="109"/>
              <w:rPr>
                <w:color w:val="000000" w:themeColor="text1"/>
                <w:spacing w:val="-2"/>
                <w:lang w:eastAsia="en-US"/>
                <w14:textFill>
                  <w14:solidFill>
                    <w14:schemeClr w14:val="tx1"/>
                  </w14:solidFill>
                </w14:textFill>
              </w:rPr>
            </w:pPr>
            <w:r>
              <w:rPr>
                <w:color w:val="000000" w:themeColor="text1"/>
                <w:spacing w:val="3"/>
                <w:lang w:eastAsia="en-US"/>
                <w14:textFill>
                  <w14:solidFill>
                    <w14:schemeClr w14:val="tx1"/>
                  </w14:solidFill>
                </w14:textFill>
              </w:rPr>
              <w:t>/</w:t>
            </w:r>
          </w:p>
        </w:tc>
      </w:tr>
      <w:tr w14:paraId="0A16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42267F34">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〔A2.2-6〕推进地表水与地下水协同防治。以傍河型地下水饮用水</w:t>
            </w:r>
            <w:r>
              <w:rPr>
                <w:color w:val="000000" w:themeColor="text1"/>
                <w:lang w:eastAsia="zh-CN"/>
                <w14:textFill>
                  <w14:solidFill>
                    <w14:schemeClr w14:val="tx1"/>
                  </w14:solidFill>
                </w14:textFill>
              </w:rPr>
              <w:t>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w:t>
            </w:r>
            <w:r>
              <w:rPr>
                <w:color w:val="000000" w:themeColor="text1"/>
                <w:spacing w:val="9"/>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合治理和清洁化改造。支持企业积极实施节水技术改造，加强工业</w:t>
            </w:r>
            <w:r>
              <w:rPr>
                <w:color w:val="000000" w:themeColor="text1"/>
                <w:lang w:eastAsia="zh-CN"/>
                <w14:textFill>
                  <w14:solidFill>
                    <w14:schemeClr w14:val="tx1"/>
                  </w14:solidFill>
                </w14:textFill>
              </w:rPr>
              <w:t>园区污水集中处理设施运行管理，加快再生水回用设施建设，提升园区水资源循环利用水平。</w:t>
            </w:r>
          </w:p>
        </w:tc>
        <w:tc>
          <w:tcPr>
            <w:tcW w:w="2185" w:type="dxa"/>
            <w:vAlign w:val="center"/>
          </w:tcPr>
          <w:p w14:paraId="59EABA17">
            <w:pPr>
              <w:pStyle w:val="109"/>
              <w:rPr>
                <w:color w:val="000000" w:themeColor="text1"/>
                <w:spacing w:val="4"/>
                <w:lang w:eastAsia="zh-CN"/>
                <w14:textFill>
                  <w14:solidFill>
                    <w14:schemeClr w14:val="tx1"/>
                  </w14:solidFill>
                </w14:textFill>
              </w:rPr>
            </w:pPr>
            <w:r>
              <w:rPr>
                <w:color w:val="000000" w:themeColor="text1"/>
                <w:lang w:eastAsia="zh-CN"/>
                <w14:textFill>
                  <w14:solidFill>
                    <w14:schemeClr w14:val="tx1"/>
                  </w14:solidFill>
                </w14:textFill>
              </w:rPr>
              <w:t>本项目废水排入园区污水处理厂</w:t>
            </w:r>
          </w:p>
        </w:tc>
        <w:tc>
          <w:tcPr>
            <w:tcW w:w="635" w:type="dxa"/>
            <w:vAlign w:val="center"/>
          </w:tcPr>
          <w:p w14:paraId="1CF1FA25">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7D6E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0EAD355A">
            <w:pPr>
              <w:pStyle w:val="109"/>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〔A2.2-7〕强化重点区域地下水环境风险管控，对化学品生产企业、</w:t>
            </w:r>
            <w:r>
              <w:rPr>
                <w:color w:val="000000" w:themeColor="text1"/>
                <w:spacing w:val="-3"/>
                <w:lang w:eastAsia="zh-CN"/>
                <w14:textFill>
                  <w14:solidFill>
                    <w14:schemeClr w14:val="tx1"/>
                  </w14:solidFill>
                </w14:textFill>
              </w:rPr>
              <w:t>工业集聚区、尾矿库、矿山开采区、危险废物处置场、</w:t>
            </w:r>
            <w:r>
              <w:rPr>
                <w:color w:val="000000" w:themeColor="text1"/>
                <w:spacing w:val="-4"/>
                <w:lang w:eastAsia="zh-CN"/>
                <w14:textFill>
                  <w14:solidFill>
                    <w14:schemeClr w14:val="tx1"/>
                  </w14:solidFill>
                </w14:textFill>
              </w:rPr>
              <w:t>垃圾填埋场等地下水污染源及周边区域，逐步开展地下水环境状况调查评估，</w:t>
            </w:r>
            <w:r>
              <w:rPr>
                <w:color w:val="000000" w:themeColor="text1"/>
                <w:lang w:eastAsia="zh-CN"/>
                <w14:textFill>
                  <w14:solidFill>
                    <w14:schemeClr w14:val="tx1"/>
                  </w14:solidFill>
                </w14:textFill>
              </w:rPr>
              <w:t>加强风险管控。</w:t>
            </w:r>
          </w:p>
        </w:tc>
        <w:tc>
          <w:tcPr>
            <w:tcW w:w="2185" w:type="dxa"/>
            <w:vAlign w:val="center"/>
          </w:tcPr>
          <w:p w14:paraId="25E47E36">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本项目采取了严格的地下水防控措施，确保不污染地下水</w:t>
            </w:r>
          </w:p>
        </w:tc>
        <w:tc>
          <w:tcPr>
            <w:tcW w:w="635" w:type="dxa"/>
            <w:vAlign w:val="center"/>
          </w:tcPr>
          <w:p w14:paraId="49CAA027">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5B99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213054BE">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〔A2.2-8〕严控土壤重金属污染，加强油（气）田开发土壤污染防</w:t>
            </w:r>
            <w:r>
              <w:rPr>
                <w:color w:val="000000" w:themeColor="text1"/>
                <w:lang w:eastAsia="zh-CN"/>
                <w14:textFill>
                  <w14:solidFill>
                    <w14:schemeClr w14:val="tx1"/>
                  </w14:solidFill>
                </w14:textFill>
              </w:rPr>
              <w:t>治，以历史遗留工业企业污染场地为重点，开展土壤污染风险管控与修复工程。</w:t>
            </w:r>
          </w:p>
        </w:tc>
        <w:tc>
          <w:tcPr>
            <w:tcW w:w="2185" w:type="dxa"/>
            <w:vAlign w:val="center"/>
          </w:tcPr>
          <w:p w14:paraId="562FC9F9">
            <w:pPr>
              <w:pStyle w:val="109"/>
              <w:rPr>
                <w:color w:val="000000" w:themeColor="text1"/>
                <w:spacing w:val="4"/>
                <w:lang w:eastAsia="zh-CN"/>
                <w14:textFill>
                  <w14:solidFill>
                    <w14:schemeClr w14:val="tx1"/>
                  </w14:solidFill>
                </w14:textFill>
              </w:rPr>
            </w:pPr>
            <w:r>
              <w:rPr>
                <w:color w:val="000000" w:themeColor="text1"/>
                <w:lang w:eastAsia="zh-CN"/>
                <w14:textFill>
                  <w14:solidFill>
                    <w14:schemeClr w14:val="tx1"/>
                  </w14:solidFill>
                </w14:textFill>
              </w:rPr>
              <w:t>本项目采取了严格的</w:t>
            </w:r>
            <w:r>
              <w:rPr>
                <w:color w:val="000000" w:themeColor="text1"/>
                <w:spacing w:val="4"/>
                <w:lang w:eastAsia="zh-CN"/>
                <w14:textFill>
                  <w14:solidFill>
                    <w14:schemeClr w14:val="tx1"/>
                  </w14:solidFill>
                </w14:textFill>
              </w:rPr>
              <w:t>土壤</w:t>
            </w:r>
            <w:r>
              <w:rPr>
                <w:color w:val="000000" w:themeColor="text1"/>
                <w:lang w:eastAsia="zh-CN"/>
                <w14:textFill>
                  <w14:solidFill>
                    <w14:schemeClr w14:val="tx1"/>
                  </w14:solidFill>
                </w14:textFill>
              </w:rPr>
              <w:t>防控措施，确保不污染</w:t>
            </w:r>
            <w:r>
              <w:rPr>
                <w:color w:val="000000" w:themeColor="text1"/>
                <w:spacing w:val="4"/>
                <w:lang w:eastAsia="zh-CN"/>
                <w14:textFill>
                  <w14:solidFill>
                    <w14:schemeClr w14:val="tx1"/>
                  </w14:solidFill>
                </w14:textFill>
              </w:rPr>
              <w:t>土壤</w:t>
            </w:r>
          </w:p>
        </w:tc>
        <w:tc>
          <w:tcPr>
            <w:tcW w:w="635" w:type="dxa"/>
            <w:vAlign w:val="center"/>
          </w:tcPr>
          <w:p w14:paraId="02644435">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3E63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21DA330C">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〔A2.2-9〕加强种植业污染防治。深入推进化肥农药减量增效，全</w:t>
            </w:r>
            <w:r>
              <w:rPr>
                <w:color w:val="000000" w:themeColor="text1"/>
                <w:lang w:eastAsia="zh-CN"/>
                <w14:textFill>
                  <w14:solidFill>
                    <w14:schemeClr w14:val="tx1"/>
                  </w14:solidFill>
                </w14:textFill>
              </w:rPr>
              <w:t>面推广测土配方施肥，引导推动有机肥、绿肥替代化肥，集成推广</w:t>
            </w:r>
            <w:r>
              <w:rPr>
                <w:color w:val="000000" w:themeColor="text1"/>
                <w:spacing w:val="-1"/>
                <w:lang w:eastAsia="zh-CN"/>
                <w14:textFill>
                  <w14:solidFill>
                    <w14:schemeClr w14:val="tx1"/>
                  </w14:solidFill>
                </w14:textFill>
              </w:rPr>
              <w:t>化肥减量增效技术模式，加强农药包装废弃物管理。实施农膜回收</w:t>
            </w:r>
            <w:r>
              <w:rPr>
                <w:color w:val="000000" w:themeColor="text1"/>
                <w:lang w:eastAsia="zh-CN"/>
                <w14:textFill>
                  <w14:solidFill>
                    <w14:schemeClr w14:val="tx1"/>
                  </w14:solidFill>
                </w14:textFill>
              </w:rPr>
              <w:t>行动，健全农田废旧地膜回收利用体系，提高废旧地膜回收率。推进农作物秸秆综合利用，不断完善秸秆收储运</w:t>
            </w:r>
            <w:r>
              <w:rPr>
                <w:color w:val="000000" w:themeColor="text1"/>
                <w:spacing w:val="-1"/>
                <w:lang w:eastAsia="zh-CN"/>
                <w14:textFill>
                  <w14:solidFill>
                    <w14:schemeClr w14:val="tx1"/>
                  </w14:solidFill>
                </w14:textFill>
              </w:rPr>
              <w:t>用体系，形成布局合</w:t>
            </w:r>
            <w:r>
              <w:rPr>
                <w:color w:val="000000" w:themeColor="text1"/>
                <w:lang w:eastAsia="zh-CN"/>
                <w14:textFill>
                  <w14:solidFill>
                    <w14:schemeClr w14:val="tx1"/>
                  </w14:solidFill>
                </w14:textFill>
              </w:rPr>
              <w:t>理、多元利用的秸秆综合利用格局。</w:t>
            </w:r>
          </w:p>
        </w:tc>
        <w:tc>
          <w:tcPr>
            <w:tcW w:w="2185" w:type="dxa"/>
            <w:vAlign w:val="center"/>
          </w:tcPr>
          <w:p w14:paraId="4AE507A9">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本项目不涉及</w:t>
            </w:r>
          </w:p>
        </w:tc>
        <w:tc>
          <w:tcPr>
            <w:tcW w:w="635" w:type="dxa"/>
            <w:vAlign w:val="center"/>
          </w:tcPr>
          <w:p w14:paraId="4F63AFFE">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70D0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08A70004">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〔A3.1-1〕建立和完善重污染天气兵地联合</w:t>
            </w:r>
            <w:r>
              <w:rPr>
                <w:color w:val="000000" w:themeColor="text1"/>
                <w:spacing w:val="3"/>
                <w:lang w:eastAsia="zh-CN"/>
                <w14:textFill>
                  <w14:solidFill>
                    <w14:schemeClr w14:val="tx1"/>
                  </w14:solidFill>
                </w14:textFill>
              </w:rPr>
              <w:t>应急预案、预报预警应</w:t>
            </w:r>
            <w:r>
              <w:rPr>
                <w:color w:val="000000" w:themeColor="text1"/>
                <w:spacing w:val="-2"/>
                <w:lang w:eastAsia="zh-CN"/>
                <w14:textFill>
                  <w14:solidFill>
                    <w14:schemeClr w14:val="tx1"/>
                  </w14:solidFill>
                </w14:textFill>
              </w:rPr>
              <w:t>急机制和会商联动机制。“乌一昌一石”区域内可能影响相邻行政区</w:t>
            </w:r>
            <w:r>
              <w:rPr>
                <w:color w:val="000000" w:themeColor="text1"/>
                <w:spacing w:val="-1"/>
                <w:lang w:eastAsia="zh-CN"/>
                <w14:textFill>
                  <w14:solidFill>
                    <w14:schemeClr w14:val="tx1"/>
                  </w14:solidFill>
                </w14:textFill>
              </w:rPr>
              <w:t>域大气环境的项目，兵地间、城市间必须相互征求意见。</w:t>
            </w:r>
          </w:p>
        </w:tc>
        <w:tc>
          <w:tcPr>
            <w:tcW w:w="2185" w:type="dxa"/>
            <w:vAlign w:val="center"/>
          </w:tcPr>
          <w:p w14:paraId="09B83E79">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w:t>
            </w:r>
          </w:p>
        </w:tc>
        <w:tc>
          <w:tcPr>
            <w:tcW w:w="635" w:type="dxa"/>
            <w:vAlign w:val="center"/>
          </w:tcPr>
          <w:p w14:paraId="7C415117">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w:t>
            </w:r>
          </w:p>
        </w:tc>
      </w:tr>
      <w:tr w14:paraId="209B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1682351E">
            <w:pPr>
              <w:pStyle w:val="109"/>
              <w:rPr>
                <w:color w:val="000000" w:themeColor="text1"/>
                <w:spacing w:val="4"/>
                <w:lang w:eastAsia="zh-CN"/>
                <w14:textFill>
                  <w14:solidFill>
                    <w14:schemeClr w14:val="tx1"/>
                  </w14:solidFill>
                </w14:textFill>
              </w:rPr>
            </w:pPr>
            <w:r>
              <w:rPr>
                <w:color w:val="000000" w:themeColor="text1"/>
                <w:spacing w:val="1"/>
                <w:lang w:eastAsia="zh-CN"/>
                <w14:textFill>
                  <w14:solidFill>
                    <w14:schemeClr w14:val="tx1"/>
                  </w14:solidFill>
                </w14:textFill>
              </w:rPr>
              <w:t>〔A3.1-2〕对跨国境河流、涉及县级及以上集中式饮用水水源地的</w:t>
            </w:r>
            <w:r>
              <w:rPr>
                <w:color w:val="000000" w:themeColor="text1"/>
                <w:spacing w:val="-3"/>
                <w:lang w:eastAsia="zh-CN"/>
                <w14:textFill>
                  <w14:solidFill>
                    <w14:schemeClr w14:val="tx1"/>
                  </w14:solidFill>
                </w14:textFill>
              </w:rPr>
              <w:t>河流、其他重要环境敏感目标的河流，建立健全</w:t>
            </w:r>
            <w:r>
              <w:rPr>
                <w:color w:val="000000" w:themeColor="text1"/>
                <w:spacing w:val="-4"/>
                <w:lang w:eastAsia="zh-CN"/>
                <w14:textFill>
                  <w14:solidFill>
                    <w14:schemeClr w14:val="tx1"/>
                  </w14:solidFill>
                </w14:textFill>
              </w:rPr>
              <w:t>流域上下游突发水</w:t>
            </w:r>
            <w:r>
              <w:rPr>
                <w:color w:val="000000" w:themeColor="text1"/>
                <w:spacing w:val="-3"/>
                <w:lang w:eastAsia="zh-CN"/>
                <w14:textFill>
                  <w14:solidFill>
                    <w14:schemeClr w14:val="tx1"/>
                  </w14:solidFill>
                </w14:textFill>
              </w:rPr>
              <w:t>污染事件联防联动机制，建立流域环境应急基础信息动态更新长效</w:t>
            </w:r>
            <w:r>
              <w:rPr>
                <w:color w:val="000000" w:themeColor="text1"/>
                <w:spacing w:val="-5"/>
                <w:lang w:eastAsia="zh-CN"/>
                <w14:textFill>
                  <w14:solidFill>
                    <w14:schemeClr w14:val="tx1"/>
                  </w14:solidFill>
                </w14:textFill>
              </w:rPr>
              <w:t>机制，绘制全流域“一河一策一图”。建立健全跨部门、跨区域的环</w:t>
            </w:r>
            <w:r>
              <w:rPr>
                <w:color w:val="000000" w:themeColor="text1"/>
                <w:spacing w:val="-3"/>
                <w:lang w:eastAsia="zh-CN"/>
                <w14:textFill>
                  <w14:solidFill>
                    <w14:schemeClr w14:val="tx1"/>
                  </w14:solidFill>
                </w14:textFill>
              </w:rPr>
              <w:t>境应急协调联动处置机制，强化流域上下游、兵地各部门协调，实</w:t>
            </w:r>
            <w:r>
              <w:rPr>
                <w:color w:val="000000" w:themeColor="text1"/>
                <w:spacing w:val="1"/>
                <w:lang w:eastAsia="zh-CN"/>
                <w14:textFill>
                  <w14:solidFill>
                    <w14:schemeClr w14:val="tx1"/>
                  </w14:solidFill>
                </w14:textFill>
              </w:rPr>
              <w:t>施联合监测、联合执法、应急联动、信息共享，形成“政府引导、</w:t>
            </w:r>
            <w:r>
              <w:rPr>
                <w:color w:val="000000" w:themeColor="text1"/>
                <w:spacing w:val="-3"/>
                <w:lang w:eastAsia="zh-CN"/>
                <w14:textFill>
                  <w14:solidFill>
                    <w14:schemeClr w14:val="tx1"/>
                  </w14:solidFill>
                </w14:textFill>
              </w:rPr>
              <w:t>多元联动、社会参与、专业救援”的环境应急处置机制，持续开展应急综合演练，实现从被动应对到主动防控的</w:t>
            </w:r>
            <w:r>
              <w:rPr>
                <w:color w:val="000000" w:themeColor="text1"/>
                <w:spacing w:val="-4"/>
                <w:lang w:eastAsia="zh-CN"/>
                <w14:textFill>
                  <w14:solidFill>
                    <w14:schemeClr w14:val="tx1"/>
                  </w14:solidFill>
                </w14:textFill>
              </w:rPr>
              <w:t>重大转变。加强流域</w:t>
            </w:r>
            <w:r>
              <w:rPr>
                <w:color w:val="000000" w:themeColor="text1"/>
                <w:spacing w:val="-1"/>
                <w:lang w:eastAsia="zh-CN"/>
                <w14:textFill>
                  <w14:solidFill>
                    <w14:schemeClr w14:val="tx1"/>
                  </w14:solidFill>
                </w14:textFill>
              </w:rPr>
              <w:t>突发水环境事件应急能力建设，提升应急响</w:t>
            </w:r>
            <w:r>
              <w:rPr>
                <w:color w:val="000000" w:themeColor="text1"/>
                <w:spacing w:val="-2"/>
                <w:lang w:eastAsia="zh-CN"/>
                <w14:textFill>
                  <w14:solidFill>
                    <w14:schemeClr w14:val="tx1"/>
                  </w14:solidFill>
                </w14:textFill>
              </w:rPr>
              <w:t>应水平，加强监测预警、</w:t>
            </w:r>
            <w:r>
              <w:rPr>
                <w:color w:val="000000" w:themeColor="text1"/>
                <w:spacing w:val="-3"/>
                <w:lang w:eastAsia="zh-CN"/>
                <w14:textFill>
                  <w14:solidFill>
                    <w14:schemeClr w14:val="tx1"/>
                  </w14:solidFill>
                </w14:textFill>
              </w:rPr>
              <w:t>拦污控污、信息通报、协同处置、基础保障等工作，防范重大生态环境风险，坚决守住生态环境安全底线。</w:t>
            </w:r>
          </w:p>
        </w:tc>
        <w:tc>
          <w:tcPr>
            <w:tcW w:w="2185" w:type="dxa"/>
            <w:vAlign w:val="center"/>
          </w:tcPr>
          <w:p w14:paraId="1C3C80DD">
            <w:pPr>
              <w:pStyle w:val="109"/>
              <w:rPr>
                <w:color w:val="000000" w:themeColor="text1"/>
                <w:spacing w:val="4"/>
                <w:lang w:eastAsia="en-US"/>
                <w14:textFill>
                  <w14:solidFill>
                    <w14:schemeClr w14:val="tx1"/>
                  </w14:solidFill>
                </w14:textFill>
              </w:rPr>
            </w:pPr>
            <w:r>
              <w:rPr>
                <w:color w:val="000000" w:themeColor="text1"/>
                <w:spacing w:val="1"/>
                <w:lang w:eastAsia="en-US"/>
                <w14:textFill>
                  <w14:solidFill>
                    <w14:schemeClr w14:val="tx1"/>
                  </w14:solidFill>
                </w14:textFill>
              </w:rPr>
              <w:t>/</w:t>
            </w:r>
          </w:p>
        </w:tc>
        <w:tc>
          <w:tcPr>
            <w:tcW w:w="635" w:type="dxa"/>
            <w:vAlign w:val="center"/>
          </w:tcPr>
          <w:p w14:paraId="58286444">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w:t>
            </w:r>
          </w:p>
        </w:tc>
      </w:tr>
      <w:tr w14:paraId="06EF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0746E0FA">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〔A3.1-3〕强化重污染天气监测预报预警能力，建立和完善重污染天气兵地联合应急预案、预警应急机制和会商联动机制，加强轻、</w:t>
            </w:r>
            <w:r>
              <w:rPr>
                <w:color w:val="000000" w:themeColor="text1"/>
                <w:lang w:eastAsia="zh-CN"/>
                <w14:textFill>
                  <w14:solidFill>
                    <w14:schemeClr w14:val="tx1"/>
                  </w14:solidFill>
                </w14:textFill>
              </w:rPr>
              <w:t>中度污染天气管控。</w:t>
            </w:r>
          </w:p>
        </w:tc>
        <w:tc>
          <w:tcPr>
            <w:tcW w:w="2185" w:type="dxa"/>
            <w:vAlign w:val="center"/>
          </w:tcPr>
          <w:p w14:paraId="45318E7E">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w:t>
            </w:r>
          </w:p>
        </w:tc>
        <w:tc>
          <w:tcPr>
            <w:tcW w:w="635" w:type="dxa"/>
            <w:vAlign w:val="center"/>
          </w:tcPr>
          <w:p w14:paraId="1934500B">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w:t>
            </w:r>
          </w:p>
        </w:tc>
      </w:tr>
      <w:tr w14:paraId="040D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13" w:type="dxa"/>
          <w:trHeight w:val="23" w:hRule="atLeast"/>
          <w:jc w:val="center"/>
        </w:trPr>
        <w:tc>
          <w:tcPr>
            <w:tcW w:w="4772" w:type="dxa"/>
            <w:vAlign w:val="center"/>
          </w:tcPr>
          <w:p w14:paraId="2985DA71">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〔A3.2-1〕提升饮用水安全保障水平。以县级及以上集中式饮用水</w:t>
            </w:r>
            <w:r>
              <w:rPr>
                <w:color w:val="000000" w:themeColor="text1"/>
                <w:spacing w:val="1"/>
                <w:lang w:eastAsia="zh-CN"/>
                <w14:textFill>
                  <w14:solidFill>
                    <w14:schemeClr w14:val="tx1"/>
                  </w14:solidFill>
                </w14:textFill>
              </w:rPr>
              <w:t>水源地为重点，推进饮用水水源保护区规范化建设，统筹推进备用</w:t>
            </w:r>
            <w:r>
              <w:rPr>
                <w:color w:val="000000" w:themeColor="text1"/>
                <w:lang w:eastAsia="zh-CN"/>
                <w14:textFill>
                  <w14:solidFill>
                    <w14:schemeClr w14:val="tx1"/>
                  </w14:solidFill>
                </w14:textFill>
              </w:rPr>
              <w:t>水源或应急水源建设。单一水源供水的重点城市于2025年底前基</w:t>
            </w:r>
            <w:r>
              <w:rPr>
                <w:color w:val="000000" w:themeColor="text1"/>
                <w:spacing w:val="1"/>
                <w:lang w:eastAsia="zh-CN"/>
                <w14:textFill>
                  <w14:solidFill>
                    <w14:schemeClr w14:val="tx1"/>
                  </w14:solidFill>
                </w14:textFill>
              </w:rPr>
              <w:t>本完成备用水源或应急水源建设，有条件的地区开展兵地互为</w:t>
            </w:r>
            <w:r>
              <w:rPr>
                <w:color w:val="000000" w:themeColor="text1"/>
                <w:lang w:eastAsia="zh-CN"/>
                <w14:textFill>
                  <w14:solidFill>
                    <w14:schemeClr w14:val="tx1"/>
                  </w14:solidFill>
                </w14:textFill>
              </w:rPr>
              <w:t>备用</w:t>
            </w:r>
            <w:r>
              <w:rPr>
                <w:color w:val="000000" w:themeColor="text1"/>
                <w:spacing w:val="-2"/>
                <w:lang w:eastAsia="zh-CN"/>
                <w14:textFill>
                  <w14:solidFill>
                    <w14:schemeClr w14:val="tx1"/>
                  </w14:solidFill>
                </w14:textFill>
              </w:rPr>
              <w:t>水源建设。梯次推进农村集中式饮用水水源保护区划定，到2025年，</w:t>
            </w:r>
            <w:r>
              <w:rPr>
                <w:color w:val="000000" w:themeColor="text1"/>
                <w:lang w:eastAsia="zh-CN"/>
                <w14:textFill>
                  <w14:solidFill>
                    <w14:schemeClr w14:val="tx1"/>
                  </w14:solidFill>
                </w14:textFill>
              </w:rPr>
              <w:t>完成乡镇级集中式饮用水水源保护区划定与勘界立标。开展“千吨万人”农村饮用水水源保护区环境风险排查整治，加强农村水源水</w:t>
            </w:r>
            <w:r>
              <w:rPr>
                <w:color w:val="000000" w:themeColor="text1"/>
                <w:spacing w:val="-1"/>
                <w:lang w:eastAsia="zh-CN"/>
                <w14:textFill>
                  <w14:solidFill>
                    <w14:schemeClr w14:val="tx1"/>
                  </w14:solidFill>
                </w14:textFill>
              </w:rPr>
              <w:t>质监测，依法清理饮用水水源保护区内违法建筑和排污口，实施从</w:t>
            </w:r>
            <w:r>
              <w:rPr>
                <w:color w:val="000000" w:themeColor="text1"/>
                <w:lang w:eastAsia="zh-CN"/>
                <w14:textFill>
                  <w14:solidFill>
                    <w14:schemeClr w14:val="tx1"/>
                  </w14:solidFill>
                </w14:textFill>
              </w:rPr>
              <w:t>水源到水龙头全过程监管。强化饮用水水源保护区环境应急管</w:t>
            </w:r>
            <w:r>
              <w:rPr>
                <w:color w:val="000000" w:themeColor="text1"/>
                <w:spacing w:val="-1"/>
                <w:lang w:eastAsia="zh-CN"/>
                <w14:textFill>
                  <w14:solidFill>
                    <w14:schemeClr w14:val="tx1"/>
                  </w14:solidFill>
                </w14:textFill>
              </w:rPr>
              <w:t>理，</w:t>
            </w:r>
            <w:r>
              <w:rPr>
                <w:color w:val="000000" w:themeColor="text1"/>
                <w:lang w:eastAsia="zh-CN"/>
                <w14:textFill>
                  <w14:solidFill>
                    <w14:schemeClr w14:val="tx1"/>
                  </w14:solidFill>
                </w14:textFill>
              </w:rPr>
              <w:t>完善重大突发环境事件的物资和技术储备。针对汇水区、补给区存</w:t>
            </w:r>
            <w:r>
              <w:rPr>
                <w:color w:val="000000" w:themeColor="text1"/>
                <w:spacing w:val="1"/>
                <w:lang w:eastAsia="zh-CN"/>
                <w14:textFill>
                  <w14:solidFill>
                    <w14:schemeClr w14:val="tx1"/>
                  </w14:solidFill>
                </w14:textFill>
              </w:rPr>
              <w:t>在兵地跨界的，建立统一的饮用水水源应急和执法机制，共享应急</w:t>
            </w:r>
            <w:r>
              <w:rPr>
                <w:color w:val="000000" w:themeColor="text1"/>
                <w:spacing w:val="-1"/>
                <w:lang w:eastAsia="zh-CN"/>
                <w14:textFill>
                  <w14:solidFill>
                    <w14:schemeClr w14:val="tx1"/>
                  </w14:solidFill>
                </w14:textFill>
              </w:rPr>
              <w:t>物资。</w:t>
            </w:r>
          </w:p>
        </w:tc>
        <w:tc>
          <w:tcPr>
            <w:tcW w:w="2185" w:type="dxa"/>
            <w:vAlign w:val="center"/>
          </w:tcPr>
          <w:p w14:paraId="0F19E769">
            <w:pPr>
              <w:pStyle w:val="109"/>
              <w:rPr>
                <w:color w:val="000000" w:themeColor="text1"/>
                <w:spacing w:val="4"/>
                <w:lang w:eastAsia="zh-CN"/>
                <w14:textFill>
                  <w14:solidFill>
                    <w14:schemeClr w14:val="tx1"/>
                  </w14:solidFill>
                </w14:textFill>
              </w:rPr>
            </w:pPr>
            <w:r>
              <w:rPr>
                <w:color w:val="000000" w:themeColor="text1"/>
                <w:spacing w:val="4"/>
                <w:lang w:eastAsia="zh-CN"/>
                <w14:textFill>
                  <w14:solidFill>
                    <w14:schemeClr w14:val="tx1"/>
                  </w14:solidFill>
                </w14:textFill>
              </w:rPr>
              <w:t>本项目不涉及饮用水</w:t>
            </w:r>
            <w:r>
              <w:rPr>
                <w:color w:val="000000" w:themeColor="text1"/>
                <w:spacing w:val="1"/>
                <w:lang w:eastAsia="zh-CN"/>
                <w14:textFill>
                  <w14:solidFill>
                    <w14:schemeClr w14:val="tx1"/>
                  </w14:solidFill>
                </w14:textFill>
              </w:rPr>
              <w:t>水源地</w:t>
            </w:r>
          </w:p>
        </w:tc>
        <w:tc>
          <w:tcPr>
            <w:tcW w:w="635" w:type="dxa"/>
            <w:vMerge w:val="restart"/>
            <w:vAlign w:val="center"/>
          </w:tcPr>
          <w:p w14:paraId="6FCF701F">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4BE2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dxa"/>
          <w:trHeight w:val="23" w:hRule="atLeast"/>
          <w:jc w:val="center"/>
        </w:trPr>
        <w:tc>
          <w:tcPr>
            <w:tcW w:w="4772" w:type="dxa"/>
            <w:vAlign w:val="center"/>
          </w:tcPr>
          <w:p w14:paraId="0E1BCD6A">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〔A3.2-2〕依法推行农用地分类管理制度，强化受污染耕地安全利</w:t>
            </w:r>
            <w:r>
              <w:rPr>
                <w:color w:val="000000" w:themeColor="text1"/>
                <w:spacing w:val="1"/>
                <w:lang w:eastAsia="zh-CN"/>
                <w14:textFill>
                  <w14:solidFill>
                    <w14:schemeClr w14:val="tx1"/>
                  </w14:solidFill>
                </w14:textFill>
              </w:rPr>
              <w:t>用和风险管控。因地制宜制定实施安全利用方案，</w:t>
            </w:r>
            <w:r>
              <w:rPr>
                <w:color w:val="000000" w:themeColor="text1"/>
                <w:lang w:eastAsia="zh-CN"/>
                <w14:textFill>
                  <w14:solidFill>
                    <w14:schemeClr w14:val="tx1"/>
                  </w14:solidFill>
                </w14:textFill>
              </w:rPr>
              <w:t>鼓励采取种植结构调整等措施，确保受污染耕地全部实现安全利用。</w:t>
            </w:r>
          </w:p>
        </w:tc>
        <w:tc>
          <w:tcPr>
            <w:tcW w:w="2185" w:type="dxa"/>
            <w:vAlign w:val="center"/>
          </w:tcPr>
          <w:p w14:paraId="5BA402C5">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本项目不占用农用地</w:t>
            </w:r>
          </w:p>
        </w:tc>
        <w:tc>
          <w:tcPr>
            <w:tcW w:w="639" w:type="dxa"/>
            <w:gridSpan w:val="2"/>
            <w:vAlign w:val="center"/>
          </w:tcPr>
          <w:p w14:paraId="3E0B204D">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25BA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dxa"/>
          <w:trHeight w:val="23" w:hRule="atLeast"/>
          <w:jc w:val="center"/>
        </w:trPr>
        <w:tc>
          <w:tcPr>
            <w:tcW w:w="4772" w:type="dxa"/>
            <w:vAlign w:val="center"/>
          </w:tcPr>
          <w:p w14:paraId="5C335578">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〔A3.2-3〕加强新污染物多环境介质协同治理。排放重点管控新污</w:t>
            </w:r>
            <w:r>
              <w:rPr>
                <w:color w:val="000000" w:themeColor="text1"/>
                <w:spacing w:val="2"/>
                <w:lang w:eastAsia="zh-CN"/>
                <w14:textFill>
                  <w14:solidFill>
                    <w14:schemeClr w14:val="tx1"/>
                  </w14:solidFill>
                </w14:textFill>
              </w:rPr>
              <w:t>染物的企事业单位应采取污染控制措施，达到相</w:t>
            </w:r>
            <w:r>
              <w:rPr>
                <w:color w:val="000000" w:themeColor="text1"/>
                <w:spacing w:val="1"/>
                <w:lang w:eastAsia="zh-CN"/>
                <w14:textFill>
                  <w14:solidFill>
                    <w14:schemeClr w14:val="tx1"/>
                  </w14:solidFill>
                </w14:textFill>
              </w:rPr>
              <w:t>关污染物排放标准</w:t>
            </w:r>
            <w:r>
              <w:rPr>
                <w:color w:val="000000" w:themeColor="text1"/>
                <w:spacing w:val="2"/>
                <w:lang w:eastAsia="zh-CN"/>
                <w14:textFill>
                  <w14:solidFill>
                    <w14:schemeClr w14:val="tx1"/>
                  </w14:solidFill>
                </w14:textFill>
              </w:rPr>
              <w:t>及环境质量目标要求；按照排污许可管理有关要求</w:t>
            </w:r>
            <w:r>
              <w:rPr>
                <w:color w:val="000000" w:themeColor="text1"/>
                <w:spacing w:val="1"/>
                <w:lang w:eastAsia="zh-CN"/>
                <w14:textFill>
                  <w14:solidFill>
                    <w14:schemeClr w14:val="tx1"/>
                  </w14:solidFill>
                </w14:textFill>
              </w:rPr>
              <w:t>，依法申领排污</w:t>
            </w:r>
            <w:r>
              <w:rPr>
                <w:color w:val="000000" w:themeColor="text1"/>
                <w:spacing w:val="2"/>
                <w:lang w:eastAsia="zh-CN"/>
                <w14:textFill>
                  <w14:solidFill>
                    <w14:schemeClr w14:val="tx1"/>
                  </w14:solidFill>
                </w14:textFill>
              </w:rPr>
              <w:t>许可证或填写排污登记表，并在其中载明执行的</w:t>
            </w:r>
            <w:r>
              <w:rPr>
                <w:color w:val="000000" w:themeColor="text1"/>
                <w:spacing w:val="1"/>
                <w:lang w:eastAsia="zh-CN"/>
                <w14:textFill>
                  <w14:solidFill>
                    <w14:schemeClr w14:val="tx1"/>
                  </w14:solidFill>
                </w14:textFill>
              </w:rPr>
              <w:t>污染控制标准要求及采取的污染控制措施。排放重点管控新污染物的企事业单位和其</w:t>
            </w:r>
            <w:r>
              <w:rPr>
                <w:color w:val="000000" w:themeColor="text1"/>
                <w:spacing w:val="-1"/>
                <w:lang w:eastAsia="zh-CN"/>
                <w14:textFill>
                  <w14:solidFill>
                    <w14:schemeClr w14:val="tx1"/>
                  </w14:solidFill>
                </w14:textFill>
              </w:rPr>
              <w:t>他生产经营者应按照相关法律法规要求，对排放（污）口及其周边</w:t>
            </w:r>
            <w:r>
              <w:rPr>
                <w:color w:val="000000" w:themeColor="text1"/>
                <w:lang w:eastAsia="zh-CN"/>
                <w14:textFill>
                  <w14:solidFill>
                    <w14:schemeClr w14:val="tx1"/>
                  </w14:solidFill>
                </w14:textFill>
              </w:rPr>
              <w:t>环境定期开展环境监测，评估环境风险，排查整治环境安全隐</w:t>
            </w:r>
            <w:r>
              <w:rPr>
                <w:color w:val="000000" w:themeColor="text1"/>
                <w:spacing w:val="-1"/>
                <w:lang w:eastAsia="zh-CN"/>
                <w14:textFill>
                  <w14:solidFill>
                    <w14:schemeClr w14:val="tx1"/>
                  </w14:solidFill>
                </w14:textFill>
              </w:rPr>
              <w:t>患，依法公开新污染物信息，采取措施防范环境风险。土壤</w:t>
            </w:r>
            <w:r>
              <w:rPr>
                <w:color w:val="000000" w:themeColor="text1"/>
                <w:spacing w:val="-2"/>
                <w:lang w:eastAsia="zh-CN"/>
                <w14:textFill>
                  <w14:solidFill>
                    <w14:schemeClr w14:val="tx1"/>
                  </w14:solidFill>
                </w14:textFill>
              </w:rPr>
              <w:t>污染重点监管单位应严格控制有毒有害物质排放，建立土壤污染隐患排查制度，</w:t>
            </w:r>
            <w:r>
              <w:rPr>
                <w:color w:val="000000" w:themeColor="text1"/>
                <w:lang w:eastAsia="zh-CN"/>
                <w14:textFill>
                  <w14:solidFill>
                    <w14:schemeClr w14:val="tx1"/>
                  </w14:solidFill>
                </w14:textFill>
              </w:rPr>
              <w:t>防止有毒有害物质渗漏、流失、扬散。</w:t>
            </w:r>
          </w:p>
        </w:tc>
        <w:tc>
          <w:tcPr>
            <w:tcW w:w="2185" w:type="dxa"/>
            <w:vAlign w:val="center"/>
          </w:tcPr>
          <w:p w14:paraId="3862CD49">
            <w:pPr>
              <w:pStyle w:val="109"/>
              <w:rPr>
                <w:color w:val="000000" w:themeColor="text1"/>
                <w:spacing w:val="-1"/>
                <w:lang w:eastAsia="zh-CN"/>
                <w14:textFill>
                  <w14:solidFill>
                    <w14:schemeClr w14:val="tx1"/>
                  </w14:solidFill>
                </w14:textFill>
              </w:rPr>
            </w:pPr>
            <w:r>
              <w:rPr>
                <w:color w:val="000000" w:themeColor="text1"/>
                <w:spacing w:val="4"/>
                <w:lang w:eastAsia="zh-CN"/>
                <w14:textFill>
                  <w14:solidFill>
                    <w14:schemeClr w14:val="tx1"/>
                  </w14:solidFill>
                </w14:textFill>
              </w:rPr>
              <w:t>本项目不涉及新污染物</w:t>
            </w:r>
          </w:p>
        </w:tc>
        <w:tc>
          <w:tcPr>
            <w:tcW w:w="639" w:type="dxa"/>
            <w:gridSpan w:val="2"/>
            <w:vAlign w:val="center"/>
          </w:tcPr>
          <w:p w14:paraId="416A4A8D">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4114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dxa"/>
          <w:trHeight w:val="23" w:hRule="atLeast"/>
          <w:jc w:val="center"/>
        </w:trPr>
        <w:tc>
          <w:tcPr>
            <w:tcW w:w="4772" w:type="dxa"/>
            <w:vAlign w:val="center"/>
          </w:tcPr>
          <w:p w14:paraId="0E0A119E">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〔A3.2-4〕加强环境风险预警防控。加强涉危险废物企业、涉重金</w:t>
            </w:r>
            <w:r>
              <w:rPr>
                <w:color w:val="000000" w:themeColor="text1"/>
                <w:spacing w:val="1"/>
                <w:lang w:eastAsia="zh-CN"/>
                <w14:textFill>
                  <w14:solidFill>
                    <w14:schemeClr w14:val="tx1"/>
                  </w14:solidFill>
                </w14:textFill>
              </w:rPr>
              <w:t>属企业、化工园区、集中式饮用水水源地及重点流域环境风险调查</w:t>
            </w:r>
            <w:r>
              <w:rPr>
                <w:color w:val="000000" w:themeColor="text1"/>
                <w:lang w:eastAsia="zh-CN"/>
                <w14:textFill>
                  <w14:solidFill>
                    <w14:schemeClr w14:val="tx1"/>
                  </w14:solidFill>
                </w14:textFill>
              </w:rPr>
              <w:t>评估，实施分类分级风险管控，协同推进重点区域、流域生态环境</w:t>
            </w:r>
            <w:r>
              <w:rPr>
                <w:color w:val="000000" w:themeColor="text1"/>
                <w:spacing w:val="10"/>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污染综合防治、风险防控与生态修复。</w:t>
            </w:r>
          </w:p>
        </w:tc>
        <w:tc>
          <w:tcPr>
            <w:tcW w:w="2185" w:type="dxa"/>
            <w:vAlign w:val="center"/>
          </w:tcPr>
          <w:p w14:paraId="33527FDD">
            <w:pPr>
              <w:pStyle w:val="109"/>
              <w:rPr>
                <w:color w:val="000000" w:themeColor="text1"/>
                <w:spacing w:val="4"/>
                <w:lang w:eastAsia="zh-CN"/>
                <w14:textFill>
                  <w14:solidFill>
                    <w14:schemeClr w14:val="tx1"/>
                  </w14:solidFill>
                </w14:textFill>
              </w:rPr>
            </w:pPr>
            <w:r>
              <w:rPr>
                <w:color w:val="000000" w:themeColor="text1"/>
                <w:spacing w:val="4"/>
                <w:lang w:eastAsia="zh-CN"/>
                <w14:textFill>
                  <w14:solidFill>
                    <w14:schemeClr w14:val="tx1"/>
                  </w14:solidFill>
                </w14:textFill>
              </w:rPr>
              <w:t>本项目采取了严格的风险防控措施，确保环境风险可控</w:t>
            </w:r>
          </w:p>
        </w:tc>
        <w:tc>
          <w:tcPr>
            <w:tcW w:w="639" w:type="dxa"/>
            <w:gridSpan w:val="2"/>
            <w:vAlign w:val="center"/>
          </w:tcPr>
          <w:p w14:paraId="7F00143A">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5F9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dxa"/>
          <w:trHeight w:val="23" w:hRule="atLeast"/>
          <w:jc w:val="center"/>
        </w:trPr>
        <w:tc>
          <w:tcPr>
            <w:tcW w:w="4772" w:type="dxa"/>
            <w:vAlign w:val="center"/>
          </w:tcPr>
          <w:p w14:paraId="5C826B35">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〔A3.2-5〕强化生态环境应急管理。实施企业突发生态环境应急预</w:t>
            </w:r>
            <w:r>
              <w:rPr>
                <w:color w:val="000000" w:themeColor="text1"/>
                <w:spacing w:val="1"/>
                <w:lang w:eastAsia="zh-CN"/>
                <w14:textFill>
                  <w14:solidFill>
                    <w14:schemeClr w14:val="tx1"/>
                  </w14:solidFill>
                </w14:textFill>
              </w:rPr>
              <w:t>案电子化备案，完成县级以上政府突发环境事件</w:t>
            </w:r>
            <w:r>
              <w:rPr>
                <w:color w:val="000000" w:themeColor="text1"/>
                <w:lang w:eastAsia="zh-CN"/>
                <w14:textFill>
                  <w14:solidFill>
                    <w14:schemeClr w14:val="tx1"/>
                  </w14:solidFill>
                </w14:textFill>
              </w:rPr>
              <w:t>应急预案修编。完</w:t>
            </w:r>
            <w:r>
              <w:rPr>
                <w:color w:val="000000" w:themeColor="text1"/>
                <w:spacing w:val="1"/>
                <w:lang w:eastAsia="zh-CN"/>
                <w14:textFill>
                  <w14:solidFill>
                    <w14:schemeClr w14:val="tx1"/>
                  </w14:solidFill>
                </w14:textFill>
              </w:rPr>
              <w:t>善区域和企业应急处置物资储备系统，结合新疆各地特征污染</w:t>
            </w:r>
            <w:r>
              <w:rPr>
                <w:color w:val="000000" w:themeColor="text1"/>
                <w:lang w:eastAsia="zh-CN"/>
                <w14:textFill>
                  <w14:solidFill>
                    <w14:schemeClr w14:val="tx1"/>
                  </w14:solidFill>
                </w14:textFill>
              </w:rPr>
              <w:t xml:space="preserve">物的 </w:t>
            </w:r>
            <w:r>
              <w:rPr>
                <w:color w:val="000000" w:themeColor="text1"/>
                <w:spacing w:val="1"/>
                <w:lang w:eastAsia="zh-CN"/>
                <w14:textFill>
                  <w14:solidFill>
                    <w14:schemeClr w14:val="tx1"/>
                  </w14:solidFill>
                </w14:textFill>
              </w:rPr>
              <w:t>特性，加强应急物资储备及应急物资信息化建设</w:t>
            </w:r>
            <w:r>
              <w:rPr>
                <w:color w:val="000000" w:themeColor="text1"/>
                <w:lang w:eastAsia="zh-CN"/>
                <w14:textFill>
                  <w14:solidFill>
                    <w14:schemeClr w14:val="tx1"/>
                  </w14:solidFill>
                </w14:textFill>
              </w:rPr>
              <w:t>，掌握社会应急物</w:t>
            </w:r>
            <w:r>
              <w:rPr>
                <w:color w:val="000000" w:themeColor="text1"/>
                <w:spacing w:val="1"/>
                <w:lang w:eastAsia="zh-CN"/>
                <w14:textFill>
                  <w14:solidFill>
                    <w14:schemeClr w14:val="tx1"/>
                  </w14:solidFill>
                </w14:textFill>
              </w:rPr>
              <w:t>资储备动态信息，妥善应对各类突发生态环境事件。加强应急监测</w:t>
            </w:r>
            <w:r>
              <w:rPr>
                <w:color w:val="000000" w:themeColor="text1"/>
                <w:lang w:eastAsia="zh-CN"/>
                <w14:textFill>
                  <w14:solidFill>
                    <w14:schemeClr w14:val="tx1"/>
                  </w14:solidFill>
                </w14:textFill>
              </w:rPr>
              <w:t>装备配置，定期开展应急演练，增强实战能</w:t>
            </w:r>
            <w:r>
              <w:rPr>
                <w:color w:val="000000" w:themeColor="text1"/>
                <w:spacing w:val="-1"/>
                <w:lang w:eastAsia="zh-CN"/>
                <w14:textFill>
                  <w14:solidFill>
                    <w14:schemeClr w14:val="tx1"/>
                  </w14:solidFill>
                </w14:textFill>
              </w:rPr>
              <w:t>力。</w:t>
            </w:r>
          </w:p>
        </w:tc>
        <w:tc>
          <w:tcPr>
            <w:tcW w:w="2185" w:type="dxa"/>
            <w:vAlign w:val="center"/>
          </w:tcPr>
          <w:p w14:paraId="1257B051">
            <w:pPr>
              <w:pStyle w:val="109"/>
              <w:rPr>
                <w:color w:val="000000" w:themeColor="text1"/>
                <w:spacing w:val="4"/>
                <w:lang w:eastAsia="zh-CN"/>
                <w14:textFill>
                  <w14:solidFill>
                    <w14:schemeClr w14:val="tx1"/>
                  </w14:solidFill>
                </w14:textFill>
              </w:rPr>
            </w:pPr>
            <w:r>
              <w:rPr>
                <w:color w:val="000000" w:themeColor="text1"/>
                <w:spacing w:val="4"/>
                <w:lang w:eastAsia="zh-CN"/>
                <w14:textFill>
                  <w14:solidFill>
                    <w14:schemeClr w14:val="tx1"/>
                  </w14:solidFill>
                </w14:textFill>
              </w:rPr>
              <w:t>建设单位依法编制突发环境应急预案</w:t>
            </w:r>
          </w:p>
        </w:tc>
        <w:tc>
          <w:tcPr>
            <w:tcW w:w="639" w:type="dxa"/>
            <w:gridSpan w:val="2"/>
            <w:vAlign w:val="center"/>
          </w:tcPr>
          <w:p w14:paraId="4913C1A8">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6C8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dxa"/>
          <w:trHeight w:val="23" w:hRule="atLeast"/>
          <w:jc w:val="center"/>
        </w:trPr>
        <w:tc>
          <w:tcPr>
            <w:tcW w:w="4772" w:type="dxa"/>
            <w:vAlign w:val="center"/>
          </w:tcPr>
          <w:p w14:paraId="124C4EE7">
            <w:pPr>
              <w:pStyle w:val="109"/>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〔A3.2-6〕强化兵地联防联控联治，</w:t>
            </w:r>
            <w:r>
              <w:rPr>
                <w:color w:val="000000" w:themeColor="text1"/>
                <w:spacing w:val="-2"/>
                <w:lang w:eastAsia="zh-CN"/>
                <w14:textFill>
                  <w14:solidFill>
                    <w14:schemeClr w14:val="tx1"/>
                  </w14:solidFill>
                </w14:textFill>
              </w:rPr>
              <w:t>落实兵地统一规划、统一政策、</w:t>
            </w:r>
            <w:r>
              <w:rPr>
                <w:color w:val="000000" w:themeColor="text1"/>
                <w:spacing w:val="-3"/>
                <w:lang w:eastAsia="zh-CN"/>
                <w14:textFill>
                  <w14:solidFill>
                    <w14:schemeClr w14:val="tx1"/>
                  </w14:solidFill>
                </w14:textFill>
              </w:rPr>
              <w:t>统一标准、统一要求、统一推进的防治管理措施，完善重大项目环境影响评价区域会商、重污染天气兵地联合应急联动机</w:t>
            </w:r>
            <w:r>
              <w:rPr>
                <w:color w:val="000000" w:themeColor="text1"/>
                <w:spacing w:val="-4"/>
                <w:lang w:eastAsia="zh-CN"/>
                <w14:textFill>
                  <w14:solidFill>
                    <w14:schemeClr w14:val="tx1"/>
                  </w14:solidFill>
                </w14:textFill>
              </w:rPr>
              <w:t>制。建立兵</w:t>
            </w:r>
            <w:r>
              <w:rPr>
                <w:color w:val="000000" w:themeColor="text1"/>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地生态环境联合执法和联合监测长效机制。</w:t>
            </w:r>
          </w:p>
        </w:tc>
        <w:tc>
          <w:tcPr>
            <w:tcW w:w="2185" w:type="dxa"/>
            <w:vAlign w:val="center"/>
          </w:tcPr>
          <w:p w14:paraId="147BA7EC">
            <w:pPr>
              <w:pStyle w:val="109"/>
              <w:rPr>
                <w:color w:val="000000" w:themeColor="text1"/>
                <w:spacing w:val="-1"/>
                <w:lang w:eastAsia="en-US"/>
                <w14:textFill>
                  <w14:solidFill>
                    <w14:schemeClr w14:val="tx1"/>
                  </w14:solidFill>
                </w14:textFill>
              </w:rPr>
            </w:pPr>
            <w:r>
              <w:rPr>
                <w:color w:val="000000" w:themeColor="text1"/>
                <w:spacing w:val="-1"/>
                <w:lang w:eastAsia="en-US"/>
                <w14:textFill>
                  <w14:solidFill>
                    <w14:schemeClr w14:val="tx1"/>
                  </w14:solidFill>
                </w14:textFill>
              </w:rPr>
              <w:t>/</w:t>
            </w:r>
          </w:p>
        </w:tc>
        <w:tc>
          <w:tcPr>
            <w:tcW w:w="639" w:type="dxa"/>
            <w:gridSpan w:val="2"/>
            <w:vAlign w:val="center"/>
          </w:tcPr>
          <w:p w14:paraId="66E5BE75">
            <w:pPr>
              <w:pStyle w:val="109"/>
              <w:rPr>
                <w:color w:val="000000" w:themeColor="text1"/>
                <w:spacing w:val="-1"/>
                <w:lang w:eastAsia="en-US"/>
                <w14:textFill>
                  <w14:solidFill>
                    <w14:schemeClr w14:val="tx1"/>
                  </w14:solidFill>
                </w14:textFill>
              </w:rPr>
            </w:pPr>
            <w:r>
              <w:rPr>
                <w:color w:val="000000" w:themeColor="text1"/>
                <w:spacing w:val="3"/>
                <w:lang w:eastAsia="en-US"/>
                <w14:textFill>
                  <w14:solidFill>
                    <w14:schemeClr w14:val="tx1"/>
                  </w14:solidFill>
                </w14:textFill>
              </w:rPr>
              <w:t>/</w:t>
            </w:r>
          </w:p>
        </w:tc>
      </w:tr>
      <w:tr w14:paraId="74F2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22B399FF">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〔A4.1-1〕自治区用水总量2025年、2030年控制在国家下达的</w:t>
            </w:r>
            <w:r>
              <w:rPr>
                <w:color w:val="000000" w:themeColor="text1"/>
                <w:lang w:eastAsia="zh-CN"/>
                <w14:textFill>
                  <w14:solidFill>
                    <w14:schemeClr w14:val="tx1"/>
                  </w14:solidFill>
                </w14:textFill>
              </w:rPr>
              <w:t>指标内。</w:t>
            </w:r>
          </w:p>
        </w:tc>
        <w:tc>
          <w:tcPr>
            <w:tcW w:w="2185" w:type="dxa"/>
            <w:vAlign w:val="center"/>
          </w:tcPr>
          <w:p w14:paraId="5F277EBC">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本项目用水量较小</w:t>
            </w:r>
          </w:p>
        </w:tc>
        <w:tc>
          <w:tcPr>
            <w:tcW w:w="643" w:type="dxa"/>
            <w:gridSpan w:val="2"/>
            <w:vAlign w:val="center"/>
          </w:tcPr>
          <w:p w14:paraId="0935EDDB">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7E5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1DAACE28">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〔A4.1-2〕加大城镇污水再生利用工程建设力度，推进区域再生水</w:t>
            </w:r>
            <w:r>
              <w:rPr>
                <w:color w:val="000000" w:themeColor="text1"/>
                <w:lang w:eastAsia="zh-CN"/>
                <w14:textFill>
                  <w14:solidFill>
                    <w14:schemeClr w14:val="tx1"/>
                  </w14:solidFill>
                </w14:textFill>
              </w:rPr>
              <w:t>循环利用，到2025年，城市生活污水再生利用率力争达到60%。</w:t>
            </w:r>
          </w:p>
          <w:p w14:paraId="3CB38B9B">
            <w:pPr>
              <w:pStyle w:val="109"/>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〔A4.1-3〕加强农村水利基础设施建设，推进农村供水保障工程，</w:t>
            </w:r>
            <w:r>
              <w:rPr>
                <w:color w:val="000000" w:themeColor="text1"/>
                <w:lang w:eastAsia="zh-CN"/>
                <w14:textFill>
                  <w14:solidFill>
                    <w14:schemeClr w14:val="tx1"/>
                  </w14:solidFill>
                </w14:textFill>
              </w:rPr>
              <w:t>农村自来水普及率、集中供水率分别达到99.</w:t>
            </w:r>
            <w:r>
              <w:rPr>
                <w:color w:val="000000" w:themeColor="text1"/>
                <w:spacing w:val="-1"/>
                <w:lang w:eastAsia="zh-CN"/>
                <w14:textFill>
                  <w14:solidFill>
                    <w14:schemeClr w14:val="tx1"/>
                  </w14:solidFill>
                </w14:textFill>
              </w:rPr>
              <w:t>3%、99.7%。</w:t>
            </w:r>
          </w:p>
        </w:tc>
        <w:tc>
          <w:tcPr>
            <w:tcW w:w="2185" w:type="dxa"/>
            <w:vAlign w:val="center"/>
          </w:tcPr>
          <w:p w14:paraId="4EFF8031">
            <w:pPr>
              <w:pStyle w:val="109"/>
              <w:rPr>
                <w:color w:val="000000" w:themeColor="text1"/>
                <w:spacing w:val="2"/>
                <w:lang w:eastAsia="en-US"/>
                <w14:textFill>
                  <w14:solidFill>
                    <w14:schemeClr w14:val="tx1"/>
                  </w14:solidFill>
                </w14:textFill>
              </w:rPr>
            </w:pPr>
            <w:r>
              <w:rPr>
                <w:color w:val="000000" w:themeColor="text1"/>
                <w:spacing w:val="3"/>
                <w:lang w:eastAsia="en-US"/>
                <w14:textFill>
                  <w14:solidFill>
                    <w14:schemeClr w14:val="tx1"/>
                  </w14:solidFill>
                </w14:textFill>
              </w:rPr>
              <w:t>/</w:t>
            </w:r>
          </w:p>
        </w:tc>
        <w:tc>
          <w:tcPr>
            <w:tcW w:w="643" w:type="dxa"/>
            <w:gridSpan w:val="2"/>
            <w:vAlign w:val="center"/>
          </w:tcPr>
          <w:p w14:paraId="3AE5AB32">
            <w:pPr>
              <w:pStyle w:val="109"/>
              <w:rPr>
                <w:color w:val="000000" w:themeColor="text1"/>
                <w:spacing w:val="2"/>
                <w:lang w:eastAsia="en-US"/>
                <w14:textFill>
                  <w14:solidFill>
                    <w14:schemeClr w14:val="tx1"/>
                  </w14:solidFill>
                </w14:textFill>
              </w:rPr>
            </w:pPr>
            <w:r>
              <w:rPr>
                <w:color w:val="000000" w:themeColor="text1"/>
                <w:spacing w:val="3"/>
                <w:lang w:eastAsia="en-US"/>
                <w14:textFill>
                  <w14:solidFill>
                    <w14:schemeClr w14:val="tx1"/>
                  </w14:solidFill>
                </w14:textFill>
              </w:rPr>
              <w:t>/</w:t>
            </w:r>
          </w:p>
        </w:tc>
      </w:tr>
      <w:tr w14:paraId="2193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5A07880B">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〔A4.1-4〕地下水资源利用实行总量控制和水位控制。取用地下水</w:t>
            </w:r>
            <w:r>
              <w:rPr>
                <w:color w:val="000000" w:themeColor="text1"/>
                <w:spacing w:val="1"/>
                <w:lang w:eastAsia="zh-CN"/>
                <w14:textFill>
                  <w14:solidFill>
                    <w14:schemeClr w14:val="tx1"/>
                  </w14:solidFill>
                </w14:textFill>
              </w:rPr>
              <w:t>资源，应当按照国家和自治区有关规定申请取水许可。地下水利用</w:t>
            </w:r>
            <w:r>
              <w:rPr>
                <w:color w:val="000000" w:themeColor="text1"/>
                <w:lang w:eastAsia="zh-CN"/>
                <w14:textFill>
                  <w14:solidFill>
                    <w14:schemeClr w14:val="tx1"/>
                  </w14:solidFill>
                </w14:textFill>
              </w:rPr>
              <w:t>应当以浅层地下水为主。</w:t>
            </w:r>
          </w:p>
        </w:tc>
        <w:tc>
          <w:tcPr>
            <w:tcW w:w="2185" w:type="dxa"/>
            <w:vAlign w:val="center"/>
          </w:tcPr>
          <w:p w14:paraId="6DFAE25D">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本项目不取用地下水</w:t>
            </w:r>
          </w:p>
        </w:tc>
        <w:tc>
          <w:tcPr>
            <w:tcW w:w="643" w:type="dxa"/>
            <w:gridSpan w:val="2"/>
            <w:vAlign w:val="center"/>
          </w:tcPr>
          <w:p w14:paraId="4CCAF7DB">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2D95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2DD4F3DA">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〔A4.2-1〕土地资源上线指标控制在最终批复的国土空间规划控制</w:t>
            </w:r>
            <w:r>
              <w:rPr>
                <w:color w:val="000000" w:themeColor="text1"/>
                <w:lang w:eastAsia="zh-CN"/>
                <w14:textFill>
                  <w14:solidFill>
                    <w14:schemeClr w14:val="tx1"/>
                  </w14:solidFill>
                </w14:textFill>
              </w:rPr>
              <w:t>指标内。</w:t>
            </w:r>
          </w:p>
        </w:tc>
        <w:tc>
          <w:tcPr>
            <w:tcW w:w="2185" w:type="dxa"/>
            <w:vAlign w:val="center"/>
          </w:tcPr>
          <w:p w14:paraId="5D9BAE5C">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w:t>
            </w:r>
          </w:p>
        </w:tc>
        <w:tc>
          <w:tcPr>
            <w:tcW w:w="643" w:type="dxa"/>
            <w:gridSpan w:val="2"/>
            <w:vAlign w:val="center"/>
          </w:tcPr>
          <w:p w14:paraId="387CFA28">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w:t>
            </w:r>
          </w:p>
        </w:tc>
      </w:tr>
      <w:tr w14:paraId="179B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5EFE2F7B">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〔A4.3-1〕单位地区生产总值二氧化碳排放降低水平完成国家下达</w:t>
            </w:r>
            <w:r>
              <w:rPr>
                <w:color w:val="000000" w:themeColor="text1"/>
                <w:spacing w:val="-1"/>
                <w:lang w:eastAsia="zh-CN"/>
                <w14:textFill>
                  <w14:solidFill>
                    <w14:schemeClr w14:val="tx1"/>
                  </w14:solidFill>
                </w14:textFill>
              </w:rPr>
              <w:t>指标。</w:t>
            </w:r>
          </w:p>
          <w:p w14:paraId="58705AEC">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〔A4.3-2〕到2025年，自治区万元国内生产总值能耗比</w:t>
            </w:r>
            <w:r>
              <w:rPr>
                <w:color w:val="000000" w:themeColor="text1"/>
                <w:spacing w:val="3"/>
                <w:lang w:eastAsia="zh-CN"/>
                <w14:textFill>
                  <w14:solidFill>
                    <w14:schemeClr w14:val="tx1"/>
                  </w14:solidFill>
                </w14:textFill>
              </w:rPr>
              <w:t>2020年下</w:t>
            </w:r>
            <w:r>
              <w:rPr>
                <w:color w:val="000000" w:themeColor="text1"/>
                <w:spacing w:val="1"/>
                <w:lang w:eastAsia="zh-CN"/>
                <w14:textFill>
                  <w14:solidFill>
                    <w14:schemeClr w14:val="tx1"/>
                  </w14:solidFill>
                </w14:textFill>
              </w:rPr>
              <w:t>降14.5%。</w:t>
            </w:r>
          </w:p>
          <w:p w14:paraId="695CF662">
            <w:pPr>
              <w:pStyle w:val="109"/>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〔A4.3-3〕到2025年，非化石能源占一次能源消费比重达18%以上。</w:t>
            </w:r>
          </w:p>
        </w:tc>
        <w:tc>
          <w:tcPr>
            <w:tcW w:w="2185" w:type="dxa"/>
            <w:vAlign w:val="center"/>
          </w:tcPr>
          <w:p w14:paraId="2E6507F6">
            <w:pPr>
              <w:pStyle w:val="109"/>
              <w:rPr>
                <w:color w:val="000000" w:themeColor="text1"/>
                <w:spacing w:val="2"/>
                <w:lang w:eastAsia="en-US"/>
                <w14:textFill>
                  <w14:solidFill>
                    <w14:schemeClr w14:val="tx1"/>
                  </w14:solidFill>
                </w14:textFill>
              </w:rPr>
            </w:pPr>
            <w:r>
              <w:rPr>
                <w:color w:val="000000" w:themeColor="text1"/>
                <w:spacing w:val="2"/>
                <w:lang w:eastAsia="en-US"/>
                <w14:textFill>
                  <w14:solidFill>
                    <w14:schemeClr w14:val="tx1"/>
                  </w14:solidFill>
                </w14:textFill>
              </w:rPr>
              <w:t>/</w:t>
            </w:r>
          </w:p>
        </w:tc>
        <w:tc>
          <w:tcPr>
            <w:tcW w:w="643" w:type="dxa"/>
            <w:gridSpan w:val="2"/>
            <w:vAlign w:val="center"/>
          </w:tcPr>
          <w:p w14:paraId="74EF3398">
            <w:pPr>
              <w:pStyle w:val="109"/>
              <w:rPr>
                <w:color w:val="000000" w:themeColor="text1"/>
                <w:spacing w:val="2"/>
                <w:lang w:eastAsia="en-US"/>
                <w14:textFill>
                  <w14:solidFill>
                    <w14:schemeClr w14:val="tx1"/>
                  </w14:solidFill>
                </w14:textFill>
              </w:rPr>
            </w:pPr>
            <w:r>
              <w:rPr>
                <w:color w:val="000000" w:themeColor="text1"/>
                <w:spacing w:val="3"/>
                <w:lang w:eastAsia="en-US"/>
                <w14:textFill>
                  <w14:solidFill>
                    <w14:schemeClr w14:val="tx1"/>
                  </w14:solidFill>
                </w14:textFill>
              </w:rPr>
              <w:t>/</w:t>
            </w:r>
          </w:p>
        </w:tc>
      </w:tr>
      <w:tr w14:paraId="25E8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387900E2">
            <w:pPr>
              <w:pStyle w:val="109"/>
              <w:rPr>
                <w:color w:val="000000" w:themeColor="text1"/>
                <w:lang w:eastAsia="zh-CN"/>
                <w14:textFill>
                  <w14:solidFill>
                    <w14:schemeClr w14:val="tx1"/>
                  </w14:solidFill>
                </w14:textFill>
              </w:rPr>
            </w:pPr>
            <w:r>
              <w:rPr>
                <w:color w:val="000000" w:themeColor="text1"/>
                <w:spacing w:val="6"/>
                <w:lang w:eastAsia="zh-CN"/>
                <w14:textFill>
                  <w14:solidFill>
                    <w14:schemeClr w14:val="tx1"/>
                  </w14:solidFill>
                </w14:textFill>
              </w:rPr>
              <w:t>〔A4.3-4〕鼓励使用清洁能源或电厂热力、工业余热等替代锅炉、</w:t>
            </w:r>
            <w:r>
              <w:rPr>
                <w:color w:val="000000" w:themeColor="text1"/>
                <w:spacing w:val="-2"/>
                <w:lang w:eastAsia="zh-CN"/>
                <w14:textFill>
                  <w14:solidFill>
                    <w14:schemeClr w14:val="tx1"/>
                  </w14:solidFill>
                </w14:textFill>
              </w:rPr>
              <w:t>炉窑燃料用煤。</w:t>
            </w:r>
          </w:p>
        </w:tc>
        <w:tc>
          <w:tcPr>
            <w:tcW w:w="2185" w:type="dxa"/>
            <w:vAlign w:val="center"/>
          </w:tcPr>
          <w:p w14:paraId="1523B6F8">
            <w:pPr>
              <w:pStyle w:val="109"/>
              <w:rPr>
                <w:color w:val="000000" w:themeColor="text1"/>
                <w:spacing w:val="6"/>
                <w:lang w:eastAsia="zh-CN"/>
                <w14:textFill>
                  <w14:solidFill>
                    <w14:schemeClr w14:val="tx1"/>
                  </w14:solidFill>
                </w14:textFill>
              </w:rPr>
            </w:pPr>
            <w:r>
              <w:rPr>
                <w:color w:val="000000" w:themeColor="text1"/>
                <w:spacing w:val="6"/>
                <w:lang w:eastAsia="zh-CN"/>
                <w14:textFill>
                  <w14:solidFill>
                    <w14:schemeClr w14:val="tx1"/>
                  </w14:solidFill>
                </w14:textFill>
              </w:rPr>
              <w:t>本项目使用天然气和电</w:t>
            </w:r>
          </w:p>
        </w:tc>
        <w:tc>
          <w:tcPr>
            <w:tcW w:w="643" w:type="dxa"/>
            <w:gridSpan w:val="2"/>
            <w:vAlign w:val="center"/>
          </w:tcPr>
          <w:p w14:paraId="162F0BE8">
            <w:pPr>
              <w:pStyle w:val="109"/>
              <w:rPr>
                <w:color w:val="000000" w:themeColor="text1"/>
                <w:spacing w:val="6"/>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1DEB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645708AB">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〔A4.3-5〕以碳达峰碳中和工作为引领，着力提高能源资源利用效</w:t>
            </w:r>
            <w:r>
              <w:rPr>
                <w:color w:val="000000" w:themeColor="text1"/>
                <w:lang w:eastAsia="zh-CN"/>
                <w14:textFill>
                  <w14:solidFill>
                    <w14:schemeClr w14:val="tx1"/>
                  </w14:solidFill>
                </w14:textFill>
              </w:rPr>
              <w:t>率。引导重点行业深入实施清洁生产改造，钢铁、建材、石油化工等重点行业以及其他行业重点用能单位持续开展节能降</w:t>
            </w:r>
            <w:r>
              <w:rPr>
                <w:color w:val="000000" w:themeColor="text1"/>
                <w:spacing w:val="-1"/>
                <w:lang w:eastAsia="zh-CN"/>
                <w14:textFill>
                  <w14:solidFill>
                    <w14:schemeClr w14:val="tx1"/>
                  </w14:solidFill>
                </w14:textFill>
              </w:rPr>
              <w:t>耗。</w:t>
            </w:r>
          </w:p>
        </w:tc>
        <w:tc>
          <w:tcPr>
            <w:tcW w:w="2185" w:type="dxa"/>
            <w:vAlign w:val="center"/>
          </w:tcPr>
          <w:p w14:paraId="79F481A7">
            <w:pPr>
              <w:pStyle w:val="109"/>
              <w:rPr>
                <w:color w:val="000000" w:themeColor="text1"/>
                <w:spacing w:val="4"/>
                <w:lang w:eastAsia="en-US"/>
                <w14:textFill>
                  <w14:solidFill>
                    <w14:schemeClr w14:val="tx1"/>
                  </w14:solidFill>
                </w14:textFill>
              </w:rPr>
            </w:pPr>
            <w:r>
              <w:rPr>
                <w:color w:val="000000" w:themeColor="text1"/>
                <w:spacing w:val="4"/>
                <w:lang w:eastAsia="en-US"/>
                <w14:textFill>
                  <w14:solidFill>
                    <w14:schemeClr w14:val="tx1"/>
                  </w14:solidFill>
                </w14:textFill>
              </w:rPr>
              <w:t>本项目用能较低</w:t>
            </w:r>
          </w:p>
        </w:tc>
        <w:tc>
          <w:tcPr>
            <w:tcW w:w="643" w:type="dxa"/>
            <w:gridSpan w:val="2"/>
            <w:vAlign w:val="center"/>
          </w:tcPr>
          <w:p w14:paraId="341ED556">
            <w:pPr>
              <w:pStyle w:val="109"/>
              <w:rPr>
                <w:color w:val="000000" w:themeColor="text1"/>
                <w:spacing w:val="4"/>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7700D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5D58BB0B">
            <w:pPr>
              <w:pStyle w:val="109"/>
              <w:rPr>
                <w:color w:val="000000" w:themeColor="text1"/>
                <w:lang w:eastAsia="en-US"/>
                <w14:textFill>
                  <w14:solidFill>
                    <w14:schemeClr w14:val="tx1"/>
                  </w14:solidFill>
                </w14:textFill>
              </w:rPr>
            </w:pPr>
            <w:r>
              <w:rPr>
                <w:color w:val="000000" w:themeColor="text1"/>
                <w:spacing w:val="2"/>
                <w:lang w:eastAsia="zh-CN"/>
                <w14:textFill>
                  <w14:solidFill>
                    <w14:schemeClr w14:val="tx1"/>
                  </w14:solidFill>
                </w14:textFill>
              </w:rPr>
              <w:t>〔A4.3-6〕深入推进碳达峰碳中和行动。推动能源清洁低碳转型，</w:t>
            </w:r>
            <w:r>
              <w:rPr>
                <w:color w:val="000000" w:themeColor="text1"/>
                <w:spacing w:val="-2"/>
                <w:lang w:eastAsia="zh-CN"/>
                <w14:textFill>
                  <w14:solidFill>
                    <w14:schemeClr w14:val="tx1"/>
                  </w14:solidFill>
                </w14:textFill>
              </w:rPr>
              <w:t>加强能耗“双控”管理，优化能源消费结构。新增原料用能不纳入能源消费总量控制。</w:t>
            </w:r>
            <w:r>
              <w:rPr>
                <w:color w:val="000000" w:themeColor="text1"/>
                <w:spacing w:val="-2"/>
                <w:lang w:eastAsia="en-US"/>
                <w14:textFill>
                  <w14:solidFill>
                    <w14:schemeClr w14:val="tx1"/>
                  </w14:solidFill>
                </w14:textFill>
              </w:rPr>
              <w:t>持续推进散煤整治。</w:t>
            </w:r>
          </w:p>
        </w:tc>
        <w:tc>
          <w:tcPr>
            <w:tcW w:w="2185" w:type="dxa"/>
            <w:vAlign w:val="center"/>
          </w:tcPr>
          <w:p w14:paraId="300C8983">
            <w:pPr>
              <w:pStyle w:val="109"/>
              <w:rPr>
                <w:color w:val="000000" w:themeColor="text1"/>
                <w:spacing w:val="2"/>
                <w:lang w:eastAsia="en-US"/>
                <w14:textFill>
                  <w14:solidFill>
                    <w14:schemeClr w14:val="tx1"/>
                  </w14:solidFill>
                </w14:textFill>
              </w:rPr>
            </w:pPr>
            <w:r>
              <w:rPr>
                <w:color w:val="000000" w:themeColor="text1"/>
                <w:spacing w:val="2"/>
                <w:lang w:eastAsia="en-US"/>
                <w14:textFill>
                  <w14:solidFill>
                    <w14:schemeClr w14:val="tx1"/>
                  </w14:solidFill>
                </w14:textFill>
              </w:rPr>
              <w:t>本项目不涉及煤炭</w:t>
            </w:r>
          </w:p>
        </w:tc>
        <w:tc>
          <w:tcPr>
            <w:tcW w:w="643" w:type="dxa"/>
            <w:gridSpan w:val="2"/>
            <w:vAlign w:val="center"/>
          </w:tcPr>
          <w:p w14:paraId="6C042B5F">
            <w:pPr>
              <w:pStyle w:val="109"/>
              <w:rPr>
                <w:color w:val="000000" w:themeColor="text1"/>
                <w:spacing w:val="2"/>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2EB6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75841E09">
            <w:pPr>
              <w:pStyle w:val="109"/>
              <w:rPr>
                <w:color w:val="000000" w:themeColor="text1"/>
                <w:lang w:eastAsia="zh-CN"/>
                <w14:textFill>
                  <w14:solidFill>
                    <w14:schemeClr w14:val="tx1"/>
                  </w14:solidFill>
                </w14:textFill>
              </w:rPr>
            </w:pPr>
            <w:r>
              <w:rPr>
                <w:color w:val="000000" w:themeColor="text1"/>
                <w:spacing w:val="6"/>
                <w:lang w:eastAsia="zh-CN"/>
                <w14:textFill>
                  <w14:solidFill>
                    <w14:schemeClr w14:val="tx1"/>
                  </w14:solidFill>
                </w14:textFill>
              </w:rPr>
              <w:t>〔A4.4-1〕在禁燃区内，禁止销售、燃用高污染燃料；禁止新建、</w:t>
            </w:r>
            <w:r>
              <w:rPr>
                <w:color w:val="000000" w:themeColor="text1"/>
                <w:spacing w:val="-1"/>
                <w:lang w:eastAsia="zh-CN"/>
                <w14:textFill>
                  <w14:solidFill>
                    <w14:schemeClr w14:val="tx1"/>
                  </w14:solidFill>
                </w14:textFill>
              </w:rPr>
              <w:t>扩建燃用高污染燃料的设施。已建成的，应当在规定期限内改用清洁能源。</w:t>
            </w:r>
          </w:p>
        </w:tc>
        <w:tc>
          <w:tcPr>
            <w:tcW w:w="2185" w:type="dxa"/>
            <w:vAlign w:val="center"/>
          </w:tcPr>
          <w:p w14:paraId="688144B7">
            <w:pPr>
              <w:pStyle w:val="109"/>
              <w:rPr>
                <w:color w:val="000000" w:themeColor="text1"/>
                <w:spacing w:val="6"/>
                <w:lang w:eastAsia="zh-CN"/>
                <w14:textFill>
                  <w14:solidFill>
                    <w14:schemeClr w14:val="tx1"/>
                  </w14:solidFill>
                </w14:textFill>
              </w:rPr>
            </w:pPr>
            <w:r>
              <w:rPr>
                <w:color w:val="000000" w:themeColor="text1"/>
                <w:spacing w:val="6"/>
                <w:lang w:eastAsia="zh-CN"/>
                <w14:textFill>
                  <w14:solidFill>
                    <w14:schemeClr w14:val="tx1"/>
                  </w14:solidFill>
                </w14:textFill>
              </w:rPr>
              <w:t>本项目</w:t>
            </w:r>
            <w:r>
              <w:rPr>
                <w:rFonts w:hint="eastAsia"/>
                <w:color w:val="000000" w:themeColor="text1"/>
                <w:spacing w:val="6"/>
                <w:lang w:eastAsia="zh-CN"/>
                <w14:textFill>
                  <w14:solidFill>
                    <w14:schemeClr w14:val="tx1"/>
                  </w14:solidFill>
                </w14:textFill>
              </w:rPr>
              <w:t>不使用</w:t>
            </w:r>
            <w:r>
              <w:rPr>
                <w:color w:val="000000" w:themeColor="text1"/>
                <w:spacing w:val="6"/>
                <w:lang w:eastAsia="zh-CN"/>
                <w14:textFill>
                  <w14:solidFill>
                    <w14:schemeClr w14:val="tx1"/>
                  </w14:solidFill>
                </w14:textFill>
              </w:rPr>
              <w:t>高污染燃料</w:t>
            </w:r>
          </w:p>
        </w:tc>
        <w:tc>
          <w:tcPr>
            <w:tcW w:w="643" w:type="dxa"/>
            <w:gridSpan w:val="2"/>
            <w:vAlign w:val="center"/>
          </w:tcPr>
          <w:p w14:paraId="42360DA7">
            <w:pPr>
              <w:pStyle w:val="109"/>
              <w:rPr>
                <w:color w:val="000000" w:themeColor="text1"/>
                <w:spacing w:val="6"/>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39F4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dxa"/>
          <w:trHeight w:val="23" w:hRule="atLeast"/>
          <w:jc w:val="center"/>
        </w:trPr>
        <w:tc>
          <w:tcPr>
            <w:tcW w:w="4772" w:type="dxa"/>
            <w:vAlign w:val="center"/>
          </w:tcPr>
          <w:p w14:paraId="2C29590D">
            <w:pPr>
              <w:pStyle w:val="109"/>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〔A4.5-1〕加强固体废物源头减量、资源化利用和无害化处置，最</w:t>
            </w:r>
            <w:r>
              <w:rPr>
                <w:color w:val="000000" w:themeColor="text1"/>
                <w:lang w:eastAsia="zh-CN"/>
                <w14:textFill>
                  <w14:solidFill>
                    <w14:schemeClr w14:val="tx1"/>
                  </w14:solidFill>
                </w14:textFill>
              </w:rPr>
              <w:t>大限度减少填埋量。推进工业固体废物精细化、名录化环境管</w:t>
            </w:r>
            <w:r>
              <w:rPr>
                <w:color w:val="000000" w:themeColor="text1"/>
                <w:spacing w:val="-1"/>
                <w:lang w:eastAsia="zh-CN"/>
                <w14:textFill>
                  <w14:solidFill>
                    <w14:schemeClr w14:val="tx1"/>
                  </w14:solidFill>
                </w14:textFill>
              </w:rPr>
              <w:t>理，</w:t>
            </w:r>
            <w:r>
              <w:rPr>
                <w:color w:val="000000" w:themeColor="text1"/>
                <w:spacing w:val="-2"/>
                <w:lang w:eastAsia="zh-CN"/>
                <w14:textFill>
                  <w14:solidFill>
                    <w14:schemeClr w14:val="tx1"/>
                  </w14:solidFill>
                </w14:textFill>
              </w:rPr>
              <w:t>促进大宗工业固废综合利用、主要农业废弃物全量利用。加快构建</w:t>
            </w:r>
            <w:r>
              <w:rPr>
                <w:color w:val="000000" w:themeColor="text1"/>
                <w:spacing w:val="-1"/>
                <w:lang w:eastAsia="zh-CN"/>
                <w14:textFill>
                  <w14:solidFill>
                    <w14:schemeClr w14:val="tx1"/>
                  </w14:solidFill>
                </w14:textFill>
              </w:rPr>
              <w:t>废旧物资回收和循环利用体系，健全强制报废制度和废旧家电</w:t>
            </w:r>
            <w:r>
              <w:rPr>
                <w:color w:val="000000" w:themeColor="text1"/>
                <w:spacing w:val="-2"/>
                <w:lang w:eastAsia="zh-CN"/>
                <w14:textFill>
                  <w14:solidFill>
                    <w14:schemeClr w14:val="tx1"/>
                  </w14:solidFill>
                </w14:textFill>
              </w:rPr>
              <w:t>、消</w:t>
            </w:r>
            <w:r>
              <w:rPr>
                <w:color w:val="000000" w:themeColor="text1"/>
                <w:spacing w:val="-1"/>
                <w:lang w:eastAsia="zh-CN"/>
                <w14:textFill>
                  <w14:solidFill>
                    <w14:schemeClr w14:val="tx1"/>
                  </w14:solidFill>
                </w14:textFill>
              </w:rPr>
              <w:t>费电子等耐用消费品回收处理体系，推行生产企业“逆向回收”等</w:t>
            </w:r>
            <w:r>
              <w:rPr>
                <w:color w:val="000000" w:themeColor="text1"/>
                <w:spacing w:val="-2"/>
                <w:lang w:eastAsia="zh-CN"/>
                <w14:textFill>
                  <w14:solidFill>
                    <w14:schemeClr w14:val="tx1"/>
                  </w14:solidFill>
                </w14:textFill>
              </w:rPr>
              <w:t>模式。以尾矿和共伴生矿、煤矸石、炉渣、粉煤灰、脱硫石膏、冶炼渣、建筑垃圾等为重点，持续推进固体废物综合利用和环境整治，</w:t>
            </w:r>
            <w:r>
              <w:rPr>
                <w:color w:val="000000" w:themeColor="text1"/>
                <w:spacing w:val="-1"/>
                <w:lang w:eastAsia="zh-CN"/>
                <w14:textFill>
                  <w14:solidFill>
                    <w14:schemeClr w14:val="tx1"/>
                  </w14:solidFill>
                </w14:textFill>
              </w:rPr>
              <w:t>不断提高大宗固体废物资源化利用水平。推行生活</w:t>
            </w:r>
            <w:r>
              <w:rPr>
                <w:color w:val="000000" w:themeColor="text1"/>
                <w:spacing w:val="-2"/>
                <w:lang w:eastAsia="zh-CN"/>
                <w14:textFill>
                  <w14:solidFill>
                    <w14:schemeClr w14:val="tx1"/>
                  </w14:solidFill>
                </w14:textFill>
              </w:rPr>
              <w:t>垃圾分类，加快</w:t>
            </w:r>
            <w:r>
              <w:rPr>
                <w:color w:val="000000" w:themeColor="text1"/>
                <w:spacing w:val="-1"/>
                <w:lang w:eastAsia="zh-CN"/>
                <w14:textFill>
                  <w14:solidFill>
                    <w14:schemeClr w14:val="tx1"/>
                  </w14:solidFill>
                </w14:textFill>
              </w:rPr>
              <w:t>建设县（市）生活垃圾处理设施，到2025年，全疆城市生活垃圾无</w:t>
            </w:r>
            <w:r>
              <w:rPr>
                <w:color w:val="000000" w:themeColor="text1"/>
                <w:lang w:eastAsia="zh-CN"/>
                <w14:textFill>
                  <w14:solidFill>
                    <w14:schemeClr w14:val="tx1"/>
                  </w14:solidFill>
                </w14:textFill>
              </w:rPr>
              <w:t>害化处理率达到99%以上。</w:t>
            </w:r>
          </w:p>
        </w:tc>
        <w:tc>
          <w:tcPr>
            <w:tcW w:w="2185" w:type="dxa"/>
            <w:vAlign w:val="center"/>
          </w:tcPr>
          <w:p w14:paraId="494A0384">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本项目固废均得到合理处置</w:t>
            </w:r>
          </w:p>
        </w:tc>
        <w:tc>
          <w:tcPr>
            <w:tcW w:w="643" w:type="dxa"/>
            <w:gridSpan w:val="2"/>
            <w:vAlign w:val="center"/>
          </w:tcPr>
          <w:p w14:paraId="3775B6D8">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73AA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 w:hRule="atLeast"/>
          <w:jc w:val="center"/>
        </w:trPr>
        <w:tc>
          <w:tcPr>
            <w:tcW w:w="4772" w:type="dxa"/>
            <w:vAlign w:val="center"/>
          </w:tcPr>
          <w:p w14:paraId="6DFEC21A">
            <w:pPr>
              <w:pStyle w:val="109"/>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〔A4.5-2〕推动工业固废按元素价值综合开发利用，加快推进尾矿（</w:t>
            </w:r>
            <w:r>
              <w:rPr>
                <w:color w:val="000000" w:themeColor="text1"/>
                <w:spacing w:val="1"/>
                <w:lang w:eastAsia="zh-CN"/>
                <w14:textFill>
                  <w14:solidFill>
                    <w14:schemeClr w14:val="tx1"/>
                  </w14:solidFill>
                </w14:textFill>
              </w:rPr>
              <w:t>共伴生矿）、粉煤灰、煤矸石、冶炼渣、工业副产</w:t>
            </w:r>
            <w:r>
              <w:rPr>
                <w:color w:val="000000" w:themeColor="text1"/>
                <w:lang w:eastAsia="zh-CN"/>
                <w14:textFill>
                  <w14:solidFill>
                    <w14:schemeClr w14:val="tx1"/>
                  </w14:solidFill>
                </w14:textFill>
              </w:rPr>
              <w:t>石膏、赤泥、化</w:t>
            </w:r>
            <w:r>
              <w:rPr>
                <w:color w:val="000000" w:themeColor="text1"/>
                <w:spacing w:val="1"/>
                <w:lang w:eastAsia="zh-CN"/>
                <w14:textFill>
                  <w14:solidFill>
                    <w14:schemeClr w14:val="tx1"/>
                  </w14:solidFill>
                </w14:textFill>
              </w:rPr>
              <w:t>工废渣等工业固废在有价组分提取、建材生产、市</w:t>
            </w:r>
            <w:r>
              <w:rPr>
                <w:color w:val="000000" w:themeColor="text1"/>
                <w:lang w:eastAsia="zh-CN"/>
                <w14:textFill>
                  <w14:solidFill>
                    <w14:schemeClr w14:val="tx1"/>
                  </w14:solidFill>
                </w14:textFill>
              </w:rPr>
              <w:t xml:space="preserve">政设施建设、井  </w:t>
            </w:r>
            <w:r>
              <w:rPr>
                <w:color w:val="000000" w:themeColor="text1"/>
                <w:spacing w:val="1"/>
                <w:lang w:eastAsia="zh-CN"/>
                <w14:textFill>
                  <w14:solidFill>
                    <w14:schemeClr w14:val="tx1"/>
                  </w14:solidFill>
                </w14:textFill>
              </w:rPr>
              <w:t>下充填、生态修复、土壤治理等领域的规模化</w:t>
            </w:r>
            <w:r>
              <w:rPr>
                <w:color w:val="000000" w:themeColor="text1"/>
                <w:lang w:eastAsia="zh-CN"/>
                <w14:textFill>
                  <w14:solidFill>
                    <w14:schemeClr w14:val="tx1"/>
                  </w14:solidFill>
                </w14:textFill>
              </w:rPr>
              <w:t>利用。着力提升工业</w:t>
            </w:r>
            <w:r>
              <w:rPr>
                <w:color w:val="000000" w:themeColor="text1"/>
                <w:spacing w:val="1"/>
                <w:lang w:eastAsia="zh-CN"/>
                <w14:textFill>
                  <w14:solidFill>
                    <w14:schemeClr w14:val="tx1"/>
                  </w14:solidFill>
                </w14:textFill>
              </w:rPr>
              <w:t>固废在生产纤维材料、微晶玻璃、超细化填料、低</w:t>
            </w:r>
            <w:r>
              <w:rPr>
                <w:color w:val="000000" w:themeColor="text1"/>
                <w:lang w:eastAsia="zh-CN"/>
                <w14:textFill>
                  <w14:solidFill>
                    <w14:schemeClr w14:val="tx1"/>
                  </w14:solidFill>
                </w14:textFill>
              </w:rPr>
              <w:t>碳水泥、固废基</w:t>
            </w:r>
            <w:r>
              <w:rPr>
                <w:color w:val="000000" w:themeColor="text1"/>
                <w:spacing w:val="-2"/>
                <w:lang w:eastAsia="zh-CN"/>
                <w14:textFill>
                  <w14:solidFill>
                    <w14:schemeClr w14:val="tx1"/>
                  </w14:solidFill>
                </w14:textFill>
              </w:rPr>
              <w:t>高性能混凝土、预制件、节能型建筑材料等领域的高值化利用水平。</w:t>
            </w:r>
          </w:p>
        </w:tc>
        <w:tc>
          <w:tcPr>
            <w:tcW w:w="2185" w:type="dxa"/>
            <w:vAlign w:val="center"/>
          </w:tcPr>
          <w:p w14:paraId="61694A4B">
            <w:pPr>
              <w:pStyle w:val="109"/>
              <w:rPr>
                <w:color w:val="000000" w:themeColor="text1"/>
                <w:spacing w:val="2"/>
                <w:lang w:eastAsia="zh-CN"/>
                <w14:textFill>
                  <w14:solidFill>
                    <w14:schemeClr w14:val="tx1"/>
                  </w14:solidFill>
                </w14:textFill>
              </w:rPr>
            </w:pPr>
            <w:r>
              <w:rPr>
                <w:color w:val="000000" w:themeColor="text1"/>
                <w:lang w:eastAsia="zh-CN"/>
                <w14:textFill>
                  <w14:solidFill>
                    <w14:schemeClr w14:val="tx1"/>
                  </w14:solidFill>
                </w14:textFill>
              </w:rPr>
              <w:t>本项目固废均得到合理处置</w:t>
            </w:r>
          </w:p>
        </w:tc>
        <w:tc>
          <w:tcPr>
            <w:tcW w:w="642" w:type="dxa"/>
            <w:gridSpan w:val="2"/>
            <w:vAlign w:val="center"/>
          </w:tcPr>
          <w:p w14:paraId="1F53F9FD">
            <w:pPr>
              <w:pStyle w:val="109"/>
              <w:rPr>
                <w:color w:val="000000" w:themeColor="text1"/>
                <w:spacing w:val="2"/>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3F0B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 w:hRule="atLeast"/>
          <w:jc w:val="center"/>
        </w:trPr>
        <w:tc>
          <w:tcPr>
            <w:tcW w:w="4772" w:type="dxa"/>
            <w:vAlign w:val="center"/>
          </w:tcPr>
          <w:p w14:paraId="5E5F53D5">
            <w:pPr>
              <w:pStyle w:val="109"/>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〔A4.5-3〕结合工业领域减污降碳要求，加快探索钢铁、有色、化</w:t>
            </w:r>
            <w:r>
              <w:rPr>
                <w:color w:val="000000" w:themeColor="text1"/>
                <w:lang w:eastAsia="zh-CN"/>
                <w14:textFill>
                  <w14:solidFill>
                    <w14:schemeClr w14:val="tx1"/>
                  </w14:solidFill>
                </w14:textFill>
              </w:rPr>
              <w:t>工、建材等重点行业工业固体废物减量化路径，全面推行清洁生产。</w:t>
            </w:r>
            <w:r>
              <w:rPr>
                <w:color w:val="000000" w:themeColor="text1"/>
                <w:spacing w:val="-1"/>
                <w:lang w:eastAsia="zh-CN"/>
                <w14:textFill>
                  <w14:solidFill>
                    <w14:schemeClr w14:val="tx1"/>
                  </w14:solidFill>
                </w14:textFill>
              </w:rPr>
              <w:t>全面推进绿色矿山、“无废”矿区建设，推广尾矿等</w:t>
            </w:r>
            <w:r>
              <w:rPr>
                <w:color w:val="000000" w:themeColor="text1"/>
                <w:spacing w:val="-2"/>
                <w:lang w:eastAsia="zh-CN"/>
                <w14:textFill>
                  <w14:solidFill>
                    <w14:schemeClr w14:val="tx1"/>
                  </w14:solidFill>
                </w14:textFill>
              </w:rPr>
              <w:t>大宗工业固体废</w:t>
            </w:r>
            <w:r>
              <w:rPr>
                <w:color w:val="000000" w:themeColor="text1"/>
                <w:spacing w:val="3"/>
                <w:lang w:eastAsia="zh-CN"/>
                <w14:textFill>
                  <w14:solidFill>
                    <w14:schemeClr w14:val="tx1"/>
                  </w14:solidFill>
                </w14:textFill>
              </w:rPr>
              <w:t>物环境友好型井下充填回填，减少尾矿库贮存量。推动大宗工业固</w:t>
            </w:r>
            <w:r>
              <w:rPr>
                <w:color w:val="000000" w:themeColor="text1"/>
                <w:spacing w:val="2"/>
                <w:lang w:eastAsia="zh-CN"/>
                <w14:textFill>
                  <w14:solidFill>
                    <w14:schemeClr w14:val="tx1"/>
                  </w14:solidFill>
                </w14:textFill>
              </w:rPr>
              <w:t>体废物在提取有价组分、生产建材、筑路、生态修复、土壤治理等</w:t>
            </w:r>
            <w:r>
              <w:rPr>
                <w:color w:val="000000" w:themeColor="text1"/>
                <w:spacing w:val="7"/>
                <w:lang w:eastAsia="zh-CN"/>
                <w14:textFill>
                  <w14:solidFill>
                    <w14:schemeClr w14:val="tx1"/>
                  </w14:solidFill>
                </w14:textFill>
              </w:rPr>
              <w:t>领域的规模化利用。</w:t>
            </w:r>
          </w:p>
        </w:tc>
        <w:tc>
          <w:tcPr>
            <w:tcW w:w="2185" w:type="dxa"/>
            <w:vAlign w:val="center"/>
          </w:tcPr>
          <w:p w14:paraId="0A200B8B">
            <w:pPr>
              <w:pStyle w:val="109"/>
              <w:rPr>
                <w:color w:val="000000" w:themeColor="text1"/>
                <w:spacing w:val="2"/>
                <w:lang w:eastAsia="zh-CN"/>
                <w14:textFill>
                  <w14:solidFill>
                    <w14:schemeClr w14:val="tx1"/>
                  </w14:solidFill>
                </w14:textFill>
              </w:rPr>
            </w:pPr>
            <w:r>
              <w:rPr>
                <w:color w:val="000000" w:themeColor="text1"/>
                <w:lang w:eastAsia="zh-CN"/>
                <w14:textFill>
                  <w14:solidFill>
                    <w14:schemeClr w14:val="tx1"/>
                  </w14:solidFill>
                </w14:textFill>
              </w:rPr>
              <w:t>本项目固废均得到合理处置</w:t>
            </w:r>
          </w:p>
        </w:tc>
        <w:tc>
          <w:tcPr>
            <w:tcW w:w="642" w:type="dxa"/>
            <w:gridSpan w:val="2"/>
            <w:vAlign w:val="center"/>
          </w:tcPr>
          <w:p w14:paraId="0A677BF6">
            <w:pPr>
              <w:pStyle w:val="109"/>
              <w:rPr>
                <w:color w:val="000000" w:themeColor="text1"/>
                <w:spacing w:val="2"/>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69D8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 w:hRule="atLeast"/>
          <w:jc w:val="center"/>
        </w:trPr>
        <w:tc>
          <w:tcPr>
            <w:tcW w:w="4772" w:type="dxa"/>
            <w:vAlign w:val="center"/>
          </w:tcPr>
          <w:p w14:paraId="2E1B8D74">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〔A4.5-4〕发展生态种植、生态养殖，建立农业循环经济发展模式，</w:t>
            </w:r>
            <w:r>
              <w:rPr>
                <w:color w:val="000000" w:themeColor="text1"/>
                <w:spacing w:val="-4"/>
                <w:lang w:eastAsia="zh-CN"/>
                <w14:textFill>
                  <w14:solidFill>
                    <w14:schemeClr w14:val="tx1"/>
                  </w14:solidFill>
                </w14:textFill>
              </w:rPr>
              <w:t>促进农业固体废物综合利用。鼓励和引导农民采用增施有机肥秸秆还田、种植绿肥等技术，持续减少化肥农药使用比例。加大畜禽粪</w:t>
            </w:r>
            <w:r>
              <w:rPr>
                <w:color w:val="000000" w:themeColor="text1"/>
                <w:spacing w:val="-3"/>
                <w:lang w:eastAsia="zh-CN"/>
                <w14:textFill>
                  <w14:solidFill>
                    <w14:schemeClr w14:val="tx1"/>
                  </w14:solidFill>
                </w14:textFill>
              </w:rPr>
              <w:t>污和秸秆资源化利用先进技术和新型市场模式的集成推广，推动形成长效运行机制。</w:t>
            </w:r>
          </w:p>
        </w:tc>
        <w:tc>
          <w:tcPr>
            <w:tcW w:w="2185" w:type="dxa"/>
            <w:vAlign w:val="center"/>
          </w:tcPr>
          <w:p w14:paraId="720E58A7">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w:t>
            </w:r>
          </w:p>
        </w:tc>
        <w:tc>
          <w:tcPr>
            <w:tcW w:w="642" w:type="dxa"/>
            <w:gridSpan w:val="2"/>
            <w:vAlign w:val="center"/>
          </w:tcPr>
          <w:p w14:paraId="2B6C03BE">
            <w:pPr>
              <w:pStyle w:val="109"/>
              <w:rPr>
                <w:color w:val="000000" w:themeColor="text1"/>
                <w:lang w:eastAsia="en-US"/>
                <w14:textFill>
                  <w14:solidFill>
                    <w14:schemeClr w14:val="tx1"/>
                  </w14:solidFill>
                </w14:textFill>
              </w:rPr>
            </w:pPr>
            <w:r>
              <w:rPr>
                <w:color w:val="000000" w:themeColor="text1"/>
                <w:spacing w:val="3"/>
                <w:lang w:eastAsia="en-US"/>
                <w14:textFill>
                  <w14:solidFill>
                    <w14:schemeClr w14:val="tx1"/>
                  </w14:solidFill>
                </w14:textFill>
              </w:rPr>
              <w:t>/</w:t>
            </w:r>
          </w:p>
        </w:tc>
      </w:tr>
    </w:tbl>
    <w:p w14:paraId="2C0C2FDC">
      <w:pPr>
        <w:pStyle w:val="1298"/>
        <w:spacing w:line="360" w:lineRule="auto"/>
        <w:ind w:firstLine="480"/>
        <w:rPr>
          <w:b w:val="0"/>
          <w:bCs/>
          <w:color w:val="000000" w:themeColor="text1"/>
          <w14:textFill>
            <w14:solidFill>
              <w14:schemeClr w14:val="tx1"/>
            </w14:solidFill>
          </w14:textFill>
        </w:rPr>
      </w:pPr>
      <w:r>
        <w:rPr>
          <w:b w:val="0"/>
          <w:bCs/>
          <w:color w:val="000000" w:themeColor="text1"/>
          <w14:textFill>
            <w14:solidFill>
              <w14:schemeClr w14:val="tx1"/>
            </w14:solidFill>
          </w14:textFill>
        </w:rPr>
        <w:t>因此，本项目符合《新疆维吾尔自治区生态环境分区管控动态更新成果》（新环环评发〔2024〕157号）相关要求。新疆维吾尔自治区生态环境分区管控</w:t>
      </w:r>
      <w:r>
        <w:rPr>
          <w:rFonts w:hint="eastAsia"/>
          <w:b w:val="0"/>
          <w:bCs/>
          <w:color w:val="000000" w:themeColor="text1"/>
          <w14:textFill>
            <w14:solidFill>
              <w14:schemeClr w14:val="tx1"/>
            </w14:solidFill>
          </w14:textFill>
        </w:rPr>
        <w:t>图见图8.4-1。</w:t>
      </w:r>
    </w:p>
    <w:p w14:paraId="5024B583">
      <w:pPr>
        <w:pStyle w:val="1308"/>
        <w:ind w:firstLine="0" w:firstLineChars="0"/>
        <w:jc w:val="center"/>
        <w:rPr>
          <w:rFonts w:hint="eastAsia"/>
          <w:b/>
          <w:bCs/>
          <w:color w:val="000000" w:themeColor="text1"/>
          <w14:textFill>
            <w14:solidFill>
              <w14:schemeClr w14:val="tx1"/>
            </w14:solidFill>
          </w14:textFill>
        </w:rPr>
      </w:pPr>
    </w:p>
    <w:p w14:paraId="2B545010">
      <w:pPr>
        <w:pStyle w:val="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项目位置在自治区环境管控单元分类图中的位置</w:t>
      </w:r>
    </w:p>
    <w:p w14:paraId="6A94CB22">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与《新疆维吾尔自治区七大片区“三线一单”生态环境分区管控要求（2021年版）》符合性分析</w:t>
      </w:r>
    </w:p>
    <w:p w14:paraId="6941CABD">
      <w:pPr>
        <w:pStyle w:val="1298"/>
        <w:spacing w:line="360" w:lineRule="auto"/>
        <w:ind w:firstLine="480"/>
        <w:rPr>
          <w:b w:val="0"/>
          <w:bCs/>
          <w:color w:val="000000" w:themeColor="text1"/>
          <w14:textFill>
            <w14:solidFill>
              <w14:schemeClr w14:val="tx1"/>
            </w14:solidFill>
          </w14:textFill>
        </w:rPr>
      </w:pPr>
      <w:r>
        <w:rPr>
          <w:b w:val="0"/>
          <w:bCs/>
          <w:color w:val="000000" w:themeColor="text1"/>
          <w14:textFill>
            <w14:solidFill>
              <w14:schemeClr w14:val="tx1"/>
            </w14:solidFill>
          </w14:textFill>
        </w:rPr>
        <w:t>根据《关于印发〈新疆维吾尔自治区七大片区“三线一单”生态环境分区管控要求〉（2021年版）的通知》（新环环评发〔2021〕162号）新疆维吾尔自治区七大片区划分表，本项目所在区域属于“乌昌石片区”。本项目与“乌昌石片区”管控要求符合性分析见下表。</w:t>
      </w:r>
    </w:p>
    <w:p w14:paraId="1C0BAA60">
      <w:pPr>
        <w:pStyle w:val="117"/>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本项目与《新疆维吾尔自治区七大片区“三线一单”生态环境分区管控要求（2021版）》符合性分析</w:t>
      </w:r>
    </w:p>
    <w:tbl>
      <w:tblPr>
        <w:tblStyle w:val="12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13"/>
        <w:gridCol w:w="2707"/>
        <w:gridCol w:w="803"/>
      </w:tblGrid>
      <w:tr w14:paraId="5DD2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35" w:type="dxa"/>
            <w:vAlign w:val="center"/>
          </w:tcPr>
          <w:p w14:paraId="0693E611">
            <w:pPr>
              <w:pStyle w:val="109"/>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乌昌石片区管控要求</w:t>
            </w:r>
          </w:p>
        </w:tc>
        <w:tc>
          <w:tcPr>
            <w:tcW w:w="2168" w:type="dxa"/>
            <w:vAlign w:val="center"/>
          </w:tcPr>
          <w:p w14:paraId="72EDCEB3">
            <w:pPr>
              <w:pStyle w:val="109"/>
              <w:rPr>
                <w:bCs/>
                <w:color w:val="000000" w:themeColor="text1"/>
                <w:spacing w:val="-6"/>
                <w:lang w:eastAsia="en-US"/>
                <w14:textFill>
                  <w14:solidFill>
                    <w14:schemeClr w14:val="tx1"/>
                  </w14:solidFill>
                </w14:textFill>
              </w:rPr>
            </w:pPr>
            <w:r>
              <w:rPr>
                <w:bCs/>
                <w:color w:val="000000" w:themeColor="text1"/>
                <w:lang w:eastAsia="en-US"/>
                <w14:textFill>
                  <w14:solidFill>
                    <w14:schemeClr w14:val="tx1"/>
                  </w14:solidFill>
                </w14:textFill>
              </w:rPr>
              <w:t>本项目情况</w:t>
            </w:r>
          </w:p>
        </w:tc>
        <w:tc>
          <w:tcPr>
            <w:tcW w:w="643" w:type="dxa"/>
            <w:vAlign w:val="center"/>
          </w:tcPr>
          <w:p w14:paraId="281F8F88">
            <w:pPr>
              <w:pStyle w:val="109"/>
              <w:rPr>
                <w:bCs/>
                <w:color w:val="000000" w:themeColor="text1"/>
                <w:spacing w:val="-6"/>
                <w:lang w:eastAsia="en-US"/>
                <w14:textFill>
                  <w14:solidFill>
                    <w14:schemeClr w14:val="tx1"/>
                  </w14:solidFill>
                </w14:textFill>
              </w:rPr>
            </w:pPr>
            <w:r>
              <w:rPr>
                <w:bCs/>
                <w:color w:val="000000" w:themeColor="text1"/>
                <w:lang w:eastAsia="en-US"/>
                <w14:textFill>
                  <w14:solidFill>
                    <w14:schemeClr w14:val="tx1"/>
                  </w14:solidFill>
                </w14:textFill>
              </w:rPr>
              <w:t>符合性</w:t>
            </w:r>
          </w:p>
        </w:tc>
      </w:tr>
      <w:tr w14:paraId="4309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35" w:type="dxa"/>
            <w:vAlign w:val="center"/>
          </w:tcPr>
          <w:p w14:paraId="604E1AB3">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乌昌石片区包括乌鲁木齐市、昌吉回族自治州和沙湾市。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w:t>
            </w:r>
          </w:p>
        </w:tc>
        <w:tc>
          <w:tcPr>
            <w:tcW w:w="2168" w:type="dxa"/>
            <w:vAlign w:val="center"/>
          </w:tcPr>
          <w:p w14:paraId="2F632C34">
            <w:pPr>
              <w:pStyle w:val="109"/>
              <w:rPr>
                <w:color w:val="000000" w:themeColor="text1"/>
                <w:spacing w:val="3"/>
                <w:lang w:eastAsia="zh-CN"/>
                <w14:textFill>
                  <w14:solidFill>
                    <w14:schemeClr w14:val="tx1"/>
                  </w14:solidFill>
                </w14:textFill>
              </w:rPr>
            </w:pPr>
            <w:r>
              <w:rPr>
                <w:color w:val="000000" w:themeColor="text1"/>
                <w:spacing w:val="3"/>
                <w:lang w:eastAsia="zh-CN"/>
                <w14:textFill>
                  <w14:solidFill>
                    <w14:schemeClr w14:val="tx1"/>
                  </w14:solidFill>
                </w14:textFill>
              </w:rPr>
              <w:t>本项目不属于煤化工、电解铝、燃煤纯发电机组、金属硅、碳化硅、聚氯乙烯（电石法）、焦炭（含半焦）等新增产能项目，也不属于</w:t>
            </w:r>
            <w:r>
              <w:rPr>
                <w:color w:val="000000" w:themeColor="text1"/>
                <w:lang w:eastAsia="zh-CN"/>
                <w14:textFill>
                  <w14:solidFill>
                    <w14:schemeClr w14:val="tx1"/>
                  </w14:solidFill>
                </w14:textFill>
              </w:rPr>
              <w:t>热电联产项目</w:t>
            </w:r>
          </w:p>
        </w:tc>
        <w:tc>
          <w:tcPr>
            <w:tcW w:w="643" w:type="dxa"/>
            <w:vAlign w:val="center"/>
          </w:tcPr>
          <w:p w14:paraId="0AA3A54E">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5B59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35" w:type="dxa"/>
            <w:vAlign w:val="center"/>
          </w:tcPr>
          <w:p w14:paraId="57440A07">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坚持属地负责与区域大气污染联防联控相结合，以明显降低细颗粒物浓度为重点，协同推进“乌-昌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tc>
        <w:tc>
          <w:tcPr>
            <w:tcW w:w="2168" w:type="dxa"/>
            <w:vAlign w:val="center"/>
          </w:tcPr>
          <w:p w14:paraId="6841939E">
            <w:pPr>
              <w:pStyle w:val="109"/>
              <w:rPr>
                <w:color w:val="000000" w:themeColor="text1"/>
                <w:spacing w:val="3"/>
                <w:lang w:eastAsia="zh-CN"/>
                <w14:textFill>
                  <w14:solidFill>
                    <w14:schemeClr w14:val="tx1"/>
                  </w14:solidFill>
                </w14:textFill>
              </w:rPr>
            </w:pPr>
            <w:r>
              <w:rPr>
                <w:color w:val="000000" w:themeColor="text1"/>
                <w:lang w:eastAsia="zh-CN"/>
                <w14:textFill>
                  <w14:solidFill>
                    <w14:schemeClr w14:val="tx1"/>
                  </w14:solidFill>
                </w14:textFill>
              </w:rPr>
              <w:t>本项目采取严格的大气污染防治措施，确保大气污染物达标排放</w:t>
            </w:r>
          </w:p>
        </w:tc>
        <w:tc>
          <w:tcPr>
            <w:tcW w:w="643" w:type="dxa"/>
            <w:vAlign w:val="center"/>
          </w:tcPr>
          <w:p w14:paraId="36C915E0">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2A1B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35" w:type="dxa"/>
            <w:vAlign w:val="center"/>
          </w:tcPr>
          <w:p w14:paraId="017E73EF">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强化企业清洁生产改造，推进节水型企业、节水型工业园区建设，提高资源集约节约利用水平。积极推进地下水超采治理，逐步压减地下水超采量，实现地下水采补平衡。</w:t>
            </w:r>
          </w:p>
        </w:tc>
        <w:tc>
          <w:tcPr>
            <w:tcW w:w="2168" w:type="dxa"/>
            <w:vAlign w:val="center"/>
          </w:tcPr>
          <w:p w14:paraId="6B32460D">
            <w:pPr>
              <w:pStyle w:val="109"/>
              <w:rPr>
                <w:color w:val="000000" w:themeColor="text1"/>
                <w:spacing w:val="3"/>
                <w:lang w:eastAsia="zh-CN"/>
                <w14:textFill>
                  <w14:solidFill>
                    <w14:schemeClr w14:val="tx1"/>
                  </w14:solidFill>
                </w14:textFill>
              </w:rPr>
            </w:pPr>
            <w:r>
              <w:rPr>
                <w:color w:val="000000" w:themeColor="text1"/>
                <w:spacing w:val="3"/>
                <w:lang w:eastAsia="zh-CN"/>
                <w14:textFill>
                  <w14:solidFill>
                    <w14:schemeClr w14:val="tx1"/>
                  </w14:solidFill>
                </w14:textFill>
              </w:rPr>
              <w:t>本项目用水量较小，不开采地下水</w:t>
            </w:r>
          </w:p>
        </w:tc>
        <w:tc>
          <w:tcPr>
            <w:tcW w:w="643" w:type="dxa"/>
            <w:vAlign w:val="center"/>
          </w:tcPr>
          <w:p w14:paraId="02B663B4">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0F72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35" w:type="dxa"/>
            <w:vAlign w:val="center"/>
          </w:tcPr>
          <w:p w14:paraId="00509A00">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强化油（气）资源开发区土壤环境污染综合整治。加强涉重金属行业污染防控与工业废物处理处置。</w:t>
            </w:r>
          </w:p>
        </w:tc>
        <w:tc>
          <w:tcPr>
            <w:tcW w:w="2168" w:type="dxa"/>
            <w:vAlign w:val="center"/>
          </w:tcPr>
          <w:p w14:paraId="2F30A9E6">
            <w:pPr>
              <w:pStyle w:val="109"/>
              <w:rPr>
                <w:color w:val="000000" w:themeColor="text1"/>
                <w:spacing w:val="3"/>
                <w:lang w:eastAsia="zh-CN"/>
                <w14:textFill>
                  <w14:solidFill>
                    <w14:schemeClr w14:val="tx1"/>
                  </w14:solidFill>
                </w14:textFill>
              </w:rPr>
            </w:pPr>
            <w:r>
              <w:rPr>
                <w:color w:val="000000" w:themeColor="text1"/>
                <w:spacing w:val="3"/>
                <w:lang w:eastAsia="zh-CN"/>
                <w14:textFill>
                  <w14:solidFill>
                    <w14:schemeClr w14:val="tx1"/>
                  </w14:solidFill>
                </w14:textFill>
              </w:rPr>
              <w:t>本项目不位于</w:t>
            </w:r>
            <w:r>
              <w:rPr>
                <w:color w:val="000000" w:themeColor="text1"/>
                <w:lang w:eastAsia="zh-CN"/>
                <w14:textFill>
                  <w14:solidFill>
                    <w14:schemeClr w14:val="tx1"/>
                  </w14:solidFill>
                </w14:textFill>
              </w:rPr>
              <w:t>油（气）资源开发区，不属于涉重金属行业污染防控与工业废物处理处置项目</w:t>
            </w:r>
          </w:p>
        </w:tc>
        <w:tc>
          <w:tcPr>
            <w:tcW w:w="643" w:type="dxa"/>
            <w:vAlign w:val="center"/>
          </w:tcPr>
          <w:p w14:paraId="78F2A35C">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r w14:paraId="54D2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735" w:type="dxa"/>
            <w:vAlign w:val="center"/>
          </w:tcPr>
          <w:p w14:paraId="23B42A1E">
            <w:pPr>
              <w:pStyle w:val="10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煤炭、石油、天然气开发单位应当制定生态保护和恢复治理方案，并予以实施。生态保护和恢复治理方案内容应当向社会公布，接受社会监督。</w:t>
            </w:r>
          </w:p>
        </w:tc>
        <w:tc>
          <w:tcPr>
            <w:tcW w:w="2168" w:type="dxa"/>
            <w:vAlign w:val="center"/>
          </w:tcPr>
          <w:p w14:paraId="51C08B14">
            <w:pPr>
              <w:pStyle w:val="109"/>
              <w:rPr>
                <w:color w:val="000000" w:themeColor="text1"/>
                <w:spacing w:val="3"/>
                <w:lang w:eastAsia="zh-CN"/>
                <w14:textFill>
                  <w14:solidFill>
                    <w14:schemeClr w14:val="tx1"/>
                  </w14:solidFill>
                </w14:textFill>
              </w:rPr>
            </w:pPr>
            <w:r>
              <w:rPr>
                <w:color w:val="000000" w:themeColor="text1"/>
                <w:lang w:eastAsia="zh-CN"/>
                <w14:textFill>
                  <w14:solidFill>
                    <w14:schemeClr w14:val="tx1"/>
                  </w14:solidFill>
                </w14:textFill>
              </w:rPr>
              <w:t>本项目不属于煤炭、石油、天然气开发项目</w:t>
            </w:r>
          </w:p>
        </w:tc>
        <w:tc>
          <w:tcPr>
            <w:tcW w:w="643" w:type="dxa"/>
            <w:vAlign w:val="center"/>
          </w:tcPr>
          <w:p w14:paraId="62A4515C">
            <w:pPr>
              <w:pStyle w:val="109"/>
              <w:rPr>
                <w:color w:val="000000" w:themeColor="text1"/>
                <w:spacing w:val="3"/>
                <w:lang w:eastAsia="en-US"/>
                <w14:textFill>
                  <w14:solidFill>
                    <w14:schemeClr w14:val="tx1"/>
                  </w14:solidFill>
                </w14:textFill>
              </w:rPr>
            </w:pPr>
            <w:r>
              <w:rPr>
                <w:color w:val="000000" w:themeColor="text1"/>
                <w:spacing w:val="3"/>
                <w:lang w:eastAsia="en-US"/>
                <w14:textFill>
                  <w14:solidFill>
                    <w14:schemeClr w14:val="tx1"/>
                  </w14:solidFill>
                </w14:textFill>
              </w:rPr>
              <w:t>符合</w:t>
            </w:r>
          </w:p>
        </w:tc>
      </w:tr>
    </w:tbl>
    <w:p w14:paraId="1C4D6EEA">
      <w:pPr>
        <w:ind w:firstLine="480"/>
        <w:rPr>
          <w:b/>
          <w:color w:val="000000" w:themeColor="text1"/>
          <w14:textFill>
            <w14:solidFill>
              <w14:schemeClr w14:val="tx1"/>
            </w14:solidFill>
          </w14:textFill>
        </w:rPr>
      </w:pPr>
      <w:r>
        <w:rPr>
          <w:color w:val="000000" w:themeColor="text1"/>
          <w14:textFill>
            <w14:solidFill>
              <w14:schemeClr w14:val="tx1"/>
            </w14:solidFill>
          </w14:textFill>
        </w:rPr>
        <w:t>综上所述，本项目符合《新疆维吾尔自治区七大片区“三线一单”生态环境分区管控要求（2021年版）》相关要求。</w:t>
      </w:r>
    </w:p>
    <w:p w14:paraId="61A4D9E0">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与《乌鲁木齐市生态环境准入清单（2023年版）》符合性分析</w:t>
      </w:r>
    </w:p>
    <w:p w14:paraId="0C476289">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1、环境管控单元</w:t>
      </w:r>
    </w:p>
    <w:p w14:paraId="299BD46C">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根据《乌鲁木齐市生态环境准入清单（2023年版）》可知，本项目位于甘泉堡经济技术开发区重点管控单元（管控单元名称），重点管控单元（管控单元类别），ZH65010920013（管控单元编号）。</w:t>
      </w:r>
    </w:p>
    <w:p w14:paraId="5A3104FB">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2、生态环境准入清单符合性分析</w:t>
      </w:r>
    </w:p>
    <w:p w14:paraId="2598F18B">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项目与《乌鲁木齐市生态环境准入清单（2023年版）》中单元级管控要求分析见下表。</w:t>
      </w:r>
    </w:p>
    <w:p w14:paraId="77772B99">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本项目与单元级管控要求符合性分析</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566"/>
        <w:gridCol w:w="489"/>
        <w:gridCol w:w="551"/>
        <w:gridCol w:w="4976"/>
        <w:gridCol w:w="1834"/>
        <w:gridCol w:w="682"/>
      </w:tblGrid>
      <w:tr w14:paraId="502B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8" w:type="dxa"/>
            <w:vAlign w:val="center"/>
          </w:tcPr>
          <w:p w14:paraId="31D07F13">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编码</w:t>
            </w:r>
          </w:p>
        </w:tc>
        <w:tc>
          <w:tcPr>
            <w:tcW w:w="533" w:type="dxa"/>
            <w:vAlign w:val="center"/>
          </w:tcPr>
          <w:p w14:paraId="26A7C45C">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名称</w:t>
            </w:r>
          </w:p>
        </w:tc>
        <w:tc>
          <w:tcPr>
            <w:tcW w:w="461" w:type="dxa"/>
            <w:vAlign w:val="center"/>
          </w:tcPr>
          <w:p w14:paraId="0D24C9B4">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类别</w:t>
            </w:r>
          </w:p>
        </w:tc>
        <w:tc>
          <w:tcPr>
            <w:tcW w:w="5200" w:type="dxa"/>
            <w:gridSpan w:val="2"/>
            <w:vAlign w:val="center"/>
          </w:tcPr>
          <w:p w14:paraId="575AAE6B">
            <w:pPr>
              <w:pStyle w:val="109"/>
              <w:rPr>
                <w:color w:val="000000" w:themeColor="text1"/>
                <w14:textFill>
                  <w14:solidFill>
                    <w14:schemeClr w14:val="tx1"/>
                  </w14:solidFill>
                </w14:textFill>
              </w:rPr>
            </w:pPr>
            <w:r>
              <w:rPr>
                <w:color w:val="000000" w:themeColor="text1"/>
                <w14:textFill>
                  <w14:solidFill>
                    <w14:schemeClr w14:val="tx1"/>
                  </w14:solidFill>
                </w14:textFill>
              </w:rPr>
              <w:t>管控要求</w:t>
            </w:r>
          </w:p>
        </w:tc>
        <w:tc>
          <w:tcPr>
            <w:tcW w:w="1726" w:type="dxa"/>
            <w:vAlign w:val="center"/>
          </w:tcPr>
          <w:p w14:paraId="4CE22945">
            <w:pPr>
              <w:pStyle w:val="109"/>
              <w:rPr>
                <w:bCs/>
                <w:color w:val="000000" w:themeColor="text1"/>
                <w:spacing w:val="2"/>
                <w14:textFill>
                  <w14:solidFill>
                    <w14:schemeClr w14:val="tx1"/>
                  </w14:solidFill>
                </w14:textFill>
              </w:rPr>
            </w:pPr>
            <w:r>
              <w:rPr>
                <w:bCs/>
                <w:color w:val="000000" w:themeColor="text1"/>
                <w14:textFill>
                  <w14:solidFill>
                    <w14:schemeClr w14:val="tx1"/>
                  </w14:solidFill>
                </w14:textFill>
              </w:rPr>
              <w:t>本项目情况</w:t>
            </w:r>
          </w:p>
        </w:tc>
        <w:tc>
          <w:tcPr>
            <w:tcW w:w="642" w:type="dxa"/>
            <w:vAlign w:val="center"/>
          </w:tcPr>
          <w:p w14:paraId="1B561336">
            <w:pPr>
              <w:pStyle w:val="109"/>
              <w:rPr>
                <w:bCs/>
                <w:color w:val="000000" w:themeColor="text1"/>
                <w:spacing w:val="2"/>
                <w14:textFill>
                  <w14:solidFill>
                    <w14:schemeClr w14:val="tx1"/>
                  </w14:solidFill>
                </w14:textFill>
              </w:rPr>
            </w:pPr>
            <w:r>
              <w:rPr>
                <w:bCs/>
                <w:color w:val="000000" w:themeColor="text1"/>
                <w14:textFill>
                  <w14:solidFill>
                    <w14:schemeClr w14:val="tx1"/>
                  </w14:solidFill>
                </w14:textFill>
              </w:rPr>
              <w:t>符合性</w:t>
            </w:r>
          </w:p>
        </w:tc>
      </w:tr>
      <w:tr w14:paraId="7DBA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8" w:type="dxa"/>
            <w:vMerge w:val="restart"/>
            <w:vAlign w:val="center"/>
          </w:tcPr>
          <w:p w14:paraId="38C923F8">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ZH65010920013</w:t>
            </w:r>
          </w:p>
        </w:tc>
        <w:tc>
          <w:tcPr>
            <w:tcW w:w="533" w:type="dxa"/>
            <w:vMerge w:val="restart"/>
            <w:vAlign w:val="center"/>
          </w:tcPr>
          <w:p w14:paraId="1775A1D6">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甘泉堡经济技术开发区重点管控单元</w:t>
            </w:r>
          </w:p>
        </w:tc>
        <w:tc>
          <w:tcPr>
            <w:tcW w:w="461" w:type="dxa"/>
            <w:vMerge w:val="restart"/>
            <w:vAlign w:val="center"/>
          </w:tcPr>
          <w:p w14:paraId="16CE3FD3">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重点管控单元</w:t>
            </w:r>
          </w:p>
        </w:tc>
        <w:tc>
          <w:tcPr>
            <w:tcW w:w="518" w:type="dxa"/>
            <w:vAlign w:val="center"/>
          </w:tcPr>
          <w:p w14:paraId="01733428">
            <w:pPr>
              <w:pStyle w:val="109"/>
              <w:rPr>
                <w:bCs/>
                <w:color w:val="000000" w:themeColor="text1"/>
                <w:lang w:bidi="en-US"/>
                <w14:textFill>
                  <w14:solidFill>
                    <w14:schemeClr w14:val="tx1"/>
                  </w14:solidFill>
                </w14:textFill>
              </w:rPr>
            </w:pPr>
            <w:r>
              <w:rPr>
                <w:color w:val="000000" w:themeColor="text1"/>
                <w:lang w:bidi="en-US"/>
                <w14:textFill>
                  <w14:solidFill>
                    <w14:schemeClr w14:val="tx1"/>
                  </w14:solidFill>
                </w14:textFill>
              </w:rPr>
              <w:t>空间布局约束</w:t>
            </w:r>
          </w:p>
        </w:tc>
        <w:tc>
          <w:tcPr>
            <w:tcW w:w="4682" w:type="dxa"/>
            <w:vAlign w:val="center"/>
          </w:tcPr>
          <w:p w14:paraId="3BA4A658">
            <w:pPr>
              <w:pStyle w:val="109"/>
              <w:rPr>
                <w:color w:val="000000" w:themeColor="text1"/>
                <w14:textFill>
                  <w14:solidFill>
                    <w14:schemeClr w14:val="tx1"/>
                  </w14:solidFill>
                </w14:textFill>
              </w:rPr>
            </w:pPr>
            <w:r>
              <w:rPr>
                <w:color w:val="000000" w:themeColor="text1"/>
                <w14:textFill>
                  <w14:solidFill>
                    <w14:schemeClr w14:val="tx1"/>
                  </w14:solidFill>
                </w14:textFill>
              </w:rPr>
              <w:t>（1.1）甘泉堡经济技术开发区主导产业：新能源、新材料、高端装备和节能环保。培育纺织服装全产业链、生物健康、新能源汽车、通航、大数据、绿色（装配式）建筑六大产业。硅基产业在现有产业基础上进行产业链延伸发展。米东区中小微企业创新创业园主导产业：物流仓储、新材料、综合加工、新型建材、机械加工、金属制品、塑料制品、彩印包装、电力设备、新材料。米东区精细化工产业创新园主导产业：以石油化工产业生产的PTA（精对苯二甲酸）为基础，吸纳和集聚以PTA为起点的下游延伸产业，包括PET、PTT、PBT和其他产品原料的生产和精深加工。</w:t>
            </w:r>
          </w:p>
          <w:p w14:paraId="368E4035">
            <w:pPr>
              <w:pStyle w:val="109"/>
              <w:rPr>
                <w:color w:val="000000" w:themeColor="text1"/>
                <w14:textFill>
                  <w14:solidFill>
                    <w14:schemeClr w14:val="tx1"/>
                  </w14:solidFill>
                </w14:textFill>
              </w:rPr>
            </w:pPr>
            <w:r>
              <w:rPr>
                <w:color w:val="000000" w:themeColor="text1"/>
                <w14:textFill>
                  <w14:solidFill>
                    <w14:schemeClr w14:val="tx1"/>
                  </w14:solidFill>
                </w14:textFill>
              </w:rPr>
              <w:t>（1.2）不宜布局电解铝、燃煤纯发电机组、金属硅，碳化硅、氯乙烯（电石法）焦炭（含半焦）等行业的新增产能项目。</w:t>
            </w:r>
          </w:p>
          <w:p w14:paraId="0A420614">
            <w:pPr>
              <w:pStyle w:val="109"/>
              <w:rPr>
                <w:color w:val="000000" w:themeColor="text1"/>
                <w14:textFill>
                  <w14:solidFill>
                    <w14:schemeClr w14:val="tx1"/>
                  </w14:solidFill>
                </w14:textFill>
              </w:rPr>
            </w:pPr>
            <w:r>
              <w:rPr>
                <w:color w:val="000000" w:themeColor="text1"/>
                <w14:textFill>
                  <w14:solidFill>
                    <w14:schemeClr w14:val="tx1"/>
                  </w14:solidFill>
                </w14:textFill>
              </w:rPr>
              <w:t>（1.3）执行《甘泉堡经济技术开发区产业目录》和《甘泉堡经济技术开发区产业负面清单》要求，禁止不符合产业准入要求的企业和项目入驻。</w:t>
            </w:r>
          </w:p>
          <w:p w14:paraId="21EFD20F">
            <w:pPr>
              <w:pStyle w:val="109"/>
              <w:rPr>
                <w:color w:val="000000" w:themeColor="text1"/>
                <w14:textFill>
                  <w14:solidFill>
                    <w14:schemeClr w14:val="tx1"/>
                  </w14:solidFill>
                </w14:textFill>
              </w:rPr>
            </w:pPr>
            <w:r>
              <w:rPr>
                <w:color w:val="000000" w:themeColor="text1"/>
                <w14:textFill>
                  <w14:solidFill>
                    <w14:schemeClr w14:val="tx1"/>
                  </w14:solidFill>
                </w14:textFill>
              </w:rPr>
              <w:t>（1.4）在园区内设置企业准入条件，禁止单位生产总值水耗较高的企业入驻。</w:t>
            </w:r>
          </w:p>
          <w:p w14:paraId="085A440C">
            <w:pPr>
              <w:pStyle w:val="109"/>
              <w:rPr>
                <w:color w:val="000000" w:themeColor="text1"/>
                <w14:textFill>
                  <w14:solidFill>
                    <w14:schemeClr w14:val="tx1"/>
                  </w14:solidFill>
                </w14:textFill>
              </w:rPr>
            </w:pPr>
            <w:r>
              <w:rPr>
                <w:color w:val="000000" w:themeColor="text1"/>
                <w14:textFill>
                  <w14:solidFill>
                    <w14:schemeClr w14:val="tx1"/>
                  </w14:solidFill>
                </w14:textFill>
              </w:rPr>
              <w:t>（1.5）限制引进烟尘、粉尘排放量较大的项目，及不符合《挥发性有机物（VOCs）污染防治技术政策》的项目。</w:t>
            </w:r>
          </w:p>
          <w:p w14:paraId="09F1357D">
            <w:pPr>
              <w:pStyle w:val="109"/>
              <w:rPr>
                <w:color w:val="000000" w:themeColor="text1"/>
                <w14:textFill>
                  <w14:solidFill>
                    <w14:schemeClr w14:val="tx1"/>
                  </w14:solidFill>
                </w14:textFill>
              </w:rPr>
            </w:pPr>
            <w:r>
              <w:rPr>
                <w:color w:val="000000" w:themeColor="text1"/>
                <w14:textFill>
                  <w14:solidFill>
                    <w14:schemeClr w14:val="tx1"/>
                  </w14:solidFill>
                </w14:textFill>
              </w:rPr>
              <w:t>（1.6）依据国家新能源监测预警结果有序扩大新能源和可再生能源规模，推进储能产业、风电制氢试点，提高清洁能源供给能力。</w:t>
            </w:r>
          </w:p>
          <w:p w14:paraId="059DA793">
            <w:pPr>
              <w:pStyle w:val="109"/>
              <w:rPr>
                <w:color w:val="000000" w:themeColor="text1"/>
                <w14:textFill>
                  <w14:solidFill>
                    <w14:schemeClr w14:val="tx1"/>
                  </w14:solidFill>
                </w14:textFill>
              </w:rPr>
            </w:pPr>
            <w:r>
              <w:rPr>
                <w:color w:val="000000" w:themeColor="text1"/>
                <w14:textFill>
                  <w14:solidFill>
                    <w14:schemeClr w14:val="tx1"/>
                  </w14:solidFill>
                </w14:textFill>
              </w:rPr>
              <w:t>（1.7）高排放区禁止新建、扩建、改建高污染燃料设施。严格控制区域内火电、石化、化工、冶金、钢铁、建材等高耗能行业产能规模。</w:t>
            </w:r>
          </w:p>
        </w:tc>
        <w:tc>
          <w:tcPr>
            <w:tcW w:w="1726" w:type="dxa"/>
            <w:vAlign w:val="center"/>
          </w:tcPr>
          <w:p w14:paraId="0C32577F">
            <w:pPr>
              <w:pStyle w:val="109"/>
              <w:rPr>
                <w:color w:val="000000" w:themeColor="text1"/>
                <w14:textFill>
                  <w14:solidFill>
                    <w14:schemeClr w14:val="tx1"/>
                  </w14:solidFill>
                </w14:textFill>
              </w:rPr>
            </w:pPr>
            <w:r>
              <w:rPr>
                <w:color w:val="000000" w:themeColor="text1"/>
                <w14:textFill>
                  <w14:solidFill>
                    <w14:schemeClr w14:val="tx1"/>
                  </w14:solidFill>
                </w14:textFill>
              </w:rPr>
              <w:t>（1.1）本项目属于园区主导产业的配套产业项目。</w:t>
            </w:r>
          </w:p>
          <w:p w14:paraId="0253533F">
            <w:pPr>
              <w:pStyle w:val="109"/>
              <w:rPr>
                <w:color w:val="000000" w:themeColor="text1"/>
                <w14:textFill>
                  <w14:solidFill>
                    <w14:schemeClr w14:val="tx1"/>
                  </w14:solidFill>
                </w14:textFill>
              </w:rPr>
            </w:pPr>
            <w:r>
              <w:rPr>
                <w:color w:val="000000" w:themeColor="text1"/>
                <w14:textFill>
                  <w14:solidFill>
                    <w14:schemeClr w14:val="tx1"/>
                  </w14:solidFill>
                </w14:textFill>
              </w:rPr>
              <w:t>（1.2）本项目不属于电解铝、燃煤纯发电机组、金属硅，碳化硅、氯乙烯（电石法）焦炭（含半焦）等行业的新增产能项目。</w:t>
            </w:r>
          </w:p>
          <w:p w14:paraId="51AD3C87">
            <w:pPr>
              <w:pStyle w:val="109"/>
              <w:rPr>
                <w:color w:val="000000" w:themeColor="text1"/>
                <w14:textFill>
                  <w14:solidFill>
                    <w14:schemeClr w14:val="tx1"/>
                  </w14:solidFill>
                </w14:textFill>
              </w:rPr>
            </w:pPr>
            <w:r>
              <w:rPr>
                <w:color w:val="000000" w:themeColor="text1"/>
                <w14:textFill>
                  <w14:solidFill>
                    <w14:schemeClr w14:val="tx1"/>
                  </w14:solidFill>
                </w14:textFill>
              </w:rPr>
              <w:t>（1.3）本项目符合《甘泉堡经济技术开发区产业目录》和《甘泉堡经济技术开发区产业负面清单》要求。</w:t>
            </w:r>
          </w:p>
          <w:p w14:paraId="7DF7DA10">
            <w:pPr>
              <w:pStyle w:val="109"/>
              <w:rPr>
                <w:color w:val="000000" w:themeColor="text1"/>
                <w14:textFill>
                  <w14:solidFill>
                    <w14:schemeClr w14:val="tx1"/>
                  </w14:solidFill>
                </w14:textFill>
              </w:rPr>
            </w:pPr>
            <w:r>
              <w:rPr>
                <w:color w:val="000000" w:themeColor="text1"/>
                <w14:textFill>
                  <w14:solidFill>
                    <w14:schemeClr w14:val="tx1"/>
                  </w14:solidFill>
                </w14:textFill>
              </w:rPr>
              <w:t>（1.4）本项目用水量较小。</w:t>
            </w:r>
          </w:p>
          <w:p w14:paraId="2875928C">
            <w:pPr>
              <w:pStyle w:val="109"/>
              <w:rPr>
                <w:color w:val="000000" w:themeColor="text1"/>
                <w14:textFill>
                  <w14:solidFill>
                    <w14:schemeClr w14:val="tx1"/>
                  </w14:solidFill>
                </w14:textFill>
              </w:rPr>
            </w:pPr>
            <w:r>
              <w:rPr>
                <w:color w:val="000000" w:themeColor="text1"/>
                <w14:textFill>
                  <w14:solidFill>
                    <w14:schemeClr w14:val="tx1"/>
                  </w14:solidFill>
                </w14:textFill>
              </w:rPr>
              <w:t>（1.5）本项目采取严格的大气污染治理措施后，大气污染物达标排放。</w:t>
            </w:r>
          </w:p>
          <w:p w14:paraId="4183CCB7">
            <w:pPr>
              <w:pStyle w:val="109"/>
              <w:rPr>
                <w:color w:val="000000" w:themeColor="text1"/>
                <w14:textFill>
                  <w14:solidFill>
                    <w14:schemeClr w14:val="tx1"/>
                  </w14:solidFill>
                </w14:textFill>
              </w:rPr>
            </w:pPr>
            <w:r>
              <w:rPr>
                <w:color w:val="000000" w:themeColor="text1"/>
                <w14:textFill>
                  <w14:solidFill>
                    <w14:schemeClr w14:val="tx1"/>
                  </w14:solidFill>
                </w14:textFill>
              </w:rPr>
              <w:t>(1.6)/</w:t>
            </w:r>
          </w:p>
          <w:p w14:paraId="785169BC">
            <w:pPr>
              <w:pStyle w:val="109"/>
              <w:rPr>
                <w:color w:val="000000" w:themeColor="text1"/>
                <w14:textFill>
                  <w14:solidFill>
                    <w14:schemeClr w14:val="tx1"/>
                  </w14:solidFill>
                </w14:textFill>
              </w:rPr>
            </w:pPr>
            <w:r>
              <w:rPr>
                <w:color w:val="000000" w:themeColor="text1"/>
                <w14:textFill>
                  <w14:solidFill>
                    <w14:schemeClr w14:val="tx1"/>
                  </w14:solidFill>
                </w14:textFill>
              </w:rPr>
              <w:t>（1.7）本项目不位于高排放区。</w:t>
            </w:r>
          </w:p>
        </w:tc>
        <w:tc>
          <w:tcPr>
            <w:tcW w:w="642" w:type="dxa"/>
            <w:vAlign w:val="center"/>
          </w:tcPr>
          <w:p w14:paraId="665248A8">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4F4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8" w:type="dxa"/>
            <w:vMerge w:val="continue"/>
            <w:vAlign w:val="center"/>
          </w:tcPr>
          <w:p w14:paraId="6CB01B25">
            <w:pPr>
              <w:pStyle w:val="109"/>
              <w:rPr>
                <w:color w:val="000000" w:themeColor="text1"/>
                <w:lang w:bidi="en-US"/>
                <w14:textFill>
                  <w14:solidFill>
                    <w14:schemeClr w14:val="tx1"/>
                  </w14:solidFill>
                </w14:textFill>
              </w:rPr>
            </w:pPr>
          </w:p>
        </w:tc>
        <w:tc>
          <w:tcPr>
            <w:tcW w:w="533" w:type="dxa"/>
            <w:vMerge w:val="continue"/>
            <w:vAlign w:val="center"/>
          </w:tcPr>
          <w:p w14:paraId="3B0E4511">
            <w:pPr>
              <w:pStyle w:val="109"/>
              <w:rPr>
                <w:color w:val="000000" w:themeColor="text1"/>
                <w:lang w:bidi="en-US"/>
                <w14:textFill>
                  <w14:solidFill>
                    <w14:schemeClr w14:val="tx1"/>
                  </w14:solidFill>
                </w14:textFill>
              </w:rPr>
            </w:pPr>
          </w:p>
        </w:tc>
        <w:tc>
          <w:tcPr>
            <w:tcW w:w="461" w:type="dxa"/>
            <w:vMerge w:val="continue"/>
            <w:vAlign w:val="center"/>
          </w:tcPr>
          <w:p w14:paraId="2D7C62EF">
            <w:pPr>
              <w:pStyle w:val="109"/>
              <w:rPr>
                <w:color w:val="000000" w:themeColor="text1"/>
                <w:lang w:bidi="en-US"/>
                <w14:textFill>
                  <w14:solidFill>
                    <w14:schemeClr w14:val="tx1"/>
                  </w14:solidFill>
                </w14:textFill>
              </w:rPr>
            </w:pPr>
          </w:p>
        </w:tc>
        <w:tc>
          <w:tcPr>
            <w:tcW w:w="518" w:type="dxa"/>
            <w:vAlign w:val="center"/>
          </w:tcPr>
          <w:p w14:paraId="17EC48C9">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污染物排放管控</w:t>
            </w:r>
          </w:p>
        </w:tc>
        <w:tc>
          <w:tcPr>
            <w:tcW w:w="4682" w:type="dxa"/>
            <w:vAlign w:val="center"/>
          </w:tcPr>
          <w:p w14:paraId="5EB11851">
            <w:pPr>
              <w:pStyle w:val="109"/>
              <w:rPr>
                <w:color w:val="000000" w:themeColor="text1"/>
                <w14:textFill>
                  <w14:solidFill>
                    <w14:schemeClr w14:val="tx1"/>
                  </w14:solidFill>
                </w14:textFill>
              </w:rPr>
            </w:pPr>
            <w:r>
              <w:rPr>
                <w:color w:val="000000" w:themeColor="text1"/>
                <w14:textFill>
                  <w14:solidFill>
                    <w14:schemeClr w14:val="tx1"/>
                  </w14:solidFill>
                </w14:textFill>
              </w:rPr>
              <w:t>（2.1）大气污染防治措施：</w:t>
            </w:r>
          </w:p>
          <w:p w14:paraId="4AFEB856">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工业项目采用转化率高，废气排放量少的清洁生产工艺；</w:t>
            </w:r>
          </w:p>
          <w:p w14:paraId="28F29E13">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采用火炬或焚烧炉，对生产废气中的有机污染物或恶臭物质等进行焚烧处理；</w:t>
            </w:r>
          </w:p>
          <w:p w14:paraId="7EA708C7">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对工业废气最大限度的回收，减少排放；</w:t>
            </w:r>
          </w:p>
          <w:p w14:paraId="6908BE3D">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color w:val="000000" w:themeColor="text1"/>
                <w14:textFill>
                  <w14:solidFill>
                    <w14:schemeClr w14:val="tx1"/>
                  </w14:solidFill>
                </w14:textFill>
              </w:rPr>
              <w:t>废气处理：严格控制有毒和有害气体的排放，并对有毒和有害气体排放实施在线自动监测仪监控；烟尘控制区覆盖率达到100％，污染物排放达标率达到100％；</w:t>
            </w:r>
          </w:p>
          <w:p w14:paraId="0F77256C">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⑤</w:t>
            </w:r>
            <w:r>
              <w:rPr>
                <w:color w:val="000000" w:themeColor="text1"/>
                <w14:textFill>
                  <w14:solidFill>
                    <w14:schemeClr w14:val="tx1"/>
                  </w14:solidFill>
                </w14:textFill>
              </w:rPr>
              <w:t>严格落实大气污染物达标排放、总量控制、环保设施“三同时”、在线监测、排污许可等环保制度；严格控制区域内火电、石化、化工、冶金、钢铁、建材等高耗能行业产能规模；持续降低工业园区能耗强度、大气污染物排放总量；</w:t>
            </w:r>
          </w:p>
          <w:p w14:paraId="68E34BFE">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⑥</w:t>
            </w:r>
            <w:r>
              <w:rPr>
                <w:color w:val="000000" w:themeColor="text1"/>
                <w14:textFill>
                  <w14:solidFill>
                    <w14:schemeClr w14:val="tx1"/>
                  </w14:solidFill>
                </w14:textFill>
              </w:rPr>
              <w:t>全面实施重点行业企业污染物排放深度整治。全面实施各类锅炉深度治理或清洁能源改造，加快完成燃气锅炉低氮改造；</w:t>
            </w:r>
          </w:p>
          <w:p w14:paraId="72E72C1B">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⑦</w:t>
            </w:r>
            <w:r>
              <w:rPr>
                <w:color w:val="000000" w:themeColor="text1"/>
                <w14:textFill>
                  <w14:solidFill>
                    <w14:schemeClr w14:val="tx1"/>
                  </w14:solidFill>
                </w14:textFill>
              </w:rPr>
              <w:t>采取道路及时清扫、保湿降尘，控制超载超速、跑冒撒漏，企业粉状物料全密闭、覆盖，增加绿化覆盖率等综合措施；</w:t>
            </w:r>
          </w:p>
          <w:p w14:paraId="29940A09">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⑧</w:t>
            </w:r>
            <w:r>
              <w:rPr>
                <w:color w:val="000000" w:themeColor="text1"/>
                <w14:textFill>
                  <w14:solidFill>
                    <w14:schemeClr w14:val="tx1"/>
                  </w14:solidFill>
                </w14:textFill>
              </w:rPr>
              <w:t>治理挥发性有机物污染。引导企业实施清洁涂料、溶剂、原料替代。开展化工企业挥发性有机物泄漏检测与修复，全面完成化工企业提标改造；</w:t>
            </w:r>
          </w:p>
          <w:p w14:paraId="2F51C96C">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⑨</w:t>
            </w:r>
            <w:r>
              <w:rPr>
                <w:color w:val="000000" w:themeColor="text1"/>
                <w14:textFill>
                  <w14:solidFill>
                    <w14:schemeClr w14:val="tx1"/>
                  </w14:solidFill>
                </w14:textFill>
              </w:rPr>
              <w:t>考虑到园区各企业采暖及生产用蒸汽均自建燃气或电锅炉，园区禁止新增燃煤锅炉。</w:t>
            </w:r>
          </w:p>
          <w:p w14:paraId="6FA8F904">
            <w:pPr>
              <w:pStyle w:val="109"/>
              <w:rPr>
                <w:color w:val="000000" w:themeColor="text1"/>
                <w14:textFill>
                  <w14:solidFill>
                    <w14:schemeClr w14:val="tx1"/>
                  </w14:solidFill>
                </w14:textFill>
              </w:rPr>
            </w:pPr>
            <w:r>
              <w:rPr>
                <w:color w:val="000000" w:themeColor="text1"/>
                <w14:textFill>
                  <w14:solidFill>
                    <w14:schemeClr w14:val="tx1"/>
                  </w14:solidFill>
                </w14:textFill>
              </w:rPr>
              <w:t>（2.2）废水污染防治措施</w:t>
            </w:r>
          </w:p>
          <w:p w14:paraId="406604EA">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选择节水工艺，鼓励“一水多用”，减少废水排放；</w:t>
            </w:r>
          </w:p>
          <w:p w14:paraId="24D76598">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生产废水、生活污水及污染区域的初期雨水实施集中处理，建设集中污水处理厂，实现达标排放。排入城镇下水道的污水同时应符合《污水排入城镇下水道水质标准》（GB/T 31962-2015）；</w:t>
            </w:r>
          </w:p>
          <w:p w14:paraId="766130DD">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区域内所有污水均须由规划的污水排放口排放，禁止在规划的污水排放口外设新的污水排放口；</w:t>
            </w:r>
          </w:p>
          <w:p w14:paraId="099C746B">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color w:val="000000" w:themeColor="text1"/>
                <w14:textFill>
                  <w14:solidFill>
                    <w14:schemeClr w14:val="tx1"/>
                  </w14:solidFill>
                </w14:textFill>
              </w:rPr>
              <w:t>集中污水处理厂的排放污水实施监控，按水质水量收费。污水集中处理率80％，污水处理率100％，污水处理达标率100％；</w:t>
            </w:r>
          </w:p>
          <w:p w14:paraId="522AD029">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⑤</w:t>
            </w:r>
            <w:r>
              <w:rPr>
                <w:color w:val="000000" w:themeColor="text1"/>
                <w14:textFill>
                  <w14:solidFill>
                    <w14:schemeClr w14:val="tx1"/>
                  </w14:solidFill>
                </w14:textFill>
              </w:rPr>
              <w:t>对未达标区域新建、改建和扩建项目提出倍量置换要求，部分区域可实施限批；</w:t>
            </w:r>
          </w:p>
          <w:p w14:paraId="4F80A3F0">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⑥</w:t>
            </w:r>
            <w:r>
              <w:rPr>
                <w:color w:val="000000" w:themeColor="text1"/>
                <w14:textFill>
                  <w14:solidFill>
                    <w14:schemeClr w14:val="tx1"/>
                  </w14:solidFill>
                </w14:textFill>
              </w:rPr>
              <w:t>水环境工业污染重点管控区强化工业集聚区污染防治，加快推进工业集聚区（园区）污水集中处理设施建设，加强配套管网建设。推进生态园区建设和循环化改造，完善再生水回用系统，不断提高工业用水重复利用率。对污染排放不达标的企业责令停止超标排污，采取限期整改、停产治理等措施，确保全面稳定达标排放；</w:t>
            </w:r>
          </w:p>
          <w:p w14:paraId="151E0F5F">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⑦</w:t>
            </w:r>
            <w:r>
              <w:rPr>
                <w:color w:val="000000" w:themeColor="text1"/>
                <w14:textFill>
                  <w14:solidFill>
                    <w14:schemeClr w14:val="tx1"/>
                  </w14:solidFill>
                </w14:textFill>
              </w:rPr>
              <w:t>实施工业污染源全面达标排放整治。推进新材料、新能源、化工等产业污水污染治理，建立企业废水特征污染物名录库；执行接管排放限值、严控进水水质，防止特征污染物对污水处理厂生化系统冲击；加强废水排放企业自行监测。</w:t>
            </w:r>
          </w:p>
          <w:p w14:paraId="3D40798B">
            <w:pPr>
              <w:pStyle w:val="109"/>
              <w:rPr>
                <w:color w:val="000000" w:themeColor="text1"/>
                <w14:textFill>
                  <w14:solidFill>
                    <w14:schemeClr w14:val="tx1"/>
                  </w14:solidFill>
                </w14:textFill>
              </w:rPr>
            </w:pPr>
            <w:r>
              <w:rPr>
                <w:color w:val="000000" w:themeColor="text1"/>
                <w14:textFill>
                  <w14:solidFill>
                    <w14:schemeClr w14:val="tx1"/>
                  </w14:solidFill>
                </w14:textFill>
              </w:rPr>
              <w:t>（2.3）固体废弃物污染防治措施：</w:t>
            </w:r>
          </w:p>
          <w:p w14:paraId="6D838EA7">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实行危险废物有序转移制度，对危险废物进行无害化处理，并进行统一收集、集中控制，集中安全运送危险废物至处理中心进行处置；</w:t>
            </w:r>
          </w:p>
          <w:p w14:paraId="6B048F9B">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生活固废和工业固废分别收集分别处理；</w:t>
            </w:r>
          </w:p>
          <w:p w14:paraId="29061FBA">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推广无废少废生产工艺，鼓励工业固废综合利用，减少废物产生量；</w:t>
            </w:r>
          </w:p>
          <w:p w14:paraId="6AFBE421">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color w:val="000000" w:themeColor="text1"/>
                <w14:textFill>
                  <w14:solidFill>
                    <w14:schemeClr w14:val="tx1"/>
                  </w14:solidFill>
                </w14:textFill>
              </w:rPr>
              <w:t>危险废物和化工残液（渣）回收利用与集中处理；</w:t>
            </w:r>
            <w:r>
              <w:rPr>
                <w:rFonts w:ascii="Cambria Math" w:hAnsi="Cambria Math" w:cs="Cambria Math"/>
                <w:color w:val="000000" w:themeColor="text1"/>
                <w14:textFill>
                  <w14:solidFill>
                    <w14:schemeClr w14:val="tx1"/>
                  </w14:solidFill>
                </w14:textFill>
              </w:rPr>
              <w:t>⑤</w:t>
            </w:r>
            <w:r>
              <w:rPr>
                <w:color w:val="000000" w:themeColor="text1"/>
                <w14:textFill>
                  <w14:solidFill>
                    <w14:schemeClr w14:val="tx1"/>
                  </w14:solidFill>
                </w14:textFill>
              </w:rPr>
              <w:t>定期更换的废催化剂，均可回收利用不排放。</w:t>
            </w:r>
          </w:p>
          <w:p w14:paraId="5C6BC3B7">
            <w:pPr>
              <w:pStyle w:val="109"/>
              <w:rPr>
                <w:color w:val="000000" w:themeColor="text1"/>
                <w14:textFill>
                  <w14:solidFill>
                    <w14:schemeClr w14:val="tx1"/>
                  </w14:solidFill>
                </w14:textFill>
              </w:rPr>
            </w:pPr>
            <w:r>
              <w:rPr>
                <w:color w:val="000000" w:themeColor="text1"/>
                <w14:textFill>
                  <w14:solidFill>
                    <w14:schemeClr w14:val="tx1"/>
                  </w14:solidFill>
                </w14:textFill>
              </w:rPr>
              <w:t>（2.4）噪声污染防治措施：</w:t>
            </w:r>
          </w:p>
          <w:p w14:paraId="2D403BE4">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选购低噪声设备，根据设备情况，采取降噪措施；</w:t>
            </w:r>
          </w:p>
          <w:p w14:paraId="14466FB3">
            <w:pPr>
              <w:pStyle w:val="109"/>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对产生噪声的设备设计、安装隔噪设施。</w:t>
            </w:r>
          </w:p>
          <w:p w14:paraId="6D37DFA5">
            <w:pPr>
              <w:pStyle w:val="109"/>
              <w:rPr>
                <w:color w:val="000000" w:themeColor="text1"/>
                <w14:textFill>
                  <w14:solidFill>
                    <w14:schemeClr w14:val="tx1"/>
                  </w14:solidFill>
                </w14:textFill>
              </w:rPr>
            </w:pPr>
            <w:r>
              <w:rPr>
                <w:color w:val="000000" w:themeColor="text1"/>
                <w14:textFill>
                  <w14:solidFill>
                    <w14:schemeClr w14:val="tx1"/>
                  </w14:solidFill>
                </w14:textFill>
              </w:rPr>
              <w:t>（2.5）完善园区污水处理、固废集中处置（管理）集中供热等。规划、设计和建设园区排水系统、废（污）水处理系统和再生水回用系统，制定切实可行的一般固体废弃物综合利用方案，配套建设工业固废处置场；严格按照国家有关规定进行危险废物贮存、处置和处理。</w:t>
            </w:r>
          </w:p>
          <w:p w14:paraId="138BB0EF">
            <w:pPr>
              <w:pStyle w:val="109"/>
              <w:rPr>
                <w:color w:val="000000" w:themeColor="text1"/>
                <w14:textFill>
                  <w14:solidFill>
                    <w14:schemeClr w14:val="tx1"/>
                  </w14:solidFill>
                </w14:textFill>
              </w:rPr>
            </w:pPr>
            <w:r>
              <w:rPr>
                <w:color w:val="000000" w:themeColor="text1"/>
                <w14:textFill>
                  <w14:solidFill>
                    <w14:schemeClr w14:val="tx1"/>
                  </w14:solidFill>
                </w14:textFill>
              </w:rPr>
              <w:t>（2.6）热电联产供热不到的建筑采用清洁能源进行供热。</w:t>
            </w:r>
          </w:p>
        </w:tc>
        <w:tc>
          <w:tcPr>
            <w:tcW w:w="1726" w:type="dxa"/>
            <w:vAlign w:val="center"/>
          </w:tcPr>
          <w:p w14:paraId="710F7B31">
            <w:pPr>
              <w:pStyle w:val="109"/>
              <w:rPr>
                <w:color w:val="000000" w:themeColor="text1"/>
                <w14:textFill>
                  <w14:solidFill>
                    <w14:schemeClr w14:val="tx1"/>
                  </w14:solidFill>
                </w14:textFill>
              </w:rPr>
            </w:pPr>
            <w:r>
              <w:rPr>
                <w:color w:val="000000" w:themeColor="text1"/>
                <w14:textFill>
                  <w14:solidFill>
                    <w14:schemeClr w14:val="tx1"/>
                  </w14:solidFill>
                </w14:textFill>
              </w:rPr>
              <w:t>（2.1）本项目采取严格的大气污染防治措施后，污染物达标排放，严格落实总量控制制度。</w:t>
            </w:r>
          </w:p>
          <w:p w14:paraId="79F5F3BE">
            <w:pPr>
              <w:pStyle w:val="109"/>
              <w:rPr>
                <w:color w:val="000000" w:themeColor="text1"/>
                <w14:textFill>
                  <w14:solidFill>
                    <w14:schemeClr w14:val="tx1"/>
                  </w14:solidFill>
                </w14:textFill>
              </w:rPr>
            </w:pPr>
            <w:r>
              <w:rPr>
                <w:color w:val="000000" w:themeColor="text1"/>
                <w14:textFill>
                  <w14:solidFill>
                    <w14:schemeClr w14:val="tx1"/>
                  </w14:solidFill>
                </w14:textFill>
              </w:rPr>
              <w:t>（2.2）本项目废水排入园区污水处理厂。</w:t>
            </w:r>
          </w:p>
          <w:p w14:paraId="6B94C46B">
            <w:pPr>
              <w:pStyle w:val="109"/>
              <w:rPr>
                <w:color w:val="000000" w:themeColor="text1"/>
                <w14:textFill>
                  <w14:solidFill>
                    <w14:schemeClr w14:val="tx1"/>
                  </w14:solidFill>
                </w14:textFill>
              </w:rPr>
            </w:pPr>
            <w:r>
              <w:rPr>
                <w:color w:val="000000" w:themeColor="text1"/>
                <w14:textFill>
                  <w14:solidFill>
                    <w14:schemeClr w14:val="tx1"/>
                  </w14:solidFill>
                </w14:textFill>
              </w:rPr>
              <w:t>（2.3）本项目固废按照相关规范要求进行贮存、处置。</w:t>
            </w:r>
          </w:p>
          <w:p w14:paraId="45403B93">
            <w:pPr>
              <w:pStyle w:val="109"/>
              <w:rPr>
                <w:color w:val="000000" w:themeColor="text1"/>
                <w14:textFill>
                  <w14:solidFill>
                    <w14:schemeClr w14:val="tx1"/>
                  </w14:solidFill>
                </w14:textFill>
              </w:rPr>
            </w:pPr>
            <w:r>
              <w:rPr>
                <w:color w:val="000000" w:themeColor="text1"/>
                <w14:textFill>
                  <w14:solidFill>
                    <w14:schemeClr w14:val="tx1"/>
                  </w14:solidFill>
                </w14:textFill>
              </w:rPr>
              <w:t>（2.4）本项目采取严格的噪声防治措施后，噪声达标排放。</w:t>
            </w:r>
          </w:p>
          <w:p w14:paraId="4C3A563C">
            <w:pPr>
              <w:pStyle w:val="109"/>
              <w:rPr>
                <w:color w:val="000000" w:themeColor="text1"/>
                <w14:textFill>
                  <w14:solidFill>
                    <w14:schemeClr w14:val="tx1"/>
                  </w14:solidFill>
                </w14:textFill>
              </w:rPr>
            </w:pPr>
            <w:r>
              <w:rPr>
                <w:color w:val="000000" w:themeColor="text1"/>
                <w14:textFill>
                  <w14:solidFill>
                    <w14:schemeClr w14:val="tx1"/>
                  </w14:solidFill>
                </w14:textFill>
              </w:rPr>
              <w:t>（2.5）本项目废水排入园区污水处理厂，本项目固废按照相关规范要求进行贮存、处置。</w:t>
            </w:r>
          </w:p>
          <w:p w14:paraId="750B21D9">
            <w:pPr>
              <w:pStyle w:val="109"/>
              <w:rPr>
                <w:color w:val="000000" w:themeColor="text1"/>
                <w14:textFill>
                  <w14:solidFill>
                    <w14:schemeClr w14:val="tx1"/>
                  </w14:solidFill>
                </w14:textFill>
              </w:rPr>
            </w:pPr>
            <w:r>
              <w:rPr>
                <w:color w:val="000000" w:themeColor="text1"/>
                <w14:textFill>
                  <w14:solidFill>
                    <w14:schemeClr w14:val="tx1"/>
                  </w14:solidFill>
                </w14:textFill>
              </w:rPr>
              <w:t>(2.6)/</w:t>
            </w:r>
          </w:p>
        </w:tc>
        <w:tc>
          <w:tcPr>
            <w:tcW w:w="642" w:type="dxa"/>
            <w:vAlign w:val="center"/>
          </w:tcPr>
          <w:p w14:paraId="471E6ACE">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41E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8" w:type="dxa"/>
            <w:vMerge w:val="continue"/>
            <w:vAlign w:val="center"/>
          </w:tcPr>
          <w:p w14:paraId="5B3EF0B4">
            <w:pPr>
              <w:pStyle w:val="109"/>
              <w:rPr>
                <w:color w:val="000000" w:themeColor="text1"/>
                <w:lang w:bidi="en-US"/>
                <w14:textFill>
                  <w14:solidFill>
                    <w14:schemeClr w14:val="tx1"/>
                  </w14:solidFill>
                </w14:textFill>
              </w:rPr>
            </w:pPr>
          </w:p>
        </w:tc>
        <w:tc>
          <w:tcPr>
            <w:tcW w:w="533" w:type="dxa"/>
            <w:vMerge w:val="continue"/>
            <w:vAlign w:val="center"/>
          </w:tcPr>
          <w:p w14:paraId="18A518D0">
            <w:pPr>
              <w:pStyle w:val="109"/>
              <w:rPr>
                <w:color w:val="000000" w:themeColor="text1"/>
                <w:lang w:bidi="en-US"/>
                <w14:textFill>
                  <w14:solidFill>
                    <w14:schemeClr w14:val="tx1"/>
                  </w14:solidFill>
                </w14:textFill>
              </w:rPr>
            </w:pPr>
          </w:p>
        </w:tc>
        <w:tc>
          <w:tcPr>
            <w:tcW w:w="461" w:type="dxa"/>
            <w:vMerge w:val="continue"/>
            <w:vAlign w:val="center"/>
          </w:tcPr>
          <w:p w14:paraId="10B59ADD">
            <w:pPr>
              <w:pStyle w:val="109"/>
              <w:rPr>
                <w:color w:val="000000" w:themeColor="text1"/>
                <w:lang w:bidi="en-US"/>
                <w14:textFill>
                  <w14:solidFill>
                    <w14:schemeClr w14:val="tx1"/>
                  </w14:solidFill>
                </w14:textFill>
              </w:rPr>
            </w:pPr>
          </w:p>
        </w:tc>
        <w:tc>
          <w:tcPr>
            <w:tcW w:w="518" w:type="dxa"/>
            <w:vAlign w:val="center"/>
          </w:tcPr>
          <w:p w14:paraId="2202C5B6">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环境风险防控</w:t>
            </w:r>
          </w:p>
        </w:tc>
        <w:tc>
          <w:tcPr>
            <w:tcW w:w="4682" w:type="dxa"/>
            <w:vAlign w:val="center"/>
          </w:tcPr>
          <w:p w14:paraId="5F679E26">
            <w:pPr>
              <w:pStyle w:val="109"/>
              <w:rPr>
                <w:color w:val="000000" w:themeColor="text1"/>
                <w14:textFill>
                  <w14:solidFill>
                    <w14:schemeClr w14:val="tx1"/>
                  </w14:solidFill>
                </w14:textFill>
              </w:rPr>
            </w:pPr>
            <w:r>
              <w:rPr>
                <w:color w:val="000000" w:themeColor="text1"/>
                <w14:textFill>
                  <w14:solidFill>
                    <w14:schemeClr w14:val="tx1"/>
                  </w14:solidFill>
                </w14:textFill>
              </w:rPr>
              <w:t>（3.1）推进风险源全过程管理。加强化学品生产、使用、储运等风险监管与防范，完善并落实危险化学品环境管理制度和企业环境风险分级管理制度。加强危险废物产生和经营单位的规范化管理，严格实施危险废物经营许可证制度，动态调整经营单位名录。加强涉重金属排放行业管理，强化重金属污染防治、事故应急、环境与健康风险评估制度。</w:t>
            </w:r>
          </w:p>
          <w:p w14:paraId="252AF923">
            <w:pPr>
              <w:pStyle w:val="109"/>
              <w:rPr>
                <w:color w:val="000000" w:themeColor="text1"/>
                <w14:textFill>
                  <w14:solidFill>
                    <w14:schemeClr w14:val="tx1"/>
                  </w14:solidFill>
                </w14:textFill>
              </w:rPr>
            </w:pPr>
            <w:r>
              <w:rPr>
                <w:color w:val="000000" w:themeColor="text1"/>
                <w14:textFill>
                  <w14:solidFill>
                    <w14:schemeClr w14:val="tx1"/>
                  </w14:solidFill>
                </w14:textFill>
              </w:rPr>
              <w:t>（3.2）鼓励开展有毒有害气体环境风险预警体系建设。</w:t>
            </w:r>
          </w:p>
          <w:p w14:paraId="7CA48BAD">
            <w:pPr>
              <w:pStyle w:val="109"/>
              <w:rPr>
                <w:color w:val="000000" w:themeColor="text1"/>
                <w14:textFill>
                  <w14:solidFill>
                    <w14:schemeClr w14:val="tx1"/>
                  </w14:solidFill>
                </w14:textFill>
              </w:rPr>
            </w:pPr>
            <w:r>
              <w:rPr>
                <w:color w:val="000000" w:themeColor="text1"/>
                <w14:textFill>
                  <w14:solidFill>
                    <w14:schemeClr w14:val="tx1"/>
                  </w14:solidFill>
                </w14:textFill>
              </w:rPr>
              <w:t>（3.3）执行高风险地块环境风险防控相关要求。</w:t>
            </w:r>
          </w:p>
          <w:p w14:paraId="4F8F757E">
            <w:pPr>
              <w:pStyle w:val="109"/>
              <w:rPr>
                <w:color w:val="000000" w:themeColor="text1"/>
                <w14:textFill>
                  <w14:solidFill>
                    <w14:schemeClr w14:val="tx1"/>
                  </w14:solidFill>
                </w14:textFill>
              </w:rPr>
            </w:pPr>
            <w:r>
              <w:rPr>
                <w:color w:val="000000" w:themeColor="text1"/>
                <w14:textFill>
                  <w14:solidFill>
                    <w14:schemeClr w14:val="tx1"/>
                  </w14:solidFill>
                </w14:textFill>
              </w:rPr>
              <w:t>（3.4）高风险地块提高关注度，企业加强土壤环境监管，如果停产应被列为疑似污染地块进行管理。</w:t>
            </w:r>
          </w:p>
          <w:p w14:paraId="4D9B302D">
            <w:pPr>
              <w:pStyle w:val="109"/>
              <w:rPr>
                <w:color w:val="000000" w:themeColor="text1"/>
                <w14:textFill>
                  <w14:solidFill>
                    <w14:schemeClr w14:val="tx1"/>
                  </w14:solidFill>
                </w14:textFill>
              </w:rPr>
            </w:pPr>
            <w:r>
              <w:rPr>
                <w:color w:val="000000" w:themeColor="text1"/>
                <w14:textFill>
                  <w14:solidFill>
                    <w14:schemeClr w14:val="tx1"/>
                  </w14:solidFill>
                </w14:textFill>
              </w:rPr>
              <w:t>（3.5）防范建设用地新增污染。严格建设用地准入管理，实施分类别、分用途、分阶段管理，防范建设项目新增污染，形成政府主导、企业担责、公众参与、社会监督的土壤污染防治体系，促进土壤资源永续利用。</w:t>
            </w:r>
          </w:p>
          <w:p w14:paraId="5593FA2D">
            <w:pPr>
              <w:pStyle w:val="109"/>
              <w:rPr>
                <w:color w:val="000000" w:themeColor="text1"/>
                <w14:textFill>
                  <w14:solidFill>
                    <w14:schemeClr w14:val="tx1"/>
                  </w14:solidFill>
                </w14:textFill>
              </w:rPr>
            </w:pPr>
            <w:r>
              <w:rPr>
                <w:color w:val="000000" w:themeColor="text1"/>
                <w14:textFill>
                  <w14:solidFill>
                    <w14:schemeClr w14:val="tx1"/>
                  </w14:solidFill>
                </w14:textFill>
              </w:rPr>
              <w:t>（3.6）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p w14:paraId="28F1634C">
            <w:pPr>
              <w:pStyle w:val="109"/>
              <w:rPr>
                <w:color w:val="000000" w:themeColor="text1"/>
                <w14:textFill>
                  <w14:solidFill>
                    <w14:schemeClr w14:val="tx1"/>
                  </w14:solidFill>
                </w14:textFill>
              </w:rPr>
            </w:pPr>
            <w:r>
              <w:rPr>
                <w:color w:val="000000" w:themeColor="text1"/>
                <w14:textFill>
                  <w14:solidFill>
                    <w14:schemeClr w14:val="tx1"/>
                  </w14:solidFill>
                </w14:textFill>
              </w:rPr>
              <w:t>（3.7）土壤污染重点管控园区引入企业时，应充分考虑行业特点、特征污染物排放以及区域环境的状况，避免形成累积污染和叠加影响，严控不符合产业园区总体规划项目入园。加强入园企业风险管理，生产、使用、贮存、运输、回收、处置、排放有毒有害物质的单位应当采取有效措施，防止有毒有害物质渗漏、流失、扬散，避免土壤受到污染；入园企业应按规范强化地下水分区防渗等措施。园区及企业应按相关规范编制突发环境事件应急预案，建立完善突发环境事件应急响应机制。</w:t>
            </w:r>
          </w:p>
        </w:tc>
        <w:tc>
          <w:tcPr>
            <w:tcW w:w="1726" w:type="dxa"/>
            <w:vAlign w:val="center"/>
          </w:tcPr>
          <w:p w14:paraId="4F7B1102">
            <w:pPr>
              <w:pStyle w:val="109"/>
              <w:rPr>
                <w:color w:val="000000" w:themeColor="text1"/>
                <w14:textFill>
                  <w14:solidFill>
                    <w14:schemeClr w14:val="tx1"/>
                  </w14:solidFill>
                </w14:textFill>
              </w:rPr>
            </w:pPr>
            <w:r>
              <w:rPr>
                <w:color w:val="000000" w:themeColor="text1"/>
                <w14:textFill>
                  <w14:solidFill>
                    <w14:schemeClr w14:val="tx1"/>
                  </w14:solidFill>
                </w14:textFill>
              </w:rPr>
              <w:t>（3.1）本项目采取严格的风险防控措施，确保环境风险可控。</w:t>
            </w:r>
          </w:p>
          <w:p w14:paraId="3F484E9F">
            <w:pPr>
              <w:pStyle w:val="109"/>
              <w:rPr>
                <w:color w:val="000000" w:themeColor="text1"/>
                <w14:textFill>
                  <w14:solidFill>
                    <w14:schemeClr w14:val="tx1"/>
                  </w14:solidFill>
                </w14:textFill>
              </w:rPr>
            </w:pPr>
            <w:r>
              <w:rPr>
                <w:color w:val="000000" w:themeColor="text1"/>
                <w14:textFill>
                  <w14:solidFill>
                    <w14:schemeClr w14:val="tx1"/>
                  </w14:solidFill>
                </w14:textFill>
              </w:rPr>
              <w:t>（3.2）本项目不涉及有毒有害气体。</w:t>
            </w:r>
          </w:p>
          <w:p w14:paraId="53FCFBE2">
            <w:pPr>
              <w:pStyle w:val="109"/>
              <w:rPr>
                <w:color w:val="000000" w:themeColor="text1"/>
                <w14:textFill>
                  <w14:solidFill>
                    <w14:schemeClr w14:val="tx1"/>
                  </w14:solidFill>
                </w14:textFill>
              </w:rPr>
            </w:pPr>
            <w:r>
              <w:rPr>
                <w:color w:val="000000" w:themeColor="text1"/>
                <w14:textFill>
                  <w14:solidFill>
                    <w14:schemeClr w14:val="tx1"/>
                  </w14:solidFill>
                </w14:textFill>
              </w:rPr>
              <w:t>(3.3)/</w:t>
            </w:r>
          </w:p>
          <w:p w14:paraId="2B57E9F0">
            <w:pPr>
              <w:pStyle w:val="109"/>
              <w:rPr>
                <w:color w:val="000000" w:themeColor="text1"/>
                <w14:textFill>
                  <w14:solidFill>
                    <w14:schemeClr w14:val="tx1"/>
                  </w14:solidFill>
                </w14:textFill>
              </w:rPr>
            </w:pPr>
            <w:r>
              <w:rPr>
                <w:color w:val="000000" w:themeColor="text1"/>
                <w14:textFill>
                  <w14:solidFill>
                    <w14:schemeClr w14:val="tx1"/>
                  </w14:solidFill>
                </w14:textFill>
              </w:rPr>
              <w:t>(3.4)/</w:t>
            </w:r>
          </w:p>
          <w:p w14:paraId="66B6780C">
            <w:pPr>
              <w:pStyle w:val="109"/>
              <w:rPr>
                <w:color w:val="000000" w:themeColor="text1"/>
                <w14:textFill>
                  <w14:solidFill>
                    <w14:schemeClr w14:val="tx1"/>
                  </w14:solidFill>
                </w14:textFill>
              </w:rPr>
            </w:pPr>
            <w:r>
              <w:rPr>
                <w:color w:val="000000" w:themeColor="text1"/>
                <w14:textFill>
                  <w14:solidFill>
                    <w14:schemeClr w14:val="tx1"/>
                  </w14:solidFill>
                </w14:textFill>
              </w:rPr>
              <w:t>(3.5)/</w:t>
            </w:r>
          </w:p>
          <w:p w14:paraId="012858BA">
            <w:pPr>
              <w:pStyle w:val="109"/>
              <w:rPr>
                <w:color w:val="000000" w:themeColor="text1"/>
                <w14:textFill>
                  <w14:solidFill>
                    <w14:schemeClr w14:val="tx1"/>
                  </w14:solidFill>
                </w14:textFill>
              </w:rPr>
            </w:pPr>
            <w:r>
              <w:rPr>
                <w:color w:val="000000" w:themeColor="text1"/>
                <w14:textFill>
                  <w14:solidFill>
                    <w14:schemeClr w14:val="tx1"/>
                  </w14:solidFill>
                </w14:textFill>
              </w:rPr>
              <w:t>（3.6）本项目不属于土壤重点排污单位。</w:t>
            </w:r>
          </w:p>
          <w:p w14:paraId="03E08E6C">
            <w:pPr>
              <w:pStyle w:val="109"/>
              <w:rPr>
                <w:color w:val="000000" w:themeColor="text1"/>
                <w14:textFill>
                  <w14:solidFill>
                    <w14:schemeClr w14:val="tx1"/>
                  </w14:solidFill>
                </w14:textFill>
              </w:rPr>
            </w:pPr>
            <w:r>
              <w:rPr>
                <w:color w:val="000000" w:themeColor="text1"/>
                <w14:textFill>
                  <w14:solidFill>
                    <w14:schemeClr w14:val="tx1"/>
                  </w14:solidFill>
                </w14:textFill>
              </w:rPr>
              <w:t>（3.7）本项目采取严格的风险防控措施，确保环境风险可控，不会污染土壤和地下水环境。</w:t>
            </w:r>
          </w:p>
        </w:tc>
        <w:tc>
          <w:tcPr>
            <w:tcW w:w="642" w:type="dxa"/>
            <w:vAlign w:val="center"/>
          </w:tcPr>
          <w:p w14:paraId="58C47736">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417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8" w:type="dxa"/>
            <w:vMerge w:val="continue"/>
            <w:vAlign w:val="center"/>
          </w:tcPr>
          <w:p w14:paraId="17387A24">
            <w:pPr>
              <w:pStyle w:val="109"/>
              <w:rPr>
                <w:color w:val="000000" w:themeColor="text1"/>
                <w:lang w:bidi="en-US"/>
                <w14:textFill>
                  <w14:solidFill>
                    <w14:schemeClr w14:val="tx1"/>
                  </w14:solidFill>
                </w14:textFill>
              </w:rPr>
            </w:pPr>
          </w:p>
        </w:tc>
        <w:tc>
          <w:tcPr>
            <w:tcW w:w="533" w:type="dxa"/>
            <w:vMerge w:val="continue"/>
            <w:vAlign w:val="center"/>
          </w:tcPr>
          <w:p w14:paraId="6CB280A8">
            <w:pPr>
              <w:pStyle w:val="109"/>
              <w:rPr>
                <w:color w:val="000000" w:themeColor="text1"/>
                <w:lang w:bidi="en-US"/>
                <w14:textFill>
                  <w14:solidFill>
                    <w14:schemeClr w14:val="tx1"/>
                  </w14:solidFill>
                </w14:textFill>
              </w:rPr>
            </w:pPr>
          </w:p>
        </w:tc>
        <w:tc>
          <w:tcPr>
            <w:tcW w:w="461" w:type="dxa"/>
            <w:vMerge w:val="continue"/>
            <w:vAlign w:val="center"/>
          </w:tcPr>
          <w:p w14:paraId="16FE951C">
            <w:pPr>
              <w:pStyle w:val="109"/>
              <w:rPr>
                <w:color w:val="000000" w:themeColor="text1"/>
                <w:lang w:bidi="en-US"/>
                <w14:textFill>
                  <w14:solidFill>
                    <w14:schemeClr w14:val="tx1"/>
                  </w14:solidFill>
                </w14:textFill>
              </w:rPr>
            </w:pPr>
          </w:p>
        </w:tc>
        <w:tc>
          <w:tcPr>
            <w:tcW w:w="518" w:type="dxa"/>
            <w:vAlign w:val="center"/>
          </w:tcPr>
          <w:p w14:paraId="3FAB1230">
            <w:pPr>
              <w:pStyle w:val="109"/>
              <w:rPr>
                <w:color w:val="000000" w:themeColor="text1"/>
                <w:lang w:bidi="en-US"/>
                <w14:textFill>
                  <w14:solidFill>
                    <w14:schemeClr w14:val="tx1"/>
                  </w14:solidFill>
                </w14:textFill>
              </w:rPr>
            </w:pPr>
            <w:r>
              <w:rPr>
                <w:bCs/>
                <w:color w:val="000000" w:themeColor="text1"/>
                <w14:textFill>
                  <w14:solidFill>
                    <w14:schemeClr w14:val="tx1"/>
                  </w14:solidFill>
                </w14:textFill>
              </w:rPr>
              <w:t>资源开发利用效率</w:t>
            </w:r>
          </w:p>
        </w:tc>
        <w:tc>
          <w:tcPr>
            <w:tcW w:w="4682" w:type="dxa"/>
            <w:vAlign w:val="center"/>
          </w:tcPr>
          <w:p w14:paraId="20E58C10">
            <w:pPr>
              <w:pStyle w:val="109"/>
              <w:rPr>
                <w:color w:val="000000" w:themeColor="text1"/>
                <w14:textFill>
                  <w14:solidFill>
                    <w14:schemeClr w14:val="tx1"/>
                  </w14:solidFill>
                </w14:textFill>
              </w:rPr>
            </w:pPr>
            <w:r>
              <w:rPr>
                <w:color w:val="000000" w:themeColor="text1"/>
                <w14:textFill>
                  <w14:solidFill>
                    <w14:schemeClr w14:val="tx1"/>
                  </w14:solidFill>
                </w14:textFill>
              </w:rPr>
              <w:t>（4.1）实施煤炭消费总量控制。</w:t>
            </w:r>
          </w:p>
          <w:p w14:paraId="213B0660">
            <w:pPr>
              <w:pStyle w:val="109"/>
              <w:rPr>
                <w:color w:val="000000" w:themeColor="text1"/>
                <w14:textFill>
                  <w14:solidFill>
                    <w14:schemeClr w14:val="tx1"/>
                  </w14:solidFill>
                </w14:textFill>
              </w:rPr>
            </w:pPr>
            <w:r>
              <w:rPr>
                <w:color w:val="000000" w:themeColor="text1"/>
                <w14:textFill>
                  <w14:solidFill>
                    <w14:schemeClr w14:val="tx1"/>
                  </w14:solidFill>
                </w14:textFill>
              </w:rPr>
              <w:t>（4.2）实施清洁生产，提高资源综合利用水平。引进项目的生产工艺、设备、污染治理技术，以及单位产品能耗、物耗、污染物排放和资源利用率均应达到同行业国际国内先进水平。</w:t>
            </w:r>
          </w:p>
          <w:p w14:paraId="70704C11">
            <w:pPr>
              <w:pStyle w:val="109"/>
              <w:rPr>
                <w:color w:val="000000" w:themeColor="text1"/>
                <w14:textFill>
                  <w14:solidFill>
                    <w14:schemeClr w14:val="tx1"/>
                  </w14:solidFill>
                </w14:textFill>
              </w:rPr>
            </w:pPr>
            <w:r>
              <w:rPr>
                <w:color w:val="000000" w:themeColor="text1"/>
                <w14:textFill>
                  <w14:solidFill>
                    <w14:schemeClr w14:val="tx1"/>
                  </w14:solidFill>
                </w14:textFill>
              </w:rPr>
              <w:t>（4.3）在园区间、产业间、企业间、装置间形成“原料-产品废弃物-再生原料”的循环模式，推动装置间的小循环、企业间的中循环、园区间的大循环，实现资源在生产链条中的循环利用。</w:t>
            </w:r>
          </w:p>
          <w:p w14:paraId="1F23150D">
            <w:pPr>
              <w:pStyle w:val="109"/>
              <w:rPr>
                <w:color w:val="000000" w:themeColor="text1"/>
                <w14:textFill>
                  <w14:solidFill>
                    <w14:schemeClr w14:val="tx1"/>
                  </w14:solidFill>
                </w14:textFill>
              </w:rPr>
            </w:pPr>
            <w:r>
              <w:rPr>
                <w:color w:val="000000" w:themeColor="text1"/>
                <w14:textFill>
                  <w14:solidFill>
                    <w14:schemeClr w14:val="tx1"/>
                  </w14:solidFill>
                </w14:textFill>
              </w:rPr>
              <w:t>（4.4）推广水循环利用、重金属污染减量化、有毒有害原料替代化、废渣资源化、脱硫脱硝除尘等绿色工艺技术装备。</w:t>
            </w:r>
          </w:p>
          <w:p w14:paraId="1FEB445A">
            <w:pPr>
              <w:pStyle w:val="109"/>
              <w:rPr>
                <w:color w:val="000000" w:themeColor="text1"/>
                <w14:textFill>
                  <w14:solidFill>
                    <w14:schemeClr w14:val="tx1"/>
                  </w14:solidFill>
                </w14:textFill>
              </w:rPr>
            </w:pPr>
            <w:r>
              <w:rPr>
                <w:color w:val="000000" w:themeColor="text1"/>
                <w14:textFill>
                  <w14:solidFill>
                    <w14:schemeClr w14:val="tx1"/>
                  </w14:solidFill>
                </w14:textFill>
              </w:rPr>
              <w:t>（4.5）提高水的重复利用率，促进污水再生回用。中远期项目废水回用率达到50%。</w:t>
            </w:r>
          </w:p>
          <w:p w14:paraId="1FAA061E">
            <w:pPr>
              <w:pStyle w:val="109"/>
              <w:rPr>
                <w:color w:val="000000" w:themeColor="text1"/>
                <w14:textFill>
                  <w14:solidFill>
                    <w14:schemeClr w14:val="tx1"/>
                  </w14:solidFill>
                </w14:textFill>
              </w:rPr>
            </w:pPr>
            <w:r>
              <w:rPr>
                <w:color w:val="000000" w:themeColor="text1"/>
                <w14:textFill>
                  <w14:solidFill>
                    <w14:schemeClr w14:val="tx1"/>
                  </w14:solidFill>
                </w14:textFill>
              </w:rPr>
              <w:t>（4.6）通过技术改造并使用节水工艺，降低单位产品取水量，提高园区内工业用水回收再利用率等措施，能有效提高水资源利用率。</w:t>
            </w:r>
          </w:p>
        </w:tc>
        <w:tc>
          <w:tcPr>
            <w:tcW w:w="1726" w:type="dxa"/>
            <w:vAlign w:val="center"/>
          </w:tcPr>
          <w:p w14:paraId="58B96312">
            <w:pPr>
              <w:pStyle w:val="109"/>
              <w:rPr>
                <w:color w:val="000000" w:themeColor="text1"/>
                <w14:textFill>
                  <w14:solidFill>
                    <w14:schemeClr w14:val="tx1"/>
                  </w14:solidFill>
                </w14:textFill>
              </w:rPr>
            </w:pPr>
            <w:r>
              <w:rPr>
                <w:color w:val="000000" w:themeColor="text1"/>
                <w14:textFill>
                  <w14:solidFill>
                    <w14:schemeClr w14:val="tx1"/>
                  </w14:solidFill>
                </w14:textFill>
              </w:rPr>
              <w:t>（4.1）本项目不使用煤炭。</w:t>
            </w:r>
          </w:p>
          <w:p w14:paraId="5B1A8FE4">
            <w:pPr>
              <w:pStyle w:val="109"/>
              <w:rPr>
                <w:color w:val="000000" w:themeColor="text1"/>
                <w14:textFill>
                  <w14:solidFill>
                    <w14:schemeClr w14:val="tx1"/>
                  </w14:solidFill>
                </w14:textFill>
              </w:rPr>
            </w:pPr>
            <w:r>
              <w:rPr>
                <w:color w:val="000000" w:themeColor="text1"/>
                <w14:textFill>
                  <w14:solidFill>
                    <w14:schemeClr w14:val="tx1"/>
                  </w14:solidFill>
                </w14:textFill>
              </w:rPr>
              <w:t>（4.2）本项目清洁生产达到同行业国际国内先进水平。</w:t>
            </w:r>
          </w:p>
          <w:p w14:paraId="250EFC51">
            <w:pPr>
              <w:pStyle w:val="109"/>
              <w:rPr>
                <w:color w:val="000000" w:themeColor="text1"/>
                <w14:textFill>
                  <w14:solidFill>
                    <w14:schemeClr w14:val="tx1"/>
                  </w14:solidFill>
                </w14:textFill>
              </w:rPr>
            </w:pPr>
            <w:r>
              <w:rPr>
                <w:color w:val="000000" w:themeColor="text1"/>
                <w14:textFill>
                  <w14:solidFill>
                    <w14:schemeClr w14:val="tx1"/>
                  </w14:solidFill>
                </w14:textFill>
              </w:rPr>
              <w:t>（4.3）/</w:t>
            </w:r>
          </w:p>
          <w:p w14:paraId="4AF264C6">
            <w:pPr>
              <w:pStyle w:val="109"/>
              <w:rPr>
                <w:color w:val="000000" w:themeColor="text1"/>
                <w14:textFill>
                  <w14:solidFill>
                    <w14:schemeClr w14:val="tx1"/>
                  </w14:solidFill>
                </w14:textFill>
              </w:rPr>
            </w:pPr>
            <w:r>
              <w:rPr>
                <w:color w:val="000000" w:themeColor="text1"/>
                <w14:textFill>
                  <w14:solidFill>
                    <w14:schemeClr w14:val="tx1"/>
                  </w14:solidFill>
                </w14:textFill>
              </w:rPr>
              <w:t>（4.4）本项目无废水直接外排，固废合理贮存、处置。</w:t>
            </w:r>
          </w:p>
          <w:p w14:paraId="5010E65B">
            <w:pPr>
              <w:pStyle w:val="109"/>
              <w:rPr>
                <w:color w:val="000000" w:themeColor="text1"/>
                <w14:textFill>
                  <w14:solidFill>
                    <w14:schemeClr w14:val="tx1"/>
                  </w14:solidFill>
                </w14:textFill>
              </w:rPr>
            </w:pPr>
            <w:r>
              <w:rPr>
                <w:color w:val="000000" w:themeColor="text1"/>
                <w14:textFill>
                  <w14:solidFill>
                    <w14:schemeClr w14:val="tx1"/>
                  </w14:solidFill>
                </w14:textFill>
              </w:rPr>
              <w:t>（4.5）本项目废水排入园区污水处理厂。</w:t>
            </w:r>
          </w:p>
          <w:p w14:paraId="33621683">
            <w:pPr>
              <w:pStyle w:val="109"/>
              <w:rPr>
                <w:bCs/>
                <w:color w:val="000000" w:themeColor="text1"/>
                <w:lang w:bidi="ar"/>
                <w14:textFill>
                  <w14:solidFill>
                    <w14:schemeClr w14:val="tx1"/>
                  </w14:solidFill>
                </w14:textFill>
              </w:rPr>
            </w:pPr>
            <w:r>
              <w:rPr>
                <w:color w:val="000000" w:themeColor="text1"/>
                <w14:textFill>
                  <w14:solidFill>
                    <w14:schemeClr w14:val="tx1"/>
                  </w14:solidFill>
                </w14:textFill>
              </w:rPr>
              <w:t>（4.6）本项目废水排入园区污水处理厂。</w:t>
            </w:r>
          </w:p>
        </w:tc>
        <w:tc>
          <w:tcPr>
            <w:tcW w:w="642" w:type="dxa"/>
            <w:vAlign w:val="center"/>
          </w:tcPr>
          <w:p w14:paraId="5506772E">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3001C1E1">
      <w:pPr>
        <w:ind w:firstLine="480"/>
        <w:rPr>
          <w:rFonts w:eastAsia="黑体"/>
          <w:color w:val="000000" w:themeColor="text1"/>
          <w:sz w:val="30"/>
          <w:szCs w:val="30"/>
          <w14:textFill>
            <w14:solidFill>
              <w14:schemeClr w14:val="tx1"/>
            </w14:solidFill>
          </w14:textFill>
        </w:rPr>
      </w:pPr>
      <w:r>
        <w:rPr>
          <w:color w:val="000000" w:themeColor="text1"/>
          <w14:textFill>
            <w14:solidFill>
              <w14:schemeClr w14:val="tx1"/>
            </w14:solidFill>
          </w14:textFill>
        </w:rPr>
        <w:t>综上，本项目与《乌鲁木齐市生态环境准入清单（2023年版）》相符。</w:t>
      </w:r>
    </w:p>
    <w:p w14:paraId="23CEADBF">
      <w:pPr>
        <w:pStyle w:val="3"/>
        <w:rPr>
          <w:rFonts w:ascii="Times New Roman" w:cs="Times New Roman"/>
          <w:color w:val="000000" w:themeColor="text1"/>
          <w14:textFill>
            <w14:solidFill>
              <w14:schemeClr w14:val="tx1"/>
            </w14:solidFill>
          </w14:textFill>
        </w:rPr>
      </w:pPr>
      <w:bookmarkStart w:id="529" w:name="_Toc225268336"/>
      <w:r>
        <w:rPr>
          <w:rFonts w:ascii="Times New Roman" w:cs="Times New Roman"/>
          <w:color w:val="000000" w:themeColor="text1"/>
          <w14:textFill>
            <w14:solidFill>
              <w14:schemeClr w14:val="tx1"/>
            </w14:solidFill>
          </w14:textFill>
        </w:rPr>
        <w:t>相关技术规范导则及标准符合性分析</w:t>
      </w:r>
      <w:bookmarkEnd w:id="529"/>
    </w:p>
    <w:p w14:paraId="4AEC336E">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《危险废物处置工程技术导则》(HJ2042-2014)</w:t>
      </w:r>
    </w:p>
    <w:p w14:paraId="627DE1E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本项目与《危险废物处置工程技术导则》(HJ2042-2014)符合性分析见下表。</w:t>
      </w:r>
    </w:p>
    <w:p w14:paraId="124FED5A">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与HJ2042-2014 符合性分析一览表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970"/>
        <w:gridCol w:w="4258"/>
        <w:gridCol w:w="866"/>
      </w:tblGrid>
      <w:tr w14:paraId="5188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1F516366">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062" w:type="pct"/>
            <w:noWrap/>
            <w:vAlign w:val="center"/>
          </w:tcPr>
          <w:p w14:paraId="105F0165">
            <w:pPr>
              <w:pStyle w:val="109"/>
              <w:rPr>
                <w:color w:val="000000" w:themeColor="text1"/>
                <w14:textFill>
                  <w14:solidFill>
                    <w14:schemeClr w14:val="tx1"/>
                  </w14:solidFill>
                </w14:textFill>
              </w:rPr>
            </w:pPr>
            <w:r>
              <w:rPr>
                <w:color w:val="000000" w:themeColor="text1"/>
                <w14:textFill>
                  <w14:solidFill>
                    <w14:schemeClr w14:val="tx1"/>
                  </w14:solidFill>
                </w14:textFill>
              </w:rPr>
              <w:t>相关规定</w:t>
            </w:r>
          </w:p>
        </w:tc>
        <w:tc>
          <w:tcPr>
            <w:tcW w:w="2211" w:type="pct"/>
            <w:noWrap/>
            <w:vAlign w:val="center"/>
          </w:tcPr>
          <w:p w14:paraId="27C54228">
            <w:pPr>
              <w:pStyle w:val="109"/>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450" w:type="pct"/>
            <w:noWrap/>
            <w:vAlign w:val="center"/>
          </w:tcPr>
          <w:p w14:paraId="5587B06D">
            <w:pPr>
              <w:pStyle w:val="109"/>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429E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71107BFE">
            <w:pPr>
              <w:pStyle w:val="109"/>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4723" w:type="pct"/>
            <w:gridSpan w:val="3"/>
            <w:noWrap/>
            <w:vAlign w:val="center"/>
          </w:tcPr>
          <w:p w14:paraId="2071A39B">
            <w:pPr>
              <w:pStyle w:val="109"/>
              <w:rPr>
                <w:color w:val="000000" w:themeColor="text1"/>
                <w14:textFill>
                  <w14:solidFill>
                    <w14:schemeClr w14:val="tx1"/>
                  </w14:solidFill>
                </w14:textFill>
              </w:rPr>
            </w:pPr>
            <w:r>
              <w:rPr>
                <w:color w:val="000000" w:themeColor="text1"/>
                <w14:textFill>
                  <w14:solidFill>
                    <w14:schemeClr w14:val="tx1"/>
                  </w14:solidFill>
                </w14:textFill>
              </w:rPr>
              <w:t>总体要求</w:t>
            </w:r>
          </w:p>
        </w:tc>
      </w:tr>
      <w:tr w14:paraId="6322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4937F635">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2" w:type="pct"/>
            <w:noWrap/>
            <w:vAlign w:val="center"/>
          </w:tcPr>
          <w:p w14:paraId="02ED2773">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危险废物处置工程应满足《中华人民共和国环境影响评价法》、《建设项目环境保护管理条例》和《建设项目竣工环境保护验收管理办法》的要求。</w:t>
            </w:r>
          </w:p>
        </w:tc>
        <w:tc>
          <w:tcPr>
            <w:tcW w:w="2211" w:type="pct"/>
            <w:noWrap/>
            <w:vAlign w:val="center"/>
          </w:tcPr>
          <w:p w14:paraId="5F0F123C">
            <w:pPr>
              <w:pStyle w:val="109"/>
              <w:rPr>
                <w:color w:val="000000" w:themeColor="text1"/>
                <w14:textFill>
                  <w14:solidFill>
                    <w14:schemeClr w14:val="tx1"/>
                  </w14:solidFill>
                </w14:textFill>
              </w:rPr>
            </w:pPr>
            <w:r>
              <w:rPr>
                <w:color w:val="000000" w:themeColor="text1"/>
                <w14:textFill>
                  <w14:solidFill>
                    <w14:schemeClr w14:val="tx1"/>
                  </w14:solidFill>
                </w14:textFill>
              </w:rPr>
              <w:t>本项目目前正在按照《中华人民共和国环境影响评价法》《建设项目环境保护管理条例》进行环境影响评价，项目建成后应及时按照《建设项目竣工环境保护验收管理办法》的要求进行竣工环境保护验收工作。</w:t>
            </w:r>
          </w:p>
        </w:tc>
        <w:tc>
          <w:tcPr>
            <w:tcW w:w="450" w:type="pct"/>
            <w:noWrap/>
            <w:vAlign w:val="center"/>
          </w:tcPr>
          <w:p w14:paraId="603B6F2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F58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501B7978">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62" w:type="pct"/>
            <w:noWrap/>
            <w:vAlign w:val="center"/>
          </w:tcPr>
          <w:p w14:paraId="490FDCB7">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危险废物处置规模应根据项目服务区域范围内的可处置危险废物量、废物分布情况、发展规划以及变化趋势等因素综合考虑确定。</w:t>
            </w:r>
          </w:p>
        </w:tc>
        <w:tc>
          <w:tcPr>
            <w:tcW w:w="2211" w:type="pct"/>
            <w:noWrap/>
            <w:vAlign w:val="center"/>
          </w:tcPr>
          <w:p w14:paraId="6184AE0B">
            <w:pPr>
              <w:pStyle w:val="109"/>
              <w:rPr>
                <w:color w:val="000000" w:themeColor="text1"/>
                <w14:textFill>
                  <w14:solidFill>
                    <w14:schemeClr w14:val="tx1"/>
                  </w14:solidFill>
                </w14:textFill>
              </w:rPr>
            </w:pPr>
            <w:r>
              <w:rPr>
                <w:color w:val="000000" w:themeColor="text1"/>
                <w14:textFill>
                  <w14:solidFill>
                    <w14:schemeClr w14:val="tx1"/>
                  </w14:solidFill>
                </w14:textFill>
              </w:rPr>
              <w:t>本项目处置规模为5万吨/年，服务范围以乌鲁木齐市为主，兼顾新疆维吾尔自治区内其他废盐产生企业，目前可以服务企业的危险废物产生量约</w:t>
            </w:r>
            <w:r>
              <w:rPr>
                <w:rFonts w:eastAsiaTheme="minorEastAsia"/>
                <w:color w:val="000000" w:themeColor="text1"/>
                <w:lang w:bidi="en-US"/>
                <w14:textFill>
                  <w14:solidFill>
                    <w14:schemeClr w14:val="tx1"/>
                  </w14:solidFill>
                </w14:textFill>
              </w:rPr>
              <w:t>3.5万</w:t>
            </w:r>
            <w:r>
              <w:rPr>
                <w:rFonts w:eastAsia="Times New Roman"/>
                <w:color w:val="000000" w:themeColor="text1"/>
                <w:lang w:bidi="en-US"/>
                <w14:textFill>
                  <w14:solidFill>
                    <w14:schemeClr w14:val="tx1"/>
                  </w14:solidFill>
                </w14:textFill>
              </w:rPr>
              <w:t>t/a</w:t>
            </w:r>
            <w:r>
              <w:rPr>
                <w:color w:val="000000" w:themeColor="text1"/>
                <w:lang w:bidi="en-US"/>
                <w14:textFill>
                  <w14:solidFill>
                    <w14:schemeClr w14:val="tx1"/>
                  </w14:solidFill>
                </w14:textFill>
              </w:rPr>
              <w:t>。企业周边建有</w:t>
            </w:r>
            <w:r>
              <w:rPr>
                <w:color w:val="000000" w:themeColor="text1"/>
                <w14:textFill>
                  <w14:solidFill>
                    <w14:schemeClr w14:val="tx1"/>
                  </w14:solidFill>
                </w14:textFill>
              </w:rPr>
              <w:t>新疆准东经济技术开发区煤化工基地，入驻企业多与国能新疆化工公司、中国神华煤制油化工有限公司属于同类企业，因此后期投产运行过程中，会产生类似废盐。</w:t>
            </w:r>
          </w:p>
          <w:p w14:paraId="3A15B65C">
            <w:pPr>
              <w:pStyle w:val="109"/>
              <w:rPr>
                <w:color w:val="000000" w:themeColor="text1"/>
                <w14:textFill>
                  <w14:solidFill>
                    <w14:schemeClr w14:val="tx1"/>
                  </w14:solidFill>
                </w14:textFill>
              </w:rPr>
            </w:pPr>
            <w:r>
              <w:rPr>
                <w:color w:val="000000" w:themeColor="text1"/>
                <w14:textFill>
                  <w14:solidFill>
                    <w14:schemeClr w14:val="tx1"/>
                  </w14:solidFill>
                </w14:textFill>
              </w:rPr>
              <w:t>随着周边煤化工企业的不断发展，危险废物的产生量也将持续增长。与此同时，随着乌鲁木齐市危险 废物核查工作的推进，环保执法力度的不断加强，危险固废申报制度的不断完善，各种漏报、瞒报和少报等现象将得到有力扼制，危险废 物收集率将不断提高，危险废物的处置量在一段时间内将得到梯度增 长。因此，服务范围内实际将在未来产生的危废量大于上述统计数据。</w:t>
            </w:r>
          </w:p>
          <w:p w14:paraId="2A9C5E5A">
            <w:pPr>
              <w:pStyle w:val="109"/>
              <w:rPr>
                <w:color w:val="000000" w:themeColor="text1"/>
                <w14:textFill>
                  <w14:solidFill>
                    <w14:schemeClr w14:val="tx1"/>
                  </w14:solidFill>
                </w14:textFill>
              </w:rPr>
            </w:pPr>
            <w:r>
              <w:rPr>
                <w:color w:val="000000" w:themeColor="text1"/>
                <w14:textFill>
                  <w14:solidFill>
                    <w14:schemeClr w14:val="tx1"/>
                  </w14:solidFill>
                </w14:textFill>
              </w:rPr>
              <w:t>综合上述因素，同时考虑一定的余量，确定本项目危险废物处置 规模</w:t>
            </w:r>
            <w:r>
              <w:rPr>
                <w:rFonts w:eastAsiaTheme="minorEastAsia"/>
                <w:color w:val="000000" w:themeColor="text1"/>
                <w:lang w:bidi="en-US"/>
                <w14:textFill>
                  <w14:solidFill>
                    <w14:schemeClr w14:val="tx1"/>
                  </w14:solidFill>
                </w14:textFill>
              </w:rPr>
              <w:t>5</w:t>
            </w:r>
            <w:r>
              <w:rPr>
                <w:rFonts w:eastAsia="Times New Roman"/>
                <w:color w:val="000000" w:themeColor="text1"/>
                <w:lang w:bidi="en-US"/>
                <w14:textFill>
                  <w14:solidFill>
                    <w14:schemeClr w14:val="tx1"/>
                  </w14:solidFill>
                </w14:textFill>
              </w:rPr>
              <w:t>0000t/a</w:t>
            </w:r>
            <w:r>
              <w:rPr>
                <w:color w:val="000000" w:themeColor="text1"/>
                <w:lang w:bidi="en-US"/>
                <w14:textFill>
                  <w14:solidFill>
                    <w14:schemeClr w14:val="tx1"/>
                  </w14:solidFill>
                </w14:textFill>
              </w:rPr>
              <w:t>。</w:t>
            </w:r>
          </w:p>
        </w:tc>
        <w:tc>
          <w:tcPr>
            <w:tcW w:w="450" w:type="pct"/>
            <w:noWrap/>
            <w:vAlign w:val="center"/>
          </w:tcPr>
          <w:p w14:paraId="4BDC593E">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22B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6346E31F">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062" w:type="pct"/>
            <w:noWrap/>
            <w:vAlign w:val="center"/>
          </w:tcPr>
          <w:p w14:paraId="318410ED">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危险废物处置工程厂址选择应符合城市总体发展规划、环境保护专项规划和当地的大气</w:t>
            </w:r>
            <w:r>
              <w:rPr>
                <w:rFonts w:hint="eastAsia"/>
                <w:color w:val="000000" w:themeColor="text1"/>
                <w:lang w:eastAsia="zh-CN"/>
                <w14:textFill>
                  <w14:solidFill>
                    <w14:schemeClr w14:val="tx1"/>
                  </w14:solidFill>
                </w14:textFill>
              </w:rPr>
              <w:t>污染防治</w:t>
            </w:r>
            <w:r>
              <w:rPr>
                <w:color w:val="000000" w:themeColor="text1"/>
                <w14:textFill>
                  <w14:solidFill>
                    <w14:schemeClr w14:val="tx1"/>
                  </w14:solidFill>
                </w14:textFill>
              </w:rPr>
              <w:t>、水资源保护、自然生态保护要求，还应综合考虑危险废物处置设施的服务区域、交通、土地利用现状、基础设施建设情况、运输距离及公众意见等因素，最终选定的厂址还应通过环境影响和环境风险评价确定。</w:t>
            </w:r>
          </w:p>
        </w:tc>
        <w:tc>
          <w:tcPr>
            <w:tcW w:w="2211" w:type="pct"/>
            <w:noWrap/>
            <w:vAlign w:val="center"/>
          </w:tcPr>
          <w:p w14:paraId="328A26D2">
            <w:pPr>
              <w:pStyle w:val="109"/>
              <w:rPr>
                <w:color w:val="000000" w:themeColor="text1"/>
                <w14:textFill>
                  <w14:solidFill>
                    <w14:schemeClr w14:val="tx1"/>
                  </w14:solidFill>
                </w14:textFill>
              </w:rPr>
            </w:pPr>
            <w:r>
              <w:rPr>
                <w:color w:val="000000" w:themeColor="text1"/>
                <w14:textFill>
                  <w14:solidFill>
                    <w14:schemeClr w14:val="tx1"/>
                  </w14:solidFill>
                </w14:textFill>
              </w:rPr>
              <w:t>本项目选址基本符合城市总体发展规划，位于环境空气二类功能区，满足环境保护专项规划和当地的大气污染防治、水资源保护、自然生态保护要求，项目目前正在进行环境影响评价，已按要求进行公众参与调查</w:t>
            </w:r>
            <w:r>
              <w:rPr>
                <w:rFonts w:hint="eastAsia"/>
                <w:color w:val="000000" w:themeColor="text1"/>
                <w14:textFill>
                  <w14:solidFill>
                    <w14:schemeClr w14:val="tx1"/>
                  </w14:solidFill>
                </w14:textFill>
              </w:rPr>
              <w:t>。</w:t>
            </w:r>
          </w:p>
        </w:tc>
        <w:tc>
          <w:tcPr>
            <w:tcW w:w="450" w:type="pct"/>
            <w:noWrap/>
            <w:vAlign w:val="center"/>
          </w:tcPr>
          <w:p w14:paraId="79000E24">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DE3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2A41DE2D">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062" w:type="pct"/>
            <w:noWrap/>
            <w:vAlign w:val="center"/>
          </w:tcPr>
          <w:p w14:paraId="3BF53353">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危险废物处置工程大气污染物排放应符合 GB16297、GB18484或行业、地方排放标准的要求，并应按照《污染源自动监控管理办法》的规定安装大气污染物排放连续监测设备，并于监控中心联网。</w:t>
            </w:r>
          </w:p>
        </w:tc>
        <w:tc>
          <w:tcPr>
            <w:tcW w:w="2211" w:type="pct"/>
            <w:noWrap/>
            <w:vAlign w:val="center"/>
          </w:tcPr>
          <w:p w14:paraId="48BEBBDD">
            <w:pPr>
              <w:pStyle w:val="109"/>
              <w:rPr>
                <w:color w:val="000000" w:themeColor="text1"/>
                <w14:textFill>
                  <w14:solidFill>
                    <w14:schemeClr w14:val="tx1"/>
                  </w14:solidFill>
                </w14:textFill>
              </w:rPr>
            </w:pPr>
            <w:r>
              <w:rPr>
                <w:color w:val="000000" w:themeColor="text1"/>
                <w14:textFill>
                  <w14:solidFill>
                    <w14:schemeClr w14:val="tx1"/>
                  </w14:solidFill>
                </w14:textFill>
              </w:rPr>
              <w:t>本项目</w:t>
            </w:r>
            <w:r>
              <w:rPr>
                <w:color w:val="000000" w:themeColor="text1"/>
                <w:lang w:val="zh-CN"/>
                <w14:textFill>
                  <w14:solidFill>
                    <w14:schemeClr w14:val="tx1"/>
                  </w14:solidFill>
                </w14:textFill>
              </w:rPr>
              <w:t>废气经收集处理后可满足</w:t>
            </w:r>
            <w:r>
              <w:rPr>
                <w:color w:val="000000" w:themeColor="text1"/>
                <w14:textFill>
                  <w14:solidFill>
                    <w14:schemeClr w14:val="tx1"/>
                  </w14:solidFill>
                </w14:textFill>
              </w:rPr>
              <w:t>《危险废物焚烧污染控制标准》（GB18484-2020）表3中相应标准要求，企业建设过程中应按照《污染源自动监控管理办法》的规定安装大气污染物排放连续监测设备，并与监控中心联网。自动监测设备与主体工程“三同时”建设安装，自动监测设备安装联网情况纳入建设项目环保设施竣工验收内容</w:t>
            </w:r>
          </w:p>
        </w:tc>
        <w:tc>
          <w:tcPr>
            <w:tcW w:w="450" w:type="pct"/>
            <w:noWrap/>
            <w:vAlign w:val="center"/>
          </w:tcPr>
          <w:p w14:paraId="5839D66A">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1D1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5C776761">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2062" w:type="pct"/>
            <w:noWrap/>
            <w:vAlign w:val="center"/>
          </w:tcPr>
          <w:p w14:paraId="6BC5E202">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危险废物处置工程厂界噪声应符合 GB3096和 GB12348的要求。</w:t>
            </w:r>
          </w:p>
        </w:tc>
        <w:tc>
          <w:tcPr>
            <w:tcW w:w="2211" w:type="pct"/>
            <w:noWrap/>
            <w:vAlign w:val="center"/>
          </w:tcPr>
          <w:p w14:paraId="217C448A">
            <w:pPr>
              <w:pStyle w:val="109"/>
              <w:rPr>
                <w:color w:val="000000" w:themeColor="text1"/>
                <w14:textFill>
                  <w14:solidFill>
                    <w14:schemeClr w14:val="tx1"/>
                  </w14:solidFill>
                </w14:textFill>
              </w:rPr>
            </w:pPr>
            <w:r>
              <w:rPr>
                <w:color w:val="000000" w:themeColor="text1"/>
                <w14:textFill>
                  <w14:solidFill>
                    <w14:schemeClr w14:val="tx1"/>
                  </w14:solidFill>
                </w14:textFill>
              </w:rPr>
              <w:t>根据预测结果本项目厂界噪声均满足相应标准要求。</w:t>
            </w:r>
          </w:p>
        </w:tc>
        <w:tc>
          <w:tcPr>
            <w:tcW w:w="450" w:type="pct"/>
            <w:noWrap/>
            <w:vAlign w:val="center"/>
          </w:tcPr>
          <w:p w14:paraId="375E257F">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CCD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425B612E">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2062" w:type="pct"/>
            <w:noWrap/>
            <w:vAlign w:val="center"/>
          </w:tcPr>
          <w:p w14:paraId="46ABF2A2">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危险废物处置工程恶臭污染物控制与防治应符合 GB14554中的有关的规定。</w:t>
            </w:r>
          </w:p>
        </w:tc>
        <w:tc>
          <w:tcPr>
            <w:tcW w:w="2211" w:type="pct"/>
            <w:noWrap/>
            <w:vAlign w:val="center"/>
          </w:tcPr>
          <w:p w14:paraId="4D881149">
            <w:pPr>
              <w:pStyle w:val="109"/>
              <w:rPr>
                <w:color w:val="000000" w:themeColor="text1"/>
                <w14:textFill>
                  <w14:solidFill>
                    <w14:schemeClr w14:val="tx1"/>
                  </w14:solidFill>
                </w14:textFill>
              </w:rPr>
            </w:pPr>
            <w:r>
              <w:rPr>
                <w:color w:val="000000" w:themeColor="text1"/>
                <w14:textFill>
                  <w14:solidFill>
                    <w14:schemeClr w14:val="tx1"/>
                  </w14:solidFill>
                </w14:textFill>
              </w:rPr>
              <w:t>本项目危险废物为废盐，废盐采用密闭的两层袋装储存，暂存于负压废气收集的暂存仓库，有效较少的异味气体的散逸，符合 GB14554中的有关的规定。</w:t>
            </w:r>
          </w:p>
        </w:tc>
        <w:tc>
          <w:tcPr>
            <w:tcW w:w="450" w:type="pct"/>
            <w:noWrap/>
            <w:vAlign w:val="center"/>
          </w:tcPr>
          <w:p w14:paraId="780BEE97">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2E6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604E4AF9">
            <w:pPr>
              <w:pStyle w:val="109"/>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4723" w:type="pct"/>
            <w:gridSpan w:val="3"/>
            <w:noWrap/>
            <w:vAlign w:val="center"/>
          </w:tcPr>
          <w:p w14:paraId="369F289F">
            <w:pPr>
              <w:pStyle w:val="109"/>
              <w:rPr>
                <w:color w:val="000000" w:themeColor="text1"/>
                <w14:textFill>
                  <w14:solidFill>
                    <w14:schemeClr w14:val="tx1"/>
                  </w14:solidFill>
                </w14:textFill>
              </w:rPr>
            </w:pPr>
            <w:r>
              <w:rPr>
                <w:color w:val="000000" w:themeColor="text1"/>
                <w14:textFill>
                  <w14:solidFill>
                    <w14:schemeClr w14:val="tx1"/>
                  </w14:solidFill>
                </w14:textFill>
              </w:rPr>
              <w:t>总体设计</w:t>
            </w:r>
          </w:p>
        </w:tc>
      </w:tr>
      <w:tr w14:paraId="6B78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2175AB38">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2" w:type="pct"/>
            <w:noWrap/>
            <w:vAlign w:val="center"/>
          </w:tcPr>
          <w:p w14:paraId="3A3645BB">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厂一般由处置区和生产管理区组成。处置区包括危险废物接受贮存区、废物处置区、附属功能区等，其中废物接受贮存区应设置废物接受、贮存、分析鉴别、预处理等单元；废物处置区设置废物处置、二次污染防治等单元；附属功能区包括供水、供电、供热等单元。生产管理区设置生产办公和生活单元。</w:t>
            </w:r>
          </w:p>
        </w:tc>
        <w:tc>
          <w:tcPr>
            <w:tcW w:w="2211" w:type="pct"/>
            <w:noWrap/>
            <w:vAlign w:val="center"/>
          </w:tcPr>
          <w:p w14:paraId="4F1DEE39">
            <w:pPr>
              <w:pStyle w:val="109"/>
              <w:rPr>
                <w:color w:val="000000" w:themeColor="text1"/>
                <w14:textFill>
                  <w14:solidFill>
                    <w14:schemeClr w14:val="tx1"/>
                  </w14:solidFill>
                </w14:textFill>
              </w:rPr>
            </w:pPr>
            <w:r>
              <w:rPr>
                <w:color w:val="000000" w:themeColor="text1"/>
                <w14:textFill>
                  <w14:solidFill>
                    <w14:schemeClr w14:val="tx1"/>
                  </w14:solidFill>
                </w14:textFill>
              </w:rPr>
              <w:t>本项目设置有废物接受、贮存、分析鉴别、配伍预处理等单元；废物处置区设置废物处置、废气处理设施、废水处理设施等单元；附属功能区包括供水、供电等单元。生产管理区设置单独的生产办公和生活单元。 　</w:t>
            </w:r>
          </w:p>
        </w:tc>
        <w:tc>
          <w:tcPr>
            <w:tcW w:w="450" w:type="pct"/>
            <w:noWrap/>
            <w:vAlign w:val="center"/>
          </w:tcPr>
          <w:p w14:paraId="4A48F20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C3B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10ECF894">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62" w:type="pct"/>
            <w:noWrap/>
            <w:vAlign w:val="center"/>
          </w:tcPr>
          <w:p w14:paraId="6E08EFF3">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危险废物处置区布置应满足处理工艺流程和物流流向要求，做到流程合理、布置紧凑、连贯、保证设施安全运行。处置区和生产管理区之间设置绿化隔离带。</w:t>
            </w:r>
          </w:p>
        </w:tc>
        <w:tc>
          <w:tcPr>
            <w:tcW w:w="2211" w:type="pct"/>
            <w:noWrap/>
            <w:vAlign w:val="center"/>
          </w:tcPr>
          <w:p w14:paraId="67EA213B">
            <w:pPr>
              <w:pStyle w:val="109"/>
              <w:rPr>
                <w:color w:val="000000" w:themeColor="text1"/>
                <w14:textFill>
                  <w14:solidFill>
                    <w14:schemeClr w14:val="tx1"/>
                  </w14:solidFill>
                </w14:textFill>
              </w:rPr>
            </w:pPr>
            <w:r>
              <w:rPr>
                <w:color w:val="000000" w:themeColor="text1"/>
                <w14:textFill>
                  <w14:solidFill>
                    <w14:schemeClr w14:val="tx1"/>
                  </w14:solidFill>
                </w14:textFill>
              </w:rPr>
              <w:t>本项目平面布置满足处理工艺流程和物流流向要求，流程合理、布置紧凑、可保证设施安全运行。</w:t>
            </w:r>
          </w:p>
        </w:tc>
        <w:tc>
          <w:tcPr>
            <w:tcW w:w="450" w:type="pct"/>
            <w:noWrap/>
            <w:vAlign w:val="center"/>
          </w:tcPr>
          <w:p w14:paraId="1C09BA43">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434C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632A3B95">
            <w:pPr>
              <w:pStyle w:val="109"/>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4723" w:type="pct"/>
            <w:gridSpan w:val="3"/>
            <w:noWrap/>
            <w:vAlign w:val="center"/>
          </w:tcPr>
          <w:p w14:paraId="663CBDDC">
            <w:pPr>
              <w:pStyle w:val="109"/>
              <w:rPr>
                <w:color w:val="000000" w:themeColor="text1"/>
                <w14:textFill>
                  <w14:solidFill>
                    <w14:schemeClr w14:val="tx1"/>
                  </w14:solidFill>
                </w14:textFill>
              </w:rPr>
            </w:pPr>
            <w:r>
              <w:rPr>
                <w:color w:val="000000" w:themeColor="text1"/>
                <w14:textFill>
                  <w14:solidFill>
                    <w14:schemeClr w14:val="tx1"/>
                  </w14:solidFill>
                </w14:textFill>
              </w:rPr>
              <w:t>一般要求</w:t>
            </w:r>
          </w:p>
        </w:tc>
      </w:tr>
      <w:tr w14:paraId="12FB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6B167997">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2" w:type="pct"/>
            <w:noWrap/>
            <w:vAlign w:val="center"/>
          </w:tcPr>
          <w:p w14:paraId="58439575">
            <w:pPr>
              <w:pStyle w:val="109"/>
              <w:rPr>
                <w:color w:val="000000" w:themeColor="text1"/>
                <w14:textFill>
                  <w14:solidFill>
                    <w14:schemeClr w14:val="tx1"/>
                  </w14:solidFill>
                </w14:textFill>
              </w:rPr>
            </w:pPr>
            <w:r>
              <w:rPr>
                <w:color w:val="000000" w:themeColor="text1"/>
                <w14:textFill>
                  <w14:solidFill>
                    <w14:schemeClr w14:val="tx1"/>
                  </w14:solidFill>
                </w14:textFill>
              </w:rPr>
              <w:t>主体设施应包括进厂危险废物接受系统、分析鉴别系统、贮存与输送系统、预处理系统、处置系统、污染控制系统、自动化控制系统、检测系统和应急系统等。</w:t>
            </w:r>
          </w:p>
        </w:tc>
        <w:tc>
          <w:tcPr>
            <w:tcW w:w="2211" w:type="pct"/>
            <w:noWrap/>
            <w:vAlign w:val="center"/>
          </w:tcPr>
          <w:p w14:paraId="33C9903B">
            <w:pPr>
              <w:pStyle w:val="109"/>
              <w:rPr>
                <w:color w:val="000000" w:themeColor="text1"/>
                <w14:textFill>
                  <w14:solidFill>
                    <w14:schemeClr w14:val="tx1"/>
                  </w14:solidFill>
                </w14:textFill>
              </w:rPr>
            </w:pPr>
            <w:r>
              <w:rPr>
                <w:color w:val="000000" w:themeColor="text1"/>
                <w14:textFill>
                  <w14:solidFill>
                    <w14:schemeClr w14:val="tx1"/>
                  </w14:solidFill>
                </w14:textFill>
              </w:rPr>
              <w:t>本项目设置有进厂危险废物接受系统、分析化验室、暂存仓库、配伍投料装置、</w:t>
            </w:r>
            <w:r>
              <w:rPr>
                <w:rFonts w:hint="eastAsia"/>
                <w:color w:val="000000" w:themeColor="text1"/>
                <w14:textFill>
                  <w14:solidFill>
                    <w14:schemeClr w14:val="tx1"/>
                  </w14:solidFill>
                </w14:textFill>
              </w:rPr>
              <w:t>废盐处置</w:t>
            </w:r>
            <w:r>
              <w:rPr>
                <w:color w:val="000000" w:themeColor="text1"/>
                <w14:textFill>
                  <w14:solidFill>
                    <w14:schemeClr w14:val="tx1"/>
                  </w14:solidFill>
                </w14:textFill>
              </w:rPr>
              <w:t>装置、废气废水处理装置、自动化控制系统、废气在线监测系统和事故应急导排系统及事故水池等功能单元，在二燃室顶部设置紧急泄压阀和排烟管道，其主要作用是当</w:t>
            </w:r>
            <w:r>
              <w:rPr>
                <w:rFonts w:hint="eastAsia"/>
                <w:color w:val="000000" w:themeColor="text1"/>
                <w14:textFill>
                  <w14:solidFill>
                    <w14:schemeClr w14:val="tx1"/>
                  </w14:solidFill>
                </w14:textFill>
              </w:rPr>
              <w:t>处置窑</w:t>
            </w:r>
            <w:r>
              <w:rPr>
                <w:color w:val="000000" w:themeColor="text1"/>
                <w14:textFill>
                  <w14:solidFill>
                    <w14:schemeClr w14:val="tx1"/>
                  </w14:solidFill>
                </w14:textFill>
              </w:rPr>
              <w:t>内出现爆燃或发生停电等意外情况时，紧急开启，使烟气紧急排出，避免设备爆炸及后续设备损害等恶性事故发生。紧急排放口平时维持气密，防止烟气直接散逸。</w:t>
            </w:r>
          </w:p>
        </w:tc>
        <w:tc>
          <w:tcPr>
            <w:tcW w:w="450" w:type="pct"/>
            <w:noWrap/>
            <w:vAlign w:val="center"/>
          </w:tcPr>
          <w:p w14:paraId="56AF0265">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B88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60876F31">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62" w:type="pct"/>
            <w:noWrap/>
            <w:vAlign w:val="center"/>
          </w:tcPr>
          <w:p w14:paraId="46C1A502">
            <w:pPr>
              <w:pStyle w:val="109"/>
              <w:rPr>
                <w:color w:val="000000" w:themeColor="text1"/>
                <w14:textFill>
                  <w14:solidFill>
                    <w14:schemeClr w14:val="tx1"/>
                  </w14:solidFill>
                </w14:textFill>
              </w:rPr>
            </w:pPr>
            <w:r>
              <w:rPr>
                <w:color w:val="000000" w:themeColor="text1"/>
                <w14:textFill>
                  <w14:solidFill>
                    <w14:schemeClr w14:val="tx1"/>
                  </w14:solidFill>
                </w14:textFill>
              </w:rPr>
              <w:t>附属设施应包括电气系统、能源供应、气体供应、供配电、给排水、污水处理、消防、通信、暖通空调、机械维修、车辆 /容器冲洗设施、安全防护和事故应急设施。</w:t>
            </w:r>
          </w:p>
        </w:tc>
        <w:tc>
          <w:tcPr>
            <w:tcW w:w="2211" w:type="pct"/>
            <w:noWrap/>
            <w:vAlign w:val="center"/>
          </w:tcPr>
          <w:p w14:paraId="0DE42162">
            <w:pPr>
              <w:pStyle w:val="109"/>
              <w:rPr>
                <w:color w:val="000000" w:themeColor="text1"/>
                <w14:textFill>
                  <w14:solidFill>
                    <w14:schemeClr w14:val="tx1"/>
                  </w14:solidFill>
                </w14:textFill>
              </w:rPr>
            </w:pPr>
            <w:r>
              <w:rPr>
                <w:color w:val="000000" w:themeColor="text1"/>
                <w14:textFill>
                  <w14:solidFill>
                    <w14:schemeClr w14:val="tx1"/>
                  </w14:solidFill>
                </w14:textFill>
              </w:rPr>
              <w:t>本项目设置有电气系统、天然气管道及压缩空气供应设备、配电室、自来水管网、污水处理设施、化粪池、消防栓和灭火器等消防设施、暂存仓库负压通风设施、机械维修、车辆/容器冲洗设施、安全防护和事故应急导排系统及事故水池等附属设施，在二燃室顶部设置紧急泄压阀和排烟管道，其主要作用是当</w:t>
            </w:r>
            <w:r>
              <w:rPr>
                <w:rFonts w:hint="eastAsia"/>
                <w:color w:val="000000" w:themeColor="text1"/>
                <w14:textFill>
                  <w14:solidFill>
                    <w14:schemeClr w14:val="tx1"/>
                  </w14:solidFill>
                </w14:textFill>
              </w:rPr>
              <w:t>处置窑</w:t>
            </w:r>
            <w:r>
              <w:rPr>
                <w:color w:val="000000" w:themeColor="text1"/>
                <w14:textFill>
                  <w14:solidFill>
                    <w14:schemeClr w14:val="tx1"/>
                  </w14:solidFill>
                </w14:textFill>
              </w:rPr>
              <w:t>内出现爆燃或发生停电等意外情况时，紧急开启，使烟气紧急排出，避免设备爆炸及后续设备损害等恶性事故发生。紧急排放口平时维持气密，防止烟气直接散逸。</w:t>
            </w:r>
          </w:p>
        </w:tc>
        <w:tc>
          <w:tcPr>
            <w:tcW w:w="450" w:type="pct"/>
            <w:noWrap/>
            <w:vAlign w:val="center"/>
          </w:tcPr>
          <w:p w14:paraId="03E17669">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CB9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369B03FF">
            <w:pPr>
              <w:pStyle w:val="109"/>
              <w:rPr>
                <w:color w:val="000000" w:themeColor="text1"/>
                <w14:textFill>
                  <w14:solidFill>
                    <w14:schemeClr w14:val="tx1"/>
                  </w14:solidFill>
                </w14:textFill>
              </w:rPr>
            </w:pPr>
            <w:r>
              <w:rPr>
                <w:color w:val="000000" w:themeColor="text1"/>
                <w14:textFill>
                  <w14:solidFill>
                    <w14:schemeClr w14:val="tx1"/>
                  </w14:solidFill>
                </w14:textFill>
              </w:rPr>
              <w:t>四</w:t>
            </w:r>
          </w:p>
        </w:tc>
        <w:tc>
          <w:tcPr>
            <w:tcW w:w="4723" w:type="pct"/>
            <w:gridSpan w:val="3"/>
            <w:noWrap/>
            <w:vAlign w:val="center"/>
          </w:tcPr>
          <w:p w14:paraId="73F5187D">
            <w:pPr>
              <w:pStyle w:val="109"/>
              <w:rPr>
                <w:color w:val="000000" w:themeColor="text1"/>
                <w14:textFill>
                  <w14:solidFill>
                    <w14:schemeClr w14:val="tx1"/>
                  </w14:solidFill>
                </w14:textFill>
              </w:rPr>
            </w:pPr>
            <w:r>
              <w:rPr>
                <w:color w:val="000000" w:themeColor="text1"/>
                <w14:textFill>
                  <w14:solidFill>
                    <w14:schemeClr w14:val="tx1"/>
                  </w14:solidFill>
                </w14:textFill>
              </w:rPr>
              <w:t>接受系统要求</w:t>
            </w:r>
          </w:p>
        </w:tc>
      </w:tr>
      <w:tr w14:paraId="37C8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0E78E3AF">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2" w:type="pct"/>
            <w:noWrap/>
            <w:vAlign w:val="center"/>
          </w:tcPr>
          <w:p w14:paraId="4EC3682C">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场接受贮存区应设危险废物计量设施，计量设施应按运输车最大满载重量留有一定余量设置。计量设施应设置在处置区车辆进出口处，并有良好的通视条件，与进口厂界不应小于一辆最大转运车的长度。</w:t>
            </w:r>
          </w:p>
        </w:tc>
        <w:tc>
          <w:tcPr>
            <w:tcW w:w="2211" w:type="pct"/>
            <w:noWrap/>
            <w:vAlign w:val="center"/>
          </w:tcPr>
          <w:p w14:paraId="05EF7412">
            <w:pPr>
              <w:pStyle w:val="109"/>
              <w:rPr>
                <w:color w:val="000000" w:themeColor="text1"/>
                <w14:textFill>
                  <w14:solidFill>
                    <w14:schemeClr w14:val="tx1"/>
                  </w14:solidFill>
                </w14:textFill>
              </w:rPr>
            </w:pPr>
            <w:r>
              <w:rPr>
                <w:color w:val="000000" w:themeColor="text1"/>
                <w14:textFill>
                  <w14:solidFill>
                    <w14:schemeClr w14:val="tx1"/>
                  </w14:solidFill>
                </w14:textFill>
              </w:rPr>
              <w:t>本项目接收贮存区设进厂危险废物计量设施，计量设施按运输车最大满载重量留有一定余量设置。计量设施设置在处置区车辆进出口处，并有良好的通视条件，厂界距离大于一辆最大转运车的长度</w:t>
            </w:r>
            <w:r>
              <w:rPr>
                <w:rFonts w:hint="eastAsia"/>
                <w:color w:val="000000" w:themeColor="text1"/>
                <w14:textFill>
                  <w14:solidFill>
                    <w14:schemeClr w14:val="tx1"/>
                  </w14:solidFill>
                </w14:textFill>
              </w:rPr>
              <w:t>。</w:t>
            </w:r>
          </w:p>
        </w:tc>
        <w:tc>
          <w:tcPr>
            <w:tcW w:w="450" w:type="pct"/>
            <w:noWrap/>
            <w:vAlign w:val="center"/>
          </w:tcPr>
          <w:p w14:paraId="4E449301">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675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218780E5">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62" w:type="pct"/>
            <w:noWrap/>
            <w:vAlign w:val="center"/>
          </w:tcPr>
          <w:p w14:paraId="6668A602">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危险废物接收计量系统应具有称重、记录、传输、打印与数据处理功能，有条件的地区，应将数据上传当地环保部门。</w:t>
            </w:r>
          </w:p>
        </w:tc>
        <w:tc>
          <w:tcPr>
            <w:tcW w:w="2211" w:type="pct"/>
            <w:noWrap/>
            <w:vAlign w:val="center"/>
          </w:tcPr>
          <w:p w14:paraId="57B58C3E">
            <w:pPr>
              <w:pStyle w:val="109"/>
              <w:rPr>
                <w:color w:val="000000" w:themeColor="text1"/>
                <w14:textFill>
                  <w14:solidFill>
                    <w14:schemeClr w14:val="tx1"/>
                  </w14:solidFill>
                </w14:textFill>
              </w:rPr>
            </w:pPr>
            <w:r>
              <w:rPr>
                <w:color w:val="000000" w:themeColor="text1"/>
                <w14:textFill>
                  <w14:solidFill>
                    <w14:schemeClr w14:val="tx1"/>
                  </w14:solidFill>
                </w14:textFill>
              </w:rPr>
              <w:t>本项目危险废物接收计量系统具有称重、记录、传输、打印与数据处理功能。</w:t>
            </w:r>
          </w:p>
        </w:tc>
        <w:tc>
          <w:tcPr>
            <w:tcW w:w="450" w:type="pct"/>
            <w:noWrap/>
            <w:vAlign w:val="center"/>
          </w:tcPr>
          <w:p w14:paraId="6AD2077A">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A02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417FCA95">
            <w:pPr>
              <w:pStyle w:val="109"/>
              <w:rPr>
                <w:color w:val="000000" w:themeColor="text1"/>
                <w14:textFill>
                  <w14:solidFill>
                    <w14:schemeClr w14:val="tx1"/>
                  </w14:solidFill>
                </w14:textFill>
              </w:rPr>
            </w:pPr>
            <w:r>
              <w:rPr>
                <w:color w:val="000000" w:themeColor="text1"/>
                <w14:textFill>
                  <w14:solidFill>
                    <w14:schemeClr w14:val="tx1"/>
                  </w14:solidFill>
                </w14:textFill>
              </w:rPr>
              <w:t>五</w:t>
            </w:r>
          </w:p>
        </w:tc>
        <w:tc>
          <w:tcPr>
            <w:tcW w:w="4723" w:type="pct"/>
            <w:gridSpan w:val="3"/>
            <w:noWrap/>
            <w:vAlign w:val="center"/>
          </w:tcPr>
          <w:p w14:paraId="5E8B888C">
            <w:pPr>
              <w:pStyle w:val="109"/>
              <w:rPr>
                <w:color w:val="000000" w:themeColor="text1"/>
                <w14:textFill>
                  <w14:solidFill>
                    <w14:schemeClr w14:val="tx1"/>
                  </w14:solidFill>
                </w14:textFill>
              </w:rPr>
            </w:pPr>
            <w:r>
              <w:rPr>
                <w:color w:val="000000" w:themeColor="text1"/>
                <w14:textFill>
                  <w14:solidFill>
                    <w14:schemeClr w14:val="tx1"/>
                  </w14:solidFill>
                </w14:textFill>
              </w:rPr>
              <w:t>分析鉴别系统</w:t>
            </w:r>
          </w:p>
        </w:tc>
      </w:tr>
      <w:tr w14:paraId="1F3F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377FBB6B">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2" w:type="pct"/>
            <w:noWrap/>
            <w:vAlign w:val="center"/>
          </w:tcPr>
          <w:p w14:paraId="3A45C75F">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危险废物处置单位处置区应设置化验室，并配备危险废物特性鉴别及废水、废气、废渣等常规指标监测和分析的仪器设备。</w:t>
            </w:r>
          </w:p>
        </w:tc>
        <w:tc>
          <w:tcPr>
            <w:tcW w:w="2211" w:type="pct"/>
            <w:noWrap/>
            <w:vAlign w:val="center"/>
          </w:tcPr>
          <w:p w14:paraId="21FE56A3">
            <w:pPr>
              <w:pStyle w:val="109"/>
              <w:rPr>
                <w:color w:val="000000" w:themeColor="text1"/>
                <w14:textFill>
                  <w14:solidFill>
                    <w14:schemeClr w14:val="tx1"/>
                  </w14:solidFill>
                </w14:textFill>
              </w:rPr>
            </w:pPr>
            <w:r>
              <w:rPr>
                <w:color w:val="000000" w:themeColor="text1"/>
                <w14:textFill>
                  <w14:solidFill>
                    <w14:schemeClr w14:val="tx1"/>
                  </w14:solidFill>
                </w14:textFill>
              </w:rPr>
              <w:t>本项目危险废物处置单位处置区设置化验室，并配备危险废物特征污染物含量检测及废水等常规指标监测和分析的仪器设备，部分废气采用在线检测，化验室负责整理统计数据及在线检测设施的维护，项目废气委托有相关资质的第三方检测单位进行检测</w:t>
            </w:r>
            <w:r>
              <w:rPr>
                <w:rFonts w:hint="eastAsia"/>
                <w:color w:val="000000" w:themeColor="text1"/>
                <w14:textFill>
                  <w14:solidFill>
                    <w14:schemeClr w14:val="tx1"/>
                  </w14:solidFill>
                </w14:textFill>
              </w:rPr>
              <w:t>。</w:t>
            </w:r>
          </w:p>
        </w:tc>
        <w:tc>
          <w:tcPr>
            <w:tcW w:w="450" w:type="pct"/>
            <w:noWrap/>
            <w:vAlign w:val="center"/>
          </w:tcPr>
          <w:p w14:paraId="354E7DDD">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966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59C0A55C">
            <w:pPr>
              <w:pStyle w:val="109"/>
              <w:rPr>
                <w:color w:val="000000" w:themeColor="text1"/>
                <w14:textFill>
                  <w14:solidFill>
                    <w14:schemeClr w14:val="tx1"/>
                  </w14:solidFill>
                </w14:textFill>
              </w:rPr>
            </w:pPr>
            <w:r>
              <w:rPr>
                <w:color w:val="000000" w:themeColor="text1"/>
                <w14:textFill>
                  <w14:solidFill>
                    <w14:schemeClr w14:val="tx1"/>
                  </w14:solidFill>
                </w14:textFill>
              </w:rPr>
              <w:t>六</w:t>
            </w:r>
          </w:p>
        </w:tc>
        <w:tc>
          <w:tcPr>
            <w:tcW w:w="4723" w:type="pct"/>
            <w:gridSpan w:val="3"/>
            <w:noWrap/>
            <w:vAlign w:val="center"/>
          </w:tcPr>
          <w:p w14:paraId="4E94B168">
            <w:pPr>
              <w:pStyle w:val="109"/>
              <w:rPr>
                <w:color w:val="000000" w:themeColor="text1"/>
                <w14:textFill>
                  <w14:solidFill>
                    <w14:schemeClr w14:val="tx1"/>
                  </w14:solidFill>
                </w14:textFill>
              </w:rPr>
            </w:pPr>
            <w:r>
              <w:rPr>
                <w:color w:val="000000" w:themeColor="text1"/>
                <w14:textFill>
                  <w14:solidFill>
                    <w14:schemeClr w14:val="tx1"/>
                  </w14:solidFill>
                </w14:textFill>
              </w:rPr>
              <w:t>贮存与输送系统</w:t>
            </w:r>
          </w:p>
        </w:tc>
      </w:tr>
      <w:tr w14:paraId="0222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37EE53F3">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2" w:type="pct"/>
            <w:noWrap/>
            <w:vAlign w:val="center"/>
          </w:tcPr>
          <w:p w14:paraId="4D1757C9">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危险废物处置设施应根据处置废物的特性及规模，根据有关标准要求设置贮存库房及冷库。一般情况下，设施的贮存能力应不低于处置设施15日的处置量。</w:t>
            </w:r>
          </w:p>
        </w:tc>
        <w:tc>
          <w:tcPr>
            <w:tcW w:w="2211" w:type="pct"/>
            <w:noWrap/>
            <w:vAlign w:val="center"/>
          </w:tcPr>
          <w:p w14:paraId="138F90F0">
            <w:pPr>
              <w:pStyle w:val="109"/>
              <w:rPr>
                <w:color w:val="000000" w:themeColor="text1"/>
                <w14:textFill>
                  <w14:solidFill>
                    <w14:schemeClr w14:val="tx1"/>
                  </w14:solidFill>
                </w14:textFill>
              </w:rPr>
            </w:pPr>
            <w:r>
              <w:rPr>
                <w:color w:val="000000" w:themeColor="text1"/>
                <w14:textFill>
                  <w14:solidFill>
                    <w14:schemeClr w14:val="tx1"/>
                  </w14:solidFill>
                </w14:textFill>
              </w:rPr>
              <w:t>本项目设置废盐仓库，最大量为2252t，可满足15日废盐暂存能力</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w:t>
            </w:r>
          </w:p>
        </w:tc>
        <w:tc>
          <w:tcPr>
            <w:tcW w:w="450" w:type="pct"/>
            <w:noWrap/>
            <w:vAlign w:val="center"/>
          </w:tcPr>
          <w:p w14:paraId="05B815A4">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C65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1132C6FE">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62" w:type="pct"/>
            <w:noWrap/>
            <w:vAlign w:val="center"/>
          </w:tcPr>
          <w:p w14:paraId="6408B9EB">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危险废物贮存和卸载区应设置必备的消防设施。</w:t>
            </w:r>
          </w:p>
        </w:tc>
        <w:tc>
          <w:tcPr>
            <w:tcW w:w="2211" w:type="pct"/>
            <w:noWrap/>
            <w:vAlign w:val="center"/>
          </w:tcPr>
          <w:p w14:paraId="3DD14D54">
            <w:pPr>
              <w:pStyle w:val="109"/>
              <w:rPr>
                <w:color w:val="000000" w:themeColor="text1"/>
                <w14:textFill>
                  <w14:solidFill>
                    <w14:schemeClr w14:val="tx1"/>
                  </w14:solidFill>
                </w14:textFill>
              </w:rPr>
            </w:pPr>
            <w:r>
              <w:rPr>
                <w:color w:val="000000" w:themeColor="text1"/>
                <w14:textFill>
                  <w14:solidFill>
                    <w14:schemeClr w14:val="tx1"/>
                  </w14:solidFill>
                </w14:textFill>
              </w:rPr>
              <w:t>本项目贮存和卸载区配套消防栓、灭火器、防毒面具等消防设施</w:t>
            </w:r>
            <w:r>
              <w:rPr>
                <w:rFonts w:hint="eastAsia"/>
                <w:color w:val="000000" w:themeColor="text1"/>
                <w14:textFill>
                  <w14:solidFill>
                    <w14:schemeClr w14:val="tx1"/>
                  </w14:solidFill>
                </w14:textFill>
              </w:rPr>
              <w:t>。</w:t>
            </w:r>
          </w:p>
        </w:tc>
        <w:tc>
          <w:tcPr>
            <w:tcW w:w="450" w:type="pct"/>
            <w:noWrap/>
            <w:vAlign w:val="center"/>
          </w:tcPr>
          <w:p w14:paraId="21906B01">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C96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29F18DEB">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062" w:type="pct"/>
            <w:noWrap/>
            <w:vAlign w:val="center"/>
          </w:tcPr>
          <w:p w14:paraId="32DE46D7">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危险废物贮存容器应符合GB18597要求。</w:t>
            </w:r>
          </w:p>
        </w:tc>
        <w:tc>
          <w:tcPr>
            <w:tcW w:w="2211" w:type="pct"/>
            <w:noWrap/>
            <w:vAlign w:val="center"/>
          </w:tcPr>
          <w:p w14:paraId="1450711D">
            <w:pPr>
              <w:pStyle w:val="109"/>
              <w:rPr>
                <w:color w:val="000000" w:themeColor="text1"/>
                <w14:textFill>
                  <w14:solidFill>
                    <w14:schemeClr w14:val="tx1"/>
                  </w14:solidFill>
                </w14:textFill>
              </w:rPr>
            </w:pPr>
            <w:r>
              <w:rPr>
                <w:color w:val="000000" w:themeColor="text1"/>
                <w14:textFill>
                  <w14:solidFill>
                    <w14:schemeClr w14:val="tx1"/>
                  </w14:solidFill>
                </w14:textFill>
              </w:rPr>
              <w:t>本项目收集的危险废物为废盐，干性的废盐采用密闭的两层袋装储存，含湿量高的废盐采用密闭包装桶储存，符合GB18597要求。</w:t>
            </w:r>
          </w:p>
        </w:tc>
        <w:tc>
          <w:tcPr>
            <w:tcW w:w="450" w:type="pct"/>
            <w:noWrap/>
            <w:vAlign w:val="center"/>
          </w:tcPr>
          <w:p w14:paraId="6D101231">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F87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5F24C341">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062" w:type="pct"/>
            <w:noWrap/>
            <w:vAlign w:val="center"/>
          </w:tcPr>
          <w:p w14:paraId="20636E14">
            <w:pPr>
              <w:pStyle w:val="109"/>
              <w:rPr>
                <w:color w:val="000000" w:themeColor="text1"/>
                <w14:textFill>
                  <w14:solidFill>
                    <w14:schemeClr w14:val="tx1"/>
                  </w14:solidFill>
                </w14:textFill>
              </w:rPr>
            </w:pPr>
            <w:r>
              <w:rPr>
                <w:color w:val="000000" w:themeColor="text1"/>
                <w14:textFill>
                  <w14:solidFill>
                    <w14:schemeClr w14:val="tx1"/>
                  </w14:solidFill>
                </w14:textFill>
              </w:rPr>
              <w:t>经鉴别后的危险废物应分类贮存于专用贮存设施内，危险废物贮存设施应符合GB18597要求。</w:t>
            </w:r>
          </w:p>
        </w:tc>
        <w:tc>
          <w:tcPr>
            <w:tcW w:w="2211" w:type="pct"/>
            <w:noWrap/>
            <w:vAlign w:val="center"/>
          </w:tcPr>
          <w:p w14:paraId="2182CA76">
            <w:pPr>
              <w:pStyle w:val="109"/>
              <w:rPr>
                <w:color w:val="000000" w:themeColor="text1"/>
                <w14:textFill>
                  <w14:solidFill>
                    <w14:schemeClr w14:val="tx1"/>
                  </w14:solidFill>
                </w14:textFill>
              </w:rPr>
            </w:pPr>
            <w:r>
              <w:rPr>
                <w:color w:val="000000" w:themeColor="text1"/>
                <w14:textFill>
                  <w14:solidFill>
                    <w14:schemeClr w14:val="tx1"/>
                  </w14:solidFill>
                </w14:textFill>
              </w:rPr>
              <w:t>本项目进场后的废盐经化验室检测符合本项目收集要求的，暂存于废盐仓库，废盐仓库按照GB18597要求进行建设</w:t>
            </w:r>
          </w:p>
        </w:tc>
        <w:tc>
          <w:tcPr>
            <w:tcW w:w="450" w:type="pct"/>
            <w:noWrap/>
            <w:vAlign w:val="center"/>
          </w:tcPr>
          <w:p w14:paraId="319DD88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A48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5A4DF28E">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2062" w:type="pct"/>
            <w:noWrap/>
            <w:vAlign w:val="center"/>
          </w:tcPr>
          <w:p w14:paraId="7B5F17DC">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危险废物输送设备的配置应根据处置设施的规模和危险废物的特性确定。</w:t>
            </w:r>
          </w:p>
        </w:tc>
        <w:tc>
          <w:tcPr>
            <w:tcW w:w="2211" w:type="pct"/>
            <w:noWrap/>
            <w:vAlign w:val="center"/>
          </w:tcPr>
          <w:p w14:paraId="0A2350CE">
            <w:pPr>
              <w:pStyle w:val="109"/>
              <w:rPr>
                <w:color w:val="000000" w:themeColor="text1"/>
                <w14:textFill>
                  <w14:solidFill>
                    <w14:schemeClr w14:val="tx1"/>
                  </w14:solidFill>
                </w14:textFill>
              </w:rPr>
            </w:pPr>
            <w:r>
              <w:rPr>
                <w:color w:val="000000" w:themeColor="text1"/>
                <w14:textFill>
                  <w14:solidFill>
                    <w14:schemeClr w14:val="tx1"/>
                  </w14:solidFill>
                </w14:textFill>
              </w:rPr>
              <w:t>本项目处理的危险废物为颗粒物状和粉状的废盐，物料的输送采用密闭提升机、皮带输送机、螺旋送料机和风送，可满足本项目年处理废盐50000吨的要求</w:t>
            </w:r>
          </w:p>
        </w:tc>
        <w:tc>
          <w:tcPr>
            <w:tcW w:w="450" w:type="pct"/>
            <w:noWrap/>
            <w:vAlign w:val="center"/>
          </w:tcPr>
          <w:p w14:paraId="07DFA84F">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C79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3EF124F1">
            <w:pPr>
              <w:pStyle w:val="109"/>
              <w:rPr>
                <w:color w:val="000000" w:themeColor="text1"/>
                <w14:textFill>
                  <w14:solidFill>
                    <w14:schemeClr w14:val="tx1"/>
                  </w14:solidFill>
                </w14:textFill>
              </w:rPr>
            </w:pPr>
            <w:r>
              <w:rPr>
                <w:color w:val="000000" w:themeColor="text1"/>
                <w14:textFill>
                  <w14:solidFill>
                    <w14:schemeClr w14:val="tx1"/>
                  </w14:solidFill>
                </w14:textFill>
              </w:rPr>
              <w:t>七</w:t>
            </w:r>
          </w:p>
        </w:tc>
        <w:tc>
          <w:tcPr>
            <w:tcW w:w="4723" w:type="pct"/>
            <w:gridSpan w:val="3"/>
            <w:noWrap/>
            <w:vAlign w:val="center"/>
          </w:tcPr>
          <w:p w14:paraId="4422F762">
            <w:pPr>
              <w:pStyle w:val="109"/>
              <w:rPr>
                <w:color w:val="000000" w:themeColor="text1"/>
                <w14:textFill>
                  <w14:solidFill>
                    <w14:schemeClr w14:val="tx1"/>
                  </w14:solidFill>
                </w14:textFill>
              </w:rPr>
            </w:pPr>
            <w:r>
              <w:rPr>
                <w:color w:val="000000" w:themeColor="text1"/>
                <w14:textFill>
                  <w14:solidFill>
                    <w14:schemeClr w14:val="tx1"/>
                  </w14:solidFill>
                </w14:textFill>
              </w:rPr>
              <w:t>预处理和进料系统</w:t>
            </w:r>
          </w:p>
        </w:tc>
      </w:tr>
      <w:tr w14:paraId="08CF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24ECE196">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2" w:type="pct"/>
            <w:noWrap/>
            <w:vAlign w:val="center"/>
          </w:tcPr>
          <w:p w14:paraId="2E96EE6B">
            <w:pPr>
              <w:pStyle w:val="109"/>
              <w:rPr>
                <w:color w:val="000000" w:themeColor="text1"/>
                <w14:textFill>
                  <w14:solidFill>
                    <w14:schemeClr w14:val="tx1"/>
                  </w14:solidFill>
                </w14:textFill>
              </w:rPr>
            </w:pPr>
            <w:r>
              <w:rPr>
                <w:color w:val="000000" w:themeColor="text1"/>
                <w14:textFill>
                  <w14:solidFill>
                    <w14:schemeClr w14:val="tx1"/>
                  </w14:solidFill>
                </w14:textFill>
              </w:rPr>
              <w:t>应根据危险废物处置的实际需要对废物进行预处理，预处理应根据不同危险废物的形态、特点以及危险废物特性选择相应的预处理方法。</w:t>
            </w:r>
          </w:p>
        </w:tc>
        <w:tc>
          <w:tcPr>
            <w:tcW w:w="2211" w:type="pct"/>
            <w:noWrap/>
            <w:vAlign w:val="center"/>
          </w:tcPr>
          <w:p w14:paraId="6F4537D0">
            <w:pPr>
              <w:pStyle w:val="109"/>
              <w:rPr>
                <w:color w:val="000000" w:themeColor="text1"/>
                <w14:textFill>
                  <w14:solidFill>
                    <w14:schemeClr w14:val="tx1"/>
                  </w14:solidFill>
                </w14:textFill>
              </w:rPr>
            </w:pPr>
            <w:r>
              <w:rPr>
                <w:color w:val="000000" w:themeColor="text1"/>
                <w14:textFill>
                  <w14:solidFill>
                    <w14:schemeClr w14:val="tx1"/>
                  </w14:solidFill>
                </w14:textFill>
              </w:rPr>
              <w:t>本项目处理的危险废物为颗粒物状和粉状的废盐，进行热解焙烧前需要进行配伍</w:t>
            </w:r>
          </w:p>
        </w:tc>
        <w:tc>
          <w:tcPr>
            <w:tcW w:w="450" w:type="pct"/>
            <w:noWrap/>
            <w:vAlign w:val="center"/>
          </w:tcPr>
          <w:p w14:paraId="4D7B289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285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2DFD7E03">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62" w:type="pct"/>
            <w:noWrap/>
            <w:vAlign w:val="center"/>
          </w:tcPr>
          <w:p w14:paraId="70D80C2F">
            <w:pPr>
              <w:pStyle w:val="109"/>
              <w:rPr>
                <w:color w:val="000000" w:themeColor="text1"/>
                <w14:textFill>
                  <w14:solidFill>
                    <w14:schemeClr w14:val="tx1"/>
                  </w14:solidFill>
                </w14:textFill>
              </w:rPr>
            </w:pPr>
            <w:r>
              <w:rPr>
                <w:color w:val="000000" w:themeColor="text1"/>
                <w14:textFill>
                  <w14:solidFill>
                    <w14:schemeClr w14:val="tx1"/>
                  </w14:solidFill>
                </w14:textFill>
              </w:rPr>
              <w:t>采用焚烧技术处置危险废物时，入炉前应根据其成分、热值等参数进行配伍，以保障焚烧炉稳定运行，降低焚烧残渣的热灼减率。</w:t>
            </w:r>
          </w:p>
        </w:tc>
        <w:tc>
          <w:tcPr>
            <w:tcW w:w="2211" w:type="pct"/>
            <w:noWrap/>
            <w:vAlign w:val="center"/>
          </w:tcPr>
          <w:p w14:paraId="2B5851C6">
            <w:pPr>
              <w:pStyle w:val="109"/>
              <w:rPr>
                <w:color w:val="000000" w:themeColor="text1"/>
                <w14:textFill>
                  <w14:solidFill>
                    <w14:schemeClr w14:val="tx1"/>
                  </w14:solidFill>
                </w14:textFill>
              </w:rPr>
            </w:pPr>
            <w:r>
              <w:rPr>
                <w:color w:val="000000" w:themeColor="text1"/>
                <w14:textFill>
                  <w14:solidFill>
                    <w14:schemeClr w14:val="tx1"/>
                  </w14:solidFill>
                </w14:textFill>
              </w:rPr>
              <w:t>本项目采用焚烧技术处置危险废物时，入炉前根据其成分、热值等参数进行配伍，可确保焚烧炉稳定运行。</w:t>
            </w:r>
          </w:p>
        </w:tc>
        <w:tc>
          <w:tcPr>
            <w:tcW w:w="450" w:type="pct"/>
            <w:noWrap/>
            <w:vAlign w:val="center"/>
          </w:tcPr>
          <w:p w14:paraId="7645E594">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538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008DCDF2">
            <w:pPr>
              <w:pStyle w:val="109"/>
              <w:rPr>
                <w:color w:val="000000" w:themeColor="text1"/>
                <w14:textFill>
                  <w14:solidFill>
                    <w14:schemeClr w14:val="tx1"/>
                  </w14:solidFill>
                </w14:textFill>
              </w:rPr>
            </w:pPr>
            <w:r>
              <w:rPr>
                <w:color w:val="000000" w:themeColor="text1"/>
                <w14:textFill>
                  <w14:solidFill>
                    <w14:schemeClr w14:val="tx1"/>
                  </w14:solidFill>
                </w14:textFill>
              </w:rPr>
              <w:t>八</w:t>
            </w:r>
          </w:p>
        </w:tc>
        <w:tc>
          <w:tcPr>
            <w:tcW w:w="4723" w:type="pct"/>
            <w:gridSpan w:val="3"/>
            <w:noWrap/>
            <w:vAlign w:val="center"/>
          </w:tcPr>
          <w:p w14:paraId="5B227D93">
            <w:pPr>
              <w:pStyle w:val="109"/>
              <w:rPr>
                <w:color w:val="000000" w:themeColor="text1"/>
                <w14:textFill>
                  <w14:solidFill>
                    <w14:schemeClr w14:val="tx1"/>
                  </w14:solidFill>
                </w14:textFill>
              </w:rPr>
            </w:pPr>
            <w:r>
              <w:rPr>
                <w:color w:val="000000" w:themeColor="text1"/>
                <w14:textFill>
                  <w14:solidFill>
                    <w14:schemeClr w14:val="tx1"/>
                  </w14:solidFill>
                </w14:textFill>
              </w:rPr>
              <w:t>焚烧处置</w:t>
            </w:r>
          </w:p>
        </w:tc>
      </w:tr>
      <w:tr w14:paraId="2420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6FDD779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2" w:type="pct"/>
            <w:noWrap/>
            <w:vAlign w:val="center"/>
          </w:tcPr>
          <w:p w14:paraId="1E427D75">
            <w:pPr>
              <w:pStyle w:val="109"/>
              <w:rPr>
                <w:color w:val="000000" w:themeColor="text1"/>
                <w14:textFill>
                  <w14:solidFill>
                    <w14:schemeClr w14:val="tx1"/>
                  </w14:solidFill>
                </w14:textFill>
              </w:rPr>
            </w:pPr>
            <w:r>
              <w:rPr>
                <w:color w:val="000000" w:themeColor="text1"/>
                <w14:textFill>
                  <w14:solidFill>
                    <w14:schemeClr w14:val="tx1"/>
                  </w14:solidFill>
                </w14:textFill>
              </w:rPr>
              <w:t>采用焚烧技术处置危险废物，焚烧处置设施应采用技术成熟、自动化水平高、运行稳定的设备，并重点考虑其配置与后续废气净化设施之间的匹配性。焚烧控制条件应满足GB18484要求。</w:t>
            </w:r>
          </w:p>
        </w:tc>
        <w:tc>
          <w:tcPr>
            <w:tcW w:w="2211" w:type="pct"/>
            <w:noWrap/>
            <w:vAlign w:val="center"/>
          </w:tcPr>
          <w:p w14:paraId="77D3A6A0">
            <w:pPr>
              <w:pStyle w:val="109"/>
              <w:rPr>
                <w:color w:val="000000" w:themeColor="text1"/>
                <w14:textFill>
                  <w14:solidFill>
                    <w14:schemeClr w14:val="tx1"/>
                  </w14:solidFill>
                </w14:textFill>
              </w:rPr>
            </w:pPr>
            <w:r>
              <w:rPr>
                <w:color w:val="000000" w:themeColor="text1"/>
                <w14:textFill>
                  <w14:solidFill>
                    <w14:schemeClr w14:val="tx1"/>
                  </w14:solidFill>
                </w14:textFill>
              </w:rPr>
              <w:t>本项目采用的是热解焙烧炉，该技术较为成熟，且运行稳定，在国内已有多家成功使用案例，废气净化设施采用二燃室（SNCR）+石墨急冷塔+二级碱洗塔+水洗塔+湿电除尘+引风机+活性炭吸附+GGH换热+热风炉（电加热）+SCR，焚烧控制条件可满足GB18484要求　</w:t>
            </w:r>
          </w:p>
        </w:tc>
        <w:tc>
          <w:tcPr>
            <w:tcW w:w="450" w:type="pct"/>
            <w:noWrap/>
            <w:vAlign w:val="center"/>
          </w:tcPr>
          <w:p w14:paraId="0DAC4003">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20F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0DA370F7">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62" w:type="pct"/>
            <w:noWrap/>
            <w:vAlign w:val="center"/>
          </w:tcPr>
          <w:p w14:paraId="52317EBC">
            <w:pPr>
              <w:pStyle w:val="109"/>
              <w:rPr>
                <w:color w:val="000000" w:themeColor="text1"/>
                <w14:textFill>
                  <w14:solidFill>
                    <w14:schemeClr w14:val="tx1"/>
                  </w14:solidFill>
                </w14:textFill>
              </w:rPr>
            </w:pPr>
            <w:r>
              <w:rPr>
                <w:color w:val="000000" w:themeColor="text1"/>
                <w14:textFill>
                  <w14:solidFill>
                    <w14:schemeClr w14:val="tx1"/>
                  </w14:solidFill>
                </w14:textFill>
              </w:rPr>
              <w:t>焚烧处置设施宜采取连续焚烧方式，并保证焚烧处理量在额定处理量的60~110%内波动时能稳定运行。</w:t>
            </w:r>
          </w:p>
        </w:tc>
        <w:tc>
          <w:tcPr>
            <w:tcW w:w="2211" w:type="pct"/>
            <w:noWrap/>
            <w:vAlign w:val="center"/>
          </w:tcPr>
          <w:p w14:paraId="4FD7C551">
            <w:pPr>
              <w:pStyle w:val="109"/>
              <w:rPr>
                <w:color w:val="000000" w:themeColor="text1"/>
                <w14:textFill>
                  <w14:solidFill>
                    <w14:schemeClr w14:val="tx1"/>
                  </w14:solidFill>
                </w14:textFill>
              </w:rPr>
            </w:pPr>
            <w:r>
              <w:rPr>
                <w:color w:val="000000" w:themeColor="text1"/>
                <w14:textFill>
                  <w14:solidFill>
                    <w14:schemeClr w14:val="tx1"/>
                  </w14:solidFill>
                </w14:textFill>
              </w:rPr>
              <w:t>本项目日工作时间为24h，采用连续焚烧的方式；本项目设计运行负荷满足60~110%范围内波动</w:t>
            </w:r>
          </w:p>
        </w:tc>
        <w:tc>
          <w:tcPr>
            <w:tcW w:w="450" w:type="pct"/>
            <w:noWrap/>
            <w:vAlign w:val="center"/>
          </w:tcPr>
          <w:p w14:paraId="23B99828">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C90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35980DD5">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062" w:type="pct"/>
            <w:noWrap/>
            <w:vAlign w:val="center"/>
          </w:tcPr>
          <w:p w14:paraId="25577DB2">
            <w:pPr>
              <w:pStyle w:val="109"/>
              <w:rPr>
                <w:color w:val="000000" w:themeColor="text1"/>
                <w14:textFill>
                  <w14:solidFill>
                    <w14:schemeClr w14:val="tx1"/>
                  </w14:solidFill>
                </w14:textFill>
              </w:rPr>
            </w:pPr>
            <w:r>
              <w:rPr>
                <w:color w:val="000000" w:themeColor="text1"/>
                <w14:textFill>
                  <w14:solidFill>
                    <w14:schemeClr w14:val="tx1"/>
                  </w14:solidFill>
                </w14:textFill>
              </w:rPr>
              <w:t>回转窑等焚烧炉温度范围应为750~1200℃，固体停留时间应为30min~2h，气体停留时间应在2s以上。</w:t>
            </w:r>
          </w:p>
        </w:tc>
        <w:tc>
          <w:tcPr>
            <w:tcW w:w="2211" w:type="pct"/>
            <w:noWrap/>
            <w:vAlign w:val="center"/>
          </w:tcPr>
          <w:p w14:paraId="0FE18921">
            <w:pPr>
              <w:pStyle w:val="109"/>
              <w:rPr>
                <w:color w:val="000000" w:themeColor="text1"/>
                <w14:textFill>
                  <w14:solidFill>
                    <w14:schemeClr w14:val="tx1"/>
                  </w14:solidFill>
                </w14:textFill>
              </w:rPr>
            </w:pPr>
            <w:r>
              <w:rPr>
                <w:color w:val="000000" w:themeColor="text1"/>
                <w14:textFill>
                  <w14:solidFill>
                    <w14:schemeClr w14:val="tx1"/>
                  </w14:solidFill>
                </w14:textFill>
              </w:rPr>
              <w:t>本项目焚烧温度：</w:t>
            </w:r>
          </w:p>
          <w:p w14:paraId="5A566106">
            <w:pPr>
              <w:pStyle w:val="109"/>
              <w:rPr>
                <w:color w:val="000000" w:themeColor="text1"/>
                <w14:textFill>
                  <w14:solidFill>
                    <w14:schemeClr w14:val="tx1"/>
                  </w14:solidFill>
                </w14:textFill>
              </w:rPr>
            </w:pPr>
            <w:r>
              <w:rPr>
                <w:color w:val="000000" w:themeColor="text1"/>
                <w14:textFill>
                  <w14:solidFill>
                    <w14:schemeClr w14:val="tx1"/>
                  </w14:solidFill>
                </w14:textFill>
              </w:rPr>
              <w:t>热解焙烧窑：600~700℃；</w:t>
            </w:r>
          </w:p>
          <w:p w14:paraId="3ED4F933">
            <w:pPr>
              <w:pStyle w:val="109"/>
              <w:rPr>
                <w:color w:val="000000" w:themeColor="text1"/>
                <w14:textFill>
                  <w14:solidFill>
                    <w14:schemeClr w14:val="tx1"/>
                  </w14:solidFill>
                </w14:textFill>
              </w:rPr>
            </w:pPr>
            <w:r>
              <w:rPr>
                <w:color w:val="000000" w:themeColor="text1"/>
                <w14:textFill>
                  <w14:solidFill>
                    <w14:schemeClr w14:val="tx1"/>
                  </w14:solidFill>
                </w14:textFill>
              </w:rPr>
              <w:t>二燃室焚烧温度：≥1100℃；</w:t>
            </w:r>
          </w:p>
          <w:p w14:paraId="287DDCEC">
            <w:pPr>
              <w:pStyle w:val="109"/>
              <w:rPr>
                <w:color w:val="000000" w:themeColor="text1"/>
                <w14:textFill>
                  <w14:solidFill>
                    <w14:schemeClr w14:val="tx1"/>
                  </w14:solidFill>
                </w14:textFill>
              </w:rPr>
            </w:pPr>
            <w:r>
              <w:rPr>
                <w:color w:val="000000" w:themeColor="text1"/>
                <w14:textFill>
                  <w14:solidFill>
                    <w14:schemeClr w14:val="tx1"/>
                  </w14:solidFill>
                </w14:textFill>
              </w:rPr>
              <w:t>二次室烟气停留时间：≥2.5S；</w:t>
            </w:r>
          </w:p>
        </w:tc>
        <w:tc>
          <w:tcPr>
            <w:tcW w:w="450" w:type="pct"/>
            <w:noWrap/>
            <w:vAlign w:val="center"/>
          </w:tcPr>
          <w:p w14:paraId="7F91199B">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E31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3F34B8F8">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2062" w:type="pct"/>
            <w:noWrap/>
            <w:vAlign w:val="center"/>
          </w:tcPr>
          <w:p w14:paraId="64A8CBD2">
            <w:pPr>
              <w:pStyle w:val="109"/>
              <w:rPr>
                <w:color w:val="000000" w:themeColor="text1"/>
                <w14:textFill>
                  <w14:solidFill>
                    <w14:schemeClr w14:val="tx1"/>
                  </w14:solidFill>
                </w14:textFill>
              </w:rPr>
            </w:pPr>
            <w:r>
              <w:rPr>
                <w:color w:val="000000" w:themeColor="text1"/>
                <w14:textFill>
                  <w14:solidFill>
                    <w14:schemeClr w14:val="tx1"/>
                  </w14:solidFill>
                </w14:textFill>
              </w:rPr>
              <w:t>焚烧处置系统产生的高温烟气应采取急冷处置，烟气温度应在 1s内下降到 200℃以下，减少烟气在 200-500℃温度区的滞留时间，防止二噁英产生或二次生成。</w:t>
            </w:r>
          </w:p>
        </w:tc>
        <w:tc>
          <w:tcPr>
            <w:tcW w:w="2211" w:type="pct"/>
            <w:noWrap/>
            <w:vAlign w:val="center"/>
          </w:tcPr>
          <w:p w14:paraId="3AA02D4D">
            <w:pPr>
              <w:pStyle w:val="109"/>
              <w:rPr>
                <w:color w:val="000000" w:themeColor="text1"/>
                <w14:textFill>
                  <w14:solidFill>
                    <w14:schemeClr w14:val="tx1"/>
                  </w14:solidFill>
                </w14:textFill>
              </w:rPr>
            </w:pPr>
            <w:r>
              <w:rPr>
                <w:color w:val="000000" w:themeColor="text1"/>
                <w14:textFill>
                  <w14:solidFill>
                    <w14:schemeClr w14:val="tx1"/>
                  </w14:solidFill>
                </w14:textFill>
              </w:rPr>
              <w:t>该项目在焚烧烟气处理工段采用了急冷措施，保证烟气温度应在1s内下降到80℃以下　</w:t>
            </w:r>
          </w:p>
        </w:tc>
        <w:tc>
          <w:tcPr>
            <w:tcW w:w="450" w:type="pct"/>
            <w:noWrap/>
            <w:vAlign w:val="center"/>
          </w:tcPr>
          <w:p w14:paraId="2DF6C009">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6E6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0AF8257D">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2062" w:type="pct"/>
            <w:noWrap/>
            <w:vAlign w:val="center"/>
          </w:tcPr>
          <w:p w14:paraId="6CC2E461">
            <w:pPr>
              <w:pStyle w:val="109"/>
              <w:rPr>
                <w:color w:val="000000" w:themeColor="text1"/>
                <w14:textFill>
                  <w14:solidFill>
                    <w14:schemeClr w14:val="tx1"/>
                  </w14:solidFill>
                </w14:textFill>
              </w:rPr>
            </w:pPr>
            <w:r>
              <w:rPr>
                <w:color w:val="000000" w:themeColor="text1"/>
                <w14:textFill>
                  <w14:solidFill>
                    <w14:schemeClr w14:val="tx1"/>
                  </w14:solidFill>
                </w14:textFill>
              </w:rPr>
              <w:t>焚烧处置系统宜考虑释放热能的综合利用。</w:t>
            </w:r>
          </w:p>
        </w:tc>
        <w:tc>
          <w:tcPr>
            <w:tcW w:w="2211" w:type="pct"/>
            <w:noWrap/>
            <w:vAlign w:val="center"/>
          </w:tcPr>
          <w:p w14:paraId="0BC05161">
            <w:pPr>
              <w:pStyle w:val="109"/>
              <w:rPr>
                <w:color w:val="000000" w:themeColor="text1"/>
                <w14:textFill>
                  <w14:solidFill>
                    <w14:schemeClr w14:val="tx1"/>
                  </w14:solidFill>
                </w14:textFill>
              </w:rPr>
            </w:pPr>
            <w:r>
              <w:rPr>
                <w:color w:val="000000" w:themeColor="text1"/>
                <w14:textFill>
                  <w14:solidFill>
                    <w14:schemeClr w14:val="tx1"/>
                  </w14:solidFill>
                </w14:textFill>
              </w:rPr>
              <w:t>本项目焚烧处置系统设有余热锅炉，对焚烧烟气余热进行回收利用系统。</w:t>
            </w:r>
          </w:p>
        </w:tc>
        <w:tc>
          <w:tcPr>
            <w:tcW w:w="450" w:type="pct"/>
            <w:noWrap/>
            <w:vAlign w:val="center"/>
          </w:tcPr>
          <w:p w14:paraId="6BFEBEB1">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85D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73A0BA17">
            <w:pPr>
              <w:pStyle w:val="109"/>
              <w:rPr>
                <w:color w:val="000000" w:themeColor="text1"/>
                <w14:textFill>
                  <w14:solidFill>
                    <w14:schemeClr w14:val="tx1"/>
                  </w14:solidFill>
                </w14:textFill>
              </w:rPr>
            </w:pPr>
            <w:r>
              <w:rPr>
                <w:color w:val="000000" w:themeColor="text1"/>
                <w14:textFill>
                  <w14:solidFill>
                    <w14:schemeClr w14:val="tx1"/>
                  </w14:solidFill>
                </w14:textFill>
              </w:rPr>
              <w:t>九</w:t>
            </w:r>
          </w:p>
        </w:tc>
        <w:tc>
          <w:tcPr>
            <w:tcW w:w="4723" w:type="pct"/>
            <w:gridSpan w:val="3"/>
            <w:noWrap/>
            <w:vAlign w:val="center"/>
          </w:tcPr>
          <w:p w14:paraId="780FFCB0">
            <w:pPr>
              <w:pStyle w:val="109"/>
              <w:rPr>
                <w:color w:val="000000" w:themeColor="text1"/>
                <w14:textFill>
                  <w14:solidFill>
                    <w14:schemeClr w14:val="tx1"/>
                  </w14:solidFill>
                </w14:textFill>
              </w:rPr>
            </w:pPr>
            <w:r>
              <w:rPr>
                <w:color w:val="000000" w:themeColor="text1"/>
                <w14:textFill>
                  <w14:solidFill>
                    <w14:schemeClr w14:val="tx1"/>
                  </w14:solidFill>
                </w14:textFill>
              </w:rPr>
              <w:t>二次污染控制系统</w:t>
            </w:r>
          </w:p>
        </w:tc>
      </w:tr>
      <w:tr w14:paraId="574D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649B057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2" w:type="pct"/>
            <w:noWrap/>
            <w:vAlign w:val="center"/>
          </w:tcPr>
          <w:p w14:paraId="2A2CD8C2">
            <w:pPr>
              <w:pStyle w:val="109"/>
              <w:rPr>
                <w:color w:val="000000" w:themeColor="text1"/>
                <w14:textFill>
                  <w14:solidFill>
                    <w14:schemeClr w14:val="tx1"/>
                  </w14:solidFill>
                </w14:textFill>
              </w:rPr>
            </w:pPr>
            <w:r>
              <w:rPr>
                <w:color w:val="000000" w:themeColor="text1"/>
                <w14:textFill>
                  <w14:solidFill>
                    <w14:schemeClr w14:val="tx1"/>
                  </w14:solidFill>
                </w14:textFill>
              </w:rPr>
              <w:t>废气净化技术的选择应充分考虑危险废物特性、组分和处置过程中气态污染物产生量的变化及其物理、化学性质的影响，并应注意组合技术间的关联性。</w:t>
            </w:r>
          </w:p>
        </w:tc>
        <w:tc>
          <w:tcPr>
            <w:tcW w:w="2211" w:type="pct"/>
            <w:noWrap/>
            <w:vAlign w:val="center"/>
          </w:tcPr>
          <w:p w14:paraId="15844500">
            <w:pPr>
              <w:pStyle w:val="109"/>
              <w:rPr>
                <w:color w:val="000000" w:themeColor="text1"/>
                <w14:textFill>
                  <w14:solidFill>
                    <w14:schemeClr w14:val="tx1"/>
                  </w14:solidFill>
                </w14:textFill>
              </w:rPr>
            </w:pPr>
            <w:r>
              <w:rPr>
                <w:color w:val="000000" w:themeColor="text1"/>
                <w14:textFill>
                  <w14:solidFill>
                    <w14:schemeClr w14:val="tx1"/>
                  </w14:solidFill>
                </w14:textFill>
              </w:rPr>
              <w:t>本项目废气净化采用“二燃室（SNCR）+石墨急冷塔+二级碱洗塔+水洗塔+湿电除尘+引风机+活性炭吸附+GGH换热+热风炉（电加热）+SCR”，该处理工艺较为成熟，可有效去除废气中的污染物</w:t>
            </w:r>
          </w:p>
        </w:tc>
        <w:tc>
          <w:tcPr>
            <w:tcW w:w="450" w:type="pct"/>
            <w:noWrap/>
            <w:vAlign w:val="center"/>
          </w:tcPr>
          <w:p w14:paraId="0E57BF29">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AA9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484A846D">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62" w:type="pct"/>
            <w:noWrap/>
            <w:vAlign w:val="center"/>
          </w:tcPr>
          <w:p w14:paraId="6DC72396">
            <w:pPr>
              <w:pStyle w:val="109"/>
              <w:rPr>
                <w:color w:val="000000" w:themeColor="text1"/>
                <w14:textFill>
                  <w14:solidFill>
                    <w14:schemeClr w14:val="tx1"/>
                  </w14:solidFill>
                </w14:textFill>
              </w:rPr>
            </w:pPr>
            <w:r>
              <w:rPr>
                <w:color w:val="000000" w:themeColor="text1"/>
                <w14:textFill>
                  <w14:solidFill>
                    <w14:schemeClr w14:val="tx1"/>
                  </w14:solidFill>
                </w14:textFill>
              </w:rPr>
              <w:t>如果选择的处置工艺有二噁英污染物产生，应安装高效的二噁英净化装置。</w:t>
            </w:r>
          </w:p>
        </w:tc>
        <w:tc>
          <w:tcPr>
            <w:tcW w:w="2211" w:type="pct"/>
            <w:noWrap/>
            <w:vAlign w:val="center"/>
          </w:tcPr>
          <w:p w14:paraId="0BAD111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针对焚烧过程中二噁英类物质的产生原理，本焚烧工程首先采取急冷工艺控制二噁英类污染物的产生，此外，在后续设置活性炭吸附装置，用以吸收烟气中的二噁英类污染物，保证二噁英的达标排放</w:t>
            </w:r>
          </w:p>
        </w:tc>
        <w:tc>
          <w:tcPr>
            <w:tcW w:w="450" w:type="pct"/>
            <w:noWrap/>
            <w:vAlign w:val="center"/>
          </w:tcPr>
          <w:p w14:paraId="0975E399">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0D8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126BFBE0">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2062" w:type="pct"/>
            <w:noWrap/>
            <w:vAlign w:val="center"/>
          </w:tcPr>
          <w:p w14:paraId="53AA8981">
            <w:pPr>
              <w:pStyle w:val="109"/>
              <w:rPr>
                <w:color w:val="000000" w:themeColor="text1"/>
                <w14:textFill>
                  <w14:solidFill>
                    <w14:schemeClr w14:val="tx1"/>
                  </w14:solidFill>
                </w14:textFill>
              </w:rPr>
            </w:pPr>
            <w:r>
              <w:rPr>
                <w:color w:val="000000" w:themeColor="text1"/>
                <w14:textFill>
                  <w14:solidFill>
                    <w14:schemeClr w14:val="tx1"/>
                  </w14:solidFill>
                </w14:textFill>
              </w:rPr>
              <w:t>经净化后的废气排放和排气筒高度设置应符合国家标准要求。</w:t>
            </w:r>
          </w:p>
        </w:tc>
        <w:tc>
          <w:tcPr>
            <w:tcW w:w="2211" w:type="pct"/>
            <w:noWrap/>
            <w:vAlign w:val="center"/>
          </w:tcPr>
          <w:p w14:paraId="5069FE7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color w:val="000000" w:themeColor="text1"/>
                <w:kern w:val="24"/>
                <w:szCs w:val="21"/>
                <w14:textFill>
                  <w14:solidFill>
                    <w14:schemeClr w14:val="tx1"/>
                  </w14:solidFill>
                </w14:textFill>
              </w:rPr>
              <w:t>设置1条生产线，</w:t>
            </w:r>
            <w:r>
              <w:rPr>
                <w:color w:val="000000" w:themeColor="text1"/>
                <w:szCs w:val="21"/>
                <w14:textFill>
                  <w14:solidFill>
                    <w14:schemeClr w14:val="tx1"/>
                  </w14:solidFill>
                </w14:textFill>
              </w:rPr>
              <w:t>废盐设计处理能力为6.25t/h，烟囱高为50m，满足《危险废物焚烧污染控制标准》（GB18484-2020）中焚烧量≥2500kg/h时排气筒高度不小于50m 的要求</w:t>
            </w:r>
          </w:p>
        </w:tc>
        <w:tc>
          <w:tcPr>
            <w:tcW w:w="450" w:type="pct"/>
            <w:noWrap/>
            <w:vAlign w:val="center"/>
          </w:tcPr>
          <w:p w14:paraId="0D54FF71">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BA6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56ECBB50">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2062" w:type="pct"/>
            <w:noWrap/>
            <w:vAlign w:val="center"/>
          </w:tcPr>
          <w:p w14:paraId="52DAD5C9">
            <w:pPr>
              <w:pStyle w:val="109"/>
              <w:rPr>
                <w:color w:val="000000" w:themeColor="text1"/>
                <w14:textFill>
                  <w14:solidFill>
                    <w14:schemeClr w14:val="tx1"/>
                  </w14:solidFill>
                </w14:textFill>
              </w:rPr>
            </w:pPr>
            <w:r>
              <w:rPr>
                <w:color w:val="000000" w:themeColor="text1"/>
                <w14:textFill>
                  <w14:solidFill>
                    <w14:schemeClr w14:val="tx1"/>
                  </w14:solidFill>
                </w14:textFill>
              </w:rPr>
              <w:t>废水处理可采用多种切实可行的处理技术，污染物排放指标必须达到 GB8978及相关标准的要求。</w:t>
            </w:r>
          </w:p>
        </w:tc>
        <w:tc>
          <w:tcPr>
            <w:tcW w:w="2211" w:type="pct"/>
            <w:noWrap/>
            <w:vAlign w:val="center"/>
          </w:tcPr>
          <w:p w14:paraId="3048652D">
            <w:pPr>
              <w:pStyle w:val="109"/>
              <w:rPr>
                <w:color w:val="000000" w:themeColor="text1"/>
                <w14:textFill>
                  <w14:solidFill>
                    <w14:schemeClr w14:val="tx1"/>
                  </w14:solidFill>
                </w14:textFill>
              </w:rPr>
            </w:pPr>
            <w:r>
              <w:rPr>
                <w:color w:val="000000" w:themeColor="text1"/>
                <w14:textFill>
                  <w14:solidFill>
                    <w14:schemeClr w14:val="tx1"/>
                  </w14:solidFill>
                </w14:textFill>
              </w:rPr>
              <w:t>本项目烟气处理系统废水经多效蒸发处理后回用，循环冷却系统排污水、化验室废水、地面冲洗废水、多效蒸发冷凝水、生活污水达标排入园区污水管网</w:t>
            </w:r>
          </w:p>
        </w:tc>
        <w:tc>
          <w:tcPr>
            <w:tcW w:w="450" w:type="pct"/>
            <w:noWrap/>
            <w:vAlign w:val="center"/>
          </w:tcPr>
          <w:p w14:paraId="645E2B1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3D9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noWrap/>
            <w:vAlign w:val="center"/>
          </w:tcPr>
          <w:p w14:paraId="20222B84">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2062" w:type="pct"/>
            <w:noWrap/>
            <w:vAlign w:val="center"/>
          </w:tcPr>
          <w:p w14:paraId="59EC3806">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危险废物焚烧处置残渣经鉴别，属于危险废物的应按照危险废物进行安全处置，不属于危险废物的按一般废物进行处置。</w:t>
            </w:r>
          </w:p>
        </w:tc>
        <w:tc>
          <w:tcPr>
            <w:tcW w:w="2211" w:type="pct"/>
            <w:noWrap/>
            <w:vAlign w:val="center"/>
          </w:tcPr>
          <w:p w14:paraId="562E2C8C">
            <w:pPr>
              <w:pStyle w:val="109"/>
              <w:rPr>
                <w:color w:val="000000" w:themeColor="text1"/>
                <w14:textFill>
                  <w14:solidFill>
                    <w14:schemeClr w14:val="tx1"/>
                  </w14:solidFill>
                </w14:textFill>
              </w:rPr>
            </w:pPr>
            <w:r>
              <w:rPr>
                <w:color w:val="000000" w:themeColor="text1"/>
                <w14:textFill>
                  <w14:solidFill>
                    <w14:schemeClr w14:val="tx1"/>
                  </w14:solidFill>
                </w14:textFill>
              </w:rPr>
              <w:t>本项目为废盐处置项目，无焚烧残渣产生，焚烧废气处理设施收集的泥渣一律按照危险废物处理，委托有相应危废资质的单位进行安全填埋处置。</w:t>
            </w:r>
          </w:p>
        </w:tc>
        <w:tc>
          <w:tcPr>
            <w:tcW w:w="450" w:type="pct"/>
            <w:noWrap/>
            <w:vAlign w:val="center"/>
          </w:tcPr>
          <w:p w14:paraId="446FE60E">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17A47342">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《危险废物集中焚烧处置工程建设技术规范》</w:t>
      </w:r>
      <w:r>
        <w:rPr>
          <w:rFonts w:ascii="Times New Roman" w:eastAsia="TimesNewRomanPSMT" w:cs="Times New Roman"/>
          <w:color w:val="000000" w:themeColor="text1"/>
          <w14:textFill>
            <w14:solidFill>
              <w14:schemeClr w14:val="tx1"/>
            </w14:solidFill>
          </w14:textFill>
        </w:rPr>
        <w:t>(HJ176-2005)</w:t>
      </w:r>
      <w:r>
        <w:rPr>
          <w:rFonts w:ascii="Times New Roman" w:cs="Times New Roman"/>
          <w:color w:val="000000" w:themeColor="text1"/>
          <w14:textFill>
            <w14:solidFill>
              <w14:schemeClr w14:val="tx1"/>
            </w14:solidFill>
          </w14:textFill>
        </w:rPr>
        <w:t>及修改方案</w:t>
      </w:r>
    </w:p>
    <w:p w14:paraId="1AE670E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本项目与《危险废物集中焚烧处置工程建设技术规范》</w:t>
      </w:r>
      <w:r>
        <w:rPr>
          <w:rFonts w:eastAsia="TimesNewRomanPSMT"/>
          <w:color w:val="000000" w:themeColor="text1"/>
          <w14:textFill>
            <w14:solidFill>
              <w14:schemeClr w14:val="tx1"/>
            </w14:solidFill>
          </w14:textFill>
        </w:rPr>
        <w:t>(HJ176-2005)</w:t>
      </w:r>
      <w:r>
        <w:rPr>
          <w:color w:val="000000" w:themeColor="text1"/>
          <w14:textFill>
            <w14:solidFill>
              <w14:schemeClr w14:val="tx1"/>
            </w14:solidFill>
          </w14:textFill>
        </w:rPr>
        <w:t>及其修改方案符合性分析见下表。</w:t>
      </w:r>
    </w:p>
    <w:p w14:paraId="15857A00">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与HJ176-2005 及其修改方案符合性分析一览表</w:t>
      </w:r>
    </w:p>
    <w:tbl>
      <w:tblPr>
        <w:tblStyle w:val="76"/>
        <w:tblW w:w="94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4140"/>
        <w:gridCol w:w="3945"/>
        <w:gridCol w:w="746"/>
        <w:gridCol w:w="7"/>
      </w:tblGrid>
      <w:tr w14:paraId="4145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3CA61B0E">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140" w:type="dxa"/>
            <w:noWrap/>
            <w:vAlign w:val="center"/>
          </w:tcPr>
          <w:p w14:paraId="4B68C5BF">
            <w:pPr>
              <w:pStyle w:val="109"/>
              <w:rPr>
                <w:color w:val="000000" w:themeColor="text1"/>
                <w14:textFill>
                  <w14:solidFill>
                    <w14:schemeClr w14:val="tx1"/>
                  </w14:solidFill>
                </w14:textFill>
              </w:rPr>
            </w:pPr>
            <w:r>
              <w:rPr>
                <w:color w:val="000000" w:themeColor="text1"/>
                <w14:textFill>
                  <w14:solidFill>
                    <w14:schemeClr w14:val="tx1"/>
                  </w14:solidFill>
                </w14:textFill>
              </w:rPr>
              <w:t>相关规定</w:t>
            </w:r>
          </w:p>
        </w:tc>
        <w:tc>
          <w:tcPr>
            <w:tcW w:w="3945" w:type="dxa"/>
            <w:noWrap/>
            <w:vAlign w:val="center"/>
          </w:tcPr>
          <w:p w14:paraId="0D770C2D">
            <w:pPr>
              <w:pStyle w:val="109"/>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746" w:type="dxa"/>
            <w:noWrap/>
            <w:vAlign w:val="center"/>
          </w:tcPr>
          <w:p w14:paraId="2B1AE162">
            <w:pPr>
              <w:pStyle w:val="109"/>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47E1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noWrap/>
            <w:vAlign w:val="center"/>
          </w:tcPr>
          <w:p w14:paraId="150BE402">
            <w:pPr>
              <w:pStyle w:val="109"/>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8838" w:type="dxa"/>
            <w:gridSpan w:val="4"/>
            <w:noWrap/>
            <w:vAlign w:val="center"/>
          </w:tcPr>
          <w:p w14:paraId="0436DDA6">
            <w:pPr>
              <w:pStyle w:val="109"/>
              <w:rPr>
                <w:color w:val="000000" w:themeColor="text1"/>
                <w14:textFill>
                  <w14:solidFill>
                    <w14:schemeClr w14:val="tx1"/>
                  </w14:solidFill>
                </w14:textFill>
              </w:rPr>
            </w:pPr>
            <w:r>
              <w:rPr>
                <w:color w:val="000000" w:themeColor="text1"/>
                <w14:textFill>
                  <w14:solidFill>
                    <w14:schemeClr w14:val="tx1"/>
                  </w14:solidFill>
                </w14:textFill>
              </w:rPr>
              <w:t>厂址选择 (见选址符合性部分 )</w:t>
            </w:r>
          </w:p>
        </w:tc>
      </w:tr>
      <w:tr w14:paraId="6422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noWrap/>
            <w:vAlign w:val="center"/>
          </w:tcPr>
          <w:p w14:paraId="3CFFABED">
            <w:pPr>
              <w:pStyle w:val="109"/>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8838" w:type="dxa"/>
            <w:gridSpan w:val="4"/>
            <w:noWrap/>
            <w:vAlign w:val="center"/>
          </w:tcPr>
          <w:p w14:paraId="37737A2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建设规模 </w:t>
            </w:r>
          </w:p>
        </w:tc>
      </w:tr>
      <w:tr w14:paraId="4A4D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19A1875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140" w:type="dxa"/>
            <w:noWrap/>
            <w:vAlign w:val="center"/>
          </w:tcPr>
          <w:p w14:paraId="64D294C9">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危险废物焚烧厂建设规模应根据焚烧厂服务范围内的危险废物可焚烧量、分布情况、发展规划以及变化趋势等因素综合考虑确定。</w:t>
            </w:r>
          </w:p>
        </w:tc>
        <w:tc>
          <w:tcPr>
            <w:tcW w:w="3945" w:type="dxa"/>
            <w:noWrap/>
            <w:vAlign w:val="center"/>
          </w:tcPr>
          <w:p w14:paraId="7DA2BDFB">
            <w:pPr>
              <w:pStyle w:val="109"/>
              <w:rPr>
                <w:color w:val="000000" w:themeColor="text1"/>
                <w14:textFill>
                  <w14:solidFill>
                    <w14:schemeClr w14:val="tx1"/>
                  </w14:solidFill>
                </w14:textFill>
              </w:rPr>
            </w:pPr>
            <w:r>
              <w:rPr>
                <w:color w:val="000000" w:themeColor="text1"/>
                <w14:textFill>
                  <w14:solidFill>
                    <w14:schemeClr w14:val="tx1"/>
                  </w14:solidFill>
                </w14:textFill>
              </w:rPr>
              <w:t>本项目处置规模为5万吨/年，服务范围以乌鲁木齐市为主，兼顾新疆维吾尔自治区内其他废盐产生企业，通过对服务区域危险废物产生情况的调查，本项目处理原料来源稳定，规模设置合理。</w:t>
            </w:r>
          </w:p>
        </w:tc>
        <w:tc>
          <w:tcPr>
            <w:tcW w:w="746" w:type="dxa"/>
            <w:noWrap/>
            <w:vAlign w:val="center"/>
          </w:tcPr>
          <w:p w14:paraId="675F33A7">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8E2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18B65ED0">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4140" w:type="dxa"/>
            <w:noWrap/>
            <w:vAlign w:val="center"/>
          </w:tcPr>
          <w:p w14:paraId="27600ABC">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危险废物焚烧处置工程建设内容应包括 :进厂危险废物接收系统、分析鉴别系统、贮存与输送系统、焚烧系统、热能利用系统、烟气净化系统、残渣处理系统、自动化控制系统、在线监测系统、电气系统 ，以及燃料供应、压缩空气供应、供配电、给排水、污水处理、消防、通信、暖通空调、机械维修、车辆冲洗等设施。</w:t>
            </w:r>
          </w:p>
        </w:tc>
        <w:tc>
          <w:tcPr>
            <w:tcW w:w="3945" w:type="dxa"/>
            <w:noWrap/>
            <w:vAlign w:val="center"/>
          </w:tcPr>
          <w:p w14:paraId="2A88987A">
            <w:pPr>
              <w:pStyle w:val="109"/>
              <w:rPr>
                <w:color w:val="000000" w:themeColor="text1"/>
                <w14:textFill>
                  <w14:solidFill>
                    <w14:schemeClr w14:val="tx1"/>
                  </w14:solidFill>
                </w14:textFill>
              </w:rPr>
            </w:pPr>
            <w:r>
              <w:rPr>
                <w:color w:val="000000" w:themeColor="text1"/>
                <w14:textFill>
                  <w14:solidFill>
                    <w14:schemeClr w14:val="tx1"/>
                  </w14:solidFill>
                </w14:textFill>
              </w:rPr>
              <w:t>本项目设置有进厂危险废物接受系统、分析化验室、暂存仓库、配伍投料装置、废盐处理装置、天然气管道及压缩空气供应设备、配电室、自来水管网、污水处理设施、化粪池、消防栓和灭火器等消防设施、暂存仓库负压通风设施、机械维修、车辆/容器冲洗设施、安全防护和事故应急导排系统及事故水池等附属设施。焚烧废气排气筒安装在线监测装置。</w:t>
            </w:r>
          </w:p>
        </w:tc>
        <w:tc>
          <w:tcPr>
            <w:tcW w:w="746" w:type="dxa"/>
            <w:noWrap/>
            <w:vAlign w:val="center"/>
          </w:tcPr>
          <w:p w14:paraId="554E536A">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8A6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noWrap/>
            <w:vAlign w:val="center"/>
          </w:tcPr>
          <w:p w14:paraId="75BF61E7">
            <w:pPr>
              <w:pStyle w:val="109"/>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8838" w:type="dxa"/>
            <w:gridSpan w:val="4"/>
            <w:noWrap/>
            <w:vAlign w:val="center"/>
          </w:tcPr>
          <w:p w14:paraId="4A1BD427">
            <w:pPr>
              <w:pStyle w:val="109"/>
              <w:rPr>
                <w:color w:val="000000" w:themeColor="text1"/>
                <w14:textFill>
                  <w14:solidFill>
                    <w14:schemeClr w14:val="tx1"/>
                  </w14:solidFill>
                </w14:textFill>
              </w:rPr>
            </w:pPr>
            <w:r>
              <w:rPr>
                <w:color w:val="000000" w:themeColor="text1"/>
                <w14:textFill>
                  <w14:solidFill>
                    <w14:schemeClr w14:val="tx1"/>
                  </w14:solidFill>
                </w14:textFill>
              </w:rPr>
              <w:t>总图设计 　</w:t>
            </w:r>
          </w:p>
        </w:tc>
      </w:tr>
      <w:tr w14:paraId="6FF2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1E0BC320">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140" w:type="dxa"/>
            <w:noWrap/>
            <w:vAlign w:val="center"/>
          </w:tcPr>
          <w:p w14:paraId="44496C21">
            <w:pPr>
              <w:pStyle w:val="109"/>
              <w:rPr>
                <w:color w:val="000000" w:themeColor="text1"/>
                <w14:textFill>
                  <w14:solidFill>
                    <w14:schemeClr w14:val="tx1"/>
                  </w14:solidFill>
                </w14:textFill>
              </w:rPr>
            </w:pPr>
            <w:r>
              <w:rPr>
                <w:color w:val="000000" w:themeColor="text1"/>
                <w14:textFill>
                  <w14:solidFill>
                    <w14:schemeClr w14:val="tx1"/>
                  </w14:solidFill>
                </w14:textFill>
              </w:rPr>
              <w:t>焚烧厂人流和物流的出入口设置应符合城市交通有关要求，实现人流和物流分离，方便危险废物运输车进出。</w:t>
            </w:r>
          </w:p>
        </w:tc>
        <w:tc>
          <w:tcPr>
            <w:tcW w:w="3945" w:type="dxa"/>
            <w:noWrap/>
            <w:vAlign w:val="center"/>
          </w:tcPr>
          <w:p w14:paraId="4FC60F18">
            <w:pPr>
              <w:pStyle w:val="109"/>
              <w:rPr>
                <w:color w:val="000000" w:themeColor="text1"/>
                <w14:textFill>
                  <w14:solidFill>
                    <w14:schemeClr w14:val="tx1"/>
                  </w14:solidFill>
                </w14:textFill>
              </w:rPr>
            </w:pPr>
            <w:r>
              <w:rPr>
                <w:color w:val="000000" w:themeColor="text1"/>
                <w14:textFill>
                  <w14:solidFill>
                    <w14:schemeClr w14:val="tx1"/>
                  </w14:solidFill>
                </w14:textFill>
              </w:rPr>
              <w:t>本项目人流和物流出入口设置符合城市交通有关要求。</w:t>
            </w:r>
          </w:p>
        </w:tc>
        <w:tc>
          <w:tcPr>
            <w:tcW w:w="746" w:type="dxa"/>
            <w:noWrap/>
            <w:vAlign w:val="center"/>
          </w:tcPr>
          <w:p w14:paraId="7C3DF52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6117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3ECF668F">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4140" w:type="dxa"/>
            <w:noWrap/>
            <w:vAlign w:val="center"/>
          </w:tcPr>
          <w:p w14:paraId="359E5963">
            <w:pPr>
              <w:pStyle w:val="109"/>
              <w:rPr>
                <w:color w:val="000000" w:themeColor="text1"/>
                <w14:textFill>
                  <w14:solidFill>
                    <w14:schemeClr w14:val="tx1"/>
                  </w14:solidFill>
                </w14:textFill>
              </w:rPr>
            </w:pPr>
            <w:r>
              <w:rPr>
                <w:color w:val="000000" w:themeColor="text1"/>
                <w14:textFill>
                  <w14:solidFill>
                    <w14:schemeClr w14:val="tx1"/>
                  </w14:solidFill>
                </w14:textFill>
              </w:rPr>
              <w:t>焚烧厂内作业区周围应设置集水池，并且能够收集25年一遇暴雨的降水量。</w:t>
            </w:r>
          </w:p>
        </w:tc>
        <w:tc>
          <w:tcPr>
            <w:tcW w:w="3945" w:type="dxa"/>
            <w:noWrap/>
            <w:vAlign w:val="center"/>
          </w:tcPr>
          <w:p w14:paraId="16D7F1DA">
            <w:pPr>
              <w:pStyle w:val="109"/>
              <w:rPr>
                <w:color w:val="000000" w:themeColor="text1"/>
                <w14:textFill>
                  <w14:solidFill>
                    <w14:schemeClr w14:val="tx1"/>
                  </w14:solidFill>
                </w14:textFill>
              </w:rPr>
            </w:pPr>
            <w:r>
              <w:rPr>
                <w:color w:val="000000" w:themeColor="text1"/>
                <w14:textFill>
                  <w14:solidFill>
                    <w14:schemeClr w14:val="tx1"/>
                  </w14:solidFill>
                </w14:textFill>
              </w:rPr>
              <w:t>本项目设置事故废水导排系统，初期雨水收集系统及事故水池，容积为4472m³，能够收集25年一遇暴雨的降水量。</w:t>
            </w:r>
          </w:p>
        </w:tc>
        <w:tc>
          <w:tcPr>
            <w:tcW w:w="746" w:type="dxa"/>
            <w:noWrap/>
            <w:vAlign w:val="center"/>
          </w:tcPr>
          <w:p w14:paraId="7565E539">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BD3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noWrap/>
            <w:vAlign w:val="center"/>
          </w:tcPr>
          <w:p w14:paraId="67850052">
            <w:pPr>
              <w:pStyle w:val="109"/>
              <w:rPr>
                <w:color w:val="000000" w:themeColor="text1"/>
                <w14:textFill>
                  <w14:solidFill>
                    <w14:schemeClr w14:val="tx1"/>
                  </w14:solidFill>
                </w14:textFill>
              </w:rPr>
            </w:pPr>
            <w:r>
              <w:rPr>
                <w:color w:val="000000" w:themeColor="text1"/>
                <w14:textFill>
                  <w14:solidFill>
                    <w14:schemeClr w14:val="tx1"/>
                  </w14:solidFill>
                </w14:textFill>
              </w:rPr>
              <w:t>四</w:t>
            </w:r>
          </w:p>
        </w:tc>
        <w:tc>
          <w:tcPr>
            <w:tcW w:w="8838" w:type="dxa"/>
            <w:gridSpan w:val="4"/>
            <w:noWrap/>
            <w:vAlign w:val="center"/>
          </w:tcPr>
          <w:p w14:paraId="746A4485">
            <w:pPr>
              <w:pStyle w:val="109"/>
              <w:rPr>
                <w:color w:val="000000" w:themeColor="text1"/>
                <w14:textFill>
                  <w14:solidFill>
                    <w14:schemeClr w14:val="tx1"/>
                  </w14:solidFill>
                </w14:textFill>
              </w:rPr>
            </w:pPr>
            <w:r>
              <w:rPr>
                <w:color w:val="000000" w:themeColor="text1"/>
                <w14:textFill>
                  <w14:solidFill>
                    <w14:schemeClr w14:val="tx1"/>
                  </w14:solidFill>
                </w14:textFill>
              </w:rPr>
              <w:t>鉴别和贮存 　</w:t>
            </w:r>
          </w:p>
        </w:tc>
      </w:tr>
      <w:tr w14:paraId="2CFE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6E56F95C">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140" w:type="dxa"/>
            <w:noWrap/>
            <w:vAlign w:val="center"/>
          </w:tcPr>
          <w:p w14:paraId="19A91EA2">
            <w:pPr>
              <w:pStyle w:val="109"/>
              <w:rPr>
                <w:color w:val="000000" w:themeColor="text1"/>
                <w14:textFill>
                  <w14:solidFill>
                    <w14:schemeClr w14:val="tx1"/>
                  </w14:solidFill>
                </w14:textFill>
              </w:rPr>
            </w:pPr>
            <w:r>
              <w:rPr>
                <w:color w:val="000000" w:themeColor="text1"/>
                <w14:textFill>
                  <w14:solidFill>
                    <w14:schemeClr w14:val="tx1"/>
                  </w14:solidFill>
                </w14:textFill>
              </w:rPr>
              <w:t>焚烧厂应设置化验室，并配备危险废物特性鉴别及污水、烟气和灰渣等常规指标监测和分析的仪器设备。</w:t>
            </w:r>
          </w:p>
        </w:tc>
        <w:tc>
          <w:tcPr>
            <w:tcW w:w="3945" w:type="dxa"/>
            <w:noWrap/>
            <w:vAlign w:val="center"/>
          </w:tcPr>
          <w:p w14:paraId="0808E906">
            <w:pPr>
              <w:pStyle w:val="109"/>
              <w:rPr>
                <w:color w:val="000000" w:themeColor="text1"/>
                <w14:textFill>
                  <w14:solidFill>
                    <w14:schemeClr w14:val="tx1"/>
                  </w14:solidFill>
                </w14:textFill>
              </w:rPr>
            </w:pPr>
            <w:r>
              <w:rPr>
                <w:color w:val="000000" w:themeColor="text1"/>
                <w14:textFill>
                  <w14:solidFill>
                    <w14:schemeClr w14:val="tx1"/>
                  </w14:solidFill>
                </w14:textFill>
              </w:rPr>
              <w:t>本项目危险废物处置单位处置区设置化验室，并配备危险废物特征污染物含量检测的仪器设备，部分废气采用在线检测，化验室负责整理统计数据及在线检测设施的维护，项目废气委托有相关资质的第三方检测单位进行检测。</w:t>
            </w:r>
          </w:p>
        </w:tc>
        <w:tc>
          <w:tcPr>
            <w:tcW w:w="746" w:type="dxa"/>
            <w:noWrap/>
            <w:vAlign w:val="center"/>
          </w:tcPr>
          <w:p w14:paraId="58E0392F">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60FE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416B94C3">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4140" w:type="dxa"/>
            <w:noWrap/>
            <w:vAlign w:val="center"/>
          </w:tcPr>
          <w:p w14:paraId="5736D614">
            <w:pPr>
              <w:pStyle w:val="109"/>
              <w:rPr>
                <w:color w:val="000000" w:themeColor="text1"/>
                <w14:textFill>
                  <w14:solidFill>
                    <w14:schemeClr w14:val="tx1"/>
                  </w14:solidFill>
                </w14:textFill>
              </w:rPr>
            </w:pPr>
            <w:r>
              <w:rPr>
                <w:color w:val="000000" w:themeColor="text1"/>
                <w14:textFill>
                  <w14:solidFill>
                    <w14:schemeClr w14:val="tx1"/>
                  </w14:solidFill>
                </w14:textFill>
              </w:rPr>
              <w:t>应使用符合国家标准的容器盛装危险废物；贮存容器必须具有耐腐蚀、耐压、密封和不与所贮存的废物发生反应等特性，贮存容器应保证完好无损并具有明显标志；液体危险废物可注入开孔直径不超过 70mm并有放气孔的桶中。</w:t>
            </w:r>
          </w:p>
        </w:tc>
        <w:tc>
          <w:tcPr>
            <w:tcW w:w="3945" w:type="dxa"/>
            <w:noWrap/>
            <w:vAlign w:val="center"/>
          </w:tcPr>
          <w:p w14:paraId="6DBFA3EA">
            <w:pPr>
              <w:pStyle w:val="109"/>
              <w:rPr>
                <w:color w:val="000000" w:themeColor="text1"/>
                <w14:textFill>
                  <w14:solidFill>
                    <w14:schemeClr w14:val="tx1"/>
                  </w14:solidFill>
                </w14:textFill>
              </w:rPr>
            </w:pPr>
            <w:r>
              <w:rPr>
                <w:color w:val="000000" w:themeColor="text1"/>
                <w14:textFill>
                  <w14:solidFill>
                    <w14:schemeClr w14:val="tx1"/>
                  </w14:solidFill>
                </w14:textFill>
              </w:rPr>
              <w:t>本项目收集的危险废物为废盐，采用密闭的两层袋装储存，不涉及液态危险废物的收集处置。</w:t>
            </w:r>
          </w:p>
        </w:tc>
        <w:tc>
          <w:tcPr>
            <w:tcW w:w="746" w:type="dxa"/>
            <w:noWrap/>
            <w:vAlign w:val="center"/>
          </w:tcPr>
          <w:p w14:paraId="6C00425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4D48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2C35B9BF">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4140" w:type="dxa"/>
            <w:noWrap/>
            <w:vAlign w:val="center"/>
          </w:tcPr>
          <w:p w14:paraId="2423AE9A">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危险废物贮存场所必须有符合《环境保护图形标志一固体废物贮存 (处置 )场》 (GB15562.2-1995)的专用标志；不相容的危险废物必须分开存放，并设有隔离间隔断；应建有堵截泄漏的裙角，地面与裙角要用兼顾防渗的材料建造，建筑材料必须与危险废物相容；必须有泄漏液体收集装置及气体导出口和气体净化装置；应有安全照明和观察窗口，并应设有应急防护设施；应有隔离设施、报警装置和防风、防晒、防雨设施以及消防设施；墙面、棚面应防吸附，用于存放装载液体、半固体危险废物容器的地方，必须有耐腐蚀的硬化地面，且表面无裂隙；贮存库容量的设计应考虑工艺运行要求并应满足设备大修 (一般以 15天为宜 )和废物配伍焚烧的要求；贮存和卸载区应设置必备的消防设施。</w:t>
            </w:r>
          </w:p>
        </w:tc>
        <w:tc>
          <w:tcPr>
            <w:tcW w:w="3945" w:type="dxa"/>
            <w:noWrap/>
            <w:vAlign w:val="center"/>
          </w:tcPr>
          <w:p w14:paraId="07EE1819">
            <w:pPr>
              <w:pStyle w:val="109"/>
              <w:rPr>
                <w:color w:val="000000" w:themeColor="text1"/>
                <w14:textFill>
                  <w14:solidFill>
                    <w14:schemeClr w14:val="tx1"/>
                  </w14:solidFill>
                </w14:textFill>
              </w:rPr>
            </w:pPr>
            <w:r>
              <w:rPr>
                <w:color w:val="000000" w:themeColor="text1"/>
                <w14:textFill>
                  <w14:solidFill>
                    <w14:schemeClr w14:val="tx1"/>
                  </w14:solidFill>
                </w14:textFill>
              </w:rPr>
              <w:t>本项目废盐仓库在建设过程中应按照《环境保护图形标志一固体废物贮存 (处置 )场》 (GB15562.2-1995)相关要求张贴标识；不相容的危险废物分开存放，并设有隔离间隔断；建有堵截泄漏的裙角，地面与裙角用兼顾防渗的材料建造，建筑材料与危险废物相容；设置有泄漏液体收集导排系统，暂存仓库内设置废气负压收集及活性炭吸附净化装置；有安全照明和观察窗口，并设有灭火器、消防栓、防毒面具、消防沙等应急防护设施；废盐仓库最大储存量为2252t，可满足15日废盐暂存能力。</w:t>
            </w:r>
          </w:p>
        </w:tc>
        <w:tc>
          <w:tcPr>
            <w:tcW w:w="746" w:type="dxa"/>
            <w:noWrap/>
            <w:vAlign w:val="center"/>
          </w:tcPr>
          <w:p w14:paraId="541F3BDE">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5467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noWrap/>
            <w:vAlign w:val="center"/>
          </w:tcPr>
          <w:p w14:paraId="71F316E4">
            <w:pPr>
              <w:pStyle w:val="109"/>
              <w:rPr>
                <w:color w:val="000000" w:themeColor="text1"/>
                <w14:textFill>
                  <w14:solidFill>
                    <w14:schemeClr w14:val="tx1"/>
                  </w14:solidFill>
                </w14:textFill>
              </w:rPr>
            </w:pPr>
            <w:r>
              <w:rPr>
                <w:color w:val="000000" w:themeColor="text1"/>
                <w14:textFill>
                  <w14:solidFill>
                    <w14:schemeClr w14:val="tx1"/>
                  </w14:solidFill>
                </w14:textFill>
              </w:rPr>
              <w:t>五</w:t>
            </w:r>
          </w:p>
        </w:tc>
        <w:tc>
          <w:tcPr>
            <w:tcW w:w="8838" w:type="dxa"/>
            <w:gridSpan w:val="4"/>
            <w:noWrap/>
            <w:vAlign w:val="center"/>
          </w:tcPr>
          <w:p w14:paraId="15C2273C">
            <w:pPr>
              <w:pStyle w:val="109"/>
              <w:rPr>
                <w:color w:val="000000" w:themeColor="text1"/>
                <w14:textFill>
                  <w14:solidFill>
                    <w14:schemeClr w14:val="tx1"/>
                  </w14:solidFill>
                </w14:textFill>
              </w:rPr>
            </w:pPr>
            <w:r>
              <w:rPr>
                <w:color w:val="000000" w:themeColor="text1"/>
                <w14:textFill>
                  <w14:solidFill>
                    <w14:schemeClr w14:val="tx1"/>
                  </w14:solidFill>
                </w14:textFill>
              </w:rPr>
              <w:t>焚烧处置系统 　</w:t>
            </w:r>
          </w:p>
        </w:tc>
      </w:tr>
      <w:tr w14:paraId="7CBB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31F29EA7">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140" w:type="dxa"/>
            <w:noWrap/>
            <w:vAlign w:val="center"/>
          </w:tcPr>
          <w:p w14:paraId="43BD2DC8">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危险废物焚烧处置系统应包括预处理及进料系统、焚烧炉、热能利用系统、烟气净化系统、残渣处理系统、自动控制和在线监测系统及其它辅助装置。</w:t>
            </w:r>
          </w:p>
        </w:tc>
        <w:tc>
          <w:tcPr>
            <w:tcW w:w="3945" w:type="dxa"/>
            <w:noWrap/>
            <w:vAlign w:val="center"/>
          </w:tcPr>
          <w:p w14:paraId="4B922593">
            <w:pPr>
              <w:pStyle w:val="109"/>
              <w:rPr>
                <w:color w:val="000000" w:themeColor="text1"/>
                <w14:textFill>
                  <w14:solidFill>
                    <w14:schemeClr w14:val="tx1"/>
                  </w14:solidFill>
                </w14:textFill>
              </w:rPr>
            </w:pPr>
            <w:r>
              <w:rPr>
                <w:color w:val="000000" w:themeColor="text1"/>
                <w14:textFill>
                  <w14:solidFill>
                    <w14:schemeClr w14:val="tx1"/>
                  </w14:solidFill>
                </w14:textFill>
              </w:rPr>
              <w:t>本项目焚烧处置系统包括配伍、原料输送装置、焚烧炉、废气处理设施、自动控制和废气在线监测系统。</w:t>
            </w:r>
          </w:p>
        </w:tc>
        <w:tc>
          <w:tcPr>
            <w:tcW w:w="746" w:type="dxa"/>
            <w:noWrap/>
            <w:vAlign w:val="center"/>
          </w:tcPr>
          <w:p w14:paraId="40B86307">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184F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4B238D10">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4140" w:type="dxa"/>
            <w:noWrap/>
            <w:vAlign w:val="center"/>
          </w:tcPr>
          <w:p w14:paraId="2DE7744F">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危险废物在焚烧处置前应对其进行前处理或特殊处理，达到进炉要求，以利于危险废物在炉内充分燃烧。</w:t>
            </w:r>
          </w:p>
        </w:tc>
        <w:tc>
          <w:tcPr>
            <w:tcW w:w="3945" w:type="dxa"/>
            <w:noWrap/>
            <w:vAlign w:val="center"/>
          </w:tcPr>
          <w:p w14:paraId="2365B7D8">
            <w:pPr>
              <w:pStyle w:val="109"/>
              <w:rPr>
                <w:color w:val="000000" w:themeColor="text1"/>
                <w14:textFill>
                  <w14:solidFill>
                    <w14:schemeClr w14:val="tx1"/>
                  </w14:solidFill>
                </w14:textFill>
              </w:rPr>
            </w:pPr>
            <w:r>
              <w:rPr>
                <w:color w:val="000000" w:themeColor="text1"/>
                <w14:textFill>
                  <w14:solidFill>
                    <w14:schemeClr w14:val="tx1"/>
                  </w14:solidFill>
                </w14:textFill>
              </w:rPr>
              <w:t>废盐处置前进行配伍前处理，达到进炉要求。</w:t>
            </w:r>
          </w:p>
        </w:tc>
        <w:tc>
          <w:tcPr>
            <w:tcW w:w="746" w:type="dxa"/>
            <w:noWrap/>
            <w:vAlign w:val="center"/>
          </w:tcPr>
          <w:p w14:paraId="104A9557">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406D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4BC834A3">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4140" w:type="dxa"/>
            <w:noWrap/>
            <w:vAlign w:val="center"/>
          </w:tcPr>
          <w:p w14:paraId="5A982309">
            <w:pPr>
              <w:pStyle w:val="109"/>
              <w:rPr>
                <w:color w:val="000000" w:themeColor="text1"/>
                <w14:textFill>
                  <w14:solidFill>
                    <w14:schemeClr w14:val="tx1"/>
                  </w14:solidFill>
                </w14:textFill>
              </w:rPr>
            </w:pPr>
            <w:r>
              <w:rPr>
                <w:color w:val="000000" w:themeColor="text1"/>
                <w14:textFill>
                  <w14:solidFill>
                    <w14:schemeClr w14:val="tx1"/>
                  </w14:solidFill>
                </w14:textFill>
              </w:rPr>
              <w:t>整个焚烧系统运行过程中应处于负压状态，避免有害气体逸出。</w:t>
            </w:r>
          </w:p>
        </w:tc>
        <w:tc>
          <w:tcPr>
            <w:tcW w:w="3945" w:type="dxa"/>
            <w:noWrap/>
            <w:vAlign w:val="center"/>
          </w:tcPr>
          <w:p w14:paraId="1984F799">
            <w:pPr>
              <w:pStyle w:val="109"/>
              <w:rPr>
                <w:color w:val="000000" w:themeColor="text1"/>
                <w14:textFill>
                  <w14:solidFill>
                    <w14:schemeClr w14:val="tx1"/>
                  </w14:solidFill>
                </w14:textFill>
              </w:rPr>
            </w:pPr>
            <w:r>
              <w:rPr>
                <w:color w:val="000000" w:themeColor="text1"/>
                <w14:textFill>
                  <w14:solidFill>
                    <w14:schemeClr w14:val="tx1"/>
                  </w14:solidFill>
                </w14:textFill>
              </w:rPr>
              <w:t>整个焚烧系统运行过程中处于负压状态，可有效避免有害气体逸出。</w:t>
            </w:r>
          </w:p>
        </w:tc>
        <w:tc>
          <w:tcPr>
            <w:tcW w:w="746" w:type="dxa"/>
            <w:noWrap/>
            <w:vAlign w:val="center"/>
          </w:tcPr>
          <w:p w14:paraId="1D1B6E9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471B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436812A5">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4140" w:type="dxa"/>
            <w:noWrap/>
            <w:vAlign w:val="center"/>
          </w:tcPr>
          <w:p w14:paraId="0AA021FB">
            <w:pPr>
              <w:pStyle w:val="109"/>
              <w:rPr>
                <w:color w:val="000000" w:themeColor="text1"/>
                <w14:textFill>
                  <w14:solidFill>
                    <w14:schemeClr w14:val="tx1"/>
                  </w14:solidFill>
                </w14:textFill>
              </w:rPr>
            </w:pPr>
            <w:r>
              <w:rPr>
                <w:color w:val="000000" w:themeColor="text1"/>
                <w14:textFill>
                  <w14:solidFill>
                    <w14:schemeClr w14:val="tx1"/>
                  </w14:solidFill>
                </w14:textFill>
              </w:rPr>
              <w:t>焚烧厂设计服务期限不应低于 20年。</w:t>
            </w:r>
          </w:p>
        </w:tc>
        <w:tc>
          <w:tcPr>
            <w:tcW w:w="3945" w:type="dxa"/>
            <w:noWrap/>
            <w:vAlign w:val="center"/>
          </w:tcPr>
          <w:p w14:paraId="3C444C16">
            <w:pPr>
              <w:pStyle w:val="109"/>
              <w:rPr>
                <w:color w:val="000000" w:themeColor="text1"/>
                <w14:textFill>
                  <w14:solidFill>
                    <w14:schemeClr w14:val="tx1"/>
                  </w14:solidFill>
                </w14:textFill>
              </w:rPr>
            </w:pPr>
            <w:r>
              <w:rPr>
                <w:color w:val="000000" w:themeColor="text1"/>
                <w14:textFill>
                  <w14:solidFill>
                    <w14:schemeClr w14:val="tx1"/>
                  </w14:solidFill>
                </w14:textFill>
              </w:rPr>
              <w:t>本项目设计服务期限大于20年。</w:t>
            </w:r>
          </w:p>
        </w:tc>
        <w:tc>
          <w:tcPr>
            <w:tcW w:w="746" w:type="dxa"/>
            <w:noWrap/>
            <w:vAlign w:val="center"/>
          </w:tcPr>
          <w:p w14:paraId="2327C0C9">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1CB8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093733A6">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4140" w:type="dxa"/>
            <w:noWrap/>
            <w:vAlign w:val="center"/>
          </w:tcPr>
          <w:p w14:paraId="25C509EC">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危险废物的搭配应注意相互间的相容性，避免不相容的危险废物混合后产生不良后果。</w:t>
            </w:r>
          </w:p>
        </w:tc>
        <w:tc>
          <w:tcPr>
            <w:tcW w:w="3945" w:type="dxa"/>
            <w:noWrap/>
            <w:vAlign w:val="center"/>
          </w:tcPr>
          <w:p w14:paraId="131A796E">
            <w:pPr>
              <w:pStyle w:val="109"/>
              <w:rPr>
                <w:color w:val="000000" w:themeColor="text1"/>
                <w14:textFill>
                  <w14:solidFill>
                    <w14:schemeClr w14:val="tx1"/>
                  </w14:solidFill>
                </w14:textFill>
              </w:rPr>
            </w:pPr>
            <w:r>
              <w:rPr>
                <w:color w:val="000000" w:themeColor="text1"/>
                <w14:textFill>
                  <w14:solidFill>
                    <w14:schemeClr w14:val="tx1"/>
                  </w14:solidFill>
                </w14:textFill>
              </w:rPr>
              <w:t>生产过程中废盐的配伍考虑了相互间的相容性，可有效避免不相容的危险废物混合后产生不良后果。</w:t>
            </w:r>
          </w:p>
        </w:tc>
        <w:tc>
          <w:tcPr>
            <w:tcW w:w="746" w:type="dxa"/>
            <w:noWrap/>
            <w:vAlign w:val="center"/>
          </w:tcPr>
          <w:p w14:paraId="79B12A81">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7EAB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6DA85A07">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4140" w:type="dxa"/>
            <w:noWrap/>
            <w:vAlign w:val="center"/>
          </w:tcPr>
          <w:p w14:paraId="6E92B214">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危险废物入炉前应酌情进行破碎和搅拌处理，使废物混合均匀以利于焚烧炉稳定、安全、高效运行。对于含水率高的废物 (如污泥、废液 )可适当进行脱水处理，以降低能耗。</w:t>
            </w:r>
          </w:p>
        </w:tc>
        <w:tc>
          <w:tcPr>
            <w:tcW w:w="3945" w:type="dxa"/>
            <w:noWrap/>
            <w:vAlign w:val="center"/>
          </w:tcPr>
          <w:p w14:paraId="0CC6AD11">
            <w:pPr>
              <w:pStyle w:val="109"/>
              <w:rPr>
                <w:color w:val="000000" w:themeColor="text1"/>
                <w14:textFill>
                  <w14:solidFill>
                    <w14:schemeClr w14:val="tx1"/>
                  </w14:solidFill>
                </w14:textFill>
              </w:rPr>
            </w:pPr>
            <w:r>
              <w:rPr>
                <w:color w:val="000000" w:themeColor="text1"/>
                <w14:textFill>
                  <w14:solidFill>
                    <w14:schemeClr w14:val="tx1"/>
                  </w14:solidFill>
                </w14:textFill>
              </w:rPr>
              <w:t>废盐配伍后以利于焚烧炉稳定、安全、高效运行。本项目严格控制入炉废物的含水率。</w:t>
            </w:r>
          </w:p>
        </w:tc>
        <w:tc>
          <w:tcPr>
            <w:tcW w:w="746" w:type="dxa"/>
            <w:noWrap/>
            <w:vAlign w:val="center"/>
          </w:tcPr>
          <w:p w14:paraId="3CEA2C22">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6BCC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24F1BE92">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4140" w:type="dxa"/>
            <w:noWrap/>
            <w:vAlign w:val="center"/>
          </w:tcPr>
          <w:p w14:paraId="6928A3A7">
            <w:pPr>
              <w:pStyle w:val="109"/>
              <w:rPr>
                <w:color w:val="000000" w:themeColor="text1"/>
                <w14:textFill>
                  <w14:solidFill>
                    <w14:schemeClr w14:val="tx1"/>
                  </w14:solidFill>
                </w14:textFill>
              </w:rPr>
            </w:pPr>
            <w:r>
              <w:rPr>
                <w:color w:val="000000" w:themeColor="text1"/>
                <w14:textFill>
                  <w14:solidFill>
                    <w14:schemeClr w14:val="tx1"/>
                  </w14:solidFill>
                </w14:textFill>
              </w:rPr>
              <w:t>焚烧炉的设计应保证其使用寿命不低于10年；应有适当的冗余处理能力，废物进料量应可调节；焚烧炉应设置防爆门或其它防爆设施；燃烧室后应设置紧急排放烟囱，并设置联动装置使其只能在事故或紧急状态时才可启动；必须配备自动控制和监测系统，在线显示运行工况和尾气排放参数，并能够自动反馈，对有关主要工艺参数进行自动调节；确保焚烧炉出口烟气中氧气含量达到 6%-10%(干烟气 )；应设置二次燃烧室，并保证烟气在二次燃烧室 1100℃以上停留时间大于 2s；炉渣热灼减率应&lt;5%。</w:t>
            </w:r>
          </w:p>
        </w:tc>
        <w:tc>
          <w:tcPr>
            <w:tcW w:w="3945" w:type="dxa"/>
            <w:noWrap/>
            <w:vAlign w:val="center"/>
          </w:tcPr>
          <w:p w14:paraId="4AD3C92D">
            <w:pPr>
              <w:pStyle w:val="109"/>
              <w:rPr>
                <w:color w:val="000000" w:themeColor="text1"/>
                <w14:textFill>
                  <w14:solidFill>
                    <w14:schemeClr w14:val="tx1"/>
                  </w14:solidFill>
                </w14:textFill>
              </w:rPr>
            </w:pPr>
            <w:r>
              <w:rPr>
                <w:color w:val="000000" w:themeColor="text1"/>
                <w14:textFill>
                  <w14:solidFill>
                    <w14:schemeClr w14:val="tx1"/>
                  </w14:solidFill>
                </w14:textFill>
              </w:rPr>
              <w:t>本焚烧炉的设计保证其使用寿命大于10年；有适当的冗余处理能力，废物进料量可调节；在二燃室顶部设置紧急泄压阀和排烟管道，其主要作用是当</w:t>
            </w:r>
            <w:r>
              <w:rPr>
                <w:rFonts w:hint="eastAsia"/>
                <w:color w:val="000000" w:themeColor="text1"/>
                <w14:textFill>
                  <w14:solidFill>
                    <w14:schemeClr w14:val="tx1"/>
                  </w14:solidFill>
                </w14:textFill>
              </w:rPr>
              <w:t>处置窑</w:t>
            </w:r>
            <w:r>
              <w:rPr>
                <w:color w:val="000000" w:themeColor="text1"/>
                <w14:textFill>
                  <w14:solidFill>
                    <w14:schemeClr w14:val="tx1"/>
                  </w14:solidFill>
                </w14:textFill>
              </w:rPr>
              <w:t>内出现爆燃或发生停电等意外情况时，紧急开启，使烟气紧急排出，避免设备爆炸及后续设备损害等恶性事故发生。紧急排放口平时维持气密，防止烟气直接散逸。配备了自动控制和废气在线监测系统，配备了自动控制和废气在线监测系统，对污染因子：颗粒物、一氧化碳、二氧化硫、氯化 氢、氮氧化物、二燃室烟气二次燃烧段前后温度进行在线监测，并与环保部门联网，设置了二次燃烧室，二次燃烧室 1100℃以上停留时间大于2s。</w:t>
            </w:r>
          </w:p>
        </w:tc>
        <w:tc>
          <w:tcPr>
            <w:tcW w:w="746" w:type="dxa"/>
            <w:noWrap/>
            <w:vAlign w:val="center"/>
          </w:tcPr>
          <w:p w14:paraId="39D998EB">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51CE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13DFD3CC">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4140" w:type="dxa"/>
            <w:noWrap/>
            <w:vAlign w:val="center"/>
          </w:tcPr>
          <w:p w14:paraId="0CCCF1FC">
            <w:pPr>
              <w:pStyle w:val="109"/>
              <w:rPr>
                <w:color w:val="000000" w:themeColor="text1"/>
                <w14:textFill>
                  <w14:solidFill>
                    <w14:schemeClr w14:val="tx1"/>
                  </w14:solidFill>
                </w14:textFill>
              </w:rPr>
            </w:pPr>
            <w:r>
              <w:rPr>
                <w:color w:val="000000" w:themeColor="text1"/>
                <w14:textFill>
                  <w14:solidFill>
                    <w14:schemeClr w14:val="tx1"/>
                  </w14:solidFill>
                </w14:textFill>
              </w:rPr>
              <w:t>烟气净化系统可根据不同的废物类型及</w:t>
            </w:r>
          </w:p>
          <w:p w14:paraId="2D6BFEDB">
            <w:pPr>
              <w:pStyle w:val="109"/>
              <w:rPr>
                <w:color w:val="000000" w:themeColor="text1"/>
                <w14:textFill>
                  <w14:solidFill>
                    <w14:schemeClr w14:val="tx1"/>
                  </w14:solidFill>
                </w14:textFill>
              </w:rPr>
            </w:pPr>
            <w:r>
              <w:rPr>
                <w:color w:val="000000" w:themeColor="text1"/>
                <w14:textFill>
                  <w14:solidFill>
                    <w14:schemeClr w14:val="tx1"/>
                  </w14:solidFill>
                </w14:textFill>
              </w:rPr>
              <w:t>其组分含量选择采用湿法烟气净化、半干法烟气净化以及干法烟气净化三种方式。</w:t>
            </w:r>
          </w:p>
        </w:tc>
        <w:tc>
          <w:tcPr>
            <w:tcW w:w="3945" w:type="dxa"/>
            <w:noWrap/>
            <w:vAlign w:val="center"/>
          </w:tcPr>
          <w:p w14:paraId="231CD4C7">
            <w:pPr>
              <w:pStyle w:val="109"/>
              <w:rPr>
                <w:color w:val="000000" w:themeColor="text1"/>
                <w14:textFill>
                  <w14:solidFill>
                    <w14:schemeClr w14:val="tx1"/>
                  </w14:solidFill>
                </w14:textFill>
              </w:rPr>
            </w:pPr>
            <w:r>
              <w:rPr>
                <w:color w:val="000000" w:themeColor="text1"/>
                <w14:textFill>
                  <w14:solidFill>
                    <w14:schemeClr w14:val="tx1"/>
                  </w14:solidFill>
                </w14:textFill>
              </w:rPr>
              <w:t>烟气净化系统采用“二燃室（SNCR）+石墨急冷塔+二级碱洗塔+水洗塔+湿电除尘+引风机+活性炭吸附+GGH换热+热风炉（电加热）+SCR”。</w:t>
            </w:r>
          </w:p>
        </w:tc>
        <w:tc>
          <w:tcPr>
            <w:tcW w:w="746" w:type="dxa"/>
            <w:noWrap/>
            <w:vAlign w:val="center"/>
          </w:tcPr>
          <w:p w14:paraId="241B9922">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1FB3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7587F522">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4140" w:type="dxa"/>
            <w:noWrap/>
            <w:vAlign w:val="center"/>
          </w:tcPr>
          <w:p w14:paraId="7BD40E03">
            <w:pPr>
              <w:pStyle w:val="109"/>
              <w:rPr>
                <w:color w:val="000000" w:themeColor="text1"/>
                <w14:textFill>
                  <w14:solidFill>
                    <w14:schemeClr w14:val="tx1"/>
                  </w14:solidFill>
                </w14:textFill>
              </w:rPr>
            </w:pPr>
            <w:r>
              <w:rPr>
                <w:color w:val="000000" w:themeColor="text1"/>
                <w14:textFill>
                  <w14:solidFill>
                    <w14:schemeClr w14:val="tx1"/>
                  </w14:solidFill>
                </w14:textFill>
              </w:rPr>
              <w:t>烟气净化装置应有可靠的防腐蚀、防磨损和防止飞灰阻塞的措施。</w:t>
            </w:r>
          </w:p>
        </w:tc>
        <w:tc>
          <w:tcPr>
            <w:tcW w:w="3945" w:type="dxa"/>
            <w:noWrap/>
            <w:vAlign w:val="center"/>
          </w:tcPr>
          <w:p w14:paraId="112A8241">
            <w:pPr>
              <w:pStyle w:val="109"/>
              <w:rPr>
                <w:color w:val="000000" w:themeColor="text1"/>
                <w14:textFill>
                  <w14:solidFill>
                    <w14:schemeClr w14:val="tx1"/>
                  </w14:solidFill>
                </w14:textFill>
              </w:rPr>
            </w:pPr>
            <w:r>
              <w:rPr>
                <w:color w:val="000000" w:themeColor="text1"/>
                <w14:textFill>
                  <w14:solidFill>
                    <w14:schemeClr w14:val="tx1"/>
                  </w14:solidFill>
                </w14:textFill>
              </w:rPr>
              <w:t>烟气净化装置设计有防腐蚀、防磨损和防止飞灰阻塞的措施。</w:t>
            </w:r>
          </w:p>
        </w:tc>
        <w:tc>
          <w:tcPr>
            <w:tcW w:w="746" w:type="dxa"/>
            <w:noWrap/>
            <w:vAlign w:val="center"/>
          </w:tcPr>
          <w:p w14:paraId="26D3A02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769E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4C5678E5">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140" w:type="dxa"/>
            <w:noWrap/>
            <w:vAlign w:val="center"/>
          </w:tcPr>
          <w:p w14:paraId="2C68CD72">
            <w:pPr>
              <w:pStyle w:val="109"/>
              <w:rPr>
                <w:color w:val="000000" w:themeColor="text1"/>
                <w14:textFill>
                  <w14:solidFill>
                    <w14:schemeClr w14:val="tx1"/>
                  </w14:solidFill>
                </w14:textFill>
              </w:rPr>
            </w:pPr>
            <w:r>
              <w:rPr>
                <w:color w:val="000000" w:themeColor="text1"/>
                <w14:textFill>
                  <w14:solidFill>
                    <w14:schemeClr w14:val="tx1"/>
                  </w14:solidFill>
                </w14:textFill>
              </w:rPr>
              <w:t>烟气净化系统的除尘设备应优先选用袋式除尘器。</w:t>
            </w:r>
          </w:p>
        </w:tc>
        <w:tc>
          <w:tcPr>
            <w:tcW w:w="3945" w:type="dxa"/>
            <w:noWrap/>
            <w:vAlign w:val="center"/>
          </w:tcPr>
          <w:p w14:paraId="4B9E69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根据本项目烟气特点，项目烟气净化系统除尘装置采用的湿电除尘器。</w:t>
            </w:r>
          </w:p>
        </w:tc>
        <w:tc>
          <w:tcPr>
            <w:tcW w:w="746" w:type="dxa"/>
            <w:noWrap/>
            <w:vAlign w:val="center"/>
          </w:tcPr>
          <w:p w14:paraId="174614F6">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474D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46A8B085">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4140" w:type="dxa"/>
            <w:noWrap/>
            <w:vAlign w:val="center"/>
          </w:tcPr>
          <w:p w14:paraId="5088B78E">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危险废物焚烧过程应采取二恶英控制措施。</w:t>
            </w:r>
          </w:p>
        </w:tc>
        <w:tc>
          <w:tcPr>
            <w:tcW w:w="3945" w:type="dxa"/>
            <w:noWrap/>
            <w:vAlign w:val="center"/>
          </w:tcPr>
          <w:p w14:paraId="27F6A93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本项目焚烧过程采用急冷及活性炭吸附的措施进行二噁英控制。</w:t>
            </w:r>
          </w:p>
        </w:tc>
        <w:tc>
          <w:tcPr>
            <w:tcW w:w="746" w:type="dxa"/>
            <w:noWrap/>
            <w:vAlign w:val="center"/>
          </w:tcPr>
          <w:p w14:paraId="3CC75D28">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A69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06040468">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4140" w:type="dxa"/>
            <w:noWrap/>
            <w:vAlign w:val="center"/>
          </w:tcPr>
          <w:p w14:paraId="6329BAC8">
            <w:pPr>
              <w:pStyle w:val="109"/>
              <w:rPr>
                <w:color w:val="000000" w:themeColor="text1"/>
                <w14:textFill>
                  <w14:solidFill>
                    <w14:schemeClr w14:val="tx1"/>
                  </w14:solidFill>
                </w14:textFill>
              </w:rPr>
            </w:pPr>
            <w:r>
              <w:rPr>
                <w:color w:val="000000" w:themeColor="text1"/>
                <w14:textFill>
                  <w14:solidFill>
                    <w14:schemeClr w14:val="tx1"/>
                  </w14:solidFill>
                </w14:textFill>
              </w:rPr>
              <w:t>经净化后的烟气排放和烟囱高度设置应符合《危险废物焚烧污染控制标准》 (GB18484-2020)要求。</w:t>
            </w:r>
          </w:p>
        </w:tc>
        <w:tc>
          <w:tcPr>
            <w:tcW w:w="3945" w:type="dxa"/>
            <w:noWrap/>
            <w:vAlign w:val="center"/>
          </w:tcPr>
          <w:p w14:paraId="52EF82E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本项目烟气排放能达到《危险废物焚烧污染控制标准》 (GB18484-2020)要求，本项目</w:t>
            </w:r>
            <w:r>
              <w:rPr>
                <w:color w:val="000000" w:themeColor="text1"/>
                <w:kern w:val="24"/>
                <w:szCs w:val="21"/>
                <w14:textFill>
                  <w14:solidFill>
                    <w14:schemeClr w14:val="tx1"/>
                  </w14:solidFill>
                </w14:textFill>
              </w:rPr>
              <w:t>设置1条生产线，处理量约为6.25t/h，</w:t>
            </w:r>
            <w:r>
              <w:rPr>
                <w:color w:val="000000" w:themeColor="text1"/>
                <w:szCs w:val="21"/>
                <w14:textFill>
                  <w14:solidFill>
                    <w14:schemeClr w14:val="tx1"/>
                  </w14:solidFill>
                </w14:textFill>
              </w:rPr>
              <w:t>烟囱高为50m，满足《危险废物焚烧污染控制标准》（GB18484-2020）中焚烧量≥2500kg/h时排气筒高度不小于50m 的要求。</w:t>
            </w:r>
          </w:p>
        </w:tc>
        <w:tc>
          <w:tcPr>
            <w:tcW w:w="746" w:type="dxa"/>
            <w:noWrap/>
            <w:vAlign w:val="center"/>
          </w:tcPr>
          <w:p w14:paraId="497E394D">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249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noWrap/>
            <w:vAlign w:val="center"/>
          </w:tcPr>
          <w:p w14:paraId="7F119C66">
            <w:pPr>
              <w:pStyle w:val="109"/>
              <w:rPr>
                <w:color w:val="000000" w:themeColor="text1"/>
                <w14:textFill>
                  <w14:solidFill>
                    <w14:schemeClr w14:val="tx1"/>
                  </w14:solidFill>
                </w14:textFill>
              </w:rPr>
            </w:pPr>
            <w:r>
              <w:rPr>
                <w:color w:val="000000" w:themeColor="text1"/>
                <w14:textFill>
                  <w14:solidFill>
                    <w14:schemeClr w14:val="tx1"/>
                  </w14:solidFill>
                </w14:textFill>
              </w:rPr>
              <w:t>六</w:t>
            </w:r>
          </w:p>
        </w:tc>
        <w:tc>
          <w:tcPr>
            <w:tcW w:w="8838" w:type="dxa"/>
            <w:gridSpan w:val="4"/>
            <w:noWrap/>
            <w:vAlign w:val="center"/>
          </w:tcPr>
          <w:p w14:paraId="61AA0331">
            <w:pPr>
              <w:pStyle w:val="109"/>
              <w:rPr>
                <w:color w:val="000000" w:themeColor="text1"/>
                <w14:textFill>
                  <w14:solidFill>
                    <w14:schemeClr w14:val="tx1"/>
                  </w14:solidFill>
                </w14:textFill>
              </w:rPr>
            </w:pPr>
            <w:r>
              <w:rPr>
                <w:color w:val="000000" w:themeColor="text1"/>
                <w14:textFill>
                  <w14:solidFill>
                    <w14:schemeClr w14:val="tx1"/>
                  </w14:solidFill>
                </w14:textFill>
              </w:rPr>
              <w:t>残渣处理系统 　</w:t>
            </w:r>
          </w:p>
        </w:tc>
      </w:tr>
      <w:tr w14:paraId="0709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63C1A73A">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140" w:type="dxa"/>
            <w:noWrap/>
            <w:vAlign w:val="center"/>
          </w:tcPr>
          <w:p w14:paraId="0B2BE26C">
            <w:pPr>
              <w:pStyle w:val="109"/>
              <w:rPr>
                <w:color w:val="000000" w:themeColor="text1"/>
                <w14:textFill>
                  <w14:solidFill>
                    <w14:schemeClr w14:val="tx1"/>
                  </w14:solidFill>
                </w14:textFill>
              </w:rPr>
            </w:pPr>
            <w:r>
              <w:rPr>
                <w:color w:val="000000" w:themeColor="text1"/>
                <w14:textFill>
                  <w14:solidFill>
                    <w14:schemeClr w14:val="tx1"/>
                  </w14:solidFill>
                </w14:textFill>
              </w:rPr>
              <w:t>焚烧炉渣应进行特性鉴别，经鉴别后属于危险废物，应按照危险废物进行安全处置，不属于危险废物的按一般废物进行处置。</w:t>
            </w:r>
          </w:p>
        </w:tc>
        <w:tc>
          <w:tcPr>
            <w:tcW w:w="3945" w:type="dxa"/>
            <w:noWrap/>
            <w:vAlign w:val="center"/>
          </w:tcPr>
          <w:p w14:paraId="2D99EF13">
            <w:pPr>
              <w:pStyle w:val="109"/>
              <w:rPr>
                <w:color w:val="000000" w:themeColor="text1"/>
                <w14:textFill>
                  <w14:solidFill>
                    <w14:schemeClr w14:val="tx1"/>
                  </w14:solidFill>
                </w14:textFill>
              </w:rPr>
            </w:pPr>
            <w:r>
              <w:rPr>
                <w:color w:val="000000" w:themeColor="text1"/>
                <w14:textFill>
                  <w14:solidFill>
                    <w14:schemeClr w14:val="tx1"/>
                  </w14:solidFill>
                </w14:textFill>
              </w:rPr>
              <w:t>无危废焚烧的炉渣产生，泥渣运至有相应危废资质的单位处置。　</w:t>
            </w:r>
          </w:p>
        </w:tc>
        <w:tc>
          <w:tcPr>
            <w:tcW w:w="746" w:type="dxa"/>
            <w:noWrap/>
            <w:vAlign w:val="center"/>
          </w:tcPr>
          <w:p w14:paraId="05757B55">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4222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015E5641">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4140" w:type="dxa"/>
            <w:noWrap/>
            <w:vAlign w:val="center"/>
          </w:tcPr>
          <w:p w14:paraId="1B1FBC21">
            <w:pPr>
              <w:pStyle w:val="109"/>
              <w:rPr>
                <w:color w:val="000000" w:themeColor="text1"/>
                <w14:textFill>
                  <w14:solidFill>
                    <w14:schemeClr w14:val="tx1"/>
                  </w14:solidFill>
                </w14:textFill>
              </w:rPr>
            </w:pPr>
            <w:r>
              <w:rPr>
                <w:color w:val="000000" w:themeColor="text1"/>
                <w14:textFill>
                  <w14:solidFill>
                    <w14:schemeClr w14:val="tx1"/>
                  </w14:solidFill>
                </w14:textFill>
              </w:rPr>
              <w:t>残渣处理系统应包括炉渣处理系统、飞灰处理系统。炉渣和飞灰处理系统各装置应保持密闭状态。</w:t>
            </w:r>
          </w:p>
        </w:tc>
        <w:tc>
          <w:tcPr>
            <w:tcW w:w="3945" w:type="dxa"/>
            <w:noWrap/>
            <w:vAlign w:val="center"/>
          </w:tcPr>
          <w:p w14:paraId="2B810087">
            <w:pPr>
              <w:pStyle w:val="109"/>
              <w:rPr>
                <w:color w:val="000000" w:themeColor="text1"/>
                <w14:textFill>
                  <w14:solidFill>
                    <w14:schemeClr w14:val="tx1"/>
                  </w14:solidFill>
                </w14:textFill>
              </w:rPr>
            </w:pPr>
            <w:r>
              <w:rPr>
                <w:color w:val="000000" w:themeColor="text1"/>
                <w14:textFill>
                  <w14:solidFill>
                    <w14:schemeClr w14:val="tx1"/>
                  </w14:solidFill>
                </w14:textFill>
              </w:rPr>
              <w:t>无危废焚烧的炉渣产生，泥渣运至有相应危废资质的单位处置。</w:t>
            </w:r>
          </w:p>
        </w:tc>
        <w:tc>
          <w:tcPr>
            <w:tcW w:w="746" w:type="dxa"/>
            <w:noWrap/>
            <w:vAlign w:val="center"/>
          </w:tcPr>
          <w:p w14:paraId="0EFE056A">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7E6D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3B8F61E6">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4140" w:type="dxa"/>
            <w:noWrap/>
            <w:vAlign w:val="center"/>
          </w:tcPr>
          <w:p w14:paraId="06AB822F">
            <w:pPr>
              <w:pStyle w:val="109"/>
              <w:rPr>
                <w:color w:val="000000" w:themeColor="text1"/>
                <w14:textFill>
                  <w14:solidFill>
                    <w14:schemeClr w14:val="tx1"/>
                  </w14:solidFill>
                </w14:textFill>
              </w:rPr>
            </w:pPr>
            <w:r>
              <w:rPr>
                <w:color w:val="000000" w:themeColor="text1"/>
                <w14:textFill>
                  <w14:solidFill>
                    <w14:schemeClr w14:val="tx1"/>
                  </w14:solidFill>
                </w14:textFill>
              </w:rPr>
              <w:t>对焚烧烟气中的烟尘、硫氧化物、氮氧化物、氯化物等污染因子，以及氧、一氧化碳、二氧化碳、一燃室和二燃室温度等工艺指标实行在线监测，并与当地环保部门联网。</w:t>
            </w:r>
          </w:p>
        </w:tc>
        <w:tc>
          <w:tcPr>
            <w:tcW w:w="3945" w:type="dxa"/>
            <w:noWrap/>
            <w:vAlign w:val="center"/>
          </w:tcPr>
          <w:p w14:paraId="7CADFF71">
            <w:pPr>
              <w:pStyle w:val="109"/>
              <w:rPr>
                <w:color w:val="000000" w:themeColor="text1"/>
                <w14:textFill>
                  <w14:solidFill>
                    <w14:schemeClr w14:val="tx1"/>
                  </w14:solidFill>
                </w14:textFill>
              </w:rPr>
            </w:pPr>
            <w:r>
              <w:rPr>
                <w:color w:val="000000" w:themeColor="text1"/>
                <w14:textFill>
                  <w14:solidFill>
                    <w14:schemeClr w14:val="tx1"/>
                  </w14:solidFill>
                </w14:textFill>
              </w:rPr>
              <w:t>配备了自动控制和废气在线监测系统，对污染因子：颗粒物、一氧化碳、二氧化硫、氯化 氢、氮氧化物、二燃室烟气二次燃烧段前后温度进行在线监测，并与环保部门联网。</w:t>
            </w:r>
          </w:p>
        </w:tc>
        <w:tc>
          <w:tcPr>
            <w:tcW w:w="746" w:type="dxa"/>
            <w:noWrap/>
            <w:vAlign w:val="center"/>
          </w:tcPr>
          <w:p w14:paraId="3A2D7EFF">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527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noWrap/>
            <w:vAlign w:val="center"/>
          </w:tcPr>
          <w:p w14:paraId="576AD0C0">
            <w:pPr>
              <w:pStyle w:val="109"/>
              <w:rPr>
                <w:color w:val="000000" w:themeColor="text1"/>
                <w14:textFill>
                  <w14:solidFill>
                    <w14:schemeClr w14:val="tx1"/>
                  </w14:solidFill>
                </w14:textFill>
              </w:rPr>
            </w:pPr>
            <w:r>
              <w:rPr>
                <w:color w:val="000000" w:themeColor="text1"/>
                <w14:textFill>
                  <w14:solidFill>
                    <w14:schemeClr w14:val="tx1"/>
                  </w14:solidFill>
                </w14:textFill>
              </w:rPr>
              <w:t>七</w:t>
            </w:r>
          </w:p>
        </w:tc>
        <w:tc>
          <w:tcPr>
            <w:tcW w:w="8838" w:type="dxa"/>
            <w:gridSpan w:val="4"/>
            <w:noWrap/>
            <w:vAlign w:val="center"/>
          </w:tcPr>
          <w:p w14:paraId="37D72EB1">
            <w:pPr>
              <w:pStyle w:val="109"/>
              <w:rPr>
                <w:color w:val="000000" w:themeColor="text1"/>
                <w14:textFill>
                  <w14:solidFill>
                    <w14:schemeClr w14:val="tx1"/>
                  </w14:solidFill>
                </w14:textFill>
              </w:rPr>
            </w:pPr>
            <w:r>
              <w:rPr>
                <w:color w:val="000000" w:themeColor="text1"/>
                <w14:textFill>
                  <w14:solidFill>
                    <w14:schemeClr w14:val="tx1"/>
                  </w14:solidFill>
                </w14:textFill>
              </w:rPr>
              <w:t>公用工程 　</w:t>
            </w:r>
          </w:p>
        </w:tc>
      </w:tr>
      <w:tr w14:paraId="3EFB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55476EBE">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140" w:type="dxa"/>
            <w:noWrap/>
            <w:vAlign w:val="center"/>
          </w:tcPr>
          <w:p w14:paraId="30705F1E">
            <w:pPr>
              <w:pStyle w:val="109"/>
              <w:rPr>
                <w:color w:val="000000" w:themeColor="text1"/>
                <w14:textFill>
                  <w14:solidFill>
                    <w14:schemeClr w14:val="tx1"/>
                  </w14:solidFill>
                </w14:textFill>
              </w:rPr>
            </w:pPr>
            <w:r>
              <w:rPr>
                <w:color w:val="000000" w:themeColor="text1"/>
                <w14:textFill>
                  <w14:solidFill>
                    <w14:schemeClr w14:val="tx1"/>
                  </w14:solidFill>
                </w14:textFill>
              </w:rPr>
              <w:t>焚烧厂应有可靠的供水水源和完善的供水设施。各种设备冷却水和其它生产废水，鼓励对其经过处理后再重复利用。厂区排水应采用雨污分流制。</w:t>
            </w:r>
          </w:p>
        </w:tc>
        <w:tc>
          <w:tcPr>
            <w:tcW w:w="3945" w:type="dxa"/>
            <w:noWrap/>
            <w:vAlign w:val="center"/>
          </w:tcPr>
          <w:p w14:paraId="61FDD18C">
            <w:pPr>
              <w:pStyle w:val="109"/>
              <w:rPr>
                <w:color w:val="000000" w:themeColor="text1"/>
                <w14:textFill>
                  <w14:solidFill>
                    <w14:schemeClr w14:val="tx1"/>
                  </w14:solidFill>
                </w14:textFill>
              </w:rPr>
            </w:pPr>
            <w:r>
              <w:rPr>
                <w:color w:val="000000" w:themeColor="text1"/>
                <w14:textFill>
                  <w14:solidFill>
                    <w14:schemeClr w14:val="tx1"/>
                  </w14:solidFill>
                </w14:textFill>
              </w:rPr>
              <w:t>给水管网已铺至本项目厂区附近，本项目与之对接即可，项目烟气处理系统废水全部经过多效蒸发后回用，循环冷却系统排污水、化验室废水、地面冲洗废水、多效蒸发冷凝水、生活污水排入园区污水处理厂处理。</w:t>
            </w:r>
          </w:p>
        </w:tc>
        <w:tc>
          <w:tcPr>
            <w:tcW w:w="746" w:type="dxa"/>
            <w:noWrap/>
            <w:vAlign w:val="center"/>
          </w:tcPr>
          <w:p w14:paraId="615CC4EB">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3E1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noWrap/>
            <w:vAlign w:val="center"/>
          </w:tcPr>
          <w:p w14:paraId="4C0A92B7">
            <w:pPr>
              <w:pStyle w:val="109"/>
              <w:rPr>
                <w:color w:val="000000" w:themeColor="text1"/>
                <w14:textFill>
                  <w14:solidFill>
                    <w14:schemeClr w14:val="tx1"/>
                  </w14:solidFill>
                </w14:textFill>
              </w:rPr>
            </w:pPr>
            <w:r>
              <w:rPr>
                <w:color w:val="000000" w:themeColor="text1"/>
                <w14:textFill>
                  <w14:solidFill>
                    <w14:schemeClr w14:val="tx1"/>
                  </w14:solidFill>
                </w14:textFill>
              </w:rPr>
              <w:t>八</w:t>
            </w:r>
          </w:p>
        </w:tc>
        <w:tc>
          <w:tcPr>
            <w:tcW w:w="8838" w:type="dxa"/>
            <w:gridSpan w:val="4"/>
            <w:noWrap/>
            <w:vAlign w:val="center"/>
          </w:tcPr>
          <w:p w14:paraId="4CAB54D1">
            <w:pPr>
              <w:pStyle w:val="109"/>
              <w:rPr>
                <w:color w:val="000000" w:themeColor="text1"/>
                <w14:textFill>
                  <w14:solidFill>
                    <w14:schemeClr w14:val="tx1"/>
                  </w14:solidFill>
                </w14:textFill>
              </w:rPr>
            </w:pPr>
            <w:r>
              <w:rPr>
                <w:color w:val="000000" w:themeColor="text1"/>
                <w14:textFill>
                  <w14:solidFill>
                    <w14:schemeClr w14:val="tx1"/>
                  </w14:solidFill>
                </w14:textFill>
              </w:rPr>
              <w:t>污染物控制 　</w:t>
            </w:r>
          </w:p>
        </w:tc>
      </w:tr>
      <w:tr w14:paraId="454A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6251F8B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140" w:type="dxa"/>
            <w:noWrap/>
            <w:vAlign w:val="center"/>
          </w:tcPr>
          <w:p w14:paraId="7DBEA95D">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危险废物焚烧过程中产生的烟气、残渣、恶臭、废水、噪声及其它污染物的防治与排放应贯彻执行国家现行的环境保护法规和标准。</w:t>
            </w:r>
          </w:p>
        </w:tc>
        <w:tc>
          <w:tcPr>
            <w:tcW w:w="3945" w:type="dxa"/>
            <w:noWrap/>
            <w:vAlign w:val="center"/>
          </w:tcPr>
          <w:p w14:paraId="167459C9">
            <w:pPr>
              <w:pStyle w:val="109"/>
              <w:rPr>
                <w:color w:val="000000" w:themeColor="text1"/>
                <w14:textFill>
                  <w14:solidFill>
                    <w14:schemeClr w14:val="tx1"/>
                  </w14:solidFill>
                </w14:textFill>
              </w:rPr>
            </w:pPr>
            <w:r>
              <w:rPr>
                <w:color w:val="000000" w:themeColor="text1"/>
                <w14:textFill>
                  <w14:solidFill>
                    <w14:schemeClr w14:val="tx1"/>
                  </w14:solidFill>
                </w14:textFill>
              </w:rPr>
              <w:t>本项目焚烧过程中产生的烟气、废水、噪声及其它污染物的防治与排放能达到国家现行的环境保护法规和标准。</w:t>
            </w:r>
          </w:p>
        </w:tc>
        <w:tc>
          <w:tcPr>
            <w:tcW w:w="746" w:type="dxa"/>
            <w:noWrap/>
            <w:vAlign w:val="center"/>
          </w:tcPr>
          <w:p w14:paraId="08A53762">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5A35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52BA0369">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4140" w:type="dxa"/>
            <w:noWrap/>
            <w:vAlign w:val="center"/>
          </w:tcPr>
          <w:p w14:paraId="4521A411">
            <w:pPr>
              <w:pStyle w:val="109"/>
              <w:rPr>
                <w:color w:val="000000" w:themeColor="text1"/>
                <w14:textFill>
                  <w14:solidFill>
                    <w14:schemeClr w14:val="tx1"/>
                  </w14:solidFill>
                </w14:textFill>
              </w:rPr>
            </w:pPr>
            <w:r>
              <w:rPr>
                <w:color w:val="000000" w:themeColor="text1"/>
                <w14:textFill>
                  <w14:solidFill>
                    <w14:schemeClr w14:val="tx1"/>
                  </w14:solidFill>
                </w14:textFill>
              </w:rPr>
              <w:t>应对焚烧工艺过程进行严格控制，抑制烟气中各种污染物的产生。对烟气必须采取综合处理措施，其烟气排放应符合国家《危险废物焚烧污染控制标准》(GB18484-2020)中的有关规定。</w:t>
            </w:r>
          </w:p>
        </w:tc>
        <w:tc>
          <w:tcPr>
            <w:tcW w:w="3945" w:type="dxa"/>
            <w:noWrap/>
            <w:vAlign w:val="center"/>
          </w:tcPr>
          <w:p w14:paraId="36A0009C">
            <w:pPr>
              <w:pStyle w:val="109"/>
              <w:rPr>
                <w:color w:val="000000" w:themeColor="text1"/>
                <w14:textFill>
                  <w14:solidFill>
                    <w14:schemeClr w14:val="tx1"/>
                  </w14:solidFill>
                </w14:textFill>
              </w:rPr>
            </w:pPr>
            <w:r>
              <w:rPr>
                <w:color w:val="000000" w:themeColor="text1"/>
                <w14:textFill>
                  <w14:solidFill>
                    <w14:schemeClr w14:val="tx1"/>
                  </w14:solidFill>
                </w14:textFill>
              </w:rPr>
              <w:t>本项目焚烧烟气净化采用“二燃室（SNCR）+石墨急冷塔+二级碱洗塔+水洗塔+湿电除尘+引风机+活性炭吸附+GGH换热+热风炉（电加热）+SCR”的组合方式，处理后烟气污染物能够达到《危险废物焚烧污染控制标准》（GB18484-2020)要求。</w:t>
            </w:r>
          </w:p>
        </w:tc>
        <w:tc>
          <w:tcPr>
            <w:tcW w:w="746" w:type="dxa"/>
            <w:noWrap/>
            <w:vAlign w:val="center"/>
          </w:tcPr>
          <w:p w14:paraId="334431BF">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269A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4627CF86">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4140" w:type="dxa"/>
            <w:noWrap/>
            <w:vAlign w:val="center"/>
          </w:tcPr>
          <w:p w14:paraId="00511070">
            <w:pPr>
              <w:pStyle w:val="109"/>
              <w:rPr>
                <w:color w:val="000000" w:themeColor="text1"/>
                <w14:textFill>
                  <w14:solidFill>
                    <w14:schemeClr w14:val="tx1"/>
                  </w14:solidFill>
                </w14:textFill>
              </w:rPr>
            </w:pPr>
            <w:r>
              <w:rPr>
                <w:color w:val="000000" w:themeColor="text1"/>
                <w14:textFill>
                  <w14:solidFill>
                    <w14:schemeClr w14:val="tx1"/>
                  </w14:solidFill>
                </w14:textFill>
              </w:rPr>
              <w:t>焚烧厂的废水经过处理后应优先回用。残渣处理必须采取有效的防止二次污染的措施。焚烧厂噪声控制应优先采取噪声源控制措施。厂区内各类地点的噪声控制宜采取以隔音为主，辅以消声、隔振、吸音综合治理措施。</w:t>
            </w:r>
          </w:p>
        </w:tc>
        <w:tc>
          <w:tcPr>
            <w:tcW w:w="3945" w:type="dxa"/>
            <w:noWrap/>
            <w:vAlign w:val="center"/>
          </w:tcPr>
          <w:p w14:paraId="40F05A7A">
            <w:pPr>
              <w:pStyle w:val="109"/>
              <w:rPr>
                <w:color w:val="000000" w:themeColor="text1"/>
                <w14:textFill>
                  <w14:solidFill>
                    <w14:schemeClr w14:val="tx1"/>
                  </w14:solidFill>
                </w14:textFill>
              </w:rPr>
            </w:pPr>
            <w:r>
              <w:rPr>
                <w:color w:val="000000" w:themeColor="text1"/>
                <w14:textFill>
                  <w14:solidFill>
                    <w14:schemeClr w14:val="tx1"/>
                  </w14:solidFill>
                </w14:textFill>
              </w:rPr>
              <w:t>本项目烟气处理系统废水全部经过多效蒸发后全部回用，项目生产设备均布置在密闭车间内，采取隔声措施，设备进行基础减震，废气处理风机设置隔声房，并采用吸音措施。</w:t>
            </w:r>
          </w:p>
        </w:tc>
        <w:tc>
          <w:tcPr>
            <w:tcW w:w="746" w:type="dxa"/>
            <w:noWrap/>
            <w:vAlign w:val="center"/>
          </w:tcPr>
          <w:p w14:paraId="5FCBC03A">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718B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0D154652">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4140" w:type="dxa"/>
            <w:noWrap/>
            <w:vAlign w:val="center"/>
          </w:tcPr>
          <w:p w14:paraId="04377D7A">
            <w:pPr>
              <w:pStyle w:val="109"/>
              <w:rPr>
                <w:color w:val="000000" w:themeColor="text1"/>
                <w14:textFill>
                  <w14:solidFill>
                    <w14:schemeClr w14:val="tx1"/>
                  </w14:solidFill>
                </w14:textFill>
              </w:rPr>
            </w:pPr>
            <w:r>
              <w:rPr>
                <w:color w:val="000000" w:themeColor="text1"/>
                <w14:textFill>
                  <w14:solidFill>
                    <w14:schemeClr w14:val="tx1"/>
                  </w14:solidFill>
                </w14:textFill>
              </w:rPr>
              <w:t>恶臭防治措施：废物贮存和焚烧部分处理设备等应采取密闭措施，减少灰尘和臭气外逸。焚烧厂恶臭污染物控制与防治应符合国家《恶臭污染物排放标准》 (GB14554-1993)中的有关规定。</w:t>
            </w:r>
          </w:p>
        </w:tc>
        <w:tc>
          <w:tcPr>
            <w:tcW w:w="3945" w:type="dxa"/>
            <w:noWrap/>
            <w:vAlign w:val="center"/>
          </w:tcPr>
          <w:p w14:paraId="5FD561F2">
            <w:pPr>
              <w:pStyle w:val="109"/>
              <w:rPr>
                <w:color w:val="000000" w:themeColor="text1"/>
                <w14:textFill>
                  <w14:solidFill>
                    <w14:schemeClr w14:val="tx1"/>
                  </w14:solidFill>
                </w14:textFill>
              </w:rPr>
            </w:pPr>
            <w:r>
              <w:rPr>
                <w:color w:val="000000" w:themeColor="text1"/>
                <w14:textFill>
                  <w14:solidFill>
                    <w14:schemeClr w14:val="tx1"/>
                  </w14:solidFill>
                </w14:textFill>
              </w:rPr>
              <w:t>本项目危险废物为废盐，干性的废盐采用密闭的两层袋装储存，暂存于负压废气收集的暂存仓库，有效较少的异味气体的散逸。</w:t>
            </w:r>
          </w:p>
        </w:tc>
        <w:tc>
          <w:tcPr>
            <w:tcW w:w="746" w:type="dxa"/>
            <w:noWrap/>
            <w:vAlign w:val="center"/>
          </w:tcPr>
          <w:p w14:paraId="181B7CB3">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r w14:paraId="5B6F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noWrap/>
            <w:vAlign w:val="center"/>
          </w:tcPr>
          <w:p w14:paraId="12E7ABE2">
            <w:pPr>
              <w:pStyle w:val="109"/>
              <w:rPr>
                <w:color w:val="000000" w:themeColor="text1"/>
                <w14:textFill>
                  <w14:solidFill>
                    <w14:schemeClr w14:val="tx1"/>
                  </w14:solidFill>
                </w14:textFill>
              </w:rPr>
            </w:pPr>
            <w:r>
              <w:rPr>
                <w:color w:val="000000" w:themeColor="text1"/>
                <w14:textFill>
                  <w14:solidFill>
                    <w14:schemeClr w14:val="tx1"/>
                  </w14:solidFill>
                </w14:textFill>
              </w:rPr>
              <w:t>九</w:t>
            </w:r>
          </w:p>
        </w:tc>
        <w:tc>
          <w:tcPr>
            <w:tcW w:w="8838" w:type="dxa"/>
            <w:gridSpan w:val="4"/>
            <w:noWrap/>
            <w:vAlign w:val="center"/>
          </w:tcPr>
          <w:p w14:paraId="5CB9B55F">
            <w:pPr>
              <w:pStyle w:val="109"/>
              <w:rPr>
                <w:color w:val="000000" w:themeColor="text1"/>
                <w14:textFill>
                  <w14:solidFill>
                    <w14:schemeClr w14:val="tx1"/>
                  </w14:solidFill>
                </w14:textFill>
              </w:rPr>
            </w:pPr>
            <w:r>
              <w:rPr>
                <w:color w:val="000000" w:themeColor="text1"/>
                <w14:textFill>
                  <w14:solidFill>
                    <w14:schemeClr w14:val="tx1"/>
                  </w14:solidFill>
                </w14:textFill>
              </w:rPr>
              <w:t>环境风险 　</w:t>
            </w:r>
          </w:p>
        </w:tc>
      </w:tr>
      <w:tr w14:paraId="2F09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582" w:type="dxa"/>
            <w:noWrap/>
            <w:vAlign w:val="center"/>
          </w:tcPr>
          <w:p w14:paraId="6F03EE14">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140" w:type="dxa"/>
            <w:noWrap/>
            <w:vAlign w:val="center"/>
          </w:tcPr>
          <w:p w14:paraId="4519D808">
            <w:pPr>
              <w:pStyle w:val="109"/>
              <w:rPr>
                <w:color w:val="000000" w:themeColor="text1"/>
                <w14:textFill>
                  <w14:solidFill>
                    <w14:schemeClr w14:val="tx1"/>
                  </w14:solidFill>
                </w14:textFill>
              </w:rPr>
            </w:pPr>
            <w:r>
              <w:rPr>
                <w:color w:val="000000" w:themeColor="text1"/>
                <w14:textFill>
                  <w14:solidFill>
                    <w14:schemeClr w14:val="tx1"/>
                  </w14:solidFill>
                </w14:textFill>
              </w:rPr>
              <w:t>环境影响报告书须设置环境风险影响评价专章，重点考虑二噁英和恶臭污染物的影响。事故及风险评价标准参照人体每日可耐受摄入量 4pgTEQ/kg执行，经呼吸进入人体的允许摄入量按每日可耐受摄入量 10%执行。根据计算结果给出可能影响的范围，并制定环境风险防范措施及应急预案，杜绝环境污染事故的发生。</w:t>
            </w:r>
          </w:p>
        </w:tc>
        <w:tc>
          <w:tcPr>
            <w:tcW w:w="3945" w:type="dxa"/>
            <w:noWrap/>
            <w:vAlign w:val="center"/>
          </w:tcPr>
          <w:p w14:paraId="0B8190BD">
            <w:pPr>
              <w:pStyle w:val="109"/>
              <w:rPr>
                <w:color w:val="000000" w:themeColor="text1"/>
                <w14:textFill>
                  <w14:solidFill>
                    <w14:schemeClr w14:val="tx1"/>
                  </w14:solidFill>
                </w14:textFill>
              </w:rPr>
            </w:pPr>
            <w:r>
              <w:rPr>
                <w:color w:val="000000" w:themeColor="text1"/>
                <w14:textFill>
                  <w14:solidFill>
                    <w14:schemeClr w14:val="tx1"/>
                  </w14:solidFill>
                </w14:textFill>
              </w:rPr>
              <w:t>项目报告书设置了环境风险影响评价，分析了事故时二噁英的影响，并制定环境风险防范措施及应急预案。　</w:t>
            </w:r>
          </w:p>
        </w:tc>
        <w:tc>
          <w:tcPr>
            <w:tcW w:w="746" w:type="dxa"/>
            <w:noWrap/>
            <w:vAlign w:val="center"/>
          </w:tcPr>
          <w:p w14:paraId="049A505F">
            <w:pPr>
              <w:pStyle w:val="109"/>
              <w:rPr>
                <w:color w:val="000000" w:themeColor="text1"/>
                <w14:textFill>
                  <w14:solidFill>
                    <w14:schemeClr w14:val="tx1"/>
                  </w14:solidFill>
                </w14:textFill>
              </w:rPr>
            </w:pPr>
            <w:r>
              <w:rPr>
                <w:color w:val="000000" w:themeColor="text1"/>
                <w14:textFill>
                  <w14:solidFill>
                    <w14:schemeClr w14:val="tx1"/>
                  </w14:solidFill>
                </w14:textFill>
              </w:rPr>
              <w:t>符合　</w:t>
            </w:r>
          </w:p>
        </w:tc>
      </w:tr>
    </w:tbl>
    <w:p w14:paraId="2C892BC6">
      <w:pPr>
        <w:pStyle w:val="4"/>
        <w:rPr>
          <w:rFonts w:ascii="Times New Roman" w:eastAsia="TimesNewRomanPSMT"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《危险废物焚烧污染控制标准》</w:t>
      </w:r>
      <w:r>
        <w:rPr>
          <w:rFonts w:ascii="Times New Roman" w:eastAsia="TimesNewRomanPSMT" w:cs="Times New Roman"/>
          <w:color w:val="000000" w:themeColor="text1"/>
          <w14:textFill>
            <w14:solidFill>
              <w14:schemeClr w14:val="tx1"/>
            </w14:solidFill>
          </w14:textFill>
        </w:rPr>
        <w:t>(GB18484-2020)</w:t>
      </w:r>
    </w:p>
    <w:p w14:paraId="256122A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本项目与《危险废物焚烧污染控制标准》</w:t>
      </w:r>
      <w:r>
        <w:rPr>
          <w:rFonts w:eastAsia="TimesNewRomanPSMT"/>
          <w:color w:val="000000" w:themeColor="text1"/>
          <w14:textFill>
            <w14:solidFill>
              <w14:schemeClr w14:val="tx1"/>
            </w14:solidFill>
          </w14:textFill>
        </w:rPr>
        <w:t>(GB18484-2020)</w:t>
      </w:r>
      <w:r>
        <w:rPr>
          <w:color w:val="000000" w:themeColor="text1"/>
          <w14:textFill>
            <w14:solidFill>
              <w14:schemeClr w14:val="tx1"/>
            </w14:solidFill>
          </w14:textFill>
        </w:rPr>
        <w:t>符合性分析见下表。</w:t>
      </w:r>
    </w:p>
    <w:p w14:paraId="1A7BEED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与GB18484-2020 符合性分析一览表</w:t>
      </w:r>
    </w:p>
    <w:tbl>
      <w:tblPr>
        <w:tblStyle w:val="76"/>
        <w:tblW w:w="940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3969"/>
        <w:gridCol w:w="3682"/>
        <w:gridCol w:w="996"/>
        <w:gridCol w:w="9"/>
      </w:tblGrid>
      <w:tr w14:paraId="6043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1F87479D">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3969" w:type="dxa"/>
            <w:noWrap/>
            <w:vAlign w:val="center"/>
          </w:tcPr>
          <w:p w14:paraId="23D315C6">
            <w:pPr>
              <w:pStyle w:val="109"/>
              <w:rPr>
                <w:color w:val="000000" w:themeColor="text1"/>
                <w14:textFill>
                  <w14:solidFill>
                    <w14:schemeClr w14:val="tx1"/>
                  </w14:solidFill>
                </w14:textFill>
              </w:rPr>
            </w:pPr>
            <w:r>
              <w:rPr>
                <w:color w:val="000000" w:themeColor="text1"/>
                <w14:textFill>
                  <w14:solidFill>
                    <w14:schemeClr w14:val="tx1"/>
                  </w14:solidFill>
                </w14:textFill>
              </w:rPr>
              <w:t>相关规定</w:t>
            </w:r>
          </w:p>
        </w:tc>
        <w:tc>
          <w:tcPr>
            <w:tcW w:w="3682" w:type="dxa"/>
            <w:noWrap/>
            <w:vAlign w:val="center"/>
          </w:tcPr>
          <w:p w14:paraId="73F70832">
            <w:pPr>
              <w:pStyle w:val="109"/>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996" w:type="dxa"/>
            <w:noWrap/>
            <w:vAlign w:val="center"/>
          </w:tcPr>
          <w:p w14:paraId="67025A00">
            <w:pPr>
              <w:pStyle w:val="109"/>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3C27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1F0FD276">
            <w:pPr>
              <w:pStyle w:val="109"/>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8656" w:type="dxa"/>
            <w:gridSpan w:val="4"/>
            <w:noWrap/>
            <w:vAlign w:val="center"/>
          </w:tcPr>
          <w:p w14:paraId="3D09CDC3">
            <w:pPr>
              <w:pStyle w:val="109"/>
              <w:rPr>
                <w:color w:val="000000" w:themeColor="text1"/>
                <w14:textFill>
                  <w14:solidFill>
                    <w14:schemeClr w14:val="tx1"/>
                  </w14:solidFill>
                </w14:textFill>
              </w:rPr>
            </w:pPr>
            <w:r>
              <w:rPr>
                <w:color w:val="000000" w:themeColor="text1"/>
                <w14:textFill>
                  <w14:solidFill>
                    <w14:schemeClr w14:val="tx1"/>
                  </w14:solidFill>
                </w14:textFill>
              </w:rPr>
              <w:t>选址要求　</w:t>
            </w:r>
          </w:p>
        </w:tc>
      </w:tr>
      <w:tr w14:paraId="15AB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52FE5134">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3969" w:type="dxa"/>
            <w:noWrap/>
            <w:vAlign w:val="center"/>
          </w:tcPr>
          <w:p w14:paraId="017E13C2">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设施选址应符合生态环境保护法律法规及相关法定规划要求，并综合考虑设施服务区域、交通运输、地质环境等基本要素，确保设施处于长期相对稳定的环境。鼓励危险废物焚烧设施入驻循环经济园区等市政设施的集中区域，在此区域内各设施功能布局可依据环境影响评价文件进行调整。</w:t>
            </w:r>
          </w:p>
        </w:tc>
        <w:tc>
          <w:tcPr>
            <w:tcW w:w="3682" w:type="dxa"/>
            <w:noWrap/>
            <w:vAlign w:val="center"/>
          </w:tcPr>
          <w:p w14:paraId="01EE63F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本项目位于乌鲁木齐甘泉堡经济技术开发区（工业区）化工园区内，所在地为三类工业用地。本项目为工业废盐无害化处置与资源化利用项目，属于危险废物综合利用、循环经济、环保基础设施类项目，完全契合园区绿色、低碳、循环、安全的总体发展定位。本项目处置的工业废盐，正是煤化工、精细化工、盐化工生产过程中产生的典型副产危险废物。 </w:t>
            </w:r>
          </w:p>
          <w:p w14:paraId="5CC8A11D">
            <w:pPr>
              <w:pStyle w:val="109"/>
              <w:rPr>
                <w:color w:val="000000" w:themeColor="text1"/>
                <w14:textFill>
                  <w14:solidFill>
                    <w14:schemeClr w14:val="tx1"/>
                  </w14:solidFill>
                </w14:textFill>
              </w:rPr>
            </w:pPr>
            <w:r>
              <w:rPr>
                <w:color w:val="000000" w:themeColor="text1"/>
                <w14:textFill>
                  <w14:solidFill>
                    <w14:schemeClr w14:val="tx1"/>
                  </w14:solidFill>
                </w14:textFill>
              </w:rPr>
              <w:t>项目为园区煤化工、精细化工产业提供必需的危险废物处置配套保障，是产业链安全、稳定、绿色运行的关键支撑环节。因此本项目符合园区总体规划及产业布局要求，是园区化工及新材料产业高质量、可持续发展的重要环保配套项目。</w:t>
            </w:r>
          </w:p>
        </w:tc>
        <w:tc>
          <w:tcPr>
            <w:tcW w:w="996" w:type="dxa"/>
            <w:noWrap/>
            <w:vAlign w:val="center"/>
          </w:tcPr>
          <w:p w14:paraId="17D9B2C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336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62F1888A">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3969" w:type="dxa"/>
            <w:noWrap/>
            <w:vAlign w:val="center"/>
          </w:tcPr>
          <w:p w14:paraId="67100ADE">
            <w:pPr>
              <w:pStyle w:val="109"/>
              <w:rPr>
                <w:color w:val="000000" w:themeColor="text1"/>
                <w14:textFill>
                  <w14:solidFill>
                    <w14:schemeClr w14:val="tx1"/>
                  </w14:solidFill>
                </w14:textFill>
              </w:rPr>
            </w:pPr>
            <w:r>
              <w:rPr>
                <w:color w:val="000000" w:themeColor="text1"/>
                <w14:textFill>
                  <w14:solidFill>
                    <w14:schemeClr w14:val="tx1"/>
                  </w14:solidFill>
                </w14:textFill>
              </w:rPr>
              <w:t>焚烧设施选址不应位于国务院和国务院有关主管部门及省、自治区、直辖市人民政府划定的生态保护红线区域、永久基本农田集中区域和其他需要特别保护的区域内。</w:t>
            </w:r>
          </w:p>
        </w:tc>
        <w:tc>
          <w:tcPr>
            <w:tcW w:w="3682" w:type="dxa"/>
            <w:noWrap/>
            <w:vAlign w:val="center"/>
          </w:tcPr>
          <w:p w14:paraId="6D7DE6B3">
            <w:pPr>
              <w:pStyle w:val="109"/>
              <w:rPr>
                <w:color w:val="000000" w:themeColor="text1"/>
                <w14:textFill>
                  <w14:solidFill>
                    <w14:schemeClr w14:val="tx1"/>
                  </w14:solidFill>
                </w14:textFill>
              </w:rPr>
            </w:pPr>
            <w:r>
              <w:rPr>
                <w:color w:val="000000" w:themeColor="text1"/>
                <w14:textFill>
                  <w14:solidFill>
                    <w14:schemeClr w14:val="tx1"/>
                  </w14:solidFill>
                </w14:textFill>
              </w:rPr>
              <w:t>本项目不涉及永久基本农田集中区域和其他需要特别保护的区域。</w:t>
            </w:r>
          </w:p>
        </w:tc>
        <w:tc>
          <w:tcPr>
            <w:tcW w:w="996" w:type="dxa"/>
            <w:noWrap/>
            <w:vAlign w:val="center"/>
          </w:tcPr>
          <w:p w14:paraId="12084B21">
            <w:pPr>
              <w:pStyle w:val="109"/>
              <w:rPr>
                <w:color w:val="000000" w:themeColor="text1"/>
                <w14:textFill>
                  <w14:solidFill>
                    <w14:schemeClr w14:val="tx1"/>
                  </w14:solidFill>
                </w14:textFill>
              </w:rPr>
            </w:pPr>
          </w:p>
        </w:tc>
      </w:tr>
      <w:tr w14:paraId="61D2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4D126D74">
            <w:pPr>
              <w:pStyle w:val="109"/>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8656" w:type="dxa"/>
            <w:gridSpan w:val="4"/>
            <w:noWrap/>
            <w:vAlign w:val="center"/>
          </w:tcPr>
          <w:p w14:paraId="56FDCDEF">
            <w:pPr>
              <w:pStyle w:val="109"/>
              <w:rPr>
                <w:color w:val="000000" w:themeColor="text1"/>
                <w14:textFill>
                  <w14:solidFill>
                    <w14:schemeClr w14:val="tx1"/>
                  </w14:solidFill>
                </w14:textFill>
              </w:rPr>
            </w:pPr>
            <w:r>
              <w:rPr>
                <w:color w:val="000000" w:themeColor="text1"/>
                <w14:textFill>
                  <w14:solidFill>
                    <w14:schemeClr w14:val="tx1"/>
                  </w14:solidFill>
                </w14:textFill>
              </w:rPr>
              <w:t>污染控制技术要求</w:t>
            </w:r>
          </w:p>
        </w:tc>
      </w:tr>
      <w:tr w14:paraId="7C11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59C83339">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8656" w:type="dxa"/>
            <w:gridSpan w:val="4"/>
            <w:noWrap/>
            <w:vAlign w:val="center"/>
          </w:tcPr>
          <w:p w14:paraId="70620971">
            <w:pPr>
              <w:pStyle w:val="109"/>
              <w:rPr>
                <w:color w:val="000000" w:themeColor="text1"/>
                <w14:textFill>
                  <w14:solidFill>
                    <w14:schemeClr w14:val="tx1"/>
                  </w14:solidFill>
                </w14:textFill>
              </w:rPr>
            </w:pPr>
            <w:r>
              <w:rPr>
                <w:color w:val="000000" w:themeColor="text1"/>
                <w14:textFill>
                  <w14:solidFill>
                    <w14:schemeClr w14:val="tx1"/>
                  </w14:solidFill>
                </w14:textFill>
              </w:rPr>
              <w:t>贮存</w:t>
            </w:r>
          </w:p>
        </w:tc>
      </w:tr>
      <w:tr w14:paraId="03C5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36CFE43F">
            <w:pPr>
              <w:pStyle w:val="109"/>
              <w:rPr>
                <w:color w:val="000000" w:themeColor="text1"/>
                <w14:textFill>
                  <w14:solidFill>
                    <w14:schemeClr w14:val="tx1"/>
                  </w14:solidFill>
                </w14:textFill>
              </w:rPr>
            </w:pPr>
          </w:p>
        </w:tc>
        <w:tc>
          <w:tcPr>
            <w:tcW w:w="3969" w:type="dxa"/>
            <w:noWrap/>
            <w:vAlign w:val="center"/>
          </w:tcPr>
          <w:p w14:paraId="6074162F">
            <w:pPr>
              <w:pStyle w:val="109"/>
              <w:rPr>
                <w:color w:val="000000" w:themeColor="text1"/>
                <w14:textFill>
                  <w14:solidFill>
                    <w14:schemeClr w14:val="tx1"/>
                  </w14:solidFill>
                </w14:textFill>
              </w:rPr>
            </w:pPr>
            <w:r>
              <w:rPr>
                <w:color w:val="000000" w:themeColor="text1"/>
                <w14:textFill>
                  <w14:solidFill>
                    <w14:schemeClr w14:val="tx1"/>
                  </w14:solidFill>
                </w14:textFill>
              </w:rPr>
              <w:t>贮存设施应符合 GB 18597 中规定的要求</w:t>
            </w:r>
          </w:p>
        </w:tc>
        <w:tc>
          <w:tcPr>
            <w:tcW w:w="3682" w:type="dxa"/>
            <w:noWrap/>
            <w:vAlign w:val="center"/>
          </w:tcPr>
          <w:p w14:paraId="6083E5FC">
            <w:pPr>
              <w:pStyle w:val="109"/>
              <w:rPr>
                <w:color w:val="000000" w:themeColor="text1"/>
                <w14:textFill>
                  <w14:solidFill>
                    <w14:schemeClr w14:val="tx1"/>
                  </w14:solidFill>
                </w14:textFill>
              </w:rPr>
            </w:pPr>
            <w:r>
              <w:rPr>
                <w:color w:val="000000" w:themeColor="text1"/>
                <w14:textFill>
                  <w14:solidFill>
                    <w14:schemeClr w14:val="tx1"/>
                  </w14:solidFill>
                </w14:textFill>
              </w:rPr>
              <w:t>本项目废盐仓库为封闭式设置，配套风量</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0000m³的风机，可确保废盐仓库内换气次数达到4次/h。本项目废盐仓库采用300mm厚3:7灰土夯实+150mm厚C15混凝土层+20mm厚的1:2水泥砂浆抹面压实赶光，刷防渗底油一道，4mm厚一布二胶耐酸碱玻璃钢网布防油渗胶泥隔离层，满涂防油渗水泥浆一道，100mm厚C30混凝土，混凝土抹光后涂环氧地坪漆，渗透系数≤10-10cm/s，上述措施可满足GB 18597中规定的要求</w:t>
            </w:r>
          </w:p>
        </w:tc>
        <w:tc>
          <w:tcPr>
            <w:tcW w:w="996" w:type="dxa"/>
            <w:noWrap/>
            <w:vAlign w:val="center"/>
          </w:tcPr>
          <w:p w14:paraId="3F1AD761">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6C4A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481E527C">
            <w:pPr>
              <w:pStyle w:val="109"/>
              <w:rPr>
                <w:color w:val="000000" w:themeColor="text1"/>
                <w14:textFill>
                  <w14:solidFill>
                    <w14:schemeClr w14:val="tx1"/>
                  </w14:solidFill>
                </w14:textFill>
              </w:rPr>
            </w:pPr>
          </w:p>
        </w:tc>
        <w:tc>
          <w:tcPr>
            <w:tcW w:w="3969" w:type="dxa"/>
            <w:noWrap/>
            <w:vAlign w:val="center"/>
          </w:tcPr>
          <w:p w14:paraId="4E4F33DD">
            <w:pPr>
              <w:pStyle w:val="109"/>
              <w:rPr>
                <w:color w:val="000000" w:themeColor="text1"/>
                <w14:textFill>
                  <w14:solidFill>
                    <w14:schemeClr w14:val="tx1"/>
                  </w14:solidFill>
                </w14:textFill>
              </w:rPr>
            </w:pPr>
            <w:r>
              <w:rPr>
                <w:color w:val="000000" w:themeColor="text1"/>
                <w14:textFill>
                  <w14:solidFill>
                    <w14:schemeClr w14:val="tx1"/>
                  </w14:solidFill>
                </w14:textFill>
              </w:rPr>
              <w:t>贮存设施应设置焚烧残余物暂存设施和分区</w:t>
            </w:r>
          </w:p>
        </w:tc>
        <w:tc>
          <w:tcPr>
            <w:tcW w:w="3682" w:type="dxa"/>
            <w:noWrap/>
            <w:vAlign w:val="center"/>
          </w:tcPr>
          <w:p w14:paraId="4F8596CD">
            <w:pPr>
              <w:pStyle w:val="109"/>
              <w:rPr>
                <w:color w:val="000000" w:themeColor="text1"/>
                <w14:textFill>
                  <w14:solidFill>
                    <w14:schemeClr w14:val="tx1"/>
                  </w14:solidFill>
                </w14:textFill>
              </w:rPr>
            </w:pPr>
            <w:r>
              <w:rPr>
                <w:color w:val="000000" w:themeColor="text1"/>
                <w14:textFill>
                  <w14:solidFill>
                    <w14:schemeClr w14:val="tx1"/>
                  </w14:solidFill>
                </w14:textFill>
              </w:rPr>
              <w:t>本项目处置废盐，不产生焚烧残余物</w:t>
            </w:r>
          </w:p>
        </w:tc>
        <w:tc>
          <w:tcPr>
            <w:tcW w:w="996" w:type="dxa"/>
            <w:noWrap/>
            <w:vAlign w:val="center"/>
          </w:tcPr>
          <w:p w14:paraId="52F7176E">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B48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08ACB74E">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8656" w:type="dxa"/>
            <w:gridSpan w:val="4"/>
            <w:noWrap/>
            <w:vAlign w:val="center"/>
          </w:tcPr>
          <w:p w14:paraId="6500D06C">
            <w:pPr>
              <w:pStyle w:val="109"/>
              <w:rPr>
                <w:color w:val="000000" w:themeColor="text1"/>
                <w14:textFill>
                  <w14:solidFill>
                    <w14:schemeClr w14:val="tx1"/>
                  </w14:solidFill>
                </w14:textFill>
              </w:rPr>
            </w:pPr>
            <w:r>
              <w:rPr>
                <w:color w:val="000000" w:themeColor="text1"/>
                <w14:textFill>
                  <w14:solidFill>
                    <w14:schemeClr w14:val="tx1"/>
                  </w14:solidFill>
                </w14:textFill>
              </w:rPr>
              <w:t>配伍</w:t>
            </w:r>
          </w:p>
        </w:tc>
      </w:tr>
      <w:tr w14:paraId="73BD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6063A32D">
            <w:pPr>
              <w:pStyle w:val="109"/>
              <w:rPr>
                <w:color w:val="000000" w:themeColor="text1"/>
                <w14:textFill>
                  <w14:solidFill>
                    <w14:schemeClr w14:val="tx1"/>
                  </w14:solidFill>
                </w14:textFill>
              </w:rPr>
            </w:pPr>
          </w:p>
        </w:tc>
        <w:tc>
          <w:tcPr>
            <w:tcW w:w="3969" w:type="dxa"/>
            <w:noWrap/>
            <w:vAlign w:val="center"/>
          </w:tcPr>
          <w:p w14:paraId="6977EECE">
            <w:pPr>
              <w:pStyle w:val="109"/>
              <w:rPr>
                <w:color w:val="000000" w:themeColor="text1"/>
                <w14:textFill>
                  <w14:solidFill>
                    <w14:schemeClr w14:val="tx1"/>
                  </w14:solidFill>
                </w14:textFill>
              </w:rPr>
            </w:pPr>
            <w:r>
              <w:rPr>
                <w:color w:val="000000" w:themeColor="text1"/>
                <w14:textFill>
                  <w14:solidFill>
                    <w14:schemeClr w14:val="tx1"/>
                  </w14:solidFill>
                </w14:textFill>
              </w:rPr>
              <w:t>入炉危险废物应符合焚烧炉的设计要求。具有易爆性的危险废物禁止进行焚烧处置</w:t>
            </w:r>
          </w:p>
        </w:tc>
        <w:tc>
          <w:tcPr>
            <w:tcW w:w="3682" w:type="dxa"/>
            <w:vMerge w:val="restart"/>
            <w:vAlign w:val="center"/>
          </w:tcPr>
          <w:p w14:paraId="39113F89">
            <w:pPr>
              <w:pStyle w:val="109"/>
              <w:rPr>
                <w:color w:val="000000" w:themeColor="text1"/>
                <w14:textFill>
                  <w14:solidFill>
                    <w14:schemeClr w14:val="tx1"/>
                  </w14:solidFill>
                </w14:textFill>
              </w:rPr>
            </w:pPr>
            <w:r>
              <w:rPr>
                <w:color w:val="000000" w:themeColor="text1"/>
                <w14:textFill>
                  <w14:solidFill>
                    <w14:schemeClr w14:val="tx1"/>
                  </w14:solidFill>
                </w14:textFill>
              </w:rPr>
              <w:t>入炉废盐按本项目配套焚烧炉设计入炉要求进行配伍，项目不回收处置易爆的危险废物</w:t>
            </w:r>
          </w:p>
        </w:tc>
        <w:tc>
          <w:tcPr>
            <w:tcW w:w="996" w:type="dxa"/>
            <w:vMerge w:val="restart"/>
            <w:vAlign w:val="center"/>
          </w:tcPr>
          <w:p w14:paraId="65BF376B">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D53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5AA3CA9A">
            <w:pPr>
              <w:pStyle w:val="109"/>
              <w:rPr>
                <w:color w:val="000000" w:themeColor="text1"/>
                <w14:textFill>
                  <w14:solidFill>
                    <w14:schemeClr w14:val="tx1"/>
                  </w14:solidFill>
                </w14:textFill>
              </w:rPr>
            </w:pPr>
          </w:p>
        </w:tc>
        <w:tc>
          <w:tcPr>
            <w:tcW w:w="3969" w:type="dxa"/>
            <w:noWrap/>
            <w:vAlign w:val="center"/>
          </w:tcPr>
          <w:p w14:paraId="58A04F09">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危险废物入炉前应根据焚烧炉的性能要求对危险废物进行配伍，以使其热值、主要有害组分 含量、可燃氯含量、重金属含量、可燃硫含量、水分和灰分符合焚烧处置设施的设计要求，应保证 入炉废物理化性质稳定</w:t>
            </w:r>
          </w:p>
        </w:tc>
        <w:tc>
          <w:tcPr>
            <w:tcW w:w="3682" w:type="dxa"/>
            <w:vMerge w:val="continue"/>
            <w:vAlign w:val="center"/>
          </w:tcPr>
          <w:p w14:paraId="1904E4FD">
            <w:pPr>
              <w:pStyle w:val="109"/>
              <w:rPr>
                <w:color w:val="000000" w:themeColor="text1"/>
                <w14:textFill>
                  <w14:solidFill>
                    <w14:schemeClr w14:val="tx1"/>
                  </w14:solidFill>
                </w14:textFill>
              </w:rPr>
            </w:pPr>
          </w:p>
        </w:tc>
        <w:tc>
          <w:tcPr>
            <w:tcW w:w="996" w:type="dxa"/>
            <w:vMerge w:val="continue"/>
            <w:vAlign w:val="center"/>
          </w:tcPr>
          <w:p w14:paraId="6BD173C8">
            <w:pPr>
              <w:pStyle w:val="109"/>
              <w:rPr>
                <w:color w:val="000000" w:themeColor="text1"/>
                <w14:textFill>
                  <w14:solidFill>
                    <w14:schemeClr w14:val="tx1"/>
                  </w14:solidFill>
                </w14:textFill>
              </w:rPr>
            </w:pPr>
          </w:p>
        </w:tc>
      </w:tr>
      <w:tr w14:paraId="783D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6EA6E741">
            <w:pPr>
              <w:pStyle w:val="109"/>
              <w:rPr>
                <w:color w:val="000000" w:themeColor="text1"/>
                <w14:textFill>
                  <w14:solidFill>
                    <w14:schemeClr w14:val="tx1"/>
                  </w14:solidFill>
                </w14:textFill>
              </w:rPr>
            </w:pPr>
          </w:p>
        </w:tc>
        <w:tc>
          <w:tcPr>
            <w:tcW w:w="3969" w:type="dxa"/>
            <w:noWrap/>
            <w:vAlign w:val="center"/>
          </w:tcPr>
          <w:p w14:paraId="140290C4">
            <w:pPr>
              <w:pStyle w:val="109"/>
              <w:rPr>
                <w:color w:val="000000" w:themeColor="text1"/>
                <w14:textFill>
                  <w14:solidFill>
                    <w14:schemeClr w14:val="tx1"/>
                  </w14:solidFill>
                </w14:textFill>
              </w:rPr>
            </w:pPr>
            <w:r>
              <w:rPr>
                <w:color w:val="000000" w:themeColor="text1"/>
                <w14:textFill>
                  <w14:solidFill>
                    <w14:schemeClr w14:val="tx1"/>
                  </w14:solidFill>
                </w14:textFill>
              </w:rPr>
              <w:t>预处理和配伍车间污染控制措施应符合GB 18597中规定的要求，产生的废气应收集并导入废气处理装置，产生的废水应收集并导入废水处理装置</w:t>
            </w:r>
          </w:p>
        </w:tc>
        <w:tc>
          <w:tcPr>
            <w:tcW w:w="3682" w:type="dxa"/>
            <w:vAlign w:val="center"/>
          </w:tcPr>
          <w:p w14:paraId="41787543">
            <w:pPr>
              <w:pStyle w:val="109"/>
              <w:rPr>
                <w:color w:val="000000" w:themeColor="text1"/>
                <w14:textFill>
                  <w14:solidFill>
                    <w14:schemeClr w14:val="tx1"/>
                  </w14:solidFill>
                </w14:textFill>
              </w:rPr>
            </w:pPr>
            <w:r>
              <w:rPr>
                <w:color w:val="000000" w:themeColor="text1"/>
                <w14:textFill>
                  <w14:solidFill>
                    <w14:schemeClr w14:val="tx1"/>
                  </w14:solidFill>
                </w14:textFill>
              </w:rPr>
              <w:t>本项目在废盐仓库暂存废气和配伍废气均经过负压收集后引入二级活性炭装置处理</w:t>
            </w:r>
          </w:p>
        </w:tc>
        <w:tc>
          <w:tcPr>
            <w:tcW w:w="996" w:type="dxa"/>
            <w:vAlign w:val="center"/>
          </w:tcPr>
          <w:p w14:paraId="45375ECF">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459B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59F6CB49">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8656" w:type="dxa"/>
            <w:gridSpan w:val="4"/>
            <w:noWrap/>
            <w:vAlign w:val="center"/>
          </w:tcPr>
          <w:p w14:paraId="6BE18443">
            <w:pPr>
              <w:pStyle w:val="109"/>
              <w:rPr>
                <w:color w:val="000000" w:themeColor="text1"/>
                <w14:textFill>
                  <w14:solidFill>
                    <w14:schemeClr w14:val="tx1"/>
                  </w14:solidFill>
                </w14:textFill>
              </w:rPr>
            </w:pPr>
            <w:r>
              <w:rPr>
                <w:color w:val="000000" w:themeColor="text1"/>
                <w14:textFill>
                  <w14:solidFill>
                    <w14:schemeClr w14:val="tx1"/>
                  </w14:solidFill>
                </w14:textFill>
              </w:rPr>
              <w:t>焚烧</w:t>
            </w:r>
          </w:p>
        </w:tc>
      </w:tr>
      <w:tr w14:paraId="050D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094231B2">
            <w:pPr>
              <w:pStyle w:val="109"/>
              <w:rPr>
                <w:color w:val="000000" w:themeColor="text1"/>
                <w14:textFill>
                  <w14:solidFill>
                    <w14:schemeClr w14:val="tx1"/>
                  </w14:solidFill>
                </w14:textFill>
              </w:rPr>
            </w:pPr>
          </w:p>
        </w:tc>
        <w:tc>
          <w:tcPr>
            <w:tcW w:w="8656" w:type="dxa"/>
            <w:gridSpan w:val="4"/>
            <w:noWrap/>
            <w:vAlign w:val="center"/>
          </w:tcPr>
          <w:p w14:paraId="4B793C5A">
            <w:pPr>
              <w:pStyle w:val="109"/>
              <w:rPr>
                <w:color w:val="000000" w:themeColor="text1"/>
                <w14:textFill>
                  <w14:solidFill>
                    <w14:schemeClr w14:val="tx1"/>
                  </w14:solidFill>
                </w14:textFill>
              </w:rPr>
            </w:pPr>
            <w:r>
              <w:rPr>
                <w:color w:val="000000" w:themeColor="text1"/>
                <w14:textFill>
                  <w14:solidFill>
                    <w14:schemeClr w14:val="tx1"/>
                  </w14:solidFill>
                </w14:textFill>
              </w:rPr>
              <w:t>一般规定</w:t>
            </w:r>
          </w:p>
        </w:tc>
      </w:tr>
      <w:tr w14:paraId="3C83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61FE89F1">
            <w:pPr>
              <w:pStyle w:val="109"/>
              <w:rPr>
                <w:color w:val="000000" w:themeColor="text1"/>
                <w14:textFill>
                  <w14:solidFill>
                    <w14:schemeClr w14:val="tx1"/>
                  </w14:solidFill>
                </w14:textFill>
              </w:rPr>
            </w:pPr>
          </w:p>
        </w:tc>
        <w:tc>
          <w:tcPr>
            <w:tcW w:w="3969" w:type="dxa"/>
            <w:noWrap/>
            <w:vAlign w:val="center"/>
          </w:tcPr>
          <w:p w14:paraId="7CFED676">
            <w:pPr>
              <w:pStyle w:val="109"/>
              <w:rPr>
                <w:color w:val="000000" w:themeColor="text1"/>
                <w14:textFill>
                  <w14:solidFill>
                    <w14:schemeClr w14:val="tx1"/>
                  </w14:solidFill>
                </w14:textFill>
              </w:rPr>
            </w:pPr>
            <w:r>
              <w:rPr>
                <w:color w:val="000000" w:themeColor="text1"/>
                <w14:textFill>
                  <w14:solidFill>
                    <w14:schemeClr w14:val="tx1"/>
                  </w14:solidFill>
                </w14:textFill>
              </w:rPr>
              <w:t>焚烧设施应采取负压设计或其他技术措施，防止运行过程中有害气体逸出</w:t>
            </w:r>
          </w:p>
        </w:tc>
        <w:tc>
          <w:tcPr>
            <w:tcW w:w="3682" w:type="dxa"/>
            <w:noWrap/>
            <w:vAlign w:val="center"/>
          </w:tcPr>
          <w:p w14:paraId="57766CFE">
            <w:pPr>
              <w:pStyle w:val="109"/>
              <w:rPr>
                <w:color w:val="000000" w:themeColor="text1"/>
                <w14:textFill>
                  <w14:solidFill>
                    <w14:schemeClr w14:val="tx1"/>
                  </w14:solidFill>
                </w14:textFill>
              </w:rPr>
            </w:pPr>
            <w:r>
              <w:rPr>
                <w:color w:val="000000" w:themeColor="text1"/>
                <w14:textFill>
                  <w14:solidFill>
                    <w14:schemeClr w14:val="tx1"/>
                  </w14:solidFill>
                </w14:textFill>
              </w:rPr>
              <w:t>焚烧炉系统处于负压状态，可有效防止有害气逸出。</w:t>
            </w:r>
          </w:p>
        </w:tc>
        <w:tc>
          <w:tcPr>
            <w:tcW w:w="996" w:type="dxa"/>
            <w:noWrap/>
            <w:vAlign w:val="center"/>
          </w:tcPr>
          <w:p w14:paraId="75403D7D">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符合 </w:t>
            </w:r>
          </w:p>
        </w:tc>
      </w:tr>
      <w:tr w14:paraId="035D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27C9F0AF">
            <w:pPr>
              <w:pStyle w:val="109"/>
              <w:rPr>
                <w:color w:val="000000" w:themeColor="text1"/>
                <w14:textFill>
                  <w14:solidFill>
                    <w14:schemeClr w14:val="tx1"/>
                  </w14:solidFill>
                </w14:textFill>
              </w:rPr>
            </w:pPr>
          </w:p>
        </w:tc>
        <w:tc>
          <w:tcPr>
            <w:tcW w:w="3969" w:type="dxa"/>
            <w:noWrap/>
            <w:vAlign w:val="center"/>
          </w:tcPr>
          <w:p w14:paraId="0923212D">
            <w:pPr>
              <w:pStyle w:val="109"/>
              <w:rPr>
                <w:color w:val="000000" w:themeColor="text1"/>
                <w14:textFill>
                  <w14:solidFill>
                    <w14:schemeClr w14:val="tx1"/>
                  </w14:solidFill>
                </w14:textFill>
              </w:rPr>
            </w:pPr>
            <w:r>
              <w:rPr>
                <w:color w:val="000000" w:themeColor="text1"/>
                <w14:textFill>
                  <w14:solidFill>
                    <w14:schemeClr w14:val="tx1"/>
                  </w14:solidFill>
                </w14:textFill>
              </w:rPr>
              <w:t>焚烧设施应配置具有自动联机、停机功能的进料装置，烟气净化装置，以及集成烟气在线自动监测、运行工况在线监测等功能的运行监控装置</w:t>
            </w:r>
          </w:p>
        </w:tc>
        <w:tc>
          <w:tcPr>
            <w:tcW w:w="3682" w:type="dxa"/>
            <w:noWrap/>
            <w:vAlign w:val="center"/>
          </w:tcPr>
          <w:p w14:paraId="23BC6649">
            <w:pPr>
              <w:pStyle w:val="109"/>
              <w:rPr>
                <w:color w:val="000000" w:themeColor="text1"/>
                <w14:textFill>
                  <w14:solidFill>
                    <w14:schemeClr w14:val="tx1"/>
                  </w14:solidFill>
                </w14:textFill>
              </w:rPr>
            </w:pPr>
            <w:r>
              <w:rPr>
                <w:color w:val="000000" w:themeColor="text1"/>
                <w14:textFill>
                  <w14:solidFill>
                    <w14:schemeClr w14:val="tx1"/>
                  </w14:solidFill>
                </w14:textFill>
              </w:rPr>
              <w:t>项目焚烧装置设计时配套有自动联机、停机功能的进料装置。</w:t>
            </w:r>
          </w:p>
          <w:p w14:paraId="0DACB512">
            <w:pPr>
              <w:pStyle w:val="109"/>
              <w:rPr>
                <w:color w:val="000000" w:themeColor="text1"/>
                <w14:textFill>
                  <w14:solidFill>
                    <w14:schemeClr w14:val="tx1"/>
                  </w14:solidFill>
                </w14:textFill>
              </w:rPr>
            </w:pPr>
            <w:r>
              <w:rPr>
                <w:color w:val="000000" w:themeColor="text1"/>
                <w14:textFill>
                  <w14:solidFill>
                    <w14:schemeClr w14:val="tx1"/>
                  </w14:solidFill>
                </w14:textFill>
              </w:rPr>
              <w:t>本项目焚烧炉配套尾气净化装置，处理工艺为“热解焙烧窑（二级）+二燃室（SNCR）+石墨急冷塔+二级碱洗塔+水洗塔+湿电除尘+引风机+活性炭吸附+GGH换热+热风炉（电加热）+SCR”，排气筒出口设置在线监测装置，在二燃室顶部设置紧急泄压阀和排烟管道，其主要作用是当处置窑内出现爆燃或发生停电等意外情况时，紧急开启，使烟气紧急排出，避免设备爆炸及后续设备损害等恶性事故发生。紧急排放口平时维持气密，防止烟气直接散逸。</w:t>
            </w:r>
          </w:p>
        </w:tc>
        <w:tc>
          <w:tcPr>
            <w:tcW w:w="996" w:type="dxa"/>
            <w:noWrap/>
            <w:vAlign w:val="center"/>
          </w:tcPr>
          <w:p w14:paraId="35AB3002">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BA6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3601C5E5">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8656" w:type="dxa"/>
            <w:gridSpan w:val="4"/>
            <w:noWrap/>
            <w:vAlign w:val="center"/>
          </w:tcPr>
          <w:p w14:paraId="7D11B702">
            <w:pPr>
              <w:pStyle w:val="109"/>
              <w:rPr>
                <w:color w:val="000000" w:themeColor="text1"/>
                <w14:textFill>
                  <w14:solidFill>
                    <w14:schemeClr w14:val="tx1"/>
                  </w14:solidFill>
                </w14:textFill>
              </w:rPr>
            </w:pPr>
            <w:r>
              <w:rPr>
                <w:color w:val="000000" w:themeColor="text1"/>
                <w14:textFill>
                  <w14:solidFill>
                    <w14:schemeClr w14:val="tx1"/>
                  </w14:solidFill>
                </w14:textFill>
              </w:rPr>
              <w:t>进料装置</w:t>
            </w:r>
          </w:p>
        </w:tc>
      </w:tr>
      <w:tr w14:paraId="2BAF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361D608E">
            <w:pPr>
              <w:pStyle w:val="109"/>
              <w:rPr>
                <w:color w:val="000000" w:themeColor="text1"/>
                <w14:textFill>
                  <w14:solidFill>
                    <w14:schemeClr w14:val="tx1"/>
                  </w14:solidFill>
                </w14:textFill>
              </w:rPr>
            </w:pPr>
          </w:p>
        </w:tc>
        <w:tc>
          <w:tcPr>
            <w:tcW w:w="3969" w:type="dxa"/>
            <w:noWrap/>
            <w:vAlign w:val="center"/>
          </w:tcPr>
          <w:p w14:paraId="200E0A0B">
            <w:pPr>
              <w:pStyle w:val="109"/>
              <w:rPr>
                <w:color w:val="000000" w:themeColor="text1"/>
                <w14:textFill>
                  <w14:solidFill>
                    <w14:schemeClr w14:val="tx1"/>
                  </w14:solidFill>
                </w14:textFill>
              </w:rPr>
            </w:pPr>
            <w:r>
              <w:rPr>
                <w:color w:val="000000" w:themeColor="text1"/>
                <w14:textFill>
                  <w14:solidFill>
                    <w14:schemeClr w14:val="tx1"/>
                  </w14:solidFill>
                </w14:textFill>
              </w:rPr>
              <w:t>进料装置应保证进料通畅、均匀，并采取防堵塞和清堵塞设计</w:t>
            </w:r>
          </w:p>
        </w:tc>
        <w:tc>
          <w:tcPr>
            <w:tcW w:w="3682" w:type="dxa"/>
            <w:noWrap/>
            <w:vAlign w:val="center"/>
          </w:tcPr>
          <w:p w14:paraId="55A41565">
            <w:pPr>
              <w:pStyle w:val="109"/>
              <w:rPr>
                <w:color w:val="000000" w:themeColor="text1"/>
                <w14:textFill>
                  <w14:solidFill>
                    <w14:schemeClr w14:val="tx1"/>
                  </w14:solidFill>
                </w14:textFill>
              </w:rPr>
            </w:pPr>
            <w:r>
              <w:rPr>
                <w:color w:val="000000" w:themeColor="text1"/>
                <w14:textFill>
                  <w14:solidFill>
                    <w14:schemeClr w14:val="tx1"/>
                  </w14:solidFill>
                </w14:textFill>
              </w:rPr>
              <w:t>项目生产装置进料系统设计时采用防堵塞和清堵塞设计</w:t>
            </w:r>
          </w:p>
        </w:tc>
        <w:tc>
          <w:tcPr>
            <w:tcW w:w="996" w:type="dxa"/>
            <w:noWrap/>
            <w:vAlign w:val="center"/>
          </w:tcPr>
          <w:p w14:paraId="12D5B5E3">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BAD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04B71320">
            <w:pPr>
              <w:pStyle w:val="109"/>
              <w:rPr>
                <w:color w:val="000000" w:themeColor="text1"/>
                <w14:textFill>
                  <w14:solidFill>
                    <w14:schemeClr w14:val="tx1"/>
                  </w14:solidFill>
                </w14:textFill>
              </w:rPr>
            </w:pPr>
          </w:p>
        </w:tc>
        <w:tc>
          <w:tcPr>
            <w:tcW w:w="3969" w:type="dxa"/>
            <w:noWrap/>
            <w:vAlign w:val="center"/>
          </w:tcPr>
          <w:p w14:paraId="7E656127">
            <w:pPr>
              <w:pStyle w:val="109"/>
              <w:rPr>
                <w:color w:val="000000" w:themeColor="text1"/>
                <w14:textFill>
                  <w14:solidFill>
                    <w14:schemeClr w14:val="tx1"/>
                  </w14:solidFill>
                </w14:textFill>
              </w:rPr>
            </w:pPr>
            <w:r>
              <w:rPr>
                <w:color w:val="000000" w:themeColor="text1"/>
                <w14:textFill>
                  <w14:solidFill>
                    <w14:schemeClr w14:val="tx1"/>
                  </w14:solidFill>
                </w14:textFill>
              </w:rPr>
              <w:t>液态废物进料装置应单独设置，并应具备过滤功能和流量调节功能，选用材质应具有耐腐蚀性</w:t>
            </w:r>
          </w:p>
        </w:tc>
        <w:tc>
          <w:tcPr>
            <w:tcW w:w="3682" w:type="dxa"/>
            <w:noWrap/>
            <w:vAlign w:val="center"/>
          </w:tcPr>
          <w:p w14:paraId="124D0DA8">
            <w:pPr>
              <w:pStyle w:val="109"/>
              <w:rPr>
                <w:color w:val="000000" w:themeColor="text1"/>
                <w14:textFill>
                  <w14:solidFill>
                    <w14:schemeClr w14:val="tx1"/>
                  </w14:solidFill>
                </w14:textFill>
              </w:rPr>
            </w:pPr>
            <w:r>
              <w:rPr>
                <w:color w:val="000000" w:themeColor="text1"/>
                <w14:textFill>
                  <w14:solidFill>
                    <w14:schemeClr w14:val="tx1"/>
                  </w14:solidFill>
                </w14:textFill>
              </w:rPr>
              <w:t>本项目不涉及处置液态危险废物</w:t>
            </w:r>
          </w:p>
        </w:tc>
        <w:tc>
          <w:tcPr>
            <w:tcW w:w="996" w:type="dxa"/>
            <w:noWrap/>
            <w:vAlign w:val="center"/>
          </w:tcPr>
          <w:p w14:paraId="31119C81">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70C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27F99993">
            <w:pPr>
              <w:pStyle w:val="109"/>
              <w:rPr>
                <w:color w:val="000000" w:themeColor="text1"/>
                <w14:textFill>
                  <w14:solidFill>
                    <w14:schemeClr w14:val="tx1"/>
                  </w14:solidFill>
                </w14:textFill>
              </w:rPr>
            </w:pPr>
          </w:p>
        </w:tc>
        <w:tc>
          <w:tcPr>
            <w:tcW w:w="3969" w:type="dxa"/>
            <w:noWrap/>
            <w:vAlign w:val="center"/>
          </w:tcPr>
          <w:p w14:paraId="2D855340">
            <w:pPr>
              <w:pStyle w:val="109"/>
              <w:rPr>
                <w:color w:val="000000" w:themeColor="text1"/>
                <w14:textFill>
                  <w14:solidFill>
                    <w14:schemeClr w14:val="tx1"/>
                  </w14:solidFill>
                </w14:textFill>
              </w:rPr>
            </w:pPr>
            <w:r>
              <w:rPr>
                <w:color w:val="000000" w:themeColor="text1"/>
                <w14:textFill>
                  <w14:solidFill>
                    <w14:schemeClr w14:val="tx1"/>
                  </w14:solidFill>
                </w14:textFill>
              </w:rPr>
              <w:t>进料口应采取气密性和防回火设计</w:t>
            </w:r>
          </w:p>
        </w:tc>
        <w:tc>
          <w:tcPr>
            <w:tcW w:w="3682" w:type="dxa"/>
            <w:noWrap/>
            <w:vAlign w:val="center"/>
          </w:tcPr>
          <w:p w14:paraId="6ED79697">
            <w:pPr>
              <w:pStyle w:val="109"/>
              <w:rPr>
                <w:color w:val="000000" w:themeColor="text1"/>
                <w14:textFill>
                  <w14:solidFill>
                    <w14:schemeClr w14:val="tx1"/>
                  </w14:solidFill>
                </w14:textFill>
              </w:rPr>
            </w:pPr>
            <w:r>
              <w:rPr>
                <w:color w:val="000000" w:themeColor="text1"/>
                <w14:textFill>
                  <w14:solidFill>
                    <w14:schemeClr w14:val="tx1"/>
                  </w14:solidFill>
                </w14:textFill>
              </w:rPr>
              <w:t>项目生产装置进料系统设计时采用防堵塞和清堵塞设计</w:t>
            </w:r>
          </w:p>
        </w:tc>
        <w:tc>
          <w:tcPr>
            <w:tcW w:w="996" w:type="dxa"/>
            <w:noWrap/>
            <w:vAlign w:val="center"/>
          </w:tcPr>
          <w:p w14:paraId="5FB8FE9D">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3E2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1C39A7BD">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8656" w:type="dxa"/>
            <w:gridSpan w:val="4"/>
            <w:noWrap/>
            <w:vAlign w:val="center"/>
          </w:tcPr>
          <w:p w14:paraId="6AE4BAE0">
            <w:pPr>
              <w:pStyle w:val="109"/>
              <w:rPr>
                <w:color w:val="000000" w:themeColor="text1"/>
                <w14:textFill>
                  <w14:solidFill>
                    <w14:schemeClr w14:val="tx1"/>
                  </w14:solidFill>
                </w14:textFill>
              </w:rPr>
            </w:pPr>
            <w:r>
              <w:rPr>
                <w:color w:val="000000" w:themeColor="text1"/>
                <w14:textFill>
                  <w14:solidFill>
                    <w14:schemeClr w14:val="tx1"/>
                  </w14:solidFill>
                </w14:textFill>
              </w:rPr>
              <w:t>焚烧炉</w:t>
            </w:r>
          </w:p>
        </w:tc>
      </w:tr>
      <w:tr w14:paraId="345A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72093E23">
            <w:pPr>
              <w:pStyle w:val="109"/>
              <w:rPr>
                <w:color w:val="000000" w:themeColor="text1"/>
                <w14:textFill>
                  <w14:solidFill>
                    <w14:schemeClr w14:val="tx1"/>
                  </w14:solidFill>
                </w14:textFill>
              </w:rPr>
            </w:pPr>
          </w:p>
        </w:tc>
        <w:tc>
          <w:tcPr>
            <w:tcW w:w="3969" w:type="dxa"/>
            <w:noWrap/>
            <w:vAlign w:val="center"/>
          </w:tcPr>
          <w:p w14:paraId="67A1C3A4">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危险废物焚烧炉的技术性能指标应符合表1的要求</w:t>
            </w:r>
          </w:p>
        </w:tc>
        <w:tc>
          <w:tcPr>
            <w:tcW w:w="3682" w:type="dxa"/>
            <w:noWrap/>
            <w:vAlign w:val="center"/>
          </w:tcPr>
          <w:p w14:paraId="43DB5F64">
            <w:pPr>
              <w:pStyle w:val="109"/>
              <w:rPr>
                <w:color w:val="000000" w:themeColor="text1"/>
                <w14:textFill>
                  <w14:solidFill>
                    <w14:schemeClr w14:val="tx1"/>
                  </w14:solidFill>
                </w14:textFill>
              </w:rPr>
            </w:pPr>
            <w:r>
              <w:rPr>
                <w:color w:val="000000" w:themeColor="text1"/>
                <w14:textFill>
                  <w14:solidFill>
                    <w14:schemeClr w14:val="tx1"/>
                  </w14:solidFill>
                </w14:textFill>
              </w:rPr>
              <w:t>本项目二燃室焚烧温度：≥1100℃；二次室烟气停留时间：≥2.5S，能达到GB18484-2020表 2中的相关要求。</w:t>
            </w:r>
          </w:p>
        </w:tc>
        <w:tc>
          <w:tcPr>
            <w:tcW w:w="996" w:type="dxa"/>
            <w:noWrap/>
            <w:vAlign w:val="center"/>
          </w:tcPr>
          <w:p w14:paraId="51E75FFC">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F07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026AF2B1">
            <w:pPr>
              <w:pStyle w:val="109"/>
              <w:rPr>
                <w:color w:val="000000" w:themeColor="text1"/>
                <w14:textFill>
                  <w14:solidFill>
                    <w14:schemeClr w14:val="tx1"/>
                  </w14:solidFill>
                </w14:textFill>
              </w:rPr>
            </w:pPr>
          </w:p>
        </w:tc>
        <w:tc>
          <w:tcPr>
            <w:tcW w:w="3969" w:type="dxa"/>
            <w:noWrap/>
            <w:vAlign w:val="center"/>
          </w:tcPr>
          <w:p w14:paraId="5BED13E4">
            <w:pPr>
              <w:pStyle w:val="109"/>
              <w:rPr>
                <w:color w:val="000000" w:themeColor="text1"/>
                <w14:textFill>
                  <w14:solidFill>
                    <w14:schemeClr w14:val="tx1"/>
                  </w14:solidFill>
                </w14:textFill>
              </w:rPr>
            </w:pPr>
            <w:r>
              <w:rPr>
                <w:color w:val="000000" w:themeColor="text1"/>
                <w14:textFill>
                  <w14:solidFill>
                    <w14:schemeClr w14:val="tx1"/>
                  </w14:solidFill>
                </w14:textFill>
              </w:rPr>
              <w:t>焚烧炉应配置辅助燃烧器，在启、停炉时以及炉膛内温度低于表1要求时使用，并应保证焚烧炉的运行工况符合表1要求</w:t>
            </w:r>
          </w:p>
        </w:tc>
        <w:tc>
          <w:tcPr>
            <w:tcW w:w="3682" w:type="dxa"/>
            <w:noWrap/>
            <w:vAlign w:val="center"/>
          </w:tcPr>
          <w:p w14:paraId="3120F663">
            <w:pPr>
              <w:pStyle w:val="109"/>
              <w:rPr>
                <w:color w:val="000000" w:themeColor="text1"/>
                <w14:textFill>
                  <w14:solidFill>
                    <w14:schemeClr w14:val="tx1"/>
                  </w14:solidFill>
                </w14:textFill>
              </w:rPr>
            </w:pPr>
            <w:r>
              <w:rPr>
                <w:color w:val="000000" w:themeColor="text1"/>
                <w14:textFill>
                  <w14:solidFill>
                    <w14:schemeClr w14:val="tx1"/>
                  </w14:solidFill>
                </w14:textFill>
              </w:rPr>
              <w:t>焚烧炉在设计时配置辅助燃烧器，在启、停炉时以及炉膛内温度低于表1要求时使用，可保证焚烧炉的运行工况符合表1要求</w:t>
            </w:r>
          </w:p>
        </w:tc>
        <w:tc>
          <w:tcPr>
            <w:tcW w:w="996" w:type="dxa"/>
            <w:noWrap/>
            <w:vAlign w:val="center"/>
          </w:tcPr>
          <w:p w14:paraId="5898F54D">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329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5BF2375E">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8656" w:type="dxa"/>
            <w:gridSpan w:val="4"/>
            <w:noWrap/>
            <w:vAlign w:val="center"/>
          </w:tcPr>
          <w:p w14:paraId="7642FE77">
            <w:pPr>
              <w:pStyle w:val="109"/>
              <w:rPr>
                <w:color w:val="000000" w:themeColor="text1"/>
                <w14:textFill>
                  <w14:solidFill>
                    <w14:schemeClr w14:val="tx1"/>
                  </w14:solidFill>
                </w14:textFill>
              </w:rPr>
            </w:pPr>
            <w:r>
              <w:rPr>
                <w:color w:val="000000" w:themeColor="text1"/>
                <w14:textFill>
                  <w14:solidFill>
                    <w14:schemeClr w14:val="tx1"/>
                  </w14:solidFill>
                </w14:textFill>
              </w:rPr>
              <w:t>烟气净化装置</w:t>
            </w:r>
          </w:p>
        </w:tc>
      </w:tr>
      <w:tr w14:paraId="1580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5B22623D">
            <w:pPr>
              <w:pStyle w:val="109"/>
              <w:rPr>
                <w:color w:val="000000" w:themeColor="text1"/>
                <w14:textFill>
                  <w14:solidFill>
                    <w14:schemeClr w14:val="tx1"/>
                  </w14:solidFill>
                </w14:textFill>
              </w:rPr>
            </w:pPr>
          </w:p>
        </w:tc>
        <w:tc>
          <w:tcPr>
            <w:tcW w:w="3969" w:type="dxa"/>
            <w:noWrap/>
            <w:vAlign w:val="center"/>
          </w:tcPr>
          <w:p w14:paraId="511FAF01">
            <w:pPr>
              <w:pStyle w:val="109"/>
              <w:rPr>
                <w:color w:val="000000" w:themeColor="text1"/>
                <w14:textFill>
                  <w14:solidFill>
                    <w14:schemeClr w14:val="tx1"/>
                  </w14:solidFill>
                </w14:textFill>
              </w:rPr>
            </w:pPr>
            <w:r>
              <w:rPr>
                <w:color w:val="000000" w:themeColor="text1"/>
                <w14:textFill>
                  <w14:solidFill>
                    <w14:schemeClr w14:val="tx1"/>
                  </w14:solidFill>
                </w14:textFill>
              </w:rPr>
              <w:t>焚烧烟气净化装置至少应具备除尘、脱硫、脱硝、脱酸、去除二噁英类及重金属类污染物 的功能。</w:t>
            </w:r>
          </w:p>
        </w:tc>
        <w:tc>
          <w:tcPr>
            <w:tcW w:w="3682" w:type="dxa"/>
            <w:noWrap/>
            <w:vAlign w:val="center"/>
          </w:tcPr>
          <w:p w14:paraId="478998F9">
            <w:pPr>
              <w:pStyle w:val="109"/>
              <w:rPr>
                <w:color w:val="000000" w:themeColor="text1"/>
                <w14:textFill>
                  <w14:solidFill>
                    <w14:schemeClr w14:val="tx1"/>
                  </w14:solidFill>
                </w14:textFill>
              </w:rPr>
            </w:pPr>
            <w:r>
              <w:rPr>
                <w:color w:val="000000" w:themeColor="text1"/>
                <w14:textFill>
                  <w14:solidFill>
                    <w14:schemeClr w14:val="tx1"/>
                  </w14:solidFill>
                </w14:textFill>
              </w:rPr>
              <w:t>本项目焚烧炉配套尾气净化装置，处理工艺为“二燃室（SNCR）+石墨急冷塔+二级碱洗塔+水洗塔+湿电除尘+引风机+活性炭吸附+GGH换热+热风炉（电加热）+SCR”</w:t>
            </w:r>
          </w:p>
        </w:tc>
        <w:tc>
          <w:tcPr>
            <w:tcW w:w="996" w:type="dxa"/>
            <w:noWrap/>
            <w:vAlign w:val="center"/>
          </w:tcPr>
          <w:p w14:paraId="04BE599C">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E5D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78ADDB3A">
            <w:pPr>
              <w:pStyle w:val="109"/>
              <w:rPr>
                <w:color w:val="000000" w:themeColor="text1"/>
                <w14:textFill>
                  <w14:solidFill>
                    <w14:schemeClr w14:val="tx1"/>
                  </w14:solidFill>
                </w14:textFill>
              </w:rPr>
            </w:pPr>
          </w:p>
        </w:tc>
        <w:tc>
          <w:tcPr>
            <w:tcW w:w="3969" w:type="dxa"/>
            <w:noWrap/>
            <w:vAlign w:val="center"/>
          </w:tcPr>
          <w:p w14:paraId="40C02F90">
            <w:pPr>
              <w:pStyle w:val="109"/>
              <w:rPr>
                <w:color w:val="000000" w:themeColor="text1"/>
                <w14:textFill>
                  <w14:solidFill>
                    <w14:schemeClr w14:val="tx1"/>
                  </w14:solidFill>
                </w14:textFill>
              </w:rPr>
            </w:pPr>
            <w:r>
              <w:rPr>
                <w:color w:val="000000" w:themeColor="text1"/>
                <w14:textFill>
                  <w14:solidFill>
                    <w14:schemeClr w14:val="tx1"/>
                  </w14:solidFill>
                </w14:textFill>
              </w:rPr>
              <w:t>每台焚烧炉宜单独设置烟气净化装置</w:t>
            </w:r>
          </w:p>
        </w:tc>
        <w:tc>
          <w:tcPr>
            <w:tcW w:w="3682" w:type="dxa"/>
            <w:noWrap/>
            <w:vAlign w:val="center"/>
          </w:tcPr>
          <w:p w14:paraId="27ED8BF1">
            <w:pPr>
              <w:pStyle w:val="109"/>
              <w:rPr>
                <w:color w:val="000000" w:themeColor="text1"/>
                <w14:textFill>
                  <w14:solidFill>
                    <w14:schemeClr w14:val="tx1"/>
                  </w14:solidFill>
                </w14:textFill>
              </w:rPr>
            </w:pPr>
            <w:r>
              <w:rPr>
                <w:color w:val="000000" w:themeColor="text1"/>
                <w14:textFill>
                  <w14:solidFill>
                    <w14:schemeClr w14:val="tx1"/>
                  </w14:solidFill>
                </w14:textFill>
              </w:rPr>
              <w:t>本项目配套1台热解焙烧炉，设置1套烟气净化装置</w:t>
            </w:r>
          </w:p>
        </w:tc>
        <w:tc>
          <w:tcPr>
            <w:tcW w:w="996" w:type="dxa"/>
            <w:noWrap/>
            <w:vAlign w:val="center"/>
          </w:tcPr>
          <w:p w14:paraId="5F1E7437">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81C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4CC9568F">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8656" w:type="dxa"/>
            <w:gridSpan w:val="4"/>
            <w:noWrap/>
            <w:vAlign w:val="center"/>
          </w:tcPr>
          <w:p w14:paraId="630A95AC">
            <w:pPr>
              <w:pStyle w:val="109"/>
              <w:rPr>
                <w:color w:val="000000" w:themeColor="text1"/>
                <w14:textFill>
                  <w14:solidFill>
                    <w14:schemeClr w14:val="tx1"/>
                  </w14:solidFill>
                </w14:textFill>
              </w:rPr>
            </w:pPr>
            <w:r>
              <w:rPr>
                <w:color w:val="000000" w:themeColor="text1"/>
                <w14:textFill>
                  <w14:solidFill>
                    <w14:schemeClr w14:val="tx1"/>
                  </w14:solidFill>
                </w14:textFill>
              </w:rPr>
              <w:t>排气筒</w:t>
            </w:r>
          </w:p>
        </w:tc>
      </w:tr>
      <w:tr w14:paraId="4BB2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73E36B4B">
            <w:pPr>
              <w:pStyle w:val="109"/>
              <w:rPr>
                <w:color w:val="000000" w:themeColor="text1"/>
                <w14:textFill>
                  <w14:solidFill>
                    <w14:schemeClr w14:val="tx1"/>
                  </w14:solidFill>
                </w14:textFill>
              </w:rPr>
            </w:pPr>
          </w:p>
        </w:tc>
        <w:tc>
          <w:tcPr>
            <w:tcW w:w="3969" w:type="dxa"/>
            <w:noWrap/>
            <w:vAlign w:val="center"/>
          </w:tcPr>
          <w:p w14:paraId="76981387">
            <w:pPr>
              <w:pStyle w:val="109"/>
              <w:rPr>
                <w:color w:val="000000" w:themeColor="text1"/>
                <w14:textFill>
                  <w14:solidFill>
                    <w14:schemeClr w14:val="tx1"/>
                  </w14:solidFill>
                </w14:textFill>
              </w:rPr>
            </w:pPr>
            <w:r>
              <w:rPr>
                <w:color w:val="000000" w:themeColor="text1"/>
                <w14:textFill>
                  <w14:solidFill>
                    <w14:schemeClr w14:val="tx1"/>
                  </w14:solidFill>
                </w14:textFill>
              </w:rPr>
              <w:t>排气筒高度不得低于表 2 规定的高度，具体高度及设置应根据环境影响评价文件及其审批 意见确定，并应按 GB/T 16157 设置永久性采样孔。</w:t>
            </w:r>
          </w:p>
        </w:tc>
        <w:tc>
          <w:tcPr>
            <w:tcW w:w="3682" w:type="dxa"/>
            <w:noWrap/>
            <w:vAlign w:val="center"/>
          </w:tcPr>
          <w:p w14:paraId="433228D7">
            <w:pPr>
              <w:pStyle w:val="109"/>
              <w:rPr>
                <w:color w:val="000000" w:themeColor="text1"/>
                <w14:textFill>
                  <w14:solidFill>
                    <w14:schemeClr w14:val="tx1"/>
                  </w14:solidFill>
                </w14:textFill>
              </w:rPr>
            </w:pPr>
            <w:r>
              <w:rPr>
                <w:color w:val="000000" w:themeColor="text1"/>
                <w14:textFill>
                  <w14:solidFill>
                    <w14:schemeClr w14:val="tx1"/>
                  </w14:solidFill>
                </w14:textFill>
              </w:rPr>
              <w:t>本项目设置1条生产线，处理量约为6.25t/h，烟囱高为50m，满足《危险废物焚烧污染控制标准》（GB18484-2020）中焚烧量≥2500kg/h时排气筒高度不小于50m 的要求，项目建设过程中在排气筒出口处设置永久性采样口</w:t>
            </w:r>
          </w:p>
        </w:tc>
        <w:tc>
          <w:tcPr>
            <w:tcW w:w="996" w:type="dxa"/>
            <w:noWrap/>
            <w:vAlign w:val="center"/>
          </w:tcPr>
          <w:p w14:paraId="7655914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1D8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0F581AB8">
            <w:pPr>
              <w:pStyle w:val="109"/>
              <w:rPr>
                <w:color w:val="000000" w:themeColor="text1"/>
                <w14:textFill>
                  <w14:solidFill>
                    <w14:schemeClr w14:val="tx1"/>
                  </w14:solidFill>
                </w14:textFill>
              </w:rPr>
            </w:pPr>
          </w:p>
        </w:tc>
        <w:tc>
          <w:tcPr>
            <w:tcW w:w="3969" w:type="dxa"/>
            <w:noWrap/>
            <w:vAlign w:val="center"/>
          </w:tcPr>
          <w:p w14:paraId="4205B58C">
            <w:pPr>
              <w:pStyle w:val="109"/>
              <w:rPr>
                <w:color w:val="000000" w:themeColor="text1"/>
                <w14:textFill>
                  <w14:solidFill>
                    <w14:schemeClr w14:val="tx1"/>
                  </w14:solidFill>
                </w14:textFill>
              </w:rPr>
            </w:pPr>
            <w:r>
              <w:rPr>
                <w:color w:val="000000" w:themeColor="text1"/>
                <w14:textFill>
                  <w14:solidFill>
                    <w14:schemeClr w14:val="tx1"/>
                  </w14:solidFill>
                </w14:textFill>
              </w:rPr>
              <w:t>排气筒周围 200 米半径距离内存在建筑物时，排气筒高度应至少高出这一区域内最高建筑 物 5 米以上</w:t>
            </w:r>
          </w:p>
        </w:tc>
        <w:tc>
          <w:tcPr>
            <w:tcW w:w="3682" w:type="dxa"/>
            <w:noWrap/>
            <w:vAlign w:val="center"/>
          </w:tcPr>
          <w:p w14:paraId="7012983E">
            <w:pPr>
              <w:pStyle w:val="109"/>
              <w:rPr>
                <w:color w:val="000000" w:themeColor="text1"/>
                <w14:textFill>
                  <w14:solidFill>
                    <w14:schemeClr w14:val="tx1"/>
                  </w14:solidFill>
                </w14:textFill>
              </w:rPr>
            </w:pPr>
            <w:r>
              <w:rPr>
                <w:color w:val="000000" w:themeColor="text1"/>
                <w14:textFill>
                  <w14:solidFill>
                    <w14:schemeClr w14:val="tx1"/>
                  </w14:solidFill>
                </w14:textFill>
              </w:rPr>
              <w:t>本项目排气筒高度高出周围半径200米有建筑物5m以上</w:t>
            </w:r>
          </w:p>
        </w:tc>
        <w:tc>
          <w:tcPr>
            <w:tcW w:w="996" w:type="dxa"/>
            <w:noWrap/>
            <w:vAlign w:val="center"/>
          </w:tcPr>
          <w:p w14:paraId="1467814E">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4BE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ign w:val="center"/>
          </w:tcPr>
          <w:p w14:paraId="4229A6FE">
            <w:pPr>
              <w:pStyle w:val="109"/>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8656" w:type="dxa"/>
            <w:gridSpan w:val="4"/>
            <w:noWrap/>
            <w:vAlign w:val="center"/>
          </w:tcPr>
          <w:p w14:paraId="52F82561">
            <w:pPr>
              <w:pStyle w:val="109"/>
              <w:rPr>
                <w:color w:val="000000" w:themeColor="text1"/>
                <w14:textFill>
                  <w14:solidFill>
                    <w14:schemeClr w14:val="tx1"/>
                  </w14:solidFill>
                </w14:textFill>
              </w:rPr>
            </w:pPr>
            <w:r>
              <w:rPr>
                <w:color w:val="000000" w:themeColor="text1"/>
                <w14:textFill>
                  <w14:solidFill>
                    <w14:schemeClr w14:val="tx1"/>
                  </w14:solidFill>
                </w14:textFill>
              </w:rPr>
              <w:t>排放控制要求</w:t>
            </w:r>
          </w:p>
        </w:tc>
      </w:tr>
      <w:tr w14:paraId="6102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7A059BF9">
            <w:pPr>
              <w:pStyle w:val="109"/>
              <w:rPr>
                <w:color w:val="000000" w:themeColor="text1"/>
                <w14:textFill>
                  <w14:solidFill>
                    <w14:schemeClr w14:val="tx1"/>
                  </w14:solidFill>
                </w14:textFill>
              </w:rPr>
            </w:pPr>
          </w:p>
        </w:tc>
        <w:tc>
          <w:tcPr>
            <w:tcW w:w="3969" w:type="dxa"/>
            <w:noWrap/>
            <w:vAlign w:val="center"/>
          </w:tcPr>
          <w:p w14:paraId="443DA97A">
            <w:pPr>
              <w:pStyle w:val="109"/>
              <w:rPr>
                <w:color w:val="000000" w:themeColor="text1"/>
                <w14:textFill>
                  <w14:solidFill>
                    <w14:schemeClr w14:val="tx1"/>
                  </w14:solidFill>
                </w14:textFill>
              </w:rPr>
            </w:pPr>
            <w:r>
              <w:rPr>
                <w:color w:val="000000" w:themeColor="text1"/>
                <w14:textFill>
                  <w14:solidFill>
                    <w14:schemeClr w14:val="tx1"/>
                  </w14:solidFill>
                </w14:textFill>
              </w:rPr>
              <w:t>除危险废物焚烧炉外的其他生产设施及厂界的大气污染物排放应符合GB 16297和GB 14554的相关规定。属于GB 37822定义的 VOCs 物料的危险废物，其贮存、运输、预处理等环节的挥发性 有机物无组织排放控制应符合 GB 37822 的相关规定。</w:t>
            </w:r>
          </w:p>
        </w:tc>
        <w:tc>
          <w:tcPr>
            <w:tcW w:w="3682" w:type="dxa"/>
            <w:noWrap/>
            <w:vAlign w:val="center"/>
          </w:tcPr>
          <w:p w14:paraId="0C9B7747">
            <w:pPr>
              <w:pStyle w:val="109"/>
              <w:rPr>
                <w:color w:val="000000" w:themeColor="text1"/>
                <w14:textFill>
                  <w14:solidFill>
                    <w14:schemeClr w14:val="tx1"/>
                  </w14:solidFill>
                </w14:textFill>
              </w:rPr>
            </w:pPr>
            <w:r>
              <w:rPr>
                <w:color w:val="000000" w:themeColor="text1"/>
                <w14:textFill>
                  <w14:solidFill>
                    <w14:schemeClr w14:val="tx1"/>
                  </w14:solidFill>
                </w14:textFill>
              </w:rPr>
              <w:t>本项目废盐仓库贮存废气、配伍废气经二级活性炭处理后满足《大气污染物综合排放标准》 (GB16297-1996)中表2标准要求</w:t>
            </w:r>
          </w:p>
        </w:tc>
        <w:tc>
          <w:tcPr>
            <w:tcW w:w="996" w:type="dxa"/>
            <w:noWrap/>
            <w:vAlign w:val="center"/>
          </w:tcPr>
          <w:p w14:paraId="433B9CFC">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DEC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2E677C6A">
            <w:pPr>
              <w:pStyle w:val="109"/>
              <w:rPr>
                <w:color w:val="000000" w:themeColor="text1"/>
                <w14:textFill>
                  <w14:solidFill>
                    <w14:schemeClr w14:val="tx1"/>
                  </w14:solidFill>
                </w14:textFill>
              </w:rPr>
            </w:pPr>
          </w:p>
        </w:tc>
        <w:tc>
          <w:tcPr>
            <w:tcW w:w="3969" w:type="dxa"/>
            <w:noWrap/>
            <w:vAlign w:val="center"/>
          </w:tcPr>
          <w:p w14:paraId="531CCBF1">
            <w:pPr>
              <w:pStyle w:val="109"/>
              <w:rPr>
                <w:color w:val="000000" w:themeColor="text1"/>
                <w14:textFill>
                  <w14:solidFill>
                    <w14:schemeClr w14:val="tx1"/>
                  </w14:solidFill>
                </w14:textFill>
              </w:rPr>
            </w:pPr>
            <w:r>
              <w:rPr>
                <w:color w:val="000000" w:themeColor="text1"/>
                <w14:textFill>
                  <w14:solidFill>
                    <w14:schemeClr w14:val="tx1"/>
                  </w14:solidFill>
                </w14:textFill>
              </w:rPr>
              <w:t>焚烧设施产生的焚烧残余物及其他固体废物，应根据《国家危险废物名录》和国家规定的危险废物鉴别标准等进行属性判定。属于危险废物的，其贮存和利用处置应符合国家和地方危险废物有 关规定。</w:t>
            </w:r>
          </w:p>
        </w:tc>
        <w:tc>
          <w:tcPr>
            <w:tcW w:w="3682" w:type="dxa"/>
            <w:noWrap/>
            <w:vAlign w:val="center"/>
          </w:tcPr>
          <w:p w14:paraId="12C8C9CD">
            <w:pPr>
              <w:pStyle w:val="109"/>
              <w:rPr>
                <w:color w:val="000000" w:themeColor="text1"/>
                <w14:textFill>
                  <w14:solidFill>
                    <w14:schemeClr w14:val="tx1"/>
                  </w14:solidFill>
                </w14:textFill>
              </w:rPr>
            </w:pPr>
            <w:r>
              <w:rPr>
                <w:color w:val="000000" w:themeColor="text1"/>
                <w14:textFill>
                  <w14:solidFill>
                    <w14:schemeClr w14:val="tx1"/>
                  </w14:solidFill>
                </w14:textFill>
              </w:rPr>
              <w:t>本项目为废盐处置利用项目，焚烧处置过程中无焚烧残余物，其他危险废物按照《国家危险废物名录》进行管理，暂存于厂区废盐仓库内分区设置的危废暂存区</w:t>
            </w:r>
          </w:p>
        </w:tc>
        <w:tc>
          <w:tcPr>
            <w:tcW w:w="996" w:type="dxa"/>
            <w:noWrap/>
            <w:vAlign w:val="center"/>
          </w:tcPr>
          <w:p w14:paraId="3BF26A81">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B8B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5D381011">
            <w:pPr>
              <w:pStyle w:val="109"/>
              <w:rPr>
                <w:color w:val="000000" w:themeColor="text1"/>
                <w14:textFill>
                  <w14:solidFill>
                    <w14:schemeClr w14:val="tx1"/>
                  </w14:solidFill>
                </w14:textFill>
              </w:rPr>
            </w:pPr>
          </w:p>
        </w:tc>
        <w:tc>
          <w:tcPr>
            <w:tcW w:w="3969" w:type="dxa"/>
            <w:noWrap/>
            <w:vAlign w:val="center"/>
          </w:tcPr>
          <w:p w14:paraId="4ACD56E8">
            <w:pPr>
              <w:pStyle w:val="109"/>
              <w:rPr>
                <w:color w:val="000000" w:themeColor="text1"/>
                <w14:textFill>
                  <w14:solidFill>
                    <w14:schemeClr w14:val="tx1"/>
                  </w14:solidFill>
                </w14:textFill>
              </w:rPr>
            </w:pPr>
            <w:r>
              <w:rPr>
                <w:color w:val="000000" w:themeColor="text1"/>
                <w14:textFill>
                  <w14:solidFill>
                    <w14:schemeClr w14:val="tx1"/>
                  </w14:solidFill>
                </w14:textFill>
              </w:rPr>
              <w:t>焚烧设施产生的废水排放应符合 GB 8978 的要求</w:t>
            </w:r>
          </w:p>
        </w:tc>
        <w:tc>
          <w:tcPr>
            <w:tcW w:w="3682" w:type="dxa"/>
            <w:noWrap/>
            <w:vAlign w:val="center"/>
          </w:tcPr>
          <w:p w14:paraId="428BF05A">
            <w:pPr>
              <w:pStyle w:val="109"/>
              <w:rPr>
                <w:color w:val="000000" w:themeColor="text1"/>
                <w14:textFill>
                  <w14:solidFill>
                    <w14:schemeClr w14:val="tx1"/>
                  </w14:solidFill>
                </w14:textFill>
              </w:rPr>
            </w:pPr>
            <w:r>
              <w:rPr>
                <w:color w:val="000000" w:themeColor="text1"/>
                <w14:textFill>
                  <w14:solidFill>
                    <w14:schemeClr w14:val="tx1"/>
                  </w14:solidFill>
                </w14:textFill>
              </w:rPr>
              <w:t>本项目烟气处理系统废水经多效蒸发器处理后全部回用，无工艺废水外排，项目外排废水为循环冷却水排水、实验室废水、地面冲洗废水、生活污水，满足《污水综合排放标准》（GB8978-1996）表4三级标准限值</w:t>
            </w:r>
          </w:p>
        </w:tc>
        <w:tc>
          <w:tcPr>
            <w:tcW w:w="996" w:type="dxa"/>
            <w:noWrap/>
            <w:vAlign w:val="center"/>
          </w:tcPr>
          <w:p w14:paraId="0D908005">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FF7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753" w:type="dxa"/>
            <w:noWrap/>
            <w:vAlign w:val="center"/>
          </w:tcPr>
          <w:p w14:paraId="42EA56F4">
            <w:pPr>
              <w:pStyle w:val="109"/>
              <w:rPr>
                <w:color w:val="000000" w:themeColor="text1"/>
                <w14:textFill>
                  <w14:solidFill>
                    <w14:schemeClr w14:val="tx1"/>
                  </w14:solidFill>
                </w14:textFill>
              </w:rPr>
            </w:pPr>
          </w:p>
        </w:tc>
        <w:tc>
          <w:tcPr>
            <w:tcW w:w="3969" w:type="dxa"/>
            <w:noWrap/>
            <w:vAlign w:val="center"/>
          </w:tcPr>
          <w:p w14:paraId="3316A2C9">
            <w:pPr>
              <w:pStyle w:val="109"/>
              <w:rPr>
                <w:color w:val="000000" w:themeColor="text1"/>
                <w14:textFill>
                  <w14:solidFill>
                    <w14:schemeClr w14:val="tx1"/>
                  </w14:solidFill>
                </w14:textFill>
              </w:rPr>
            </w:pPr>
            <w:r>
              <w:rPr>
                <w:color w:val="000000" w:themeColor="text1"/>
                <w14:textFill>
                  <w14:solidFill>
                    <w14:schemeClr w14:val="tx1"/>
                  </w14:solidFill>
                </w14:textFill>
              </w:rPr>
              <w:t>厂界噪声应符合 GB 12348 的控制要求</w:t>
            </w:r>
          </w:p>
        </w:tc>
        <w:tc>
          <w:tcPr>
            <w:tcW w:w="3682" w:type="dxa"/>
            <w:noWrap/>
            <w:vAlign w:val="center"/>
          </w:tcPr>
          <w:p w14:paraId="066FD230">
            <w:pPr>
              <w:pStyle w:val="109"/>
              <w:rPr>
                <w:color w:val="000000" w:themeColor="text1"/>
                <w14:textFill>
                  <w14:solidFill>
                    <w14:schemeClr w14:val="tx1"/>
                  </w14:solidFill>
                </w14:textFill>
              </w:rPr>
            </w:pPr>
            <w:r>
              <w:rPr>
                <w:color w:val="000000" w:themeColor="text1"/>
                <w14:textFill>
                  <w14:solidFill>
                    <w14:schemeClr w14:val="tx1"/>
                  </w14:solidFill>
                </w14:textFill>
              </w:rPr>
              <w:t>本项目生产设施均布置的车间内，废气处理设备风机设置单独的隔声间，设备及风机经隔声、减震等措施后，厂界噪声可满足《工业企业噪声控制设计规范》（GB50087-2013）3类标准要求</w:t>
            </w:r>
          </w:p>
        </w:tc>
        <w:tc>
          <w:tcPr>
            <w:tcW w:w="996" w:type="dxa"/>
            <w:noWrap/>
            <w:vAlign w:val="center"/>
          </w:tcPr>
          <w:p w14:paraId="0ADF34C3">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50BD6812">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危险废物再生利用污染防治技术导则符合性分析</w:t>
      </w:r>
    </w:p>
    <w:p w14:paraId="0D4E65F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项目与危险废物再生利用污染防治技术导则符合性分析</w:t>
      </w:r>
    </w:p>
    <w:tbl>
      <w:tblPr>
        <w:tblStyle w:val="76"/>
        <w:tblW w:w="95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500"/>
        <w:gridCol w:w="3522"/>
        <w:gridCol w:w="847"/>
      </w:tblGrid>
      <w:tr w14:paraId="25A4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3AB6086">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500" w:type="dxa"/>
            <w:vAlign w:val="center"/>
          </w:tcPr>
          <w:p w14:paraId="30A29E57">
            <w:pPr>
              <w:pStyle w:val="109"/>
              <w:rPr>
                <w:color w:val="000000" w:themeColor="text1"/>
                <w14:textFill>
                  <w14:solidFill>
                    <w14:schemeClr w14:val="tx1"/>
                  </w14:solidFill>
                </w14:textFill>
              </w:rPr>
            </w:pPr>
            <w:r>
              <w:rPr>
                <w:color w:val="000000" w:themeColor="text1"/>
                <w14:textFill>
                  <w14:solidFill>
                    <w14:schemeClr w14:val="tx1"/>
                  </w14:solidFill>
                </w14:textFill>
              </w:rPr>
              <w:t>相关规定</w:t>
            </w:r>
          </w:p>
        </w:tc>
        <w:tc>
          <w:tcPr>
            <w:tcW w:w="3522" w:type="dxa"/>
            <w:vAlign w:val="center"/>
          </w:tcPr>
          <w:p w14:paraId="69A14924">
            <w:pPr>
              <w:pStyle w:val="109"/>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847" w:type="dxa"/>
            <w:vAlign w:val="center"/>
          </w:tcPr>
          <w:p w14:paraId="6B7FEC9A">
            <w:pPr>
              <w:pStyle w:val="109"/>
              <w:rPr>
                <w:color w:val="000000" w:themeColor="text1"/>
                <w14:textFill>
                  <w14:solidFill>
                    <w14:schemeClr w14:val="tx1"/>
                  </w14:solidFill>
                </w14:textFill>
              </w:rPr>
            </w:pPr>
            <w:r>
              <w:rPr>
                <w:color w:val="000000" w:themeColor="text1"/>
                <w14:textFill>
                  <w14:solidFill>
                    <w14:schemeClr w14:val="tx1"/>
                  </w14:solidFill>
                </w14:textFill>
              </w:rPr>
              <w:t>符合性</w:t>
            </w:r>
          </w:p>
        </w:tc>
      </w:tr>
      <w:tr w14:paraId="43C6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B797A17">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8869" w:type="dxa"/>
            <w:gridSpan w:val="3"/>
            <w:vAlign w:val="center"/>
          </w:tcPr>
          <w:p w14:paraId="3E4DA52A">
            <w:pPr>
              <w:pStyle w:val="109"/>
              <w:rPr>
                <w:color w:val="000000" w:themeColor="text1"/>
                <w14:textFill>
                  <w14:solidFill>
                    <w14:schemeClr w14:val="tx1"/>
                  </w14:solidFill>
                </w14:textFill>
              </w:rPr>
            </w:pPr>
            <w:r>
              <w:rPr>
                <w:color w:val="000000" w:themeColor="text1"/>
                <w14:textFill>
                  <w14:solidFill>
                    <w14:schemeClr w14:val="tx1"/>
                  </w14:solidFill>
                </w14:textFill>
              </w:rPr>
              <w:t>4 总体要求</w:t>
            </w:r>
          </w:p>
        </w:tc>
      </w:tr>
      <w:tr w14:paraId="1073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F7323F7">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4500" w:type="dxa"/>
            <w:vAlign w:val="center"/>
          </w:tcPr>
          <w:p w14:paraId="1F378570">
            <w:pPr>
              <w:pStyle w:val="109"/>
              <w:rPr>
                <w:color w:val="000000" w:themeColor="text1"/>
                <w14:textFill>
                  <w14:solidFill>
                    <w14:schemeClr w14:val="tx1"/>
                  </w14:solidFill>
                </w14:textFill>
              </w:rPr>
            </w:pPr>
            <w:r>
              <w:rPr>
                <w:b/>
                <w:bCs/>
                <w:color w:val="000000" w:themeColor="text1"/>
                <w14:textFill>
                  <w14:solidFill>
                    <w14:schemeClr w14:val="tx1"/>
                  </w14:solidFill>
                </w14:textFill>
              </w:rPr>
              <w:t xml:space="preserve">4.1 </w:t>
            </w:r>
            <w:r>
              <w:rPr>
                <w:color w:val="000000" w:themeColor="text1"/>
                <w14:textFill>
                  <w14:solidFill>
                    <w14:schemeClr w14:val="tx1"/>
                  </w14:solidFill>
                </w14:textFill>
              </w:rPr>
              <w:t>固体废物再生利用应遵循环境安全优先的原则，保证固体废物再生利用全过程的环境安全与人体健康。</w:t>
            </w:r>
          </w:p>
        </w:tc>
        <w:tc>
          <w:tcPr>
            <w:tcW w:w="3522" w:type="dxa"/>
            <w:vAlign w:val="center"/>
          </w:tcPr>
          <w:p w14:paraId="3006D0D6">
            <w:pPr>
              <w:pStyle w:val="109"/>
              <w:rPr>
                <w:color w:val="000000" w:themeColor="text1"/>
                <w14:textFill>
                  <w14:solidFill>
                    <w14:schemeClr w14:val="tx1"/>
                  </w14:solidFill>
                </w14:textFill>
              </w:rPr>
            </w:pPr>
            <w:r>
              <w:rPr>
                <w:color w:val="000000" w:themeColor="text1"/>
                <w14:textFill>
                  <w14:solidFill>
                    <w14:schemeClr w14:val="tx1"/>
                  </w14:solidFill>
                </w14:textFill>
              </w:rPr>
              <w:t>本项目投产后制定各项环境安全管理制度，按严格遵循环境安全优先的原则保证固体废物处置利用全过程的环境安全与人体健康</w:t>
            </w:r>
          </w:p>
        </w:tc>
        <w:tc>
          <w:tcPr>
            <w:tcW w:w="847" w:type="dxa"/>
            <w:vAlign w:val="center"/>
          </w:tcPr>
          <w:p w14:paraId="10866F99">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0CF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9D1675B">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4500" w:type="dxa"/>
            <w:vAlign w:val="center"/>
          </w:tcPr>
          <w:p w14:paraId="0176ED12">
            <w:pPr>
              <w:pStyle w:val="109"/>
              <w:rPr>
                <w:color w:val="000000" w:themeColor="text1"/>
                <w14:textFill>
                  <w14:solidFill>
                    <w14:schemeClr w14:val="tx1"/>
                  </w14:solidFill>
                </w14:textFill>
              </w:rPr>
            </w:pPr>
            <w:r>
              <w:rPr>
                <w:b/>
                <w:bCs/>
                <w:color w:val="000000" w:themeColor="text1"/>
                <w14:textFill>
                  <w14:solidFill>
                    <w14:schemeClr w14:val="tx1"/>
                  </w14:solidFill>
                </w14:textFill>
              </w:rPr>
              <w:t>4.2</w:t>
            </w:r>
            <w:r>
              <w:rPr>
                <w:color w:val="000000" w:themeColor="text1"/>
                <w14:textFill>
                  <w14:solidFill>
                    <w14:schemeClr w14:val="tx1"/>
                  </w14:solidFill>
                </w14:textFill>
              </w:rPr>
              <w:t>进行固体废物再生利用技术选择时，应在固体废物再生利用技术生命周期评价结果的基础上，结合相关法规及行业的产业政策要求。</w:t>
            </w:r>
          </w:p>
        </w:tc>
        <w:tc>
          <w:tcPr>
            <w:tcW w:w="3522" w:type="dxa"/>
            <w:vAlign w:val="center"/>
          </w:tcPr>
          <w:p w14:paraId="4A718B4D">
            <w:pPr>
              <w:pStyle w:val="109"/>
              <w:rPr>
                <w:color w:val="000000" w:themeColor="text1"/>
                <w14:textFill>
                  <w14:solidFill>
                    <w14:schemeClr w14:val="tx1"/>
                  </w14:solidFill>
                </w14:textFill>
              </w:rPr>
            </w:pPr>
            <w:r>
              <w:rPr>
                <w:color w:val="000000" w:themeColor="text1"/>
                <w14:textFill>
                  <w14:solidFill>
                    <w14:schemeClr w14:val="tx1"/>
                  </w14:solidFill>
                </w14:textFill>
              </w:rPr>
              <w:t>本项目采取的技术为较成熟的生产工艺，符合法规及行业的产业政策，属于《产业结构调整指导目录》（2024年本）鼓励类</w:t>
            </w:r>
          </w:p>
        </w:tc>
        <w:tc>
          <w:tcPr>
            <w:tcW w:w="847" w:type="dxa"/>
            <w:vAlign w:val="center"/>
          </w:tcPr>
          <w:p w14:paraId="00F9F8EC">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E02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4870425">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4500" w:type="dxa"/>
            <w:vAlign w:val="center"/>
          </w:tcPr>
          <w:p w14:paraId="7AB6EA40">
            <w:pPr>
              <w:pStyle w:val="109"/>
              <w:rPr>
                <w:color w:val="000000" w:themeColor="text1"/>
                <w14:textFill>
                  <w14:solidFill>
                    <w14:schemeClr w14:val="tx1"/>
                  </w14:solidFill>
                </w14:textFill>
              </w:rPr>
            </w:pPr>
            <w:r>
              <w:rPr>
                <w:b/>
                <w:bCs/>
                <w:color w:val="000000" w:themeColor="text1"/>
                <w14:textFill>
                  <w14:solidFill>
                    <w14:schemeClr w14:val="tx1"/>
                  </w14:solidFill>
                </w14:textFill>
              </w:rPr>
              <w:t xml:space="preserve">4.3 </w:t>
            </w:r>
            <w:r>
              <w:rPr>
                <w:color w:val="000000" w:themeColor="text1"/>
                <w14:textFill>
                  <w14:solidFill>
                    <w14:schemeClr w14:val="tx1"/>
                  </w14:solidFill>
                </w14:textFill>
              </w:rPr>
              <w:t>固体废物再生利用建设项目的选址应符合区域性环境保护规划和当地的城乡总体规划。</w:t>
            </w:r>
          </w:p>
        </w:tc>
        <w:tc>
          <w:tcPr>
            <w:tcW w:w="3522" w:type="dxa"/>
            <w:vAlign w:val="center"/>
          </w:tcPr>
          <w:p w14:paraId="56458392">
            <w:pPr>
              <w:pStyle w:val="109"/>
              <w:rPr>
                <w:color w:val="000000" w:themeColor="text1"/>
                <w14:textFill>
                  <w14:solidFill>
                    <w14:schemeClr w14:val="tx1"/>
                  </w14:solidFill>
                </w14:textFill>
              </w:rPr>
            </w:pPr>
            <w:r>
              <w:rPr>
                <w:color w:val="000000" w:themeColor="text1"/>
                <w14:textFill>
                  <w14:solidFill>
                    <w14:schemeClr w14:val="tx1"/>
                  </w14:solidFill>
                </w14:textFill>
              </w:rPr>
              <w:t>本项目位于乌鲁木齐甘泉堡经济技术开发区（工业区）化工园区，位于环境空气二类功能区，符合区域性环境保护规划和当地的城乡总体规划</w:t>
            </w:r>
          </w:p>
        </w:tc>
        <w:tc>
          <w:tcPr>
            <w:tcW w:w="847" w:type="dxa"/>
            <w:vAlign w:val="center"/>
          </w:tcPr>
          <w:p w14:paraId="43D56EA7">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4C6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B42C98C">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4500" w:type="dxa"/>
            <w:vAlign w:val="center"/>
          </w:tcPr>
          <w:p w14:paraId="4C3AEAEE">
            <w:pPr>
              <w:pStyle w:val="109"/>
              <w:rPr>
                <w:color w:val="000000" w:themeColor="text1"/>
                <w14:textFill>
                  <w14:solidFill>
                    <w14:schemeClr w14:val="tx1"/>
                  </w14:solidFill>
                </w14:textFill>
              </w:rPr>
            </w:pPr>
            <w:r>
              <w:rPr>
                <w:b/>
                <w:bCs/>
                <w:color w:val="000000" w:themeColor="text1"/>
                <w14:textFill>
                  <w14:solidFill>
                    <w14:schemeClr w14:val="tx1"/>
                  </w14:solidFill>
                </w14:textFill>
              </w:rPr>
              <w:t xml:space="preserve">4.4 </w:t>
            </w:r>
            <w:r>
              <w:rPr>
                <w:color w:val="000000" w:themeColor="text1"/>
                <w14:textFill>
                  <w14:solidFill>
                    <w14:schemeClr w14:val="tx1"/>
                  </w14:solidFill>
                </w14:textFill>
              </w:rPr>
              <w:t>固体废物再生利用建设项目的设计、施工、验收和运行应遵守国家现行的相关法规的规定，同时建立完善的环境管理制度，包括环境影响评价、环境管理计划、环境保护责任、排污许可、监测、信息公开、环境应急预案和环境保护档案管理等制度。</w:t>
            </w:r>
          </w:p>
        </w:tc>
        <w:tc>
          <w:tcPr>
            <w:tcW w:w="3522" w:type="dxa"/>
            <w:vAlign w:val="center"/>
          </w:tcPr>
          <w:p w14:paraId="0B539C08">
            <w:pPr>
              <w:pStyle w:val="109"/>
              <w:rPr>
                <w:color w:val="000000" w:themeColor="text1"/>
                <w14:textFill>
                  <w14:solidFill>
                    <w14:schemeClr w14:val="tx1"/>
                  </w14:solidFill>
                </w14:textFill>
              </w:rPr>
            </w:pPr>
            <w:r>
              <w:rPr>
                <w:color w:val="000000" w:themeColor="text1"/>
                <w14:textFill>
                  <w14:solidFill>
                    <w14:schemeClr w14:val="tx1"/>
                  </w14:solidFill>
                </w14:textFill>
              </w:rPr>
              <w:t>本项目尚未建设，正在进行环境影响评价，项目建成后应按要求完善环境管理计划、环境保护责任、排污许可、监测、信息公开、环境应急预案和环境保护档案管理等制度</w:t>
            </w:r>
          </w:p>
        </w:tc>
        <w:tc>
          <w:tcPr>
            <w:tcW w:w="847" w:type="dxa"/>
            <w:vAlign w:val="center"/>
          </w:tcPr>
          <w:p w14:paraId="2195A424">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17D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9A4DDE8">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4500" w:type="dxa"/>
            <w:vAlign w:val="center"/>
          </w:tcPr>
          <w:p w14:paraId="24E1E792">
            <w:pPr>
              <w:pStyle w:val="109"/>
              <w:rPr>
                <w:color w:val="000000" w:themeColor="text1"/>
                <w14:textFill>
                  <w14:solidFill>
                    <w14:schemeClr w14:val="tx1"/>
                  </w14:solidFill>
                </w14:textFill>
              </w:rPr>
            </w:pPr>
            <w:r>
              <w:rPr>
                <w:b/>
                <w:bCs/>
                <w:color w:val="000000" w:themeColor="text1"/>
                <w14:textFill>
                  <w14:solidFill>
                    <w14:schemeClr w14:val="tx1"/>
                  </w14:solidFill>
                </w14:textFill>
              </w:rPr>
              <w:t xml:space="preserve">4.5 </w:t>
            </w:r>
            <w:r>
              <w:rPr>
                <w:color w:val="000000" w:themeColor="text1"/>
                <w14:textFill>
                  <w14:solidFill>
                    <w14:schemeClr w14:val="tx1"/>
                  </w14:solidFill>
                </w14:textFill>
              </w:rPr>
              <w:t>应对固体废物再生利用各技术环节的环境污染因子进行识别，采取有效污染控制措施，配备污染物监测设备设施，避免污染物的无组织排放，防止发生二次污染，妥善处置产生的废物。</w:t>
            </w:r>
          </w:p>
        </w:tc>
        <w:tc>
          <w:tcPr>
            <w:tcW w:w="3522" w:type="dxa"/>
            <w:vAlign w:val="center"/>
          </w:tcPr>
          <w:p w14:paraId="097DA129">
            <w:pPr>
              <w:pStyle w:val="109"/>
              <w:rPr>
                <w:color w:val="000000" w:themeColor="text1"/>
                <w14:textFill>
                  <w14:solidFill>
                    <w14:schemeClr w14:val="tx1"/>
                  </w14:solidFill>
                </w14:textFill>
              </w:rPr>
            </w:pPr>
            <w:r>
              <w:rPr>
                <w:color w:val="000000" w:themeColor="text1"/>
                <w14:textFill>
                  <w14:solidFill>
                    <w14:schemeClr w14:val="tx1"/>
                  </w14:solidFill>
                </w14:textFill>
              </w:rPr>
              <w:t>已对环境污染因子进行识别，废气采用“二燃室（SNCR）+石墨急冷塔+二级碱洗塔+水洗塔+湿电除尘+引风机+活性炭吸附+GGH换热+热风炉（电加热）+SCR”处理后通过1根50m高排气筒排放，环评中已要求企业按相关规定配套污染物监测设备设施和在线监测设施，本项目烟气处理系统废水经多效蒸发器处理后全部回用，无工艺废水外排。循环冷却水排水、实验室废水、地面冲洗废水、生活污水排入园区污水管网；危险废物交由有相关资质的单位处置</w:t>
            </w:r>
          </w:p>
        </w:tc>
        <w:tc>
          <w:tcPr>
            <w:tcW w:w="847" w:type="dxa"/>
            <w:vAlign w:val="center"/>
          </w:tcPr>
          <w:p w14:paraId="339C628F">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813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3E48439">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4500" w:type="dxa"/>
            <w:vAlign w:val="center"/>
          </w:tcPr>
          <w:p w14:paraId="10B14225">
            <w:pPr>
              <w:pStyle w:val="109"/>
              <w:rPr>
                <w:color w:val="000000" w:themeColor="text1"/>
                <w14:textFill>
                  <w14:solidFill>
                    <w14:schemeClr w14:val="tx1"/>
                  </w14:solidFill>
                </w14:textFill>
              </w:rPr>
            </w:pPr>
            <w:r>
              <w:rPr>
                <w:b/>
                <w:bCs/>
                <w:color w:val="000000" w:themeColor="text1"/>
                <w14:textFill>
                  <w14:solidFill>
                    <w14:schemeClr w14:val="tx1"/>
                  </w14:solidFill>
                </w14:textFill>
              </w:rPr>
              <w:t xml:space="preserve">4.6 </w:t>
            </w:r>
            <w:r>
              <w:rPr>
                <w:color w:val="000000" w:themeColor="text1"/>
                <w14:textFill>
                  <w14:solidFill>
                    <w14:schemeClr w14:val="tx1"/>
                  </w14:solidFill>
                </w14:textFill>
              </w:rPr>
              <w:t>固体废物再生利用过程产生的各种污染物的排放应满足国家和地方的污染物排放（控制）标准与排污许可要求。</w:t>
            </w:r>
          </w:p>
        </w:tc>
        <w:tc>
          <w:tcPr>
            <w:tcW w:w="3522" w:type="dxa"/>
            <w:vAlign w:val="center"/>
          </w:tcPr>
          <w:p w14:paraId="7B434B32">
            <w:pPr>
              <w:pStyle w:val="109"/>
              <w:rPr>
                <w:color w:val="000000" w:themeColor="text1"/>
                <w14:textFill>
                  <w14:solidFill>
                    <w14:schemeClr w14:val="tx1"/>
                  </w14:solidFill>
                </w14:textFill>
              </w:rPr>
            </w:pPr>
            <w:r>
              <w:rPr>
                <w:color w:val="000000" w:themeColor="text1"/>
                <w14:textFill>
                  <w14:solidFill>
                    <w14:schemeClr w14:val="tx1"/>
                  </w14:solidFill>
                </w14:textFill>
              </w:rPr>
              <w:t>本项目各污染物经收集处理后可达标排放</w:t>
            </w:r>
          </w:p>
        </w:tc>
        <w:tc>
          <w:tcPr>
            <w:tcW w:w="847" w:type="dxa"/>
            <w:vAlign w:val="center"/>
          </w:tcPr>
          <w:p w14:paraId="5FA8C17C">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941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5682168">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4500" w:type="dxa"/>
            <w:vAlign w:val="center"/>
          </w:tcPr>
          <w:p w14:paraId="16D66D5F">
            <w:pPr>
              <w:pStyle w:val="109"/>
              <w:rPr>
                <w:color w:val="000000" w:themeColor="text1"/>
                <w14:textFill>
                  <w14:solidFill>
                    <w14:schemeClr w14:val="tx1"/>
                  </w14:solidFill>
                </w14:textFill>
              </w:rPr>
            </w:pPr>
            <w:r>
              <w:rPr>
                <w:b/>
                <w:bCs/>
                <w:color w:val="000000" w:themeColor="text1"/>
                <w14:textFill>
                  <w14:solidFill>
                    <w14:schemeClr w14:val="tx1"/>
                  </w14:solidFill>
                </w14:textFill>
              </w:rPr>
              <w:t xml:space="preserve">4.7 </w:t>
            </w:r>
            <w:r>
              <w:rPr>
                <w:color w:val="000000" w:themeColor="text1"/>
                <w14:textFill>
                  <w14:solidFill>
                    <w14:schemeClr w14:val="tx1"/>
                  </w14:solidFill>
                </w14:textFill>
              </w:rPr>
              <w:t>固体废物再生利用产物作为产品的，应符合GB 34330中要求的国家、地方制定或行业通行的产品质量标准，与国家相关污染控制标准或技术规范要求，包括该产物生产过程中排放到环境中的特征污染物含量标准和该产物中特征污染物的含量标准。</w:t>
            </w:r>
          </w:p>
        </w:tc>
        <w:tc>
          <w:tcPr>
            <w:tcW w:w="3522" w:type="dxa"/>
            <w:vAlign w:val="center"/>
          </w:tcPr>
          <w:p w14:paraId="3B2EA024">
            <w:pPr>
              <w:pStyle w:val="109"/>
              <w:rPr>
                <w:color w:val="000000" w:themeColor="text1"/>
                <w14:textFill>
                  <w14:solidFill>
                    <w14:schemeClr w14:val="tx1"/>
                  </w14:solidFill>
                </w14:textFill>
              </w:rPr>
            </w:pPr>
            <w:r>
              <w:rPr>
                <w:color w:val="000000" w:themeColor="text1"/>
                <w14:textFill>
                  <w14:solidFill>
                    <w14:schemeClr w14:val="tx1"/>
                  </w14:solidFill>
                </w14:textFill>
              </w:rPr>
              <w:t>本项目产品符合《融雪剂》（GB/T23851-2017）等相关标准要求</w:t>
            </w:r>
          </w:p>
        </w:tc>
        <w:tc>
          <w:tcPr>
            <w:tcW w:w="847" w:type="dxa"/>
            <w:vAlign w:val="center"/>
          </w:tcPr>
          <w:p w14:paraId="06C25BA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E73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8BF5F33">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4500" w:type="dxa"/>
            <w:vAlign w:val="center"/>
          </w:tcPr>
          <w:p w14:paraId="00B3E546">
            <w:pPr>
              <w:pStyle w:val="109"/>
              <w:rPr>
                <w:b/>
                <w:bCs/>
                <w:color w:val="000000" w:themeColor="text1"/>
                <w14:textFill>
                  <w14:solidFill>
                    <w14:schemeClr w14:val="tx1"/>
                  </w14:solidFill>
                </w14:textFill>
              </w:rPr>
            </w:pPr>
            <w:r>
              <w:rPr>
                <w:color w:val="000000" w:themeColor="text1"/>
                <w14:textFill>
                  <w14:solidFill>
                    <w14:schemeClr w14:val="tx1"/>
                  </w14:solidFill>
                </w14:textFill>
              </w:rPr>
              <w:t>当没有国家污染控制标准或技术规范时，应以再生利用的固体废物中的特征污染物为评价对象，综合考虑其在固体废物再生利用过程中的迁移转化行为以及再生利用产物的用途，进行环境风险定性评价，依据评价结果来识别该产物中的有害成分。</w:t>
            </w:r>
          </w:p>
        </w:tc>
        <w:tc>
          <w:tcPr>
            <w:tcW w:w="3522" w:type="dxa"/>
            <w:vAlign w:val="center"/>
          </w:tcPr>
          <w:p w14:paraId="106F5552">
            <w:pPr>
              <w:pStyle w:val="109"/>
              <w:rPr>
                <w:color w:val="000000" w:themeColor="text1"/>
                <w14:textFill>
                  <w14:solidFill>
                    <w14:schemeClr w14:val="tx1"/>
                  </w14:solidFill>
                </w14:textFill>
              </w:rPr>
            </w:pPr>
            <w:r>
              <w:rPr>
                <w:color w:val="000000" w:themeColor="text1"/>
                <w14:textFill>
                  <w14:solidFill>
                    <w14:schemeClr w14:val="tx1"/>
                  </w14:solidFill>
                </w14:textFill>
              </w:rPr>
              <w:t>本项目污染物控制指标执行《危险废物焚烧污染控制标准》（GB18484-2020）表3中相应标准要求及《大气污染物综合排放标准》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GB16297-1996</w:t>
            </w:r>
            <w:r>
              <w:rPr>
                <w:color w:val="000000" w:themeColor="text1"/>
                <w:lang w:bidi="en-US"/>
                <w14:textFill>
                  <w14:solidFill>
                    <w14:schemeClr w14:val="tx1"/>
                  </w14:solidFill>
                </w14:textFill>
              </w:rPr>
              <w:t>)</w:t>
            </w:r>
            <w:r>
              <w:rPr>
                <w:color w:val="000000" w:themeColor="text1"/>
                <w14:textFill>
                  <w14:solidFill>
                    <w14:schemeClr w14:val="tx1"/>
                  </w14:solidFill>
                </w14:textFill>
              </w:rPr>
              <w:t>中表</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标准要求</w:t>
            </w:r>
          </w:p>
        </w:tc>
        <w:tc>
          <w:tcPr>
            <w:tcW w:w="847" w:type="dxa"/>
            <w:vAlign w:val="center"/>
          </w:tcPr>
          <w:p w14:paraId="1A28E8AF">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B36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6B3FF38">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869" w:type="dxa"/>
            <w:gridSpan w:val="3"/>
            <w:vAlign w:val="center"/>
          </w:tcPr>
          <w:p w14:paraId="1252BD55">
            <w:pPr>
              <w:pStyle w:val="109"/>
              <w:rPr>
                <w:color w:val="000000" w:themeColor="text1"/>
                <w14:textFill>
                  <w14:solidFill>
                    <w14:schemeClr w14:val="tx1"/>
                  </w14:solidFill>
                </w14:textFill>
              </w:rPr>
            </w:pPr>
            <w:r>
              <w:rPr>
                <w:color w:val="000000" w:themeColor="text1"/>
                <w14:textFill>
                  <w14:solidFill>
                    <w14:schemeClr w14:val="tx1"/>
                  </w14:solidFill>
                </w14:textFill>
              </w:rPr>
              <w:t>5 主要工艺单元污染防治技术要求</w:t>
            </w:r>
          </w:p>
        </w:tc>
      </w:tr>
      <w:tr w14:paraId="3055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79B2118">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8869" w:type="dxa"/>
            <w:gridSpan w:val="3"/>
            <w:vAlign w:val="center"/>
          </w:tcPr>
          <w:p w14:paraId="5551707E">
            <w:pPr>
              <w:pStyle w:val="109"/>
              <w:rPr>
                <w:color w:val="000000" w:themeColor="text1"/>
                <w14:textFill>
                  <w14:solidFill>
                    <w14:schemeClr w14:val="tx1"/>
                  </w14:solidFill>
                </w14:textFill>
              </w:rPr>
            </w:pPr>
            <w:r>
              <w:rPr>
                <w:color w:val="000000" w:themeColor="text1"/>
                <w14:textFill>
                  <w14:solidFill>
                    <w14:schemeClr w14:val="tx1"/>
                  </w14:solidFill>
                </w14:textFill>
              </w:rPr>
              <w:t>5.1 一般规定</w:t>
            </w:r>
          </w:p>
        </w:tc>
      </w:tr>
      <w:tr w14:paraId="7309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B4172D9">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4500" w:type="dxa"/>
            <w:vAlign w:val="center"/>
          </w:tcPr>
          <w:p w14:paraId="78DFD6FB">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5.1.1 </w:t>
            </w:r>
            <w:r>
              <w:rPr>
                <w:color w:val="000000" w:themeColor="text1"/>
                <w14:textFill>
                  <w14:solidFill>
                    <w14:schemeClr w14:val="tx1"/>
                  </w14:solidFill>
                </w14:textFill>
              </w:rPr>
              <w:t>进行再生利用作业前，应明确固体废物的理化特性，并采取相应的安全防护措施，以防止固体废物在清洗、破碎、中和反应等过程中引起有毒有害物质的释放。</w:t>
            </w:r>
          </w:p>
        </w:tc>
        <w:tc>
          <w:tcPr>
            <w:tcW w:w="3522" w:type="dxa"/>
            <w:vAlign w:val="center"/>
          </w:tcPr>
          <w:p w14:paraId="3E474775">
            <w:pPr>
              <w:pStyle w:val="109"/>
              <w:rPr>
                <w:color w:val="000000" w:themeColor="text1"/>
                <w14:textFill>
                  <w14:solidFill>
                    <w14:schemeClr w14:val="tx1"/>
                  </w14:solidFill>
                </w14:textFill>
              </w:rPr>
            </w:pPr>
            <w:r>
              <w:rPr>
                <w:color w:val="000000" w:themeColor="text1"/>
                <w14:textFill>
                  <w14:solidFill>
                    <w14:schemeClr w14:val="tx1"/>
                  </w14:solidFill>
                </w14:textFill>
              </w:rPr>
              <w:t>已明确固体废物的理化特性及主要成分</w:t>
            </w:r>
          </w:p>
        </w:tc>
        <w:tc>
          <w:tcPr>
            <w:tcW w:w="847" w:type="dxa"/>
            <w:vAlign w:val="center"/>
          </w:tcPr>
          <w:p w14:paraId="4F8D191D">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795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48B707D">
            <w:pPr>
              <w:pStyle w:val="10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4500" w:type="dxa"/>
            <w:vAlign w:val="center"/>
          </w:tcPr>
          <w:p w14:paraId="346747A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5.1.2</w:t>
            </w:r>
            <w:r>
              <w:rPr>
                <w:color w:val="000000" w:themeColor="text1"/>
                <w14:textFill>
                  <w14:solidFill>
                    <w14:schemeClr w14:val="tx1"/>
                  </w14:solidFill>
                </w14:textFill>
              </w:rPr>
              <w:t>具有物理化学危险特性的固体废物，应首先进行稳定化处理。</w:t>
            </w:r>
          </w:p>
        </w:tc>
        <w:tc>
          <w:tcPr>
            <w:tcW w:w="3522" w:type="dxa"/>
            <w:vAlign w:val="center"/>
          </w:tcPr>
          <w:p w14:paraId="793475C8">
            <w:pPr>
              <w:pStyle w:val="109"/>
              <w:rPr>
                <w:color w:val="000000" w:themeColor="text1"/>
                <w14:textFill>
                  <w14:solidFill>
                    <w14:schemeClr w14:val="tx1"/>
                  </w14:solidFill>
                </w14:textFill>
              </w:rPr>
            </w:pPr>
            <w:r>
              <w:rPr>
                <w:color w:val="000000" w:themeColor="text1"/>
                <w14:textFill>
                  <w14:solidFill>
                    <w14:schemeClr w14:val="tx1"/>
                  </w14:solidFill>
                </w14:textFill>
              </w:rPr>
              <w:t>本项目废盐处置前根据其性质进行配伍</w:t>
            </w:r>
          </w:p>
        </w:tc>
        <w:tc>
          <w:tcPr>
            <w:tcW w:w="847" w:type="dxa"/>
            <w:vAlign w:val="center"/>
          </w:tcPr>
          <w:p w14:paraId="6C97689F">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34F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19E63B4">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4500" w:type="dxa"/>
            <w:vAlign w:val="center"/>
          </w:tcPr>
          <w:p w14:paraId="0463B807">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5.1.3 </w:t>
            </w:r>
            <w:r>
              <w:rPr>
                <w:color w:val="000000" w:themeColor="text1"/>
                <w14:textFill>
                  <w14:solidFill>
                    <w14:schemeClr w14:val="tx1"/>
                  </w14:solidFill>
                </w14:textFill>
              </w:rPr>
              <w:t>应根据固体废物的特性设置必要的防扬撒、防渗漏、防腐蚀设施，配备废气处理、废水处理、噪声控制等污染防治设施，按要求对主要环境影响指标进行在线监测。</w:t>
            </w:r>
          </w:p>
        </w:tc>
        <w:tc>
          <w:tcPr>
            <w:tcW w:w="3522" w:type="dxa"/>
            <w:vAlign w:val="center"/>
          </w:tcPr>
          <w:p w14:paraId="00978A89">
            <w:pPr>
              <w:pStyle w:val="109"/>
              <w:rPr>
                <w:color w:val="000000" w:themeColor="text1"/>
                <w14:textFill>
                  <w14:solidFill>
                    <w14:schemeClr w14:val="tx1"/>
                  </w14:solidFill>
                </w14:textFill>
              </w:rPr>
            </w:pPr>
            <w:r>
              <w:rPr>
                <w:color w:val="000000" w:themeColor="text1"/>
                <w14:textFill>
                  <w14:solidFill>
                    <w14:schemeClr w14:val="tx1"/>
                  </w14:solidFill>
                </w14:textFill>
              </w:rPr>
              <w:t>本项目废盐暂存在封闭的仓库内，仓库进行防渗处理，项目配备废气处理、废水处理、噪声控制等污染防治设施，已要求企业按要求对主要环境影响指标进行在线监测</w:t>
            </w:r>
          </w:p>
        </w:tc>
        <w:tc>
          <w:tcPr>
            <w:tcW w:w="847" w:type="dxa"/>
            <w:vAlign w:val="center"/>
          </w:tcPr>
          <w:p w14:paraId="50AA60C4">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CE7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E5DC2A9">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4500" w:type="dxa"/>
            <w:vAlign w:val="center"/>
          </w:tcPr>
          <w:p w14:paraId="6E01CB92">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5.1.4</w:t>
            </w:r>
            <w:r>
              <w:rPr>
                <w:color w:val="000000" w:themeColor="text1"/>
                <w14:textFill>
                  <w14:solidFill>
                    <w14:schemeClr w14:val="tx1"/>
                  </w14:solidFill>
                </w14:textFill>
              </w:rPr>
              <w:t>产生粉尘和有毒有害气体的作业区应采取除尘和有毒有害气体收集措施。扬尘点应设置吸尘罩和收尘设备，有毒有害气体逸散区应设置吸附（吸收）转化装置，保证作业区粉尘、有害气体浓度满足GBZ 2.1的要求。</w:t>
            </w:r>
          </w:p>
        </w:tc>
        <w:tc>
          <w:tcPr>
            <w:tcW w:w="3522" w:type="dxa"/>
            <w:vAlign w:val="center"/>
          </w:tcPr>
          <w:p w14:paraId="55EB9BBF">
            <w:pPr>
              <w:pStyle w:val="109"/>
              <w:rPr>
                <w:color w:val="000000" w:themeColor="text1"/>
                <w14:textFill>
                  <w14:solidFill>
                    <w14:schemeClr w14:val="tx1"/>
                  </w14:solidFill>
                </w14:textFill>
              </w:rPr>
            </w:pPr>
            <w:r>
              <w:rPr>
                <w:color w:val="000000" w:themeColor="text1"/>
                <w14:textFill>
                  <w14:solidFill>
                    <w14:schemeClr w14:val="tx1"/>
                  </w14:solidFill>
                </w14:textFill>
              </w:rPr>
              <w:t>项目热解焙烧过程中产生粉尘和有毒有害气体的作业区已采取除尘和有毒有害气体收集措施，项目生产过程中无扬尘产生</w:t>
            </w:r>
          </w:p>
        </w:tc>
        <w:tc>
          <w:tcPr>
            <w:tcW w:w="847" w:type="dxa"/>
            <w:vAlign w:val="center"/>
          </w:tcPr>
          <w:p w14:paraId="4AC2C408">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D22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C756A89">
            <w:pPr>
              <w:pStyle w:val="109"/>
              <w:rPr>
                <w:color w:val="000000" w:themeColor="text1"/>
                <w14:textFill>
                  <w14:solidFill>
                    <w14:schemeClr w14:val="tx1"/>
                  </w14:solidFill>
                </w14:textFill>
              </w:rPr>
            </w:pPr>
            <w:r>
              <w:rPr>
                <w:color w:val="000000" w:themeColor="text1"/>
                <w14:textFill>
                  <w14:solidFill>
                    <w14:schemeClr w14:val="tx1"/>
                  </w14:solidFill>
                </w14:textFill>
              </w:rPr>
              <w:t>16</w:t>
            </w:r>
          </w:p>
        </w:tc>
        <w:tc>
          <w:tcPr>
            <w:tcW w:w="4500" w:type="dxa"/>
            <w:vAlign w:val="center"/>
          </w:tcPr>
          <w:p w14:paraId="7F84E960">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5.1.5 </w:t>
            </w:r>
            <w:r>
              <w:rPr>
                <w:color w:val="000000" w:themeColor="text1"/>
                <w14:textFill>
                  <w14:solidFill>
                    <w14:schemeClr w14:val="tx1"/>
                  </w14:solidFill>
                </w14:textFill>
              </w:rPr>
              <w:t>应采取大气污染控制措施，大气污染物排放应满足特定行业排放（控制）标准的要求。没有特定行业污染排放（控制）标准的，应满足GB 16297的要求，特征污染物排放（控制）应满足环境影响评价要求。</w:t>
            </w:r>
          </w:p>
        </w:tc>
        <w:tc>
          <w:tcPr>
            <w:tcW w:w="3522" w:type="dxa"/>
            <w:vAlign w:val="center"/>
          </w:tcPr>
          <w:p w14:paraId="28F9FF63">
            <w:pPr>
              <w:pStyle w:val="109"/>
              <w:rPr>
                <w:color w:val="000000" w:themeColor="text1"/>
                <w14:textFill>
                  <w14:solidFill>
                    <w14:schemeClr w14:val="tx1"/>
                  </w14:solidFill>
                </w14:textFill>
              </w:rPr>
            </w:pPr>
            <w:r>
              <w:rPr>
                <w:color w:val="000000" w:themeColor="text1"/>
                <w14:textFill>
                  <w14:solidFill>
                    <w14:schemeClr w14:val="tx1"/>
                  </w14:solidFill>
                </w14:textFill>
              </w:rPr>
              <w:t>项目大气污染物排放满足《危险废物焚烧污染控制标准》（GB18484-2020）表3中相应标准要求及《大气污染物综合排放标准》</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GB16297-1996</w:t>
            </w:r>
            <w:r>
              <w:rPr>
                <w:color w:val="000000" w:themeColor="text1"/>
                <w:lang w:bidi="en-US"/>
                <w14:textFill>
                  <w14:solidFill>
                    <w14:schemeClr w14:val="tx1"/>
                  </w14:solidFill>
                </w14:textFill>
              </w:rPr>
              <w:t>)</w:t>
            </w:r>
            <w:r>
              <w:rPr>
                <w:color w:val="000000" w:themeColor="text1"/>
                <w14:textFill>
                  <w14:solidFill>
                    <w14:schemeClr w14:val="tx1"/>
                  </w14:solidFill>
                </w14:textFill>
              </w:rPr>
              <w:t>中表</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标准要求</w:t>
            </w:r>
          </w:p>
        </w:tc>
        <w:tc>
          <w:tcPr>
            <w:tcW w:w="847" w:type="dxa"/>
            <w:vAlign w:val="center"/>
          </w:tcPr>
          <w:p w14:paraId="19C74804">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6A4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18D165D">
            <w:pPr>
              <w:pStyle w:val="109"/>
              <w:rPr>
                <w:color w:val="000000" w:themeColor="text1"/>
                <w14:textFill>
                  <w14:solidFill>
                    <w14:schemeClr w14:val="tx1"/>
                  </w14:solidFill>
                </w14:textFill>
              </w:rPr>
            </w:pPr>
            <w:r>
              <w:rPr>
                <w:color w:val="000000" w:themeColor="text1"/>
                <w14:textFill>
                  <w14:solidFill>
                    <w14:schemeClr w14:val="tx1"/>
                  </w14:solidFill>
                </w14:textFill>
              </w:rPr>
              <w:t>17</w:t>
            </w:r>
          </w:p>
        </w:tc>
        <w:tc>
          <w:tcPr>
            <w:tcW w:w="4500" w:type="dxa"/>
            <w:vAlign w:val="center"/>
          </w:tcPr>
          <w:p w14:paraId="1C9FAC6D">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5.1.6 </w:t>
            </w:r>
            <w:r>
              <w:rPr>
                <w:color w:val="000000" w:themeColor="text1"/>
                <w14:textFill>
                  <w14:solidFill>
                    <w14:schemeClr w14:val="tx1"/>
                  </w14:solidFill>
                </w14:textFill>
              </w:rPr>
              <w:t>应采取必要的措施防止恶臭物质扩散，周界恶臭污染物浓度应符合GB 14554的要求。</w:t>
            </w:r>
          </w:p>
        </w:tc>
        <w:tc>
          <w:tcPr>
            <w:tcW w:w="3522" w:type="dxa"/>
            <w:vAlign w:val="center"/>
          </w:tcPr>
          <w:p w14:paraId="34A6A5BF">
            <w:pPr>
              <w:pStyle w:val="109"/>
              <w:rPr>
                <w:color w:val="000000" w:themeColor="text1"/>
                <w14:textFill>
                  <w14:solidFill>
                    <w14:schemeClr w14:val="tx1"/>
                  </w14:solidFill>
                </w14:textFill>
              </w:rPr>
            </w:pPr>
            <w:r>
              <w:rPr>
                <w:color w:val="000000" w:themeColor="text1"/>
                <w14:textFill>
                  <w14:solidFill>
                    <w14:schemeClr w14:val="tx1"/>
                  </w14:solidFill>
                </w14:textFill>
              </w:rPr>
              <w:t>项目原料储存及处置利用过程全部在封闭的生产车间内，可有效防止恶臭物质扩散</w:t>
            </w:r>
          </w:p>
        </w:tc>
        <w:tc>
          <w:tcPr>
            <w:tcW w:w="847" w:type="dxa"/>
            <w:vAlign w:val="center"/>
          </w:tcPr>
          <w:p w14:paraId="78314EB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0BE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53EC3B5">
            <w:pPr>
              <w:pStyle w:val="109"/>
              <w:rPr>
                <w:color w:val="000000" w:themeColor="text1"/>
                <w14:textFill>
                  <w14:solidFill>
                    <w14:schemeClr w14:val="tx1"/>
                  </w14:solidFill>
                </w14:textFill>
              </w:rPr>
            </w:pPr>
            <w:r>
              <w:rPr>
                <w:color w:val="000000" w:themeColor="text1"/>
                <w14:textFill>
                  <w14:solidFill>
                    <w14:schemeClr w14:val="tx1"/>
                  </w14:solidFill>
                </w14:textFill>
              </w:rPr>
              <w:t>18</w:t>
            </w:r>
          </w:p>
        </w:tc>
        <w:tc>
          <w:tcPr>
            <w:tcW w:w="4500" w:type="dxa"/>
            <w:vAlign w:val="center"/>
          </w:tcPr>
          <w:p w14:paraId="13E6CC06">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5.1.7 </w:t>
            </w:r>
            <w:r>
              <w:rPr>
                <w:color w:val="000000" w:themeColor="text1"/>
                <w14:textFill>
                  <w14:solidFill>
                    <w14:schemeClr w14:val="tx1"/>
                  </w14:solidFill>
                </w14:textFill>
              </w:rPr>
              <w:t>产生的冷凝液、浓缩液、渗滤液等废液应进行有效收集后集中处理。处理后产生的废水应优先考虑循环利用；排放时应满足特定行业排放（控制）标准的要求；没有特定行业污染排放（控制）标准的，应满足GB 8978的要求，特征污染物排放（控制）应满足环境影响评价要求。</w:t>
            </w:r>
          </w:p>
        </w:tc>
        <w:tc>
          <w:tcPr>
            <w:tcW w:w="3522" w:type="dxa"/>
            <w:vAlign w:val="center"/>
          </w:tcPr>
          <w:p w14:paraId="182DD0C8">
            <w:pPr>
              <w:pStyle w:val="109"/>
              <w:rPr>
                <w:color w:val="000000" w:themeColor="text1"/>
                <w14:textFill>
                  <w14:solidFill>
                    <w14:schemeClr w14:val="tx1"/>
                  </w14:solidFill>
                </w14:textFill>
              </w:rPr>
            </w:pPr>
            <w:r>
              <w:rPr>
                <w:color w:val="000000" w:themeColor="text1"/>
                <w14:textFill>
                  <w14:solidFill>
                    <w14:schemeClr w14:val="tx1"/>
                  </w14:solidFill>
                </w14:textFill>
              </w:rPr>
              <w:t>本项目烟气处理系统废水经多效蒸发器处理后全部回用，无工艺废水外排。循环冷却水排水、实验室废水、地面冲洗废水、生活污水排入园区污水管网</w:t>
            </w:r>
          </w:p>
        </w:tc>
        <w:tc>
          <w:tcPr>
            <w:tcW w:w="847" w:type="dxa"/>
            <w:vAlign w:val="center"/>
          </w:tcPr>
          <w:p w14:paraId="30AF50E3">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0E9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85E7148">
            <w:pPr>
              <w:pStyle w:val="109"/>
              <w:rPr>
                <w:color w:val="000000" w:themeColor="text1"/>
                <w14:textFill>
                  <w14:solidFill>
                    <w14:schemeClr w14:val="tx1"/>
                  </w14:solidFill>
                </w14:textFill>
              </w:rPr>
            </w:pPr>
            <w:r>
              <w:rPr>
                <w:color w:val="000000" w:themeColor="text1"/>
                <w14:textFill>
                  <w14:solidFill>
                    <w14:schemeClr w14:val="tx1"/>
                  </w14:solidFill>
                </w14:textFill>
              </w:rPr>
              <w:t>19</w:t>
            </w:r>
          </w:p>
        </w:tc>
        <w:tc>
          <w:tcPr>
            <w:tcW w:w="4500" w:type="dxa"/>
            <w:vAlign w:val="center"/>
          </w:tcPr>
          <w:p w14:paraId="6A2CC06E">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5.1.8</w:t>
            </w:r>
            <w:r>
              <w:rPr>
                <w:color w:val="000000" w:themeColor="text1"/>
                <w14:textFill>
                  <w14:solidFill>
                    <w14:schemeClr w14:val="tx1"/>
                  </w14:solidFill>
                </w14:textFill>
              </w:rPr>
              <w:t>应防止噪声污染。设备运转时厂界噪声应符合GB12348的要求，作业车间噪声应符合GBZ 2.2的要求。</w:t>
            </w:r>
          </w:p>
        </w:tc>
        <w:tc>
          <w:tcPr>
            <w:tcW w:w="3522" w:type="dxa"/>
            <w:vAlign w:val="center"/>
          </w:tcPr>
          <w:p w14:paraId="51DF1DAB">
            <w:pPr>
              <w:pStyle w:val="109"/>
              <w:rPr>
                <w:color w:val="000000" w:themeColor="text1"/>
                <w14:textFill>
                  <w14:solidFill>
                    <w14:schemeClr w14:val="tx1"/>
                  </w14:solidFill>
                </w14:textFill>
              </w:rPr>
            </w:pPr>
            <w:r>
              <w:rPr>
                <w:color w:val="000000" w:themeColor="text1"/>
                <w14:textFill>
                  <w14:solidFill>
                    <w14:schemeClr w14:val="tx1"/>
                  </w14:solidFill>
                </w14:textFill>
              </w:rPr>
              <w:t>项目各生产设备均位于封闭车间内，环保设备风机建设隔声间，可有效防止噪声污染</w:t>
            </w:r>
          </w:p>
        </w:tc>
        <w:tc>
          <w:tcPr>
            <w:tcW w:w="847" w:type="dxa"/>
            <w:vAlign w:val="center"/>
          </w:tcPr>
          <w:p w14:paraId="7781FD90">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B26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6D4B60C">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4500" w:type="dxa"/>
            <w:vAlign w:val="center"/>
          </w:tcPr>
          <w:p w14:paraId="4958AB8C">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5.1.9</w:t>
            </w:r>
            <w:r>
              <w:rPr>
                <w:color w:val="000000" w:themeColor="text1"/>
                <w14:textFill>
                  <w14:solidFill>
                    <w14:schemeClr w14:val="tx1"/>
                  </w14:solidFill>
                </w14:textFill>
              </w:rPr>
              <w:t>产生的污泥、底渣、废油类等固体废物应按照其管理属性分别处置。不能自行综合利用或处置的，应交给有相应资质和处理能力的企业进行综合利用或处置。</w:t>
            </w:r>
          </w:p>
        </w:tc>
        <w:tc>
          <w:tcPr>
            <w:tcW w:w="3522" w:type="dxa"/>
            <w:vAlign w:val="center"/>
          </w:tcPr>
          <w:p w14:paraId="69B9F4BF">
            <w:pPr>
              <w:pStyle w:val="109"/>
              <w:rPr>
                <w:color w:val="000000" w:themeColor="text1"/>
                <w14:textFill>
                  <w14:solidFill>
                    <w14:schemeClr w14:val="tx1"/>
                  </w14:solidFill>
                </w14:textFill>
              </w:rPr>
            </w:pPr>
            <w:r>
              <w:rPr>
                <w:color w:val="000000" w:themeColor="text1"/>
                <w14:textFill>
                  <w14:solidFill>
                    <w14:schemeClr w14:val="tx1"/>
                  </w14:solidFill>
                </w14:textFill>
              </w:rPr>
              <w:t>项目产生的泥渣、三效蒸发废盐、废油类</w:t>
            </w:r>
            <w:r>
              <w:rPr>
                <w:rFonts w:hint="eastAsia"/>
                <w:color w:val="000000" w:themeColor="text1"/>
                <w14:textFill>
                  <w14:solidFill>
                    <w14:schemeClr w14:val="tx1"/>
                  </w14:solidFill>
                </w14:textFill>
              </w:rPr>
              <w:t>、废油桶等危险废物</w:t>
            </w:r>
            <w:r>
              <w:rPr>
                <w:color w:val="000000" w:themeColor="text1"/>
                <w14:textFill>
                  <w14:solidFill>
                    <w14:schemeClr w14:val="tx1"/>
                  </w14:solidFill>
                </w14:textFill>
              </w:rPr>
              <w:t>均交给有相应资质和处理能力的企业进行综合利用或处置</w:t>
            </w:r>
          </w:p>
        </w:tc>
        <w:tc>
          <w:tcPr>
            <w:tcW w:w="847" w:type="dxa"/>
            <w:vAlign w:val="center"/>
          </w:tcPr>
          <w:p w14:paraId="1DEF29E4">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E59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BE838F0">
            <w:pPr>
              <w:pStyle w:val="109"/>
              <w:rPr>
                <w:color w:val="000000" w:themeColor="text1"/>
                <w14:textFill>
                  <w14:solidFill>
                    <w14:schemeClr w14:val="tx1"/>
                  </w14:solidFill>
                </w14:textFill>
              </w:rPr>
            </w:pPr>
            <w:r>
              <w:rPr>
                <w:color w:val="000000" w:themeColor="text1"/>
                <w14:textFill>
                  <w14:solidFill>
                    <w14:schemeClr w14:val="tx1"/>
                  </w14:solidFill>
                </w14:textFill>
              </w:rPr>
              <w:t>21</w:t>
            </w:r>
          </w:p>
        </w:tc>
        <w:tc>
          <w:tcPr>
            <w:tcW w:w="4500" w:type="dxa"/>
            <w:vAlign w:val="center"/>
          </w:tcPr>
          <w:p w14:paraId="36DD1027">
            <w:pPr>
              <w:pStyle w:val="109"/>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5.1.10 </w:t>
            </w:r>
            <w:r>
              <w:rPr>
                <w:color w:val="000000" w:themeColor="text1"/>
                <w14:textFill>
                  <w14:solidFill>
                    <w14:schemeClr w14:val="tx1"/>
                  </w14:solidFill>
                </w14:textFill>
              </w:rPr>
              <w:t>危险废物的贮存、包装、处置等应符合GB 18597、HJ 2042等危险废物专用标准的要求。</w:t>
            </w:r>
          </w:p>
        </w:tc>
        <w:tc>
          <w:tcPr>
            <w:tcW w:w="3522" w:type="dxa"/>
            <w:vAlign w:val="center"/>
          </w:tcPr>
          <w:p w14:paraId="59C16E26">
            <w:pPr>
              <w:pStyle w:val="109"/>
              <w:rPr>
                <w:color w:val="000000" w:themeColor="text1"/>
                <w14:textFill>
                  <w14:solidFill>
                    <w14:schemeClr w14:val="tx1"/>
                  </w14:solidFill>
                </w14:textFill>
              </w:rPr>
            </w:pPr>
            <w:r>
              <w:rPr>
                <w:color w:val="000000" w:themeColor="text1"/>
                <w14:textFill>
                  <w14:solidFill>
                    <w14:schemeClr w14:val="tx1"/>
                  </w14:solidFill>
                </w14:textFill>
              </w:rPr>
              <w:t>本项目危险废物的贮存、包装、处置等应符合GB 18597、HJ 2042等危险废物专用标准</w:t>
            </w:r>
          </w:p>
        </w:tc>
        <w:tc>
          <w:tcPr>
            <w:tcW w:w="847" w:type="dxa"/>
            <w:vAlign w:val="center"/>
          </w:tcPr>
          <w:p w14:paraId="6CAB9AAB">
            <w:pPr>
              <w:pStyle w:val="10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4D7AEE1C">
      <w:pPr>
        <w:ind w:firstLine="480"/>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000D8337">
      <w:pPr>
        <w:pStyle w:val="2"/>
        <w:rPr>
          <w:rFonts w:ascii="Times New Roman" w:cs="Times New Roman"/>
          <w:color w:val="000000" w:themeColor="text1"/>
          <w14:textFill>
            <w14:solidFill>
              <w14:schemeClr w14:val="tx1"/>
            </w14:solidFill>
          </w14:textFill>
        </w:rPr>
      </w:pPr>
      <w:bookmarkStart w:id="530" w:name="_Toc329793732"/>
      <w:bookmarkStart w:id="531" w:name="_Toc167180410"/>
      <w:bookmarkStart w:id="532" w:name="_Toc321821875"/>
      <w:bookmarkStart w:id="533" w:name="_Toc330460824"/>
      <w:bookmarkStart w:id="534" w:name="_Toc225268337"/>
      <w:bookmarkStart w:id="535" w:name="_Toc278649580"/>
      <w:bookmarkStart w:id="536" w:name="_Toc167184346"/>
      <w:bookmarkStart w:id="537" w:name="_Toc173430895"/>
      <w:bookmarkStart w:id="538" w:name="_Toc125148924"/>
      <w:r>
        <w:rPr>
          <w:rFonts w:ascii="Times New Roman" w:cs="Times New Roman"/>
          <w:color w:val="000000" w:themeColor="text1"/>
          <w14:textFill>
            <w14:solidFill>
              <w14:schemeClr w14:val="tx1"/>
            </w14:solidFill>
          </w14:textFill>
        </w:rPr>
        <w:t>环境风险评价</w:t>
      </w:r>
      <w:bookmarkEnd w:id="530"/>
      <w:bookmarkEnd w:id="531"/>
      <w:bookmarkEnd w:id="532"/>
      <w:bookmarkEnd w:id="533"/>
      <w:bookmarkEnd w:id="534"/>
      <w:bookmarkEnd w:id="535"/>
      <w:bookmarkEnd w:id="536"/>
      <w:bookmarkEnd w:id="537"/>
      <w:bookmarkEnd w:id="538"/>
      <w:bookmarkStart w:id="539" w:name="_Toc167180411"/>
      <w:bookmarkStart w:id="540" w:name="_Toc167184347"/>
      <w:bookmarkStart w:id="541" w:name="_Toc173430896"/>
    </w:p>
    <w:bookmarkEnd w:id="539"/>
    <w:bookmarkEnd w:id="540"/>
    <w:bookmarkEnd w:id="541"/>
    <w:p w14:paraId="216F7CB2">
      <w:pPr>
        <w:pStyle w:val="3"/>
        <w:rPr>
          <w:rFonts w:ascii="Times New Roman" w:cs="Times New Roman"/>
          <w:color w:val="000000" w:themeColor="text1"/>
          <w14:textFill>
            <w14:solidFill>
              <w14:schemeClr w14:val="tx1"/>
            </w14:solidFill>
          </w14:textFill>
        </w:rPr>
      </w:pPr>
      <w:bookmarkStart w:id="542" w:name="_Toc225268338"/>
      <w:r>
        <w:rPr>
          <w:rFonts w:ascii="Times New Roman" w:cs="Times New Roman"/>
          <w:color w:val="000000" w:themeColor="text1"/>
          <w14:textFill>
            <w14:solidFill>
              <w14:schemeClr w14:val="tx1"/>
            </w14:solidFill>
          </w14:textFill>
        </w:rPr>
        <w:t>评价依据</w:t>
      </w:r>
      <w:bookmarkEnd w:id="542"/>
    </w:p>
    <w:p w14:paraId="4D0F767B">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风险调查</w:t>
      </w:r>
    </w:p>
    <w:p w14:paraId="65412E8A">
      <w:pPr>
        <w:ind w:firstLine="482"/>
        <w:rPr>
          <w:b/>
          <w:color w:val="000000" w:themeColor="text1"/>
          <w14:textFill>
            <w14:solidFill>
              <w14:schemeClr w14:val="tx1"/>
            </w14:solidFill>
          </w14:textFill>
        </w:rPr>
      </w:pPr>
      <w:r>
        <w:rPr>
          <w:b/>
          <w:color w:val="000000" w:themeColor="text1"/>
          <w14:textFill>
            <w14:solidFill>
              <w14:schemeClr w14:val="tx1"/>
            </w14:solidFill>
          </w14:textFill>
        </w:rPr>
        <w:t>1、危险物质数量和分布情况</w:t>
      </w:r>
    </w:p>
    <w:p w14:paraId="10A3468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本项目使用的原辅材料及产品包含废盐、</w:t>
      </w:r>
      <w:r>
        <w:rPr>
          <w:rFonts w:hint="eastAsia"/>
          <w:color w:val="000000" w:themeColor="text1"/>
          <w14:textFill>
            <w14:solidFill>
              <w14:schemeClr w14:val="tx1"/>
            </w14:solidFill>
          </w14:textFill>
        </w:rPr>
        <w:t>氨水</w:t>
      </w:r>
      <w:r>
        <w:rPr>
          <w:color w:val="000000" w:themeColor="text1"/>
          <w14:textFill>
            <w14:solidFill>
              <w14:schemeClr w14:val="tx1"/>
            </w14:solidFill>
          </w14:textFill>
        </w:rPr>
        <w:t xml:space="preserve">、氢氧化钠、活性炭、钒钛系脱硝催化剂、天然气、融雪剂、矿物油（废矿物油）。根据调查本项目主要原辅材料的安全技术说明书等基础资料，天然气、矿物油（废矿物油）属于《建设项目环境风险评价技术导则》（HJ169-2018）中具有风险性的物质。采用管道输送，厂区内不设置储罐，主要原辅料中废盐属于危险废物。 </w:t>
      </w:r>
    </w:p>
    <w:p w14:paraId="62D4FC62">
      <w:pPr>
        <w:ind w:firstLine="480"/>
        <w:rPr>
          <w:color w:val="000000" w:themeColor="text1"/>
          <w14:textFill>
            <w14:solidFill>
              <w14:schemeClr w14:val="tx1"/>
            </w14:solidFill>
          </w14:textFill>
        </w:rPr>
      </w:pPr>
      <w:r>
        <w:rPr>
          <w:color w:val="000000" w:themeColor="text1"/>
          <w14:textFill>
            <w14:solidFill>
              <w14:schemeClr w14:val="tx1"/>
            </w14:solidFill>
          </w14:textFill>
        </w:rPr>
        <w:t>拟建项目建成后，年处置50000吨废盐，根据《危险废物处置工程技术导则》（HJ 2042-2014）要求，拟建危险废物储存能力不得低于处置设施15日的处置量，本项目年运行8000h，废盐仓库储存量最大量为2252t。</w:t>
      </w:r>
    </w:p>
    <w:p w14:paraId="1FE331EA">
      <w:pPr>
        <w:ind w:firstLine="482"/>
        <w:rPr>
          <w:b/>
          <w:color w:val="000000" w:themeColor="text1"/>
          <w14:textFill>
            <w14:solidFill>
              <w14:schemeClr w14:val="tx1"/>
            </w14:solidFill>
          </w14:textFill>
        </w:rPr>
      </w:pPr>
      <w:r>
        <w:rPr>
          <w:b/>
          <w:color w:val="000000" w:themeColor="text1"/>
          <w14:textFill>
            <w14:solidFill>
              <w14:schemeClr w14:val="tx1"/>
            </w14:solidFill>
          </w14:textFill>
        </w:rPr>
        <w:t>2、生产工艺特点</w:t>
      </w:r>
    </w:p>
    <w:p w14:paraId="69FEB09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为危险废物的综合利用项目，属于《建设项目环境风险评价技术导则》（HJ169-2018）中附录C中“表C.1”中的“其他”行业，M=5，表示为M4。主要是采用热解焙烧方法对废盐进行处理，使其不具有危害特性，并进行综合利用，不涉及危险工艺。</w:t>
      </w:r>
    </w:p>
    <w:p w14:paraId="6AC8FE0C">
      <w:pPr>
        <w:pStyle w:val="4"/>
        <w:rPr>
          <w:rFonts w:ascii="Times New Roman" w:cs="Times New Roman"/>
          <w:b/>
          <w:color w:val="000000" w:themeColor="text1"/>
          <w14:textFill>
            <w14:solidFill>
              <w14:schemeClr w14:val="tx1"/>
            </w14:solidFill>
          </w14:textFill>
        </w:rPr>
      </w:pPr>
      <w:bookmarkStart w:id="543" w:name="_Toc3417"/>
      <w:r>
        <w:rPr>
          <w:rFonts w:ascii="Times New Roman" w:cs="Times New Roman"/>
          <w:color w:val="000000" w:themeColor="text1"/>
          <w14:textFill>
            <w14:solidFill>
              <w14:schemeClr w14:val="tx1"/>
            </w14:solidFill>
          </w14:textFill>
        </w:rPr>
        <w:t>环境风险潜势初判</w:t>
      </w:r>
      <w:bookmarkEnd w:id="543"/>
    </w:p>
    <w:p w14:paraId="3BC6FBDC">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危险物质数量与临界量比值（Q）</w:t>
      </w:r>
    </w:p>
    <w:p w14:paraId="5BB8F72B">
      <w:pPr>
        <w:ind w:firstLine="480"/>
        <w:rPr>
          <w:color w:val="000000" w:themeColor="text1"/>
          <w14:textFill>
            <w14:solidFill>
              <w14:schemeClr w14:val="tx1"/>
            </w14:solidFill>
          </w14:textFill>
        </w:rPr>
      </w:pPr>
      <w:r>
        <w:rPr>
          <w:color w:val="000000" w:themeColor="text1"/>
          <w14:textFill>
            <w14:solidFill>
              <w14:schemeClr w14:val="tx1"/>
            </w14:solidFill>
          </w14:textFill>
        </w:rPr>
        <w:t>计算所涉及的每种危险物质在厂界内的最大存在总量与其在附录B 中对应临界量的比值Q。在不同厂区的同一种物质，按其在厂界内的最大存在总量计算。对于长输管线项目，按照两个截断阀室之间管段危险物质最大存在总量计算。</w:t>
      </w:r>
    </w:p>
    <w:p w14:paraId="61EF1B10">
      <w:pPr>
        <w:ind w:firstLine="480"/>
        <w:rPr>
          <w:color w:val="000000" w:themeColor="text1"/>
          <w14:textFill>
            <w14:solidFill>
              <w14:schemeClr w14:val="tx1"/>
            </w14:solidFill>
          </w14:textFill>
        </w:rPr>
      </w:pPr>
      <w:r>
        <w:rPr>
          <w:color w:val="000000" w:themeColor="text1"/>
          <w14:textFill>
            <w14:solidFill>
              <w14:schemeClr w14:val="tx1"/>
            </w14:solidFill>
          </w14:textFill>
        </w:rPr>
        <w:t>当只涉及一种危险物质时，计算该物质的总量与其临界量比值，即为Q；</w:t>
      </w:r>
    </w:p>
    <w:p w14:paraId="2CEE2AFA">
      <w:pPr>
        <w:ind w:firstLine="480"/>
        <w:rPr>
          <w:color w:val="000000" w:themeColor="text1"/>
          <w14:textFill>
            <w14:solidFill>
              <w14:schemeClr w14:val="tx1"/>
            </w14:solidFill>
          </w14:textFill>
        </w:rPr>
      </w:pPr>
      <w:r>
        <w:rPr>
          <w:color w:val="000000" w:themeColor="text1"/>
          <w14:textFill>
            <w14:solidFill>
              <w14:schemeClr w14:val="tx1"/>
            </w14:solidFill>
          </w14:textFill>
        </w:rPr>
        <w:t>当存在多种危险物质时，则按式（C.1）计算物质总量与其临界量比值（Q）：</w:t>
      </w:r>
    </w:p>
    <w:p w14:paraId="47F37D74">
      <w:pPr>
        <w:pStyle w:val="197"/>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14:textFill>
            <w14:solidFill>
              <w14:schemeClr w14:val="tx1"/>
            </w14:solidFill>
          </w14:textFill>
        </w:rPr>
        <w:t xml:space="preserve">   </w:t>
      </w:r>
      <w:r>
        <w:rPr>
          <w:rFonts w:ascii="Times New Roman" w:hAnsi="Times New Roman"/>
          <w:color w:val="000000" w:themeColor="text1"/>
          <w:lang w:val="en-US"/>
          <w14:textFill>
            <w14:solidFill>
              <w14:schemeClr w14:val="tx1"/>
            </w14:solidFill>
          </w14:textFill>
        </w:rPr>
        <w:drawing>
          <wp:inline distT="0" distB="0" distL="0" distR="0">
            <wp:extent cx="1362075" cy="371475"/>
            <wp:effectExtent l="0" t="0" r="0" b="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62075" cy="371475"/>
                    </a:xfrm>
                    <a:prstGeom prst="rect">
                      <a:avLst/>
                    </a:prstGeom>
                    <a:noFill/>
                    <a:ln>
                      <a:noFill/>
                    </a:ln>
                  </pic:spPr>
                </pic:pic>
              </a:graphicData>
            </a:graphic>
          </wp:inline>
        </w:drawing>
      </w:r>
    </w:p>
    <w:p w14:paraId="6320B3AA">
      <w:pPr>
        <w:pStyle w:val="197"/>
        <w:ind w:firstLine="468" w:firstLineChars="19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式中：q</w:t>
      </w:r>
      <w:r>
        <w:rPr>
          <w:rFonts w:ascii="Times New Roman" w:hAnsi="Times New Roman"/>
          <w:color w:val="000000" w:themeColor="text1"/>
          <w:vertAlign w:val="subscript"/>
          <w14:textFill>
            <w14:solidFill>
              <w14:schemeClr w14:val="tx1"/>
            </w14:solidFill>
          </w14:textFill>
        </w:rPr>
        <w:t>1</w:t>
      </w:r>
      <w:r>
        <w:rPr>
          <w:rFonts w:ascii="Times New Roman" w:hAnsi="Times New Roman"/>
          <w:color w:val="000000" w:themeColor="text1"/>
          <w14:textFill>
            <w14:solidFill>
              <w14:schemeClr w14:val="tx1"/>
            </w14:solidFill>
          </w14:textFill>
        </w:rPr>
        <w:t>，q</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，...，q</w:t>
      </w:r>
      <w:r>
        <w:rPr>
          <w:rFonts w:ascii="Times New Roman" w:hAnsi="Times New Roman"/>
          <w:color w:val="000000" w:themeColor="text1"/>
          <w:vertAlign w:val="subscript"/>
          <w14:textFill>
            <w14:solidFill>
              <w14:schemeClr w14:val="tx1"/>
            </w14:solidFill>
          </w14:textFill>
        </w:rPr>
        <w:t>n</w:t>
      </w:r>
      <w:r>
        <w:rPr>
          <w:rFonts w:ascii="Times New Roman" w:hAnsi="Times New Roman"/>
          <w:color w:val="000000" w:themeColor="text1"/>
          <w14:textFill>
            <w14:solidFill>
              <w14:schemeClr w14:val="tx1"/>
            </w14:solidFill>
          </w14:textFill>
        </w:rPr>
        <w:t>——每种危险物质的最大存在总量，t；</w:t>
      </w:r>
    </w:p>
    <w:p w14:paraId="78996981">
      <w:pPr>
        <w:pStyle w:val="197"/>
        <w:ind w:firstLine="468" w:firstLineChars="19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Q</w:t>
      </w:r>
      <w:r>
        <w:rPr>
          <w:rFonts w:ascii="Times New Roman" w:hAnsi="Times New Roman"/>
          <w:color w:val="000000" w:themeColor="text1"/>
          <w:vertAlign w:val="subscript"/>
          <w14:textFill>
            <w14:solidFill>
              <w14:schemeClr w14:val="tx1"/>
            </w14:solidFill>
          </w14:textFill>
        </w:rPr>
        <w:t>1</w:t>
      </w:r>
      <w:r>
        <w:rPr>
          <w:rFonts w:ascii="Times New Roman" w:hAnsi="Times New Roman"/>
          <w:color w:val="000000" w:themeColor="text1"/>
          <w14:textFill>
            <w14:solidFill>
              <w14:schemeClr w14:val="tx1"/>
            </w14:solidFill>
          </w14:textFill>
        </w:rPr>
        <w:t>， Q</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 ...， Q</w:t>
      </w:r>
      <w:r>
        <w:rPr>
          <w:rFonts w:ascii="Times New Roman" w:hAnsi="Times New Roman"/>
          <w:color w:val="000000" w:themeColor="text1"/>
          <w:vertAlign w:val="subscript"/>
          <w14:textFill>
            <w14:solidFill>
              <w14:schemeClr w14:val="tx1"/>
            </w14:solidFill>
          </w14:textFill>
        </w:rPr>
        <w:t>n</w:t>
      </w:r>
      <w:r>
        <w:rPr>
          <w:rFonts w:ascii="Times New Roman" w:hAnsi="Times New Roman"/>
          <w:color w:val="000000" w:themeColor="text1"/>
          <w14:textFill>
            <w14:solidFill>
              <w14:schemeClr w14:val="tx1"/>
            </w14:solidFill>
          </w14:textFill>
        </w:rPr>
        <w:t>——每种危险物质的临界量，t。</w:t>
      </w:r>
    </w:p>
    <w:p w14:paraId="30717785">
      <w:pPr>
        <w:pStyle w:val="197"/>
        <w:ind w:firstLine="468" w:firstLineChars="19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当Q＜1 时，该项目环境风险潜势为Ⅰ。</w:t>
      </w:r>
    </w:p>
    <w:p w14:paraId="0C02F453">
      <w:pPr>
        <w:pStyle w:val="197"/>
        <w:ind w:firstLine="468" w:firstLineChars="19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Q≥1 时，将Q 值划分为：（1）1≤Q＜10；（2）10≤Q＜100；（3）Q≥100。</w:t>
      </w:r>
    </w:p>
    <w:p w14:paraId="6863C0C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本项目涉及的危险物质主要为管道内的天然气、危废间的废矿物油</w:t>
      </w:r>
      <w:r>
        <w:rPr>
          <w:rFonts w:hint="eastAsia"/>
          <w:color w:val="000000" w:themeColor="text1"/>
          <w14:textFill>
            <w14:solidFill>
              <w14:schemeClr w14:val="tx1"/>
            </w14:solidFill>
          </w14:textFill>
        </w:rPr>
        <w:t>、10%氨水</w:t>
      </w:r>
      <w:r>
        <w:rPr>
          <w:color w:val="000000" w:themeColor="text1"/>
          <w14:textFill>
            <w14:solidFill>
              <w14:schemeClr w14:val="tx1"/>
            </w14:solidFill>
          </w14:textFill>
        </w:rPr>
        <w:t>。</w:t>
      </w:r>
    </w:p>
    <w:p w14:paraId="3CBD3EBE">
      <w:pPr>
        <w:ind w:firstLine="480"/>
        <w:rPr>
          <w:color w:val="000000" w:themeColor="text1"/>
          <w14:textFill>
            <w14:solidFill>
              <w14:schemeClr w14:val="tx1"/>
            </w14:solidFill>
          </w14:textFill>
        </w:rPr>
      </w:pPr>
      <w:r>
        <w:rPr>
          <w:color w:val="000000" w:themeColor="text1"/>
          <w14:textFill>
            <w14:solidFill>
              <w14:schemeClr w14:val="tx1"/>
            </w14:solidFill>
          </w14:textFill>
        </w:rPr>
        <w:t>具体判定结果见下表。</w:t>
      </w:r>
    </w:p>
    <w:p w14:paraId="431CD63D">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w:t>
      </w:r>
      <w:r>
        <w:rPr>
          <w:rFonts w:ascii="Times New Roman" w:hAnsi="Times New Roman" w:eastAsia="Times New Roman" w:cs="Times New Roman"/>
          <w:color w:val="000000" w:themeColor="text1"/>
          <w:lang w:bidi="en-US"/>
          <w14:textFill>
            <w14:solidFill>
              <w14:schemeClr w14:val="tx1"/>
            </w14:solidFill>
          </w14:textFill>
        </w:rPr>
        <w:t>Q</w:t>
      </w:r>
      <w:r>
        <w:rPr>
          <w:rFonts w:ascii="Times New Roman" w:hAnsi="Times New Roman" w:cs="Times New Roman"/>
          <w:color w:val="000000" w:themeColor="text1"/>
          <w14:textFill>
            <w14:solidFill>
              <w14:schemeClr w14:val="tx1"/>
            </w14:solidFill>
          </w14:textFill>
        </w:rPr>
        <w:t>值确定表</w:t>
      </w:r>
    </w:p>
    <w:tbl>
      <w:tblPr>
        <w:tblStyle w:val="7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66"/>
        <w:gridCol w:w="1130"/>
        <w:gridCol w:w="1134"/>
        <w:gridCol w:w="1276"/>
        <w:gridCol w:w="989"/>
        <w:gridCol w:w="1055"/>
        <w:gridCol w:w="1500"/>
        <w:gridCol w:w="1276"/>
      </w:tblGrid>
      <w:tr w14:paraId="5929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566" w:type="dxa"/>
            <w:vAlign w:val="center"/>
          </w:tcPr>
          <w:p w14:paraId="4453CC7C">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30" w:type="dxa"/>
            <w:vAlign w:val="center"/>
          </w:tcPr>
          <w:p w14:paraId="5DD88138">
            <w:pPr>
              <w:pStyle w:val="109"/>
              <w:rPr>
                <w:color w:val="000000" w:themeColor="text1"/>
                <w14:textFill>
                  <w14:solidFill>
                    <w14:schemeClr w14:val="tx1"/>
                  </w14:solidFill>
                </w14:textFill>
              </w:rPr>
            </w:pPr>
            <w:r>
              <w:rPr>
                <w:color w:val="000000" w:themeColor="text1"/>
                <w14:textFill>
                  <w14:solidFill>
                    <w14:schemeClr w14:val="tx1"/>
                  </w14:solidFill>
                </w14:textFill>
              </w:rPr>
              <w:t>化学品名称</w:t>
            </w:r>
          </w:p>
        </w:tc>
        <w:tc>
          <w:tcPr>
            <w:tcW w:w="1134" w:type="dxa"/>
            <w:vAlign w:val="center"/>
          </w:tcPr>
          <w:p w14:paraId="55E228D2">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CAS</w:t>
            </w:r>
            <w:r>
              <w:rPr>
                <w:color w:val="000000" w:themeColor="text1"/>
                <w14:textFill>
                  <w14:solidFill>
                    <w14:schemeClr w14:val="tx1"/>
                  </w14:solidFill>
                </w14:textFill>
              </w:rPr>
              <w:t>号</w:t>
            </w:r>
          </w:p>
        </w:tc>
        <w:tc>
          <w:tcPr>
            <w:tcW w:w="1276" w:type="dxa"/>
            <w:vAlign w:val="center"/>
          </w:tcPr>
          <w:p w14:paraId="6044D435">
            <w:pPr>
              <w:pStyle w:val="109"/>
              <w:rPr>
                <w:color w:val="000000" w:themeColor="text1"/>
                <w14:textFill>
                  <w14:solidFill>
                    <w14:schemeClr w14:val="tx1"/>
                  </w14:solidFill>
                </w14:textFill>
              </w:rPr>
            </w:pPr>
            <w:r>
              <w:rPr>
                <w:color w:val="000000" w:themeColor="text1"/>
                <w14:textFill>
                  <w14:solidFill>
                    <w14:schemeClr w14:val="tx1"/>
                  </w14:solidFill>
                </w14:textFill>
              </w:rPr>
              <w:t>贮存区最大暂存总量</w:t>
            </w:r>
            <w:r>
              <w:rPr>
                <w:rFonts w:eastAsia="Times New Roman"/>
                <w:color w:val="000000" w:themeColor="text1"/>
                <w:lang w:bidi="en-US"/>
                <w14:textFill>
                  <w14:solidFill>
                    <w14:schemeClr w14:val="tx1"/>
                  </w14:solidFill>
                </w14:textFill>
              </w:rPr>
              <w:t>t</w:t>
            </w:r>
          </w:p>
        </w:tc>
        <w:tc>
          <w:tcPr>
            <w:tcW w:w="989" w:type="dxa"/>
            <w:vAlign w:val="center"/>
          </w:tcPr>
          <w:p w14:paraId="4B8DDFE0">
            <w:pPr>
              <w:pStyle w:val="109"/>
              <w:rPr>
                <w:color w:val="000000" w:themeColor="text1"/>
                <w14:textFill>
                  <w14:solidFill>
                    <w14:schemeClr w14:val="tx1"/>
                  </w14:solidFill>
                </w14:textFill>
              </w:rPr>
            </w:pPr>
            <w:r>
              <w:rPr>
                <w:color w:val="000000" w:themeColor="text1"/>
                <w14:textFill>
                  <w14:solidFill>
                    <w14:schemeClr w14:val="tx1"/>
                  </w14:solidFill>
                </w14:textFill>
              </w:rPr>
              <w:t>最大在线量</w:t>
            </w:r>
            <w:r>
              <w:rPr>
                <w:rFonts w:eastAsia="Times New Roman"/>
                <w:color w:val="000000" w:themeColor="text1"/>
                <w:lang w:eastAsia="en-US" w:bidi="en-US"/>
                <w14:textFill>
                  <w14:solidFill>
                    <w14:schemeClr w14:val="tx1"/>
                  </w14:solidFill>
                </w14:textFill>
              </w:rPr>
              <w:t>t</w:t>
            </w:r>
          </w:p>
        </w:tc>
        <w:tc>
          <w:tcPr>
            <w:tcW w:w="1055" w:type="dxa"/>
            <w:vAlign w:val="center"/>
          </w:tcPr>
          <w:p w14:paraId="1CD2806D">
            <w:pPr>
              <w:pStyle w:val="109"/>
              <w:rPr>
                <w:color w:val="000000" w:themeColor="text1"/>
                <w14:textFill>
                  <w14:solidFill>
                    <w14:schemeClr w14:val="tx1"/>
                  </w14:solidFill>
                </w14:textFill>
              </w:rPr>
            </w:pPr>
            <w:r>
              <w:rPr>
                <w:color w:val="000000" w:themeColor="text1"/>
                <w14:textFill>
                  <w14:solidFill>
                    <w14:schemeClr w14:val="tx1"/>
                  </w14:solidFill>
                </w14:textFill>
              </w:rPr>
              <w:t>厂区最大存在量</w:t>
            </w:r>
            <w:r>
              <w:rPr>
                <w:rFonts w:eastAsia="Times New Roman"/>
                <w:color w:val="000000" w:themeColor="text1"/>
                <w:lang w:eastAsia="en-US" w:bidi="en-US"/>
                <w14:textFill>
                  <w14:solidFill>
                    <w14:schemeClr w14:val="tx1"/>
                  </w14:solidFill>
                </w14:textFill>
              </w:rPr>
              <w:t>qn/t</w:t>
            </w:r>
          </w:p>
        </w:tc>
        <w:tc>
          <w:tcPr>
            <w:tcW w:w="1500" w:type="dxa"/>
            <w:vAlign w:val="center"/>
          </w:tcPr>
          <w:p w14:paraId="5295863A">
            <w:pPr>
              <w:pStyle w:val="109"/>
              <w:rPr>
                <w:color w:val="000000" w:themeColor="text1"/>
                <w14:textFill>
                  <w14:solidFill>
                    <w14:schemeClr w14:val="tx1"/>
                  </w14:solidFill>
                </w14:textFill>
              </w:rPr>
            </w:pPr>
            <w:r>
              <w:rPr>
                <w:color w:val="000000" w:themeColor="text1"/>
                <w14:textFill>
                  <w14:solidFill>
                    <w14:schemeClr w14:val="tx1"/>
                  </w14:solidFill>
                </w14:textFill>
              </w:rPr>
              <w:t>临界量</w:t>
            </w:r>
            <w:r>
              <w:rPr>
                <w:rFonts w:eastAsia="Times New Roman"/>
                <w:color w:val="000000" w:themeColor="text1"/>
                <w:lang w:eastAsia="en-US" w:bidi="en-US"/>
                <w14:textFill>
                  <w14:solidFill>
                    <w14:schemeClr w14:val="tx1"/>
                  </w14:solidFill>
                </w14:textFill>
              </w:rPr>
              <w:t>Qn/t</w:t>
            </w:r>
          </w:p>
        </w:tc>
        <w:tc>
          <w:tcPr>
            <w:tcW w:w="1276" w:type="dxa"/>
            <w:vAlign w:val="center"/>
          </w:tcPr>
          <w:p w14:paraId="4D4B347D">
            <w:pPr>
              <w:pStyle w:val="109"/>
              <w:rPr>
                <w:color w:val="000000" w:themeColor="text1"/>
                <w14:textFill>
                  <w14:solidFill>
                    <w14:schemeClr w14:val="tx1"/>
                  </w14:solidFill>
                </w14:textFill>
              </w:rPr>
            </w:pPr>
            <w:r>
              <w:rPr>
                <w:rFonts w:eastAsia="Times New Roman"/>
                <w:color w:val="000000" w:themeColor="text1"/>
                <w:lang w:eastAsia="en-US" w:bidi="en-US"/>
                <w14:textFill>
                  <w14:solidFill>
                    <w14:schemeClr w14:val="tx1"/>
                  </w14:solidFill>
                </w14:textFill>
              </w:rPr>
              <w:t>Q</w:t>
            </w:r>
            <w:r>
              <w:rPr>
                <w:color w:val="000000" w:themeColor="text1"/>
                <w14:textFill>
                  <w14:solidFill>
                    <w14:schemeClr w14:val="tx1"/>
                  </w14:solidFill>
                </w14:textFill>
              </w:rPr>
              <w:t>值</w:t>
            </w:r>
          </w:p>
        </w:tc>
      </w:tr>
      <w:tr w14:paraId="4805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566" w:type="dxa"/>
            <w:vAlign w:val="center"/>
          </w:tcPr>
          <w:p w14:paraId="2784D945">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1130" w:type="dxa"/>
            <w:vAlign w:val="center"/>
          </w:tcPr>
          <w:p w14:paraId="2E8FE430">
            <w:pPr>
              <w:pStyle w:val="109"/>
              <w:rPr>
                <w:color w:val="000000" w:themeColor="text1"/>
                <w:sz w:val="13"/>
                <w:szCs w:val="13"/>
                <w14:textFill>
                  <w14:solidFill>
                    <w14:schemeClr w14:val="tx1"/>
                  </w14:solidFill>
                </w14:textFill>
              </w:rPr>
            </w:pPr>
            <w:r>
              <w:rPr>
                <w:color w:val="000000" w:themeColor="text1"/>
                <w14:textFill>
                  <w14:solidFill>
                    <w14:schemeClr w14:val="tx1"/>
                  </w14:solidFill>
                </w14:textFill>
              </w:rPr>
              <w:t>天然气</w:t>
            </w:r>
          </w:p>
        </w:tc>
        <w:tc>
          <w:tcPr>
            <w:tcW w:w="1134" w:type="dxa"/>
            <w:vAlign w:val="center"/>
          </w:tcPr>
          <w:p w14:paraId="6131E126">
            <w:pPr>
              <w:pStyle w:val="109"/>
              <w:rPr>
                <w:color w:val="000000" w:themeColor="text1"/>
                <w14:textFill>
                  <w14:solidFill>
                    <w14:schemeClr w14:val="tx1"/>
                  </w14:solidFill>
                </w14:textFill>
              </w:rPr>
            </w:pPr>
            <w:r>
              <w:rPr>
                <w:color w:val="000000" w:themeColor="text1"/>
                <w14:textFill>
                  <w14:solidFill>
                    <w14:schemeClr w14:val="tx1"/>
                  </w14:solidFill>
                </w14:textFill>
              </w:rPr>
              <w:t>8006-14-2</w:t>
            </w:r>
          </w:p>
        </w:tc>
        <w:tc>
          <w:tcPr>
            <w:tcW w:w="1276" w:type="dxa"/>
            <w:vAlign w:val="center"/>
          </w:tcPr>
          <w:p w14:paraId="5197553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989" w:type="dxa"/>
            <w:vAlign w:val="center"/>
          </w:tcPr>
          <w:p w14:paraId="35AD9DE3">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055" w:type="dxa"/>
            <w:vAlign w:val="center"/>
          </w:tcPr>
          <w:p w14:paraId="608EE50E">
            <w:pPr>
              <w:pStyle w:val="109"/>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500" w:type="dxa"/>
            <w:vAlign w:val="center"/>
          </w:tcPr>
          <w:p w14:paraId="64F630E3">
            <w:pPr>
              <w:pStyle w:val="109"/>
              <w:rPr>
                <w:color w:val="000000" w:themeColor="text1"/>
                <w14:textFill>
                  <w14:solidFill>
                    <w14:schemeClr w14:val="tx1"/>
                  </w14:solidFill>
                </w14:textFill>
              </w:rPr>
            </w:pPr>
            <w:r>
              <w:rPr>
                <w:color w:val="000000" w:themeColor="text1"/>
                <w14:textFill>
                  <w14:solidFill>
                    <w14:schemeClr w14:val="tx1"/>
                  </w14:solidFill>
                </w14:textFill>
              </w:rPr>
              <w:t>10（参照甲烷）</w:t>
            </w:r>
          </w:p>
        </w:tc>
        <w:tc>
          <w:tcPr>
            <w:tcW w:w="1276" w:type="dxa"/>
            <w:vAlign w:val="center"/>
          </w:tcPr>
          <w:p w14:paraId="53BE5665">
            <w:pPr>
              <w:pStyle w:val="109"/>
              <w:rPr>
                <w:color w:val="000000" w:themeColor="text1"/>
                <w14:textFill>
                  <w14:solidFill>
                    <w14:schemeClr w14:val="tx1"/>
                  </w14:solidFill>
                </w14:textFill>
              </w:rPr>
            </w:pPr>
            <w:r>
              <w:rPr>
                <w:color w:val="000000" w:themeColor="text1"/>
                <w14:textFill>
                  <w14:solidFill>
                    <w14:schemeClr w14:val="tx1"/>
                  </w14:solidFill>
                </w14:textFill>
              </w:rPr>
              <w:t>0.001</w:t>
            </w:r>
          </w:p>
        </w:tc>
      </w:tr>
      <w:tr w14:paraId="23FE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566" w:type="dxa"/>
            <w:vAlign w:val="center"/>
          </w:tcPr>
          <w:p w14:paraId="0DF64A50">
            <w:pPr>
              <w:pStyle w:val="109"/>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p>
        </w:tc>
        <w:tc>
          <w:tcPr>
            <w:tcW w:w="1130" w:type="dxa"/>
            <w:vAlign w:val="center"/>
          </w:tcPr>
          <w:p w14:paraId="3C8D8906">
            <w:pPr>
              <w:pStyle w:val="109"/>
              <w:rPr>
                <w:color w:val="000000" w:themeColor="text1"/>
                <w14:textFill>
                  <w14:solidFill>
                    <w14:schemeClr w14:val="tx1"/>
                  </w14:solidFill>
                </w14:textFill>
              </w:rPr>
            </w:pPr>
            <w:r>
              <w:rPr>
                <w:color w:val="000000" w:themeColor="text1"/>
                <w14:textFill>
                  <w14:solidFill>
                    <w14:schemeClr w14:val="tx1"/>
                  </w14:solidFill>
                </w14:textFill>
              </w:rPr>
              <w:t>废矿物油</w:t>
            </w:r>
          </w:p>
        </w:tc>
        <w:tc>
          <w:tcPr>
            <w:tcW w:w="1134" w:type="dxa"/>
            <w:vAlign w:val="center"/>
          </w:tcPr>
          <w:p w14:paraId="1CCE7A3B">
            <w:pPr>
              <w:pStyle w:val="109"/>
              <w:rPr>
                <w:color w:val="000000" w:themeColor="text1"/>
                <w14:textFill>
                  <w14:solidFill>
                    <w14:schemeClr w14:val="tx1"/>
                  </w14:solidFill>
                </w14:textFill>
              </w:rPr>
            </w:pPr>
            <w:r>
              <w:rPr>
                <w:color w:val="000000" w:themeColor="text1"/>
                <w14:textFill>
                  <w14:solidFill>
                    <w14:schemeClr w14:val="tx1"/>
                  </w14:solidFill>
                </w14:textFill>
              </w:rPr>
              <w:t>8042-47-5</w:t>
            </w:r>
          </w:p>
        </w:tc>
        <w:tc>
          <w:tcPr>
            <w:tcW w:w="1276" w:type="dxa"/>
            <w:vAlign w:val="center"/>
          </w:tcPr>
          <w:p w14:paraId="3833F51D">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989" w:type="dxa"/>
            <w:vAlign w:val="center"/>
          </w:tcPr>
          <w:p w14:paraId="3C4F1E8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055" w:type="dxa"/>
            <w:vAlign w:val="center"/>
          </w:tcPr>
          <w:p w14:paraId="42539F80">
            <w:pPr>
              <w:pStyle w:val="109"/>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500" w:type="dxa"/>
            <w:vAlign w:val="center"/>
          </w:tcPr>
          <w:p w14:paraId="1D1AC5A6">
            <w:pPr>
              <w:pStyle w:val="109"/>
              <w:rPr>
                <w:color w:val="000000" w:themeColor="text1"/>
                <w14:textFill>
                  <w14:solidFill>
                    <w14:schemeClr w14:val="tx1"/>
                  </w14:solidFill>
                </w14:textFill>
              </w:rPr>
            </w:pPr>
            <w:r>
              <w:rPr>
                <w:color w:val="000000" w:themeColor="text1"/>
                <w14:textFill>
                  <w14:solidFill>
                    <w14:schemeClr w14:val="tx1"/>
                  </w14:solidFill>
                </w14:textFill>
              </w:rPr>
              <w:t>2500</w:t>
            </w:r>
          </w:p>
        </w:tc>
        <w:tc>
          <w:tcPr>
            <w:tcW w:w="1276" w:type="dxa"/>
            <w:vAlign w:val="center"/>
          </w:tcPr>
          <w:p w14:paraId="271D241C">
            <w:pPr>
              <w:pStyle w:val="109"/>
              <w:rPr>
                <w:color w:val="000000" w:themeColor="text1"/>
                <w14:textFill>
                  <w14:solidFill>
                    <w14:schemeClr w14:val="tx1"/>
                  </w14:solidFill>
                </w14:textFill>
              </w:rPr>
            </w:pPr>
            <w:r>
              <w:rPr>
                <w:color w:val="000000" w:themeColor="text1"/>
                <w14:textFill>
                  <w14:solidFill>
                    <w14:schemeClr w14:val="tx1"/>
                  </w14:solidFill>
                </w14:textFill>
              </w:rPr>
              <w:t>0.00008</w:t>
            </w:r>
          </w:p>
        </w:tc>
      </w:tr>
      <w:tr w14:paraId="1651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566" w:type="dxa"/>
            <w:vAlign w:val="center"/>
          </w:tcPr>
          <w:p w14:paraId="1A6C912B">
            <w:pPr>
              <w:pStyle w:val="109"/>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3</w:t>
            </w:r>
          </w:p>
        </w:tc>
        <w:tc>
          <w:tcPr>
            <w:tcW w:w="1130" w:type="dxa"/>
            <w:vAlign w:val="center"/>
          </w:tcPr>
          <w:p w14:paraId="5209E80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10%氨水</w:t>
            </w:r>
          </w:p>
        </w:tc>
        <w:tc>
          <w:tcPr>
            <w:tcW w:w="1134" w:type="dxa"/>
            <w:vAlign w:val="center"/>
          </w:tcPr>
          <w:p w14:paraId="611814DC">
            <w:pPr>
              <w:pStyle w:val="109"/>
              <w:rPr>
                <w:color w:val="000000" w:themeColor="text1"/>
                <w14:textFill>
                  <w14:solidFill>
                    <w14:schemeClr w14:val="tx1"/>
                  </w14:solidFill>
                </w14:textFill>
              </w:rPr>
            </w:pPr>
            <w:r>
              <w:rPr>
                <w:color w:val="000000" w:themeColor="text1"/>
                <w14:textFill>
                  <w14:solidFill>
                    <w14:schemeClr w14:val="tx1"/>
                  </w14:solidFill>
                </w14:textFill>
              </w:rPr>
              <w:t>1336-21-6</w:t>
            </w:r>
          </w:p>
        </w:tc>
        <w:tc>
          <w:tcPr>
            <w:tcW w:w="1276" w:type="dxa"/>
            <w:vAlign w:val="center"/>
          </w:tcPr>
          <w:p w14:paraId="73E5297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989" w:type="dxa"/>
            <w:vAlign w:val="center"/>
          </w:tcPr>
          <w:p w14:paraId="3974A98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055" w:type="dxa"/>
            <w:vAlign w:val="center"/>
          </w:tcPr>
          <w:p w14:paraId="4B97634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26.4</w:t>
            </w:r>
          </w:p>
        </w:tc>
        <w:tc>
          <w:tcPr>
            <w:tcW w:w="1500" w:type="dxa"/>
            <w:vAlign w:val="center"/>
          </w:tcPr>
          <w:p w14:paraId="09C9459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10（浓度≥20%）</w:t>
            </w:r>
          </w:p>
        </w:tc>
        <w:tc>
          <w:tcPr>
            <w:tcW w:w="1276" w:type="dxa"/>
            <w:vAlign w:val="center"/>
          </w:tcPr>
          <w:p w14:paraId="098033D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1.32（折算浓度20%）</w:t>
            </w:r>
          </w:p>
        </w:tc>
      </w:tr>
    </w:tbl>
    <w:p w14:paraId="6608068F">
      <w:pPr>
        <w:pStyle w:val="197"/>
        <w:ind w:firstLine="468" w:firstLineChars="195"/>
        <w:rPr>
          <w:rFonts w:ascii="Times New Roman" w:hAnsi="Times New Roman"/>
          <w:snapToGrid w:val="0"/>
          <w:color w:val="000000" w:themeColor="text1"/>
          <w14:textFill>
            <w14:solidFill>
              <w14:schemeClr w14:val="tx1"/>
            </w14:solidFill>
          </w14:textFill>
        </w:rPr>
      </w:pPr>
      <w:r>
        <w:rPr>
          <w:rFonts w:ascii="Times New Roman" w:hAnsi="Times New Roman"/>
          <w:color w:val="000000" w:themeColor="text1"/>
          <w:szCs w:val="24"/>
          <w:lang w:bidi="zh-CN"/>
          <w14:textFill>
            <w14:solidFill>
              <w14:schemeClr w14:val="tx1"/>
            </w14:solidFill>
          </w14:textFill>
        </w:rPr>
        <w:t>由上表可知，本项目</w:t>
      </w:r>
      <w:r>
        <w:rPr>
          <w:rFonts w:ascii="Times New Roman" w:hAnsi="Times New Roman" w:eastAsia="黑体"/>
          <w:color w:val="000000" w:themeColor="text1"/>
          <w:szCs w:val="24"/>
          <w:lang w:val="en-US" w:bidi="en-US"/>
          <w14:textFill>
            <w14:solidFill>
              <w14:schemeClr w14:val="tx1"/>
            </w14:solidFill>
          </w14:textFill>
        </w:rPr>
        <w:t>Q</w:t>
      </w:r>
      <w:r>
        <w:rPr>
          <w:rFonts w:ascii="Times New Roman" w:hAnsi="Times New Roman"/>
          <w:color w:val="000000" w:themeColor="text1"/>
          <w:szCs w:val="24"/>
          <w:lang w:val="en-US" w:bidi="en-US"/>
          <w14:textFill>
            <w14:solidFill>
              <w14:schemeClr w14:val="tx1"/>
            </w14:solidFill>
          </w14:textFill>
        </w:rPr>
        <w:t>=</w:t>
      </w:r>
      <w:r>
        <w:rPr>
          <w:rFonts w:hint="eastAsia" w:ascii="Times New Roman" w:hAnsi="Times New Roman"/>
          <w:color w:val="000000" w:themeColor="text1"/>
          <w:szCs w:val="24"/>
          <w:lang w:val="en-US" w:bidi="en-US"/>
          <w14:textFill>
            <w14:solidFill>
              <w14:schemeClr w14:val="tx1"/>
            </w14:solidFill>
          </w14:textFill>
        </w:rPr>
        <w:t>1.32</w:t>
      </w:r>
      <w:r>
        <w:rPr>
          <w:rFonts w:ascii="Times New Roman" w:hAnsi="Times New Roman"/>
          <w:color w:val="000000" w:themeColor="text1"/>
          <w:szCs w:val="24"/>
          <w:lang w:val="en-US" w:bidi="en-US"/>
          <w14:textFill>
            <w14:solidFill>
              <w14:schemeClr w14:val="tx1"/>
            </w14:solidFill>
          </w14:textFill>
        </w:rPr>
        <w:t>108</w:t>
      </w:r>
      <w:r>
        <w:rPr>
          <w:rFonts w:hint="eastAsia" w:ascii="Times New Roman" w:hAnsi="Times New Roman"/>
          <w:color w:val="000000" w:themeColor="text1"/>
          <w:szCs w:val="24"/>
          <w:lang w:val="en-US" w:bidi="en-US"/>
          <w14:textFill>
            <w14:solidFill>
              <w14:schemeClr w14:val="tx1"/>
            </w14:solidFill>
          </w14:textFill>
        </w:rPr>
        <w:t>，</w:t>
      </w:r>
      <w:r>
        <w:rPr>
          <w:rFonts w:hint="eastAsia"/>
          <w:color w:val="000000" w:themeColor="text1"/>
          <w14:textFill>
            <w14:solidFill>
              <w14:schemeClr w14:val="tx1"/>
            </w14:solidFill>
          </w14:textFill>
        </w:rPr>
        <w:t>1≤Q＜10</w:t>
      </w:r>
      <w:r>
        <w:rPr>
          <w:rFonts w:ascii="Times New Roman" w:hAnsi="Times New Roman"/>
          <w:snapToGrid w:val="0"/>
          <w:color w:val="000000" w:themeColor="text1"/>
          <w14:textFill>
            <w14:solidFill>
              <w14:schemeClr w14:val="tx1"/>
            </w14:solidFill>
          </w14:textFill>
        </w:rPr>
        <w:t>。</w:t>
      </w:r>
    </w:p>
    <w:p w14:paraId="13F0CC22">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建设项目环境风险潜势划分为</w:t>
      </w:r>
      <w:r>
        <w:rPr>
          <w:color w:val="000000" w:themeColor="text1"/>
          <w:lang w:bidi="en-US"/>
          <w14:textFill>
            <w14:solidFill>
              <w14:schemeClr w14:val="tx1"/>
            </w14:solidFill>
          </w14:textFill>
        </w:rPr>
        <w:t>Ⅰ、Ⅱ、Ⅲ、Ⅳ/Ⅳ</w:t>
      </w:r>
      <w:r>
        <w:rPr>
          <w:color w:val="000000" w:themeColor="text1"/>
          <w:vertAlign w:val="superscript"/>
          <w:lang w:bidi="en-US"/>
          <w14:textFill>
            <w14:solidFill>
              <w14:schemeClr w14:val="tx1"/>
            </w14:solidFill>
          </w14:textFill>
        </w:rPr>
        <w:t>+</w:t>
      </w:r>
      <w:r>
        <w:rPr>
          <w:color w:val="000000" w:themeColor="text1"/>
          <w14:textFill>
            <w14:solidFill>
              <w14:schemeClr w14:val="tx1"/>
            </w14:solidFill>
          </w14:textFill>
        </w:rPr>
        <w:t>级。</w:t>
      </w:r>
    </w:p>
    <w:p w14:paraId="17D3F624">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根据建设项目涉及的物质和工艺系统的危险性及其所在地的环境敏感程度，结合事故情环境影响途径，对建设项目潜在环境危害程度进行概化分析，进而确定环境风险潜势，确定依据见下表。</w:t>
      </w:r>
    </w:p>
    <w:p w14:paraId="399688FD">
      <w:pPr>
        <w:pStyle w:val="123"/>
        <w:tabs>
          <w:tab w:val="left" w:pos="1310"/>
        </w:tabs>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表</w:t>
      </w:r>
      <w:r>
        <w:rPr>
          <w:rFonts w:ascii="Times New Roman" w:hAnsi="Times New Roman" w:cs="Times New Roman"/>
          <w:color w:val="000000" w:themeColor="text1"/>
          <w:lang w:bidi="en-US"/>
          <w14:textFill>
            <w14:solidFill>
              <w14:schemeClr w14:val="tx1"/>
            </w14:solidFill>
          </w14:textFill>
        </w:rPr>
        <w:t>8.3-1</w:t>
      </w:r>
      <w:r>
        <w:rPr>
          <w:rFonts w:ascii="Times New Roman" w:hAnsi="Times New Roman" w:cs="Times New Roman"/>
          <w:color w:val="000000" w:themeColor="text1"/>
          <w:lang w:bidi="en-US"/>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项目环境风险潜势划分依据一览表</w:t>
      </w:r>
    </w:p>
    <w:tbl>
      <w:tblPr>
        <w:tblStyle w:val="76"/>
        <w:tblW w:w="5000" w:type="pct"/>
        <w:jc w:val="center"/>
        <w:tblLayout w:type="autofit"/>
        <w:tblCellMar>
          <w:top w:w="0" w:type="dxa"/>
          <w:left w:w="10" w:type="dxa"/>
          <w:bottom w:w="0" w:type="dxa"/>
          <w:right w:w="10" w:type="dxa"/>
        </w:tblCellMar>
      </w:tblPr>
      <w:tblGrid>
        <w:gridCol w:w="2477"/>
        <w:gridCol w:w="1722"/>
        <w:gridCol w:w="1722"/>
        <w:gridCol w:w="1726"/>
        <w:gridCol w:w="1785"/>
      </w:tblGrid>
      <w:tr w14:paraId="0D1B8E42">
        <w:tblPrEx>
          <w:tblCellMar>
            <w:top w:w="0" w:type="dxa"/>
            <w:left w:w="10" w:type="dxa"/>
            <w:bottom w:w="0" w:type="dxa"/>
            <w:right w:w="10" w:type="dxa"/>
          </w:tblCellMar>
        </w:tblPrEx>
        <w:trPr>
          <w:jc w:val="center"/>
        </w:trPr>
        <w:tc>
          <w:tcPr>
            <w:tcW w:w="1313" w:type="pct"/>
            <w:vMerge w:val="restart"/>
            <w:tcBorders>
              <w:top w:val="single" w:color="auto" w:sz="4" w:space="0"/>
              <w:left w:val="single" w:color="auto" w:sz="4" w:space="0"/>
              <w:bottom w:val="single" w:color="auto" w:sz="4" w:space="0"/>
            </w:tcBorders>
            <w:vAlign w:val="center"/>
          </w:tcPr>
          <w:p w14:paraId="5F12177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环境敏感程度</w:t>
            </w:r>
          </w:p>
        </w:tc>
        <w:tc>
          <w:tcPr>
            <w:tcW w:w="3687" w:type="pct"/>
            <w:gridSpan w:val="4"/>
            <w:tcBorders>
              <w:top w:val="single" w:color="auto" w:sz="4" w:space="0"/>
              <w:left w:val="single" w:color="auto" w:sz="4" w:space="0"/>
              <w:bottom w:val="single" w:color="auto" w:sz="4" w:space="0"/>
              <w:right w:val="single" w:color="auto" w:sz="4" w:space="0"/>
            </w:tcBorders>
            <w:vAlign w:val="bottom"/>
          </w:tcPr>
          <w:p w14:paraId="541A397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危险物质及工艺系统危险性</w:t>
            </w:r>
            <w:r>
              <w:rPr>
                <w:color w:val="000000" w:themeColor="text1"/>
                <w:lang w:bidi="en-US"/>
                <w14:textFill>
                  <w14:solidFill>
                    <w14:schemeClr w14:val="tx1"/>
                  </w14:solidFill>
                </w14:textFill>
              </w:rPr>
              <w:t>P</w:t>
            </w:r>
          </w:p>
        </w:tc>
      </w:tr>
      <w:tr w14:paraId="38CB04F7">
        <w:tblPrEx>
          <w:tblCellMar>
            <w:top w:w="0" w:type="dxa"/>
            <w:left w:w="10" w:type="dxa"/>
            <w:bottom w:w="0" w:type="dxa"/>
            <w:right w:w="10" w:type="dxa"/>
          </w:tblCellMar>
        </w:tblPrEx>
        <w:trPr>
          <w:jc w:val="center"/>
        </w:trPr>
        <w:tc>
          <w:tcPr>
            <w:tcW w:w="1313" w:type="pct"/>
            <w:vMerge w:val="continue"/>
            <w:tcBorders>
              <w:top w:val="single" w:color="auto" w:sz="4" w:space="0"/>
              <w:left w:val="single" w:color="auto" w:sz="4" w:space="0"/>
              <w:bottom w:val="single" w:color="auto" w:sz="4" w:space="0"/>
            </w:tcBorders>
            <w:vAlign w:val="center"/>
          </w:tcPr>
          <w:p w14:paraId="752D2F66">
            <w:pPr>
              <w:pStyle w:val="109"/>
              <w:rPr>
                <w:color w:val="000000" w:themeColor="text1"/>
                <w14:textFill>
                  <w14:solidFill>
                    <w14:schemeClr w14:val="tx1"/>
                  </w14:solidFill>
                </w14:textFill>
              </w:rPr>
            </w:pPr>
          </w:p>
        </w:tc>
        <w:tc>
          <w:tcPr>
            <w:tcW w:w="913" w:type="pct"/>
            <w:tcBorders>
              <w:top w:val="single" w:color="auto" w:sz="4" w:space="0"/>
              <w:left w:val="single" w:color="auto" w:sz="4" w:space="0"/>
              <w:bottom w:val="single" w:color="auto" w:sz="4" w:space="0"/>
            </w:tcBorders>
            <w:vAlign w:val="bottom"/>
          </w:tcPr>
          <w:p w14:paraId="61804973">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极高危害</w:t>
            </w:r>
            <w:r>
              <w:rPr>
                <w:color w:val="000000" w:themeColor="text1"/>
                <w:lang w:eastAsia="en-US" w:bidi="en-US"/>
                <w14:textFill>
                  <w14:solidFill>
                    <w14:schemeClr w14:val="tx1"/>
                  </w14:solidFill>
                </w14:textFill>
              </w:rPr>
              <w:t>(P1)</w:t>
            </w:r>
          </w:p>
        </w:tc>
        <w:tc>
          <w:tcPr>
            <w:tcW w:w="913" w:type="pct"/>
            <w:tcBorders>
              <w:top w:val="single" w:color="auto" w:sz="4" w:space="0"/>
              <w:left w:val="single" w:color="auto" w:sz="4" w:space="0"/>
              <w:bottom w:val="single" w:color="auto" w:sz="4" w:space="0"/>
            </w:tcBorders>
            <w:vAlign w:val="bottom"/>
          </w:tcPr>
          <w:p w14:paraId="118EA21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高度危害</w:t>
            </w:r>
            <w:r>
              <w:rPr>
                <w:color w:val="000000" w:themeColor="text1"/>
                <w:lang w:eastAsia="en-US" w:bidi="en-US"/>
                <w14:textFill>
                  <w14:solidFill>
                    <w14:schemeClr w14:val="tx1"/>
                  </w14:solidFill>
                </w14:textFill>
              </w:rPr>
              <w:t>(P2)</w:t>
            </w:r>
          </w:p>
        </w:tc>
        <w:tc>
          <w:tcPr>
            <w:tcW w:w="915" w:type="pct"/>
            <w:tcBorders>
              <w:top w:val="single" w:color="auto" w:sz="4" w:space="0"/>
              <w:left w:val="single" w:color="auto" w:sz="4" w:space="0"/>
              <w:bottom w:val="single" w:color="auto" w:sz="4" w:space="0"/>
            </w:tcBorders>
            <w:vAlign w:val="bottom"/>
          </w:tcPr>
          <w:p w14:paraId="27EDE42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中度危害</w:t>
            </w:r>
            <w:r>
              <w:rPr>
                <w:color w:val="000000" w:themeColor="text1"/>
                <w:lang w:eastAsia="en-US" w:bidi="en-US"/>
                <w14:textFill>
                  <w14:solidFill>
                    <w14:schemeClr w14:val="tx1"/>
                  </w14:solidFill>
                </w14:textFill>
              </w:rPr>
              <w:t>(P3)</w:t>
            </w:r>
          </w:p>
        </w:tc>
        <w:tc>
          <w:tcPr>
            <w:tcW w:w="947" w:type="pct"/>
            <w:tcBorders>
              <w:top w:val="single" w:color="auto" w:sz="4" w:space="0"/>
              <w:left w:val="single" w:color="auto" w:sz="4" w:space="0"/>
              <w:bottom w:val="single" w:color="auto" w:sz="4" w:space="0"/>
              <w:right w:val="single" w:color="auto" w:sz="4" w:space="0"/>
            </w:tcBorders>
            <w:vAlign w:val="bottom"/>
          </w:tcPr>
          <w:p w14:paraId="6C55F5F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轻度危害</w:t>
            </w:r>
            <w:r>
              <w:rPr>
                <w:color w:val="000000" w:themeColor="text1"/>
                <w:lang w:eastAsia="en-US" w:bidi="en-US"/>
                <w14:textFill>
                  <w14:solidFill>
                    <w14:schemeClr w14:val="tx1"/>
                  </w14:solidFill>
                </w14:textFill>
              </w:rPr>
              <w:t>(P4)</w:t>
            </w:r>
          </w:p>
        </w:tc>
      </w:tr>
      <w:tr w14:paraId="37B3835E">
        <w:tblPrEx>
          <w:tblCellMar>
            <w:top w:w="0" w:type="dxa"/>
            <w:left w:w="10" w:type="dxa"/>
            <w:bottom w:w="0" w:type="dxa"/>
            <w:right w:w="10" w:type="dxa"/>
          </w:tblCellMar>
        </w:tblPrEx>
        <w:trPr>
          <w:jc w:val="center"/>
        </w:trPr>
        <w:tc>
          <w:tcPr>
            <w:tcW w:w="1313" w:type="pct"/>
            <w:tcBorders>
              <w:top w:val="single" w:color="auto" w:sz="4" w:space="0"/>
              <w:left w:val="single" w:color="auto" w:sz="4" w:space="0"/>
              <w:bottom w:val="single" w:color="auto" w:sz="4" w:space="0"/>
            </w:tcBorders>
            <w:vAlign w:val="bottom"/>
          </w:tcPr>
          <w:p w14:paraId="5F8A3C97">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环境高敏感度区</w:t>
            </w:r>
            <w:r>
              <w:rPr>
                <w:color w:val="000000" w:themeColor="text1"/>
                <w:lang w:eastAsia="en-US" w:bidi="en-US"/>
                <w14:textFill>
                  <w14:solidFill>
                    <w14:schemeClr w14:val="tx1"/>
                  </w14:solidFill>
                </w14:textFill>
              </w:rPr>
              <w:t>(E1)</w:t>
            </w:r>
          </w:p>
        </w:tc>
        <w:tc>
          <w:tcPr>
            <w:tcW w:w="913" w:type="pct"/>
            <w:tcBorders>
              <w:top w:val="single" w:color="auto" w:sz="4" w:space="0"/>
              <w:left w:val="single" w:color="auto" w:sz="4" w:space="0"/>
              <w:bottom w:val="single" w:color="auto" w:sz="4" w:space="0"/>
            </w:tcBorders>
            <w:vAlign w:val="bottom"/>
          </w:tcPr>
          <w:p w14:paraId="554343EC">
            <w:pPr>
              <w:pStyle w:val="109"/>
              <w:rPr>
                <w:color w:val="000000" w:themeColor="text1"/>
                <w:sz w:val="11"/>
                <w:szCs w:val="11"/>
                <w14:textFill>
                  <w14:solidFill>
                    <w14:schemeClr w14:val="tx1"/>
                  </w14:solidFill>
                </w14:textFill>
              </w:rPr>
            </w:pPr>
            <w:r>
              <w:rPr>
                <w:color w:val="000000" w:themeColor="text1"/>
                <w:lang w:eastAsia="en-US" w:bidi="en-US"/>
                <w14:textFill>
                  <w14:solidFill>
                    <w14:schemeClr w14:val="tx1"/>
                  </w14:solidFill>
                </w14:textFill>
              </w:rPr>
              <w:t>IV</w:t>
            </w:r>
            <w:r>
              <w:rPr>
                <w:color w:val="000000" w:themeColor="text1"/>
                <w:sz w:val="11"/>
                <w:szCs w:val="11"/>
                <w:lang w:eastAsia="en-US" w:bidi="en-US"/>
                <w14:textFill>
                  <w14:solidFill>
                    <w14:schemeClr w14:val="tx1"/>
                  </w14:solidFill>
                </w14:textFill>
              </w:rPr>
              <w:t>+</w:t>
            </w:r>
          </w:p>
        </w:tc>
        <w:tc>
          <w:tcPr>
            <w:tcW w:w="913" w:type="pct"/>
            <w:tcBorders>
              <w:top w:val="single" w:color="auto" w:sz="4" w:space="0"/>
              <w:left w:val="single" w:color="auto" w:sz="4" w:space="0"/>
              <w:bottom w:val="single" w:color="auto" w:sz="4" w:space="0"/>
            </w:tcBorders>
            <w:vAlign w:val="bottom"/>
          </w:tcPr>
          <w:p w14:paraId="1091912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IV</w:t>
            </w:r>
          </w:p>
        </w:tc>
        <w:tc>
          <w:tcPr>
            <w:tcW w:w="915" w:type="pct"/>
            <w:tcBorders>
              <w:top w:val="single" w:color="auto" w:sz="4" w:space="0"/>
              <w:left w:val="single" w:color="auto" w:sz="4" w:space="0"/>
              <w:bottom w:val="single" w:color="auto" w:sz="4" w:space="0"/>
            </w:tcBorders>
            <w:vAlign w:val="bottom"/>
          </w:tcPr>
          <w:p w14:paraId="3B792AA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47" w:type="pct"/>
            <w:tcBorders>
              <w:top w:val="single" w:color="auto" w:sz="4" w:space="0"/>
              <w:left w:val="single" w:color="auto" w:sz="4" w:space="0"/>
              <w:bottom w:val="single" w:color="auto" w:sz="4" w:space="0"/>
              <w:right w:val="single" w:color="auto" w:sz="4" w:space="0"/>
            </w:tcBorders>
            <w:vAlign w:val="bottom"/>
          </w:tcPr>
          <w:p w14:paraId="32671593">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r>
      <w:tr w14:paraId="2CE0CCA9">
        <w:tblPrEx>
          <w:tblCellMar>
            <w:top w:w="0" w:type="dxa"/>
            <w:left w:w="10" w:type="dxa"/>
            <w:bottom w:w="0" w:type="dxa"/>
            <w:right w:w="10" w:type="dxa"/>
          </w:tblCellMar>
        </w:tblPrEx>
        <w:trPr>
          <w:jc w:val="center"/>
        </w:trPr>
        <w:tc>
          <w:tcPr>
            <w:tcW w:w="1313" w:type="pct"/>
            <w:tcBorders>
              <w:top w:val="single" w:color="auto" w:sz="4" w:space="0"/>
              <w:left w:val="single" w:color="auto" w:sz="4" w:space="0"/>
              <w:bottom w:val="single" w:color="auto" w:sz="4" w:space="0"/>
            </w:tcBorders>
            <w:vAlign w:val="bottom"/>
          </w:tcPr>
          <w:p w14:paraId="7CC3744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环境中敏感度区</w:t>
            </w:r>
            <w:r>
              <w:rPr>
                <w:color w:val="000000" w:themeColor="text1"/>
                <w:lang w:eastAsia="en-US" w:bidi="en-US"/>
                <w14:textFill>
                  <w14:solidFill>
                    <w14:schemeClr w14:val="tx1"/>
                  </w14:solidFill>
                </w14:textFill>
              </w:rPr>
              <w:t>(E2)</w:t>
            </w:r>
          </w:p>
        </w:tc>
        <w:tc>
          <w:tcPr>
            <w:tcW w:w="913" w:type="pct"/>
            <w:tcBorders>
              <w:top w:val="single" w:color="auto" w:sz="4" w:space="0"/>
              <w:left w:val="single" w:color="auto" w:sz="4" w:space="0"/>
              <w:bottom w:val="single" w:color="auto" w:sz="4" w:space="0"/>
            </w:tcBorders>
            <w:vAlign w:val="bottom"/>
          </w:tcPr>
          <w:p w14:paraId="714FC9E9">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IV</w:t>
            </w:r>
          </w:p>
        </w:tc>
        <w:tc>
          <w:tcPr>
            <w:tcW w:w="913" w:type="pct"/>
            <w:tcBorders>
              <w:top w:val="single" w:color="auto" w:sz="4" w:space="0"/>
              <w:left w:val="single" w:color="auto" w:sz="4" w:space="0"/>
              <w:bottom w:val="single" w:color="auto" w:sz="4" w:space="0"/>
            </w:tcBorders>
            <w:vAlign w:val="bottom"/>
          </w:tcPr>
          <w:p w14:paraId="1D01E9DB">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15" w:type="pct"/>
            <w:tcBorders>
              <w:top w:val="single" w:color="auto" w:sz="4" w:space="0"/>
              <w:left w:val="single" w:color="auto" w:sz="4" w:space="0"/>
              <w:bottom w:val="single" w:color="auto" w:sz="4" w:space="0"/>
            </w:tcBorders>
            <w:vAlign w:val="bottom"/>
          </w:tcPr>
          <w:p w14:paraId="6D7533E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47" w:type="pct"/>
            <w:tcBorders>
              <w:top w:val="single" w:color="auto" w:sz="4" w:space="0"/>
              <w:left w:val="single" w:color="auto" w:sz="4" w:space="0"/>
              <w:bottom w:val="single" w:color="auto" w:sz="4" w:space="0"/>
              <w:right w:val="single" w:color="auto" w:sz="4" w:space="0"/>
            </w:tcBorders>
            <w:vAlign w:val="bottom"/>
          </w:tcPr>
          <w:p w14:paraId="4455DBDF">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w:t>
            </w:r>
          </w:p>
        </w:tc>
      </w:tr>
      <w:tr w14:paraId="5A65A993">
        <w:tblPrEx>
          <w:tblCellMar>
            <w:top w:w="0" w:type="dxa"/>
            <w:left w:w="10" w:type="dxa"/>
            <w:bottom w:w="0" w:type="dxa"/>
            <w:right w:w="10" w:type="dxa"/>
          </w:tblCellMar>
        </w:tblPrEx>
        <w:trPr>
          <w:jc w:val="center"/>
        </w:trPr>
        <w:tc>
          <w:tcPr>
            <w:tcW w:w="1313" w:type="pct"/>
            <w:tcBorders>
              <w:top w:val="single" w:color="auto" w:sz="4" w:space="0"/>
              <w:left w:val="single" w:color="auto" w:sz="4" w:space="0"/>
              <w:bottom w:val="single" w:color="auto" w:sz="4" w:space="0"/>
            </w:tcBorders>
            <w:vAlign w:val="bottom"/>
          </w:tcPr>
          <w:p w14:paraId="4718304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环境低敏感度区</w:t>
            </w:r>
            <w:r>
              <w:rPr>
                <w:color w:val="000000" w:themeColor="text1"/>
                <w:lang w:eastAsia="en-US" w:bidi="en-US"/>
                <w14:textFill>
                  <w14:solidFill>
                    <w14:schemeClr w14:val="tx1"/>
                  </w14:solidFill>
                </w14:textFill>
              </w:rPr>
              <w:t>(E3)</w:t>
            </w:r>
          </w:p>
        </w:tc>
        <w:tc>
          <w:tcPr>
            <w:tcW w:w="913" w:type="pct"/>
            <w:tcBorders>
              <w:top w:val="single" w:color="auto" w:sz="4" w:space="0"/>
              <w:left w:val="single" w:color="auto" w:sz="4" w:space="0"/>
              <w:bottom w:val="single" w:color="auto" w:sz="4" w:space="0"/>
            </w:tcBorders>
            <w:vAlign w:val="bottom"/>
          </w:tcPr>
          <w:p w14:paraId="06011F8A">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13" w:type="pct"/>
            <w:tcBorders>
              <w:top w:val="single" w:color="auto" w:sz="4" w:space="0"/>
              <w:left w:val="single" w:color="auto" w:sz="4" w:space="0"/>
              <w:bottom w:val="single" w:color="auto" w:sz="4" w:space="0"/>
            </w:tcBorders>
            <w:vAlign w:val="bottom"/>
          </w:tcPr>
          <w:p w14:paraId="74239B6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III</w:t>
            </w:r>
          </w:p>
        </w:tc>
        <w:tc>
          <w:tcPr>
            <w:tcW w:w="915" w:type="pct"/>
            <w:tcBorders>
              <w:top w:val="single" w:color="auto" w:sz="4" w:space="0"/>
              <w:left w:val="single" w:color="auto" w:sz="4" w:space="0"/>
              <w:bottom w:val="single" w:color="auto" w:sz="4" w:space="0"/>
            </w:tcBorders>
            <w:vAlign w:val="bottom"/>
          </w:tcPr>
          <w:p w14:paraId="150D364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II</w:t>
            </w:r>
          </w:p>
        </w:tc>
        <w:tc>
          <w:tcPr>
            <w:tcW w:w="947" w:type="pct"/>
            <w:tcBorders>
              <w:top w:val="single" w:color="auto" w:sz="4" w:space="0"/>
              <w:left w:val="single" w:color="auto" w:sz="4" w:space="0"/>
              <w:bottom w:val="single" w:color="auto" w:sz="4" w:space="0"/>
              <w:right w:val="single" w:color="auto" w:sz="4" w:space="0"/>
            </w:tcBorders>
            <w:vAlign w:val="bottom"/>
          </w:tcPr>
          <w:p w14:paraId="36E716E2">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I</w:t>
            </w:r>
          </w:p>
        </w:tc>
      </w:tr>
    </w:tbl>
    <w:p w14:paraId="09276591">
      <w:pPr>
        <w:pStyle w:val="123"/>
        <w:ind w:firstLine="400"/>
        <w:jc w:val="left"/>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注：</w:t>
      </w:r>
      <w:r>
        <w:rPr>
          <w:rFonts w:ascii="Times New Roman" w:hAnsi="Times New Roman" w:cs="Times New Roman"/>
          <w:color w:val="000000" w:themeColor="text1"/>
          <w:sz w:val="20"/>
          <w:szCs w:val="20"/>
          <w:lang w:bidi="en-US"/>
          <w14:textFill>
            <w14:solidFill>
              <w14:schemeClr w14:val="tx1"/>
            </w14:solidFill>
          </w14:textFill>
        </w:rPr>
        <w:t>IV</w:t>
      </w:r>
      <w:r>
        <w:rPr>
          <w:rFonts w:ascii="Times New Roman" w:hAnsi="Times New Roman" w:cs="Times New Roman"/>
          <w:color w:val="000000" w:themeColor="text1"/>
          <w:sz w:val="11"/>
          <w:szCs w:val="11"/>
          <w:lang w:bidi="en-US"/>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为极高环境风险</w:t>
      </w:r>
    </w:p>
    <w:p w14:paraId="3DF4E787">
      <w:pPr>
        <w:pStyle w:val="5"/>
        <w:rPr>
          <w:rFonts w:hint="eastAsia"/>
          <w:color w:val="000000" w:themeColor="text1"/>
          <w14:textFill>
            <w14:solidFill>
              <w14:schemeClr w14:val="tx1"/>
            </w14:solidFill>
          </w14:textFill>
        </w:rPr>
      </w:pPr>
      <w:bookmarkStart w:id="544" w:name="bookmark570"/>
      <w:r>
        <w:rPr>
          <w:color w:val="000000" w:themeColor="text1"/>
          <w:lang w:eastAsia="en-US" w:bidi="en-US"/>
          <w14:textFill>
            <w14:solidFill>
              <w14:schemeClr w14:val="tx1"/>
            </w14:solidFill>
          </w14:textFill>
        </w:rPr>
        <w:t>M</w:t>
      </w:r>
      <w:r>
        <w:rPr>
          <w:color w:val="000000" w:themeColor="text1"/>
          <w14:textFill>
            <w14:solidFill>
              <w14:schemeClr w14:val="tx1"/>
            </w14:solidFill>
          </w14:textFill>
        </w:rPr>
        <w:t>值的确定</w:t>
      </w:r>
      <w:bookmarkEnd w:id="544"/>
    </w:p>
    <w:p w14:paraId="7762EB0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本项目是</w:t>
      </w:r>
      <w:r>
        <w:rPr>
          <w:rFonts w:hint="eastAsia"/>
          <w:color w:val="000000" w:themeColor="text1"/>
          <w14:textFill>
            <w14:solidFill>
              <w14:schemeClr w14:val="tx1"/>
            </w14:solidFill>
          </w14:textFill>
        </w:rPr>
        <w:t>废盐热解焙烧处理，以及废盐混合、分装生产融雪剂，不</w:t>
      </w:r>
      <w:r>
        <w:rPr>
          <w:color w:val="000000" w:themeColor="text1"/>
          <w:lang w:val="zh-CN" w:bidi="zh-CN"/>
          <w14:textFill>
            <w14:solidFill>
              <w14:schemeClr w14:val="tx1"/>
            </w14:solidFill>
          </w14:textFill>
        </w:rPr>
        <w:t>涉及光气及光气化工艺、电解工艺（氯碱）、氯化工艺、硝化工艺、合成氨工艺、裂解（裂化）工艺、氟化工艺、加氢工艺、重氮化工艺、氧化工艺等</w:t>
      </w:r>
      <w:r>
        <w:rPr>
          <w:rFonts w:hint="eastAsia"/>
          <w:color w:val="000000" w:themeColor="text1"/>
          <w:lang w:val="zh-CN" w:bidi="zh-CN"/>
          <w14:textFill>
            <w14:solidFill>
              <w14:schemeClr w14:val="tx1"/>
            </w14:solidFill>
          </w14:textFill>
        </w:rPr>
        <w:t>工艺，</w:t>
      </w:r>
      <w:r>
        <w:rPr>
          <w:color w:val="000000" w:themeColor="text1"/>
          <w:lang w:val="zh-CN" w:bidi="zh-CN"/>
          <w14:textFill>
            <w14:solidFill>
              <w14:schemeClr w14:val="tx1"/>
            </w14:solidFill>
          </w14:textFill>
        </w:rPr>
        <w:t>涉及危险物质的贮存</w:t>
      </w: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附录</w:t>
      </w:r>
      <w:r>
        <w:rPr>
          <w:color w:val="000000" w:themeColor="text1"/>
          <w:lang w:bidi="en-US"/>
          <w14:textFill>
            <w14:solidFill>
              <w14:schemeClr w14:val="tx1"/>
            </w14:solidFill>
          </w14:textFill>
        </w:rPr>
        <w:t>C</w:t>
      </w:r>
      <w:r>
        <w:rPr>
          <w:color w:val="000000" w:themeColor="text1"/>
          <w14:textFill>
            <w14:solidFill>
              <w14:schemeClr w14:val="tx1"/>
            </w14:solidFill>
          </w14:textFill>
        </w:rPr>
        <w:t>中表</w:t>
      </w:r>
      <w:r>
        <w:rPr>
          <w:color w:val="000000" w:themeColor="text1"/>
          <w:lang w:bidi="en-US"/>
          <w14:textFill>
            <w14:solidFill>
              <w14:schemeClr w14:val="tx1"/>
            </w14:solidFill>
          </w14:textFill>
        </w:rPr>
        <w:t>C.1</w:t>
      </w:r>
      <w:r>
        <w:rPr>
          <w:color w:val="000000" w:themeColor="text1"/>
          <w14:textFill>
            <w14:solidFill>
              <w14:schemeClr w14:val="tx1"/>
            </w14:solidFill>
          </w14:textFill>
        </w:rPr>
        <w:t>的规定，将M划分为(1)M&gt;20；(2)10&lt;M≤20；(3)5&lt;M≤10；(4)M=5，分别以M1、M2、M3和M4表示。具体见下表。</w:t>
      </w:r>
    </w:p>
    <w:p w14:paraId="28E036BA">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建设项目</w:t>
      </w:r>
      <w:r>
        <w:rPr>
          <w:color w:val="000000" w:themeColor="text1"/>
          <w:lang w:bidi="en-US"/>
          <w14:textFill>
            <w14:solidFill>
              <w14:schemeClr w14:val="tx1"/>
            </w14:solidFill>
          </w14:textFill>
        </w:rPr>
        <w:t>M</w:t>
      </w:r>
      <w:r>
        <w:rPr>
          <w:color w:val="000000" w:themeColor="text1"/>
          <w14:textFill>
            <w14:solidFill>
              <w14:schemeClr w14:val="tx1"/>
            </w14:solidFill>
          </w14:textFill>
        </w:rPr>
        <w:t>值确定一览表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29"/>
        <w:gridCol w:w="3905"/>
        <w:gridCol w:w="1820"/>
        <w:gridCol w:w="634"/>
        <w:gridCol w:w="6"/>
        <w:gridCol w:w="979"/>
        <w:gridCol w:w="1253"/>
        <w:gridCol w:w="6"/>
      </w:tblGrid>
      <w:tr w14:paraId="6D31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3" w:type="pct"/>
          <w:jc w:val="center"/>
        </w:trPr>
        <w:tc>
          <w:tcPr>
            <w:tcW w:w="440" w:type="pct"/>
            <w:vAlign w:val="bottom"/>
          </w:tcPr>
          <w:p w14:paraId="3CA051B7">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行业</w:t>
            </w:r>
          </w:p>
        </w:tc>
        <w:tc>
          <w:tcPr>
            <w:tcW w:w="2070" w:type="pct"/>
            <w:vAlign w:val="bottom"/>
          </w:tcPr>
          <w:p w14:paraId="6D6BB2A5">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评估依据</w:t>
            </w:r>
          </w:p>
        </w:tc>
        <w:tc>
          <w:tcPr>
            <w:tcW w:w="965" w:type="pct"/>
            <w:vAlign w:val="bottom"/>
          </w:tcPr>
          <w:p w14:paraId="57B143A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本项目涉及工艺</w:t>
            </w:r>
          </w:p>
        </w:tc>
        <w:tc>
          <w:tcPr>
            <w:tcW w:w="336" w:type="pct"/>
            <w:vAlign w:val="bottom"/>
          </w:tcPr>
          <w:p w14:paraId="467C295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套数</w:t>
            </w:r>
          </w:p>
        </w:tc>
        <w:tc>
          <w:tcPr>
            <w:tcW w:w="522" w:type="pct"/>
            <w:gridSpan w:val="2"/>
            <w:vAlign w:val="bottom"/>
          </w:tcPr>
          <w:p w14:paraId="2449DA4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每套分值</w:t>
            </w:r>
          </w:p>
        </w:tc>
        <w:tc>
          <w:tcPr>
            <w:tcW w:w="664" w:type="pct"/>
            <w:vAlign w:val="bottom"/>
          </w:tcPr>
          <w:p w14:paraId="40468A37">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项目分值</w:t>
            </w:r>
          </w:p>
        </w:tc>
      </w:tr>
      <w:tr w14:paraId="2003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3" w:type="pct"/>
          <w:jc w:val="center"/>
        </w:trPr>
        <w:tc>
          <w:tcPr>
            <w:tcW w:w="440" w:type="pct"/>
            <w:vMerge w:val="restart"/>
            <w:vAlign w:val="center"/>
          </w:tcPr>
          <w:p w14:paraId="118A413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化工</w:t>
            </w:r>
          </w:p>
        </w:tc>
        <w:tc>
          <w:tcPr>
            <w:tcW w:w="2070" w:type="pct"/>
            <w:vAlign w:val="bottom"/>
          </w:tcPr>
          <w:p w14:paraId="7FF55FC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涉及光气及光气化工艺、电解工艺（氯碱）、氯化工艺、硝化工艺、合成氨工艺、裂解（裂化）工艺、氟化工艺、加氢工艺、重氮化工艺、氧化工艺等</w:t>
            </w:r>
          </w:p>
        </w:tc>
        <w:tc>
          <w:tcPr>
            <w:tcW w:w="965" w:type="pct"/>
            <w:vAlign w:val="center"/>
          </w:tcPr>
          <w:p w14:paraId="036946D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合成氨工艺</w:t>
            </w:r>
          </w:p>
        </w:tc>
        <w:tc>
          <w:tcPr>
            <w:tcW w:w="336" w:type="pct"/>
            <w:vAlign w:val="center"/>
          </w:tcPr>
          <w:p w14:paraId="78CF7A3F">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0</w:t>
            </w:r>
          </w:p>
        </w:tc>
        <w:tc>
          <w:tcPr>
            <w:tcW w:w="522" w:type="pct"/>
            <w:gridSpan w:val="2"/>
            <w:vAlign w:val="center"/>
          </w:tcPr>
          <w:p w14:paraId="4A91C26A">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10</w:t>
            </w:r>
          </w:p>
        </w:tc>
        <w:tc>
          <w:tcPr>
            <w:tcW w:w="664" w:type="pct"/>
            <w:vAlign w:val="center"/>
          </w:tcPr>
          <w:p w14:paraId="54DC3C57">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0</w:t>
            </w:r>
          </w:p>
        </w:tc>
      </w:tr>
      <w:tr w14:paraId="635C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3" w:type="pct"/>
          <w:jc w:val="center"/>
        </w:trPr>
        <w:tc>
          <w:tcPr>
            <w:tcW w:w="440" w:type="pct"/>
            <w:vMerge w:val="continue"/>
            <w:vAlign w:val="center"/>
          </w:tcPr>
          <w:p w14:paraId="4A430501">
            <w:pPr>
              <w:pStyle w:val="109"/>
              <w:rPr>
                <w:color w:val="000000" w:themeColor="text1"/>
                <w14:textFill>
                  <w14:solidFill>
                    <w14:schemeClr w14:val="tx1"/>
                  </w14:solidFill>
                </w14:textFill>
              </w:rPr>
            </w:pPr>
          </w:p>
        </w:tc>
        <w:tc>
          <w:tcPr>
            <w:tcW w:w="2070" w:type="pct"/>
            <w:vMerge w:val="restart"/>
            <w:vAlign w:val="bottom"/>
          </w:tcPr>
          <w:p w14:paraId="0823E39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其他高温或高压，且涉及危险物质的工艺过程、危险物质贮存罐区</w:t>
            </w:r>
          </w:p>
        </w:tc>
        <w:tc>
          <w:tcPr>
            <w:tcW w:w="965" w:type="pct"/>
            <w:vAlign w:val="bottom"/>
          </w:tcPr>
          <w:p w14:paraId="63DDC9E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高温高压转化工艺</w:t>
            </w:r>
          </w:p>
        </w:tc>
        <w:tc>
          <w:tcPr>
            <w:tcW w:w="336" w:type="pct"/>
            <w:vAlign w:val="bottom"/>
          </w:tcPr>
          <w:p w14:paraId="4E9689EA">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0</w:t>
            </w:r>
          </w:p>
        </w:tc>
        <w:tc>
          <w:tcPr>
            <w:tcW w:w="522" w:type="pct"/>
            <w:gridSpan w:val="2"/>
            <w:vAlign w:val="bottom"/>
          </w:tcPr>
          <w:p w14:paraId="0035B34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5</w:t>
            </w:r>
          </w:p>
        </w:tc>
        <w:tc>
          <w:tcPr>
            <w:tcW w:w="664" w:type="pct"/>
            <w:vAlign w:val="bottom"/>
          </w:tcPr>
          <w:p w14:paraId="272C238F">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0</w:t>
            </w:r>
          </w:p>
        </w:tc>
      </w:tr>
      <w:tr w14:paraId="3280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3" w:type="pct"/>
          <w:jc w:val="center"/>
        </w:trPr>
        <w:tc>
          <w:tcPr>
            <w:tcW w:w="440" w:type="pct"/>
            <w:vMerge w:val="continue"/>
            <w:vAlign w:val="center"/>
          </w:tcPr>
          <w:p w14:paraId="7C2CAA8C">
            <w:pPr>
              <w:pStyle w:val="109"/>
              <w:rPr>
                <w:color w:val="000000" w:themeColor="text1"/>
                <w14:textFill>
                  <w14:solidFill>
                    <w14:schemeClr w14:val="tx1"/>
                  </w14:solidFill>
                </w14:textFill>
              </w:rPr>
            </w:pPr>
          </w:p>
        </w:tc>
        <w:tc>
          <w:tcPr>
            <w:tcW w:w="2070" w:type="pct"/>
            <w:vMerge w:val="continue"/>
            <w:vAlign w:val="bottom"/>
          </w:tcPr>
          <w:p w14:paraId="5897C800">
            <w:pPr>
              <w:pStyle w:val="109"/>
              <w:rPr>
                <w:color w:val="000000" w:themeColor="text1"/>
                <w14:textFill>
                  <w14:solidFill>
                    <w14:schemeClr w14:val="tx1"/>
                  </w14:solidFill>
                </w14:textFill>
              </w:rPr>
            </w:pPr>
          </w:p>
        </w:tc>
        <w:tc>
          <w:tcPr>
            <w:tcW w:w="965" w:type="pct"/>
            <w:vAlign w:val="bottom"/>
          </w:tcPr>
          <w:p w14:paraId="51E08DA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危险物质贮存罐区</w:t>
            </w:r>
          </w:p>
        </w:tc>
        <w:tc>
          <w:tcPr>
            <w:tcW w:w="336" w:type="pct"/>
            <w:vAlign w:val="bottom"/>
          </w:tcPr>
          <w:p w14:paraId="2EA8125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1</w:t>
            </w:r>
          </w:p>
        </w:tc>
        <w:tc>
          <w:tcPr>
            <w:tcW w:w="522" w:type="pct"/>
            <w:gridSpan w:val="2"/>
            <w:vAlign w:val="bottom"/>
          </w:tcPr>
          <w:p w14:paraId="00D49469">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5</w:t>
            </w:r>
          </w:p>
        </w:tc>
        <w:tc>
          <w:tcPr>
            <w:tcW w:w="664" w:type="pct"/>
            <w:vAlign w:val="bottom"/>
          </w:tcPr>
          <w:p w14:paraId="764E3CD5">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5</w:t>
            </w:r>
          </w:p>
        </w:tc>
      </w:tr>
      <w:tr w14:paraId="4C3B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814" w:type="pct"/>
            <w:gridSpan w:val="5"/>
            <w:vAlign w:val="bottom"/>
          </w:tcPr>
          <w:p w14:paraId="0FCD63E2">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项目</w:t>
            </w:r>
            <w:r>
              <w:rPr>
                <w:color w:val="000000" w:themeColor="text1"/>
                <w:lang w:eastAsia="en-US" w:bidi="en-US"/>
                <w14:textFill>
                  <w14:solidFill>
                    <w14:schemeClr w14:val="tx1"/>
                  </w14:solidFill>
                </w14:textFill>
              </w:rPr>
              <w:t>M</w:t>
            </w:r>
            <w:r>
              <w:rPr>
                <w:color w:val="000000" w:themeColor="text1"/>
                <w:lang w:val="zh-CN" w:bidi="zh-CN"/>
                <w14:textFill>
                  <w14:solidFill>
                    <w14:schemeClr w14:val="tx1"/>
                  </w14:solidFill>
                </w14:textFill>
              </w:rPr>
              <w:t>值</w:t>
            </w:r>
            <w:r>
              <w:rPr>
                <w:color w:val="000000" w:themeColor="text1"/>
                <w:lang w:bidi="zh-CN"/>
                <w14:textFill>
                  <w14:solidFill>
                    <w14:schemeClr w14:val="tx1"/>
                  </w14:solidFill>
                </w14:textFill>
              </w:rPr>
              <w:t>Σ</w:t>
            </w:r>
          </w:p>
        </w:tc>
        <w:tc>
          <w:tcPr>
            <w:tcW w:w="1186" w:type="pct"/>
            <w:gridSpan w:val="3"/>
            <w:vAlign w:val="bottom"/>
          </w:tcPr>
          <w:p w14:paraId="557D8A99">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5</w:t>
            </w:r>
          </w:p>
        </w:tc>
      </w:tr>
    </w:tbl>
    <w:p w14:paraId="0F133821">
      <w:pPr>
        <w:pStyle w:val="5"/>
        <w:rPr>
          <w:rFonts w:hint="eastAsia"/>
          <w:color w:val="000000" w:themeColor="text1"/>
          <w14:textFill>
            <w14:solidFill>
              <w14:schemeClr w14:val="tx1"/>
            </w14:solidFill>
          </w14:textFill>
        </w:rPr>
      </w:pPr>
      <w:bookmarkStart w:id="545" w:name="bookmark572"/>
      <w:r>
        <w:rPr>
          <w:color w:val="000000" w:themeColor="text1"/>
          <w:lang w:eastAsia="en-US" w:bidi="en-US"/>
          <w14:textFill>
            <w14:solidFill>
              <w14:schemeClr w14:val="tx1"/>
            </w14:solidFill>
          </w14:textFill>
        </w:rPr>
        <w:t>P</w:t>
      </w:r>
      <w:r>
        <w:rPr>
          <w:color w:val="000000" w:themeColor="text1"/>
          <w14:textFill>
            <w14:solidFill>
              <w14:schemeClr w14:val="tx1"/>
            </w14:solidFill>
          </w14:textFill>
        </w:rPr>
        <w:t>值的确定</w:t>
      </w:r>
      <w:bookmarkEnd w:id="545"/>
    </w:p>
    <w:p w14:paraId="6F5CFBF7">
      <w:pPr>
        <w:ind w:firstLine="480"/>
        <w:rPr>
          <w:color w:val="000000" w:themeColor="text1"/>
          <w14:textFill>
            <w14:solidFill>
              <w14:schemeClr w14:val="tx1"/>
            </w14:solidFill>
          </w14:textFill>
        </w:rPr>
      </w:pPr>
      <w:r>
        <w:rPr>
          <w:color w:val="000000" w:themeColor="text1"/>
          <w14:textFill>
            <w14:solidFill>
              <w14:schemeClr w14:val="tx1"/>
            </w14:solidFill>
          </w14:textFill>
        </w:rPr>
        <w:t>根据危险物质数量与临界量比值</w:t>
      </w:r>
      <w:r>
        <w:rPr>
          <w:color w:val="000000" w:themeColor="text1"/>
          <w:lang w:bidi="en-US"/>
          <w14:textFill>
            <w14:solidFill>
              <w14:schemeClr w14:val="tx1"/>
            </w14:solidFill>
          </w14:textFill>
        </w:rPr>
        <w:t>（Q）</w:t>
      </w:r>
      <w:r>
        <w:rPr>
          <w:color w:val="000000" w:themeColor="text1"/>
          <w14:textFill>
            <w14:solidFill>
              <w14:schemeClr w14:val="tx1"/>
            </w14:solidFill>
          </w14:textFill>
        </w:rPr>
        <w:t>和行业及生产工艺</w:t>
      </w:r>
      <w:r>
        <w:rPr>
          <w:color w:val="000000" w:themeColor="text1"/>
          <w:lang w:bidi="en-US"/>
          <w14:textFill>
            <w14:solidFill>
              <w14:schemeClr w14:val="tx1"/>
            </w14:solidFill>
          </w14:textFill>
        </w:rPr>
        <w:t>（M）</w:t>
      </w:r>
      <w:r>
        <w:rPr>
          <w:color w:val="000000" w:themeColor="text1"/>
          <w14:textFill>
            <w14:solidFill>
              <w14:schemeClr w14:val="tx1"/>
            </w14:solidFill>
          </w14:textFill>
        </w:rPr>
        <w:t>确定危险物质及工艺系统危险性等级</w:t>
      </w:r>
      <w:r>
        <w:rPr>
          <w:color w:val="000000" w:themeColor="text1"/>
          <w:lang w:bidi="en-US"/>
          <w14:textFill>
            <w14:solidFill>
              <w14:schemeClr w14:val="tx1"/>
            </w14:solidFill>
          </w14:textFill>
        </w:rPr>
        <w:t>（P）</w:t>
      </w:r>
      <w:r>
        <w:rPr>
          <w:color w:val="000000" w:themeColor="text1"/>
          <w14:textFill>
            <w14:solidFill>
              <w14:schemeClr w14:val="tx1"/>
            </w14:solidFill>
          </w14:textFill>
        </w:rPr>
        <w:t>判断，分别以</w:t>
      </w:r>
      <w:r>
        <w:rPr>
          <w:color w:val="000000" w:themeColor="text1"/>
          <w:lang w:bidi="en-US"/>
          <w14:textFill>
            <w14:solidFill>
              <w14:schemeClr w14:val="tx1"/>
            </w14:solidFill>
          </w14:textFill>
        </w:rPr>
        <w:t>P1、P2、P3、P4</w:t>
      </w:r>
      <w:r>
        <w:rPr>
          <w:color w:val="000000" w:themeColor="text1"/>
          <w14:textFill>
            <w14:solidFill>
              <w14:schemeClr w14:val="tx1"/>
            </w14:solidFill>
          </w14:textFill>
        </w:rPr>
        <w:t>表示，其判断依据见下表。</w:t>
      </w:r>
    </w:p>
    <w:p w14:paraId="5D3B127D">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危险物质及工艺系统危险性等级判断</w:t>
      </w:r>
      <w:r>
        <w:rPr>
          <w:color w:val="000000" w:themeColor="text1"/>
          <w:lang w:bidi="en-US"/>
          <w14:textFill>
            <w14:solidFill>
              <w14:schemeClr w14:val="tx1"/>
            </w14:solidFill>
          </w14:textFill>
        </w:rPr>
        <w:t>（P）</w:t>
      </w:r>
      <w:r>
        <w:rPr>
          <w:color w:val="000000" w:themeColor="text1"/>
          <w14:textFill>
            <w14:solidFill>
              <w14:schemeClr w14:val="tx1"/>
            </w14:solidFill>
          </w14:textFill>
        </w:rPr>
        <w:t>依据一览表</w:t>
      </w:r>
    </w:p>
    <w:tbl>
      <w:tblPr>
        <w:tblStyle w:val="76"/>
        <w:tblW w:w="5000" w:type="pct"/>
        <w:jc w:val="center"/>
        <w:tblLayout w:type="autofit"/>
        <w:tblCellMar>
          <w:top w:w="0" w:type="dxa"/>
          <w:left w:w="10" w:type="dxa"/>
          <w:bottom w:w="0" w:type="dxa"/>
          <w:right w:w="10" w:type="dxa"/>
        </w:tblCellMar>
      </w:tblPr>
      <w:tblGrid>
        <w:gridCol w:w="1892"/>
        <w:gridCol w:w="1881"/>
        <w:gridCol w:w="1886"/>
        <w:gridCol w:w="1881"/>
        <w:gridCol w:w="1892"/>
      </w:tblGrid>
      <w:tr w14:paraId="5F961E40">
        <w:tblPrEx>
          <w:tblCellMar>
            <w:top w:w="0" w:type="dxa"/>
            <w:left w:w="10" w:type="dxa"/>
            <w:bottom w:w="0" w:type="dxa"/>
            <w:right w:w="10" w:type="dxa"/>
          </w:tblCellMar>
        </w:tblPrEx>
        <w:trPr>
          <w:jc w:val="center"/>
        </w:trPr>
        <w:tc>
          <w:tcPr>
            <w:tcW w:w="1003" w:type="pct"/>
            <w:vMerge w:val="restart"/>
            <w:tcBorders>
              <w:top w:val="single" w:color="auto" w:sz="4" w:space="0"/>
              <w:left w:val="single" w:color="auto" w:sz="4" w:space="0"/>
            </w:tcBorders>
            <w:vAlign w:val="bottom"/>
          </w:tcPr>
          <w:p w14:paraId="3E4124A5">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危险物质数量与临界量比值</w:t>
            </w:r>
            <w:r>
              <w:rPr>
                <w:color w:val="000000" w:themeColor="text1"/>
                <w:lang w:bidi="en-US"/>
                <w14:textFill>
                  <w14:solidFill>
                    <w14:schemeClr w14:val="tx1"/>
                  </w14:solidFill>
                </w14:textFill>
              </w:rPr>
              <w:t>（Q）</w:t>
            </w:r>
          </w:p>
        </w:tc>
        <w:tc>
          <w:tcPr>
            <w:tcW w:w="3997" w:type="pct"/>
            <w:gridSpan w:val="4"/>
            <w:tcBorders>
              <w:top w:val="single" w:color="auto" w:sz="4" w:space="0"/>
              <w:left w:val="single" w:color="auto" w:sz="4" w:space="0"/>
              <w:right w:val="single" w:color="auto" w:sz="4" w:space="0"/>
            </w:tcBorders>
            <w:vAlign w:val="bottom"/>
          </w:tcPr>
          <w:p w14:paraId="6427A29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行业及生产工艺</w:t>
            </w:r>
            <w:r>
              <w:rPr>
                <w:color w:val="000000" w:themeColor="text1"/>
                <w:lang w:bidi="en-US"/>
                <w14:textFill>
                  <w14:solidFill>
                    <w14:schemeClr w14:val="tx1"/>
                  </w14:solidFill>
                </w14:textFill>
              </w:rPr>
              <w:t>（P）</w:t>
            </w:r>
          </w:p>
        </w:tc>
      </w:tr>
      <w:tr w14:paraId="7EBE0D1D">
        <w:tblPrEx>
          <w:tblCellMar>
            <w:top w:w="0" w:type="dxa"/>
            <w:left w:w="10" w:type="dxa"/>
            <w:bottom w:w="0" w:type="dxa"/>
            <w:right w:w="10" w:type="dxa"/>
          </w:tblCellMar>
        </w:tblPrEx>
        <w:trPr>
          <w:jc w:val="center"/>
        </w:trPr>
        <w:tc>
          <w:tcPr>
            <w:tcW w:w="1003" w:type="pct"/>
            <w:vMerge w:val="continue"/>
            <w:tcBorders>
              <w:left w:val="single" w:color="auto" w:sz="4" w:space="0"/>
            </w:tcBorders>
            <w:vAlign w:val="bottom"/>
          </w:tcPr>
          <w:p w14:paraId="1D136674">
            <w:pPr>
              <w:pStyle w:val="109"/>
              <w:rPr>
                <w:color w:val="000000" w:themeColor="text1"/>
                <w14:textFill>
                  <w14:solidFill>
                    <w14:schemeClr w14:val="tx1"/>
                  </w14:solidFill>
                </w14:textFill>
              </w:rPr>
            </w:pPr>
          </w:p>
        </w:tc>
        <w:tc>
          <w:tcPr>
            <w:tcW w:w="997" w:type="pct"/>
            <w:tcBorders>
              <w:top w:val="single" w:color="auto" w:sz="4" w:space="0"/>
              <w:left w:val="single" w:color="auto" w:sz="4" w:space="0"/>
            </w:tcBorders>
            <w:vAlign w:val="bottom"/>
          </w:tcPr>
          <w:p w14:paraId="0C4E2485">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M1</w:t>
            </w:r>
          </w:p>
        </w:tc>
        <w:tc>
          <w:tcPr>
            <w:tcW w:w="1000" w:type="pct"/>
            <w:tcBorders>
              <w:top w:val="single" w:color="auto" w:sz="4" w:space="0"/>
              <w:left w:val="single" w:color="auto" w:sz="4" w:space="0"/>
            </w:tcBorders>
            <w:vAlign w:val="bottom"/>
          </w:tcPr>
          <w:p w14:paraId="2CDBB485">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M2</w:t>
            </w:r>
          </w:p>
        </w:tc>
        <w:tc>
          <w:tcPr>
            <w:tcW w:w="997" w:type="pct"/>
            <w:tcBorders>
              <w:top w:val="single" w:color="auto" w:sz="4" w:space="0"/>
              <w:left w:val="single" w:color="auto" w:sz="4" w:space="0"/>
            </w:tcBorders>
            <w:vAlign w:val="bottom"/>
          </w:tcPr>
          <w:p w14:paraId="03A9209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M3</w:t>
            </w:r>
          </w:p>
        </w:tc>
        <w:tc>
          <w:tcPr>
            <w:tcW w:w="1003" w:type="pct"/>
            <w:tcBorders>
              <w:top w:val="single" w:color="auto" w:sz="4" w:space="0"/>
              <w:left w:val="single" w:color="auto" w:sz="4" w:space="0"/>
              <w:right w:val="single" w:color="auto" w:sz="4" w:space="0"/>
            </w:tcBorders>
            <w:vAlign w:val="bottom"/>
          </w:tcPr>
          <w:p w14:paraId="0A55201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M4</w:t>
            </w:r>
          </w:p>
        </w:tc>
      </w:tr>
      <w:tr w14:paraId="0FF8BB75">
        <w:tblPrEx>
          <w:tblCellMar>
            <w:top w:w="0" w:type="dxa"/>
            <w:left w:w="10" w:type="dxa"/>
            <w:bottom w:w="0" w:type="dxa"/>
            <w:right w:w="10" w:type="dxa"/>
          </w:tblCellMar>
        </w:tblPrEx>
        <w:trPr>
          <w:jc w:val="center"/>
        </w:trPr>
        <w:tc>
          <w:tcPr>
            <w:tcW w:w="1003" w:type="pct"/>
            <w:tcBorders>
              <w:top w:val="single" w:color="auto" w:sz="4" w:space="0"/>
              <w:left w:val="single" w:color="auto" w:sz="4" w:space="0"/>
            </w:tcBorders>
            <w:vAlign w:val="bottom"/>
          </w:tcPr>
          <w:p w14:paraId="5C0A1927">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Q≥100</w:t>
            </w:r>
          </w:p>
        </w:tc>
        <w:tc>
          <w:tcPr>
            <w:tcW w:w="997" w:type="pct"/>
            <w:tcBorders>
              <w:top w:val="single" w:color="auto" w:sz="4" w:space="0"/>
              <w:left w:val="single" w:color="auto" w:sz="4" w:space="0"/>
            </w:tcBorders>
            <w:vAlign w:val="bottom"/>
          </w:tcPr>
          <w:p w14:paraId="0A73E4A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P1</w:t>
            </w:r>
          </w:p>
        </w:tc>
        <w:tc>
          <w:tcPr>
            <w:tcW w:w="1000" w:type="pct"/>
            <w:tcBorders>
              <w:top w:val="single" w:color="auto" w:sz="4" w:space="0"/>
              <w:left w:val="single" w:color="auto" w:sz="4" w:space="0"/>
            </w:tcBorders>
            <w:vAlign w:val="bottom"/>
          </w:tcPr>
          <w:p w14:paraId="1B18B63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P1</w:t>
            </w:r>
          </w:p>
        </w:tc>
        <w:tc>
          <w:tcPr>
            <w:tcW w:w="997" w:type="pct"/>
            <w:tcBorders>
              <w:top w:val="single" w:color="auto" w:sz="4" w:space="0"/>
              <w:left w:val="single" w:color="auto" w:sz="4" w:space="0"/>
            </w:tcBorders>
            <w:vAlign w:val="bottom"/>
          </w:tcPr>
          <w:p w14:paraId="1E12142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P2</w:t>
            </w:r>
          </w:p>
        </w:tc>
        <w:tc>
          <w:tcPr>
            <w:tcW w:w="1003" w:type="pct"/>
            <w:tcBorders>
              <w:top w:val="single" w:color="auto" w:sz="4" w:space="0"/>
              <w:left w:val="single" w:color="auto" w:sz="4" w:space="0"/>
              <w:right w:val="single" w:color="auto" w:sz="4" w:space="0"/>
            </w:tcBorders>
            <w:vAlign w:val="bottom"/>
          </w:tcPr>
          <w:p w14:paraId="369BBEF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P3</w:t>
            </w:r>
          </w:p>
        </w:tc>
      </w:tr>
      <w:tr w14:paraId="46A47F17">
        <w:tblPrEx>
          <w:tblCellMar>
            <w:top w:w="0" w:type="dxa"/>
            <w:left w:w="10" w:type="dxa"/>
            <w:bottom w:w="0" w:type="dxa"/>
            <w:right w:w="10" w:type="dxa"/>
          </w:tblCellMar>
        </w:tblPrEx>
        <w:trPr>
          <w:jc w:val="center"/>
        </w:trPr>
        <w:tc>
          <w:tcPr>
            <w:tcW w:w="1003" w:type="pct"/>
            <w:tcBorders>
              <w:top w:val="single" w:color="auto" w:sz="4" w:space="0"/>
              <w:left w:val="single" w:color="auto" w:sz="4" w:space="0"/>
            </w:tcBorders>
            <w:vAlign w:val="bottom"/>
          </w:tcPr>
          <w:p w14:paraId="543C28CE">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10≤Q＜100</w:t>
            </w:r>
          </w:p>
        </w:tc>
        <w:tc>
          <w:tcPr>
            <w:tcW w:w="997" w:type="pct"/>
            <w:tcBorders>
              <w:top w:val="single" w:color="auto" w:sz="4" w:space="0"/>
              <w:left w:val="single" w:color="auto" w:sz="4" w:space="0"/>
            </w:tcBorders>
            <w:vAlign w:val="bottom"/>
          </w:tcPr>
          <w:p w14:paraId="22F6549C">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P1</w:t>
            </w:r>
          </w:p>
        </w:tc>
        <w:tc>
          <w:tcPr>
            <w:tcW w:w="1000" w:type="pct"/>
            <w:tcBorders>
              <w:top w:val="single" w:color="auto" w:sz="4" w:space="0"/>
              <w:left w:val="single" w:color="auto" w:sz="4" w:space="0"/>
            </w:tcBorders>
            <w:vAlign w:val="bottom"/>
          </w:tcPr>
          <w:p w14:paraId="5F189C1E">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P2</w:t>
            </w:r>
          </w:p>
        </w:tc>
        <w:tc>
          <w:tcPr>
            <w:tcW w:w="997" w:type="pct"/>
            <w:tcBorders>
              <w:top w:val="single" w:color="auto" w:sz="4" w:space="0"/>
              <w:left w:val="single" w:color="auto" w:sz="4" w:space="0"/>
            </w:tcBorders>
            <w:vAlign w:val="bottom"/>
          </w:tcPr>
          <w:p w14:paraId="4E2A149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P3</w:t>
            </w:r>
          </w:p>
        </w:tc>
        <w:tc>
          <w:tcPr>
            <w:tcW w:w="1003" w:type="pct"/>
            <w:tcBorders>
              <w:top w:val="single" w:color="auto" w:sz="4" w:space="0"/>
              <w:left w:val="single" w:color="auto" w:sz="4" w:space="0"/>
              <w:right w:val="single" w:color="auto" w:sz="4" w:space="0"/>
            </w:tcBorders>
            <w:vAlign w:val="bottom"/>
          </w:tcPr>
          <w:p w14:paraId="3F65FCEA">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P4</w:t>
            </w:r>
          </w:p>
        </w:tc>
      </w:tr>
      <w:tr w14:paraId="401A846D">
        <w:tblPrEx>
          <w:tblCellMar>
            <w:top w:w="0" w:type="dxa"/>
            <w:left w:w="10" w:type="dxa"/>
            <w:bottom w:w="0" w:type="dxa"/>
            <w:right w:w="10" w:type="dxa"/>
          </w:tblCellMar>
        </w:tblPrEx>
        <w:trPr>
          <w:jc w:val="center"/>
        </w:trPr>
        <w:tc>
          <w:tcPr>
            <w:tcW w:w="1003" w:type="pct"/>
            <w:tcBorders>
              <w:top w:val="single" w:color="auto" w:sz="4" w:space="0"/>
              <w:left w:val="single" w:color="auto" w:sz="4" w:space="0"/>
              <w:bottom w:val="single" w:color="auto" w:sz="4" w:space="0"/>
            </w:tcBorders>
            <w:vAlign w:val="bottom"/>
          </w:tcPr>
          <w:p w14:paraId="2FAC664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1≤Q＜10</w:t>
            </w:r>
          </w:p>
        </w:tc>
        <w:tc>
          <w:tcPr>
            <w:tcW w:w="997" w:type="pct"/>
            <w:tcBorders>
              <w:top w:val="single" w:color="auto" w:sz="4" w:space="0"/>
              <w:left w:val="single" w:color="auto" w:sz="4" w:space="0"/>
              <w:bottom w:val="single" w:color="auto" w:sz="4" w:space="0"/>
            </w:tcBorders>
            <w:vAlign w:val="bottom"/>
          </w:tcPr>
          <w:p w14:paraId="03DC923B">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P2</w:t>
            </w:r>
          </w:p>
        </w:tc>
        <w:tc>
          <w:tcPr>
            <w:tcW w:w="1000" w:type="pct"/>
            <w:tcBorders>
              <w:top w:val="single" w:color="auto" w:sz="4" w:space="0"/>
              <w:left w:val="single" w:color="auto" w:sz="4" w:space="0"/>
              <w:bottom w:val="single" w:color="auto" w:sz="4" w:space="0"/>
            </w:tcBorders>
            <w:vAlign w:val="bottom"/>
          </w:tcPr>
          <w:p w14:paraId="3FE28C25">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P3</w:t>
            </w:r>
          </w:p>
        </w:tc>
        <w:tc>
          <w:tcPr>
            <w:tcW w:w="997" w:type="pct"/>
            <w:tcBorders>
              <w:top w:val="single" w:color="auto" w:sz="4" w:space="0"/>
              <w:left w:val="single" w:color="auto" w:sz="4" w:space="0"/>
              <w:bottom w:val="single" w:color="auto" w:sz="4" w:space="0"/>
            </w:tcBorders>
            <w:vAlign w:val="bottom"/>
          </w:tcPr>
          <w:p w14:paraId="71272F72">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P4</w:t>
            </w:r>
          </w:p>
        </w:tc>
        <w:tc>
          <w:tcPr>
            <w:tcW w:w="1003" w:type="pct"/>
            <w:tcBorders>
              <w:top w:val="single" w:color="auto" w:sz="4" w:space="0"/>
              <w:left w:val="single" w:color="auto" w:sz="4" w:space="0"/>
              <w:bottom w:val="single" w:color="auto" w:sz="4" w:space="0"/>
              <w:right w:val="single" w:color="auto" w:sz="4" w:space="0"/>
            </w:tcBorders>
            <w:vAlign w:val="bottom"/>
          </w:tcPr>
          <w:p w14:paraId="0754179D">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P4</w:t>
            </w:r>
          </w:p>
        </w:tc>
      </w:tr>
    </w:tbl>
    <w:p w14:paraId="545731B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本项目的</w:t>
      </w:r>
      <w:r>
        <w:rPr>
          <w:color w:val="000000" w:themeColor="text1"/>
          <w:lang w:bidi="en-US"/>
          <w14:textFill>
            <w14:solidFill>
              <w14:schemeClr w14:val="tx1"/>
            </w14:solidFill>
          </w14:textFill>
        </w:rPr>
        <w:t>Q</w:t>
      </w:r>
      <w:r>
        <w:rPr>
          <w:color w:val="000000" w:themeColor="text1"/>
          <w14:textFill>
            <w14:solidFill>
              <w14:schemeClr w14:val="tx1"/>
            </w14:solidFill>
          </w14:textFill>
        </w:rPr>
        <w:t>值为</w:t>
      </w:r>
      <w:r>
        <w:rPr>
          <w:rFonts w:hint="eastAsia"/>
          <w:color w:val="000000" w:themeColor="text1"/>
          <w:lang w:bidi="en-US"/>
          <w14:textFill>
            <w14:solidFill>
              <w14:schemeClr w14:val="tx1"/>
            </w14:solidFill>
          </w14:textFill>
        </w:rPr>
        <w:t>1.32</w:t>
      </w:r>
      <w:r>
        <w:rPr>
          <w:color w:val="000000" w:themeColor="text1"/>
          <w:lang w:bidi="en-US"/>
          <w14:textFill>
            <w14:solidFill>
              <w14:schemeClr w14:val="tx1"/>
            </w14:solidFill>
          </w14:textFill>
        </w:rPr>
        <w:t>108；M</w:t>
      </w:r>
      <w:r>
        <w:rPr>
          <w:color w:val="000000" w:themeColor="text1"/>
          <w14:textFill>
            <w14:solidFill>
              <w14:schemeClr w14:val="tx1"/>
            </w14:solidFill>
          </w14:textFill>
        </w:rPr>
        <w:t>值为5，以</w:t>
      </w:r>
      <w:r>
        <w:rPr>
          <w:color w:val="000000" w:themeColor="text1"/>
          <w:lang w:bidi="en-US"/>
          <w14:textFill>
            <w14:solidFill>
              <w14:schemeClr w14:val="tx1"/>
            </w14:solidFill>
          </w14:textFill>
        </w:rPr>
        <w:t>M</w:t>
      </w:r>
      <w:r>
        <w:rPr>
          <w:rFonts w:hint="eastAsia"/>
          <w:color w:val="000000" w:themeColor="text1"/>
          <w:lang w:bidi="en-US"/>
          <w14:textFill>
            <w14:solidFill>
              <w14:schemeClr w14:val="tx1"/>
            </w14:solidFill>
          </w14:textFill>
        </w:rPr>
        <w:t>4</w:t>
      </w:r>
      <w:r>
        <w:rPr>
          <w:color w:val="000000" w:themeColor="text1"/>
          <w14:textFill>
            <w14:solidFill>
              <w14:schemeClr w14:val="tx1"/>
            </w14:solidFill>
          </w14:textFill>
        </w:rPr>
        <w:t>表示，根据</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判断，本项目的</w:t>
      </w:r>
      <w:r>
        <w:rPr>
          <w:color w:val="000000" w:themeColor="text1"/>
          <w:lang w:bidi="en-US"/>
          <w14:textFill>
            <w14:solidFill>
              <w14:schemeClr w14:val="tx1"/>
            </w14:solidFill>
          </w14:textFill>
        </w:rPr>
        <w:t>P</w:t>
      </w:r>
      <w:r>
        <w:rPr>
          <w:color w:val="000000" w:themeColor="text1"/>
          <w14:textFill>
            <w14:solidFill>
              <w14:schemeClr w14:val="tx1"/>
            </w14:solidFill>
          </w14:textFill>
        </w:rPr>
        <w:t>值以</w:t>
      </w:r>
      <w:r>
        <w:rPr>
          <w:color w:val="000000" w:themeColor="text1"/>
          <w:lang w:bidi="en-US"/>
          <w14:textFill>
            <w14:solidFill>
              <w14:schemeClr w14:val="tx1"/>
            </w14:solidFill>
          </w14:textFill>
        </w:rPr>
        <w:t>P</w:t>
      </w:r>
      <w:r>
        <w:rPr>
          <w:rFonts w:hint="eastAsia"/>
          <w:color w:val="000000" w:themeColor="text1"/>
          <w:lang w:bidi="en-US"/>
          <w14:textFill>
            <w14:solidFill>
              <w14:schemeClr w14:val="tx1"/>
            </w14:solidFill>
          </w14:textFill>
        </w:rPr>
        <w:t>4</w:t>
      </w:r>
      <w:r>
        <w:rPr>
          <w:color w:val="000000" w:themeColor="text1"/>
          <w14:textFill>
            <w14:solidFill>
              <w14:schemeClr w14:val="tx1"/>
            </w14:solidFill>
          </w14:textFill>
        </w:rPr>
        <w:t>表示。</w:t>
      </w:r>
    </w:p>
    <w:p w14:paraId="301C58A9">
      <w:pPr>
        <w:pStyle w:val="5"/>
        <w:rPr>
          <w:rFonts w:hint="eastAsia"/>
          <w:color w:val="000000" w:themeColor="text1"/>
          <w14:textFill>
            <w14:solidFill>
              <w14:schemeClr w14:val="tx1"/>
            </w14:solidFill>
          </w14:textFill>
        </w:rPr>
      </w:pPr>
      <w:bookmarkStart w:id="546" w:name="bookmark574"/>
      <w:r>
        <w:rPr>
          <w:color w:val="000000" w:themeColor="text1"/>
          <w14:textFill>
            <w14:solidFill>
              <w14:schemeClr w14:val="tx1"/>
            </w14:solidFill>
          </w14:textFill>
        </w:rPr>
        <w:t>环境敏感程度的确定</w:t>
      </w:r>
      <w:bookmarkEnd w:id="546"/>
    </w:p>
    <w:p w14:paraId="4A8210ED">
      <w:pPr>
        <w:ind w:firstLine="480"/>
        <w:rPr>
          <w:color w:val="000000" w:themeColor="text1"/>
          <w14:textFill>
            <w14:solidFill>
              <w14:schemeClr w14:val="tx1"/>
            </w14:solidFill>
          </w14:textFill>
        </w:rPr>
      </w:pPr>
      <w:r>
        <w:rPr>
          <w:color w:val="000000" w:themeColor="text1"/>
          <w14:textFill>
            <w14:solidFill>
              <w14:schemeClr w14:val="tx1"/>
            </w14:solidFill>
          </w14:textFill>
        </w:rPr>
        <w:t>（1）大气环境敏感程度</w:t>
      </w:r>
    </w:p>
    <w:p w14:paraId="7AD04383">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附录</w:t>
      </w:r>
      <w:r>
        <w:rPr>
          <w:color w:val="000000" w:themeColor="text1"/>
          <w:lang w:bidi="en-US"/>
          <w14:textFill>
            <w14:solidFill>
              <w14:schemeClr w14:val="tx1"/>
            </w14:solidFill>
          </w14:textFill>
        </w:rPr>
        <w:t>D</w:t>
      </w:r>
      <w:r>
        <w:rPr>
          <w:color w:val="000000" w:themeColor="text1"/>
          <w14:textFill>
            <w14:solidFill>
              <w14:schemeClr w14:val="tx1"/>
            </w14:solidFill>
          </w14:textFill>
        </w:rPr>
        <w:t>的规定:项目所在区域大气环境敏感程度是依据环境敏感目标环境敏感性及人口密度划分环境风险受体的敏感性来确定。大气环境敏感程度共分为三种类型</w:t>
      </w:r>
      <w:r>
        <w:rPr>
          <w:rFonts w:hint="eastAsia"/>
          <w:color w:val="000000" w:themeColor="text1"/>
          <w14:textFill>
            <w14:solidFill>
              <w14:schemeClr w14:val="tx1"/>
            </w14:solidFill>
          </w14:textFill>
        </w:rPr>
        <w:t>：</w:t>
      </w:r>
      <w:r>
        <w:rPr>
          <w:color w:val="000000" w:themeColor="text1"/>
          <w:lang w:bidi="en-US"/>
          <w14:textFill>
            <w14:solidFill>
              <w14:schemeClr w14:val="tx1"/>
            </w14:solidFill>
          </w14:textFill>
        </w:rPr>
        <w:t>E1</w:t>
      </w:r>
      <w:r>
        <w:rPr>
          <w:color w:val="000000" w:themeColor="text1"/>
          <w14:textFill>
            <w14:solidFill>
              <w14:schemeClr w14:val="tx1"/>
            </w14:solidFill>
          </w14:textFill>
        </w:rPr>
        <w:t>为环境高度敏感区，</w:t>
      </w:r>
      <w:r>
        <w:rPr>
          <w:color w:val="000000" w:themeColor="text1"/>
          <w:lang w:bidi="en-US"/>
          <w14:textFill>
            <w14:solidFill>
              <w14:schemeClr w14:val="tx1"/>
            </w14:solidFill>
          </w14:textFill>
        </w:rPr>
        <w:t>E2</w:t>
      </w:r>
      <w:r>
        <w:rPr>
          <w:color w:val="000000" w:themeColor="text1"/>
          <w14:textFill>
            <w14:solidFill>
              <w14:schemeClr w14:val="tx1"/>
            </w14:solidFill>
          </w14:textFill>
        </w:rPr>
        <w:t>为环境中度敏感区，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为环境低度敏感区，分级原则见下表。</w:t>
      </w:r>
    </w:p>
    <w:p w14:paraId="22BAFC9E">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大气环境敏感程度分级原则一览表</w:t>
      </w:r>
    </w:p>
    <w:tbl>
      <w:tblPr>
        <w:tblStyle w:val="76"/>
        <w:tblW w:w="5000" w:type="pct"/>
        <w:jc w:val="center"/>
        <w:tblLayout w:type="autofit"/>
        <w:tblCellMar>
          <w:top w:w="0" w:type="dxa"/>
          <w:left w:w="10" w:type="dxa"/>
          <w:bottom w:w="0" w:type="dxa"/>
          <w:right w:w="10" w:type="dxa"/>
        </w:tblCellMar>
      </w:tblPr>
      <w:tblGrid>
        <w:gridCol w:w="704"/>
        <w:gridCol w:w="8728"/>
      </w:tblGrid>
      <w:tr w14:paraId="2E447DD7">
        <w:tblPrEx>
          <w:tblCellMar>
            <w:top w:w="0" w:type="dxa"/>
            <w:left w:w="10" w:type="dxa"/>
            <w:bottom w:w="0" w:type="dxa"/>
            <w:right w:w="10" w:type="dxa"/>
          </w:tblCellMar>
        </w:tblPrEx>
        <w:trPr>
          <w:jc w:val="center"/>
        </w:trPr>
        <w:tc>
          <w:tcPr>
            <w:tcW w:w="373" w:type="pct"/>
            <w:tcBorders>
              <w:top w:val="single" w:color="auto" w:sz="4" w:space="0"/>
              <w:left w:val="single" w:color="auto" w:sz="4" w:space="0"/>
            </w:tcBorders>
            <w:vAlign w:val="bottom"/>
          </w:tcPr>
          <w:p w14:paraId="7A79EEF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分级</w:t>
            </w:r>
          </w:p>
        </w:tc>
        <w:tc>
          <w:tcPr>
            <w:tcW w:w="4627" w:type="pct"/>
            <w:tcBorders>
              <w:top w:val="single" w:color="auto" w:sz="4" w:space="0"/>
              <w:left w:val="single" w:color="auto" w:sz="4" w:space="0"/>
              <w:right w:val="single" w:color="auto" w:sz="4" w:space="0"/>
            </w:tcBorders>
            <w:vAlign w:val="bottom"/>
          </w:tcPr>
          <w:p w14:paraId="32D19B6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大气环境敏感性</w:t>
            </w:r>
          </w:p>
        </w:tc>
      </w:tr>
      <w:tr w14:paraId="1C38B22B">
        <w:tblPrEx>
          <w:tblCellMar>
            <w:top w:w="0" w:type="dxa"/>
            <w:left w:w="10" w:type="dxa"/>
            <w:bottom w:w="0" w:type="dxa"/>
            <w:right w:w="10" w:type="dxa"/>
          </w:tblCellMar>
        </w:tblPrEx>
        <w:trPr>
          <w:jc w:val="center"/>
        </w:trPr>
        <w:tc>
          <w:tcPr>
            <w:tcW w:w="373" w:type="pct"/>
            <w:tcBorders>
              <w:top w:val="single" w:color="auto" w:sz="4" w:space="0"/>
              <w:left w:val="single" w:color="auto" w:sz="4" w:space="0"/>
            </w:tcBorders>
            <w:vAlign w:val="center"/>
          </w:tcPr>
          <w:p w14:paraId="149C616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4627" w:type="pct"/>
            <w:tcBorders>
              <w:top w:val="single" w:color="auto" w:sz="4" w:space="0"/>
              <w:left w:val="single" w:color="auto" w:sz="4" w:space="0"/>
              <w:right w:val="single" w:color="auto" w:sz="4" w:space="0"/>
            </w:tcBorders>
            <w:vAlign w:val="bottom"/>
          </w:tcPr>
          <w:p w14:paraId="4E5133AF">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周边</w:t>
            </w:r>
            <w:r>
              <w:rPr>
                <w:color w:val="000000" w:themeColor="text1"/>
                <w:lang w:bidi="en-US"/>
                <w14:textFill>
                  <w14:solidFill>
                    <w14:schemeClr w14:val="tx1"/>
                  </w14:solidFill>
                </w14:textFill>
              </w:rPr>
              <w:t>5km</w:t>
            </w:r>
            <w:r>
              <w:rPr>
                <w:color w:val="000000" w:themeColor="text1"/>
                <w:lang w:val="zh-CN" w:bidi="zh-CN"/>
                <w14:textFill>
                  <w14:solidFill>
                    <w14:schemeClr w14:val="tx1"/>
                  </w14:solidFill>
                </w14:textFill>
              </w:rPr>
              <w:t>范围内居住区、医疗卫生、文化教育、科研、行政办公等机构人口总数大于5万人，或其他需要特殊保护区域；或周边</w:t>
            </w:r>
            <w:r>
              <w:rPr>
                <w:color w:val="000000" w:themeColor="text1"/>
                <w:lang w:bidi="en-US"/>
                <w14:textFill>
                  <w14:solidFill>
                    <w14:schemeClr w14:val="tx1"/>
                  </w14:solidFill>
                </w14:textFill>
              </w:rPr>
              <w:t>500m</w:t>
            </w:r>
            <w:r>
              <w:rPr>
                <w:color w:val="000000" w:themeColor="text1"/>
                <w:lang w:val="zh-CN" w:bidi="zh-CN"/>
                <w14:textFill>
                  <w14:solidFill>
                    <w14:schemeClr w14:val="tx1"/>
                  </w14:solidFill>
                </w14:textFill>
              </w:rPr>
              <w:t>范围内人口总数大于1000人；油气、化学品输送管线管段周边</w:t>
            </w:r>
            <w:r>
              <w:rPr>
                <w:color w:val="000000" w:themeColor="text1"/>
                <w:lang w:bidi="en-US"/>
                <w14:textFill>
                  <w14:solidFill>
                    <w14:schemeClr w14:val="tx1"/>
                  </w14:solidFill>
                </w14:textFill>
              </w:rPr>
              <w:t>200m</w:t>
            </w:r>
            <w:r>
              <w:rPr>
                <w:color w:val="000000" w:themeColor="text1"/>
                <w:lang w:val="zh-CN" w:bidi="zh-CN"/>
                <w14:textFill>
                  <w14:solidFill>
                    <w14:schemeClr w14:val="tx1"/>
                  </w14:solidFill>
                </w14:textFill>
              </w:rPr>
              <w:t>范围内，每千米管段人口数大于200人</w:t>
            </w:r>
          </w:p>
        </w:tc>
      </w:tr>
      <w:tr w14:paraId="6EC85FF2">
        <w:tblPrEx>
          <w:tblCellMar>
            <w:top w:w="0" w:type="dxa"/>
            <w:left w:w="10" w:type="dxa"/>
            <w:bottom w:w="0" w:type="dxa"/>
            <w:right w:w="10" w:type="dxa"/>
          </w:tblCellMar>
        </w:tblPrEx>
        <w:trPr>
          <w:jc w:val="center"/>
        </w:trPr>
        <w:tc>
          <w:tcPr>
            <w:tcW w:w="373" w:type="pct"/>
            <w:tcBorders>
              <w:top w:val="single" w:color="auto" w:sz="4" w:space="0"/>
              <w:left w:val="single" w:color="auto" w:sz="4" w:space="0"/>
            </w:tcBorders>
            <w:vAlign w:val="center"/>
          </w:tcPr>
          <w:p w14:paraId="4617DD2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4627" w:type="pct"/>
            <w:tcBorders>
              <w:top w:val="single" w:color="auto" w:sz="4" w:space="0"/>
              <w:left w:val="single" w:color="auto" w:sz="4" w:space="0"/>
              <w:right w:val="single" w:color="auto" w:sz="4" w:space="0"/>
            </w:tcBorders>
            <w:vAlign w:val="bottom"/>
          </w:tcPr>
          <w:p w14:paraId="1C8D2B7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周边</w:t>
            </w:r>
            <w:r>
              <w:rPr>
                <w:color w:val="000000" w:themeColor="text1"/>
                <w:lang w:bidi="en-US"/>
                <w14:textFill>
                  <w14:solidFill>
                    <w14:schemeClr w14:val="tx1"/>
                  </w14:solidFill>
                </w14:textFill>
              </w:rPr>
              <w:t>5km</w:t>
            </w:r>
            <w:r>
              <w:rPr>
                <w:color w:val="000000" w:themeColor="text1"/>
                <w:lang w:val="zh-CN" w:bidi="zh-CN"/>
                <w14:textFill>
                  <w14:solidFill>
                    <w14:schemeClr w14:val="tx1"/>
                  </w14:solidFill>
                </w14:textFill>
              </w:rPr>
              <w:t>范围内居住区、医疗卫生、文化教育、科研、行政办公等机构人口总数大于1万人，小于5万人；或周边</w:t>
            </w:r>
            <w:r>
              <w:rPr>
                <w:color w:val="000000" w:themeColor="text1"/>
                <w:lang w:bidi="en-US"/>
                <w14:textFill>
                  <w14:solidFill>
                    <w14:schemeClr w14:val="tx1"/>
                  </w14:solidFill>
                </w14:textFill>
              </w:rPr>
              <w:t>500m</w:t>
            </w:r>
            <w:r>
              <w:rPr>
                <w:color w:val="000000" w:themeColor="text1"/>
                <w:lang w:val="zh-CN" w:bidi="zh-CN"/>
                <w14:textFill>
                  <w14:solidFill>
                    <w14:schemeClr w14:val="tx1"/>
                  </w14:solidFill>
                </w14:textFill>
              </w:rPr>
              <w:t>范围内人口总数大于500人，小于1000人；油气、化学品输送管线管段周边</w:t>
            </w:r>
            <w:r>
              <w:rPr>
                <w:color w:val="000000" w:themeColor="text1"/>
                <w:lang w:bidi="en-US"/>
                <w14:textFill>
                  <w14:solidFill>
                    <w14:schemeClr w14:val="tx1"/>
                  </w14:solidFill>
                </w14:textFill>
              </w:rPr>
              <w:t>200m</w:t>
            </w:r>
            <w:r>
              <w:rPr>
                <w:color w:val="000000" w:themeColor="text1"/>
                <w:lang w:val="zh-CN" w:bidi="zh-CN"/>
                <w14:textFill>
                  <w14:solidFill>
                    <w14:schemeClr w14:val="tx1"/>
                  </w14:solidFill>
                </w14:textFill>
              </w:rPr>
              <w:t>范围内，每千米管段人口数大于100人，小于200人</w:t>
            </w:r>
          </w:p>
        </w:tc>
      </w:tr>
      <w:tr w14:paraId="04942D90">
        <w:tblPrEx>
          <w:tblCellMar>
            <w:top w:w="0" w:type="dxa"/>
            <w:left w:w="10" w:type="dxa"/>
            <w:bottom w:w="0" w:type="dxa"/>
            <w:right w:w="10" w:type="dxa"/>
          </w:tblCellMar>
        </w:tblPrEx>
        <w:trPr>
          <w:jc w:val="center"/>
        </w:trPr>
        <w:tc>
          <w:tcPr>
            <w:tcW w:w="373" w:type="pct"/>
            <w:tcBorders>
              <w:top w:val="single" w:color="auto" w:sz="4" w:space="0"/>
              <w:left w:val="single" w:color="auto" w:sz="4" w:space="0"/>
              <w:bottom w:val="single" w:color="auto" w:sz="4" w:space="0"/>
            </w:tcBorders>
            <w:vAlign w:val="center"/>
          </w:tcPr>
          <w:p w14:paraId="1815B53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c>
          <w:tcPr>
            <w:tcW w:w="4627" w:type="pct"/>
            <w:tcBorders>
              <w:top w:val="single" w:color="auto" w:sz="4" w:space="0"/>
              <w:left w:val="single" w:color="auto" w:sz="4" w:space="0"/>
              <w:bottom w:val="single" w:color="auto" w:sz="4" w:space="0"/>
              <w:right w:val="single" w:color="auto" w:sz="4" w:space="0"/>
            </w:tcBorders>
            <w:vAlign w:val="bottom"/>
          </w:tcPr>
          <w:p w14:paraId="13D59A7B">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周边</w:t>
            </w:r>
            <w:r>
              <w:rPr>
                <w:color w:val="000000" w:themeColor="text1"/>
                <w:lang w:bidi="en-US"/>
                <w14:textFill>
                  <w14:solidFill>
                    <w14:schemeClr w14:val="tx1"/>
                  </w14:solidFill>
                </w14:textFill>
              </w:rPr>
              <w:t>5km</w:t>
            </w:r>
            <w:r>
              <w:rPr>
                <w:color w:val="000000" w:themeColor="text1"/>
                <w:lang w:val="zh-CN" w:bidi="zh-CN"/>
                <w14:textFill>
                  <w14:solidFill>
                    <w14:schemeClr w14:val="tx1"/>
                  </w14:solidFill>
                </w14:textFill>
              </w:rPr>
              <w:t>范围内居住区、医疗卫生、文化教育、科研、行政办公等机构人口总数小于1万人；或周边</w:t>
            </w:r>
            <w:r>
              <w:rPr>
                <w:color w:val="000000" w:themeColor="text1"/>
                <w:lang w:bidi="en-US"/>
                <w14:textFill>
                  <w14:solidFill>
                    <w14:schemeClr w14:val="tx1"/>
                  </w14:solidFill>
                </w14:textFill>
              </w:rPr>
              <w:t>500m</w:t>
            </w:r>
            <w:r>
              <w:rPr>
                <w:color w:val="000000" w:themeColor="text1"/>
                <w:lang w:val="zh-CN" w:bidi="zh-CN"/>
                <w14:textFill>
                  <w14:solidFill>
                    <w14:schemeClr w14:val="tx1"/>
                  </w14:solidFill>
                </w14:textFill>
              </w:rPr>
              <w:t>范围内人口总数小于500人；油气、化学品输送管线管段周边</w:t>
            </w:r>
            <w:r>
              <w:rPr>
                <w:color w:val="000000" w:themeColor="text1"/>
                <w:lang w:bidi="en-US"/>
                <w14:textFill>
                  <w14:solidFill>
                    <w14:schemeClr w14:val="tx1"/>
                  </w14:solidFill>
                </w14:textFill>
              </w:rPr>
              <w:t>200m</w:t>
            </w:r>
            <w:r>
              <w:rPr>
                <w:color w:val="000000" w:themeColor="text1"/>
                <w:lang w:val="zh-CN" w:bidi="zh-CN"/>
                <w14:textFill>
                  <w14:solidFill>
                    <w14:schemeClr w14:val="tx1"/>
                  </w14:solidFill>
                </w14:textFill>
              </w:rPr>
              <w:t>范围内，每千米管段人口数小于100人</w:t>
            </w:r>
          </w:p>
        </w:tc>
      </w:tr>
    </w:tbl>
    <w:p w14:paraId="43A4AEB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本项目位于乌鲁木齐甘泉堡经济技术开发区（工业区）化工园区，项目周边</w:t>
      </w:r>
      <w:r>
        <w:rPr>
          <w:color w:val="000000" w:themeColor="text1"/>
          <w:lang w:bidi="en-US"/>
          <w14:textFill>
            <w14:solidFill>
              <w14:schemeClr w14:val="tx1"/>
            </w14:solidFill>
          </w14:textFill>
        </w:rPr>
        <w:t>5km</w:t>
      </w:r>
      <w:r>
        <w:rPr>
          <w:color w:val="000000" w:themeColor="text1"/>
          <w14:textFill>
            <w14:solidFill>
              <w14:schemeClr w14:val="tx1"/>
            </w14:solidFill>
          </w14:textFill>
        </w:rPr>
        <w:t>范围内居住区、医疗卫生、文化教育、科研、行政办公等机构人口总数</w:t>
      </w:r>
      <w:r>
        <w:rPr>
          <w:rFonts w:hint="eastAsia"/>
          <w:color w:val="000000" w:themeColor="text1"/>
          <w14:textFill>
            <w14:solidFill>
              <w14:schemeClr w14:val="tx1"/>
            </w14:solidFill>
          </w14:textFill>
        </w:rPr>
        <w:t>小于1</w:t>
      </w:r>
      <w:r>
        <w:rPr>
          <w:color w:val="000000" w:themeColor="text1"/>
          <w14:textFill>
            <w14:solidFill>
              <w14:schemeClr w14:val="tx1"/>
            </w14:solidFill>
          </w14:textFill>
        </w:rPr>
        <w:t>万人</w:t>
      </w:r>
      <w:r>
        <w:rPr>
          <w:rFonts w:hint="eastAsia"/>
          <w:color w:val="000000" w:themeColor="text1"/>
          <w14:textFill>
            <w14:solidFill>
              <w14:schemeClr w14:val="tx1"/>
            </w14:solidFill>
          </w14:textFill>
        </w:rPr>
        <w:t>，</w:t>
      </w:r>
      <w:r>
        <w:rPr>
          <w:color w:val="000000" w:themeColor="text1"/>
          <w:lang w:val="zh-CN" w:bidi="zh-CN"/>
          <w14:textFill>
            <w14:solidFill>
              <w14:schemeClr w14:val="tx1"/>
            </w14:solidFill>
          </w14:textFill>
        </w:rPr>
        <w:t>周边</w:t>
      </w:r>
      <w:r>
        <w:rPr>
          <w:color w:val="000000" w:themeColor="text1"/>
          <w:lang w:bidi="en-US"/>
          <w14:textFill>
            <w14:solidFill>
              <w14:schemeClr w14:val="tx1"/>
            </w14:solidFill>
          </w14:textFill>
        </w:rPr>
        <w:t>500m</w:t>
      </w:r>
      <w:r>
        <w:rPr>
          <w:color w:val="000000" w:themeColor="text1"/>
          <w:lang w:val="zh-CN" w:bidi="zh-CN"/>
          <w14:textFill>
            <w14:solidFill>
              <w14:schemeClr w14:val="tx1"/>
            </w14:solidFill>
          </w14:textFill>
        </w:rPr>
        <w:t>范围内人口总数小于500人</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判定，项目的所在区域大气环境敏感程度为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w:t>
      </w:r>
      <w:r>
        <w:rPr>
          <w:color w:val="000000" w:themeColor="text1"/>
          <w:lang w:bidi="en-US"/>
          <w14:textFill>
            <w14:solidFill>
              <w14:schemeClr w14:val="tx1"/>
            </w14:solidFill>
          </w14:textFill>
        </w:rPr>
        <w:t>。</w:t>
      </w:r>
    </w:p>
    <w:p w14:paraId="1FCFDF01">
      <w:pPr>
        <w:ind w:firstLine="480"/>
        <w:rPr>
          <w:color w:val="000000" w:themeColor="text1"/>
          <w14:textFill>
            <w14:solidFill>
              <w14:schemeClr w14:val="tx1"/>
            </w14:solidFill>
          </w14:textFill>
        </w:rPr>
      </w:pPr>
      <w:r>
        <w:rPr>
          <w:color w:val="000000" w:themeColor="text1"/>
          <w14:textFill>
            <w14:solidFill>
              <w14:schemeClr w14:val="tx1"/>
            </w14:solidFill>
          </w14:textFill>
        </w:rPr>
        <w:t>（2）地表水环境敏感程度</w:t>
      </w:r>
    </w:p>
    <w:p w14:paraId="04AADD25">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附录</w:t>
      </w:r>
      <w:r>
        <w:rPr>
          <w:color w:val="000000" w:themeColor="text1"/>
          <w:lang w:bidi="en-US"/>
          <w14:textFill>
            <w14:solidFill>
              <w14:schemeClr w14:val="tx1"/>
            </w14:solidFill>
          </w14:textFill>
        </w:rPr>
        <w:t>D</w:t>
      </w:r>
      <w:r>
        <w:rPr>
          <w:color w:val="000000" w:themeColor="text1"/>
          <w14:textFill>
            <w14:solidFill>
              <w14:schemeClr w14:val="tx1"/>
            </w14:solidFill>
          </w14:textFill>
        </w:rPr>
        <w:t>的规定：区域地表水环境敏感程度依据事故情况下危险物质泄漏到水体的排放点受纳地表水体功能敏感性与下游环境敏感目标情况确定。区域地表水环境敏感程度共分为三种类型，</w:t>
      </w:r>
      <w:r>
        <w:rPr>
          <w:color w:val="000000" w:themeColor="text1"/>
          <w:lang w:bidi="en-US"/>
          <w14:textFill>
            <w14:solidFill>
              <w14:schemeClr w14:val="tx1"/>
            </w14:solidFill>
          </w14:textFill>
        </w:rPr>
        <w:t>E1</w:t>
      </w:r>
      <w:r>
        <w:rPr>
          <w:color w:val="000000" w:themeColor="text1"/>
          <w14:textFill>
            <w14:solidFill>
              <w14:schemeClr w14:val="tx1"/>
            </w14:solidFill>
          </w14:textFill>
        </w:rPr>
        <w:t>为环境高度敏感区，</w:t>
      </w:r>
      <w:r>
        <w:rPr>
          <w:color w:val="000000" w:themeColor="text1"/>
          <w:lang w:bidi="en-US"/>
          <w14:textFill>
            <w14:solidFill>
              <w14:schemeClr w14:val="tx1"/>
            </w14:solidFill>
          </w14:textFill>
        </w:rPr>
        <w:t>E2</w:t>
      </w:r>
      <w:r>
        <w:rPr>
          <w:color w:val="000000" w:themeColor="text1"/>
          <w14:textFill>
            <w14:solidFill>
              <w14:schemeClr w14:val="tx1"/>
            </w14:solidFill>
          </w14:textFill>
        </w:rPr>
        <w:t>为环境中度敏感区，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w:t>
      </w:r>
    </w:p>
    <w:p w14:paraId="29F27543">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地表水环境敏感程度分级原则一览表</w:t>
      </w:r>
    </w:p>
    <w:tbl>
      <w:tblPr>
        <w:tblStyle w:val="76"/>
        <w:tblW w:w="5000" w:type="pct"/>
        <w:jc w:val="center"/>
        <w:tblLayout w:type="autofit"/>
        <w:tblCellMar>
          <w:top w:w="0" w:type="dxa"/>
          <w:left w:w="10" w:type="dxa"/>
          <w:bottom w:w="0" w:type="dxa"/>
          <w:right w:w="10" w:type="dxa"/>
        </w:tblCellMar>
      </w:tblPr>
      <w:tblGrid>
        <w:gridCol w:w="2164"/>
        <w:gridCol w:w="2550"/>
        <w:gridCol w:w="2354"/>
        <w:gridCol w:w="2364"/>
      </w:tblGrid>
      <w:tr w14:paraId="779078B3">
        <w:tblPrEx>
          <w:tblCellMar>
            <w:top w:w="0" w:type="dxa"/>
            <w:left w:w="10" w:type="dxa"/>
            <w:bottom w:w="0" w:type="dxa"/>
            <w:right w:w="10" w:type="dxa"/>
          </w:tblCellMar>
        </w:tblPrEx>
        <w:trPr>
          <w:jc w:val="center"/>
        </w:trPr>
        <w:tc>
          <w:tcPr>
            <w:tcW w:w="1147" w:type="pct"/>
            <w:vMerge w:val="restart"/>
            <w:tcBorders>
              <w:top w:val="single" w:color="auto" w:sz="4" w:space="0"/>
              <w:left w:val="single" w:color="auto" w:sz="4" w:space="0"/>
            </w:tcBorders>
            <w:vAlign w:val="center"/>
          </w:tcPr>
          <w:p w14:paraId="5589543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环境敏感目标</w:t>
            </w:r>
          </w:p>
        </w:tc>
        <w:tc>
          <w:tcPr>
            <w:tcW w:w="3853" w:type="pct"/>
            <w:gridSpan w:val="3"/>
            <w:tcBorders>
              <w:top w:val="single" w:color="auto" w:sz="4" w:space="0"/>
              <w:left w:val="single" w:color="auto" w:sz="4" w:space="0"/>
              <w:right w:val="single" w:color="auto" w:sz="4" w:space="0"/>
            </w:tcBorders>
            <w:vAlign w:val="bottom"/>
          </w:tcPr>
          <w:p w14:paraId="1071C49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地表水功能敏感性</w:t>
            </w:r>
          </w:p>
        </w:tc>
      </w:tr>
      <w:tr w14:paraId="6A79EDCC">
        <w:tblPrEx>
          <w:tblCellMar>
            <w:top w:w="0" w:type="dxa"/>
            <w:left w:w="10" w:type="dxa"/>
            <w:bottom w:w="0" w:type="dxa"/>
            <w:right w:w="10" w:type="dxa"/>
          </w:tblCellMar>
        </w:tblPrEx>
        <w:trPr>
          <w:jc w:val="center"/>
        </w:trPr>
        <w:tc>
          <w:tcPr>
            <w:tcW w:w="1147" w:type="pct"/>
            <w:vMerge w:val="continue"/>
            <w:tcBorders>
              <w:left w:val="single" w:color="auto" w:sz="4" w:space="0"/>
            </w:tcBorders>
            <w:vAlign w:val="center"/>
          </w:tcPr>
          <w:p w14:paraId="7C7357AC">
            <w:pPr>
              <w:pStyle w:val="109"/>
              <w:rPr>
                <w:color w:val="000000" w:themeColor="text1"/>
                <w14:textFill>
                  <w14:solidFill>
                    <w14:schemeClr w14:val="tx1"/>
                  </w14:solidFill>
                </w14:textFill>
              </w:rPr>
            </w:pPr>
          </w:p>
        </w:tc>
        <w:tc>
          <w:tcPr>
            <w:tcW w:w="1352" w:type="pct"/>
            <w:tcBorders>
              <w:top w:val="single" w:color="auto" w:sz="4" w:space="0"/>
              <w:left w:val="single" w:color="auto" w:sz="4" w:space="0"/>
            </w:tcBorders>
            <w:vAlign w:val="bottom"/>
          </w:tcPr>
          <w:p w14:paraId="6FF74A02">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F1</w:t>
            </w:r>
          </w:p>
        </w:tc>
        <w:tc>
          <w:tcPr>
            <w:tcW w:w="1248" w:type="pct"/>
            <w:tcBorders>
              <w:top w:val="single" w:color="auto" w:sz="4" w:space="0"/>
              <w:left w:val="single" w:color="auto" w:sz="4" w:space="0"/>
            </w:tcBorders>
            <w:vAlign w:val="bottom"/>
          </w:tcPr>
          <w:p w14:paraId="7CDF178C">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F2</w:t>
            </w:r>
          </w:p>
        </w:tc>
        <w:tc>
          <w:tcPr>
            <w:tcW w:w="1254" w:type="pct"/>
            <w:tcBorders>
              <w:top w:val="single" w:color="auto" w:sz="4" w:space="0"/>
              <w:left w:val="single" w:color="auto" w:sz="4" w:space="0"/>
              <w:right w:val="single" w:color="auto" w:sz="4" w:space="0"/>
            </w:tcBorders>
            <w:vAlign w:val="bottom"/>
          </w:tcPr>
          <w:p w14:paraId="15975A8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F3</w:t>
            </w:r>
          </w:p>
        </w:tc>
      </w:tr>
      <w:tr w14:paraId="551ABC0E">
        <w:tblPrEx>
          <w:tblCellMar>
            <w:top w:w="0" w:type="dxa"/>
            <w:left w:w="10" w:type="dxa"/>
            <w:bottom w:w="0" w:type="dxa"/>
            <w:right w:w="10" w:type="dxa"/>
          </w:tblCellMar>
        </w:tblPrEx>
        <w:trPr>
          <w:jc w:val="center"/>
        </w:trPr>
        <w:tc>
          <w:tcPr>
            <w:tcW w:w="1147" w:type="pct"/>
            <w:tcBorders>
              <w:top w:val="single" w:color="auto" w:sz="4" w:space="0"/>
              <w:left w:val="single" w:color="auto" w:sz="4" w:space="0"/>
            </w:tcBorders>
            <w:vAlign w:val="bottom"/>
          </w:tcPr>
          <w:p w14:paraId="62A4A0B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S1</w:t>
            </w:r>
          </w:p>
        </w:tc>
        <w:tc>
          <w:tcPr>
            <w:tcW w:w="1352" w:type="pct"/>
            <w:tcBorders>
              <w:top w:val="single" w:color="auto" w:sz="4" w:space="0"/>
              <w:left w:val="single" w:color="auto" w:sz="4" w:space="0"/>
            </w:tcBorders>
            <w:vAlign w:val="bottom"/>
          </w:tcPr>
          <w:p w14:paraId="60B79FF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tcBorders>
            <w:vAlign w:val="bottom"/>
          </w:tcPr>
          <w:p w14:paraId="7F80CC1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54" w:type="pct"/>
            <w:tcBorders>
              <w:top w:val="single" w:color="auto" w:sz="4" w:space="0"/>
              <w:left w:val="single" w:color="auto" w:sz="4" w:space="0"/>
              <w:right w:val="single" w:color="auto" w:sz="4" w:space="0"/>
            </w:tcBorders>
            <w:vAlign w:val="bottom"/>
          </w:tcPr>
          <w:p w14:paraId="0B22E793">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r>
      <w:tr w14:paraId="3D4D6860">
        <w:tblPrEx>
          <w:tblCellMar>
            <w:top w:w="0" w:type="dxa"/>
            <w:left w:w="10" w:type="dxa"/>
            <w:bottom w:w="0" w:type="dxa"/>
            <w:right w:w="10" w:type="dxa"/>
          </w:tblCellMar>
        </w:tblPrEx>
        <w:trPr>
          <w:jc w:val="center"/>
        </w:trPr>
        <w:tc>
          <w:tcPr>
            <w:tcW w:w="1147" w:type="pct"/>
            <w:tcBorders>
              <w:top w:val="single" w:color="auto" w:sz="4" w:space="0"/>
              <w:left w:val="single" w:color="auto" w:sz="4" w:space="0"/>
            </w:tcBorders>
            <w:vAlign w:val="bottom"/>
          </w:tcPr>
          <w:p w14:paraId="7DAD5420">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S2</w:t>
            </w:r>
          </w:p>
        </w:tc>
        <w:tc>
          <w:tcPr>
            <w:tcW w:w="1352" w:type="pct"/>
            <w:tcBorders>
              <w:top w:val="single" w:color="auto" w:sz="4" w:space="0"/>
              <w:left w:val="single" w:color="auto" w:sz="4" w:space="0"/>
            </w:tcBorders>
            <w:vAlign w:val="bottom"/>
          </w:tcPr>
          <w:p w14:paraId="7D81572B">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tcBorders>
            <w:vAlign w:val="bottom"/>
          </w:tcPr>
          <w:p w14:paraId="65F9FD1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1254" w:type="pct"/>
            <w:tcBorders>
              <w:top w:val="single" w:color="auto" w:sz="4" w:space="0"/>
              <w:left w:val="single" w:color="auto" w:sz="4" w:space="0"/>
              <w:right w:val="single" w:color="auto" w:sz="4" w:space="0"/>
            </w:tcBorders>
            <w:vAlign w:val="bottom"/>
          </w:tcPr>
          <w:p w14:paraId="426F278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r>
      <w:tr w14:paraId="7E213E04">
        <w:tblPrEx>
          <w:tblCellMar>
            <w:top w:w="0" w:type="dxa"/>
            <w:left w:w="10" w:type="dxa"/>
            <w:bottom w:w="0" w:type="dxa"/>
            <w:right w:w="10" w:type="dxa"/>
          </w:tblCellMar>
        </w:tblPrEx>
        <w:trPr>
          <w:jc w:val="center"/>
        </w:trPr>
        <w:tc>
          <w:tcPr>
            <w:tcW w:w="1147" w:type="pct"/>
            <w:tcBorders>
              <w:top w:val="single" w:color="auto" w:sz="4" w:space="0"/>
              <w:left w:val="single" w:color="auto" w:sz="4" w:space="0"/>
              <w:bottom w:val="single" w:color="auto" w:sz="4" w:space="0"/>
            </w:tcBorders>
            <w:vAlign w:val="bottom"/>
          </w:tcPr>
          <w:p w14:paraId="5DA9F30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S3</w:t>
            </w:r>
          </w:p>
        </w:tc>
        <w:tc>
          <w:tcPr>
            <w:tcW w:w="1352" w:type="pct"/>
            <w:tcBorders>
              <w:top w:val="single" w:color="auto" w:sz="4" w:space="0"/>
              <w:left w:val="single" w:color="auto" w:sz="4" w:space="0"/>
              <w:bottom w:val="single" w:color="auto" w:sz="4" w:space="0"/>
            </w:tcBorders>
            <w:vAlign w:val="bottom"/>
          </w:tcPr>
          <w:p w14:paraId="5BDD50AC">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bottom w:val="single" w:color="auto" w:sz="4" w:space="0"/>
            </w:tcBorders>
            <w:vAlign w:val="bottom"/>
          </w:tcPr>
          <w:p w14:paraId="546CBD5C">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1254" w:type="pct"/>
            <w:tcBorders>
              <w:top w:val="single" w:color="auto" w:sz="4" w:space="0"/>
              <w:left w:val="single" w:color="auto" w:sz="4" w:space="0"/>
              <w:bottom w:val="single" w:color="auto" w:sz="4" w:space="0"/>
              <w:right w:val="single" w:color="auto" w:sz="4" w:space="0"/>
            </w:tcBorders>
            <w:vAlign w:val="bottom"/>
          </w:tcPr>
          <w:p w14:paraId="6AA95B52">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r>
    </w:tbl>
    <w:p w14:paraId="5C550880">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地表水功能敏感性分区原则一览表</w:t>
      </w:r>
    </w:p>
    <w:tbl>
      <w:tblPr>
        <w:tblStyle w:val="76"/>
        <w:tblW w:w="5000" w:type="pct"/>
        <w:jc w:val="center"/>
        <w:tblLayout w:type="autofit"/>
        <w:tblCellMar>
          <w:top w:w="0" w:type="dxa"/>
          <w:left w:w="10" w:type="dxa"/>
          <w:bottom w:w="0" w:type="dxa"/>
          <w:right w:w="10" w:type="dxa"/>
        </w:tblCellMar>
      </w:tblPr>
      <w:tblGrid>
        <w:gridCol w:w="1066"/>
        <w:gridCol w:w="8366"/>
      </w:tblGrid>
      <w:tr w14:paraId="7D7A1F01">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bottom"/>
          </w:tcPr>
          <w:p w14:paraId="453409D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敏感性</w:t>
            </w:r>
          </w:p>
        </w:tc>
        <w:tc>
          <w:tcPr>
            <w:tcW w:w="4435" w:type="pct"/>
            <w:tcBorders>
              <w:top w:val="single" w:color="auto" w:sz="4" w:space="0"/>
              <w:left w:val="single" w:color="auto" w:sz="4" w:space="0"/>
              <w:right w:val="single" w:color="auto" w:sz="4" w:space="0"/>
            </w:tcBorders>
            <w:vAlign w:val="bottom"/>
          </w:tcPr>
          <w:p w14:paraId="78695F4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地表水环境敏感特征</w:t>
            </w:r>
          </w:p>
        </w:tc>
      </w:tr>
      <w:tr w14:paraId="1B2D7F80">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center"/>
          </w:tcPr>
          <w:p w14:paraId="51046A5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敏感</w:t>
            </w:r>
            <w:r>
              <w:rPr>
                <w:color w:val="000000" w:themeColor="text1"/>
                <w:lang w:eastAsia="en-US" w:bidi="en-US"/>
                <w14:textFill>
                  <w14:solidFill>
                    <w14:schemeClr w14:val="tx1"/>
                  </w14:solidFill>
                </w14:textFill>
              </w:rPr>
              <w:t>F1</w:t>
            </w:r>
          </w:p>
        </w:tc>
        <w:tc>
          <w:tcPr>
            <w:tcW w:w="4435" w:type="pct"/>
            <w:tcBorders>
              <w:top w:val="single" w:color="auto" w:sz="4" w:space="0"/>
              <w:left w:val="single" w:color="auto" w:sz="4" w:space="0"/>
              <w:right w:val="single" w:color="auto" w:sz="4" w:space="0"/>
            </w:tcBorders>
            <w:vAlign w:val="bottom"/>
          </w:tcPr>
          <w:p w14:paraId="316F702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排放点进入地表水水域环境功能为II类及以上，或海水水质分类第一类；或以发生事故时，危险物质泄漏到水体的排放点算起，排放进入受纳河流最大流速时，</w:t>
            </w:r>
            <w:r>
              <w:rPr>
                <w:color w:val="000000" w:themeColor="text1"/>
                <w:lang w:bidi="en-US"/>
                <w14:textFill>
                  <w14:solidFill>
                    <w14:schemeClr w14:val="tx1"/>
                  </w14:solidFill>
                </w14:textFill>
              </w:rPr>
              <w:t>24h</w:t>
            </w:r>
            <w:r>
              <w:rPr>
                <w:color w:val="000000" w:themeColor="text1"/>
                <w:lang w:val="zh-CN" w:bidi="zh-CN"/>
                <w14:textFill>
                  <w14:solidFill>
                    <w14:schemeClr w14:val="tx1"/>
                  </w14:solidFill>
                </w14:textFill>
              </w:rPr>
              <w:t>流经范围内涉跨国界的</w:t>
            </w:r>
          </w:p>
        </w:tc>
      </w:tr>
      <w:tr w14:paraId="0825A0AE">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center"/>
          </w:tcPr>
          <w:p w14:paraId="3B811F5A">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较敏感</w:t>
            </w:r>
            <w:r>
              <w:rPr>
                <w:color w:val="000000" w:themeColor="text1"/>
                <w:lang w:eastAsia="en-US" w:bidi="en-US"/>
                <w14:textFill>
                  <w14:solidFill>
                    <w14:schemeClr w14:val="tx1"/>
                  </w14:solidFill>
                </w14:textFill>
              </w:rPr>
              <w:t>F2</w:t>
            </w:r>
          </w:p>
        </w:tc>
        <w:tc>
          <w:tcPr>
            <w:tcW w:w="4435" w:type="pct"/>
            <w:tcBorders>
              <w:top w:val="single" w:color="auto" w:sz="4" w:space="0"/>
              <w:left w:val="single" w:color="auto" w:sz="4" w:space="0"/>
              <w:right w:val="single" w:color="auto" w:sz="4" w:space="0"/>
            </w:tcBorders>
            <w:vAlign w:val="bottom"/>
          </w:tcPr>
          <w:p w14:paraId="639C8EF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排放点进入地表水水域环境功能为III类，或海水水质分类第二类；或以发生事故时，危险物质泄漏到水体的排放点算起，排放进入受纳河流最大流速时，24</w:t>
            </w:r>
            <w:r>
              <w:rPr>
                <w:color w:val="000000" w:themeColor="text1"/>
                <w:lang w:bidi="en-US"/>
                <w14:textFill>
                  <w14:solidFill>
                    <w14:schemeClr w14:val="tx1"/>
                  </w14:solidFill>
                </w14:textFill>
              </w:rPr>
              <w:t>h</w:t>
            </w:r>
            <w:r>
              <w:rPr>
                <w:color w:val="000000" w:themeColor="text1"/>
                <w:lang w:val="zh-CN" w:bidi="zh-CN"/>
                <w14:textFill>
                  <w14:solidFill>
                    <w14:schemeClr w14:val="tx1"/>
                  </w14:solidFill>
                </w14:textFill>
              </w:rPr>
              <w:t>流经范围内涉跨省界的</w:t>
            </w:r>
          </w:p>
        </w:tc>
      </w:tr>
      <w:tr w14:paraId="1BFD2785">
        <w:tblPrEx>
          <w:tblCellMar>
            <w:top w:w="0" w:type="dxa"/>
            <w:left w:w="10" w:type="dxa"/>
            <w:bottom w:w="0" w:type="dxa"/>
            <w:right w:w="10" w:type="dxa"/>
          </w:tblCellMar>
        </w:tblPrEx>
        <w:trPr>
          <w:jc w:val="center"/>
        </w:trPr>
        <w:tc>
          <w:tcPr>
            <w:tcW w:w="565" w:type="pct"/>
            <w:tcBorders>
              <w:top w:val="single" w:color="auto" w:sz="4" w:space="0"/>
              <w:left w:val="single" w:color="auto" w:sz="4" w:space="0"/>
              <w:bottom w:val="single" w:color="auto" w:sz="4" w:space="0"/>
            </w:tcBorders>
            <w:vAlign w:val="bottom"/>
          </w:tcPr>
          <w:p w14:paraId="2691EBD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低敏感</w:t>
            </w:r>
            <w:r>
              <w:rPr>
                <w:color w:val="000000" w:themeColor="text1"/>
                <w:lang w:eastAsia="en-US" w:bidi="en-US"/>
                <w14:textFill>
                  <w14:solidFill>
                    <w14:schemeClr w14:val="tx1"/>
                  </w14:solidFill>
                </w14:textFill>
              </w:rPr>
              <w:t>F3</w:t>
            </w:r>
          </w:p>
        </w:tc>
        <w:tc>
          <w:tcPr>
            <w:tcW w:w="4435" w:type="pct"/>
            <w:tcBorders>
              <w:top w:val="single" w:color="auto" w:sz="4" w:space="0"/>
              <w:left w:val="single" w:color="auto" w:sz="4" w:space="0"/>
              <w:bottom w:val="single" w:color="auto" w:sz="4" w:space="0"/>
              <w:right w:val="single" w:color="auto" w:sz="4" w:space="0"/>
            </w:tcBorders>
            <w:vAlign w:val="bottom"/>
          </w:tcPr>
          <w:p w14:paraId="471216B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上述地区之外的其他地区</w:t>
            </w:r>
          </w:p>
        </w:tc>
      </w:tr>
    </w:tbl>
    <w:p w14:paraId="59E1DB07">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环境敏感目标分级原则一览表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96"/>
        <w:gridCol w:w="8836"/>
      </w:tblGrid>
      <w:tr w14:paraId="4189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16" w:type="pct"/>
            <w:vAlign w:val="bottom"/>
          </w:tcPr>
          <w:p w14:paraId="489C80D9">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分级</w:t>
            </w:r>
          </w:p>
        </w:tc>
        <w:tc>
          <w:tcPr>
            <w:tcW w:w="4684" w:type="pct"/>
            <w:vAlign w:val="bottom"/>
          </w:tcPr>
          <w:p w14:paraId="3707CE7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环境敏感目标</w:t>
            </w:r>
          </w:p>
        </w:tc>
      </w:tr>
      <w:tr w14:paraId="6C22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16" w:type="pct"/>
            <w:vAlign w:val="center"/>
          </w:tcPr>
          <w:p w14:paraId="4D52058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S1</w:t>
            </w:r>
          </w:p>
        </w:tc>
        <w:tc>
          <w:tcPr>
            <w:tcW w:w="4684" w:type="pct"/>
            <w:vAlign w:val="bottom"/>
          </w:tcPr>
          <w:p w14:paraId="5EAB4929">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发生事故时，危险物质泄漏到内陆水体的排放点下游（顺水流向）10</w:t>
            </w:r>
            <w:r>
              <w:rPr>
                <w:color w:val="000000" w:themeColor="text1"/>
                <w:lang w:bidi="en-US"/>
                <w14:textFill>
                  <w14:solidFill>
                    <w14:schemeClr w14:val="tx1"/>
                  </w14:solidFill>
                </w14:textFill>
              </w:rPr>
              <w:t>km</w:t>
            </w:r>
            <w:r>
              <w:rPr>
                <w:color w:val="000000" w:themeColor="text1"/>
                <w:lang w:val="zh-CN" w:bidi="zh-CN"/>
                <w14:textFill>
                  <w14:solidFill>
                    <w14:schemeClr w14:val="tx1"/>
                  </w14:solidFill>
                </w14:textFill>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5818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16" w:type="pct"/>
            <w:vAlign w:val="center"/>
          </w:tcPr>
          <w:p w14:paraId="05CAF67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S2</w:t>
            </w:r>
          </w:p>
        </w:tc>
        <w:tc>
          <w:tcPr>
            <w:tcW w:w="4684" w:type="pct"/>
            <w:vAlign w:val="bottom"/>
          </w:tcPr>
          <w:p w14:paraId="565D65D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发生事故时，危险物质泄漏到内陆水体的排放点下游（顺水流向）10</w:t>
            </w:r>
            <w:r>
              <w:rPr>
                <w:color w:val="000000" w:themeColor="text1"/>
                <w:lang w:bidi="en-US"/>
                <w14:textFill>
                  <w14:solidFill>
                    <w14:schemeClr w14:val="tx1"/>
                  </w14:solidFill>
                </w14:textFill>
              </w:rPr>
              <w:t>km</w:t>
            </w:r>
            <w:r>
              <w:rPr>
                <w:color w:val="000000" w:themeColor="text1"/>
                <w:lang w:val="zh-CN" w:bidi="zh-CN"/>
                <w14:textFill>
                  <w14:solidFill>
                    <w14:schemeClr w14:val="tx1"/>
                  </w14:solidFill>
                </w14:textFill>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0B49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16" w:type="pct"/>
            <w:vAlign w:val="center"/>
          </w:tcPr>
          <w:p w14:paraId="39D5DE0C">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S3</w:t>
            </w:r>
          </w:p>
        </w:tc>
        <w:tc>
          <w:tcPr>
            <w:tcW w:w="4684" w:type="pct"/>
            <w:vAlign w:val="bottom"/>
          </w:tcPr>
          <w:p w14:paraId="5CB4486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排放点下游（顺水流向）10</w:t>
            </w:r>
            <w:r>
              <w:rPr>
                <w:color w:val="000000" w:themeColor="text1"/>
                <w:lang w:bidi="en-US"/>
                <w14:textFill>
                  <w14:solidFill>
                    <w14:schemeClr w14:val="tx1"/>
                  </w14:solidFill>
                </w14:textFill>
              </w:rPr>
              <w:t>km</w:t>
            </w:r>
            <w:r>
              <w:rPr>
                <w:color w:val="000000" w:themeColor="text1"/>
                <w:lang w:val="zh-CN" w:bidi="zh-CN"/>
                <w14:textFill>
                  <w14:solidFill>
                    <w14:schemeClr w14:val="tx1"/>
                  </w14:solidFill>
                </w14:textFill>
              </w:rPr>
              <w:t>范围、近岸海域一个潮周期水质点可能达到的最大水平距离的两倍范围内无上述类型1和类型2包括的敏感保护目标</w:t>
            </w:r>
          </w:p>
        </w:tc>
      </w:tr>
    </w:tbl>
    <w:p w14:paraId="1CABEF7F">
      <w:pPr>
        <w:ind w:firstLine="480"/>
        <w:rPr>
          <w:color w:val="000000" w:themeColor="text1"/>
          <w14:textFill>
            <w14:solidFill>
              <w14:schemeClr w14:val="tx1"/>
            </w14:solidFill>
          </w14:textFill>
        </w:rPr>
      </w:pPr>
      <w:r>
        <w:rPr>
          <w:color w:val="000000" w:themeColor="text1"/>
          <w14:textFill>
            <w14:solidFill>
              <w14:schemeClr w14:val="tx1"/>
            </w14:solidFill>
          </w14:textFill>
        </w:rPr>
        <w:t>根据项目工程分析，本项目发生事故时含泄漏危险物质的事故水输送到事故水池，不排入地表水体，距离地表水体较远。因此，本项目不考虑风险事故泄露危险物质对地表水体的影响。</w:t>
      </w:r>
    </w:p>
    <w:p w14:paraId="0B0F9642">
      <w:pPr>
        <w:ind w:firstLine="480"/>
        <w:rPr>
          <w:color w:val="000000" w:themeColor="text1"/>
          <w14:textFill>
            <w14:solidFill>
              <w14:schemeClr w14:val="tx1"/>
            </w14:solidFill>
          </w14:textFill>
        </w:rPr>
      </w:pPr>
      <w:r>
        <w:rPr>
          <w:color w:val="000000" w:themeColor="text1"/>
          <w14:textFill>
            <w14:solidFill>
              <w14:schemeClr w14:val="tx1"/>
            </w14:solidFill>
          </w14:textFill>
        </w:rPr>
        <w:t>（3）地下水环境敏感程度的确定</w:t>
      </w:r>
    </w:p>
    <w:p w14:paraId="70042183">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w:t>
      </w:r>
      <w:r>
        <w:rPr>
          <w:color w:val="000000" w:themeColor="text1"/>
          <w:lang w:bidi="en-US"/>
          <w14:textFill>
            <w14:solidFill>
              <w14:schemeClr w14:val="tx1"/>
            </w14:solidFill>
          </w14:textFill>
        </w:rPr>
        <w:t>（HJ169-2018）</w:t>
      </w:r>
      <w:r>
        <w:rPr>
          <w:color w:val="000000" w:themeColor="text1"/>
          <w14:textFill>
            <w14:solidFill>
              <w14:schemeClr w14:val="tx1"/>
            </w14:solidFill>
          </w14:textFill>
        </w:rPr>
        <w:t>附录</w:t>
      </w:r>
      <w:r>
        <w:rPr>
          <w:color w:val="000000" w:themeColor="text1"/>
          <w:lang w:bidi="en-US"/>
          <w14:textFill>
            <w14:solidFill>
              <w14:schemeClr w14:val="tx1"/>
            </w14:solidFill>
          </w14:textFill>
        </w:rPr>
        <w:t>D</w:t>
      </w:r>
      <w:r>
        <w:rPr>
          <w:color w:val="000000" w:themeColor="text1"/>
          <w14:textFill>
            <w14:solidFill>
              <w14:schemeClr w14:val="tx1"/>
            </w14:solidFill>
          </w14:textFill>
        </w:rPr>
        <w:t>的规定：项目所在区域地下水环境敏感程度依据地下水功能敏感性与包气带防污性能确定。区域地下水环境敏感程度共分为三种类型，</w:t>
      </w:r>
      <w:r>
        <w:rPr>
          <w:color w:val="000000" w:themeColor="text1"/>
          <w:lang w:bidi="en-US"/>
          <w14:textFill>
            <w14:solidFill>
              <w14:schemeClr w14:val="tx1"/>
            </w14:solidFill>
          </w14:textFill>
        </w:rPr>
        <w:t>E1</w:t>
      </w:r>
      <w:r>
        <w:rPr>
          <w:color w:val="000000" w:themeColor="text1"/>
          <w14:textFill>
            <w14:solidFill>
              <w14:schemeClr w14:val="tx1"/>
            </w14:solidFill>
          </w14:textFill>
        </w:rPr>
        <w:t>为环境高度敏感区，</w:t>
      </w:r>
      <w:r>
        <w:rPr>
          <w:color w:val="000000" w:themeColor="text1"/>
          <w:lang w:bidi="en-US"/>
          <w14:textFill>
            <w14:solidFill>
              <w14:schemeClr w14:val="tx1"/>
            </w14:solidFill>
          </w14:textFill>
        </w:rPr>
        <w:t>E2</w:t>
      </w:r>
      <w:r>
        <w:rPr>
          <w:color w:val="000000" w:themeColor="text1"/>
          <w14:textFill>
            <w14:solidFill>
              <w14:schemeClr w14:val="tx1"/>
            </w14:solidFill>
          </w14:textFill>
        </w:rPr>
        <w:t>为环境中度敏感区，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为环境低度敏感区。当同一建设项目涉及两个</w:t>
      </w:r>
      <w:r>
        <w:rPr>
          <w:color w:val="000000" w:themeColor="text1"/>
          <w:lang w:bidi="en-US"/>
          <w14:textFill>
            <w14:solidFill>
              <w14:schemeClr w14:val="tx1"/>
            </w14:solidFill>
          </w14:textFill>
        </w:rPr>
        <w:t>G</w:t>
      </w:r>
      <w:r>
        <w:rPr>
          <w:color w:val="000000" w:themeColor="text1"/>
          <w14:textFill>
            <w14:solidFill>
              <w14:schemeClr w14:val="tx1"/>
            </w14:solidFill>
          </w14:textFill>
        </w:rPr>
        <w:t>分区或</w:t>
      </w:r>
      <w:r>
        <w:rPr>
          <w:color w:val="000000" w:themeColor="text1"/>
          <w:lang w:bidi="en-US"/>
          <w14:textFill>
            <w14:solidFill>
              <w14:schemeClr w14:val="tx1"/>
            </w14:solidFill>
          </w14:textFill>
        </w:rPr>
        <w:t>D</w:t>
      </w:r>
      <w:r>
        <w:rPr>
          <w:color w:val="000000" w:themeColor="text1"/>
          <w14:textFill>
            <w14:solidFill>
              <w14:schemeClr w14:val="tx1"/>
            </w14:solidFill>
          </w14:textFill>
        </w:rPr>
        <w:t>分级及以上时，取相对值。</w:t>
      </w:r>
    </w:p>
    <w:p w14:paraId="69869FFD">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地下水环境敏感程度分级原则一览表</w:t>
      </w:r>
    </w:p>
    <w:tbl>
      <w:tblPr>
        <w:tblStyle w:val="76"/>
        <w:tblW w:w="5000" w:type="pct"/>
        <w:jc w:val="center"/>
        <w:tblLayout w:type="autofit"/>
        <w:tblCellMar>
          <w:top w:w="0" w:type="dxa"/>
          <w:left w:w="10" w:type="dxa"/>
          <w:bottom w:w="0" w:type="dxa"/>
          <w:right w:w="10" w:type="dxa"/>
        </w:tblCellMar>
      </w:tblPr>
      <w:tblGrid>
        <w:gridCol w:w="2164"/>
        <w:gridCol w:w="2550"/>
        <w:gridCol w:w="2354"/>
        <w:gridCol w:w="2364"/>
      </w:tblGrid>
      <w:tr w14:paraId="1A395ADA">
        <w:tblPrEx>
          <w:tblCellMar>
            <w:top w:w="0" w:type="dxa"/>
            <w:left w:w="10" w:type="dxa"/>
            <w:bottom w:w="0" w:type="dxa"/>
            <w:right w:w="10" w:type="dxa"/>
          </w:tblCellMar>
        </w:tblPrEx>
        <w:trPr>
          <w:jc w:val="center"/>
        </w:trPr>
        <w:tc>
          <w:tcPr>
            <w:tcW w:w="1147" w:type="pct"/>
            <w:vMerge w:val="restart"/>
            <w:tcBorders>
              <w:top w:val="single" w:color="auto" w:sz="4" w:space="0"/>
              <w:left w:val="single" w:color="auto" w:sz="4" w:space="0"/>
            </w:tcBorders>
            <w:vAlign w:val="center"/>
          </w:tcPr>
          <w:p w14:paraId="6CB4A16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包气带防污性能</w:t>
            </w:r>
          </w:p>
        </w:tc>
        <w:tc>
          <w:tcPr>
            <w:tcW w:w="3853" w:type="pct"/>
            <w:gridSpan w:val="3"/>
            <w:tcBorders>
              <w:top w:val="single" w:color="auto" w:sz="4" w:space="0"/>
              <w:left w:val="single" w:color="auto" w:sz="4" w:space="0"/>
              <w:right w:val="single" w:color="auto" w:sz="4" w:space="0"/>
            </w:tcBorders>
            <w:vAlign w:val="bottom"/>
          </w:tcPr>
          <w:p w14:paraId="68A19761">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地下水功能敏感性</w:t>
            </w:r>
          </w:p>
        </w:tc>
      </w:tr>
      <w:tr w14:paraId="0CED7999">
        <w:tblPrEx>
          <w:tblCellMar>
            <w:top w:w="0" w:type="dxa"/>
            <w:left w:w="10" w:type="dxa"/>
            <w:bottom w:w="0" w:type="dxa"/>
            <w:right w:w="10" w:type="dxa"/>
          </w:tblCellMar>
        </w:tblPrEx>
        <w:trPr>
          <w:jc w:val="center"/>
        </w:trPr>
        <w:tc>
          <w:tcPr>
            <w:tcW w:w="1147" w:type="pct"/>
            <w:vMerge w:val="continue"/>
            <w:tcBorders>
              <w:left w:val="single" w:color="auto" w:sz="4" w:space="0"/>
            </w:tcBorders>
            <w:vAlign w:val="center"/>
          </w:tcPr>
          <w:p w14:paraId="255F2547">
            <w:pPr>
              <w:pStyle w:val="109"/>
              <w:rPr>
                <w:color w:val="000000" w:themeColor="text1"/>
                <w14:textFill>
                  <w14:solidFill>
                    <w14:schemeClr w14:val="tx1"/>
                  </w14:solidFill>
                </w14:textFill>
              </w:rPr>
            </w:pPr>
          </w:p>
        </w:tc>
        <w:tc>
          <w:tcPr>
            <w:tcW w:w="1352" w:type="pct"/>
            <w:tcBorders>
              <w:top w:val="single" w:color="auto" w:sz="4" w:space="0"/>
              <w:left w:val="single" w:color="auto" w:sz="4" w:space="0"/>
            </w:tcBorders>
            <w:vAlign w:val="bottom"/>
          </w:tcPr>
          <w:p w14:paraId="4E25E497">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G1</w:t>
            </w:r>
          </w:p>
        </w:tc>
        <w:tc>
          <w:tcPr>
            <w:tcW w:w="1248" w:type="pct"/>
            <w:tcBorders>
              <w:top w:val="single" w:color="auto" w:sz="4" w:space="0"/>
              <w:left w:val="single" w:color="auto" w:sz="4" w:space="0"/>
            </w:tcBorders>
            <w:vAlign w:val="bottom"/>
          </w:tcPr>
          <w:p w14:paraId="1EBF5FDB">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G2</w:t>
            </w:r>
          </w:p>
        </w:tc>
        <w:tc>
          <w:tcPr>
            <w:tcW w:w="1254" w:type="pct"/>
            <w:tcBorders>
              <w:top w:val="single" w:color="auto" w:sz="4" w:space="0"/>
              <w:left w:val="single" w:color="auto" w:sz="4" w:space="0"/>
              <w:right w:val="single" w:color="auto" w:sz="4" w:space="0"/>
            </w:tcBorders>
            <w:vAlign w:val="bottom"/>
          </w:tcPr>
          <w:p w14:paraId="2ECD16B9">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G3</w:t>
            </w:r>
          </w:p>
        </w:tc>
      </w:tr>
      <w:tr w14:paraId="68F04DC8">
        <w:tblPrEx>
          <w:tblCellMar>
            <w:top w:w="0" w:type="dxa"/>
            <w:left w:w="10" w:type="dxa"/>
            <w:bottom w:w="0" w:type="dxa"/>
            <w:right w:w="10" w:type="dxa"/>
          </w:tblCellMar>
        </w:tblPrEx>
        <w:trPr>
          <w:jc w:val="center"/>
        </w:trPr>
        <w:tc>
          <w:tcPr>
            <w:tcW w:w="1147" w:type="pct"/>
            <w:tcBorders>
              <w:top w:val="single" w:color="auto" w:sz="4" w:space="0"/>
              <w:left w:val="single" w:color="auto" w:sz="4" w:space="0"/>
            </w:tcBorders>
            <w:vAlign w:val="bottom"/>
          </w:tcPr>
          <w:p w14:paraId="0D5E9383">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D1</w:t>
            </w:r>
          </w:p>
        </w:tc>
        <w:tc>
          <w:tcPr>
            <w:tcW w:w="1352" w:type="pct"/>
            <w:tcBorders>
              <w:top w:val="single" w:color="auto" w:sz="4" w:space="0"/>
              <w:left w:val="single" w:color="auto" w:sz="4" w:space="0"/>
            </w:tcBorders>
            <w:vAlign w:val="bottom"/>
          </w:tcPr>
          <w:p w14:paraId="004DD38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tcBorders>
            <w:vAlign w:val="bottom"/>
          </w:tcPr>
          <w:p w14:paraId="44B8615E">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54" w:type="pct"/>
            <w:tcBorders>
              <w:top w:val="single" w:color="auto" w:sz="4" w:space="0"/>
              <w:left w:val="single" w:color="auto" w:sz="4" w:space="0"/>
              <w:right w:val="single" w:color="auto" w:sz="4" w:space="0"/>
            </w:tcBorders>
            <w:vAlign w:val="bottom"/>
          </w:tcPr>
          <w:p w14:paraId="707C3AF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r>
      <w:tr w14:paraId="436D5F3E">
        <w:tblPrEx>
          <w:tblCellMar>
            <w:top w:w="0" w:type="dxa"/>
            <w:left w:w="10" w:type="dxa"/>
            <w:bottom w:w="0" w:type="dxa"/>
            <w:right w:w="10" w:type="dxa"/>
          </w:tblCellMar>
        </w:tblPrEx>
        <w:trPr>
          <w:jc w:val="center"/>
        </w:trPr>
        <w:tc>
          <w:tcPr>
            <w:tcW w:w="1147" w:type="pct"/>
            <w:tcBorders>
              <w:top w:val="single" w:color="auto" w:sz="4" w:space="0"/>
              <w:left w:val="single" w:color="auto" w:sz="4" w:space="0"/>
            </w:tcBorders>
            <w:vAlign w:val="bottom"/>
          </w:tcPr>
          <w:p w14:paraId="65E4E951">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D2</w:t>
            </w:r>
          </w:p>
        </w:tc>
        <w:tc>
          <w:tcPr>
            <w:tcW w:w="1352" w:type="pct"/>
            <w:tcBorders>
              <w:top w:val="single" w:color="auto" w:sz="4" w:space="0"/>
              <w:left w:val="single" w:color="auto" w:sz="4" w:space="0"/>
            </w:tcBorders>
            <w:vAlign w:val="bottom"/>
          </w:tcPr>
          <w:p w14:paraId="19D7A557">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E1</w:t>
            </w:r>
          </w:p>
        </w:tc>
        <w:tc>
          <w:tcPr>
            <w:tcW w:w="1248" w:type="pct"/>
            <w:tcBorders>
              <w:top w:val="single" w:color="auto" w:sz="4" w:space="0"/>
              <w:left w:val="single" w:color="auto" w:sz="4" w:space="0"/>
            </w:tcBorders>
            <w:vAlign w:val="bottom"/>
          </w:tcPr>
          <w:p w14:paraId="00EEB714">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1254" w:type="pct"/>
            <w:tcBorders>
              <w:top w:val="single" w:color="auto" w:sz="4" w:space="0"/>
              <w:left w:val="single" w:color="auto" w:sz="4" w:space="0"/>
              <w:right w:val="single" w:color="auto" w:sz="4" w:space="0"/>
            </w:tcBorders>
            <w:vAlign w:val="bottom"/>
          </w:tcPr>
          <w:p w14:paraId="60F21DC8">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r>
      <w:tr w14:paraId="2236B65C">
        <w:tblPrEx>
          <w:tblCellMar>
            <w:top w:w="0" w:type="dxa"/>
            <w:left w:w="10" w:type="dxa"/>
            <w:bottom w:w="0" w:type="dxa"/>
            <w:right w:w="10" w:type="dxa"/>
          </w:tblCellMar>
        </w:tblPrEx>
        <w:trPr>
          <w:jc w:val="center"/>
        </w:trPr>
        <w:tc>
          <w:tcPr>
            <w:tcW w:w="1147" w:type="pct"/>
            <w:tcBorders>
              <w:top w:val="single" w:color="auto" w:sz="4" w:space="0"/>
              <w:left w:val="single" w:color="auto" w:sz="4" w:space="0"/>
              <w:bottom w:val="single" w:color="auto" w:sz="4" w:space="0"/>
            </w:tcBorders>
            <w:vAlign w:val="bottom"/>
          </w:tcPr>
          <w:p w14:paraId="55EBADCE">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D3</w:t>
            </w:r>
          </w:p>
        </w:tc>
        <w:tc>
          <w:tcPr>
            <w:tcW w:w="1352" w:type="pct"/>
            <w:tcBorders>
              <w:top w:val="single" w:color="auto" w:sz="4" w:space="0"/>
              <w:left w:val="single" w:color="auto" w:sz="4" w:space="0"/>
              <w:bottom w:val="single" w:color="auto" w:sz="4" w:space="0"/>
            </w:tcBorders>
            <w:vAlign w:val="bottom"/>
          </w:tcPr>
          <w:p w14:paraId="4D77A15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E2</w:t>
            </w:r>
          </w:p>
        </w:tc>
        <w:tc>
          <w:tcPr>
            <w:tcW w:w="1248" w:type="pct"/>
            <w:tcBorders>
              <w:top w:val="single" w:color="auto" w:sz="4" w:space="0"/>
              <w:left w:val="single" w:color="auto" w:sz="4" w:space="0"/>
              <w:bottom w:val="single" w:color="auto" w:sz="4" w:space="0"/>
            </w:tcBorders>
            <w:vAlign w:val="bottom"/>
          </w:tcPr>
          <w:p w14:paraId="0175307F">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c>
          <w:tcPr>
            <w:tcW w:w="1254" w:type="pct"/>
            <w:tcBorders>
              <w:top w:val="single" w:color="auto" w:sz="4" w:space="0"/>
              <w:left w:val="single" w:color="auto" w:sz="4" w:space="0"/>
              <w:bottom w:val="single" w:color="auto" w:sz="4" w:space="0"/>
              <w:right w:val="single" w:color="auto" w:sz="4" w:space="0"/>
            </w:tcBorders>
            <w:vAlign w:val="bottom"/>
          </w:tcPr>
          <w:p w14:paraId="07D219DC">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E3</w:t>
            </w:r>
          </w:p>
        </w:tc>
      </w:tr>
    </w:tbl>
    <w:p w14:paraId="27FEB78F">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地下水功能敏感性分区原则一览表</w:t>
      </w:r>
    </w:p>
    <w:tbl>
      <w:tblPr>
        <w:tblStyle w:val="76"/>
        <w:tblW w:w="5000" w:type="pct"/>
        <w:jc w:val="center"/>
        <w:tblLayout w:type="autofit"/>
        <w:tblCellMar>
          <w:top w:w="0" w:type="dxa"/>
          <w:left w:w="10" w:type="dxa"/>
          <w:bottom w:w="0" w:type="dxa"/>
          <w:right w:w="10" w:type="dxa"/>
        </w:tblCellMar>
      </w:tblPr>
      <w:tblGrid>
        <w:gridCol w:w="975"/>
        <w:gridCol w:w="8457"/>
      </w:tblGrid>
      <w:tr w14:paraId="2841C7B1">
        <w:tblPrEx>
          <w:tblCellMar>
            <w:top w:w="0" w:type="dxa"/>
            <w:left w:w="10" w:type="dxa"/>
            <w:bottom w:w="0" w:type="dxa"/>
            <w:right w:w="10" w:type="dxa"/>
          </w:tblCellMar>
        </w:tblPrEx>
        <w:trPr>
          <w:jc w:val="center"/>
        </w:trPr>
        <w:tc>
          <w:tcPr>
            <w:tcW w:w="517" w:type="pct"/>
            <w:tcBorders>
              <w:top w:val="single" w:color="auto" w:sz="4" w:space="0"/>
              <w:left w:val="single" w:color="auto" w:sz="4" w:space="0"/>
            </w:tcBorders>
            <w:vAlign w:val="bottom"/>
          </w:tcPr>
          <w:p w14:paraId="71D4B9C2">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分级</w:t>
            </w:r>
          </w:p>
        </w:tc>
        <w:tc>
          <w:tcPr>
            <w:tcW w:w="4483" w:type="pct"/>
            <w:tcBorders>
              <w:top w:val="single" w:color="auto" w:sz="4" w:space="0"/>
              <w:left w:val="single" w:color="auto" w:sz="4" w:space="0"/>
              <w:right w:val="single" w:color="auto" w:sz="4" w:space="0"/>
            </w:tcBorders>
            <w:vAlign w:val="bottom"/>
          </w:tcPr>
          <w:p w14:paraId="08E730A4">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地下水环境敏感特征</w:t>
            </w:r>
          </w:p>
        </w:tc>
      </w:tr>
      <w:tr w14:paraId="5B304BF6">
        <w:tblPrEx>
          <w:tblCellMar>
            <w:top w:w="0" w:type="dxa"/>
            <w:left w:w="10" w:type="dxa"/>
            <w:bottom w:w="0" w:type="dxa"/>
            <w:right w:w="10" w:type="dxa"/>
          </w:tblCellMar>
        </w:tblPrEx>
        <w:trPr>
          <w:jc w:val="center"/>
        </w:trPr>
        <w:tc>
          <w:tcPr>
            <w:tcW w:w="517" w:type="pct"/>
            <w:tcBorders>
              <w:top w:val="single" w:color="auto" w:sz="4" w:space="0"/>
              <w:left w:val="single" w:color="auto" w:sz="4" w:space="0"/>
            </w:tcBorders>
            <w:vAlign w:val="center"/>
          </w:tcPr>
          <w:p w14:paraId="7E96890B">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敏感</w:t>
            </w:r>
            <w:r>
              <w:rPr>
                <w:color w:val="000000" w:themeColor="text1"/>
                <w:lang w:eastAsia="en-US" w:bidi="en-US"/>
                <w14:textFill>
                  <w14:solidFill>
                    <w14:schemeClr w14:val="tx1"/>
                  </w14:solidFill>
                </w14:textFill>
              </w:rPr>
              <w:t>G1</w:t>
            </w:r>
          </w:p>
        </w:tc>
        <w:tc>
          <w:tcPr>
            <w:tcW w:w="4483" w:type="pct"/>
            <w:tcBorders>
              <w:top w:val="single" w:color="auto" w:sz="4" w:space="0"/>
              <w:left w:val="single" w:color="auto" w:sz="4" w:space="0"/>
              <w:right w:val="single" w:color="auto" w:sz="4" w:space="0"/>
            </w:tcBorders>
            <w:vAlign w:val="bottom"/>
          </w:tcPr>
          <w:p w14:paraId="70147097">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6ED0A4FE">
        <w:tblPrEx>
          <w:tblCellMar>
            <w:top w:w="0" w:type="dxa"/>
            <w:left w:w="10" w:type="dxa"/>
            <w:bottom w:w="0" w:type="dxa"/>
            <w:right w:w="10" w:type="dxa"/>
          </w:tblCellMar>
        </w:tblPrEx>
        <w:trPr>
          <w:jc w:val="center"/>
        </w:trPr>
        <w:tc>
          <w:tcPr>
            <w:tcW w:w="517" w:type="pct"/>
            <w:tcBorders>
              <w:top w:val="single" w:color="auto" w:sz="4" w:space="0"/>
              <w:left w:val="single" w:color="auto" w:sz="4" w:space="0"/>
            </w:tcBorders>
            <w:vAlign w:val="center"/>
          </w:tcPr>
          <w:p w14:paraId="66DF06F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较敏感</w:t>
            </w:r>
            <w:r>
              <w:rPr>
                <w:color w:val="000000" w:themeColor="text1"/>
                <w:lang w:eastAsia="en-US" w:bidi="en-US"/>
                <w14:textFill>
                  <w14:solidFill>
                    <w14:schemeClr w14:val="tx1"/>
                  </w14:solidFill>
                </w14:textFill>
              </w:rPr>
              <w:t>G2</w:t>
            </w:r>
          </w:p>
        </w:tc>
        <w:tc>
          <w:tcPr>
            <w:tcW w:w="4483" w:type="pct"/>
            <w:tcBorders>
              <w:top w:val="single" w:color="auto" w:sz="4" w:space="0"/>
              <w:left w:val="single" w:color="auto" w:sz="4" w:space="0"/>
              <w:right w:val="single" w:color="auto" w:sz="4" w:space="0"/>
            </w:tcBorders>
            <w:vAlign w:val="bottom"/>
          </w:tcPr>
          <w:p w14:paraId="151C03F6">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p>
        </w:tc>
      </w:tr>
      <w:tr w14:paraId="7D155B1C">
        <w:tblPrEx>
          <w:tblCellMar>
            <w:top w:w="0" w:type="dxa"/>
            <w:left w:w="10" w:type="dxa"/>
            <w:bottom w:w="0" w:type="dxa"/>
            <w:right w:w="10" w:type="dxa"/>
          </w:tblCellMar>
        </w:tblPrEx>
        <w:trPr>
          <w:jc w:val="center"/>
        </w:trPr>
        <w:tc>
          <w:tcPr>
            <w:tcW w:w="517" w:type="pct"/>
            <w:tcBorders>
              <w:top w:val="single" w:color="auto" w:sz="4" w:space="0"/>
              <w:left w:val="single" w:color="auto" w:sz="4" w:space="0"/>
            </w:tcBorders>
            <w:vAlign w:val="bottom"/>
          </w:tcPr>
          <w:p w14:paraId="5556A00E">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不敏感</w:t>
            </w:r>
            <w:r>
              <w:rPr>
                <w:color w:val="000000" w:themeColor="text1"/>
                <w:lang w:eastAsia="en-US" w:bidi="en-US"/>
                <w14:textFill>
                  <w14:solidFill>
                    <w14:schemeClr w14:val="tx1"/>
                  </w14:solidFill>
                </w14:textFill>
              </w:rPr>
              <w:t>G3</w:t>
            </w:r>
          </w:p>
        </w:tc>
        <w:tc>
          <w:tcPr>
            <w:tcW w:w="4483" w:type="pct"/>
            <w:tcBorders>
              <w:top w:val="single" w:color="auto" w:sz="4" w:space="0"/>
              <w:left w:val="single" w:color="auto" w:sz="4" w:space="0"/>
              <w:right w:val="single" w:color="auto" w:sz="4" w:space="0"/>
            </w:tcBorders>
            <w:vAlign w:val="bottom"/>
          </w:tcPr>
          <w:p w14:paraId="7747159F">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上述地区之外的其他地区</w:t>
            </w:r>
          </w:p>
        </w:tc>
      </w:tr>
      <w:tr w14:paraId="5D71C958">
        <w:tblPrEx>
          <w:tblCellMar>
            <w:top w:w="0" w:type="dxa"/>
            <w:left w:w="10" w:type="dxa"/>
            <w:bottom w:w="0" w:type="dxa"/>
            <w:right w:w="10"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cBorders>
            <w:vAlign w:val="bottom"/>
          </w:tcPr>
          <w:p w14:paraId="3755462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环境敏感区”是指《建设项目环境影响评价分类管理名录》中所界定的涉及地下水的环境敏感区</w:t>
            </w:r>
          </w:p>
        </w:tc>
      </w:tr>
    </w:tbl>
    <w:p w14:paraId="71461A1F">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包气带防污性能分级原则一览表</w:t>
      </w:r>
    </w:p>
    <w:tbl>
      <w:tblPr>
        <w:tblStyle w:val="76"/>
        <w:tblW w:w="5000" w:type="pct"/>
        <w:jc w:val="center"/>
        <w:tblLayout w:type="autofit"/>
        <w:tblCellMar>
          <w:top w:w="0" w:type="dxa"/>
          <w:left w:w="10" w:type="dxa"/>
          <w:bottom w:w="0" w:type="dxa"/>
          <w:right w:w="10" w:type="dxa"/>
        </w:tblCellMar>
      </w:tblPr>
      <w:tblGrid>
        <w:gridCol w:w="1066"/>
        <w:gridCol w:w="8366"/>
      </w:tblGrid>
      <w:tr w14:paraId="22C06C22">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bottom"/>
          </w:tcPr>
          <w:p w14:paraId="2964F95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分级</w:t>
            </w:r>
          </w:p>
        </w:tc>
        <w:tc>
          <w:tcPr>
            <w:tcW w:w="4435" w:type="pct"/>
            <w:tcBorders>
              <w:top w:val="single" w:color="auto" w:sz="4" w:space="0"/>
              <w:left w:val="single" w:color="auto" w:sz="4" w:space="0"/>
              <w:right w:val="single" w:color="auto" w:sz="4" w:space="0"/>
            </w:tcBorders>
            <w:vAlign w:val="bottom"/>
          </w:tcPr>
          <w:p w14:paraId="21BE75F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包气带岩土的渗透性能</w:t>
            </w:r>
          </w:p>
        </w:tc>
      </w:tr>
      <w:tr w14:paraId="6D1BD926">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bottom"/>
          </w:tcPr>
          <w:p w14:paraId="4B01214D">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D3</w:t>
            </w:r>
          </w:p>
        </w:tc>
        <w:tc>
          <w:tcPr>
            <w:tcW w:w="4435" w:type="pct"/>
            <w:tcBorders>
              <w:top w:val="single" w:color="auto" w:sz="4" w:space="0"/>
              <w:left w:val="single" w:color="auto" w:sz="4" w:space="0"/>
              <w:right w:val="single" w:color="auto" w:sz="4" w:space="0"/>
            </w:tcBorders>
            <w:vAlign w:val="bottom"/>
          </w:tcPr>
          <w:p w14:paraId="056775B8">
            <w:pPr>
              <w:pStyle w:val="109"/>
              <w:rPr>
                <w:color w:val="000000" w:themeColor="text1"/>
                <w14:textFill>
                  <w14:solidFill>
                    <w14:schemeClr w14:val="tx1"/>
                  </w14:solidFill>
                </w14:textFill>
              </w:rPr>
            </w:pPr>
            <w:r>
              <w:rPr>
                <w:color w:val="000000" w:themeColor="text1"/>
                <w:lang w:bidi="en-US"/>
                <w14:textFill>
                  <w14:solidFill>
                    <w14:schemeClr w14:val="tx1"/>
                  </w14:solidFill>
                </w14:textFill>
              </w:rPr>
              <w:t>Mb≥1.0m，K≤1.0×10</w:t>
            </w:r>
            <w:r>
              <w:rPr>
                <w:color w:val="000000" w:themeColor="text1"/>
                <w:vertAlign w:val="superscript"/>
                <w:lang w:bidi="en-US"/>
                <w14:textFill>
                  <w14:solidFill>
                    <w14:schemeClr w14:val="tx1"/>
                  </w14:solidFill>
                </w14:textFill>
              </w:rPr>
              <w:t>-6</w:t>
            </w:r>
            <w:r>
              <w:rPr>
                <w:color w:val="000000" w:themeColor="text1"/>
                <w:lang w:bidi="en-US"/>
                <w14:textFill>
                  <w14:solidFill>
                    <w14:schemeClr w14:val="tx1"/>
                  </w14:solidFill>
                </w14:textFill>
              </w:rPr>
              <w:t>cm/s，且分布连续、稳定</w:t>
            </w:r>
          </w:p>
        </w:tc>
      </w:tr>
      <w:tr w14:paraId="4DFC4077">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center"/>
          </w:tcPr>
          <w:p w14:paraId="606687AE">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D2</w:t>
            </w:r>
          </w:p>
        </w:tc>
        <w:tc>
          <w:tcPr>
            <w:tcW w:w="4435" w:type="pct"/>
            <w:tcBorders>
              <w:top w:val="single" w:color="auto" w:sz="4" w:space="0"/>
              <w:left w:val="single" w:color="auto" w:sz="4" w:space="0"/>
              <w:right w:val="single" w:color="auto" w:sz="4" w:space="0"/>
            </w:tcBorders>
            <w:vAlign w:val="bottom"/>
          </w:tcPr>
          <w:p w14:paraId="5870083C">
            <w:pPr>
              <w:pStyle w:val="109"/>
              <w:rPr>
                <w:color w:val="000000" w:themeColor="text1"/>
                <w:lang w:bidi="en-US"/>
                <w14:textFill>
                  <w14:solidFill>
                    <w14:schemeClr w14:val="tx1"/>
                  </w14:solidFill>
                </w14:textFill>
              </w:rPr>
            </w:pPr>
            <w:r>
              <w:rPr>
                <w:color w:val="000000" w:themeColor="text1"/>
                <w:lang w:bidi="en-US"/>
                <w14:textFill>
                  <w14:solidFill>
                    <w14:schemeClr w14:val="tx1"/>
                  </w14:solidFill>
                </w14:textFill>
              </w:rPr>
              <w:t>0.5m≤Mb&lt;1.0m，K≤1.0×10</w:t>
            </w:r>
            <w:r>
              <w:rPr>
                <w:color w:val="000000" w:themeColor="text1"/>
                <w:vertAlign w:val="superscript"/>
                <w:lang w:bidi="en-US"/>
                <w14:textFill>
                  <w14:solidFill>
                    <w14:schemeClr w14:val="tx1"/>
                  </w14:solidFill>
                </w14:textFill>
              </w:rPr>
              <w:t>-6</w:t>
            </w:r>
            <w:r>
              <w:rPr>
                <w:color w:val="000000" w:themeColor="text1"/>
                <w:lang w:bidi="en-US"/>
                <w14:textFill>
                  <w14:solidFill>
                    <w14:schemeClr w14:val="tx1"/>
                  </w14:solidFill>
                </w14:textFill>
              </w:rPr>
              <w:t>cm/s，且分布连续、稳定</w:t>
            </w:r>
          </w:p>
          <w:p w14:paraId="5CF8C075">
            <w:pPr>
              <w:pStyle w:val="109"/>
              <w:rPr>
                <w:color w:val="000000" w:themeColor="text1"/>
                <w14:textFill>
                  <w14:solidFill>
                    <w14:schemeClr w14:val="tx1"/>
                  </w14:solidFill>
                </w14:textFill>
              </w:rPr>
            </w:pPr>
            <w:r>
              <w:rPr>
                <w:color w:val="000000" w:themeColor="text1"/>
                <w:lang w:bidi="en-US"/>
                <w14:textFill>
                  <w14:solidFill>
                    <w14:schemeClr w14:val="tx1"/>
                  </w14:solidFill>
                </w14:textFill>
              </w:rPr>
              <w:t>Mb≥1.0m，1.0×10</w:t>
            </w:r>
            <w:r>
              <w:rPr>
                <w:color w:val="000000" w:themeColor="text1"/>
                <w:vertAlign w:val="superscript"/>
                <w:lang w:bidi="en-US"/>
                <w14:textFill>
                  <w14:solidFill>
                    <w14:schemeClr w14:val="tx1"/>
                  </w14:solidFill>
                </w14:textFill>
              </w:rPr>
              <w:t>-6</w:t>
            </w:r>
            <w:r>
              <w:rPr>
                <w:color w:val="000000" w:themeColor="text1"/>
                <w:lang w:bidi="en-US"/>
                <w14:textFill>
                  <w14:solidFill>
                    <w14:schemeClr w14:val="tx1"/>
                  </w14:solidFill>
                </w14:textFill>
              </w:rPr>
              <w:t>cm/s＜K≤1.0×10</w:t>
            </w:r>
            <w:r>
              <w:rPr>
                <w:color w:val="000000" w:themeColor="text1"/>
                <w:vertAlign w:val="superscript"/>
                <w:lang w:bidi="en-US"/>
                <w14:textFill>
                  <w14:solidFill>
                    <w14:schemeClr w14:val="tx1"/>
                  </w14:solidFill>
                </w14:textFill>
              </w:rPr>
              <w:t>-4</w:t>
            </w:r>
            <w:r>
              <w:rPr>
                <w:color w:val="000000" w:themeColor="text1"/>
                <w:lang w:bidi="en-US"/>
                <w14:textFill>
                  <w14:solidFill>
                    <w14:schemeClr w14:val="tx1"/>
                  </w14:solidFill>
                </w14:textFill>
              </w:rPr>
              <w:t>cm/s，且分布连续、稳定</w:t>
            </w:r>
          </w:p>
        </w:tc>
      </w:tr>
      <w:tr w14:paraId="734C98D4">
        <w:tblPrEx>
          <w:tblCellMar>
            <w:top w:w="0" w:type="dxa"/>
            <w:left w:w="10" w:type="dxa"/>
            <w:bottom w:w="0" w:type="dxa"/>
            <w:right w:w="10" w:type="dxa"/>
          </w:tblCellMar>
        </w:tblPrEx>
        <w:trPr>
          <w:jc w:val="center"/>
        </w:trPr>
        <w:tc>
          <w:tcPr>
            <w:tcW w:w="565" w:type="pct"/>
            <w:tcBorders>
              <w:top w:val="single" w:color="auto" w:sz="4" w:space="0"/>
              <w:left w:val="single" w:color="auto" w:sz="4" w:space="0"/>
            </w:tcBorders>
            <w:vAlign w:val="bottom"/>
          </w:tcPr>
          <w:p w14:paraId="6141E7A6">
            <w:pPr>
              <w:pStyle w:val="109"/>
              <w:rPr>
                <w:color w:val="000000" w:themeColor="text1"/>
                <w14:textFill>
                  <w14:solidFill>
                    <w14:schemeClr w14:val="tx1"/>
                  </w14:solidFill>
                </w14:textFill>
              </w:rPr>
            </w:pPr>
            <w:r>
              <w:rPr>
                <w:color w:val="000000" w:themeColor="text1"/>
                <w:lang w:eastAsia="en-US" w:bidi="en-US"/>
                <w14:textFill>
                  <w14:solidFill>
                    <w14:schemeClr w14:val="tx1"/>
                  </w14:solidFill>
                </w14:textFill>
              </w:rPr>
              <w:t>D1</w:t>
            </w:r>
          </w:p>
        </w:tc>
        <w:tc>
          <w:tcPr>
            <w:tcW w:w="4435" w:type="pct"/>
            <w:tcBorders>
              <w:top w:val="single" w:color="auto" w:sz="4" w:space="0"/>
              <w:left w:val="single" w:color="auto" w:sz="4" w:space="0"/>
              <w:right w:val="single" w:color="auto" w:sz="4" w:space="0"/>
            </w:tcBorders>
            <w:vAlign w:val="bottom"/>
          </w:tcPr>
          <w:p w14:paraId="3860C404">
            <w:pPr>
              <w:pStyle w:val="109"/>
              <w:rPr>
                <w:color w:val="000000" w:themeColor="text1"/>
                <w14:textFill>
                  <w14:solidFill>
                    <w14:schemeClr w14:val="tx1"/>
                  </w14:solidFill>
                </w14:textFill>
              </w:rPr>
            </w:pPr>
            <w:r>
              <w:rPr>
                <w:color w:val="000000" w:themeColor="text1"/>
                <w:lang w:bidi="zh-CN"/>
                <w14:textFill>
                  <w14:solidFill>
                    <w14:schemeClr w14:val="tx1"/>
                  </w14:solidFill>
                </w14:textFill>
              </w:rPr>
              <w:t>岩（土）层不满足上述“D2”和“D3”条件</w:t>
            </w:r>
          </w:p>
        </w:tc>
      </w:tr>
      <w:tr w14:paraId="196570F1">
        <w:tblPrEx>
          <w:tblCellMar>
            <w:top w:w="0" w:type="dxa"/>
            <w:left w:w="10" w:type="dxa"/>
            <w:bottom w:w="0" w:type="dxa"/>
            <w:right w:w="10"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cBorders>
            <w:vAlign w:val="bottom"/>
          </w:tcPr>
          <w:p w14:paraId="5C8FF2E0">
            <w:pPr>
              <w:pStyle w:val="109"/>
              <w:rPr>
                <w:color w:val="000000" w:themeColor="text1"/>
                <w14:textFill>
                  <w14:solidFill>
                    <w14:schemeClr w14:val="tx1"/>
                  </w14:solidFill>
                </w14:textFill>
              </w:rPr>
            </w:pPr>
            <w:r>
              <w:rPr>
                <w:color w:val="000000" w:themeColor="text1"/>
                <w:lang w:bidi="en-US"/>
                <w14:textFill>
                  <w14:solidFill>
                    <w14:schemeClr w14:val="tx1"/>
                  </w14:solidFill>
                </w14:textFill>
              </w:rPr>
              <w:t>Mb：岩土层单层厚度。K：渗透系数。</w:t>
            </w:r>
          </w:p>
        </w:tc>
      </w:tr>
    </w:tbl>
    <w:p w14:paraId="63AA80C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位于</w:t>
      </w:r>
      <w:r>
        <w:rPr>
          <w:color w:val="000000" w:themeColor="text1"/>
          <w14:textFill>
            <w14:solidFill>
              <w14:schemeClr w14:val="tx1"/>
            </w14:solidFill>
          </w14:textFill>
        </w:rPr>
        <w:t>乌鲁木齐甘泉堡经济技术开发区（工业区）化工园区，占地为工业园区规划的工业用地，项目与所在区域地下水无水力联系，不是集中式饮用水水源（包括已建成的在用、备用、应急水源，在建和规划的饮用水水源）准保护区和补给径流区，周边水井不作为饮用水井，不是分散式水源地，根据</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的判定依据，本项目所在区域地下水功能敏感性为“不敏感</w:t>
      </w:r>
      <w:r>
        <w:rPr>
          <w:color w:val="000000" w:themeColor="text1"/>
          <w:lang w:bidi="en-US"/>
          <w14:textFill>
            <w14:solidFill>
              <w14:schemeClr w14:val="tx1"/>
            </w14:solidFill>
          </w14:textFill>
        </w:rPr>
        <w:t>G3”。</w:t>
      </w:r>
    </w:p>
    <w:p w14:paraId="1F1C1B9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调查，项目周边地区无集中式饮用水水源准保护区、无与地下水环境相关的其他保护区、无准保护区以外的补给径流区等；项目地区地层包气带主要以风积砂、砂砾石、粉质粘土组成，岩土的渗透性能为1.0×10</w:t>
      </w:r>
      <w:r>
        <w:rPr>
          <w:rFonts w:hint="eastAsia"/>
          <w:color w:val="000000" w:themeColor="text1"/>
          <w:vertAlign w:val="superscript"/>
          <w14:textFill>
            <w14:solidFill>
              <w14:schemeClr w14:val="tx1"/>
            </w14:solidFill>
          </w14:textFill>
        </w:rPr>
        <w:t>-6</w:t>
      </w:r>
      <w:r>
        <w:rPr>
          <w:rFonts w:hint="eastAsia"/>
          <w:color w:val="000000" w:themeColor="text1"/>
          <w14:textFill>
            <w14:solidFill>
              <w14:schemeClr w14:val="tx1"/>
            </w14:solidFill>
          </w14:textFill>
        </w:rPr>
        <w:t>cm/s＜K≤1.0×10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cm/s，Mb≥1.0m，包气带防污性能为D2级。</w:t>
      </w:r>
    </w:p>
    <w:p w14:paraId="145BC8B3">
      <w:pPr>
        <w:ind w:firstLine="480"/>
        <w:rPr>
          <w:color w:val="000000" w:themeColor="text1"/>
          <w14:textFill>
            <w14:solidFill>
              <w14:schemeClr w14:val="tx1"/>
            </w14:solidFill>
          </w14:textFill>
        </w:rPr>
      </w:pPr>
      <w:r>
        <w:rPr>
          <w:color w:val="000000" w:themeColor="text1"/>
          <w14:textFill>
            <w14:solidFill>
              <w14:schemeClr w14:val="tx1"/>
            </w14:solidFill>
          </w14:textFill>
        </w:rPr>
        <w:t>项目所在区域的地下水环境敏感程度分级为</w:t>
      </w:r>
      <w:r>
        <w:rPr>
          <w:color w:val="000000" w:themeColor="text1"/>
          <w:lang w:bidi="en-US"/>
          <w14:textFill>
            <w14:solidFill>
              <w14:schemeClr w14:val="tx1"/>
            </w14:solidFill>
          </w14:textFill>
        </w:rPr>
        <w:t>“E</w:t>
      </w:r>
      <w:r>
        <w:rPr>
          <w:rFonts w:hint="eastAsia"/>
          <w:color w:val="000000" w:themeColor="text1"/>
          <w:lang w:bidi="en-US"/>
          <w14:textFill>
            <w14:solidFill>
              <w14:schemeClr w14:val="tx1"/>
            </w14:solidFill>
          </w14:textFill>
        </w:rPr>
        <w:t>3</w:t>
      </w:r>
      <w:r>
        <w:rPr>
          <w:color w:val="000000" w:themeColor="text1"/>
          <w:lang w:bidi="en-US"/>
          <w14:textFill>
            <w14:solidFill>
              <w14:schemeClr w14:val="tx1"/>
            </w14:solidFill>
          </w14:textFill>
        </w:rPr>
        <w:t>”。</w:t>
      </w:r>
    </w:p>
    <w:p w14:paraId="202F4821">
      <w:pPr>
        <w:pStyle w:val="5"/>
        <w:rPr>
          <w:rFonts w:hint="eastAsia"/>
          <w:color w:val="000000" w:themeColor="text1"/>
          <w14:textFill>
            <w14:solidFill>
              <w14:schemeClr w14:val="tx1"/>
            </w14:solidFill>
          </w14:textFill>
        </w:rPr>
      </w:pPr>
      <w:bookmarkStart w:id="547" w:name="bookmark576"/>
      <w:r>
        <w:rPr>
          <w:color w:val="000000" w:themeColor="text1"/>
          <w14:textFill>
            <w14:solidFill>
              <w14:schemeClr w14:val="tx1"/>
            </w14:solidFill>
          </w14:textFill>
        </w:rPr>
        <w:t>环境风险潜势判定</w:t>
      </w:r>
      <w:bookmarkEnd w:id="547"/>
    </w:p>
    <w:p w14:paraId="50EEF04E">
      <w:pPr>
        <w:ind w:firstLine="480"/>
        <w:rPr>
          <w:color w:val="000000" w:themeColor="text1"/>
          <w14:textFill>
            <w14:solidFill>
              <w14:schemeClr w14:val="tx1"/>
            </w14:solidFill>
          </w14:textFill>
        </w:rPr>
      </w:pPr>
      <w:r>
        <w:rPr>
          <w:color w:val="000000" w:themeColor="text1"/>
          <w14:textFill>
            <w14:solidFill>
              <w14:schemeClr w14:val="tx1"/>
            </w14:solidFill>
          </w14:textFill>
        </w:rPr>
        <w:t>经分析得知，本项目不考虑风险事故泄露危险物质对地表水体的影响，项目的所在区域大气环境敏感程度为</w:t>
      </w:r>
      <w:r>
        <w:rPr>
          <w:color w:val="000000" w:themeColor="text1"/>
          <w:lang w:bidi="en-US"/>
          <w14:textFill>
            <w14:solidFill>
              <w14:schemeClr w14:val="tx1"/>
            </w14:solidFill>
          </w14:textFill>
        </w:rPr>
        <w:t>E3</w:t>
      </w:r>
      <w:r>
        <w:rPr>
          <w:color w:val="000000" w:themeColor="text1"/>
          <w14:textFill>
            <w14:solidFill>
              <w14:schemeClr w14:val="tx1"/>
            </w14:solidFill>
          </w14:textFill>
        </w:rPr>
        <w:t>为环境低度敏感区</w:t>
      </w:r>
      <w:r>
        <w:rPr>
          <w:color w:val="000000" w:themeColor="text1"/>
          <w:lang w:bidi="en-US"/>
          <w14:textFill>
            <w14:solidFill>
              <w14:schemeClr w14:val="tx1"/>
            </w14:solidFill>
          </w14:textFill>
        </w:rPr>
        <w:t>，</w:t>
      </w:r>
      <w:r>
        <w:rPr>
          <w:color w:val="000000" w:themeColor="text1"/>
          <w14:textFill>
            <w14:solidFill>
              <w14:schemeClr w14:val="tx1"/>
            </w14:solidFill>
          </w14:textFill>
        </w:rPr>
        <w:t>项目所在区域的地下水环境敏感程度分级为</w:t>
      </w:r>
      <w:r>
        <w:rPr>
          <w:color w:val="000000" w:themeColor="text1"/>
          <w:lang w:bidi="en-US"/>
          <w14:textFill>
            <w14:solidFill>
              <w14:schemeClr w14:val="tx1"/>
            </w14:solidFill>
          </w14:textFill>
        </w:rPr>
        <w:t>“E3”，</w:t>
      </w:r>
      <w:r>
        <w:rPr>
          <w:color w:val="000000" w:themeColor="text1"/>
          <w14:textFill>
            <w14:solidFill>
              <w14:schemeClr w14:val="tx1"/>
            </w14:solidFill>
          </w14:textFill>
        </w:rPr>
        <w:t>其环境风险潜势判定结果具体见下表。</w:t>
      </w:r>
    </w:p>
    <w:p w14:paraId="7985C3C3">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项目环境风险潜势判定结果一览表</w:t>
      </w:r>
    </w:p>
    <w:tbl>
      <w:tblPr>
        <w:tblStyle w:val="76"/>
        <w:tblW w:w="5000" w:type="pct"/>
        <w:jc w:val="center"/>
        <w:tblLayout w:type="autofit"/>
        <w:tblCellMar>
          <w:top w:w="0" w:type="dxa"/>
          <w:left w:w="10" w:type="dxa"/>
          <w:bottom w:w="0" w:type="dxa"/>
          <w:right w:w="10" w:type="dxa"/>
        </w:tblCellMar>
      </w:tblPr>
      <w:tblGrid>
        <w:gridCol w:w="3411"/>
        <w:gridCol w:w="6021"/>
      </w:tblGrid>
      <w:tr w14:paraId="6481E02C">
        <w:tblPrEx>
          <w:tblCellMar>
            <w:top w:w="0" w:type="dxa"/>
            <w:left w:w="10" w:type="dxa"/>
            <w:bottom w:w="0" w:type="dxa"/>
            <w:right w:w="10" w:type="dxa"/>
          </w:tblCellMar>
        </w:tblPrEx>
        <w:trPr>
          <w:jc w:val="center"/>
        </w:trPr>
        <w:tc>
          <w:tcPr>
            <w:tcW w:w="1808" w:type="pct"/>
            <w:vMerge w:val="restart"/>
            <w:tcBorders>
              <w:top w:val="single" w:color="auto" w:sz="4" w:space="0"/>
              <w:left w:val="single" w:color="auto" w:sz="4" w:space="0"/>
            </w:tcBorders>
            <w:vAlign w:val="center"/>
          </w:tcPr>
          <w:p w14:paraId="1BB41178">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项目环境敏感程度</w:t>
            </w:r>
          </w:p>
        </w:tc>
        <w:tc>
          <w:tcPr>
            <w:tcW w:w="3192" w:type="pct"/>
            <w:tcBorders>
              <w:top w:val="single" w:color="auto" w:sz="4" w:space="0"/>
              <w:left w:val="single" w:color="auto" w:sz="4" w:space="0"/>
              <w:right w:val="single" w:color="auto" w:sz="4" w:space="0"/>
            </w:tcBorders>
            <w:vAlign w:val="bottom"/>
          </w:tcPr>
          <w:p w14:paraId="660EE55C">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项目危险物质及工艺系统危险性</w:t>
            </w:r>
            <w:r>
              <w:rPr>
                <w:color w:val="000000" w:themeColor="text1"/>
                <w:lang w:bidi="en-US"/>
                <w14:textFill>
                  <w14:solidFill>
                    <w14:schemeClr w14:val="tx1"/>
                  </w14:solidFill>
                </w14:textFill>
              </w:rPr>
              <w:t>P</w:t>
            </w:r>
          </w:p>
        </w:tc>
      </w:tr>
      <w:tr w14:paraId="5E298926">
        <w:tblPrEx>
          <w:tblCellMar>
            <w:top w:w="0" w:type="dxa"/>
            <w:left w:w="10" w:type="dxa"/>
            <w:bottom w:w="0" w:type="dxa"/>
            <w:right w:w="10" w:type="dxa"/>
          </w:tblCellMar>
        </w:tblPrEx>
        <w:trPr>
          <w:jc w:val="center"/>
        </w:trPr>
        <w:tc>
          <w:tcPr>
            <w:tcW w:w="1808" w:type="pct"/>
            <w:vMerge w:val="continue"/>
            <w:tcBorders>
              <w:left w:val="single" w:color="auto" w:sz="4" w:space="0"/>
            </w:tcBorders>
            <w:vAlign w:val="center"/>
          </w:tcPr>
          <w:p w14:paraId="6581EB72">
            <w:pPr>
              <w:pStyle w:val="109"/>
              <w:rPr>
                <w:color w:val="000000" w:themeColor="text1"/>
                <w14:textFill>
                  <w14:solidFill>
                    <w14:schemeClr w14:val="tx1"/>
                  </w14:solidFill>
                </w14:textFill>
              </w:rPr>
            </w:pPr>
          </w:p>
        </w:tc>
        <w:tc>
          <w:tcPr>
            <w:tcW w:w="3192" w:type="pct"/>
            <w:tcBorders>
              <w:top w:val="single" w:color="auto" w:sz="4" w:space="0"/>
              <w:left w:val="single" w:color="auto" w:sz="4" w:space="0"/>
              <w:right w:val="single" w:color="auto" w:sz="4" w:space="0"/>
            </w:tcBorders>
            <w:vAlign w:val="bottom"/>
          </w:tcPr>
          <w:p w14:paraId="44327118">
            <w:pPr>
              <w:pStyle w:val="109"/>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轻度</w:t>
            </w:r>
            <w:r>
              <w:rPr>
                <w:color w:val="000000" w:themeColor="text1"/>
                <w:lang w:val="zh-CN" w:bidi="zh-CN"/>
                <w14:textFill>
                  <w14:solidFill>
                    <w14:schemeClr w14:val="tx1"/>
                  </w14:solidFill>
                </w14:textFill>
              </w:rPr>
              <w:t>危害</w:t>
            </w:r>
            <w:r>
              <w:rPr>
                <w:color w:val="000000" w:themeColor="text1"/>
                <w:lang w:eastAsia="en-US" w:bidi="en-US"/>
                <w14:textFill>
                  <w14:solidFill>
                    <w14:schemeClr w14:val="tx1"/>
                  </w14:solidFill>
                </w14:textFill>
              </w:rPr>
              <w:t>（P</w:t>
            </w:r>
            <w:r>
              <w:rPr>
                <w:rFonts w:hint="eastAsia"/>
                <w:color w:val="000000" w:themeColor="text1"/>
                <w:lang w:bidi="en-US"/>
                <w14:textFill>
                  <w14:solidFill>
                    <w14:schemeClr w14:val="tx1"/>
                  </w14:solidFill>
                </w14:textFill>
              </w:rPr>
              <w:t>4</w:t>
            </w:r>
            <w:r>
              <w:rPr>
                <w:color w:val="000000" w:themeColor="text1"/>
                <w:lang w:eastAsia="en-US" w:bidi="en-US"/>
                <w14:textFill>
                  <w14:solidFill>
                    <w14:schemeClr w14:val="tx1"/>
                  </w14:solidFill>
                </w14:textFill>
              </w:rPr>
              <w:t>）</w:t>
            </w:r>
          </w:p>
        </w:tc>
      </w:tr>
      <w:tr w14:paraId="15A98B6D">
        <w:tblPrEx>
          <w:tblCellMar>
            <w:top w:w="0" w:type="dxa"/>
            <w:left w:w="10" w:type="dxa"/>
            <w:bottom w:w="0" w:type="dxa"/>
            <w:right w:w="10" w:type="dxa"/>
          </w:tblCellMar>
        </w:tblPrEx>
        <w:trPr>
          <w:jc w:val="center"/>
        </w:trPr>
        <w:tc>
          <w:tcPr>
            <w:tcW w:w="1808" w:type="pct"/>
            <w:tcBorders>
              <w:top w:val="single" w:color="auto" w:sz="4" w:space="0"/>
              <w:left w:val="single" w:color="auto" w:sz="4" w:space="0"/>
            </w:tcBorders>
            <w:vAlign w:val="bottom"/>
          </w:tcPr>
          <w:p w14:paraId="7A7F5210">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大气环境中度敏感度区</w:t>
            </w:r>
            <w:r>
              <w:rPr>
                <w:color w:val="000000" w:themeColor="text1"/>
                <w:lang w:bidi="en-US"/>
                <w14:textFill>
                  <w14:solidFill>
                    <w14:schemeClr w14:val="tx1"/>
                  </w14:solidFill>
                </w14:textFill>
              </w:rPr>
              <w:t>（E</w:t>
            </w:r>
            <w:r>
              <w:rPr>
                <w:rFonts w:hint="eastAsia"/>
                <w:color w:val="000000" w:themeColor="text1"/>
                <w:lang w:bidi="en-US"/>
                <w14:textFill>
                  <w14:solidFill>
                    <w14:schemeClr w14:val="tx1"/>
                  </w14:solidFill>
                </w14:textFill>
              </w:rPr>
              <w:t>3</w:t>
            </w:r>
            <w:r>
              <w:rPr>
                <w:color w:val="000000" w:themeColor="text1"/>
                <w:lang w:bidi="en-US"/>
                <w14:textFill>
                  <w14:solidFill>
                    <w14:schemeClr w14:val="tx1"/>
                  </w14:solidFill>
                </w14:textFill>
              </w:rPr>
              <w:t>）</w:t>
            </w:r>
          </w:p>
        </w:tc>
        <w:tc>
          <w:tcPr>
            <w:tcW w:w="3192" w:type="pct"/>
            <w:tcBorders>
              <w:top w:val="single" w:color="auto" w:sz="4" w:space="0"/>
              <w:left w:val="single" w:color="auto" w:sz="4" w:space="0"/>
              <w:right w:val="single" w:color="auto" w:sz="4" w:space="0"/>
            </w:tcBorders>
            <w:vAlign w:val="bottom"/>
          </w:tcPr>
          <w:p w14:paraId="017C3929">
            <w:pPr>
              <w:pStyle w:val="109"/>
              <w:rPr>
                <w:color w:val="000000" w:themeColor="text1"/>
                <w:sz w:val="11"/>
                <w:szCs w:val="11"/>
                <w14:textFill>
                  <w14:solidFill>
                    <w14:schemeClr w14:val="tx1"/>
                  </w14:solidFill>
                </w14:textFill>
              </w:rPr>
            </w:pPr>
            <w:r>
              <w:rPr>
                <w:rFonts w:eastAsia="TimesNewRomanPSMT"/>
                <w:color w:val="000000" w:themeColor="text1"/>
                <w:szCs w:val="21"/>
                <w14:textFill>
                  <w14:solidFill>
                    <w14:schemeClr w14:val="tx1"/>
                  </w14:solidFill>
                </w14:textFill>
              </w:rPr>
              <w:t>Ⅰ</w:t>
            </w:r>
          </w:p>
        </w:tc>
      </w:tr>
      <w:tr w14:paraId="5E354D55">
        <w:tblPrEx>
          <w:tblCellMar>
            <w:top w:w="0" w:type="dxa"/>
            <w:left w:w="10" w:type="dxa"/>
            <w:bottom w:w="0" w:type="dxa"/>
            <w:right w:w="10" w:type="dxa"/>
          </w:tblCellMar>
        </w:tblPrEx>
        <w:trPr>
          <w:jc w:val="center"/>
        </w:trPr>
        <w:tc>
          <w:tcPr>
            <w:tcW w:w="1808" w:type="pct"/>
            <w:tcBorders>
              <w:top w:val="single" w:color="auto" w:sz="4" w:space="0"/>
              <w:left w:val="single" w:color="auto" w:sz="4" w:space="0"/>
              <w:bottom w:val="single" w:color="auto" w:sz="4" w:space="0"/>
            </w:tcBorders>
            <w:vAlign w:val="bottom"/>
          </w:tcPr>
          <w:p w14:paraId="24568A8D">
            <w:pPr>
              <w:pStyle w:val="109"/>
              <w:rPr>
                <w:color w:val="000000" w:themeColor="text1"/>
                <w14:textFill>
                  <w14:solidFill>
                    <w14:schemeClr w14:val="tx1"/>
                  </w14:solidFill>
                </w14:textFill>
              </w:rPr>
            </w:pPr>
            <w:r>
              <w:rPr>
                <w:color w:val="000000" w:themeColor="text1"/>
                <w:lang w:val="zh-CN" w:bidi="zh-CN"/>
                <w14:textFill>
                  <w14:solidFill>
                    <w14:schemeClr w14:val="tx1"/>
                  </w14:solidFill>
                </w14:textFill>
              </w:rPr>
              <w:t>地下水环境中度敏感度区</w:t>
            </w:r>
            <w:r>
              <w:rPr>
                <w:color w:val="000000" w:themeColor="text1"/>
                <w:lang w:bidi="en-US"/>
                <w14:textFill>
                  <w14:solidFill>
                    <w14:schemeClr w14:val="tx1"/>
                  </w14:solidFill>
                </w14:textFill>
              </w:rPr>
              <w:t>（E</w:t>
            </w:r>
            <w:r>
              <w:rPr>
                <w:rFonts w:hint="eastAsia"/>
                <w:color w:val="000000" w:themeColor="text1"/>
                <w:lang w:bidi="en-US"/>
                <w14:textFill>
                  <w14:solidFill>
                    <w14:schemeClr w14:val="tx1"/>
                  </w14:solidFill>
                </w14:textFill>
              </w:rPr>
              <w:t>3</w:t>
            </w:r>
            <w:r>
              <w:rPr>
                <w:color w:val="000000" w:themeColor="text1"/>
                <w:lang w:bidi="en-US"/>
                <w14:textFill>
                  <w14:solidFill>
                    <w14:schemeClr w14:val="tx1"/>
                  </w14:solidFill>
                </w14:textFill>
              </w:rPr>
              <w:t>）</w:t>
            </w:r>
          </w:p>
        </w:tc>
        <w:tc>
          <w:tcPr>
            <w:tcW w:w="3192" w:type="pct"/>
            <w:tcBorders>
              <w:top w:val="single" w:color="auto" w:sz="4" w:space="0"/>
              <w:left w:val="single" w:color="auto" w:sz="4" w:space="0"/>
              <w:bottom w:val="single" w:color="auto" w:sz="4" w:space="0"/>
              <w:right w:val="single" w:color="auto" w:sz="4" w:space="0"/>
            </w:tcBorders>
            <w:vAlign w:val="bottom"/>
          </w:tcPr>
          <w:p w14:paraId="270DF9CF">
            <w:pPr>
              <w:pStyle w:val="109"/>
              <w:rPr>
                <w:color w:val="000000" w:themeColor="text1"/>
                <w14:textFill>
                  <w14:solidFill>
                    <w14:schemeClr w14:val="tx1"/>
                  </w14:solidFill>
                </w14:textFill>
              </w:rPr>
            </w:pPr>
            <w:r>
              <w:rPr>
                <w:rFonts w:eastAsia="TimesNewRomanPSMT"/>
                <w:color w:val="000000" w:themeColor="text1"/>
                <w:szCs w:val="21"/>
                <w14:textFill>
                  <w14:solidFill>
                    <w14:schemeClr w14:val="tx1"/>
                  </w14:solidFill>
                </w14:textFill>
              </w:rPr>
              <w:t>Ⅰ</w:t>
            </w:r>
          </w:p>
        </w:tc>
      </w:tr>
    </w:tbl>
    <w:p w14:paraId="3DE490E1">
      <w:pPr>
        <w:ind w:firstLine="480"/>
        <w:rPr>
          <w:color w:val="000000" w:themeColor="text1"/>
          <w14:textFill>
            <w14:solidFill>
              <w14:schemeClr w14:val="tx1"/>
            </w14:solidFill>
          </w14:textFill>
        </w:rPr>
      </w:pPr>
      <w:r>
        <w:rPr>
          <w:color w:val="000000" w:themeColor="text1"/>
          <w14:textFill>
            <w14:solidFill>
              <w14:schemeClr w14:val="tx1"/>
            </w14:solidFill>
          </w14:textFill>
        </w:rPr>
        <w:t>从</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可知，本项目的大气环境风险潜势和地下水环境风险潜势</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为</w:t>
      </w:r>
      <w:r>
        <w:rPr>
          <w:color w:val="000000" w:themeColor="text1"/>
          <w:lang w:bidi="en-US"/>
          <w14:textFill>
            <w14:solidFill>
              <w14:schemeClr w14:val="tx1"/>
            </w14:solidFill>
          </w14:textFill>
        </w:rPr>
        <w:t>I</w:t>
      </w:r>
      <w:r>
        <w:rPr>
          <w:color w:val="000000" w:themeColor="text1"/>
          <w14:textFill>
            <w14:solidFill>
              <w14:schemeClr w14:val="tx1"/>
            </w14:solidFill>
          </w14:textFill>
        </w:rPr>
        <w:t>级，因此，本项目的环境风险潜势为</w:t>
      </w:r>
      <w:r>
        <w:rPr>
          <w:color w:val="000000" w:themeColor="text1"/>
          <w:lang w:bidi="en-US"/>
          <w14:textFill>
            <w14:solidFill>
              <w14:schemeClr w14:val="tx1"/>
            </w14:solidFill>
          </w14:textFill>
        </w:rPr>
        <w:t>I</w:t>
      </w:r>
      <w:r>
        <w:rPr>
          <w:color w:val="000000" w:themeColor="text1"/>
          <w14:textFill>
            <w14:solidFill>
              <w14:schemeClr w14:val="tx1"/>
            </w14:solidFill>
          </w14:textFill>
        </w:rPr>
        <w:t>级。</w:t>
      </w:r>
    </w:p>
    <w:p w14:paraId="0496E58D">
      <w:pPr>
        <w:pStyle w:val="4"/>
        <w:numPr>
          <w:ilvl w:val="2"/>
          <w:numId w:val="9"/>
        </w:numPr>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评价等级及评价范围</w:t>
      </w:r>
    </w:p>
    <w:p w14:paraId="2BF11596">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根据建设项目涉及的物质及工艺系统危险性和所在地的环境敏感性确定环境风险潜势，按照</w:t>
      </w:r>
      <w:r>
        <w:rPr>
          <w:rFonts w:hint="eastAsia" w:ascii="Times New Roman" w:hAnsi="Times New Roman"/>
          <w:color w:val="000000" w:themeColor="text1"/>
          <w14:textFill>
            <w14:solidFill>
              <w14:schemeClr w14:val="tx1"/>
            </w14:solidFill>
          </w14:textFill>
        </w:rPr>
        <w:t>下表</w:t>
      </w:r>
      <w:r>
        <w:rPr>
          <w:rFonts w:ascii="Times New Roman" w:hAnsi="Times New Roman"/>
          <w:color w:val="000000" w:themeColor="text1"/>
          <w14:textFill>
            <w14:solidFill>
              <w14:schemeClr w14:val="tx1"/>
            </w14:solidFill>
          </w14:textFill>
        </w:rPr>
        <w:t>确定评价工作等级。根据本项目环境风险潜势综合等级判定情况，本次环境风险综合评价等级为</w:t>
      </w:r>
      <w:r>
        <w:rPr>
          <w:rFonts w:hint="eastAsia" w:ascii="Times New Roman" w:hAnsi="Times New Roman"/>
          <w:color w:val="000000" w:themeColor="text1"/>
          <w14:textFill>
            <w14:solidFill>
              <w14:schemeClr w14:val="tx1"/>
            </w14:solidFill>
          </w14:textFill>
        </w:rPr>
        <w:t>简单分析</w:t>
      </w:r>
      <w:r>
        <w:rPr>
          <w:rFonts w:ascii="Times New Roman" w:hAnsi="Times New Roman"/>
          <w:color w:val="000000" w:themeColor="text1"/>
          <w14:textFill>
            <w14:solidFill>
              <w14:schemeClr w14:val="tx1"/>
            </w14:solidFill>
          </w14:textFill>
        </w:rPr>
        <w:t>。各要素评价等级及评价范围见</w:t>
      </w:r>
      <w:r>
        <w:rPr>
          <w:rFonts w:hint="eastAsia" w:ascii="Times New Roman" w:hAnsi="Times New Roman"/>
          <w:color w:val="000000" w:themeColor="text1"/>
          <w14:textFill>
            <w14:solidFill>
              <w14:schemeClr w14:val="tx1"/>
            </w14:solidFill>
          </w14:textFill>
        </w:rPr>
        <w:t>下表。</w:t>
      </w:r>
    </w:p>
    <w:p w14:paraId="5AD5DA48">
      <w:pPr>
        <w:pStyle w:val="117"/>
        <w:numPr>
          <w:ilvl w:val="4"/>
          <w:numId w:val="9"/>
        </w:numPr>
        <w:spacing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评价工作级别</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1858"/>
        <w:gridCol w:w="1993"/>
        <w:gridCol w:w="1926"/>
        <w:gridCol w:w="1926"/>
      </w:tblGrid>
      <w:tr w14:paraId="02F3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5923DE3C">
            <w:pPr>
              <w:pStyle w:val="109"/>
              <w:rPr>
                <w:color w:val="000000" w:themeColor="text1"/>
                <w14:textFill>
                  <w14:solidFill>
                    <w14:schemeClr w14:val="tx1"/>
                  </w14:solidFill>
                </w14:textFill>
              </w:rPr>
            </w:pPr>
            <w:r>
              <w:rPr>
                <w:color w:val="000000" w:themeColor="text1"/>
                <w14:textFill>
                  <w14:solidFill>
                    <w14:schemeClr w14:val="tx1"/>
                  </w14:solidFill>
                </w14:textFill>
              </w:rPr>
              <w:t>环境风险潜势</w:t>
            </w:r>
          </w:p>
        </w:tc>
        <w:tc>
          <w:tcPr>
            <w:tcW w:w="965" w:type="pct"/>
            <w:vAlign w:val="center"/>
          </w:tcPr>
          <w:p w14:paraId="50119B15">
            <w:pPr>
              <w:pStyle w:val="109"/>
              <w:rPr>
                <w:color w:val="000000" w:themeColor="text1"/>
                <w14:textFill>
                  <w14:solidFill>
                    <w14:schemeClr w14:val="tx1"/>
                  </w14:solidFill>
                </w14:textFill>
              </w:rPr>
            </w:pPr>
            <w:r>
              <w:rPr>
                <w:color w:val="000000" w:themeColor="text1"/>
                <w14:textFill>
                  <w14:solidFill>
                    <w14:schemeClr w14:val="tx1"/>
                  </w14:solidFill>
                </w14:textFill>
              </w:rPr>
              <w:t>Ⅳ、Ⅳ+</w:t>
            </w:r>
          </w:p>
        </w:tc>
        <w:tc>
          <w:tcPr>
            <w:tcW w:w="1035" w:type="pct"/>
            <w:vAlign w:val="center"/>
          </w:tcPr>
          <w:p w14:paraId="4E775510">
            <w:pPr>
              <w:pStyle w:val="109"/>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1000" w:type="pct"/>
            <w:vAlign w:val="center"/>
          </w:tcPr>
          <w:p w14:paraId="530717E2">
            <w:pPr>
              <w:pStyle w:val="109"/>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1000" w:type="pct"/>
            <w:vAlign w:val="center"/>
          </w:tcPr>
          <w:p w14:paraId="522C2778">
            <w:pPr>
              <w:pStyle w:val="109"/>
              <w:rPr>
                <w:color w:val="000000" w:themeColor="text1"/>
                <w14:textFill>
                  <w14:solidFill>
                    <w14:schemeClr w14:val="tx1"/>
                  </w14:solidFill>
                </w14:textFill>
              </w:rPr>
            </w:pPr>
            <w:r>
              <w:rPr>
                <w:color w:val="000000" w:themeColor="text1"/>
                <w14:textFill>
                  <w14:solidFill>
                    <w14:schemeClr w14:val="tx1"/>
                  </w14:solidFill>
                </w14:textFill>
              </w:rPr>
              <w:t>Ⅰ</w:t>
            </w:r>
          </w:p>
        </w:tc>
      </w:tr>
      <w:tr w14:paraId="0E34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297AF23">
            <w:pPr>
              <w:pStyle w:val="109"/>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965" w:type="pct"/>
            <w:vAlign w:val="center"/>
          </w:tcPr>
          <w:p w14:paraId="5026B9DE">
            <w:pPr>
              <w:pStyle w:val="109"/>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035" w:type="pct"/>
            <w:vAlign w:val="center"/>
          </w:tcPr>
          <w:p w14:paraId="78B5568E">
            <w:pPr>
              <w:pStyle w:val="109"/>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1000" w:type="pct"/>
            <w:vAlign w:val="center"/>
          </w:tcPr>
          <w:p w14:paraId="5FC68EC7">
            <w:pPr>
              <w:pStyle w:val="109"/>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1000" w:type="pct"/>
            <w:vAlign w:val="center"/>
          </w:tcPr>
          <w:p w14:paraId="5F60589C">
            <w:pPr>
              <w:pStyle w:val="109"/>
              <w:rPr>
                <w:color w:val="000000" w:themeColor="text1"/>
                <w14:textFill>
                  <w14:solidFill>
                    <w14:schemeClr w14:val="tx1"/>
                  </w14:solidFill>
                </w14:textFill>
              </w:rPr>
            </w:pPr>
            <w:r>
              <w:rPr>
                <w:color w:val="000000" w:themeColor="text1"/>
                <w14:textFill>
                  <w14:solidFill>
                    <w14:schemeClr w14:val="tx1"/>
                  </w14:solidFill>
                </w14:textFill>
              </w:rPr>
              <w:t>简单分析a</w:t>
            </w:r>
          </w:p>
        </w:tc>
      </w:tr>
      <w:tr w14:paraId="5E2D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51DAAC6">
            <w:pPr>
              <w:pStyle w:val="109"/>
              <w:rPr>
                <w:color w:val="000000" w:themeColor="text1"/>
                <w14:textFill>
                  <w14:solidFill>
                    <w14:schemeClr w14:val="tx1"/>
                  </w14:solidFill>
                </w14:textFill>
              </w:rPr>
            </w:pPr>
            <w:r>
              <w:rPr>
                <w:color w:val="000000" w:themeColor="text1"/>
                <w14:textFill>
                  <w14:solidFill>
                    <w14:schemeClr w14:val="tx1"/>
                  </w14:solidFill>
                </w14:textFill>
              </w:rPr>
              <w:t>a是相对详细评价工作内容而言，在描述危险物质、环境影响途径、环境危害后果、风险防范措施等方面给出定性的说明。</w:t>
            </w:r>
          </w:p>
        </w:tc>
      </w:tr>
    </w:tbl>
    <w:p w14:paraId="707A4F7A">
      <w:pPr>
        <w:pStyle w:val="3"/>
        <w:rPr>
          <w:rFonts w:ascii="Times New Roman" w:cs="Times New Roman"/>
          <w:color w:val="000000" w:themeColor="text1"/>
          <w14:textFill>
            <w14:solidFill>
              <w14:schemeClr w14:val="tx1"/>
            </w14:solidFill>
          </w14:textFill>
        </w:rPr>
      </w:pPr>
      <w:bookmarkStart w:id="548" w:name="_Toc225268339"/>
      <w:r>
        <w:rPr>
          <w:rFonts w:ascii="Times New Roman" w:cs="Times New Roman"/>
          <w:color w:val="000000" w:themeColor="text1"/>
          <w14:textFill>
            <w14:solidFill>
              <w14:schemeClr w14:val="tx1"/>
            </w14:solidFill>
          </w14:textFill>
        </w:rPr>
        <w:t>环境敏感目标概况</w:t>
      </w:r>
      <w:bookmarkEnd w:id="548"/>
    </w:p>
    <w:p w14:paraId="1F47FEB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本项目环境风险评价范围内不涉及自然保护区、风景名胜区、饮用水水源地等敏感区域。</w:t>
      </w:r>
    </w:p>
    <w:p w14:paraId="2804AFF1">
      <w:pPr>
        <w:pStyle w:val="3"/>
        <w:rPr>
          <w:rFonts w:ascii="Times New Roman" w:cs="Times New Roman"/>
          <w:color w:val="000000" w:themeColor="text1"/>
          <w14:textFill>
            <w14:solidFill>
              <w14:schemeClr w14:val="tx1"/>
            </w14:solidFill>
          </w14:textFill>
        </w:rPr>
      </w:pPr>
      <w:bookmarkStart w:id="549" w:name="_Toc225268340"/>
      <w:r>
        <w:rPr>
          <w:rFonts w:ascii="Times New Roman" w:cs="Times New Roman"/>
          <w:color w:val="000000" w:themeColor="text1"/>
          <w14:textFill>
            <w14:solidFill>
              <w14:schemeClr w14:val="tx1"/>
            </w14:solidFill>
          </w14:textFill>
        </w:rPr>
        <w:t>环境风险识别</w:t>
      </w:r>
      <w:bookmarkEnd w:id="549"/>
    </w:p>
    <w:p w14:paraId="56DE8020">
      <w:pPr>
        <w:pStyle w:val="4"/>
        <w:rPr>
          <w:rFonts w:ascii="Times New Roman" w:cs="Times New Roman"/>
          <w:b/>
          <w:color w:val="000000" w:themeColor="text1"/>
          <w14:textFill>
            <w14:solidFill>
              <w14:schemeClr w14:val="tx1"/>
            </w14:solidFill>
          </w14:textFill>
        </w:rPr>
      </w:pPr>
      <w:bookmarkStart w:id="550" w:name="_Toc320518437"/>
      <w:r>
        <w:rPr>
          <w:rFonts w:ascii="Times New Roman" w:cs="Times New Roman"/>
          <w:color w:val="000000" w:themeColor="text1"/>
          <w14:textFill>
            <w14:solidFill>
              <w14:schemeClr w14:val="tx1"/>
            </w14:solidFill>
          </w14:textFill>
        </w:rPr>
        <w:t>风险识别</w:t>
      </w:r>
    </w:p>
    <w:bookmarkEnd w:id="550"/>
    <w:p w14:paraId="30E621B8">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主要危险物质识别及分布情况</w:t>
      </w:r>
    </w:p>
    <w:p w14:paraId="07A85E5F">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本项目主要危险物质为天然气</w:t>
      </w:r>
      <w:r>
        <w:rPr>
          <w:rFonts w:hint="eastAsia" w:ascii="Times New Roman" w:hAnsi="Times New Roman"/>
          <w:color w:val="000000" w:themeColor="text1"/>
          <w14:textFill>
            <w14:solidFill>
              <w14:schemeClr w14:val="tx1"/>
            </w14:solidFill>
          </w14:textFill>
        </w:rPr>
        <w:t>、氨水</w:t>
      </w:r>
      <w:r>
        <w:rPr>
          <w:rFonts w:ascii="Times New Roman" w:hAnsi="Times New Roman"/>
          <w:color w:val="000000" w:themeColor="text1"/>
          <w14:textFill>
            <w14:solidFill>
              <w14:schemeClr w14:val="tx1"/>
            </w14:solidFill>
          </w14:textFill>
        </w:rPr>
        <w:t>和矿物油，其他物质不涉及列入《建设项目环境风险评价技术导则》（HJ169-2018）范围内，本项目天然气通过管道输送至项目区，仅有少量存储在管道中，矿物油（废矿物油）暂存于危废暂存间</w:t>
      </w:r>
      <w:r>
        <w:rPr>
          <w:rFonts w:hint="eastAsia" w:ascii="Times New Roman" w:hAnsi="Times New Roman"/>
          <w:color w:val="000000" w:themeColor="text1"/>
          <w14:textFill>
            <w14:solidFill>
              <w14:schemeClr w14:val="tx1"/>
            </w14:solidFill>
          </w14:textFill>
        </w:rPr>
        <w:t>，氨水储存于储罐区</w:t>
      </w:r>
      <w:r>
        <w:rPr>
          <w:rFonts w:ascii="Times New Roman" w:hAnsi="Times New Roman"/>
          <w:color w:val="000000" w:themeColor="text1"/>
          <w14:textFill>
            <w14:solidFill>
              <w14:schemeClr w14:val="tx1"/>
            </w14:solidFill>
          </w14:textFill>
        </w:rPr>
        <w:t>。</w:t>
      </w:r>
    </w:p>
    <w:p w14:paraId="613923C6">
      <w:pPr>
        <w:pStyle w:val="197"/>
        <w:ind w:firstLine="480" w:firstLineChars="200"/>
        <w:rPr>
          <w:rFonts w:ascii="Times New Roman" w:hAnsi="Times New Roman"/>
          <w:color w:val="000000" w:themeColor="text1"/>
          <w:kern w:val="24"/>
          <w:szCs w:val="24"/>
          <w14:textFill>
            <w14:solidFill>
              <w14:schemeClr w14:val="tx1"/>
            </w14:solidFill>
          </w14:textFill>
        </w:rPr>
      </w:pPr>
      <w:r>
        <w:rPr>
          <w:rFonts w:ascii="Times New Roman" w:hAnsi="Times New Roman"/>
          <w:color w:val="000000" w:themeColor="text1"/>
          <w14:textFill>
            <w14:solidFill>
              <w14:schemeClr w14:val="tx1"/>
            </w14:solidFill>
          </w14:textFill>
        </w:rPr>
        <w:t>本项目涉及的危险物质</w:t>
      </w:r>
      <w:r>
        <w:rPr>
          <w:rFonts w:ascii="Times New Roman" w:hAnsi="Times New Roman"/>
          <w:color w:val="000000" w:themeColor="text1"/>
          <w:kern w:val="24"/>
          <w:szCs w:val="24"/>
          <w14:textFill>
            <w14:solidFill>
              <w14:schemeClr w14:val="tx1"/>
            </w14:solidFill>
          </w14:textFill>
        </w:rPr>
        <w:t>主要危险特征见下表。</w:t>
      </w:r>
    </w:p>
    <w:p w14:paraId="5EA7E201">
      <w:pPr>
        <w:pStyle w:val="117"/>
        <w:rPr>
          <w:rFonts w:ascii="Times New Roman" w:hAnsi="Times New Roman" w:cs="Times New Roman"/>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681E44C9">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危险废物主要危险特征一览表</w:t>
      </w:r>
    </w:p>
    <w:tbl>
      <w:tblPr>
        <w:tblStyle w:val="76"/>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368"/>
        <w:gridCol w:w="965"/>
        <w:gridCol w:w="1739"/>
        <w:gridCol w:w="2841"/>
        <w:gridCol w:w="2889"/>
        <w:gridCol w:w="4578"/>
      </w:tblGrid>
      <w:tr w14:paraId="0B9E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Align w:val="center"/>
          </w:tcPr>
          <w:p w14:paraId="6C41B566">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58" w:type="pct"/>
            <w:vAlign w:val="center"/>
          </w:tcPr>
          <w:p w14:paraId="2FD8F6DA">
            <w:pPr>
              <w:pStyle w:val="109"/>
              <w:rPr>
                <w:color w:val="000000" w:themeColor="text1"/>
                <w14:textFill>
                  <w14:solidFill>
                    <w14:schemeClr w14:val="tx1"/>
                  </w14:solidFill>
                </w14:textFill>
              </w:rPr>
            </w:pPr>
            <w:r>
              <w:rPr>
                <w:color w:val="000000" w:themeColor="text1"/>
                <w14:textFill>
                  <w14:solidFill>
                    <w14:schemeClr w14:val="tx1"/>
                  </w14:solidFill>
                </w14:textFill>
              </w:rPr>
              <w:t>危险物质名称</w:t>
            </w:r>
          </w:p>
        </w:tc>
        <w:tc>
          <w:tcPr>
            <w:tcW w:w="323" w:type="pct"/>
            <w:vAlign w:val="center"/>
          </w:tcPr>
          <w:p w14:paraId="3182D925">
            <w:pPr>
              <w:pStyle w:val="109"/>
              <w:rPr>
                <w:color w:val="000000" w:themeColor="text1"/>
                <w14:textFill>
                  <w14:solidFill>
                    <w14:schemeClr w14:val="tx1"/>
                  </w14:solidFill>
                </w14:textFill>
              </w:rPr>
            </w:pPr>
            <w:r>
              <w:rPr>
                <w:color w:val="000000" w:themeColor="text1"/>
                <w14:textFill>
                  <w14:solidFill>
                    <w14:schemeClr w14:val="tx1"/>
                  </w14:solidFill>
                </w14:textFill>
              </w:rPr>
              <w:t>CAS号</w:t>
            </w:r>
          </w:p>
        </w:tc>
        <w:tc>
          <w:tcPr>
            <w:tcW w:w="582" w:type="pct"/>
            <w:vAlign w:val="center"/>
          </w:tcPr>
          <w:p w14:paraId="5B4BBE26">
            <w:pPr>
              <w:pStyle w:val="109"/>
              <w:rPr>
                <w:color w:val="000000" w:themeColor="text1"/>
                <w14:textFill>
                  <w14:solidFill>
                    <w14:schemeClr w14:val="tx1"/>
                  </w14:solidFill>
                </w14:textFill>
              </w:rPr>
            </w:pPr>
            <w:r>
              <w:rPr>
                <w:color w:val="000000" w:themeColor="text1"/>
                <w14:textFill>
                  <w14:solidFill>
                    <w14:schemeClr w14:val="tx1"/>
                  </w14:solidFill>
                </w14:textFill>
              </w:rPr>
              <w:t>爆炸极限（体积分数）</w:t>
            </w:r>
          </w:p>
        </w:tc>
        <w:tc>
          <w:tcPr>
            <w:tcW w:w="951" w:type="pct"/>
            <w:vAlign w:val="center"/>
          </w:tcPr>
          <w:p w14:paraId="7B7E9EFE">
            <w:pPr>
              <w:pStyle w:val="109"/>
              <w:rPr>
                <w:color w:val="000000" w:themeColor="text1"/>
                <w14:textFill>
                  <w14:solidFill>
                    <w14:schemeClr w14:val="tx1"/>
                  </w14:solidFill>
                </w14:textFill>
              </w:rPr>
            </w:pPr>
            <w:r>
              <w:rPr>
                <w:color w:val="000000" w:themeColor="text1"/>
                <w14:textFill>
                  <w14:solidFill>
                    <w14:schemeClr w14:val="tx1"/>
                  </w14:solidFill>
                </w14:textFill>
              </w:rPr>
              <w:t>急性毒性</w:t>
            </w:r>
          </w:p>
        </w:tc>
        <w:tc>
          <w:tcPr>
            <w:tcW w:w="967" w:type="pct"/>
            <w:vAlign w:val="center"/>
          </w:tcPr>
          <w:p w14:paraId="03D13304">
            <w:pPr>
              <w:pStyle w:val="109"/>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1532" w:type="pct"/>
            <w:vAlign w:val="center"/>
          </w:tcPr>
          <w:p w14:paraId="412DA512">
            <w:pPr>
              <w:pStyle w:val="109"/>
              <w:rPr>
                <w:color w:val="000000" w:themeColor="text1"/>
                <w14:textFill>
                  <w14:solidFill>
                    <w14:schemeClr w14:val="tx1"/>
                  </w14:solidFill>
                </w14:textFill>
              </w:rPr>
            </w:pPr>
            <w:r>
              <w:rPr>
                <w:color w:val="000000" w:themeColor="text1"/>
                <w14:textFill>
                  <w14:solidFill>
                    <w14:schemeClr w14:val="tx1"/>
                  </w14:solidFill>
                </w14:textFill>
              </w:rPr>
              <w:t>危险特征</w:t>
            </w:r>
          </w:p>
        </w:tc>
      </w:tr>
      <w:tr w14:paraId="0F27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Align w:val="center"/>
          </w:tcPr>
          <w:p w14:paraId="682C580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8" w:type="pct"/>
            <w:vAlign w:val="center"/>
          </w:tcPr>
          <w:p w14:paraId="08393B57">
            <w:pPr>
              <w:pStyle w:val="109"/>
              <w:rPr>
                <w:color w:val="000000" w:themeColor="text1"/>
                <w14:textFill>
                  <w14:solidFill>
                    <w14:schemeClr w14:val="tx1"/>
                  </w14:solidFill>
                </w14:textFill>
              </w:rPr>
            </w:pPr>
            <w:r>
              <w:rPr>
                <w:color w:val="000000" w:themeColor="text1"/>
                <w14:textFill>
                  <w14:solidFill>
                    <w14:schemeClr w14:val="tx1"/>
                  </w14:solidFill>
                </w14:textFill>
              </w:rPr>
              <w:t>天然气</w:t>
            </w:r>
          </w:p>
        </w:tc>
        <w:tc>
          <w:tcPr>
            <w:tcW w:w="323" w:type="pct"/>
            <w:vAlign w:val="center"/>
          </w:tcPr>
          <w:p w14:paraId="16A640B0">
            <w:pPr>
              <w:pStyle w:val="109"/>
              <w:rPr>
                <w:color w:val="000000" w:themeColor="text1"/>
                <w14:textFill>
                  <w14:solidFill>
                    <w14:schemeClr w14:val="tx1"/>
                  </w14:solidFill>
                </w14:textFill>
              </w:rPr>
            </w:pPr>
            <w:r>
              <w:rPr>
                <w:color w:val="000000" w:themeColor="text1"/>
                <w14:textFill>
                  <w14:solidFill>
                    <w14:schemeClr w14:val="tx1"/>
                  </w14:solidFill>
                </w14:textFill>
              </w:rPr>
              <w:t>8006-14-2</w:t>
            </w:r>
          </w:p>
        </w:tc>
        <w:tc>
          <w:tcPr>
            <w:tcW w:w="582" w:type="pct"/>
            <w:vAlign w:val="center"/>
          </w:tcPr>
          <w:p w14:paraId="10923277">
            <w:pPr>
              <w:pStyle w:val="109"/>
              <w:rPr>
                <w:color w:val="000000" w:themeColor="text1"/>
                <w14:textFill>
                  <w14:solidFill>
                    <w14:schemeClr w14:val="tx1"/>
                  </w14:solidFill>
                </w14:textFill>
              </w:rPr>
            </w:pPr>
            <w:r>
              <w:rPr>
                <w:color w:val="000000" w:themeColor="text1"/>
                <w14:textFill>
                  <w14:solidFill>
                    <w14:schemeClr w14:val="tx1"/>
                  </w14:solidFill>
                </w14:textFill>
              </w:rPr>
              <w:t>5%～15%</w:t>
            </w:r>
          </w:p>
        </w:tc>
        <w:tc>
          <w:tcPr>
            <w:tcW w:w="951" w:type="pct"/>
            <w:vAlign w:val="center"/>
          </w:tcPr>
          <w:p w14:paraId="130C056D">
            <w:pPr>
              <w:pStyle w:val="109"/>
              <w:rPr>
                <w:color w:val="000000" w:themeColor="text1"/>
                <w14:textFill>
                  <w14:solidFill>
                    <w14:schemeClr w14:val="tx1"/>
                  </w14:solidFill>
                </w14:textFill>
              </w:rPr>
            </w:pPr>
            <w:r>
              <w:rPr>
                <w:color w:val="000000" w:themeColor="text1"/>
                <w14:textFill>
                  <w14:solidFill>
                    <w14:schemeClr w14:val="tx1"/>
                  </w14:solidFill>
                </w14:textFill>
              </w:rPr>
              <w:t>LD</w:t>
            </w:r>
            <w:r>
              <w:rPr>
                <w:color w:val="000000" w:themeColor="text1"/>
                <w:vertAlign w:val="subscript"/>
                <w14:textFill>
                  <w14:solidFill>
                    <w14:schemeClr w14:val="tx1"/>
                  </w14:solidFill>
                </w14:textFill>
              </w:rPr>
              <w:t>50</w:t>
            </w:r>
            <w:r>
              <w:rPr>
                <w:color w:val="000000" w:themeColor="text1"/>
                <w14:textFill>
                  <w14:solidFill>
                    <w14:schemeClr w14:val="tx1"/>
                  </w14:solidFill>
                </w14:textFill>
              </w:rPr>
              <w:t>：无（气体，无经口 / 经皮 LD</w:t>
            </w:r>
            <w:r>
              <w:rPr>
                <w:color w:val="000000" w:themeColor="text1"/>
                <w:vertAlign w:val="subscript"/>
                <w14:textFill>
                  <w14:solidFill>
                    <w14:schemeClr w14:val="tx1"/>
                  </w14:solidFill>
                </w14:textFill>
              </w:rPr>
              <w:t>50</w:t>
            </w:r>
            <w:r>
              <w:rPr>
                <w:color w:val="000000" w:themeColor="text1"/>
                <w14:textFill>
                  <w14:solidFill>
                    <w14:schemeClr w14:val="tx1"/>
                  </w14:solidFill>
                </w14:textFill>
              </w:rPr>
              <w:t>）</w:t>
            </w:r>
          </w:p>
          <w:p w14:paraId="60842173">
            <w:pPr>
              <w:pStyle w:val="109"/>
              <w:rPr>
                <w:color w:val="000000" w:themeColor="text1"/>
                <w14:textFill>
                  <w14:solidFill>
                    <w14:schemeClr w14:val="tx1"/>
                  </w14:solidFill>
                </w14:textFill>
              </w:rPr>
            </w:pPr>
            <w:r>
              <w:rPr>
                <w:color w:val="000000" w:themeColor="text1"/>
                <w14:textFill>
                  <w14:solidFill>
                    <w14:schemeClr w14:val="tx1"/>
                  </w14:solidFill>
                </w14:textFill>
              </w:rPr>
              <w:t>LC</w:t>
            </w:r>
            <w:r>
              <w:rPr>
                <w:color w:val="000000" w:themeColor="text1"/>
                <w:vertAlign w:val="subscript"/>
                <w14:textFill>
                  <w14:solidFill>
                    <w14:schemeClr w14:val="tx1"/>
                  </w14:solidFill>
                </w14:textFill>
              </w:rPr>
              <w:t>50</w:t>
            </w:r>
            <w:r>
              <w:rPr>
                <w:color w:val="000000" w:themeColor="text1"/>
                <w14:textFill>
                  <w14:solidFill>
                    <w14:schemeClr w14:val="tx1"/>
                  </w14:solidFill>
                </w14:textFill>
              </w:rPr>
              <w:t>：甲烷对小鼠：&gt;500000mg/m³，吸入 2h</w:t>
            </w:r>
          </w:p>
        </w:tc>
        <w:tc>
          <w:tcPr>
            <w:tcW w:w="967" w:type="pct"/>
            <w:vAlign w:val="center"/>
          </w:tcPr>
          <w:p w14:paraId="030C6FBD">
            <w:pPr>
              <w:pStyle w:val="109"/>
              <w:rPr>
                <w:color w:val="000000" w:themeColor="text1"/>
                <w14:textFill>
                  <w14:solidFill>
                    <w14:schemeClr w14:val="tx1"/>
                  </w14:solidFill>
                </w14:textFill>
              </w:rPr>
            </w:pPr>
            <w:r>
              <w:rPr>
                <w:color w:val="000000" w:themeColor="text1"/>
                <w14:textFill>
                  <w14:solidFill>
                    <w14:schemeClr w14:val="tx1"/>
                  </w14:solidFill>
                </w14:textFill>
              </w:rPr>
              <w:t>易燃气体，极易燃，与空气混合能形成爆炸性混合物</w:t>
            </w:r>
          </w:p>
        </w:tc>
        <w:tc>
          <w:tcPr>
            <w:tcW w:w="1532" w:type="pct"/>
            <w:vAlign w:val="center"/>
          </w:tcPr>
          <w:p w14:paraId="236EFAA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 爆炸极限范围较宽，遇明火、高热、静电可发生燃烧爆炸；</w:t>
            </w:r>
          </w:p>
          <w:p w14:paraId="7392A67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2. 气体比空气轻，泄漏后易向上扩散，易造成空间内爆炸性环境；</w:t>
            </w:r>
          </w:p>
          <w:p w14:paraId="5C082BB8">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3. 高浓度可导致缺氧窒息；</w:t>
            </w:r>
          </w:p>
          <w:p w14:paraId="4082169F">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4. 受热容器压力升高，可能发生物理爆炸；</w:t>
            </w:r>
          </w:p>
          <w:p w14:paraId="3961A1B6">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5. 不完全燃烧产生一氧化碳等有毒有害气体。</w:t>
            </w:r>
          </w:p>
        </w:tc>
      </w:tr>
      <w:tr w14:paraId="694D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Align w:val="center"/>
          </w:tcPr>
          <w:p w14:paraId="7625A7C5">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458" w:type="pct"/>
            <w:vAlign w:val="center"/>
          </w:tcPr>
          <w:p w14:paraId="1DA23052">
            <w:pPr>
              <w:pStyle w:val="109"/>
              <w:rPr>
                <w:color w:val="000000" w:themeColor="text1"/>
                <w14:textFill>
                  <w14:solidFill>
                    <w14:schemeClr w14:val="tx1"/>
                  </w14:solidFill>
                </w14:textFill>
              </w:rPr>
            </w:pPr>
            <w:r>
              <w:rPr>
                <w:color w:val="000000" w:themeColor="text1"/>
                <w14:textFill>
                  <w14:solidFill>
                    <w14:schemeClr w14:val="tx1"/>
                  </w14:solidFill>
                </w14:textFill>
              </w:rPr>
              <w:t>废矿物油</w:t>
            </w:r>
          </w:p>
        </w:tc>
        <w:tc>
          <w:tcPr>
            <w:tcW w:w="323" w:type="pct"/>
            <w:vAlign w:val="center"/>
          </w:tcPr>
          <w:p w14:paraId="72248816">
            <w:pPr>
              <w:pStyle w:val="109"/>
              <w:rPr>
                <w:color w:val="000000" w:themeColor="text1"/>
                <w14:textFill>
                  <w14:solidFill>
                    <w14:schemeClr w14:val="tx1"/>
                  </w14:solidFill>
                </w14:textFill>
              </w:rPr>
            </w:pPr>
            <w:r>
              <w:rPr>
                <w:color w:val="000000" w:themeColor="text1"/>
                <w14:textFill>
                  <w14:solidFill>
                    <w14:schemeClr w14:val="tx1"/>
                  </w14:solidFill>
                </w14:textFill>
              </w:rPr>
              <w:t>8042-47-5</w:t>
            </w:r>
          </w:p>
        </w:tc>
        <w:tc>
          <w:tcPr>
            <w:tcW w:w="582" w:type="pct"/>
            <w:vAlign w:val="center"/>
          </w:tcPr>
          <w:p w14:paraId="3EDA67A4">
            <w:pPr>
              <w:pStyle w:val="109"/>
              <w:rPr>
                <w:color w:val="000000" w:themeColor="text1"/>
                <w14:textFill>
                  <w14:solidFill>
                    <w14:schemeClr w14:val="tx1"/>
                  </w14:solidFill>
                </w14:textFill>
              </w:rPr>
            </w:pPr>
            <w:r>
              <w:rPr>
                <w:color w:val="000000" w:themeColor="text1"/>
                <w14:textFill>
                  <w14:solidFill>
                    <w14:schemeClr w14:val="tx1"/>
                  </w14:solidFill>
                </w14:textFill>
              </w:rPr>
              <w:t>0.9%～6%（随馏分变化）</w:t>
            </w:r>
          </w:p>
        </w:tc>
        <w:tc>
          <w:tcPr>
            <w:tcW w:w="951" w:type="pct"/>
            <w:vAlign w:val="center"/>
          </w:tcPr>
          <w:p w14:paraId="3ACF36BA">
            <w:pPr>
              <w:pStyle w:val="109"/>
              <w:rPr>
                <w:color w:val="000000" w:themeColor="text1"/>
                <w14:textFill>
                  <w14:solidFill>
                    <w14:schemeClr w14:val="tx1"/>
                  </w14:solidFill>
                </w14:textFill>
              </w:rPr>
            </w:pPr>
            <w:r>
              <w:rPr>
                <w:color w:val="000000" w:themeColor="text1"/>
                <w14:textFill>
                  <w14:solidFill>
                    <w14:schemeClr w14:val="tx1"/>
                  </w14:solidFill>
                </w14:textFill>
              </w:rPr>
              <w:t>LD</w:t>
            </w:r>
            <w:r>
              <w:rPr>
                <w:color w:val="000000" w:themeColor="text1"/>
                <w:vertAlign w:val="subscript"/>
                <w14:textFill>
                  <w14:solidFill>
                    <w14:schemeClr w14:val="tx1"/>
                  </w14:solidFill>
                </w14:textFill>
              </w:rPr>
              <w:t>50</w:t>
            </w:r>
            <w:r>
              <w:rPr>
                <w:color w:val="000000" w:themeColor="text1"/>
                <w14:textFill>
                  <w14:solidFill>
                    <w14:schemeClr w14:val="tx1"/>
                  </w14:solidFill>
                </w14:textFill>
              </w:rPr>
              <w:t>：大鼠经口：&gt;2000 mg/kg（低毒）</w:t>
            </w:r>
          </w:p>
          <w:p w14:paraId="626D04FD">
            <w:pPr>
              <w:pStyle w:val="109"/>
              <w:rPr>
                <w:color w:val="000000" w:themeColor="text1"/>
                <w14:textFill>
                  <w14:solidFill>
                    <w14:schemeClr w14:val="tx1"/>
                  </w14:solidFill>
                </w14:textFill>
              </w:rPr>
            </w:pPr>
            <w:r>
              <w:rPr>
                <w:color w:val="000000" w:themeColor="text1"/>
                <w14:textFill>
                  <w14:solidFill>
                    <w14:schemeClr w14:val="tx1"/>
                  </w14:solidFill>
                </w14:textFill>
              </w:rPr>
              <w:t>LC</w:t>
            </w:r>
            <w:r>
              <w:rPr>
                <w:color w:val="000000" w:themeColor="text1"/>
                <w:vertAlign w:val="subscript"/>
                <w14:textFill>
                  <w14:solidFill>
                    <w14:schemeClr w14:val="tx1"/>
                  </w14:solidFill>
                </w14:textFill>
              </w:rPr>
              <w:t>50</w:t>
            </w:r>
            <w:r>
              <w:rPr>
                <w:color w:val="000000" w:themeColor="text1"/>
                <w14:textFill>
                  <w14:solidFill>
                    <w14:schemeClr w14:val="tx1"/>
                  </w14:solidFill>
                </w14:textFill>
              </w:rPr>
              <w:t>：大鼠吸入（蒸气 / 雾）：&gt;5000 mg/m³（低毒）</w:t>
            </w:r>
          </w:p>
        </w:tc>
        <w:tc>
          <w:tcPr>
            <w:tcW w:w="967" w:type="pct"/>
            <w:vAlign w:val="center"/>
          </w:tcPr>
          <w:p w14:paraId="7E85AD13">
            <w:pPr>
              <w:pStyle w:val="109"/>
              <w:rPr>
                <w:color w:val="000000" w:themeColor="text1"/>
                <w14:textFill>
                  <w14:solidFill>
                    <w14:schemeClr w14:val="tx1"/>
                  </w14:solidFill>
                </w14:textFill>
              </w:rPr>
            </w:pPr>
            <w:r>
              <w:rPr>
                <w:color w:val="000000" w:themeColor="text1"/>
                <w14:textFill>
                  <w14:solidFill>
                    <w14:schemeClr w14:val="tx1"/>
                  </w14:solidFill>
                </w14:textFill>
              </w:rPr>
              <w:t>易燃液体，蒸气可与空气形成爆炸性混合物</w:t>
            </w:r>
          </w:p>
        </w:tc>
        <w:tc>
          <w:tcPr>
            <w:tcW w:w="1532" w:type="pct"/>
            <w:vAlign w:val="center"/>
          </w:tcPr>
          <w:p w14:paraId="24970B9B">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 遇明火、高热、氧化剂易燃烧，闪点较低，易闪燃；</w:t>
            </w:r>
          </w:p>
          <w:p w14:paraId="51A4F1C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2. 易产生并积聚静电，静电放电可引燃蒸气；</w:t>
            </w:r>
          </w:p>
          <w:p w14:paraId="3FDD440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3. 泄漏后易流淌扩散，扩大火灾范围；</w:t>
            </w:r>
          </w:p>
          <w:p w14:paraId="2687925E">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4. 燃烧产生黑烟、有毒烟雾及刺激性气体；</w:t>
            </w:r>
          </w:p>
          <w:p w14:paraId="2ED1C9F1">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5. 泄漏易污染土壤、地表及地下水环境。</w:t>
            </w:r>
          </w:p>
        </w:tc>
      </w:tr>
      <w:tr w14:paraId="35D4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Align w:val="center"/>
          </w:tcPr>
          <w:p w14:paraId="4AD33C8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58" w:type="pct"/>
            <w:vAlign w:val="center"/>
          </w:tcPr>
          <w:p w14:paraId="24C5C69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10%氨水</w:t>
            </w:r>
          </w:p>
        </w:tc>
        <w:tc>
          <w:tcPr>
            <w:tcW w:w="323" w:type="pct"/>
            <w:vAlign w:val="center"/>
          </w:tcPr>
          <w:p w14:paraId="52601D2A">
            <w:pPr>
              <w:pStyle w:val="109"/>
              <w:rPr>
                <w:color w:val="000000" w:themeColor="text1"/>
                <w14:textFill>
                  <w14:solidFill>
                    <w14:schemeClr w14:val="tx1"/>
                  </w14:solidFill>
                </w14:textFill>
              </w:rPr>
            </w:pPr>
            <w:r>
              <w:rPr>
                <w:color w:val="000000" w:themeColor="text1"/>
                <w14:textFill>
                  <w14:solidFill>
                    <w14:schemeClr w14:val="tx1"/>
                  </w14:solidFill>
                </w14:textFill>
              </w:rPr>
              <w:t>1336-21-6</w:t>
            </w:r>
          </w:p>
        </w:tc>
        <w:tc>
          <w:tcPr>
            <w:tcW w:w="582" w:type="pct"/>
            <w:vAlign w:val="center"/>
          </w:tcPr>
          <w:p w14:paraId="4C4BC8B2">
            <w:pPr>
              <w:pStyle w:val="109"/>
              <w:rPr>
                <w:color w:val="000000" w:themeColor="text1"/>
                <w14:textFill>
                  <w14:solidFill>
                    <w14:schemeClr w14:val="tx1"/>
                  </w14:solidFill>
                </w14:textFill>
              </w:rPr>
            </w:pPr>
            <w:r>
              <w:rPr>
                <w:rStyle w:val="84"/>
                <w:b w:val="0"/>
                <w:bCs w:val="0"/>
                <w:color w:val="000000" w:themeColor="text1"/>
                <w14:textFill>
                  <w14:solidFill>
                    <w14:schemeClr w14:val="tx1"/>
                  </w14:solidFill>
                </w14:textFill>
              </w:rPr>
              <w:t>15% ～ 28%</w:t>
            </w:r>
            <w:r>
              <w:rPr>
                <w:color w:val="000000" w:themeColor="text1"/>
                <w14:textFill>
                  <w14:solidFill>
                    <w14:schemeClr w14:val="tx1"/>
                  </w14:solidFill>
                </w14:textFill>
              </w:rPr>
              <w:t>（氨气在空气中的爆炸极限，溶液本身不燃，挥发氨气可燃爆）</w:t>
            </w:r>
          </w:p>
        </w:tc>
        <w:tc>
          <w:tcPr>
            <w:tcW w:w="951" w:type="pct"/>
            <w:vAlign w:val="center"/>
          </w:tcPr>
          <w:p w14:paraId="125F38D9">
            <w:pPr>
              <w:pStyle w:val="109"/>
              <w:rPr>
                <w:color w:val="000000" w:themeColor="text1"/>
                <w14:textFill>
                  <w14:solidFill>
                    <w14:schemeClr w14:val="tx1"/>
                  </w14:solidFill>
                </w14:textFill>
              </w:rPr>
            </w:pPr>
            <w:r>
              <w:rPr>
                <w:color w:val="000000" w:themeColor="text1"/>
                <w14:textFill>
                  <w14:solidFill>
                    <w14:schemeClr w14:val="tx1"/>
                  </w14:solidFill>
                </w14:textFill>
              </w:rPr>
              <w:t>急性吸入有毒（大鼠吸入LC₅₀：4230ppm/h），高浓度吸入可致肺水肿、窒息</w:t>
            </w:r>
          </w:p>
        </w:tc>
        <w:tc>
          <w:tcPr>
            <w:tcW w:w="967" w:type="pct"/>
            <w:vAlign w:val="center"/>
          </w:tcPr>
          <w:p w14:paraId="6A148AB0">
            <w:pPr>
              <w:pStyle w:val="109"/>
              <w:rPr>
                <w:color w:val="000000" w:themeColor="text1"/>
                <w14:textFill>
                  <w14:solidFill>
                    <w14:schemeClr w14:val="tx1"/>
                  </w14:solidFill>
                </w14:textFill>
              </w:rPr>
            </w:pPr>
            <w:r>
              <w:rPr>
                <w:color w:val="000000" w:themeColor="text1"/>
                <w14:textFill>
                  <w14:solidFill>
                    <w14:schemeClr w14:val="tx1"/>
                  </w14:solidFill>
                </w14:textFill>
              </w:rPr>
              <w:t>氨水本身不燃，但其挥发的氨气在空气中体积分数达到15%~28%（爆炸极限）时，遇明火、高热可形成爆炸性混合物</w:t>
            </w:r>
          </w:p>
        </w:tc>
        <w:tc>
          <w:tcPr>
            <w:tcW w:w="1532" w:type="pct"/>
            <w:vAlign w:val="center"/>
          </w:tcPr>
          <w:p w14:paraId="31196212">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1. 易挥发出氨气，有刺激性和毒性；2. 具强腐蚀性、强刺激性；3. 与酸剧烈反应放热；4. 氨气与空气可形成爆炸性混合物，遇明火、高热可燃爆。</w:t>
            </w:r>
          </w:p>
        </w:tc>
      </w:tr>
    </w:tbl>
    <w:p w14:paraId="69962284">
      <w:pPr>
        <w:pStyle w:val="197"/>
        <w:ind w:firstLine="480" w:firstLineChars="200"/>
        <w:rPr>
          <w:rFonts w:ascii="Times New Roman" w:hAnsi="Times New Roman"/>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p>
    <w:p w14:paraId="2CE45DC0">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原材料废盐等危险废物在贮存过程中不会对外环境造成较大影响。但由于天然气和矿物油泄露，以及生产设备或线路老化可能导致火灾事故发生。产生有害物质如一氧化碳等火灾次生污染物，通过大气传播扩散到空气中，对周围环境空气产生污染。</w:t>
      </w:r>
      <w:r>
        <w:rPr>
          <w:rFonts w:hint="eastAsia" w:ascii="Times New Roman" w:hAnsi="Times New Roman"/>
          <w:color w:val="000000" w:themeColor="text1"/>
          <w14:textFill>
            <w14:solidFill>
              <w14:schemeClr w14:val="tx1"/>
            </w14:solidFill>
          </w14:textFill>
        </w:rPr>
        <w:t>天然气</w:t>
      </w:r>
      <w:r>
        <w:rPr>
          <w:rFonts w:ascii="Times New Roman" w:hAnsi="Times New Roman"/>
          <w:color w:val="000000" w:themeColor="text1"/>
          <w14:textFill>
            <w14:solidFill>
              <w14:schemeClr w14:val="tx1"/>
            </w14:solidFill>
          </w14:textFill>
        </w:rPr>
        <w:t>通过外部管道输送至项目区，无专门储罐，仅少量存储于输送管道（含项目区内分支管道）及连接接口处，管道沿项目区规划路线铺设，贯穿相关生产区域。矿物油（废矿物油）仅暂存于项目专用危废暂存间，采用密封容器盛装，分类存放于危废暂存间防渗区域，暂存间设置防雨、防晒、防渗、通风设施，严禁随意堆放、倾倒。</w:t>
      </w:r>
    </w:p>
    <w:p w14:paraId="212A3B49">
      <w:pPr>
        <w:pStyle w:val="197"/>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项目使用10%的氨水，</w:t>
      </w:r>
      <w:r>
        <w:rPr>
          <w:rFonts w:ascii="Times New Roman" w:hAnsi="Times New Roman"/>
          <w:color w:val="000000" w:themeColor="text1"/>
          <w14:textFill>
            <w14:solidFill>
              <w14:schemeClr w14:val="tx1"/>
            </w14:solidFill>
          </w14:textFill>
        </w:rPr>
        <w:t>集中储存于项目专用储罐区，储存量30m³，储罐区设置围堰、防渗设施；配套建设输送管道，连接储罐与使用区域，用于氨水的输送。</w:t>
      </w:r>
      <w:r>
        <w:rPr>
          <w:rFonts w:hint="eastAsia" w:ascii="Times New Roman" w:hAnsi="Times New Roman"/>
          <w:color w:val="000000" w:themeColor="text1"/>
          <w14:textFill>
            <w14:solidFill>
              <w14:schemeClr w14:val="tx1"/>
            </w14:solidFill>
          </w14:textFill>
        </w:rPr>
        <w:t>储罐或管线泄露情况下会挥发产生氨气，对环境空气、土壤、地下水造成一定影响。</w:t>
      </w:r>
    </w:p>
    <w:p w14:paraId="4FED5B07">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产生的废气主要为热解焙烧废气、废盐储存废气等，其中热解焙烧废气污染物种类较多，主要包括烟尘、酸性气体、氮氧化物、一氧化碳、二噁英等污染物，一旦废气处理装置发生事故或非正常工况，未经处理达标的污染物对周围环境造成污染。</w:t>
      </w:r>
    </w:p>
    <w:p w14:paraId="5FC9F1EF">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风险</w:t>
      </w:r>
      <w:r>
        <w:rPr>
          <w:rFonts w:hint="eastAsia" w:ascii="Times New Roman" w:hAnsi="Times New Roman"/>
          <w:color w:val="000000" w:themeColor="text1"/>
          <w14:textFill>
            <w14:solidFill>
              <w14:schemeClr w14:val="tx1"/>
            </w14:solidFill>
          </w14:textFill>
        </w:rPr>
        <w:t>源</w:t>
      </w:r>
      <w:r>
        <w:rPr>
          <w:rFonts w:ascii="Times New Roman" w:hAnsi="Times New Roman"/>
          <w:color w:val="000000" w:themeColor="text1"/>
          <w14:textFill>
            <w14:solidFill>
              <w14:schemeClr w14:val="tx1"/>
            </w14:solidFill>
          </w14:textFill>
        </w:rPr>
        <w:t>识别</w:t>
      </w:r>
    </w:p>
    <w:p w14:paraId="61534838">
      <w:pPr>
        <w:pStyle w:val="197"/>
        <w:ind w:firstLineChars="20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（1）危险废物收集、运输、贮存</w:t>
      </w:r>
    </w:p>
    <w:p w14:paraId="530689D9">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1）收集、包装容器</w:t>
      </w:r>
    </w:p>
    <w:p w14:paraId="3CE32D30">
      <w:pPr>
        <w:pStyle w:val="197"/>
        <w:ind w:firstLine="480" w:firstLineChars="200"/>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包装容器破损，导致废物泄露至环境中，造成污染；</w:t>
      </w:r>
    </w:p>
    <w:p w14:paraId="72495EBB">
      <w:pPr>
        <w:pStyle w:val="197"/>
        <w:ind w:firstLine="480" w:firstLineChars="200"/>
        <w:rPr>
          <w:rFonts w:ascii="Times New Roman" w:hAnsi="Times New Roman"/>
          <w:color w:val="000000" w:themeColor="text1"/>
          <w14:textFill>
            <w14:solidFill>
              <w14:schemeClr w14:val="tx1"/>
            </w14:solidFill>
          </w14:textFill>
        </w:rPr>
      </w:pPr>
      <w:bookmarkStart w:id="551" w:name="_Toc329793749"/>
      <w:bookmarkStart w:id="552" w:name="_Toc320518440"/>
      <w:bookmarkStart w:id="553" w:name="_Toc320518438"/>
      <w:r>
        <w:rPr>
          <w:rFonts w:ascii="Cambria Math" w:hAnsi="Cambria Math" w:cs="Cambria Math"/>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误收公司无法安全处置的危险废物，在处置过程中产生危险或二状污染；</w:t>
      </w:r>
    </w:p>
    <w:p w14:paraId="03C4130A">
      <w:pPr>
        <w:pStyle w:val="197"/>
        <w:ind w:firstLine="480" w:firstLineChars="200"/>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对危险废物理化性质不了解而将废物盛装于不适合的容器内或将不相容的废物馄合在一起，导致发生危险事故或二状污染；</w:t>
      </w:r>
    </w:p>
    <w:p w14:paraId="141B17B7">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2）运输：包装容器、车辆</w:t>
      </w:r>
    </w:p>
    <w:p w14:paraId="6E6979FB">
      <w:pPr>
        <w:pStyle w:val="197"/>
        <w:ind w:firstLine="480" w:firstLineChars="200"/>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运输时因包装密封不出现扬散、泄漏而使废物散落；</w:t>
      </w:r>
    </w:p>
    <w:p w14:paraId="5F797C5B">
      <w:pPr>
        <w:pStyle w:val="197"/>
        <w:ind w:firstLine="480" w:firstLineChars="200"/>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交通事故(车祸)，车身倾翻，货箱破裂，整车的废物流失进入环境；</w:t>
      </w:r>
    </w:p>
    <w:p w14:paraId="0F5DD7A0">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3）接收、贮存：卸料车间、暂存车间</w:t>
      </w:r>
    </w:p>
    <w:p w14:paraId="28EFA03E">
      <w:pPr>
        <w:pStyle w:val="197"/>
        <w:ind w:firstLine="480" w:firstLineChars="200"/>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操作管理不当，在废物接收、贮存、装卸时，造成盛装危险废物的容器倾翻或破裂；</w:t>
      </w:r>
    </w:p>
    <w:p w14:paraId="0BE32F89">
      <w:pPr>
        <w:pStyle w:val="197"/>
        <w:ind w:firstLine="480" w:firstLineChars="200"/>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容器老化或受外力冲击，产生裂口裂缝，造成固体物料外泄。</w:t>
      </w:r>
    </w:p>
    <w:p w14:paraId="25A35969">
      <w:pPr>
        <w:pStyle w:val="197"/>
        <w:ind w:firstLine="480" w:firstLineChars="200"/>
        <w:rPr>
          <w:rFonts w:ascii="Times New Roman" w:hAnsi="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火灾，造成容器破裂，固体物料外泄。</w:t>
      </w:r>
    </w:p>
    <w:p w14:paraId="06A9E54B">
      <w:pPr>
        <w:pStyle w:val="197"/>
        <w:ind w:firstLineChars="20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（2）热解焙烧系统</w:t>
      </w:r>
    </w:p>
    <w:p w14:paraId="3ECE210C">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本项目废盐在热解焙烧处理过程中，由于热解焙烧炉管理及人为因素造成温度不够、烟气停留时间不足情况下二噁英非正常排放；废气处理装置故障时酸性废气、SO</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、烟尘、氮氧化物排放量增加；炉内CO量过大造成爆炸事故对周围环境的影响。</w:t>
      </w:r>
    </w:p>
    <w:p w14:paraId="24AB3448">
      <w:pPr>
        <w:pStyle w:val="197"/>
        <w:ind w:firstLineChars="200"/>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（3）氨水储罐区</w:t>
      </w:r>
    </w:p>
    <w:p w14:paraId="518CBBF6">
      <w:pPr>
        <w:pStyle w:val="197"/>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氨水</w:t>
      </w:r>
      <w:r>
        <w:rPr>
          <w:rFonts w:ascii="Times New Roman" w:hAnsi="Times New Roman"/>
          <w:color w:val="000000" w:themeColor="text1"/>
          <w14:textFill>
            <w14:solidFill>
              <w14:schemeClr w14:val="tx1"/>
            </w14:solidFill>
          </w14:textFill>
        </w:rPr>
        <w:t>集中储存于项目专用储罐区，储存量30m³，</w:t>
      </w:r>
      <w:r>
        <w:rPr>
          <w:rFonts w:hint="eastAsia" w:ascii="Times New Roman" w:hAnsi="Times New Roman"/>
          <w:color w:val="000000" w:themeColor="text1"/>
          <w14:textFill>
            <w14:solidFill>
              <w14:schemeClr w14:val="tx1"/>
            </w14:solidFill>
          </w14:textFill>
        </w:rPr>
        <w:t>氨水属于</w:t>
      </w:r>
      <w:r>
        <w:rPr>
          <w:rFonts w:ascii="Times New Roman" w:hAnsi="Times New Roman"/>
          <w:color w:val="000000" w:themeColor="text1"/>
          <w14:textFill>
            <w14:solidFill>
              <w14:schemeClr w14:val="tx1"/>
            </w14:solidFill>
          </w14:textFill>
        </w:rPr>
        <w:t>强碱性腐蚀品，易挥发，挥发的氨气为有毒、刺激性气体；对皮肤、眼睛、呼吸道具有强腐蚀作用，高浓度吸入可致肺水肿、窒息；氨水本身不燃，但氨气在空气中体积分数达15%~28%时，遇明火可形成爆炸性混合物；对水生生物毒性极大，渗入土壤可导致土壤碱化</w:t>
      </w:r>
      <w:r>
        <w:rPr>
          <w:rFonts w:hint="eastAsia" w:ascii="Times New Roman" w:hAnsi="Times New Roman"/>
          <w:color w:val="000000" w:themeColor="text1"/>
          <w14:textFill>
            <w14:solidFill>
              <w14:schemeClr w14:val="tx1"/>
            </w14:solidFill>
          </w14:textFill>
        </w:rPr>
        <w:t>。</w:t>
      </w:r>
    </w:p>
    <w:p w14:paraId="04D6A90C">
      <w:pPr>
        <w:pStyle w:val="5"/>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w:t>危险物质向环境转移的途径识别</w:t>
      </w:r>
    </w:p>
    <w:p w14:paraId="1ECB7291">
      <w:pPr>
        <w:ind w:firstLine="480"/>
        <w:rPr>
          <w:color w:val="000000" w:themeColor="text1"/>
          <w14:textFill>
            <w14:solidFill>
              <w14:schemeClr w14:val="tx1"/>
            </w14:solidFill>
          </w14:textFill>
        </w:rPr>
      </w:pPr>
      <w:r>
        <w:rPr>
          <w:color w:val="000000" w:themeColor="text1"/>
          <w14:textFill>
            <w14:solidFill>
              <w14:schemeClr w14:val="tx1"/>
            </w14:solidFill>
          </w14:textFill>
        </w:rPr>
        <w:t>结合三种危险物质的危险特性及分布情况，其泄漏后可能影响环境的途径主要分为挥发、漫流、下渗、燃烧扩散四种，具体如下：</w:t>
      </w:r>
    </w:p>
    <w:p w14:paraId="7DF6DB72">
      <w:pPr>
        <w:ind w:firstLine="482"/>
        <w:rPr>
          <w:color w:val="000000" w:themeColor="text1"/>
          <w14:textFill>
            <w14:solidFill>
              <w14:schemeClr w14:val="tx1"/>
            </w14:solidFill>
          </w14:textFill>
        </w:rPr>
      </w:pPr>
      <w:r>
        <w:rPr>
          <w:b/>
          <w:color w:val="000000" w:themeColor="text1"/>
          <w14:textFill>
            <w14:solidFill>
              <w14:schemeClr w14:val="tx1"/>
            </w14:solidFill>
          </w14:textFill>
        </w:rPr>
        <w:t>1. 天然气</w:t>
      </w:r>
    </w:p>
    <w:p w14:paraId="024D9C27">
      <w:pPr>
        <w:ind w:firstLine="480"/>
        <w:rPr>
          <w:color w:val="000000" w:themeColor="text1"/>
          <w14:textFill>
            <w14:solidFill>
              <w14:schemeClr w14:val="tx1"/>
            </w14:solidFill>
          </w14:textFill>
        </w:rPr>
      </w:pPr>
      <w:r>
        <w:rPr>
          <w:color w:val="000000" w:themeColor="text1"/>
          <w14:textFill>
            <w14:solidFill>
              <w14:schemeClr w14:val="tx1"/>
            </w14:solidFill>
          </w14:textFill>
        </w:rPr>
        <w:t>天然气泄漏后，主要通过“挥发扩散”途径影响环境：泄漏的天然气（主要为甲烷）快速挥发至大气中，若浓度达到爆炸极限（5%~15%），遇明火、高热可引发爆炸燃烧，产生的高温烟气及一氧化碳等有毒气体，污染大气环境；高浓度天然气扩散可导致局部区域氧气含量降低，引发人员窒息，同时对周边植被造成高温灼伤；若爆炸引发次生火灾，还可能导致周边设备破损，引发其他污染物泄漏，加剧环境影响。</w:t>
      </w:r>
    </w:p>
    <w:p w14:paraId="766C41D5">
      <w:pPr>
        <w:ind w:firstLine="482"/>
        <w:rPr>
          <w:color w:val="000000" w:themeColor="text1"/>
          <w14:textFill>
            <w14:solidFill>
              <w14:schemeClr w14:val="tx1"/>
            </w14:solidFill>
          </w14:textFill>
        </w:rPr>
      </w:pPr>
      <w:r>
        <w:rPr>
          <w:b/>
          <w:color w:val="000000" w:themeColor="text1"/>
          <w14:textFill>
            <w14:solidFill>
              <w14:schemeClr w14:val="tx1"/>
            </w14:solidFill>
          </w14:textFill>
        </w:rPr>
        <w:t>2. 氨水</w:t>
      </w:r>
    </w:p>
    <w:p w14:paraId="32267507">
      <w:pPr>
        <w:ind w:firstLine="480"/>
        <w:rPr>
          <w:color w:val="000000" w:themeColor="text1"/>
          <w14:textFill>
            <w14:solidFill>
              <w14:schemeClr w14:val="tx1"/>
            </w14:solidFill>
          </w14:textFill>
        </w:rPr>
      </w:pPr>
      <w:r>
        <w:rPr>
          <w:color w:val="000000" w:themeColor="text1"/>
          <w14:textFill>
            <w14:solidFill>
              <w14:schemeClr w14:val="tx1"/>
            </w14:solidFill>
          </w14:textFill>
        </w:rPr>
        <w:t>氨水泄漏后，主要通过“挥发、漫流、下渗”三种途径影响环境：</w:t>
      </w:r>
    </w:p>
    <w:p w14:paraId="086466A3">
      <w:pPr>
        <w:ind w:firstLine="480"/>
        <w:rPr>
          <w:color w:val="000000" w:themeColor="text1"/>
          <w14:textFill>
            <w14:solidFill>
              <w14:schemeClr w14:val="tx1"/>
            </w14:solidFill>
          </w14:textFill>
        </w:rPr>
      </w:pPr>
      <w:r>
        <w:rPr>
          <w:color w:val="000000" w:themeColor="text1"/>
          <w14:textFill>
            <w14:solidFill>
              <w14:schemeClr w14:val="tx1"/>
            </w14:solidFill>
          </w14:textFill>
        </w:rPr>
        <w:t>挥发：氨水易挥发出氨气，氨气扩散至大气中，造成大气污染，对人体健康及周边植被造成危害；</w:t>
      </w:r>
    </w:p>
    <w:p w14:paraId="0EC22D92">
      <w:pPr>
        <w:ind w:firstLine="480"/>
        <w:rPr>
          <w:color w:val="000000" w:themeColor="text1"/>
          <w14:textFill>
            <w14:solidFill>
              <w14:schemeClr w14:val="tx1"/>
            </w14:solidFill>
          </w14:textFill>
        </w:rPr>
      </w:pPr>
      <w:r>
        <w:rPr>
          <w:color w:val="000000" w:themeColor="text1"/>
          <w14:textFill>
            <w14:solidFill>
              <w14:schemeClr w14:val="tx1"/>
            </w14:solidFill>
          </w14:textFill>
        </w:rPr>
        <w:t>漫流：泄漏的氨水沿地面漫流，若进入雨水系统、地表水体（如河流、池塘），造成水体pH升高、氨氮超标，危害水生生态；</w:t>
      </w:r>
    </w:p>
    <w:p w14:paraId="4A5AEFEA">
      <w:pPr>
        <w:ind w:firstLine="480"/>
        <w:rPr>
          <w:color w:val="000000" w:themeColor="text1"/>
          <w14:textFill>
            <w14:solidFill>
              <w14:schemeClr w14:val="tx1"/>
            </w14:solidFill>
          </w14:textFill>
        </w:rPr>
      </w:pPr>
      <w:r>
        <w:rPr>
          <w:color w:val="000000" w:themeColor="text1"/>
          <w14:textFill>
            <w14:solidFill>
              <w14:schemeClr w14:val="tx1"/>
            </w14:solidFill>
          </w14:textFill>
        </w:rPr>
        <w:t>下渗：氨水渗入土壤，导致土壤碱化，破坏土壤理化性质及土壤生态，若下渗至地下水，可造成地下水污染，影响饮用水安全（若周边有地下水饮用水源地）。</w:t>
      </w:r>
    </w:p>
    <w:p w14:paraId="1DB2AE7D">
      <w:pPr>
        <w:ind w:firstLine="482"/>
        <w:rPr>
          <w:color w:val="000000" w:themeColor="text1"/>
          <w14:textFill>
            <w14:solidFill>
              <w14:schemeClr w14:val="tx1"/>
            </w14:solidFill>
          </w14:textFill>
        </w:rPr>
      </w:pPr>
      <w:r>
        <w:rPr>
          <w:b/>
          <w:color w:val="000000" w:themeColor="text1"/>
          <w14:textFill>
            <w14:solidFill>
              <w14:schemeClr w14:val="tx1"/>
            </w14:solidFill>
          </w14:textFill>
        </w:rPr>
        <w:t>3. 矿物油（废矿物油）</w:t>
      </w:r>
    </w:p>
    <w:p w14:paraId="6ADCBA03">
      <w:pPr>
        <w:ind w:firstLine="480"/>
        <w:rPr>
          <w:color w:val="000000" w:themeColor="text1"/>
          <w14:textFill>
            <w14:solidFill>
              <w14:schemeClr w14:val="tx1"/>
            </w14:solidFill>
          </w14:textFill>
        </w:rPr>
      </w:pPr>
      <w:r>
        <w:rPr>
          <w:color w:val="000000" w:themeColor="text1"/>
          <w14:textFill>
            <w14:solidFill>
              <w14:schemeClr w14:val="tx1"/>
            </w14:solidFill>
          </w14:textFill>
        </w:rPr>
        <w:t>矿物油（废矿物油）泄漏后，主要通过“漫流、下渗”途径影响环境：</w:t>
      </w:r>
    </w:p>
    <w:p w14:paraId="30D905AB">
      <w:pPr>
        <w:ind w:firstLine="480"/>
        <w:rPr>
          <w:color w:val="000000" w:themeColor="text1"/>
          <w14:textFill>
            <w14:solidFill>
              <w14:schemeClr w14:val="tx1"/>
            </w14:solidFill>
          </w14:textFill>
        </w:rPr>
      </w:pPr>
      <w:r>
        <w:rPr>
          <w:color w:val="000000" w:themeColor="text1"/>
          <w14:textFill>
            <w14:solidFill>
              <w14:schemeClr w14:val="tx1"/>
            </w14:solidFill>
          </w14:textFill>
        </w:rPr>
        <w:t>漫流：泄漏的废矿物油沿地面漫流，在地面形成油膜，污染土壤；若进入雨水系统、地表水体，油膜覆盖水体表面，阻碍水体与大气的气体交换，导致水生生物缺氧死亡，同时污染水体，影响水质；</w:t>
      </w:r>
    </w:p>
    <w:p w14:paraId="3A1FE31D">
      <w:pPr>
        <w:ind w:firstLine="480"/>
        <w:rPr>
          <w:color w:val="000000" w:themeColor="text1"/>
          <w14:textFill>
            <w14:solidFill>
              <w14:schemeClr w14:val="tx1"/>
            </w14:solidFill>
          </w14:textFill>
        </w:rPr>
      </w:pPr>
      <w:r>
        <w:rPr>
          <w:color w:val="000000" w:themeColor="text1"/>
          <w14:textFill>
            <w14:solidFill>
              <w14:schemeClr w14:val="tx1"/>
            </w14:solidFill>
          </w14:textFill>
        </w:rPr>
        <w:t>下渗：废矿物油缓慢渗入土壤，吸附于土壤颗粒表面，难以降解，造成土壤长期污染，破坏土壤生态，影响植物生长；若下渗至地下水，可造成地下水油类超标，污染地下水环境。</w:t>
      </w:r>
    </w:p>
    <w:bookmarkEnd w:id="551"/>
    <w:bookmarkEnd w:id="552"/>
    <w:p w14:paraId="1127DEFE">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风险识别结果</w:t>
      </w:r>
    </w:p>
    <w:p w14:paraId="41A26D45">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运营期的环境风险主要类型有火灾和爆炸、泄漏（或事故排放）。其中一般情况下火灾、爆炸范围限于厂内，其事故评价属安全评价范畴之内，而环境风险评价关注点是事故对厂界外环境的影响，故本次评价重点关注</w:t>
      </w:r>
      <w:r>
        <w:rPr>
          <w:rFonts w:hint="eastAsia" w:ascii="Times New Roman" w:hAnsi="Times New Roman"/>
          <w:color w:val="000000" w:themeColor="text1"/>
          <w14:textFill>
            <w14:solidFill>
              <w14:schemeClr w14:val="tx1"/>
            </w14:solidFill>
          </w14:textFill>
        </w:rPr>
        <w:t>泄露、</w:t>
      </w:r>
      <w:r>
        <w:rPr>
          <w:rFonts w:ascii="Times New Roman" w:hAnsi="Times New Roman"/>
          <w:color w:val="000000" w:themeColor="text1"/>
          <w14:textFill>
            <w14:solidFill>
              <w14:schemeClr w14:val="tx1"/>
            </w14:solidFill>
          </w14:textFill>
        </w:rPr>
        <w:t>火灾、爆炸事故，主要关注其伴生/次生污染物排放。本项目运营期主要环境风险见下表。</w:t>
      </w:r>
    </w:p>
    <w:p w14:paraId="0F46D659">
      <w:pPr>
        <w:pStyle w:val="117"/>
        <w:rPr>
          <w:rFonts w:ascii="Times New Roman" w:hAnsi="Times New Roman" w:cs="Times New Roman"/>
          <w:b/>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建设项目环境风险识别表 </w:t>
      </w:r>
    </w:p>
    <w:tbl>
      <w:tblPr>
        <w:tblStyle w:val="76"/>
        <w:tblW w:w="49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2"/>
        <w:gridCol w:w="1607"/>
        <w:gridCol w:w="1286"/>
        <w:gridCol w:w="1489"/>
        <w:gridCol w:w="1271"/>
        <w:gridCol w:w="1186"/>
        <w:gridCol w:w="1768"/>
      </w:tblGrid>
      <w:tr w14:paraId="2F0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vAlign w:val="center"/>
          </w:tcPr>
          <w:p w14:paraId="2B99C57D">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69" w:type="pct"/>
            <w:vAlign w:val="center"/>
          </w:tcPr>
          <w:p w14:paraId="453A05E1">
            <w:pPr>
              <w:pStyle w:val="109"/>
              <w:rPr>
                <w:color w:val="000000" w:themeColor="text1"/>
                <w14:textFill>
                  <w14:solidFill>
                    <w14:schemeClr w14:val="tx1"/>
                  </w14:solidFill>
                </w14:textFill>
              </w:rPr>
            </w:pPr>
            <w:r>
              <w:rPr>
                <w:color w:val="000000" w:themeColor="text1"/>
                <w14:textFill>
                  <w14:solidFill>
                    <w14:schemeClr w14:val="tx1"/>
                  </w14:solidFill>
                </w14:textFill>
              </w:rPr>
              <w:t>危险单元</w:t>
            </w:r>
          </w:p>
        </w:tc>
        <w:tc>
          <w:tcPr>
            <w:tcW w:w="695" w:type="pct"/>
            <w:vAlign w:val="center"/>
          </w:tcPr>
          <w:p w14:paraId="5E006ECA">
            <w:pPr>
              <w:pStyle w:val="109"/>
              <w:rPr>
                <w:color w:val="000000" w:themeColor="text1"/>
                <w14:textFill>
                  <w14:solidFill>
                    <w14:schemeClr w14:val="tx1"/>
                  </w14:solidFill>
                </w14:textFill>
              </w:rPr>
            </w:pPr>
            <w:r>
              <w:rPr>
                <w:color w:val="000000" w:themeColor="text1"/>
                <w14:textFill>
                  <w14:solidFill>
                    <w14:schemeClr w14:val="tx1"/>
                  </w14:solidFill>
                </w14:textFill>
              </w:rPr>
              <w:t>风险源</w:t>
            </w:r>
          </w:p>
        </w:tc>
        <w:tc>
          <w:tcPr>
            <w:tcW w:w="805" w:type="pct"/>
            <w:vAlign w:val="center"/>
          </w:tcPr>
          <w:p w14:paraId="51A7245B">
            <w:pPr>
              <w:pStyle w:val="109"/>
              <w:rPr>
                <w:color w:val="000000" w:themeColor="text1"/>
                <w14:textFill>
                  <w14:solidFill>
                    <w14:schemeClr w14:val="tx1"/>
                  </w14:solidFill>
                </w14:textFill>
              </w:rPr>
            </w:pPr>
            <w:r>
              <w:rPr>
                <w:color w:val="000000" w:themeColor="text1"/>
                <w14:textFill>
                  <w14:solidFill>
                    <w14:schemeClr w14:val="tx1"/>
                  </w14:solidFill>
                </w14:textFill>
              </w:rPr>
              <w:t>主要危险物质</w:t>
            </w:r>
          </w:p>
        </w:tc>
        <w:tc>
          <w:tcPr>
            <w:tcW w:w="687" w:type="pct"/>
            <w:vAlign w:val="center"/>
          </w:tcPr>
          <w:p w14:paraId="142AA342">
            <w:pPr>
              <w:pStyle w:val="109"/>
              <w:rPr>
                <w:color w:val="000000" w:themeColor="text1"/>
                <w14:textFill>
                  <w14:solidFill>
                    <w14:schemeClr w14:val="tx1"/>
                  </w14:solidFill>
                </w14:textFill>
              </w:rPr>
            </w:pPr>
            <w:r>
              <w:rPr>
                <w:color w:val="000000" w:themeColor="text1"/>
                <w14:textFill>
                  <w14:solidFill>
                    <w14:schemeClr w14:val="tx1"/>
                  </w14:solidFill>
                </w14:textFill>
              </w:rPr>
              <w:t>环境风险类型</w:t>
            </w:r>
          </w:p>
        </w:tc>
        <w:tc>
          <w:tcPr>
            <w:tcW w:w="641" w:type="pct"/>
            <w:vAlign w:val="center"/>
          </w:tcPr>
          <w:p w14:paraId="3B3776AC">
            <w:pPr>
              <w:pStyle w:val="109"/>
              <w:rPr>
                <w:color w:val="000000" w:themeColor="text1"/>
                <w14:textFill>
                  <w14:solidFill>
                    <w14:schemeClr w14:val="tx1"/>
                  </w14:solidFill>
                </w14:textFill>
              </w:rPr>
            </w:pPr>
            <w:r>
              <w:rPr>
                <w:color w:val="000000" w:themeColor="text1"/>
                <w14:textFill>
                  <w14:solidFill>
                    <w14:schemeClr w14:val="tx1"/>
                  </w14:solidFill>
                </w14:textFill>
              </w:rPr>
              <w:t>环境影响途径</w:t>
            </w:r>
          </w:p>
        </w:tc>
        <w:tc>
          <w:tcPr>
            <w:tcW w:w="956" w:type="pct"/>
            <w:vAlign w:val="center"/>
          </w:tcPr>
          <w:p w14:paraId="59D081C5">
            <w:pPr>
              <w:pStyle w:val="109"/>
              <w:rPr>
                <w:color w:val="000000" w:themeColor="text1"/>
                <w14:textFill>
                  <w14:solidFill>
                    <w14:schemeClr w14:val="tx1"/>
                  </w14:solidFill>
                </w14:textFill>
              </w:rPr>
            </w:pPr>
            <w:r>
              <w:rPr>
                <w:color w:val="000000" w:themeColor="text1"/>
                <w14:textFill>
                  <w14:solidFill>
                    <w14:schemeClr w14:val="tx1"/>
                  </w14:solidFill>
                </w14:textFill>
              </w:rPr>
              <w:t>可能受影响的环境敏感目标</w:t>
            </w:r>
          </w:p>
        </w:tc>
      </w:tr>
      <w:tr w14:paraId="7D09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vAlign w:val="center"/>
          </w:tcPr>
          <w:p w14:paraId="775F0A0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869" w:type="pct"/>
            <w:vAlign w:val="center"/>
          </w:tcPr>
          <w:p w14:paraId="140FF48D">
            <w:pPr>
              <w:pStyle w:val="109"/>
              <w:rPr>
                <w:color w:val="000000" w:themeColor="text1"/>
                <w14:textFill>
                  <w14:solidFill>
                    <w14:schemeClr w14:val="tx1"/>
                  </w14:solidFill>
                </w14:textFill>
              </w:rPr>
            </w:pPr>
            <w:r>
              <w:rPr>
                <w:color w:val="000000" w:themeColor="text1"/>
                <w14:textFill>
                  <w14:solidFill>
                    <w14:schemeClr w14:val="tx1"/>
                  </w14:solidFill>
                </w14:textFill>
              </w:rPr>
              <w:t>生产车间</w:t>
            </w:r>
          </w:p>
        </w:tc>
        <w:tc>
          <w:tcPr>
            <w:tcW w:w="695" w:type="pct"/>
            <w:vAlign w:val="center"/>
          </w:tcPr>
          <w:p w14:paraId="43258895">
            <w:pPr>
              <w:pStyle w:val="109"/>
              <w:rPr>
                <w:color w:val="000000" w:themeColor="text1"/>
                <w14:textFill>
                  <w14:solidFill>
                    <w14:schemeClr w14:val="tx1"/>
                  </w14:solidFill>
                </w14:textFill>
              </w:rPr>
            </w:pPr>
            <w:r>
              <w:rPr>
                <w:color w:val="000000" w:themeColor="text1"/>
                <w14:textFill>
                  <w14:solidFill>
                    <w14:schemeClr w14:val="tx1"/>
                  </w14:solidFill>
                </w14:textFill>
              </w:rPr>
              <w:t>生产装置</w:t>
            </w:r>
          </w:p>
        </w:tc>
        <w:tc>
          <w:tcPr>
            <w:tcW w:w="805" w:type="pct"/>
            <w:vAlign w:val="center"/>
          </w:tcPr>
          <w:p w14:paraId="11F5A149">
            <w:pPr>
              <w:pStyle w:val="109"/>
              <w:rPr>
                <w:color w:val="000000" w:themeColor="text1"/>
                <w14:textFill>
                  <w14:solidFill>
                    <w14:schemeClr w14:val="tx1"/>
                  </w14:solidFill>
                </w14:textFill>
              </w:rPr>
            </w:pPr>
            <w:r>
              <w:rPr>
                <w:color w:val="000000" w:themeColor="text1"/>
                <w14:textFill>
                  <w14:solidFill>
                    <w14:schemeClr w14:val="tx1"/>
                  </w14:solidFill>
                </w14:textFill>
              </w:rPr>
              <w:t>天然气</w:t>
            </w:r>
          </w:p>
        </w:tc>
        <w:tc>
          <w:tcPr>
            <w:tcW w:w="687" w:type="pct"/>
            <w:vAlign w:val="center"/>
          </w:tcPr>
          <w:p w14:paraId="1739293D">
            <w:pPr>
              <w:pStyle w:val="109"/>
              <w:rPr>
                <w:color w:val="000000" w:themeColor="text1"/>
                <w14:textFill>
                  <w14:solidFill>
                    <w14:schemeClr w14:val="tx1"/>
                  </w14:solidFill>
                </w14:textFill>
              </w:rPr>
            </w:pPr>
            <w:r>
              <w:rPr>
                <w:color w:val="000000" w:themeColor="text1"/>
                <w14:textFill>
                  <w14:solidFill>
                    <w14:schemeClr w14:val="tx1"/>
                  </w14:solidFill>
                </w14:textFill>
              </w:rPr>
              <w:t>火灾、爆炸</w:t>
            </w:r>
          </w:p>
        </w:tc>
        <w:tc>
          <w:tcPr>
            <w:tcW w:w="641" w:type="pct"/>
            <w:vAlign w:val="center"/>
          </w:tcPr>
          <w:p w14:paraId="06EFDA16">
            <w:pPr>
              <w:pStyle w:val="109"/>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956" w:type="pct"/>
            <w:vAlign w:val="center"/>
          </w:tcPr>
          <w:p w14:paraId="3A8E3810">
            <w:pPr>
              <w:pStyle w:val="109"/>
              <w:rPr>
                <w:color w:val="000000" w:themeColor="text1"/>
                <w14:textFill>
                  <w14:solidFill>
                    <w14:schemeClr w14:val="tx1"/>
                  </w14:solidFill>
                </w14:textFill>
              </w:rPr>
            </w:pPr>
            <w:r>
              <w:rPr>
                <w:color w:val="000000" w:themeColor="text1"/>
                <w14:textFill>
                  <w14:solidFill>
                    <w14:schemeClr w14:val="tx1"/>
                  </w14:solidFill>
                </w14:textFill>
              </w:rPr>
              <w:t>厂区办公生活区</w:t>
            </w:r>
          </w:p>
        </w:tc>
      </w:tr>
      <w:tr w14:paraId="72EB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vAlign w:val="center"/>
          </w:tcPr>
          <w:p w14:paraId="40FC0062">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869" w:type="pct"/>
            <w:vAlign w:val="center"/>
          </w:tcPr>
          <w:p w14:paraId="1EA77AFB">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危险废物暂存间</w:t>
            </w:r>
          </w:p>
        </w:tc>
        <w:tc>
          <w:tcPr>
            <w:tcW w:w="695" w:type="pct"/>
            <w:vAlign w:val="center"/>
          </w:tcPr>
          <w:p w14:paraId="1A25BEAF">
            <w:pPr>
              <w:pStyle w:val="109"/>
              <w:rPr>
                <w:color w:val="000000" w:themeColor="text1"/>
                <w14:textFill>
                  <w14:solidFill>
                    <w14:schemeClr w14:val="tx1"/>
                  </w14:solidFill>
                </w14:textFill>
              </w:rPr>
            </w:pPr>
            <w:r>
              <w:rPr>
                <w:color w:val="000000" w:themeColor="text1"/>
                <w14:textFill>
                  <w14:solidFill>
                    <w14:schemeClr w14:val="tx1"/>
                  </w14:solidFill>
                </w14:textFill>
              </w:rPr>
              <w:t>废矿物油桶</w:t>
            </w:r>
          </w:p>
        </w:tc>
        <w:tc>
          <w:tcPr>
            <w:tcW w:w="805" w:type="pct"/>
            <w:vAlign w:val="center"/>
          </w:tcPr>
          <w:p w14:paraId="35110EB3">
            <w:pPr>
              <w:pStyle w:val="109"/>
              <w:rPr>
                <w:color w:val="000000" w:themeColor="text1"/>
                <w14:textFill>
                  <w14:solidFill>
                    <w14:schemeClr w14:val="tx1"/>
                  </w14:solidFill>
                </w14:textFill>
              </w:rPr>
            </w:pPr>
            <w:r>
              <w:rPr>
                <w:color w:val="000000" w:themeColor="text1"/>
                <w14:textFill>
                  <w14:solidFill>
                    <w14:schemeClr w14:val="tx1"/>
                  </w14:solidFill>
                </w14:textFill>
              </w:rPr>
              <w:t>废矿物油</w:t>
            </w:r>
          </w:p>
        </w:tc>
        <w:tc>
          <w:tcPr>
            <w:tcW w:w="687" w:type="pct"/>
            <w:vAlign w:val="center"/>
          </w:tcPr>
          <w:p w14:paraId="6A6DBBAC">
            <w:pPr>
              <w:pStyle w:val="109"/>
              <w:rPr>
                <w:color w:val="000000" w:themeColor="text1"/>
                <w14:textFill>
                  <w14:solidFill>
                    <w14:schemeClr w14:val="tx1"/>
                  </w14:solidFill>
                </w14:textFill>
              </w:rPr>
            </w:pPr>
            <w:r>
              <w:rPr>
                <w:color w:val="000000" w:themeColor="text1"/>
                <w14:textFill>
                  <w14:solidFill>
                    <w14:schemeClr w14:val="tx1"/>
                  </w14:solidFill>
                </w14:textFill>
              </w:rPr>
              <w:t>火灾</w:t>
            </w:r>
          </w:p>
        </w:tc>
        <w:tc>
          <w:tcPr>
            <w:tcW w:w="641" w:type="pct"/>
            <w:vAlign w:val="center"/>
          </w:tcPr>
          <w:p w14:paraId="0EC59CBD">
            <w:pPr>
              <w:pStyle w:val="109"/>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956" w:type="pct"/>
            <w:vAlign w:val="center"/>
          </w:tcPr>
          <w:p w14:paraId="4E1ABDAD">
            <w:pPr>
              <w:pStyle w:val="109"/>
              <w:rPr>
                <w:color w:val="000000" w:themeColor="text1"/>
                <w14:textFill>
                  <w14:solidFill>
                    <w14:schemeClr w14:val="tx1"/>
                  </w14:solidFill>
                </w14:textFill>
              </w:rPr>
            </w:pPr>
            <w:r>
              <w:rPr>
                <w:color w:val="000000" w:themeColor="text1"/>
                <w14:textFill>
                  <w14:solidFill>
                    <w14:schemeClr w14:val="tx1"/>
                  </w14:solidFill>
                </w14:textFill>
              </w:rPr>
              <w:t>厂区办公生活区</w:t>
            </w:r>
          </w:p>
        </w:tc>
      </w:tr>
      <w:tr w14:paraId="44FD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vAlign w:val="center"/>
          </w:tcPr>
          <w:p w14:paraId="4BC6F484">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869" w:type="pct"/>
            <w:vAlign w:val="center"/>
          </w:tcPr>
          <w:p w14:paraId="2A9F4D96">
            <w:pPr>
              <w:pStyle w:val="109"/>
              <w:rPr>
                <w:color w:val="000000" w:themeColor="text1"/>
                <w14:textFill>
                  <w14:solidFill>
                    <w14:schemeClr w14:val="tx1"/>
                  </w14:solidFill>
                </w14:textFill>
              </w:rPr>
            </w:pPr>
            <w:r>
              <w:rPr>
                <w:color w:val="000000" w:themeColor="text1"/>
                <w14:textFill>
                  <w14:solidFill>
                    <w14:schemeClr w14:val="tx1"/>
                  </w14:solidFill>
                </w14:textFill>
              </w:rPr>
              <w:t>废气处理系统</w:t>
            </w:r>
          </w:p>
        </w:tc>
        <w:tc>
          <w:tcPr>
            <w:tcW w:w="695" w:type="pct"/>
            <w:vAlign w:val="center"/>
          </w:tcPr>
          <w:p w14:paraId="3C7040F8">
            <w:pPr>
              <w:pStyle w:val="109"/>
              <w:rPr>
                <w:color w:val="000000" w:themeColor="text1"/>
                <w14:textFill>
                  <w14:solidFill>
                    <w14:schemeClr w14:val="tx1"/>
                  </w14:solidFill>
                </w14:textFill>
              </w:rPr>
            </w:pPr>
            <w:r>
              <w:rPr>
                <w:color w:val="000000" w:themeColor="text1"/>
                <w14:textFill>
                  <w14:solidFill>
                    <w14:schemeClr w14:val="tx1"/>
                  </w14:solidFill>
                </w14:textFill>
              </w:rPr>
              <w:t>有毒有害废气</w:t>
            </w:r>
          </w:p>
        </w:tc>
        <w:tc>
          <w:tcPr>
            <w:tcW w:w="805" w:type="pct"/>
            <w:vAlign w:val="center"/>
          </w:tcPr>
          <w:p w14:paraId="39793CE4">
            <w:pPr>
              <w:pStyle w:val="109"/>
              <w:rPr>
                <w:color w:val="000000" w:themeColor="text1"/>
                <w14:textFill>
                  <w14:solidFill>
                    <w14:schemeClr w14:val="tx1"/>
                  </w14:solidFill>
                </w14:textFill>
              </w:rPr>
            </w:pPr>
            <w:r>
              <w:rPr>
                <w:color w:val="000000" w:themeColor="text1"/>
                <w14:textFill>
                  <w14:solidFill>
                    <w14:schemeClr w14:val="tx1"/>
                  </w14:solidFill>
                </w14:textFill>
              </w:rPr>
              <w:t>有毒有害废气</w:t>
            </w:r>
          </w:p>
        </w:tc>
        <w:tc>
          <w:tcPr>
            <w:tcW w:w="687" w:type="pct"/>
            <w:vAlign w:val="center"/>
          </w:tcPr>
          <w:p w14:paraId="7B21C5A6">
            <w:pPr>
              <w:pStyle w:val="109"/>
              <w:rPr>
                <w:color w:val="000000" w:themeColor="text1"/>
                <w14:textFill>
                  <w14:solidFill>
                    <w14:schemeClr w14:val="tx1"/>
                  </w14:solidFill>
                </w14:textFill>
              </w:rPr>
            </w:pPr>
            <w:r>
              <w:rPr>
                <w:color w:val="000000" w:themeColor="text1"/>
                <w14:textFill>
                  <w14:solidFill>
                    <w14:schemeClr w14:val="tx1"/>
                  </w14:solidFill>
                </w14:textFill>
              </w:rPr>
              <w:t>未达标排放</w:t>
            </w:r>
          </w:p>
        </w:tc>
        <w:tc>
          <w:tcPr>
            <w:tcW w:w="641" w:type="pct"/>
            <w:vAlign w:val="center"/>
          </w:tcPr>
          <w:p w14:paraId="59A874CD">
            <w:pPr>
              <w:pStyle w:val="109"/>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956" w:type="pct"/>
            <w:vAlign w:val="center"/>
          </w:tcPr>
          <w:p w14:paraId="2E95D449">
            <w:pPr>
              <w:pStyle w:val="109"/>
              <w:rPr>
                <w:color w:val="000000" w:themeColor="text1"/>
                <w14:textFill>
                  <w14:solidFill>
                    <w14:schemeClr w14:val="tx1"/>
                  </w14:solidFill>
                </w14:textFill>
              </w:rPr>
            </w:pPr>
            <w:r>
              <w:rPr>
                <w:color w:val="000000" w:themeColor="text1"/>
                <w14:textFill>
                  <w14:solidFill>
                    <w14:schemeClr w14:val="tx1"/>
                  </w14:solidFill>
                </w14:textFill>
              </w:rPr>
              <w:t>厂区办公生活区</w:t>
            </w:r>
          </w:p>
        </w:tc>
      </w:tr>
      <w:tr w14:paraId="3A57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vAlign w:val="center"/>
          </w:tcPr>
          <w:p w14:paraId="54AF35F3">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869" w:type="pct"/>
            <w:vAlign w:val="center"/>
          </w:tcPr>
          <w:p w14:paraId="60B59C44">
            <w:pPr>
              <w:pStyle w:val="109"/>
              <w:rPr>
                <w:color w:val="000000" w:themeColor="text1"/>
                <w14:textFill>
                  <w14:solidFill>
                    <w14:schemeClr w14:val="tx1"/>
                  </w14:solidFill>
                </w14:textFill>
              </w:rPr>
            </w:pPr>
            <w:r>
              <w:rPr>
                <w:color w:val="000000" w:themeColor="text1"/>
                <w14:textFill>
                  <w14:solidFill>
                    <w14:schemeClr w14:val="tx1"/>
                  </w14:solidFill>
                </w14:textFill>
              </w:rPr>
              <w:t>废水收集系统</w:t>
            </w:r>
          </w:p>
        </w:tc>
        <w:tc>
          <w:tcPr>
            <w:tcW w:w="695" w:type="pct"/>
            <w:vAlign w:val="center"/>
          </w:tcPr>
          <w:p w14:paraId="3238D99C">
            <w:pPr>
              <w:pStyle w:val="109"/>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805" w:type="pct"/>
            <w:vAlign w:val="center"/>
          </w:tcPr>
          <w:p w14:paraId="4A0107A5">
            <w:pPr>
              <w:pStyle w:val="109"/>
              <w:rPr>
                <w:color w:val="000000" w:themeColor="text1"/>
                <w14:textFill>
                  <w14:solidFill>
                    <w14:schemeClr w14:val="tx1"/>
                  </w14:solidFill>
                </w14:textFill>
              </w:rPr>
            </w:pPr>
            <w:r>
              <w:rPr>
                <w:color w:val="000000" w:themeColor="text1"/>
                <w14:textFill>
                  <w14:solidFill>
                    <w14:schemeClr w14:val="tx1"/>
                  </w14:solidFill>
                </w14:textFill>
              </w:rPr>
              <w:t>全盐量、重金属、二噁英</w:t>
            </w:r>
          </w:p>
        </w:tc>
        <w:tc>
          <w:tcPr>
            <w:tcW w:w="687" w:type="pct"/>
            <w:vAlign w:val="center"/>
          </w:tcPr>
          <w:p w14:paraId="248F13D8">
            <w:pPr>
              <w:pStyle w:val="109"/>
              <w:rPr>
                <w:color w:val="000000" w:themeColor="text1"/>
                <w14:textFill>
                  <w14:solidFill>
                    <w14:schemeClr w14:val="tx1"/>
                  </w14:solidFill>
                </w14:textFill>
              </w:rPr>
            </w:pPr>
            <w:r>
              <w:rPr>
                <w:color w:val="000000" w:themeColor="text1"/>
                <w14:textFill>
                  <w14:solidFill>
                    <w14:schemeClr w14:val="tx1"/>
                  </w14:solidFill>
                </w14:textFill>
              </w:rPr>
              <w:t>泄漏</w:t>
            </w:r>
          </w:p>
        </w:tc>
        <w:tc>
          <w:tcPr>
            <w:tcW w:w="641" w:type="pct"/>
            <w:vAlign w:val="center"/>
          </w:tcPr>
          <w:p w14:paraId="1FF90336">
            <w:pPr>
              <w:pStyle w:val="109"/>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956" w:type="pct"/>
            <w:vAlign w:val="center"/>
          </w:tcPr>
          <w:p w14:paraId="2EFCFBDF">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639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vAlign w:val="center"/>
          </w:tcPr>
          <w:p w14:paraId="43D4141B">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869" w:type="pct"/>
            <w:vAlign w:val="center"/>
          </w:tcPr>
          <w:p w14:paraId="3A142BD2">
            <w:pPr>
              <w:pStyle w:val="109"/>
              <w:rPr>
                <w:color w:val="000000" w:themeColor="text1"/>
                <w14:textFill>
                  <w14:solidFill>
                    <w14:schemeClr w14:val="tx1"/>
                  </w14:solidFill>
                </w14:textFill>
              </w:rPr>
            </w:pPr>
            <w:r>
              <w:rPr>
                <w:color w:val="000000" w:themeColor="text1"/>
                <w14:textFill>
                  <w14:solidFill>
                    <w14:schemeClr w14:val="tx1"/>
                  </w14:solidFill>
                </w14:textFill>
              </w:rPr>
              <w:t>运输过程</w:t>
            </w:r>
          </w:p>
        </w:tc>
        <w:tc>
          <w:tcPr>
            <w:tcW w:w="695" w:type="pct"/>
            <w:vAlign w:val="center"/>
          </w:tcPr>
          <w:p w14:paraId="32E1F33A">
            <w:pPr>
              <w:pStyle w:val="109"/>
              <w:rPr>
                <w:color w:val="000000" w:themeColor="text1"/>
                <w14:textFill>
                  <w14:solidFill>
                    <w14:schemeClr w14:val="tx1"/>
                  </w14:solidFill>
                </w14:textFill>
              </w:rPr>
            </w:pPr>
            <w:r>
              <w:rPr>
                <w:color w:val="000000" w:themeColor="text1"/>
                <w14:textFill>
                  <w14:solidFill>
                    <w14:schemeClr w14:val="tx1"/>
                  </w14:solidFill>
                </w14:textFill>
              </w:rPr>
              <w:t>废盐等</w:t>
            </w:r>
          </w:p>
        </w:tc>
        <w:tc>
          <w:tcPr>
            <w:tcW w:w="805" w:type="pct"/>
            <w:vAlign w:val="center"/>
          </w:tcPr>
          <w:p w14:paraId="213CCD0B">
            <w:pPr>
              <w:pStyle w:val="109"/>
              <w:rPr>
                <w:color w:val="000000" w:themeColor="text1"/>
                <w14:textFill>
                  <w14:solidFill>
                    <w14:schemeClr w14:val="tx1"/>
                  </w14:solidFill>
                </w14:textFill>
              </w:rPr>
            </w:pPr>
            <w:r>
              <w:rPr>
                <w:color w:val="000000" w:themeColor="text1"/>
                <w14:textFill>
                  <w14:solidFill>
                    <w14:schemeClr w14:val="tx1"/>
                  </w14:solidFill>
                </w14:textFill>
              </w:rPr>
              <w:t>废盐等</w:t>
            </w:r>
          </w:p>
        </w:tc>
        <w:tc>
          <w:tcPr>
            <w:tcW w:w="687" w:type="pct"/>
            <w:vAlign w:val="center"/>
          </w:tcPr>
          <w:p w14:paraId="3492D1B9">
            <w:pPr>
              <w:pStyle w:val="109"/>
              <w:rPr>
                <w:color w:val="000000" w:themeColor="text1"/>
                <w14:textFill>
                  <w14:solidFill>
                    <w14:schemeClr w14:val="tx1"/>
                  </w14:solidFill>
                </w14:textFill>
              </w:rPr>
            </w:pPr>
            <w:r>
              <w:rPr>
                <w:color w:val="000000" w:themeColor="text1"/>
                <w14:textFill>
                  <w14:solidFill>
                    <w14:schemeClr w14:val="tx1"/>
                  </w14:solidFill>
                </w14:textFill>
              </w:rPr>
              <w:t>泄漏</w:t>
            </w:r>
          </w:p>
        </w:tc>
        <w:tc>
          <w:tcPr>
            <w:tcW w:w="641" w:type="pct"/>
            <w:vAlign w:val="center"/>
          </w:tcPr>
          <w:p w14:paraId="7F847EEB">
            <w:pPr>
              <w:pStyle w:val="109"/>
              <w:rPr>
                <w:color w:val="000000" w:themeColor="text1"/>
                <w14:textFill>
                  <w14:solidFill>
                    <w14:schemeClr w14:val="tx1"/>
                  </w14:solidFill>
                </w14:textFill>
              </w:rPr>
            </w:pPr>
            <w:r>
              <w:rPr>
                <w:color w:val="000000" w:themeColor="text1"/>
                <w14:textFill>
                  <w14:solidFill>
                    <w14:schemeClr w14:val="tx1"/>
                  </w14:solidFill>
                </w14:textFill>
              </w:rPr>
              <w:t>土壤</w:t>
            </w:r>
          </w:p>
        </w:tc>
        <w:tc>
          <w:tcPr>
            <w:tcW w:w="956" w:type="pct"/>
            <w:vAlign w:val="center"/>
          </w:tcPr>
          <w:p w14:paraId="1905FFF9">
            <w:pPr>
              <w:pStyle w:val="109"/>
              <w:rPr>
                <w:color w:val="000000" w:themeColor="text1"/>
                <w14:textFill>
                  <w14:solidFill>
                    <w14:schemeClr w14:val="tx1"/>
                  </w14:solidFill>
                </w14:textFill>
              </w:rPr>
            </w:pPr>
            <w:r>
              <w:rPr>
                <w:color w:val="000000" w:themeColor="text1"/>
                <w14:textFill>
                  <w14:solidFill>
                    <w14:schemeClr w14:val="tx1"/>
                  </w14:solidFill>
                </w14:textFill>
              </w:rPr>
              <w:t>运输路线周边敏感点</w:t>
            </w:r>
          </w:p>
        </w:tc>
      </w:tr>
      <w:tr w14:paraId="3235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7" w:type="pct"/>
            <w:vAlign w:val="center"/>
          </w:tcPr>
          <w:p w14:paraId="04F0EFB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69" w:type="pct"/>
            <w:vAlign w:val="center"/>
          </w:tcPr>
          <w:p w14:paraId="2A28007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氨水罐区</w:t>
            </w:r>
          </w:p>
        </w:tc>
        <w:tc>
          <w:tcPr>
            <w:tcW w:w="695" w:type="pct"/>
            <w:vAlign w:val="center"/>
          </w:tcPr>
          <w:p w14:paraId="5BA7952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氨水罐</w:t>
            </w:r>
          </w:p>
        </w:tc>
        <w:tc>
          <w:tcPr>
            <w:tcW w:w="805" w:type="pct"/>
            <w:vAlign w:val="center"/>
          </w:tcPr>
          <w:p w14:paraId="4712AA0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w:t>
            </w:r>
          </w:p>
        </w:tc>
        <w:tc>
          <w:tcPr>
            <w:tcW w:w="687" w:type="pct"/>
            <w:vAlign w:val="center"/>
          </w:tcPr>
          <w:p w14:paraId="3212923C">
            <w:pPr>
              <w:pStyle w:val="109"/>
              <w:rPr>
                <w:color w:val="000000" w:themeColor="text1"/>
                <w14:textFill>
                  <w14:solidFill>
                    <w14:schemeClr w14:val="tx1"/>
                  </w14:solidFill>
                </w14:textFill>
              </w:rPr>
            </w:pPr>
            <w:r>
              <w:rPr>
                <w:color w:val="000000" w:themeColor="text1"/>
                <w14:textFill>
                  <w14:solidFill>
                    <w14:schemeClr w14:val="tx1"/>
                  </w14:solidFill>
                </w14:textFill>
              </w:rPr>
              <w:t>泄漏</w:t>
            </w:r>
          </w:p>
        </w:tc>
        <w:tc>
          <w:tcPr>
            <w:tcW w:w="641" w:type="pct"/>
            <w:vAlign w:val="center"/>
          </w:tcPr>
          <w:p w14:paraId="0D80D5A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大气、土壤、地下水</w:t>
            </w:r>
          </w:p>
        </w:tc>
        <w:tc>
          <w:tcPr>
            <w:tcW w:w="956" w:type="pct"/>
            <w:vAlign w:val="center"/>
          </w:tcPr>
          <w:p w14:paraId="22911095">
            <w:pPr>
              <w:pStyle w:val="109"/>
              <w:rPr>
                <w:color w:val="000000" w:themeColor="text1"/>
                <w14:textFill>
                  <w14:solidFill>
                    <w14:schemeClr w14:val="tx1"/>
                  </w14:solidFill>
                </w14:textFill>
              </w:rPr>
            </w:pPr>
            <w:r>
              <w:rPr>
                <w:color w:val="000000" w:themeColor="text1"/>
                <w14:textFill>
                  <w14:solidFill>
                    <w14:schemeClr w14:val="tx1"/>
                  </w14:solidFill>
                </w14:textFill>
              </w:rPr>
              <w:t>厂区办公生活区</w:t>
            </w:r>
          </w:p>
        </w:tc>
      </w:tr>
    </w:tbl>
    <w:p w14:paraId="403B48AA">
      <w:pPr>
        <w:pStyle w:val="3"/>
        <w:rPr>
          <w:rFonts w:ascii="Times New Roman" w:cs="Times New Roman"/>
          <w:color w:val="000000" w:themeColor="text1"/>
          <w14:textFill>
            <w14:solidFill>
              <w14:schemeClr w14:val="tx1"/>
            </w14:solidFill>
          </w14:textFill>
        </w:rPr>
      </w:pPr>
      <w:bookmarkStart w:id="554" w:name="_Toc225268341"/>
      <w:r>
        <w:rPr>
          <w:rFonts w:ascii="Times New Roman" w:cs="Times New Roman"/>
          <w:color w:val="000000" w:themeColor="text1"/>
          <w14:textFill>
            <w14:solidFill>
              <w14:schemeClr w14:val="tx1"/>
            </w14:solidFill>
          </w14:textFill>
        </w:rPr>
        <w:t>环境风险分析</w:t>
      </w:r>
      <w:bookmarkEnd w:id="554"/>
    </w:p>
    <w:p w14:paraId="1E194D7D">
      <w:pPr>
        <w:pStyle w:val="4"/>
        <w:rPr>
          <w:color w:val="000000" w:themeColor="text1"/>
          <w14:textFill>
            <w14:solidFill>
              <w14:schemeClr w14:val="tx1"/>
            </w14:solidFill>
          </w14:textFill>
        </w:rPr>
      </w:pPr>
      <w:r>
        <w:rPr>
          <w:color w:val="000000" w:themeColor="text1"/>
          <w14:textFill>
            <w14:solidFill>
              <w14:schemeClr w14:val="tx1"/>
            </w14:solidFill>
          </w14:textFill>
        </w:rPr>
        <w:t>大气环境影响分析</w:t>
      </w:r>
    </w:p>
    <w:p w14:paraId="4BBE6616">
      <w:pPr>
        <w:ind w:firstLine="480"/>
        <w:rPr>
          <w:color w:val="000000" w:themeColor="text1"/>
          <w14:textFill>
            <w14:solidFill>
              <w14:schemeClr w14:val="tx1"/>
            </w14:solidFill>
          </w14:textFill>
        </w:rPr>
      </w:pPr>
      <w:r>
        <w:rPr>
          <w:color w:val="000000" w:themeColor="text1"/>
          <w14:textFill>
            <w14:solidFill>
              <w14:schemeClr w14:val="tx1"/>
            </w14:solidFill>
          </w14:textFill>
        </w:rPr>
        <w:t>事故对大气环境的影响均以气态污染物扩散、烟气污染为主，不同事故的污染因子、影响程度及持续时间存在差异，具体如下：</w:t>
      </w:r>
    </w:p>
    <w:p w14:paraId="625F443D">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 天然气火灾爆炸事故</w:t>
      </w:r>
    </w:p>
    <w:p w14:paraId="7BC9C7BA">
      <w:pPr>
        <w:ind w:firstLine="480"/>
        <w:rPr>
          <w:color w:val="000000" w:themeColor="text1"/>
          <w14:textFill>
            <w14:solidFill>
              <w14:schemeClr w14:val="tx1"/>
            </w14:solidFill>
          </w14:textFill>
        </w:rPr>
      </w:pPr>
      <w:r>
        <w:rPr>
          <w:color w:val="000000" w:themeColor="text1"/>
          <w14:textFill>
            <w14:solidFill>
              <w14:schemeClr w14:val="tx1"/>
            </w14:solidFill>
          </w14:textFill>
        </w:rPr>
        <w:t>天然气核心组分为甲烷（CH₄），本身无明显毒性，但火灾爆炸过程中会产生大量有毒有害烟气，同时伴随高温热辐射，对大气环境造成双重影响：</w:t>
      </w:r>
    </w:p>
    <w:p w14:paraId="0700162C">
      <w:pPr>
        <w:ind w:firstLine="480"/>
        <w:rPr>
          <w:color w:val="000000" w:themeColor="text1"/>
          <w14:textFill>
            <w14:solidFill>
              <w14:schemeClr w14:val="tx1"/>
            </w14:solidFill>
          </w14:textFill>
        </w:rPr>
      </w:pPr>
      <w:r>
        <w:rPr>
          <w:color w:val="000000" w:themeColor="text1"/>
          <w14:textFill>
            <w14:solidFill>
              <w14:schemeClr w14:val="tx1"/>
            </w14:solidFill>
          </w14:textFill>
        </w:rPr>
        <w:t>污染因子：主要为一氧化碳（CO）、二氧化碳（CO₂）、氮氧化物（NOₓ），少量未燃烧的甲烷及燃烧产生的炭黑、挥发性有机物（VOCs）；若爆炸引发周边设备破损，可能伴随其他少量污染物扩散。</w:t>
      </w:r>
    </w:p>
    <w:p w14:paraId="295F432B">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影响范围：小量泄漏引发的局部火灾爆炸，烟气扩散范围50~200m；大量泄漏（管道爆裂）引发的火灾爆炸，烟气扩散范围＞200m，极端气象条件（静风、逆温）下可达500m以上，影响周边区域空气质量。</w:t>
      </w:r>
    </w:p>
    <w:p w14:paraId="46A09067">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一氧化碳为剧毒气体，人体吸入后会导致缺氧、中毒，同时扩散至大气中会破坏局部大气环境平衡；氮氧化物、VOCs会引发二次大气污染，形成光化学烟雾，影响能见度，长期暴露会损害植物生长；炭黑会降低大气能见度，吸附于植物叶片，影响光合作用；高温热辐射会灼伤周边植被，加剧大气污染物扩散。</w:t>
      </w:r>
    </w:p>
    <w:p w14:paraId="18D099B6">
      <w:pPr>
        <w:ind w:firstLine="480"/>
        <w:rPr>
          <w:color w:val="000000" w:themeColor="text1"/>
          <w14:textFill>
            <w14:solidFill>
              <w14:schemeClr w14:val="tx1"/>
            </w14:solidFill>
          </w14:textFill>
        </w:rPr>
      </w:pPr>
      <w:r>
        <w:rPr>
          <w:color w:val="000000" w:themeColor="text1"/>
          <w14:textFill>
            <w14:solidFill>
              <w14:schemeClr w14:val="tx1"/>
            </w14:solidFill>
          </w14:textFill>
        </w:rPr>
        <w:t>持续时间：火灾扑灭后，烟气影响持续2~8h，若气象条件不利（如静风），持续时间可延长至12h以上；一氧化碳、氮氧化物等污染物需通过大气扩散、稀释，逐步恢复至背景值，一般需12~24h。</w:t>
      </w:r>
    </w:p>
    <w:p w14:paraId="15A589E0">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 矿物油（废矿物油）火灾爆炸事故</w:t>
      </w:r>
    </w:p>
    <w:p w14:paraId="0AA7170B">
      <w:pPr>
        <w:ind w:firstLine="480"/>
        <w:rPr>
          <w:color w:val="000000" w:themeColor="text1"/>
          <w14:textFill>
            <w14:solidFill>
              <w14:schemeClr w14:val="tx1"/>
            </w14:solidFill>
          </w14:textFill>
        </w:rPr>
      </w:pPr>
      <w:r>
        <w:rPr>
          <w:color w:val="000000" w:themeColor="text1"/>
          <w14:textFill>
            <w14:solidFill>
              <w14:schemeClr w14:val="tx1"/>
            </w14:solidFill>
          </w14:textFill>
        </w:rPr>
        <w:t>废矿物油为HW08类危险废物，主要成分为废弃润滑油、机油等，火灾爆炸过程中产生的烟气污染物种类多、毒性强，对大气环境危害更为突出：</w:t>
      </w:r>
    </w:p>
    <w:p w14:paraId="472BAB1B">
      <w:pPr>
        <w:ind w:firstLine="480"/>
        <w:rPr>
          <w:color w:val="000000" w:themeColor="text1"/>
          <w14:textFill>
            <w14:solidFill>
              <w14:schemeClr w14:val="tx1"/>
            </w14:solidFill>
          </w14:textFill>
        </w:rPr>
      </w:pPr>
      <w:r>
        <w:rPr>
          <w:color w:val="000000" w:themeColor="text1"/>
          <w14:textFill>
            <w14:solidFill>
              <w14:schemeClr w14:val="tx1"/>
            </w14:solidFill>
          </w14:textFill>
        </w:rPr>
        <w:t>污染因子：主要为多环芳烃（PAHs，具有强致癌性）、一氧化碳（CO）、二氧化硫（SO₂）、氮氧化物（NOₓ）、油雾及炭黑，其中多环芳烃为核心有毒污染物，泄漏量越大、火势越猛，污染物排放量越多。</w:t>
      </w:r>
    </w:p>
    <w:p w14:paraId="715007CB">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影响范围：因废矿物油储存量仅0.2t，火灾爆炸规模有限，烟气扩散范围50~150m，主要影响项目区内及周边近距离区域，不会造成大范围大气污染。</w:t>
      </w:r>
    </w:p>
    <w:p w14:paraId="2647E08C">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多环芳烃通过大气扩散，长期暴露会对人体健康造成严重危害，同时沉降至土壤、水体表面，引发次生污染；一氧化碳、二氧化硫会刺激人体呼吸道，污染大气环境；油雾会在大气中形成气溶胶，降低能见度，吸附于植物叶片，导致植物枯萎、死亡；炭黑污染大气，影响周边景观及空气质量。</w:t>
      </w:r>
    </w:p>
    <w:p w14:paraId="2E7E209E">
      <w:pPr>
        <w:ind w:firstLine="480"/>
        <w:rPr>
          <w:color w:val="000000" w:themeColor="text1"/>
          <w14:textFill>
            <w14:solidFill>
              <w14:schemeClr w14:val="tx1"/>
            </w14:solidFill>
          </w14:textFill>
        </w:rPr>
      </w:pPr>
      <w:r>
        <w:rPr>
          <w:color w:val="000000" w:themeColor="text1"/>
          <w14:textFill>
            <w14:solidFill>
              <w14:schemeClr w14:val="tx1"/>
            </w14:solidFill>
          </w14:textFill>
        </w:rPr>
        <w:t>持续时间：火灾扑灭后，烟气影响持续1~4h，多环芳烃等难降解污染物在大气中停留时间较长，需3~7d才能逐步扩散、沉降，完全恢复至背景值需7~15d。</w:t>
      </w:r>
    </w:p>
    <w:p w14:paraId="37B62B5C">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 氨水泄漏事故</w:t>
      </w:r>
    </w:p>
    <w:p w14:paraId="62AA39B8">
      <w:pPr>
        <w:ind w:firstLine="480"/>
        <w:rPr>
          <w:color w:val="000000" w:themeColor="text1"/>
          <w14:textFill>
            <w14:solidFill>
              <w14:schemeClr w14:val="tx1"/>
            </w14:solidFill>
          </w14:textFill>
        </w:rPr>
      </w:pPr>
      <w:r>
        <w:rPr>
          <w:color w:val="000000" w:themeColor="text1"/>
          <w14:textFill>
            <w14:solidFill>
              <w14:schemeClr w14:val="tx1"/>
            </w14:solidFill>
          </w14:textFill>
        </w:rPr>
        <w:t>氨水易挥发，泄漏后主要以氨气（NH₃）扩散污染大气，无火灾爆炸风险，但氨气具有强刺激性、毒性，对大气环境及人体健康影响显著：</w:t>
      </w:r>
    </w:p>
    <w:p w14:paraId="377524C1">
      <w:pPr>
        <w:ind w:firstLine="480"/>
        <w:rPr>
          <w:color w:val="000000" w:themeColor="text1"/>
          <w14:textFill>
            <w14:solidFill>
              <w14:schemeClr w14:val="tx1"/>
            </w14:solidFill>
          </w14:textFill>
        </w:rPr>
      </w:pPr>
      <w:r>
        <w:rPr>
          <w:color w:val="000000" w:themeColor="text1"/>
          <w14:textFill>
            <w14:solidFill>
              <w14:schemeClr w14:val="tx1"/>
            </w14:solidFill>
          </w14:textFill>
        </w:rPr>
        <w:t>污染因子：核心为氨气（NH₃），少量氨水雾（氨水挥发形成），无其他有毒气态污染物。</w:t>
      </w:r>
    </w:p>
    <w:p w14:paraId="240FE2F2">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小量泄漏（≤50L），氨气扩散范围≤50m；中量泄漏（50L~200L），扩散范围50~200m；大量泄漏（＞200L），扩散范围＞200m，不利气象条件下可达500m以上，若周边有居民区、学校等敏感点，会直接影响敏感点内人员。</w:t>
      </w:r>
    </w:p>
    <w:p w14:paraId="108227CC">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氨气为强刺激性气体，扩散至大气中会形成刺激性雾气，刺激人体眼鼻、呼吸道；高浓度氨气会与空气中的酸性污染物（如二氧化碳、二氧化硫）反应，生成铵盐颗粒物，增加PM2.5浓度，引发二次大气污染；氨气接触植物叶片，会导致叶片灼伤、枯萎，破坏植被生长；长期暴露在低浓度氨气环境中，会影响周边生态环境，导致土壤碱化（氨气沉降后）。</w:t>
      </w:r>
    </w:p>
    <w:p w14:paraId="6C3D7454">
      <w:pPr>
        <w:ind w:firstLine="480"/>
        <w:rPr>
          <w:color w:val="000000" w:themeColor="text1"/>
          <w14:textFill>
            <w14:solidFill>
              <w14:schemeClr w14:val="tx1"/>
            </w14:solidFill>
          </w14:textFill>
        </w:rPr>
      </w:pPr>
      <w:r>
        <w:rPr>
          <w:color w:val="000000" w:themeColor="text1"/>
          <w14:textFill>
            <w14:solidFill>
              <w14:schemeClr w14:val="tx1"/>
            </w14:solidFill>
          </w14:textFill>
        </w:rPr>
        <w:t>持续时间：小量泄漏，氨气快速扩散、稀释，影响持续1~6h；中量、大量泄漏，影响持续6~48h，若遇降雨，氨气会随雨水沉降，大气中氨气浓度可快速下降，但会引发水体、土壤次生污染。</w:t>
      </w:r>
    </w:p>
    <w:p w14:paraId="0CA4B5B4">
      <w:pPr>
        <w:pStyle w:val="4"/>
        <w:rPr>
          <w:color w:val="000000" w:themeColor="text1"/>
          <w14:textFill>
            <w14:solidFill>
              <w14:schemeClr w14:val="tx1"/>
            </w14:solidFill>
          </w14:textFill>
        </w:rPr>
      </w:pPr>
      <w:r>
        <w:rPr>
          <w:color w:val="000000" w:themeColor="text1"/>
          <w14:textFill>
            <w14:solidFill>
              <w14:schemeClr w14:val="tx1"/>
            </w14:solidFill>
          </w14:textFill>
        </w:rPr>
        <w:t>水环境影响分析</w:t>
      </w:r>
    </w:p>
    <w:p w14:paraId="25DB5F2F">
      <w:pPr>
        <w:ind w:firstLine="480"/>
        <w:rPr>
          <w:color w:val="000000" w:themeColor="text1"/>
          <w14:textFill>
            <w14:solidFill>
              <w14:schemeClr w14:val="tx1"/>
            </w14:solidFill>
          </w14:textFill>
        </w:rPr>
      </w:pPr>
      <w:r>
        <w:rPr>
          <w:color w:val="000000" w:themeColor="text1"/>
          <w14:textFill>
            <w14:solidFill>
              <w14:schemeClr w14:val="tx1"/>
            </w14:solidFill>
          </w14:textFill>
        </w:rPr>
        <w:t>三类事故对水环境的影响主要通过泄漏液漫流、火灾废水下渗/漫流、污染物沉降等途径，影响地表水、地下水，核心危害为水质恶化、水生生态破坏，具体分析如下：</w:t>
      </w:r>
    </w:p>
    <w:p w14:paraId="6BDF48A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 天然气火灾爆炸事故</w:t>
      </w:r>
    </w:p>
    <w:p w14:paraId="6FF3A39B">
      <w:pPr>
        <w:ind w:firstLine="480"/>
        <w:rPr>
          <w:color w:val="000000" w:themeColor="text1"/>
          <w14:textFill>
            <w14:solidFill>
              <w14:schemeClr w14:val="tx1"/>
            </w14:solidFill>
          </w14:textFill>
        </w:rPr>
      </w:pPr>
      <w:r>
        <w:rPr>
          <w:color w:val="000000" w:themeColor="text1"/>
          <w14:textFill>
            <w14:solidFill>
              <w14:schemeClr w14:val="tx1"/>
            </w14:solidFill>
          </w14:textFill>
        </w:rPr>
        <w:t>天然气难溶于水，本身不会直接污染水体，但火灾爆炸引发的次生污染会对水环境造成影响：</w:t>
      </w:r>
    </w:p>
    <w:p w14:paraId="70D86944">
      <w:pPr>
        <w:ind w:firstLine="480"/>
        <w:rPr>
          <w:color w:val="000000" w:themeColor="text1"/>
          <w14:textFill>
            <w14:solidFill>
              <w14:schemeClr w14:val="tx1"/>
            </w14:solidFill>
          </w14:textFill>
        </w:rPr>
      </w:pPr>
      <w:r>
        <w:rPr>
          <w:color w:val="000000" w:themeColor="text1"/>
          <w14:textFill>
            <w14:solidFill>
              <w14:schemeClr w14:val="tx1"/>
            </w14:solidFill>
          </w14:textFill>
        </w:rPr>
        <w:t>污染途径：火灾扑灭过程中产生大量消防废水，废水中含有燃烧产生的炭黑、一氧化碳、氮氧化物等污染物，若未及时收集，会通过漫流进入雨水系统、地表水体；爆炸导致周边设备破损，若设备内有其他含油、含污染物介质，会伴随泄漏进入水体，引发次生水污染。</w:t>
      </w:r>
    </w:p>
    <w:p w14:paraId="394B4E90">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影响范围：主要影响泄漏点周边50~100m内的地表水（如厂区雨水沟、周边小型池塘），地下水受影响范围较小，仅在消防废水下渗严重区域（无防渗设施）可能受到轻微污染。</w:t>
      </w:r>
    </w:p>
    <w:p w14:paraId="1911C3B4">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消防废水进入地表水后，会导致水体浑浊、COD、氨氮、悬浮物超标，影响水生生物生存环境，导致小型水生生物（藻类、浮游生物）死亡；若伴随其他污染物泄漏，会加剧水体污染，破坏水生生态系统；地下水若受到污染，会导致水质恶化，若周边有地下水饮用水源地，会威胁饮用水安全（本次项目无相关敏感点，影响有限）。</w:t>
      </w:r>
    </w:p>
    <w:p w14:paraId="598D9E9D">
      <w:pPr>
        <w:ind w:firstLine="480"/>
        <w:rPr>
          <w:color w:val="000000" w:themeColor="text1"/>
          <w14:textFill>
            <w14:solidFill>
              <w14:schemeClr w14:val="tx1"/>
            </w14:solidFill>
          </w14:textFill>
        </w:rPr>
      </w:pPr>
      <w:r>
        <w:rPr>
          <w:color w:val="000000" w:themeColor="text1"/>
          <w14:textFill>
            <w14:solidFill>
              <w14:schemeClr w14:val="tx1"/>
            </w14:solidFill>
          </w14:textFill>
        </w:rPr>
        <w:t>持续时间：地表水受污染后，通过水体自净及人工治理，一般3~7d可恢复正常；地下水若受污染，恢复时间较长，需1~3个月，甚至更久。</w:t>
      </w:r>
    </w:p>
    <w:p w14:paraId="290ADF27">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 矿物油（废矿物油）火灾爆炸事故</w:t>
      </w:r>
    </w:p>
    <w:p w14:paraId="211FA726">
      <w:pPr>
        <w:ind w:firstLine="480"/>
        <w:rPr>
          <w:color w:val="000000" w:themeColor="text1"/>
          <w14:textFill>
            <w14:solidFill>
              <w14:schemeClr w14:val="tx1"/>
            </w14:solidFill>
          </w14:textFill>
        </w:rPr>
      </w:pPr>
      <w:r>
        <w:rPr>
          <w:color w:val="000000" w:themeColor="text1"/>
          <w14:textFill>
            <w14:solidFill>
              <w14:schemeClr w14:val="tx1"/>
            </w14:solidFill>
          </w14:textFill>
        </w:rPr>
        <w:t>废矿物油难溶于水，火灾爆炸过程中，未燃烧的废矿物油及燃烧产物会通过漫流、下渗途径污染水环境，危害持续时间长、治理难度大：</w:t>
      </w:r>
    </w:p>
    <w:p w14:paraId="565C1753">
      <w:pPr>
        <w:ind w:firstLine="480"/>
        <w:rPr>
          <w:color w:val="000000" w:themeColor="text1"/>
          <w14:textFill>
            <w14:solidFill>
              <w14:schemeClr w14:val="tx1"/>
            </w14:solidFill>
          </w14:textFill>
        </w:rPr>
      </w:pPr>
      <w:r>
        <w:rPr>
          <w:color w:val="000000" w:themeColor="text1"/>
          <w14:textFill>
            <w14:solidFill>
              <w14:schemeClr w14:val="tx1"/>
            </w14:solidFill>
          </w14:textFill>
        </w:rPr>
        <w:t>污染途径：废矿物油泄漏后，部分未燃烧的油体沿地面漫流，进入雨水系统、地表水体；火灾扑灭产生的消防废水，含有油类、多环芳烃等污染物，下渗至地下水或漫流至地表水；燃烧产生的油雾沉降至地表，随雨水冲刷进入水体。</w:t>
      </w:r>
    </w:p>
    <w:p w14:paraId="25F79FAC">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影响范围：地表水受影响范围50~100m，主要为厂区周边雨水沟、小型地表水体；地下水受影响范围30~50m，主要集中在泄漏点及消防废水下渗区域。</w:t>
      </w:r>
    </w:p>
    <w:p w14:paraId="27B55F21">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废矿物油进入地表水后，会在水体表面形成油膜，阻碍水体与大气的气体交换，导致水生生物缺氧死亡，破坏水生生态系统；油类物质及多环芳烃难以降解，长期污染水体，导致水质持续恶化，影响水体使用功能；地下水受污染后，油类及多环芳烃超标，无法直接使用，治理难度大、成本高，恢复时间长达数月甚至数年。</w:t>
      </w:r>
    </w:p>
    <w:p w14:paraId="740F4010">
      <w:pPr>
        <w:ind w:firstLine="480"/>
        <w:rPr>
          <w:color w:val="000000" w:themeColor="text1"/>
          <w14:textFill>
            <w14:solidFill>
              <w14:schemeClr w14:val="tx1"/>
            </w14:solidFill>
          </w14:textFill>
        </w:rPr>
      </w:pPr>
      <w:r>
        <w:rPr>
          <w:color w:val="000000" w:themeColor="text1"/>
          <w14:textFill>
            <w14:solidFill>
              <w14:schemeClr w14:val="tx1"/>
            </w14:solidFill>
          </w14:textFill>
        </w:rPr>
        <w:t>持续时间：地表水受污染后，需人工清理油膜、投放吸附材料，恢复时间10~30d；地下水受污染后，恢复时间长达3~6个月，甚至更久，需开展地下水抽提、净化治理。</w:t>
      </w:r>
    </w:p>
    <w:p w14:paraId="0819A62B">
      <w:pPr>
        <w:ind w:firstLine="482"/>
        <w:rPr>
          <w:b/>
          <w:bCs/>
          <w:color w:val="000000" w:themeColor="text1"/>
          <w14:textFill>
            <w14:solidFill>
              <w14:schemeClr w14:val="tx1"/>
            </w14:solidFill>
          </w14:textFill>
        </w:rPr>
      </w:pPr>
      <w:bookmarkStart w:id="555" w:name="heading_9"/>
      <w:r>
        <w:rPr>
          <w:b/>
          <w:bCs/>
          <w:color w:val="000000" w:themeColor="text1"/>
          <w14:textFill>
            <w14:solidFill>
              <w14:schemeClr w14:val="tx1"/>
            </w14:solidFill>
          </w14:textFill>
        </w:rPr>
        <w:t>3. 氨水泄漏事故</w:t>
      </w:r>
      <w:bookmarkEnd w:id="555"/>
    </w:p>
    <w:p w14:paraId="5B0878F1">
      <w:pPr>
        <w:ind w:firstLine="480"/>
        <w:rPr>
          <w:color w:val="000000" w:themeColor="text1"/>
          <w14:textFill>
            <w14:solidFill>
              <w14:schemeClr w14:val="tx1"/>
            </w14:solidFill>
          </w14:textFill>
        </w:rPr>
      </w:pPr>
      <w:r>
        <w:rPr>
          <w:color w:val="000000" w:themeColor="text1"/>
          <w14:textFill>
            <w14:solidFill>
              <w14:schemeClr w14:val="tx1"/>
            </w14:solidFill>
          </w14:textFill>
        </w:rPr>
        <w:t>氨水泄漏后，泄漏液通过漫流、下渗途径直接污染地表水、地下水，是三类事故中对水环境危害最直接、最严重的事故：</w:t>
      </w:r>
    </w:p>
    <w:p w14:paraId="6F148DAA">
      <w:pPr>
        <w:ind w:firstLine="480"/>
        <w:rPr>
          <w:color w:val="000000" w:themeColor="text1"/>
          <w14:textFill>
            <w14:solidFill>
              <w14:schemeClr w14:val="tx1"/>
            </w14:solidFill>
          </w14:textFill>
        </w:rPr>
      </w:pPr>
      <w:r>
        <w:rPr>
          <w:color w:val="000000" w:themeColor="text1"/>
          <w14:textFill>
            <w14:solidFill>
              <w14:schemeClr w14:val="tx1"/>
            </w14:solidFill>
          </w14:textFill>
        </w:rPr>
        <w:t>污染途径：氨水泄漏液沿地面漫流，进入雨水系统、地表水体；泄漏液下渗至地下水，污染地下水环境；氨气沉降后，随雨水进入水体，加剧水体污染。</w:t>
      </w:r>
    </w:p>
    <w:p w14:paraId="028BA3FB">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小量泄漏，仅影响储罐围堰内水体，无明显外排污染；中量泄漏，影响周边50~150m内地表水、地下水；大量泄漏，影响范围＞150m，若周边有地表水体（河流、池塘），会导致大范围地表水污染，地下水污染范围逐步扩大。</w:t>
      </w:r>
    </w:p>
    <w:p w14:paraId="421E72FB">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危害后果：氨水进入地表水后，会导致水体pH急剧升高（中量泄漏pH 9~11，大量泄漏pH＞11），氨氮严重超标，破坏水生生态系统，水生生物（鱼类、藻类、浮游生物）大量死亡，水体自净能力丧失；地下水受污染后，pH升高、氨氮超标，若周边有地下水饮用水源地，会直接威胁饮用水安全，长期饮用受污染地下水会危害人体健康；受污染水体无法用于农业灌溉，否则会灼伤作物根系，导致作物减产、死亡。</w:t>
      </w:r>
    </w:p>
    <w:p w14:paraId="252DD3C4">
      <w:pPr>
        <w:ind w:firstLine="480"/>
        <w:rPr>
          <w:color w:val="000000" w:themeColor="text1"/>
          <w14:textFill>
            <w14:solidFill>
              <w14:schemeClr w14:val="tx1"/>
            </w14:solidFill>
          </w14:textFill>
        </w:rPr>
      </w:pPr>
      <w:r>
        <w:rPr>
          <w:color w:val="000000" w:themeColor="text1"/>
          <w14:textFill>
            <w14:solidFill>
              <w14:schemeClr w14:val="tx1"/>
            </w14:solidFill>
          </w14:textFill>
        </w:rPr>
        <w:t>持续时间：地表水受污染后，需通过中和、稀释等人工治理，恢复时间7~30d；地下水受污染后，因氨水易溶于水、渗透能力强，恢复时间长达数月甚至数年，需开展地下水抽提、中和治理。</w:t>
      </w:r>
    </w:p>
    <w:p w14:paraId="6A21C2BE">
      <w:pPr>
        <w:pStyle w:val="4"/>
        <w:rPr>
          <w:color w:val="000000" w:themeColor="text1"/>
          <w14:textFill>
            <w14:solidFill>
              <w14:schemeClr w14:val="tx1"/>
            </w14:solidFill>
          </w14:textFill>
        </w:rPr>
      </w:pPr>
      <w:r>
        <w:rPr>
          <w:color w:val="000000" w:themeColor="text1"/>
          <w14:textFill>
            <w14:solidFill>
              <w14:schemeClr w14:val="tx1"/>
            </w14:solidFill>
          </w14:textFill>
        </w:rPr>
        <w:t>土壤环境影响分析</w:t>
      </w:r>
    </w:p>
    <w:p w14:paraId="2C38EA3C">
      <w:pPr>
        <w:ind w:firstLine="480"/>
        <w:rPr>
          <w:color w:val="000000" w:themeColor="text1"/>
          <w14:textFill>
            <w14:solidFill>
              <w14:schemeClr w14:val="tx1"/>
            </w14:solidFill>
          </w14:textFill>
        </w:rPr>
      </w:pPr>
      <w:r>
        <w:rPr>
          <w:color w:val="000000" w:themeColor="text1"/>
          <w14:textFill>
            <w14:solidFill>
              <w14:schemeClr w14:val="tx1"/>
            </w14:solidFill>
          </w14:textFill>
        </w:rPr>
        <w:t>三类事故对土壤环境的影响主要通过污染物下渗、漫流、沉降等途径，破坏土壤理化性质、土壤生态，不同事故的污染程度及恢复难度差异较大，具体如下：</w:t>
      </w:r>
    </w:p>
    <w:p w14:paraId="1E7ED943">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 天然气火灾爆炸事故</w:t>
      </w:r>
    </w:p>
    <w:p w14:paraId="0361B48A">
      <w:pPr>
        <w:ind w:firstLine="480"/>
        <w:rPr>
          <w:color w:val="000000" w:themeColor="text1"/>
          <w14:textFill>
            <w14:solidFill>
              <w14:schemeClr w14:val="tx1"/>
            </w14:solidFill>
          </w14:textFill>
        </w:rPr>
      </w:pPr>
      <w:r>
        <w:rPr>
          <w:color w:val="000000" w:themeColor="text1"/>
          <w14:textFill>
            <w14:solidFill>
              <w14:schemeClr w14:val="tx1"/>
            </w14:solidFill>
          </w14:textFill>
        </w:rPr>
        <w:t>天然气本身对土壤无直接污染，火灾爆炸的高温及次生污染物会对土壤造成间接影响，危害程度较轻：</w:t>
      </w:r>
    </w:p>
    <w:p w14:paraId="5657B366">
      <w:pPr>
        <w:ind w:firstLine="480"/>
        <w:rPr>
          <w:color w:val="000000" w:themeColor="text1"/>
          <w14:textFill>
            <w14:solidFill>
              <w14:schemeClr w14:val="tx1"/>
            </w14:solidFill>
          </w14:textFill>
        </w:rPr>
      </w:pPr>
      <w:r>
        <w:rPr>
          <w:color w:val="000000" w:themeColor="text1"/>
          <w14:textFill>
            <w14:solidFill>
              <w14:schemeClr w14:val="tx1"/>
            </w14:solidFill>
          </w14:textFill>
        </w:rPr>
        <w:t>污染途径：火灾产生的高温热辐射灼伤表层土壤，破坏土壤微生物群落；消防废水下渗，携带炭黑、氮氧化物等污染物进入土壤；爆炸产生的污染物沉降至土壤表面，逐步下渗。</w:t>
      </w:r>
    </w:p>
    <w:p w14:paraId="7D8A42C4">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影响范围：主要影响火灾爆炸现场及周边30~50m内的表层土壤（深度≤50cm），深层土壤受影响较小。</w:t>
      </w:r>
    </w:p>
    <w:p w14:paraId="3C305CED">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高温导致表层土壤板结，土壤透气性、透水性下降，破坏土壤团聚体，导致土壤肥力下降；消防废水中的污染物会轻微改变土壤pH值，影响土壤微生物活性，抑制植物生长；少量污染物下渗至深层土壤，对土壤生态影响有限，无长期污染隐患。</w:t>
      </w:r>
    </w:p>
    <w:p w14:paraId="2669D687">
      <w:pPr>
        <w:ind w:firstLine="480"/>
        <w:rPr>
          <w:color w:val="000000" w:themeColor="text1"/>
          <w14:textFill>
            <w14:solidFill>
              <w14:schemeClr w14:val="tx1"/>
            </w14:solidFill>
          </w14:textFill>
        </w:rPr>
      </w:pPr>
      <w:r>
        <w:rPr>
          <w:color w:val="000000" w:themeColor="text1"/>
          <w14:textFill>
            <w14:solidFill>
              <w14:schemeClr w14:val="tx1"/>
            </w14:solidFill>
          </w14:textFill>
        </w:rPr>
        <w:t>持续时间：表层土壤恢复时间1~3个月，通过土壤自身缓冲作用及人工改良（如松土、施肥），可快速恢复土壤功能，无长期污染遗留。</w:t>
      </w:r>
    </w:p>
    <w:p w14:paraId="4557B822">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 矿物油（废矿物油）火灾爆炸事故</w:t>
      </w:r>
    </w:p>
    <w:p w14:paraId="513FC7F1">
      <w:pPr>
        <w:ind w:firstLine="480"/>
        <w:rPr>
          <w:color w:val="000000" w:themeColor="text1"/>
          <w14:textFill>
            <w14:solidFill>
              <w14:schemeClr w14:val="tx1"/>
            </w14:solidFill>
          </w14:textFill>
        </w:rPr>
      </w:pPr>
      <w:r>
        <w:rPr>
          <w:color w:val="000000" w:themeColor="text1"/>
          <w14:textFill>
            <w14:solidFill>
              <w14:schemeClr w14:val="tx1"/>
            </w14:solidFill>
          </w14:textFill>
        </w:rPr>
        <w:t>废矿物油泄漏及火灾燃烧产物对土壤的污染具有持续性、难降解性，是三类事故中对土壤环境危害最严重的事故：</w:t>
      </w:r>
    </w:p>
    <w:p w14:paraId="16E64F5B">
      <w:pPr>
        <w:ind w:firstLine="480"/>
        <w:rPr>
          <w:color w:val="000000" w:themeColor="text1"/>
          <w14:textFill>
            <w14:solidFill>
              <w14:schemeClr w14:val="tx1"/>
            </w14:solidFill>
          </w14:textFill>
        </w:rPr>
      </w:pPr>
      <w:r>
        <w:rPr>
          <w:color w:val="000000" w:themeColor="text1"/>
          <w14:textFill>
            <w14:solidFill>
              <w14:schemeClr w14:val="tx1"/>
            </w14:solidFill>
          </w14:textFill>
        </w:rPr>
        <w:t>污染途径：未燃烧的废矿物油沿地面漫流，吸附于土壤颗粒表面；燃烧产生的多环芳烃等有毒污染物沉降至土壤表面，逐步下渗；消防废水携带油类、污染物下渗至土壤深层。</w:t>
      </w:r>
    </w:p>
    <w:p w14:paraId="1C7F11A1">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影响范围：主要影响泄漏点及周边50~100m内的土壤，表层土壤（深度≤100cm）污染最严重，深层土壤（100~200cm）可能受到轻微污染，受土壤质地、渗透性影响较大。</w:t>
      </w:r>
    </w:p>
    <w:p w14:paraId="51D41079">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废矿物油吸附于土壤颗粒表面，堵塞土壤孔隙，降低土壤透气性、透水性，导致植物根系坏死、无法生长；多环芳烃具有强致癌性，长期留存于土壤中，会污染土壤生态，影响土壤微生物群落，同时可能通过土壤-植物系统迁移，进入农作物，威胁人体健康；土壤污染后，治理难度大、成本高，难以完全恢复至原始状态。</w:t>
      </w:r>
    </w:p>
    <w:p w14:paraId="4F88DAA2">
      <w:pPr>
        <w:ind w:firstLine="480"/>
        <w:rPr>
          <w:color w:val="000000" w:themeColor="text1"/>
          <w14:textFill>
            <w14:solidFill>
              <w14:schemeClr w14:val="tx1"/>
            </w14:solidFill>
          </w14:textFill>
        </w:rPr>
      </w:pPr>
      <w:r>
        <w:rPr>
          <w:color w:val="000000" w:themeColor="text1"/>
          <w14:textFill>
            <w14:solidFill>
              <w14:schemeClr w14:val="tx1"/>
            </w14:solidFill>
          </w14:textFill>
        </w:rPr>
        <w:t>持续时间：土壤污染为长期污染，表层土壤恢复时间需1~3年，深层土壤恢复时间长达5年以上，需开展土壤异位修复、原位吸附等专项治理措施。</w:t>
      </w:r>
    </w:p>
    <w:p w14:paraId="5038492D">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 氨水泄漏事故</w:t>
      </w:r>
    </w:p>
    <w:p w14:paraId="1A5C1266">
      <w:pPr>
        <w:ind w:firstLine="480"/>
        <w:rPr>
          <w:color w:val="000000" w:themeColor="text1"/>
          <w14:textFill>
            <w14:solidFill>
              <w14:schemeClr w14:val="tx1"/>
            </w14:solidFill>
          </w14:textFill>
        </w:rPr>
      </w:pPr>
      <w:r>
        <w:rPr>
          <w:color w:val="000000" w:themeColor="text1"/>
          <w14:textFill>
            <w14:solidFill>
              <w14:schemeClr w14:val="tx1"/>
            </w14:solidFill>
          </w14:textFill>
        </w:rPr>
        <w:t>氨水泄漏后，泄漏液下渗至土壤，导致土壤碱化，破坏土壤理化性质，影响土壤生态，危害程度中等：</w:t>
      </w:r>
    </w:p>
    <w:p w14:paraId="593A9EBB">
      <w:pPr>
        <w:ind w:firstLine="480"/>
        <w:rPr>
          <w:color w:val="000000" w:themeColor="text1"/>
          <w14:textFill>
            <w14:solidFill>
              <w14:schemeClr w14:val="tx1"/>
            </w14:solidFill>
          </w14:textFill>
        </w:rPr>
      </w:pPr>
      <w:r>
        <w:rPr>
          <w:color w:val="000000" w:themeColor="text1"/>
          <w14:textFill>
            <w14:solidFill>
              <w14:schemeClr w14:val="tx1"/>
            </w14:solidFill>
          </w14:textFill>
        </w:rPr>
        <w:t>污染途径：氨水泄漏液漫流至土壤表面，逐步下渗；氨气沉降至土壤表面，与土壤中的水分反应，生成氢氧化铵，导致土壤碱化；泄漏液进入土壤后，与土壤中的酸性物质反应，改变土壤理化性质。</w:t>
      </w:r>
    </w:p>
    <w:p w14:paraId="38E8574E">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影响范围：小量泄漏，仅影响泄漏点周边30m内的表层土壤（深度≤50cm）；中量、大量泄漏，影响范围50~150m，土壤污染深度可达150cm以上，土壤碱化范围逐步扩大。</w:t>
      </w:r>
    </w:p>
    <w:p w14:paraId="446A3057">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土壤碱化导致土壤pH升高，破坏土壤团聚体，导致土壤养分（如氮、磷、钾）流失，影响植物生长，严重时导致植物枯萎、死亡；土壤微生物群落受抑制，土壤自净能力下降，土壤生态系统遭到破坏；若土壤长期处于高碱环境，会形成盐碱化斑块，丧失农业、绿化功能；氨水泄漏后，土壤中的氨氮含量升高，可能通过下渗污染地下水。</w:t>
      </w:r>
    </w:p>
    <w:p w14:paraId="38CD4DC0">
      <w:pPr>
        <w:ind w:firstLine="480"/>
        <w:rPr>
          <w:color w:val="000000" w:themeColor="text1"/>
          <w14:textFill>
            <w14:solidFill>
              <w14:schemeClr w14:val="tx1"/>
            </w14:solidFill>
          </w14:textFill>
        </w:rPr>
      </w:pPr>
      <w:r>
        <w:rPr>
          <w:color w:val="000000" w:themeColor="text1"/>
          <w14:textFill>
            <w14:solidFill>
              <w14:schemeClr w14:val="tx1"/>
            </w14:solidFill>
          </w14:textFill>
        </w:rPr>
        <w:t>持续时间：小量泄漏，土壤通过自身缓冲作用，1~7d可恢复正常；中量、大量泄漏，土壤恢复时间30~90d，需开展人工改良（如投放酸性物质、深耕松土），才能逐步恢复土壤功能。</w:t>
      </w:r>
    </w:p>
    <w:p w14:paraId="372C97EA">
      <w:pPr>
        <w:pStyle w:val="4"/>
        <w:rPr>
          <w:color w:val="000000" w:themeColor="text1"/>
          <w14:textFill>
            <w14:solidFill>
              <w14:schemeClr w14:val="tx1"/>
            </w14:solidFill>
          </w14:textFill>
        </w:rPr>
      </w:pPr>
      <w:r>
        <w:rPr>
          <w:color w:val="000000" w:themeColor="text1"/>
          <w14:textFill>
            <w14:solidFill>
              <w14:schemeClr w14:val="tx1"/>
            </w14:solidFill>
          </w14:textFill>
        </w:rPr>
        <w:t>人体健康影响分析</w:t>
      </w:r>
    </w:p>
    <w:p w14:paraId="44CCCBB1">
      <w:pPr>
        <w:ind w:firstLine="480"/>
        <w:rPr>
          <w:color w:val="000000" w:themeColor="text1"/>
          <w14:textFill>
            <w14:solidFill>
              <w14:schemeClr w14:val="tx1"/>
            </w14:solidFill>
          </w14:textFill>
        </w:rPr>
      </w:pPr>
      <w:r>
        <w:rPr>
          <w:color w:val="000000" w:themeColor="text1"/>
          <w14:textFill>
            <w14:solidFill>
              <w14:schemeClr w14:val="tx1"/>
            </w14:solidFill>
          </w14:textFill>
        </w:rPr>
        <w:t>三类事故通过吸入、皮肤接触、眼睛接触、食入四种途径影响人体健康，其中吸入、皮肤接触为主要途径，不同事故的危害方式、严重程度存在差异，具体分析如下：</w:t>
      </w:r>
    </w:p>
    <w:p w14:paraId="7FAF1D6A">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 天然气火灾爆炸事故</w:t>
      </w:r>
    </w:p>
    <w:p w14:paraId="7C085CB9">
      <w:pPr>
        <w:ind w:firstLine="480"/>
        <w:rPr>
          <w:color w:val="000000" w:themeColor="text1"/>
          <w14:textFill>
            <w14:solidFill>
              <w14:schemeClr w14:val="tx1"/>
            </w14:solidFill>
          </w14:textFill>
        </w:rPr>
      </w:pPr>
      <w:r>
        <w:rPr>
          <w:color w:val="000000" w:themeColor="text1"/>
          <w14:textFill>
            <w14:solidFill>
              <w14:schemeClr w14:val="tx1"/>
            </w14:solidFill>
          </w14:textFill>
        </w:rPr>
        <w:t>事故对人体健康的危害主要源于火灾爆炸的高温、冲击波及有毒烟气，以急性伤害为主，具体如下：</w:t>
      </w:r>
    </w:p>
    <w:p w14:paraId="67DA10BA">
      <w:pPr>
        <w:ind w:firstLine="480"/>
        <w:rPr>
          <w:color w:val="000000" w:themeColor="text1"/>
          <w14:textFill>
            <w14:solidFill>
              <w14:schemeClr w14:val="tx1"/>
            </w14:solidFill>
          </w14:textFill>
        </w:rPr>
      </w:pPr>
      <w:r>
        <w:rPr>
          <w:color w:val="000000" w:themeColor="text1"/>
          <w14:textFill>
            <w14:solidFill>
              <w14:schemeClr w14:val="tx1"/>
            </w14:solidFill>
          </w14:textFill>
        </w:rPr>
        <w:t>伤害途径：吸入火灾产生的一氧化碳、氮氧化物等有毒烟气；高温热辐射灼伤皮肤、呼吸道；爆炸产生的冲击波造成人体外伤、骨折；若发生二次泄漏，高浓度天然气导致局部区域氧气含量降低，引发人员窒息。</w:t>
      </w:r>
    </w:p>
    <w:p w14:paraId="33C0A296">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急性中毒，吸入一氧化碳后，轻度出现头晕、恶心、呼吸困难等症状，重度出现昏迷、抽搐、呼吸衰竭，甚至死亡；氮氧化物、烟气刺激呼吸道，引发支气管炎、肺炎等呼吸系统疾病；高温灼伤皮肤、呼吸道黏膜，造成皮肤红肿、溃疡、呼吸道灼伤；冲击波导致外伤、骨折，严重时造成内脏损伤；窒息症状若未及时救治，会导致人员死亡。</w:t>
      </w:r>
    </w:p>
    <w:p w14:paraId="002A275E">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影响范围：主要影响火灾爆炸现场及周边50~100m内的人员，若烟气扩散至敏感点（居民区、学校），会影响敏感点内人员健康；长期影响较小，无明显慢性健康危害。</w:t>
      </w:r>
    </w:p>
    <w:p w14:paraId="6C34F093">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 矿物油（废矿物油）火灾爆炸事故</w:t>
      </w:r>
    </w:p>
    <w:p w14:paraId="45FE36C8">
      <w:pPr>
        <w:ind w:firstLine="480"/>
        <w:rPr>
          <w:color w:val="000000" w:themeColor="text1"/>
          <w14:textFill>
            <w14:solidFill>
              <w14:schemeClr w14:val="tx1"/>
            </w14:solidFill>
          </w14:textFill>
        </w:rPr>
      </w:pPr>
      <w:r>
        <w:rPr>
          <w:color w:val="000000" w:themeColor="text1"/>
          <w14:textFill>
            <w14:solidFill>
              <w14:schemeClr w14:val="tx1"/>
            </w14:solidFill>
          </w14:textFill>
        </w:rPr>
        <w:t>事故对人体健康的危害源于废矿物油本身的毒性及燃烧产生的有毒烟气，涵盖急性、慢性伤害，具体如下：</w:t>
      </w:r>
    </w:p>
    <w:p w14:paraId="448876CA">
      <w:pPr>
        <w:ind w:firstLine="480"/>
        <w:rPr>
          <w:color w:val="000000" w:themeColor="text1"/>
          <w14:textFill>
            <w14:solidFill>
              <w14:schemeClr w14:val="tx1"/>
            </w14:solidFill>
          </w14:textFill>
        </w:rPr>
      </w:pPr>
      <w:r>
        <w:rPr>
          <w:color w:val="000000" w:themeColor="text1"/>
          <w14:textFill>
            <w14:solidFill>
              <w14:schemeClr w14:val="tx1"/>
            </w14:solidFill>
          </w14:textFill>
        </w:rPr>
        <w:t>伤害途径：吸入燃烧产生的多环芳烃、一氧化碳等有毒烟气；皮肤接触未燃烧的废矿物油或燃烧产物；眼睛接触油雾、烟气；误食受污染的食物、水（间接伤害）。</w:t>
      </w:r>
    </w:p>
    <w:p w14:paraId="4241FEF2">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急性伤害，吸入高浓度多环芳烃、一氧化碳后，出现头晕、恶心、呕吐、呼吸道刺激等症状，重度出现中毒、昏迷；皮肤接触废矿物油后，出现皮炎、皮疹、瘙痒，严重时出现皮肤溃烂；眼睛接触油雾、烟气后，出现结膜充血、灼伤，影响视力。慢性伤害，长期暴露在多环芳烃环境中，会增加患癌风险（如肺癌、皮肤癌）；长期皮肤接触废矿物油，会损害肝脏、肾脏功能；误食受污染的食物、水，会灼伤消化道，引发肠胃疾病。</w:t>
      </w:r>
    </w:p>
    <w:p w14:paraId="78DE6267">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影响范围：主要影响现场作业人员及周边50~150m内的人员，若多环芳烃扩散至敏感点，会增加敏感点内人员的慢性健康风险。</w:t>
      </w:r>
    </w:p>
    <w:p w14:paraId="0671F71E">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 氨水泄漏事故</w:t>
      </w:r>
    </w:p>
    <w:p w14:paraId="5D21EA60">
      <w:pPr>
        <w:ind w:firstLine="480"/>
        <w:rPr>
          <w:color w:val="000000" w:themeColor="text1"/>
          <w14:textFill>
            <w14:solidFill>
              <w14:schemeClr w14:val="tx1"/>
            </w14:solidFill>
          </w14:textFill>
        </w:rPr>
      </w:pPr>
      <w:r>
        <w:rPr>
          <w:color w:val="000000" w:themeColor="text1"/>
          <w14:textFill>
            <w14:solidFill>
              <w14:schemeClr w14:val="tx1"/>
            </w14:solidFill>
          </w14:textFill>
        </w:rPr>
        <w:t>事故对人体健康的危害源于氨气的强刺激性、毒性，以急性伤害为主，严重时可导致人员死亡，具体如下：</w:t>
      </w:r>
    </w:p>
    <w:p w14:paraId="792952B7">
      <w:pPr>
        <w:ind w:firstLine="480"/>
        <w:rPr>
          <w:color w:val="000000" w:themeColor="text1"/>
          <w14:textFill>
            <w14:solidFill>
              <w14:schemeClr w14:val="tx1"/>
            </w14:solidFill>
          </w14:textFill>
        </w:rPr>
      </w:pPr>
      <w:r>
        <w:rPr>
          <w:color w:val="000000" w:themeColor="text1"/>
          <w14:textFill>
            <w14:solidFill>
              <w14:schemeClr w14:val="tx1"/>
            </w14:solidFill>
          </w14:textFill>
        </w:rPr>
        <w:t>伤害途径：吸入挥发的氨气；皮肤直接接触氨水泄漏液；眼睛接触氨气或氨水雾；误食氨水（极端情况）。</w:t>
      </w:r>
    </w:p>
    <w:p w14:paraId="4157419F">
      <w:pPr>
        <w:ind w:firstLine="480"/>
        <w:rPr>
          <w:color w:val="000000" w:themeColor="text1"/>
          <w14:textFill>
            <w14:solidFill>
              <w14:schemeClr w14:val="tx1"/>
            </w14:solidFill>
          </w14:textFill>
        </w:rPr>
      </w:pPr>
      <w:r>
        <w:rPr>
          <w:color w:val="000000" w:themeColor="text1"/>
          <w14:textFill>
            <w14:solidFill>
              <w14:schemeClr w14:val="tx1"/>
            </w14:solidFill>
          </w14:textFill>
        </w:rPr>
        <w:t>危害后果：急性伤害，吸入少量氨气，出现眼鼻、咽喉刺激症状（流泪、打喷嚏、咽喉肿痛），脱离接触后可快速恢复；吸入高浓度氨气，出现严重呼吸道刺激、胸闷、呼吸困难、肺水肿，严重时导致窒息、死亡；皮肤接触氨水后，出现红肿、灼伤、坏死，大面积接触会导致严重皮肤损伤；眼睛接触氨气或氨水雾后，出现结膜充血、角膜灼伤，严重时导致失明；误食氨水后，会灼伤口腔、食道、消化道，出现恶心、呕吐、腹痛等症状，严重时危及生命。</w:t>
      </w:r>
    </w:p>
    <w:p w14:paraId="671CA9BE">
      <w:pPr>
        <w:ind w:firstLine="480"/>
        <w:rPr>
          <w:color w:val="000000" w:themeColor="text1"/>
          <w14:textFill>
            <w14:solidFill>
              <w14:schemeClr w14:val="tx1"/>
            </w14:solidFill>
          </w14:textFill>
        </w:rPr>
      </w:pPr>
      <w:r>
        <w:rPr>
          <w:color w:val="000000" w:themeColor="text1"/>
          <w14:textFill>
            <w14:solidFill>
              <w14:schemeClr w14:val="tx1"/>
            </w14:solidFill>
          </w14:textFill>
        </w:rPr>
        <w:t>影响范围：小量泄漏，仅影响现场作业人员；中量、大量泄漏，氨气扩散至周边50~500m，影响范围内人员均可能受到伤害，若周边有敏感点，会造成群体性健康危害。</w:t>
      </w:r>
    </w:p>
    <w:p w14:paraId="51A8D276">
      <w:pPr>
        <w:pStyle w:val="3"/>
        <w:rPr>
          <w:color w:val="000000" w:themeColor="text1"/>
          <w14:textFill>
            <w14:solidFill>
              <w14:schemeClr w14:val="tx1"/>
            </w14:solidFill>
          </w14:textFill>
        </w:rPr>
      </w:pPr>
      <w:bookmarkStart w:id="556" w:name="_Toc225268342"/>
      <w:r>
        <w:rPr>
          <w:color w:val="000000" w:themeColor="text1"/>
          <w14:textFill>
            <w14:solidFill>
              <w14:schemeClr w14:val="tx1"/>
            </w14:solidFill>
          </w14:textFill>
        </w:rPr>
        <w:t>环境风险防范措施及应急措施</w:t>
      </w:r>
      <w:bookmarkEnd w:id="556"/>
    </w:p>
    <w:p w14:paraId="549EDD0C">
      <w:pPr>
        <w:pStyle w:val="4"/>
        <w:rPr>
          <w:b/>
          <w:color w:val="000000" w:themeColor="text1"/>
          <w14:textFill>
            <w14:solidFill>
              <w14:schemeClr w14:val="tx1"/>
            </w14:solidFill>
          </w14:textFill>
        </w:rPr>
      </w:pPr>
      <w:bookmarkStart w:id="557" w:name="_Toc8420"/>
      <w:r>
        <w:rPr>
          <w:color w:val="000000" w:themeColor="text1"/>
          <w14:textFill>
            <w14:solidFill>
              <w14:schemeClr w14:val="tx1"/>
            </w14:solidFill>
          </w14:textFill>
        </w:rPr>
        <w:t>企业总图布置与风险防范</w:t>
      </w:r>
      <w:bookmarkEnd w:id="557"/>
    </w:p>
    <w:p w14:paraId="6D92E994">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施工建设中严格执行国家有关部门现行的设计规范、规定及标准。各生产装置之间严格按防火防爆间距布置，厂房及建筑物按规定等级设计，高温明火的设备尽可能远离散发可燃气体的场所。</w:t>
      </w:r>
    </w:p>
    <w:p w14:paraId="3817B2E6">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根据车间（工序）生产过程中火灾、爆炸危险等级及毒物危害程度分级进行分类、分区布置。合理划分管理区、工艺生产区、辅助生产区及储运设施区，各区按其危害程度采取相应的安全防范措施进行管理。</w:t>
      </w:r>
    </w:p>
    <w:p w14:paraId="0036FD32">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合理组织人流和货流，结合交通、消防的需要，装置区周围设置环形消防道，以满足工艺流程、厂内外运输、检修及生产管理的要求。</w:t>
      </w:r>
    </w:p>
    <w:p w14:paraId="589C2042">
      <w:pPr>
        <w:pStyle w:val="4"/>
        <w:rPr>
          <w:b/>
          <w:color w:val="000000" w:themeColor="text1"/>
          <w14:textFill>
            <w14:solidFill>
              <w14:schemeClr w14:val="tx1"/>
            </w14:solidFill>
          </w14:textFill>
        </w:rPr>
      </w:pPr>
      <w:bookmarkStart w:id="558" w:name="_Toc9674"/>
      <w:r>
        <w:rPr>
          <w:color w:val="000000" w:themeColor="text1"/>
          <w14:textFill>
            <w14:solidFill>
              <w14:schemeClr w14:val="tx1"/>
            </w14:solidFill>
          </w14:textFill>
        </w:rPr>
        <w:t>危险废物贮存及运输过程的风险防范措施</w:t>
      </w:r>
      <w:bookmarkEnd w:id="558"/>
    </w:p>
    <w:p w14:paraId="788E6D8D">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为防止危险废物发生泄漏而污染周围环境，加强控制和管理是杜绝、减轻和避免环境风险的最有效办法。危险废物泄漏主要发生在运输与存储环节，对于其运输与储存风险的防范，应在运输管理、运输设备等方面加强控制：</w:t>
      </w:r>
    </w:p>
    <w:p w14:paraId="0B0D9FD4">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1、输送过程中，确保固废包装的完好和密封，并固定好，避免危险废物的洒落从而引起扬尘或挥发性气体的逸散。</w:t>
      </w:r>
    </w:p>
    <w:p w14:paraId="24B9472F">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2、危废暂存区设有专人管理，管理人员配备可靠的个人防护用品；</w:t>
      </w:r>
    </w:p>
    <w:p w14:paraId="72EC8E45">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3、危险废物入库时，需分区存放，严格检验物品质量、数量、包装情况、有无泄漏。在贮存期内，定期检查，发现其包装破损、渗漏等，及时进行处理；</w:t>
      </w:r>
    </w:p>
    <w:p w14:paraId="781ACFBE">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4、暂存间铺设混凝土地面，保证贮存仓库的防渗、防漏。库房室内控温、控湿，经常检查，发现变化及时修补、调整，并配备相应灭火器；</w:t>
      </w:r>
    </w:p>
    <w:p w14:paraId="37A0B4C5">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5、配置沙土箱和适当的空容器、工具，以便发生泄漏时收集溢出的物料；</w:t>
      </w:r>
    </w:p>
    <w:p w14:paraId="2B43B013">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6、加强车辆管理，叉车进出车间应严格限速，并划定路线，避免发生意外事故；</w:t>
      </w:r>
    </w:p>
    <w:p w14:paraId="5EC69FD1">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7、在危废仓库、车间等显眼的地方做好应急物资、防范措施标示；</w:t>
      </w:r>
    </w:p>
    <w:p w14:paraId="04EE09BE">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8、根据《环境保护图形标志－固体废物贮存（处置）场》（GB15562.2-1995）设立专用标志；按《危险废物贮存污染控制标准》（GB18597-2023）进行建设，做好“三防”措施。</w:t>
      </w:r>
    </w:p>
    <w:p w14:paraId="4428762C">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风险源管控防范措施</w:t>
      </w:r>
    </w:p>
    <w:p w14:paraId="5F4A3D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针对天然气、矿物油（废矿物油）、氨水三类危险物质的风险单元，从设备、操作、管理三个层面强化管控，杜绝泄漏、火灾爆炸隐患，实现风险源全流程可控。</w:t>
      </w:r>
    </w:p>
    <w:p w14:paraId="62F71D1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 天然气风险源（管道、阀门、法兰等）防范措施</w:t>
      </w:r>
    </w:p>
    <w:p w14:paraId="3D246B20">
      <w:pPr>
        <w:ind w:firstLine="480"/>
        <w:rPr>
          <w:color w:val="000000" w:themeColor="text1"/>
          <w14:textFill>
            <w14:solidFill>
              <w14:schemeClr w14:val="tx1"/>
            </w14:solidFill>
          </w14:textFill>
        </w:rPr>
      </w:pPr>
    </w:p>
    <w:p w14:paraId="392E8E0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管控：天然气输送管道采用耐腐蚀、抗老化不锈钢材质，管道壁厚、耐压等级符合《输气管道工程设计规范》，定期开展无损检测（每年至少1次），及时更换腐蚀、老化管道及密封件；阀门、法兰选用密封性能优良的防爆产品，每季度检查1次密封情况，发现渗漏立即更换；计量装置定期校准（每半年1次），确保运行正常，避免因计量偏差导致管道超压泄漏。</w:t>
      </w:r>
    </w:p>
    <w:p w14:paraId="5E245B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操作管控：管道检修、维护时，严格执行“先停气、再排空、后检测、再作业”流程，关闭上下游阀门后，采用惰性气体（氮气）置换管道内天然气，检测气体浓度达标后（低于爆炸极限下限的50%）方可开展作业；严禁违规动火、动焊作业，动火作业需办理动火审批手续，配备灭火器材及监护人员；接口对接时确保紧密，作业后及时检查，避免渗漏；操作人员严格执行操作规程，严禁超压、超量输送。</w:t>
      </w:r>
    </w:p>
    <w:p w14:paraId="4966041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管理管控：建立天然气管道巡检台账，安排专人每日巡检（重点检查管道破损、接口渗漏、阀门状态），做好巡检记录，发现隐患立即整改；定期对操作人员进行专业培训（每季度至少1次），熟悉天然气危险特性、操作规范及应急处置流程，考核合格后方可上岗；完善安全管理制度，明确巡检、维护、检修职责，落实岗位责任制。</w:t>
      </w:r>
    </w:p>
    <w:p w14:paraId="3D31BBA3">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 矿物油（废矿物油）风险源（危废暂存间、密封容器等）防范措施</w:t>
      </w:r>
    </w:p>
    <w:p w14:paraId="48E2616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管控：废矿物油采用密封性能良好的专用容器盛装，容器标注清晰的危险废物标识（HW08类），定期检查容器完整性（每月1次），避免破损、密封松动；危废暂存间按照《危险废物贮存污染控制标准》建设，设置防渗地面（铺设HDPE防渗膜，厚度≥1.5mm）、防雨防晒设施及围堰（高度≥0.5m），防止泄漏液漫流；存放架选用耐腐蚀、稳固材质，避免坍塌导致容器破损，容器摆放整齐，与墙面、地面保持安全距离（≥10cm）。</w:t>
      </w:r>
    </w:p>
    <w:p w14:paraId="49C9156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操作管控：搬运废矿物油容器时轻拿轻放，避免碰撞、倾倒，严禁野蛮操作；容器充装量不超过容器容积的90%，严禁溢出；暂存时分类存放，与其他危险物质（如氨水）分开存放（间距≥1m），避免混存引发火灾隐患；严禁在危废暂存间内动火、吸烟，严禁使用明火照明。</w:t>
      </w:r>
    </w:p>
    <w:p w14:paraId="60212DA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管理管控：建立危废暂存、转运台账，专人负责管理，详细记录废矿物油的产生量、暂存量、转运时间及接收单位（需具备危险废物处置资质）；废矿物油暂存时间不超过1年，及时委托有资质单位处置，严禁随意倾倒、丢弃；定期检查暂存间设施（每月1次），及时整改防渗失效、容器破损等隐患。</w:t>
      </w:r>
    </w:p>
    <w:p w14:paraId="05786F2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 氨水风险源（储罐区、输送管道）防范措施</w:t>
      </w:r>
    </w:p>
    <w:p w14:paraId="5976707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管控：氨水储罐采用玻璃钢或不锈钢材质，符合《危险化学品储罐安全规范》，储罐壁厚、耐压等级满足要求，每年开展1次无损检测，检查焊缝、罐体完整性；储罐区设置高度≥1.2m的围堰，围堰容积不小于最大储罐容积（30m</w:t>
      </w:r>
      <w:r>
        <w:rPr>
          <w:rFonts w:ascii="Calibri" w:hAnsi="Calibri" w:cs="Calibri"/>
          <w:color w:val="000000" w:themeColor="text1"/>
          <w14:textFill>
            <w14:solidFill>
              <w14:schemeClr w14:val="tx1"/>
            </w14:solidFill>
          </w14:textFill>
        </w:rPr>
        <w:t>³</w:t>
      </w:r>
      <w:r>
        <w:rPr>
          <w:rFonts w:hint="eastAsia" w:ascii="黑体" w:hAnsi="黑体" w:eastAsia="黑体" w:cs="黑体"/>
          <w:color w:val="000000" w:themeColor="text1"/>
          <w14:textFill>
            <w14:solidFill>
              <w14:schemeClr w14:val="tx1"/>
            </w14:solidFill>
          </w14:textFill>
        </w:rPr>
        <w:t>），围堰内铺设</w:t>
      </w:r>
      <w:r>
        <w:rPr>
          <w:rFonts w:hint="eastAsia"/>
          <w:color w:val="000000" w:themeColor="text1"/>
          <w14:textFill>
            <w14:solidFill>
              <w14:schemeClr w14:val="tx1"/>
            </w14:solidFill>
          </w14:textFill>
        </w:rPr>
        <w:t>HDPE防渗膜，设置集水坑（用于收集泄漏液）；输送管道、泵体选用耐腐蚀材质，密封件每半年更换1次，取样口、投料口设置密封装置，操作后及时密封，防止泄漏。</w:t>
      </w:r>
    </w:p>
    <w:p w14:paraId="1EC38F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管理管控：建立储罐、管道维护台账，定期开展维护保养（每季度1次），及时整改隐患；定期对操作人员进行安全培训（每季度至少1次），提升风险防范意识及应急处置能力；储罐区设置警示标识（“腐蚀性物质”“禁止明火”等），严禁无关人员进入。</w:t>
      </w:r>
    </w:p>
    <w:p w14:paraId="3AF87851">
      <w:pPr>
        <w:pStyle w:val="4"/>
        <w:rPr>
          <w:b/>
          <w:color w:val="000000" w:themeColor="text1"/>
          <w14:textFill>
            <w14:solidFill>
              <w14:schemeClr w14:val="tx1"/>
            </w14:solidFill>
          </w14:textFill>
        </w:rPr>
      </w:pPr>
      <w:r>
        <w:rPr>
          <w:color w:val="000000" w:themeColor="text1"/>
          <w14:textFill>
            <w14:solidFill>
              <w14:schemeClr w14:val="tx1"/>
            </w14:solidFill>
          </w14:textFill>
        </w:rPr>
        <w:t>大气环境风险防范措施</w:t>
      </w:r>
    </w:p>
    <w:p w14:paraId="51AA125E">
      <w:pPr>
        <w:pStyle w:val="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建立大气环境风险三级防范体系</w:t>
      </w:r>
    </w:p>
    <w:p w14:paraId="63FDD4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（1）一级防控措施：工艺设计与安全方面，如车间装置、罐区、管线等密封防泄漏措施。以有效减少或避免使用风险物质。</w:t>
      </w:r>
    </w:p>
    <w:p w14:paraId="3B1E942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（2）二级防控措施：报警、监控与切断系统，如有毒、有害气体自动监测报警系统，自动控制，联锁装置及自动切断系统等。以有效减少泄漏量、缩短泄漏时间的措施。</w:t>
      </w:r>
    </w:p>
    <w:p w14:paraId="634691B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三级防控措施：事故后应急处置措施，如喷淋消防系统、事故引风喷淋系统、泡沫覆盖、事故备用罐等措施，并有效转移到废水、固废、备用储存设施中等，以有效降低事故状态下大气释放源强、缩短时间、减小排放量。</w:t>
      </w:r>
    </w:p>
    <w:p w14:paraId="692CA167">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废气处理设施风险防范措施</w:t>
      </w:r>
    </w:p>
    <w:p w14:paraId="7038CE6C">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（1）对操作人员进行岗位培训，严格按操作规程进行操作，严禁违章作业。</w:t>
      </w:r>
    </w:p>
    <w:p w14:paraId="7074D5B0">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w:t>
      </w:r>
      <w:r>
        <w:rPr>
          <w:rFonts w:hint="eastAsia" w:ascii="Times New Roman" w:hAnsi="Times New Roman"/>
          <w:color w:val="000000" w:themeColor="text1"/>
          <w:szCs w:val="22"/>
          <w14:textFill>
            <w14:solidFill>
              <w14:schemeClr w14:val="tx1"/>
            </w14:solidFill>
          </w14:textFill>
        </w:rPr>
        <w:t>2</w:t>
      </w:r>
      <w:r>
        <w:rPr>
          <w:rFonts w:ascii="Times New Roman" w:hAnsi="Times New Roman"/>
          <w:color w:val="000000" w:themeColor="text1"/>
          <w:szCs w:val="22"/>
          <w14:textFill>
            <w14:solidFill>
              <w14:schemeClr w14:val="tx1"/>
            </w14:solidFill>
          </w14:textFill>
        </w:rPr>
        <w:t>）</w:t>
      </w:r>
      <w:r>
        <w:rPr>
          <w:rFonts w:hint="eastAsia" w:ascii="Times New Roman" w:hAnsi="Times New Roman"/>
          <w:color w:val="000000" w:themeColor="text1"/>
          <w:szCs w:val="22"/>
          <w14:textFill>
            <w14:solidFill>
              <w14:schemeClr w14:val="tx1"/>
            </w14:solidFill>
          </w14:textFill>
        </w:rPr>
        <w:t>设置联动设置，</w:t>
      </w:r>
      <w:r>
        <w:rPr>
          <w:rFonts w:ascii="Times New Roman" w:hAnsi="Times New Roman"/>
          <w:color w:val="000000" w:themeColor="text1"/>
          <w:szCs w:val="22"/>
          <w14:textFill>
            <w14:solidFill>
              <w14:schemeClr w14:val="tx1"/>
            </w14:solidFill>
          </w14:textFill>
        </w:rPr>
        <w:t>如果废气处理装置发生故障时，则立即开启紧急停车系统，从源头控制废气的产生。</w:t>
      </w:r>
    </w:p>
    <w:p w14:paraId="2E9BBC0D">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3）焚烧炉必须配备自动控制和监测系统，在线显示运行工况和尾气排放参数，并能够自动反馈，对进料速率等工艺参数进行自动调节，确保焚烧炉出口烟气中氧气含量达到6~10%（干烟气），热解焙烧窑热解温度控制在950℃，二燃室焚烧温度控制在1100℃以上，烟气在二燃室停留时间大于2s。</w:t>
      </w:r>
    </w:p>
    <w:p w14:paraId="278A0FA6">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4）自动控制系统安装停电保护、过载保护、线路故障报警；要求焚烧系统双路供电，以防止停电后烟气外溢。同时设有安全事故水塔，装可雾化的自来水灭火器；系统中主要设备备用，防止因设备突然损坏，造成整套系统被迫停机，产生二次污染。</w:t>
      </w:r>
    </w:p>
    <w:p w14:paraId="76870D5F">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（5）在换热器后面安装CO检测仪，以了解焚烧状况，当超过允许值时报警，此时说明焚烧不完全，应及时调整焚烧控制条件以保证能够充分燃烧。</w:t>
      </w:r>
    </w:p>
    <w:p w14:paraId="3618ECF3">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（6）要加强焚烧系统的管理工作，避免不相容危险废物和爆炸物进入焚烧炉内，确保整个系统正常运行。</w:t>
      </w:r>
    </w:p>
    <w:p w14:paraId="7546EE6E">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二噁英风险防范措施</w:t>
      </w:r>
    </w:p>
    <w:p w14:paraId="3D35EF17">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首先根据国内外的研究和实践，针对减少生活垃圾焚烧厂烟气中二噁英浓度的主要方法是优化焚烧工艺、施控制二噁英的生成。这些控制措施主要包括：</w:t>
      </w:r>
    </w:p>
    <w:p w14:paraId="59222C61">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（1）危险废物在焚烧炉得以充分燃烧，烟气中CO的浓度是衡量是否充分燃烧的重要指标之一，CO的浓度越低说明燃烧越充分，烟气中比较理想的CO浓度指标是低于60mg/m³。</w:t>
      </w:r>
    </w:p>
    <w:p w14:paraId="0F0D7C14">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（2）烟气在氧化燃烧室内1100℃以上停留时间＞2s，余热锅炉出口O</w:t>
      </w:r>
      <w:r>
        <w:rPr>
          <w:rFonts w:ascii="Times New Roman" w:hAnsi="Times New Roman"/>
          <w:color w:val="000000" w:themeColor="text1"/>
          <w:szCs w:val="22"/>
          <w:vertAlign w:val="sub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浓度控制在 6~10%之间，并合理控制助燃空气的风量、温度和注入位置；</w:t>
      </w:r>
    </w:p>
    <w:p w14:paraId="135DC1E4">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（3）缩短烟气在200~500℃温度域的时间，将烟气温度在500~200℃减温时间控制在1s 以内。</w:t>
      </w:r>
    </w:p>
    <w:p w14:paraId="2DDC03E7">
      <w:pPr>
        <w:pStyle w:val="5"/>
        <w:rPr>
          <w:rFonts w:hint="eastAsia" w:eastAsia="宋体"/>
          <w:color w:val="000000" w:themeColor="text1"/>
          <w:sz w:val="48"/>
          <w:szCs w:val="48"/>
          <w14:textFill>
            <w14:solidFill>
              <w14:schemeClr w14:val="tx1"/>
            </w14:solidFill>
          </w14:textFill>
        </w:rPr>
      </w:pPr>
      <w:r>
        <w:rPr>
          <w:color w:val="000000" w:themeColor="text1"/>
          <w14:textFill>
            <w14:solidFill>
              <w14:schemeClr w14:val="tx1"/>
            </w14:solidFill>
          </w14:textFill>
        </w:rPr>
        <w:t>火灾爆炸事故（天然气、矿物油）大气环境风险防范措施</w:t>
      </w:r>
    </w:p>
    <w:p w14:paraId="6C8E7E45">
      <w:pPr>
        <w:ind w:firstLine="480"/>
        <w:rPr>
          <w:color w:val="000000" w:themeColor="text1"/>
          <w14:textFill>
            <w14:solidFill>
              <w14:schemeClr w14:val="tx1"/>
            </w14:solidFill>
          </w14:textFill>
        </w:rPr>
      </w:pPr>
      <w:r>
        <w:rPr>
          <w:color w:val="000000" w:themeColor="text1"/>
          <w14:textFill>
            <w14:solidFill>
              <w14:schemeClr w14:val="tx1"/>
            </w14:solidFill>
          </w14:textFill>
        </w:rPr>
        <w:t>火灾爆炸事故对大气环境的核心风险为烟气扩散（含一氧化碳、多环芳烃等有毒有害污染物），防范措施重点围绕“预防火灾爆炸发生、控制烟气扩散、减少污染物排放”展开，分天然气、矿物油两类事故针对性制定，兼顾共性防控要求。</w:t>
      </w:r>
    </w:p>
    <w:p w14:paraId="318F169A">
      <w:pPr>
        <w:ind w:firstLine="480"/>
        <w:rPr>
          <w:color w:val="000000" w:themeColor="text1"/>
          <w14:textFill>
            <w14:solidFill>
              <w14:schemeClr w14:val="tx1"/>
            </w14:solidFill>
          </w14:textFill>
        </w:rPr>
      </w:pPr>
      <w:r>
        <w:rPr>
          <w:color w:val="000000" w:themeColor="text1"/>
          <w14:textFill>
            <w14:solidFill>
              <w14:schemeClr w14:val="tx1"/>
            </w14:solidFill>
          </w14:textFill>
        </w:rPr>
        <w:t>（一）天然气火灾爆炸事故大气环境风险防范措施</w:t>
      </w:r>
    </w:p>
    <w:p w14:paraId="5962DD66">
      <w:pPr>
        <w:ind w:firstLine="480"/>
        <w:rPr>
          <w:color w:val="000000" w:themeColor="text1"/>
          <w14:textFill>
            <w14:solidFill>
              <w14:schemeClr w14:val="tx1"/>
            </w14:solidFill>
          </w14:textFill>
        </w:rPr>
      </w:pPr>
      <w:r>
        <w:rPr>
          <w:color w:val="000000" w:themeColor="text1"/>
          <w14:textFill>
            <w14:solidFill>
              <w14:schemeClr w14:val="tx1"/>
            </w14:solidFill>
          </w14:textFill>
        </w:rPr>
        <w:t>核心防控目标：杜绝天然气泄漏引发火灾爆炸，若发生事故，快速控制烟气扩散，减少有毒烟气对大气环境的污染。</w:t>
      </w:r>
    </w:p>
    <w:p w14:paraId="40D46886">
      <w:pPr>
        <w:ind w:firstLine="480"/>
        <w:rPr>
          <w:color w:val="000000" w:themeColor="text1"/>
          <w14:textFill>
            <w14:solidFill>
              <w14:schemeClr w14:val="tx1"/>
            </w14:solidFill>
          </w14:textFill>
        </w:rPr>
      </w:pPr>
      <w:r>
        <w:rPr>
          <w:color w:val="000000" w:themeColor="text1"/>
          <w14:textFill>
            <w14:solidFill>
              <w14:schemeClr w14:val="tx1"/>
            </w14:solidFill>
          </w14:textFill>
        </w:rPr>
        <w:t>源头防控（杜绝泄漏，降低爆炸风险）：天然气输送管道采用耐腐蚀、抗老化不锈钢材质，定期开展无损检测（每年至少1次），及时更换腐蚀、老化管道及密封件；阀门、法兰选用防爆密封产品，每季度检查1次密封性能，避免天然气渗漏；管道检修时，严格执行惰性气体置换流程，检测天然气浓度低于爆炸极限下限50%后方可作业，严禁违规动火，从源头减少泄漏及火灾爆炸诱因，避免烟气产生。</w:t>
      </w:r>
    </w:p>
    <w:p w14:paraId="26BFB799">
      <w:pPr>
        <w:ind w:firstLine="480"/>
        <w:rPr>
          <w:color w:val="000000" w:themeColor="text1"/>
          <w14:textFill>
            <w14:solidFill>
              <w14:schemeClr w14:val="tx1"/>
            </w14:solidFill>
          </w14:textFill>
        </w:rPr>
      </w:pPr>
      <w:r>
        <w:rPr>
          <w:color w:val="000000" w:themeColor="text1"/>
          <w14:textFill>
            <w14:solidFill>
              <w14:schemeClr w14:val="tx1"/>
            </w14:solidFill>
          </w14:textFill>
        </w:rPr>
        <w:t>预警防控（及时处置，避免污染扩大）：在天然气管道关键节点设置便携式天然气检测仪，报警阈值设置为爆炸极限下限的50%，超标立即报警，现场人员第一时间关闭阀门、启动通风，避免泄漏量扩大引发火灾爆炸；操作人员定期开展培训，熟悉烟气处置流程，确保事故发生后能快速响应，减少烟气排放时长。</w:t>
      </w:r>
    </w:p>
    <w:p w14:paraId="4203AC0D">
      <w:pPr>
        <w:ind w:firstLine="480"/>
        <w:rPr>
          <w:color w:val="000000" w:themeColor="text1"/>
          <w14:textFill>
            <w14:solidFill>
              <w14:schemeClr w14:val="tx1"/>
            </w14:solidFill>
          </w14:textFill>
        </w:rPr>
      </w:pPr>
      <w:r>
        <w:rPr>
          <w:color w:val="000000" w:themeColor="text1"/>
          <w14:textFill>
            <w14:solidFill>
              <w14:schemeClr w14:val="tx1"/>
            </w14:solidFill>
          </w14:textFill>
        </w:rPr>
        <w:t>（二）矿物油（废矿物油）火灾爆炸事故大气环境风险防范措施</w:t>
      </w:r>
    </w:p>
    <w:p w14:paraId="21EC4139">
      <w:pPr>
        <w:ind w:firstLine="480"/>
        <w:rPr>
          <w:color w:val="000000" w:themeColor="text1"/>
          <w14:textFill>
            <w14:solidFill>
              <w14:schemeClr w14:val="tx1"/>
            </w14:solidFill>
          </w14:textFill>
        </w:rPr>
      </w:pPr>
      <w:r>
        <w:rPr>
          <w:color w:val="000000" w:themeColor="text1"/>
          <w14:textFill>
            <w14:solidFill>
              <w14:schemeClr w14:val="tx1"/>
            </w14:solidFill>
          </w14:textFill>
        </w:rPr>
        <w:t>核心防控目标：防范废矿物油泄漏及火灾爆炸，控制燃烧烟气（多环芳烃、一氧化碳等）扩散，减少有毒污染物对大气环境的长期影响。</w:t>
      </w:r>
    </w:p>
    <w:p w14:paraId="7F8EDAA8">
      <w:pPr>
        <w:ind w:firstLine="480"/>
        <w:rPr>
          <w:color w:val="000000" w:themeColor="text1"/>
          <w14:textFill>
            <w14:solidFill>
              <w14:schemeClr w14:val="tx1"/>
            </w14:solidFill>
          </w14:textFill>
        </w:rPr>
      </w:pPr>
      <w:r>
        <w:rPr>
          <w:color w:val="000000" w:themeColor="text1"/>
          <w14:textFill>
            <w14:solidFill>
              <w14:schemeClr w14:val="tx1"/>
            </w14:solidFill>
          </w14:textFill>
        </w:rPr>
        <w:t>源头防控（杜绝泄漏，防范火灾）：废矿物油采用密封性能良好的专用容器盛装，定期检查容器完整性（每月1次），避免破损、密封松动导致泄漏；危废暂存间设置防爆通风设施，每日通风不少于2次、每次不少于30分钟，减少油雾挥发，降低火灾隐患；暂存间内严禁动火、吸烟，严禁使用明火照明，杜绝火灾诱因，从源头减少烟气产生。</w:t>
      </w:r>
    </w:p>
    <w:p w14:paraId="26674CA7">
      <w:pPr>
        <w:ind w:firstLine="480"/>
        <w:rPr>
          <w:color w:val="000000" w:themeColor="text1"/>
          <w14:textFill>
            <w14:solidFill>
              <w14:schemeClr w14:val="tx1"/>
            </w14:solidFill>
          </w14:textFill>
        </w:rPr>
      </w:pPr>
      <w:r>
        <w:rPr>
          <w:color w:val="000000" w:themeColor="text1"/>
          <w14:textFill>
            <w14:solidFill>
              <w14:schemeClr w14:val="tx1"/>
            </w14:solidFill>
          </w14:textFill>
        </w:rPr>
        <w:t>过程阻断（控制烟气扩散）：危废暂存间配备泡沫灭火器、干粉灭火器等灭火器材，若发生火灾，立即启动泡沫灭火系统，快速扑灭火灾，减少烟气排放时长；火灾发生时，启动暂存间排烟设施，将燃烧产生的多环芳烃、一氧化碳等有毒烟气快速排出并稀释，避免烟气在室内聚集后大量扩散；火灾现场周边铺设消防沙，抑制火势蔓延，减少烟气扩散范围。</w:t>
      </w:r>
    </w:p>
    <w:p w14:paraId="6365AF60">
      <w:pPr>
        <w:ind w:firstLine="480"/>
        <w:rPr>
          <w:color w:val="000000" w:themeColor="text1"/>
          <w14:textFill>
            <w14:solidFill>
              <w14:schemeClr w14:val="tx1"/>
            </w14:solidFill>
          </w14:textFill>
        </w:rPr>
      </w:pPr>
      <w:r>
        <w:rPr>
          <w:color w:val="000000" w:themeColor="text1"/>
          <w14:textFill>
            <w14:solidFill>
              <w14:schemeClr w14:val="tx1"/>
            </w14:solidFill>
          </w14:textFill>
        </w:rPr>
        <w:t>（三）两类火灾爆炸事故大气环境共性防范措施</w:t>
      </w:r>
    </w:p>
    <w:p w14:paraId="4F05DF60">
      <w:pPr>
        <w:ind w:firstLine="480"/>
        <w:rPr>
          <w:color w:val="000000" w:themeColor="text1"/>
          <w14:textFill>
            <w14:solidFill>
              <w14:schemeClr w14:val="tx1"/>
            </w14:solidFill>
          </w14:textFill>
        </w:rPr>
      </w:pPr>
      <w:r>
        <w:rPr>
          <w:color w:val="000000" w:themeColor="text1"/>
          <w14:textFill>
            <w14:solidFill>
              <w14:schemeClr w14:val="tx1"/>
            </w14:solidFill>
          </w14:textFill>
        </w:rPr>
        <w:t>定期开展应急演练（每半年至少1次），模拟火灾爆炸事故场景，演练烟气控制、灭火处置流程，提升操作人员应急处置能力，确保事故发生后能快速控制烟气扩散。</w:t>
      </w:r>
    </w:p>
    <w:p w14:paraId="2F573620">
      <w:pPr>
        <w:ind w:firstLine="480"/>
        <w:rPr>
          <w:color w:val="000000" w:themeColor="text1"/>
          <w14:textFill>
            <w14:solidFill>
              <w14:schemeClr w14:val="tx1"/>
            </w14:solidFill>
          </w14:textFill>
        </w:rPr>
      </w:pPr>
      <w:r>
        <w:rPr>
          <w:color w:val="000000" w:themeColor="text1"/>
          <w14:textFill>
            <w14:solidFill>
              <w14:schemeClr w14:val="tx1"/>
            </w14:solidFill>
          </w14:textFill>
        </w:rPr>
        <w:t>配备充足的烟气吸附、监测设备，定期检查维护（每月1次），确保应急时可用；监测人员定期开展大气环境监测，及时掌握大气污染物浓度变化，避免污染扩大。</w:t>
      </w:r>
    </w:p>
    <w:p w14:paraId="3FC431B5">
      <w:pPr>
        <w:ind w:firstLine="480"/>
        <w:rPr>
          <w:color w:val="000000" w:themeColor="text1"/>
          <w14:textFill>
            <w14:solidFill>
              <w14:schemeClr w14:val="tx1"/>
            </w14:solidFill>
          </w14:textFill>
        </w:rPr>
      </w:pPr>
      <w:r>
        <w:rPr>
          <w:color w:val="000000" w:themeColor="text1"/>
          <w14:textFill>
            <w14:solidFill>
              <w14:schemeClr w14:val="tx1"/>
            </w14:solidFill>
          </w14:textFill>
        </w:rPr>
        <w:t>火灾爆炸事故发生后，及时上报当地环保部门，同步开展大气环境监测，根据监测数据调整烟气控制措施，确保污染物排放符合环保要求。</w:t>
      </w:r>
    </w:p>
    <w:p w14:paraId="64B3BC8D">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氨水泄漏事故大气环境风险防范措施</w:t>
      </w:r>
    </w:p>
    <w:p w14:paraId="5E555838">
      <w:pPr>
        <w:ind w:firstLine="480"/>
        <w:rPr>
          <w:color w:val="000000" w:themeColor="text1"/>
          <w14:textFill>
            <w14:solidFill>
              <w14:schemeClr w14:val="tx1"/>
            </w14:solidFill>
          </w14:textFill>
        </w:rPr>
      </w:pPr>
      <w:r>
        <w:rPr>
          <w:color w:val="000000" w:themeColor="text1"/>
          <w14:textFill>
            <w14:solidFill>
              <w14:schemeClr w14:val="tx1"/>
            </w14:solidFill>
          </w14:textFill>
        </w:rPr>
        <w:t>氨水泄漏事故对大气环境的核心风险为氨气（NH₃）挥发扩散，氨气具有强刺激性、毒性，防范措施重点围绕“杜绝泄漏、控制氨气挥发、减少氨气扩散”展开，结合氨水储罐储存、输送特点，分源头防控、过程阻断、预警防控、敏感目标防护四个层面制定。</w:t>
      </w:r>
    </w:p>
    <w:p w14:paraId="0B2644DF">
      <w:pPr>
        <w:ind w:firstLine="480"/>
        <w:rPr>
          <w:color w:val="000000" w:themeColor="text1"/>
          <w14:textFill>
            <w14:solidFill>
              <w14:schemeClr w14:val="tx1"/>
            </w14:solidFill>
          </w14:textFill>
        </w:rPr>
      </w:pPr>
      <w:r>
        <w:rPr>
          <w:color w:val="000000" w:themeColor="text1"/>
          <w14:textFill>
            <w14:solidFill>
              <w14:schemeClr w14:val="tx1"/>
            </w14:solidFill>
          </w14:textFill>
        </w:rPr>
        <w:t>源头防控（杜绝氨水泄漏）：氨水储罐采用玻璃钢或不锈钢耐腐蚀材质，每年开展1次无损检测，检查罐体、焊缝完整性，避免破损泄漏；储罐采用密封式设计，顶部设置呼吸阀，控制氨气无组织排放；输送管道、阀门、法兰选用耐腐蚀密封产品，每半年更换1次密封件，取样口、投料口设置密封装置，操作后及时密封，从源头减少氨水泄漏及氨气挥发。</w:t>
      </w:r>
    </w:p>
    <w:p w14:paraId="562CE166">
      <w:pPr>
        <w:ind w:firstLine="480"/>
        <w:rPr>
          <w:color w:val="000000" w:themeColor="text1"/>
          <w14:textFill>
            <w14:solidFill>
              <w14:schemeClr w14:val="tx1"/>
            </w14:solidFill>
          </w14:textFill>
        </w:rPr>
      </w:pPr>
      <w:r>
        <w:rPr>
          <w:color w:val="000000" w:themeColor="text1"/>
          <w14:textFill>
            <w14:solidFill>
              <w14:schemeClr w14:val="tx1"/>
            </w14:solidFill>
          </w14:textFill>
        </w:rPr>
        <w:t>过程阻断（控制氨气挥发扩散）：氨水储罐区设置应急喷淋装置，覆盖整个储罐区，若发生氨水泄漏，立即启动喷淋装置，喷淋清水吸收氨气，减少氨气挥发量；储罐区设置局部通风设施，将挥发的氨气收集后经吸附处理达标排放，避免无组织扩散；泄漏发生后，用砂土、活性炭等吸附材料覆盖泄漏液，减少氨水挥发，阻断氨气扩散路径。</w:t>
      </w:r>
    </w:p>
    <w:p w14:paraId="12CFDD59">
      <w:pPr>
        <w:ind w:firstLine="480"/>
        <w:rPr>
          <w:color w:val="000000" w:themeColor="text1"/>
          <w14:textFill>
            <w14:solidFill>
              <w14:schemeClr w14:val="tx1"/>
            </w14:solidFill>
          </w14:textFill>
        </w:rPr>
      </w:pPr>
      <w:r>
        <w:rPr>
          <w:color w:val="000000" w:themeColor="text1"/>
          <w14:textFill>
            <w14:solidFill>
              <w14:schemeClr w14:val="tx1"/>
            </w14:solidFill>
          </w14:textFill>
        </w:rPr>
        <w:t>预警防控（及时处置，避免污染扩大）：在氨水储罐区设置便携式氨气检测仪，报警阈值设置为职业接触限值的50%，超标立即报警，现场人员第一时间关闭阀门、启动喷淋及通风设施，处置泄漏液；定期对操作人员开展培训，熟悉氨气泄漏处置流程，确保泄漏发生后能快速响应，减少氨气扩散时长。</w:t>
      </w:r>
    </w:p>
    <w:p w14:paraId="72D85864">
      <w:pPr>
        <w:ind w:firstLine="480"/>
        <w:rPr>
          <w:color w:val="000000" w:themeColor="text1"/>
          <w14:textFill>
            <w14:solidFill>
              <w14:schemeClr w14:val="tx1"/>
            </w14:solidFill>
          </w14:textFill>
        </w:rPr>
      </w:pPr>
      <w:r>
        <w:rPr>
          <w:color w:val="000000" w:themeColor="text1"/>
          <w14:textFill>
            <w14:solidFill>
              <w14:schemeClr w14:val="tx1"/>
            </w14:solidFill>
          </w14:textFill>
        </w:rPr>
        <w:t>日常管控：定期检查氨水储罐区喷淋、通风、检测设备（每月1次），确保设施完好有效；储罐区设置警示标识，严禁无关人员进入，避免人为操作失误引发泄漏；操作人员作业时佩戴防酸碱、防毒个人防护用品，规范操作，减少泄漏隐患。</w:t>
      </w:r>
    </w:p>
    <w:p w14:paraId="2CD26DD8">
      <w:pPr>
        <w:pStyle w:val="197"/>
        <w:ind w:firstLine="480" w:firstLineChars="200"/>
        <w:rPr>
          <w:rFonts w:ascii="Times New Roman" w:hAnsi="Times New Roman"/>
          <w:color w:val="000000" w:themeColor="text1"/>
          <w:szCs w:val="22"/>
          <w:lang w:val="en-US"/>
          <w14:textFill>
            <w14:solidFill>
              <w14:schemeClr w14:val="tx1"/>
            </w14:solidFill>
          </w14:textFill>
        </w:rPr>
      </w:pPr>
    </w:p>
    <w:p w14:paraId="67240CF9">
      <w:pPr>
        <w:pStyle w:val="4"/>
        <w:rPr>
          <w:b/>
          <w:color w:val="000000" w:themeColor="text1"/>
          <w14:textFill>
            <w14:solidFill>
              <w14:schemeClr w14:val="tx1"/>
            </w14:solidFill>
          </w14:textFill>
        </w:rPr>
      </w:pPr>
      <w:r>
        <w:rPr>
          <w:color w:val="000000" w:themeColor="text1"/>
          <w14:textFill>
            <w14:solidFill>
              <w14:schemeClr w14:val="tx1"/>
            </w14:solidFill>
          </w14:textFill>
        </w:rPr>
        <w:t>地表水环境风险防范措施</w:t>
      </w:r>
    </w:p>
    <w:p w14:paraId="6D128F49">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消防废水</w:t>
      </w:r>
    </w:p>
    <w:p w14:paraId="7C0FD3C2">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厂内可燃物、易燃物可能引起火灾事故，会造成次生/伴次生污染，如：消防废水污染周边地表水体、土壤和地下水。伴生废水污染主要指火灾事故发生时，产生的消防废水对水环境的影响。</w:t>
      </w:r>
    </w:p>
    <w:p w14:paraId="063BBD94">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根据《消防给水及消防栓系统技术规范》（GB50974-2014），工厂、仓库、堆场或民用建筑的室外消防给水用水量，应按同一时间内的火灾起数和一起火灾灭火室外消防给水用水量确定。工厂等占地面小于等于100hm</w:t>
      </w:r>
      <w:r>
        <w:rPr>
          <w:rFonts w:ascii="Times New Roman" w:hAnsi="Times New Roman"/>
          <w:color w:val="000000" w:themeColor="text1"/>
          <w:szCs w:val="22"/>
          <w:vertAlign w:val="super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时，同一时间内的火灾处数为1 处；仓库和民用等建筑，当总建筑面积小于等于500000m</w:t>
      </w:r>
      <w:r>
        <w:rPr>
          <w:rFonts w:ascii="Times New Roman" w:hAnsi="Times New Roman"/>
          <w:color w:val="000000" w:themeColor="text1"/>
          <w:szCs w:val="22"/>
          <w:vertAlign w:val="super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时，同一时间内的火灾起数应按1起确定。本项目占地面积约</w:t>
      </w:r>
      <w:r>
        <w:rPr>
          <w:rFonts w:hint="eastAsia" w:ascii="Times New Roman" w:hAnsi="Times New Roman"/>
          <w:color w:val="000000" w:themeColor="text1"/>
          <w:szCs w:val="22"/>
          <w14:textFill>
            <w14:solidFill>
              <w14:schemeClr w14:val="tx1"/>
            </w14:solidFill>
          </w14:textFill>
        </w:rPr>
        <w:t>3360</w:t>
      </w:r>
      <w:r>
        <w:rPr>
          <w:rFonts w:ascii="Times New Roman" w:hAnsi="Times New Roman"/>
          <w:color w:val="000000" w:themeColor="text1"/>
          <w:szCs w:val="22"/>
          <w14:textFill>
            <w14:solidFill>
              <w14:schemeClr w14:val="tx1"/>
            </w14:solidFill>
          </w14:textFill>
        </w:rPr>
        <w:t>m</w:t>
      </w:r>
      <w:r>
        <w:rPr>
          <w:rFonts w:ascii="Times New Roman" w:hAnsi="Times New Roman"/>
          <w:color w:val="000000" w:themeColor="text1"/>
          <w:szCs w:val="22"/>
          <w:vertAlign w:val="super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，因此同一时间内，可能发生火灾的起数取1起。本次主要考虑仓库发生火灾时需要收集的消防废水及泄漏液体的收集。</w:t>
      </w:r>
    </w:p>
    <w:p w14:paraId="3CE4933C">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根据《建筑设计防火规范》(GB50016-2014)，本项目仓库属于丁类，仓库高度&lt;24m。根据《消防给水及消防栓系统技术规范》（GB50974-2014），事故池的容量应满足发生火灾延续时间2小时以上的用水。按照表3.3.2 建筑物室外消火栓设计流量及表3.5.2建筑物室内消火栓设计流量可知，</w:t>
      </w:r>
      <w:r>
        <w:rPr>
          <w:rFonts w:ascii="Times New Roman" w:hAnsi="Times New Roman"/>
          <w:color w:val="000000" w:themeColor="text1"/>
          <w14:textFill>
            <w14:solidFill>
              <w14:schemeClr w14:val="tx1"/>
            </w14:solidFill>
          </w14:textFill>
        </w:rPr>
        <w:t>消防用水量为 10L/s，火灾延续时间按2小时考虑；室外消火栓消防用水量为15L/s，火灾延续时间按2小时考虑</w:t>
      </w:r>
      <w:r>
        <w:rPr>
          <w:rFonts w:ascii="Times New Roman" w:hAnsi="Times New Roman"/>
          <w:color w:val="000000" w:themeColor="text1"/>
          <w:szCs w:val="22"/>
          <w14:textFill>
            <w14:solidFill>
              <w14:schemeClr w14:val="tx1"/>
            </w14:solidFill>
          </w14:textFill>
        </w:rPr>
        <w:t>。则灭火所需的消防水量=（1</w:t>
      </w:r>
      <w:r>
        <w:rPr>
          <w:rFonts w:ascii="Times New Roman" w:hAnsi="Times New Roman"/>
          <w:color w:val="000000" w:themeColor="text1"/>
          <w:szCs w:val="22"/>
          <w:lang w:val="en-US"/>
          <w14:textFill>
            <w14:solidFill>
              <w14:schemeClr w14:val="tx1"/>
            </w14:solidFill>
          </w14:textFill>
        </w:rPr>
        <w:t>0</w:t>
      </w:r>
      <w:r>
        <w:rPr>
          <w:rFonts w:ascii="Times New Roman" w:hAnsi="Times New Roman"/>
          <w:color w:val="000000" w:themeColor="text1"/>
          <w:szCs w:val="22"/>
          <w14:textFill>
            <w14:solidFill>
              <w14:schemeClr w14:val="tx1"/>
            </w14:solidFill>
          </w14:textFill>
        </w:rPr>
        <w:t>+</w:t>
      </w:r>
      <w:r>
        <w:rPr>
          <w:rFonts w:ascii="Times New Roman" w:hAnsi="Times New Roman"/>
          <w:color w:val="000000" w:themeColor="text1"/>
          <w:szCs w:val="22"/>
          <w:lang w:val="en-US"/>
          <w14:textFill>
            <w14:solidFill>
              <w14:schemeClr w14:val="tx1"/>
            </w14:solidFill>
          </w14:textFill>
        </w:rPr>
        <w:t>1</w:t>
      </w:r>
      <w:r>
        <w:rPr>
          <w:rFonts w:ascii="Times New Roman" w:hAnsi="Times New Roman"/>
          <w:color w:val="000000" w:themeColor="text1"/>
          <w:szCs w:val="22"/>
          <w14:textFill>
            <w14:solidFill>
              <w14:schemeClr w14:val="tx1"/>
            </w14:solidFill>
          </w14:textFill>
        </w:rPr>
        <w:t>5）×2×3600/1000=</w:t>
      </w:r>
      <w:r>
        <w:rPr>
          <w:rFonts w:ascii="Times New Roman" w:hAnsi="Times New Roman"/>
          <w:color w:val="000000" w:themeColor="text1"/>
          <w:szCs w:val="22"/>
          <w:lang w:val="en-US"/>
          <w14:textFill>
            <w14:solidFill>
              <w14:schemeClr w14:val="tx1"/>
            </w14:solidFill>
          </w14:textFill>
        </w:rPr>
        <w:t>180</w:t>
      </w:r>
      <w:r>
        <w:rPr>
          <w:rFonts w:ascii="Times New Roman" w:hAnsi="Times New Roman"/>
          <w:color w:val="000000" w:themeColor="text1"/>
          <w:szCs w:val="22"/>
          <w14:textFill>
            <w14:solidFill>
              <w14:schemeClr w14:val="tx1"/>
            </w14:solidFill>
          </w14:textFill>
        </w:rPr>
        <w:t>m³，即消防事故废水排放量为</w:t>
      </w:r>
      <w:r>
        <w:rPr>
          <w:rFonts w:ascii="Times New Roman" w:hAnsi="Times New Roman"/>
          <w:color w:val="000000" w:themeColor="text1"/>
          <w:szCs w:val="22"/>
          <w:lang w:val="en-US"/>
          <w14:textFill>
            <w14:solidFill>
              <w14:schemeClr w14:val="tx1"/>
            </w14:solidFill>
          </w14:textFill>
        </w:rPr>
        <w:t>180</w:t>
      </w:r>
      <w:r>
        <w:rPr>
          <w:rFonts w:ascii="Times New Roman" w:hAnsi="Times New Roman"/>
          <w:color w:val="000000" w:themeColor="text1"/>
          <w:szCs w:val="22"/>
          <w14:textFill>
            <w14:solidFill>
              <w14:schemeClr w14:val="tx1"/>
            </w14:solidFill>
          </w14:textFill>
        </w:rPr>
        <w:t>m³。建设单位应落实委托相关资质单位对厂区进行建筑防火规范设计，并应向消防部门、安监部门进行报备，取得消防部门、安监部门的意见；消防废水池的设置大小、位置应按照消防部门、安监部门最终意见为准。</w:t>
      </w:r>
    </w:p>
    <w:p w14:paraId="27F12EAE">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消防废水处理措施</w:t>
      </w:r>
    </w:p>
    <w:p w14:paraId="6A98806E">
      <w:pPr>
        <w:pStyle w:val="197"/>
        <w:ind w:firstLine="480" w:firstLineChars="200"/>
        <w:rPr>
          <w:rFonts w:ascii="Times New Roman" w:hAnsi="Times New Roman"/>
          <w:color w:val="000000" w:themeColor="text1"/>
          <w:szCs w:val="22"/>
          <w14:textFill>
            <w14:solidFill>
              <w14:schemeClr w14:val="tx1"/>
            </w14:solidFill>
          </w14:textFill>
        </w:rPr>
      </w:pPr>
      <w:r>
        <w:rPr>
          <w:rFonts w:hint="eastAsia"/>
          <w:color w:val="000000" w:themeColor="text1"/>
          <w:szCs w:val="24"/>
          <w14:textFill>
            <w14:solidFill>
              <w14:schemeClr w14:val="tx1"/>
            </w14:solidFill>
          </w14:textFill>
        </w:rPr>
        <w:t>事故池最小容积计算根据《水体污染防控紧急措施设计导则》，事故储存设施总有效容积计算公式为：</w:t>
      </w:r>
    </w:p>
    <w:p w14:paraId="7783F724">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V总=(V1+V2-V3)max +V4+V5</w:t>
      </w:r>
    </w:p>
    <w:p w14:paraId="1CAD1199">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注：（V</w:t>
      </w:r>
      <w:r>
        <w:rPr>
          <w:rFonts w:ascii="Times New Roman" w:hAnsi="Times New Roman"/>
          <w:color w:val="000000" w:themeColor="text1"/>
          <w:szCs w:val="22"/>
          <w:vertAlign w:val="subscript"/>
          <w14:textFill>
            <w14:solidFill>
              <w14:schemeClr w14:val="tx1"/>
            </w14:solidFill>
          </w14:textFill>
        </w:rPr>
        <w:t>1</w:t>
      </w: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3</w:t>
      </w:r>
      <w:r>
        <w:rPr>
          <w:rFonts w:ascii="Times New Roman" w:hAnsi="Times New Roman"/>
          <w:color w:val="000000" w:themeColor="text1"/>
          <w:szCs w:val="22"/>
          <w14:textFill>
            <w14:solidFill>
              <w14:schemeClr w14:val="tx1"/>
            </w14:solidFill>
          </w14:textFill>
        </w:rPr>
        <w:t>）max 是指对收集系统范围内不同罐组或装置分别计算V</w:t>
      </w:r>
      <w:r>
        <w:rPr>
          <w:rFonts w:ascii="Times New Roman" w:hAnsi="Times New Roman"/>
          <w:color w:val="000000" w:themeColor="text1"/>
          <w:szCs w:val="22"/>
          <w:vertAlign w:val="subscript"/>
          <w14:textFill>
            <w14:solidFill>
              <w14:schemeClr w14:val="tx1"/>
            </w14:solidFill>
          </w14:textFill>
        </w:rPr>
        <w:t>1</w:t>
      </w: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3</w:t>
      </w:r>
      <w:r>
        <w:rPr>
          <w:rFonts w:ascii="Times New Roman" w:hAnsi="Times New Roman"/>
          <w:color w:val="000000" w:themeColor="text1"/>
          <w:szCs w:val="22"/>
          <w14:textFill>
            <w14:solidFill>
              <w14:schemeClr w14:val="tx1"/>
            </w14:solidFill>
          </w14:textFill>
        </w:rPr>
        <w:t>，取其中最大值。</w:t>
      </w:r>
    </w:p>
    <w:p w14:paraId="3688D540">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上式中，V</w:t>
      </w:r>
      <w:r>
        <w:rPr>
          <w:rFonts w:ascii="Times New Roman" w:hAnsi="Times New Roman"/>
          <w:color w:val="000000" w:themeColor="text1"/>
          <w:szCs w:val="22"/>
          <w:vertAlign w:val="subscript"/>
          <w14:textFill>
            <w14:solidFill>
              <w14:schemeClr w14:val="tx1"/>
            </w14:solidFill>
          </w14:textFill>
        </w:rPr>
        <w:t>1</w:t>
      </w:r>
      <w:r>
        <w:rPr>
          <w:rFonts w:ascii="Times New Roman" w:hAnsi="Times New Roman"/>
          <w:color w:val="000000" w:themeColor="text1"/>
          <w:szCs w:val="22"/>
          <w14:textFill>
            <w14:solidFill>
              <w14:schemeClr w14:val="tx1"/>
            </w14:solidFill>
          </w14:textFill>
        </w:rPr>
        <w:t>——</w:t>
      </w:r>
      <w:r>
        <w:rPr>
          <w:rFonts w:ascii="Times New Roman" w:hAnsi="Times New Roman"/>
          <w:color w:val="000000" w:themeColor="text1"/>
          <w14:textFill>
            <w14:solidFill>
              <w14:schemeClr w14:val="tx1"/>
            </w14:solidFill>
          </w14:textFill>
        </w:rPr>
        <w:t>收集系统范围内发生事故的一个罐组或一套装置的物料量</w:t>
      </w:r>
      <w:r>
        <w:rPr>
          <w:rFonts w:ascii="Times New Roman" w:hAnsi="Times New Roman"/>
          <w:color w:val="000000" w:themeColor="text1"/>
          <w:szCs w:val="22"/>
          <w14:textFill>
            <w14:solidFill>
              <w14:schemeClr w14:val="tx1"/>
            </w14:solidFill>
          </w14:textFill>
        </w:rPr>
        <w:t>，m³；</w:t>
      </w:r>
    </w:p>
    <w:p w14:paraId="3A69DAB5">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注：储存相同物料的储存容器按一个最大储存容器计，装置物料量按存留最大物料量的一台反应器或中间储存容器计。</w:t>
      </w:r>
    </w:p>
    <w:p w14:paraId="09F81F29">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w:t>
      </w:r>
      <w:r>
        <w:rPr>
          <w:rFonts w:ascii="Times New Roman" w:hAnsi="Times New Roman"/>
          <w:color w:val="000000" w:themeColor="text1"/>
          <w14:textFill>
            <w14:solidFill>
              <w14:schemeClr w14:val="tx1"/>
            </w14:solidFill>
          </w14:textFill>
        </w:rPr>
        <w:t>发生事故的储罐或装置的最大消防水量</w:t>
      </w:r>
      <w:r>
        <w:rPr>
          <w:rFonts w:ascii="Times New Roman" w:hAnsi="Times New Roman"/>
          <w:color w:val="000000" w:themeColor="text1"/>
          <w:szCs w:val="22"/>
          <w14:textFill>
            <w14:solidFill>
              <w14:schemeClr w14:val="tx1"/>
            </w14:solidFill>
          </w14:textFill>
        </w:rPr>
        <w:t>，m³；</w:t>
      </w:r>
    </w:p>
    <w:p w14:paraId="0ED00D5D">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3</w:t>
      </w:r>
      <w:r>
        <w:rPr>
          <w:rFonts w:ascii="Times New Roman" w:hAnsi="Times New Roman"/>
          <w:color w:val="000000" w:themeColor="text1"/>
          <w:szCs w:val="22"/>
          <w14:textFill>
            <w14:solidFill>
              <w14:schemeClr w14:val="tx1"/>
            </w14:solidFill>
          </w14:textFill>
        </w:rPr>
        <w:t>——</w:t>
      </w:r>
      <w:r>
        <w:rPr>
          <w:rFonts w:ascii="Times New Roman" w:hAnsi="Times New Roman"/>
          <w:color w:val="000000" w:themeColor="text1"/>
          <w14:textFill>
            <w14:solidFill>
              <w14:schemeClr w14:val="tx1"/>
            </w14:solidFill>
          </w14:textFill>
        </w:rPr>
        <w:t>发生事故时物料转移至其他容器及单元量</w:t>
      </w:r>
      <w:r>
        <w:rPr>
          <w:rFonts w:ascii="Times New Roman" w:hAnsi="Times New Roman"/>
          <w:color w:val="000000" w:themeColor="text1"/>
          <w:szCs w:val="22"/>
          <w14:textFill>
            <w14:solidFill>
              <w14:schemeClr w14:val="tx1"/>
            </w14:solidFill>
          </w14:textFill>
        </w:rPr>
        <w:t>，m³；</w:t>
      </w:r>
    </w:p>
    <w:p w14:paraId="5E9D555E">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4</w:t>
      </w:r>
      <w:r>
        <w:rPr>
          <w:rFonts w:ascii="Times New Roman" w:hAnsi="Times New Roman"/>
          <w:color w:val="000000" w:themeColor="text1"/>
          <w:szCs w:val="22"/>
          <w14:textFill>
            <w14:solidFill>
              <w14:schemeClr w14:val="tx1"/>
            </w14:solidFill>
          </w14:textFill>
        </w:rPr>
        <w:t>——</w:t>
      </w:r>
      <w:r>
        <w:rPr>
          <w:rFonts w:ascii="Times New Roman" w:hAnsi="Times New Roman"/>
          <w:color w:val="000000" w:themeColor="text1"/>
          <w14:textFill>
            <w14:solidFill>
              <w14:schemeClr w14:val="tx1"/>
            </w14:solidFill>
          </w14:textFill>
        </w:rPr>
        <w:t>发生事故时必须进入该系统的生产废水量</w:t>
      </w:r>
      <w:r>
        <w:rPr>
          <w:rFonts w:ascii="Times New Roman" w:hAnsi="Times New Roman"/>
          <w:color w:val="000000" w:themeColor="text1"/>
          <w:szCs w:val="22"/>
          <w14:textFill>
            <w14:solidFill>
              <w14:schemeClr w14:val="tx1"/>
            </w14:solidFill>
          </w14:textFill>
        </w:rPr>
        <w:t>，m³；</w:t>
      </w:r>
    </w:p>
    <w:p w14:paraId="54E0D3E9">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5</w:t>
      </w:r>
      <w:r>
        <w:rPr>
          <w:rFonts w:ascii="Times New Roman" w:hAnsi="Times New Roman"/>
          <w:color w:val="000000" w:themeColor="text1"/>
          <w:szCs w:val="22"/>
          <w14:textFill>
            <w14:solidFill>
              <w14:schemeClr w14:val="tx1"/>
            </w14:solidFill>
          </w14:textFill>
        </w:rPr>
        <w:t>——</w:t>
      </w:r>
      <w:r>
        <w:rPr>
          <w:rFonts w:ascii="Times New Roman" w:hAnsi="Times New Roman"/>
          <w:color w:val="000000" w:themeColor="text1"/>
          <w14:textFill>
            <w14:solidFill>
              <w14:schemeClr w14:val="tx1"/>
            </w14:solidFill>
          </w14:textFill>
        </w:rPr>
        <w:t>发生事故时可能进入该系统的雨水量，按照拟建工程所在地区的雨水量考虑</w:t>
      </w:r>
      <w:r>
        <w:rPr>
          <w:rFonts w:ascii="Times New Roman" w:hAnsi="Times New Roman"/>
          <w:color w:val="000000" w:themeColor="text1"/>
          <w:szCs w:val="22"/>
          <w14:textFill>
            <w14:solidFill>
              <w14:schemeClr w14:val="tx1"/>
            </w14:solidFill>
          </w14:textFill>
        </w:rPr>
        <w:t>，m³。</w:t>
      </w:r>
    </w:p>
    <w:p w14:paraId="502E668A">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A、本项目</w:t>
      </w:r>
      <w:r>
        <w:rPr>
          <w:rFonts w:hint="eastAsia" w:ascii="Times New Roman" w:hAnsi="Times New Roman"/>
          <w:color w:val="000000" w:themeColor="text1"/>
          <w:szCs w:val="22"/>
          <w14:textFill>
            <w14:solidFill>
              <w14:schemeClr w14:val="tx1"/>
            </w14:solidFill>
          </w14:textFill>
        </w:rPr>
        <w:t>考虑氨水储罐</w:t>
      </w:r>
      <w:r>
        <w:rPr>
          <w:rFonts w:ascii="Times New Roman" w:hAnsi="Times New Roman"/>
          <w:color w:val="000000" w:themeColor="text1"/>
          <w:szCs w:val="22"/>
          <w14:textFill>
            <w14:solidFill>
              <w14:schemeClr w14:val="tx1"/>
            </w14:solidFill>
          </w14:textFill>
        </w:rPr>
        <w:t>，可知V</w:t>
      </w:r>
      <w:r>
        <w:rPr>
          <w:rFonts w:ascii="Times New Roman" w:hAnsi="Times New Roman"/>
          <w:color w:val="000000" w:themeColor="text1"/>
          <w:szCs w:val="22"/>
          <w:vertAlign w:val="subscript"/>
          <w14:textFill>
            <w14:solidFill>
              <w14:schemeClr w14:val="tx1"/>
            </w14:solidFill>
          </w14:textFill>
        </w:rPr>
        <w:t>1</w:t>
      </w:r>
      <w:r>
        <w:rPr>
          <w:rFonts w:ascii="Times New Roman" w:hAnsi="Times New Roman"/>
          <w:color w:val="000000" w:themeColor="text1"/>
          <w:szCs w:val="22"/>
          <w14:textFill>
            <w14:solidFill>
              <w14:schemeClr w14:val="tx1"/>
            </w14:solidFill>
          </w14:textFill>
        </w:rPr>
        <w:t>=</w:t>
      </w:r>
      <w:r>
        <w:rPr>
          <w:rFonts w:hint="eastAsia" w:ascii="Times New Roman" w:hAnsi="Times New Roman"/>
          <w:color w:val="000000" w:themeColor="text1"/>
          <w:szCs w:val="22"/>
          <w14:textFill>
            <w14:solidFill>
              <w14:schemeClr w14:val="tx1"/>
            </w14:solidFill>
          </w14:textFill>
        </w:rPr>
        <w:t>30</w:t>
      </w:r>
      <w:r>
        <w:rPr>
          <w:rFonts w:ascii="Times New Roman" w:hAnsi="Times New Roman"/>
          <w:color w:val="000000" w:themeColor="text1"/>
          <w:szCs w:val="22"/>
          <w14:textFill>
            <w14:solidFill>
              <w14:schemeClr w14:val="tx1"/>
            </w14:solidFill>
          </w14:textFill>
        </w:rPr>
        <w:t>。</w:t>
      </w:r>
    </w:p>
    <w:p w14:paraId="1F208E42">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B、根据上文计算结果可知，V</w:t>
      </w:r>
      <w:r>
        <w:rPr>
          <w:rFonts w:ascii="Times New Roman" w:hAnsi="Times New Roman"/>
          <w:color w:val="000000" w:themeColor="text1"/>
          <w:szCs w:val="22"/>
          <w:vertAlign w:val="sub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取值分别为</w:t>
      </w:r>
      <w:r>
        <w:rPr>
          <w:rFonts w:ascii="Times New Roman" w:hAnsi="Times New Roman"/>
          <w:color w:val="000000" w:themeColor="text1"/>
          <w:szCs w:val="22"/>
          <w:lang w:val="en-US"/>
          <w14:textFill>
            <w14:solidFill>
              <w14:schemeClr w14:val="tx1"/>
            </w14:solidFill>
          </w14:textFill>
        </w:rPr>
        <w:t>180</w:t>
      </w:r>
      <w:r>
        <w:rPr>
          <w:rFonts w:ascii="Times New Roman" w:hAnsi="Times New Roman"/>
          <w:color w:val="000000" w:themeColor="text1"/>
          <w:szCs w:val="22"/>
          <w14:textFill>
            <w14:solidFill>
              <w14:schemeClr w14:val="tx1"/>
            </w14:solidFill>
          </w14:textFill>
        </w:rPr>
        <w:t>m³。</w:t>
      </w:r>
    </w:p>
    <w:p w14:paraId="3EFE3073">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C、</w:t>
      </w:r>
      <w:r>
        <w:rPr>
          <w:rFonts w:hint="eastAsia" w:ascii="Times New Roman" w:hAnsi="Times New Roman"/>
          <w:color w:val="000000" w:themeColor="text1"/>
          <w:szCs w:val="22"/>
          <w14:textFill>
            <w14:solidFill>
              <w14:schemeClr w14:val="tx1"/>
            </w14:solidFill>
          </w14:textFill>
        </w:rPr>
        <w:t>本项目氨水罐区设置围堰，围堰内有效容积大于氨水储罐容积，V3按30m³考虑</w:t>
      </w:r>
      <w:r>
        <w:rPr>
          <w:rFonts w:ascii="Times New Roman" w:hAnsi="Times New Roman"/>
          <w:color w:val="000000" w:themeColor="text1"/>
          <w:szCs w:val="22"/>
          <w14:textFill>
            <w14:solidFill>
              <w14:schemeClr w14:val="tx1"/>
            </w14:solidFill>
          </w14:textFill>
        </w:rPr>
        <w:t>。</w:t>
      </w:r>
    </w:p>
    <w:p w14:paraId="389587A4">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D、本项目生产过程工艺废水</w:t>
      </w:r>
      <w:r>
        <w:rPr>
          <w:rFonts w:hint="eastAsia" w:ascii="Times New Roman" w:hAnsi="Times New Roman"/>
          <w:color w:val="000000" w:themeColor="text1"/>
          <w:szCs w:val="22"/>
          <w14:textFill>
            <w14:solidFill>
              <w14:schemeClr w14:val="tx1"/>
            </w14:solidFill>
          </w14:textFill>
        </w:rPr>
        <w:t>不外排</w:t>
      </w:r>
      <w:r>
        <w:rPr>
          <w:rFonts w:ascii="Times New Roman" w:hAnsi="Times New Roman"/>
          <w:color w:val="000000" w:themeColor="text1"/>
          <w:szCs w:val="22"/>
          <w14:textFill>
            <w14:solidFill>
              <w14:schemeClr w14:val="tx1"/>
            </w14:solidFill>
          </w14:textFill>
        </w:rPr>
        <w:t>，故V</w:t>
      </w:r>
      <w:r>
        <w:rPr>
          <w:rFonts w:ascii="Times New Roman" w:hAnsi="Times New Roman"/>
          <w:color w:val="000000" w:themeColor="text1"/>
          <w:szCs w:val="22"/>
          <w:vertAlign w:val="subscript"/>
          <w14:textFill>
            <w14:solidFill>
              <w14:schemeClr w14:val="tx1"/>
            </w14:solidFill>
          </w14:textFill>
        </w:rPr>
        <w:t>4</w:t>
      </w:r>
      <w:r>
        <w:rPr>
          <w:rFonts w:ascii="Times New Roman" w:hAnsi="Times New Roman"/>
          <w:color w:val="000000" w:themeColor="text1"/>
          <w:szCs w:val="22"/>
          <w14:textFill>
            <w14:solidFill>
              <w14:schemeClr w14:val="tx1"/>
            </w14:solidFill>
          </w14:textFill>
        </w:rPr>
        <w:t>=0m³。</w:t>
      </w:r>
    </w:p>
    <w:p w14:paraId="5B816C94">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E、</w:t>
      </w:r>
      <w:r>
        <w:rPr>
          <w:rFonts w:hint="eastAsia" w:ascii="Times New Roman" w:hAnsi="Times New Roman"/>
          <w:color w:val="000000" w:themeColor="text1"/>
          <w:szCs w:val="22"/>
          <w14:textFill>
            <w14:solidFill>
              <w14:schemeClr w14:val="tx1"/>
            </w14:solidFill>
          </w14:textFill>
        </w:rPr>
        <w:t>厂区设置有单独的初期雨水池，因此V5不予考虑</w:t>
      </w:r>
      <w:r>
        <w:rPr>
          <w:rFonts w:ascii="Times New Roman" w:hAnsi="Times New Roman"/>
          <w:color w:val="000000" w:themeColor="text1"/>
          <w:szCs w:val="22"/>
          <w14:textFill>
            <w14:solidFill>
              <w14:schemeClr w14:val="tx1"/>
            </w14:solidFill>
          </w14:textFill>
        </w:rPr>
        <w:t>，V</w:t>
      </w:r>
      <w:r>
        <w:rPr>
          <w:rFonts w:hint="eastAsia" w:ascii="Times New Roman" w:hAnsi="Times New Roman"/>
          <w:color w:val="000000" w:themeColor="text1"/>
          <w:szCs w:val="22"/>
          <w14:textFill>
            <w14:solidFill>
              <w14:schemeClr w14:val="tx1"/>
            </w14:solidFill>
          </w14:textFill>
        </w:rPr>
        <w:t>5</w:t>
      </w:r>
      <w:r>
        <w:rPr>
          <w:rFonts w:ascii="Times New Roman" w:hAnsi="Times New Roman"/>
          <w:color w:val="000000" w:themeColor="text1"/>
          <w:szCs w:val="22"/>
          <w14:textFill>
            <w14:solidFill>
              <w14:schemeClr w14:val="tx1"/>
            </w14:solidFill>
          </w14:textFill>
        </w:rPr>
        <w:t>=</w:t>
      </w:r>
      <w:r>
        <w:rPr>
          <w:rFonts w:hint="eastAsia" w:ascii="Times New Roman" w:hAnsi="Times New Roman"/>
          <w:color w:val="000000" w:themeColor="text1"/>
          <w:szCs w:val="22"/>
          <w14:textFill>
            <w14:solidFill>
              <w14:schemeClr w14:val="tx1"/>
            </w14:solidFill>
          </w14:textFill>
        </w:rPr>
        <w:t>0</w:t>
      </w:r>
      <w:r>
        <w:rPr>
          <w:rFonts w:ascii="Times New Roman" w:hAnsi="Times New Roman"/>
          <w:color w:val="000000" w:themeColor="text1"/>
          <w:szCs w:val="22"/>
          <w14:textFill>
            <w14:solidFill>
              <w14:schemeClr w14:val="tx1"/>
            </w14:solidFill>
          </w14:textFill>
        </w:rPr>
        <w:t>m³。</w:t>
      </w:r>
    </w:p>
    <w:p w14:paraId="0F2F46FB">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计算可得，（V</w:t>
      </w:r>
      <w:r>
        <w:rPr>
          <w:rFonts w:ascii="Times New Roman" w:hAnsi="Times New Roman"/>
          <w:color w:val="000000" w:themeColor="text1"/>
          <w:szCs w:val="22"/>
          <w:vertAlign w:val="subscript"/>
          <w14:textFill>
            <w14:solidFill>
              <w14:schemeClr w14:val="tx1"/>
            </w14:solidFill>
          </w14:textFill>
        </w:rPr>
        <w:t>1</w:t>
      </w: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3</w:t>
      </w:r>
      <w:r>
        <w:rPr>
          <w:rFonts w:ascii="Times New Roman" w:hAnsi="Times New Roman"/>
          <w:color w:val="000000" w:themeColor="text1"/>
          <w:szCs w:val="22"/>
          <w14:textFill>
            <w14:solidFill>
              <w14:schemeClr w14:val="tx1"/>
            </w14:solidFill>
          </w14:textFill>
        </w:rPr>
        <w:t>）max+V</w:t>
      </w:r>
      <w:r>
        <w:rPr>
          <w:rFonts w:ascii="Times New Roman" w:hAnsi="Times New Roman"/>
          <w:color w:val="000000" w:themeColor="text1"/>
          <w:szCs w:val="22"/>
          <w:vertAlign w:val="subscript"/>
          <w14:textFill>
            <w14:solidFill>
              <w14:schemeClr w14:val="tx1"/>
            </w14:solidFill>
          </w14:textFill>
        </w:rPr>
        <w:t>4</w:t>
      </w:r>
      <w:r>
        <w:rPr>
          <w:rFonts w:ascii="Times New Roman" w:hAnsi="Times New Roman"/>
          <w:color w:val="000000" w:themeColor="text1"/>
          <w:szCs w:val="22"/>
          <w14:textFill>
            <w14:solidFill>
              <w14:schemeClr w14:val="tx1"/>
            </w14:solidFill>
          </w14:textFill>
        </w:rPr>
        <w:t>+V</w:t>
      </w:r>
      <w:r>
        <w:rPr>
          <w:rFonts w:ascii="Times New Roman" w:hAnsi="Times New Roman"/>
          <w:color w:val="000000" w:themeColor="text1"/>
          <w:szCs w:val="22"/>
          <w:vertAlign w:val="subscript"/>
          <w14:textFill>
            <w14:solidFill>
              <w14:schemeClr w14:val="tx1"/>
            </w14:solidFill>
          </w14:textFill>
        </w:rPr>
        <w:t>5</w:t>
      </w:r>
      <w:r>
        <w:rPr>
          <w:rFonts w:ascii="Times New Roman" w:hAnsi="Times New Roman"/>
          <w:color w:val="000000" w:themeColor="text1"/>
          <w:szCs w:val="22"/>
          <w14:textFill>
            <w14:solidFill>
              <w14:schemeClr w14:val="tx1"/>
            </w14:solidFill>
          </w14:textFill>
        </w:rPr>
        <w:t>=</w:t>
      </w:r>
      <w:r>
        <w:rPr>
          <w:rFonts w:hint="eastAsia" w:ascii="Times New Roman" w:hAnsi="Times New Roman"/>
          <w:color w:val="000000" w:themeColor="text1"/>
          <w:szCs w:val="22"/>
          <w14:textFill>
            <w14:solidFill>
              <w14:schemeClr w14:val="tx1"/>
            </w14:solidFill>
          </w14:textFill>
        </w:rPr>
        <w:t>30</w:t>
      </w:r>
      <w:r>
        <w:rPr>
          <w:rFonts w:ascii="Times New Roman" w:hAnsi="Times New Roman"/>
          <w:color w:val="000000" w:themeColor="text1"/>
          <w:szCs w:val="22"/>
          <w14:textFill>
            <w14:solidFill>
              <w14:schemeClr w14:val="tx1"/>
            </w14:solidFill>
          </w14:textFill>
        </w:rPr>
        <w:t>+180</w:t>
      </w:r>
      <w:r>
        <w:rPr>
          <w:rFonts w:hint="eastAsia" w:ascii="Times New Roman" w:hAnsi="Times New Roman"/>
          <w:color w:val="000000" w:themeColor="text1"/>
          <w:szCs w:val="22"/>
          <w14:textFill>
            <w14:solidFill>
              <w14:schemeClr w14:val="tx1"/>
            </w14:solidFill>
          </w14:textFill>
        </w:rPr>
        <w:t>-30</w:t>
      </w:r>
      <w:r>
        <w:rPr>
          <w:rFonts w:ascii="Times New Roman" w:hAnsi="Times New Roman"/>
          <w:color w:val="000000" w:themeColor="text1"/>
          <w:szCs w:val="22"/>
          <w14:textFill>
            <w14:solidFill>
              <w14:schemeClr w14:val="tx1"/>
            </w14:solidFill>
          </w14:textFill>
        </w:rPr>
        <w:t>+</w:t>
      </w:r>
      <w:r>
        <w:rPr>
          <w:rFonts w:hint="eastAsia" w:ascii="Times New Roman" w:hAnsi="Times New Roman"/>
          <w:color w:val="000000" w:themeColor="text1"/>
          <w:szCs w:val="22"/>
          <w14:textFill>
            <w14:solidFill>
              <w14:schemeClr w14:val="tx1"/>
            </w14:solidFill>
          </w14:textFill>
        </w:rPr>
        <w:t>0</w:t>
      </w:r>
      <w:r>
        <w:rPr>
          <w:rFonts w:ascii="Times New Roman" w:hAnsi="Times New Roman"/>
          <w:color w:val="000000" w:themeColor="text1"/>
          <w:szCs w:val="22"/>
          <w14:textFill>
            <w14:solidFill>
              <w14:schemeClr w14:val="tx1"/>
            </w14:solidFill>
          </w14:textFill>
        </w:rPr>
        <w:t>=18</w:t>
      </w:r>
      <w:r>
        <w:rPr>
          <w:rFonts w:hint="eastAsia" w:ascii="Times New Roman" w:hAnsi="Times New Roman"/>
          <w:color w:val="000000" w:themeColor="text1"/>
          <w:szCs w:val="22"/>
          <w14:textFill>
            <w14:solidFill>
              <w14:schemeClr w14:val="tx1"/>
            </w14:solidFill>
          </w14:textFill>
        </w:rPr>
        <w:t>0</w:t>
      </w:r>
      <w:r>
        <w:rPr>
          <w:rFonts w:ascii="Times New Roman" w:hAnsi="Times New Roman"/>
          <w:color w:val="000000" w:themeColor="text1"/>
          <w:szCs w:val="22"/>
          <w14:textFill>
            <w14:solidFill>
              <w14:schemeClr w14:val="tx1"/>
            </w14:solidFill>
          </w14:textFill>
        </w:rPr>
        <w:t>m³</w:t>
      </w:r>
    </w:p>
    <w:p w14:paraId="23C2BD2A">
      <w:pPr>
        <w:pStyle w:val="197"/>
        <w:ind w:firstLine="480" w:firstLineChars="200"/>
        <w:rPr>
          <w:rFonts w:ascii="Times New Roman" w:hAnsi="Times New Roman"/>
          <w:color w:val="000000" w:themeColor="text1"/>
          <w:szCs w:val="22"/>
          <w14:textFill>
            <w14:solidFill>
              <w14:schemeClr w14:val="tx1"/>
            </w14:solidFill>
          </w14:textFill>
        </w:rPr>
      </w:pPr>
      <w:r>
        <w:rPr>
          <w:rFonts w:hint="eastAsia" w:ascii="Times New Roman" w:hAnsi="Times New Roman"/>
          <w:color w:val="000000" w:themeColor="text1"/>
          <w:szCs w:val="22"/>
          <w14:textFill>
            <w14:solidFill>
              <w14:schemeClr w14:val="tx1"/>
            </w14:solidFill>
          </w14:textFill>
        </w:rPr>
        <w:t>厂区目前在建项目配套一座容积为4472m³的事故水池，全厂共用，本项目事故废水产生量为180m³，可满足本项目需求</w:t>
      </w:r>
      <w:r>
        <w:rPr>
          <w:rFonts w:ascii="Times New Roman" w:hAnsi="Times New Roman"/>
          <w:color w:val="000000" w:themeColor="text1"/>
          <w:szCs w:val="22"/>
          <w14:textFill>
            <w14:solidFill>
              <w14:schemeClr w14:val="tx1"/>
            </w14:solidFill>
          </w14:textFill>
        </w:rPr>
        <w:t>。在最不利情况下，项目设置的事故应急池可满足事故情况下废水的接收要求，项目</w:t>
      </w:r>
      <w:r>
        <w:rPr>
          <w:rFonts w:hint="eastAsia" w:ascii="Times New Roman" w:hAnsi="Times New Roman"/>
          <w:color w:val="000000" w:themeColor="text1"/>
          <w:szCs w:val="22"/>
          <w14:textFill>
            <w14:solidFill>
              <w14:schemeClr w14:val="tx1"/>
            </w14:solidFill>
          </w14:textFill>
        </w:rPr>
        <w:t>依托在建项目</w:t>
      </w:r>
      <w:r>
        <w:rPr>
          <w:rFonts w:ascii="Times New Roman" w:hAnsi="Times New Roman"/>
          <w:color w:val="000000" w:themeColor="text1"/>
          <w:szCs w:val="22"/>
          <w14:textFill>
            <w14:solidFill>
              <w14:schemeClr w14:val="tx1"/>
            </w14:solidFill>
          </w14:textFill>
        </w:rPr>
        <w:t>事故应急池是可行的。</w:t>
      </w:r>
    </w:p>
    <w:p w14:paraId="00DFADA8">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同时，各仓库和各车间拟设置导排管道，一旦发生泄漏或火灾时，产生的污水可通过管道排至事故应急池。事故应急池的设计容积可容纳一般火灾消防事故污水，可避免泄漏的污水外流进入周围环境。此外，雨水管网外排出口应设置截断阀，防止事故废水排放对外部水环境造成污染冲击，事故废水可委外集中处理。本评价建议建设单位在设计建造事故应急池时应考虑废水可自流至池中，同时应做好防渗措施。</w:t>
      </w:r>
    </w:p>
    <w:p w14:paraId="2015BEC1">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三级应急防控体系</w:t>
      </w:r>
    </w:p>
    <w:p w14:paraId="773A3777">
      <w:pPr>
        <w:ind w:firstLine="480"/>
        <w:rPr>
          <w:color w:val="000000" w:themeColor="text1"/>
          <w14:textFill>
            <w14:solidFill>
              <w14:schemeClr w14:val="tx1"/>
            </w14:solidFill>
          </w14:textFill>
        </w:rPr>
      </w:pPr>
      <w:r>
        <w:rPr>
          <w:color w:val="000000" w:themeColor="text1"/>
          <w:szCs w:val="22"/>
          <w14:textFill>
            <w14:solidFill>
              <w14:schemeClr w14:val="tx1"/>
            </w14:solidFill>
          </w14:textFill>
        </w:rPr>
        <w:t xml:space="preserve">   </w:t>
      </w:r>
      <w:r>
        <w:rPr>
          <w:color w:val="000000" w:themeColor="text1"/>
          <w14:textFill>
            <w14:solidFill>
              <w14:schemeClr w14:val="tx1"/>
            </w14:solidFill>
          </w14:textFill>
        </w:rPr>
        <w:t>事故发生时应立即与园区管理单位联系，启动与园区突发环境事件应急预案联动。一级防控措施：项目罐区设有围堰，生产装置区和废气净化区等设置有导流地槽，事故发生时装置区物料沿导流地槽，进入物料收集池，然后根据需要对收集物料进行回用或处理。同时，生产车间和仓库区门口均设有缓坡，罐区和废气净化装置处设有围堰，可确保物料和废水不会外流。</w:t>
      </w:r>
    </w:p>
    <w:p w14:paraId="0F6ED3F5">
      <w:pPr>
        <w:ind w:firstLine="480"/>
        <w:rPr>
          <w:color w:val="000000" w:themeColor="text1"/>
          <w14:textFill>
            <w14:solidFill>
              <w14:schemeClr w14:val="tx1"/>
            </w14:solidFill>
          </w14:textFill>
        </w:rPr>
      </w:pPr>
      <w:r>
        <w:rPr>
          <w:color w:val="000000" w:themeColor="text1"/>
          <w14:textFill>
            <w14:solidFill>
              <w14:schemeClr w14:val="tx1"/>
            </w14:solidFill>
          </w14:textFill>
        </w:rPr>
        <w:t>二级防控措施：当项目产生较多事故废水时，开启导流地槽与污水管网的连接阀，使大量事故废水沿污水管网进入事故水池。消防废水通过废水收集系统进入厂区事故水池，最后经动力泵根据生产需要泵送至冲渣不外排。</w:t>
      </w:r>
    </w:p>
    <w:p w14:paraId="29C61E12">
      <w:pPr>
        <w:ind w:firstLine="480"/>
        <w:rPr>
          <w:color w:val="000000" w:themeColor="text1"/>
          <w14:textFill>
            <w14:solidFill>
              <w14:schemeClr w14:val="tx1"/>
            </w14:solidFill>
          </w14:textFill>
        </w:rPr>
      </w:pPr>
      <w:r>
        <w:rPr>
          <w:color w:val="000000" w:themeColor="text1"/>
          <w14:textFill>
            <w14:solidFill>
              <w14:schemeClr w14:val="tx1"/>
            </w14:solidFill>
          </w14:textFill>
        </w:rPr>
        <w:t>三级防控措施：在发生泄漏、火灾甚至爆炸事故的状态下，应及时关闭厂区雨水污水总排口，防止污染物通过雨水管网进入地表水体。如若出现事故扩大化，事故废水存在外溢情况时，须及时启动应急预案，并通知园区启动园区突发环境事件应急预案，将废水通过园区污水管网进入园区污水处理厂进行深度处理后达标排放，及时将事故废水封堵在园区内。</w:t>
      </w:r>
    </w:p>
    <w:p w14:paraId="307C57A1">
      <w:pPr>
        <w:ind w:firstLine="480"/>
        <w:rPr>
          <w:color w:val="000000" w:themeColor="text1"/>
          <w14:textFill>
            <w14:solidFill>
              <w14:schemeClr w14:val="tx1"/>
            </w14:solidFill>
          </w14:textFill>
        </w:rPr>
      </w:pPr>
      <w:r>
        <w:rPr>
          <w:color w:val="000000" w:themeColor="text1"/>
          <w14:textFill>
            <w14:solidFill>
              <w14:schemeClr w14:val="tx1"/>
            </w14:solidFill>
          </w14:textFill>
        </w:rPr>
        <w:t>在污水处理厂终端建设终端事故缓冲池，作为事故状态下的储存与调控手段，将污染物控制在园区内，防止重大事故泄漏物料和污染消防水造成的环境污染。拟建项目事故水环境风险防范应建立“单元-厂区-园区”的防控体系，即厂内建立完善的风险防控措施并与园区防控措施及管理有效联动。厂内防止废水污染事故采取收集、处理和应急三级防治措施，收集系统收集废水，处理系统处理废水，废水处理系统出现事故时有事故水池作为应急防范措施，可确保正常及事故状态下废水不会对环境造成危害。</w:t>
      </w:r>
    </w:p>
    <w:p w14:paraId="2D3A9315">
      <w:pPr>
        <w:ind w:firstLine="480"/>
        <w:rPr>
          <w:color w:val="000000" w:themeColor="text1"/>
          <w14:textFill>
            <w14:solidFill>
              <w14:schemeClr w14:val="tx1"/>
            </w14:solidFill>
          </w14:textFill>
        </w:rPr>
      </w:pPr>
      <w:r>
        <w:rPr>
          <w:color w:val="000000" w:themeColor="text1"/>
          <w14:textFill>
            <w14:solidFill>
              <w14:schemeClr w14:val="tx1"/>
            </w14:solidFill>
          </w14:textFill>
        </w:rPr>
        <w:t>拟建项目将对厂区污水及雨水总排口设置切断措施，防止事故情况下物料经雨水及污水管线进入地表水水体。厂区三级防控见图5.7-5。</w:t>
      </w:r>
    </w:p>
    <w:p w14:paraId="3B294D11">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6620" cy="2319655"/>
            <wp:effectExtent l="0" t="0" r="5080" b="4445"/>
            <wp:docPr id="1437761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6154" name="图片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976620" cy="2319655"/>
                    </a:xfrm>
                    <a:prstGeom prst="rect">
                      <a:avLst/>
                    </a:prstGeom>
                    <a:noFill/>
                    <a:ln>
                      <a:noFill/>
                    </a:ln>
                  </pic:spPr>
                </pic:pic>
              </a:graphicData>
            </a:graphic>
          </wp:inline>
        </w:drawing>
      </w:r>
    </w:p>
    <w:p w14:paraId="1394525D">
      <w:pPr>
        <w:pStyle w:val="7"/>
        <w:rPr>
          <w:rFonts w:hint="eastAsia"/>
          <w:color w:val="000000" w:themeColor="text1"/>
          <w:szCs w:val="22"/>
          <w14:textFill>
            <w14:solidFill>
              <w14:schemeClr w14:val="tx1"/>
            </w14:solidFill>
          </w14:textFill>
        </w:rPr>
      </w:pPr>
      <w:r>
        <w:rPr>
          <w:color w:val="000000" w:themeColor="text1"/>
          <w14:textFill>
            <w14:solidFill>
              <w14:schemeClr w14:val="tx1"/>
            </w14:solidFill>
          </w14:textFill>
        </w:rPr>
        <w:t>事故废水截流、收集及处理系统操作图</w:t>
      </w:r>
    </w:p>
    <w:p w14:paraId="3C286AF0">
      <w:pPr>
        <w:pStyle w:val="197"/>
        <w:ind w:firstLine="48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 xml:space="preserve">    三级防控及事故导排示意图及三级防控方案见</w:t>
      </w:r>
      <w:r>
        <w:rPr>
          <w:rFonts w:hint="eastAsia" w:ascii="Times New Roman" w:hAnsi="Times New Roman"/>
          <w:color w:val="000000" w:themeColor="text1"/>
          <w:szCs w:val="22"/>
          <w14:textFill>
            <w14:solidFill>
              <w14:schemeClr w14:val="tx1"/>
            </w14:solidFill>
          </w14:textFill>
        </w:rPr>
        <w:t>下图</w:t>
      </w:r>
      <w:r>
        <w:rPr>
          <w:rFonts w:ascii="Times New Roman" w:hAnsi="Times New Roman"/>
          <w:color w:val="000000" w:themeColor="text1"/>
          <w:szCs w:val="22"/>
          <w14:textFill>
            <w14:solidFill>
              <w14:schemeClr w14:val="tx1"/>
            </w14:solidFill>
          </w14:textFill>
        </w:rPr>
        <w:t>。</w:t>
      </w:r>
    </w:p>
    <w:p w14:paraId="759B5905">
      <w:pPr>
        <w:pStyle w:val="197"/>
        <w:rPr>
          <w:rFonts w:ascii="Times New Roman" w:hAnsi="Times New Roman" w:eastAsia="黑体"/>
          <w:b/>
          <w:color w:val="000000" w:themeColor="text1"/>
          <w:szCs w:val="28"/>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bookmarkStart w:id="559" w:name="_Toc14230"/>
    </w:p>
    <w:p w14:paraId="644EFFC5">
      <w:pPr>
        <w:pStyle w:val="4"/>
        <w:rPr>
          <w:b/>
          <w:color w:val="000000" w:themeColor="text1"/>
          <w14:textFill>
            <w14:solidFill>
              <w14:schemeClr w14:val="tx1"/>
            </w14:solidFill>
          </w14:textFill>
        </w:rPr>
      </w:pPr>
      <w:r>
        <w:rPr>
          <w:color w:val="000000" w:themeColor="text1"/>
          <w14:textFill>
            <w14:solidFill>
              <w14:schemeClr w14:val="tx1"/>
            </w14:solidFill>
          </w14:textFill>
        </w:rPr>
        <w:t>地下水环境风险防范措施</w:t>
      </w:r>
    </w:p>
    <w:p w14:paraId="7310D48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针对项目可能发生的地下水环境风险事故，防范措施按照“源头控制、分区防治、风险监控、应急响应”相结合的原则，从风险事故污染物的产生、入渗、扩散、应急响应全阶段进行控制。</w:t>
      </w:r>
    </w:p>
    <w:p w14:paraId="5B90018D">
      <w:pPr>
        <w:ind w:firstLine="482"/>
        <w:rPr>
          <w:color w:val="000000" w:themeColor="text1"/>
          <w14:textFill>
            <w14:solidFill>
              <w14:schemeClr w14:val="tx1"/>
            </w14:solidFill>
          </w14:textFill>
        </w:rPr>
      </w:pPr>
      <w:r>
        <w:rPr>
          <w:rFonts w:hint="eastAsia" w:ascii="SimSun,Bold" w:eastAsia="SimSun,Bold" w:cs="SimSun,Bold"/>
          <w:b/>
          <w:bCs/>
          <w:color w:val="000000" w:themeColor="text1"/>
          <w14:textFill>
            <w14:solidFill>
              <w14:schemeClr w14:val="tx1"/>
            </w14:solidFill>
          </w14:textFill>
        </w:rPr>
        <w:t>源头控制：</w:t>
      </w:r>
      <w:r>
        <w:rPr>
          <w:rFonts w:hint="eastAsia"/>
          <w:color w:val="000000" w:themeColor="text1"/>
          <w14:textFill>
            <w14:solidFill>
              <w14:schemeClr w14:val="tx1"/>
            </w14:solidFill>
          </w14:textFill>
        </w:rPr>
        <w:t>主要包括在工艺、管道、设备、污水产生及储存构筑物采取相应措施，防止和降低污染物跑、冒、滴、漏，将污染物泄漏的环境风险事故降到最低程度；</w:t>
      </w:r>
    </w:p>
    <w:p w14:paraId="3AA44600">
      <w:pPr>
        <w:ind w:firstLine="482"/>
        <w:rPr>
          <w:color w:val="000000" w:themeColor="text1"/>
          <w14:textFill>
            <w14:solidFill>
              <w14:schemeClr w14:val="tx1"/>
            </w14:solidFill>
          </w14:textFill>
        </w:rPr>
      </w:pPr>
      <w:r>
        <w:rPr>
          <w:rFonts w:hint="eastAsia" w:ascii="SimSun,Bold" w:eastAsia="SimSun,Bold" w:cs="SimSun,Bold"/>
          <w:b/>
          <w:bCs/>
          <w:color w:val="000000" w:themeColor="text1"/>
          <w14:textFill>
            <w14:solidFill>
              <w14:schemeClr w14:val="tx1"/>
            </w14:solidFill>
          </w14:textFill>
        </w:rPr>
        <w:t>分区防治：</w:t>
      </w:r>
      <w:r>
        <w:rPr>
          <w:rFonts w:hint="eastAsia"/>
          <w:color w:val="000000" w:themeColor="text1"/>
          <w14:textFill>
            <w14:solidFill>
              <w14:schemeClr w14:val="tx1"/>
            </w14:solidFill>
          </w14:textFill>
        </w:rPr>
        <w:t>结合建设场区生产设备、管道、污染物储存等布局，实行重点污染防治区、一般污染防治区和非污染区防渗措施有区别的防渗原则。主要包括生产区地面和设备的防渗措施和泄漏、渗漏污染物收集措施，分区防渗措施具体见第四章内容；</w:t>
      </w:r>
    </w:p>
    <w:p w14:paraId="4B56495C">
      <w:pPr>
        <w:ind w:firstLine="482"/>
        <w:rPr>
          <w:color w:val="000000" w:themeColor="text1"/>
          <w14:textFill>
            <w14:solidFill>
              <w14:schemeClr w14:val="tx1"/>
            </w14:solidFill>
          </w14:textFill>
        </w:rPr>
      </w:pPr>
      <w:r>
        <w:rPr>
          <w:rFonts w:hint="eastAsia" w:ascii="SimSun,Bold" w:eastAsia="SimSun,Bold" w:cs="SimSun,Bold"/>
          <w:b/>
          <w:bCs/>
          <w:color w:val="000000" w:themeColor="text1"/>
          <w14:textFill>
            <w14:solidFill>
              <w14:schemeClr w14:val="tx1"/>
            </w14:solidFill>
          </w14:textFill>
        </w:rPr>
        <w:t>风险监控体系：</w:t>
      </w:r>
      <w:r>
        <w:rPr>
          <w:rFonts w:hint="eastAsia"/>
          <w:color w:val="000000" w:themeColor="text1"/>
          <w14:textFill>
            <w14:solidFill>
              <w14:schemeClr w14:val="tx1"/>
            </w14:solidFill>
          </w14:textFill>
        </w:rPr>
        <w:t>实施覆盖生产区的地下水污染监控系统，包括建立完善的监测制度、配备先进的检测仪器和设备、科学、合理设置地下水污染监控井，及时发现污染事故并及时控制；</w:t>
      </w:r>
    </w:p>
    <w:p w14:paraId="6BB0C0C7">
      <w:pPr>
        <w:ind w:firstLine="482"/>
        <w:rPr>
          <w:color w:val="000000" w:themeColor="text1"/>
          <w14:textFill>
            <w14:solidFill>
              <w14:schemeClr w14:val="tx1"/>
            </w14:solidFill>
          </w14:textFill>
        </w:rPr>
      </w:pPr>
      <w:r>
        <w:rPr>
          <w:rFonts w:hint="eastAsia" w:ascii="SimSun,Bold" w:eastAsia="SimSun,Bold" w:cs="SimSun,Bold"/>
          <w:b/>
          <w:bCs/>
          <w:color w:val="000000" w:themeColor="text1"/>
          <w14:textFill>
            <w14:solidFill>
              <w14:schemeClr w14:val="tx1"/>
            </w14:solidFill>
          </w14:textFill>
        </w:rPr>
        <w:t>应急响应及事故减缓措施：</w:t>
      </w:r>
      <w:r>
        <w:rPr>
          <w:rFonts w:hint="eastAsia"/>
          <w:color w:val="000000" w:themeColor="text1"/>
          <w14:textFill>
            <w14:solidFill>
              <w14:schemeClr w14:val="tx1"/>
            </w14:solidFill>
          </w14:textFill>
        </w:rPr>
        <w:t>公司制定地下水监测管理措施，并制定地下水应急预案，当发生地下水异常情况时，按照定制的地下水应急预案采取应急措施。组织专业队伍对事故现场进行调查、监测，查找环境事故发生地点、分析事故原因，尽量将紧急事件局部化，如可能应予以消除，采取包括切断生产装置或设施等措施，防止事故的扩散、蔓延及连锁反应，尽量缩小地下水污染事故对人和财产的影响。项目区水力梯度平缓，当发生污染事故时，污染物的运移速度较慢，污染范围较小，因此建议采取如下污染治理措施：</w:t>
      </w:r>
    </w:p>
    <w:p w14:paraId="76E0781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（1）探明地下水污染深度、范围和污染程度。</w:t>
      </w:r>
    </w:p>
    <w:p w14:paraId="1C6D11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（2）根据地下水污染程度，随时化验各井水质，根据水质情况实时调整。</w:t>
      </w:r>
    </w:p>
    <w:p w14:paraId="1F419C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（3）将抽取的地下水进行集中收集处理，做好污水接收工作。</w:t>
      </w:r>
    </w:p>
    <w:p w14:paraId="5467999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（4）当地下水中的特征污染物浓度满足地下水功能区划标准后，逐步停止井点抽水，并进行善后工作。</w:t>
      </w:r>
    </w:p>
    <w:p w14:paraId="516D825C">
      <w:pPr>
        <w:ind w:firstLine="480"/>
        <w:rPr>
          <w:rFonts w:eastAsia="黑体"/>
          <w:b/>
          <w:color w:val="000000" w:themeColor="text1"/>
          <w:szCs w:val="28"/>
          <w14:textFill>
            <w14:solidFill>
              <w14:schemeClr w14:val="tx1"/>
            </w14:solidFill>
          </w14:textFill>
        </w:rPr>
      </w:pPr>
      <w:r>
        <w:rPr>
          <w:rFonts w:hint="eastAsia"/>
          <w:color w:val="000000" w:themeColor="text1"/>
          <w14:textFill>
            <w14:solidFill>
              <w14:schemeClr w14:val="tx1"/>
            </w14:solidFill>
          </w14:textFill>
        </w:rPr>
        <w:t>在采取严格地下水风险防范措施后，项目事故状态下污染物泄漏下渗对地下水环境影响不大。</w:t>
      </w:r>
    </w:p>
    <w:p w14:paraId="712ED923">
      <w:pPr>
        <w:pStyle w:val="4"/>
        <w:rPr>
          <w:b/>
          <w:color w:val="000000" w:themeColor="text1"/>
          <w14:textFill>
            <w14:solidFill>
              <w14:schemeClr w14:val="tx1"/>
            </w14:solidFill>
          </w14:textFill>
        </w:rPr>
      </w:pPr>
      <w:r>
        <w:rPr>
          <w:color w:val="000000" w:themeColor="text1"/>
          <w14:textFill>
            <w14:solidFill>
              <w14:schemeClr w14:val="tx1"/>
            </w14:solidFill>
          </w14:textFill>
        </w:rPr>
        <w:t>火灾事故及次生有毒气体泄漏的应急处理措施</w:t>
      </w:r>
      <w:bookmarkEnd w:id="559"/>
    </w:p>
    <w:p w14:paraId="2D4D0C20">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在危险废物的储运和使用过程中，如发生废盐燃烧事故，需注意发生一氧化碳和其他有毒气体的外泄，因此需要采取快速、有效的安全技术措施，如灭火、喷淋，来消除或减少泄露危害，如果对泄漏控制不住或处理不当，有可能转化为中毒、人员伤亡等重大事故，特别是近距离作业人员的危险性更高。</w:t>
      </w:r>
    </w:p>
    <w:p w14:paraId="7FD6FD90">
      <w:pPr>
        <w:pStyle w:val="197"/>
        <w:ind w:firstLineChars="200"/>
        <w:rPr>
          <w:rFonts w:ascii="Times New Roman" w:hAnsi="Times New Roman"/>
          <w:b/>
          <w:color w:val="000000" w:themeColor="text1"/>
          <w:szCs w:val="22"/>
          <w14:textFill>
            <w14:solidFill>
              <w14:schemeClr w14:val="tx1"/>
            </w14:solidFill>
          </w14:textFill>
        </w:rPr>
      </w:pPr>
      <w:r>
        <w:rPr>
          <w:rFonts w:ascii="Times New Roman" w:hAnsi="Times New Roman"/>
          <w:b/>
          <w:color w:val="000000" w:themeColor="text1"/>
          <w:szCs w:val="22"/>
          <w14:textFill>
            <w14:solidFill>
              <w14:schemeClr w14:val="tx1"/>
            </w14:solidFill>
          </w14:textFill>
        </w:rPr>
        <w:t>1、疏散与隔离</w:t>
      </w:r>
    </w:p>
    <w:p w14:paraId="75CA8AA0">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在生产、储运过程中一旦发生火灾事故及次生有毒气体泄漏，首先要疏散无关人员，隔离泄漏污染区。必要时拨打“119”、“120”急救电话，进入泄漏现场进行处理时，应注意以下几项：</w:t>
      </w:r>
    </w:p>
    <w:p w14:paraId="76350C24">
      <w:pPr>
        <w:pStyle w:val="197"/>
        <w:ind w:firstLine="480" w:firstLineChars="200"/>
        <w:rPr>
          <w:rFonts w:ascii="Times New Roman" w:hAnsi="Times New Roman"/>
          <w:color w:val="000000" w:themeColor="text1"/>
          <w:szCs w:val="22"/>
          <w14:textFill>
            <w14:solidFill>
              <w14:schemeClr w14:val="tx1"/>
            </w14:solidFill>
          </w14:textFill>
        </w:rPr>
      </w:pPr>
      <w:r>
        <w:rPr>
          <w:rFonts w:ascii="Cambria Math" w:hAnsi="Cambria Math" w:cs="Cambria Math"/>
          <w:color w:val="000000" w:themeColor="text1"/>
          <w:szCs w:val="22"/>
          <w14:textFill>
            <w14:solidFill>
              <w14:schemeClr w14:val="tx1"/>
            </w14:solidFill>
          </w14:textFill>
        </w:rPr>
        <w:t>①</w:t>
      </w:r>
      <w:r>
        <w:rPr>
          <w:rFonts w:ascii="Times New Roman" w:hAnsi="Times New Roman"/>
          <w:color w:val="000000" w:themeColor="text1"/>
          <w:szCs w:val="22"/>
          <w14:textFill>
            <w14:solidFill>
              <w14:schemeClr w14:val="tx1"/>
            </w14:solidFill>
          </w14:textFill>
        </w:rPr>
        <w:t>进入现场人员必须配备必要的个人防护器具；</w:t>
      </w:r>
    </w:p>
    <w:p w14:paraId="6C1FB032">
      <w:pPr>
        <w:pStyle w:val="197"/>
        <w:ind w:firstLine="480" w:firstLineChars="200"/>
        <w:rPr>
          <w:rFonts w:ascii="Times New Roman" w:hAnsi="Times New Roman"/>
          <w:color w:val="000000" w:themeColor="text1"/>
          <w:szCs w:val="22"/>
          <w14:textFill>
            <w14:solidFill>
              <w14:schemeClr w14:val="tx1"/>
            </w14:solidFill>
          </w14:textFill>
        </w:rPr>
      </w:pPr>
      <w:r>
        <w:rPr>
          <w:rFonts w:ascii="Cambria Math" w:hAnsi="Cambria Math" w:cs="Cambria Math"/>
          <w:color w:val="000000" w:themeColor="text1"/>
          <w:szCs w:val="22"/>
          <w14:textFill>
            <w14:solidFill>
              <w14:schemeClr w14:val="tx1"/>
            </w14:solidFill>
          </w14:textFill>
        </w:rPr>
        <w:t>②</w:t>
      </w:r>
      <w:r>
        <w:rPr>
          <w:rFonts w:ascii="Times New Roman" w:hAnsi="Times New Roman"/>
          <w:color w:val="000000" w:themeColor="text1"/>
          <w:szCs w:val="22"/>
          <w14:textFill>
            <w14:solidFill>
              <w14:schemeClr w14:val="tx1"/>
            </w14:solidFill>
          </w14:textFill>
        </w:rPr>
        <w:t>应急处理时严禁单独行动，应从上风、上坡处接近现场，严禁盲目进入；</w:t>
      </w:r>
    </w:p>
    <w:p w14:paraId="16B75664">
      <w:pPr>
        <w:pStyle w:val="197"/>
        <w:ind w:firstLine="480" w:firstLineChars="200"/>
        <w:rPr>
          <w:rFonts w:ascii="Times New Roman" w:hAnsi="Times New Roman"/>
          <w:color w:val="000000" w:themeColor="text1"/>
          <w:szCs w:val="22"/>
          <w14:textFill>
            <w14:solidFill>
              <w14:schemeClr w14:val="tx1"/>
            </w14:solidFill>
          </w14:textFill>
        </w:rPr>
      </w:pPr>
      <w:r>
        <w:rPr>
          <w:rFonts w:ascii="Cambria Math" w:hAnsi="Cambria Math" w:cs="Cambria Math"/>
          <w:color w:val="000000" w:themeColor="text1"/>
          <w:szCs w:val="22"/>
          <w:lang w:eastAsia="ja-JP"/>
          <w14:textFill>
            <w14:solidFill>
              <w14:schemeClr w14:val="tx1"/>
            </w14:solidFill>
          </w14:textFill>
        </w:rPr>
        <w:t>③</w:t>
      </w:r>
      <w:r>
        <w:rPr>
          <w:rFonts w:ascii="Times New Roman" w:hAnsi="Times New Roman"/>
          <w:color w:val="000000" w:themeColor="text1"/>
          <w:szCs w:val="22"/>
          <w14:textFill>
            <w14:solidFill>
              <w14:schemeClr w14:val="tx1"/>
            </w14:solidFill>
          </w14:textFill>
        </w:rPr>
        <w:t>必要时用水枪、防护服等掩护。</w:t>
      </w:r>
    </w:p>
    <w:p w14:paraId="127A0748">
      <w:pPr>
        <w:pStyle w:val="197"/>
        <w:ind w:firstLineChars="200"/>
        <w:rPr>
          <w:rFonts w:ascii="Times New Roman" w:hAnsi="Times New Roman"/>
          <w:b/>
          <w:color w:val="000000" w:themeColor="text1"/>
          <w:szCs w:val="22"/>
          <w14:textFill>
            <w14:solidFill>
              <w14:schemeClr w14:val="tx1"/>
            </w14:solidFill>
          </w14:textFill>
        </w:rPr>
      </w:pPr>
      <w:r>
        <w:rPr>
          <w:rFonts w:ascii="Times New Roman" w:hAnsi="Times New Roman"/>
          <w:b/>
          <w:color w:val="000000" w:themeColor="text1"/>
          <w:szCs w:val="22"/>
          <w14:textFill>
            <w14:solidFill>
              <w14:schemeClr w14:val="tx1"/>
            </w14:solidFill>
          </w14:textFill>
        </w:rPr>
        <w:t>2、个人防护</w:t>
      </w:r>
    </w:p>
    <w:p w14:paraId="6E761D89">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参加事故应急处理人员应对现场、事故性质及反应特性有充分的了解，要根据事故性质，选择适当的防护用品，加强应急处理个人安全防护，防止处理过程中发生中毒、伤亡事故。</w:t>
      </w:r>
    </w:p>
    <w:p w14:paraId="4457FC71">
      <w:pPr>
        <w:pStyle w:val="4"/>
        <w:rPr>
          <w:b/>
          <w:color w:val="000000" w:themeColor="text1"/>
          <w14:textFill>
            <w14:solidFill>
              <w14:schemeClr w14:val="tx1"/>
            </w14:solidFill>
          </w14:textFill>
        </w:rPr>
      </w:pPr>
      <w:bookmarkStart w:id="560" w:name="_Toc11486"/>
      <w:r>
        <w:rPr>
          <w:color w:val="000000" w:themeColor="text1"/>
          <w14:textFill>
            <w14:solidFill>
              <w14:schemeClr w14:val="tx1"/>
            </w14:solidFill>
          </w14:textFill>
        </w:rPr>
        <w:t>人员及制度管理</w:t>
      </w:r>
      <w:bookmarkEnd w:id="560"/>
    </w:p>
    <w:p w14:paraId="7E7C55A3">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为有效防范风险事故的发生，以及在风险事故发生时应急措施的统一指挥，建议项目对环保有关人员及制度做如下安排：</w:t>
      </w:r>
    </w:p>
    <w:p w14:paraId="02EE3F36">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1、安排1名厂内领导主管环保相关事务，负责监督环保设施日常运转，管理环保管理人员，以及与环保相关的全部事宜。</w:t>
      </w:r>
    </w:p>
    <w:p w14:paraId="08FBAACD">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2、厂内设置专职的环保管理部门，负责对全厂各环保设施的监督、记录、汇报及维护工作，同时需配合各级环保主管部门及厂内领导对厂内环保设施的检查工作。</w:t>
      </w:r>
    </w:p>
    <w:p w14:paraId="39D42615">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3、培训提高员工的环境风险意识，制定制度、方案规范生产操作规程提高事故应急能力，并做到责任到人，层层把关，通过加强管理保证正常生产，预防事故发生。</w:t>
      </w:r>
    </w:p>
    <w:p w14:paraId="0917F213">
      <w:pPr>
        <w:pStyle w:val="4"/>
        <w:rPr>
          <w:b/>
          <w:color w:val="000000" w:themeColor="text1"/>
          <w14:textFill>
            <w14:solidFill>
              <w14:schemeClr w14:val="tx1"/>
            </w14:solidFill>
          </w14:textFill>
        </w:rPr>
      </w:pPr>
      <w:bookmarkStart w:id="561" w:name="_Toc416527847"/>
      <w:bookmarkStart w:id="562" w:name="_Toc3180"/>
      <w:r>
        <w:rPr>
          <w:color w:val="000000" w:themeColor="text1"/>
          <w14:textFill>
            <w14:solidFill>
              <w14:schemeClr w14:val="tx1"/>
            </w14:solidFill>
          </w14:textFill>
        </w:rPr>
        <w:t>环境风险应急预案</w:t>
      </w:r>
      <w:bookmarkEnd w:id="561"/>
    </w:p>
    <w:p w14:paraId="1AC5D986">
      <w:pPr>
        <w:pStyle w:val="5"/>
        <w:rPr>
          <w:rFonts w:hint="eastAsia"/>
          <w:b/>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环境风险应急预案编制要求</w:t>
      </w:r>
      <w:bookmarkEnd w:id="562"/>
    </w:p>
    <w:p w14:paraId="1727BC75">
      <w:pPr>
        <w:ind w:firstLine="480"/>
        <w:rPr>
          <w:color w:val="000000" w:themeColor="text1"/>
          <w14:textFill>
            <w14:solidFill>
              <w14:schemeClr w14:val="tx1"/>
            </w14:solidFill>
          </w14:textFill>
        </w:rPr>
      </w:pPr>
      <w:r>
        <w:rPr>
          <w:color w:val="000000" w:themeColor="text1"/>
          <w14:textFill>
            <w14:solidFill>
              <w14:schemeClr w14:val="tx1"/>
            </w14:solidFill>
          </w14:textFill>
        </w:rPr>
        <w:t>拟建项目建成后应成立环境风险事故应急指挥中心及应急救援组织体系，定期展开事故应急演练。制定突发环境事件应急预案并备案。企业在制订突发环境事件应急预案时应体现分级响应、区域联动的原则，与地方政府突发环境事件应急预案相衔接，明确分级响应程序。</w:t>
      </w:r>
    </w:p>
    <w:p w14:paraId="6A758162">
      <w:pPr>
        <w:pStyle w:val="117"/>
        <w:numPr>
          <w:ilvl w:val="4"/>
          <w:numId w:val="9"/>
        </w:num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应急预案基本内容</w:t>
      </w:r>
    </w:p>
    <w:tbl>
      <w:tblPr>
        <w:tblStyle w:val="76"/>
        <w:tblW w:w="9634" w:type="dxa"/>
        <w:tblInd w:w="0" w:type="dxa"/>
        <w:tblLayout w:type="autofit"/>
        <w:tblCellMar>
          <w:top w:w="0" w:type="dxa"/>
          <w:left w:w="108" w:type="dxa"/>
          <w:bottom w:w="0" w:type="dxa"/>
          <w:right w:w="108" w:type="dxa"/>
        </w:tblCellMar>
      </w:tblPr>
      <w:tblGrid>
        <w:gridCol w:w="704"/>
        <w:gridCol w:w="1701"/>
        <w:gridCol w:w="7229"/>
      </w:tblGrid>
      <w:tr w14:paraId="11944726">
        <w:tblPrEx>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ign w:val="center"/>
          </w:tcPr>
          <w:p w14:paraId="38F1853D">
            <w:pPr>
              <w:pStyle w:val="10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01" w:type="dxa"/>
            <w:tcBorders>
              <w:top w:val="single" w:color="auto" w:sz="4" w:space="0"/>
              <w:left w:val="nil"/>
              <w:bottom w:val="single" w:color="auto" w:sz="4" w:space="0"/>
              <w:right w:val="single" w:color="auto" w:sz="4" w:space="0"/>
            </w:tcBorders>
            <w:noWrap/>
            <w:vAlign w:val="center"/>
          </w:tcPr>
          <w:p w14:paraId="24913992">
            <w:pPr>
              <w:pStyle w:val="109"/>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7229" w:type="dxa"/>
            <w:tcBorders>
              <w:top w:val="single" w:color="auto" w:sz="4" w:space="0"/>
              <w:left w:val="nil"/>
              <w:bottom w:val="single" w:color="auto" w:sz="4" w:space="0"/>
              <w:right w:val="single" w:color="auto" w:sz="4" w:space="0"/>
            </w:tcBorders>
            <w:noWrap/>
            <w:vAlign w:val="center"/>
          </w:tcPr>
          <w:p w14:paraId="725A69A8">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内容及要求 </w:t>
            </w:r>
          </w:p>
        </w:tc>
      </w:tr>
      <w:tr w14:paraId="5B516EBC">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007A2CB0">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701" w:type="dxa"/>
            <w:tcBorders>
              <w:top w:val="nil"/>
              <w:left w:val="nil"/>
              <w:bottom w:val="single" w:color="auto" w:sz="4" w:space="0"/>
              <w:right w:val="single" w:color="auto" w:sz="4" w:space="0"/>
            </w:tcBorders>
            <w:noWrap/>
            <w:vAlign w:val="center"/>
          </w:tcPr>
          <w:p w14:paraId="6A111209">
            <w:pPr>
              <w:pStyle w:val="109"/>
              <w:rPr>
                <w:color w:val="000000" w:themeColor="text1"/>
                <w14:textFill>
                  <w14:solidFill>
                    <w14:schemeClr w14:val="tx1"/>
                  </w14:solidFill>
                </w14:textFill>
              </w:rPr>
            </w:pPr>
            <w:r>
              <w:rPr>
                <w:color w:val="000000" w:themeColor="text1"/>
                <w14:textFill>
                  <w14:solidFill>
                    <w14:schemeClr w14:val="tx1"/>
                  </w14:solidFill>
                </w14:textFill>
              </w:rPr>
              <w:t>总则</w:t>
            </w:r>
          </w:p>
        </w:tc>
        <w:tc>
          <w:tcPr>
            <w:tcW w:w="7229" w:type="dxa"/>
            <w:tcBorders>
              <w:top w:val="nil"/>
              <w:left w:val="nil"/>
              <w:bottom w:val="single" w:color="auto" w:sz="4" w:space="0"/>
              <w:right w:val="single" w:color="auto" w:sz="4" w:space="0"/>
            </w:tcBorders>
            <w:noWrap/>
            <w:vAlign w:val="center"/>
          </w:tcPr>
          <w:p w14:paraId="2BEDC2A8">
            <w:pPr>
              <w:pStyle w:val="109"/>
              <w:rPr>
                <w:color w:val="000000" w:themeColor="text1"/>
                <w14:textFill>
                  <w14:solidFill>
                    <w14:schemeClr w14:val="tx1"/>
                  </w14:solidFill>
                </w14:textFill>
              </w:rPr>
            </w:pPr>
            <w:r>
              <w:rPr>
                <w:color w:val="000000" w:themeColor="text1"/>
                <w14:textFill>
                  <w14:solidFill>
                    <w14:schemeClr w14:val="tx1"/>
                  </w14:solidFill>
                </w14:textFill>
              </w:rPr>
              <w:t>建立健全突发环境事件应急机制，提高公司应对突发环境事件的处置能力，保证紧急救援和各项善后工作到位，最大限度地减少环境污染。</w:t>
            </w:r>
          </w:p>
        </w:tc>
      </w:tr>
      <w:tr w14:paraId="280CA69C">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5E121BFB">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701" w:type="dxa"/>
            <w:tcBorders>
              <w:top w:val="nil"/>
              <w:left w:val="nil"/>
              <w:bottom w:val="single" w:color="auto" w:sz="4" w:space="0"/>
              <w:right w:val="single" w:color="auto" w:sz="4" w:space="0"/>
            </w:tcBorders>
            <w:noWrap/>
            <w:vAlign w:val="center"/>
          </w:tcPr>
          <w:p w14:paraId="77C8456C">
            <w:pPr>
              <w:pStyle w:val="109"/>
              <w:rPr>
                <w:color w:val="000000" w:themeColor="text1"/>
                <w14:textFill>
                  <w14:solidFill>
                    <w14:schemeClr w14:val="tx1"/>
                  </w14:solidFill>
                </w14:textFill>
              </w:rPr>
            </w:pPr>
            <w:r>
              <w:rPr>
                <w:color w:val="000000" w:themeColor="text1"/>
                <w14:textFill>
                  <w14:solidFill>
                    <w14:schemeClr w14:val="tx1"/>
                  </w14:solidFill>
                </w14:textFill>
              </w:rPr>
              <w:t>应急计划区</w:t>
            </w:r>
          </w:p>
        </w:tc>
        <w:tc>
          <w:tcPr>
            <w:tcW w:w="7229" w:type="dxa"/>
            <w:tcBorders>
              <w:top w:val="nil"/>
              <w:left w:val="nil"/>
              <w:bottom w:val="single" w:color="auto" w:sz="4" w:space="0"/>
              <w:right w:val="single" w:color="auto" w:sz="4" w:space="0"/>
            </w:tcBorders>
            <w:noWrap/>
            <w:vAlign w:val="center"/>
          </w:tcPr>
          <w:p w14:paraId="591C26E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仓库、罐区、生产区和污水处理站为重点防护单元 </w:t>
            </w:r>
          </w:p>
        </w:tc>
      </w:tr>
      <w:tr w14:paraId="75006C55">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086087D7">
            <w:pPr>
              <w:pStyle w:val="10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701" w:type="dxa"/>
            <w:tcBorders>
              <w:top w:val="nil"/>
              <w:left w:val="nil"/>
              <w:bottom w:val="single" w:color="auto" w:sz="4" w:space="0"/>
              <w:right w:val="single" w:color="auto" w:sz="4" w:space="0"/>
            </w:tcBorders>
            <w:noWrap/>
            <w:vAlign w:val="center"/>
          </w:tcPr>
          <w:p w14:paraId="7A47FC6C">
            <w:pPr>
              <w:pStyle w:val="109"/>
              <w:rPr>
                <w:color w:val="000000" w:themeColor="text1"/>
                <w14:textFill>
                  <w14:solidFill>
                    <w14:schemeClr w14:val="tx1"/>
                  </w14:solidFill>
                </w14:textFill>
              </w:rPr>
            </w:pPr>
            <w:r>
              <w:rPr>
                <w:color w:val="000000" w:themeColor="text1"/>
                <w14:textFill>
                  <w14:solidFill>
                    <w14:schemeClr w14:val="tx1"/>
                  </w14:solidFill>
                </w14:textFill>
              </w:rPr>
              <w:t>应急组织机构、人员</w:t>
            </w:r>
          </w:p>
        </w:tc>
        <w:tc>
          <w:tcPr>
            <w:tcW w:w="7229" w:type="dxa"/>
            <w:tcBorders>
              <w:top w:val="nil"/>
              <w:left w:val="nil"/>
              <w:bottom w:val="single" w:color="auto" w:sz="4" w:space="0"/>
              <w:right w:val="single" w:color="auto" w:sz="4" w:space="0"/>
            </w:tcBorders>
            <w:noWrap/>
            <w:vAlign w:val="center"/>
          </w:tcPr>
          <w:p w14:paraId="36ABB9B7">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依据事故的类别、危害程度的级别和从业人员的评估结果，设置分级应急救援组织机构，要求责任明确到人 </w:t>
            </w:r>
          </w:p>
        </w:tc>
      </w:tr>
      <w:tr w14:paraId="497B8CA0">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2C48E454">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701" w:type="dxa"/>
            <w:tcBorders>
              <w:top w:val="nil"/>
              <w:left w:val="nil"/>
              <w:bottom w:val="single" w:color="auto" w:sz="4" w:space="0"/>
              <w:right w:val="single" w:color="auto" w:sz="4" w:space="0"/>
            </w:tcBorders>
            <w:noWrap/>
            <w:vAlign w:val="center"/>
          </w:tcPr>
          <w:p w14:paraId="036C3047">
            <w:pPr>
              <w:pStyle w:val="109"/>
              <w:rPr>
                <w:color w:val="000000" w:themeColor="text1"/>
                <w14:textFill>
                  <w14:solidFill>
                    <w14:schemeClr w14:val="tx1"/>
                  </w14:solidFill>
                </w14:textFill>
              </w:rPr>
            </w:pPr>
            <w:r>
              <w:rPr>
                <w:color w:val="000000" w:themeColor="text1"/>
                <w14:textFill>
                  <w14:solidFill>
                    <w14:schemeClr w14:val="tx1"/>
                  </w14:solidFill>
                </w14:textFill>
              </w:rPr>
              <w:t>环境事件分类及分级</w:t>
            </w:r>
          </w:p>
        </w:tc>
        <w:tc>
          <w:tcPr>
            <w:tcW w:w="7229" w:type="dxa"/>
            <w:tcBorders>
              <w:top w:val="nil"/>
              <w:left w:val="nil"/>
              <w:bottom w:val="single" w:color="auto" w:sz="4" w:space="0"/>
              <w:right w:val="single" w:color="auto" w:sz="4" w:space="0"/>
            </w:tcBorders>
            <w:noWrap/>
            <w:vAlign w:val="center"/>
          </w:tcPr>
          <w:p w14:paraId="6884CB63">
            <w:pPr>
              <w:pStyle w:val="109"/>
              <w:rPr>
                <w:color w:val="000000" w:themeColor="text1"/>
                <w14:textFill>
                  <w14:solidFill>
                    <w14:schemeClr w14:val="tx1"/>
                  </w14:solidFill>
                </w14:textFill>
              </w:rPr>
            </w:pPr>
            <w:r>
              <w:rPr>
                <w:color w:val="000000" w:themeColor="text1"/>
                <w14:textFill>
                  <w14:solidFill>
                    <w14:schemeClr w14:val="tx1"/>
                  </w14:solidFill>
                </w14:textFill>
              </w:rPr>
              <w:t>根据环境风险事件影响和</w:t>
            </w:r>
            <w:r>
              <w:rPr>
                <w:rFonts w:hint="eastAsia"/>
                <w:color w:val="000000" w:themeColor="text1"/>
                <w:lang w:eastAsia="zh-CN"/>
                <w14:textFill>
                  <w14:solidFill>
                    <w14:schemeClr w14:val="tx1"/>
                  </w14:solidFill>
                </w14:textFill>
              </w:rPr>
              <w:t>应急救援</w:t>
            </w:r>
            <w:r>
              <w:rPr>
                <w:color w:val="000000" w:themeColor="text1"/>
                <w14:textFill>
                  <w14:solidFill>
                    <w14:schemeClr w14:val="tx1"/>
                  </w14:solidFill>
                </w14:textFill>
              </w:rPr>
              <w:t xml:space="preserve">、控制特点，将环境风险事件分为水环境污染事件、有毒有害气体扩散事件、溢油污染事件、地下水污染事件、危化品和危废运输污染事件、辐射事件六类；按照环境风险事件的严重程度和影响范围，根据事件应急救援需要，将事件划分为 I、II、III和 IV四级 </w:t>
            </w:r>
          </w:p>
        </w:tc>
      </w:tr>
      <w:tr w14:paraId="267D7BBD">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23CEB30A">
            <w:pPr>
              <w:pStyle w:val="109"/>
              <w:rPr>
                <w:color w:val="000000" w:themeColor="text1"/>
                <w14:textFill>
                  <w14:solidFill>
                    <w14:schemeClr w14:val="tx1"/>
                  </w14:solidFill>
                </w14:textFill>
              </w:rPr>
            </w:pPr>
            <w:r>
              <w:rPr>
                <w:color w:val="000000" w:themeColor="text1"/>
                <w14:textFill>
                  <w14:solidFill>
                    <w14:schemeClr w14:val="tx1"/>
                  </w14:solidFill>
                </w14:textFill>
              </w:rPr>
              <w:t>5</w:t>
            </w:r>
          </w:p>
        </w:tc>
        <w:tc>
          <w:tcPr>
            <w:tcW w:w="1701" w:type="dxa"/>
            <w:tcBorders>
              <w:top w:val="nil"/>
              <w:left w:val="nil"/>
              <w:bottom w:val="single" w:color="auto" w:sz="4" w:space="0"/>
              <w:right w:val="single" w:color="auto" w:sz="4" w:space="0"/>
            </w:tcBorders>
            <w:noWrap/>
            <w:vAlign w:val="center"/>
          </w:tcPr>
          <w:p w14:paraId="4BB74319">
            <w:pPr>
              <w:pStyle w:val="109"/>
              <w:rPr>
                <w:color w:val="000000" w:themeColor="text1"/>
                <w14:textFill>
                  <w14:solidFill>
                    <w14:schemeClr w14:val="tx1"/>
                  </w14:solidFill>
                </w14:textFill>
              </w:rPr>
            </w:pPr>
            <w:r>
              <w:rPr>
                <w:color w:val="000000" w:themeColor="text1"/>
                <w14:textFill>
                  <w14:solidFill>
                    <w14:schemeClr w14:val="tx1"/>
                  </w14:solidFill>
                </w14:textFill>
              </w:rPr>
              <w:t>应急救援保障</w:t>
            </w:r>
          </w:p>
        </w:tc>
        <w:tc>
          <w:tcPr>
            <w:tcW w:w="7229" w:type="dxa"/>
            <w:tcBorders>
              <w:top w:val="nil"/>
              <w:left w:val="nil"/>
              <w:bottom w:val="single" w:color="auto" w:sz="4" w:space="0"/>
              <w:right w:val="single" w:color="auto" w:sz="4" w:space="0"/>
            </w:tcBorders>
            <w:noWrap/>
            <w:vAlign w:val="center"/>
          </w:tcPr>
          <w:p w14:paraId="50960653">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公司各部门应根据厂级、装置级应急预案的要求，落实相关抢险救援物资与装备，如设置干粉灭火器、手推式灭火器、防毒面具、空气吸收器等，并分别布置在各岗位 </w:t>
            </w:r>
          </w:p>
        </w:tc>
      </w:tr>
      <w:tr w14:paraId="22348784">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3700D67B">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701" w:type="dxa"/>
            <w:tcBorders>
              <w:top w:val="nil"/>
              <w:left w:val="nil"/>
              <w:bottom w:val="single" w:color="auto" w:sz="4" w:space="0"/>
              <w:right w:val="single" w:color="auto" w:sz="4" w:space="0"/>
            </w:tcBorders>
            <w:noWrap/>
            <w:vAlign w:val="center"/>
          </w:tcPr>
          <w:p w14:paraId="3630F7D6">
            <w:pPr>
              <w:pStyle w:val="109"/>
              <w:rPr>
                <w:color w:val="000000" w:themeColor="text1"/>
                <w14:textFill>
                  <w14:solidFill>
                    <w14:schemeClr w14:val="tx1"/>
                  </w14:solidFill>
                </w14:textFill>
              </w:rPr>
            </w:pPr>
            <w:r>
              <w:rPr>
                <w:color w:val="000000" w:themeColor="text1"/>
                <w14:textFill>
                  <w14:solidFill>
                    <w14:schemeClr w14:val="tx1"/>
                  </w14:solidFill>
                </w14:textFill>
              </w:rPr>
              <w:t>预防与预警</w:t>
            </w:r>
          </w:p>
        </w:tc>
        <w:tc>
          <w:tcPr>
            <w:tcW w:w="7229" w:type="dxa"/>
            <w:tcBorders>
              <w:top w:val="nil"/>
              <w:left w:val="nil"/>
              <w:bottom w:val="single" w:color="auto" w:sz="4" w:space="0"/>
              <w:right w:val="single" w:color="auto" w:sz="4" w:space="0"/>
            </w:tcBorders>
            <w:noWrap/>
            <w:vAlign w:val="center"/>
          </w:tcPr>
          <w:p w14:paraId="0FA0ADB4">
            <w:pPr>
              <w:pStyle w:val="109"/>
              <w:rPr>
                <w:color w:val="000000" w:themeColor="text1"/>
                <w14:textFill>
                  <w14:solidFill>
                    <w14:schemeClr w14:val="tx1"/>
                  </w14:solidFill>
                </w14:textFill>
              </w:rPr>
            </w:pPr>
            <w:r>
              <w:rPr>
                <w:color w:val="000000" w:themeColor="text1"/>
                <w14:textFill>
                  <w14:solidFill>
                    <w14:schemeClr w14:val="tx1"/>
                  </w14:solidFill>
                </w14:textFill>
              </w:rPr>
              <w:t xml:space="preserve">公司各部门应加强对各种可能发生的环境事件的监控和预测分析，应急指挥中心建立预防预报系统，做到早发现、早报告、早处置 </w:t>
            </w:r>
          </w:p>
        </w:tc>
      </w:tr>
      <w:tr w14:paraId="3BA46D0F">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543FA479">
            <w:pPr>
              <w:pStyle w:val="109"/>
              <w:rPr>
                <w:color w:val="000000" w:themeColor="text1"/>
                <w14:textFill>
                  <w14:solidFill>
                    <w14:schemeClr w14:val="tx1"/>
                  </w14:solidFill>
                </w14:textFill>
              </w:rPr>
            </w:pPr>
            <w:r>
              <w:rPr>
                <w:color w:val="000000" w:themeColor="text1"/>
                <w14:textFill>
                  <w14:solidFill>
                    <w14:schemeClr w14:val="tx1"/>
                  </w14:solidFill>
                </w14:textFill>
              </w:rPr>
              <w:t>7</w:t>
            </w:r>
          </w:p>
        </w:tc>
        <w:tc>
          <w:tcPr>
            <w:tcW w:w="1701" w:type="dxa"/>
            <w:tcBorders>
              <w:top w:val="nil"/>
              <w:left w:val="nil"/>
              <w:bottom w:val="single" w:color="auto" w:sz="4" w:space="0"/>
              <w:right w:val="single" w:color="auto" w:sz="4" w:space="0"/>
            </w:tcBorders>
            <w:noWrap/>
            <w:vAlign w:val="center"/>
          </w:tcPr>
          <w:p w14:paraId="2895A7C6">
            <w:pPr>
              <w:pStyle w:val="109"/>
              <w:rPr>
                <w:color w:val="000000" w:themeColor="text1"/>
                <w14:textFill>
                  <w14:solidFill>
                    <w14:schemeClr w14:val="tx1"/>
                  </w14:solidFill>
                </w14:textFill>
              </w:rPr>
            </w:pPr>
            <w:r>
              <w:rPr>
                <w:color w:val="000000" w:themeColor="text1"/>
                <w14:textFill>
                  <w14:solidFill>
                    <w14:schemeClr w14:val="tx1"/>
                  </w14:solidFill>
                </w14:textFill>
              </w:rPr>
              <w:t>报警、通讯联络方式</w:t>
            </w:r>
          </w:p>
        </w:tc>
        <w:tc>
          <w:tcPr>
            <w:tcW w:w="7229" w:type="dxa"/>
            <w:tcBorders>
              <w:top w:val="nil"/>
              <w:left w:val="nil"/>
              <w:bottom w:val="single" w:color="auto" w:sz="4" w:space="0"/>
              <w:right w:val="single" w:color="auto" w:sz="4" w:space="0"/>
            </w:tcBorders>
            <w:noWrap/>
            <w:vAlign w:val="center"/>
          </w:tcPr>
          <w:p w14:paraId="10522D66">
            <w:pPr>
              <w:pStyle w:val="109"/>
              <w:rPr>
                <w:color w:val="000000" w:themeColor="text1"/>
                <w14:textFill>
                  <w14:solidFill>
                    <w14:schemeClr w14:val="tx1"/>
                  </w14:solidFill>
                </w14:textFill>
              </w:rPr>
            </w:pPr>
            <w:r>
              <w:rPr>
                <w:color w:val="000000" w:themeColor="text1"/>
                <w14:textFill>
                  <w14:solidFill>
                    <w14:schemeClr w14:val="tx1"/>
                  </w14:solidFill>
                </w14:textFill>
              </w:rPr>
              <w:t>常用应急电话号码：急救中心：120，消防大队：119。由生产部负责事故现场的联络和对外联系，以及人员疏散和道路管制等工作</w:t>
            </w:r>
          </w:p>
        </w:tc>
      </w:tr>
      <w:tr w14:paraId="46300498">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2DF8AB79">
            <w:pPr>
              <w:pStyle w:val="109"/>
              <w:rPr>
                <w:color w:val="000000" w:themeColor="text1"/>
                <w14:textFill>
                  <w14:solidFill>
                    <w14:schemeClr w14:val="tx1"/>
                  </w14:solidFill>
                </w14:textFill>
              </w:rPr>
            </w:pPr>
            <w:r>
              <w:rPr>
                <w:color w:val="000000" w:themeColor="text1"/>
                <w14:textFill>
                  <w14:solidFill>
                    <w14:schemeClr w14:val="tx1"/>
                  </w14:solidFill>
                </w14:textFill>
              </w:rPr>
              <w:t>8</w:t>
            </w:r>
          </w:p>
        </w:tc>
        <w:tc>
          <w:tcPr>
            <w:tcW w:w="1701" w:type="dxa"/>
            <w:tcBorders>
              <w:top w:val="nil"/>
              <w:left w:val="nil"/>
              <w:bottom w:val="single" w:color="auto" w:sz="4" w:space="0"/>
              <w:right w:val="single" w:color="auto" w:sz="4" w:space="0"/>
            </w:tcBorders>
            <w:vAlign w:val="center"/>
          </w:tcPr>
          <w:p w14:paraId="37D6FE53">
            <w:pPr>
              <w:pStyle w:val="109"/>
              <w:rPr>
                <w:color w:val="000000" w:themeColor="text1"/>
                <w14:textFill>
                  <w14:solidFill>
                    <w14:schemeClr w14:val="tx1"/>
                  </w14:solidFill>
                </w14:textFill>
              </w:rPr>
            </w:pPr>
            <w:r>
              <w:rPr>
                <w:color w:val="000000" w:themeColor="text1"/>
                <w14:textFill>
                  <w14:solidFill>
                    <w14:schemeClr w14:val="tx1"/>
                  </w14:solidFill>
                </w14:textFill>
              </w:rPr>
              <w:t>应急环境监测、抢险、救援及控制措施</w:t>
            </w:r>
          </w:p>
        </w:tc>
        <w:tc>
          <w:tcPr>
            <w:tcW w:w="7229" w:type="dxa"/>
            <w:tcBorders>
              <w:top w:val="nil"/>
              <w:left w:val="nil"/>
              <w:bottom w:val="single" w:color="auto" w:sz="4" w:space="0"/>
              <w:right w:val="single" w:color="auto" w:sz="4" w:space="0"/>
            </w:tcBorders>
            <w:vAlign w:val="center"/>
          </w:tcPr>
          <w:p w14:paraId="4DE786ED">
            <w:pPr>
              <w:pStyle w:val="109"/>
              <w:rPr>
                <w:color w:val="000000" w:themeColor="text1"/>
                <w14:textFill>
                  <w14:solidFill>
                    <w14:schemeClr w14:val="tx1"/>
                  </w14:solidFill>
                </w14:textFill>
              </w:rPr>
            </w:pPr>
            <w:r>
              <w:rPr>
                <w:color w:val="000000" w:themeColor="text1"/>
                <w14:textFill>
                  <w14:solidFill>
                    <w14:schemeClr w14:val="tx1"/>
                  </w14:solidFill>
                </w14:textFill>
              </w:rPr>
              <w:t>配置监测设备，具备应急环境监测能力，化验室主任负责协助进行毒物的清洗、消毒等工作；设立事故应急抢险队</w:t>
            </w:r>
          </w:p>
        </w:tc>
      </w:tr>
      <w:tr w14:paraId="2EC92B7A">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3B2D1489">
            <w:pPr>
              <w:pStyle w:val="109"/>
              <w:rPr>
                <w:color w:val="000000" w:themeColor="text1"/>
                <w14:textFill>
                  <w14:solidFill>
                    <w14:schemeClr w14:val="tx1"/>
                  </w14:solidFill>
                </w14:textFill>
              </w:rPr>
            </w:pPr>
            <w:r>
              <w:rPr>
                <w:color w:val="000000" w:themeColor="text1"/>
                <w14:textFill>
                  <w14:solidFill>
                    <w14:schemeClr w14:val="tx1"/>
                  </w14:solidFill>
                </w14:textFill>
              </w:rPr>
              <w:t>9</w:t>
            </w:r>
          </w:p>
        </w:tc>
        <w:tc>
          <w:tcPr>
            <w:tcW w:w="1701" w:type="dxa"/>
            <w:tcBorders>
              <w:top w:val="nil"/>
              <w:left w:val="nil"/>
              <w:bottom w:val="single" w:color="auto" w:sz="4" w:space="0"/>
              <w:right w:val="single" w:color="auto" w:sz="4" w:space="0"/>
            </w:tcBorders>
            <w:vAlign w:val="center"/>
          </w:tcPr>
          <w:p w14:paraId="4B799307">
            <w:pPr>
              <w:pStyle w:val="109"/>
              <w:rPr>
                <w:color w:val="000000" w:themeColor="text1"/>
                <w14:textFill>
                  <w14:solidFill>
                    <w14:schemeClr w14:val="tx1"/>
                  </w14:solidFill>
                </w14:textFill>
              </w:rPr>
            </w:pPr>
            <w:r>
              <w:rPr>
                <w:color w:val="000000" w:themeColor="text1"/>
                <w14:textFill>
                  <w14:solidFill>
                    <w14:schemeClr w14:val="tx1"/>
                  </w14:solidFill>
                </w14:textFill>
              </w:rPr>
              <w:t>应急检测、防护措施、清除泄露措施和器材</w:t>
            </w:r>
          </w:p>
        </w:tc>
        <w:tc>
          <w:tcPr>
            <w:tcW w:w="7229" w:type="dxa"/>
            <w:tcBorders>
              <w:top w:val="nil"/>
              <w:left w:val="nil"/>
              <w:bottom w:val="single" w:color="auto" w:sz="4" w:space="0"/>
              <w:right w:val="single" w:color="auto" w:sz="4" w:space="0"/>
            </w:tcBorders>
            <w:vAlign w:val="center"/>
          </w:tcPr>
          <w:p w14:paraId="120A436B">
            <w:pPr>
              <w:pStyle w:val="109"/>
              <w:rPr>
                <w:color w:val="000000" w:themeColor="text1"/>
                <w14:textFill>
                  <w14:solidFill>
                    <w14:schemeClr w14:val="tx1"/>
                  </w14:solidFill>
                </w14:textFill>
              </w:rPr>
            </w:pPr>
            <w:r>
              <w:rPr>
                <w:color w:val="000000" w:themeColor="text1"/>
                <w14:textFill>
                  <w14:solidFill>
                    <w14:schemeClr w14:val="tx1"/>
                  </w14:solidFill>
                </w14:textFill>
              </w:rPr>
              <w:t>应急现场指挥应根据实际情况，确定监测项目、频次、范围，并启动应急监测车，由环保监测站人员对大气、水质等进行现场监测，实时将监测结果汇报给厂应急指挥部，为应急指挥提供行动依据；厂区内设置1个2100m³的事故池，防止液体外流，造成二次污染</w:t>
            </w:r>
          </w:p>
        </w:tc>
      </w:tr>
      <w:tr w14:paraId="7F37AE0B">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7695A55C">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701" w:type="dxa"/>
            <w:tcBorders>
              <w:top w:val="nil"/>
              <w:left w:val="nil"/>
              <w:bottom w:val="single" w:color="auto" w:sz="4" w:space="0"/>
              <w:right w:val="single" w:color="auto" w:sz="4" w:space="0"/>
            </w:tcBorders>
            <w:vAlign w:val="center"/>
          </w:tcPr>
          <w:p w14:paraId="65F5A38B">
            <w:pPr>
              <w:pStyle w:val="109"/>
              <w:rPr>
                <w:color w:val="000000" w:themeColor="text1"/>
                <w14:textFill>
                  <w14:solidFill>
                    <w14:schemeClr w14:val="tx1"/>
                  </w14:solidFill>
                </w14:textFill>
              </w:rPr>
            </w:pPr>
            <w:r>
              <w:rPr>
                <w:color w:val="000000" w:themeColor="text1"/>
                <w14:textFill>
                  <w14:solidFill>
                    <w14:schemeClr w14:val="tx1"/>
                  </w14:solidFill>
                </w14:textFill>
              </w:rPr>
              <w:t>人员紧急撤离、疏散，应急剂量控制、撤离组织计划</w:t>
            </w:r>
          </w:p>
        </w:tc>
        <w:tc>
          <w:tcPr>
            <w:tcW w:w="7229" w:type="dxa"/>
            <w:tcBorders>
              <w:top w:val="nil"/>
              <w:left w:val="nil"/>
              <w:bottom w:val="single" w:color="auto" w:sz="4" w:space="0"/>
              <w:right w:val="single" w:color="auto" w:sz="4" w:space="0"/>
            </w:tcBorders>
            <w:vAlign w:val="center"/>
          </w:tcPr>
          <w:p w14:paraId="1B9005B5">
            <w:pPr>
              <w:pStyle w:val="109"/>
              <w:rPr>
                <w:color w:val="000000" w:themeColor="text1"/>
                <w14:textFill>
                  <w14:solidFill>
                    <w14:schemeClr w14:val="tx1"/>
                  </w14:solidFill>
                </w14:textFill>
              </w:rPr>
            </w:pPr>
            <w:r>
              <w:rPr>
                <w:color w:val="000000" w:themeColor="text1"/>
                <w14:textFill>
                  <w14:solidFill>
                    <w14:schemeClr w14:val="tx1"/>
                  </w14:solidFill>
                </w14:textFill>
              </w:rPr>
              <w:t>设立医疗救护队，对事故中受伤人员实施医疗救助、转移，同时负责救援行动中人员、器材、物资的运输工作。由办公室主任负责，各部门抽调人员组成</w:t>
            </w:r>
          </w:p>
        </w:tc>
      </w:tr>
      <w:tr w14:paraId="5F49BF18">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161CCC2B">
            <w:pPr>
              <w:pStyle w:val="109"/>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701" w:type="dxa"/>
            <w:tcBorders>
              <w:top w:val="nil"/>
              <w:left w:val="nil"/>
              <w:bottom w:val="single" w:color="auto" w:sz="4" w:space="0"/>
              <w:right w:val="single" w:color="auto" w:sz="4" w:space="0"/>
            </w:tcBorders>
            <w:vAlign w:val="center"/>
          </w:tcPr>
          <w:p w14:paraId="69D13DF3">
            <w:pPr>
              <w:pStyle w:val="109"/>
              <w:rPr>
                <w:color w:val="000000" w:themeColor="text1"/>
                <w14:textFill>
                  <w14:solidFill>
                    <w14:schemeClr w14:val="tx1"/>
                  </w14:solidFill>
                </w14:textFill>
              </w:rPr>
            </w:pPr>
            <w:r>
              <w:rPr>
                <w:color w:val="000000" w:themeColor="text1"/>
                <w14:textFill>
                  <w14:solidFill>
                    <w14:schemeClr w14:val="tx1"/>
                  </w14:solidFill>
                </w14:textFill>
              </w:rPr>
              <w:t>信息报告程序</w:t>
            </w:r>
          </w:p>
        </w:tc>
        <w:tc>
          <w:tcPr>
            <w:tcW w:w="7229" w:type="dxa"/>
            <w:tcBorders>
              <w:top w:val="nil"/>
              <w:left w:val="nil"/>
              <w:bottom w:val="single" w:color="auto" w:sz="4" w:space="0"/>
              <w:right w:val="single" w:color="auto" w:sz="4" w:space="0"/>
            </w:tcBorders>
            <w:vAlign w:val="center"/>
          </w:tcPr>
          <w:p w14:paraId="1B427330">
            <w:pPr>
              <w:pStyle w:val="109"/>
              <w:rPr>
                <w:color w:val="000000" w:themeColor="text1"/>
                <w14:textFill>
                  <w14:solidFill>
                    <w14:schemeClr w14:val="tx1"/>
                  </w14:solidFill>
                </w14:textFill>
              </w:rPr>
            </w:pPr>
            <w:r>
              <w:rPr>
                <w:color w:val="000000" w:themeColor="text1"/>
                <w14:textFill>
                  <w14:solidFill>
                    <w14:schemeClr w14:val="tx1"/>
                  </w14:solidFill>
                </w14:textFill>
              </w:rPr>
              <w:t>公司所属各单位发生突发环境事件时，应按《应急报告流程图》进行报告；报告分为初报、续报和处理结果报告三类。初报在事件发生后按规定时限上报；续报在查清有关基本情况后随时上报；处理结果报告在事件处理完毕后立即上报</w:t>
            </w:r>
          </w:p>
        </w:tc>
      </w:tr>
      <w:tr w14:paraId="12BC2D34">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2B34E093">
            <w:pPr>
              <w:pStyle w:val="109"/>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701" w:type="dxa"/>
            <w:tcBorders>
              <w:top w:val="nil"/>
              <w:left w:val="nil"/>
              <w:bottom w:val="single" w:color="auto" w:sz="4" w:space="0"/>
              <w:right w:val="single" w:color="auto" w:sz="4" w:space="0"/>
            </w:tcBorders>
            <w:vAlign w:val="center"/>
          </w:tcPr>
          <w:p w14:paraId="26982D9D">
            <w:pPr>
              <w:pStyle w:val="109"/>
              <w:rPr>
                <w:color w:val="000000" w:themeColor="text1"/>
                <w14:textFill>
                  <w14:solidFill>
                    <w14:schemeClr w14:val="tx1"/>
                  </w14:solidFill>
                </w14:textFill>
              </w:rPr>
            </w:pPr>
            <w:r>
              <w:rPr>
                <w:color w:val="000000" w:themeColor="text1"/>
                <w14:textFill>
                  <w14:solidFill>
                    <w14:schemeClr w14:val="tx1"/>
                  </w14:solidFill>
                </w14:textFill>
              </w:rPr>
              <w:t>事故应急救援关闭程序与恢复措施</w:t>
            </w:r>
          </w:p>
        </w:tc>
        <w:tc>
          <w:tcPr>
            <w:tcW w:w="7229" w:type="dxa"/>
            <w:tcBorders>
              <w:top w:val="nil"/>
              <w:left w:val="nil"/>
              <w:bottom w:val="single" w:color="auto" w:sz="4" w:space="0"/>
              <w:right w:val="single" w:color="auto" w:sz="4" w:space="0"/>
            </w:tcBorders>
            <w:vAlign w:val="center"/>
          </w:tcPr>
          <w:p w14:paraId="371A9B14">
            <w:pPr>
              <w:pStyle w:val="109"/>
              <w:rPr>
                <w:color w:val="000000" w:themeColor="text1"/>
                <w14:textFill>
                  <w14:solidFill>
                    <w14:schemeClr w14:val="tx1"/>
                  </w14:solidFill>
                </w14:textFill>
              </w:rPr>
            </w:pPr>
            <w:r>
              <w:rPr>
                <w:color w:val="000000" w:themeColor="text1"/>
                <w14:textFill>
                  <w14:solidFill>
                    <w14:schemeClr w14:val="tx1"/>
                  </w14:solidFill>
                </w14:textFill>
              </w:rPr>
              <w:t>应急指挥小组总指挥根据事件处置情况决定应急终止，并通知本单位相关部门、周边社区及人员环境事件危险已解除</w:t>
            </w:r>
          </w:p>
        </w:tc>
      </w:tr>
      <w:tr w14:paraId="7BAD1ED4">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581EDCAF">
            <w:pPr>
              <w:pStyle w:val="109"/>
              <w:rPr>
                <w:color w:val="000000" w:themeColor="text1"/>
                <w14:textFill>
                  <w14:solidFill>
                    <w14:schemeClr w14:val="tx1"/>
                  </w14:solidFill>
                </w14:textFill>
              </w:rPr>
            </w:pPr>
            <w:r>
              <w:rPr>
                <w:color w:val="000000" w:themeColor="text1"/>
                <w14:textFill>
                  <w14:solidFill>
                    <w14:schemeClr w14:val="tx1"/>
                  </w14:solidFill>
                </w14:textFill>
              </w:rPr>
              <w:t>13</w:t>
            </w:r>
          </w:p>
        </w:tc>
        <w:tc>
          <w:tcPr>
            <w:tcW w:w="1701" w:type="dxa"/>
            <w:tcBorders>
              <w:top w:val="nil"/>
              <w:left w:val="nil"/>
              <w:bottom w:val="single" w:color="auto" w:sz="4" w:space="0"/>
              <w:right w:val="single" w:color="auto" w:sz="4" w:space="0"/>
            </w:tcBorders>
            <w:vAlign w:val="center"/>
          </w:tcPr>
          <w:p w14:paraId="330519A4">
            <w:pPr>
              <w:pStyle w:val="109"/>
              <w:rPr>
                <w:color w:val="000000" w:themeColor="text1"/>
                <w14:textFill>
                  <w14:solidFill>
                    <w14:schemeClr w14:val="tx1"/>
                  </w14:solidFill>
                </w14:textFill>
              </w:rPr>
            </w:pPr>
            <w:r>
              <w:rPr>
                <w:color w:val="000000" w:themeColor="text1"/>
                <w14:textFill>
                  <w14:solidFill>
                    <w14:schemeClr w14:val="tx1"/>
                  </w14:solidFill>
                </w14:textFill>
              </w:rPr>
              <w:t>事件评估处理</w:t>
            </w:r>
          </w:p>
        </w:tc>
        <w:tc>
          <w:tcPr>
            <w:tcW w:w="7229" w:type="dxa"/>
            <w:tcBorders>
              <w:top w:val="nil"/>
              <w:left w:val="nil"/>
              <w:bottom w:val="single" w:color="auto" w:sz="4" w:space="0"/>
              <w:right w:val="single" w:color="auto" w:sz="4" w:space="0"/>
            </w:tcBorders>
            <w:vAlign w:val="center"/>
          </w:tcPr>
          <w:p w14:paraId="65B569EA">
            <w:pPr>
              <w:pStyle w:val="109"/>
              <w:rPr>
                <w:color w:val="000000" w:themeColor="text1"/>
                <w14:textFill>
                  <w14:solidFill>
                    <w14:schemeClr w14:val="tx1"/>
                  </w14:solidFill>
                </w14:textFill>
              </w:rPr>
            </w:pPr>
            <w:r>
              <w:rPr>
                <w:color w:val="000000" w:themeColor="text1"/>
                <w14:textFill>
                  <w14:solidFill>
                    <w14:schemeClr w14:val="tx1"/>
                  </w14:solidFill>
                </w14:textFill>
              </w:rPr>
              <w:t>各单位对发生的环境事件要及时组织有关人员进行事件评估，分析事件原因，查找环境隐患，研究提出整改措施，坚持“事件原因未查清不放过、事件整改措施未落实不放过、事件责任人未受到处理不放过”的原则。事件处理终结后应向上级主管部门提交评析报告书面材料。</w:t>
            </w:r>
          </w:p>
        </w:tc>
      </w:tr>
      <w:tr w14:paraId="03D3A398">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3B84AFA4">
            <w:pPr>
              <w:pStyle w:val="109"/>
              <w:rPr>
                <w:color w:val="000000" w:themeColor="text1"/>
                <w14:textFill>
                  <w14:solidFill>
                    <w14:schemeClr w14:val="tx1"/>
                  </w14:solidFill>
                </w14:textFill>
              </w:rPr>
            </w:pPr>
            <w:r>
              <w:rPr>
                <w:color w:val="000000" w:themeColor="text1"/>
                <w14:textFill>
                  <w14:solidFill>
                    <w14:schemeClr w14:val="tx1"/>
                  </w14:solidFill>
                </w14:textFill>
              </w:rPr>
              <w:t>14</w:t>
            </w:r>
          </w:p>
        </w:tc>
        <w:tc>
          <w:tcPr>
            <w:tcW w:w="1701" w:type="dxa"/>
            <w:tcBorders>
              <w:top w:val="nil"/>
              <w:left w:val="nil"/>
              <w:bottom w:val="single" w:color="auto" w:sz="4" w:space="0"/>
              <w:right w:val="single" w:color="auto" w:sz="4" w:space="0"/>
            </w:tcBorders>
            <w:vAlign w:val="center"/>
          </w:tcPr>
          <w:p w14:paraId="6C52ED88">
            <w:pPr>
              <w:pStyle w:val="109"/>
              <w:rPr>
                <w:color w:val="000000" w:themeColor="text1"/>
                <w14:textFill>
                  <w14:solidFill>
                    <w14:schemeClr w14:val="tx1"/>
                  </w14:solidFill>
                </w14:textFill>
              </w:rPr>
            </w:pPr>
            <w:r>
              <w:rPr>
                <w:color w:val="000000" w:themeColor="text1"/>
                <w14:textFill>
                  <w14:solidFill>
                    <w14:schemeClr w14:val="tx1"/>
                  </w14:solidFill>
                </w14:textFill>
              </w:rPr>
              <w:t>应急培训计划与演练</w:t>
            </w:r>
          </w:p>
        </w:tc>
        <w:tc>
          <w:tcPr>
            <w:tcW w:w="7229" w:type="dxa"/>
            <w:tcBorders>
              <w:top w:val="nil"/>
              <w:left w:val="nil"/>
              <w:bottom w:val="single" w:color="auto" w:sz="4" w:space="0"/>
              <w:right w:val="single" w:color="auto" w:sz="4" w:space="0"/>
            </w:tcBorders>
            <w:vAlign w:val="center"/>
          </w:tcPr>
          <w:p w14:paraId="446F7B22">
            <w:pPr>
              <w:pStyle w:val="109"/>
              <w:rPr>
                <w:color w:val="000000" w:themeColor="text1"/>
                <w14:textFill>
                  <w14:solidFill>
                    <w14:schemeClr w14:val="tx1"/>
                  </w14:solidFill>
                </w14:textFill>
              </w:rPr>
            </w:pPr>
            <w:r>
              <w:rPr>
                <w:color w:val="000000" w:themeColor="text1"/>
                <w14:textFill>
                  <w14:solidFill>
                    <w14:schemeClr w14:val="tx1"/>
                  </w14:solidFill>
                </w14:textFill>
              </w:rPr>
              <w:t>公司人力资源部组织相关部门或业务团队制定应急预案培训计划，定期对员工进行应急培训；公司应急指挥中心应有计划地开展不同预案、不同响应级别的应急演练，以检验应急预案的充分性、有效性，不断提高应急响应能力</w:t>
            </w:r>
          </w:p>
        </w:tc>
      </w:tr>
      <w:tr w14:paraId="10B08A83">
        <w:tblPrEx>
          <w:tblCellMar>
            <w:top w:w="0" w:type="dxa"/>
            <w:left w:w="108" w:type="dxa"/>
            <w:bottom w:w="0" w:type="dxa"/>
            <w:right w:w="108" w:type="dxa"/>
          </w:tblCellMar>
        </w:tblPrEx>
        <w:tc>
          <w:tcPr>
            <w:tcW w:w="704" w:type="dxa"/>
            <w:tcBorders>
              <w:top w:val="nil"/>
              <w:left w:val="single" w:color="auto" w:sz="4" w:space="0"/>
              <w:bottom w:val="single" w:color="auto" w:sz="4" w:space="0"/>
              <w:right w:val="single" w:color="auto" w:sz="4" w:space="0"/>
            </w:tcBorders>
            <w:noWrap/>
            <w:vAlign w:val="center"/>
          </w:tcPr>
          <w:p w14:paraId="6937A255">
            <w:pPr>
              <w:pStyle w:val="109"/>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701" w:type="dxa"/>
            <w:tcBorders>
              <w:top w:val="nil"/>
              <w:left w:val="nil"/>
              <w:bottom w:val="single" w:color="auto" w:sz="4" w:space="0"/>
              <w:right w:val="single" w:color="auto" w:sz="4" w:space="0"/>
            </w:tcBorders>
            <w:vAlign w:val="center"/>
          </w:tcPr>
          <w:p w14:paraId="165B85DA">
            <w:pPr>
              <w:pStyle w:val="109"/>
              <w:rPr>
                <w:color w:val="000000" w:themeColor="text1"/>
                <w14:textFill>
                  <w14:solidFill>
                    <w14:schemeClr w14:val="tx1"/>
                  </w14:solidFill>
                </w14:textFill>
              </w:rPr>
            </w:pPr>
            <w:r>
              <w:rPr>
                <w:color w:val="000000" w:themeColor="text1"/>
                <w14:textFill>
                  <w14:solidFill>
                    <w14:schemeClr w14:val="tx1"/>
                  </w14:solidFill>
                </w14:textFill>
              </w:rPr>
              <w:t>公众教育和信息</w:t>
            </w:r>
          </w:p>
        </w:tc>
        <w:tc>
          <w:tcPr>
            <w:tcW w:w="7229" w:type="dxa"/>
            <w:tcBorders>
              <w:top w:val="nil"/>
              <w:left w:val="nil"/>
              <w:bottom w:val="single" w:color="auto" w:sz="4" w:space="0"/>
              <w:right w:val="single" w:color="auto" w:sz="4" w:space="0"/>
            </w:tcBorders>
            <w:vAlign w:val="center"/>
          </w:tcPr>
          <w:p w14:paraId="502AB00C">
            <w:pPr>
              <w:pStyle w:val="109"/>
              <w:rPr>
                <w:color w:val="000000" w:themeColor="text1"/>
                <w14:textFill>
                  <w14:solidFill>
                    <w14:schemeClr w14:val="tx1"/>
                  </w14:solidFill>
                </w14:textFill>
              </w:rPr>
            </w:pPr>
            <w:r>
              <w:rPr>
                <w:color w:val="000000" w:themeColor="text1"/>
                <w14:textFill>
                  <w14:solidFill>
                    <w14:schemeClr w14:val="tx1"/>
                  </w14:solidFill>
                </w14:textFill>
              </w:rPr>
              <w:t>对工厂邻近地区开展公众教育、培训和发布有关信息</w:t>
            </w:r>
          </w:p>
        </w:tc>
      </w:tr>
    </w:tbl>
    <w:p w14:paraId="1DAD11AA">
      <w:pPr>
        <w:pStyle w:val="197"/>
        <w:ind w:firstLine="480" w:firstLineChars="200"/>
        <w:rPr>
          <w:rFonts w:ascii="Times New Roman" w:hAnsi="Times New Roman"/>
          <w:color w:val="000000" w:themeColor="text1"/>
          <w:szCs w:val="22"/>
          <w:lang w:val="en-US"/>
          <w14:textFill>
            <w14:solidFill>
              <w14:schemeClr w14:val="tx1"/>
            </w14:solidFill>
          </w14:textFill>
        </w:rPr>
      </w:pPr>
    </w:p>
    <w:p w14:paraId="138B7775">
      <w:pPr>
        <w:pStyle w:val="5"/>
        <w:rPr>
          <w:rFonts w:hint="eastAsia"/>
          <w:color w:val="000000" w:themeColor="text1"/>
          <w14:textFill>
            <w14:solidFill>
              <w14:schemeClr w14:val="tx1"/>
            </w14:solidFill>
          </w14:textFill>
        </w:rPr>
      </w:pPr>
      <w:bookmarkStart w:id="563" w:name="_Toc134947934"/>
      <w:r>
        <w:rPr>
          <w:color w:val="000000" w:themeColor="text1"/>
          <w14:textFill>
            <w14:solidFill>
              <w14:schemeClr w14:val="tx1"/>
            </w14:solidFill>
          </w14:textFill>
        </w:rPr>
        <w:t>应急监测</w:t>
      </w:r>
    </w:p>
    <w:p w14:paraId="68728F08">
      <w:pPr>
        <w:pStyle w:val="197"/>
        <w:ind w:firstLine="480" w:firstLineChars="200"/>
        <w:rPr>
          <w:rFonts w:ascii="Times New Roman" w:hAnsi="Times New Roman"/>
          <w:color w:val="000000" w:themeColor="text1"/>
          <w:szCs w:val="22"/>
          <w14:textFill>
            <w14:solidFill>
              <w14:schemeClr w14:val="tx1"/>
            </w14:solidFill>
          </w14:textFill>
        </w:rPr>
      </w:pPr>
      <w:r>
        <w:rPr>
          <w:rFonts w:ascii="Times New Roman" w:hAnsi="Times New Roman"/>
          <w:color w:val="000000" w:themeColor="text1"/>
          <w:szCs w:val="22"/>
          <w14:textFill>
            <w14:solidFill>
              <w14:schemeClr w14:val="tx1"/>
            </w14:solidFill>
          </w14:textFill>
        </w:rPr>
        <w:t>本项目应急监测计划具体如下</w:t>
      </w:r>
      <w:r>
        <w:rPr>
          <w:rFonts w:hint="eastAsia" w:ascii="Times New Roman" w:hAnsi="Times New Roman"/>
          <w:color w:val="000000" w:themeColor="text1"/>
          <w:szCs w:val="22"/>
          <w14:textFill>
            <w14:solidFill>
              <w14:schemeClr w14:val="tx1"/>
            </w14:solidFill>
          </w14:textFill>
        </w:rPr>
        <w:t>下表</w:t>
      </w:r>
      <w:r>
        <w:rPr>
          <w:rFonts w:ascii="Times New Roman" w:hAnsi="Times New Roman"/>
          <w:color w:val="000000" w:themeColor="text1"/>
          <w:szCs w:val="22"/>
          <w14:textFill>
            <w14:solidFill>
              <w14:schemeClr w14:val="tx1"/>
            </w14:solidFill>
          </w14:textFill>
        </w:rPr>
        <w:t>。</w:t>
      </w:r>
    </w:p>
    <w:p w14:paraId="0DE60358">
      <w:pPr>
        <w:pStyle w:val="117"/>
        <w:rPr>
          <w:rFonts w:hint="eastAsia"/>
          <w:b/>
          <w:color w:val="000000" w:themeColor="text1"/>
          <w14:textFill>
            <w14:solidFill>
              <w14:schemeClr w14:val="tx1"/>
            </w14:solidFill>
          </w14:textFill>
        </w:rPr>
      </w:pPr>
      <w:r>
        <w:rPr>
          <w:color w:val="000000" w:themeColor="text1"/>
          <w14:textFill>
            <w14:solidFill>
              <w14:schemeClr w14:val="tx1"/>
            </w14:solidFill>
          </w14:textFill>
        </w:rPr>
        <w:t>风险事故监测计划表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319"/>
        <w:gridCol w:w="7002"/>
      </w:tblGrid>
      <w:tr w14:paraId="0088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restart"/>
            <w:vAlign w:val="center"/>
          </w:tcPr>
          <w:p w14:paraId="4C1B0DDA">
            <w:pPr>
              <w:pStyle w:val="109"/>
              <w:rPr>
                <w:color w:val="000000" w:themeColor="text1"/>
                <w14:textFill>
                  <w14:solidFill>
                    <w14:schemeClr w14:val="tx1"/>
                  </w14:solidFill>
                </w14:textFill>
              </w:rPr>
            </w:pPr>
            <w:r>
              <w:rPr>
                <w:color w:val="000000" w:themeColor="text1"/>
                <w14:textFill>
                  <w14:solidFill>
                    <w14:schemeClr w14:val="tx1"/>
                  </w14:solidFill>
                </w14:textFill>
              </w:rPr>
              <w:t>事故时水污染源监测方案</w:t>
            </w:r>
          </w:p>
        </w:tc>
        <w:tc>
          <w:tcPr>
            <w:tcW w:w="685" w:type="pct"/>
            <w:vAlign w:val="center"/>
          </w:tcPr>
          <w:p w14:paraId="44EF3797">
            <w:pPr>
              <w:pStyle w:val="109"/>
              <w:rPr>
                <w:color w:val="000000" w:themeColor="text1"/>
                <w14:textFill>
                  <w14:solidFill>
                    <w14:schemeClr w14:val="tx1"/>
                  </w14:solidFill>
                </w14:textFill>
              </w:rPr>
            </w:pPr>
            <w:r>
              <w:rPr>
                <w:color w:val="000000" w:themeColor="text1"/>
                <w14:textFill>
                  <w14:solidFill>
                    <w14:schemeClr w14:val="tx1"/>
                  </w14:solidFill>
                </w14:textFill>
              </w:rPr>
              <w:t>监测布点</w:t>
            </w:r>
          </w:p>
        </w:tc>
        <w:tc>
          <w:tcPr>
            <w:tcW w:w="3636" w:type="pct"/>
            <w:vAlign w:val="center"/>
          </w:tcPr>
          <w:p w14:paraId="28347C11">
            <w:pPr>
              <w:pStyle w:val="109"/>
              <w:rPr>
                <w:color w:val="000000" w:themeColor="text1"/>
                <w14:textFill>
                  <w14:solidFill>
                    <w14:schemeClr w14:val="tx1"/>
                  </w14:solidFill>
                </w14:textFill>
              </w:rPr>
            </w:pPr>
            <w:r>
              <w:rPr>
                <w:color w:val="000000" w:themeColor="text1"/>
                <w14:textFill>
                  <w14:solidFill>
                    <w14:schemeClr w14:val="tx1"/>
                  </w14:solidFill>
                </w14:textFill>
              </w:rPr>
              <w:t>本项目发生事故时，泄漏的物料、消防废水统一收集于厂区事故应急水池内，不向外排放。</w:t>
            </w:r>
          </w:p>
        </w:tc>
      </w:tr>
      <w:tr w14:paraId="5905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vAlign w:val="center"/>
          </w:tcPr>
          <w:p w14:paraId="09188857">
            <w:pPr>
              <w:pStyle w:val="109"/>
              <w:rPr>
                <w:color w:val="000000" w:themeColor="text1"/>
                <w14:textFill>
                  <w14:solidFill>
                    <w14:schemeClr w14:val="tx1"/>
                  </w14:solidFill>
                </w14:textFill>
              </w:rPr>
            </w:pPr>
          </w:p>
        </w:tc>
        <w:tc>
          <w:tcPr>
            <w:tcW w:w="685" w:type="pct"/>
            <w:vAlign w:val="center"/>
          </w:tcPr>
          <w:p w14:paraId="0D333951">
            <w:pPr>
              <w:pStyle w:val="109"/>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3636" w:type="pct"/>
            <w:vAlign w:val="center"/>
          </w:tcPr>
          <w:p w14:paraId="012A90E3">
            <w:pPr>
              <w:pStyle w:val="109"/>
              <w:rPr>
                <w:color w:val="000000" w:themeColor="text1"/>
                <w14:textFill>
                  <w14:solidFill>
                    <w14:schemeClr w14:val="tx1"/>
                  </w14:solidFill>
                </w14:textFill>
              </w:rPr>
            </w:pPr>
            <w:r>
              <w:rPr>
                <w:color w:val="000000" w:themeColor="text1"/>
                <w14:textFill>
                  <w14:solidFill>
                    <w14:schemeClr w14:val="tx1"/>
                  </w14:solidFill>
                </w14:textFill>
              </w:rPr>
              <w:t>pH、SS、COD、氨氮</w:t>
            </w:r>
          </w:p>
        </w:tc>
      </w:tr>
      <w:tr w14:paraId="5C47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vAlign w:val="center"/>
          </w:tcPr>
          <w:p w14:paraId="332971FA">
            <w:pPr>
              <w:pStyle w:val="109"/>
              <w:rPr>
                <w:color w:val="000000" w:themeColor="text1"/>
                <w14:textFill>
                  <w14:solidFill>
                    <w14:schemeClr w14:val="tx1"/>
                  </w14:solidFill>
                </w14:textFill>
              </w:rPr>
            </w:pPr>
          </w:p>
        </w:tc>
        <w:tc>
          <w:tcPr>
            <w:tcW w:w="685" w:type="pct"/>
            <w:vAlign w:val="center"/>
          </w:tcPr>
          <w:p w14:paraId="58065019">
            <w:pPr>
              <w:pStyle w:val="109"/>
              <w:rPr>
                <w:color w:val="000000" w:themeColor="text1"/>
                <w14:textFill>
                  <w14:solidFill>
                    <w14:schemeClr w14:val="tx1"/>
                  </w14:solidFill>
                </w14:textFill>
              </w:rPr>
            </w:pPr>
            <w:r>
              <w:rPr>
                <w:color w:val="000000" w:themeColor="text1"/>
                <w14:textFill>
                  <w14:solidFill>
                    <w14:schemeClr w14:val="tx1"/>
                  </w14:solidFill>
                </w14:textFill>
              </w:rPr>
              <w:t>监测频次</w:t>
            </w:r>
          </w:p>
        </w:tc>
        <w:tc>
          <w:tcPr>
            <w:tcW w:w="3636" w:type="pct"/>
            <w:vAlign w:val="center"/>
          </w:tcPr>
          <w:p w14:paraId="053BA57A">
            <w:pPr>
              <w:pStyle w:val="109"/>
              <w:rPr>
                <w:color w:val="000000" w:themeColor="text1"/>
                <w14:textFill>
                  <w14:solidFill>
                    <w14:schemeClr w14:val="tx1"/>
                  </w14:solidFill>
                </w14:textFill>
              </w:rPr>
            </w:pPr>
            <w:r>
              <w:rPr>
                <w:color w:val="000000" w:themeColor="text1"/>
                <w14:textFill>
                  <w14:solidFill>
                    <w14:schemeClr w14:val="tx1"/>
                  </w14:solidFill>
                </w14:textFill>
              </w:rPr>
              <w:t>1次/2h</w:t>
            </w:r>
          </w:p>
        </w:tc>
      </w:tr>
      <w:tr w14:paraId="5CC7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restart"/>
            <w:vAlign w:val="center"/>
          </w:tcPr>
          <w:p w14:paraId="50CF6333">
            <w:pPr>
              <w:pStyle w:val="109"/>
              <w:rPr>
                <w:color w:val="000000" w:themeColor="text1"/>
                <w14:textFill>
                  <w14:solidFill>
                    <w14:schemeClr w14:val="tx1"/>
                  </w14:solidFill>
                </w14:textFill>
              </w:rPr>
            </w:pPr>
            <w:r>
              <w:rPr>
                <w:color w:val="000000" w:themeColor="text1"/>
                <w14:textFill>
                  <w14:solidFill>
                    <w14:schemeClr w14:val="tx1"/>
                  </w14:solidFill>
                </w14:textFill>
              </w:rPr>
              <w:t>事故时环境空气监测方案</w:t>
            </w:r>
          </w:p>
        </w:tc>
        <w:tc>
          <w:tcPr>
            <w:tcW w:w="685" w:type="pct"/>
            <w:vAlign w:val="center"/>
          </w:tcPr>
          <w:p w14:paraId="3F1D7EE2">
            <w:pPr>
              <w:pStyle w:val="109"/>
              <w:rPr>
                <w:color w:val="000000" w:themeColor="text1"/>
                <w14:textFill>
                  <w14:solidFill>
                    <w14:schemeClr w14:val="tx1"/>
                  </w14:solidFill>
                </w14:textFill>
              </w:rPr>
            </w:pPr>
            <w:r>
              <w:rPr>
                <w:color w:val="000000" w:themeColor="text1"/>
                <w14:textFill>
                  <w14:solidFill>
                    <w14:schemeClr w14:val="tx1"/>
                  </w14:solidFill>
                </w14:textFill>
              </w:rPr>
              <w:t>监测布点</w:t>
            </w:r>
          </w:p>
        </w:tc>
        <w:tc>
          <w:tcPr>
            <w:tcW w:w="3636" w:type="pct"/>
            <w:vAlign w:val="center"/>
          </w:tcPr>
          <w:p w14:paraId="69997865">
            <w:pPr>
              <w:pStyle w:val="109"/>
              <w:rPr>
                <w:color w:val="000000" w:themeColor="text1"/>
                <w14:textFill>
                  <w14:solidFill>
                    <w14:schemeClr w14:val="tx1"/>
                  </w14:solidFill>
                </w14:textFill>
              </w:rPr>
            </w:pPr>
            <w:r>
              <w:rPr>
                <w:color w:val="000000" w:themeColor="text1"/>
                <w14:textFill>
                  <w14:solidFill>
                    <w14:schemeClr w14:val="tx1"/>
                  </w14:solidFill>
                </w14:textFill>
              </w:rPr>
              <w:t>（1）事故污染源监测：在事故排放点采样监测；</w:t>
            </w:r>
          </w:p>
          <w:p w14:paraId="3FACA1CB">
            <w:pPr>
              <w:pStyle w:val="109"/>
              <w:rPr>
                <w:color w:val="000000" w:themeColor="text1"/>
                <w14:textFill>
                  <w14:solidFill>
                    <w14:schemeClr w14:val="tx1"/>
                  </w14:solidFill>
                </w14:textFill>
              </w:rPr>
            </w:pPr>
            <w:r>
              <w:rPr>
                <w:color w:val="000000" w:themeColor="text1"/>
                <w14:textFill>
                  <w14:solidFill>
                    <w14:schemeClr w14:val="tx1"/>
                  </w14:solidFill>
                </w14:textFill>
              </w:rPr>
              <w:t>（2）周边大气环境监测：依据事故发生时主导风向，在下风向居民点。</w:t>
            </w:r>
          </w:p>
        </w:tc>
      </w:tr>
      <w:tr w14:paraId="185C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vAlign w:val="center"/>
          </w:tcPr>
          <w:p w14:paraId="7624CA4D">
            <w:pPr>
              <w:pStyle w:val="109"/>
              <w:rPr>
                <w:color w:val="000000" w:themeColor="text1"/>
                <w14:textFill>
                  <w14:solidFill>
                    <w14:schemeClr w14:val="tx1"/>
                  </w14:solidFill>
                </w14:textFill>
              </w:rPr>
            </w:pPr>
          </w:p>
        </w:tc>
        <w:tc>
          <w:tcPr>
            <w:tcW w:w="685" w:type="pct"/>
            <w:vAlign w:val="center"/>
          </w:tcPr>
          <w:p w14:paraId="7C71D625">
            <w:pPr>
              <w:pStyle w:val="109"/>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3636" w:type="pct"/>
            <w:vAlign w:val="center"/>
          </w:tcPr>
          <w:p w14:paraId="3631321E">
            <w:pPr>
              <w:pStyle w:val="109"/>
              <w:rPr>
                <w:color w:val="000000" w:themeColor="text1"/>
                <w14:textFill>
                  <w14:solidFill>
                    <w14:schemeClr w14:val="tx1"/>
                  </w14:solidFill>
                </w14:textFill>
              </w:rPr>
            </w:pPr>
            <w:r>
              <w:rPr>
                <w:color w:val="000000" w:themeColor="text1"/>
                <w14:textFill>
                  <w14:solidFill>
                    <w14:schemeClr w14:val="tx1"/>
                  </w14:solidFill>
                </w14:textFill>
              </w:rPr>
              <w:t>烟尘、SO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、NOx、CO、HCl、HF、二噁英</w:t>
            </w:r>
            <w:r>
              <w:rPr>
                <w:rFonts w:hint="eastAsia"/>
                <w:color w:val="000000" w:themeColor="text1"/>
                <w14:textFill>
                  <w14:solidFill>
                    <w14:schemeClr w14:val="tx1"/>
                  </w14:solidFill>
                </w14:textFill>
              </w:rPr>
              <w:t>、氨</w:t>
            </w:r>
          </w:p>
        </w:tc>
      </w:tr>
      <w:tr w14:paraId="676B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vAlign w:val="center"/>
          </w:tcPr>
          <w:p w14:paraId="2EA62EA1">
            <w:pPr>
              <w:pStyle w:val="109"/>
              <w:rPr>
                <w:color w:val="000000" w:themeColor="text1"/>
                <w14:textFill>
                  <w14:solidFill>
                    <w14:schemeClr w14:val="tx1"/>
                  </w14:solidFill>
                </w14:textFill>
              </w:rPr>
            </w:pPr>
          </w:p>
        </w:tc>
        <w:tc>
          <w:tcPr>
            <w:tcW w:w="685" w:type="pct"/>
            <w:vAlign w:val="center"/>
          </w:tcPr>
          <w:p w14:paraId="38579E0C">
            <w:pPr>
              <w:pStyle w:val="109"/>
              <w:rPr>
                <w:color w:val="000000" w:themeColor="text1"/>
                <w14:textFill>
                  <w14:solidFill>
                    <w14:schemeClr w14:val="tx1"/>
                  </w14:solidFill>
                </w14:textFill>
              </w:rPr>
            </w:pPr>
            <w:r>
              <w:rPr>
                <w:color w:val="000000" w:themeColor="text1"/>
                <w14:textFill>
                  <w14:solidFill>
                    <w14:schemeClr w14:val="tx1"/>
                  </w14:solidFill>
                </w14:textFill>
              </w:rPr>
              <w:t>监测频次</w:t>
            </w:r>
          </w:p>
        </w:tc>
        <w:tc>
          <w:tcPr>
            <w:tcW w:w="3636" w:type="pct"/>
            <w:vAlign w:val="center"/>
          </w:tcPr>
          <w:p w14:paraId="1456F7BF">
            <w:pPr>
              <w:pStyle w:val="109"/>
              <w:rPr>
                <w:color w:val="000000" w:themeColor="text1"/>
                <w14:textFill>
                  <w14:solidFill>
                    <w14:schemeClr w14:val="tx1"/>
                  </w14:solidFill>
                </w14:textFill>
              </w:rPr>
            </w:pPr>
            <w:r>
              <w:rPr>
                <w:color w:val="000000" w:themeColor="text1"/>
                <w14:textFill>
                  <w14:solidFill>
                    <w14:schemeClr w14:val="tx1"/>
                  </w14:solidFill>
                </w14:textFill>
              </w:rPr>
              <w:t>事故监测频次应在每个监测点最好进行实时监测，没有条件的要做到隔1小时取样分析，密切注意大气污染物的浓度变化</w:t>
            </w:r>
          </w:p>
        </w:tc>
      </w:tr>
      <w:bookmarkEnd w:id="563"/>
    </w:tbl>
    <w:p w14:paraId="2F99F305">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与园区、当地政府的联动机制</w:t>
      </w:r>
    </w:p>
    <w:p w14:paraId="6786F2A6">
      <w:pPr>
        <w:pStyle w:val="197"/>
        <w:rPr>
          <w:rFonts w:ascii="Times New Roman" w:hAnsi="Times New Roman"/>
          <w:color w:val="000000" w:themeColor="text1"/>
          <w:szCs w:val="22"/>
          <w:lang w:val="en-US"/>
          <w14:textFill>
            <w14:solidFill>
              <w14:schemeClr w14:val="tx1"/>
            </w14:solidFill>
          </w14:textFill>
        </w:rPr>
      </w:pPr>
      <w:r>
        <w:rPr>
          <w:rFonts w:hint="eastAsia" w:ascii="Times New Roman" w:hAnsi="Times New Roman"/>
          <w:color w:val="000000" w:themeColor="text1"/>
          <w:szCs w:val="22"/>
          <w:lang w:val="en-US"/>
          <w14:textFill>
            <w14:solidFill>
              <w14:schemeClr w14:val="tx1"/>
            </w14:solidFill>
          </w14:textFill>
        </w:rPr>
        <w:t>考虑事故触发具有不确定性，厂内环境风险防控系统应纳入园区环境风险防控体系，园区风险防范主要内容及联动机制如下：</w:t>
      </w:r>
    </w:p>
    <w:p w14:paraId="3F17BA9F">
      <w:pPr>
        <w:pStyle w:val="197"/>
        <w:rPr>
          <w:rFonts w:ascii="Times New Roman" w:hAnsi="Times New Roman"/>
          <w:b/>
          <w:bCs/>
          <w:color w:val="000000" w:themeColor="text1"/>
          <w:szCs w:val="22"/>
          <w:lang w:val="en-US"/>
          <w14:textFill>
            <w14:solidFill>
              <w14:schemeClr w14:val="tx1"/>
            </w14:solidFill>
          </w14:textFill>
        </w:rPr>
      </w:pPr>
      <w:r>
        <w:rPr>
          <w:rFonts w:hint="eastAsia" w:ascii="Times New Roman" w:hAnsi="Times New Roman"/>
          <w:b/>
          <w:bCs/>
          <w:color w:val="000000" w:themeColor="text1"/>
          <w:szCs w:val="22"/>
          <w:lang w:val="en-US"/>
          <w14:textFill>
            <w14:solidFill>
              <w14:schemeClr w14:val="tx1"/>
            </w14:solidFill>
          </w14:textFill>
        </w:rPr>
        <w:t>1、园区风险防控联动网络</w:t>
      </w:r>
    </w:p>
    <w:p w14:paraId="7948969A">
      <w:pPr>
        <w:pStyle w:val="197"/>
        <w:rPr>
          <w:rFonts w:ascii="Times New Roman" w:hAnsi="Times New Roman"/>
          <w:color w:val="000000" w:themeColor="text1"/>
          <w:szCs w:val="22"/>
          <w:lang w:val="en-US"/>
          <w14:textFill>
            <w14:solidFill>
              <w14:schemeClr w14:val="tx1"/>
            </w14:solidFill>
          </w14:textFill>
        </w:rPr>
      </w:pPr>
      <w:r>
        <w:rPr>
          <w:rFonts w:hint="eastAsia" w:ascii="Times New Roman" w:hAnsi="Times New Roman"/>
          <w:color w:val="000000" w:themeColor="text1"/>
          <w:szCs w:val="22"/>
          <w:lang w:val="en-US"/>
          <w14:textFill>
            <w14:solidFill>
              <w14:schemeClr w14:val="tx1"/>
            </w14:solidFill>
          </w14:textFill>
        </w:rPr>
        <w:t>园区针对存在的各种风险源，制定完善的管理制度和建立有效的安全防范体系，制定风险防范措施，并建设警报装置。在一旦发生事故的情况下，立即鸣响警报，通知区内企业启动防范措施，确保各项应急工作快速、高效、有序启动，减缓事故蔓延的范围，最大限度地减轻风险事故造成的危害。</w:t>
      </w:r>
    </w:p>
    <w:p w14:paraId="70C67F43">
      <w:pPr>
        <w:pStyle w:val="197"/>
        <w:rPr>
          <w:rFonts w:ascii="Times New Roman" w:hAnsi="Times New Roman"/>
          <w:b/>
          <w:bCs/>
          <w:color w:val="000000" w:themeColor="text1"/>
          <w:szCs w:val="22"/>
          <w:lang w:val="en-US"/>
          <w14:textFill>
            <w14:solidFill>
              <w14:schemeClr w14:val="tx1"/>
            </w14:solidFill>
          </w14:textFill>
        </w:rPr>
      </w:pPr>
      <w:r>
        <w:rPr>
          <w:rFonts w:hint="eastAsia" w:ascii="Times New Roman" w:hAnsi="Times New Roman"/>
          <w:b/>
          <w:bCs/>
          <w:color w:val="000000" w:themeColor="text1"/>
          <w:szCs w:val="22"/>
          <w:lang w:val="en-US"/>
          <w14:textFill>
            <w14:solidFill>
              <w14:schemeClr w14:val="tx1"/>
            </w14:solidFill>
          </w14:textFill>
        </w:rPr>
        <w:t>2、园区重点风险防范措施</w:t>
      </w:r>
    </w:p>
    <w:p w14:paraId="599C7555">
      <w:pPr>
        <w:pStyle w:val="197"/>
        <w:rPr>
          <w:rFonts w:ascii="Times New Roman" w:hAnsi="Times New Roman"/>
          <w:color w:val="000000" w:themeColor="text1"/>
          <w:szCs w:val="22"/>
          <w:lang w:val="en-US"/>
          <w14:textFill>
            <w14:solidFill>
              <w14:schemeClr w14:val="tx1"/>
            </w14:solidFill>
          </w14:textFill>
        </w:rPr>
      </w:pPr>
      <w:r>
        <w:rPr>
          <w:rFonts w:hint="eastAsia" w:ascii="Times New Roman" w:hAnsi="Times New Roman"/>
          <w:color w:val="000000" w:themeColor="text1"/>
          <w:szCs w:val="22"/>
          <w:lang w:val="en-US"/>
          <w14:textFill>
            <w14:solidFill>
              <w14:schemeClr w14:val="tx1"/>
            </w14:solidFill>
          </w14:textFill>
        </w:rPr>
        <w:t>园区应合理规划企业布局，并联合企业合理规划危险物质运输路线；建立重点风险源和环境风险救援力量管理动态信息库；建立事故应急池（依托园区污水处理厂事故应急池）、截断系统（园区雨水排放口）、污水处理等园区应急措施；对入区企业加强运输过程、贮运过程、工艺设备设计与生产过程、末端处置过程以及伴生/次生污染风险防范措施的监管。</w:t>
      </w:r>
    </w:p>
    <w:p w14:paraId="624E214F">
      <w:pPr>
        <w:pStyle w:val="197"/>
        <w:rPr>
          <w:rFonts w:ascii="Times New Roman" w:hAnsi="Times New Roman"/>
          <w:b/>
          <w:bCs/>
          <w:color w:val="000000" w:themeColor="text1"/>
          <w:szCs w:val="22"/>
          <w:lang w:val="en-US"/>
          <w14:textFill>
            <w14:solidFill>
              <w14:schemeClr w14:val="tx1"/>
            </w14:solidFill>
          </w14:textFill>
        </w:rPr>
      </w:pPr>
      <w:r>
        <w:rPr>
          <w:rFonts w:hint="eastAsia" w:ascii="Times New Roman" w:hAnsi="Times New Roman"/>
          <w:b/>
          <w:bCs/>
          <w:color w:val="000000" w:themeColor="text1"/>
          <w:szCs w:val="22"/>
          <w:lang w:val="en-US"/>
          <w14:textFill>
            <w14:solidFill>
              <w14:schemeClr w14:val="tx1"/>
            </w14:solidFill>
          </w14:textFill>
        </w:rPr>
        <w:t>3、园区风险监控系统</w:t>
      </w:r>
    </w:p>
    <w:p w14:paraId="51598833">
      <w:pPr>
        <w:ind w:firstLine="480"/>
        <w:rPr>
          <w:color w:val="000000" w:themeColor="text1"/>
          <w14:textFill>
            <w14:solidFill>
              <w14:schemeClr w14:val="tx1"/>
            </w14:solidFill>
          </w14:textFill>
        </w:rPr>
      </w:pPr>
      <w:r>
        <w:rPr>
          <w:rFonts w:hint="eastAsia"/>
          <w:color w:val="000000" w:themeColor="text1"/>
          <w:szCs w:val="22"/>
          <w14:textFill>
            <w14:solidFill>
              <w14:schemeClr w14:val="tx1"/>
            </w14:solidFill>
          </w14:textFill>
        </w:rPr>
        <w:t>建立化工区及各企业风险监测系统，在发生轻微事故（即污染事故发生在某装置的一部分，通过控制，不会影响到装置以外）和一般事故（污染事故持续发展影响到整个装置，但通过控制，不会影响到厂区以外）时，及时启动厂内应急监测预案，建立应急监测小组，</w:t>
      </w:r>
      <w:r>
        <w:rPr>
          <w:rFonts w:hint="eastAsia"/>
          <w:color w:val="000000" w:themeColor="text1"/>
          <w14:textFill>
            <w14:solidFill>
              <w14:schemeClr w14:val="tx1"/>
            </w14:solidFill>
          </w14:textFill>
        </w:rPr>
        <w:t>对事故现场及周围区域实施应急监测；当发生严重事故（重大的爆炸和泄漏，使周围居民受到明显影响，并直接导致外环境排放浓度超标）时，风险事故监测系统要依赖于当地环境监测站、第三方监测机构，入园企业应急监测小组要配合检测机构实施应急环境监测，为应急救援指挥部门判断事态发展和指挥救援提供依据。</w:t>
      </w:r>
    </w:p>
    <w:p w14:paraId="72CAF7E6">
      <w:pPr>
        <w:ind w:firstLine="482"/>
        <w:rPr>
          <w:rFonts w:ascii="SimSun,Bold" w:eastAsia="SimSun,Bold" w:cs="SimSun,Bold"/>
          <w:b/>
          <w:bCs/>
          <w:color w:val="000000" w:themeColor="text1"/>
          <w14:textFill>
            <w14:solidFill>
              <w14:schemeClr w14:val="tx1"/>
            </w14:solidFill>
          </w14:textFill>
        </w:rPr>
      </w:pPr>
      <w:r>
        <w:rPr>
          <w:rFonts w:hint="eastAsia" w:ascii="SimSun,Bold" w:eastAsia="SimSun,Bold" w:cs="SimSun,Bold"/>
          <w:b/>
          <w:bCs/>
          <w:color w:val="000000" w:themeColor="text1"/>
          <w14:textFill>
            <w14:solidFill>
              <w14:schemeClr w14:val="tx1"/>
            </w14:solidFill>
          </w14:textFill>
        </w:rPr>
        <w:t>4、园区三级防控体系</w:t>
      </w:r>
    </w:p>
    <w:p w14:paraId="2D39B7B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企业应严格按设计规范进行生产装置、罐区围堰，雨、污分流管道及厂区应急池的建设，发生泄漏事故或火灾爆炸事故时，封堵可能被污染的厂区雨水收集口，打开各装置或罐区的污染水排放阀，将事故消防废水引入厂区应急池；企业风险事故时收集的废液和消防废水，由泵送至园区统一设置的应急池暂存，并排入园区污水处理厂分批处置实现达标排放。</w:t>
      </w:r>
    </w:p>
    <w:p w14:paraId="38B68073">
      <w:pPr>
        <w:pStyle w:val="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与园区及政府应急预案的衔接</w:t>
      </w:r>
    </w:p>
    <w:p w14:paraId="2B0957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园区作为一个整体应建立突发性事故应急机构。应急机构包括一级应急机构和二级应急机构。一级应急机构由园区管委会领导，包括安全监督部门、消防部门、环保部门及区内等有关生产企业组成，设有地区指挥部和专业救援队。园区内的各生产企业构成二级应急机构。各企业应急机构厂指挥部和专业救援队伍组成。厂指挥部负责现场的全面指挥工作，专业救援队伍负责事故控制、救援和善后处理工作。</w:t>
      </w:r>
    </w:p>
    <w:p w14:paraId="09BADB8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发生突发性事故时，由企业即园区二级应急机构采取措施进行处理，当发生的事故比较严重时，企业没有能力或难以进行控制时，通过及时上报园区，由园区启动园区应急预案，通过一级应急机构介入进行协同处理。</w:t>
      </w:r>
    </w:p>
    <w:p w14:paraId="7BBF5908">
      <w:pPr>
        <w:ind w:firstLine="480"/>
        <w:rPr>
          <w:color w:val="000000" w:themeColor="text1"/>
          <w:szCs w:val="22"/>
          <w14:textFill>
            <w14:solidFill>
              <w14:schemeClr w14:val="tx1"/>
            </w14:solidFill>
          </w14:textFill>
        </w:rPr>
      </w:pPr>
      <w:r>
        <w:rPr>
          <w:rFonts w:hint="eastAsia"/>
          <w:color w:val="000000" w:themeColor="text1"/>
          <w14:textFill>
            <w14:solidFill>
              <w14:schemeClr w14:val="tx1"/>
            </w14:solidFill>
          </w14:textFill>
        </w:rPr>
        <w:t>园区应急救援体系与下层次企业救援应急救援体系、上层次区域救援体系应建立协调机制，在程序响应、事故处理、后处理等方面建立最优化、高效的连动机制。园区的应急预案应与当地的突发事件应急预案、交通部门的突发事件应急预案建立联动机制。风险事故发生后，企业和园区在启动应急预案过程中，及时向区政府、交通部门通报事故情况，以便及时启动当地突发事件应急预案和交通部门的突发事件应急预案。</w:t>
      </w:r>
    </w:p>
    <w:p w14:paraId="1A4956B3">
      <w:pPr>
        <w:pStyle w:val="5"/>
        <w:rPr>
          <w:rFonts w:hint="eastAsia"/>
          <w:color w:val="000000" w:themeColor="text1"/>
          <w14:textFill>
            <w14:solidFill>
              <w14:schemeClr w14:val="tx1"/>
            </w14:solidFill>
          </w14:textFill>
        </w:rPr>
      </w:pPr>
      <w:r>
        <w:rPr>
          <w:color w:val="000000" w:themeColor="text1"/>
          <w14:textFill>
            <w14:solidFill>
              <w14:schemeClr w14:val="tx1"/>
            </w14:solidFill>
          </w14:textFill>
        </w:rPr>
        <w:t>项目应急措施</w:t>
      </w:r>
    </w:p>
    <w:p w14:paraId="0A8FD07F">
      <w:pPr>
        <w:pStyle w:val="197"/>
        <w:ind w:firstLine="480" w:firstLineChars="200"/>
        <w:rPr>
          <w:rFonts w:ascii="Times New Roman" w:hAnsi="Times New Roman"/>
          <w:color w:val="000000" w:themeColor="text1"/>
          <w:szCs w:val="22"/>
          <w:lang w:val="en-US"/>
          <w14:textFill>
            <w14:solidFill>
              <w14:schemeClr w14:val="tx1"/>
            </w14:solidFill>
          </w14:textFill>
        </w:rPr>
      </w:pPr>
      <w:r>
        <w:rPr>
          <w:rFonts w:ascii="Times New Roman" w:hAnsi="Times New Roman"/>
          <w:color w:val="000000" w:themeColor="text1"/>
          <w:szCs w:val="22"/>
          <w:lang w:val="en-US"/>
          <w14:textFill>
            <w14:solidFill>
              <w14:schemeClr w14:val="tx1"/>
            </w14:solidFill>
          </w14:textFill>
        </w:rPr>
        <w:t>项目应急措施指建设项目范围内，在建设和生产中所采取的设备、器材、管理等方面为减少事故危害的活动。</w:t>
      </w:r>
    </w:p>
    <w:p w14:paraId="4A3E45D8">
      <w:pPr>
        <w:pStyle w:val="197"/>
        <w:ind w:firstLineChars="200"/>
        <w:rPr>
          <w:rFonts w:ascii="Times New Roman" w:hAnsi="Times New Roman"/>
          <w:b/>
          <w:color w:val="000000" w:themeColor="text1"/>
          <w:szCs w:val="22"/>
          <w:lang w:val="en-US"/>
          <w14:textFill>
            <w14:solidFill>
              <w14:schemeClr w14:val="tx1"/>
            </w14:solidFill>
          </w14:textFill>
        </w:rPr>
      </w:pPr>
      <w:r>
        <w:rPr>
          <w:rFonts w:ascii="Times New Roman" w:hAnsi="Times New Roman"/>
          <w:b/>
          <w:color w:val="000000" w:themeColor="text1"/>
          <w:szCs w:val="22"/>
          <w:lang w:val="en-US"/>
          <w14:textFill>
            <w14:solidFill>
              <w14:schemeClr w14:val="tx1"/>
            </w14:solidFill>
          </w14:textFill>
        </w:rPr>
        <w:t>1、应急设备、器材</w:t>
      </w:r>
    </w:p>
    <w:p w14:paraId="520A41AA">
      <w:pPr>
        <w:pStyle w:val="197"/>
        <w:ind w:firstLine="480" w:firstLineChars="200"/>
        <w:rPr>
          <w:rFonts w:ascii="Times New Roman" w:hAnsi="Times New Roman"/>
          <w:color w:val="000000" w:themeColor="text1"/>
          <w:szCs w:val="22"/>
          <w:lang w:val="en-US"/>
          <w14:textFill>
            <w14:solidFill>
              <w14:schemeClr w14:val="tx1"/>
            </w14:solidFill>
          </w14:textFill>
        </w:rPr>
      </w:pPr>
      <w:r>
        <w:rPr>
          <w:rFonts w:ascii="Times New Roman" w:hAnsi="Times New Roman"/>
          <w:color w:val="000000" w:themeColor="text1"/>
          <w:szCs w:val="22"/>
          <w:lang w:val="en-US"/>
          <w14:textFill>
            <w14:solidFill>
              <w14:schemeClr w14:val="tx1"/>
            </w14:solidFill>
          </w14:textFill>
        </w:rPr>
        <w:t>应急设备、器材的配备应包括消防和工业卫生等方面。项目配备灭火剂和小型灭火器以及防火设施、工具、通道、器材等，同时还要配备生产性卫生设施和个人防护用品。</w:t>
      </w:r>
    </w:p>
    <w:p w14:paraId="6E85FA8F">
      <w:pPr>
        <w:pStyle w:val="197"/>
        <w:ind w:firstLine="480" w:firstLineChars="200"/>
        <w:rPr>
          <w:rFonts w:ascii="Times New Roman" w:hAnsi="Times New Roman"/>
          <w:color w:val="000000" w:themeColor="text1"/>
          <w:szCs w:val="22"/>
          <w:lang w:val="en-US"/>
          <w14:textFill>
            <w14:solidFill>
              <w14:schemeClr w14:val="tx1"/>
            </w14:solidFill>
          </w14:textFill>
        </w:rPr>
      </w:pPr>
      <w:r>
        <w:rPr>
          <w:rFonts w:ascii="Times New Roman" w:hAnsi="Times New Roman"/>
          <w:color w:val="000000" w:themeColor="text1"/>
          <w:szCs w:val="22"/>
          <w:lang w:val="en-US"/>
          <w14:textFill>
            <w14:solidFill>
              <w14:schemeClr w14:val="tx1"/>
            </w14:solidFill>
          </w14:textFill>
        </w:rPr>
        <w:t>前者主要包括工业照明、工业通风、防爆、防毒等；后者主要包括防护帽、防护鞋、防护眼镜、面罩、耳罩、呼吸防护器等。</w:t>
      </w:r>
    </w:p>
    <w:p w14:paraId="24EA3E0E">
      <w:pPr>
        <w:pStyle w:val="197"/>
        <w:ind w:firstLine="480" w:firstLineChars="200"/>
        <w:rPr>
          <w:rFonts w:ascii="Times New Roman" w:hAnsi="Times New Roman"/>
          <w:color w:val="000000" w:themeColor="text1"/>
          <w:szCs w:val="22"/>
          <w:lang w:val="en-US"/>
          <w14:textFill>
            <w14:solidFill>
              <w14:schemeClr w14:val="tx1"/>
            </w14:solidFill>
          </w14:textFill>
        </w:rPr>
      </w:pPr>
      <w:r>
        <w:rPr>
          <w:rFonts w:ascii="Times New Roman" w:hAnsi="Times New Roman"/>
          <w:color w:val="000000" w:themeColor="text1"/>
          <w:szCs w:val="22"/>
          <w:lang w:val="en-US"/>
          <w14:textFill>
            <w14:solidFill>
              <w14:schemeClr w14:val="tx1"/>
            </w14:solidFill>
          </w14:textFill>
        </w:rPr>
        <w:t>根据同类项目经验，企业拟配备如下防护设备：</w:t>
      </w:r>
    </w:p>
    <w:p w14:paraId="495B6D89">
      <w:pPr>
        <w:pStyle w:val="117"/>
        <w:rPr>
          <w:rFonts w:hint="eastAsia"/>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 </w:t>
      </w:r>
      <w:r>
        <w:rPr>
          <w:color w:val="000000" w:themeColor="text1"/>
          <w14:textFill>
            <w14:solidFill>
              <w14:schemeClr w14:val="tx1"/>
            </w14:solidFill>
          </w14:textFill>
        </w:rPr>
        <w:t>企业拟配套应急防护设施及装备情况一览表</w:t>
      </w:r>
    </w:p>
    <w:tbl>
      <w:tblPr>
        <w:tblStyle w:val="76"/>
        <w:tblW w:w="5000" w:type="pct"/>
        <w:tblInd w:w="0" w:type="dxa"/>
        <w:tblLayout w:type="autofit"/>
        <w:tblCellMar>
          <w:top w:w="0" w:type="dxa"/>
          <w:left w:w="108" w:type="dxa"/>
          <w:bottom w:w="0" w:type="dxa"/>
          <w:right w:w="108" w:type="dxa"/>
        </w:tblCellMar>
      </w:tblPr>
      <w:tblGrid>
        <w:gridCol w:w="3507"/>
        <w:gridCol w:w="1883"/>
        <w:gridCol w:w="1883"/>
        <w:gridCol w:w="2355"/>
      </w:tblGrid>
      <w:tr w14:paraId="55373AA3">
        <w:tblPrEx>
          <w:tblCellMar>
            <w:top w:w="0" w:type="dxa"/>
            <w:left w:w="108" w:type="dxa"/>
            <w:bottom w:w="0" w:type="dxa"/>
            <w:right w:w="108" w:type="dxa"/>
          </w:tblCellMar>
        </w:tblPrEx>
        <w:trPr>
          <w:trHeight w:val="270" w:hRule="atLeast"/>
        </w:trPr>
        <w:tc>
          <w:tcPr>
            <w:tcW w:w="1821" w:type="pct"/>
            <w:tcBorders>
              <w:top w:val="single" w:color="auto" w:sz="4" w:space="0"/>
              <w:left w:val="single" w:color="auto" w:sz="4" w:space="0"/>
              <w:bottom w:val="single" w:color="auto" w:sz="4" w:space="0"/>
              <w:right w:val="single" w:color="auto" w:sz="4" w:space="0"/>
            </w:tcBorders>
            <w:noWrap/>
            <w:vAlign w:val="center"/>
          </w:tcPr>
          <w:p w14:paraId="5386016D">
            <w:pPr>
              <w:pStyle w:val="109"/>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978" w:type="pct"/>
            <w:tcBorders>
              <w:top w:val="single" w:color="auto" w:sz="4" w:space="0"/>
              <w:left w:val="nil"/>
              <w:bottom w:val="single" w:color="auto" w:sz="4" w:space="0"/>
              <w:right w:val="single" w:color="auto" w:sz="4" w:space="0"/>
            </w:tcBorders>
            <w:noWrap/>
            <w:vAlign w:val="center"/>
          </w:tcPr>
          <w:p w14:paraId="56F19893">
            <w:pPr>
              <w:pStyle w:val="109"/>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978" w:type="pct"/>
            <w:tcBorders>
              <w:top w:val="single" w:color="auto" w:sz="4" w:space="0"/>
              <w:left w:val="nil"/>
              <w:bottom w:val="single" w:color="auto" w:sz="4" w:space="0"/>
              <w:right w:val="single" w:color="auto" w:sz="4" w:space="0"/>
            </w:tcBorders>
            <w:noWrap/>
            <w:vAlign w:val="center"/>
          </w:tcPr>
          <w:p w14:paraId="0D772169">
            <w:pPr>
              <w:pStyle w:val="109"/>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223" w:type="pct"/>
            <w:tcBorders>
              <w:top w:val="single" w:color="auto" w:sz="4" w:space="0"/>
              <w:left w:val="nil"/>
              <w:bottom w:val="single" w:color="auto" w:sz="4" w:space="0"/>
              <w:right w:val="single" w:color="auto" w:sz="4" w:space="0"/>
            </w:tcBorders>
            <w:noWrap/>
            <w:vAlign w:val="center"/>
          </w:tcPr>
          <w:p w14:paraId="2E49831A">
            <w:pPr>
              <w:pStyle w:val="109"/>
              <w:rPr>
                <w:color w:val="000000" w:themeColor="text1"/>
                <w14:textFill>
                  <w14:solidFill>
                    <w14:schemeClr w14:val="tx1"/>
                  </w14:solidFill>
                </w14:textFill>
              </w:rPr>
            </w:pPr>
            <w:r>
              <w:rPr>
                <w:color w:val="000000" w:themeColor="text1"/>
                <w14:textFill>
                  <w14:solidFill>
                    <w14:schemeClr w14:val="tx1"/>
                  </w14:solidFill>
                </w14:textFill>
              </w:rPr>
              <w:t>存放位置</w:t>
            </w:r>
          </w:p>
        </w:tc>
      </w:tr>
      <w:tr w14:paraId="382EE1FB">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42D14FEA">
            <w:pPr>
              <w:pStyle w:val="109"/>
              <w:rPr>
                <w:color w:val="000000" w:themeColor="text1"/>
                <w14:textFill>
                  <w14:solidFill>
                    <w14:schemeClr w14:val="tx1"/>
                  </w14:solidFill>
                </w14:textFill>
              </w:rPr>
            </w:pPr>
            <w:r>
              <w:rPr>
                <w:color w:val="000000" w:themeColor="text1"/>
                <w14:textFill>
                  <w14:solidFill>
                    <w14:schemeClr w14:val="tx1"/>
                  </w14:solidFill>
                </w14:textFill>
              </w:rPr>
              <w:t>正压空气呼吸器</w:t>
            </w:r>
          </w:p>
        </w:tc>
        <w:tc>
          <w:tcPr>
            <w:tcW w:w="978" w:type="pct"/>
            <w:tcBorders>
              <w:top w:val="nil"/>
              <w:left w:val="nil"/>
              <w:bottom w:val="single" w:color="auto" w:sz="4" w:space="0"/>
              <w:right w:val="single" w:color="auto" w:sz="4" w:space="0"/>
            </w:tcBorders>
            <w:noWrap/>
            <w:vAlign w:val="center"/>
          </w:tcPr>
          <w:p w14:paraId="72F38F88">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978" w:type="pct"/>
            <w:tcBorders>
              <w:top w:val="nil"/>
              <w:left w:val="nil"/>
              <w:bottom w:val="single" w:color="auto" w:sz="4" w:space="0"/>
              <w:right w:val="single" w:color="auto" w:sz="4" w:space="0"/>
            </w:tcBorders>
            <w:noWrap/>
            <w:vAlign w:val="center"/>
          </w:tcPr>
          <w:p w14:paraId="04D65836">
            <w:pPr>
              <w:pStyle w:val="109"/>
              <w:rPr>
                <w:color w:val="000000" w:themeColor="text1"/>
                <w14:textFill>
                  <w14:solidFill>
                    <w14:schemeClr w14:val="tx1"/>
                  </w14:solidFill>
                </w14:textFill>
              </w:rPr>
            </w:pPr>
            <w:r>
              <w:rPr>
                <w:color w:val="000000" w:themeColor="text1"/>
                <w14:textFill>
                  <w14:solidFill>
                    <w14:schemeClr w14:val="tx1"/>
                  </w14:solidFill>
                </w14:textFill>
              </w:rPr>
              <w:t>6</w:t>
            </w:r>
          </w:p>
        </w:tc>
        <w:tc>
          <w:tcPr>
            <w:tcW w:w="1223" w:type="pct"/>
            <w:tcBorders>
              <w:top w:val="nil"/>
              <w:left w:val="nil"/>
              <w:bottom w:val="single" w:color="auto" w:sz="4" w:space="0"/>
              <w:right w:val="single" w:color="auto" w:sz="4" w:space="0"/>
            </w:tcBorders>
            <w:noWrap/>
            <w:vAlign w:val="center"/>
          </w:tcPr>
          <w:p w14:paraId="2E02B036">
            <w:pPr>
              <w:pStyle w:val="109"/>
              <w:rPr>
                <w:color w:val="000000" w:themeColor="text1"/>
                <w14:textFill>
                  <w14:solidFill>
                    <w14:schemeClr w14:val="tx1"/>
                  </w14:solidFill>
                </w14:textFill>
              </w:rPr>
            </w:pPr>
            <w:r>
              <w:rPr>
                <w:color w:val="000000" w:themeColor="text1"/>
                <w14:textFill>
                  <w14:solidFill>
                    <w14:schemeClr w14:val="tx1"/>
                  </w14:solidFill>
                </w14:textFill>
              </w:rPr>
              <w:t>中控、库房</w:t>
            </w:r>
          </w:p>
        </w:tc>
      </w:tr>
      <w:tr w14:paraId="3BA66ED1">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79A03644">
            <w:pPr>
              <w:pStyle w:val="109"/>
              <w:rPr>
                <w:color w:val="000000" w:themeColor="text1"/>
                <w14:textFill>
                  <w14:solidFill>
                    <w14:schemeClr w14:val="tx1"/>
                  </w14:solidFill>
                </w14:textFill>
              </w:rPr>
            </w:pPr>
            <w:r>
              <w:rPr>
                <w:color w:val="000000" w:themeColor="text1"/>
                <w14:textFill>
                  <w14:solidFill>
                    <w14:schemeClr w14:val="tx1"/>
                  </w14:solidFill>
                </w14:textFill>
              </w:rPr>
              <w:t>防护服</w:t>
            </w:r>
          </w:p>
        </w:tc>
        <w:tc>
          <w:tcPr>
            <w:tcW w:w="978" w:type="pct"/>
            <w:tcBorders>
              <w:top w:val="nil"/>
              <w:left w:val="nil"/>
              <w:bottom w:val="single" w:color="auto" w:sz="4" w:space="0"/>
              <w:right w:val="single" w:color="auto" w:sz="4" w:space="0"/>
            </w:tcBorders>
            <w:noWrap/>
            <w:vAlign w:val="center"/>
          </w:tcPr>
          <w:p w14:paraId="124ED7FA">
            <w:pPr>
              <w:pStyle w:val="109"/>
              <w:rPr>
                <w:color w:val="000000" w:themeColor="text1"/>
                <w14:textFill>
                  <w14:solidFill>
                    <w14:schemeClr w14:val="tx1"/>
                  </w14:solidFill>
                </w14:textFill>
              </w:rPr>
            </w:pPr>
            <w:r>
              <w:rPr>
                <w:color w:val="000000" w:themeColor="text1"/>
                <w14:textFill>
                  <w14:solidFill>
                    <w14:schemeClr w14:val="tx1"/>
                  </w14:solidFill>
                </w14:textFill>
              </w:rPr>
              <w:t>身</w:t>
            </w:r>
          </w:p>
        </w:tc>
        <w:tc>
          <w:tcPr>
            <w:tcW w:w="978" w:type="pct"/>
            <w:tcBorders>
              <w:top w:val="nil"/>
              <w:left w:val="nil"/>
              <w:bottom w:val="single" w:color="auto" w:sz="4" w:space="0"/>
              <w:right w:val="single" w:color="auto" w:sz="4" w:space="0"/>
            </w:tcBorders>
            <w:noWrap/>
            <w:vAlign w:val="center"/>
          </w:tcPr>
          <w:p w14:paraId="75C03C4D">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23" w:type="pct"/>
            <w:tcBorders>
              <w:top w:val="nil"/>
              <w:left w:val="nil"/>
              <w:bottom w:val="single" w:color="auto" w:sz="4" w:space="0"/>
              <w:right w:val="single" w:color="auto" w:sz="4" w:space="0"/>
            </w:tcBorders>
            <w:noWrap/>
            <w:vAlign w:val="center"/>
          </w:tcPr>
          <w:p w14:paraId="6AD655C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6EB972FA">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7AF61D91">
            <w:pPr>
              <w:pStyle w:val="109"/>
              <w:rPr>
                <w:color w:val="000000" w:themeColor="text1"/>
                <w14:textFill>
                  <w14:solidFill>
                    <w14:schemeClr w14:val="tx1"/>
                  </w14:solidFill>
                </w14:textFill>
              </w:rPr>
            </w:pPr>
            <w:r>
              <w:rPr>
                <w:color w:val="000000" w:themeColor="text1"/>
                <w14:textFill>
                  <w14:solidFill>
                    <w14:schemeClr w14:val="tx1"/>
                  </w14:solidFill>
                </w14:textFill>
              </w:rPr>
              <w:t>消防服</w:t>
            </w:r>
          </w:p>
        </w:tc>
        <w:tc>
          <w:tcPr>
            <w:tcW w:w="978" w:type="pct"/>
            <w:tcBorders>
              <w:top w:val="nil"/>
              <w:left w:val="nil"/>
              <w:bottom w:val="single" w:color="auto" w:sz="4" w:space="0"/>
              <w:right w:val="single" w:color="auto" w:sz="4" w:space="0"/>
            </w:tcBorders>
            <w:noWrap/>
            <w:vAlign w:val="center"/>
          </w:tcPr>
          <w:p w14:paraId="4ED9351E">
            <w:pPr>
              <w:pStyle w:val="109"/>
              <w:rPr>
                <w:color w:val="000000" w:themeColor="text1"/>
                <w14:textFill>
                  <w14:solidFill>
                    <w14:schemeClr w14:val="tx1"/>
                  </w14:solidFill>
                </w14:textFill>
              </w:rPr>
            </w:pPr>
            <w:r>
              <w:rPr>
                <w:color w:val="000000" w:themeColor="text1"/>
                <w14:textFill>
                  <w14:solidFill>
                    <w14:schemeClr w14:val="tx1"/>
                  </w14:solidFill>
                </w14:textFill>
              </w:rPr>
              <w:t>身</w:t>
            </w:r>
          </w:p>
        </w:tc>
        <w:tc>
          <w:tcPr>
            <w:tcW w:w="978" w:type="pct"/>
            <w:tcBorders>
              <w:top w:val="nil"/>
              <w:left w:val="nil"/>
              <w:bottom w:val="single" w:color="auto" w:sz="4" w:space="0"/>
              <w:right w:val="single" w:color="auto" w:sz="4" w:space="0"/>
            </w:tcBorders>
            <w:noWrap/>
            <w:vAlign w:val="center"/>
          </w:tcPr>
          <w:p w14:paraId="7DD79A09">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23" w:type="pct"/>
            <w:tcBorders>
              <w:top w:val="nil"/>
              <w:left w:val="nil"/>
              <w:bottom w:val="single" w:color="auto" w:sz="4" w:space="0"/>
              <w:right w:val="single" w:color="auto" w:sz="4" w:space="0"/>
            </w:tcBorders>
            <w:noWrap/>
            <w:vAlign w:val="center"/>
          </w:tcPr>
          <w:p w14:paraId="533D38D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C34F6D3">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5B7CE4D8">
            <w:pPr>
              <w:pStyle w:val="109"/>
              <w:rPr>
                <w:color w:val="000000" w:themeColor="text1"/>
                <w14:textFill>
                  <w14:solidFill>
                    <w14:schemeClr w14:val="tx1"/>
                  </w14:solidFill>
                </w14:textFill>
              </w:rPr>
            </w:pPr>
            <w:r>
              <w:rPr>
                <w:color w:val="000000" w:themeColor="text1"/>
                <w14:textFill>
                  <w14:solidFill>
                    <w14:schemeClr w14:val="tx1"/>
                  </w14:solidFill>
                </w14:textFill>
              </w:rPr>
              <w:t>防火服</w:t>
            </w:r>
          </w:p>
        </w:tc>
        <w:tc>
          <w:tcPr>
            <w:tcW w:w="978" w:type="pct"/>
            <w:tcBorders>
              <w:top w:val="nil"/>
              <w:left w:val="nil"/>
              <w:bottom w:val="single" w:color="auto" w:sz="4" w:space="0"/>
              <w:right w:val="single" w:color="auto" w:sz="4" w:space="0"/>
            </w:tcBorders>
            <w:noWrap/>
            <w:vAlign w:val="center"/>
          </w:tcPr>
          <w:p w14:paraId="61640E67">
            <w:pPr>
              <w:pStyle w:val="109"/>
              <w:rPr>
                <w:color w:val="000000" w:themeColor="text1"/>
                <w14:textFill>
                  <w14:solidFill>
                    <w14:schemeClr w14:val="tx1"/>
                  </w14:solidFill>
                </w14:textFill>
              </w:rPr>
            </w:pPr>
            <w:r>
              <w:rPr>
                <w:color w:val="000000" w:themeColor="text1"/>
                <w14:textFill>
                  <w14:solidFill>
                    <w14:schemeClr w14:val="tx1"/>
                  </w14:solidFill>
                </w14:textFill>
              </w:rPr>
              <w:t>身</w:t>
            </w:r>
          </w:p>
        </w:tc>
        <w:tc>
          <w:tcPr>
            <w:tcW w:w="978" w:type="pct"/>
            <w:tcBorders>
              <w:top w:val="nil"/>
              <w:left w:val="nil"/>
              <w:bottom w:val="single" w:color="auto" w:sz="4" w:space="0"/>
              <w:right w:val="single" w:color="auto" w:sz="4" w:space="0"/>
            </w:tcBorders>
            <w:noWrap/>
            <w:vAlign w:val="center"/>
          </w:tcPr>
          <w:p w14:paraId="568980C0">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23" w:type="pct"/>
            <w:tcBorders>
              <w:top w:val="nil"/>
              <w:left w:val="nil"/>
              <w:bottom w:val="single" w:color="auto" w:sz="4" w:space="0"/>
              <w:right w:val="single" w:color="auto" w:sz="4" w:space="0"/>
            </w:tcBorders>
            <w:noWrap/>
            <w:vAlign w:val="center"/>
          </w:tcPr>
          <w:p w14:paraId="741D1ED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AF94C73">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36EDB287">
            <w:pPr>
              <w:pStyle w:val="109"/>
              <w:rPr>
                <w:color w:val="000000" w:themeColor="text1"/>
                <w14:textFill>
                  <w14:solidFill>
                    <w14:schemeClr w14:val="tx1"/>
                  </w14:solidFill>
                </w14:textFill>
              </w:rPr>
            </w:pPr>
            <w:r>
              <w:rPr>
                <w:color w:val="000000" w:themeColor="text1"/>
                <w14:textFill>
                  <w14:solidFill>
                    <w14:schemeClr w14:val="tx1"/>
                  </w14:solidFill>
                </w14:textFill>
              </w:rPr>
              <w:t>四合一气体检测仪</w:t>
            </w:r>
          </w:p>
        </w:tc>
        <w:tc>
          <w:tcPr>
            <w:tcW w:w="978" w:type="pct"/>
            <w:tcBorders>
              <w:top w:val="nil"/>
              <w:left w:val="nil"/>
              <w:bottom w:val="single" w:color="auto" w:sz="4" w:space="0"/>
              <w:right w:val="single" w:color="auto" w:sz="4" w:space="0"/>
            </w:tcBorders>
            <w:noWrap/>
            <w:vAlign w:val="center"/>
          </w:tcPr>
          <w:p w14:paraId="57E6AF85">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978" w:type="pct"/>
            <w:tcBorders>
              <w:top w:val="nil"/>
              <w:left w:val="nil"/>
              <w:bottom w:val="single" w:color="auto" w:sz="4" w:space="0"/>
              <w:right w:val="single" w:color="auto" w:sz="4" w:space="0"/>
            </w:tcBorders>
            <w:noWrap/>
            <w:vAlign w:val="center"/>
          </w:tcPr>
          <w:p w14:paraId="47E87049">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23" w:type="pct"/>
            <w:tcBorders>
              <w:top w:val="nil"/>
              <w:left w:val="nil"/>
              <w:bottom w:val="single" w:color="auto" w:sz="4" w:space="0"/>
              <w:right w:val="single" w:color="auto" w:sz="4" w:space="0"/>
            </w:tcBorders>
            <w:noWrap/>
            <w:vAlign w:val="center"/>
          </w:tcPr>
          <w:p w14:paraId="3B287AB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1F657C14">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68F69C8F">
            <w:pPr>
              <w:pStyle w:val="109"/>
              <w:rPr>
                <w:color w:val="000000" w:themeColor="text1"/>
                <w14:textFill>
                  <w14:solidFill>
                    <w14:schemeClr w14:val="tx1"/>
                  </w14:solidFill>
                </w14:textFill>
              </w:rPr>
            </w:pPr>
            <w:r>
              <w:rPr>
                <w:color w:val="000000" w:themeColor="text1"/>
                <w14:textFill>
                  <w14:solidFill>
                    <w14:schemeClr w14:val="tx1"/>
                  </w14:solidFill>
                </w14:textFill>
              </w:rPr>
              <w:t>防毒面具</w:t>
            </w:r>
          </w:p>
        </w:tc>
        <w:tc>
          <w:tcPr>
            <w:tcW w:w="978" w:type="pct"/>
            <w:tcBorders>
              <w:top w:val="nil"/>
              <w:left w:val="nil"/>
              <w:bottom w:val="single" w:color="auto" w:sz="4" w:space="0"/>
              <w:right w:val="single" w:color="auto" w:sz="4" w:space="0"/>
            </w:tcBorders>
            <w:noWrap/>
            <w:vAlign w:val="center"/>
          </w:tcPr>
          <w:p w14:paraId="57E11069">
            <w:pPr>
              <w:pStyle w:val="109"/>
              <w:rPr>
                <w:color w:val="000000" w:themeColor="text1"/>
                <w14:textFill>
                  <w14:solidFill>
                    <w14:schemeClr w14:val="tx1"/>
                  </w14:solidFill>
                </w14:textFill>
              </w:rPr>
            </w:pPr>
            <w:r>
              <w:rPr>
                <w:color w:val="000000" w:themeColor="text1"/>
                <w14:textFill>
                  <w14:solidFill>
                    <w14:schemeClr w14:val="tx1"/>
                  </w14:solidFill>
                </w14:textFill>
              </w:rPr>
              <w:t>个</w:t>
            </w:r>
          </w:p>
        </w:tc>
        <w:tc>
          <w:tcPr>
            <w:tcW w:w="978" w:type="pct"/>
            <w:tcBorders>
              <w:top w:val="nil"/>
              <w:left w:val="nil"/>
              <w:bottom w:val="single" w:color="auto" w:sz="4" w:space="0"/>
              <w:right w:val="single" w:color="auto" w:sz="4" w:space="0"/>
            </w:tcBorders>
            <w:noWrap/>
            <w:vAlign w:val="center"/>
          </w:tcPr>
          <w:p w14:paraId="703F6CA6">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23" w:type="pct"/>
            <w:tcBorders>
              <w:top w:val="nil"/>
              <w:left w:val="nil"/>
              <w:bottom w:val="single" w:color="auto" w:sz="4" w:space="0"/>
              <w:right w:val="single" w:color="auto" w:sz="4" w:space="0"/>
            </w:tcBorders>
            <w:noWrap/>
            <w:vAlign w:val="center"/>
          </w:tcPr>
          <w:p w14:paraId="4C381AB5">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A75B024">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1355DB71">
            <w:pPr>
              <w:pStyle w:val="109"/>
              <w:rPr>
                <w:color w:val="000000" w:themeColor="text1"/>
                <w14:textFill>
                  <w14:solidFill>
                    <w14:schemeClr w14:val="tx1"/>
                  </w14:solidFill>
                </w14:textFill>
              </w:rPr>
            </w:pPr>
            <w:r>
              <w:rPr>
                <w:color w:val="000000" w:themeColor="text1"/>
                <w14:textFill>
                  <w14:solidFill>
                    <w14:schemeClr w14:val="tx1"/>
                  </w14:solidFill>
                </w14:textFill>
              </w:rPr>
              <w:t>护目镜</w:t>
            </w:r>
          </w:p>
        </w:tc>
        <w:tc>
          <w:tcPr>
            <w:tcW w:w="978" w:type="pct"/>
            <w:tcBorders>
              <w:top w:val="nil"/>
              <w:left w:val="nil"/>
              <w:bottom w:val="single" w:color="auto" w:sz="4" w:space="0"/>
              <w:right w:val="single" w:color="auto" w:sz="4" w:space="0"/>
            </w:tcBorders>
            <w:noWrap/>
            <w:vAlign w:val="center"/>
          </w:tcPr>
          <w:p w14:paraId="5FD03F29">
            <w:pPr>
              <w:pStyle w:val="109"/>
              <w:rPr>
                <w:color w:val="000000" w:themeColor="text1"/>
                <w14:textFill>
                  <w14:solidFill>
                    <w14:schemeClr w14:val="tx1"/>
                  </w14:solidFill>
                </w14:textFill>
              </w:rPr>
            </w:pPr>
            <w:r>
              <w:rPr>
                <w:color w:val="000000" w:themeColor="text1"/>
                <w14:textFill>
                  <w14:solidFill>
                    <w14:schemeClr w14:val="tx1"/>
                  </w14:solidFill>
                </w14:textFill>
              </w:rPr>
              <w:t>副</w:t>
            </w:r>
          </w:p>
        </w:tc>
        <w:tc>
          <w:tcPr>
            <w:tcW w:w="978" w:type="pct"/>
            <w:tcBorders>
              <w:top w:val="nil"/>
              <w:left w:val="nil"/>
              <w:bottom w:val="single" w:color="auto" w:sz="4" w:space="0"/>
              <w:right w:val="single" w:color="auto" w:sz="4" w:space="0"/>
            </w:tcBorders>
            <w:noWrap/>
            <w:vAlign w:val="center"/>
          </w:tcPr>
          <w:p w14:paraId="5314022D">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23" w:type="pct"/>
            <w:tcBorders>
              <w:top w:val="nil"/>
              <w:left w:val="nil"/>
              <w:bottom w:val="single" w:color="auto" w:sz="4" w:space="0"/>
              <w:right w:val="single" w:color="auto" w:sz="4" w:space="0"/>
            </w:tcBorders>
            <w:noWrap/>
            <w:vAlign w:val="center"/>
          </w:tcPr>
          <w:p w14:paraId="41A462F9">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3CBE31AF">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6FF32C11">
            <w:pPr>
              <w:pStyle w:val="109"/>
              <w:rPr>
                <w:color w:val="000000" w:themeColor="text1"/>
                <w14:textFill>
                  <w14:solidFill>
                    <w14:schemeClr w14:val="tx1"/>
                  </w14:solidFill>
                </w14:textFill>
              </w:rPr>
            </w:pPr>
            <w:r>
              <w:rPr>
                <w:color w:val="000000" w:themeColor="text1"/>
                <w14:textFill>
                  <w14:solidFill>
                    <w14:schemeClr w14:val="tx1"/>
                  </w14:solidFill>
                </w14:textFill>
              </w:rPr>
              <w:t>急救箱</w:t>
            </w:r>
          </w:p>
        </w:tc>
        <w:tc>
          <w:tcPr>
            <w:tcW w:w="978" w:type="pct"/>
            <w:tcBorders>
              <w:top w:val="nil"/>
              <w:left w:val="nil"/>
              <w:bottom w:val="single" w:color="auto" w:sz="4" w:space="0"/>
              <w:right w:val="single" w:color="auto" w:sz="4" w:space="0"/>
            </w:tcBorders>
            <w:noWrap/>
            <w:vAlign w:val="center"/>
          </w:tcPr>
          <w:p w14:paraId="5EEE83F5">
            <w:pPr>
              <w:pStyle w:val="109"/>
              <w:rPr>
                <w:color w:val="000000" w:themeColor="text1"/>
                <w14:textFill>
                  <w14:solidFill>
                    <w14:schemeClr w14:val="tx1"/>
                  </w14:solidFill>
                </w14:textFill>
              </w:rPr>
            </w:pPr>
            <w:r>
              <w:rPr>
                <w:color w:val="000000" w:themeColor="text1"/>
                <w14:textFill>
                  <w14:solidFill>
                    <w14:schemeClr w14:val="tx1"/>
                  </w14:solidFill>
                </w14:textFill>
              </w:rPr>
              <w:t>个</w:t>
            </w:r>
          </w:p>
        </w:tc>
        <w:tc>
          <w:tcPr>
            <w:tcW w:w="978" w:type="pct"/>
            <w:tcBorders>
              <w:top w:val="nil"/>
              <w:left w:val="nil"/>
              <w:bottom w:val="single" w:color="auto" w:sz="4" w:space="0"/>
              <w:right w:val="single" w:color="auto" w:sz="4" w:space="0"/>
            </w:tcBorders>
            <w:noWrap/>
            <w:vAlign w:val="center"/>
          </w:tcPr>
          <w:p w14:paraId="7F492A89">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23" w:type="pct"/>
            <w:tcBorders>
              <w:top w:val="nil"/>
              <w:left w:val="nil"/>
              <w:bottom w:val="single" w:color="auto" w:sz="4" w:space="0"/>
              <w:right w:val="single" w:color="auto" w:sz="4" w:space="0"/>
            </w:tcBorders>
            <w:noWrap/>
            <w:vAlign w:val="center"/>
          </w:tcPr>
          <w:p w14:paraId="34F1D67C">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013CF12C">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6784C9DC">
            <w:pPr>
              <w:pStyle w:val="109"/>
              <w:rPr>
                <w:color w:val="000000" w:themeColor="text1"/>
                <w14:textFill>
                  <w14:solidFill>
                    <w14:schemeClr w14:val="tx1"/>
                  </w14:solidFill>
                </w14:textFill>
              </w:rPr>
            </w:pPr>
            <w:r>
              <w:rPr>
                <w:color w:val="000000" w:themeColor="text1"/>
                <w14:textFill>
                  <w14:solidFill>
                    <w14:schemeClr w14:val="tx1"/>
                  </w14:solidFill>
                </w14:textFill>
              </w:rPr>
              <w:t>隔离衣</w:t>
            </w:r>
          </w:p>
        </w:tc>
        <w:tc>
          <w:tcPr>
            <w:tcW w:w="978" w:type="pct"/>
            <w:tcBorders>
              <w:top w:val="nil"/>
              <w:left w:val="nil"/>
              <w:bottom w:val="single" w:color="auto" w:sz="4" w:space="0"/>
              <w:right w:val="single" w:color="auto" w:sz="4" w:space="0"/>
            </w:tcBorders>
            <w:noWrap/>
            <w:vAlign w:val="center"/>
          </w:tcPr>
          <w:p w14:paraId="6C40DB1B">
            <w:pPr>
              <w:pStyle w:val="109"/>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978" w:type="pct"/>
            <w:tcBorders>
              <w:top w:val="nil"/>
              <w:left w:val="nil"/>
              <w:bottom w:val="single" w:color="auto" w:sz="4" w:space="0"/>
              <w:right w:val="single" w:color="auto" w:sz="4" w:space="0"/>
            </w:tcBorders>
            <w:noWrap/>
            <w:vAlign w:val="center"/>
          </w:tcPr>
          <w:p w14:paraId="0F228104">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23" w:type="pct"/>
            <w:tcBorders>
              <w:top w:val="nil"/>
              <w:left w:val="nil"/>
              <w:bottom w:val="single" w:color="auto" w:sz="4" w:space="0"/>
              <w:right w:val="single" w:color="auto" w:sz="4" w:space="0"/>
            </w:tcBorders>
            <w:noWrap/>
            <w:vAlign w:val="center"/>
          </w:tcPr>
          <w:p w14:paraId="39BC20A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2315EB84">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19FCE44D">
            <w:pPr>
              <w:pStyle w:val="109"/>
              <w:rPr>
                <w:color w:val="000000" w:themeColor="text1"/>
                <w14:textFill>
                  <w14:solidFill>
                    <w14:schemeClr w14:val="tx1"/>
                  </w14:solidFill>
                </w14:textFill>
              </w:rPr>
            </w:pPr>
            <w:r>
              <w:rPr>
                <w:color w:val="000000" w:themeColor="text1"/>
                <w14:textFill>
                  <w14:solidFill>
                    <w14:schemeClr w14:val="tx1"/>
                  </w14:solidFill>
                </w14:textFill>
              </w:rPr>
              <w:t>胶靴</w:t>
            </w:r>
          </w:p>
        </w:tc>
        <w:tc>
          <w:tcPr>
            <w:tcW w:w="978" w:type="pct"/>
            <w:tcBorders>
              <w:top w:val="nil"/>
              <w:left w:val="nil"/>
              <w:bottom w:val="single" w:color="auto" w:sz="4" w:space="0"/>
              <w:right w:val="single" w:color="auto" w:sz="4" w:space="0"/>
            </w:tcBorders>
            <w:noWrap/>
            <w:vAlign w:val="center"/>
          </w:tcPr>
          <w:p w14:paraId="15CF241C">
            <w:pPr>
              <w:pStyle w:val="109"/>
              <w:rPr>
                <w:color w:val="000000" w:themeColor="text1"/>
                <w14:textFill>
                  <w14:solidFill>
                    <w14:schemeClr w14:val="tx1"/>
                  </w14:solidFill>
                </w14:textFill>
              </w:rPr>
            </w:pPr>
            <w:r>
              <w:rPr>
                <w:color w:val="000000" w:themeColor="text1"/>
                <w14:textFill>
                  <w14:solidFill>
                    <w14:schemeClr w14:val="tx1"/>
                  </w14:solidFill>
                </w14:textFill>
              </w:rPr>
              <w:t>双</w:t>
            </w:r>
          </w:p>
        </w:tc>
        <w:tc>
          <w:tcPr>
            <w:tcW w:w="978" w:type="pct"/>
            <w:tcBorders>
              <w:top w:val="nil"/>
              <w:left w:val="nil"/>
              <w:bottom w:val="single" w:color="auto" w:sz="4" w:space="0"/>
              <w:right w:val="single" w:color="auto" w:sz="4" w:space="0"/>
            </w:tcBorders>
            <w:noWrap/>
            <w:vAlign w:val="center"/>
          </w:tcPr>
          <w:p w14:paraId="46A905C0">
            <w:pPr>
              <w:pStyle w:val="109"/>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223" w:type="pct"/>
            <w:tcBorders>
              <w:top w:val="nil"/>
              <w:left w:val="nil"/>
              <w:bottom w:val="single" w:color="auto" w:sz="4" w:space="0"/>
              <w:right w:val="single" w:color="auto" w:sz="4" w:space="0"/>
            </w:tcBorders>
            <w:noWrap/>
            <w:vAlign w:val="center"/>
          </w:tcPr>
          <w:p w14:paraId="5D4E621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2A0757A7">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1AF8F4A8">
            <w:pPr>
              <w:pStyle w:val="109"/>
              <w:rPr>
                <w:color w:val="000000" w:themeColor="text1"/>
                <w14:textFill>
                  <w14:solidFill>
                    <w14:schemeClr w14:val="tx1"/>
                  </w14:solidFill>
                </w14:textFill>
              </w:rPr>
            </w:pPr>
            <w:r>
              <w:rPr>
                <w:color w:val="000000" w:themeColor="text1"/>
                <w14:textFill>
                  <w14:solidFill>
                    <w14:schemeClr w14:val="tx1"/>
                  </w14:solidFill>
                </w14:textFill>
              </w:rPr>
              <w:t>消毒设备</w:t>
            </w:r>
          </w:p>
        </w:tc>
        <w:tc>
          <w:tcPr>
            <w:tcW w:w="978" w:type="pct"/>
            <w:tcBorders>
              <w:top w:val="nil"/>
              <w:left w:val="nil"/>
              <w:bottom w:val="single" w:color="auto" w:sz="4" w:space="0"/>
              <w:right w:val="single" w:color="auto" w:sz="4" w:space="0"/>
            </w:tcBorders>
            <w:noWrap/>
            <w:vAlign w:val="center"/>
          </w:tcPr>
          <w:p w14:paraId="5BCE925E">
            <w:pPr>
              <w:pStyle w:val="109"/>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978" w:type="pct"/>
            <w:tcBorders>
              <w:top w:val="nil"/>
              <w:left w:val="nil"/>
              <w:bottom w:val="single" w:color="auto" w:sz="4" w:space="0"/>
              <w:right w:val="single" w:color="auto" w:sz="4" w:space="0"/>
            </w:tcBorders>
            <w:noWrap/>
            <w:vAlign w:val="center"/>
          </w:tcPr>
          <w:p w14:paraId="1ED208FA">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3" w:type="pct"/>
            <w:tcBorders>
              <w:top w:val="nil"/>
              <w:left w:val="nil"/>
              <w:bottom w:val="single" w:color="auto" w:sz="4" w:space="0"/>
              <w:right w:val="single" w:color="auto" w:sz="4" w:space="0"/>
            </w:tcBorders>
            <w:noWrap/>
            <w:vAlign w:val="center"/>
          </w:tcPr>
          <w:p w14:paraId="7AAF16B7">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BAEB226">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76BA6E2B">
            <w:pPr>
              <w:pStyle w:val="109"/>
              <w:rPr>
                <w:color w:val="000000" w:themeColor="text1"/>
                <w14:textFill>
                  <w14:solidFill>
                    <w14:schemeClr w14:val="tx1"/>
                  </w14:solidFill>
                </w14:textFill>
              </w:rPr>
            </w:pPr>
            <w:r>
              <w:rPr>
                <w:color w:val="000000" w:themeColor="text1"/>
                <w14:textFill>
                  <w14:solidFill>
                    <w14:schemeClr w14:val="tx1"/>
                  </w14:solidFill>
                </w14:textFill>
              </w:rPr>
              <w:t>防酸手套</w:t>
            </w:r>
          </w:p>
        </w:tc>
        <w:tc>
          <w:tcPr>
            <w:tcW w:w="978" w:type="pct"/>
            <w:tcBorders>
              <w:top w:val="nil"/>
              <w:left w:val="nil"/>
              <w:bottom w:val="single" w:color="auto" w:sz="4" w:space="0"/>
              <w:right w:val="single" w:color="auto" w:sz="4" w:space="0"/>
            </w:tcBorders>
            <w:noWrap/>
            <w:vAlign w:val="center"/>
          </w:tcPr>
          <w:p w14:paraId="692152EB">
            <w:pPr>
              <w:pStyle w:val="109"/>
              <w:rPr>
                <w:color w:val="000000" w:themeColor="text1"/>
                <w14:textFill>
                  <w14:solidFill>
                    <w14:schemeClr w14:val="tx1"/>
                  </w14:solidFill>
                </w14:textFill>
              </w:rPr>
            </w:pPr>
            <w:r>
              <w:rPr>
                <w:color w:val="000000" w:themeColor="text1"/>
                <w14:textFill>
                  <w14:solidFill>
                    <w14:schemeClr w14:val="tx1"/>
                  </w14:solidFill>
                </w14:textFill>
              </w:rPr>
              <w:t>付</w:t>
            </w:r>
          </w:p>
        </w:tc>
        <w:tc>
          <w:tcPr>
            <w:tcW w:w="978" w:type="pct"/>
            <w:tcBorders>
              <w:top w:val="nil"/>
              <w:left w:val="nil"/>
              <w:bottom w:val="single" w:color="auto" w:sz="4" w:space="0"/>
              <w:right w:val="single" w:color="auto" w:sz="4" w:space="0"/>
            </w:tcBorders>
            <w:noWrap/>
            <w:vAlign w:val="center"/>
          </w:tcPr>
          <w:p w14:paraId="3E76DF68">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23" w:type="pct"/>
            <w:tcBorders>
              <w:top w:val="nil"/>
              <w:left w:val="nil"/>
              <w:bottom w:val="single" w:color="auto" w:sz="4" w:space="0"/>
              <w:right w:val="single" w:color="auto" w:sz="4" w:space="0"/>
            </w:tcBorders>
            <w:noWrap/>
            <w:vAlign w:val="center"/>
          </w:tcPr>
          <w:p w14:paraId="7165710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A675DD8">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57F53F15">
            <w:pPr>
              <w:pStyle w:val="109"/>
              <w:rPr>
                <w:color w:val="000000" w:themeColor="text1"/>
                <w14:textFill>
                  <w14:solidFill>
                    <w14:schemeClr w14:val="tx1"/>
                  </w14:solidFill>
                </w14:textFill>
              </w:rPr>
            </w:pPr>
            <w:r>
              <w:rPr>
                <w:color w:val="000000" w:themeColor="text1"/>
                <w14:textFill>
                  <w14:solidFill>
                    <w14:schemeClr w14:val="tx1"/>
                  </w14:solidFill>
                </w14:textFill>
              </w:rPr>
              <w:t>正红花油</w:t>
            </w:r>
          </w:p>
        </w:tc>
        <w:tc>
          <w:tcPr>
            <w:tcW w:w="978" w:type="pct"/>
            <w:tcBorders>
              <w:top w:val="nil"/>
              <w:left w:val="nil"/>
              <w:bottom w:val="single" w:color="auto" w:sz="4" w:space="0"/>
              <w:right w:val="single" w:color="auto" w:sz="4" w:space="0"/>
            </w:tcBorders>
            <w:noWrap/>
            <w:vAlign w:val="center"/>
          </w:tcPr>
          <w:p w14:paraId="7681FC51">
            <w:pPr>
              <w:pStyle w:val="109"/>
              <w:rPr>
                <w:color w:val="000000" w:themeColor="text1"/>
                <w14:textFill>
                  <w14:solidFill>
                    <w14:schemeClr w14:val="tx1"/>
                  </w14:solidFill>
                </w14:textFill>
              </w:rPr>
            </w:pPr>
            <w:r>
              <w:rPr>
                <w:color w:val="000000" w:themeColor="text1"/>
                <w14:textFill>
                  <w14:solidFill>
                    <w14:schemeClr w14:val="tx1"/>
                  </w14:solidFill>
                </w14:textFill>
              </w:rPr>
              <w:t>支</w:t>
            </w:r>
          </w:p>
        </w:tc>
        <w:tc>
          <w:tcPr>
            <w:tcW w:w="978" w:type="pct"/>
            <w:tcBorders>
              <w:top w:val="nil"/>
              <w:left w:val="nil"/>
              <w:bottom w:val="single" w:color="auto" w:sz="4" w:space="0"/>
              <w:right w:val="single" w:color="auto" w:sz="4" w:space="0"/>
            </w:tcBorders>
            <w:noWrap/>
            <w:vAlign w:val="center"/>
          </w:tcPr>
          <w:p w14:paraId="73B99AA5">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3" w:type="pct"/>
            <w:tcBorders>
              <w:top w:val="nil"/>
              <w:left w:val="nil"/>
              <w:bottom w:val="single" w:color="auto" w:sz="4" w:space="0"/>
              <w:right w:val="single" w:color="auto" w:sz="4" w:space="0"/>
            </w:tcBorders>
            <w:noWrap/>
            <w:vAlign w:val="center"/>
          </w:tcPr>
          <w:p w14:paraId="326EA97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69342547">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4A8802BB">
            <w:pPr>
              <w:pStyle w:val="109"/>
              <w:rPr>
                <w:color w:val="000000" w:themeColor="text1"/>
                <w14:textFill>
                  <w14:solidFill>
                    <w14:schemeClr w14:val="tx1"/>
                  </w14:solidFill>
                </w14:textFill>
              </w:rPr>
            </w:pPr>
            <w:r>
              <w:rPr>
                <w:color w:val="000000" w:themeColor="text1"/>
                <w14:textFill>
                  <w14:solidFill>
                    <w14:schemeClr w14:val="tx1"/>
                  </w14:solidFill>
                </w14:textFill>
              </w:rPr>
              <w:t>云南白药胶囊</w:t>
            </w:r>
          </w:p>
        </w:tc>
        <w:tc>
          <w:tcPr>
            <w:tcW w:w="978" w:type="pct"/>
            <w:tcBorders>
              <w:top w:val="nil"/>
              <w:left w:val="nil"/>
              <w:bottom w:val="single" w:color="auto" w:sz="4" w:space="0"/>
              <w:right w:val="single" w:color="auto" w:sz="4" w:space="0"/>
            </w:tcBorders>
            <w:noWrap/>
            <w:vAlign w:val="center"/>
          </w:tcPr>
          <w:p w14:paraId="5EDDA2EA">
            <w:pPr>
              <w:pStyle w:val="109"/>
              <w:rPr>
                <w:color w:val="000000" w:themeColor="text1"/>
                <w14:textFill>
                  <w14:solidFill>
                    <w14:schemeClr w14:val="tx1"/>
                  </w14:solidFill>
                </w14:textFill>
              </w:rPr>
            </w:pPr>
            <w:r>
              <w:rPr>
                <w:color w:val="000000" w:themeColor="text1"/>
                <w14:textFill>
                  <w14:solidFill>
                    <w14:schemeClr w14:val="tx1"/>
                  </w14:solidFill>
                </w14:textFill>
              </w:rPr>
              <w:t>盒</w:t>
            </w:r>
          </w:p>
        </w:tc>
        <w:tc>
          <w:tcPr>
            <w:tcW w:w="978" w:type="pct"/>
            <w:tcBorders>
              <w:top w:val="nil"/>
              <w:left w:val="nil"/>
              <w:bottom w:val="single" w:color="auto" w:sz="4" w:space="0"/>
              <w:right w:val="single" w:color="auto" w:sz="4" w:space="0"/>
            </w:tcBorders>
            <w:noWrap/>
            <w:vAlign w:val="center"/>
          </w:tcPr>
          <w:p w14:paraId="77BFC2D2">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3" w:type="pct"/>
            <w:tcBorders>
              <w:top w:val="nil"/>
              <w:left w:val="nil"/>
              <w:bottom w:val="single" w:color="auto" w:sz="4" w:space="0"/>
              <w:right w:val="single" w:color="auto" w:sz="4" w:space="0"/>
            </w:tcBorders>
            <w:noWrap/>
            <w:vAlign w:val="center"/>
          </w:tcPr>
          <w:p w14:paraId="12A1EE00">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65A95030">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1087063D">
            <w:pPr>
              <w:pStyle w:val="109"/>
              <w:rPr>
                <w:color w:val="000000" w:themeColor="text1"/>
                <w14:textFill>
                  <w14:solidFill>
                    <w14:schemeClr w14:val="tx1"/>
                  </w14:solidFill>
                </w14:textFill>
              </w:rPr>
            </w:pPr>
            <w:r>
              <w:rPr>
                <w:color w:val="000000" w:themeColor="text1"/>
                <w14:textFill>
                  <w14:solidFill>
                    <w14:schemeClr w14:val="tx1"/>
                  </w14:solidFill>
                </w14:textFill>
              </w:rPr>
              <w:t>湿润烧伤膏</w:t>
            </w:r>
          </w:p>
        </w:tc>
        <w:tc>
          <w:tcPr>
            <w:tcW w:w="978" w:type="pct"/>
            <w:tcBorders>
              <w:top w:val="nil"/>
              <w:left w:val="nil"/>
              <w:bottom w:val="single" w:color="auto" w:sz="4" w:space="0"/>
              <w:right w:val="single" w:color="auto" w:sz="4" w:space="0"/>
            </w:tcBorders>
            <w:noWrap/>
            <w:vAlign w:val="center"/>
          </w:tcPr>
          <w:p w14:paraId="270705CA">
            <w:pPr>
              <w:pStyle w:val="109"/>
              <w:rPr>
                <w:color w:val="000000" w:themeColor="text1"/>
                <w14:textFill>
                  <w14:solidFill>
                    <w14:schemeClr w14:val="tx1"/>
                  </w14:solidFill>
                </w14:textFill>
              </w:rPr>
            </w:pPr>
            <w:r>
              <w:rPr>
                <w:color w:val="000000" w:themeColor="text1"/>
                <w14:textFill>
                  <w14:solidFill>
                    <w14:schemeClr w14:val="tx1"/>
                  </w14:solidFill>
                </w14:textFill>
              </w:rPr>
              <w:t>支</w:t>
            </w:r>
          </w:p>
        </w:tc>
        <w:tc>
          <w:tcPr>
            <w:tcW w:w="978" w:type="pct"/>
            <w:tcBorders>
              <w:top w:val="nil"/>
              <w:left w:val="nil"/>
              <w:bottom w:val="single" w:color="auto" w:sz="4" w:space="0"/>
              <w:right w:val="single" w:color="auto" w:sz="4" w:space="0"/>
            </w:tcBorders>
            <w:noWrap/>
            <w:vAlign w:val="center"/>
          </w:tcPr>
          <w:p w14:paraId="5375CFA1">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3" w:type="pct"/>
            <w:tcBorders>
              <w:top w:val="nil"/>
              <w:left w:val="nil"/>
              <w:bottom w:val="single" w:color="auto" w:sz="4" w:space="0"/>
              <w:right w:val="single" w:color="auto" w:sz="4" w:space="0"/>
            </w:tcBorders>
            <w:noWrap/>
            <w:vAlign w:val="center"/>
          </w:tcPr>
          <w:p w14:paraId="69AB24A2">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499E837A">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2B762C83">
            <w:pPr>
              <w:pStyle w:val="109"/>
              <w:rPr>
                <w:color w:val="000000" w:themeColor="text1"/>
                <w14:textFill>
                  <w14:solidFill>
                    <w14:schemeClr w14:val="tx1"/>
                  </w14:solidFill>
                </w14:textFill>
              </w:rPr>
            </w:pPr>
            <w:r>
              <w:rPr>
                <w:color w:val="000000" w:themeColor="text1"/>
                <w14:textFill>
                  <w14:solidFill>
                    <w14:schemeClr w14:val="tx1"/>
                  </w14:solidFill>
                </w14:textFill>
              </w:rPr>
              <w:t>镊子</w:t>
            </w:r>
          </w:p>
        </w:tc>
        <w:tc>
          <w:tcPr>
            <w:tcW w:w="978" w:type="pct"/>
            <w:tcBorders>
              <w:top w:val="nil"/>
              <w:left w:val="nil"/>
              <w:bottom w:val="single" w:color="auto" w:sz="4" w:space="0"/>
              <w:right w:val="single" w:color="auto" w:sz="4" w:space="0"/>
            </w:tcBorders>
            <w:noWrap/>
            <w:vAlign w:val="center"/>
          </w:tcPr>
          <w:p w14:paraId="6F9666B8">
            <w:pPr>
              <w:pStyle w:val="109"/>
              <w:rPr>
                <w:color w:val="000000" w:themeColor="text1"/>
                <w14:textFill>
                  <w14:solidFill>
                    <w14:schemeClr w14:val="tx1"/>
                  </w14:solidFill>
                </w14:textFill>
              </w:rPr>
            </w:pPr>
            <w:r>
              <w:rPr>
                <w:color w:val="000000" w:themeColor="text1"/>
                <w14:textFill>
                  <w14:solidFill>
                    <w14:schemeClr w14:val="tx1"/>
                  </w14:solidFill>
                </w14:textFill>
              </w:rPr>
              <w:t>个</w:t>
            </w:r>
          </w:p>
        </w:tc>
        <w:tc>
          <w:tcPr>
            <w:tcW w:w="978" w:type="pct"/>
            <w:tcBorders>
              <w:top w:val="nil"/>
              <w:left w:val="nil"/>
              <w:bottom w:val="single" w:color="auto" w:sz="4" w:space="0"/>
              <w:right w:val="single" w:color="auto" w:sz="4" w:space="0"/>
            </w:tcBorders>
            <w:noWrap/>
            <w:vAlign w:val="center"/>
          </w:tcPr>
          <w:p w14:paraId="77EF8578">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3" w:type="pct"/>
            <w:tcBorders>
              <w:top w:val="nil"/>
              <w:left w:val="nil"/>
              <w:bottom w:val="single" w:color="auto" w:sz="4" w:space="0"/>
              <w:right w:val="single" w:color="auto" w:sz="4" w:space="0"/>
            </w:tcBorders>
            <w:noWrap/>
            <w:vAlign w:val="center"/>
          </w:tcPr>
          <w:p w14:paraId="3AE04AB3">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723D86BF">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6126BFFA">
            <w:pPr>
              <w:pStyle w:val="109"/>
              <w:rPr>
                <w:color w:val="000000" w:themeColor="text1"/>
                <w14:textFill>
                  <w14:solidFill>
                    <w14:schemeClr w14:val="tx1"/>
                  </w14:solidFill>
                </w14:textFill>
              </w:rPr>
            </w:pPr>
            <w:r>
              <w:rPr>
                <w:color w:val="000000" w:themeColor="text1"/>
                <w14:textFill>
                  <w14:solidFill>
                    <w14:schemeClr w14:val="tx1"/>
                  </w14:solidFill>
                </w14:textFill>
              </w:rPr>
              <w:t>苯扎氯铵贴</w:t>
            </w:r>
          </w:p>
        </w:tc>
        <w:tc>
          <w:tcPr>
            <w:tcW w:w="978" w:type="pct"/>
            <w:tcBorders>
              <w:top w:val="nil"/>
              <w:left w:val="nil"/>
              <w:bottom w:val="single" w:color="auto" w:sz="4" w:space="0"/>
              <w:right w:val="single" w:color="auto" w:sz="4" w:space="0"/>
            </w:tcBorders>
            <w:noWrap/>
            <w:vAlign w:val="center"/>
          </w:tcPr>
          <w:p w14:paraId="269FBFCD">
            <w:pPr>
              <w:pStyle w:val="109"/>
              <w:rPr>
                <w:color w:val="000000" w:themeColor="text1"/>
                <w14:textFill>
                  <w14:solidFill>
                    <w14:schemeClr w14:val="tx1"/>
                  </w14:solidFill>
                </w14:textFill>
              </w:rPr>
            </w:pPr>
            <w:r>
              <w:rPr>
                <w:color w:val="000000" w:themeColor="text1"/>
                <w14:textFill>
                  <w14:solidFill>
                    <w14:schemeClr w14:val="tx1"/>
                  </w14:solidFill>
                </w14:textFill>
              </w:rPr>
              <w:t>贴</w:t>
            </w:r>
          </w:p>
        </w:tc>
        <w:tc>
          <w:tcPr>
            <w:tcW w:w="978" w:type="pct"/>
            <w:tcBorders>
              <w:top w:val="nil"/>
              <w:left w:val="nil"/>
              <w:bottom w:val="single" w:color="auto" w:sz="4" w:space="0"/>
              <w:right w:val="single" w:color="auto" w:sz="4" w:space="0"/>
            </w:tcBorders>
            <w:noWrap/>
            <w:vAlign w:val="center"/>
          </w:tcPr>
          <w:p w14:paraId="598DD71D">
            <w:pPr>
              <w:pStyle w:val="109"/>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23" w:type="pct"/>
            <w:tcBorders>
              <w:top w:val="nil"/>
              <w:left w:val="nil"/>
              <w:bottom w:val="single" w:color="auto" w:sz="4" w:space="0"/>
              <w:right w:val="single" w:color="auto" w:sz="4" w:space="0"/>
            </w:tcBorders>
            <w:noWrap/>
            <w:vAlign w:val="center"/>
          </w:tcPr>
          <w:p w14:paraId="318263D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52E81529">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3D674473">
            <w:pPr>
              <w:pStyle w:val="109"/>
              <w:rPr>
                <w:color w:val="000000" w:themeColor="text1"/>
                <w14:textFill>
                  <w14:solidFill>
                    <w14:schemeClr w14:val="tx1"/>
                  </w14:solidFill>
                </w14:textFill>
              </w:rPr>
            </w:pPr>
            <w:r>
              <w:rPr>
                <w:color w:val="000000" w:themeColor="text1"/>
                <w14:textFill>
                  <w14:solidFill>
                    <w14:schemeClr w14:val="tx1"/>
                  </w14:solidFill>
                </w14:textFill>
              </w:rPr>
              <w:t>医用胶布</w:t>
            </w:r>
          </w:p>
        </w:tc>
        <w:tc>
          <w:tcPr>
            <w:tcW w:w="978" w:type="pct"/>
            <w:tcBorders>
              <w:top w:val="nil"/>
              <w:left w:val="nil"/>
              <w:bottom w:val="single" w:color="auto" w:sz="4" w:space="0"/>
              <w:right w:val="single" w:color="auto" w:sz="4" w:space="0"/>
            </w:tcBorders>
            <w:noWrap/>
            <w:vAlign w:val="center"/>
          </w:tcPr>
          <w:p w14:paraId="3DB9BB61">
            <w:pPr>
              <w:pStyle w:val="109"/>
              <w:rPr>
                <w:color w:val="000000" w:themeColor="text1"/>
                <w14:textFill>
                  <w14:solidFill>
                    <w14:schemeClr w14:val="tx1"/>
                  </w14:solidFill>
                </w14:textFill>
              </w:rPr>
            </w:pPr>
            <w:r>
              <w:rPr>
                <w:color w:val="000000" w:themeColor="text1"/>
                <w14:textFill>
                  <w14:solidFill>
                    <w14:schemeClr w14:val="tx1"/>
                  </w14:solidFill>
                </w14:textFill>
              </w:rPr>
              <w:t>卷</w:t>
            </w:r>
          </w:p>
        </w:tc>
        <w:tc>
          <w:tcPr>
            <w:tcW w:w="978" w:type="pct"/>
            <w:tcBorders>
              <w:top w:val="nil"/>
              <w:left w:val="nil"/>
              <w:bottom w:val="single" w:color="auto" w:sz="4" w:space="0"/>
              <w:right w:val="single" w:color="auto" w:sz="4" w:space="0"/>
            </w:tcBorders>
            <w:noWrap/>
            <w:vAlign w:val="center"/>
          </w:tcPr>
          <w:p w14:paraId="19565CA5">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3" w:type="pct"/>
            <w:tcBorders>
              <w:top w:val="nil"/>
              <w:left w:val="nil"/>
              <w:bottom w:val="single" w:color="auto" w:sz="4" w:space="0"/>
              <w:right w:val="single" w:color="auto" w:sz="4" w:space="0"/>
            </w:tcBorders>
            <w:noWrap/>
            <w:vAlign w:val="center"/>
          </w:tcPr>
          <w:p w14:paraId="212CE8B4">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26FB535B">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2C80A295">
            <w:pPr>
              <w:pStyle w:val="109"/>
              <w:rPr>
                <w:color w:val="000000" w:themeColor="text1"/>
                <w14:textFill>
                  <w14:solidFill>
                    <w14:schemeClr w14:val="tx1"/>
                  </w14:solidFill>
                </w14:textFill>
              </w:rPr>
            </w:pPr>
            <w:r>
              <w:rPr>
                <w:color w:val="000000" w:themeColor="text1"/>
                <w14:textFill>
                  <w14:solidFill>
                    <w14:schemeClr w14:val="tx1"/>
                  </w14:solidFill>
                </w14:textFill>
              </w:rPr>
              <w:t>医用绷带</w:t>
            </w:r>
          </w:p>
        </w:tc>
        <w:tc>
          <w:tcPr>
            <w:tcW w:w="978" w:type="pct"/>
            <w:tcBorders>
              <w:top w:val="nil"/>
              <w:left w:val="nil"/>
              <w:bottom w:val="single" w:color="auto" w:sz="4" w:space="0"/>
              <w:right w:val="single" w:color="auto" w:sz="4" w:space="0"/>
            </w:tcBorders>
            <w:noWrap/>
            <w:vAlign w:val="center"/>
          </w:tcPr>
          <w:p w14:paraId="5DE9FC0E">
            <w:pPr>
              <w:pStyle w:val="109"/>
              <w:rPr>
                <w:color w:val="000000" w:themeColor="text1"/>
                <w14:textFill>
                  <w14:solidFill>
                    <w14:schemeClr w14:val="tx1"/>
                  </w14:solidFill>
                </w14:textFill>
              </w:rPr>
            </w:pPr>
            <w:r>
              <w:rPr>
                <w:color w:val="000000" w:themeColor="text1"/>
                <w14:textFill>
                  <w14:solidFill>
                    <w14:schemeClr w14:val="tx1"/>
                  </w14:solidFill>
                </w14:textFill>
              </w:rPr>
              <w:t>卷</w:t>
            </w:r>
          </w:p>
        </w:tc>
        <w:tc>
          <w:tcPr>
            <w:tcW w:w="978" w:type="pct"/>
            <w:tcBorders>
              <w:top w:val="nil"/>
              <w:left w:val="nil"/>
              <w:bottom w:val="single" w:color="auto" w:sz="4" w:space="0"/>
              <w:right w:val="single" w:color="auto" w:sz="4" w:space="0"/>
            </w:tcBorders>
            <w:noWrap/>
            <w:vAlign w:val="center"/>
          </w:tcPr>
          <w:p w14:paraId="74777B53">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3" w:type="pct"/>
            <w:tcBorders>
              <w:top w:val="nil"/>
              <w:left w:val="nil"/>
              <w:bottom w:val="single" w:color="auto" w:sz="4" w:space="0"/>
              <w:right w:val="single" w:color="auto" w:sz="4" w:space="0"/>
            </w:tcBorders>
            <w:noWrap/>
            <w:vAlign w:val="center"/>
          </w:tcPr>
          <w:p w14:paraId="26C321FB">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3144D35A">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12B9943E">
            <w:pPr>
              <w:pStyle w:val="109"/>
              <w:rPr>
                <w:color w:val="000000" w:themeColor="text1"/>
                <w14:textFill>
                  <w14:solidFill>
                    <w14:schemeClr w14:val="tx1"/>
                  </w14:solidFill>
                </w14:textFill>
              </w:rPr>
            </w:pPr>
            <w:r>
              <w:rPr>
                <w:color w:val="000000" w:themeColor="text1"/>
                <w14:textFill>
                  <w14:solidFill>
                    <w14:schemeClr w14:val="tx1"/>
                  </w14:solidFill>
                </w14:textFill>
              </w:rPr>
              <w:t>碘伏</w:t>
            </w:r>
          </w:p>
        </w:tc>
        <w:tc>
          <w:tcPr>
            <w:tcW w:w="978" w:type="pct"/>
            <w:tcBorders>
              <w:top w:val="nil"/>
              <w:left w:val="nil"/>
              <w:bottom w:val="single" w:color="auto" w:sz="4" w:space="0"/>
              <w:right w:val="single" w:color="auto" w:sz="4" w:space="0"/>
            </w:tcBorders>
            <w:noWrap/>
            <w:vAlign w:val="center"/>
          </w:tcPr>
          <w:p w14:paraId="7478BB41">
            <w:pPr>
              <w:pStyle w:val="109"/>
              <w:rPr>
                <w:color w:val="000000" w:themeColor="text1"/>
                <w14:textFill>
                  <w14:solidFill>
                    <w14:schemeClr w14:val="tx1"/>
                  </w14:solidFill>
                </w14:textFill>
              </w:rPr>
            </w:pPr>
            <w:r>
              <w:rPr>
                <w:color w:val="000000" w:themeColor="text1"/>
                <w14:textFill>
                  <w14:solidFill>
                    <w14:schemeClr w14:val="tx1"/>
                  </w14:solidFill>
                </w14:textFill>
              </w:rPr>
              <w:t>瓶</w:t>
            </w:r>
          </w:p>
        </w:tc>
        <w:tc>
          <w:tcPr>
            <w:tcW w:w="978" w:type="pct"/>
            <w:tcBorders>
              <w:top w:val="nil"/>
              <w:left w:val="nil"/>
              <w:bottom w:val="single" w:color="auto" w:sz="4" w:space="0"/>
              <w:right w:val="single" w:color="auto" w:sz="4" w:space="0"/>
            </w:tcBorders>
            <w:noWrap/>
            <w:vAlign w:val="center"/>
          </w:tcPr>
          <w:p w14:paraId="56B4974F">
            <w:pPr>
              <w:pStyle w:val="10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3" w:type="pct"/>
            <w:tcBorders>
              <w:top w:val="nil"/>
              <w:left w:val="nil"/>
              <w:bottom w:val="single" w:color="auto" w:sz="4" w:space="0"/>
              <w:right w:val="single" w:color="auto" w:sz="4" w:space="0"/>
            </w:tcBorders>
            <w:noWrap/>
            <w:vAlign w:val="center"/>
          </w:tcPr>
          <w:p w14:paraId="691DA4B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r>
      <w:tr w14:paraId="7303FC9E">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386CF97D">
            <w:pPr>
              <w:pStyle w:val="109"/>
              <w:rPr>
                <w:color w:val="000000" w:themeColor="text1"/>
                <w14:textFill>
                  <w14:solidFill>
                    <w14:schemeClr w14:val="tx1"/>
                  </w14:solidFill>
                </w14:textFill>
              </w:rPr>
            </w:pPr>
            <w:r>
              <w:rPr>
                <w:color w:val="000000" w:themeColor="text1"/>
                <w14:textFill>
                  <w14:solidFill>
                    <w14:schemeClr w14:val="tx1"/>
                  </w14:solidFill>
                </w14:textFill>
              </w:rPr>
              <w:t>对讲机</w:t>
            </w:r>
          </w:p>
        </w:tc>
        <w:tc>
          <w:tcPr>
            <w:tcW w:w="978" w:type="pct"/>
            <w:tcBorders>
              <w:top w:val="nil"/>
              <w:left w:val="nil"/>
              <w:bottom w:val="single" w:color="auto" w:sz="4" w:space="0"/>
              <w:right w:val="single" w:color="auto" w:sz="4" w:space="0"/>
            </w:tcBorders>
            <w:noWrap/>
            <w:vAlign w:val="center"/>
          </w:tcPr>
          <w:p w14:paraId="47AC096D">
            <w:pPr>
              <w:pStyle w:val="109"/>
              <w:rPr>
                <w:color w:val="000000" w:themeColor="text1"/>
                <w14:textFill>
                  <w14:solidFill>
                    <w14:schemeClr w14:val="tx1"/>
                  </w14:solidFill>
                </w14:textFill>
              </w:rPr>
            </w:pPr>
            <w:r>
              <w:rPr>
                <w:color w:val="000000" w:themeColor="text1"/>
                <w14:textFill>
                  <w14:solidFill>
                    <w14:schemeClr w14:val="tx1"/>
                  </w14:solidFill>
                </w14:textFill>
              </w:rPr>
              <w:t>对</w:t>
            </w:r>
          </w:p>
        </w:tc>
        <w:tc>
          <w:tcPr>
            <w:tcW w:w="978" w:type="pct"/>
            <w:tcBorders>
              <w:top w:val="nil"/>
              <w:left w:val="nil"/>
              <w:bottom w:val="single" w:color="auto" w:sz="4" w:space="0"/>
              <w:right w:val="single" w:color="auto" w:sz="4" w:space="0"/>
            </w:tcBorders>
            <w:noWrap/>
            <w:vAlign w:val="center"/>
          </w:tcPr>
          <w:p w14:paraId="2DF26C59">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23" w:type="pct"/>
            <w:tcBorders>
              <w:top w:val="nil"/>
              <w:left w:val="nil"/>
              <w:bottom w:val="single" w:color="auto" w:sz="4" w:space="0"/>
              <w:right w:val="single" w:color="auto" w:sz="4" w:space="0"/>
            </w:tcBorders>
            <w:noWrap/>
            <w:vAlign w:val="center"/>
          </w:tcPr>
          <w:p w14:paraId="48334C54">
            <w:pPr>
              <w:pStyle w:val="109"/>
              <w:rPr>
                <w:color w:val="000000" w:themeColor="text1"/>
                <w14:textFill>
                  <w14:solidFill>
                    <w14:schemeClr w14:val="tx1"/>
                  </w14:solidFill>
                </w14:textFill>
              </w:rPr>
            </w:pPr>
            <w:r>
              <w:rPr>
                <w:color w:val="000000" w:themeColor="text1"/>
                <w14:textFill>
                  <w14:solidFill>
                    <w14:schemeClr w14:val="tx1"/>
                  </w14:solidFill>
                </w14:textFill>
              </w:rPr>
              <w:t>值班室</w:t>
            </w:r>
          </w:p>
        </w:tc>
      </w:tr>
      <w:tr w14:paraId="5C6BC0F0">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7AFF2BE3">
            <w:pPr>
              <w:pStyle w:val="109"/>
              <w:rPr>
                <w:color w:val="000000" w:themeColor="text1"/>
                <w14:textFill>
                  <w14:solidFill>
                    <w14:schemeClr w14:val="tx1"/>
                  </w14:solidFill>
                </w14:textFill>
              </w:rPr>
            </w:pPr>
            <w:r>
              <w:rPr>
                <w:color w:val="000000" w:themeColor="text1"/>
                <w14:textFill>
                  <w14:solidFill>
                    <w14:schemeClr w14:val="tx1"/>
                  </w14:solidFill>
                </w14:textFill>
              </w:rPr>
              <w:t>应急泵</w:t>
            </w:r>
          </w:p>
        </w:tc>
        <w:tc>
          <w:tcPr>
            <w:tcW w:w="978" w:type="pct"/>
            <w:tcBorders>
              <w:top w:val="nil"/>
              <w:left w:val="nil"/>
              <w:bottom w:val="single" w:color="auto" w:sz="4" w:space="0"/>
              <w:right w:val="single" w:color="auto" w:sz="4" w:space="0"/>
            </w:tcBorders>
            <w:noWrap/>
            <w:vAlign w:val="center"/>
          </w:tcPr>
          <w:p w14:paraId="2A439249">
            <w:pPr>
              <w:pStyle w:val="109"/>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978" w:type="pct"/>
            <w:tcBorders>
              <w:top w:val="nil"/>
              <w:left w:val="nil"/>
              <w:bottom w:val="single" w:color="auto" w:sz="4" w:space="0"/>
              <w:right w:val="single" w:color="auto" w:sz="4" w:space="0"/>
            </w:tcBorders>
            <w:noWrap/>
            <w:vAlign w:val="center"/>
          </w:tcPr>
          <w:p w14:paraId="7D4FC6DE">
            <w:pPr>
              <w:pStyle w:val="10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23" w:type="pct"/>
            <w:tcBorders>
              <w:top w:val="nil"/>
              <w:left w:val="nil"/>
              <w:bottom w:val="single" w:color="auto" w:sz="4" w:space="0"/>
              <w:right w:val="single" w:color="auto" w:sz="4" w:space="0"/>
            </w:tcBorders>
            <w:noWrap/>
            <w:vAlign w:val="center"/>
          </w:tcPr>
          <w:p w14:paraId="788D365F">
            <w:pPr>
              <w:pStyle w:val="10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应急物资</w:t>
            </w:r>
            <w:r>
              <w:rPr>
                <w:color w:val="000000" w:themeColor="text1"/>
                <w14:textFill>
                  <w14:solidFill>
                    <w14:schemeClr w14:val="tx1"/>
                  </w14:solidFill>
                </w14:textFill>
              </w:rPr>
              <w:t>仓库</w:t>
            </w:r>
          </w:p>
        </w:tc>
      </w:tr>
      <w:tr w14:paraId="7E6CC3F9">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2CD59CB8">
            <w:pPr>
              <w:pStyle w:val="109"/>
              <w:rPr>
                <w:color w:val="000000" w:themeColor="text1"/>
                <w14:textFill>
                  <w14:solidFill>
                    <w14:schemeClr w14:val="tx1"/>
                  </w14:solidFill>
                </w14:textFill>
              </w:rPr>
            </w:pPr>
            <w:r>
              <w:rPr>
                <w:color w:val="000000" w:themeColor="text1"/>
                <w14:textFill>
                  <w14:solidFill>
                    <w14:schemeClr w14:val="tx1"/>
                  </w14:solidFill>
                </w14:textFill>
              </w:rPr>
              <w:t>沙袋、石灰</w:t>
            </w:r>
          </w:p>
        </w:tc>
        <w:tc>
          <w:tcPr>
            <w:tcW w:w="978" w:type="pct"/>
            <w:tcBorders>
              <w:top w:val="nil"/>
              <w:left w:val="nil"/>
              <w:bottom w:val="single" w:color="auto" w:sz="4" w:space="0"/>
              <w:right w:val="single" w:color="auto" w:sz="4" w:space="0"/>
            </w:tcBorders>
            <w:noWrap/>
            <w:vAlign w:val="center"/>
          </w:tcPr>
          <w:p w14:paraId="19E9F70B">
            <w:pPr>
              <w:pStyle w:val="109"/>
              <w:rPr>
                <w:color w:val="000000" w:themeColor="text1"/>
                <w14:textFill>
                  <w14:solidFill>
                    <w14:schemeClr w14:val="tx1"/>
                  </w14:solidFill>
                </w14:textFill>
              </w:rPr>
            </w:pPr>
            <w:r>
              <w:rPr>
                <w:color w:val="000000" w:themeColor="text1"/>
                <w14:textFill>
                  <w14:solidFill>
                    <w14:schemeClr w14:val="tx1"/>
                  </w14:solidFill>
                </w14:textFill>
              </w:rPr>
              <w:t>包</w:t>
            </w:r>
          </w:p>
        </w:tc>
        <w:tc>
          <w:tcPr>
            <w:tcW w:w="978" w:type="pct"/>
            <w:tcBorders>
              <w:top w:val="nil"/>
              <w:left w:val="nil"/>
              <w:bottom w:val="single" w:color="auto" w:sz="4" w:space="0"/>
              <w:right w:val="single" w:color="auto" w:sz="4" w:space="0"/>
            </w:tcBorders>
            <w:noWrap/>
            <w:vAlign w:val="center"/>
          </w:tcPr>
          <w:p w14:paraId="3FB71D50">
            <w:pPr>
              <w:pStyle w:val="109"/>
              <w:rPr>
                <w:color w:val="000000" w:themeColor="text1"/>
                <w14:textFill>
                  <w14:solidFill>
                    <w14:schemeClr w14:val="tx1"/>
                  </w14:solidFill>
                </w14:textFill>
              </w:rPr>
            </w:pPr>
            <w:r>
              <w:rPr>
                <w:color w:val="000000" w:themeColor="text1"/>
                <w14:textFill>
                  <w14:solidFill>
                    <w14:schemeClr w14:val="tx1"/>
                  </w14:solidFill>
                </w14:textFill>
              </w:rPr>
              <w:t>各 20</w:t>
            </w:r>
          </w:p>
        </w:tc>
        <w:tc>
          <w:tcPr>
            <w:tcW w:w="1223" w:type="pct"/>
            <w:tcBorders>
              <w:top w:val="nil"/>
              <w:left w:val="nil"/>
              <w:bottom w:val="single" w:color="auto" w:sz="4" w:space="0"/>
              <w:right w:val="single" w:color="auto" w:sz="4" w:space="0"/>
            </w:tcBorders>
            <w:noWrap/>
            <w:vAlign w:val="center"/>
          </w:tcPr>
          <w:p w14:paraId="6EEC685E">
            <w:pPr>
              <w:pStyle w:val="109"/>
              <w:rPr>
                <w:color w:val="000000" w:themeColor="text1"/>
                <w14:textFill>
                  <w14:solidFill>
                    <w14:schemeClr w14:val="tx1"/>
                  </w14:solidFill>
                </w14:textFill>
              </w:rPr>
            </w:pPr>
            <w:r>
              <w:rPr>
                <w:color w:val="000000" w:themeColor="text1"/>
                <w14:textFill>
                  <w14:solidFill>
                    <w14:schemeClr w14:val="tx1"/>
                  </w14:solidFill>
                </w14:textFill>
              </w:rPr>
              <w:t>生产区</w:t>
            </w:r>
          </w:p>
        </w:tc>
      </w:tr>
      <w:tr w14:paraId="53F2CE92">
        <w:tblPrEx>
          <w:tblCellMar>
            <w:top w:w="0" w:type="dxa"/>
            <w:left w:w="108" w:type="dxa"/>
            <w:bottom w:w="0" w:type="dxa"/>
            <w:right w:w="108" w:type="dxa"/>
          </w:tblCellMar>
        </w:tblPrEx>
        <w:trPr>
          <w:trHeight w:val="270" w:hRule="atLeast"/>
        </w:trPr>
        <w:tc>
          <w:tcPr>
            <w:tcW w:w="1821" w:type="pct"/>
            <w:tcBorders>
              <w:top w:val="nil"/>
              <w:left w:val="single" w:color="auto" w:sz="4" w:space="0"/>
              <w:bottom w:val="single" w:color="auto" w:sz="4" w:space="0"/>
              <w:right w:val="single" w:color="auto" w:sz="4" w:space="0"/>
            </w:tcBorders>
            <w:noWrap/>
            <w:vAlign w:val="center"/>
          </w:tcPr>
          <w:p w14:paraId="2DA721F7">
            <w:pPr>
              <w:pStyle w:val="109"/>
              <w:rPr>
                <w:color w:val="000000" w:themeColor="text1"/>
                <w14:textFill>
                  <w14:solidFill>
                    <w14:schemeClr w14:val="tx1"/>
                  </w14:solidFill>
                </w14:textFill>
              </w:rPr>
            </w:pPr>
            <w:r>
              <w:rPr>
                <w:color w:val="000000" w:themeColor="text1"/>
                <w14:textFill>
                  <w14:solidFill>
                    <w14:schemeClr w14:val="tx1"/>
                  </w14:solidFill>
                </w14:textFill>
              </w:rPr>
              <w:t>应急警戒线、警戒标</w:t>
            </w:r>
          </w:p>
        </w:tc>
        <w:tc>
          <w:tcPr>
            <w:tcW w:w="978" w:type="pct"/>
            <w:tcBorders>
              <w:top w:val="nil"/>
              <w:left w:val="nil"/>
              <w:bottom w:val="single" w:color="auto" w:sz="4" w:space="0"/>
              <w:right w:val="single" w:color="auto" w:sz="4" w:space="0"/>
            </w:tcBorders>
            <w:noWrap/>
            <w:vAlign w:val="center"/>
          </w:tcPr>
          <w:p w14:paraId="7FCED9F7">
            <w:pPr>
              <w:pStyle w:val="109"/>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978" w:type="pct"/>
            <w:tcBorders>
              <w:top w:val="nil"/>
              <w:left w:val="nil"/>
              <w:bottom w:val="single" w:color="auto" w:sz="4" w:space="0"/>
              <w:right w:val="single" w:color="auto" w:sz="4" w:space="0"/>
            </w:tcBorders>
            <w:noWrap/>
            <w:vAlign w:val="center"/>
          </w:tcPr>
          <w:p w14:paraId="3D8CE5BF">
            <w:pPr>
              <w:pStyle w:val="10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23" w:type="pct"/>
            <w:tcBorders>
              <w:top w:val="nil"/>
              <w:left w:val="nil"/>
              <w:bottom w:val="single" w:color="auto" w:sz="4" w:space="0"/>
              <w:right w:val="single" w:color="auto" w:sz="4" w:space="0"/>
            </w:tcBorders>
            <w:noWrap/>
            <w:vAlign w:val="center"/>
          </w:tcPr>
          <w:p w14:paraId="6156A488">
            <w:pPr>
              <w:pStyle w:val="10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应急物资</w:t>
            </w:r>
            <w:r>
              <w:rPr>
                <w:color w:val="000000" w:themeColor="text1"/>
                <w14:textFill>
                  <w14:solidFill>
                    <w14:schemeClr w14:val="tx1"/>
                  </w14:solidFill>
                </w14:textFill>
              </w:rPr>
              <w:t>仓库</w:t>
            </w:r>
          </w:p>
        </w:tc>
      </w:tr>
    </w:tbl>
    <w:p w14:paraId="24EB96B9">
      <w:pPr>
        <w:ind w:firstLine="482"/>
        <w:rPr>
          <w:b/>
          <w:color w:val="000000" w:themeColor="text1"/>
          <w14:textFill>
            <w14:solidFill>
              <w14:schemeClr w14:val="tx1"/>
            </w14:solidFill>
          </w14:textFill>
        </w:rPr>
      </w:pPr>
      <w:r>
        <w:rPr>
          <w:b/>
          <w:bCs/>
          <w:color w:val="000000" w:themeColor="text1"/>
          <w14:textFill>
            <w14:solidFill>
              <w14:schemeClr w14:val="tx1"/>
            </w14:solidFill>
          </w14:textFill>
        </w:rPr>
        <w:t>2</w:t>
      </w:r>
      <w:r>
        <w:rPr>
          <w:b/>
          <w:color w:val="000000" w:themeColor="text1"/>
          <w14:textFill>
            <w14:solidFill>
              <w14:schemeClr w14:val="tx1"/>
            </w14:solidFill>
          </w14:textFill>
        </w:rPr>
        <w:t>、管理应急措施</w:t>
      </w:r>
    </w:p>
    <w:p w14:paraId="7D020F52">
      <w:pPr>
        <w:ind w:firstLine="480"/>
        <w:rPr>
          <w:color w:val="000000" w:themeColor="text1"/>
          <w14:textFill>
            <w14:solidFill>
              <w14:schemeClr w14:val="tx1"/>
            </w14:solidFill>
          </w14:textFill>
        </w:rPr>
      </w:pPr>
      <w:r>
        <w:rPr>
          <w:color w:val="000000" w:themeColor="text1"/>
          <w14:textFill>
            <w14:solidFill>
              <w14:schemeClr w14:val="tx1"/>
            </w14:solidFill>
          </w14:textFill>
        </w:rPr>
        <w:t>现场管理应急措施包括事故现场的组织、制度、分工、自救等方案制定和训练。为此建设单位应成立应急中心，组织制定项目预防灾难事故的管理制度和技术措施，并加以落实，明确应急处理要求。</w:t>
      </w:r>
    </w:p>
    <w:p w14:paraId="5312AE01">
      <w:pPr>
        <w:ind w:firstLine="480"/>
        <w:rPr>
          <w:color w:val="000000" w:themeColor="text1"/>
          <w14:textFill>
            <w14:solidFill>
              <w14:schemeClr w14:val="tx1"/>
            </w14:solidFill>
          </w14:textFill>
        </w:rPr>
      </w:pPr>
      <w:r>
        <w:rPr>
          <w:color w:val="000000" w:themeColor="text1"/>
          <w14:textFill>
            <w14:solidFill>
              <w14:schemeClr w14:val="tx1"/>
            </w14:solidFill>
          </w14:textFill>
        </w:rPr>
        <w:t>制定项目化学危险品的安全管理制度和化学灾害事故应急救援预案。组织训练本单位的灾害事故应急救援队伍，配备必要的防护、救援器材和设备，指定专人管理，并定期进行检查和维护保养，确保完好。</w:t>
      </w:r>
    </w:p>
    <w:p w14:paraId="0EAA47E4">
      <w:pPr>
        <w:ind w:firstLine="480"/>
        <w:rPr>
          <w:color w:val="000000" w:themeColor="text1"/>
          <w14:textFill>
            <w14:solidFill>
              <w14:schemeClr w14:val="tx1"/>
            </w14:solidFill>
          </w14:textFill>
        </w:rPr>
      </w:pPr>
      <w:r>
        <w:rPr>
          <w:color w:val="000000" w:themeColor="text1"/>
          <w14:textFill>
            <w14:solidFill>
              <w14:schemeClr w14:val="tx1"/>
            </w14:solidFill>
          </w14:textFill>
        </w:rPr>
        <w:t>组织和指导本单位的灾害事故自救和社会救援工作。并确保指挥到位和畅通，明确责任，保证通讯，及时上报和联系，物资部门确保自救需要。</w:t>
      </w:r>
    </w:p>
    <w:p w14:paraId="35949C0B">
      <w:pPr>
        <w:ind w:firstLine="480"/>
        <w:rPr>
          <w:color w:val="000000" w:themeColor="text1"/>
          <w14:textFill>
            <w14:solidFill>
              <w14:schemeClr w14:val="tx1"/>
            </w14:solidFill>
          </w14:textFill>
        </w:rPr>
      </w:pPr>
      <w:r>
        <w:rPr>
          <w:color w:val="000000" w:themeColor="text1"/>
          <w14:textFill>
            <w14:solidFill>
              <w14:schemeClr w14:val="tx1"/>
            </w14:solidFill>
          </w14:textFill>
        </w:rPr>
        <w:t>当发现场址或处置系统的设计有不可改正的错误，或发生严重事故及发生不可预见的自然灾害使得项目生产不能继续运行时，应立即实行事故状况停产，并预先做出相应补救计划，防止污染扩散。另外，本项目还要成立事故应急专家委员会，由生产、安全、环保、消防、卫生、工程、气象等方面有一定应急理论和实践的专家组成，为事故应急决策提供技术咨询和技术方案及建议。</w:t>
      </w:r>
    </w:p>
    <w:p w14:paraId="21331DE7">
      <w:pPr>
        <w:ind w:firstLine="480"/>
        <w:rPr>
          <w:color w:val="000000" w:themeColor="text1"/>
          <w14:textFill>
            <w14:solidFill>
              <w14:schemeClr w14:val="tx1"/>
            </w14:solidFill>
          </w14:textFill>
        </w:rPr>
      </w:pPr>
      <w:r>
        <w:rPr>
          <w:color w:val="000000" w:themeColor="text1"/>
          <w14:textFill>
            <w14:solidFill>
              <w14:schemeClr w14:val="tx1"/>
            </w14:solidFill>
          </w14:textFill>
        </w:rPr>
        <w:t>根据《企业突发环境事件隐患排查和治理工作指南（试行）试行》（环境保护部公告2016 年第 74 号，要求企业综合考虑企业自身突发环境事件风险等级、生产工况等因素合理制定年度工作计划，明确排查频次、排查规模、排查项目等内容。根据排查频次、排查规模、排查项目不同，排查可分为综合排查、日常排查、专项排查及抽查等方式。</w:t>
      </w:r>
    </w:p>
    <w:p w14:paraId="410EDA78">
      <w:pPr>
        <w:ind w:firstLine="480"/>
        <w:rPr>
          <w:color w:val="000000" w:themeColor="text1"/>
          <w:szCs w:val="22"/>
          <w14:textFill>
            <w14:solidFill>
              <w14:schemeClr w14:val="tx1"/>
            </w14:solidFill>
          </w14:textFill>
        </w:rPr>
      </w:pPr>
      <w:r>
        <w:rPr>
          <w:color w:val="000000" w:themeColor="text1"/>
          <w14:textFill>
            <w14:solidFill>
              <w14:schemeClr w14:val="tx1"/>
            </w14:solidFill>
          </w14:textFill>
        </w:rPr>
        <w:t>企业应建立以日常排查为主的隐患排查工作机制，及时发现并治理隐患。综合排查一年应不少于一次。日常排查一月应不少于一次。专项排查是在特定时间或对特定区域、设备、措施进行的专门性排查，其频次根据实际需要确定。企业可根据自身管理流程，采取抽查方式排查隐患。</w:t>
      </w:r>
    </w:p>
    <w:bookmarkEnd w:id="553"/>
    <w:p w14:paraId="71E0063B">
      <w:pPr>
        <w:pStyle w:val="3"/>
        <w:rPr>
          <w:color w:val="000000" w:themeColor="text1"/>
          <w14:textFill>
            <w14:solidFill>
              <w14:schemeClr w14:val="tx1"/>
            </w14:solidFill>
          </w14:textFill>
        </w:rPr>
      </w:pPr>
      <w:bookmarkStart w:id="564" w:name="_Toc225268343"/>
      <w:r>
        <w:rPr>
          <w:color w:val="000000" w:themeColor="text1"/>
          <w14:textFill>
            <w14:solidFill>
              <w14:schemeClr w14:val="tx1"/>
            </w14:solidFill>
          </w14:textFill>
        </w:rPr>
        <w:t>分析结论</w:t>
      </w:r>
      <w:bookmarkEnd w:id="564"/>
    </w:p>
    <w:p w14:paraId="3A5C0111">
      <w:pPr>
        <w:pStyle w:val="197"/>
        <w:ind w:firstLine="480" w:firstLineChars="200"/>
        <w:rPr>
          <w:rFonts w:ascii="Times New Roman" w:hAnsi="Times New Roman"/>
          <w:color w:val="000000" w:themeColor="text1"/>
          <w:szCs w:val="22"/>
          <w:lang w:val="en-US"/>
          <w14:textFill>
            <w14:solidFill>
              <w14:schemeClr w14:val="tx1"/>
            </w14:solidFill>
          </w14:textFill>
        </w:rPr>
      </w:pPr>
      <w:bookmarkStart w:id="565" w:name="_Toc320518451"/>
      <w:r>
        <w:rPr>
          <w:rFonts w:ascii="Times New Roman" w:hAnsi="Times New Roman"/>
          <w:color w:val="000000" w:themeColor="text1"/>
          <w:szCs w:val="22"/>
          <w:lang w:val="en-US"/>
          <w14:textFill>
            <w14:solidFill>
              <w14:schemeClr w14:val="tx1"/>
            </w14:solidFill>
          </w14:textFill>
        </w:rPr>
        <w:t>本项目主要危险物质主要为</w:t>
      </w:r>
      <w:r>
        <w:rPr>
          <w:rFonts w:hint="eastAsia" w:ascii="Times New Roman" w:hAnsi="Times New Roman"/>
          <w:color w:val="000000" w:themeColor="text1"/>
          <w:szCs w:val="22"/>
          <w:lang w:val="en-US"/>
          <w14:textFill>
            <w14:solidFill>
              <w14:schemeClr w14:val="tx1"/>
            </w14:solidFill>
          </w14:textFill>
        </w:rPr>
        <w:t>矿物油、天然气、氨水</w:t>
      </w:r>
      <w:r>
        <w:rPr>
          <w:rFonts w:ascii="Times New Roman" w:hAnsi="Times New Roman"/>
          <w:color w:val="000000" w:themeColor="text1"/>
          <w:szCs w:val="22"/>
          <w:lang w:val="en-US"/>
          <w14:textFill>
            <w14:solidFill>
              <w14:schemeClr w14:val="tx1"/>
            </w14:solidFill>
          </w14:textFill>
        </w:rPr>
        <w:t>，危险单元为生产车间、</w:t>
      </w:r>
      <w:r>
        <w:rPr>
          <w:rFonts w:hint="eastAsia" w:ascii="Times New Roman" w:hAnsi="Times New Roman"/>
          <w:color w:val="000000" w:themeColor="text1"/>
          <w:szCs w:val="22"/>
          <w:lang w:val="en-US"/>
          <w14:textFill>
            <w14:solidFill>
              <w14:schemeClr w14:val="tx1"/>
            </w14:solidFill>
          </w14:textFill>
        </w:rPr>
        <w:t>氨水罐区、危废间</w:t>
      </w:r>
      <w:r>
        <w:rPr>
          <w:rFonts w:ascii="Times New Roman" w:hAnsi="Times New Roman"/>
          <w:color w:val="000000" w:themeColor="text1"/>
          <w:szCs w:val="22"/>
          <w:lang w:val="en-US"/>
          <w14:textFill>
            <w14:solidFill>
              <w14:schemeClr w14:val="tx1"/>
            </w14:solidFill>
          </w14:textFill>
        </w:rPr>
        <w:t>等，环境风险的最大可信事故为危险废物发生火灾、废气处理设施非正常排放、生产装置事故性紧急排放</w:t>
      </w:r>
      <w:r>
        <w:rPr>
          <w:rFonts w:hint="eastAsia" w:ascii="Times New Roman" w:hAnsi="Times New Roman"/>
          <w:color w:val="000000" w:themeColor="text1"/>
          <w:szCs w:val="22"/>
          <w:lang w:val="en-US"/>
          <w14:textFill>
            <w14:solidFill>
              <w14:schemeClr w14:val="tx1"/>
            </w14:solidFill>
          </w14:textFill>
        </w:rPr>
        <w:t>、氨水罐泄露</w:t>
      </w:r>
      <w:r>
        <w:rPr>
          <w:rFonts w:ascii="Times New Roman" w:hAnsi="Times New Roman"/>
          <w:color w:val="000000" w:themeColor="text1"/>
          <w:szCs w:val="22"/>
          <w:lang w:val="en-US"/>
          <w14:textFill>
            <w14:solidFill>
              <w14:schemeClr w14:val="tx1"/>
            </w14:solidFill>
          </w14:textFill>
        </w:rPr>
        <w:t>。建设单位应按照本报告书做好各项风险的预防和应急措施，并制定完善的风险事故应急预案。在项目严格落实环评提出各项措施和要求的前提下，本项目运营期的环境风险在可防控范围之内。</w:t>
      </w:r>
    </w:p>
    <w:p w14:paraId="76A1B7EC">
      <w:pPr>
        <w:pStyle w:val="117"/>
        <w:rPr>
          <w:rFonts w:hint="eastAsia"/>
          <w:b/>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建设项目环境风险简单分析内容表</w:t>
      </w: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7847"/>
      </w:tblGrid>
      <w:tr w14:paraId="3B85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3E4488A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建设项目名称</w:t>
            </w:r>
          </w:p>
        </w:tc>
        <w:tc>
          <w:tcPr>
            <w:tcW w:w="7847" w:type="dxa"/>
          </w:tcPr>
          <w:p w14:paraId="663C89F3">
            <w:pPr>
              <w:pStyle w:val="109"/>
              <w:rPr>
                <w:color w:val="000000" w:themeColor="text1"/>
                <w14:textFill>
                  <w14:solidFill>
                    <w14:schemeClr w14:val="tx1"/>
                  </w14:solidFill>
                </w14:textFill>
              </w:rPr>
            </w:pPr>
            <w:r>
              <w:rPr>
                <w:color w:val="000000" w:themeColor="text1"/>
                <w14:textFill>
                  <w14:solidFill>
                    <w14:schemeClr w14:val="tx1"/>
                  </w14:solidFill>
                </w14:textFill>
              </w:rPr>
              <w:t>年产5万吨工业废盐回收项目</w:t>
            </w:r>
          </w:p>
        </w:tc>
      </w:tr>
      <w:tr w14:paraId="057F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79E0F3E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建设地点</w:t>
            </w:r>
          </w:p>
        </w:tc>
        <w:tc>
          <w:tcPr>
            <w:tcW w:w="7847" w:type="dxa"/>
          </w:tcPr>
          <w:p w14:paraId="45F93C02">
            <w:pPr>
              <w:pStyle w:val="109"/>
              <w:rPr>
                <w:color w:val="000000" w:themeColor="text1"/>
                <w14:textFill>
                  <w14:solidFill>
                    <w14:schemeClr w14:val="tx1"/>
                  </w14:solidFill>
                </w14:textFill>
              </w:rPr>
            </w:pPr>
            <w:r>
              <w:rPr>
                <w:color w:val="000000" w:themeColor="text1"/>
                <w14:textFill>
                  <w14:solidFill>
                    <w14:schemeClr w14:val="tx1"/>
                  </w14:solidFill>
                </w14:textFill>
              </w:rPr>
              <w:t>乌鲁木齐甘泉堡经济技术开发区（工业区）化工园区，新疆华瑞化工技术有限公司现有厂区内，中心地理坐标为E87°41′39.225″，N44°8′13.014″</w:t>
            </w:r>
          </w:p>
        </w:tc>
      </w:tr>
      <w:tr w14:paraId="7E75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178C81B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主要危险物质及分布</w:t>
            </w:r>
          </w:p>
        </w:tc>
        <w:tc>
          <w:tcPr>
            <w:tcW w:w="7847" w:type="dxa"/>
          </w:tcPr>
          <w:p w14:paraId="0459A759">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本项目主要危险物质为天然气</w:t>
            </w:r>
            <w:r>
              <w:rPr>
                <w:rFonts w:hint="eastAsia"/>
                <w:color w:val="000000" w:themeColor="text1"/>
                <w14:textFill>
                  <w14:solidFill>
                    <w14:schemeClr w14:val="tx1"/>
                  </w14:solidFill>
                </w14:textFill>
              </w:rPr>
              <w:t>、氨水</w:t>
            </w:r>
            <w:r>
              <w:rPr>
                <w:color w:val="000000" w:themeColor="text1"/>
                <w14:textFill>
                  <w14:solidFill>
                    <w14:schemeClr w14:val="tx1"/>
                  </w14:solidFill>
                </w14:textFill>
              </w:rPr>
              <w:t>和矿物油，其他物质不涉及列入《建设项目环境风险评价技术导则》（HJ169-2018）范围内，本项目天然气通过管道输送至项目区，仅有少量存储在管道中，矿物油（废矿物油）暂存于危废暂存间</w:t>
            </w:r>
            <w:r>
              <w:rPr>
                <w:rFonts w:hint="eastAsia"/>
                <w:color w:val="000000" w:themeColor="text1"/>
                <w14:textFill>
                  <w14:solidFill>
                    <w14:schemeClr w14:val="tx1"/>
                  </w14:solidFill>
                </w14:textFill>
              </w:rPr>
              <w:t>，氨水储存于储罐区</w:t>
            </w:r>
            <w:r>
              <w:rPr>
                <w:color w:val="000000" w:themeColor="text1"/>
                <w14:textFill>
                  <w14:solidFill>
                    <w14:schemeClr w14:val="tx1"/>
                  </w14:solidFill>
                </w14:textFill>
              </w:rPr>
              <w:t>。</w:t>
            </w:r>
          </w:p>
        </w:tc>
      </w:tr>
      <w:tr w14:paraId="6C9D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03B7A59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环境影响途径及危害后果(大气、地表水、地下水等)</w:t>
            </w:r>
          </w:p>
        </w:tc>
        <w:tc>
          <w:tcPr>
            <w:tcW w:w="7847" w:type="dxa"/>
          </w:tcPr>
          <w:p w14:paraId="0EA2CB41">
            <w:pPr>
              <w:pStyle w:val="109"/>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危险物质发生</w:t>
            </w:r>
            <w:r>
              <w:rPr>
                <w:color w:val="000000" w:themeColor="text1"/>
                <w:sz w:val="24"/>
                <w14:textFill>
                  <w14:solidFill>
                    <w14:schemeClr w14:val="tx1"/>
                  </w14:solidFill>
                </w14:textFill>
              </w:rPr>
              <w:t>泄漏</w:t>
            </w:r>
            <w:r>
              <w:rPr>
                <w:rFonts w:hint="eastAsia"/>
                <w:color w:val="000000" w:themeColor="text1"/>
                <w14:textFill>
                  <w14:solidFill>
                    <w14:schemeClr w14:val="tx1"/>
                  </w14:solidFill>
                </w14:textFill>
              </w:rPr>
              <w:t>和火灾爆炸事故</w:t>
            </w:r>
            <w:r>
              <w:rPr>
                <w:color w:val="000000" w:themeColor="text1"/>
                <w:sz w:val="24"/>
                <w14:textFill>
                  <w14:solidFill>
                    <w14:schemeClr w14:val="tx1"/>
                  </w14:solidFill>
                </w14:textFill>
              </w:rPr>
              <w:t>后可能影响环境的途径主要分为挥发、漫流、下渗、燃烧扩散四种</w:t>
            </w:r>
            <w:r>
              <w:rPr>
                <w:rFonts w:hint="eastAsia"/>
                <w:color w:val="000000" w:themeColor="text1"/>
                <w14:textFill>
                  <w14:solidFill>
                    <w14:schemeClr w14:val="tx1"/>
                  </w14:solidFill>
                </w14:textFill>
              </w:rPr>
              <w:t>。</w:t>
            </w:r>
          </w:p>
          <w:p w14:paraId="1CB8DB4C">
            <w:pPr>
              <w:pStyle w:val="109"/>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一、大气危害后果</w:t>
            </w:r>
          </w:p>
          <w:p w14:paraId="288C04B2">
            <w:pPr>
              <w:pStyle w:val="109"/>
              <w:jc w:val="left"/>
              <w:rPr>
                <w:color w:val="000000" w:themeColor="text1"/>
                <w:sz w:val="24"/>
                <w14:textFill>
                  <w14:solidFill>
                    <w14:schemeClr w14:val="tx1"/>
                  </w14:solidFill>
                </w14:textFill>
              </w:rPr>
            </w:pPr>
            <w:r>
              <w:rPr>
                <w:color w:val="000000" w:themeColor="text1"/>
                <w14:textFill>
                  <w14:solidFill>
                    <w14:schemeClr w14:val="tx1"/>
                  </w14:solidFill>
                </w14:textFill>
              </w:rPr>
              <w:t>对大气环境质量：各类污染物会导致大气中一氧化碳、氮氧化物、氨气、多环芳烃等指标超标，破坏局部大气环境平衡；氨气与空气中酸性物质反应生成铵盐颗粒物，增加PM2.5浓度，引发二次大气污染。</w:t>
            </w:r>
          </w:p>
          <w:p w14:paraId="06294537">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对人体健康：一氧化碳吸入会导致人体缺氧、中毒，轻度出现头晕、恶心，重度引发昏迷、呼吸衰竭甚至死亡；氨气具有强刺激性，会刺激人体眼鼻、呼吸道，高浓度吸入可引发肺水肿、窒息；多环芳烃具有强致癌性，长期暴露会增加人体患癌风险，同时刺激呼吸道，引发呼吸系统疾病。</w:t>
            </w:r>
          </w:p>
          <w:p w14:paraId="07E5A016">
            <w:pPr>
              <w:pStyle w:val="109"/>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二、地下水危害后果</w:t>
            </w:r>
          </w:p>
          <w:p w14:paraId="70C52B7F">
            <w:pPr>
              <w:pStyle w:val="109"/>
              <w:jc w:val="left"/>
              <w:rPr>
                <w:color w:val="000000" w:themeColor="text1"/>
                <w:sz w:val="24"/>
                <w14:textFill>
                  <w14:solidFill>
                    <w14:schemeClr w14:val="tx1"/>
                  </w14:solidFill>
                </w14:textFill>
              </w:rPr>
            </w:pPr>
            <w:r>
              <w:rPr>
                <w:color w:val="000000" w:themeColor="text1"/>
                <w14:textFill>
                  <w14:solidFill>
                    <w14:schemeClr w14:val="tx1"/>
                  </w14:solidFill>
                </w14:textFill>
              </w:rPr>
              <w:t>对地下水水质：污染物下渗会导致地下水pH值异常、氨氮、油类、多环芳烃等指标超标；油类物质会附着于地下水含水层颗粒表面，堵塞含水层孔隙，降低地下水渗透能力；多环芳烃、氨水等污染物具有毒性，会导致地下水水质持续恶化，失去使用功能。</w:t>
            </w:r>
          </w:p>
          <w:p w14:paraId="3759018D">
            <w:pPr>
              <w:pStyle w:val="109"/>
              <w:jc w:val="left"/>
              <w:rPr>
                <w:color w:val="000000" w:themeColor="text1"/>
                <w14:textFill>
                  <w14:solidFill>
                    <w14:schemeClr w14:val="tx1"/>
                  </w14:solidFill>
                </w14:textFill>
              </w:rPr>
            </w:pPr>
            <w:r>
              <w:rPr>
                <w:color w:val="000000" w:themeColor="text1"/>
                <w14:textFill>
                  <w14:solidFill>
                    <w14:schemeClr w14:val="tx1"/>
                  </w14:solidFill>
                </w14:textFill>
              </w:rPr>
              <w:t>对人类生产生活：受污染地下水无法直接作为饮用水、农业灌溉用水，若周边有地下水饮用水源地，会直接威胁饮用水安全，长期饮用受污染地下水会危害人体健康（如氨水污染会损伤消化系统，多环芳烃会增加患癌风险）；地下水污染治理难度大、成本高，会给企业和周边居民带来长期影响。</w:t>
            </w:r>
          </w:p>
        </w:tc>
      </w:tr>
      <w:tr w14:paraId="2AAE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6BACCAF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风险防范措施要求</w:t>
            </w:r>
          </w:p>
        </w:tc>
        <w:tc>
          <w:tcPr>
            <w:tcW w:w="7847" w:type="dxa"/>
            <w:vAlign w:val="center"/>
          </w:tcPr>
          <w:p w14:paraId="5EC48F60">
            <w:pPr>
              <w:pStyle w:val="109"/>
              <w:jc w:val="both"/>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天然气、矿物油（废矿物油）、氨水三大风险物质的储存、输送、作业全环节，强化设备、操作、管理三重管控，从源头杜绝泄漏、火灾爆炸隐患。</w:t>
            </w:r>
          </w:p>
          <w:p w14:paraId="35BD36D5">
            <w:pPr>
              <w:pStyle w:val="109"/>
              <w:jc w:val="both"/>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设备管控：选用耐腐蚀、防爆、密封性能优良的设备、储罐、管道及密封件，定期开展无损检测、维护保养（每月至每年不等，按设备类型明确频次），及时更换腐蚀、老化、破损部件；风险单元（储罐区、危废暂存间）设置围堰、防渗、通风等基础防护设施，确保设施完好有效。</w:t>
            </w:r>
          </w:p>
          <w:p w14:paraId="36ED64DE">
            <w:pPr>
              <w:pStyle w:val="109"/>
              <w:jc w:val="both"/>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操作管控：严格执行操作规程，严禁违规动火、动土、装卸、取样等高危作业，作业前办理审批手续，配备防护及应急器材；物料充装、转运、检修时，落实惰性气体置换、密封操作等防控措施，避免物料泄漏或引发火灾。</w:t>
            </w:r>
          </w:p>
          <w:p w14:paraId="5EF2FBAF">
            <w:pPr>
              <w:pStyle w:val="109"/>
              <w:jc w:val="both"/>
              <w:rPr>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管理管控：建立健全风险源巡检、台账管理制度，明确责任分工，专人负责风险源日常巡检及记录；定期开展从业人员专业培训，提升风险识别、规范操作及应急处置能力，考核合格后方可上岗</w:t>
            </w:r>
            <w:r>
              <w:rPr>
                <w:rFonts w:hint="eastAsia" w:ascii="宋体" w:hAnsi="宋体" w:cs="宋体"/>
                <w:color w:val="000000" w:themeColor="text1"/>
                <w14:textFill>
                  <w14:solidFill>
                    <w14:schemeClr w14:val="tx1"/>
                  </w14:solidFill>
                </w14:textFill>
              </w:rPr>
              <w:t>。</w:t>
            </w:r>
          </w:p>
        </w:tc>
      </w:tr>
      <w:tr w14:paraId="7CD1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2" w:type="dxa"/>
            <w:gridSpan w:val="2"/>
            <w:vAlign w:val="center"/>
          </w:tcPr>
          <w:p w14:paraId="4DB2C5DF">
            <w:pPr>
              <w:pStyle w:val="109"/>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填表说明(列出项目相关信息及评价说明):</w:t>
            </w:r>
          </w:p>
          <w:p w14:paraId="3A201BA3">
            <w:pPr>
              <w:pStyle w:val="109"/>
              <w:jc w:val="both"/>
              <w:rPr>
                <w:color w:val="000000" w:themeColor="text1"/>
                <w14:textFill>
                  <w14:solidFill>
                    <w14:schemeClr w14:val="tx1"/>
                  </w14:solidFill>
                </w14:textFill>
              </w:rPr>
            </w:pPr>
            <w:r>
              <w:rPr>
                <w:bCs/>
                <w:color w:val="000000" w:themeColor="text1"/>
                <w:kern w:val="2"/>
                <w:szCs w:val="21"/>
                <w14:textFill>
                  <w14:solidFill>
                    <w14:schemeClr w14:val="tx1"/>
                  </w14:solidFill>
                </w14:textFill>
              </w:rPr>
              <w:t>该项目环境风险潜势为I，主要风险类型为</w:t>
            </w:r>
            <w:r>
              <w:rPr>
                <w:rFonts w:hint="eastAsia"/>
                <w:bCs/>
                <w:color w:val="000000" w:themeColor="text1"/>
                <w:kern w:val="2"/>
                <w:szCs w:val="21"/>
                <w14:textFill>
                  <w14:solidFill>
                    <w14:schemeClr w14:val="tx1"/>
                  </w14:solidFill>
                </w14:textFill>
              </w:rPr>
              <w:t>泄露、</w:t>
            </w:r>
            <w:r>
              <w:rPr>
                <w:bCs/>
                <w:color w:val="000000" w:themeColor="text1"/>
                <w:kern w:val="2"/>
                <w:szCs w:val="21"/>
                <w14:textFill>
                  <w14:solidFill>
                    <w14:schemeClr w14:val="tx1"/>
                  </w14:solidFill>
                </w14:textFill>
              </w:rPr>
              <w:t>火灾、爆炸事故，采取环保措施和风险防范措施后，企业在生产过程中严格按照风险防范措施实行，该项目环境风险可以接受。</w:t>
            </w:r>
          </w:p>
        </w:tc>
      </w:tr>
    </w:tbl>
    <w:p w14:paraId="0E184497">
      <w:pPr>
        <w:pStyle w:val="197"/>
        <w:ind w:firstLine="480"/>
        <w:rPr>
          <w:rFonts w:ascii="Times New Roman" w:hAnsi="Times New Roman"/>
          <w:color w:val="000000" w:themeColor="text1"/>
          <w:lang w:val="en-US"/>
          <w14:textFill>
            <w14:solidFill>
              <w14:schemeClr w14:val="tx1"/>
            </w14:solidFill>
          </w14:textFill>
        </w:rPr>
      </w:pPr>
    </w:p>
    <w:p w14:paraId="540C1AB0">
      <w:pPr>
        <w:pStyle w:val="197"/>
        <w:ind w:firstLine="480"/>
        <w:rPr>
          <w:rFonts w:ascii="Times New Roman" w:hAnsi="Times New Roman"/>
          <w:color w:val="000000" w:themeColor="text1"/>
          <w14:textFill>
            <w14:solidFill>
              <w14:schemeClr w14:val="tx1"/>
            </w14:solidFill>
          </w14:textFill>
        </w:rPr>
      </w:pPr>
    </w:p>
    <w:bookmarkEnd w:id="565"/>
    <w:p w14:paraId="6F68B6DD">
      <w:pPr>
        <w:ind w:firstLine="480"/>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bookmarkStart w:id="566" w:name="_Toc320518638"/>
      <w:bookmarkStart w:id="567" w:name="_Toc320518486"/>
    </w:p>
    <w:bookmarkEnd w:id="566"/>
    <w:bookmarkEnd w:id="567"/>
    <w:p w14:paraId="1F3C2FD4">
      <w:pPr>
        <w:pStyle w:val="2"/>
        <w:rPr>
          <w:rFonts w:ascii="Times New Roman" w:cs="Times New Roman"/>
          <w:color w:val="000000" w:themeColor="text1"/>
          <w14:textFill>
            <w14:solidFill>
              <w14:schemeClr w14:val="tx1"/>
            </w14:solidFill>
          </w14:textFill>
        </w:rPr>
      </w:pPr>
      <w:bookmarkStart w:id="568" w:name="_Toc69894299"/>
      <w:bookmarkStart w:id="569" w:name="_Toc138577265"/>
      <w:bookmarkStart w:id="570" w:name="_Toc321821969"/>
      <w:bookmarkStart w:id="571" w:name="_Toc178748665"/>
      <w:bookmarkStart w:id="572" w:name="_Toc175074432"/>
      <w:bookmarkStart w:id="573" w:name="_Toc94437280"/>
      <w:bookmarkStart w:id="574" w:name="_Toc266187803"/>
      <w:bookmarkStart w:id="575" w:name="_Toc38456076"/>
      <w:bookmarkStart w:id="576" w:name="_Toc297039548"/>
      <w:bookmarkStart w:id="577" w:name="_Toc86128034"/>
      <w:bookmarkStart w:id="578" w:name="_Toc330460848"/>
      <w:bookmarkStart w:id="579" w:name="_Toc17603816"/>
      <w:bookmarkStart w:id="580" w:name="_Toc329793810"/>
      <w:bookmarkStart w:id="581" w:name="_Toc310253085"/>
      <w:bookmarkStart w:id="582" w:name="_Toc225268344"/>
      <w:bookmarkStart w:id="583" w:name="_Toc278649725"/>
      <w:bookmarkStart w:id="584" w:name="_Toc217924966"/>
      <w:bookmarkStart w:id="585" w:name="_Toc138577280"/>
      <w:bookmarkStart w:id="586" w:name="_Toc321822006"/>
      <w:bookmarkStart w:id="587" w:name="_Toc293592727"/>
      <w:bookmarkStart w:id="588" w:name="_Toc185164452"/>
      <w:bookmarkStart w:id="589" w:name="_Toc69894303"/>
      <w:bookmarkStart w:id="590" w:name="_Toc94437284"/>
      <w:bookmarkStart w:id="591" w:name="_Toc86128038"/>
      <w:bookmarkStart w:id="592" w:name="_Toc172919756"/>
      <w:bookmarkStart w:id="593" w:name="_Toc266187840"/>
      <w:bookmarkStart w:id="594" w:name="_Toc138577281"/>
      <w:r>
        <w:rPr>
          <w:rFonts w:ascii="Times New Roman" w:cs="Times New Roman"/>
          <w:color w:val="000000" w:themeColor="text1"/>
          <w14:textFill>
            <w14:solidFill>
              <w14:schemeClr w14:val="tx1"/>
            </w14:solidFill>
          </w14:textFill>
        </w:rPr>
        <w:t>环境经济损益分析</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63038F16">
      <w:pPr>
        <w:pStyle w:val="3"/>
        <w:rPr>
          <w:rFonts w:ascii="Times New Roman" w:cs="Times New Roman"/>
          <w:color w:val="000000" w:themeColor="text1"/>
          <w14:textFill>
            <w14:solidFill>
              <w14:schemeClr w14:val="tx1"/>
            </w14:solidFill>
          </w14:textFill>
        </w:rPr>
      </w:pPr>
      <w:bookmarkStart w:id="595" w:name="_Toc330460849"/>
      <w:bookmarkStart w:id="596" w:name="_Toc329793811"/>
      <w:bookmarkStart w:id="597" w:name="_Toc225268345"/>
      <w:bookmarkStart w:id="598" w:name="_Toc310253086"/>
      <w:bookmarkStart w:id="599" w:name="_Toc297039549"/>
      <w:bookmarkStart w:id="600" w:name="_Toc321821970"/>
      <w:bookmarkStart w:id="601" w:name="_Toc38456077"/>
      <w:bookmarkStart w:id="602" w:name="_Toc17603817"/>
      <w:bookmarkStart w:id="603" w:name="_Toc175074433"/>
      <w:bookmarkStart w:id="604" w:name="_Toc178748666"/>
      <w:bookmarkStart w:id="605" w:name="_Toc138577266"/>
      <w:bookmarkStart w:id="606" w:name="_Toc94437281"/>
      <w:bookmarkStart w:id="607" w:name="_Toc86128035"/>
      <w:bookmarkStart w:id="608" w:name="_Toc69894300"/>
      <w:bookmarkStart w:id="609" w:name="_Toc266187804"/>
      <w:bookmarkStart w:id="610" w:name="_Toc278649726"/>
      <w:r>
        <w:rPr>
          <w:rFonts w:ascii="Times New Roman" w:cs="Times New Roman"/>
          <w:color w:val="000000" w:themeColor="text1"/>
          <w14:textFill>
            <w14:solidFill>
              <w14:schemeClr w14:val="tx1"/>
            </w14:solidFill>
          </w14:textFill>
        </w:rPr>
        <w:t>社会效益</w:t>
      </w:r>
      <w:bookmarkEnd w:id="595"/>
      <w:bookmarkEnd w:id="596"/>
      <w:bookmarkEnd w:id="597"/>
    </w:p>
    <w:p w14:paraId="3C17BC41">
      <w:pPr>
        <w:ind w:firstLine="480"/>
        <w:rPr>
          <w:color w:val="000000" w:themeColor="text1"/>
          <w14:textFill>
            <w14:solidFill>
              <w14:schemeClr w14:val="tx1"/>
            </w14:solidFill>
          </w14:textFill>
        </w:rPr>
      </w:pPr>
      <w:bookmarkStart w:id="611" w:name="_Toc330460850"/>
      <w:bookmarkStart w:id="612" w:name="_Toc329793812"/>
      <w:r>
        <w:rPr>
          <w:color w:val="000000" w:themeColor="text1"/>
          <w14:textFill>
            <w14:solidFill>
              <w14:schemeClr w14:val="tx1"/>
            </w14:solidFill>
          </w14:textFill>
        </w:rPr>
        <w:t>本项目作为契合国家及地方环保产业政策的危险废物处置项目，社会效益突出，主要体现在区域环境安全保障、产业优化、就业带动及公共服务提升等方面，具体分析如下：</w:t>
      </w:r>
    </w:p>
    <w:p w14:paraId="759DE09A">
      <w:pPr>
        <w:pStyle w:val="4"/>
        <w:rPr>
          <w:rFonts w:ascii="Times New Roman" w:cs="Times New Roman"/>
          <w:color w:val="000000" w:themeColor="text1"/>
          <w14:textFill>
            <w14:solidFill>
              <w14:schemeClr w14:val="tx1"/>
            </w14:solidFill>
          </w14:textFill>
        </w:rPr>
      </w:pPr>
      <w:bookmarkStart w:id="613" w:name="heading_1"/>
      <w:r>
        <w:rPr>
          <w:rFonts w:ascii="Times New Roman" w:cs="Times New Roman"/>
          <w:color w:val="000000" w:themeColor="text1"/>
          <w14:textFill>
            <w14:solidFill>
              <w14:schemeClr w14:val="tx1"/>
            </w14:solidFill>
          </w14:textFill>
        </w:rPr>
        <w:t>破解区域工业废盐处置瓶颈，保障环境安全</w:t>
      </w:r>
      <w:bookmarkEnd w:id="613"/>
    </w:p>
    <w:p w14:paraId="44BE6FBA">
      <w:pPr>
        <w:ind w:firstLine="480"/>
        <w:rPr>
          <w:color w:val="000000" w:themeColor="text1"/>
          <w14:textFill>
            <w14:solidFill>
              <w14:schemeClr w14:val="tx1"/>
            </w14:solidFill>
          </w14:textFill>
        </w:rPr>
      </w:pPr>
      <w:r>
        <w:rPr>
          <w:color w:val="000000" w:themeColor="text1"/>
          <w14:textFill>
            <w14:solidFill>
              <w14:schemeClr w14:val="tx1"/>
            </w14:solidFill>
          </w14:textFill>
        </w:rPr>
        <w:t>乌鲁木齐甘泉堡经济技术开发区及周边化工园区聚集了大量化工企业，每年产生大量工业废盐，传统处置方式以填埋为主，存在占用土地资源、土壤及地下水污染风险高、资源浪费等突出问题。本项目年处置工业废盐5万吨，可实现区域工业废盐“减量化、无害化、资源化”处置，填补区域危险废物专业化处置能力缺口，从源头减少废盐随意堆放、填埋引发的环境风险，保障周边生态环境安全及居民身体健康，维护区域社会稳定。</w:t>
      </w:r>
    </w:p>
    <w:p w14:paraId="58D10F1B">
      <w:pPr>
        <w:pStyle w:val="4"/>
        <w:rPr>
          <w:rFonts w:ascii="Times New Roman" w:cs="Times New Roman"/>
          <w:color w:val="000000" w:themeColor="text1"/>
          <w14:textFill>
            <w14:solidFill>
              <w14:schemeClr w14:val="tx1"/>
            </w14:solidFill>
          </w14:textFill>
        </w:rPr>
      </w:pPr>
      <w:bookmarkStart w:id="614" w:name="heading_2"/>
      <w:r>
        <w:rPr>
          <w:rFonts w:ascii="Times New Roman" w:cs="Times New Roman"/>
          <w:color w:val="000000" w:themeColor="text1"/>
          <w14:textFill>
            <w14:solidFill>
              <w14:schemeClr w14:val="tx1"/>
            </w14:solidFill>
          </w14:textFill>
        </w:rPr>
        <w:t>推动产业结构优化，助力绿色发展</w:t>
      </w:r>
      <w:bookmarkEnd w:id="614"/>
    </w:p>
    <w:p w14:paraId="673D6529">
      <w:pPr>
        <w:ind w:firstLine="480"/>
        <w:rPr>
          <w:color w:val="000000" w:themeColor="text1"/>
          <w14:textFill>
            <w14:solidFill>
              <w14:schemeClr w14:val="tx1"/>
            </w14:solidFill>
          </w14:textFill>
        </w:rPr>
      </w:pPr>
      <w:r>
        <w:rPr>
          <w:color w:val="000000" w:themeColor="text1"/>
          <w14:textFill>
            <w14:solidFill>
              <w14:schemeClr w14:val="tx1"/>
            </w14:solidFill>
          </w14:textFill>
        </w:rPr>
        <w:t>项目采用先进的废盐资源化处置工艺，将危险废物（工业废盐）转化为工业融雪剂，实现“变废为宝”，打破了传统危险废物“处置为主、利用为辅”的模式，推动区域危险废物资源化利用产业升级。同时，项目的建设可带动废盐运输、环保设备制造、药剂供应等相关产业发展，促进传统化工产业与环保产业深度融合，助力新疆构建“绿色低碳、循环利用”的工业体系，契合国家“双碳”战略及新疆维吾尔自治区工业固废综合利用政策要求。</w:t>
      </w:r>
    </w:p>
    <w:p w14:paraId="395EB461">
      <w:pPr>
        <w:pStyle w:val="4"/>
        <w:rPr>
          <w:rFonts w:ascii="Times New Roman" w:cs="Times New Roman"/>
          <w:color w:val="000000" w:themeColor="text1"/>
          <w14:textFill>
            <w14:solidFill>
              <w14:schemeClr w14:val="tx1"/>
            </w14:solidFill>
          </w14:textFill>
        </w:rPr>
      </w:pPr>
      <w:bookmarkStart w:id="615" w:name="heading_3"/>
      <w:r>
        <w:rPr>
          <w:rFonts w:ascii="Times New Roman" w:cs="Times New Roman"/>
          <w:color w:val="000000" w:themeColor="text1"/>
          <w14:textFill>
            <w14:solidFill>
              <w14:schemeClr w14:val="tx1"/>
            </w14:solidFill>
          </w14:textFill>
        </w:rPr>
        <w:t>带动就业增收，贡献地方财政</w:t>
      </w:r>
      <w:bookmarkEnd w:id="615"/>
    </w:p>
    <w:p w14:paraId="013AC8F4">
      <w:pPr>
        <w:ind w:firstLine="480"/>
        <w:rPr>
          <w:color w:val="000000" w:themeColor="text1"/>
          <w14:textFill>
            <w14:solidFill>
              <w14:schemeClr w14:val="tx1"/>
            </w14:solidFill>
          </w14:textFill>
        </w:rPr>
      </w:pPr>
      <w:r>
        <w:rPr>
          <w:color w:val="000000" w:themeColor="text1"/>
          <w14:textFill>
            <w14:solidFill>
              <w14:schemeClr w14:val="tx1"/>
            </w14:solidFill>
          </w14:textFill>
        </w:rPr>
        <w:t>项目运营期劳动定员30人，直接提供专业技术岗位、设备操作岗位、环境管理岗位等就业机会，优先吸纳当地劳动力就业，缓解区域就业压力。同时，项目可带动废盐运输、设备维护、原辅材料供应等相关产业间接创造就业岗位</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0余个，进一步拓宽当地居民就业渠道。此外，项目投产后将严格按照国家税收政策缴纳增值税、企业所得税等，为地方财政收入提供稳定支撑，助力乌鲁木齐甘泉堡经开区基础设施建设、公共服务提升及区域经济高质量发展。</w:t>
      </w:r>
    </w:p>
    <w:p w14:paraId="473BF8B4">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提升区域环境管理水平</w:t>
      </w:r>
    </w:p>
    <w:p w14:paraId="67CEF38E">
      <w:pPr>
        <w:ind w:firstLine="480"/>
        <w:rPr>
          <w:color w:val="000000" w:themeColor="text1"/>
          <w14:textFill>
            <w14:solidFill>
              <w14:schemeClr w14:val="tx1"/>
            </w14:solidFill>
          </w14:textFill>
        </w:rPr>
      </w:pPr>
      <w:r>
        <w:rPr>
          <w:color w:val="000000" w:themeColor="text1"/>
          <w14:textFill>
            <w14:solidFill>
              <w14:schemeClr w14:val="tx1"/>
            </w14:solidFill>
          </w14:textFill>
        </w:rPr>
        <w:t>项目建设过程中严格落实环保“三同时”制度，运营期建立完善的环境管理制度、监测体系及风险防控体系，规范危险废物接收、储存、处置全流程管理，可为区域内同类危险废物处置项目提供示范，推动区域危险废物处置行业规范化、标准化发展，提升区域整体环境管理水平。</w:t>
      </w:r>
    </w:p>
    <w:p w14:paraId="09626ECC">
      <w:pPr>
        <w:pStyle w:val="3"/>
        <w:rPr>
          <w:rFonts w:ascii="Times New Roman" w:cs="Times New Roman"/>
          <w:color w:val="000000" w:themeColor="text1"/>
          <w14:textFill>
            <w14:solidFill>
              <w14:schemeClr w14:val="tx1"/>
            </w14:solidFill>
          </w14:textFill>
        </w:rPr>
      </w:pPr>
      <w:bookmarkStart w:id="616" w:name="_Toc225268346"/>
      <w:r>
        <w:rPr>
          <w:rFonts w:ascii="Times New Roman" w:cs="Times New Roman"/>
          <w:color w:val="000000" w:themeColor="text1"/>
          <w14:textFill>
            <w14:solidFill>
              <w14:schemeClr w14:val="tx1"/>
            </w14:solidFill>
          </w14:textFill>
        </w:rPr>
        <w:t>经济效益</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6"/>
    </w:p>
    <w:p w14:paraId="1F04657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本项目经济效益分为直接经济效益与间接经济效益，结合项目财务测算、行业平均水平及区域实际情况，核算如下。</w:t>
      </w:r>
    </w:p>
    <w:p w14:paraId="06B49CE3">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直接经济效益</w:t>
      </w:r>
    </w:p>
    <w:p w14:paraId="59F3551B">
      <w:pPr>
        <w:ind w:firstLine="480"/>
        <w:rPr>
          <w:color w:val="000000" w:themeColor="text1"/>
          <w14:textFill>
            <w14:solidFill>
              <w14:schemeClr w14:val="tx1"/>
            </w14:solidFill>
          </w14:textFill>
        </w:rPr>
      </w:pPr>
      <w:r>
        <w:rPr>
          <w:color w:val="000000" w:themeColor="text1"/>
          <w14:textFill>
            <w14:solidFill>
              <w14:schemeClr w14:val="tx1"/>
            </w14:solidFill>
          </w14:textFill>
        </w:rPr>
        <w:t>直接经济效益主要来源于废盐处置服务费及副产品（融雪剂）销售收入，扣除成本费用后，盈利能力稳定，具体核算如下：</w:t>
      </w:r>
    </w:p>
    <w:p w14:paraId="6714BFD4">
      <w:pPr>
        <w:ind w:firstLine="480"/>
        <w:rPr>
          <w:color w:val="000000" w:themeColor="text1"/>
          <w14:textFill>
            <w14:solidFill>
              <w14:schemeClr w14:val="tx1"/>
            </w14:solidFill>
          </w14:textFill>
        </w:rPr>
      </w:pPr>
      <w:r>
        <w:rPr>
          <w:color w:val="000000" w:themeColor="text1"/>
          <w14:textFill>
            <w14:solidFill>
              <w14:schemeClr w14:val="tx1"/>
            </w14:solidFill>
          </w14:textFill>
        </w:rPr>
        <w:t>营业收入：</w:t>
      </w: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 xml:space="preserve"> 废盐处置服务费：按行业参考价2000元/吨计算，年处置5万吨，处置服务费收入10000万元；</w:t>
      </w: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 xml:space="preserve"> 副产品收入：年产融雪剂46000吨，按市场参考价800元/吨计算，副产品收入约3700万元；年总营业收入合计13700万元。</w:t>
      </w:r>
    </w:p>
    <w:p w14:paraId="22100BBF">
      <w:pPr>
        <w:ind w:firstLine="480"/>
        <w:rPr>
          <w:color w:val="000000" w:themeColor="text1"/>
          <w14:textFill>
            <w14:solidFill>
              <w14:schemeClr w14:val="tx1"/>
            </w14:solidFill>
          </w14:textFill>
        </w:rPr>
      </w:pPr>
      <w:r>
        <w:rPr>
          <w:color w:val="000000" w:themeColor="text1"/>
          <w14:textFill>
            <w14:solidFill>
              <w14:schemeClr w14:val="tx1"/>
            </w14:solidFill>
          </w14:textFill>
        </w:rPr>
        <w:t>成本费用：</w:t>
      </w: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 xml:space="preserve"> 固定成本：包括固定资产折旧（按10年折旧，残值率5%）、人工成本、厂房租赁及维护费等，年固定成本约3500万元；</w:t>
      </w: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 xml:space="preserve"> 可变成本：包括原辅材料（天然气、碱液、活性炭等）、动力费用（电、水）、废盐运输费、环保设施运行费等，年可变成本约7200万元；年总成本费用合计10700万元。</w:t>
      </w:r>
    </w:p>
    <w:p w14:paraId="5C9F6F28">
      <w:pPr>
        <w:ind w:firstLine="480"/>
        <w:rPr>
          <w:color w:val="000000" w:themeColor="text1"/>
          <w14:textFill>
            <w14:solidFill>
              <w14:schemeClr w14:val="tx1"/>
            </w14:solidFill>
          </w14:textFill>
        </w:rPr>
      </w:pPr>
      <w:r>
        <w:rPr>
          <w:color w:val="000000" w:themeColor="text1"/>
          <w14:textFill>
            <w14:solidFill>
              <w14:schemeClr w14:val="tx1"/>
            </w14:solidFill>
          </w14:textFill>
        </w:rPr>
        <w:t>利润水平：年利润总额=营业收入-总成本费用=3000万元；扣除25%企业所得税后，年净利润约2250万元；含建设期（1年），静态投资回收期约3.5年，投资回报率良好，项目盈利能力稳定。</w:t>
      </w:r>
    </w:p>
    <w:p w14:paraId="6B784A63">
      <w:pPr>
        <w:pStyle w:val="4"/>
        <w:rPr>
          <w:rFonts w:ascii="Times New Roman" w:cs="Times New Roman"/>
          <w:color w:val="000000" w:themeColor="text1"/>
          <w14:textFill>
            <w14:solidFill>
              <w14:schemeClr w14:val="tx1"/>
            </w14:solidFill>
          </w14:textFill>
        </w:rPr>
      </w:pPr>
      <w:bookmarkStart w:id="617" w:name="heading_7"/>
      <w:r>
        <w:rPr>
          <w:rFonts w:ascii="Times New Roman" w:cs="Times New Roman"/>
          <w:color w:val="000000" w:themeColor="text1"/>
          <w14:textFill>
            <w14:solidFill>
              <w14:schemeClr w14:val="tx1"/>
            </w14:solidFill>
          </w14:textFill>
        </w:rPr>
        <w:t>间接经济效益</w:t>
      </w:r>
      <w:bookmarkEnd w:id="617"/>
    </w:p>
    <w:p w14:paraId="00CAB7A6">
      <w:pPr>
        <w:ind w:firstLine="480"/>
        <w:rPr>
          <w:color w:val="000000" w:themeColor="text1"/>
          <w14:textFill>
            <w14:solidFill>
              <w14:schemeClr w14:val="tx1"/>
            </w14:solidFill>
          </w14:textFill>
        </w:rPr>
      </w:pPr>
      <w:r>
        <w:rPr>
          <w:color w:val="000000" w:themeColor="text1"/>
          <w14:textFill>
            <w14:solidFill>
              <w14:schemeClr w14:val="tx1"/>
            </w14:solidFill>
          </w14:textFill>
        </w:rPr>
        <w:t>间接经济效益主要体现在降低周边企业处置成本、节约自然资源、减少生态破坏等方面，虽不直接计入企业财务收益，但对区域经济发展具有重要支撑作用：</w:t>
      </w:r>
    </w:p>
    <w:p w14:paraId="7BF3FC32">
      <w:pPr>
        <w:ind w:firstLine="480"/>
        <w:rPr>
          <w:color w:val="000000" w:themeColor="text1"/>
          <w14:textFill>
            <w14:solidFill>
              <w14:schemeClr w14:val="tx1"/>
            </w14:solidFill>
          </w14:textFill>
        </w:rPr>
      </w:pPr>
      <w:r>
        <w:rPr>
          <w:color w:val="000000" w:themeColor="text1"/>
          <w14:textFill>
            <w14:solidFill>
              <w14:schemeClr w14:val="tx1"/>
            </w14:solidFill>
          </w14:textFill>
        </w:rPr>
        <w:t>降低企业处置成本：区域内企业若将废盐转运至外地处置，处置成本约3000元/吨，本项目可将处置成本降低1000元/吨，每年为周边企业节省废盐处置费用约5000万元，减轻企业经营负担，提升区域化工企业竞争力。</w:t>
      </w:r>
    </w:p>
    <w:p w14:paraId="5A1F0067">
      <w:pPr>
        <w:ind w:firstLine="480"/>
        <w:rPr>
          <w:color w:val="000000" w:themeColor="text1"/>
          <w14:textFill>
            <w14:solidFill>
              <w14:schemeClr w14:val="tx1"/>
            </w14:solidFill>
          </w14:textFill>
        </w:rPr>
      </w:pPr>
      <w:r>
        <w:rPr>
          <w:color w:val="000000" w:themeColor="text1"/>
          <w14:textFill>
            <w14:solidFill>
              <w14:schemeClr w14:val="tx1"/>
            </w14:solidFill>
          </w14:textFill>
        </w:rPr>
        <w:t>资源节约效益：项目利用工业废盐生产融雪剂，替代天然盐矿资源，每年可节约天然盐矿开采量46000吨，减少矿产开采引发的生态破坏、资源消耗等成本，间接创造资源节约效益约230万元/年。</w:t>
      </w:r>
    </w:p>
    <w:p w14:paraId="4C22BF4E">
      <w:pPr>
        <w:pStyle w:val="4"/>
        <w:rPr>
          <w:rFonts w:ascii="Times New Roman" w:cs="Times New Roman"/>
          <w:color w:val="000000" w:themeColor="text1"/>
          <w14:textFill>
            <w14:solidFill>
              <w14:schemeClr w14:val="tx1"/>
            </w14:solidFill>
          </w14:textFill>
        </w:rPr>
      </w:pPr>
      <w:bookmarkStart w:id="618" w:name="heading_8"/>
      <w:r>
        <w:rPr>
          <w:rFonts w:ascii="Times New Roman" w:cs="Times New Roman"/>
          <w:color w:val="000000" w:themeColor="text1"/>
          <w14:textFill>
            <w14:solidFill>
              <w14:schemeClr w14:val="tx1"/>
            </w14:solidFill>
          </w14:textFill>
        </w:rPr>
        <w:t>经济效益结论</w:t>
      </w:r>
      <w:bookmarkEnd w:id="618"/>
    </w:p>
    <w:p w14:paraId="20414447">
      <w:pPr>
        <w:ind w:firstLine="480"/>
        <w:rPr>
          <w:color w:val="000000" w:themeColor="text1"/>
          <w14:textFill>
            <w14:solidFill>
              <w14:schemeClr w14:val="tx1"/>
            </w14:solidFill>
          </w14:textFill>
        </w:rPr>
      </w:pPr>
      <w:r>
        <w:rPr>
          <w:color w:val="000000" w:themeColor="text1"/>
          <w14:textFill>
            <w14:solidFill>
              <w14:schemeClr w14:val="tx1"/>
            </w14:solidFill>
          </w14:textFill>
        </w:rPr>
        <w:t>项目直接经济效益可观，投资回收期短，盈利能力稳定，可实现企业自身可持续发展；同时，通过降低周边企业成本、节约自然资源、提升土地利用效率，产生显著的间接经济效益，既保障了企业收益，又助力区域经济高质量发展，经济可行性良好。</w:t>
      </w:r>
    </w:p>
    <w:p w14:paraId="02E52C2B">
      <w:pPr>
        <w:pStyle w:val="3"/>
        <w:rPr>
          <w:rFonts w:ascii="Times New Roman" w:cs="Times New Roman"/>
          <w:color w:val="000000" w:themeColor="text1"/>
          <w14:textFill>
            <w14:solidFill>
              <w14:schemeClr w14:val="tx1"/>
            </w14:solidFill>
          </w14:textFill>
        </w:rPr>
      </w:pPr>
      <w:bookmarkStart w:id="619" w:name="_Toc329793818"/>
      <w:bookmarkStart w:id="620" w:name="_Toc330460852"/>
      <w:bookmarkStart w:id="621" w:name="_Toc225268347"/>
      <w:r>
        <w:rPr>
          <w:rFonts w:ascii="Times New Roman" w:cs="Times New Roman"/>
          <w:color w:val="000000" w:themeColor="text1"/>
          <w14:textFill>
            <w14:solidFill>
              <w14:schemeClr w14:val="tx1"/>
            </w14:solidFill>
          </w14:textFill>
        </w:rPr>
        <w:t>环保投资估算</w:t>
      </w:r>
      <w:bookmarkEnd w:id="619"/>
      <w:bookmarkEnd w:id="620"/>
      <w:bookmarkEnd w:id="621"/>
    </w:p>
    <w:p w14:paraId="30ACD042">
      <w:pPr>
        <w:ind w:firstLine="480"/>
        <w:rPr>
          <w:color w:val="000000" w:themeColor="text1"/>
          <w14:textFill>
            <w14:solidFill>
              <w14:schemeClr w14:val="tx1"/>
            </w14:solidFill>
          </w14:textFill>
        </w:rPr>
      </w:pPr>
      <w:bookmarkStart w:id="622" w:name="_Toc423957001"/>
      <w:bookmarkStart w:id="623" w:name="_Toc423331214"/>
      <w:bookmarkStart w:id="624" w:name="_Toc429518661"/>
      <w:bookmarkStart w:id="625" w:name="_Toc441850864"/>
      <w:bookmarkStart w:id="626" w:name="_Toc430237021"/>
      <w:bookmarkStart w:id="627" w:name="_Toc27633"/>
      <w:r>
        <w:rPr>
          <w:color w:val="000000" w:themeColor="text1"/>
          <w14:textFill>
            <w14:solidFill>
              <w14:schemeClr w14:val="tx1"/>
            </w14:solidFill>
          </w14:textFill>
        </w:rPr>
        <w:t>本项目环保投资贯穿建设期与运营期，涵盖废气、废水、固废、噪声、环境风险防控、环境监测等全环节，确保污染物达标排放及环境风险可控，具体投资估算与分析如下：</w:t>
      </w:r>
    </w:p>
    <w:p w14:paraId="70BE46D8">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环保投资估算表</w:t>
      </w:r>
    </w:p>
    <w:p w14:paraId="4EB0C8A0">
      <w:pPr>
        <w:ind w:firstLine="480"/>
        <w:rPr>
          <w:color w:val="000000" w:themeColor="text1"/>
          <w14:textFill>
            <w14:solidFill>
              <w14:schemeClr w14:val="tx1"/>
            </w14:solidFill>
          </w14:textFill>
        </w:rPr>
      </w:pPr>
      <w:r>
        <w:rPr>
          <w:color w:val="000000" w:themeColor="text1"/>
          <w14:textFill>
            <w14:solidFill>
              <w14:schemeClr w14:val="tx1"/>
            </w14:solidFill>
          </w14:textFill>
        </w:rPr>
        <w:t>项目总投资5000万元，环保投资包括建设期环保设施投资及运营期环保运行、管理费用，具体估算如下：</w:t>
      </w:r>
    </w:p>
    <w:p w14:paraId="29692DAC">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环保投资估算一览表</w:t>
      </w:r>
    </w:p>
    <w:tbl>
      <w:tblPr>
        <w:tblStyle w:val="76"/>
        <w:tblW w:w="9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88"/>
        <w:gridCol w:w="1560"/>
        <w:gridCol w:w="4536"/>
        <w:gridCol w:w="1134"/>
        <w:gridCol w:w="1276"/>
      </w:tblGrid>
      <w:tr w14:paraId="56F3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6F0D7B36">
            <w:pPr>
              <w:pStyle w:val="109"/>
              <w:ind w:left="-120" w:leftChars="-50" w:right="-115" w:rightChars="-48"/>
              <w:rPr>
                <w:color w:val="000000" w:themeColor="text1"/>
                <w14:textFill>
                  <w14:solidFill>
                    <w14:schemeClr w14:val="tx1"/>
                  </w14:solidFill>
                </w14:textFill>
              </w:rPr>
            </w:pPr>
            <w:r>
              <w:rPr>
                <w:color w:val="000000" w:themeColor="text1"/>
                <w14:textFill>
                  <w14:solidFill>
                    <w14:schemeClr w14:val="tx1"/>
                  </w14:solidFill>
                </w14:textFill>
              </w:rPr>
              <w:t>项目阶段</w:t>
            </w:r>
          </w:p>
        </w:tc>
        <w:tc>
          <w:tcPr>
            <w:tcW w:w="1560" w:type="dxa"/>
            <w:tcMar>
              <w:top w:w="60" w:type="dxa"/>
              <w:left w:w="120" w:type="dxa"/>
              <w:bottom w:w="30" w:type="dxa"/>
              <w:right w:w="120" w:type="dxa"/>
            </w:tcMar>
            <w:vAlign w:val="center"/>
          </w:tcPr>
          <w:p w14:paraId="733CC5B1">
            <w:pPr>
              <w:pStyle w:val="109"/>
              <w:rPr>
                <w:color w:val="000000" w:themeColor="text1"/>
                <w14:textFill>
                  <w14:solidFill>
                    <w14:schemeClr w14:val="tx1"/>
                  </w14:solidFill>
                </w14:textFill>
              </w:rPr>
            </w:pPr>
            <w:r>
              <w:rPr>
                <w:color w:val="000000" w:themeColor="text1"/>
                <w14:textFill>
                  <w14:solidFill>
                    <w14:schemeClr w14:val="tx1"/>
                  </w14:solidFill>
                </w14:textFill>
              </w:rPr>
              <w:t>环保设施/措施名称</w:t>
            </w:r>
          </w:p>
        </w:tc>
        <w:tc>
          <w:tcPr>
            <w:tcW w:w="4536" w:type="dxa"/>
            <w:tcMar>
              <w:top w:w="60" w:type="dxa"/>
              <w:left w:w="120" w:type="dxa"/>
              <w:bottom w:w="30" w:type="dxa"/>
              <w:right w:w="120" w:type="dxa"/>
            </w:tcMar>
            <w:vAlign w:val="center"/>
          </w:tcPr>
          <w:p w14:paraId="7D7919E6">
            <w:pPr>
              <w:pStyle w:val="109"/>
              <w:rPr>
                <w:color w:val="000000" w:themeColor="text1"/>
                <w14:textFill>
                  <w14:solidFill>
                    <w14:schemeClr w14:val="tx1"/>
                  </w14:solidFill>
                </w14:textFill>
              </w:rPr>
            </w:pPr>
            <w:r>
              <w:rPr>
                <w:color w:val="000000" w:themeColor="text1"/>
                <w14:textFill>
                  <w14:solidFill>
                    <w14:schemeClr w14:val="tx1"/>
                  </w14:solidFill>
                </w14:textFill>
              </w:rPr>
              <w:t>主要建设内容</w:t>
            </w:r>
          </w:p>
        </w:tc>
        <w:tc>
          <w:tcPr>
            <w:tcW w:w="1134" w:type="dxa"/>
            <w:tcMar>
              <w:top w:w="60" w:type="dxa"/>
              <w:left w:w="120" w:type="dxa"/>
              <w:bottom w:w="30" w:type="dxa"/>
              <w:right w:w="120" w:type="dxa"/>
            </w:tcMar>
            <w:vAlign w:val="center"/>
          </w:tcPr>
          <w:p w14:paraId="29E37D79">
            <w:pPr>
              <w:pStyle w:val="109"/>
              <w:rPr>
                <w:color w:val="000000" w:themeColor="text1"/>
                <w14:textFill>
                  <w14:solidFill>
                    <w14:schemeClr w14:val="tx1"/>
                  </w14:solidFill>
                </w14:textFill>
              </w:rPr>
            </w:pPr>
            <w:r>
              <w:rPr>
                <w:color w:val="000000" w:themeColor="text1"/>
                <w14:textFill>
                  <w14:solidFill>
                    <w14:schemeClr w14:val="tx1"/>
                  </w14:solidFill>
                </w14:textFill>
              </w:rPr>
              <w:t>投资金额（万元）</w:t>
            </w:r>
          </w:p>
        </w:tc>
        <w:tc>
          <w:tcPr>
            <w:tcW w:w="1276" w:type="dxa"/>
            <w:tcMar>
              <w:top w:w="60" w:type="dxa"/>
              <w:left w:w="120" w:type="dxa"/>
              <w:bottom w:w="30" w:type="dxa"/>
              <w:right w:w="120" w:type="dxa"/>
            </w:tcMar>
            <w:vAlign w:val="center"/>
          </w:tcPr>
          <w:p w14:paraId="17515A9C">
            <w:pPr>
              <w:pStyle w:val="109"/>
              <w:rPr>
                <w:color w:val="000000" w:themeColor="text1"/>
                <w14:textFill>
                  <w14:solidFill>
                    <w14:schemeClr w14:val="tx1"/>
                  </w14:solidFill>
                </w14:textFill>
              </w:rPr>
            </w:pPr>
            <w:r>
              <w:rPr>
                <w:color w:val="000000" w:themeColor="text1"/>
                <w14:textFill>
                  <w14:solidFill>
                    <w14:schemeClr w14:val="tx1"/>
                  </w14:solidFill>
                </w14:textFill>
              </w:rPr>
              <w:t>占总投资比例（%）</w:t>
            </w:r>
          </w:p>
        </w:tc>
      </w:tr>
      <w:tr w14:paraId="31B5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451CF802">
            <w:pPr>
              <w:pStyle w:val="109"/>
              <w:rPr>
                <w:color w:val="000000" w:themeColor="text1"/>
                <w14:textFill>
                  <w14:solidFill>
                    <w14:schemeClr w14:val="tx1"/>
                  </w14:solidFill>
                </w14:textFill>
              </w:rPr>
            </w:pPr>
            <w:r>
              <w:rPr>
                <w:color w:val="000000" w:themeColor="text1"/>
                <w14:textFill>
                  <w14:solidFill>
                    <w14:schemeClr w14:val="tx1"/>
                  </w14:solidFill>
                </w14:textFill>
              </w:rPr>
              <w:t>建设期</w:t>
            </w:r>
          </w:p>
        </w:tc>
        <w:tc>
          <w:tcPr>
            <w:tcW w:w="1560" w:type="dxa"/>
            <w:tcMar>
              <w:top w:w="60" w:type="dxa"/>
              <w:left w:w="120" w:type="dxa"/>
              <w:bottom w:w="30" w:type="dxa"/>
              <w:right w:w="120" w:type="dxa"/>
            </w:tcMar>
            <w:vAlign w:val="center"/>
          </w:tcPr>
          <w:p w14:paraId="03634311">
            <w:pPr>
              <w:pStyle w:val="109"/>
              <w:rPr>
                <w:color w:val="000000" w:themeColor="text1"/>
                <w14:textFill>
                  <w14:solidFill>
                    <w14:schemeClr w14:val="tx1"/>
                  </w14:solidFill>
                </w14:textFill>
              </w:rPr>
            </w:pPr>
            <w:r>
              <w:rPr>
                <w:color w:val="000000" w:themeColor="text1"/>
                <w14:textFill>
                  <w14:solidFill>
                    <w14:schemeClr w14:val="tx1"/>
                  </w14:solidFill>
                </w14:textFill>
              </w:rPr>
              <w:t>废气收集与预处理系统</w:t>
            </w:r>
          </w:p>
        </w:tc>
        <w:tc>
          <w:tcPr>
            <w:tcW w:w="4536" w:type="dxa"/>
            <w:tcMar>
              <w:top w:w="60" w:type="dxa"/>
              <w:left w:w="120" w:type="dxa"/>
              <w:bottom w:w="30" w:type="dxa"/>
              <w:right w:w="120" w:type="dxa"/>
            </w:tcMar>
            <w:vAlign w:val="center"/>
          </w:tcPr>
          <w:p w14:paraId="12108A97">
            <w:pPr>
              <w:pStyle w:val="109"/>
              <w:rPr>
                <w:color w:val="000000" w:themeColor="text1"/>
                <w14:textFill>
                  <w14:solidFill>
                    <w14:schemeClr w14:val="tx1"/>
                  </w14:solidFill>
                </w14:textFill>
              </w:rPr>
            </w:pPr>
            <w:r>
              <w:rPr>
                <w:color w:val="000000" w:themeColor="text1"/>
                <w14:textFill>
                  <w14:solidFill>
                    <w14:schemeClr w14:val="tx1"/>
                  </w14:solidFill>
                </w14:textFill>
              </w:rPr>
              <w:t>废盐储存仓库密闭收集系统、转运环节集气罩、管道铺设</w:t>
            </w:r>
          </w:p>
        </w:tc>
        <w:tc>
          <w:tcPr>
            <w:tcW w:w="1134" w:type="dxa"/>
            <w:tcMar>
              <w:top w:w="60" w:type="dxa"/>
              <w:left w:w="120" w:type="dxa"/>
              <w:bottom w:w="30" w:type="dxa"/>
              <w:right w:w="120" w:type="dxa"/>
            </w:tcMar>
            <w:vAlign w:val="center"/>
          </w:tcPr>
          <w:p w14:paraId="1FA18B2A">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20</w:t>
            </w:r>
          </w:p>
        </w:tc>
        <w:tc>
          <w:tcPr>
            <w:tcW w:w="1276" w:type="dxa"/>
            <w:tcMar>
              <w:top w:w="60" w:type="dxa"/>
              <w:left w:w="120" w:type="dxa"/>
              <w:bottom w:w="30" w:type="dxa"/>
              <w:right w:w="120" w:type="dxa"/>
            </w:tcMar>
            <w:vAlign w:val="center"/>
          </w:tcPr>
          <w:p w14:paraId="1364889A">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w:t>
            </w:r>
          </w:p>
        </w:tc>
      </w:tr>
      <w:tr w14:paraId="306A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098BFDAD">
            <w:pPr>
              <w:pStyle w:val="109"/>
              <w:rPr>
                <w:color w:val="000000" w:themeColor="text1"/>
                <w14:textFill>
                  <w14:solidFill>
                    <w14:schemeClr w14:val="tx1"/>
                  </w14:solidFill>
                </w14:textFill>
              </w:rPr>
            </w:pPr>
            <w:r>
              <w:rPr>
                <w:color w:val="000000" w:themeColor="text1"/>
                <w14:textFill>
                  <w14:solidFill>
                    <w14:schemeClr w14:val="tx1"/>
                  </w14:solidFill>
                </w14:textFill>
              </w:rPr>
              <w:t>建设期</w:t>
            </w:r>
          </w:p>
        </w:tc>
        <w:tc>
          <w:tcPr>
            <w:tcW w:w="1560" w:type="dxa"/>
            <w:tcMar>
              <w:top w:w="60" w:type="dxa"/>
              <w:left w:w="120" w:type="dxa"/>
              <w:bottom w:w="30" w:type="dxa"/>
              <w:right w:w="120" w:type="dxa"/>
            </w:tcMar>
            <w:vAlign w:val="center"/>
          </w:tcPr>
          <w:p w14:paraId="5A8F95AF">
            <w:pPr>
              <w:pStyle w:val="109"/>
              <w:rPr>
                <w:color w:val="000000" w:themeColor="text1"/>
                <w14:textFill>
                  <w14:solidFill>
                    <w14:schemeClr w14:val="tx1"/>
                  </w14:solidFill>
                </w14:textFill>
              </w:rPr>
            </w:pPr>
            <w:r>
              <w:rPr>
                <w:color w:val="000000" w:themeColor="text1"/>
                <w14:textFill>
                  <w14:solidFill>
                    <w14:schemeClr w14:val="tx1"/>
                  </w14:solidFill>
                </w14:textFill>
              </w:rPr>
              <w:t>烟气净化系统</w:t>
            </w:r>
          </w:p>
        </w:tc>
        <w:tc>
          <w:tcPr>
            <w:tcW w:w="4536" w:type="dxa"/>
            <w:tcMar>
              <w:top w:w="60" w:type="dxa"/>
              <w:left w:w="120" w:type="dxa"/>
              <w:bottom w:w="30" w:type="dxa"/>
              <w:right w:w="120" w:type="dxa"/>
            </w:tcMar>
            <w:vAlign w:val="center"/>
          </w:tcPr>
          <w:p w14:paraId="516E517C">
            <w:pPr>
              <w:pStyle w:val="109"/>
              <w:rPr>
                <w:color w:val="000000" w:themeColor="text1"/>
                <w14:textFill>
                  <w14:solidFill>
                    <w14:schemeClr w14:val="tx1"/>
                  </w14:solidFill>
                </w14:textFill>
              </w:rPr>
            </w:pPr>
            <w:r>
              <w:rPr>
                <w:color w:val="000000" w:themeColor="text1"/>
                <w14:textFill>
                  <w14:solidFill>
                    <w14:schemeClr w14:val="tx1"/>
                  </w14:solidFill>
                </w14:textFill>
              </w:rPr>
              <w:t>石墨急冷塔、二级碱洗塔、水洗塔、湿电除尘器、活性炭吸附塔、50m烟囱及在线监测设备</w:t>
            </w:r>
          </w:p>
        </w:tc>
        <w:tc>
          <w:tcPr>
            <w:tcW w:w="1134" w:type="dxa"/>
            <w:tcMar>
              <w:top w:w="60" w:type="dxa"/>
              <w:left w:w="120" w:type="dxa"/>
              <w:bottom w:w="30" w:type="dxa"/>
              <w:right w:w="120" w:type="dxa"/>
            </w:tcMar>
            <w:vAlign w:val="center"/>
          </w:tcPr>
          <w:p w14:paraId="1038E601">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300</w:t>
            </w:r>
          </w:p>
        </w:tc>
        <w:tc>
          <w:tcPr>
            <w:tcW w:w="1276" w:type="dxa"/>
            <w:tcMar>
              <w:top w:w="60" w:type="dxa"/>
              <w:left w:w="120" w:type="dxa"/>
              <w:bottom w:w="30" w:type="dxa"/>
              <w:right w:w="120" w:type="dxa"/>
            </w:tcMar>
            <w:vAlign w:val="center"/>
          </w:tcPr>
          <w:p w14:paraId="71DC73AD">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w:t>
            </w:r>
          </w:p>
        </w:tc>
      </w:tr>
      <w:tr w14:paraId="032A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73E9BAD5">
            <w:pPr>
              <w:pStyle w:val="109"/>
              <w:rPr>
                <w:color w:val="000000" w:themeColor="text1"/>
                <w14:textFill>
                  <w14:solidFill>
                    <w14:schemeClr w14:val="tx1"/>
                  </w14:solidFill>
                </w14:textFill>
              </w:rPr>
            </w:pPr>
            <w:r>
              <w:rPr>
                <w:color w:val="000000" w:themeColor="text1"/>
                <w14:textFill>
                  <w14:solidFill>
                    <w14:schemeClr w14:val="tx1"/>
                  </w14:solidFill>
                </w14:textFill>
              </w:rPr>
              <w:t>建设期</w:t>
            </w:r>
          </w:p>
        </w:tc>
        <w:tc>
          <w:tcPr>
            <w:tcW w:w="1560" w:type="dxa"/>
            <w:tcMar>
              <w:top w:w="60" w:type="dxa"/>
              <w:left w:w="120" w:type="dxa"/>
              <w:bottom w:w="30" w:type="dxa"/>
              <w:right w:w="120" w:type="dxa"/>
            </w:tcMar>
            <w:vAlign w:val="center"/>
          </w:tcPr>
          <w:p w14:paraId="68B18286">
            <w:pPr>
              <w:pStyle w:val="109"/>
              <w:rPr>
                <w:color w:val="000000" w:themeColor="text1"/>
                <w14:textFill>
                  <w14:solidFill>
                    <w14:schemeClr w14:val="tx1"/>
                  </w14:solidFill>
                </w14:textFill>
              </w:rPr>
            </w:pPr>
            <w:r>
              <w:rPr>
                <w:color w:val="000000" w:themeColor="text1"/>
                <w14:textFill>
                  <w14:solidFill>
                    <w14:schemeClr w14:val="tx1"/>
                  </w14:solidFill>
                </w14:textFill>
              </w:rPr>
              <w:t>废水处理系统</w:t>
            </w:r>
          </w:p>
        </w:tc>
        <w:tc>
          <w:tcPr>
            <w:tcW w:w="4536" w:type="dxa"/>
            <w:tcMar>
              <w:top w:w="60" w:type="dxa"/>
              <w:left w:w="120" w:type="dxa"/>
              <w:bottom w:w="30" w:type="dxa"/>
              <w:right w:w="120" w:type="dxa"/>
            </w:tcMar>
            <w:vAlign w:val="center"/>
          </w:tcPr>
          <w:p w14:paraId="7CE94656">
            <w:pPr>
              <w:pStyle w:val="109"/>
              <w:rPr>
                <w:color w:val="000000" w:themeColor="text1"/>
                <w14:textFill>
                  <w14:solidFill>
                    <w14:schemeClr w14:val="tx1"/>
                  </w14:solidFill>
                </w14:textFill>
              </w:rPr>
            </w:pPr>
            <w:r>
              <w:rPr>
                <w:color w:val="000000" w:themeColor="text1"/>
                <w14:textFill>
                  <w14:solidFill>
                    <w14:schemeClr w14:val="tx1"/>
                  </w14:solidFill>
                </w14:textFill>
              </w:rPr>
              <w:t>中和池、多效蒸发器、冷凝水循环系统、防渗工程（HDPE膜+黏土防渗层）</w:t>
            </w:r>
          </w:p>
        </w:tc>
        <w:tc>
          <w:tcPr>
            <w:tcW w:w="1134" w:type="dxa"/>
            <w:tcMar>
              <w:top w:w="60" w:type="dxa"/>
              <w:left w:w="120" w:type="dxa"/>
              <w:bottom w:w="30" w:type="dxa"/>
              <w:right w:w="120" w:type="dxa"/>
            </w:tcMar>
            <w:vAlign w:val="center"/>
          </w:tcPr>
          <w:p w14:paraId="1C3C5485">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30</w:t>
            </w:r>
          </w:p>
        </w:tc>
        <w:tc>
          <w:tcPr>
            <w:tcW w:w="1276" w:type="dxa"/>
            <w:tcMar>
              <w:top w:w="60" w:type="dxa"/>
              <w:left w:w="120" w:type="dxa"/>
              <w:bottom w:w="30" w:type="dxa"/>
              <w:right w:w="120" w:type="dxa"/>
            </w:tcMar>
            <w:vAlign w:val="center"/>
          </w:tcPr>
          <w:p w14:paraId="51832EC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0.6</w:t>
            </w:r>
          </w:p>
        </w:tc>
      </w:tr>
      <w:tr w14:paraId="467B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195A28E6">
            <w:pPr>
              <w:pStyle w:val="109"/>
              <w:rPr>
                <w:color w:val="000000" w:themeColor="text1"/>
                <w14:textFill>
                  <w14:solidFill>
                    <w14:schemeClr w14:val="tx1"/>
                  </w14:solidFill>
                </w14:textFill>
              </w:rPr>
            </w:pPr>
            <w:r>
              <w:rPr>
                <w:color w:val="000000" w:themeColor="text1"/>
                <w14:textFill>
                  <w14:solidFill>
                    <w14:schemeClr w14:val="tx1"/>
                  </w14:solidFill>
                </w14:textFill>
              </w:rPr>
              <w:t>建设期</w:t>
            </w:r>
          </w:p>
        </w:tc>
        <w:tc>
          <w:tcPr>
            <w:tcW w:w="1560" w:type="dxa"/>
            <w:tcMar>
              <w:top w:w="60" w:type="dxa"/>
              <w:left w:w="120" w:type="dxa"/>
              <w:bottom w:w="30" w:type="dxa"/>
              <w:right w:w="120" w:type="dxa"/>
            </w:tcMar>
            <w:vAlign w:val="center"/>
          </w:tcPr>
          <w:p w14:paraId="32DFCAB6">
            <w:pPr>
              <w:pStyle w:val="109"/>
              <w:rPr>
                <w:color w:val="000000" w:themeColor="text1"/>
                <w14:textFill>
                  <w14:solidFill>
                    <w14:schemeClr w14:val="tx1"/>
                  </w14:solidFill>
                </w14:textFill>
              </w:rPr>
            </w:pPr>
            <w:r>
              <w:rPr>
                <w:color w:val="000000" w:themeColor="text1"/>
                <w14:textFill>
                  <w14:solidFill>
                    <w14:schemeClr w14:val="tx1"/>
                  </w14:solidFill>
                </w14:textFill>
              </w:rPr>
              <w:t>固废暂存设施</w:t>
            </w:r>
          </w:p>
        </w:tc>
        <w:tc>
          <w:tcPr>
            <w:tcW w:w="4536" w:type="dxa"/>
            <w:tcMar>
              <w:top w:w="60" w:type="dxa"/>
              <w:left w:w="120" w:type="dxa"/>
              <w:bottom w:w="30" w:type="dxa"/>
              <w:right w:w="120" w:type="dxa"/>
            </w:tcMar>
            <w:vAlign w:val="center"/>
          </w:tcPr>
          <w:p w14:paraId="4E7079B7">
            <w:pPr>
              <w:pStyle w:val="109"/>
              <w:rPr>
                <w:color w:val="000000" w:themeColor="text1"/>
                <w14:textFill>
                  <w14:solidFill>
                    <w14:schemeClr w14:val="tx1"/>
                  </w14:solidFill>
                </w14:textFill>
              </w:rPr>
            </w:pPr>
            <w:r>
              <w:rPr>
                <w:color w:val="000000" w:themeColor="text1"/>
                <w14:textFill>
                  <w14:solidFill>
                    <w14:schemeClr w14:val="tx1"/>
                  </w14:solidFill>
                </w14:textFill>
              </w:rPr>
              <w:t>危险废物暂存间（密闭、防渗、防雨）、一般固废暂存区、废活性炭收集桶</w:t>
            </w:r>
          </w:p>
        </w:tc>
        <w:tc>
          <w:tcPr>
            <w:tcW w:w="1134" w:type="dxa"/>
            <w:tcMar>
              <w:top w:w="60" w:type="dxa"/>
              <w:left w:w="120" w:type="dxa"/>
              <w:bottom w:w="30" w:type="dxa"/>
              <w:right w:w="120" w:type="dxa"/>
            </w:tcMar>
            <w:vAlign w:val="center"/>
          </w:tcPr>
          <w:p w14:paraId="4BFA33E7">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20</w:t>
            </w:r>
          </w:p>
        </w:tc>
        <w:tc>
          <w:tcPr>
            <w:tcW w:w="1276" w:type="dxa"/>
            <w:tcMar>
              <w:top w:w="60" w:type="dxa"/>
              <w:left w:w="120" w:type="dxa"/>
              <w:bottom w:w="30" w:type="dxa"/>
              <w:right w:w="120" w:type="dxa"/>
            </w:tcMar>
            <w:vAlign w:val="center"/>
          </w:tcPr>
          <w:p w14:paraId="58A5F743">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w:t>
            </w:r>
          </w:p>
        </w:tc>
      </w:tr>
      <w:tr w14:paraId="357D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08897131">
            <w:pPr>
              <w:pStyle w:val="109"/>
              <w:rPr>
                <w:color w:val="000000" w:themeColor="text1"/>
                <w14:textFill>
                  <w14:solidFill>
                    <w14:schemeClr w14:val="tx1"/>
                  </w14:solidFill>
                </w14:textFill>
              </w:rPr>
            </w:pPr>
            <w:r>
              <w:rPr>
                <w:color w:val="000000" w:themeColor="text1"/>
                <w14:textFill>
                  <w14:solidFill>
                    <w14:schemeClr w14:val="tx1"/>
                  </w14:solidFill>
                </w14:textFill>
              </w:rPr>
              <w:t>建设期</w:t>
            </w:r>
          </w:p>
        </w:tc>
        <w:tc>
          <w:tcPr>
            <w:tcW w:w="1560" w:type="dxa"/>
            <w:tcMar>
              <w:top w:w="60" w:type="dxa"/>
              <w:left w:w="120" w:type="dxa"/>
              <w:bottom w:w="30" w:type="dxa"/>
              <w:right w:w="120" w:type="dxa"/>
            </w:tcMar>
            <w:vAlign w:val="center"/>
          </w:tcPr>
          <w:p w14:paraId="1BC8180E">
            <w:pPr>
              <w:pStyle w:val="109"/>
              <w:rPr>
                <w:color w:val="000000" w:themeColor="text1"/>
                <w14:textFill>
                  <w14:solidFill>
                    <w14:schemeClr w14:val="tx1"/>
                  </w14:solidFill>
                </w14:textFill>
              </w:rPr>
            </w:pPr>
            <w:r>
              <w:rPr>
                <w:color w:val="000000" w:themeColor="text1"/>
                <w14:textFill>
                  <w14:solidFill>
                    <w14:schemeClr w14:val="tx1"/>
                  </w14:solidFill>
                </w14:textFill>
              </w:rPr>
              <w:t>噪声治理设施</w:t>
            </w:r>
          </w:p>
        </w:tc>
        <w:tc>
          <w:tcPr>
            <w:tcW w:w="4536" w:type="dxa"/>
            <w:tcMar>
              <w:top w:w="60" w:type="dxa"/>
              <w:left w:w="120" w:type="dxa"/>
              <w:bottom w:w="30" w:type="dxa"/>
              <w:right w:w="120" w:type="dxa"/>
            </w:tcMar>
            <w:vAlign w:val="center"/>
          </w:tcPr>
          <w:p w14:paraId="664F8DDA">
            <w:pPr>
              <w:pStyle w:val="109"/>
              <w:rPr>
                <w:color w:val="000000" w:themeColor="text1"/>
                <w14:textFill>
                  <w14:solidFill>
                    <w14:schemeClr w14:val="tx1"/>
                  </w14:solidFill>
                </w14:textFill>
              </w:rPr>
            </w:pPr>
            <w:r>
              <w:rPr>
                <w:color w:val="000000" w:themeColor="text1"/>
                <w14:textFill>
                  <w14:solidFill>
                    <w14:schemeClr w14:val="tx1"/>
                  </w14:solidFill>
                </w14:textFill>
              </w:rPr>
              <w:t>设备基础减震、风机消声器、厂房隔声、管道阻尼包扎</w:t>
            </w:r>
          </w:p>
        </w:tc>
        <w:tc>
          <w:tcPr>
            <w:tcW w:w="1134" w:type="dxa"/>
            <w:tcMar>
              <w:top w:w="60" w:type="dxa"/>
              <w:left w:w="120" w:type="dxa"/>
              <w:bottom w:w="30" w:type="dxa"/>
              <w:right w:w="120" w:type="dxa"/>
            </w:tcMar>
            <w:vAlign w:val="center"/>
          </w:tcPr>
          <w:p w14:paraId="1501C9F3">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5</w:t>
            </w:r>
          </w:p>
        </w:tc>
        <w:tc>
          <w:tcPr>
            <w:tcW w:w="1276" w:type="dxa"/>
            <w:tcMar>
              <w:top w:w="60" w:type="dxa"/>
              <w:left w:w="120" w:type="dxa"/>
              <w:bottom w:w="30" w:type="dxa"/>
              <w:right w:w="120" w:type="dxa"/>
            </w:tcMar>
            <w:vAlign w:val="center"/>
          </w:tcPr>
          <w:p w14:paraId="00AD3C62">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r>
      <w:tr w14:paraId="6C51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78FCEB68">
            <w:pPr>
              <w:pStyle w:val="109"/>
              <w:rPr>
                <w:color w:val="000000" w:themeColor="text1"/>
                <w14:textFill>
                  <w14:solidFill>
                    <w14:schemeClr w14:val="tx1"/>
                  </w14:solidFill>
                </w14:textFill>
              </w:rPr>
            </w:pPr>
            <w:r>
              <w:rPr>
                <w:color w:val="000000" w:themeColor="text1"/>
                <w14:textFill>
                  <w14:solidFill>
                    <w14:schemeClr w14:val="tx1"/>
                  </w14:solidFill>
                </w14:textFill>
              </w:rPr>
              <w:t>运营期</w:t>
            </w:r>
          </w:p>
        </w:tc>
        <w:tc>
          <w:tcPr>
            <w:tcW w:w="1560" w:type="dxa"/>
            <w:tcMar>
              <w:top w:w="60" w:type="dxa"/>
              <w:left w:w="120" w:type="dxa"/>
              <w:bottom w:w="30" w:type="dxa"/>
              <w:right w:w="120" w:type="dxa"/>
            </w:tcMar>
            <w:vAlign w:val="center"/>
          </w:tcPr>
          <w:p w14:paraId="19DFDCA2">
            <w:pPr>
              <w:pStyle w:val="109"/>
              <w:rPr>
                <w:color w:val="000000" w:themeColor="text1"/>
                <w14:textFill>
                  <w14:solidFill>
                    <w14:schemeClr w14:val="tx1"/>
                  </w14:solidFill>
                </w14:textFill>
              </w:rPr>
            </w:pPr>
            <w:r>
              <w:rPr>
                <w:color w:val="000000" w:themeColor="text1"/>
                <w14:textFill>
                  <w14:solidFill>
                    <w14:schemeClr w14:val="tx1"/>
                  </w14:solidFill>
                </w14:textFill>
              </w:rPr>
              <w:t>环保运行费用</w:t>
            </w:r>
          </w:p>
        </w:tc>
        <w:tc>
          <w:tcPr>
            <w:tcW w:w="4536" w:type="dxa"/>
            <w:tcMar>
              <w:top w:w="60" w:type="dxa"/>
              <w:left w:w="120" w:type="dxa"/>
              <w:bottom w:w="30" w:type="dxa"/>
              <w:right w:w="120" w:type="dxa"/>
            </w:tcMar>
            <w:vAlign w:val="center"/>
          </w:tcPr>
          <w:p w14:paraId="3C200366">
            <w:pPr>
              <w:pStyle w:val="109"/>
              <w:rPr>
                <w:color w:val="000000" w:themeColor="text1"/>
                <w14:textFill>
                  <w14:solidFill>
                    <w14:schemeClr w14:val="tx1"/>
                  </w14:solidFill>
                </w14:textFill>
              </w:rPr>
            </w:pPr>
            <w:r>
              <w:rPr>
                <w:color w:val="000000" w:themeColor="text1"/>
                <w14:textFill>
                  <w14:solidFill>
                    <w14:schemeClr w14:val="tx1"/>
                  </w14:solidFill>
                </w14:textFill>
              </w:rPr>
              <w:t>药剂费（碱液、活性炭等）、电费、水费、环保设施维护费、危废转运处置费</w:t>
            </w:r>
          </w:p>
        </w:tc>
        <w:tc>
          <w:tcPr>
            <w:tcW w:w="1134" w:type="dxa"/>
            <w:tcMar>
              <w:top w:w="60" w:type="dxa"/>
              <w:left w:w="120" w:type="dxa"/>
              <w:bottom w:w="30" w:type="dxa"/>
              <w:right w:w="120" w:type="dxa"/>
            </w:tcMar>
            <w:vAlign w:val="center"/>
          </w:tcPr>
          <w:p w14:paraId="332F4403">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280</w:t>
            </w:r>
          </w:p>
        </w:tc>
        <w:tc>
          <w:tcPr>
            <w:tcW w:w="1276" w:type="dxa"/>
            <w:tcMar>
              <w:top w:w="60" w:type="dxa"/>
              <w:left w:w="120" w:type="dxa"/>
              <w:bottom w:w="30" w:type="dxa"/>
              <w:right w:w="120" w:type="dxa"/>
            </w:tcMar>
            <w:vAlign w:val="center"/>
          </w:tcPr>
          <w:p w14:paraId="3750E66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5.6</w:t>
            </w:r>
          </w:p>
        </w:tc>
      </w:tr>
      <w:tr w14:paraId="0241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101F4879">
            <w:pPr>
              <w:pStyle w:val="109"/>
              <w:rPr>
                <w:color w:val="000000" w:themeColor="text1"/>
                <w14:textFill>
                  <w14:solidFill>
                    <w14:schemeClr w14:val="tx1"/>
                  </w14:solidFill>
                </w14:textFill>
              </w:rPr>
            </w:pPr>
            <w:r>
              <w:rPr>
                <w:color w:val="000000" w:themeColor="text1"/>
                <w14:textFill>
                  <w14:solidFill>
                    <w14:schemeClr w14:val="tx1"/>
                  </w14:solidFill>
                </w14:textFill>
              </w:rPr>
              <w:t>运营期</w:t>
            </w:r>
          </w:p>
        </w:tc>
        <w:tc>
          <w:tcPr>
            <w:tcW w:w="1560" w:type="dxa"/>
            <w:tcMar>
              <w:top w:w="60" w:type="dxa"/>
              <w:left w:w="120" w:type="dxa"/>
              <w:bottom w:w="30" w:type="dxa"/>
              <w:right w:w="120" w:type="dxa"/>
            </w:tcMar>
            <w:vAlign w:val="center"/>
          </w:tcPr>
          <w:p w14:paraId="1B2C0288">
            <w:pPr>
              <w:pStyle w:val="109"/>
              <w:rPr>
                <w:color w:val="000000" w:themeColor="text1"/>
                <w14:textFill>
                  <w14:solidFill>
                    <w14:schemeClr w14:val="tx1"/>
                  </w14:solidFill>
                </w14:textFill>
              </w:rPr>
            </w:pPr>
            <w:r>
              <w:rPr>
                <w:color w:val="000000" w:themeColor="text1"/>
                <w14:textFill>
                  <w14:solidFill>
                    <w14:schemeClr w14:val="tx1"/>
                  </w14:solidFill>
                </w14:textFill>
              </w:rPr>
              <w:t>环境管理费用</w:t>
            </w:r>
          </w:p>
        </w:tc>
        <w:tc>
          <w:tcPr>
            <w:tcW w:w="4536" w:type="dxa"/>
            <w:tcMar>
              <w:top w:w="60" w:type="dxa"/>
              <w:left w:w="120" w:type="dxa"/>
              <w:bottom w:w="30" w:type="dxa"/>
              <w:right w:w="120" w:type="dxa"/>
            </w:tcMar>
            <w:vAlign w:val="center"/>
          </w:tcPr>
          <w:p w14:paraId="0269D435">
            <w:pPr>
              <w:pStyle w:val="109"/>
              <w:rPr>
                <w:color w:val="000000" w:themeColor="text1"/>
                <w14:textFill>
                  <w14:solidFill>
                    <w14:schemeClr w14:val="tx1"/>
                  </w14:solidFill>
                </w14:textFill>
              </w:rPr>
            </w:pPr>
            <w:r>
              <w:rPr>
                <w:color w:val="000000" w:themeColor="text1"/>
                <w14:textFill>
                  <w14:solidFill>
                    <w14:schemeClr w14:val="tx1"/>
                  </w14:solidFill>
                </w14:textFill>
              </w:rPr>
              <w:t>环境管理制度建设、人员培训、应急预案编制与演练</w:t>
            </w:r>
          </w:p>
        </w:tc>
        <w:tc>
          <w:tcPr>
            <w:tcW w:w="1134" w:type="dxa"/>
            <w:tcMar>
              <w:top w:w="60" w:type="dxa"/>
              <w:left w:w="120" w:type="dxa"/>
              <w:bottom w:w="30" w:type="dxa"/>
              <w:right w:w="120" w:type="dxa"/>
            </w:tcMar>
            <w:vAlign w:val="center"/>
          </w:tcPr>
          <w:p w14:paraId="30FE9C9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20</w:t>
            </w:r>
          </w:p>
        </w:tc>
        <w:tc>
          <w:tcPr>
            <w:tcW w:w="1276" w:type="dxa"/>
            <w:tcMar>
              <w:top w:w="60" w:type="dxa"/>
              <w:left w:w="120" w:type="dxa"/>
              <w:bottom w:w="30" w:type="dxa"/>
              <w:right w:w="120" w:type="dxa"/>
            </w:tcMar>
            <w:vAlign w:val="center"/>
          </w:tcPr>
          <w:p w14:paraId="32CA348F">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w:t>
            </w:r>
          </w:p>
        </w:tc>
      </w:tr>
      <w:tr w14:paraId="6713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88" w:type="dxa"/>
            <w:tcMar>
              <w:top w:w="60" w:type="dxa"/>
              <w:left w:w="120" w:type="dxa"/>
              <w:bottom w:w="30" w:type="dxa"/>
              <w:right w:w="120" w:type="dxa"/>
            </w:tcMar>
            <w:vAlign w:val="center"/>
          </w:tcPr>
          <w:p w14:paraId="1FA7FF06">
            <w:pPr>
              <w:pStyle w:val="109"/>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560" w:type="dxa"/>
            <w:tcMar>
              <w:top w:w="60" w:type="dxa"/>
              <w:left w:w="120" w:type="dxa"/>
              <w:bottom w:w="30" w:type="dxa"/>
              <w:right w:w="120" w:type="dxa"/>
            </w:tcMar>
            <w:vAlign w:val="center"/>
          </w:tcPr>
          <w:p w14:paraId="0AEF558A">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4536" w:type="dxa"/>
            <w:tcMar>
              <w:top w:w="60" w:type="dxa"/>
              <w:left w:w="120" w:type="dxa"/>
              <w:bottom w:w="30" w:type="dxa"/>
              <w:right w:w="120" w:type="dxa"/>
            </w:tcMar>
            <w:vAlign w:val="center"/>
          </w:tcPr>
          <w:p w14:paraId="1AB136C6">
            <w:pPr>
              <w:pStyle w:val="109"/>
              <w:rPr>
                <w:color w:val="000000" w:themeColor="text1"/>
                <w14:textFill>
                  <w14:solidFill>
                    <w14:schemeClr w14:val="tx1"/>
                  </w14:solidFill>
                </w14:textFill>
              </w:rPr>
            </w:pPr>
            <w:r>
              <w:rPr>
                <w:color w:val="000000" w:themeColor="text1"/>
                <w14:textFill>
                  <w14:solidFill>
                    <w14:schemeClr w14:val="tx1"/>
                  </w14:solidFill>
                </w14:textFill>
              </w:rPr>
              <w:t>-</w:t>
            </w:r>
          </w:p>
        </w:tc>
        <w:tc>
          <w:tcPr>
            <w:tcW w:w="1134" w:type="dxa"/>
            <w:tcMar>
              <w:top w:w="60" w:type="dxa"/>
              <w:left w:w="120" w:type="dxa"/>
              <w:bottom w:w="30" w:type="dxa"/>
              <w:right w:w="120" w:type="dxa"/>
            </w:tcMar>
            <w:vAlign w:val="center"/>
          </w:tcPr>
          <w:p w14:paraId="1B8F00C8">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675</w:t>
            </w:r>
          </w:p>
        </w:tc>
        <w:tc>
          <w:tcPr>
            <w:tcW w:w="1276" w:type="dxa"/>
            <w:tcMar>
              <w:top w:w="60" w:type="dxa"/>
              <w:left w:w="120" w:type="dxa"/>
              <w:bottom w:w="30" w:type="dxa"/>
              <w:right w:w="120" w:type="dxa"/>
            </w:tcMar>
            <w:vAlign w:val="center"/>
          </w:tcPr>
          <w:p w14:paraId="581DAAA2">
            <w:pPr>
              <w:pStyle w:val="109"/>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13.5</w:t>
            </w:r>
          </w:p>
        </w:tc>
      </w:tr>
    </w:tbl>
    <w:p w14:paraId="734BE435">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环保投资比例分析</w:t>
      </w:r>
    </w:p>
    <w:p w14:paraId="417EB113">
      <w:pPr>
        <w:ind w:firstLine="480"/>
        <w:rPr>
          <w:color w:val="000000" w:themeColor="text1"/>
          <w14:textFill>
            <w14:solidFill>
              <w14:schemeClr w14:val="tx1"/>
            </w14:solidFill>
          </w14:textFill>
        </w:rPr>
      </w:pPr>
      <w:r>
        <w:rPr>
          <w:color w:val="000000" w:themeColor="text1"/>
          <w14:textFill>
            <w14:solidFill>
              <w14:schemeClr w14:val="tx1"/>
            </w14:solidFill>
          </w14:textFill>
        </w:rPr>
        <w:t>建设期环保投资</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75万元，占项目总投资的</w:t>
      </w:r>
      <w:r>
        <w:rPr>
          <w:rFonts w:hint="eastAsia"/>
          <w:color w:val="000000" w:themeColor="text1"/>
          <w14:textFill>
            <w14:solidFill>
              <w14:schemeClr w14:val="tx1"/>
            </w14:solidFill>
          </w14:textFill>
        </w:rPr>
        <w:t>13.5</w:t>
      </w:r>
      <w:r>
        <w:rPr>
          <w:color w:val="000000" w:themeColor="text1"/>
          <w14:textFill>
            <w14:solidFill>
              <w14:schemeClr w14:val="tx1"/>
            </w14:solidFill>
          </w14:textFill>
        </w:rPr>
        <w:t>%，符合危险废物处置项目“环保优先、防控为主”的行业特征，体现了项目对环境保护的重视。</w:t>
      </w:r>
    </w:p>
    <w:p w14:paraId="345C0E6E">
      <w:pPr>
        <w:ind w:firstLine="480"/>
        <w:rPr>
          <w:color w:val="000000" w:themeColor="text1"/>
          <w14:textFill>
            <w14:solidFill>
              <w14:schemeClr w14:val="tx1"/>
            </w14:solidFill>
          </w14:textFill>
        </w:rPr>
      </w:pPr>
      <w:r>
        <w:rPr>
          <w:color w:val="000000" w:themeColor="text1"/>
          <w14:textFill>
            <w14:solidFill>
              <w14:schemeClr w14:val="tx1"/>
            </w14:solidFill>
          </w14:textFill>
        </w:rPr>
        <w:t>运营期年均环保运行及管理费用300万元，占年营业收入的6%，占年净利润的13.33%，环保运行成本处于企业可承受范围内，不会对企业盈利能力造成重大影响，确保环保设施能够长期稳定运行。</w:t>
      </w:r>
    </w:p>
    <w:p w14:paraId="4AA2545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环保投资合理性分析</w:t>
      </w:r>
    </w:p>
    <w:p w14:paraId="5633FA1D">
      <w:pPr>
        <w:ind w:firstLine="480"/>
        <w:rPr>
          <w:color w:val="000000" w:themeColor="text1"/>
          <w14:textFill>
            <w14:solidFill>
              <w14:schemeClr w14:val="tx1"/>
            </w14:solidFill>
          </w14:textFill>
        </w:rPr>
      </w:pPr>
      <w:r>
        <w:rPr>
          <w:color w:val="000000" w:themeColor="text1"/>
          <w14:textFill>
            <w14:solidFill>
              <w14:schemeClr w14:val="tx1"/>
            </w14:solidFill>
          </w14:textFill>
        </w:rPr>
        <w:t>项目环保投资重点投向烟气净化、废水处理、环境风险防控等核心环节，设施配置符合《危险废物焚烧污染控制标准》（GB18484-2020）、《建设项目环境风险评价技术导则》（HJ 169-2018）等相关规范要求，可有效控制运营期大气、水、固废、噪声等污染物排放，降低环境风险。从环境效益、安全效益及长远发展角度来看，项目环保投资配置科学、合理、必要，能够实现“环保投入-污染减排-生态保护”的良性循环，为项目可持续运营提供保障。</w:t>
      </w:r>
    </w:p>
    <w:bookmarkEnd w:id="622"/>
    <w:bookmarkEnd w:id="623"/>
    <w:bookmarkEnd w:id="624"/>
    <w:bookmarkEnd w:id="625"/>
    <w:bookmarkEnd w:id="626"/>
    <w:bookmarkEnd w:id="627"/>
    <w:p w14:paraId="46CDF18C">
      <w:pPr>
        <w:ind w:firstLine="480"/>
        <w:rPr>
          <w:color w:val="000000" w:themeColor="text1"/>
          <w14:textFill>
            <w14:solidFill>
              <w14:schemeClr w14:val="tx1"/>
            </w14:solidFill>
          </w14:textFill>
        </w:rPr>
      </w:pPr>
      <w:r>
        <w:rPr>
          <w:color w:val="000000" w:themeColor="text1"/>
          <w14:textFill>
            <w14:solidFill>
              <w14:schemeClr w14:val="tx1"/>
            </w14:solidFill>
          </w14:textFill>
        </w:rPr>
        <w:t>项目通过完善的环保设施投入与规范化运营，实现污染物减排、资源循环利用、生态风险降低等多重环境效益。</w:t>
      </w:r>
    </w:p>
    <w:p w14:paraId="3B9AD064">
      <w:pPr>
        <w:pStyle w:val="3"/>
        <w:rPr>
          <w:rFonts w:ascii="Times New Roman" w:cs="Times New Roman"/>
          <w:color w:val="000000" w:themeColor="text1"/>
          <w14:textFill>
            <w14:solidFill>
              <w14:schemeClr w14:val="tx1"/>
            </w14:solidFill>
          </w14:textFill>
        </w:rPr>
      </w:pPr>
      <w:bookmarkStart w:id="628" w:name="heading_15"/>
      <w:bookmarkStart w:id="629" w:name="_Toc225268348"/>
      <w:r>
        <w:rPr>
          <w:rFonts w:ascii="Times New Roman" w:cs="Times New Roman"/>
          <w:color w:val="000000" w:themeColor="text1"/>
          <w14:textFill>
            <w14:solidFill>
              <w14:schemeClr w14:val="tx1"/>
            </w14:solidFill>
          </w14:textFill>
        </w:rPr>
        <w:t>资源循环利用效益</w:t>
      </w:r>
      <w:bookmarkEnd w:id="628"/>
      <w:bookmarkEnd w:id="629"/>
    </w:p>
    <w:p w14:paraId="3D395682">
      <w:pPr>
        <w:ind w:firstLine="480"/>
        <w:rPr>
          <w:color w:val="000000" w:themeColor="text1"/>
          <w14:textFill>
            <w14:solidFill>
              <w14:schemeClr w14:val="tx1"/>
            </w14:solidFill>
          </w14:textFill>
        </w:rPr>
      </w:pPr>
      <w:r>
        <w:rPr>
          <w:color w:val="000000" w:themeColor="text1"/>
          <w14:textFill>
            <w14:solidFill>
              <w14:schemeClr w14:val="tx1"/>
            </w14:solidFill>
          </w14:textFill>
        </w:rPr>
        <w:t>废盐资源化利用：每年处置5万吨工业废盐，将危险废物转化为46000吨融雪剂，实现废盐资源的循环利用，避免废盐填埋造成的资源浪费，提升资源利用效率。</w:t>
      </w:r>
    </w:p>
    <w:p w14:paraId="5BB88C52">
      <w:pPr>
        <w:ind w:firstLine="480"/>
        <w:rPr>
          <w:color w:val="000000" w:themeColor="text1"/>
          <w14:textFill>
            <w14:solidFill>
              <w14:schemeClr w14:val="tx1"/>
            </w14:solidFill>
          </w14:textFill>
        </w:rPr>
      </w:pPr>
      <w:r>
        <w:rPr>
          <w:color w:val="000000" w:themeColor="text1"/>
          <w14:textFill>
            <w14:solidFill>
              <w14:schemeClr w14:val="tx1"/>
            </w14:solidFill>
          </w14:textFill>
        </w:rPr>
        <w:t>水资源节约：项目采用“中和+多效蒸发+冷凝水循环利用”工艺，年循环利用废水约1.2万吨，实现生产废水零排放，有效节约区域地下水资源，缓解新疆干旱地区水资源短缺压力。</w:t>
      </w:r>
    </w:p>
    <w:p w14:paraId="6841580F">
      <w:pPr>
        <w:ind w:firstLine="480"/>
        <w:rPr>
          <w:color w:val="000000" w:themeColor="text1"/>
          <w14:textFill>
            <w14:solidFill>
              <w14:schemeClr w14:val="tx1"/>
            </w14:solidFill>
          </w14:textFill>
        </w:rPr>
      </w:pPr>
      <w:r>
        <w:rPr>
          <w:color w:val="000000" w:themeColor="text1"/>
          <w14:textFill>
            <w14:solidFill>
              <w14:schemeClr w14:val="tx1"/>
            </w14:solidFill>
          </w14:textFill>
        </w:rPr>
        <w:t>矿产资源保护：项目生产的融雪剂替代天然盐矿资源，每年减少天然盐矿开采量46000吨，避免矿产开采引发的植被破坏、土壤侵蚀等生态问题，相当于保护20亩矿产开采区植被。</w:t>
      </w:r>
    </w:p>
    <w:p w14:paraId="2DDC30AF">
      <w:pPr>
        <w:pStyle w:val="3"/>
        <w:rPr>
          <w:rFonts w:ascii="Times New Roman" w:cs="Times New Roman"/>
          <w:color w:val="000000" w:themeColor="text1"/>
          <w14:textFill>
            <w14:solidFill>
              <w14:schemeClr w14:val="tx1"/>
            </w14:solidFill>
          </w14:textFill>
        </w:rPr>
      </w:pPr>
      <w:bookmarkStart w:id="630" w:name="heading_16"/>
      <w:bookmarkStart w:id="631" w:name="_Toc225268349"/>
      <w:r>
        <w:rPr>
          <w:rFonts w:ascii="Times New Roman" w:cs="Times New Roman"/>
          <w:color w:val="000000" w:themeColor="text1"/>
          <w14:textFill>
            <w14:solidFill>
              <w14:schemeClr w14:val="tx1"/>
            </w14:solidFill>
          </w14:textFill>
        </w:rPr>
        <w:t>生态环境风险降低效益</w:t>
      </w:r>
      <w:bookmarkEnd w:id="630"/>
      <w:bookmarkEnd w:id="631"/>
    </w:p>
    <w:p w14:paraId="73447F5D">
      <w:pPr>
        <w:ind w:firstLine="480"/>
        <w:rPr>
          <w:color w:val="000000" w:themeColor="text1"/>
          <w14:textFill>
            <w14:solidFill>
              <w14:schemeClr w14:val="tx1"/>
            </w14:solidFill>
          </w14:textFill>
        </w:rPr>
      </w:pPr>
      <w:r>
        <w:rPr>
          <w:color w:val="000000" w:themeColor="text1"/>
          <w14:textFill>
            <w14:solidFill>
              <w14:schemeClr w14:val="tx1"/>
            </w14:solidFill>
          </w14:textFill>
        </w:rPr>
        <w:t>降低长期生态风险：避免传统废盐填埋引发的地下水污染、土壤污染等长期生态风险，减少区域地下水修复、土壤修复的潜在成本。</w:t>
      </w:r>
    </w:p>
    <w:p w14:paraId="25D7122A">
      <w:pPr>
        <w:ind w:firstLine="480"/>
        <w:rPr>
          <w:color w:val="000000" w:themeColor="text1"/>
          <w14:textFill>
            <w14:solidFill>
              <w14:schemeClr w14:val="tx1"/>
            </w14:solidFill>
          </w14:textFill>
        </w:rPr>
      </w:pPr>
      <w:r>
        <w:rPr>
          <w:color w:val="000000" w:themeColor="text1"/>
          <w14:textFill>
            <w14:solidFill>
              <w14:schemeClr w14:val="tx1"/>
            </w14:solidFill>
          </w14:textFill>
        </w:rPr>
        <w:t>防控突发环境事件：项目配备完善的环境风险防控设施及应急预案，大幅降低废气非正常排放、废水泄漏、火灾爆炸等突发环境事件发生概率，保护乌鲁木齐甘泉堡经开区的生态环境承载力，维护区域生态平衡。</w:t>
      </w:r>
    </w:p>
    <w:p w14:paraId="46E0A701">
      <w:pPr>
        <w:ind w:firstLine="480"/>
        <w:rPr>
          <w:color w:val="000000" w:themeColor="text1"/>
          <w14:textFill>
            <w14:solidFill>
              <w14:schemeClr w14:val="tx1"/>
            </w14:solidFill>
          </w14:textFill>
        </w:rPr>
      </w:pPr>
      <w:r>
        <w:rPr>
          <w:color w:val="000000" w:themeColor="text1"/>
          <w14:textFill>
            <w14:solidFill>
              <w14:schemeClr w14:val="tx1"/>
            </w14:solidFill>
          </w14:textFill>
        </w:rPr>
        <w:t>改善区域环境质量：通过污染物减排、资源循环利用，减少大气、水、土壤污染，改善区域环境质量，提升周边生态环境舒适度，为区域生态环境可持续发展提供支撑。</w:t>
      </w:r>
    </w:p>
    <w:p w14:paraId="3373B1B9">
      <w:pPr>
        <w:pStyle w:val="3"/>
        <w:rPr>
          <w:rFonts w:ascii="Times New Roman" w:cs="Times New Roman"/>
          <w:color w:val="000000" w:themeColor="text1"/>
          <w14:textFill>
            <w14:solidFill>
              <w14:schemeClr w14:val="tx1"/>
            </w14:solidFill>
          </w14:textFill>
        </w:rPr>
      </w:pPr>
      <w:bookmarkStart w:id="632" w:name="heading_17"/>
      <w:bookmarkStart w:id="633" w:name="_Toc225268350"/>
      <w:r>
        <w:rPr>
          <w:rFonts w:ascii="Times New Roman" w:cs="Times New Roman"/>
          <w:color w:val="000000" w:themeColor="text1"/>
          <w14:textFill>
            <w14:solidFill>
              <w14:schemeClr w14:val="tx1"/>
            </w14:solidFill>
          </w14:textFill>
        </w:rPr>
        <w:t>环境损害分析</w:t>
      </w:r>
      <w:bookmarkEnd w:id="632"/>
      <w:bookmarkEnd w:id="633"/>
    </w:p>
    <w:p w14:paraId="7875D04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本项目在严格落实环保措施、规范运营的前提下，环境损害风险可控、损害程度轻微，主要潜在环境损害分为正常工况下的轻微损害与风险事故下的潜在损害，具体分析及损益平衡如下：</w:t>
      </w:r>
    </w:p>
    <w:p w14:paraId="5AC55930">
      <w:pPr>
        <w:pStyle w:val="4"/>
        <w:rPr>
          <w:rFonts w:ascii="Times New Roman" w:cs="Times New Roman"/>
          <w:color w:val="000000" w:themeColor="text1"/>
          <w14:textFill>
            <w14:solidFill>
              <w14:schemeClr w14:val="tx1"/>
            </w14:solidFill>
          </w14:textFill>
        </w:rPr>
      </w:pPr>
      <w:bookmarkStart w:id="634" w:name="heading_18"/>
      <w:r>
        <w:rPr>
          <w:rFonts w:ascii="Times New Roman" w:cs="Times New Roman"/>
          <w:color w:val="000000" w:themeColor="text1"/>
          <w14:textFill>
            <w14:solidFill>
              <w14:schemeClr w14:val="tx1"/>
            </w14:solidFill>
          </w14:textFill>
        </w:rPr>
        <w:t>正常工况下的潜在环境损害及成本估算</w:t>
      </w:r>
      <w:bookmarkEnd w:id="634"/>
    </w:p>
    <w:p w14:paraId="5FFB7541">
      <w:pPr>
        <w:ind w:firstLine="480"/>
        <w:rPr>
          <w:color w:val="000000" w:themeColor="text1"/>
          <w14:textFill>
            <w14:solidFill>
              <w14:schemeClr w14:val="tx1"/>
            </w14:solidFill>
          </w14:textFill>
        </w:rPr>
      </w:pPr>
      <w:r>
        <w:rPr>
          <w:color w:val="000000" w:themeColor="text1"/>
          <w14:textFill>
            <w14:solidFill>
              <w14:schemeClr w14:val="tx1"/>
            </w14:solidFill>
          </w14:textFill>
        </w:rPr>
        <w:t>项目正常运营时，污染物均实现达标排放，对周边环境的损害轻微，主要表现为大气污染物、噪声的轻微影响，结合《环境影响经济损益分析技术规范》，估算损害成本如下：</w:t>
      </w:r>
    </w:p>
    <w:p w14:paraId="4CCE3141">
      <w:pPr>
        <w:ind w:firstLine="480"/>
        <w:rPr>
          <w:color w:val="000000" w:themeColor="text1"/>
          <w14:textFill>
            <w14:solidFill>
              <w14:schemeClr w14:val="tx1"/>
            </w14:solidFill>
          </w14:textFill>
        </w:rPr>
      </w:pPr>
      <w:r>
        <w:rPr>
          <w:color w:val="000000" w:themeColor="text1"/>
          <w14:textFill>
            <w14:solidFill>
              <w14:schemeClr w14:val="tx1"/>
            </w14:solidFill>
          </w14:textFill>
        </w:rPr>
        <w:t>大气污染物排放损害：项目达标排放的颗粒物、HCl等污染物，对周边生态植被产生轻微影响，主要表现为植被叶片轻微枯黄，年环境损害成本约50万元。</w:t>
      </w:r>
    </w:p>
    <w:p w14:paraId="1D446102">
      <w:pPr>
        <w:ind w:firstLine="480"/>
        <w:rPr>
          <w:color w:val="000000" w:themeColor="text1"/>
          <w14:textFill>
            <w14:solidFill>
              <w14:schemeClr w14:val="tx1"/>
            </w14:solidFill>
          </w14:textFill>
        </w:rPr>
      </w:pPr>
      <w:r>
        <w:rPr>
          <w:color w:val="000000" w:themeColor="text1"/>
          <w14:textFill>
            <w14:solidFill>
              <w14:schemeClr w14:val="tx1"/>
            </w14:solidFill>
          </w14:textFill>
        </w:rPr>
        <w:t>噪声污染损害：项目厂界噪声符合《工业企业厂界环境噪声排放标准》（GB12348-2008），对周边少量工业企业人员产生轻微影响，主要表现为听觉不适，年环境损害成本约10万元。</w:t>
      </w:r>
    </w:p>
    <w:p w14:paraId="634A4DC2">
      <w:pPr>
        <w:ind w:firstLine="480"/>
        <w:rPr>
          <w:color w:val="000000" w:themeColor="text1"/>
          <w14:textFill>
            <w14:solidFill>
              <w14:schemeClr w14:val="tx1"/>
            </w14:solidFill>
          </w14:textFill>
        </w:rPr>
      </w:pPr>
      <w:r>
        <w:rPr>
          <w:color w:val="000000" w:themeColor="text1"/>
          <w14:textFill>
            <w14:solidFill>
              <w14:schemeClr w14:val="tx1"/>
            </w14:solidFill>
          </w14:textFill>
        </w:rPr>
        <w:t>正常工况年总环境损害成本：60万元，损害程度轻微，可通过持续优化环保设施、加强运营管理进一步降低。</w:t>
      </w:r>
    </w:p>
    <w:p w14:paraId="1B0199D1">
      <w:pPr>
        <w:pStyle w:val="4"/>
        <w:rPr>
          <w:rFonts w:ascii="Times New Roman" w:cs="Times New Roman"/>
          <w:color w:val="000000" w:themeColor="text1"/>
          <w14:textFill>
            <w14:solidFill>
              <w14:schemeClr w14:val="tx1"/>
            </w14:solidFill>
          </w14:textFill>
        </w:rPr>
      </w:pPr>
      <w:bookmarkStart w:id="635" w:name="heading_20"/>
      <w:r>
        <w:rPr>
          <w:rFonts w:ascii="Times New Roman" w:cs="Times New Roman"/>
          <w:color w:val="000000" w:themeColor="text1"/>
          <w14:textFill>
            <w14:solidFill>
              <w14:schemeClr w14:val="tx1"/>
            </w14:solidFill>
          </w14:textFill>
        </w:rPr>
        <w:t>环境损益平衡分析</w:t>
      </w:r>
      <w:bookmarkEnd w:id="635"/>
    </w:p>
    <w:p w14:paraId="2776A318">
      <w:pPr>
        <w:ind w:firstLine="480"/>
        <w:rPr>
          <w:color w:val="000000" w:themeColor="text1"/>
          <w14:textFill>
            <w14:solidFill>
              <w14:schemeClr w14:val="tx1"/>
            </w14:solidFill>
          </w14:textFill>
        </w:rPr>
      </w:pPr>
      <w:r>
        <w:rPr>
          <w:color w:val="000000" w:themeColor="text1"/>
          <w14:textFill>
            <w14:solidFill>
              <w14:schemeClr w14:val="tx1"/>
            </w14:solidFill>
          </w14:textFill>
        </w:rPr>
        <w:t>正常工况下：项目年环境效益（污染物减排+资源节约+风险降低）约5150万元（含周边企业节本5000万元、资源节约230万元、避免修复成本100万元，扣除轻微损害60万元），环境效益远大于环境损害，损益平衡效果显著。</w:t>
      </w:r>
    </w:p>
    <w:p w14:paraId="0D5BA417">
      <w:pPr>
        <w:ind w:firstLine="480"/>
        <w:rPr>
          <w:color w:val="000000" w:themeColor="text1"/>
          <w14:textFill>
            <w14:solidFill>
              <w14:schemeClr w14:val="tx1"/>
            </w14:solidFill>
          </w14:textFill>
        </w:rPr>
      </w:pPr>
      <w:r>
        <w:rPr>
          <w:color w:val="000000" w:themeColor="text1"/>
          <w14:textFill>
            <w14:solidFill>
              <w14:schemeClr w14:val="tx1"/>
            </w14:solidFill>
          </w14:textFill>
        </w:rPr>
        <w:t>风险工况下：即使发生极端环境风险事故，单次潜在损害成本（最高900万元）远低于项目年均净利润（2250万元），且可通过应急处置、保险机制转移风险，不会对项目运营造成致命影响，整体风险可控。</w:t>
      </w:r>
    </w:p>
    <w:p w14:paraId="0FB2CE11">
      <w:pPr>
        <w:pStyle w:val="4"/>
        <w:rPr>
          <w:rFonts w:ascii="Times New Roman" w:cs="Times New Roman"/>
          <w:color w:val="000000" w:themeColor="text1"/>
          <w14:textFill>
            <w14:solidFill>
              <w14:schemeClr w14:val="tx1"/>
            </w14:solidFill>
          </w14:textFill>
        </w:rPr>
      </w:pPr>
      <w:bookmarkStart w:id="636" w:name="heading_21"/>
      <w:r>
        <w:rPr>
          <w:rFonts w:ascii="Times New Roman" w:cs="Times New Roman"/>
          <w:color w:val="000000" w:themeColor="text1"/>
          <w14:textFill>
            <w14:solidFill>
              <w14:schemeClr w14:val="tx1"/>
            </w14:solidFill>
          </w14:textFill>
        </w:rPr>
        <w:t>环境损害防控建议</w:t>
      </w:r>
      <w:bookmarkEnd w:id="636"/>
    </w:p>
    <w:p w14:paraId="59980F22">
      <w:pPr>
        <w:ind w:firstLine="480"/>
        <w:rPr>
          <w:color w:val="000000" w:themeColor="text1"/>
          <w14:textFill>
            <w14:solidFill>
              <w14:schemeClr w14:val="tx1"/>
            </w14:solidFill>
          </w14:textFill>
        </w:rPr>
      </w:pPr>
      <w:r>
        <w:rPr>
          <w:color w:val="000000" w:themeColor="text1"/>
          <w14:textFill>
            <w14:solidFill>
              <w14:schemeClr w14:val="tx1"/>
            </w14:solidFill>
          </w14:textFill>
        </w:rPr>
        <w:t>严格落实环保设施常态化运行管理，定期开展设施巡检、维护，确保污染物稳定达标排放，降低正常工况下的轻微环境损害。</w:t>
      </w:r>
    </w:p>
    <w:p w14:paraId="39896498">
      <w:pPr>
        <w:ind w:firstLine="480"/>
        <w:rPr>
          <w:color w:val="000000" w:themeColor="text1"/>
          <w14:textFill>
            <w14:solidFill>
              <w14:schemeClr w14:val="tx1"/>
            </w14:solidFill>
          </w14:textFill>
        </w:rPr>
      </w:pPr>
      <w:r>
        <w:rPr>
          <w:color w:val="000000" w:themeColor="text1"/>
          <w14:textFill>
            <w14:solidFill>
              <w14:schemeClr w14:val="tx1"/>
            </w14:solidFill>
          </w14:textFill>
        </w:rPr>
        <w:t>完善环境风险防控体系，定期开展应急预案演练，储备充足应急物资，提升事故应急处置能力，杜绝重大环境损害事故发生。</w:t>
      </w:r>
    </w:p>
    <w:p w14:paraId="66E4DB81">
      <w:pPr>
        <w:ind w:firstLine="480"/>
        <w:rPr>
          <w:color w:val="000000" w:themeColor="text1"/>
          <w14:textFill>
            <w14:solidFill>
              <w14:schemeClr w14:val="tx1"/>
            </w14:solidFill>
          </w14:textFill>
        </w:rPr>
      </w:pPr>
      <w:r>
        <w:rPr>
          <w:color w:val="000000" w:themeColor="text1"/>
          <w14:textFill>
            <w14:solidFill>
              <w14:schemeClr w14:val="tx1"/>
            </w14:solidFill>
          </w14:textFill>
        </w:rPr>
        <w:t>投保环境污染责任保险，将潜在环境损害风险转移，保障环境损害后的生态修复资金来源，降低企业环境风险负担。</w:t>
      </w:r>
    </w:p>
    <w:p w14:paraId="74C5DE38">
      <w:pPr>
        <w:ind w:firstLine="480"/>
        <w:rPr>
          <w:color w:val="000000" w:themeColor="text1"/>
          <w14:textFill>
            <w14:solidFill>
              <w14:schemeClr w14:val="tx1"/>
            </w14:solidFill>
          </w14:textFill>
        </w:rPr>
      </w:pPr>
      <w:r>
        <w:rPr>
          <w:color w:val="000000" w:themeColor="text1"/>
          <w14:textFill>
            <w14:solidFill>
              <w14:schemeClr w14:val="tx1"/>
            </w14:solidFill>
          </w14:textFill>
        </w:rPr>
        <w:t>加强环境监测，建立大气、水、土壤、噪声常态化监测机制，及时发现并处置环境异常情况，防范环境损害扩大。</w:t>
      </w:r>
    </w:p>
    <w:p w14:paraId="65EAFBEF">
      <w:pPr>
        <w:pStyle w:val="3"/>
        <w:rPr>
          <w:rFonts w:ascii="Times New Roman" w:cs="Times New Roman"/>
          <w:color w:val="000000" w:themeColor="text1"/>
          <w14:textFill>
            <w14:solidFill>
              <w14:schemeClr w14:val="tx1"/>
            </w14:solidFill>
          </w14:textFill>
        </w:rPr>
      </w:pPr>
      <w:bookmarkStart w:id="637" w:name="heading_22"/>
      <w:bookmarkStart w:id="638" w:name="_Toc225268351"/>
      <w:r>
        <w:rPr>
          <w:rFonts w:ascii="Times New Roman" w:cs="Times New Roman"/>
          <w:color w:val="000000" w:themeColor="text1"/>
          <w14:textFill>
            <w14:solidFill>
              <w14:schemeClr w14:val="tx1"/>
            </w14:solidFill>
          </w14:textFill>
        </w:rPr>
        <w:t>结论</w:t>
      </w:r>
      <w:bookmarkEnd w:id="637"/>
      <w:bookmarkEnd w:id="638"/>
    </w:p>
    <w:p w14:paraId="02CFE7C1">
      <w:pPr>
        <w:ind w:firstLine="480"/>
        <w:rPr>
          <w:color w:val="000000" w:themeColor="text1"/>
          <w14:textFill>
            <w14:solidFill>
              <w14:schemeClr w14:val="tx1"/>
            </w14:solidFill>
          </w14:textFill>
        </w:rPr>
      </w:pPr>
      <w:r>
        <w:rPr>
          <w:color w:val="000000" w:themeColor="text1"/>
          <w14:textFill>
            <w14:solidFill>
              <w14:schemeClr w14:val="tx1"/>
            </w14:solidFill>
          </w14:textFill>
        </w:rPr>
        <w:t>综合分析本项目的社会效益、经济效益、环境效益及环境损害，得出以下结论：</w:t>
      </w:r>
    </w:p>
    <w:p w14:paraId="7CFA881D">
      <w:pPr>
        <w:ind w:firstLine="480"/>
        <w:rPr>
          <w:color w:val="000000" w:themeColor="text1"/>
          <w14:textFill>
            <w14:solidFill>
              <w14:schemeClr w14:val="tx1"/>
            </w14:solidFill>
          </w14:textFill>
        </w:rPr>
      </w:pPr>
      <w:r>
        <w:rPr>
          <w:color w:val="000000" w:themeColor="text1"/>
          <w14:textFill>
            <w14:solidFill>
              <w14:schemeClr w14:val="tx1"/>
            </w14:solidFill>
          </w14:textFill>
        </w:rPr>
        <w:t>1.  社会效益显著：项目破解了区域工业废盐处置瓶颈，推动产业结构优化升级，带动就业增收、贡献地方财政，提升区域环境管理水平，实现了“环保惠民、产业兴区”的社会效益目标。</w:t>
      </w:r>
    </w:p>
    <w:p w14:paraId="3244B8CC">
      <w:pPr>
        <w:ind w:firstLine="480"/>
        <w:rPr>
          <w:color w:val="000000" w:themeColor="text1"/>
          <w14:textFill>
            <w14:solidFill>
              <w14:schemeClr w14:val="tx1"/>
            </w14:solidFill>
          </w14:textFill>
        </w:rPr>
      </w:pPr>
      <w:r>
        <w:rPr>
          <w:color w:val="000000" w:themeColor="text1"/>
          <w14:textFill>
            <w14:solidFill>
              <w14:schemeClr w14:val="tx1"/>
            </w14:solidFill>
          </w14:textFill>
        </w:rPr>
        <w:t>2.  经济效益良好：项目直接盈利能力稳定，投资回收期短，同时通过降低周边企业成本、节约自然资源，产生显著的间接经济效益，实现企业与区域经济的协同发展。</w:t>
      </w:r>
    </w:p>
    <w:p w14:paraId="1172490C">
      <w:pPr>
        <w:ind w:firstLine="480"/>
        <w:rPr>
          <w:color w:val="000000" w:themeColor="text1"/>
          <w14:textFill>
            <w14:solidFill>
              <w14:schemeClr w14:val="tx1"/>
            </w14:solidFill>
          </w14:textFill>
        </w:rPr>
      </w:pPr>
      <w:r>
        <w:rPr>
          <w:color w:val="000000" w:themeColor="text1"/>
          <w14:textFill>
            <w14:solidFill>
              <w14:schemeClr w14:val="tx1"/>
            </w14:solidFill>
          </w14:textFill>
        </w:rPr>
        <w:t>3.  环保投资合理：期环保运行成本可控，环保设施配置符合规范要求，可有效控制污染物排放及环境风险，为环境效益实现提供保障。</w:t>
      </w:r>
    </w:p>
    <w:p w14:paraId="68690A27">
      <w:pPr>
        <w:ind w:firstLine="480"/>
        <w:rPr>
          <w:color w:val="000000" w:themeColor="text1"/>
          <w14:textFill>
            <w14:solidFill>
              <w14:schemeClr w14:val="tx1"/>
            </w14:solidFill>
          </w14:textFill>
        </w:rPr>
      </w:pPr>
      <w:r>
        <w:rPr>
          <w:color w:val="000000" w:themeColor="text1"/>
          <w14:textFill>
            <w14:solidFill>
              <w14:schemeClr w14:val="tx1"/>
            </w14:solidFill>
          </w14:textFill>
        </w:rPr>
        <w:t>4.  环境效益突出：项目实现了污染物显著减排、资源循环利用，降低了区域生态环境风险，改善了区域环境质量，环境效益远大于正常工况下的轻微环境损害。</w:t>
      </w:r>
    </w:p>
    <w:p w14:paraId="20B76E3C">
      <w:pPr>
        <w:ind w:firstLine="480"/>
        <w:rPr>
          <w:color w:val="000000" w:themeColor="text1"/>
          <w14:textFill>
            <w14:solidFill>
              <w14:schemeClr w14:val="tx1"/>
            </w14:solidFill>
          </w14:textFill>
        </w:rPr>
      </w:pPr>
      <w:r>
        <w:rPr>
          <w:color w:val="000000" w:themeColor="text1"/>
          <w14:textFill>
            <w14:solidFill>
              <w14:schemeClr w14:val="tx1"/>
            </w14:solidFill>
          </w14:textFill>
        </w:rPr>
        <w:t>5.  环境损害可控：正常工况下环境损害轻微，风险工况下潜在损害可通过防控措施、应急处置及保险机制有效规避，整体环境风险可控。</w:t>
      </w:r>
    </w:p>
    <w:p w14:paraId="7D0BC6F3">
      <w:pPr>
        <w:ind w:firstLine="480"/>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r>
        <w:rPr>
          <w:color w:val="000000" w:themeColor="text1"/>
          <w14:textFill>
            <w14:solidFill>
              <w14:schemeClr w14:val="tx1"/>
            </w14:solidFill>
          </w14:textFill>
        </w:rPr>
        <w:t>综上，本项目建设运营实现了“社会效益、经济效益、环境效益”的协同共赢，从环境经济角度分析，项目建设符合环境经济可行性要求，能够在保障企业可持续发展的同时，推动区域绿色低碳、循环发展，建议项目顺利推进建设与运营。</w:t>
      </w:r>
    </w:p>
    <w:p w14:paraId="47DC4AD8">
      <w:pPr>
        <w:pStyle w:val="2"/>
        <w:rPr>
          <w:rFonts w:ascii="Times New Roman" w:cs="Times New Roman"/>
          <w:color w:val="000000" w:themeColor="text1"/>
          <w14:textFill>
            <w14:solidFill>
              <w14:schemeClr w14:val="tx1"/>
            </w14:solidFill>
          </w14:textFill>
        </w:rPr>
      </w:pPr>
      <w:bookmarkStart w:id="639" w:name="_Toc330460853"/>
      <w:bookmarkStart w:id="640" w:name="_Toc225268352"/>
      <w:bookmarkStart w:id="641" w:name="_Toc329793821"/>
      <w:r>
        <w:rPr>
          <w:rFonts w:ascii="Times New Roman" w:cs="Times New Roman"/>
          <w:color w:val="000000" w:themeColor="text1"/>
          <w14:textFill>
            <w14:solidFill>
              <w14:schemeClr w14:val="tx1"/>
            </w14:solidFill>
          </w14:textFill>
        </w:rPr>
        <w:t>环境管理与监测计划</w:t>
      </w:r>
      <w:bookmarkEnd w:id="584"/>
      <w:bookmarkEnd w:id="585"/>
      <w:bookmarkEnd w:id="586"/>
      <w:bookmarkEnd w:id="587"/>
      <w:bookmarkEnd w:id="588"/>
      <w:bookmarkEnd w:id="589"/>
      <w:bookmarkEnd w:id="590"/>
      <w:bookmarkEnd w:id="591"/>
      <w:bookmarkEnd w:id="592"/>
      <w:bookmarkEnd w:id="593"/>
      <w:bookmarkEnd w:id="639"/>
      <w:bookmarkEnd w:id="640"/>
      <w:bookmarkEnd w:id="641"/>
    </w:p>
    <w:p w14:paraId="69300FF7">
      <w:pPr>
        <w:pStyle w:val="3"/>
        <w:rPr>
          <w:rFonts w:ascii="Times New Roman" w:cs="Times New Roman"/>
          <w:color w:val="000000" w:themeColor="text1"/>
          <w14:textFill>
            <w14:solidFill>
              <w14:schemeClr w14:val="tx1"/>
            </w14:solidFill>
          </w14:textFill>
        </w:rPr>
      </w:pPr>
      <w:bookmarkStart w:id="642" w:name="_Toc293592728"/>
      <w:bookmarkStart w:id="643" w:name="_Toc321822007"/>
      <w:bookmarkStart w:id="644" w:name="_Toc266187841"/>
      <w:bookmarkStart w:id="645" w:name="_Toc329793822"/>
      <w:bookmarkStart w:id="646" w:name="_Toc217924967"/>
      <w:bookmarkStart w:id="647" w:name="_Toc185164453"/>
      <w:bookmarkStart w:id="648" w:name="_Toc172919757"/>
      <w:bookmarkStart w:id="649" w:name="_Toc330460854"/>
      <w:bookmarkStart w:id="650" w:name="_Toc225268353"/>
      <w:r>
        <w:rPr>
          <w:rFonts w:ascii="Times New Roman" w:cs="Times New Roman"/>
          <w:color w:val="000000" w:themeColor="text1"/>
          <w14:textFill>
            <w14:solidFill>
              <w14:schemeClr w14:val="tx1"/>
            </w14:solidFill>
          </w14:textFill>
        </w:rPr>
        <w:t>环境管理</w:t>
      </w:r>
      <w:bookmarkEnd w:id="594"/>
      <w:bookmarkEnd w:id="642"/>
      <w:bookmarkEnd w:id="643"/>
      <w:bookmarkEnd w:id="644"/>
      <w:bookmarkEnd w:id="645"/>
      <w:bookmarkEnd w:id="646"/>
      <w:bookmarkEnd w:id="647"/>
      <w:bookmarkEnd w:id="648"/>
      <w:bookmarkEnd w:id="649"/>
      <w:r>
        <w:rPr>
          <w:rFonts w:ascii="Times New Roman" w:cs="Times New Roman"/>
          <w:color w:val="000000" w:themeColor="text1"/>
          <w14:textFill>
            <w14:solidFill>
              <w14:schemeClr w14:val="tx1"/>
            </w14:solidFill>
          </w14:textFill>
        </w:rPr>
        <w:t>体制</w:t>
      </w:r>
      <w:bookmarkEnd w:id="650"/>
    </w:p>
    <w:p w14:paraId="73E16C37">
      <w:pPr>
        <w:ind w:firstLine="480"/>
        <w:rPr>
          <w:color w:val="000000" w:themeColor="text1"/>
          <w14:textFill>
            <w14:solidFill>
              <w14:schemeClr w14:val="tx1"/>
            </w14:solidFill>
          </w14:textFill>
        </w:rPr>
      </w:pPr>
      <w:r>
        <w:rPr>
          <w:color w:val="000000" w:themeColor="text1"/>
          <w14:textFill>
            <w14:solidFill>
              <w14:schemeClr w14:val="tx1"/>
            </w14:solidFill>
          </w14:textFill>
        </w:rPr>
        <w:t>建立一套完善而行之有效的环境管理监测制度是环境保护工作的重要组成部分之一，环境管理运用各种手段来组织并管理开发利用自然资源，控制其对环境的污染与资源破坏，确定环境污染的控制对策，采取有效防治措施把污染影响减少到环境能接受的程度。</w:t>
      </w:r>
    </w:p>
    <w:p w14:paraId="2A0172FE">
      <w:pPr>
        <w:ind w:firstLine="480"/>
        <w:rPr>
          <w:color w:val="000000" w:themeColor="text1"/>
          <w14:textFill>
            <w14:solidFill>
              <w14:schemeClr w14:val="tx1"/>
            </w14:solidFill>
          </w14:textFill>
        </w:rPr>
      </w:pPr>
      <w:r>
        <w:rPr>
          <w:color w:val="000000" w:themeColor="text1"/>
          <w14:textFill>
            <w14:solidFill>
              <w14:schemeClr w14:val="tx1"/>
            </w14:solidFill>
          </w14:textFill>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14:paraId="14A53B3D">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环境管理机构及职责</w:t>
      </w:r>
    </w:p>
    <w:p w14:paraId="21DE5925">
      <w:pPr>
        <w:ind w:firstLine="480"/>
        <w:rPr>
          <w:color w:val="000000" w:themeColor="text1"/>
          <w14:textFill>
            <w14:solidFill>
              <w14:schemeClr w14:val="tx1"/>
            </w14:solidFill>
          </w14:textFill>
        </w:rPr>
      </w:pPr>
      <w:r>
        <w:rPr>
          <w:color w:val="000000" w:themeColor="text1"/>
          <w14:textFill>
            <w14:solidFill>
              <w14:schemeClr w14:val="tx1"/>
            </w14:solidFill>
          </w14:textFill>
        </w:rPr>
        <w:t>环境管理的基本任务是控制污染物的排放量和避免或减轻排出污染物对环境的损害。为了控制污染物的排放，就需要加强计划、生产、技术、质量、设备、劳动等方面的管理，把环境管理渗透到整个企业的管理中，将环境目标与生产目标融合在一起，以减少从生产过程中各环节排出的污染物。</w:t>
      </w:r>
    </w:p>
    <w:p w14:paraId="6A0EACF1">
      <w:pPr>
        <w:ind w:firstLine="480"/>
        <w:rPr>
          <w:color w:val="000000" w:themeColor="text1"/>
          <w14:textFill>
            <w14:solidFill>
              <w14:schemeClr w14:val="tx1"/>
            </w14:solidFill>
          </w14:textFill>
        </w:rPr>
      </w:pPr>
      <w:r>
        <w:rPr>
          <w:color w:val="000000" w:themeColor="text1"/>
          <w14:textFill>
            <w14:solidFill>
              <w14:schemeClr w14:val="tx1"/>
            </w14:solidFill>
          </w14:textFill>
        </w:rPr>
        <w:t>为了企业生产正常进行，预防安全和环境事故，参照ISO14000环境管理体系，依据ISO14000标准规定的环境管理体系的五大要素，应建立一套完整的管理体系。根据生产组织及地方环境保护要求的特点，厂内应设置一个专职的环境保护管理机构，并配备专职技术人员2人，负责日常环保管理和环保技术研究工作，建议在管理中担当以下主要职责：</w:t>
      </w:r>
    </w:p>
    <w:p w14:paraId="500D84D9">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（1）施工期环境管理职责</w:t>
      </w:r>
    </w:p>
    <w:p w14:paraId="31AE56DE">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负责施工过程中的日常环境管理；</w:t>
      </w:r>
    </w:p>
    <w:p w14:paraId="08475AEB">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协调和督促生产装置配套的环保设施的建设符合“三同时”要求；</w:t>
      </w:r>
    </w:p>
    <w:p w14:paraId="34779BCD">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参与工程环保设施竣工验收（对不符合质量要求和达不到性能要求的环保设施，不能通过验收）；</w:t>
      </w:r>
    </w:p>
    <w:p w14:paraId="6BA0C450">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组织环境保护宣传，提高施工人员的环境保护意识，在施工操作中，应尽可能减少扬尘和噪声。</w:t>
      </w:r>
    </w:p>
    <w:p w14:paraId="11981DC9">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（2）营运期环境管理职责</w:t>
      </w:r>
    </w:p>
    <w:p w14:paraId="13BB7114">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贯彻国家环境保护法，监督各生产车间对环保法规的执行情况，并负责组织制定环保管理条例细则；</w:t>
      </w:r>
    </w:p>
    <w:p w14:paraId="18EDC391">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组织宣传贯彻国家环保方针政策和进行企业员工环保专业知识的教育；</w:t>
      </w:r>
    </w:p>
    <w:p w14:paraId="74744719">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掌握各车间污染档案，按照污染物排放指标，环保设施运行指标等，实行环境保护工作动态管理，确保本厂水、气、声、渣排放达到国家和地方标准；</w:t>
      </w:r>
    </w:p>
    <w:p w14:paraId="2BD8777B">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组织制定全厂环保管理制度、年度实施计划和长远环保规划，并监督贯彻执行；</w:t>
      </w:r>
    </w:p>
    <w:p w14:paraId="2A6C64A7">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⑤</w:t>
      </w:r>
      <w:r>
        <w:rPr>
          <w:rFonts w:ascii="Times New Roman" w:hAnsi="Times New Roman" w:cs="Times New Roman"/>
          <w:color w:val="000000" w:themeColor="text1"/>
          <w14:textFill>
            <w14:solidFill>
              <w14:schemeClr w14:val="tx1"/>
            </w14:solidFill>
          </w14:textFill>
        </w:rPr>
        <w:t>对可能造成的环境污染及时向上级汇报并提出防治、应急措施；</w:t>
      </w:r>
    </w:p>
    <w:p w14:paraId="1B5E32A3">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⑥</w:t>
      </w:r>
      <w:r>
        <w:rPr>
          <w:rFonts w:ascii="Times New Roman" w:hAnsi="Times New Roman" w:cs="Times New Roman"/>
          <w:color w:val="000000" w:themeColor="text1"/>
          <w14:textFill>
            <w14:solidFill>
              <w14:schemeClr w14:val="tx1"/>
            </w14:solidFill>
          </w14:textFill>
        </w:rPr>
        <w:t>每季度对全厂各环保设施运行情况进行全面检查，并确保无重大环境污染、泄漏事故发生；</w:t>
      </w:r>
    </w:p>
    <w:p w14:paraId="07C95423">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⑦</w:t>
      </w:r>
      <w:r>
        <w:rPr>
          <w:rFonts w:ascii="Times New Roman" w:hAnsi="Times New Roman" w:cs="Times New Roman"/>
          <w:color w:val="000000" w:themeColor="text1"/>
          <w14:textFill>
            <w14:solidFill>
              <w14:schemeClr w14:val="tx1"/>
            </w14:solidFill>
          </w14:textFill>
        </w:rPr>
        <w:t>推广应用环境保护先进技术和经验，并开展环境保护的有关科研工作。</w:t>
      </w:r>
    </w:p>
    <w:p w14:paraId="51AD69AD">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环境管理依据</w:t>
      </w:r>
    </w:p>
    <w:p w14:paraId="04BBFD13">
      <w:pPr>
        <w:pStyle w:val="334"/>
        <w:ind w:firstLine="480"/>
        <w:rPr>
          <w:rFonts w:ascii="Times New Roman" w:hAnsi="Times New Roman" w:cs="Times New Roman"/>
          <w:color w:val="000000" w:themeColor="text1"/>
          <w:szCs w:val="20"/>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（1）国家、地方政府颁布的有关法律、法规</w:t>
      </w:r>
    </w:p>
    <w:p w14:paraId="3AE8729B">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中华人民共和国环境保护法；</w:t>
      </w:r>
    </w:p>
    <w:p w14:paraId="028180B3">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乌鲁木齐市人民政府和各级环保部门颁布的地方性环保法规、条例；</w:t>
      </w:r>
    </w:p>
    <w:p w14:paraId="3D330514">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《中华人民共和国清洁生产促进法》及国家有关部委关于清洁生产工艺的规定。</w:t>
      </w:r>
    </w:p>
    <w:p w14:paraId="6956B6FE">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环境管理部门为本企业核定下达的污染物排放总量控制指标。</w:t>
      </w:r>
    </w:p>
    <w:p w14:paraId="3EB7203D">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（2）环境质量标准</w:t>
      </w:r>
    </w:p>
    <w:p w14:paraId="125CA891">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《环境空气质量标准》（GB3095-2026）过渡阶段中的二级标准；</w:t>
      </w:r>
    </w:p>
    <w:p w14:paraId="3FFAED75">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《地下水质量标准》（GB/T14848-2017）中的Ⅲ类标准；</w:t>
      </w:r>
    </w:p>
    <w:p w14:paraId="18747E31">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《声境质量标准》（GB3096-2008）中的3类标准。</w:t>
      </w:r>
    </w:p>
    <w:p w14:paraId="4819EBBA">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（3）污染物排放标准</w:t>
      </w:r>
    </w:p>
    <w:p w14:paraId="257514D1">
      <w:pPr>
        <w:pStyle w:val="334"/>
        <w:ind w:firstLine="436" w:firstLineChars="182"/>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《危险废物焚烧污染控制标准》（GB18484-2020）；</w:t>
      </w:r>
    </w:p>
    <w:p w14:paraId="17AC4C07">
      <w:pPr>
        <w:pStyle w:val="334"/>
        <w:ind w:firstLine="436" w:firstLineChars="182"/>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《恶臭污染物排放标准》（GB 14554-93）；</w:t>
      </w:r>
    </w:p>
    <w:p w14:paraId="47ED6190">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《工业企业厂界环境噪声排放标准》（GB12348-2008）；</w:t>
      </w:r>
    </w:p>
    <w:p w14:paraId="443DD5FC">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④</w:t>
      </w:r>
      <w:r>
        <w:rPr>
          <w:rFonts w:ascii="Times New Roman" w:hAnsi="Times New Roman" w:cs="Times New Roman"/>
          <w:bCs/>
          <w:color w:val="000000" w:themeColor="text1"/>
          <w14:textFill>
            <w14:solidFill>
              <w14:schemeClr w14:val="tx1"/>
            </w14:solidFill>
          </w14:textFill>
        </w:rPr>
        <w:t>《大气污染物综合排放标准》（GB 16297-1996）；</w:t>
      </w:r>
    </w:p>
    <w:p w14:paraId="78C4B3EA">
      <w:pPr>
        <w:pStyle w:val="334"/>
        <w:ind w:firstLine="480"/>
        <w:rPr>
          <w:rFonts w:ascii="Times New Roman" w:hAnsi="Times New Roman" w:cs="Times New Roman"/>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⑤</w:t>
      </w:r>
      <w:r>
        <w:rPr>
          <w:rFonts w:ascii="Times New Roman" w:hAnsi="Times New Roman" w:cs="Times New Roman"/>
          <w:color w:val="000000" w:themeColor="text1"/>
          <w14:textFill>
            <w14:solidFill>
              <w14:schemeClr w14:val="tx1"/>
            </w14:solidFill>
          </w14:textFill>
        </w:rPr>
        <w:t>《危险废物贮存污染控制标准》（GB18597-2023）。</w:t>
      </w:r>
    </w:p>
    <w:p w14:paraId="2D3719B6">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环境管理手段和措施</w:t>
      </w:r>
    </w:p>
    <w:p w14:paraId="35E21EC7">
      <w:pPr>
        <w:pStyle w:val="334"/>
        <w:ind w:firstLine="480"/>
        <w:rPr>
          <w:rFonts w:ascii="Times New Roman" w:hAnsi="Times New Roman" w:cs="Times New Roman"/>
          <w:color w:val="000000" w:themeColor="text1"/>
          <w:szCs w:val="20"/>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为了使环境管理工作科学化、规范化、合理化，确保各项环保措施落实到位，本项目在管理方面采取以下措施：</w:t>
      </w:r>
    </w:p>
    <w:p w14:paraId="3EC392F5">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（1）建立ISO14000环境管理体系，建议同时进行QHSE（质量、健康、安全、环保）审核；</w:t>
      </w:r>
    </w:p>
    <w:p w14:paraId="6FE99299">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（2）制订环境保护岗位目标责任制，将环境管理纳入生产管理体系，环保评估与经济效益评估相结合，建立严格的奖惩机制；</w:t>
      </w:r>
    </w:p>
    <w:p w14:paraId="6EA9F05D">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（3）加强环境保护宣传教育工作，进行岗位培训，使全体职工能够意识到环境保护的重要意义，包括与企业生产、生存和发展的关系，全公司应有危机感和责任感，把环保工作落实到实处，落实到每一位员工；</w:t>
      </w:r>
    </w:p>
    <w:p w14:paraId="08771880">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（4）加强环境监测数据的统计工作，建立全厂完善的污染源及物料流失档案，严格控制污染物排放总量，确保污染物排放指标达到设计要求；</w:t>
      </w:r>
    </w:p>
    <w:p w14:paraId="5BF38B97">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（5）强化对环保设施运行监督、管理的职能，建立全厂完善的环保设施运行、维护、维修等技术档案，以及加强对环保设施操作人员的技术培训，确保环境设施处于正常运行情况，污染物排放连续达标；</w:t>
      </w:r>
    </w:p>
    <w:p w14:paraId="293EF653">
      <w:pPr>
        <w:pStyle w:val="334"/>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（6）制订应急预案。</w:t>
      </w:r>
    </w:p>
    <w:p w14:paraId="6F7C9927">
      <w:pPr>
        <w:pStyle w:val="3"/>
        <w:rPr>
          <w:rFonts w:ascii="Times New Roman" w:cs="Times New Roman"/>
          <w:color w:val="000000" w:themeColor="text1"/>
          <w14:textFill>
            <w14:solidFill>
              <w14:schemeClr w14:val="tx1"/>
            </w14:solidFill>
          </w14:textFill>
        </w:rPr>
      </w:pPr>
      <w:bookmarkStart w:id="651" w:name="_Toc480388261"/>
      <w:bookmarkStart w:id="652" w:name="_Toc517684788"/>
      <w:bookmarkStart w:id="653" w:name="_Toc225268354"/>
      <w:r>
        <w:rPr>
          <w:rFonts w:ascii="Times New Roman" w:cs="Times New Roman"/>
          <w:color w:val="000000" w:themeColor="text1"/>
          <w14:textFill>
            <w14:solidFill>
              <w14:schemeClr w14:val="tx1"/>
            </w14:solidFill>
          </w14:textFill>
        </w:rPr>
        <w:t>各阶段的环境管理要求</w:t>
      </w:r>
      <w:bookmarkEnd w:id="651"/>
      <w:bookmarkEnd w:id="652"/>
      <w:bookmarkEnd w:id="653"/>
    </w:p>
    <w:p w14:paraId="1A0C668E">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项目审批阶段</w:t>
      </w:r>
    </w:p>
    <w:p w14:paraId="68C712F3">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项目环境影响评价文件要按照环境保护部公布《建设项目环境影响评价分类管理目录》的规定，确定环境影响评价文件的类别，委托有相关编制能力的单位编制。 </w:t>
      </w:r>
    </w:p>
    <w:p w14:paraId="382EEB6A">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企业在建设项目环评文件编制前应积极配合环评编制单位查勘现场，及时提供环评文件编写所需的各类资料。 </w:t>
      </w:r>
    </w:p>
    <w:p w14:paraId="7B0A1400">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在环境影响报告书的编制和环境保护主管部门审批或者重新审核环境影响报告书的过程中，应该按规定公开有关环境影响评价的信息，征求公众意见。 </w:t>
      </w:r>
    </w:p>
    <w:p w14:paraId="4CAE43AD">
      <w:pPr>
        <w:ind w:firstLine="480"/>
        <w:rPr>
          <w:color w:val="000000" w:themeColor="text1"/>
          <w14:textFill>
            <w14:solidFill>
              <w14:schemeClr w14:val="tx1"/>
            </w14:solidFill>
          </w14:textFill>
        </w:rPr>
      </w:pPr>
      <w:r>
        <w:rPr>
          <w:color w:val="000000" w:themeColor="text1"/>
          <w14:textFill>
            <w14:solidFill>
              <w14:schemeClr w14:val="tx1"/>
            </w14:solidFill>
          </w14:textFill>
        </w:rPr>
        <w:t>企业有权要求环评文件编制及审批等单位和个人为其保守商业、技术等秘密。</w:t>
      </w:r>
    </w:p>
    <w:p w14:paraId="54673178">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环境影响评价文件，由建设单位报有审批权的环境保护行政主管部门审批，环境影响评价文件未经批准，不得开工建设，自批准之日起超过5年方决定该项目开工建设的，其环境影响评价文件应当报原审批部门重新审核。 </w:t>
      </w:r>
    </w:p>
    <w:p w14:paraId="15E19878">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建设施工阶段</w:t>
      </w:r>
    </w:p>
    <w:p w14:paraId="0AA2FF33">
      <w:pPr>
        <w:ind w:firstLine="480"/>
        <w:rPr>
          <w:color w:val="000000" w:themeColor="text1"/>
          <w14:textFill>
            <w14:solidFill>
              <w14:schemeClr w14:val="tx1"/>
            </w14:solidFill>
          </w14:textFill>
        </w:rPr>
      </w:pPr>
      <w:r>
        <w:rPr>
          <w:color w:val="000000" w:themeColor="text1"/>
          <w14:textFill>
            <w14:solidFill>
              <w14:schemeClr w14:val="tx1"/>
            </w14:solidFill>
          </w14:textFill>
        </w:rPr>
        <w:t>项目建设中应根据环境影响评价报告中有关施工期污染防治措施及生态环境保护措施的具体要求，进行规范管理，保证守法的规范性。建设单位应会同施工单位做好环保工程设施的施工建设、资金使用情况等资料、文件的整理，建档备查，以季报的形式将环保工程进度情况上报当地环境保护主管部门。</w:t>
      </w:r>
    </w:p>
    <w:p w14:paraId="2A250592">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与施工单位负责落实环境保护主管部门对施工阶段的环保要求以及施工过程中的环保措施；主要是保护施工现场周围的环境，防止对自然环境造成不应有的破坏；防止和减轻废气、污水、粉尘、噪声、震动等对周围生活居住区的污染和危害。具体的管理要求见施工期污染防治措施分析内容。</w:t>
      </w:r>
    </w:p>
    <w:p w14:paraId="695374CC">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运行期的环境保护管理</w:t>
      </w:r>
    </w:p>
    <w:p w14:paraId="41B4B03E">
      <w:pPr>
        <w:ind w:firstLine="480"/>
        <w:rPr>
          <w:color w:val="000000" w:themeColor="text1"/>
          <w14:textFill>
            <w14:solidFill>
              <w14:schemeClr w14:val="tx1"/>
            </w14:solidFill>
          </w14:textFill>
        </w:rPr>
      </w:pPr>
      <w:r>
        <w:rPr>
          <w:color w:val="000000" w:themeColor="text1"/>
          <w14:textFill>
            <w14:solidFill>
              <w14:schemeClr w14:val="tx1"/>
            </w14:solidFill>
          </w14:textFill>
        </w:rPr>
        <w:t>（1）根据国家环保政策、标准及环境监测要求，制定该项目运行期环保管理规章制度、各种污染物排放控制指标；</w:t>
      </w:r>
    </w:p>
    <w:p w14:paraId="4BDA1736">
      <w:pPr>
        <w:ind w:firstLine="480"/>
        <w:rPr>
          <w:color w:val="000000" w:themeColor="text1"/>
          <w14:textFill>
            <w14:solidFill>
              <w14:schemeClr w14:val="tx1"/>
            </w14:solidFill>
          </w14:textFill>
        </w:rPr>
      </w:pPr>
      <w:r>
        <w:rPr>
          <w:color w:val="000000" w:themeColor="text1"/>
          <w14:textFill>
            <w14:solidFill>
              <w14:schemeClr w14:val="tx1"/>
            </w14:solidFill>
          </w14:textFill>
        </w:rPr>
        <w:t>（2）负责该项目内所有环保设施的日常运行管理，保障各环保设施的正常运行，并对环保设施的改进提出积极的建议；</w:t>
      </w:r>
    </w:p>
    <w:p w14:paraId="08B9408C">
      <w:pPr>
        <w:ind w:firstLine="480"/>
        <w:rPr>
          <w:color w:val="000000" w:themeColor="text1"/>
          <w14:textFill>
            <w14:solidFill>
              <w14:schemeClr w14:val="tx1"/>
            </w14:solidFill>
          </w14:textFill>
        </w:rPr>
      </w:pPr>
      <w:r>
        <w:rPr>
          <w:color w:val="000000" w:themeColor="text1"/>
          <w14:textFill>
            <w14:solidFill>
              <w14:schemeClr w14:val="tx1"/>
            </w14:solidFill>
          </w14:textFill>
        </w:rPr>
        <w:t>（3）负责该项目运行期环境监测工作，及时掌握该项目污染状况，整理监测数据，建立污染源档案；</w:t>
      </w:r>
    </w:p>
    <w:p w14:paraId="45EDEABD">
      <w:pPr>
        <w:ind w:firstLine="480"/>
        <w:rPr>
          <w:color w:val="000000" w:themeColor="text1"/>
          <w14:textFill>
            <w14:solidFill>
              <w14:schemeClr w14:val="tx1"/>
            </w14:solidFill>
          </w14:textFill>
        </w:rPr>
      </w:pPr>
      <w:r>
        <w:rPr>
          <w:color w:val="000000" w:themeColor="text1"/>
          <w14:textFill>
            <w14:solidFill>
              <w14:schemeClr w14:val="tx1"/>
            </w14:solidFill>
          </w14:textFill>
        </w:rPr>
        <w:t>（4）该项目运行期的环境管理由安全生产环保科承担；负责该项目内所有环保设施的日常运行管理，保障各环保设施的正常运行，并对环保设施的改进提出积极的建议；</w:t>
      </w:r>
    </w:p>
    <w:p w14:paraId="5353311F">
      <w:pPr>
        <w:ind w:firstLine="480"/>
        <w:rPr>
          <w:color w:val="000000" w:themeColor="text1"/>
          <w14:textFill>
            <w14:solidFill>
              <w14:schemeClr w14:val="tx1"/>
            </w14:solidFill>
          </w14:textFill>
        </w:rPr>
      </w:pPr>
      <w:r>
        <w:rPr>
          <w:color w:val="000000" w:themeColor="text1"/>
          <w14:textFill>
            <w14:solidFill>
              <w14:schemeClr w14:val="tx1"/>
            </w14:solidFill>
          </w14:textFill>
        </w:rPr>
        <w:t>（5）负责对职工进行环保宣传教育工作，以及检查、监督各单位环保制度的执行情况；</w:t>
      </w:r>
    </w:p>
    <w:p w14:paraId="399051A5">
      <w:pPr>
        <w:ind w:firstLine="480"/>
        <w:rPr>
          <w:color w:val="000000" w:themeColor="text1"/>
          <w14:textFill>
            <w14:solidFill>
              <w14:schemeClr w14:val="tx1"/>
            </w14:solidFill>
          </w14:textFill>
        </w:rPr>
      </w:pPr>
      <w:r>
        <w:rPr>
          <w:color w:val="000000" w:themeColor="text1"/>
          <w14:textFill>
            <w14:solidFill>
              <w14:schemeClr w14:val="tx1"/>
            </w14:solidFill>
          </w14:textFill>
        </w:rPr>
        <w:t>（6）建立健全环境档案管理与保密制度、污染防治设施设计技术改进及运行资料、污染源调查技术档案、环境监测及评价资料、项目平面图和给排水管网图等。</w:t>
      </w:r>
    </w:p>
    <w:p w14:paraId="7099098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本项目具体废气、废水、噪声、固体废物污染防治措施见运营期污染防治措施分析内容。</w:t>
      </w:r>
    </w:p>
    <w:p w14:paraId="3A101B33">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非正常工况及风险状况下环境应急管理</w:t>
      </w:r>
    </w:p>
    <w:p w14:paraId="16F03731">
      <w:pPr>
        <w:ind w:firstLine="480"/>
        <w:rPr>
          <w:color w:val="000000" w:themeColor="text1"/>
          <w14:textFill>
            <w14:solidFill>
              <w14:schemeClr w14:val="tx1"/>
            </w14:solidFill>
          </w14:textFill>
        </w:rPr>
      </w:pPr>
      <w:r>
        <w:rPr>
          <w:color w:val="000000" w:themeColor="text1"/>
          <w14:textFill>
            <w14:solidFill>
              <w14:schemeClr w14:val="tx1"/>
            </w14:solidFill>
          </w14:textFill>
        </w:rPr>
        <w:t>综合考虑企业污染治理状况、周边环境敏感点、区域自然条件因素，客观准确识别企业存在的环境风险，按照有关规定编制突发环境事件应急预案，并报当地环境保护主管部门备案。</w:t>
      </w:r>
    </w:p>
    <w:p w14:paraId="1882071A">
      <w:pPr>
        <w:ind w:firstLine="480"/>
        <w:rPr>
          <w:color w:val="000000" w:themeColor="text1"/>
          <w14:textFill>
            <w14:solidFill>
              <w14:schemeClr w14:val="tx1"/>
            </w14:solidFill>
          </w14:textFill>
        </w:rPr>
      </w:pPr>
      <w:r>
        <w:rPr>
          <w:color w:val="000000" w:themeColor="text1"/>
          <w14:textFill>
            <w14:solidFill>
              <w14:schemeClr w14:val="tx1"/>
            </w14:solidFill>
          </w14:textFill>
        </w:rPr>
        <w:t>环境应急预案坚持预防为主的原则，实施动态管理，并定期开展应急演练，查找预案的缺陷和不足并及时进行修订。企业应配备必要的应急物资，并定期检查和更新。</w:t>
      </w:r>
    </w:p>
    <w:p w14:paraId="4F57420B">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发生下列情形时，企业应提前向当地环境保护主管部门做书面报告： </w:t>
      </w:r>
    </w:p>
    <w:p w14:paraId="618D726A">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（1）废弃、停用、更改污染治理和环境风险防范设施的； </w:t>
      </w:r>
    </w:p>
    <w:p w14:paraId="0A6B4539">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（2）环境风险源种类或数量发生较大变更的。 </w:t>
      </w:r>
    </w:p>
    <w:p w14:paraId="504B40B9">
      <w:pPr>
        <w:ind w:firstLine="480"/>
        <w:rPr>
          <w:color w:val="000000" w:themeColor="text1"/>
          <w14:textFill>
            <w14:solidFill>
              <w14:schemeClr w14:val="tx1"/>
            </w14:solidFill>
          </w14:textFill>
        </w:rPr>
      </w:pPr>
      <w:r>
        <w:rPr>
          <w:color w:val="000000" w:themeColor="text1"/>
          <w14:textFill>
            <w14:solidFill>
              <w14:schemeClr w14:val="tx1"/>
            </w14:solidFill>
          </w14:textFill>
        </w:rPr>
        <w:t>企业应积极配合政府和有关部门开展突发环境污染事件调查工作。</w:t>
      </w:r>
    </w:p>
    <w:p w14:paraId="71FEC8B4">
      <w:pPr>
        <w:pStyle w:val="3"/>
        <w:rPr>
          <w:rFonts w:ascii="Times New Roman" w:cs="Times New Roman"/>
          <w:color w:val="000000" w:themeColor="text1"/>
          <w14:textFill>
            <w14:solidFill>
              <w14:schemeClr w14:val="tx1"/>
            </w14:solidFill>
          </w14:textFill>
        </w:rPr>
      </w:pPr>
      <w:bookmarkStart w:id="654" w:name="_Toc480388262"/>
      <w:bookmarkStart w:id="655" w:name="_Toc517684789"/>
      <w:bookmarkStart w:id="656" w:name="_Toc225268355"/>
      <w:r>
        <w:rPr>
          <w:rFonts w:ascii="Times New Roman" w:cs="Times New Roman"/>
          <w:color w:val="000000" w:themeColor="text1"/>
          <w14:textFill>
            <w14:solidFill>
              <w14:schemeClr w14:val="tx1"/>
            </w14:solidFill>
          </w14:textFill>
        </w:rPr>
        <w:t>环境管理制度</w:t>
      </w:r>
      <w:bookmarkEnd w:id="654"/>
      <w:bookmarkEnd w:id="655"/>
      <w:bookmarkEnd w:id="656"/>
    </w:p>
    <w:p w14:paraId="566696E1">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污染物排放清单</w:t>
      </w:r>
    </w:p>
    <w:p w14:paraId="38B70863">
      <w:pPr>
        <w:pStyle w:val="900"/>
        <w:ind w:firstLine="480"/>
        <w:rPr>
          <w:rFonts w:ascii="Times New Roman" w:hAnsi="Times New Roman"/>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60C97EDA">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本项目污染物排放清单</w:t>
      </w:r>
    </w:p>
    <w:tbl>
      <w:tblPr>
        <w:tblStyle w:val="76"/>
        <w:tblW w:w="14737" w:type="dxa"/>
        <w:tblInd w:w="0" w:type="dxa"/>
        <w:tblLayout w:type="fixed"/>
        <w:tblCellMar>
          <w:top w:w="0" w:type="dxa"/>
          <w:left w:w="108" w:type="dxa"/>
          <w:bottom w:w="0" w:type="dxa"/>
          <w:right w:w="108" w:type="dxa"/>
        </w:tblCellMar>
      </w:tblPr>
      <w:tblGrid>
        <w:gridCol w:w="961"/>
        <w:gridCol w:w="636"/>
        <w:gridCol w:w="666"/>
        <w:gridCol w:w="951"/>
        <w:gridCol w:w="18"/>
        <w:gridCol w:w="618"/>
        <w:gridCol w:w="18"/>
        <w:gridCol w:w="1470"/>
        <w:gridCol w:w="1418"/>
        <w:gridCol w:w="1131"/>
        <w:gridCol w:w="755"/>
        <w:gridCol w:w="864"/>
        <w:gridCol w:w="1121"/>
        <w:gridCol w:w="1134"/>
        <w:gridCol w:w="1134"/>
        <w:gridCol w:w="1842"/>
      </w:tblGrid>
      <w:tr w14:paraId="3C664C4B">
        <w:tblPrEx>
          <w:tblCellMar>
            <w:top w:w="0" w:type="dxa"/>
            <w:left w:w="108" w:type="dxa"/>
            <w:bottom w:w="0" w:type="dxa"/>
            <w:right w:w="108" w:type="dxa"/>
          </w:tblCellMar>
        </w:tblPrEx>
        <w:trPr>
          <w:trHeight w:val="288" w:hRule="atLeast"/>
        </w:trPr>
        <w:tc>
          <w:tcPr>
            <w:tcW w:w="961" w:type="dxa"/>
            <w:vMerge w:val="restart"/>
            <w:tcBorders>
              <w:top w:val="single" w:color="auto" w:sz="4" w:space="0"/>
              <w:left w:val="single" w:color="auto" w:sz="4" w:space="0"/>
              <w:bottom w:val="single" w:color="auto" w:sz="4" w:space="0"/>
              <w:right w:val="single" w:color="auto" w:sz="4" w:space="0"/>
            </w:tcBorders>
            <w:noWrap/>
            <w:vAlign w:val="center"/>
          </w:tcPr>
          <w:p w14:paraId="37DB899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污染源</w:t>
            </w:r>
          </w:p>
        </w:tc>
        <w:tc>
          <w:tcPr>
            <w:tcW w:w="636" w:type="dxa"/>
            <w:vMerge w:val="restart"/>
            <w:tcBorders>
              <w:top w:val="single" w:color="auto" w:sz="4" w:space="0"/>
              <w:left w:val="single" w:color="auto" w:sz="4" w:space="0"/>
              <w:bottom w:val="single" w:color="auto" w:sz="4" w:space="0"/>
              <w:right w:val="single" w:color="auto" w:sz="4" w:space="0"/>
            </w:tcBorders>
            <w:vAlign w:val="center"/>
          </w:tcPr>
          <w:p w14:paraId="7C3B5D5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工艺类型</w:t>
            </w:r>
          </w:p>
        </w:tc>
        <w:tc>
          <w:tcPr>
            <w:tcW w:w="1635" w:type="dxa"/>
            <w:gridSpan w:val="3"/>
            <w:tcBorders>
              <w:top w:val="single" w:color="auto" w:sz="4" w:space="0"/>
              <w:left w:val="nil"/>
              <w:bottom w:val="single" w:color="auto" w:sz="4" w:space="0"/>
              <w:right w:val="single" w:color="auto" w:sz="4" w:space="0"/>
            </w:tcBorders>
            <w:vAlign w:val="center"/>
          </w:tcPr>
          <w:p w14:paraId="0C77F45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原辅料基本信息</w:t>
            </w:r>
          </w:p>
        </w:tc>
        <w:tc>
          <w:tcPr>
            <w:tcW w:w="636" w:type="dxa"/>
            <w:gridSpan w:val="2"/>
            <w:tcBorders>
              <w:top w:val="single" w:color="auto" w:sz="4" w:space="0"/>
              <w:left w:val="single" w:color="auto" w:sz="4" w:space="0"/>
              <w:bottom w:val="single" w:color="auto" w:sz="4" w:space="0"/>
              <w:right w:val="single" w:color="auto" w:sz="4" w:space="0"/>
            </w:tcBorders>
            <w:vAlign w:val="center"/>
          </w:tcPr>
          <w:p w14:paraId="70E5C0F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年生产时间</w:t>
            </w:r>
            <w:r>
              <w:rPr>
                <w:color w:val="000000" w:themeColor="text1"/>
                <w14:textFill>
                  <w14:solidFill>
                    <w14:schemeClr w14:val="tx1"/>
                  </w14:solidFill>
                </w14:textFill>
              </w:rPr>
              <w:t>h</w:t>
            </w:r>
          </w:p>
        </w:tc>
        <w:tc>
          <w:tcPr>
            <w:tcW w:w="9027" w:type="dxa"/>
            <w:gridSpan w:val="8"/>
            <w:tcBorders>
              <w:top w:val="single" w:color="auto" w:sz="4" w:space="0"/>
              <w:left w:val="nil"/>
              <w:bottom w:val="single" w:color="auto" w:sz="4" w:space="0"/>
              <w:right w:val="single" w:color="auto" w:sz="4" w:space="0"/>
            </w:tcBorders>
            <w:vAlign w:val="center"/>
          </w:tcPr>
          <w:p w14:paraId="39298EC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该工艺产生污染物信息</w:t>
            </w:r>
          </w:p>
        </w:tc>
        <w:tc>
          <w:tcPr>
            <w:tcW w:w="1842" w:type="dxa"/>
            <w:vMerge w:val="restart"/>
            <w:tcBorders>
              <w:top w:val="single" w:color="auto" w:sz="4" w:space="0"/>
              <w:left w:val="single" w:color="auto" w:sz="4" w:space="0"/>
              <w:right w:val="single" w:color="auto" w:sz="4" w:space="0"/>
            </w:tcBorders>
            <w:vAlign w:val="center"/>
          </w:tcPr>
          <w:p w14:paraId="0A56BB9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执行标准</w:t>
            </w:r>
          </w:p>
        </w:tc>
      </w:tr>
      <w:tr w14:paraId="4E4C64C4">
        <w:tblPrEx>
          <w:tblCellMar>
            <w:top w:w="0" w:type="dxa"/>
            <w:left w:w="108" w:type="dxa"/>
            <w:bottom w:w="0" w:type="dxa"/>
            <w:right w:w="108" w:type="dxa"/>
          </w:tblCellMar>
        </w:tblPrEx>
        <w:trPr>
          <w:trHeight w:val="288" w:hRule="atLeast"/>
        </w:trPr>
        <w:tc>
          <w:tcPr>
            <w:tcW w:w="961" w:type="dxa"/>
            <w:vMerge w:val="continue"/>
            <w:tcBorders>
              <w:top w:val="single" w:color="auto" w:sz="4" w:space="0"/>
              <w:left w:val="single" w:color="auto" w:sz="4" w:space="0"/>
              <w:bottom w:val="single" w:color="auto" w:sz="4" w:space="0"/>
              <w:right w:val="single" w:color="auto" w:sz="4" w:space="0"/>
            </w:tcBorders>
            <w:vAlign w:val="center"/>
          </w:tcPr>
          <w:p w14:paraId="3B89AFF0">
            <w:pPr>
              <w:pStyle w:val="109"/>
              <w:rPr>
                <w:color w:val="000000" w:themeColor="text1"/>
                <w14:textFill>
                  <w14:solidFill>
                    <w14:schemeClr w14:val="tx1"/>
                  </w14:solidFill>
                </w14:textFill>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2C2F6A19">
            <w:pPr>
              <w:pStyle w:val="109"/>
              <w:rPr>
                <w:color w:val="000000" w:themeColor="text1"/>
                <w14:textFill>
                  <w14:solidFill>
                    <w14:schemeClr w14:val="tx1"/>
                  </w14:solidFill>
                </w14:textFill>
              </w:rPr>
            </w:pPr>
          </w:p>
        </w:tc>
        <w:tc>
          <w:tcPr>
            <w:tcW w:w="666" w:type="dxa"/>
            <w:vMerge w:val="restart"/>
            <w:tcBorders>
              <w:top w:val="nil"/>
              <w:left w:val="single" w:color="auto" w:sz="4" w:space="0"/>
              <w:bottom w:val="single" w:color="auto" w:sz="4" w:space="0"/>
              <w:right w:val="single" w:color="auto" w:sz="4" w:space="0"/>
            </w:tcBorders>
            <w:vAlign w:val="center"/>
          </w:tcPr>
          <w:p w14:paraId="320607B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主要原辅材料</w:t>
            </w:r>
          </w:p>
        </w:tc>
        <w:tc>
          <w:tcPr>
            <w:tcW w:w="951" w:type="dxa"/>
            <w:vMerge w:val="restart"/>
            <w:tcBorders>
              <w:top w:val="nil"/>
              <w:left w:val="single" w:color="auto" w:sz="4" w:space="0"/>
              <w:bottom w:val="single" w:color="auto" w:sz="4" w:space="0"/>
              <w:right w:val="single" w:color="auto" w:sz="4" w:space="0"/>
            </w:tcBorders>
            <w:vAlign w:val="center"/>
          </w:tcPr>
          <w:p w14:paraId="2C63C28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年消耗量</w:t>
            </w:r>
          </w:p>
        </w:tc>
        <w:tc>
          <w:tcPr>
            <w:tcW w:w="636" w:type="dxa"/>
            <w:gridSpan w:val="2"/>
            <w:vMerge w:val="restart"/>
            <w:tcBorders>
              <w:top w:val="single" w:color="auto" w:sz="4" w:space="0"/>
              <w:left w:val="single" w:color="auto" w:sz="4" w:space="0"/>
              <w:bottom w:val="single" w:color="auto" w:sz="4" w:space="0"/>
              <w:right w:val="single" w:color="auto" w:sz="4" w:space="0"/>
            </w:tcBorders>
            <w:vAlign w:val="center"/>
          </w:tcPr>
          <w:p w14:paraId="0A2A082A">
            <w:pPr>
              <w:pStyle w:val="109"/>
              <w:rPr>
                <w:color w:val="000000" w:themeColor="text1"/>
                <w14:textFill>
                  <w14:solidFill>
                    <w14:schemeClr w14:val="tx1"/>
                  </w14:solidFill>
                </w14:textFill>
              </w:rPr>
            </w:pPr>
          </w:p>
        </w:tc>
        <w:tc>
          <w:tcPr>
            <w:tcW w:w="1488" w:type="dxa"/>
            <w:gridSpan w:val="2"/>
            <w:vMerge w:val="restart"/>
            <w:tcBorders>
              <w:top w:val="nil"/>
              <w:left w:val="single" w:color="auto" w:sz="4" w:space="0"/>
              <w:bottom w:val="single" w:color="auto" w:sz="4" w:space="0"/>
              <w:right w:val="single" w:color="auto" w:sz="4" w:space="0"/>
            </w:tcBorders>
            <w:vAlign w:val="center"/>
          </w:tcPr>
          <w:p w14:paraId="0987EE4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1418" w:type="dxa"/>
            <w:vMerge w:val="restart"/>
            <w:tcBorders>
              <w:top w:val="nil"/>
              <w:left w:val="single" w:color="auto" w:sz="4" w:space="0"/>
              <w:bottom w:val="single" w:color="auto" w:sz="4" w:space="0"/>
              <w:right w:val="single" w:color="auto" w:sz="4" w:space="0"/>
            </w:tcBorders>
            <w:vAlign w:val="center"/>
          </w:tcPr>
          <w:p w14:paraId="3ECDDEE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治理措施</w:t>
            </w:r>
          </w:p>
        </w:tc>
        <w:tc>
          <w:tcPr>
            <w:tcW w:w="1131" w:type="dxa"/>
            <w:vMerge w:val="restart"/>
            <w:tcBorders>
              <w:top w:val="nil"/>
              <w:left w:val="single" w:color="auto" w:sz="4" w:space="0"/>
              <w:bottom w:val="single" w:color="auto" w:sz="4" w:space="0"/>
              <w:right w:val="single" w:color="auto" w:sz="4" w:space="0"/>
            </w:tcBorders>
            <w:vAlign w:val="center"/>
          </w:tcPr>
          <w:p w14:paraId="7AED497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运行参数</w:t>
            </w:r>
          </w:p>
        </w:tc>
        <w:tc>
          <w:tcPr>
            <w:tcW w:w="755" w:type="dxa"/>
            <w:vMerge w:val="restart"/>
            <w:tcBorders>
              <w:top w:val="nil"/>
              <w:left w:val="single" w:color="auto" w:sz="4" w:space="0"/>
              <w:bottom w:val="single" w:color="auto" w:sz="4" w:space="0"/>
              <w:right w:val="single" w:color="auto" w:sz="4" w:space="0"/>
            </w:tcBorders>
            <w:vAlign w:val="center"/>
          </w:tcPr>
          <w:p w14:paraId="7C2741C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排污口参数</w:t>
            </w:r>
          </w:p>
        </w:tc>
        <w:tc>
          <w:tcPr>
            <w:tcW w:w="864" w:type="dxa"/>
            <w:vMerge w:val="restart"/>
            <w:tcBorders>
              <w:top w:val="nil"/>
              <w:left w:val="single" w:color="auto" w:sz="4" w:space="0"/>
              <w:bottom w:val="single" w:color="auto" w:sz="4" w:space="0"/>
              <w:right w:val="single" w:color="auto" w:sz="4" w:space="0"/>
            </w:tcBorders>
            <w:vAlign w:val="center"/>
          </w:tcPr>
          <w:p w14:paraId="09124A8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去除效率</w:t>
            </w:r>
            <w:r>
              <w:rPr>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1DC1E68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p>
        </w:tc>
        <w:tc>
          <w:tcPr>
            <w:tcW w:w="1134" w:type="dxa"/>
            <w:tcBorders>
              <w:top w:val="nil"/>
              <w:left w:val="nil"/>
              <w:bottom w:val="single" w:color="auto" w:sz="4" w:space="0"/>
              <w:right w:val="single" w:color="auto" w:sz="4" w:space="0"/>
            </w:tcBorders>
            <w:vAlign w:val="center"/>
          </w:tcPr>
          <w:p w14:paraId="32B669F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速率</w:t>
            </w:r>
          </w:p>
        </w:tc>
        <w:tc>
          <w:tcPr>
            <w:tcW w:w="1134" w:type="dxa"/>
            <w:tcBorders>
              <w:top w:val="nil"/>
              <w:left w:val="nil"/>
              <w:bottom w:val="single" w:color="auto" w:sz="4" w:space="0"/>
              <w:right w:val="single" w:color="auto" w:sz="4" w:space="0"/>
            </w:tcBorders>
            <w:vAlign w:val="center"/>
          </w:tcPr>
          <w:p w14:paraId="1B0C122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p>
        </w:tc>
        <w:tc>
          <w:tcPr>
            <w:tcW w:w="1842" w:type="dxa"/>
            <w:vMerge w:val="continue"/>
            <w:tcBorders>
              <w:left w:val="single" w:color="auto" w:sz="4" w:space="0"/>
              <w:right w:val="single" w:color="auto" w:sz="4" w:space="0"/>
            </w:tcBorders>
            <w:vAlign w:val="center"/>
          </w:tcPr>
          <w:p w14:paraId="392151D0">
            <w:pPr>
              <w:pStyle w:val="109"/>
              <w:rPr>
                <w:color w:val="000000" w:themeColor="text1"/>
                <w14:textFill>
                  <w14:solidFill>
                    <w14:schemeClr w14:val="tx1"/>
                  </w14:solidFill>
                </w14:textFill>
              </w:rPr>
            </w:pPr>
          </w:p>
        </w:tc>
      </w:tr>
      <w:tr w14:paraId="429E5052">
        <w:tblPrEx>
          <w:tblCellMar>
            <w:top w:w="0" w:type="dxa"/>
            <w:left w:w="108" w:type="dxa"/>
            <w:bottom w:w="0" w:type="dxa"/>
            <w:right w:w="108" w:type="dxa"/>
          </w:tblCellMar>
        </w:tblPrEx>
        <w:trPr>
          <w:trHeight w:val="336" w:hRule="atLeast"/>
        </w:trPr>
        <w:tc>
          <w:tcPr>
            <w:tcW w:w="961" w:type="dxa"/>
            <w:vMerge w:val="continue"/>
            <w:tcBorders>
              <w:top w:val="single" w:color="auto" w:sz="4" w:space="0"/>
              <w:left w:val="single" w:color="auto" w:sz="4" w:space="0"/>
              <w:bottom w:val="single" w:color="auto" w:sz="4" w:space="0"/>
              <w:right w:val="single" w:color="auto" w:sz="4" w:space="0"/>
            </w:tcBorders>
            <w:vAlign w:val="center"/>
          </w:tcPr>
          <w:p w14:paraId="63C282A0">
            <w:pPr>
              <w:pStyle w:val="109"/>
              <w:rPr>
                <w:color w:val="000000" w:themeColor="text1"/>
                <w14:textFill>
                  <w14:solidFill>
                    <w14:schemeClr w14:val="tx1"/>
                  </w14:solidFill>
                </w14:textFill>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81A22A5">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5DAFEAB5">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40CC08A1">
            <w:pPr>
              <w:pStyle w:val="109"/>
              <w:rPr>
                <w:color w:val="000000" w:themeColor="text1"/>
                <w14:textFill>
                  <w14:solidFill>
                    <w14:schemeClr w14:val="tx1"/>
                  </w14:solidFill>
                </w14:textFill>
              </w:rPr>
            </w:pPr>
          </w:p>
        </w:tc>
        <w:tc>
          <w:tcPr>
            <w:tcW w:w="636" w:type="dxa"/>
            <w:gridSpan w:val="2"/>
            <w:vMerge w:val="continue"/>
            <w:tcBorders>
              <w:top w:val="single" w:color="auto" w:sz="4" w:space="0"/>
              <w:left w:val="single" w:color="auto" w:sz="4" w:space="0"/>
              <w:bottom w:val="single" w:color="auto" w:sz="4" w:space="0"/>
              <w:right w:val="single" w:color="auto" w:sz="4" w:space="0"/>
            </w:tcBorders>
            <w:vAlign w:val="center"/>
          </w:tcPr>
          <w:p w14:paraId="6E73F163">
            <w:pPr>
              <w:pStyle w:val="109"/>
              <w:rPr>
                <w:color w:val="000000" w:themeColor="text1"/>
                <w14:textFill>
                  <w14:solidFill>
                    <w14:schemeClr w14:val="tx1"/>
                  </w14:solidFill>
                </w14:textFill>
              </w:rPr>
            </w:pPr>
          </w:p>
        </w:tc>
        <w:tc>
          <w:tcPr>
            <w:tcW w:w="1488" w:type="dxa"/>
            <w:gridSpan w:val="2"/>
            <w:vMerge w:val="continue"/>
            <w:tcBorders>
              <w:top w:val="nil"/>
              <w:left w:val="single" w:color="auto" w:sz="4" w:space="0"/>
              <w:bottom w:val="single" w:color="auto" w:sz="4" w:space="0"/>
              <w:right w:val="single" w:color="auto" w:sz="4" w:space="0"/>
            </w:tcBorders>
            <w:vAlign w:val="center"/>
          </w:tcPr>
          <w:p w14:paraId="71004831">
            <w:pPr>
              <w:pStyle w:val="109"/>
              <w:rPr>
                <w:color w:val="000000" w:themeColor="text1"/>
                <w14:textFill>
                  <w14:solidFill>
                    <w14:schemeClr w14:val="tx1"/>
                  </w14:solidFill>
                </w14:textFill>
              </w:rPr>
            </w:pPr>
          </w:p>
        </w:tc>
        <w:tc>
          <w:tcPr>
            <w:tcW w:w="1418" w:type="dxa"/>
            <w:vMerge w:val="continue"/>
            <w:tcBorders>
              <w:top w:val="nil"/>
              <w:left w:val="single" w:color="auto" w:sz="4" w:space="0"/>
              <w:bottom w:val="single" w:color="auto" w:sz="4" w:space="0"/>
              <w:right w:val="single" w:color="auto" w:sz="4" w:space="0"/>
            </w:tcBorders>
            <w:vAlign w:val="center"/>
          </w:tcPr>
          <w:p w14:paraId="32DE68ED">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196C1FF2">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64124434">
            <w:pPr>
              <w:pStyle w:val="109"/>
              <w:rPr>
                <w:color w:val="000000" w:themeColor="text1"/>
                <w14:textFill>
                  <w14:solidFill>
                    <w14:schemeClr w14:val="tx1"/>
                  </w14:solidFill>
                </w14:textFill>
              </w:rPr>
            </w:pPr>
          </w:p>
        </w:tc>
        <w:tc>
          <w:tcPr>
            <w:tcW w:w="864" w:type="dxa"/>
            <w:vMerge w:val="continue"/>
            <w:tcBorders>
              <w:top w:val="nil"/>
              <w:left w:val="single" w:color="auto" w:sz="4" w:space="0"/>
              <w:bottom w:val="single" w:color="auto" w:sz="4" w:space="0"/>
              <w:right w:val="single" w:color="auto" w:sz="4" w:space="0"/>
            </w:tcBorders>
            <w:vAlign w:val="center"/>
          </w:tcPr>
          <w:p w14:paraId="2BCF6F0F">
            <w:pPr>
              <w:pStyle w:val="109"/>
              <w:rPr>
                <w:color w:val="000000" w:themeColor="text1"/>
                <w14:textFill>
                  <w14:solidFill>
                    <w14:schemeClr w14:val="tx1"/>
                  </w14:solidFill>
                </w14:textFill>
              </w:rPr>
            </w:pPr>
          </w:p>
        </w:tc>
        <w:tc>
          <w:tcPr>
            <w:tcW w:w="1121" w:type="dxa"/>
            <w:tcBorders>
              <w:top w:val="nil"/>
              <w:left w:val="nil"/>
              <w:bottom w:val="single" w:color="auto" w:sz="4" w:space="0"/>
              <w:right w:val="single" w:color="auto" w:sz="4" w:space="0"/>
            </w:tcBorders>
            <w:vAlign w:val="center"/>
          </w:tcPr>
          <w:p w14:paraId="4FE4691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mg/m³</w:t>
            </w:r>
          </w:p>
        </w:tc>
        <w:tc>
          <w:tcPr>
            <w:tcW w:w="1134" w:type="dxa"/>
            <w:tcBorders>
              <w:top w:val="nil"/>
              <w:left w:val="nil"/>
              <w:bottom w:val="single" w:color="auto" w:sz="4" w:space="0"/>
              <w:right w:val="single" w:color="auto" w:sz="4" w:space="0"/>
            </w:tcBorders>
            <w:vAlign w:val="center"/>
          </w:tcPr>
          <w:p w14:paraId="089F8A1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kg/h</w:t>
            </w:r>
          </w:p>
        </w:tc>
        <w:tc>
          <w:tcPr>
            <w:tcW w:w="1134" w:type="dxa"/>
            <w:tcBorders>
              <w:top w:val="nil"/>
              <w:left w:val="nil"/>
              <w:bottom w:val="single" w:color="auto" w:sz="4" w:space="0"/>
              <w:right w:val="single" w:color="auto" w:sz="4" w:space="0"/>
            </w:tcBorders>
            <w:vAlign w:val="center"/>
          </w:tcPr>
          <w:p w14:paraId="6B826BA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t/a</w:t>
            </w:r>
          </w:p>
        </w:tc>
        <w:tc>
          <w:tcPr>
            <w:tcW w:w="1842" w:type="dxa"/>
            <w:vMerge w:val="continue"/>
            <w:tcBorders>
              <w:left w:val="single" w:color="auto" w:sz="4" w:space="0"/>
              <w:bottom w:val="single" w:color="auto" w:sz="4" w:space="0"/>
              <w:right w:val="single" w:color="auto" w:sz="4" w:space="0"/>
            </w:tcBorders>
            <w:vAlign w:val="center"/>
          </w:tcPr>
          <w:p w14:paraId="0569B055">
            <w:pPr>
              <w:pStyle w:val="109"/>
              <w:rPr>
                <w:color w:val="000000" w:themeColor="text1"/>
                <w14:textFill>
                  <w14:solidFill>
                    <w14:schemeClr w14:val="tx1"/>
                  </w14:solidFill>
                </w14:textFill>
              </w:rPr>
            </w:pPr>
          </w:p>
        </w:tc>
      </w:tr>
      <w:tr w14:paraId="42635582">
        <w:tblPrEx>
          <w:tblCellMar>
            <w:top w:w="0" w:type="dxa"/>
            <w:left w:w="108" w:type="dxa"/>
            <w:bottom w:w="0" w:type="dxa"/>
            <w:right w:w="108" w:type="dxa"/>
          </w:tblCellMar>
        </w:tblPrEx>
        <w:trPr>
          <w:trHeight w:val="288" w:hRule="atLeast"/>
        </w:trPr>
        <w:tc>
          <w:tcPr>
            <w:tcW w:w="961" w:type="dxa"/>
            <w:vMerge w:val="restart"/>
            <w:tcBorders>
              <w:top w:val="nil"/>
              <w:left w:val="single" w:color="auto" w:sz="4" w:space="0"/>
              <w:bottom w:val="single" w:color="auto" w:sz="4" w:space="0"/>
              <w:right w:val="single" w:color="auto" w:sz="4" w:space="0"/>
            </w:tcBorders>
            <w:vAlign w:val="center"/>
          </w:tcPr>
          <w:p w14:paraId="4E7C306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废盐处置工序</w:t>
            </w:r>
          </w:p>
        </w:tc>
        <w:tc>
          <w:tcPr>
            <w:tcW w:w="636" w:type="dxa"/>
            <w:vMerge w:val="restart"/>
            <w:tcBorders>
              <w:top w:val="nil"/>
              <w:left w:val="single" w:color="auto" w:sz="4" w:space="0"/>
              <w:bottom w:val="single" w:color="auto" w:sz="4" w:space="0"/>
              <w:right w:val="single" w:color="auto" w:sz="4" w:space="0"/>
            </w:tcBorders>
            <w:vAlign w:val="center"/>
          </w:tcPr>
          <w:p w14:paraId="0D59DEB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二燃室</w:t>
            </w:r>
          </w:p>
        </w:tc>
        <w:tc>
          <w:tcPr>
            <w:tcW w:w="666" w:type="dxa"/>
            <w:vMerge w:val="restart"/>
            <w:tcBorders>
              <w:top w:val="nil"/>
              <w:left w:val="single" w:color="auto" w:sz="4" w:space="0"/>
              <w:bottom w:val="single" w:color="auto" w:sz="4" w:space="0"/>
              <w:right w:val="single" w:color="auto" w:sz="4" w:space="0"/>
            </w:tcBorders>
            <w:vAlign w:val="center"/>
          </w:tcPr>
          <w:p w14:paraId="4BC229F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w:t>
            </w:r>
          </w:p>
        </w:tc>
        <w:tc>
          <w:tcPr>
            <w:tcW w:w="951" w:type="dxa"/>
            <w:vMerge w:val="restart"/>
            <w:tcBorders>
              <w:top w:val="nil"/>
              <w:left w:val="single" w:color="auto" w:sz="4" w:space="0"/>
              <w:bottom w:val="single" w:color="auto" w:sz="4" w:space="0"/>
              <w:right w:val="single" w:color="auto" w:sz="4" w:space="0"/>
            </w:tcBorders>
            <w:vAlign w:val="center"/>
          </w:tcPr>
          <w:p w14:paraId="72D18D0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50000t/a</w:t>
            </w:r>
          </w:p>
        </w:tc>
        <w:tc>
          <w:tcPr>
            <w:tcW w:w="636" w:type="dxa"/>
            <w:gridSpan w:val="2"/>
            <w:vMerge w:val="restart"/>
            <w:tcBorders>
              <w:top w:val="nil"/>
              <w:left w:val="single" w:color="auto" w:sz="4" w:space="0"/>
              <w:bottom w:val="single" w:color="auto" w:sz="4" w:space="0"/>
              <w:right w:val="single" w:color="auto" w:sz="4" w:space="0"/>
            </w:tcBorders>
            <w:vAlign w:val="center"/>
          </w:tcPr>
          <w:p w14:paraId="6C1C0F4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0B82C01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418" w:type="dxa"/>
            <w:vMerge w:val="restart"/>
            <w:tcBorders>
              <w:top w:val="nil"/>
              <w:left w:val="single" w:color="auto" w:sz="4" w:space="0"/>
              <w:bottom w:val="single" w:color="auto" w:sz="4" w:space="0"/>
              <w:right w:val="single" w:color="auto" w:sz="4" w:space="0"/>
            </w:tcBorders>
            <w:vAlign w:val="center"/>
          </w:tcPr>
          <w:p w14:paraId="320F9C6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热解焙烧窑（二级）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二燃室（</w:t>
            </w:r>
            <w:r>
              <w:rPr>
                <w:color w:val="000000" w:themeColor="text1"/>
                <w14:textFill>
                  <w14:solidFill>
                    <w14:schemeClr w14:val="tx1"/>
                  </w14:solidFill>
                </w14:textFill>
              </w:rPr>
              <w:t>SNCR</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石墨急冷塔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二级碱洗塔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水洗塔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湿电除尘</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引风机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活性炭吸附</w:t>
            </w:r>
            <w:r>
              <w:rPr>
                <w:color w:val="000000" w:themeColor="text1"/>
                <w14:textFill>
                  <w14:solidFill>
                    <w14:schemeClr w14:val="tx1"/>
                  </w14:solidFill>
                </w14:textFill>
              </w:rPr>
              <w:t>+GGH</w:t>
            </w:r>
            <w:r>
              <w:rPr>
                <w:rFonts w:hint="eastAsia"/>
                <w:color w:val="000000" w:themeColor="text1"/>
                <w14:textFill>
                  <w14:solidFill>
                    <w14:schemeClr w14:val="tx1"/>
                  </w14:solidFill>
                </w14:textFill>
              </w:rPr>
              <w:t>换热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热风炉（电加热）</w:t>
            </w:r>
            <w:r>
              <w:rPr>
                <w:color w:val="000000" w:themeColor="text1"/>
                <w14:textFill>
                  <w14:solidFill>
                    <w14:schemeClr w14:val="tx1"/>
                  </w14:solidFill>
                </w14:textFill>
              </w:rPr>
              <w:t>+SCR+50m</w:t>
            </w:r>
            <w:r>
              <w:rPr>
                <w:rFonts w:hint="eastAsia"/>
                <w:color w:val="000000" w:themeColor="text1"/>
                <w14:textFill>
                  <w14:solidFill>
                    <w14:schemeClr w14:val="tx1"/>
                  </w14:solidFill>
                </w14:textFill>
              </w:rPr>
              <w:t>排气筒</w:t>
            </w:r>
            <w:r>
              <w:rPr>
                <w:color w:val="000000" w:themeColor="text1"/>
                <w14:textFill>
                  <w14:solidFill>
                    <w14:schemeClr w14:val="tx1"/>
                  </w14:solidFill>
                </w14:textFill>
              </w:rPr>
              <w:t>DA002</w:t>
            </w:r>
          </w:p>
        </w:tc>
        <w:tc>
          <w:tcPr>
            <w:tcW w:w="1131" w:type="dxa"/>
            <w:vMerge w:val="restart"/>
            <w:tcBorders>
              <w:top w:val="nil"/>
              <w:left w:val="single" w:color="auto" w:sz="4" w:space="0"/>
              <w:bottom w:val="single" w:color="auto" w:sz="4" w:space="0"/>
              <w:right w:val="single" w:color="auto" w:sz="4" w:space="0"/>
            </w:tcBorders>
            <w:vAlign w:val="center"/>
          </w:tcPr>
          <w:p w14:paraId="1BEFECC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风量</w:t>
            </w:r>
            <w:r>
              <w:rPr>
                <w:color w:val="000000" w:themeColor="text1"/>
                <w14:textFill>
                  <w14:solidFill>
                    <w14:schemeClr w14:val="tx1"/>
                  </w14:solidFill>
                </w14:textFill>
              </w:rPr>
              <w:t>4000m</w:t>
            </w:r>
            <w:r>
              <w:rPr>
                <w:rFonts w:hint="eastAsia"/>
                <w:color w:val="000000" w:themeColor="text1"/>
                <w14:textFill>
                  <w14:solidFill>
                    <w14:schemeClr w14:val="tx1"/>
                  </w14:solidFill>
                </w14:textFill>
              </w:rPr>
              <w:t>³</w:t>
            </w:r>
            <w:r>
              <w:rPr>
                <w:color w:val="000000" w:themeColor="text1"/>
                <w14:textFill>
                  <w14:solidFill>
                    <w14:schemeClr w14:val="tx1"/>
                  </w14:solidFill>
                </w14:textFill>
              </w:rPr>
              <w:t>/h</w:t>
            </w:r>
          </w:p>
        </w:tc>
        <w:tc>
          <w:tcPr>
            <w:tcW w:w="755" w:type="dxa"/>
            <w:vMerge w:val="restart"/>
            <w:tcBorders>
              <w:top w:val="nil"/>
              <w:left w:val="single" w:color="auto" w:sz="4" w:space="0"/>
              <w:bottom w:val="single" w:color="auto" w:sz="4" w:space="0"/>
              <w:right w:val="single" w:color="auto" w:sz="4" w:space="0"/>
            </w:tcBorders>
            <w:vAlign w:val="center"/>
          </w:tcPr>
          <w:p w14:paraId="5E5BE54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高</w:t>
            </w:r>
            <w:r>
              <w:rPr>
                <w:color w:val="000000" w:themeColor="text1"/>
                <w14:textFill>
                  <w14:solidFill>
                    <w14:schemeClr w14:val="tx1"/>
                  </w14:solidFill>
                </w14:textFill>
              </w:rPr>
              <w:t>50m</w:t>
            </w:r>
          </w:p>
        </w:tc>
        <w:tc>
          <w:tcPr>
            <w:tcW w:w="864" w:type="dxa"/>
            <w:tcBorders>
              <w:top w:val="nil"/>
              <w:left w:val="nil"/>
              <w:bottom w:val="single" w:color="auto" w:sz="4" w:space="0"/>
              <w:right w:val="single" w:color="auto" w:sz="4" w:space="0"/>
            </w:tcBorders>
            <w:vAlign w:val="center"/>
          </w:tcPr>
          <w:p w14:paraId="06771A0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99.50%</w:t>
            </w:r>
          </w:p>
        </w:tc>
        <w:tc>
          <w:tcPr>
            <w:tcW w:w="1121" w:type="dxa"/>
            <w:tcBorders>
              <w:top w:val="nil"/>
              <w:left w:val="nil"/>
              <w:bottom w:val="single" w:color="auto" w:sz="4" w:space="0"/>
              <w:right w:val="single" w:color="auto" w:sz="4" w:space="0"/>
            </w:tcBorders>
            <w:vAlign w:val="center"/>
          </w:tcPr>
          <w:p w14:paraId="222F2EF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18.2</w:t>
            </w:r>
          </w:p>
        </w:tc>
        <w:tc>
          <w:tcPr>
            <w:tcW w:w="1134" w:type="dxa"/>
            <w:tcBorders>
              <w:top w:val="nil"/>
              <w:left w:val="nil"/>
              <w:bottom w:val="single" w:color="auto" w:sz="4" w:space="0"/>
              <w:right w:val="single" w:color="auto" w:sz="4" w:space="0"/>
            </w:tcBorders>
            <w:vAlign w:val="center"/>
          </w:tcPr>
          <w:p w14:paraId="072A06E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0.073</w:t>
            </w:r>
          </w:p>
        </w:tc>
        <w:tc>
          <w:tcPr>
            <w:tcW w:w="1134" w:type="dxa"/>
            <w:tcBorders>
              <w:top w:val="nil"/>
              <w:left w:val="nil"/>
              <w:bottom w:val="single" w:color="auto" w:sz="4" w:space="0"/>
              <w:right w:val="single" w:color="auto" w:sz="4" w:space="0"/>
            </w:tcBorders>
            <w:vAlign w:val="center"/>
          </w:tcPr>
          <w:p w14:paraId="7256F2A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0.583</w:t>
            </w:r>
          </w:p>
        </w:tc>
        <w:tc>
          <w:tcPr>
            <w:tcW w:w="1842" w:type="dxa"/>
            <w:vMerge w:val="restart"/>
            <w:tcBorders>
              <w:top w:val="nil"/>
              <w:left w:val="single" w:color="auto" w:sz="4" w:space="0"/>
              <w:bottom w:val="single" w:color="auto" w:sz="4" w:space="0"/>
              <w:right w:val="single" w:color="auto" w:sz="4" w:space="0"/>
            </w:tcBorders>
            <w:vAlign w:val="center"/>
          </w:tcPr>
          <w:p w14:paraId="0CA8CA3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各污染物排放满足《危险废物焚烧污染控制标准》（</w:t>
            </w:r>
            <w:r>
              <w:rPr>
                <w:color w:val="000000" w:themeColor="text1"/>
                <w14:textFill>
                  <w14:solidFill>
                    <w14:schemeClr w14:val="tx1"/>
                  </w14:solidFill>
                </w14:textFill>
              </w:rPr>
              <w:t>GB18484-2020</w:t>
            </w:r>
            <w:r>
              <w:rPr>
                <w:rFonts w:hint="eastAsia"/>
                <w:color w:val="000000" w:themeColor="text1"/>
                <w14:textFill>
                  <w14:solidFill>
                    <w14:schemeClr w14:val="tx1"/>
                  </w14:solidFill>
                </w14:textFill>
              </w:rPr>
              <w:t>）中表</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限值要求</w:t>
            </w:r>
          </w:p>
        </w:tc>
      </w:tr>
      <w:tr w14:paraId="62C4F3E9">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77D443C6">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2539042F">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17623F4A">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2F22C6E9">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6435A7FE">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797AA2D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w:t>
            </w:r>
          </w:p>
        </w:tc>
        <w:tc>
          <w:tcPr>
            <w:tcW w:w="1418" w:type="dxa"/>
            <w:vMerge w:val="continue"/>
            <w:tcBorders>
              <w:top w:val="nil"/>
              <w:left w:val="single" w:color="auto" w:sz="4" w:space="0"/>
              <w:bottom w:val="single" w:color="auto" w:sz="4" w:space="0"/>
              <w:right w:val="single" w:color="auto" w:sz="4" w:space="0"/>
            </w:tcBorders>
            <w:vAlign w:val="center"/>
          </w:tcPr>
          <w:p w14:paraId="70C5538A">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5D22BBB5">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18880239">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34C9F4A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w:t>
            </w:r>
          </w:p>
        </w:tc>
        <w:tc>
          <w:tcPr>
            <w:tcW w:w="1121" w:type="dxa"/>
            <w:tcBorders>
              <w:top w:val="nil"/>
              <w:left w:val="nil"/>
              <w:bottom w:val="single" w:color="auto" w:sz="4" w:space="0"/>
              <w:right w:val="single" w:color="auto" w:sz="4" w:space="0"/>
            </w:tcBorders>
            <w:vAlign w:val="center"/>
          </w:tcPr>
          <w:p w14:paraId="42BBDAD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72.92</w:t>
            </w:r>
          </w:p>
        </w:tc>
        <w:tc>
          <w:tcPr>
            <w:tcW w:w="1134" w:type="dxa"/>
            <w:tcBorders>
              <w:top w:val="nil"/>
              <w:left w:val="nil"/>
              <w:bottom w:val="single" w:color="auto" w:sz="4" w:space="0"/>
              <w:right w:val="single" w:color="auto" w:sz="4" w:space="0"/>
            </w:tcBorders>
            <w:vAlign w:val="center"/>
          </w:tcPr>
          <w:p w14:paraId="3BC6ABE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0.2917</w:t>
            </w:r>
          </w:p>
        </w:tc>
        <w:tc>
          <w:tcPr>
            <w:tcW w:w="1134" w:type="dxa"/>
            <w:tcBorders>
              <w:top w:val="nil"/>
              <w:left w:val="nil"/>
              <w:bottom w:val="single" w:color="auto" w:sz="4" w:space="0"/>
              <w:right w:val="single" w:color="auto" w:sz="4" w:space="0"/>
            </w:tcBorders>
            <w:vAlign w:val="center"/>
          </w:tcPr>
          <w:p w14:paraId="4FBE12F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2.333</w:t>
            </w:r>
          </w:p>
        </w:tc>
        <w:tc>
          <w:tcPr>
            <w:tcW w:w="1842" w:type="dxa"/>
            <w:vMerge w:val="continue"/>
            <w:tcBorders>
              <w:top w:val="nil"/>
              <w:left w:val="single" w:color="auto" w:sz="4" w:space="0"/>
              <w:bottom w:val="single" w:color="auto" w:sz="4" w:space="0"/>
              <w:right w:val="single" w:color="auto" w:sz="4" w:space="0"/>
            </w:tcBorders>
            <w:vAlign w:val="center"/>
          </w:tcPr>
          <w:p w14:paraId="49EB4BBA">
            <w:pPr>
              <w:pStyle w:val="109"/>
              <w:rPr>
                <w:color w:val="000000" w:themeColor="text1"/>
                <w14:textFill>
                  <w14:solidFill>
                    <w14:schemeClr w14:val="tx1"/>
                  </w14:solidFill>
                </w14:textFill>
              </w:rPr>
            </w:pPr>
          </w:p>
        </w:tc>
      </w:tr>
      <w:tr w14:paraId="3FFC08CD">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38CE2D94">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58B74AE0">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0AC0517D">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0F02E149">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7C895BD2">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3C94913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NOx</w:t>
            </w:r>
          </w:p>
        </w:tc>
        <w:tc>
          <w:tcPr>
            <w:tcW w:w="1418" w:type="dxa"/>
            <w:vMerge w:val="continue"/>
            <w:tcBorders>
              <w:top w:val="nil"/>
              <w:left w:val="single" w:color="auto" w:sz="4" w:space="0"/>
              <w:bottom w:val="single" w:color="auto" w:sz="4" w:space="0"/>
              <w:right w:val="single" w:color="auto" w:sz="4" w:space="0"/>
            </w:tcBorders>
            <w:vAlign w:val="center"/>
          </w:tcPr>
          <w:p w14:paraId="2A946DB6">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1B419A77">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3ECF7550">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37D44CB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85%</w:t>
            </w:r>
          </w:p>
        </w:tc>
        <w:tc>
          <w:tcPr>
            <w:tcW w:w="1121" w:type="dxa"/>
            <w:tcBorders>
              <w:top w:val="nil"/>
              <w:left w:val="nil"/>
              <w:bottom w:val="single" w:color="auto" w:sz="4" w:space="0"/>
              <w:right w:val="single" w:color="auto" w:sz="4" w:space="0"/>
            </w:tcBorders>
            <w:vAlign w:val="center"/>
          </w:tcPr>
          <w:p w14:paraId="6690BDD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84.09</w:t>
            </w:r>
          </w:p>
        </w:tc>
        <w:tc>
          <w:tcPr>
            <w:tcW w:w="1134" w:type="dxa"/>
            <w:tcBorders>
              <w:top w:val="nil"/>
              <w:left w:val="nil"/>
              <w:bottom w:val="single" w:color="auto" w:sz="4" w:space="0"/>
              <w:right w:val="single" w:color="auto" w:sz="4" w:space="0"/>
            </w:tcBorders>
            <w:vAlign w:val="center"/>
          </w:tcPr>
          <w:p w14:paraId="59D07A8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0.336</w:t>
            </w:r>
          </w:p>
        </w:tc>
        <w:tc>
          <w:tcPr>
            <w:tcW w:w="1134" w:type="dxa"/>
            <w:tcBorders>
              <w:top w:val="nil"/>
              <w:left w:val="nil"/>
              <w:bottom w:val="single" w:color="auto" w:sz="4" w:space="0"/>
              <w:right w:val="single" w:color="auto" w:sz="4" w:space="0"/>
            </w:tcBorders>
            <w:vAlign w:val="center"/>
          </w:tcPr>
          <w:p w14:paraId="2DF9BCE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2.691</w:t>
            </w:r>
          </w:p>
        </w:tc>
        <w:tc>
          <w:tcPr>
            <w:tcW w:w="1842" w:type="dxa"/>
            <w:vMerge w:val="continue"/>
            <w:tcBorders>
              <w:top w:val="nil"/>
              <w:left w:val="single" w:color="auto" w:sz="4" w:space="0"/>
              <w:bottom w:val="single" w:color="auto" w:sz="4" w:space="0"/>
              <w:right w:val="single" w:color="auto" w:sz="4" w:space="0"/>
            </w:tcBorders>
            <w:vAlign w:val="center"/>
          </w:tcPr>
          <w:p w14:paraId="60D0A94E">
            <w:pPr>
              <w:pStyle w:val="109"/>
              <w:rPr>
                <w:color w:val="000000" w:themeColor="text1"/>
                <w14:textFill>
                  <w14:solidFill>
                    <w14:schemeClr w14:val="tx1"/>
                  </w14:solidFill>
                </w14:textFill>
              </w:rPr>
            </w:pPr>
          </w:p>
        </w:tc>
      </w:tr>
      <w:tr w14:paraId="6A438034">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42EA76CA">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37DC06D0">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0EFE34D4">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493D65A2">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5370CFAB">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29DBA87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SO</w:t>
            </w:r>
            <w:r>
              <w:rPr>
                <w:rFonts w:eastAsia="等线"/>
                <w:color w:val="000000" w:themeColor="text1"/>
                <w:vertAlign w:val="subscript"/>
                <w14:textFill>
                  <w14:solidFill>
                    <w14:schemeClr w14:val="tx1"/>
                  </w14:solidFill>
                </w14:textFill>
              </w:rPr>
              <w:t>2</w:t>
            </w:r>
          </w:p>
        </w:tc>
        <w:tc>
          <w:tcPr>
            <w:tcW w:w="1418" w:type="dxa"/>
            <w:vMerge w:val="continue"/>
            <w:tcBorders>
              <w:top w:val="nil"/>
              <w:left w:val="single" w:color="auto" w:sz="4" w:space="0"/>
              <w:bottom w:val="single" w:color="auto" w:sz="4" w:space="0"/>
              <w:right w:val="single" w:color="auto" w:sz="4" w:space="0"/>
            </w:tcBorders>
            <w:vAlign w:val="center"/>
          </w:tcPr>
          <w:p w14:paraId="6ADAB2CC">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630A2695">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17770051">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4B53E34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99%</w:t>
            </w:r>
          </w:p>
        </w:tc>
        <w:tc>
          <w:tcPr>
            <w:tcW w:w="1121" w:type="dxa"/>
            <w:tcBorders>
              <w:top w:val="nil"/>
              <w:left w:val="nil"/>
              <w:bottom w:val="single" w:color="auto" w:sz="4" w:space="0"/>
              <w:right w:val="single" w:color="auto" w:sz="4" w:space="0"/>
            </w:tcBorders>
            <w:vAlign w:val="center"/>
          </w:tcPr>
          <w:p w14:paraId="6C42784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62.5</w:t>
            </w:r>
          </w:p>
        </w:tc>
        <w:tc>
          <w:tcPr>
            <w:tcW w:w="1134" w:type="dxa"/>
            <w:tcBorders>
              <w:top w:val="nil"/>
              <w:left w:val="nil"/>
              <w:bottom w:val="single" w:color="auto" w:sz="4" w:space="0"/>
              <w:right w:val="single" w:color="auto" w:sz="4" w:space="0"/>
            </w:tcBorders>
            <w:vAlign w:val="center"/>
          </w:tcPr>
          <w:p w14:paraId="4D0C133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0.25</w:t>
            </w:r>
          </w:p>
        </w:tc>
        <w:tc>
          <w:tcPr>
            <w:tcW w:w="1134" w:type="dxa"/>
            <w:tcBorders>
              <w:top w:val="nil"/>
              <w:left w:val="nil"/>
              <w:bottom w:val="single" w:color="auto" w:sz="4" w:space="0"/>
              <w:right w:val="single" w:color="auto" w:sz="4" w:space="0"/>
            </w:tcBorders>
            <w:vAlign w:val="center"/>
          </w:tcPr>
          <w:p w14:paraId="634997B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p>
        </w:tc>
        <w:tc>
          <w:tcPr>
            <w:tcW w:w="1842" w:type="dxa"/>
            <w:vMerge w:val="continue"/>
            <w:tcBorders>
              <w:top w:val="nil"/>
              <w:left w:val="single" w:color="auto" w:sz="4" w:space="0"/>
              <w:bottom w:val="single" w:color="auto" w:sz="4" w:space="0"/>
              <w:right w:val="single" w:color="auto" w:sz="4" w:space="0"/>
            </w:tcBorders>
            <w:vAlign w:val="center"/>
          </w:tcPr>
          <w:p w14:paraId="194E41EA">
            <w:pPr>
              <w:pStyle w:val="109"/>
              <w:rPr>
                <w:color w:val="000000" w:themeColor="text1"/>
                <w14:textFill>
                  <w14:solidFill>
                    <w14:schemeClr w14:val="tx1"/>
                  </w14:solidFill>
                </w14:textFill>
              </w:rPr>
            </w:pPr>
          </w:p>
        </w:tc>
      </w:tr>
      <w:tr w14:paraId="72D2D2A7">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3A9A2EB2">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47FE3A68">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7F137627">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28A8B639">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6B636C84">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6046EC8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HF</w:t>
            </w:r>
          </w:p>
        </w:tc>
        <w:tc>
          <w:tcPr>
            <w:tcW w:w="1418" w:type="dxa"/>
            <w:vMerge w:val="continue"/>
            <w:tcBorders>
              <w:top w:val="nil"/>
              <w:left w:val="single" w:color="auto" w:sz="4" w:space="0"/>
              <w:bottom w:val="single" w:color="auto" w:sz="4" w:space="0"/>
              <w:right w:val="single" w:color="auto" w:sz="4" w:space="0"/>
            </w:tcBorders>
            <w:vAlign w:val="center"/>
          </w:tcPr>
          <w:p w14:paraId="1BEDCCF1">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0CDC0CBA">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70E0E082">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7E11CA1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99%</w:t>
            </w:r>
          </w:p>
        </w:tc>
        <w:tc>
          <w:tcPr>
            <w:tcW w:w="1121" w:type="dxa"/>
            <w:tcBorders>
              <w:top w:val="nil"/>
              <w:left w:val="nil"/>
              <w:bottom w:val="single" w:color="auto" w:sz="4" w:space="0"/>
              <w:right w:val="single" w:color="auto" w:sz="4" w:space="0"/>
            </w:tcBorders>
            <w:vAlign w:val="center"/>
          </w:tcPr>
          <w:p w14:paraId="0B83DA8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1.64</w:t>
            </w:r>
          </w:p>
        </w:tc>
        <w:tc>
          <w:tcPr>
            <w:tcW w:w="1134" w:type="dxa"/>
            <w:tcBorders>
              <w:top w:val="nil"/>
              <w:left w:val="nil"/>
              <w:bottom w:val="single" w:color="auto" w:sz="4" w:space="0"/>
              <w:right w:val="single" w:color="auto" w:sz="4" w:space="0"/>
            </w:tcBorders>
            <w:vAlign w:val="center"/>
          </w:tcPr>
          <w:p w14:paraId="5C627F9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0.0066</w:t>
            </w:r>
          </w:p>
        </w:tc>
        <w:tc>
          <w:tcPr>
            <w:tcW w:w="1134" w:type="dxa"/>
            <w:tcBorders>
              <w:top w:val="nil"/>
              <w:left w:val="nil"/>
              <w:bottom w:val="single" w:color="auto" w:sz="4" w:space="0"/>
              <w:right w:val="single" w:color="auto" w:sz="4" w:space="0"/>
            </w:tcBorders>
            <w:vAlign w:val="center"/>
          </w:tcPr>
          <w:p w14:paraId="49C4F5C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0.053</w:t>
            </w:r>
          </w:p>
        </w:tc>
        <w:tc>
          <w:tcPr>
            <w:tcW w:w="1842" w:type="dxa"/>
            <w:vMerge w:val="continue"/>
            <w:tcBorders>
              <w:top w:val="nil"/>
              <w:left w:val="single" w:color="auto" w:sz="4" w:space="0"/>
              <w:bottom w:val="single" w:color="auto" w:sz="4" w:space="0"/>
              <w:right w:val="single" w:color="auto" w:sz="4" w:space="0"/>
            </w:tcBorders>
            <w:vAlign w:val="center"/>
          </w:tcPr>
          <w:p w14:paraId="2415C928">
            <w:pPr>
              <w:pStyle w:val="109"/>
              <w:rPr>
                <w:color w:val="000000" w:themeColor="text1"/>
                <w14:textFill>
                  <w14:solidFill>
                    <w14:schemeClr w14:val="tx1"/>
                  </w14:solidFill>
                </w14:textFill>
              </w:rPr>
            </w:pPr>
          </w:p>
        </w:tc>
      </w:tr>
      <w:tr w14:paraId="1EB08279">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1CE849AE">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165F592D">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62ECD954">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335A5E62">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2CE39A89">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32AC57C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HCl</w:t>
            </w:r>
          </w:p>
        </w:tc>
        <w:tc>
          <w:tcPr>
            <w:tcW w:w="1418" w:type="dxa"/>
            <w:vMerge w:val="continue"/>
            <w:tcBorders>
              <w:top w:val="nil"/>
              <w:left w:val="single" w:color="auto" w:sz="4" w:space="0"/>
              <w:bottom w:val="single" w:color="auto" w:sz="4" w:space="0"/>
              <w:right w:val="single" w:color="auto" w:sz="4" w:space="0"/>
            </w:tcBorders>
            <w:vAlign w:val="center"/>
          </w:tcPr>
          <w:p w14:paraId="18B1521B">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65A7883C">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67224900">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295771B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99%</w:t>
            </w:r>
          </w:p>
        </w:tc>
        <w:tc>
          <w:tcPr>
            <w:tcW w:w="1121" w:type="dxa"/>
            <w:tcBorders>
              <w:top w:val="nil"/>
              <w:left w:val="nil"/>
              <w:bottom w:val="single" w:color="auto" w:sz="4" w:space="0"/>
              <w:right w:val="single" w:color="auto" w:sz="4" w:space="0"/>
            </w:tcBorders>
            <w:vAlign w:val="center"/>
          </w:tcPr>
          <w:p w14:paraId="1AB28F3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48.23</w:t>
            </w:r>
          </w:p>
        </w:tc>
        <w:tc>
          <w:tcPr>
            <w:tcW w:w="1134" w:type="dxa"/>
            <w:tcBorders>
              <w:top w:val="nil"/>
              <w:left w:val="nil"/>
              <w:bottom w:val="single" w:color="auto" w:sz="4" w:space="0"/>
              <w:right w:val="single" w:color="auto" w:sz="4" w:space="0"/>
            </w:tcBorders>
            <w:vAlign w:val="center"/>
          </w:tcPr>
          <w:p w14:paraId="4F2BFB2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0.193</w:t>
            </w:r>
          </w:p>
        </w:tc>
        <w:tc>
          <w:tcPr>
            <w:tcW w:w="1134" w:type="dxa"/>
            <w:tcBorders>
              <w:top w:val="nil"/>
              <w:left w:val="nil"/>
              <w:bottom w:val="single" w:color="auto" w:sz="4" w:space="0"/>
              <w:right w:val="single" w:color="auto" w:sz="4" w:space="0"/>
            </w:tcBorders>
            <w:vAlign w:val="center"/>
          </w:tcPr>
          <w:p w14:paraId="654E00E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1.543</w:t>
            </w:r>
          </w:p>
        </w:tc>
        <w:tc>
          <w:tcPr>
            <w:tcW w:w="1842" w:type="dxa"/>
            <w:vMerge w:val="continue"/>
            <w:tcBorders>
              <w:top w:val="nil"/>
              <w:left w:val="single" w:color="auto" w:sz="4" w:space="0"/>
              <w:bottom w:val="single" w:color="auto" w:sz="4" w:space="0"/>
              <w:right w:val="single" w:color="auto" w:sz="4" w:space="0"/>
            </w:tcBorders>
            <w:vAlign w:val="center"/>
          </w:tcPr>
          <w:p w14:paraId="7C853E35">
            <w:pPr>
              <w:pStyle w:val="109"/>
              <w:rPr>
                <w:color w:val="000000" w:themeColor="text1"/>
                <w14:textFill>
                  <w14:solidFill>
                    <w14:schemeClr w14:val="tx1"/>
                  </w14:solidFill>
                </w14:textFill>
              </w:rPr>
            </w:pPr>
          </w:p>
        </w:tc>
      </w:tr>
      <w:tr w14:paraId="22413B1B">
        <w:tblPrEx>
          <w:tblCellMar>
            <w:top w:w="0" w:type="dxa"/>
            <w:left w:w="108" w:type="dxa"/>
            <w:bottom w:w="0" w:type="dxa"/>
            <w:right w:w="108" w:type="dxa"/>
          </w:tblCellMar>
        </w:tblPrEx>
        <w:trPr>
          <w:trHeight w:val="576" w:hRule="atLeast"/>
        </w:trPr>
        <w:tc>
          <w:tcPr>
            <w:tcW w:w="961" w:type="dxa"/>
            <w:vMerge w:val="continue"/>
            <w:tcBorders>
              <w:top w:val="nil"/>
              <w:left w:val="single" w:color="auto" w:sz="4" w:space="0"/>
              <w:bottom w:val="single" w:color="auto" w:sz="4" w:space="0"/>
              <w:right w:val="single" w:color="auto" w:sz="4" w:space="0"/>
            </w:tcBorders>
            <w:vAlign w:val="center"/>
          </w:tcPr>
          <w:p w14:paraId="748A2250">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72534667">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7FC0DA9F">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248FF3AF">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41844608">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0A7F895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汞及其化合物</w:t>
            </w:r>
          </w:p>
        </w:tc>
        <w:tc>
          <w:tcPr>
            <w:tcW w:w="1418" w:type="dxa"/>
            <w:vMerge w:val="continue"/>
            <w:tcBorders>
              <w:top w:val="nil"/>
              <w:left w:val="single" w:color="auto" w:sz="4" w:space="0"/>
              <w:bottom w:val="single" w:color="auto" w:sz="4" w:space="0"/>
              <w:right w:val="single" w:color="auto" w:sz="4" w:space="0"/>
            </w:tcBorders>
            <w:vAlign w:val="center"/>
          </w:tcPr>
          <w:p w14:paraId="59C549D7">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00AE9886">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451DF0DF">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28AE6A9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98%</w:t>
            </w:r>
          </w:p>
        </w:tc>
        <w:tc>
          <w:tcPr>
            <w:tcW w:w="1121" w:type="dxa"/>
            <w:tcBorders>
              <w:top w:val="nil"/>
              <w:left w:val="nil"/>
              <w:bottom w:val="single" w:color="auto" w:sz="4" w:space="0"/>
              <w:right w:val="single" w:color="auto" w:sz="4" w:space="0"/>
            </w:tcBorders>
            <w:vAlign w:val="center"/>
          </w:tcPr>
          <w:p w14:paraId="463BDE0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0.0031</w:t>
            </w:r>
          </w:p>
        </w:tc>
        <w:tc>
          <w:tcPr>
            <w:tcW w:w="1134" w:type="dxa"/>
            <w:tcBorders>
              <w:top w:val="nil"/>
              <w:left w:val="nil"/>
              <w:bottom w:val="single" w:color="auto" w:sz="4" w:space="0"/>
              <w:right w:val="single" w:color="auto" w:sz="4" w:space="0"/>
            </w:tcBorders>
            <w:vAlign w:val="center"/>
          </w:tcPr>
          <w:p w14:paraId="01C25F3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0.0000125</w:t>
            </w:r>
          </w:p>
        </w:tc>
        <w:tc>
          <w:tcPr>
            <w:tcW w:w="1134" w:type="dxa"/>
            <w:tcBorders>
              <w:top w:val="nil"/>
              <w:left w:val="nil"/>
              <w:bottom w:val="single" w:color="auto" w:sz="4" w:space="0"/>
              <w:right w:val="single" w:color="auto" w:sz="4" w:space="0"/>
            </w:tcBorders>
            <w:vAlign w:val="center"/>
          </w:tcPr>
          <w:p w14:paraId="18CC315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0.0001</w:t>
            </w:r>
          </w:p>
        </w:tc>
        <w:tc>
          <w:tcPr>
            <w:tcW w:w="1842" w:type="dxa"/>
            <w:vMerge w:val="continue"/>
            <w:tcBorders>
              <w:top w:val="nil"/>
              <w:left w:val="single" w:color="auto" w:sz="4" w:space="0"/>
              <w:bottom w:val="single" w:color="auto" w:sz="4" w:space="0"/>
              <w:right w:val="single" w:color="auto" w:sz="4" w:space="0"/>
            </w:tcBorders>
            <w:vAlign w:val="center"/>
          </w:tcPr>
          <w:p w14:paraId="6C8E1825">
            <w:pPr>
              <w:pStyle w:val="109"/>
              <w:rPr>
                <w:color w:val="000000" w:themeColor="text1"/>
                <w14:textFill>
                  <w14:solidFill>
                    <w14:schemeClr w14:val="tx1"/>
                  </w14:solidFill>
                </w14:textFill>
              </w:rPr>
            </w:pPr>
          </w:p>
        </w:tc>
      </w:tr>
      <w:tr w14:paraId="08E5B3AD">
        <w:tblPrEx>
          <w:tblCellMar>
            <w:top w:w="0" w:type="dxa"/>
            <w:left w:w="108" w:type="dxa"/>
            <w:bottom w:w="0" w:type="dxa"/>
            <w:right w:w="108" w:type="dxa"/>
          </w:tblCellMar>
        </w:tblPrEx>
        <w:trPr>
          <w:trHeight w:val="576" w:hRule="atLeast"/>
        </w:trPr>
        <w:tc>
          <w:tcPr>
            <w:tcW w:w="961" w:type="dxa"/>
            <w:vMerge w:val="continue"/>
            <w:tcBorders>
              <w:top w:val="nil"/>
              <w:left w:val="single" w:color="auto" w:sz="4" w:space="0"/>
              <w:bottom w:val="single" w:color="auto" w:sz="4" w:space="0"/>
              <w:right w:val="single" w:color="auto" w:sz="4" w:space="0"/>
            </w:tcBorders>
            <w:vAlign w:val="center"/>
          </w:tcPr>
          <w:p w14:paraId="3B85316F">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7FC632C2">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71962898">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28A0539E">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29B4ACBE">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1353AE6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铊及其化合物</w:t>
            </w:r>
          </w:p>
        </w:tc>
        <w:tc>
          <w:tcPr>
            <w:tcW w:w="1418" w:type="dxa"/>
            <w:vMerge w:val="continue"/>
            <w:tcBorders>
              <w:top w:val="nil"/>
              <w:left w:val="single" w:color="auto" w:sz="4" w:space="0"/>
              <w:bottom w:val="single" w:color="auto" w:sz="4" w:space="0"/>
              <w:right w:val="single" w:color="auto" w:sz="4" w:space="0"/>
            </w:tcBorders>
            <w:vAlign w:val="center"/>
          </w:tcPr>
          <w:p w14:paraId="0C571DF5">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052506BD">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7880461E">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6C0ED55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98%</w:t>
            </w:r>
          </w:p>
        </w:tc>
        <w:tc>
          <w:tcPr>
            <w:tcW w:w="1121" w:type="dxa"/>
            <w:tcBorders>
              <w:top w:val="nil"/>
              <w:left w:val="nil"/>
              <w:bottom w:val="single" w:color="auto" w:sz="4" w:space="0"/>
              <w:right w:val="single" w:color="auto" w:sz="4" w:space="0"/>
            </w:tcBorders>
            <w:vAlign w:val="center"/>
          </w:tcPr>
          <w:p w14:paraId="101B994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0.0002</w:t>
            </w:r>
          </w:p>
        </w:tc>
        <w:tc>
          <w:tcPr>
            <w:tcW w:w="1134" w:type="dxa"/>
            <w:tcBorders>
              <w:top w:val="nil"/>
              <w:left w:val="nil"/>
              <w:bottom w:val="single" w:color="auto" w:sz="4" w:space="0"/>
              <w:right w:val="single" w:color="auto" w:sz="4" w:space="0"/>
            </w:tcBorders>
            <w:vAlign w:val="center"/>
          </w:tcPr>
          <w:p w14:paraId="0DD388C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6.25E-07</w:t>
            </w:r>
          </w:p>
        </w:tc>
        <w:tc>
          <w:tcPr>
            <w:tcW w:w="1134" w:type="dxa"/>
            <w:tcBorders>
              <w:top w:val="nil"/>
              <w:left w:val="nil"/>
              <w:bottom w:val="single" w:color="auto" w:sz="4" w:space="0"/>
              <w:right w:val="single" w:color="auto" w:sz="4" w:space="0"/>
            </w:tcBorders>
            <w:vAlign w:val="center"/>
          </w:tcPr>
          <w:p w14:paraId="0732907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0.000005</w:t>
            </w:r>
          </w:p>
        </w:tc>
        <w:tc>
          <w:tcPr>
            <w:tcW w:w="1842" w:type="dxa"/>
            <w:vMerge w:val="continue"/>
            <w:tcBorders>
              <w:top w:val="nil"/>
              <w:left w:val="single" w:color="auto" w:sz="4" w:space="0"/>
              <w:bottom w:val="single" w:color="auto" w:sz="4" w:space="0"/>
              <w:right w:val="single" w:color="auto" w:sz="4" w:space="0"/>
            </w:tcBorders>
            <w:vAlign w:val="center"/>
          </w:tcPr>
          <w:p w14:paraId="39DDB140">
            <w:pPr>
              <w:pStyle w:val="109"/>
              <w:rPr>
                <w:color w:val="000000" w:themeColor="text1"/>
                <w14:textFill>
                  <w14:solidFill>
                    <w14:schemeClr w14:val="tx1"/>
                  </w14:solidFill>
                </w14:textFill>
              </w:rPr>
            </w:pPr>
          </w:p>
        </w:tc>
      </w:tr>
      <w:tr w14:paraId="0AF94679">
        <w:tblPrEx>
          <w:tblCellMar>
            <w:top w:w="0" w:type="dxa"/>
            <w:left w:w="108" w:type="dxa"/>
            <w:bottom w:w="0" w:type="dxa"/>
            <w:right w:w="108" w:type="dxa"/>
          </w:tblCellMar>
        </w:tblPrEx>
        <w:trPr>
          <w:trHeight w:val="576" w:hRule="atLeast"/>
        </w:trPr>
        <w:tc>
          <w:tcPr>
            <w:tcW w:w="961" w:type="dxa"/>
            <w:vMerge w:val="continue"/>
            <w:tcBorders>
              <w:top w:val="nil"/>
              <w:left w:val="single" w:color="auto" w:sz="4" w:space="0"/>
              <w:bottom w:val="single" w:color="auto" w:sz="4" w:space="0"/>
              <w:right w:val="single" w:color="auto" w:sz="4" w:space="0"/>
            </w:tcBorders>
            <w:vAlign w:val="center"/>
          </w:tcPr>
          <w:p w14:paraId="6F2ABC00">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557B4921">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75B15E03">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30708FED">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694E543B">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7D02532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镉及其化合物</w:t>
            </w:r>
          </w:p>
        </w:tc>
        <w:tc>
          <w:tcPr>
            <w:tcW w:w="1418" w:type="dxa"/>
            <w:vMerge w:val="continue"/>
            <w:tcBorders>
              <w:top w:val="nil"/>
              <w:left w:val="single" w:color="auto" w:sz="4" w:space="0"/>
              <w:bottom w:val="single" w:color="auto" w:sz="4" w:space="0"/>
              <w:right w:val="single" w:color="auto" w:sz="4" w:space="0"/>
            </w:tcBorders>
            <w:vAlign w:val="center"/>
          </w:tcPr>
          <w:p w14:paraId="5D3D7C80">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1ADE1949">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557CD6BE">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31470CF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98%</w:t>
            </w:r>
          </w:p>
        </w:tc>
        <w:tc>
          <w:tcPr>
            <w:tcW w:w="1121" w:type="dxa"/>
            <w:tcBorders>
              <w:top w:val="nil"/>
              <w:left w:val="nil"/>
              <w:bottom w:val="single" w:color="auto" w:sz="4" w:space="0"/>
              <w:right w:val="single" w:color="auto" w:sz="4" w:space="0"/>
            </w:tcBorders>
            <w:vAlign w:val="center"/>
          </w:tcPr>
          <w:p w14:paraId="0DC946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0.0094</w:t>
            </w:r>
          </w:p>
        </w:tc>
        <w:tc>
          <w:tcPr>
            <w:tcW w:w="1134" w:type="dxa"/>
            <w:tcBorders>
              <w:top w:val="nil"/>
              <w:left w:val="nil"/>
              <w:bottom w:val="single" w:color="auto" w:sz="4" w:space="0"/>
              <w:right w:val="single" w:color="auto" w:sz="4" w:space="0"/>
            </w:tcBorders>
            <w:vAlign w:val="center"/>
          </w:tcPr>
          <w:p w14:paraId="7DA9711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0.0000375</w:t>
            </w:r>
          </w:p>
        </w:tc>
        <w:tc>
          <w:tcPr>
            <w:tcW w:w="1134" w:type="dxa"/>
            <w:tcBorders>
              <w:top w:val="nil"/>
              <w:left w:val="nil"/>
              <w:bottom w:val="single" w:color="auto" w:sz="4" w:space="0"/>
              <w:right w:val="single" w:color="auto" w:sz="4" w:space="0"/>
            </w:tcBorders>
            <w:vAlign w:val="center"/>
          </w:tcPr>
          <w:p w14:paraId="6863ED5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0.0003</w:t>
            </w:r>
          </w:p>
        </w:tc>
        <w:tc>
          <w:tcPr>
            <w:tcW w:w="1842" w:type="dxa"/>
            <w:vMerge w:val="continue"/>
            <w:tcBorders>
              <w:top w:val="nil"/>
              <w:left w:val="single" w:color="auto" w:sz="4" w:space="0"/>
              <w:bottom w:val="single" w:color="auto" w:sz="4" w:space="0"/>
              <w:right w:val="single" w:color="auto" w:sz="4" w:space="0"/>
            </w:tcBorders>
            <w:vAlign w:val="center"/>
          </w:tcPr>
          <w:p w14:paraId="5C963EEF">
            <w:pPr>
              <w:pStyle w:val="109"/>
              <w:rPr>
                <w:color w:val="000000" w:themeColor="text1"/>
                <w14:textFill>
                  <w14:solidFill>
                    <w14:schemeClr w14:val="tx1"/>
                  </w14:solidFill>
                </w14:textFill>
              </w:rPr>
            </w:pPr>
          </w:p>
        </w:tc>
      </w:tr>
      <w:tr w14:paraId="2C970A08">
        <w:tblPrEx>
          <w:tblCellMar>
            <w:top w:w="0" w:type="dxa"/>
            <w:left w:w="108" w:type="dxa"/>
            <w:bottom w:w="0" w:type="dxa"/>
            <w:right w:w="108" w:type="dxa"/>
          </w:tblCellMar>
        </w:tblPrEx>
        <w:trPr>
          <w:trHeight w:val="576" w:hRule="atLeast"/>
        </w:trPr>
        <w:tc>
          <w:tcPr>
            <w:tcW w:w="961" w:type="dxa"/>
            <w:vMerge w:val="continue"/>
            <w:tcBorders>
              <w:top w:val="nil"/>
              <w:left w:val="single" w:color="auto" w:sz="4" w:space="0"/>
              <w:bottom w:val="single" w:color="auto" w:sz="4" w:space="0"/>
              <w:right w:val="single" w:color="auto" w:sz="4" w:space="0"/>
            </w:tcBorders>
            <w:vAlign w:val="center"/>
          </w:tcPr>
          <w:p w14:paraId="181135CC">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6749A288">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0EED29EE">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3B6E3FDD">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0F94E82A">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5E9B55C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铅及其化合物</w:t>
            </w:r>
          </w:p>
        </w:tc>
        <w:tc>
          <w:tcPr>
            <w:tcW w:w="1418" w:type="dxa"/>
            <w:vMerge w:val="continue"/>
            <w:tcBorders>
              <w:top w:val="nil"/>
              <w:left w:val="single" w:color="auto" w:sz="4" w:space="0"/>
              <w:bottom w:val="single" w:color="auto" w:sz="4" w:space="0"/>
              <w:right w:val="single" w:color="auto" w:sz="4" w:space="0"/>
            </w:tcBorders>
            <w:vAlign w:val="center"/>
          </w:tcPr>
          <w:p w14:paraId="083731FA">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48850682">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32577607">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6057CB5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98%</w:t>
            </w:r>
          </w:p>
        </w:tc>
        <w:tc>
          <w:tcPr>
            <w:tcW w:w="1121" w:type="dxa"/>
            <w:tcBorders>
              <w:top w:val="nil"/>
              <w:left w:val="nil"/>
              <w:bottom w:val="single" w:color="auto" w:sz="4" w:space="0"/>
              <w:right w:val="single" w:color="auto" w:sz="4" w:space="0"/>
            </w:tcBorders>
            <w:vAlign w:val="center"/>
          </w:tcPr>
          <w:p w14:paraId="2321094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0.031</w:t>
            </w:r>
          </w:p>
        </w:tc>
        <w:tc>
          <w:tcPr>
            <w:tcW w:w="1134" w:type="dxa"/>
            <w:tcBorders>
              <w:top w:val="nil"/>
              <w:left w:val="nil"/>
              <w:bottom w:val="single" w:color="auto" w:sz="4" w:space="0"/>
              <w:right w:val="single" w:color="auto" w:sz="4" w:space="0"/>
            </w:tcBorders>
            <w:vAlign w:val="center"/>
          </w:tcPr>
          <w:p w14:paraId="456C8FA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0.00013</w:t>
            </w:r>
          </w:p>
        </w:tc>
        <w:tc>
          <w:tcPr>
            <w:tcW w:w="1134" w:type="dxa"/>
            <w:tcBorders>
              <w:top w:val="nil"/>
              <w:left w:val="nil"/>
              <w:bottom w:val="single" w:color="auto" w:sz="4" w:space="0"/>
              <w:right w:val="single" w:color="auto" w:sz="4" w:space="0"/>
            </w:tcBorders>
            <w:vAlign w:val="center"/>
          </w:tcPr>
          <w:p w14:paraId="70CFC45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w:t>
            </w:r>
          </w:p>
        </w:tc>
        <w:tc>
          <w:tcPr>
            <w:tcW w:w="1842" w:type="dxa"/>
            <w:vMerge w:val="continue"/>
            <w:tcBorders>
              <w:top w:val="nil"/>
              <w:left w:val="single" w:color="auto" w:sz="4" w:space="0"/>
              <w:bottom w:val="single" w:color="auto" w:sz="4" w:space="0"/>
              <w:right w:val="single" w:color="auto" w:sz="4" w:space="0"/>
            </w:tcBorders>
            <w:vAlign w:val="center"/>
          </w:tcPr>
          <w:p w14:paraId="6DAD4E05">
            <w:pPr>
              <w:pStyle w:val="109"/>
              <w:rPr>
                <w:color w:val="000000" w:themeColor="text1"/>
                <w14:textFill>
                  <w14:solidFill>
                    <w14:schemeClr w14:val="tx1"/>
                  </w14:solidFill>
                </w14:textFill>
              </w:rPr>
            </w:pPr>
          </w:p>
        </w:tc>
      </w:tr>
      <w:tr w14:paraId="4EB75F7A">
        <w:tblPrEx>
          <w:tblCellMar>
            <w:top w:w="0" w:type="dxa"/>
            <w:left w:w="108" w:type="dxa"/>
            <w:bottom w:w="0" w:type="dxa"/>
            <w:right w:w="108" w:type="dxa"/>
          </w:tblCellMar>
        </w:tblPrEx>
        <w:trPr>
          <w:trHeight w:val="576" w:hRule="atLeast"/>
        </w:trPr>
        <w:tc>
          <w:tcPr>
            <w:tcW w:w="961" w:type="dxa"/>
            <w:vMerge w:val="continue"/>
            <w:tcBorders>
              <w:top w:val="nil"/>
              <w:left w:val="single" w:color="auto" w:sz="4" w:space="0"/>
              <w:bottom w:val="single" w:color="auto" w:sz="4" w:space="0"/>
              <w:right w:val="single" w:color="auto" w:sz="4" w:space="0"/>
            </w:tcBorders>
            <w:vAlign w:val="center"/>
          </w:tcPr>
          <w:p w14:paraId="3968A442">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7E723929">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7F07DB24">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6B6F0104">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1C86E9EC">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7EC8B2C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砷及其化合物</w:t>
            </w:r>
          </w:p>
        </w:tc>
        <w:tc>
          <w:tcPr>
            <w:tcW w:w="1418" w:type="dxa"/>
            <w:vMerge w:val="continue"/>
            <w:tcBorders>
              <w:top w:val="nil"/>
              <w:left w:val="single" w:color="auto" w:sz="4" w:space="0"/>
              <w:bottom w:val="single" w:color="auto" w:sz="4" w:space="0"/>
              <w:right w:val="single" w:color="auto" w:sz="4" w:space="0"/>
            </w:tcBorders>
            <w:vAlign w:val="center"/>
          </w:tcPr>
          <w:p w14:paraId="747ECD3C">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3F94744D">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3D3E9167">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245CF7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98%</w:t>
            </w:r>
          </w:p>
        </w:tc>
        <w:tc>
          <w:tcPr>
            <w:tcW w:w="1121" w:type="dxa"/>
            <w:tcBorders>
              <w:top w:val="nil"/>
              <w:left w:val="nil"/>
              <w:bottom w:val="single" w:color="auto" w:sz="4" w:space="0"/>
              <w:right w:val="single" w:color="auto" w:sz="4" w:space="0"/>
            </w:tcBorders>
            <w:vAlign w:val="center"/>
          </w:tcPr>
          <w:p w14:paraId="1D96B13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0.063</w:t>
            </w:r>
          </w:p>
        </w:tc>
        <w:tc>
          <w:tcPr>
            <w:tcW w:w="1134" w:type="dxa"/>
            <w:tcBorders>
              <w:top w:val="nil"/>
              <w:left w:val="nil"/>
              <w:bottom w:val="single" w:color="auto" w:sz="4" w:space="0"/>
              <w:right w:val="single" w:color="auto" w:sz="4" w:space="0"/>
            </w:tcBorders>
            <w:vAlign w:val="center"/>
          </w:tcPr>
          <w:p w14:paraId="39187C9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0.00025</w:t>
            </w:r>
          </w:p>
        </w:tc>
        <w:tc>
          <w:tcPr>
            <w:tcW w:w="1134" w:type="dxa"/>
            <w:tcBorders>
              <w:top w:val="nil"/>
              <w:left w:val="nil"/>
              <w:bottom w:val="single" w:color="auto" w:sz="4" w:space="0"/>
              <w:right w:val="single" w:color="auto" w:sz="4" w:space="0"/>
            </w:tcBorders>
            <w:vAlign w:val="center"/>
          </w:tcPr>
          <w:p w14:paraId="7B718EB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w:t>
            </w:r>
          </w:p>
        </w:tc>
        <w:tc>
          <w:tcPr>
            <w:tcW w:w="1842" w:type="dxa"/>
            <w:vMerge w:val="continue"/>
            <w:tcBorders>
              <w:top w:val="nil"/>
              <w:left w:val="single" w:color="auto" w:sz="4" w:space="0"/>
              <w:bottom w:val="single" w:color="auto" w:sz="4" w:space="0"/>
              <w:right w:val="single" w:color="auto" w:sz="4" w:space="0"/>
            </w:tcBorders>
            <w:vAlign w:val="center"/>
          </w:tcPr>
          <w:p w14:paraId="4E7DE497">
            <w:pPr>
              <w:pStyle w:val="109"/>
              <w:rPr>
                <w:color w:val="000000" w:themeColor="text1"/>
                <w14:textFill>
                  <w14:solidFill>
                    <w14:schemeClr w14:val="tx1"/>
                  </w14:solidFill>
                </w14:textFill>
              </w:rPr>
            </w:pPr>
          </w:p>
        </w:tc>
      </w:tr>
      <w:tr w14:paraId="4AB694CC">
        <w:tblPrEx>
          <w:tblCellMar>
            <w:top w:w="0" w:type="dxa"/>
            <w:left w:w="108" w:type="dxa"/>
            <w:bottom w:w="0" w:type="dxa"/>
            <w:right w:w="108" w:type="dxa"/>
          </w:tblCellMar>
        </w:tblPrEx>
        <w:trPr>
          <w:trHeight w:val="576" w:hRule="atLeast"/>
        </w:trPr>
        <w:tc>
          <w:tcPr>
            <w:tcW w:w="961" w:type="dxa"/>
            <w:vMerge w:val="continue"/>
            <w:tcBorders>
              <w:top w:val="nil"/>
              <w:left w:val="single" w:color="auto" w:sz="4" w:space="0"/>
              <w:bottom w:val="single" w:color="auto" w:sz="4" w:space="0"/>
              <w:right w:val="single" w:color="auto" w:sz="4" w:space="0"/>
            </w:tcBorders>
            <w:vAlign w:val="center"/>
          </w:tcPr>
          <w:p w14:paraId="6BD6B75D">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27456824">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2CB90293">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50A47E8B">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51977CBA">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3B98CA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铬及其化合物</w:t>
            </w:r>
          </w:p>
        </w:tc>
        <w:tc>
          <w:tcPr>
            <w:tcW w:w="1418" w:type="dxa"/>
            <w:vMerge w:val="continue"/>
            <w:tcBorders>
              <w:top w:val="nil"/>
              <w:left w:val="single" w:color="auto" w:sz="4" w:space="0"/>
              <w:bottom w:val="single" w:color="auto" w:sz="4" w:space="0"/>
              <w:right w:val="single" w:color="auto" w:sz="4" w:space="0"/>
            </w:tcBorders>
            <w:vAlign w:val="center"/>
          </w:tcPr>
          <w:p w14:paraId="6F9AB626">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1D4AC7FE">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58E71C3C">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3533162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98%</w:t>
            </w:r>
          </w:p>
        </w:tc>
        <w:tc>
          <w:tcPr>
            <w:tcW w:w="1121" w:type="dxa"/>
            <w:tcBorders>
              <w:top w:val="nil"/>
              <w:left w:val="nil"/>
              <w:bottom w:val="single" w:color="auto" w:sz="4" w:space="0"/>
              <w:right w:val="single" w:color="auto" w:sz="4" w:space="0"/>
            </w:tcBorders>
            <w:vAlign w:val="center"/>
          </w:tcPr>
          <w:p w14:paraId="03E555F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0.0016</w:t>
            </w:r>
          </w:p>
        </w:tc>
        <w:tc>
          <w:tcPr>
            <w:tcW w:w="1134" w:type="dxa"/>
            <w:tcBorders>
              <w:top w:val="nil"/>
              <w:left w:val="nil"/>
              <w:bottom w:val="single" w:color="auto" w:sz="4" w:space="0"/>
              <w:right w:val="single" w:color="auto" w:sz="4" w:space="0"/>
            </w:tcBorders>
            <w:vAlign w:val="center"/>
          </w:tcPr>
          <w:p w14:paraId="101EE9D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6.25E-06</w:t>
            </w:r>
          </w:p>
        </w:tc>
        <w:tc>
          <w:tcPr>
            <w:tcW w:w="1134" w:type="dxa"/>
            <w:tcBorders>
              <w:top w:val="nil"/>
              <w:left w:val="nil"/>
              <w:bottom w:val="single" w:color="auto" w:sz="4" w:space="0"/>
              <w:right w:val="single" w:color="auto" w:sz="4" w:space="0"/>
            </w:tcBorders>
            <w:vAlign w:val="center"/>
          </w:tcPr>
          <w:p w14:paraId="0CFE07D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0.00005</w:t>
            </w:r>
          </w:p>
        </w:tc>
        <w:tc>
          <w:tcPr>
            <w:tcW w:w="1842" w:type="dxa"/>
            <w:vMerge w:val="continue"/>
            <w:tcBorders>
              <w:top w:val="nil"/>
              <w:left w:val="single" w:color="auto" w:sz="4" w:space="0"/>
              <w:bottom w:val="single" w:color="auto" w:sz="4" w:space="0"/>
              <w:right w:val="single" w:color="auto" w:sz="4" w:space="0"/>
            </w:tcBorders>
            <w:vAlign w:val="center"/>
          </w:tcPr>
          <w:p w14:paraId="0880A7EB">
            <w:pPr>
              <w:pStyle w:val="109"/>
              <w:rPr>
                <w:color w:val="000000" w:themeColor="text1"/>
                <w14:textFill>
                  <w14:solidFill>
                    <w14:schemeClr w14:val="tx1"/>
                  </w14:solidFill>
                </w14:textFill>
              </w:rPr>
            </w:pPr>
          </w:p>
        </w:tc>
      </w:tr>
      <w:tr w14:paraId="68E497E3">
        <w:tblPrEx>
          <w:tblCellMar>
            <w:top w:w="0" w:type="dxa"/>
            <w:left w:w="108" w:type="dxa"/>
            <w:bottom w:w="0" w:type="dxa"/>
            <w:right w:w="108" w:type="dxa"/>
          </w:tblCellMar>
        </w:tblPrEx>
        <w:trPr>
          <w:trHeight w:val="1152" w:hRule="atLeast"/>
        </w:trPr>
        <w:tc>
          <w:tcPr>
            <w:tcW w:w="961" w:type="dxa"/>
            <w:vMerge w:val="continue"/>
            <w:tcBorders>
              <w:top w:val="nil"/>
              <w:left w:val="single" w:color="auto" w:sz="4" w:space="0"/>
              <w:bottom w:val="single" w:color="auto" w:sz="4" w:space="0"/>
              <w:right w:val="single" w:color="auto" w:sz="4" w:space="0"/>
            </w:tcBorders>
            <w:vAlign w:val="center"/>
          </w:tcPr>
          <w:p w14:paraId="59773950">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4DDE9EC8">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707E4DFF">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38832CB1">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1B566249">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5C05582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锡、锑、铜、锰、</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镍、钴及其化合</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物</w:t>
            </w:r>
          </w:p>
        </w:tc>
        <w:tc>
          <w:tcPr>
            <w:tcW w:w="1418" w:type="dxa"/>
            <w:vMerge w:val="continue"/>
            <w:tcBorders>
              <w:top w:val="nil"/>
              <w:left w:val="single" w:color="auto" w:sz="4" w:space="0"/>
              <w:bottom w:val="single" w:color="auto" w:sz="4" w:space="0"/>
              <w:right w:val="single" w:color="auto" w:sz="4" w:space="0"/>
            </w:tcBorders>
            <w:vAlign w:val="center"/>
          </w:tcPr>
          <w:p w14:paraId="5413642C">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06F6D8EF">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46ED0059">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0D3320A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98%</w:t>
            </w:r>
          </w:p>
        </w:tc>
        <w:tc>
          <w:tcPr>
            <w:tcW w:w="1121" w:type="dxa"/>
            <w:tcBorders>
              <w:top w:val="nil"/>
              <w:left w:val="nil"/>
              <w:bottom w:val="single" w:color="auto" w:sz="4" w:space="0"/>
              <w:right w:val="single" w:color="auto" w:sz="4" w:space="0"/>
            </w:tcBorders>
            <w:vAlign w:val="center"/>
          </w:tcPr>
          <w:p w14:paraId="7D78D46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0.011</w:t>
            </w:r>
          </w:p>
        </w:tc>
        <w:tc>
          <w:tcPr>
            <w:tcW w:w="1134" w:type="dxa"/>
            <w:tcBorders>
              <w:top w:val="nil"/>
              <w:left w:val="nil"/>
              <w:bottom w:val="single" w:color="auto" w:sz="4" w:space="0"/>
              <w:right w:val="single" w:color="auto" w:sz="4" w:space="0"/>
            </w:tcBorders>
            <w:vAlign w:val="center"/>
          </w:tcPr>
          <w:p w14:paraId="1F7A3C0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0.00004375</w:t>
            </w:r>
          </w:p>
        </w:tc>
        <w:tc>
          <w:tcPr>
            <w:tcW w:w="1134" w:type="dxa"/>
            <w:tcBorders>
              <w:top w:val="nil"/>
              <w:left w:val="nil"/>
              <w:bottom w:val="single" w:color="auto" w:sz="4" w:space="0"/>
              <w:right w:val="single" w:color="auto" w:sz="4" w:space="0"/>
            </w:tcBorders>
            <w:vAlign w:val="center"/>
          </w:tcPr>
          <w:p w14:paraId="2F5EB2A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0.00035</w:t>
            </w:r>
          </w:p>
        </w:tc>
        <w:tc>
          <w:tcPr>
            <w:tcW w:w="1842" w:type="dxa"/>
            <w:vMerge w:val="continue"/>
            <w:tcBorders>
              <w:top w:val="nil"/>
              <w:left w:val="single" w:color="auto" w:sz="4" w:space="0"/>
              <w:bottom w:val="single" w:color="auto" w:sz="4" w:space="0"/>
              <w:right w:val="single" w:color="auto" w:sz="4" w:space="0"/>
            </w:tcBorders>
            <w:vAlign w:val="center"/>
          </w:tcPr>
          <w:p w14:paraId="5EF7F0FA">
            <w:pPr>
              <w:pStyle w:val="109"/>
              <w:rPr>
                <w:color w:val="000000" w:themeColor="text1"/>
                <w14:textFill>
                  <w14:solidFill>
                    <w14:schemeClr w14:val="tx1"/>
                  </w14:solidFill>
                </w14:textFill>
              </w:rPr>
            </w:pPr>
          </w:p>
        </w:tc>
      </w:tr>
      <w:tr w14:paraId="3B18BA05">
        <w:tblPrEx>
          <w:tblCellMar>
            <w:top w:w="0" w:type="dxa"/>
            <w:left w:w="108" w:type="dxa"/>
            <w:bottom w:w="0" w:type="dxa"/>
            <w:right w:w="108" w:type="dxa"/>
          </w:tblCellMar>
        </w:tblPrEx>
        <w:trPr>
          <w:trHeight w:val="564" w:hRule="atLeast"/>
        </w:trPr>
        <w:tc>
          <w:tcPr>
            <w:tcW w:w="961" w:type="dxa"/>
            <w:vMerge w:val="continue"/>
            <w:tcBorders>
              <w:top w:val="nil"/>
              <w:left w:val="single" w:color="auto" w:sz="4" w:space="0"/>
              <w:bottom w:val="single" w:color="auto" w:sz="4" w:space="0"/>
              <w:right w:val="single" w:color="auto" w:sz="4" w:space="0"/>
            </w:tcBorders>
            <w:vAlign w:val="center"/>
          </w:tcPr>
          <w:p w14:paraId="24A3BCFA">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389590AC">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5CDBE5C2">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7B0A240E">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4F163275">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219A98A2">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二噁英类</w:t>
            </w:r>
          </w:p>
        </w:tc>
        <w:tc>
          <w:tcPr>
            <w:tcW w:w="1418" w:type="dxa"/>
            <w:vMerge w:val="continue"/>
            <w:tcBorders>
              <w:top w:val="nil"/>
              <w:left w:val="single" w:color="auto" w:sz="4" w:space="0"/>
              <w:bottom w:val="single" w:color="auto" w:sz="4" w:space="0"/>
              <w:right w:val="single" w:color="auto" w:sz="4" w:space="0"/>
            </w:tcBorders>
            <w:vAlign w:val="center"/>
          </w:tcPr>
          <w:p w14:paraId="42DE486E">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648D8C09">
            <w:pPr>
              <w:pStyle w:val="109"/>
              <w:rPr>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25421A93">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7402430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95%</w:t>
            </w:r>
          </w:p>
        </w:tc>
        <w:tc>
          <w:tcPr>
            <w:tcW w:w="1121" w:type="dxa"/>
            <w:tcBorders>
              <w:top w:val="nil"/>
              <w:left w:val="nil"/>
              <w:bottom w:val="single" w:color="auto" w:sz="4" w:space="0"/>
              <w:right w:val="single" w:color="auto" w:sz="4" w:space="0"/>
            </w:tcBorders>
            <w:vAlign w:val="center"/>
          </w:tcPr>
          <w:p w14:paraId="15D35F2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0.001ngTEQ/Nm</w:t>
            </w:r>
            <w:r>
              <w:rPr>
                <w:rFonts w:hint="eastAsia"/>
                <w:color w:val="000000" w:themeColor="text1"/>
                <w14:textFill>
                  <w14:solidFill>
                    <w14:schemeClr w14:val="tx1"/>
                  </w14:solidFill>
                </w14:textFill>
              </w:rPr>
              <w:t>³</w:t>
            </w:r>
          </w:p>
        </w:tc>
        <w:tc>
          <w:tcPr>
            <w:tcW w:w="1134" w:type="dxa"/>
            <w:tcBorders>
              <w:top w:val="nil"/>
              <w:left w:val="nil"/>
              <w:bottom w:val="single" w:color="auto" w:sz="4" w:space="0"/>
              <w:right w:val="single" w:color="auto" w:sz="4" w:space="0"/>
            </w:tcBorders>
            <w:vAlign w:val="center"/>
          </w:tcPr>
          <w:p w14:paraId="68F5565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0.000004mgTEQ/h</w:t>
            </w:r>
          </w:p>
        </w:tc>
        <w:tc>
          <w:tcPr>
            <w:tcW w:w="1134" w:type="dxa"/>
            <w:tcBorders>
              <w:top w:val="nil"/>
              <w:left w:val="nil"/>
              <w:bottom w:val="single" w:color="auto" w:sz="4" w:space="0"/>
              <w:right w:val="single" w:color="auto" w:sz="4" w:space="0"/>
            </w:tcBorders>
            <w:vAlign w:val="center"/>
          </w:tcPr>
          <w:p w14:paraId="26FD5FC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0.032mgTEQ/a</w:t>
            </w:r>
          </w:p>
        </w:tc>
        <w:tc>
          <w:tcPr>
            <w:tcW w:w="1842" w:type="dxa"/>
            <w:vMerge w:val="continue"/>
            <w:tcBorders>
              <w:top w:val="nil"/>
              <w:left w:val="single" w:color="auto" w:sz="4" w:space="0"/>
              <w:bottom w:val="single" w:color="auto" w:sz="4" w:space="0"/>
              <w:right w:val="single" w:color="auto" w:sz="4" w:space="0"/>
            </w:tcBorders>
            <w:vAlign w:val="center"/>
          </w:tcPr>
          <w:p w14:paraId="614F5264">
            <w:pPr>
              <w:pStyle w:val="109"/>
              <w:rPr>
                <w:color w:val="000000" w:themeColor="text1"/>
                <w14:textFill>
                  <w14:solidFill>
                    <w14:schemeClr w14:val="tx1"/>
                  </w14:solidFill>
                </w14:textFill>
              </w:rPr>
            </w:pPr>
          </w:p>
        </w:tc>
      </w:tr>
      <w:tr w14:paraId="7C36AB86">
        <w:tblPrEx>
          <w:tblCellMar>
            <w:top w:w="0" w:type="dxa"/>
            <w:left w:w="108" w:type="dxa"/>
            <w:bottom w:w="0" w:type="dxa"/>
            <w:right w:w="108" w:type="dxa"/>
          </w:tblCellMar>
        </w:tblPrEx>
        <w:trPr>
          <w:trHeight w:val="2880" w:hRule="atLeast"/>
        </w:trPr>
        <w:tc>
          <w:tcPr>
            <w:tcW w:w="961" w:type="dxa"/>
            <w:tcBorders>
              <w:top w:val="nil"/>
              <w:left w:val="single" w:color="auto" w:sz="4" w:space="0"/>
              <w:bottom w:val="single" w:color="auto" w:sz="4" w:space="0"/>
              <w:right w:val="single" w:color="auto" w:sz="4" w:space="0"/>
            </w:tcBorders>
            <w:vAlign w:val="center"/>
          </w:tcPr>
          <w:p w14:paraId="3EA516A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废盐仓库</w:t>
            </w:r>
          </w:p>
        </w:tc>
        <w:tc>
          <w:tcPr>
            <w:tcW w:w="636" w:type="dxa"/>
            <w:tcBorders>
              <w:top w:val="nil"/>
              <w:left w:val="nil"/>
              <w:bottom w:val="single" w:color="auto" w:sz="4" w:space="0"/>
              <w:right w:val="single" w:color="auto" w:sz="4" w:space="0"/>
            </w:tcBorders>
            <w:vAlign w:val="center"/>
          </w:tcPr>
          <w:p w14:paraId="5E63C1E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废盐贮存</w:t>
            </w:r>
          </w:p>
        </w:tc>
        <w:tc>
          <w:tcPr>
            <w:tcW w:w="666" w:type="dxa"/>
            <w:tcBorders>
              <w:top w:val="nil"/>
              <w:left w:val="nil"/>
              <w:bottom w:val="single" w:color="auto" w:sz="4" w:space="0"/>
              <w:right w:val="single" w:color="auto" w:sz="4" w:space="0"/>
            </w:tcBorders>
            <w:vAlign w:val="center"/>
          </w:tcPr>
          <w:p w14:paraId="34130A6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w:t>
            </w:r>
          </w:p>
        </w:tc>
        <w:tc>
          <w:tcPr>
            <w:tcW w:w="951" w:type="dxa"/>
            <w:tcBorders>
              <w:top w:val="nil"/>
              <w:left w:val="nil"/>
              <w:bottom w:val="single" w:color="auto" w:sz="4" w:space="0"/>
              <w:right w:val="single" w:color="auto" w:sz="4" w:space="0"/>
            </w:tcBorders>
            <w:vAlign w:val="center"/>
          </w:tcPr>
          <w:p w14:paraId="59829D1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50000t/a</w:t>
            </w:r>
          </w:p>
        </w:tc>
        <w:tc>
          <w:tcPr>
            <w:tcW w:w="636" w:type="dxa"/>
            <w:gridSpan w:val="2"/>
            <w:tcBorders>
              <w:top w:val="nil"/>
              <w:left w:val="nil"/>
              <w:bottom w:val="single" w:color="auto" w:sz="4" w:space="0"/>
              <w:right w:val="single" w:color="auto" w:sz="4" w:space="0"/>
            </w:tcBorders>
            <w:vAlign w:val="center"/>
          </w:tcPr>
          <w:p w14:paraId="02D1FB8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4CAB91B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VOCs</w:t>
            </w:r>
          </w:p>
        </w:tc>
        <w:tc>
          <w:tcPr>
            <w:tcW w:w="1418" w:type="dxa"/>
            <w:tcBorders>
              <w:top w:val="nil"/>
              <w:left w:val="nil"/>
              <w:bottom w:val="single" w:color="auto" w:sz="4" w:space="0"/>
              <w:right w:val="single" w:color="auto" w:sz="4" w:space="0"/>
            </w:tcBorders>
            <w:vAlign w:val="center"/>
          </w:tcPr>
          <w:p w14:paraId="6D02A067">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贮存废气经废盐仓库二级活性炭吸附装置处理后经由</w:t>
            </w:r>
            <w:r>
              <w:rPr>
                <w:color w:val="000000" w:themeColor="text1"/>
                <w14:textFill>
                  <w14:solidFill>
                    <w14:schemeClr w14:val="tx1"/>
                  </w14:solidFill>
                </w14:textFill>
              </w:rPr>
              <w:t xml:space="preserve">15m </w:t>
            </w:r>
            <w:r>
              <w:rPr>
                <w:rFonts w:hint="eastAsia"/>
                <w:color w:val="000000" w:themeColor="text1"/>
                <w14:textFill>
                  <w14:solidFill>
                    <w14:schemeClr w14:val="tx1"/>
                  </w14:solidFill>
                </w14:textFill>
              </w:rPr>
              <w:t>高排气筒</w:t>
            </w:r>
            <w:r>
              <w:rPr>
                <w:color w:val="000000" w:themeColor="text1"/>
                <w14:textFill>
                  <w14:solidFill>
                    <w14:schemeClr w14:val="tx1"/>
                  </w14:solidFill>
                </w14:textFill>
              </w:rPr>
              <w:t>DA001</w:t>
            </w:r>
            <w:r>
              <w:rPr>
                <w:rFonts w:hint="eastAsia"/>
                <w:color w:val="000000" w:themeColor="text1"/>
                <w14:textFill>
                  <w14:solidFill>
                    <w14:schemeClr w14:val="tx1"/>
                  </w14:solidFill>
                </w14:textFill>
              </w:rPr>
              <w:t>排空</w:t>
            </w:r>
          </w:p>
        </w:tc>
        <w:tc>
          <w:tcPr>
            <w:tcW w:w="1131" w:type="dxa"/>
            <w:tcBorders>
              <w:top w:val="nil"/>
              <w:left w:val="nil"/>
              <w:bottom w:val="single" w:color="auto" w:sz="4" w:space="0"/>
              <w:right w:val="single" w:color="auto" w:sz="4" w:space="0"/>
            </w:tcBorders>
            <w:vAlign w:val="center"/>
          </w:tcPr>
          <w:p w14:paraId="18D08EB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风量约</w:t>
            </w:r>
            <w:r>
              <w:rPr>
                <w:color w:val="000000" w:themeColor="text1"/>
                <w14:textFill>
                  <w14:solidFill>
                    <w14:schemeClr w14:val="tx1"/>
                  </w14:solidFill>
                </w14:textFill>
              </w:rPr>
              <w:t>20000m³/h</w:t>
            </w:r>
          </w:p>
        </w:tc>
        <w:tc>
          <w:tcPr>
            <w:tcW w:w="755" w:type="dxa"/>
            <w:tcBorders>
              <w:top w:val="nil"/>
              <w:left w:val="nil"/>
              <w:bottom w:val="single" w:color="auto" w:sz="4" w:space="0"/>
              <w:right w:val="single" w:color="auto" w:sz="4" w:space="0"/>
            </w:tcBorders>
            <w:vAlign w:val="center"/>
          </w:tcPr>
          <w:p w14:paraId="14001A1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高</w:t>
            </w:r>
            <w:r>
              <w:rPr>
                <w:color w:val="000000" w:themeColor="text1"/>
                <w14:textFill>
                  <w14:solidFill>
                    <w14:schemeClr w14:val="tx1"/>
                  </w14:solidFill>
                </w14:textFill>
              </w:rPr>
              <w:t>15m</w:t>
            </w:r>
          </w:p>
        </w:tc>
        <w:tc>
          <w:tcPr>
            <w:tcW w:w="864" w:type="dxa"/>
            <w:tcBorders>
              <w:top w:val="nil"/>
              <w:left w:val="nil"/>
              <w:bottom w:val="single" w:color="auto" w:sz="4" w:space="0"/>
              <w:right w:val="single" w:color="auto" w:sz="4" w:space="0"/>
            </w:tcBorders>
            <w:vAlign w:val="center"/>
          </w:tcPr>
          <w:p w14:paraId="62F49CE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收集率约为</w:t>
            </w:r>
            <w:r>
              <w:rPr>
                <w:color w:val="000000" w:themeColor="text1"/>
                <w14:textFill>
                  <w14:solidFill>
                    <w14:schemeClr w14:val="tx1"/>
                  </w14:solidFill>
                </w14:textFill>
              </w:rPr>
              <w:t xml:space="preserve"> 99%</w:t>
            </w:r>
            <w:r>
              <w:rPr>
                <w:rFonts w:hint="eastAsia"/>
                <w:color w:val="000000" w:themeColor="text1"/>
                <w14:textFill>
                  <w14:solidFill>
                    <w14:schemeClr w14:val="tx1"/>
                  </w14:solidFill>
                </w14:textFill>
              </w:rPr>
              <w:t>，除效率约为</w:t>
            </w:r>
            <w:r>
              <w:rPr>
                <w:color w:val="000000" w:themeColor="text1"/>
                <w14:textFill>
                  <w14:solidFill>
                    <w14:schemeClr w14:val="tx1"/>
                  </w14:solidFill>
                </w14:textFill>
              </w:rPr>
              <w:t xml:space="preserve"> 90%</w:t>
            </w:r>
          </w:p>
        </w:tc>
        <w:tc>
          <w:tcPr>
            <w:tcW w:w="1121" w:type="dxa"/>
            <w:tcBorders>
              <w:top w:val="nil"/>
              <w:left w:val="nil"/>
              <w:bottom w:val="single" w:color="auto" w:sz="4" w:space="0"/>
              <w:right w:val="single" w:color="auto" w:sz="4" w:space="0"/>
            </w:tcBorders>
            <w:vAlign w:val="center"/>
          </w:tcPr>
          <w:p w14:paraId="5D33E92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1.5</w:t>
            </w:r>
          </w:p>
        </w:tc>
        <w:tc>
          <w:tcPr>
            <w:tcW w:w="1134" w:type="dxa"/>
            <w:tcBorders>
              <w:top w:val="nil"/>
              <w:left w:val="nil"/>
              <w:bottom w:val="single" w:color="auto" w:sz="4" w:space="0"/>
              <w:right w:val="single" w:color="auto" w:sz="4" w:space="0"/>
            </w:tcBorders>
            <w:vAlign w:val="center"/>
          </w:tcPr>
          <w:p w14:paraId="2B84C04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0.031</w:t>
            </w:r>
          </w:p>
        </w:tc>
        <w:tc>
          <w:tcPr>
            <w:tcW w:w="1134" w:type="dxa"/>
            <w:tcBorders>
              <w:top w:val="nil"/>
              <w:left w:val="nil"/>
              <w:bottom w:val="single" w:color="auto" w:sz="4" w:space="0"/>
              <w:right w:val="single" w:color="auto" w:sz="4" w:space="0"/>
            </w:tcBorders>
            <w:vAlign w:val="center"/>
          </w:tcPr>
          <w:p w14:paraId="1ED163B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0.25</w:t>
            </w:r>
          </w:p>
        </w:tc>
        <w:tc>
          <w:tcPr>
            <w:tcW w:w="1842" w:type="dxa"/>
            <w:tcBorders>
              <w:top w:val="nil"/>
              <w:left w:val="nil"/>
              <w:bottom w:val="single" w:color="auto" w:sz="4" w:space="0"/>
              <w:right w:val="single" w:color="auto" w:sz="4" w:space="0"/>
            </w:tcBorders>
            <w:vAlign w:val="center"/>
          </w:tcPr>
          <w:p w14:paraId="61EA7FD3">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《大气污染物综合排放标准》（</w:t>
            </w:r>
            <w:r>
              <w:rPr>
                <w:color w:val="000000" w:themeColor="text1"/>
                <w14:textFill>
                  <w14:solidFill>
                    <w14:schemeClr w14:val="tx1"/>
                  </w14:solidFill>
                </w14:textFill>
              </w:rPr>
              <w:t>GB16297-1996</w:t>
            </w:r>
            <w:r>
              <w:rPr>
                <w:rFonts w:hint="eastAsia"/>
                <w:color w:val="000000" w:themeColor="text1"/>
                <w14:textFill>
                  <w14:solidFill>
                    <w14:schemeClr w14:val="tx1"/>
                  </w14:solidFill>
                </w14:textFill>
              </w:rPr>
              <w:t>）中表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标准</w:t>
            </w:r>
          </w:p>
        </w:tc>
      </w:tr>
      <w:tr w14:paraId="1AC3C7CD">
        <w:tblPrEx>
          <w:tblCellMar>
            <w:top w:w="0" w:type="dxa"/>
            <w:left w:w="108" w:type="dxa"/>
            <w:bottom w:w="0" w:type="dxa"/>
            <w:right w:w="108" w:type="dxa"/>
          </w:tblCellMar>
        </w:tblPrEx>
        <w:trPr>
          <w:trHeight w:val="288" w:hRule="atLeast"/>
        </w:trPr>
        <w:tc>
          <w:tcPr>
            <w:tcW w:w="961" w:type="dxa"/>
            <w:vMerge w:val="restart"/>
            <w:tcBorders>
              <w:top w:val="nil"/>
              <w:left w:val="single" w:color="auto" w:sz="4" w:space="0"/>
              <w:bottom w:val="single" w:color="auto" w:sz="4" w:space="0"/>
              <w:right w:val="single" w:color="auto" w:sz="4" w:space="0"/>
            </w:tcBorders>
            <w:vAlign w:val="center"/>
          </w:tcPr>
          <w:p w14:paraId="585F26C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天然气燃烧废气</w:t>
            </w:r>
          </w:p>
        </w:tc>
        <w:tc>
          <w:tcPr>
            <w:tcW w:w="636" w:type="dxa"/>
            <w:vMerge w:val="restart"/>
            <w:tcBorders>
              <w:top w:val="nil"/>
              <w:left w:val="single" w:color="auto" w:sz="4" w:space="0"/>
              <w:bottom w:val="single" w:color="auto" w:sz="4" w:space="0"/>
              <w:right w:val="single" w:color="auto" w:sz="4" w:space="0"/>
            </w:tcBorders>
            <w:vAlign w:val="center"/>
          </w:tcPr>
          <w:p w14:paraId="555F2D6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直接燃烧</w:t>
            </w:r>
          </w:p>
        </w:tc>
        <w:tc>
          <w:tcPr>
            <w:tcW w:w="666" w:type="dxa"/>
            <w:vMerge w:val="restart"/>
            <w:tcBorders>
              <w:top w:val="nil"/>
              <w:left w:val="single" w:color="auto" w:sz="4" w:space="0"/>
              <w:bottom w:val="single" w:color="auto" w:sz="4" w:space="0"/>
              <w:right w:val="single" w:color="auto" w:sz="4" w:space="0"/>
            </w:tcBorders>
            <w:vAlign w:val="center"/>
          </w:tcPr>
          <w:p w14:paraId="3F5DC07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天然气</w:t>
            </w:r>
          </w:p>
        </w:tc>
        <w:tc>
          <w:tcPr>
            <w:tcW w:w="951" w:type="dxa"/>
            <w:vMerge w:val="restart"/>
            <w:tcBorders>
              <w:top w:val="nil"/>
              <w:left w:val="single" w:color="auto" w:sz="4" w:space="0"/>
              <w:bottom w:val="single" w:color="auto" w:sz="4" w:space="0"/>
              <w:right w:val="single" w:color="auto" w:sz="4" w:space="0"/>
            </w:tcBorders>
            <w:vAlign w:val="center"/>
          </w:tcPr>
          <w:p w14:paraId="0AACFB8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231.3</w:t>
            </w:r>
            <w:r>
              <w:rPr>
                <w:rFonts w:hint="eastAsia"/>
                <w:color w:val="000000" w:themeColor="text1"/>
                <w14:textFill>
                  <w14:solidFill>
                    <w14:schemeClr w14:val="tx1"/>
                  </w14:solidFill>
                </w14:textFill>
              </w:rPr>
              <w:t>万</w:t>
            </w:r>
            <w:r>
              <w:rPr>
                <w:rFonts w:eastAsia="等线"/>
                <w:color w:val="000000" w:themeColor="text1"/>
                <w14:textFill>
                  <w14:solidFill>
                    <w14:schemeClr w14:val="tx1"/>
                  </w14:solidFill>
                </w14:textFill>
              </w:rPr>
              <w:t>m³/a</w:t>
            </w:r>
          </w:p>
        </w:tc>
        <w:tc>
          <w:tcPr>
            <w:tcW w:w="636" w:type="dxa"/>
            <w:gridSpan w:val="2"/>
            <w:vMerge w:val="restart"/>
            <w:tcBorders>
              <w:top w:val="nil"/>
              <w:left w:val="single" w:color="auto" w:sz="4" w:space="0"/>
              <w:bottom w:val="single" w:color="auto" w:sz="4" w:space="0"/>
              <w:right w:val="single" w:color="auto" w:sz="4" w:space="0"/>
            </w:tcBorders>
            <w:vAlign w:val="center"/>
          </w:tcPr>
          <w:p w14:paraId="293A5EA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3F4D389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418" w:type="dxa"/>
            <w:vMerge w:val="restart"/>
            <w:tcBorders>
              <w:top w:val="nil"/>
              <w:left w:val="single" w:color="auto" w:sz="4" w:space="0"/>
              <w:bottom w:val="single" w:color="auto" w:sz="4" w:space="0"/>
              <w:right w:val="single" w:color="auto" w:sz="4" w:space="0"/>
            </w:tcBorders>
            <w:vAlign w:val="center"/>
          </w:tcPr>
          <w:p w14:paraId="10815E4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低氮燃烧器</w:t>
            </w:r>
            <w:r>
              <w:rPr>
                <w:color w:val="000000" w:themeColor="text1"/>
                <w14:textFill>
                  <w14:solidFill>
                    <w14:schemeClr w14:val="tx1"/>
                  </w14:solidFill>
                </w14:textFill>
              </w:rPr>
              <w:t xml:space="preserve">+15m </w:t>
            </w:r>
            <w:r>
              <w:rPr>
                <w:rFonts w:hint="eastAsia"/>
                <w:color w:val="000000" w:themeColor="text1"/>
                <w14:textFill>
                  <w14:solidFill>
                    <w14:schemeClr w14:val="tx1"/>
                  </w14:solidFill>
                </w14:textFill>
              </w:rPr>
              <w:t>高排气筒</w:t>
            </w:r>
            <w:r>
              <w:rPr>
                <w:color w:val="000000" w:themeColor="text1"/>
                <w14:textFill>
                  <w14:solidFill>
                    <w14:schemeClr w14:val="tx1"/>
                  </w14:solidFill>
                </w14:textFill>
              </w:rPr>
              <w:t>DA003</w:t>
            </w:r>
            <w:r>
              <w:rPr>
                <w:rFonts w:hint="eastAsia"/>
                <w:color w:val="000000" w:themeColor="text1"/>
                <w14:textFill>
                  <w14:solidFill>
                    <w14:schemeClr w14:val="tx1"/>
                  </w14:solidFill>
                </w14:textFill>
              </w:rPr>
              <w:t>排空</w:t>
            </w:r>
          </w:p>
        </w:tc>
        <w:tc>
          <w:tcPr>
            <w:tcW w:w="1131" w:type="dxa"/>
            <w:vMerge w:val="restart"/>
            <w:tcBorders>
              <w:top w:val="nil"/>
              <w:left w:val="single" w:color="auto" w:sz="4" w:space="0"/>
              <w:bottom w:val="single" w:color="auto" w:sz="4" w:space="0"/>
              <w:right w:val="single" w:color="auto" w:sz="4" w:space="0"/>
            </w:tcBorders>
            <w:vAlign w:val="center"/>
          </w:tcPr>
          <w:p w14:paraId="4E0AF76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vMerge w:val="restart"/>
            <w:tcBorders>
              <w:top w:val="nil"/>
              <w:left w:val="single" w:color="auto" w:sz="4" w:space="0"/>
              <w:bottom w:val="single" w:color="auto" w:sz="4" w:space="0"/>
              <w:right w:val="single" w:color="auto" w:sz="4" w:space="0"/>
            </w:tcBorders>
            <w:vAlign w:val="center"/>
          </w:tcPr>
          <w:p w14:paraId="15C1FEF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高</w:t>
            </w:r>
            <w:r>
              <w:rPr>
                <w:color w:val="000000" w:themeColor="text1"/>
                <w14:textFill>
                  <w14:solidFill>
                    <w14:schemeClr w14:val="tx1"/>
                  </w14:solidFill>
                </w14:textFill>
              </w:rPr>
              <w:t>15m</w:t>
            </w:r>
          </w:p>
        </w:tc>
        <w:tc>
          <w:tcPr>
            <w:tcW w:w="864" w:type="dxa"/>
            <w:tcBorders>
              <w:top w:val="nil"/>
              <w:left w:val="nil"/>
              <w:bottom w:val="single" w:color="auto" w:sz="4" w:space="0"/>
              <w:right w:val="single" w:color="auto" w:sz="4" w:space="0"/>
            </w:tcBorders>
            <w:vAlign w:val="center"/>
          </w:tcPr>
          <w:p w14:paraId="4E5E12D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0A05407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9.3</w:t>
            </w:r>
          </w:p>
        </w:tc>
        <w:tc>
          <w:tcPr>
            <w:tcW w:w="1134" w:type="dxa"/>
            <w:tcBorders>
              <w:top w:val="nil"/>
              <w:left w:val="nil"/>
              <w:bottom w:val="single" w:color="auto" w:sz="4" w:space="0"/>
              <w:right w:val="single" w:color="auto" w:sz="4" w:space="0"/>
            </w:tcBorders>
            <w:vAlign w:val="center"/>
          </w:tcPr>
          <w:p w14:paraId="0686A27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0.029</w:t>
            </w:r>
          </w:p>
        </w:tc>
        <w:tc>
          <w:tcPr>
            <w:tcW w:w="1134" w:type="dxa"/>
            <w:tcBorders>
              <w:top w:val="nil"/>
              <w:left w:val="nil"/>
              <w:bottom w:val="single" w:color="auto" w:sz="4" w:space="0"/>
              <w:right w:val="single" w:color="auto" w:sz="4" w:space="0"/>
            </w:tcBorders>
            <w:vAlign w:val="center"/>
          </w:tcPr>
          <w:p w14:paraId="76149B6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0.23</w:t>
            </w:r>
          </w:p>
        </w:tc>
        <w:tc>
          <w:tcPr>
            <w:tcW w:w="1842" w:type="dxa"/>
            <w:vMerge w:val="restart"/>
            <w:tcBorders>
              <w:top w:val="nil"/>
              <w:left w:val="single" w:color="auto" w:sz="4" w:space="0"/>
              <w:bottom w:val="single" w:color="auto" w:sz="4" w:space="0"/>
              <w:right w:val="single" w:color="auto" w:sz="4" w:space="0"/>
            </w:tcBorders>
            <w:vAlign w:val="center"/>
          </w:tcPr>
          <w:p w14:paraId="0F99CFC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《大气污染物综合排放标准》（</w:t>
            </w:r>
            <w:r>
              <w:rPr>
                <w:color w:val="000000" w:themeColor="text1"/>
                <w14:textFill>
                  <w14:solidFill>
                    <w14:schemeClr w14:val="tx1"/>
                  </w14:solidFill>
                </w14:textFill>
              </w:rPr>
              <w:t>GB16297-1996</w:t>
            </w:r>
            <w:r>
              <w:rPr>
                <w:rFonts w:hint="eastAsia"/>
                <w:color w:val="000000" w:themeColor="text1"/>
                <w14:textFill>
                  <w14:solidFill>
                    <w14:schemeClr w14:val="tx1"/>
                  </w14:solidFill>
                </w14:textFill>
              </w:rPr>
              <w:t>）中表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标准</w:t>
            </w:r>
          </w:p>
        </w:tc>
      </w:tr>
      <w:tr w14:paraId="1BF3266A">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63D4CF26">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761BD02D">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240E335A">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4FD4D7D7">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33692C45">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64D432B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二氧化硫</w:t>
            </w:r>
          </w:p>
        </w:tc>
        <w:tc>
          <w:tcPr>
            <w:tcW w:w="1418" w:type="dxa"/>
            <w:vMerge w:val="continue"/>
            <w:tcBorders>
              <w:top w:val="nil"/>
              <w:left w:val="single" w:color="auto" w:sz="4" w:space="0"/>
              <w:bottom w:val="single" w:color="auto" w:sz="4" w:space="0"/>
              <w:right w:val="single" w:color="auto" w:sz="4" w:space="0"/>
            </w:tcBorders>
            <w:vAlign w:val="center"/>
          </w:tcPr>
          <w:p w14:paraId="3BABC7DE">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481F5A80">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75DFCBF2">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259FEEE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039C4A9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18.6</w:t>
            </w:r>
          </w:p>
        </w:tc>
        <w:tc>
          <w:tcPr>
            <w:tcW w:w="1134" w:type="dxa"/>
            <w:tcBorders>
              <w:top w:val="nil"/>
              <w:left w:val="nil"/>
              <w:bottom w:val="single" w:color="auto" w:sz="4" w:space="0"/>
              <w:right w:val="single" w:color="auto" w:sz="4" w:space="0"/>
            </w:tcBorders>
            <w:vAlign w:val="center"/>
          </w:tcPr>
          <w:p w14:paraId="1DE556D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0.058</w:t>
            </w:r>
          </w:p>
        </w:tc>
        <w:tc>
          <w:tcPr>
            <w:tcW w:w="1134" w:type="dxa"/>
            <w:tcBorders>
              <w:top w:val="nil"/>
              <w:left w:val="nil"/>
              <w:bottom w:val="single" w:color="auto" w:sz="4" w:space="0"/>
              <w:right w:val="single" w:color="auto" w:sz="4" w:space="0"/>
            </w:tcBorders>
            <w:vAlign w:val="center"/>
          </w:tcPr>
          <w:p w14:paraId="02408E5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0.46</w:t>
            </w:r>
          </w:p>
        </w:tc>
        <w:tc>
          <w:tcPr>
            <w:tcW w:w="1842" w:type="dxa"/>
            <w:vMerge w:val="continue"/>
            <w:tcBorders>
              <w:top w:val="nil"/>
              <w:left w:val="single" w:color="auto" w:sz="4" w:space="0"/>
              <w:bottom w:val="single" w:color="auto" w:sz="4" w:space="0"/>
              <w:right w:val="single" w:color="auto" w:sz="4" w:space="0"/>
            </w:tcBorders>
            <w:vAlign w:val="center"/>
          </w:tcPr>
          <w:p w14:paraId="01A116C5">
            <w:pPr>
              <w:pStyle w:val="109"/>
              <w:rPr>
                <w:color w:val="000000" w:themeColor="text1"/>
                <w14:textFill>
                  <w14:solidFill>
                    <w14:schemeClr w14:val="tx1"/>
                  </w14:solidFill>
                </w14:textFill>
              </w:rPr>
            </w:pPr>
          </w:p>
        </w:tc>
      </w:tr>
      <w:tr w14:paraId="34449504">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5A156660">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02054E94">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20A42988">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54DA0EDD">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4C791791">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5C89E30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氮氧化物</w:t>
            </w:r>
          </w:p>
        </w:tc>
        <w:tc>
          <w:tcPr>
            <w:tcW w:w="1418" w:type="dxa"/>
            <w:vMerge w:val="continue"/>
            <w:tcBorders>
              <w:top w:val="nil"/>
              <w:left w:val="single" w:color="auto" w:sz="4" w:space="0"/>
              <w:bottom w:val="single" w:color="auto" w:sz="4" w:space="0"/>
              <w:right w:val="single" w:color="auto" w:sz="4" w:space="0"/>
            </w:tcBorders>
            <w:vAlign w:val="center"/>
          </w:tcPr>
          <w:p w14:paraId="30D66239">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2B82FBC6">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5B01B751">
            <w:pPr>
              <w:pStyle w:val="109"/>
              <w:rPr>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6BE276D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69F5FCD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147.3</w:t>
            </w:r>
          </w:p>
        </w:tc>
        <w:tc>
          <w:tcPr>
            <w:tcW w:w="1134" w:type="dxa"/>
            <w:tcBorders>
              <w:top w:val="nil"/>
              <w:left w:val="nil"/>
              <w:bottom w:val="single" w:color="auto" w:sz="4" w:space="0"/>
              <w:right w:val="single" w:color="auto" w:sz="4" w:space="0"/>
            </w:tcBorders>
            <w:vAlign w:val="center"/>
          </w:tcPr>
          <w:p w14:paraId="1CF1526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0.459</w:t>
            </w:r>
          </w:p>
        </w:tc>
        <w:tc>
          <w:tcPr>
            <w:tcW w:w="1134" w:type="dxa"/>
            <w:tcBorders>
              <w:top w:val="nil"/>
              <w:left w:val="nil"/>
              <w:bottom w:val="single" w:color="auto" w:sz="4" w:space="0"/>
              <w:right w:val="single" w:color="auto" w:sz="4" w:space="0"/>
            </w:tcBorders>
            <w:vAlign w:val="center"/>
          </w:tcPr>
          <w:p w14:paraId="70F3A0F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3.67</w:t>
            </w:r>
          </w:p>
        </w:tc>
        <w:tc>
          <w:tcPr>
            <w:tcW w:w="1842" w:type="dxa"/>
            <w:vMerge w:val="continue"/>
            <w:tcBorders>
              <w:top w:val="nil"/>
              <w:left w:val="single" w:color="auto" w:sz="4" w:space="0"/>
              <w:bottom w:val="single" w:color="auto" w:sz="4" w:space="0"/>
              <w:right w:val="single" w:color="auto" w:sz="4" w:space="0"/>
            </w:tcBorders>
            <w:vAlign w:val="center"/>
          </w:tcPr>
          <w:p w14:paraId="4D724818">
            <w:pPr>
              <w:pStyle w:val="109"/>
              <w:rPr>
                <w:color w:val="000000" w:themeColor="text1"/>
                <w14:textFill>
                  <w14:solidFill>
                    <w14:schemeClr w14:val="tx1"/>
                  </w14:solidFill>
                </w14:textFill>
              </w:rPr>
            </w:pPr>
          </w:p>
        </w:tc>
      </w:tr>
      <w:tr w14:paraId="19ADC971">
        <w:tblPrEx>
          <w:tblCellMar>
            <w:top w:w="0" w:type="dxa"/>
            <w:left w:w="108" w:type="dxa"/>
            <w:bottom w:w="0" w:type="dxa"/>
            <w:right w:w="108" w:type="dxa"/>
          </w:tblCellMar>
        </w:tblPrEx>
        <w:trPr>
          <w:trHeight w:val="1728" w:hRule="atLeast"/>
        </w:trPr>
        <w:tc>
          <w:tcPr>
            <w:tcW w:w="961" w:type="dxa"/>
            <w:vMerge w:val="restart"/>
            <w:tcBorders>
              <w:top w:val="nil"/>
              <w:left w:val="single" w:color="auto" w:sz="4" w:space="0"/>
              <w:bottom w:val="single" w:color="auto" w:sz="4" w:space="0"/>
              <w:right w:val="single" w:color="auto" w:sz="4" w:space="0"/>
            </w:tcBorders>
            <w:vAlign w:val="center"/>
          </w:tcPr>
          <w:p w14:paraId="46157B3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无组织排放废气</w:t>
            </w:r>
          </w:p>
        </w:tc>
        <w:tc>
          <w:tcPr>
            <w:tcW w:w="636" w:type="dxa"/>
            <w:tcBorders>
              <w:top w:val="nil"/>
              <w:left w:val="nil"/>
              <w:bottom w:val="single" w:color="auto" w:sz="4" w:space="0"/>
              <w:right w:val="single" w:color="auto" w:sz="4" w:space="0"/>
            </w:tcBorders>
            <w:vAlign w:val="center"/>
          </w:tcPr>
          <w:p w14:paraId="4123DE3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废盐贮存、配伍区</w:t>
            </w:r>
          </w:p>
        </w:tc>
        <w:tc>
          <w:tcPr>
            <w:tcW w:w="666" w:type="dxa"/>
            <w:tcBorders>
              <w:top w:val="nil"/>
              <w:left w:val="nil"/>
              <w:bottom w:val="single" w:color="auto" w:sz="4" w:space="0"/>
              <w:right w:val="single" w:color="auto" w:sz="4" w:space="0"/>
            </w:tcBorders>
            <w:vAlign w:val="center"/>
          </w:tcPr>
          <w:p w14:paraId="1811C96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废盐</w:t>
            </w:r>
          </w:p>
        </w:tc>
        <w:tc>
          <w:tcPr>
            <w:tcW w:w="951" w:type="dxa"/>
            <w:tcBorders>
              <w:top w:val="nil"/>
              <w:left w:val="nil"/>
              <w:bottom w:val="single" w:color="auto" w:sz="4" w:space="0"/>
              <w:right w:val="single" w:color="auto" w:sz="4" w:space="0"/>
            </w:tcBorders>
            <w:vAlign w:val="center"/>
          </w:tcPr>
          <w:p w14:paraId="7D67C52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50000t/a</w:t>
            </w:r>
          </w:p>
        </w:tc>
        <w:tc>
          <w:tcPr>
            <w:tcW w:w="636" w:type="dxa"/>
            <w:gridSpan w:val="2"/>
            <w:tcBorders>
              <w:top w:val="nil"/>
              <w:left w:val="nil"/>
              <w:bottom w:val="single" w:color="auto" w:sz="4" w:space="0"/>
              <w:right w:val="single" w:color="auto" w:sz="4" w:space="0"/>
            </w:tcBorders>
            <w:vAlign w:val="center"/>
          </w:tcPr>
          <w:p w14:paraId="1102B85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3065C4C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V0Cs</w:t>
            </w:r>
          </w:p>
        </w:tc>
        <w:tc>
          <w:tcPr>
            <w:tcW w:w="1418" w:type="dxa"/>
            <w:tcBorders>
              <w:top w:val="nil"/>
              <w:left w:val="nil"/>
              <w:bottom w:val="single" w:color="auto" w:sz="4" w:space="0"/>
              <w:right w:val="single" w:color="auto" w:sz="4" w:space="0"/>
            </w:tcBorders>
            <w:vAlign w:val="center"/>
          </w:tcPr>
          <w:p w14:paraId="4B3AFFD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加强通风</w:t>
            </w:r>
          </w:p>
        </w:tc>
        <w:tc>
          <w:tcPr>
            <w:tcW w:w="1131" w:type="dxa"/>
            <w:tcBorders>
              <w:top w:val="nil"/>
              <w:left w:val="nil"/>
              <w:bottom w:val="single" w:color="auto" w:sz="4" w:space="0"/>
              <w:right w:val="single" w:color="auto" w:sz="4" w:space="0"/>
            </w:tcBorders>
            <w:vAlign w:val="center"/>
          </w:tcPr>
          <w:p w14:paraId="3175335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783E995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148CB20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7496D59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598DD9C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0.0031</w:t>
            </w:r>
          </w:p>
        </w:tc>
        <w:tc>
          <w:tcPr>
            <w:tcW w:w="1134" w:type="dxa"/>
            <w:tcBorders>
              <w:top w:val="nil"/>
              <w:left w:val="nil"/>
              <w:bottom w:val="single" w:color="auto" w:sz="4" w:space="0"/>
              <w:right w:val="single" w:color="auto" w:sz="4" w:space="0"/>
            </w:tcBorders>
            <w:vAlign w:val="center"/>
          </w:tcPr>
          <w:p w14:paraId="31E876F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0.025</w:t>
            </w:r>
          </w:p>
        </w:tc>
        <w:tc>
          <w:tcPr>
            <w:tcW w:w="1842" w:type="dxa"/>
            <w:tcBorders>
              <w:top w:val="nil"/>
              <w:left w:val="nil"/>
              <w:bottom w:val="single" w:color="auto" w:sz="4" w:space="0"/>
              <w:right w:val="single" w:color="auto" w:sz="4" w:space="0"/>
            </w:tcBorders>
            <w:vAlign w:val="center"/>
          </w:tcPr>
          <w:p w14:paraId="3E27D89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《大气污染物综合排放标准》（</w:t>
            </w:r>
            <w:r>
              <w:rPr>
                <w:color w:val="000000" w:themeColor="text1"/>
                <w14:textFill>
                  <w14:solidFill>
                    <w14:schemeClr w14:val="tx1"/>
                  </w14:solidFill>
                </w14:textFill>
              </w:rPr>
              <w:t>GB16297-1996</w:t>
            </w:r>
            <w:r>
              <w:rPr>
                <w:rFonts w:hint="eastAsia"/>
                <w:color w:val="000000" w:themeColor="text1"/>
                <w14:textFill>
                  <w14:solidFill>
                    <w14:schemeClr w14:val="tx1"/>
                  </w14:solidFill>
                </w14:textFill>
              </w:rPr>
              <w:t>）中表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标准</w:t>
            </w:r>
          </w:p>
        </w:tc>
      </w:tr>
      <w:tr w14:paraId="7F6486F2">
        <w:tblPrEx>
          <w:tblCellMar>
            <w:top w:w="0" w:type="dxa"/>
            <w:left w:w="108" w:type="dxa"/>
            <w:bottom w:w="0" w:type="dxa"/>
            <w:right w:w="108" w:type="dxa"/>
          </w:tblCellMar>
        </w:tblPrEx>
        <w:trPr>
          <w:trHeight w:val="1728" w:hRule="atLeast"/>
        </w:trPr>
        <w:tc>
          <w:tcPr>
            <w:tcW w:w="961" w:type="dxa"/>
            <w:vMerge w:val="continue"/>
            <w:tcBorders>
              <w:top w:val="nil"/>
              <w:left w:val="single" w:color="auto" w:sz="4" w:space="0"/>
              <w:bottom w:val="single" w:color="auto" w:sz="4" w:space="0"/>
              <w:right w:val="single" w:color="auto" w:sz="4" w:space="0"/>
            </w:tcBorders>
            <w:vAlign w:val="center"/>
          </w:tcPr>
          <w:p w14:paraId="3B15B5B0">
            <w:pPr>
              <w:pStyle w:val="109"/>
              <w:rPr>
                <w:color w:val="000000" w:themeColor="text1"/>
                <w14:textFill>
                  <w14:solidFill>
                    <w14:schemeClr w14:val="tx1"/>
                  </w14:solidFill>
                </w14:textFill>
              </w:rPr>
            </w:pPr>
          </w:p>
        </w:tc>
        <w:tc>
          <w:tcPr>
            <w:tcW w:w="636" w:type="dxa"/>
            <w:tcBorders>
              <w:top w:val="nil"/>
              <w:left w:val="nil"/>
              <w:bottom w:val="single" w:color="auto" w:sz="4" w:space="0"/>
              <w:right w:val="single" w:color="auto" w:sz="4" w:space="0"/>
            </w:tcBorders>
            <w:vAlign w:val="center"/>
          </w:tcPr>
          <w:p w14:paraId="4AE7FF4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氨水罐</w:t>
            </w:r>
          </w:p>
        </w:tc>
        <w:tc>
          <w:tcPr>
            <w:tcW w:w="666" w:type="dxa"/>
            <w:tcBorders>
              <w:top w:val="nil"/>
              <w:left w:val="nil"/>
              <w:bottom w:val="single" w:color="auto" w:sz="4" w:space="0"/>
              <w:right w:val="single" w:color="auto" w:sz="4" w:space="0"/>
            </w:tcBorders>
            <w:vAlign w:val="center"/>
          </w:tcPr>
          <w:p w14:paraId="4138EE3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氨水</w:t>
            </w:r>
          </w:p>
        </w:tc>
        <w:tc>
          <w:tcPr>
            <w:tcW w:w="951" w:type="dxa"/>
            <w:tcBorders>
              <w:top w:val="nil"/>
              <w:left w:val="nil"/>
              <w:bottom w:val="single" w:color="auto" w:sz="4" w:space="0"/>
              <w:right w:val="single" w:color="auto" w:sz="4" w:space="0"/>
            </w:tcBorders>
            <w:vAlign w:val="center"/>
          </w:tcPr>
          <w:p w14:paraId="40172F8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360t/a</w:t>
            </w:r>
          </w:p>
        </w:tc>
        <w:tc>
          <w:tcPr>
            <w:tcW w:w="636" w:type="dxa"/>
            <w:gridSpan w:val="2"/>
            <w:tcBorders>
              <w:top w:val="nil"/>
              <w:left w:val="nil"/>
              <w:bottom w:val="single" w:color="auto" w:sz="4" w:space="0"/>
              <w:right w:val="single" w:color="auto" w:sz="4" w:space="0"/>
            </w:tcBorders>
            <w:vAlign w:val="center"/>
          </w:tcPr>
          <w:p w14:paraId="548865A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0FB0964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氨气</w:t>
            </w:r>
          </w:p>
        </w:tc>
        <w:tc>
          <w:tcPr>
            <w:tcW w:w="1418" w:type="dxa"/>
            <w:tcBorders>
              <w:top w:val="nil"/>
              <w:left w:val="nil"/>
              <w:bottom w:val="single" w:color="auto" w:sz="4" w:space="0"/>
              <w:right w:val="single" w:color="auto" w:sz="4" w:space="0"/>
            </w:tcBorders>
            <w:vAlign w:val="center"/>
          </w:tcPr>
          <w:p w14:paraId="0482F1A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二级水封</w:t>
            </w:r>
          </w:p>
        </w:tc>
        <w:tc>
          <w:tcPr>
            <w:tcW w:w="1131" w:type="dxa"/>
            <w:tcBorders>
              <w:top w:val="nil"/>
              <w:left w:val="nil"/>
              <w:bottom w:val="single" w:color="auto" w:sz="4" w:space="0"/>
              <w:right w:val="single" w:color="auto" w:sz="4" w:space="0"/>
            </w:tcBorders>
            <w:vAlign w:val="center"/>
          </w:tcPr>
          <w:p w14:paraId="2E7C3EF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6F87B01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437C3F7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109ADC7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2007C7B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0.0012</w:t>
            </w:r>
          </w:p>
        </w:tc>
        <w:tc>
          <w:tcPr>
            <w:tcW w:w="1134" w:type="dxa"/>
            <w:tcBorders>
              <w:top w:val="nil"/>
              <w:left w:val="nil"/>
              <w:bottom w:val="single" w:color="auto" w:sz="4" w:space="0"/>
              <w:right w:val="single" w:color="auto" w:sz="4" w:space="0"/>
            </w:tcBorders>
            <w:vAlign w:val="center"/>
          </w:tcPr>
          <w:p w14:paraId="6584E00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0.0096</w:t>
            </w:r>
          </w:p>
        </w:tc>
        <w:tc>
          <w:tcPr>
            <w:tcW w:w="1842" w:type="dxa"/>
            <w:tcBorders>
              <w:top w:val="nil"/>
              <w:left w:val="nil"/>
              <w:bottom w:val="single" w:color="auto" w:sz="4" w:space="0"/>
              <w:right w:val="single" w:color="auto" w:sz="4" w:space="0"/>
            </w:tcBorders>
            <w:vAlign w:val="center"/>
          </w:tcPr>
          <w:p w14:paraId="3593BA72">
            <w:pPr>
              <w:pStyle w:val="109"/>
              <w:rPr>
                <w:color w:val="000000" w:themeColor="text1"/>
                <w14:textFill>
                  <w14:solidFill>
                    <w14:schemeClr w14:val="tx1"/>
                  </w14:solidFill>
                </w14:textFill>
              </w:rPr>
            </w:pPr>
            <w:r>
              <w:rPr>
                <w:color w:val="000000" w:themeColor="text1"/>
                <w14:textFill>
                  <w14:solidFill>
                    <w14:schemeClr w14:val="tx1"/>
                  </w14:solidFill>
                </w14:textFill>
              </w:rPr>
              <w:t>《恶臭污染物排放标准》 (</w:t>
            </w:r>
            <w:r>
              <w:rPr>
                <w:rFonts w:eastAsia="Times New Roman"/>
                <w:color w:val="000000" w:themeColor="text1"/>
                <w:lang w:bidi="en-US"/>
                <w14:textFill>
                  <w14:solidFill>
                    <w14:schemeClr w14:val="tx1"/>
                  </w14:solidFill>
                </w14:textFill>
              </w:rPr>
              <w:t>GB14554-93</w:t>
            </w: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标准要求</w:t>
            </w:r>
          </w:p>
        </w:tc>
      </w:tr>
      <w:tr w14:paraId="62258546">
        <w:tblPrEx>
          <w:tblCellMar>
            <w:top w:w="0" w:type="dxa"/>
            <w:left w:w="108" w:type="dxa"/>
            <w:bottom w:w="0" w:type="dxa"/>
            <w:right w:w="108" w:type="dxa"/>
          </w:tblCellMar>
        </w:tblPrEx>
        <w:trPr>
          <w:trHeight w:val="276" w:hRule="atLeast"/>
        </w:trPr>
        <w:tc>
          <w:tcPr>
            <w:tcW w:w="961" w:type="dxa"/>
            <w:vMerge w:val="restart"/>
            <w:tcBorders>
              <w:top w:val="nil"/>
              <w:left w:val="single" w:color="auto" w:sz="4" w:space="0"/>
              <w:bottom w:val="single" w:color="auto" w:sz="4" w:space="0"/>
              <w:right w:val="single" w:color="auto" w:sz="4" w:space="0"/>
            </w:tcBorders>
            <w:vAlign w:val="center"/>
          </w:tcPr>
          <w:p w14:paraId="4E99E27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636" w:type="dxa"/>
            <w:vMerge w:val="restart"/>
            <w:tcBorders>
              <w:top w:val="nil"/>
              <w:left w:val="single" w:color="auto" w:sz="4" w:space="0"/>
              <w:bottom w:val="single" w:color="auto" w:sz="4" w:space="0"/>
              <w:right w:val="single" w:color="auto" w:sz="4" w:space="0"/>
            </w:tcBorders>
            <w:vAlign w:val="center"/>
          </w:tcPr>
          <w:p w14:paraId="009175C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循环冷却系统</w:t>
            </w:r>
          </w:p>
        </w:tc>
        <w:tc>
          <w:tcPr>
            <w:tcW w:w="666" w:type="dxa"/>
            <w:vMerge w:val="restart"/>
            <w:tcBorders>
              <w:top w:val="nil"/>
              <w:left w:val="single" w:color="auto" w:sz="4" w:space="0"/>
              <w:bottom w:val="single" w:color="auto" w:sz="4" w:space="0"/>
              <w:right w:val="single" w:color="auto" w:sz="4" w:space="0"/>
            </w:tcBorders>
            <w:vAlign w:val="center"/>
          </w:tcPr>
          <w:p w14:paraId="675F190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循环冷却水排水</w:t>
            </w:r>
          </w:p>
        </w:tc>
        <w:tc>
          <w:tcPr>
            <w:tcW w:w="951" w:type="dxa"/>
            <w:vMerge w:val="restart"/>
            <w:tcBorders>
              <w:top w:val="nil"/>
              <w:left w:val="single" w:color="auto" w:sz="4" w:space="0"/>
              <w:bottom w:val="single" w:color="auto" w:sz="4" w:space="0"/>
              <w:right w:val="single" w:color="auto" w:sz="4" w:space="0"/>
            </w:tcBorders>
            <w:vAlign w:val="center"/>
          </w:tcPr>
          <w:p w14:paraId="464FBF9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3200t/a</w:t>
            </w:r>
          </w:p>
        </w:tc>
        <w:tc>
          <w:tcPr>
            <w:tcW w:w="636" w:type="dxa"/>
            <w:gridSpan w:val="2"/>
            <w:vMerge w:val="restart"/>
            <w:tcBorders>
              <w:top w:val="nil"/>
              <w:left w:val="single" w:color="auto" w:sz="4" w:space="0"/>
              <w:bottom w:val="single" w:color="auto" w:sz="4" w:space="0"/>
              <w:right w:val="single" w:color="auto" w:sz="4" w:space="0"/>
            </w:tcBorders>
            <w:vAlign w:val="center"/>
          </w:tcPr>
          <w:p w14:paraId="7C75E2F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518FFE4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1418" w:type="dxa"/>
            <w:vMerge w:val="restart"/>
            <w:tcBorders>
              <w:top w:val="nil"/>
              <w:left w:val="single" w:color="auto" w:sz="4" w:space="0"/>
              <w:bottom w:val="single" w:color="auto" w:sz="4" w:space="0"/>
              <w:right w:val="single" w:color="auto" w:sz="4" w:space="0"/>
            </w:tcBorders>
            <w:vAlign w:val="center"/>
          </w:tcPr>
          <w:p w14:paraId="1C1AFBF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直接排入园区污水管网</w:t>
            </w:r>
          </w:p>
        </w:tc>
        <w:tc>
          <w:tcPr>
            <w:tcW w:w="1131" w:type="dxa"/>
            <w:vMerge w:val="restart"/>
            <w:tcBorders>
              <w:top w:val="nil"/>
              <w:left w:val="single" w:color="auto" w:sz="4" w:space="0"/>
              <w:bottom w:val="single" w:color="auto" w:sz="4" w:space="0"/>
              <w:right w:val="single" w:color="auto" w:sz="4" w:space="0"/>
            </w:tcBorders>
            <w:vAlign w:val="center"/>
          </w:tcPr>
          <w:p w14:paraId="52418E4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vMerge w:val="restart"/>
            <w:tcBorders>
              <w:top w:val="nil"/>
              <w:left w:val="single" w:color="auto" w:sz="4" w:space="0"/>
              <w:bottom w:val="single" w:color="auto" w:sz="4" w:space="0"/>
              <w:right w:val="single" w:color="auto" w:sz="4" w:space="0"/>
            </w:tcBorders>
            <w:vAlign w:val="center"/>
          </w:tcPr>
          <w:p w14:paraId="37FBCED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523B363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449CD97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w:t>
            </w:r>
          </w:p>
        </w:tc>
        <w:tc>
          <w:tcPr>
            <w:tcW w:w="1134" w:type="dxa"/>
            <w:tcBorders>
              <w:top w:val="nil"/>
              <w:left w:val="nil"/>
              <w:bottom w:val="single" w:color="auto" w:sz="4" w:space="0"/>
              <w:right w:val="single" w:color="auto" w:sz="4" w:space="0"/>
            </w:tcBorders>
            <w:vAlign w:val="center"/>
          </w:tcPr>
          <w:p w14:paraId="504E93A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7182373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0.256</w:t>
            </w:r>
          </w:p>
        </w:tc>
        <w:tc>
          <w:tcPr>
            <w:tcW w:w="1842" w:type="dxa"/>
            <w:vMerge w:val="restart"/>
            <w:tcBorders>
              <w:top w:val="nil"/>
              <w:left w:val="single" w:color="auto" w:sz="4" w:space="0"/>
              <w:bottom w:val="single" w:color="auto" w:sz="4" w:space="0"/>
              <w:right w:val="single" w:color="auto" w:sz="4" w:space="0"/>
            </w:tcBorders>
            <w:vAlign w:val="center"/>
          </w:tcPr>
          <w:p w14:paraId="2B8D2DD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《污水综合排放标准》（GB8978-1996）表4三级标准限值</w:t>
            </w:r>
          </w:p>
        </w:tc>
      </w:tr>
      <w:tr w14:paraId="68E79938">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5476B049">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6855C2E6">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3D22DE5A">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7DB8F2A4">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3B417683">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596C6005">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418" w:type="dxa"/>
            <w:vMerge w:val="continue"/>
            <w:tcBorders>
              <w:top w:val="nil"/>
              <w:left w:val="single" w:color="auto" w:sz="4" w:space="0"/>
              <w:bottom w:val="single" w:color="auto" w:sz="4" w:space="0"/>
              <w:right w:val="single" w:color="auto" w:sz="4" w:space="0"/>
            </w:tcBorders>
            <w:vAlign w:val="center"/>
          </w:tcPr>
          <w:p w14:paraId="2DAC9741">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5133609E">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3B0E7C98">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35CE9BF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5242879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1134" w:type="dxa"/>
            <w:tcBorders>
              <w:top w:val="nil"/>
              <w:left w:val="nil"/>
              <w:bottom w:val="single" w:color="auto" w:sz="4" w:space="0"/>
              <w:right w:val="single" w:color="auto" w:sz="4" w:space="0"/>
            </w:tcBorders>
            <w:vAlign w:val="center"/>
          </w:tcPr>
          <w:p w14:paraId="5D59319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41CFE6A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0.0096</w:t>
            </w:r>
          </w:p>
        </w:tc>
        <w:tc>
          <w:tcPr>
            <w:tcW w:w="1842" w:type="dxa"/>
            <w:vMerge w:val="continue"/>
            <w:tcBorders>
              <w:top w:val="nil"/>
              <w:left w:val="single" w:color="auto" w:sz="4" w:space="0"/>
              <w:bottom w:val="single" w:color="auto" w:sz="4" w:space="0"/>
              <w:right w:val="single" w:color="auto" w:sz="4" w:space="0"/>
            </w:tcBorders>
            <w:vAlign w:val="center"/>
          </w:tcPr>
          <w:p w14:paraId="5FD0D0D0">
            <w:pPr>
              <w:pStyle w:val="109"/>
              <w:rPr>
                <w:color w:val="000000" w:themeColor="text1"/>
                <w14:textFill>
                  <w14:solidFill>
                    <w14:schemeClr w14:val="tx1"/>
                  </w14:solidFill>
                </w14:textFill>
              </w:rPr>
            </w:pPr>
          </w:p>
        </w:tc>
      </w:tr>
      <w:tr w14:paraId="1B13D0A4">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17EDFB7F">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1FD5FE2C">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6F8498F3">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4CECA09B">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2CDA3DBD">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4B7F56E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全盐量</w:t>
            </w:r>
          </w:p>
        </w:tc>
        <w:tc>
          <w:tcPr>
            <w:tcW w:w="1418" w:type="dxa"/>
            <w:vMerge w:val="continue"/>
            <w:tcBorders>
              <w:top w:val="nil"/>
              <w:left w:val="single" w:color="auto" w:sz="4" w:space="0"/>
              <w:bottom w:val="single" w:color="auto" w:sz="4" w:space="0"/>
              <w:right w:val="single" w:color="auto" w:sz="4" w:space="0"/>
            </w:tcBorders>
            <w:vAlign w:val="center"/>
          </w:tcPr>
          <w:p w14:paraId="6F367EB6">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18A80A4D">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019FDAF5">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6C9F983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419F13B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2000</w:t>
            </w:r>
          </w:p>
        </w:tc>
        <w:tc>
          <w:tcPr>
            <w:tcW w:w="1134" w:type="dxa"/>
            <w:tcBorders>
              <w:top w:val="nil"/>
              <w:left w:val="nil"/>
              <w:bottom w:val="single" w:color="auto" w:sz="4" w:space="0"/>
              <w:right w:val="single" w:color="auto" w:sz="4" w:space="0"/>
            </w:tcBorders>
            <w:vAlign w:val="center"/>
          </w:tcPr>
          <w:p w14:paraId="0EC4B04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2AAC126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6.4</w:t>
            </w:r>
          </w:p>
        </w:tc>
        <w:tc>
          <w:tcPr>
            <w:tcW w:w="1842" w:type="dxa"/>
            <w:vMerge w:val="continue"/>
            <w:tcBorders>
              <w:top w:val="nil"/>
              <w:left w:val="single" w:color="auto" w:sz="4" w:space="0"/>
              <w:bottom w:val="single" w:color="auto" w:sz="4" w:space="0"/>
              <w:right w:val="single" w:color="auto" w:sz="4" w:space="0"/>
            </w:tcBorders>
            <w:vAlign w:val="center"/>
          </w:tcPr>
          <w:p w14:paraId="264AB523">
            <w:pPr>
              <w:pStyle w:val="109"/>
              <w:rPr>
                <w:color w:val="000000" w:themeColor="text1"/>
                <w14:textFill>
                  <w14:solidFill>
                    <w14:schemeClr w14:val="tx1"/>
                  </w14:solidFill>
                </w14:textFill>
              </w:rPr>
            </w:pPr>
          </w:p>
        </w:tc>
      </w:tr>
      <w:tr w14:paraId="5F1932C3">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6237DDA5">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143EFA61">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4F18233E">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6C0CF0B7">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477B8B99">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69A754C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SS</w:t>
            </w:r>
          </w:p>
        </w:tc>
        <w:tc>
          <w:tcPr>
            <w:tcW w:w="1418" w:type="dxa"/>
            <w:vMerge w:val="continue"/>
            <w:tcBorders>
              <w:top w:val="nil"/>
              <w:left w:val="single" w:color="auto" w:sz="4" w:space="0"/>
              <w:bottom w:val="single" w:color="auto" w:sz="4" w:space="0"/>
              <w:right w:val="single" w:color="auto" w:sz="4" w:space="0"/>
            </w:tcBorders>
            <w:vAlign w:val="center"/>
          </w:tcPr>
          <w:p w14:paraId="536D5613">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248BFEAE">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29B622A4">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4B5BC7B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1B09A50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w:t>
            </w:r>
          </w:p>
        </w:tc>
        <w:tc>
          <w:tcPr>
            <w:tcW w:w="1134" w:type="dxa"/>
            <w:tcBorders>
              <w:top w:val="nil"/>
              <w:left w:val="nil"/>
              <w:bottom w:val="single" w:color="auto" w:sz="4" w:space="0"/>
              <w:right w:val="single" w:color="auto" w:sz="4" w:space="0"/>
            </w:tcBorders>
            <w:vAlign w:val="center"/>
          </w:tcPr>
          <w:p w14:paraId="5C0CC67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7125F98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0.128</w:t>
            </w:r>
          </w:p>
        </w:tc>
        <w:tc>
          <w:tcPr>
            <w:tcW w:w="1842" w:type="dxa"/>
            <w:vMerge w:val="continue"/>
            <w:tcBorders>
              <w:top w:val="nil"/>
              <w:left w:val="single" w:color="auto" w:sz="4" w:space="0"/>
              <w:bottom w:val="single" w:color="auto" w:sz="4" w:space="0"/>
              <w:right w:val="single" w:color="auto" w:sz="4" w:space="0"/>
            </w:tcBorders>
            <w:vAlign w:val="center"/>
          </w:tcPr>
          <w:p w14:paraId="58E18787">
            <w:pPr>
              <w:pStyle w:val="109"/>
              <w:rPr>
                <w:color w:val="000000" w:themeColor="text1"/>
                <w14:textFill>
                  <w14:solidFill>
                    <w14:schemeClr w14:val="tx1"/>
                  </w14:solidFill>
                </w14:textFill>
              </w:rPr>
            </w:pPr>
          </w:p>
        </w:tc>
      </w:tr>
      <w:tr w14:paraId="697554F1">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64BD522E">
            <w:pPr>
              <w:pStyle w:val="109"/>
              <w:rPr>
                <w:color w:val="000000" w:themeColor="text1"/>
                <w14:textFill>
                  <w14:solidFill>
                    <w14:schemeClr w14:val="tx1"/>
                  </w14:solidFill>
                </w14:textFill>
              </w:rPr>
            </w:pPr>
          </w:p>
        </w:tc>
        <w:tc>
          <w:tcPr>
            <w:tcW w:w="636" w:type="dxa"/>
            <w:vMerge w:val="restart"/>
            <w:tcBorders>
              <w:top w:val="nil"/>
              <w:left w:val="single" w:color="auto" w:sz="4" w:space="0"/>
              <w:bottom w:val="single" w:color="auto" w:sz="4" w:space="0"/>
              <w:right w:val="single" w:color="auto" w:sz="4" w:space="0"/>
            </w:tcBorders>
            <w:vAlign w:val="center"/>
          </w:tcPr>
          <w:p w14:paraId="4E06ABC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实验室</w:t>
            </w:r>
          </w:p>
        </w:tc>
        <w:tc>
          <w:tcPr>
            <w:tcW w:w="666" w:type="dxa"/>
            <w:vMerge w:val="restart"/>
            <w:tcBorders>
              <w:top w:val="nil"/>
              <w:left w:val="single" w:color="auto" w:sz="4" w:space="0"/>
              <w:bottom w:val="single" w:color="auto" w:sz="4" w:space="0"/>
              <w:right w:val="single" w:color="auto" w:sz="4" w:space="0"/>
            </w:tcBorders>
            <w:vAlign w:val="center"/>
          </w:tcPr>
          <w:p w14:paraId="70F85E1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实验室废水</w:t>
            </w:r>
          </w:p>
        </w:tc>
        <w:tc>
          <w:tcPr>
            <w:tcW w:w="951" w:type="dxa"/>
            <w:vMerge w:val="restart"/>
            <w:tcBorders>
              <w:top w:val="nil"/>
              <w:left w:val="single" w:color="auto" w:sz="4" w:space="0"/>
              <w:bottom w:val="single" w:color="auto" w:sz="4" w:space="0"/>
              <w:right w:val="single" w:color="auto" w:sz="4" w:space="0"/>
            </w:tcBorders>
            <w:vAlign w:val="center"/>
          </w:tcPr>
          <w:p w14:paraId="033F453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14.85t/a</w:t>
            </w:r>
          </w:p>
        </w:tc>
        <w:tc>
          <w:tcPr>
            <w:tcW w:w="636" w:type="dxa"/>
            <w:gridSpan w:val="2"/>
            <w:vMerge w:val="restart"/>
            <w:tcBorders>
              <w:top w:val="nil"/>
              <w:left w:val="single" w:color="auto" w:sz="4" w:space="0"/>
              <w:bottom w:val="single" w:color="auto" w:sz="4" w:space="0"/>
              <w:right w:val="single" w:color="auto" w:sz="4" w:space="0"/>
            </w:tcBorders>
            <w:vAlign w:val="center"/>
          </w:tcPr>
          <w:p w14:paraId="2D4E4DB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3008CC1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1418" w:type="dxa"/>
            <w:vMerge w:val="restart"/>
            <w:tcBorders>
              <w:top w:val="nil"/>
              <w:left w:val="single" w:color="auto" w:sz="4" w:space="0"/>
              <w:bottom w:val="single" w:color="auto" w:sz="4" w:space="0"/>
              <w:right w:val="single" w:color="auto" w:sz="4" w:space="0"/>
            </w:tcBorders>
            <w:vAlign w:val="center"/>
          </w:tcPr>
          <w:p w14:paraId="5C8B427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直接排入园区污水管网</w:t>
            </w:r>
          </w:p>
        </w:tc>
        <w:tc>
          <w:tcPr>
            <w:tcW w:w="1131" w:type="dxa"/>
            <w:vMerge w:val="restart"/>
            <w:tcBorders>
              <w:top w:val="nil"/>
              <w:left w:val="single" w:color="auto" w:sz="4" w:space="0"/>
              <w:bottom w:val="single" w:color="auto" w:sz="4" w:space="0"/>
              <w:right w:val="single" w:color="auto" w:sz="4" w:space="0"/>
            </w:tcBorders>
            <w:vAlign w:val="center"/>
          </w:tcPr>
          <w:p w14:paraId="65817F1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vMerge w:val="restart"/>
            <w:tcBorders>
              <w:top w:val="nil"/>
              <w:left w:val="single" w:color="auto" w:sz="4" w:space="0"/>
              <w:bottom w:val="single" w:color="auto" w:sz="4" w:space="0"/>
              <w:right w:val="single" w:color="auto" w:sz="4" w:space="0"/>
            </w:tcBorders>
            <w:vAlign w:val="center"/>
          </w:tcPr>
          <w:p w14:paraId="33F631A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06DAF33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18B2276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100</w:t>
            </w:r>
          </w:p>
        </w:tc>
        <w:tc>
          <w:tcPr>
            <w:tcW w:w="1134" w:type="dxa"/>
            <w:tcBorders>
              <w:top w:val="nil"/>
              <w:left w:val="nil"/>
              <w:bottom w:val="single" w:color="auto" w:sz="4" w:space="0"/>
              <w:right w:val="single" w:color="auto" w:sz="4" w:space="0"/>
            </w:tcBorders>
            <w:vAlign w:val="center"/>
          </w:tcPr>
          <w:p w14:paraId="059E75C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2B18571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0.001485</w:t>
            </w:r>
          </w:p>
        </w:tc>
        <w:tc>
          <w:tcPr>
            <w:tcW w:w="1842" w:type="dxa"/>
            <w:vMerge w:val="continue"/>
            <w:tcBorders>
              <w:top w:val="nil"/>
              <w:left w:val="single" w:color="auto" w:sz="4" w:space="0"/>
              <w:bottom w:val="single" w:color="auto" w:sz="4" w:space="0"/>
              <w:right w:val="single" w:color="auto" w:sz="4" w:space="0"/>
            </w:tcBorders>
            <w:vAlign w:val="center"/>
          </w:tcPr>
          <w:p w14:paraId="5FD0D481">
            <w:pPr>
              <w:pStyle w:val="109"/>
              <w:rPr>
                <w:color w:val="000000" w:themeColor="text1"/>
                <w14:textFill>
                  <w14:solidFill>
                    <w14:schemeClr w14:val="tx1"/>
                  </w14:solidFill>
                </w14:textFill>
              </w:rPr>
            </w:pPr>
          </w:p>
        </w:tc>
      </w:tr>
      <w:tr w14:paraId="704B0A5E">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554899F6">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5D47483C">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12AB05C8">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46099748">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78FD85E3">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3106426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418" w:type="dxa"/>
            <w:vMerge w:val="continue"/>
            <w:tcBorders>
              <w:top w:val="nil"/>
              <w:left w:val="single" w:color="auto" w:sz="4" w:space="0"/>
              <w:bottom w:val="single" w:color="auto" w:sz="4" w:space="0"/>
              <w:right w:val="single" w:color="auto" w:sz="4" w:space="0"/>
            </w:tcBorders>
            <w:vAlign w:val="center"/>
          </w:tcPr>
          <w:p w14:paraId="582E942E">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0DF780FB">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6B1BCF9C">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24F876E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6AF55C1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w:t>
            </w:r>
          </w:p>
        </w:tc>
        <w:tc>
          <w:tcPr>
            <w:tcW w:w="1134" w:type="dxa"/>
            <w:tcBorders>
              <w:top w:val="nil"/>
              <w:left w:val="nil"/>
              <w:bottom w:val="single" w:color="auto" w:sz="4" w:space="0"/>
              <w:right w:val="single" w:color="auto" w:sz="4" w:space="0"/>
            </w:tcBorders>
            <w:vAlign w:val="center"/>
          </w:tcPr>
          <w:p w14:paraId="61DAF40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27D1E0A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0.0001485</w:t>
            </w:r>
          </w:p>
        </w:tc>
        <w:tc>
          <w:tcPr>
            <w:tcW w:w="1842" w:type="dxa"/>
            <w:vMerge w:val="continue"/>
            <w:tcBorders>
              <w:top w:val="nil"/>
              <w:left w:val="single" w:color="auto" w:sz="4" w:space="0"/>
              <w:bottom w:val="single" w:color="auto" w:sz="4" w:space="0"/>
              <w:right w:val="single" w:color="auto" w:sz="4" w:space="0"/>
            </w:tcBorders>
            <w:vAlign w:val="center"/>
          </w:tcPr>
          <w:p w14:paraId="39A45483">
            <w:pPr>
              <w:pStyle w:val="109"/>
              <w:rPr>
                <w:color w:val="000000" w:themeColor="text1"/>
                <w14:textFill>
                  <w14:solidFill>
                    <w14:schemeClr w14:val="tx1"/>
                  </w14:solidFill>
                </w14:textFill>
              </w:rPr>
            </w:pPr>
          </w:p>
        </w:tc>
      </w:tr>
      <w:tr w14:paraId="5D3353F7">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09D99DC1">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7C85B446">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3061E65B">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36CEED87">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3B7B1DEC">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7D37C45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全盐量</w:t>
            </w:r>
          </w:p>
        </w:tc>
        <w:tc>
          <w:tcPr>
            <w:tcW w:w="1418" w:type="dxa"/>
            <w:vMerge w:val="continue"/>
            <w:tcBorders>
              <w:top w:val="nil"/>
              <w:left w:val="single" w:color="auto" w:sz="4" w:space="0"/>
              <w:bottom w:val="single" w:color="auto" w:sz="4" w:space="0"/>
              <w:right w:val="single" w:color="auto" w:sz="4" w:space="0"/>
            </w:tcBorders>
            <w:vAlign w:val="center"/>
          </w:tcPr>
          <w:p w14:paraId="5F73529B">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6634F5D3">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18C7809D">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389DBC2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1648426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5000</w:t>
            </w:r>
          </w:p>
        </w:tc>
        <w:tc>
          <w:tcPr>
            <w:tcW w:w="1134" w:type="dxa"/>
            <w:tcBorders>
              <w:top w:val="nil"/>
              <w:left w:val="nil"/>
              <w:bottom w:val="single" w:color="auto" w:sz="4" w:space="0"/>
              <w:right w:val="single" w:color="auto" w:sz="4" w:space="0"/>
            </w:tcBorders>
            <w:vAlign w:val="center"/>
          </w:tcPr>
          <w:p w14:paraId="6D28CE5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51801C9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0.07425</w:t>
            </w:r>
          </w:p>
        </w:tc>
        <w:tc>
          <w:tcPr>
            <w:tcW w:w="1842" w:type="dxa"/>
            <w:vMerge w:val="continue"/>
            <w:tcBorders>
              <w:top w:val="nil"/>
              <w:left w:val="single" w:color="auto" w:sz="4" w:space="0"/>
              <w:bottom w:val="single" w:color="auto" w:sz="4" w:space="0"/>
              <w:right w:val="single" w:color="auto" w:sz="4" w:space="0"/>
            </w:tcBorders>
            <w:vAlign w:val="center"/>
          </w:tcPr>
          <w:p w14:paraId="3AD6CAEA">
            <w:pPr>
              <w:pStyle w:val="109"/>
              <w:rPr>
                <w:color w:val="000000" w:themeColor="text1"/>
                <w14:textFill>
                  <w14:solidFill>
                    <w14:schemeClr w14:val="tx1"/>
                  </w14:solidFill>
                </w14:textFill>
              </w:rPr>
            </w:pPr>
          </w:p>
        </w:tc>
      </w:tr>
      <w:tr w14:paraId="56FF3EA2">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15290639">
            <w:pPr>
              <w:pStyle w:val="109"/>
              <w:rPr>
                <w:color w:val="000000" w:themeColor="text1"/>
                <w14:textFill>
                  <w14:solidFill>
                    <w14:schemeClr w14:val="tx1"/>
                  </w14:solidFill>
                </w14:textFill>
              </w:rPr>
            </w:pPr>
          </w:p>
        </w:tc>
        <w:tc>
          <w:tcPr>
            <w:tcW w:w="636" w:type="dxa"/>
            <w:vMerge w:val="restart"/>
            <w:tcBorders>
              <w:top w:val="nil"/>
              <w:left w:val="single" w:color="auto" w:sz="4" w:space="0"/>
              <w:bottom w:val="single" w:color="auto" w:sz="4" w:space="0"/>
              <w:right w:val="single" w:color="auto" w:sz="4" w:space="0"/>
            </w:tcBorders>
            <w:vAlign w:val="center"/>
          </w:tcPr>
          <w:p w14:paraId="61E063D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地面冲洗</w:t>
            </w:r>
          </w:p>
        </w:tc>
        <w:tc>
          <w:tcPr>
            <w:tcW w:w="666" w:type="dxa"/>
            <w:vMerge w:val="restart"/>
            <w:tcBorders>
              <w:top w:val="nil"/>
              <w:left w:val="single" w:color="auto" w:sz="4" w:space="0"/>
              <w:bottom w:val="single" w:color="auto" w:sz="4" w:space="0"/>
              <w:right w:val="single" w:color="auto" w:sz="4" w:space="0"/>
            </w:tcBorders>
            <w:vAlign w:val="center"/>
          </w:tcPr>
          <w:p w14:paraId="7864071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地面冲洗废水</w:t>
            </w:r>
          </w:p>
        </w:tc>
        <w:tc>
          <w:tcPr>
            <w:tcW w:w="951" w:type="dxa"/>
            <w:vMerge w:val="restart"/>
            <w:tcBorders>
              <w:top w:val="nil"/>
              <w:left w:val="single" w:color="auto" w:sz="4" w:space="0"/>
              <w:bottom w:val="single" w:color="auto" w:sz="4" w:space="0"/>
              <w:right w:val="single" w:color="auto" w:sz="4" w:space="0"/>
            </w:tcBorders>
            <w:vAlign w:val="center"/>
          </w:tcPr>
          <w:p w14:paraId="307146E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20.8t/a</w:t>
            </w:r>
          </w:p>
        </w:tc>
        <w:tc>
          <w:tcPr>
            <w:tcW w:w="636" w:type="dxa"/>
            <w:gridSpan w:val="2"/>
            <w:vMerge w:val="restart"/>
            <w:tcBorders>
              <w:top w:val="nil"/>
              <w:left w:val="single" w:color="auto" w:sz="4" w:space="0"/>
              <w:bottom w:val="single" w:color="auto" w:sz="4" w:space="0"/>
              <w:right w:val="single" w:color="auto" w:sz="4" w:space="0"/>
            </w:tcBorders>
            <w:vAlign w:val="center"/>
          </w:tcPr>
          <w:p w14:paraId="04BA4A2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79BBE7D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1418" w:type="dxa"/>
            <w:vMerge w:val="restart"/>
            <w:tcBorders>
              <w:top w:val="nil"/>
              <w:left w:val="single" w:color="auto" w:sz="4" w:space="0"/>
              <w:bottom w:val="single" w:color="auto" w:sz="4" w:space="0"/>
              <w:right w:val="single" w:color="auto" w:sz="4" w:space="0"/>
            </w:tcBorders>
            <w:vAlign w:val="center"/>
          </w:tcPr>
          <w:p w14:paraId="38BA71A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直接排入园区污水管网</w:t>
            </w:r>
          </w:p>
        </w:tc>
        <w:tc>
          <w:tcPr>
            <w:tcW w:w="1131" w:type="dxa"/>
            <w:vMerge w:val="restart"/>
            <w:tcBorders>
              <w:top w:val="nil"/>
              <w:left w:val="single" w:color="auto" w:sz="4" w:space="0"/>
              <w:bottom w:val="single" w:color="auto" w:sz="4" w:space="0"/>
              <w:right w:val="single" w:color="auto" w:sz="4" w:space="0"/>
            </w:tcBorders>
            <w:vAlign w:val="center"/>
          </w:tcPr>
          <w:p w14:paraId="63A8182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vMerge w:val="restart"/>
            <w:tcBorders>
              <w:top w:val="nil"/>
              <w:left w:val="single" w:color="auto" w:sz="4" w:space="0"/>
              <w:bottom w:val="single" w:color="auto" w:sz="4" w:space="0"/>
              <w:right w:val="single" w:color="auto" w:sz="4" w:space="0"/>
            </w:tcBorders>
            <w:vAlign w:val="center"/>
          </w:tcPr>
          <w:p w14:paraId="42B4226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1398C22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665C375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600</w:t>
            </w:r>
          </w:p>
        </w:tc>
        <w:tc>
          <w:tcPr>
            <w:tcW w:w="1134" w:type="dxa"/>
            <w:tcBorders>
              <w:top w:val="nil"/>
              <w:left w:val="nil"/>
              <w:bottom w:val="single" w:color="auto" w:sz="4" w:space="0"/>
              <w:right w:val="single" w:color="auto" w:sz="4" w:space="0"/>
            </w:tcBorders>
            <w:vAlign w:val="center"/>
          </w:tcPr>
          <w:p w14:paraId="7AC4E0A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6DEB0F6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0.01248</w:t>
            </w:r>
          </w:p>
        </w:tc>
        <w:tc>
          <w:tcPr>
            <w:tcW w:w="1842" w:type="dxa"/>
            <w:vMerge w:val="continue"/>
            <w:tcBorders>
              <w:top w:val="nil"/>
              <w:left w:val="single" w:color="auto" w:sz="4" w:space="0"/>
              <w:bottom w:val="single" w:color="auto" w:sz="4" w:space="0"/>
              <w:right w:val="single" w:color="auto" w:sz="4" w:space="0"/>
            </w:tcBorders>
            <w:vAlign w:val="center"/>
          </w:tcPr>
          <w:p w14:paraId="6DBBC19B">
            <w:pPr>
              <w:pStyle w:val="109"/>
              <w:rPr>
                <w:color w:val="000000" w:themeColor="text1"/>
                <w14:textFill>
                  <w14:solidFill>
                    <w14:schemeClr w14:val="tx1"/>
                  </w14:solidFill>
                </w14:textFill>
              </w:rPr>
            </w:pPr>
          </w:p>
        </w:tc>
      </w:tr>
      <w:tr w14:paraId="6EF546A4">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1912B947">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7E5A85E5">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71CFAFBA">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4795776B">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4C131FA8">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14B25D6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418" w:type="dxa"/>
            <w:vMerge w:val="continue"/>
            <w:tcBorders>
              <w:top w:val="nil"/>
              <w:left w:val="single" w:color="auto" w:sz="4" w:space="0"/>
              <w:bottom w:val="single" w:color="auto" w:sz="4" w:space="0"/>
              <w:right w:val="single" w:color="auto" w:sz="4" w:space="0"/>
            </w:tcBorders>
            <w:vAlign w:val="center"/>
          </w:tcPr>
          <w:p w14:paraId="19B6FFEF">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1C85256E">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3AF9A9E1">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16F6EA1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197E530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w:t>
            </w:r>
          </w:p>
        </w:tc>
        <w:tc>
          <w:tcPr>
            <w:tcW w:w="1134" w:type="dxa"/>
            <w:tcBorders>
              <w:top w:val="nil"/>
              <w:left w:val="nil"/>
              <w:bottom w:val="single" w:color="auto" w:sz="4" w:space="0"/>
              <w:right w:val="single" w:color="auto" w:sz="4" w:space="0"/>
            </w:tcBorders>
            <w:vAlign w:val="center"/>
          </w:tcPr>
          <w:p w14:paraId="1E44575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3ED75AA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0.000208</w:t>
            </w:r>
          </w:p>
        </w:tc>
        <w:tc>
          <w:tcPr>
            <w:tcW w:w="1842" w:type="dxa"/>
            <w:vMerge w:val="continue"/>
            <w:tcBorders>
              <w:top w:val="nil"/>
              <w:left w:val="single" w:color="auto" w:sz="4" w:space="0"/>
              <w:bottom w:val="single" w:color="auto" w:sz="4" w:space="0"/>
              <w:right w:val="single" w:color="auto" w:sz="4" w:space="0"/>
            </w:tcBorders>
            <w:vAlign w:val="center"/>
          </w:tcPr>
          <w:p w14:paraId="66BCAAE7">
            <w:pPr>
              <w:pStyle w:val="109"/>
              <w:rPr>
                <w:color w:val="000000" w:themeColor="text1"/>
                <w14:textFill>
                  <w14:solidFill>
                    <w14:schemeClr w14:val="tx1"/>
                  </w14:solidFill>
                </w14:textFill>
              </w:rPr>
            </w:pPr>
          </w:p>
        </w:tc>
      </w:tr>
      <w:tr w14:paraId="4F9545FB">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52A402E7">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79104589">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00488F03">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7AA30B7A">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5BFC39A9">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763CF7A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全盐量</w:t>
            </w:r>
          </w:p>
        </w:tc>
        <w:tc>
          <w:tcPr>
            <w:tcW w:w="1418" w:type="dxa"/>
            <w:vMerge w:val="continue"/>
            <w:tcBorders>
              <w:top w:val="nil"/>
              <w:left w:val="single" w:color="auto" w:sz="4" w:space="0"/>
              <w:bottom w:val="single" w:color="auto" w:sz="4" w:space="0"/>
              <w:right w:val="single" w:color="auto" w:sz="4" w:space="0"/>
            </w:tcBorders>
            <w:vAlign w:val="center"/>
          </w:tcPr>
          <w:p w14:paraId="1BF6047C">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4816C6B6">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2CD220C4">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143FC13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6CE435C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1500</w:t>
            </w:r>
          </w:p>
        </w:tc>
        <w:tc>
          <w:tcPr>
            <w:tcW w:w="1134" w:type="dxa"/>
            <w:tcBorders>
              <w:top w:val="nil"/>
              <w:left w:val="nil"/>
              <w:bottom w:val="single" w:color="auto" w:sz="4" w:space="0"/>
              <w:right w:val="single" w:color="auto" w:sz="4" w:space="0"/>
            </w:tcBorders>
            <w:vAlign w:val="center"/>
          </w:tcPr>
          <w:p w14:paraId="09F08C4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6C42706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0.0312</w:t>
            </w:r>
          </w:p>
        </w:tc>
        <w:tc>
          <w:tcPr>
            <w:tcW w:w="1842" w:type="dxa"/>
            <w:vMerge w:val="continue"/>
            <w:tcBorders>
              <w:top w:val="nil"/>
              <w:left w:val="single" w:color="auto" w:sz="4" w:space="0"/>
              <w:bottom w:val="single" w:color="auto" w:sz="4" w:space="0"/>
              <w:right w:val="single" w:color="auto" w:sz="4" w:space="0"/>
            </w:tcBorders>
            <w:vAlign w:val="center"/>
          </w:tcPr>
          <w:p w14:paraId="4BDF4635">
            <w:pPr>
              <w:pStyle w:val="109"/>
              <w:rPr>
                <w:color w:val="000000" w:themeColor="text1"/>
                <w14:textFill>
                  <w14:solidFill>
                    <w14:schemeClr w14:val="tx1"/>
                  </w14:solidFill>
                </w14:textFill>
              </w:rPr>
            </w:pPr>
          </w:p>
        </w:tc>
      </w:tr>
      <w:tr w14:paraId="2A580B26">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2CAA8926">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255C3DEA">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5EBFFBF1">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063146C3">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2B746422">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2B32362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SS</w:t>
            </w:r>
          </w:p>
        </w:tc>
        <w:tc>
          <w:tcPr>
            <w:tcW w:w="1418" w:type="dxa"/>
            <w:vMerge w:val="continue"/>
            <w:tcBorders>
              <w:top w:val="nil"/>
              <w:left w:val="single" w:color="auto" w:sz="4" w:space="0"/>
              <w:bottom w:val="single" w:color="auto" w:sz="4" w:space="0"/>
              <w:right w:val="single" w:color="auto" w:sz="4" w:space="0"/>
            </w:tcBorders>
            <w:vAlign w:val="center"/>
          </w:tcPr>
          <w:p w14:paraId="40547326">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02D251C0">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5996D72A">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0AC94AB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6745156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200</w:t>
            </w:r>
          </w:p>
        </w:tc>
        <w:tc>
          <w:tcPr>
            <w:tcW w:w="1134" w:type="dxa"/>
            <w:tcBorders>
              <w:top w:val="nil"/>
              <w:left w:val="nil"/>
              <w:bottom w:val="single" w:color="auto" w:sz="4" w:space="0"/>
              <w:right w:val="single" w:color="auto" w:sz="4" w:space="0"/>
            </w:tcBorders>
            <w:vAlign w:val="center"/>
          </w:tcPr>
          <w:p w14:paraId="60528A4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598F7D5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0.00416</w:t>
            </w:r>
          </w:p>
        </w:tc>
        <w:tc>
          <w:tcPr>
            <w:tcW w:w="1842" w:type="dxa"/>
            <w:vMerge w:val="continue"/>
            <w:tcBorders>
              <w:top w:val="nil"/>
              <w:left w:val="single" w:color="auto" w:sz="4" w:space="0"/>
              <w:bottom w:val="single" w:color="auto" w:sz="4" w:space="0"/>
              <w:right w:val="single" w:color="auto" w:sz="4" w:space="0"/>
            </w:tcBorders>
            <w:vAlign w:val="center"/>
          </w:tcPr>
          <w:p w14:paraId="70C756C1">
            <w:pPr>
              <w:pStyle w:val="109"/>
              <w:rPr>
                <w:color w:val="000000" w:themeColor="text1"/>
                <w14:textFill>
                  <w14:solidFill>
                    <w14:schemeClr w14:val="tx1"/>
                  </w14:solidFill>
                </w14:textFill>
              </w:rPr>
            </w:pPr>
          </w:p>
        </w:tc>
      </w:tr>
      <w:tr w14:paraId="3DBC4E09">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0EB06CFA">
            <w:pPr>
              <w:pStyle w:val="109"/>
              <w:rPr>
                <w:color w:val="000000" w:themeColor="text1"/>
                <w14:textFill>
                  <w14:solidFill>
                    <w14:schemeClr w14:val="tx1"/>
                  </w14:solidFill>
                </w14:textFill>
              </w:rPr>
            </w:pPr>
          </w:p>
        </w:tc>
        <w:tc>
          <w:tcPr>
            <w:tcW w:w="636" w:type="dxa"/>
            <w:vMerge w:val="restart"/>
            <w:tcBorders>
              <w:top w:val="nil"/>
              <w:left w:val="single" w:color="auto" w:sz="4" w:space="0"/>
              <w:bottom w:val="single" w:color="auto" w:sz="4" w:space="0"/>
              <w:right w:val="single" w:color="auto" w:sz="4" w:space="0"/>
            </w:tcBorders>
            <w:vAlign w:val="center"/>
          </w:tcPr>
          <w:p w14:paraId="215160D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生活、办公</w:t>
            </w:r>
          </w:p>
        </w:tc>
        <w:tc>
          <w:tcPr>
            <w:tcW w:w="666" w:type="dxa"/>
            <w:vMerge w:val="restart"/>
            <w:tcBorders>
              <w:top w:val="nil"/>
              <w:left w:val="single" w:color="auto" w:sz="4" w:space="0"/>
              <w:bottom w:val="single" w:color="auto" w:sz="4" w:space="0"/>
              <w:right w:val="single" w:color="auto" w:sz="4" w:space="0"/>
            </w:tcBorders>
            <w:vAlign w:val="center"/>
          </w:tcPr>
          <w:p w14:paraId="49FC6CB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951" w:type="dxa"/>
            <w:vMerge w:val="restart"/>
            <w:tcBorders>
              <w:top w:val="nil"/>
              <w:left w:val="single" w:color="auto" w:sz="4" w:space="0"/>
              <w:bottom w:val="single" w:color="auto" w:sz="4" w:space="0"/>
              <w:right w:val="single" w:color="auto" w:sz="4" w:space="0"/>
            </w:tcBorders>
            <w:vAlign w:val="center"/>
          </w:tcPr>
          <w:p w14:paraId="73E3C88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396t/a</w:t>
            </w:r>
          </w:p>
        </w:tc>
        <w:tc>
          <w:tcPr>
            <w:tcW w:w="636" w:type="dxa"/>
            <w:gridSpan w:val="2"/>
            <w:vMerge w:val="restart"/>
            <w:tcBorders>
              <w:top w:val="nil"/>
              <w:left w:val="single" w:color="auto" w:sz="4" w:space="0"/>
              <w:bottom w:val="single" w:color="auto" w:sz="4" w:space="0"/>
              <w:right w:val="single" w:color="auto" w:sz="4" w:space="0"/>
            </w:tcBorders>
            <w:vAlign w:val="center"/>
          </w:tcPr>
          <w:p w14:paraId="0490BC4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3F93FCE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COD</w:t>
            </w:r>
          </w:p>
        </w:tc>
        <w:tc>
          <w:tcPr>
            <w:tcW w:w="1418" w:type="dxa"/>
            <w:vMerge w:val="restart"/>
            <w:tcBorders>
              <w:top w:val="nil"/>
              <w:left w:val="single" w:color="auto" w:sz="4" w:space="0"/>
              <w:bottom w:val="single" w:color="auto" w:sz="4" w:space="0"/>
              <w:right w:val="single" w:color="auto" w:sz="4" w:space="0"/>
            </w:tcBorders>
            <w:vAlign w:val="center"/>
          </w:tcPr>
          <w:p w14:paraId="2B59451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化粪池处理后直接排入园区污水管网</w:t>
            </w:r>
          </w:p>
        </w:tc>
        <w:tc>
          <w:tcPr>
            <w:tcW w:w="1131" w:type="dxa"/>
            <w:vMerge w:val="restart"/>
            <w:tcBorders>
              <w:top w:val="nil"/>
              <w:left w:val="single" w:color="auto" w:sz="4" w:space="0"/>
              <w:bottom w:val="single" w:color="auto" w:sz="4" w:space="0"/>
              <w:right w:val="single" w:color="auto" w:sz="4" w:space="0"/>
            </w:tcBorders>
            <w:vAlign w:val="center"/>
          </w:tcPr>
          <w:p w14:paraId="1ABB644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vMerge w:val="restart"/>
            <w:tcBorders>
              <w:top w:val="nil"/>
              <w:left w:val="single" w:color="auto" w:sz="4" w:space="0"/>
              <w:bottom w:val="single" w:color="auto" w:sz="4" w:space="0"/>
              <w:right w:val="single" w:color="auto" w:sz="4" w:space="0"/>
            </w:tcBorders>
            <w:vAlign w:val="center"/>
          </w:tcPr>
          <w:p w14:paraId="2203067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691B8A5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60975BF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400</w:t>
            </w:r>
          </w:p>
        </w:tc>
        <w:tc>
          <w:tcPr>
            <w:tcW w:w="1134" w:type="dxa"/>
            <w:tcBorders>
              <w:top w:val="nil"/>
              <w:left w:val="nil"/>
              <w:bottom w:val="single" w:color="auto" w:sz="4" w:space="0"/>
              <w:right w:val="single" w:color="auto" w:sz="4" w:space="0"/>
            </w:tcBorders>
            <w:vAlign w:val="center"/>
          </w:tcPr>
          <w:p w14:paraId="29B0C2B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7D2ABD1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0.1584</w:t>
            </w:r>
          </w:p>
        </w:tc>
        <w:tc>
          <w:tcPr>
            <w:tcW w:w="1842" w:type="dxa"/>
            <w:vMerge w:val="continue"/>
            <w:tcBorders>
              <w:top w:val="nil"/>
              <w:left w:val="single" w:color="auto" w:sz="4" w:space="0"/>
              <w:bottom w:val="single" w:color="auto" w:sz="4" w:space="0"/>
              <w:right w:val="single" w:color="auto" w:sz="4" w:space="0"/>
            </w:tcBorders>
            <w:vAlign w:val="center"/>
          </w:tcPr>
          <w:p w14:paraId="6BA54105">
            <w:pPr>
              <w:pStyle w:val="109"/>
              <w:rPr>
                <w:color w:val="000000" w:themeColor="text1"/>
                <w14:textFill>
                  <w14:solidFill>
                    <w14:schemeClr w14:val="tx1"/>
                  </w14:solidFill>
                </w14:textFill>
              </w:rPr>
            </w:pPr>
          </w:p>
        </w:tc>
      </w:tr>
      <w:tr w14:paraId="1F75B8D4">
        <w:tblPrEx>
          <w:tblCellMar>
            <w:top w:w="0" w:type="dxa"/>
            <w:left w:w="108" w:type="dxa"/>
            <w:bottom w:w="0" w:type="dxa"/>
            <w:right w:w="108" w:type="dxa"/>
          </w:tblCellMar>
        </w:tblPrEx>
        <w:trPr>
          <w:trHeight w:val="276" w:hRule="atLeast"/>
        </w:trPr>
        <w:tc>
          <w:tcPr>
            <w:tcW w:w="961" w:type="dxa"/>
            <w:vMerge w:val="continue"/>
            <w:tcBorders>
              <w:top w:val="nil"/>
              <w:left w:val="single" w:color="auto" w:sz="4" w:space="0"/>
              <w:bottom w:val="single" w:color="auto" w:sz="4" w:space="0"/>
              <w:right w:val="single" w:color="auto" w:sz="4" w:space="0"/>
            </w:tcBorders>
            <w:vAlign w:val="center"/>
          </w:tcPr>
          <w:p w14:paraId="7C0A746D">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38216C8A">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754DB62F">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415310ED">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2ABD24A6">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3533B1E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SS</w:t>
            </w:r>
          </w:p>
        </w:tc>
        <w:tc>
          <w:tcPr>
            <w:tcW w:w="1418" w:type="dxa"/>
            <w:vMerge w:val="continue"/>
            <w:tcBorders>
              <w:top w:val="nil"/>
              <w:left w:val="single" w:color="auto" w:sz="4" w:space="0"/>
              <w:bottom w:val="single" w:color="auto" w:sz="4" w:space="0"/>
              <w:right w:val="single" w:color="auto" w:sz="4" w:space="0"/>
            </w:tcBorders>
            <w:vAlign w:val="center"/>
          </w:tcPr>
          <w:p w14:paraId="1B3C83DF">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7B9BC824">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225A0DE2">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73D353D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0D45516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300</w:t>
            </w:r>
          </w:p>
        </w:tc>
        <w:tc>
          <w:tcPr>
            <w:tcW w:w="1134" w:type="dxa"/>
            <w:tcBorders>
              <w:top w:val="nil"/>
              <w:left w:val="nil"/>
              <w:bottom w:val="single" w:color="auto" w:sz="4" w:space="0"/>
              <w:right w:val="single" w:color="auto" w:sz="4" w:space="0"/>
            </w:tcBorders>
            <w:vAlign w:val="center"/>
          </w:tcPr>
          <w:p w14:paraId="3750A9A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2C89E96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0.1188</w:t>
            </w:r>
          </w:p>
        </w:tc>
        <w:tc>
          <w:tcPr>
            <w:tcW w:w="1842" w:type="dxa"/>
            <w:vMerge w:val="continue"/>
            <w:tcBorders>
              <w:top w:val="nil"/>
              <w:left w:val="single" w:color="auto" w:sz="4" w:space="0"/>
              <w:bottom w:val="single" w:color="auto" w:sz="4" w:space="0"/>
              <w:right w:val="single" w:color="auto" w:sz="4" w:space="0"/>
            </w:tcBorders>
            <w:vAlign w:val="center"/>
          </w:tcPr>
          <w:p w14:paraId="41CAE310">
            <w:pPr>
              <w:pStyle w:val="109"/>
              <w:rPr>
                <w:color w:val="000000" w:themeColor="text1"/>
                <w14:textFill>
                  <w14:solidFill>
                    <w14:schemeClr w14:val="tx1"/>
                  </w14:solidFill>
                </w14:textFill>
              </w:rPr>
            </w:pPr>
          </w:p>
        </w:tc>
      </w:tr>
      <w:tr w14:paraId="2617AE83">
        <w:tblPrEx>
          <w:tblCellMar>
            <w:top w:w="0" w:type="dxa"/>
            <w:left w:w="108" w:type="dxa"/>
            <w:bottom w:w="0" w:type="dxa"/>
            <w:right w:w="108" w:type="dxa"/>
          </w:tblCellMar>
        </w:tblPrEx>
        <w:trPr>
          <w:trHeight w:val="324" w:hRule="atLeast"/>
        </w:trPr>
        <w:tc>
          <w:tcPr>
            <w:tcW w:w="961" w:type="dxa"/>
            <w:vMerge w:val="continue"/>
            <w:tcBorders>
              <w:top w:val="nil"/>
              <w:left w:val="single" w:color="auto" w:sz="4" w:space="0"/>
              <w:bottom w:val="single" w:color="auto" w:sz="4" w:space="0"/>
              <w:right w:val="single" w:color="auto" w:sz="4" w:space="0"/>
            </w:tcBorders>
            <w:vAlign w:val="center"/>
          </w:tcPr>
          <w:p w14:paraId="02405298">
            <w:pPr>
              <w:pStyle w:val="109"/>
              <w:rPr>
                <w:color w:val="000000" w:themeColor="text1"/>
                <w14:textFill>
                  <w14:solidFill>
                    <w14:schemeClr w14:val="tx1"/>
                  </w14:solidFill>
                </w14:textFill>
              </w:rPr>
            </w:pPr>
          </w:p>
        </w:tc>
        <w:tc>
          <w:tcPr>
            <w:tcW w:w="636" w:type="dxa"/>
            <w:vMerge w:val="continue"/>
            <w:tcBorders>
              <w:top w:val="nil"/>
              <w:left w:val="single" w:color="auto" w:sz="4" w:space="0"/>
              <w:bottom w:val="single" w:color="auto" w:sz="4" w:space="0"/>
              <w:right w:val="single" w:color="auto" w:sz="4" w:space="0"/>
            </w:tcBorders>
            <w:vAlign w:val="center"/>
          </w:tcPr>
          <w:p w14:paraId="78AD3FD2">
            <w:pPr>
              <w:pStyle w:val="109"/>
              <w:rPr>
                <w:color w:val="000000" w:themeColor="text1"/>
                <w14:textFill>
                  <w14:solidFill>
                    <w14:schemeClr w14:val="tx1"/>
                  </w14:solidFill>
                </w14:textFill>
              </w:rPr>
            </w:pPr>
          </w:p>
        </w:tc>
        <w:tc>
          <w:tcPr>
            <w:tcW w:w="666" w:type="dxa"/>
            <w:vMerge w:val="continue"/>
            <w:tcBorders>
              <w:top w:val="nil"/>
              <w:left w:val="single" w:color="auto" w:sz="4" w:space="0"/>
              <w:bottom w:val="single" w:color="auto" w:sz="4" w:space="0"/>
              <w:right w:val="single" w:color="auto" w:sz="4" w:space="0"/>
            </w:tcBorders>
            <w:vAlign w:val="center"/>
          </w:tcPr>
          <w:p w14:paraId="29765ABF">
            <w:pPr>
              <w:pStyle w:val="109"/>
              <w:rPr>
                <w:color w:val="000000" w:themeColor="text1"/>
                <w14:textFill>
                  <w14:solidFill>
                    <w14:schemeClr w14:val="tx1"/>
                  </w14:solidFill>
                </w14:textFill>
              </w:rPr>
            </w:pPr>
          </w:p>
        </w:tc>
        <w:tc>
          <w:tcPr>
            <w:tcW w:w="951" w:type="dxa"/>
            <w:vMerge w:val="continue"/>
            <w:tcBorders>
              <w:top w:val="nil"/>
              <w:left w:val="single" w:color="auto" w:sz="4" w:space="0"/>
              <w:bottom w:val="single" w:color="auto" w:sz="4" w:space="0"/>
              <w:right w:val="single" w:color="auto" w:sz="4" w:space="0"/>
            </w:tcBorders>
            <w:vAlign w:val="center"/>
          </w:tcPr>
          <w:p w14:paraId="3C841ABE">
            <w:pPr>
              <w:pStyle w:val="109"/>
              <w:rPr>
                <w:rFonts w:eastAsia="等线"/>
                <w:color w:val="000000" w:themeColor="text1"/>
                <w14:textFill>
                  <w14:solidFill>
                    <w14:schemeClr w14:val="tx1"/>
                  </w14:solidFill>
                </w14:textFill>
              </w:rPr>
            </w:pPr>
          </w:p>
        </w:tc>
        <w:tc>
          <w:tcPr>
            <w:tcW w:w="636" w:type="dxa"/>
            <w:gridSpan w:val="2"/>
            <w:vMerge w:val="continue"/>
            <w:tcBorders>
              <w:top w:val="nil"/>
              <w:left w:val="single" w:color="auto" w:sz="4" w:space="0"/>
              <w:bottom w:val="single" w:color="auto" w:sz="4" w:space="0"/>
              <w:right w:val="single" w:color="auto" w:sz="4" w:space="0"/>
            </w:tcBorders>
            <w:vAlign w:val="center"/>
          </w:tcPr>
          <w:p w14:paraId="3302BE32">
            <w:pPr>
              <w:pStyle w:val="109"/>
              <w:rPr>
                <w:rFonts w:eastAsia="等线"/>
                <w:color w:val="000000" w:themeColor="text1"/>
                <w14:textFill>
                  <w14:solidFill>
                    <w14:schemeClr w14:val="tx1"/>
                  </w14:solidFill>
                </w14:textFill>
              </w:rPr>
            </w:pPr>
          </w:p>
        </w:tc>
        <w:tc>
          <w:tcPr>
            <w:tcW w:w="1488" w:type="dxa"/>
            <w:gridSpan w:val="2"/>
            <w:tcBorders>
              <w:top w:val="nil"/>
              <w:left w:val="nil"/>
              <w:bottom w:val="single" w:color="auto" w:sz="4" w:space="0"/>
              <w:right w:val="single" w:color="auto" w:sz="4" w:space="0"/>
            </w:tcBorders>
            <w:vAlign w:val="center"/>
          </w:tcPr>
          <w:p w14:paraId="0B474F7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NH</w:t>
            </w:r>
            <w:r>
              <w:rPr>
                <w:rFonts w:eastAsia="等线"/>
                <w:color w:val="000000" w:themeColor="text1"/>
                <w:vertAlign w:val="subscript"/>
                <w14:textFill>
                  <w14:solidFill>
                    <w14:schemeClr w14:val="tx1"/>
                  </w14:solidFill>
                </w14:textFill>
              </w:rPr>
              <w:t>3</w:t>
            </w:r>
            <w:r>
              <w:rPr>
                <w:rFonts w:eastAsia="等线"/>
                <w:color w:val="000000" w:themeColor="text1"/>
                <w14:textFill>
                  <w14:solidFill>
                    <w14:schemeClr w14:val="tx1"/>
                  </w14:solidFill>
                </w14:textFill>
              </w:rPr>
              <w:t>-N</w:t>
            </w:r>
          </w:p>
        </w:tc>
        <w:tc>
          <w:tcPr>
            <w:tcW w:w="1418" w:type="dxa"/>
            <w:vMerge w:val="continue"/>
            <w:tcBorders>
              <w:top w:val="nil"/>
              <w:left w:val="single" w:color="auto" w:sz="4" w:space="0"/>
              <w:bottom w:val="single" w:color="auto" w:sz="4" w:space="0"/>
              <w:right w:val="single" w:color="auto" w:sz="4" w:space="0"/>
            </w:tcBorders>
            <w:vAlign w:val="center"/>
          </w:tcPr>
          <w:p w14:paraId="49C07720">
            <w:pPr>
              <w:pStyle w:val="109"/>
              <w:rPr>
                <w:color w:val="000000" w:themeColor="text1"/>
                <w14:textFill>
                  <w14:solidFill>
                    <w14:schemeClr w14:val="tx1"/>
                  </w14:solidFill>
                </w14:textFill>
              </w:rPr>
            </w:pPr>
          </w:p>
        </w:tc>
        <w:tc>
          <w:tcPr>
            <w:tcW w:w="1131" w:type="dxa"/>
            <w:vMerge w:val="continue"/>
            <w:tcBorders>
              <w:top w:val="nil"/>
              <w:left w:val="single" w:color="auto" w:sz="4" w:space="0"/>
              <w:bottom w:val="single" w:color="auto" w:sz="4" w:space="0"/>
              <w:right w:val="single" w:color="auto" w:sz="4" w:space="0"/>
            </w:tcBorders>
            <w:vAlign w:val="center"/>
          </w:tcPr>
          <w:p w14:paraId="77A6D9DE">
            <w:pPr>
              <w:pStyle w:val="109"/>
              <w:rPr>
                <w:rFonts w:eastAsia="等线"/>
                <w:color w:val="000000" w:themeColor="text1"/>
                <w14:textFill>
                  <w14:solidFill>
                    <w14:schemeClr w14:val="tx1"/>
                  </w14:solidFill>
                </w14:textFill>
              </w:rPr>
            </w:pPr>
          </w:p>
        </w:tc>
        <w:tc>
          <w:tcPr>
            <w:tcW w:w="755" w:type="dxa"/>
            <w:vMerge w:val="continue"/>
            <w:tcBorders>
              <w:top w:val="nil"/>
              <w:left w:val="single" w:color="auto" w:sz="4" w:space="0"/>
              <w:bottom w:val="single" w:color="auto" w:sz="4" w:space="0"/>
              <w:right w:val="single" w:color="auto" w:sz="4" w:space="0"/>
            </w:tcBorders>
            <w:vAlign w:val="center"/>
          </w:tcPr>
          <w:p w14:paraId="57011248">
            <w:pPr>
              <w:pStyle w:val="109"/>
              <w:rPr>
                <w:rFonts w:eastAsia="等线"/>
                <w:color w:val="000000" w:themeColor="text1"/>
                <w14:textFill>
                  <w14:solidFill>
                    <w14:schemeClr w14:val="tx1"/>
                  </w14:solidFill>
                </w14:textFill>
              </w:rPr>
            </w:pPr>
          </w:p>
        </w:tc>
        <w:tc>
          <w:tcPr>
            <w:tcW w:w="864" w:type="dxa"/>
            <w:tcBorders>
              <w:top w:val="nil"/>
              <w:left w:val="nil"/>
              <w:bottom w:val="single" w:color="auto" w:sz="4" w:space="0"/>
              <w:right w:val="single" w:color="auto" w:sz="4" w:space="0"/>
            </w:tcBorders>
            <w:vAlign w:val="center"/>
          </w:tcPr>
          <w:p w14:paraId="5F273F1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7FABC3D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35</w:t>
            </w:r>
          </w:p>
        </w:tc>
        <w:tc>
          <w:tcPr>
            <w:tcW w:w="1134" w:type="dxa"/>
            <w:tcBorders>
              <w:top w:val="nil"/>
              <w:left w:val="nil"/>
              <w:bottom w:val="single" w:color="auto" w:sz="4" w:space="0"/>
              <w:right w:val="single" w:color="auto" w:sz="4" w:space="0"/>
            </w:tcBorders>
            <w:vAlign w:val="center"/>
          </w:tcPr>
          <w:p w14:paraId="7B843C2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1B04C7E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0.01386</w:t>
            </w:r>
          </w:p>
        </w:tc>
        <w:tc>
          <w:tcPr>
            <w:tcW w:w="1842" w:type="dxa"/>
            <w:vMerge w:val="continue"/>
            <w:tcBorders>
              <w:top w:val="nil"/>
              <w:left w:val="single" w:color="auto" w:sz="4" w:space="0"/>
              <w:bottom w:val="single" w:color="auto" w:sz="4" w:space="0"/>
              <w:right w:val="single" w:color="auto" w:sz="4" w:space="0"/>
            </w:tcBorders>
            <w:vAlign w:val="center"/>
          </w:tcPr>
          <w:p w14:paraId="217524F6">
            <w:pPr>
              <w:pStyle w:val="109"/>
              <w:rPr>
                <w:color w:val="000000" w:themeColor="text1"/>
                <w14:textFill>
                  <w14:solidFill>
                    <w14:schemeClr w14:val="tx1"/>
                  </w14:solidFill>
                </w14:textFill>
              </w:rPr>
            </w:pPr>
          </w:p>
        </w:tc>
      </w:tr>
      <w:tr w14:paraId="2B3E214D">
        <w:tblPrEx>
          <w:tblCellMar>
            <w:top w:w="0" w:type="dxa"/>
            <w:left w:w="108" w:type="dxa"/>
            <w:bottom w:w="0" w:type="dxa"/>
            <w:right w:w="108" w:type="dxa"/>
          </w:tblCellMar>
        </w:tblPrEx>
        <w:trPr>
          <w:trHeight w:val="2892" w:hRule="atLeast"/>
        </w:trPr>
        <w:tc>
          <w:tcPr>
            <w:tcW w:w="961" w:type="dxa"/>
            <w:vMerge w:val="restart"/>
            <w:tcBorders>
              <w:top w:val="nil"/>
              <w:left w:val="single" w:color="auto" w:sz="4" w:space="0"/>
              <w:bottom w:val="single" w:color="auto" w:sz="4" w:space="0"/>
              <w:right w:val="single" w:color="auto" w:sz="4" w:space="0"/>
            </w:tcBorders>
            <w:vAlign w:val="center"/>
          </w:tcPr>
          <w:p w14:paraId="758E937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636" w:type="dxa"/>
            <w:tcBorders>
              <w:top w:val="nil"/>
              <w:left w:val="nil"/>
              <w:bottom w:val="single" w:color="auto" w:sz="4" w:space="0"/>
              <w:right w:val="single" w:color="auto" w:sz="4" w:space="0"/>
            </w:tcBorders>
            <w:vAlign w:val="center"/>
          </w:tcPr>
          <w:p w14:paraId="79BBCE5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废气处理工序</w:t>
            </w:r>
          </w:p>
        </w:tc>
        <w:tc>
          <w:tcPr>
            <w:tcW w:w="666" w:type="dxa"/>
            <w:tcBorders>
              <w:top w:val="nil"/>
              <w:left w:val="nil"/>
              <w:bottom w:val="single" w:color="auto" w:sz="4" w:space="0"/>
              <w:right w:val="single" w:color="auto" w:sz="4" w:space="0"/>
            </w:tcBorders>
            <w:vAlign w:val="center"/>
          </w:tcPr>
          <w:p w14:paraId="34E89E2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951" w:type="dxa"/>
            <w:tcBorders>
              <w:top w:val="nil"/>
              <w:left w:val="nil"/>
              <w:bottom w:val="single" w:color="auto" w:sz="4" w:space="0"/>
              <w:right w:val="single" w:color="auto" w:sz="4" w:space="0"/>
            </w:tcBorders>
            <w:vAlign w:val="center"/>
          </w:tcPr>
          <w:p w14:paraId="5B07117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636" w:type="dxa"/>
            <w:gridSpan w:val="2"/>
            <w:tcBorders>
              <w:top w:val="nil"/>
              <w:left w:val="nil"/>
              <w:bottom w:val="single" w:color="auto" w:sz="4" w:space="0"/>
              <w:right w:val="single" w:color="auto" w:sz="4" w:space="0"/>
            </w:tcBorders>
            <w:vAlign w:val="center"/>
          </w:tcPr>
          <w:p w14:paraId="39359B8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589D7F8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废活性炭</w:t>
            </w:r>
          </w:p>
        </w:tc>
        <w:tc>
          <w:tcPr>
            <w:tcW w:w="1418" w:type="dxa"/>
            <w:vMerge w:val="restart"/>
            <w:tcBorders>
              <w:top w:val="nil"/>
              <w:left w:val="single" w:color="auto" w:sz="4" w:space="0"/>
              <w:bottom w:val="single" w:color="auto" w:sz="4" w:space="0"/>
              <w:right w:val="single" w:color="auto" w:sz="4" w:space="0"/>
            </w:tcBorders>
            <w:vAlign w:val="center"/>
          </w:tcPr>
          <w:p w14:paraId="2D337D26">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资质经收集在厂区危废间暂存后，委托有相关资质的危废处置单位进行收集处置单位处置</w:t>
            </w:r>
          </w:p>
        </w:tc>
        <w:tc>
          <w:tcPr>
            <w:tcW w:w="1131" w:type="dxa"/>
            <w:tcBorders>
              <w:top w:val="nil"/>
              <w:left w:val="nil"/>
              <w:bottom w:val="single" w:color="auto" w:sz="4" w:space="0"/>
              <w:right w:val="single" w:color="auto" w:sz="4" w:space="0"/>
            </w:tcBorders>
            <w:vAlign w:val="center"/>
          </w:tcPr>
          <w:p w14:paraId="2B54D95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7123DEA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0822E33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3D73E11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218F11F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08B0E5B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w:t>
            </w:r>
          </w:p>
        </w:tc>
        <w:tc>
          <w:tcPr>
            <w:tcW w:w="1842" w:type="dxa"/>
            <w:vMerge w:val="restart"/>
            <w:tcBorders>
              <w:top w:val="nil"/>
              <w:left w:val="single" w:color="auto" w:sz="4" w:space="0"/>
              <w:bottom w:val="single" w:color="auto" w:sz="4" w:space="0"/>
              <w:right w:val="single" w:color="auto" w:sz="4" w:space="0"/>
            </w:tcBorders>
            <w:vAlign w:val="center"/>
          </w:tcPr>
          <w:p w14:paraId="05691458">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《危险废物贮存污染控制标准》 （GB18597-2023）</w:t>
            </w:r>
          </w:p>
        </w:tc>
      </w:tr>
      <w:tr w14:paraId="45DB54B7">
        <w:tblPrEx>
          <w:tblCellMar>
            <w:top w:w="0" w:type="dxa"/>
            <w:left w:w="108" w:type="dxa"/>
            <w:bottom w:w="0" w:type="dxa"/>
            <w:right w:w="108" w:type="dxa"/>
          </w:tblCellMar>
        </w:tblPrEx>
        <w:trPr>
          <w:trHeight w:val="576" w:hRule="atLeast"/>
        </w:trPr>
        <w:tc>
          <w:tcPr>
            <w:tcW w:w="961" w:type="dxa"/>
            <w:vMerge w:val="continue"/>
            <w:tcBorders>
              <w:top w:val="nil"/>
              <w:left w:val="single" w:color="auto" w:sz="4" w:space="0"/>
              <w:bottom w:val="single" w:color="auto" w:sz="4" w:space="0"/>
              <w:right w:val="single" w:color="auto" w:sz="4" w:space="0"/>
            </w:tcBorders>
            <w:vAlign w:val="center"/>
          </w:tcPr>
          <w:p w14:paraId="09905CB2">
            <w:pPr>
              <w:pStyle w:val="109"/>
              <w:rPr>
                <w:color w:val="000000" w:themeColor="text1"/>
                <w14:textFill>
                  <w14:solidFill>
                    <w14:schemeClr w14:val="tx1"/>
                  </w14:solidFill>
                </w14:textFill>
              </w:rPr>
            </w:pPr>
          </w:p>
        </w:tc>
        <w:tc>
          <w:tcPr>
            <w:tcW w:w="636" w:type="dxa"/>
            <w:tcBorders>
              <w:top w:val="nil"/>
              <w:left w:val="nil"/>
              <w:bottom w:val="single" w:color="auto" w:sz="4" w:space="0"/>
              <w:right w:val="single" w:color="auto" w:sz="4" w:space="0"/>
            </w:tcBorders>
            <w:vAlign w:val="center"/>
          </w:tcPr>
          <w:p w14:paraId="0240C45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多效蒸发工序</w:t>
            </w:r>
          </w:p>
        </w:tc>
        <w:tc>
          <w:tcPr>
            <w:tcW w:w="666" w:type="dxa"/>
            <w:tcBorders>
              <w:top w:val="nil"/>
              <w:left w:val="nil"/>
              <w:bottom w:val="single" w:color="auto" w:sz="4" w:space="0"/>
              <w:right w:val="single" w:color="auto" w:sz="4" w:space="0"/>
            </w:tcBorders>
            <w:vAlign w:val="center"/>
          </w:tcPr>
          <w:p w14:paraId="09B9603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951" w:type="dxa"/>
            <w:tcBorders>
              <w:top w:val="nil"/>
              <w:left w:val="nil"/>
              <w:bottom w:val="single" w:color="auto" w:sz="4" w:space="0"/>
              <w:right w:val="single" w:color="auto" w:sz="4" w:space="0"/>
            </w:tcBorders>
            <w:vAlign w:val="center"/>
          </w:tcPr>
          <w:p w14:paraId="27AC648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636" w:type="dxa"/>
            <w:gridSpan w:val="2"/>
            <w:tcBorders>
              <w:top w:val="nil"/>
              <w:left w:val="nil"/>
              <w:bottom w:val="single" w:color="auto" w:sz="4" w:space="0"/>
              <w:right w:val="single" w:color="auto" w:sz="4" w:space="0"/>
            </w:tcBorders>
            <w:vAlign w:val="center"/>
          </w:tcPr>
          <w:p w14:paraId="1B98DA3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51F8120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多效蒸发废盐</w:t>
            </w:r>
          </w:p>
        </w:tc>
        <w:tc>
          <w:tcPr>
            <w:tcW w:w="1418" w:type="dxa"/>
            <w:vMerge w:val="continue"/>
            <w:tcBorders>
              <w:top w:val="nil"/>
              <w:left w:val="single" w:color="auto" w:sz="4" w:space="0"/>
              <w:bottom w:val="single" w:color="auto" w:sz="4" w:space="0"/>
              <w:right w:val="single" w:color="auto" w:sz="4" w:space="0"/>
            </w:tcBorders>
            <w:vAlign w:val="center"/>
          </w:tcPr>
          <w:p w14:paraId="34D8BF3F">
            <w:pPr>
              <w:pStyle w:val="109"/>
              <w:rPr>
                <w:color w:val="000000" w:themeColor="text1"/>
                <w14:textFill>
                  <w14:solidFill>
                    <w14:schemeClr w14:val="tx1"/>
                  </w14:solidFill>
                </w14:textFill>
              </w:rPr>
            </w:pPr>
          </w:p>
        </w:tc>
        <w:tc>
          <w:tcPr>
            <w:tcW w:w="1131" w:type="dxa"/>
            <w:tcBorders>
              <w:top w:val="nil"/>
              <w:left w:val="nil"/>
              <w:bottom w:val="single" w:color="auto" w:sz="4" w:space="0"/>
              <w:right w:val="single" w:color="auto" w:sz="4" w:space="0"/>
            </w:tcBorders>
            <w:vAlign w:val="center"/>
          </w:tcPr>
          <w:p w14:paraId="7A2D991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42580DC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4716860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4621A85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144408F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1118D32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1286.5</w:t>
            </w:r>
          </w:p>
        </w:tc>
        <w:tc>
          <w:tcPr>
            <w:tcW w:w="1842" w:type="dxa"/>
            <w:vMerge w:val="continue"/>
            <w:tcBorders>
              <w:top w:val="nil"/>
              <w:left w:val="single" w:color="auto" w:sz="4" w:space="0"/>
              <w:bottom w:val="single" w:color="auto" w:sz="4" w:space="0"/>
              <w:right w:val="single" w:color="auto" w:sz="4" w:space="0"/>
            </w:tcBorders>
            <w:vAlign w:val="center"/>
          </w:tcPr>
          <w:p w14:paraId="00688C4F">
            <w:pPr>
              <w:pStyle w:val="109"/>
              <w:rPr>
                <w:color w:val="000000" w:themeColor="text1"/>
                <w14:textFill>
                  <w14:solidFill>
                    <w14:schemeClr w14:val="tx1"/>
                  </w14:solidFill>
                </w14:textFill>
              </w:rPr>
            </w:pPr>
          </w:p>
        </w:tc>
      </w:tr>
      <w:tr w14:paraId="6EC1C74E">
        <w:tblPrEx>
          <w:tblCellMar>
            <w:top w:w="0" w:type="dxa"/>
            <w:left w:w="108" w:type="dxa"/>
            <w:bottom w:w="0" w:type="dxa"/>
            <w:right w:w="108" w:type="dxa"/>
          </w:tblCellMar>
        </w:tblPrEx>
        <w:trPr>
          <w:trHeight w:val="864" w:hRule="atLeast"/>
        </w:trPr>
        <w:tc>
          <w:tcPr>
            <w:tcW w:w="961" w:type="dxa"/>
            <w:vMerge w:val="continue"/>
            <w:tcBorders>
              <w:top w:val="nil"/>
              <w:left w:val="single" w:color="auto" w:sz="4" w:space="0"/>
              <w:bottom w:val="single" w:color="auto" w:sz="4" w:space="0"/>
              <w:right w:val="single" w:color="auto" w:sz="4" w:space="0"/>
            </w:tcBorders>
            <w:vAlign w:val="center"/>
          </w:tcPr>
          <w:p w14:paraId="0A4DDC28">
            <w:pPr>
              <w:pStyle w:val="109"/>
              <w:rPr>
                <w:color w:val="000000" w:themeColor="text1"/>
                <w14:textFill>
                  <w14:solidFill>
                    <w14:schemeClr w14:val="tx1"/>
                  </w14:solidFill>
                </w14:textFill>
              </w:rPr>
            </w:pPr>
          </w:p>
        </w:tc>
        <w:tc>
          <w:tcPr>
            <w:tcW w:w="636" w:type="dxa"/>
            <w:tcBorders>
              <w:top w:val="nil"/>
              <w:left w:val="nil"/>
              <w:bottom w:val="single" w:color="auto" w:sz="4" w:space="0"/>
              <w:right w:val="single" w:color="auto" w:sz="4" w:space="0"/>
            </w:tcBorders>
            <w:vAlign w:val="center"/>
          </w:tcPr>
          <w:p w14:paraId="6803AD11">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废气处理工序</w:t>
            </w:r>
          </w:p>
        </w:tc>
        <w:tc>
          <w:tcPr>
            <w:tcW w:w="666" w:type="dxa"/>
            <w:tcBorders>
              <w:top w:val="nil"/>
              <w:left w:val="nil"/>
              <w:bottom w:val="single" w:color="auto" w:sz="4" w:space="0"/>
              <w:right w:val="single" w:color="auto" w:sz="4" w:space="0"/>
            </w:tcBorders>
            <w:vAlign w:val="center"/>
          </w:tcPr>
          <w:p w14:paraId="70134A67">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951" w:type="dxa"/>
            <w:tcBorders>
              <w:top w:val="nil"/>
              <w:left w:val="nil"/>
              <w:bottom w:val="single" w:color="auto" w:sz="4" w:space="0"/>
              <w:right w:val="single" w:color="auto" w:sz="4" w:space="0"/>
            </w:tcBorders>
            <w:vAlign w:val="center"/>
          </w:tcPr>
          <w:p w14:paraId="2F1A3A7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636" w:type="dxa"/>
            <w:gridSpan w:val="2"/>
            <w:tcBorders>
              <w:top w:val="nil"/>
              <w:left w:val="nil"/>
              <w:bottom w:val="single" w:color="auto" w:sz="4" w:space="0"/>
              <w:right w:val="single" w:color="auto" w:sz="4" w:space="0"/>
            </w:tcBorders>
            <w:vAlign w:val="center"/>
          </w:tcPr>
          <w:p w14:paraId="1C41DA8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2569F53E">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废气处理设施沉淀池泥渣</w:t>
            </w:r>
          </w:p>
        </w:tc>
        <w:tc>
          <w:tcPr>
            <w:tcW w:w="1418" w:type="dxa"/>
            <w:vMerge w:val="continue"/>
            <w:tcBorders>
              <w:top w:val="nil"/>
              <w:left w:val="single" w:color="auto" w:sz="4" w:space="0"/>
              <w:bottom w:val="single" w:color="auto" w:sz="4" w:space="0"/>
              <w:right w:val="single" w:color="auto" w:sz="4" w:space="0"/>
            </w:tcBorders>
            <w:vAlign w:val="center"/>
          </w:tcPr>
          <w:p w14:paraId="6CF210D4">
            <w:pPr>
              <w:pStyle w:val="109"/>
              <w:rPr>
                <w:color w:val="000000" w:themeColor="text1"/>
                <w14:textFill>
                  <w14:solidFill>
                    <w14:schemeClr w14:val="tx1"/>
                  </w14:solidFill>
                </w14:textFill>
              </w:rPr>
            </w:pPr>
          </w:p>
        </w:tc>
        <w:tc>
          <w:tcPr>
            <w:tcW w:w="1131" w:type="dxa"/>
            <w:tcBorders>
              <w:top w:val="nil"/>
              <w:left w:val="nil"/>
              <w:bottom w:val="single" w:color="auto" w:sz="4" w:space="0"/>
              <w:right w:val="single" w:color="auto" w:sz="4" w:space="0"/>
            </w:tcBorders>
            <w:vAlign w:val="center"/>
          </w:tcPr>
          <w:p w14:paraId="1D7C95E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4F8F35D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4411C6D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7906B78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11BB3BB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56EF940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w:t>
            </w:r>
          </w:p>
        </w:tc>
        <w:tc>
          <w:tcPr>
            <w:tcW w:w="1842" w:type="dxa"/>
            <w:vMerge w:val="continue"/>
            <w:tcBorders>
              <w:top w:val="nil"/>
              <w:left w:val="single" w:color="auto" w:sz="4" w:space="0"/>
              <w:bottom w:val="single" w:color="auto" w:sz="4" w:space="0"/>
              <w:right w:val="single" w:color="auto" w:sz="4" w:space="0"/>
            </w:tcBorders>
            <w:vAlign w:val="center"/>
          </w:tcPr>
          <w:p w14:paraId="400DDC1B">
            <w:pPr>
              <w:pStyle w:val="109"/>
              <w:rPr>
                <w:color w:val="000000" w:themeColor="text1"/>
                <w14:textFill>
                  <w14:solidFill>
                    <w14:schemeClr w14:val="tx1"/>
                  </w14:solidFill>
                </w14:textFill>
              </w:rPr>
            </w:pPr>
          </w:p>
        </w:tc>
      </w:tr>
      <w:tr w14:paraId="5042C665">
        <w:tblPrEx>
          <w:tblCellMar>
            <w:top w:w="0" w:type="dxa"/>
            <w:left w:w="108" w:type="dxa"/>
            <w:bottom w:w="0" w:type="dxa"/>
            <w:right w:w="108" w:type="dxa"/>
          </w:tblCellMar>
        </w:tblPrEx>
        <w:trPr>
          <w:trHeight w:val="576" w:hRule="atLeast"/>
        </w:trPr>
        <w:tc>
          <w:tcPr>
            <w:tcW w:w="961" w:type="dxa"/>
            <w:vMerge w:val="continue"/>
            <w:tcBorders>
              <w:top w:val="nil"/>
              <w:left w:val="single" w:color="auto" w:sz="4" w:space="0"/>
              <w:bottom w:val="single" w:color="auto" w:sz="4" w:space="0"/>
              <w:right w:val="single" w:color="auto" w:sz="4" w:space="0"/>
            </w:tcBorders>
            <w:vAlign w:val="center"/>
          </w:tcPr>
          <w:p w14:paraId="1B07F0D3">
            <w:pPr>
              <w:pStyle w:val="109"/>
              <w:rPr>
                <w:color w:val="000000" w:themeColor="text1"/>
                <w14:textFill>
                  <w14:solidFill>
                    <w14:schemeClr w14:val="tx1"/>
                  </w14:solidFill>
                </w14:textFill>
              </w:rPr>
            </w:pPr>
          </w:p>
        </w:tc>
        <w:tc>
          <w:tcPr>
            <w:tcW w:w="636" w:type="dxa"/>
            <w:tcBorders>
              <w:top w:val="nil"/>
              <w:left w:val="nil"/>
              <w:bottom w:val="single" w:color="auto" w:sz="4" w:space="0"/>
              <w:right w:val="single" w:color="auto" w:sz="4" w:space="0"/>
            </w:tcBorders>
            <w:vAlign w:val="center"/>
          </w:tcPr>
          <w:p w14:paraId="1AAEA14D">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废气处理工序</w:t>
            </w:r>
          </w:p>
        </w:tc>
        <w:tc>
          <w:tcPr>
            <w:tcW w:w="666" w:type="dxa"/>
            <w:tcBorders>
              <w:top w:val="nil"/>
              <w:left w:val="nil"/>
              <w:bottom w:val="single" w:color="auto" w:sz="4" w:space="0"/>
              <w:right w:val="single" w:color="auto" w:sz="4" w:space="0"/>
            </w:tcBorders>
            <w:vAlign w:val="center"/>
          </w:tcPr>
          <w:p w14:paraId="386EC7D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951" w:type="dxa"/>
            <w:tcBorders>
              <w:top w:val="nil"/>
              <w:left w:val="nil"/>
              <w:bottom w:val="single" w:color="auto" w:sz="4" w:space="0"/>
              <w:right w:val="single" w:color="auto" w:sz="4" w:space="0"/>
            </w:tcBorders>
            <w:vAlign w:val="center"/>
          </w:tcPr>
          <w:p w14:paraId="0CF6284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636" w:type="dxa"/>
            <w:gridSpan w:val="2"/>
            <w:tcBorders>
              <w:top w:val="nil"/>
              <w:left w:val="nil"/>
              <w:bottom w:val="single" w:color="auto" w:sz="4" w:space="0"/>
              <w:right w:val="single" w:color="auto" w:sz="4" w:space="0"/>
            </w:tcBorders>
            <w:vAlign w:val="center"/>
          </w:tcPr>
          <w:p w14:paraId="5A74E29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5125CC2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废脱硝催化剂</w:t>
            </w:r>
          </w:p>
        </w:tc>
        <w:tc>
          <w:tcPr>
            <w:tcW w:w="1418" w:type="dxa"/>
            <w:vMerge w:val="continue"/>
            <w:tcBorders>
              <w:top w:val="nil"/>
              <w:left w:val="single" w:color="auto" w:sz="4" w:space="0"/>
              <w:bottom w:val="single" w:color="auto" w:sz="4" w:space="0"/>
              <w:right w:val="single" w:color="auto" w:sz="4" w:space="0"/>
            </w:tcBorders>
            <w:vAlign w:val="center"/>
          </w:tcPr>
          <w:p w14:paraId="321562A3">
            <w:pPr>
              <w:pStyle w:val="109"/>
              <w:rPr>
                <w:color w:val="000000" w:themeColor="text1"/>
                <w14:textFill>
                  <w14:solidFill>
                    <w14:schemeClr w14:val="tx1"/>
                  </w14:solidFill>
                </w14:textFill>
              </w:rPr>
            </w:pPr>
          </w:p>
        </w:tc>
        <w:tc>
          <w:tcPr>
            <w:tcW w:w="1131" w:type="dxa"/>
            <w:tcBorders>
              <w:top w:val="nil"/>
              <w:left w:val="nil"/>
              <w:bottom w:val="single" w:color="auto" w:sz="4" w:space="0"/>
              <w:right w:val="single" w:color="auto" w:sz="4" w:space="0"/>
            </w:tcBorders>
            <w:vAlign w:val="center"/>
          </w:tcPr>
          <w:p w14:paraId="7975CDB8">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3762092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4704DF1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20EEBC9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01C49FE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6F38291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0.75t/3a</w:t>
            </w:r>
          </w:p>
        </w:tc>
        <w:tc>
          <w:tcPr>
            <w:tcW w:w="1842" w:type="dxa"/>
            <w:vMerge w:val="continue"/>
            <w:tcBorders>
              <w:top w:val="nil"/>
              <w:left w:val="single" w:color="auto" w:sz="4" w:space="0"/>
              <w:bottom w:val="single" w:color="auto" w:sz="4" w:space="0"/>
              <w:right w:val="single" w:color="auto" w:sz="4" w:space="0"/>
            </w:tcBorders>
            <w:vAlign w:val="center"/>
          </w:tcPr>
          <w:p w14:paraId="588DBAC4">
            <w:pPr>
              <w:pStyle w:val="109"/>
              <w:rPr>
                <w:color w:val="000000" w:themeColor="text1"/>
                <w14:textFill>
                  <w14:solidFill>
                    <w14:schemeClr w14:val="tx1"/>
                  </w14:solidFill>
                </w14:textFill>
              </w:rPr>
            </w:pPr>
          </w:p>
        </w:tc>
      </w:tr>
      <w:tr w14:paraId="6E219E09">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2CC1FEB0">
            <w:pPr>
              <w:pStyle w:val="109"/>
              <w:rPr>
                <w:color w:val="000000" w:themeColor="text1"/>
                <w14:textFill>
                  <w14:solidFill>
                    <w14:schemeClr w14:val="tx1"/>
                  </w14:solidFill>
                </w14:textFill>
              </w:rPr>
            </w:pPr>
          </w:p>
        </w:tc>
        <w:tc>
          <w:tcPr>
            <w:tcW w:w="636" w:type="dxa"/>
            <w:tcBorders>
              <w:top w:val="nil"/>
              <w:left w:val="nil"/>
              <w:bottom w:val="single" w:color="auto" w:sz="4" w:space="0"/>
              <w:right w:val="single" w:color="auto" w:sz="4" w:space="0"/>
            </w:tcBorders>
            <w:vAlign w:val="center"/>
          </w:tcPr>
          <w:p w14:paraId="2954724B">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生产投料</w:t>
            </w:r>
          </w:p>
        </w:tc>
        <w:tc>
          <w:tcPr>
            <w:tcW w:w="666" w:type="dxa"/>
            <w:tcBorders>
              <w:top w:val="nil"/>
              <w:left w:val="nil"/>
              <w:bottom w:val="single" w:color="auto" w:sz="4" w:space="0"/>
              <w:right w:val="single" w:color="auto" w:sz="4" w:space="0"/>
            </w:tcBorders>
            <w:vAlign w:val="center"/>
          </w:tcPr>
          <w:p w14:paraId="27B15E3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951" w:type="dxa"/>
            <w:tcBorders>
              <w:top w:val="nil"/>
              <w:left w:val="nil"/>
              <w:bottom w:val="single" w:color="auto" w:sz="4" w:space="0"/>
              <w:right w:val="single" w:color="auto" w:sz="4" w:space="0"/>
            </w:tcBorders>
            <w:vAlign w:val="center"/>
          </w:tcPr>
          <w:p w14:paraId="5A7956C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636" w:type="dxa"/>
            <w:gridSpan w:val="2"/>
            <w:tcBorders>
              <w:top w:val="nil"/>
              <w:left w:val="nil"/>
              <w:bottom w:val="single" w:color="auto" w:sz="4" w:space="0"/>
              <w:right w:val="single" w:color="auto" w:sz="4" w:space="0"/>
            </w:tcBorders>
            <w:vAlign w:val="center"/>
          </w:tcPr>
          <w:p w14:paraId="7C03CDF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390242B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废包装袋</w:t>
            </w:r>
          </w:p>
        </w:tc>
        <w:tc>
          <w:tcPr>
            <w:tcW w:w="1418" w:type="dxa"/>
            <w:vMerge w:val="continue"/>
            <w:tcBorders>
              <w:top w:val="nil"/>
              <w:left w:val="single" w:color="auto" w:sz="4" w:space="0"/>
              <w:bottom w:val="single" w:color="auto" w:sz="4" w:space="0"/>
              <w:right w:val="single" w:color="auto" w:sz="4" w:space="0"/>
            </w:tcBorders>
            <w:vAlign w:val="center"/>
          </w:tcPr>
          <w:p w14:paraId="26C75927">
            <w:pPr>
              <w:pStyle w:val="109"/>
              <w:rPr>
                <w:color w:val="000000" w:themeColor="text1"/>
                <w14:textFill>
                  <w14:solidFill>
                    <w14:schemeClr w14:val="tx1"/>
                  </w14:solidFill>
                </w14:textFill>
              </w:rPr>
            </w:pPr>
          </w:p>
        </w:tc>
        <w:tc>
          <w:tcPr>
            <w:tcW w:w="1131" w:type="dxa"/>
            <w:tcBorders>
              <w:top w:val="nil"/>
              <w:left w:val="nil"/>
              <w:bottom w:val="single" w:color="auto" w:sz="4" w:space="0"/>
              <w:right w:val="single" w:color="auto" w:sz="4" w:space="0"/>
            </w:tcBorders>
            <w:vAlign w:val="center"/>
          </w:tcPr>
          <w:p w14:paraId="48B3F6B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3B0DE57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1F28C52C">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7A20F2A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5D09464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47D9334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150</w:t>
            </w:r>
          </w:p>
        </w:tc>
        <w:tc>
          <w:tcPr>
            <w:tcW w:w="1842" w:type="dxa"/>
            <w:vMerge w:val="continue"/>
            <w:tcBorders>
              <w:top w:val="nil"/>
              <w:left w:val="single" w:color="auto" w:sz="4" w:space="0"/>
              <w:bottom w:val="single" w:color="auto" w:sz="4" w:space="0"/>
              <w:right w:val="single" w:color="auto" w:sz="4" w:space="0"/>
            </w:tcBorders>
            <w:vAlign w:val="center"/>
          </w:tcPr>
          <w:p w14:paraId="729235AA">
            <w:pPr>
              <w:pStyle w:val="109"/>
              <w:rPr>
                <w:color w:val="000000" w:themeColor="text1"/>
                <w14:textFill>
                  <w14:solidFill>
                    <w14:schemeClr w14:val="tx1"/>
                  </w14:solidFill>
                </w14:textFill>
              </w:rPr>
            </w:pPr>
          </w:p>
        </w:tc>
      </w:tr>
      <w:tr w14:paraId="018A4F3E">
        <w:tblPrEx>
          <w:tblCellMar>
            <w:top w:w="0" w:type="dxa"/>
            <w:left w:w="108" w:type="dxa"/>
            <w:bottom w:w="0" w:type="dxa"/>
            <w:right w:w="108" w:type="dxa"/>
          </w:tblCellMar>
        </w:tblPrEx>
        <w:trPr>
          <w:trHeight w:val="576" w:hRule="atLeast"/>
        </w:trPr>
        <w:tc>
          <w:tcPr>
            <w:tcW w:w="961" w:type="dxa"/>
            <w:vMerge w:val="continue"/>
            <w:tcBorders>
              <w:top w:val="nil"/>
              <w:left w:val="single" w:color="auto" w:sz="4" w:space="0"/>
              <w:bottom w:val="single" w:color="auto" w:sz="4" w:space="0"/>
              <w:right w:val="single" w:color="auto" w:sz="4" w:space="0"/>
            </w:tcBorders>
            <w:vAlign w:val="center"/>
          </w:tcPr>
          <w:p w14:paraId="1AB8B309">
            <w:pPr>
              <w:pStyle w:val="109"/>
              <w:rPr>
                <w:color w:val="000000" w:themeColor="text1"/>
                <w14:textFill>
                  <w14:solidFill>
                    <w14:schemeClr w14:val="tx1"/>
                  </w14:solidFill>
                </w14:textFill>
              </w:rPr>
            </w:pPr>
          </w:p>
        </w:tc>
        <w:tc>
          <w:tcPr>
            <w:tcW w:w="636" w:type="dxa"/>
            <w:tcBorders>
              <w:top w:val="nil"/>
              <w:left w:val="nil"/>
              <w:bottom w:val="single" w:color="auto" w:sz="4" w:space="0"/>
              <w:right w:val="single" w:color="auto" w:sz="4" w:space="0"/>
            </w:tcBorders>
            <w:vAlign w:val="center"/>
          </w:tcPr>
          <w:p w14:paraId="3AB92C2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化验室</w:t>
            </w:r>
          </w:p>
        </w:tc>
        <w:tc>
          <w:tcPr>
            <w:tcW w:w="666" w:type="dxa"/>
            <w:tcBorders>
              <w:top w:val="nil"/>
              <w:left w:val="nil"/>
              <w:bottom w:val="single" w:color="auto" w:sz="4" w:space="0"/>
              <w:right w:val="single" w:color="auto" w:sz="4" w:space="0"/>
            </w:tcBorders>
            <w:vAlign w:val="center"/>
          </w:tcPr>
          <w:p w14:paraId="6CE06DE5">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951" w:type="dxa"/>
            <w:tcBorders>
              <w:top w:val="nil"/>
              <w:left w:val="nil"/>
              <w:bottom w:val="single" w:color="auto" w:sz="4" w:space="0"/>
              <w:right w:val="single" w:color="auto" w:sz="4" w:space="0"/>
            </w:tcBorders>
            <w:vAlign w:val="center"/>
          </w:tcPr>
          <w:p w14:paraId="78E4E93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636" w:type="dxa"/>
            <w:gridSpan w:val="2"/>
            <w:tcBorders>
              <w:top w:val="nil"/>
              <w:left w:val="nil"/>
              <w:bottom w:val="single" w:color="auto" w:sz="4" w:space="0"/>
              <w:right w:val="single" w:color="auto" w:sz="4" w:space="0"/>
            </w:tcBorders>
            <w:vAlign w:val="center"/>
          </w:tcPr>
          <w:p w14:paraId="00D2F88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389468DF">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化验室废物</w:t>
            </w:r>
          </w:p>
        </w:tc>
        <w:tc>
          <w:tcPr>
            <w:tcW w:w="1418" w:type="dxa"/>
            <w:vMerge w:val="continue"/>
            <w:tcBorders>
              <w:top w:val="nil"/>
              <w:left w:val="single" w:color="auto" w:sz="4" w:space="0"/>
              <w:bottom w:val="single" w:color="auto" w:sz="4" w:space="0"/>
              <w:right w:val="single" w:color="auto" w:sz="4" w:space="0"/>
            </w:tcBorders>
            <w:vAlign w:val="center"/>
          </w:tcPr>
          <w:p w14:paraId="3087FE18">
            <w:pPr>
              <w:pStyle w:val="109"/>
              <w:rPr>
                <w:color w:val="000000" w:themeColor="text1"/>
                <w14:textFill>
                  <w14:solidFill>
                    <w14:schemeClr w14:val="tx1"/>
                  </w14:solidFill>
                </w14:textFill>
              </w:rPr>
            </w:pPr>
          </w:p>
        </w:tc>
        <w:tc>
          <w:tcPr>
            <w:tcW w:w="1131" w:type="dxa"/>
            <w:tcBorders>
              <w:top w:val="nil"/>
              <w:left w:val="nil"/>
              <w:bottom w:val="single" w:color="auto" w:sz="4" w:space="0"/>
              <w:right w:val="single" w:color="auto" w:sz="4" w:space="0"/>
            </w:tcBorders>
            <w:vAlign w:val="center"/>
          </w:tcPr>
          <w:p w14:paraId="6C2B9DC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6051E5C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40E95D42">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53AB95E0">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78A1979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6A41D7F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w:t>
            </w:r>
          </w:p>
        </w:tc>
        <w:tc>
          <w:tcPr>
            <w:tcW w:w="1842" w:type="dxa"/>
            <w:vMerge w:val="continue"/>
            <w:tcBorders>
              <w:top w:val="nil"/>
              <w:left w:val="single" w:color="auto" w:sz="4" w:space="0"/>
              <w:bottom w:val="single" w:color="auto" w:sz="4" w:space="0"/>
              <w:right w:val="single" w:color="auto" w:sz="4" w:space="0"/>
            </w:tcBorders>
            <w:vAlign w:val="center"/>
          </w:tcPr>
          <w:p w14:paraId="7B081E96">
            <w:pPr>
              <w:pStyle w:val="109"/>
              <w:rPr>
                <w:color w:val="000000" w:themeColor="text1"/>
                <w14:textFill>
                  <w14:solidFill>
                    <w14:schemeClr w14:val="tx1"/>
                  </w14:solidFill>
                </w14:textFill>
              </w:rPr>
            </w:pPr>
          </w:p>
        </w:tc>
      </w:tr>
      <w:tr w14:paraId="2BA1D1EB">
        <w:tblPrEx>
          <w:tblCellMar>
            <w:top w:w="0" w:type="dxa"/>
            <w:left w:w="108" w:type="dxa"/>
            <w:bottom w:w="0" w:type="dxa"/>
            <w:right w:w="108" w:type="dxa"/>
          </w:tblCellMar>
        </w:tblPrEx>
        <w:trPr>
          <w:trHeight w:val="288" w:hRule="atLeast"/>
        </w:trPr>
        <w:tc>
          <w:tcPr>
            <w:tcW w:w="961" w:type="dxa"/>
            <w:vMerge w:val="continue"/>
            <w:tcBorders>
              <w:top w:val="nil"/>
              <w:left w:val="single" w:color="auto" w:sz="4" w:space="0"/>
              <w:bottom w:val="single" w:color="auto" w:sz="4" w:space="0"/>
              <w:right w:val="single" w:color="auto" w:sz="4" w:space="0"/>
            </w:tcBorders>
            <w:vAlign w:val="center"/>
          </w:tcPr>
          <w:p w14:paraId="320E9C9F">
            <w:pPr>
              <w:pStyle w:val="109"/>
              <w:rPr>
                <w:color w:val="000000" w:themeColor="text1"/>
                <w14:textFill>
                  <w14:solidFill>
                    <w14:schemeClr w14:val="tx1"/>
                  </w14:solidFill>
                </w14:textFill>
              </w:rPr>
            </w:pPr>
          </w:p>
        </w:tc>
        <w:tc>
          <w:tcPr>
            <w:tcW w:w="636" w:type="dxa"/>
            <w:tcBorders>
              <w:top w:val="nil"/>
              <w:left w:val="nil"/>
              <w:bottom w:val="single" w:color="auto" w:sz="4" w:space="0"/>
              <w:right w:val="single" w:color="auto" w:sz="4" w:space="0"/>
            </w:tcBorders>
            <w:vAlign w:val="center"/>
          </w:tcPr>
          <w:p w14:paraId="759B41D9">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设备维护</w:t>
            </w:r>
          </w:p>
        </w:tc>
        <w:tc>
          <w:tcPr>
            <w:tcW w:w="666" w:type="dxa"/>
            <w:tcBorders>
              <w:top w:val="nil"/>
              <w:left w:val="nil"/>
              <w:bottom w:val="single" w:color="auto" w:sz="4" w:space="0"/>
              <w:right w:val="single" w:color="auto" w:sz="4" w:space="0"/>
            </w:tcBorders>
            <w:vAlign w:val="center"/>
          </w:tcPr>
          <w:p w14:paraId="603A0F1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951" w:type="dxa"/>
            <w:tcBorders>
              <w:top w:val="nil"/>
              <w:left w:val="nil"/>
              <w:bottom w:val="single" w:color="auto" w:sz="4" w:space="0"/>
              <w:right w:val="single" w:color="auto" w:sz="4" w:space="0"/>
            </w:tcBorders>
            <w:vAlign w:val="center"/>
          </w:tcPr>
          <w:p w14:paraId="2E62B5B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636" w:type="dxa"/>
            <w:gridSpan w:val="2"/>
            <w:tcBorders>
              <w:top w:val="nil"/>
              <w:left w:val="nil"/>
              <w:bottom w:val="single" w:color="auto" w:sz="4" w:space="0"/>
              <w:right w:val="single" w:color="auto" w:sz="4" w:space="0"/>
            </w:tcBorders>
            <w:vAlign w:val="center"/>
          </w:tcPr>
          <w:p w14:paraId="1BE1C95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3FF6716A">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废润滑油、废油桶</w:t>
            </w:r>
          </w:p>
        </w:tc>
        <w:tc>
          <w:tcPr>
            <w:tcW w:w="1418" w:type="dxa"/>
            <w:vMerge w:val="continue"/>
            <w:tcBorders>
              <w:top w:val="nil"/>
              <w:left w:val="single" w:color="auto" w:sz="4" w:space="0"/>
              <w:bottom w:val="single" w:color="auto" w:sz="4" w:space="0"/>
              <w:right w:val="single" w:color="auto" w:sz="4" w:space="0"/>
            </w:tcBorders>
            <w:vAlign w:val="center"/>
          </w:tcPr>
          <w:p w14:paraId="6C69C2AD">
            <w:pPr>
              <w:pStyle w:val="109"/>
              <w:rPr>
                <w:color w:val="000000" w:themeColor="text1"/>
                <w14:textFill>
                  <w14:solidFill>
                    <w14:schemeClr w14:val="tx1"/>
                  </w14:solidFill>
                </w14:textFill>
              </w:rPr>
            </w:pPr>
          </w:p>
        </w:tc>
        <w:tc>
          <w:tcPr>
            <w:tcW w:w="1131" w:type="dxa"/>
            <w:tcBorders>
              <w:top w:val="nil"/>
              <w:left w:val="nil"/>
              <w:bottom w:val="single" w:color="auto" w:sz="4" w:space="0"/>
              <w:right w:val="single" w:color="auto" w:sz="4" w:space="0"/>
            </w:tcBorders>
            <w:vAlign w:val="center"/>
          </w:tcPr>
          <w:p w14:paraId="305E5884">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2E76888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1461B02A">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02B0096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3665C5E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79670B8F">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w:t>
            </w:r>
            <w:r>
              <w:rPr>
                <w:rFonts w:hint="eastAsia" w:eastAsia="等线"/>
                <w:color w:val="000000" w:themeColor="text1"/>
                <w14:textFill>
                  <w14:solidFill>
                    <w14:schemeClr w14:val="tx1"/>
                  </w14:solidFill>
                </w14:textFill>
              </w:rPr>
              <w:t>6</w:t>
            </w:r>
          </w:p>
        </w:tc>
        <w:tc>
          <w:tcPr>
            <w:tcW w:w="1842" w:type="dxa"/>
            <w:vMerge w:val="continue"/>
            <w:tcBorders>
              <w:top w:val="nil"/>
              <w:left w:val="single" w:color="auto" w:sz="4" w:space="0"/>
              <w:bottom w:val="single" w:color="auto" w:sz="4" w:space="0"/>
              <w:right w:val="single" w:color="auto" w:sz="4" w:space="0"/>
            </w:tcBorders>
            <w:vAlign w:val="center"/>
          </w:tcPr>
          <w:p w14:paraId="01336477">
            <w:pPr>
              <w:pStyle w:val="109"/>
              <w:rPr>
                <w:color w:val="000000" w:themeColor="text1"/>
                <w14:textFill>
                  <w14:solidFill>
                    <w14:schemeClr w14:val="tx1"/>
                  </w14:solidFill>
                </w14:textFill>
              </w:rPr>
            </w:pPr>
          </w:p>
        </w:tc>
      </w:tr>
      <w:tr w14:paraId="7429FC9B">
        <w:tblPrEx>
          <w:tblCellMar>
            <w:top w:w="0" w:type="dxa"/>
            <w:left w:w="108" w:type="dxa"/>
            <w:bottom w:w="0" w:type="dxa"/>
            <w:right w:w="108" w:type="dxa"/>
          </w:tblCellMar>
        </w:tblPrEx>
        <w:trPr>
          <w:trHeight w:val="1152" w:hRule="atLeast"/>
        </w:trPr>
        <w:tc>
          <w:tcPr>
            <w:tcW w:w="961" w:type="dxa"/>
            <w:vMerge w:val="continue"/>
            <w:tcBorders>
              <w:top w:val="nil"/>
              <w:left w:val="single" w:color="auto" w:sz="4" w:space="0"/>
              <w:bottom w:val="single" w:color="auto" w:sz="4" w:space="0"/>
              <w:right w:val="single" w:color="auto" w:sz="4" w:space="0"/>
            </w:tcBorders>
            <w:vAlign w:val="center"/>
          </w:tcPr>
          <w:p w14:paraId="79FEF00C">
            <w:pPr>
              <w:pStyle w:val="109"/>
              <w:rPr>
                <w:color w:val="000000" w:themeColor="text1"/>
                <w14:textFill>
                  <w14:solidFill>
                    <w14:schemeClr w14:val="tx1"/>
                  </w14:solidFill>
                </w14:textFill>
              </w:rPr>
            </w:pPr>
          </w:p>
        </w:tc>
        <w:tc>
          <w:tcPr>
            <w:tcW w:w="636" w:type="dxa"/>
            <w:tcBorders>
              <w:top w:val="nil"/>
              <w:left w:val="nil"/>
              <w:bottom w:val="single" w:color="auto" w:sz="4" w:space="0"/>
              <w:right w:val="single" w:color="auto" w:sz="4" w:space="0"/>
            </w:tcBorders>
            <w:vAlign w:val="center"/>
          </w:tcPr>
          <w:p w14:paraId="444BF33C">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办公、生活</w:t>
            </w:r>
          </w:p>
        </w:tc>
        <w:tc>
          <w:tcPr>
            <w:tcW w:w="666" w:type="dxa"/>
            <w:tcBorders>
              <w:top w:val="nil"/>
              <w:left w:val="nil"/>
              <w:bottom w:val="single" w:color="auto" w:sz="4" w:space="0"/>
              <w:right w:val="single" w:color="auto" w:sz="4" w:space="0"/>
            </w:tcBorders>
            <w:vAlign w:val="center"/>
          </w:tcPr>
          <w:p w14:paraId="30BF1233">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951" w:type="dxa"/>
            <w:tcBorders>
              <w:top w:val="nil"/>
              <w:left w:val="nil"/>
              <w:bottom w:val="single" w:color="auto" w:sz="4" w:space="0"/>
              <w:right w:val="single" w:color="auto" w:sz="4" w:space="0"/>
            </w:tcBorders>
            <w:vAlign w:val="center"/>
          </w:tcPr>
          <w:p w14:paraId="2D29FA5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636" w:type="dxa"/>
            <w:gridSpan w:val="2"/>
            <w:tcBorders>
              <w:top w:val="nil"/>
              <w:left w:val="nil"/>
              <w:bottom w:val="single" w:color="auto" w:sz="4" w:space="0"/>
              <w:right w:val="single" w:color="auto" w:sz="4" w:space="0"/>
            </w:tcBorders>
            <w:vAlign w:val="center"/>
          </w:tcPr>
          <w:p w14:paraId="3E76480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8000</w:t>
            </w:r>
          </w:p>
        </w:tc>
        <w:tc>
          <w:tcPr>
            <w:tcW w:w="1488" w:type="dxa"/>
            <w:gridSpan w:val="2"/>
            <w:tcBorders>
              <w:top w:val="nil"/>
              <w:left w:val="nil"/>
              <w:bottom w:val="single" w:color="auto" w:sz="4" w:space="0"/>
              <w:right w:val="single" w:color="auto" w:sz="4" w:space="0"/>
            </w:tcBorders>
            <w:vAlign w:val="center"/>
          </w:tcPr>
          <w:p w14:paraId="5AB52B20">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办公生活</w:t>
            </w:r>
          </w:p>
        </w:tc>
        <w:tc>
          <w:tcPr>
            <w:tcW w:w="1418" w:type="dxa"/>
            <w:tcBorders>
              <w:top w:val="nil"/>
              <w:left w:val="nil"/>
              <w:bottom w:val="single" w:color="auto" w:sz="4" w:space="0"/>
              <w:right w:val="single" w:color="auto" w:sz="4" w:space="0"/>
            </w:tcBorders>
            <w:vAlign w:val="center"/>
          </w:tcPr>
          <w:p w14:paraId="73443F84">
            <w:pPr>
              <w:pStyle w:val="109"/>
              <w:rPr>
                <w:color w:val="000000" w:themeColor="text1"/>
                <w14:textFill>
                  <w14:solidFill>
                    <w14:schemeClr w14:val="tx1"/>
                  </w14:solidFill>
                </w14:textFill>
              </w:rPr>
            </w:pPr>
            <w:r>
              <w:rPr>
                <w:rFonts w:hint="eastAsia"/>
                <w:color w:val="000000" w:themeColor="text1"/>
                <w14:textFill>
                  <w14:solidFill>
                    <w14:schemeClr w14:val="tx1"/>
                  </w14:solidFill>
                </w14:textFill>
              </w:rPr>
              <w:t>由园区环卫部门统一收集处理</w:t>
            </w:r>
          </w:p>
        </w:tc>
        <w:tc>
          <w:tcPr>
            <w:tcW w:w="1131" w:type="dxa"/>
            <w:tcBorders>
              <w:top w:val="nil"/>
              <w:left w:val="nil"/>
              <w:bottom w:val="single" w:color="auto" w:sz="4" w:space="0"/>
              <w:right w:val="single" w:color="auto" w:sz="4" w:space="0"/>
            </w:tcBorders>
            <w:vAlign w:val="center"/>
          </w:tcPr>
          <w:p w14:paraId="1C45A371">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755" w:type="dxa"/>
            <w:tcBorders>
              <w:top w:val="nil"/>
              <w:left w:val="nil"/>
              <w:bottom w:val="single" w:color="auto" w:sz="4" w:space="0"/>
              <w:right w:val="single" w:color="auto" w:sz="4" w:space="0"/>
            </w:tcBorders>
            <w:vAlign w:val="center"/>
          </w:tcPr>
          <w:p w14:paraId="369BDC86">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4" w:type="dxa"/>
            <w:tcBorders>
              <w:top w:val="nil"/>
              <w:left w:val="nil"/>
              <w:bottom w:val="single" w:color="auto" w:sz="4" w:space="0"/>
              <w:right w:val="single" w:color="auto" w:sz="4" w:space="0"/>
            </w:tcBorders>
            <w:vAlign w:val="center"/>
          </w:tcPr>
          <w:p w14:paraId="1467DC8B">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21" w:type="dxa"/>
            <w:tcBorders>
              <w:top w:val="nil"/>
              <w:left w:val="nil"/>
              <w:bottom w:val="single" w:color="auto" w:sz="4" w:space="0"/>
              <w:right w:val="single" w:color="auto" w:sz="4" w:space="0"/>
            </w:tcBorders>
            <w:vAlign w:val="center"/>
          </w:tcPr>
          <w:p w14:paraId="6F848E7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4B5B7B59">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14:paraId="0F97DDAD">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4.5</w:t>
            </w:r>
          </w:p>
        </w:tc>
        <w:tc>
          <w:tcPr>
            <w:tcW w:w="1842" w:type="dxa"/>
            <w:tcBorders>
              <w:top w:val="nil"/>
              <w:left w:val="nil"/>
              <w:bottom w:val="single" w:color="auto" w:sz="4" w:space="0"/>
              <w:right w:val="single" w:color="auto" w:sz="4" w:space="0"/>
            </w:tcBorders>
            <w:vAlign w:val="center"/>
          </w:tcPr>
          <w:p w14:paraId="501FEF3E">
            <w:pPr>
              <w:pStyle w:val="109"/>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r>
    </w:tbl>
    <w:p w14:paraId="76A531FB">
      <w:pPr>
        <w:ind w:firstLine="480"/>
        <w:rPr>
          <w:color w:val="000000" w:themeColor="text1"/>
          <w14:textFill>
            <w14:solidFill>
              <w14:schemeClr w14:val="tx1"/>
            </w14:solidFill>
          </w14:textFill>
        </w:rPr>
      </w:pPr>
    </w:p>
    <w:p w14:paraId="7CA3A651">
      <w:pPr>
        <w:ind w:firstLine="480"/>
        <w:rPr>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p>
    <w:p w14:paraId="2D306D49">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排污许可证制度</w:t>
      </w:r>
    </w:p>
    <w:p w14:paraId="35DD46BD">
      <w:pPr>
        <w:ind w:firstLine="480"/>
        <w:rPr>
          <w:color w:val="000000" w:themeColor="text1"/>
          <w14:textFill>
            <w14:solidFill>
              <w14:schemeClr w14:val="tx1"/>
            </w14:solidFill>
          </w14:textFill>
        </w:rPr>
      </w:pPr>
      <w:r>
        <w:rPr>
          <w:color w:val="000000" w:themeColor="text1"/>
          <w14:textFill>
            <w14:solidFill>
              <w14:schemeClr w14:val="tx1"/>
            </w14:solidFill>
          </w14:textFill>
        </w:rPr>
        <w:t>2016年11月，国务院办公厅发布了《控制污染物排放许可制实施方案》，方案指出：“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w:t>
      </w:r>
    </w:p>
    <w:p w14:paraId="7511AB07">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fldChar w:fldCharType="begin"/>
      </w:r>
      <w:r>
        <w:instrText xml:space="preserve"> HYPERLINK "https://www.eiacloud.com/hpyzs/lawsRegulations/searchDetail?id=42471085b1a045e9baeda82919cb456f&amp;modelName=%E6%8E%92%E6%B1%A1%E5%90%8D%E5%BD%95" \t "_blank" </w:instrText>
      </w:r>
      <w:r>
        <w:fldChar w:fldCharType="separate"/>
      </w:r>
      <w:r>
        <w:rPr>
          <w:color w:val="000000" w:themeColor="text1"/>
          <w14:textFill>
            <w14:solidFill>
              <w14:schemeClr w14:val="tx1"/>
            </w14:solidFill>
          </w14:textFill>
        </w:rPr>
        <w:t>《固定污染源排污许可分类管理名录》（2019年版）</w:t>
      </w:r>
      <w:r>
        <w:rPr>
          <w:color w:val="000000" w:themeColor="text1"/>
          <w14:textFill>
            <w14:solidFill>
              <w14:schemeClr w14:val="tx1"/>
            </w14:solidFill>
          </w14:textFill>
        </w:rPr>
        <w:fldChar w:fldCharType="end"/>
      </w:r>
      <w:r>
        <w:rPr>
          <w:color w:val="000000" w:themeColor="text1"/>
          <w14:textFill>
            <w14:solidFill>
              <w14:schemeClr w14:val="tx1"/>
            </w14:solidFill>
          </w14:textFill>
        </w:rPr>
        <w:t>，项目类别为四十五、生态保护和环境治理业 77-103.环境治理业772，“专业从事危险废物贮存、利用、处理、处置（含焚烧发电）的，专业从事一般工业固体废物贮存、处置（含焚烧发电）的”属于重点管理。</w:t>
      </w:r>
    </w:p>
    <w:p w14:paraId="04EF8380">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因此，本项目在报批环评报告书后、项目实际运行前，应尽快申领排污许可证，作为本项目合法运行的前提。排污许可证申请及核发按《排污许可证申请与核发技术规范 危险废物焚烧》（HJ1038-2019）和《排污许可证申请与核发技术规范 工业固体废物和危险废物治理》（HJ1033-2019）等文件要求填报执行。</w:t>
      </w:r>
    </w:p>
    <w:p w14:paraId="739479DF">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环境信息公开</w:t>
      </w:r>
    </w:p>
    <w:p w14:paraId="22145EF1">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排污企业应按照《企业事业单位环境信息公开办法》（部令第31号）要求，依法通过网站、企业事业单位环境信息公开平台或者当地报刊等便于公众知晓的方式公开环境信息，企业环境信息公开采取自愿公开与强制公开相结合。 </w:t>
      </w:r>
    </w:p>
    <w:p w14:paraId="028B1201">
      <w:pPr>
        <w:ind w:firstLine="480"/>
        <w:rPr>
          <w:color w:val="000000" w:themeColor="text1"/>
          <w14:textFill>
            <w14:solidFill>
              <w14:schemeClr w14:val="tx1"/>
            </w14:solidFill>
          </w14:textFill>
        </w:rPr>
      </w:pPr>
      <w:r>
        <w:rPr>
          <w:color w:val="000000" w:themeColor="text1"/>
          <w14:textFill>
            <w14:solidFill>
              <w14:schemeClr w14:val="tx1"/>
            </w14:solidFill>
          </w14:textFill>
        </w:rPr>
        <w:t>国家鼓励企业事业单位自愿公开有利于保护生态、防治污染、履行社会环境责任的相关信息。企业可通过网站公示信息、编制环保白皮书等方式向公众发布本企业的环境信息。</w:t>
      </w:r>
    </w:p>
    <w:p w14:paraId="5445E72B">
      <w:pPr>
        <w:ind w:firstLine="480"/>
        <w:rPr>
          <w:color w:val="000000" w:themeColor="text1"/>
          <w14:textFill>
            <w14:solidFill>
              <w14:schemeClr w14:val="tx1"/>
            </w14:solidFill>
          </w14:textFill>
        </w:rPr>
      </w:pPr>
      <w:r>
        <w:rPr>
          <w:color w:val="000000" w:themeColor="text1"/>
          <w14:textFill>
            <w14:solidFill>
              <w14:schemeClr w14:val="tx1"/>
            </w14:solidFill>
          </w14:textFill>
        </w:rPr>
        <w:t>根据《企业事业单位环境信息公开办法》，企业事业单位应当建立健全本单位环境 信息公开制度，指定机构负责本单位环境信息公开日常工作，建设单位应对以下信息进 行公开。</w:t>
      </w:r>
    </w:p>
    <w:p w14:paraId="18C234D0">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）基础信息，包括单位名称、组织机构代码、法定代表人、生产地址、联系方 式，以及生产经营和管理服务的主要内容、产品及规模；</w:t>
      </w:r>
    </w:p>
    <w:p w14:paraId="6D70E162">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）排污信息，包括主要污染物及特征污染物的名称、排放方式、排放口数量和 分布情况、排放浓度和总量、超标情况，以及执行的污染物排放标准、核定的排放总量；</w:t>
      </w:r>
    </w:p>
    <w:p w14:paraId="1E8353EE">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）防治污染设施的建设和运行情况；</w:t>
      </w:r>
    </w:p>
    <w:p w14:paraId="2F379785">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）建设项目环境影响评价及其他环境保护行政许可情况；</w:t>
      </w:r>
    </w:p>
    <w:p w14:paraId="02BC9CCA">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5</w:t>
      </w:r>
      <w:r>
        <w:rPr>
          <w:color w:val="000000" w:themeColor="text1"/>
          <w14:textFill>
            <w14:solidFill>
              <w14:schemeClr w14:val="tx1"/>
            </w14:solidFill>
          </w14:textFill>
        </w:rPr>
        <w:t>）突发环境事件应急预案；</w:t>
      </w:r>
    </w:p>
    <w:p w14:paraId="18D7B233">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6</w:t>
      </w:r>
      <w:r>
        <w:rPr>
          <w:color w:val="000000" w:themeColor="text1"/>
          <w14:textFill>
            <w14:solidFill>
              <w14:schemeClr w14:val="tx1"/>
            </w14:solidFill>
          </w14:textFill>
        </w:rPr>
        <w:t>）其他应当公开的环境信息。</w:t>
      </w:r>
    </w:p>
    <w:p w14:paraId="25DC0694">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建设单位应当通过其网站、企业事业单位环境信息公开平台或者当地报刊等便于公 众知晓的方式公开环境信息，同时可以采取以下一种或者几种方式予以公开。</w:t>
      </w:r>
    </w:p>
    <w:p w14:paraId="04F52127">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）公告或者公开发行的信息专刊；</w:t>
      </w:r>
    </w:p>
    <w:p w14:paraId="4B059049">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）广播、电视等新闻媒体；</w:t>
      </w:r>
    </w:p>
    <w:p w14:paraId="2F7D266C">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）信息公开服务、监督热线电话；</w:t>
      </w:r>
    </w:p>
    <w:p w14:paraId="6F37D845">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）本单位的资料索取点、信息公开栏、信息亭、电子屏幕、电子触摸屏等场所 或者设施；</w:t>
      </w:r>
    </w:p>
    <w:p w14:paraId="6A30269B">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5</w:t>
      </w:r>
      <w:r>
        <w:rPr>
          <w:color w:val="000000" w:themeColor="text1"/>
          <w14:textFill>
            <w14:solidFill>
              <w14:schemeClr w14:val="tx1"/>
            </w14:solidFill>
          </w14:textFill>
        </w:rPr>
        <w:t>）其他便于公众及时、准确获得信息的方式。</w:t>
      </w:r>
    </w:p>
    <w:p w14:paraId="2C3E6AA9">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污染源自动监控管理</w:t>
      </w:r>
    </w:p>
    <w:p w14:paraId="718E9502">
      <w:pPr>
        <w:ind w:firstLine="480"/>
        <w:rPr>
          <w:color w:val="000000" w:themeColor="text1"/>
          <w14:textFill>
            <w14:solidFill>
              <w14:schemeClr w14:val="tx1"/>
            </w14:solidFill>
          </w14:textFill>
        </w:rPr>
      </w:pPr>
      <w:r>
        <w:rPr>
          <w:color w:val="000000" w:themeColor="text1"/>
          <w14:textFill>
            <w14:solidFill>
              <w14:schemeClr w14:val="tx1"/>
            </w14:solidFill>
          </w14:textFill>
        </w:rPr>
        <w:t>项目应按照《污染源自动监控管理办法》及当地环境主管部门要求，在处置尾气排气筒安装污染物自动监控装置。</w:t>
      </w:r>
    </w:p>
    <w:p w14:paraId="05F766BD">
      <w:pPr>
        <w:ind w:firstLine="480"/>
        <w:rPr>
          <w:color w:val="000000" w:themeColor="text1"/>
          <w14:textFill>
            <w14:solidFill>
              <w14:schemeClr w14:val="tx1"/>
            </w14:solidFill>
          </w14:textFill>
        </w:rPr>
      </w:pPr>
      <w:r>
        <w:rPr>
          <w:color w:val="000000" w:themeColor="text1"/>
          <w14:textFill>
            <w14:solidFill>
              <w14:schemeClr w14:val="tx1"/>
            </w14:solidFill>
          </w14:textFill>
        </w:rPr>
        <w:t>排污单位自行运行污染源自动监控设施的，应当保证其正常运行。由取得环境污染治理设施运营资质的单位运行污染源自动监控设施的，排污单位应当配合、监督运营单位正常运行；运营单位应当保证污染源自动监控设施正常运行。污染源自动监控设施的生产者、销售者以及排污单位和运营单位应当接受和配合监督检查机构的现场监督检查，并按照要求提供相关技术资料。</w:t>
      </w:r>
    </w:p>
    <w:p w14:paraId="7F2D219F">
      <w:pPr>
        <w:ind w:firstLine="480"/>
        <w:rPr>
          <w:color w:val="000000" w:themeColor="text1"/>
          <w14:textFill>
            <w14:solidFill>
              <w14:schemeClr w14:val="tx1"/>
            </w14:solidFill>
          </w14:textFill>
        </w:rPr>
      </w:pPr>
      <w:r>
        <w:rPr>
          <w:color w:val="000000" w:themeColor="text1"/>
          <w14:textFill>
            <w14:solidFill>
              <w14:schemeClr w14:val="tx1"/>
            </w14:solidFill>
          </w14:textFill>
        </w:rPr>
        <w:t>污染源自动监控设施发生故障不能正常使用的，排污单位或者运营单位应当在发生故障后12小时内向有管辖权的监督检查机构报告，并及时检修，保证在5个工作日内恢复正常运行。停运期间，排污单位或者运营单位应当按照有关规定和技术规范，采用手工监测等方式，对污染物排放状况进行监测，并报送监测数据。</w:t>
      </w:r>
    </w:p>
    <w:p w14:paraId="016FBD1D">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排污口规范化</w:t>
      </w:r>
    </w:p>
    <w:p w14:paraId="1399F379">
      <w:pPr>
        <w:pStyle w:val="109"/>
        <w:autoSpaceDE/>
        <w:autoSpaceDN/>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排污口是企业排放污染物进入环境的通道，强化排污口的管理是实施污染物总量控制的基础工作之一，也是区域环境管理逐步实现污染物排放科学化、定量化的重要手段。</w:t>
      </w:r>
    </w:p>
    <w:p w14:paraId="141E1C5C">
      <w:pPr>
        <w:pStyle w:val="109"/>
        <w:autoSpaceDE/>
        <w:autoSpaceDN/>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（1）排污口规范化管理的基本原则</w:t>
      </w:r>
    </w:p>
    <w:p w14:paraId="6232C020">
      <w:pPr>
        <w:pStyle w:val="109"/>
        <w:autoSpaceDE/>
        <w:autoSpaceDN/>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凡向环境排放污染物的一切排污口必须进行规范化管理；将总量控制的污染物排污口及行业特征污染物排放口列为管理的重点；排污口设置应便于采样和计量监测，便于日常现场监督和检查；如实向环保行政主管部门申报排污口位置，排污种类、数量、浓度与排放去向等。</w:t>
      </w:r>
    </w:p>
    <w:p w14:paraId="50016923">
      <w:pPr>
        <w:pStyle w:val="109"/>
        <w:autoSpaceDE/>
        <w:autoSpaceDN/>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（2）排污口的技术要求</w:t>
      </w:r>
    </w:p>
    <w:p w14:paraId="612B3190">
      <w:pPr>
        <w:pStyle w:val="109"/>
        <w:autoSpaceDE/>
        <w:autoSpaceDN/>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排污口的位置必须合理确定，按规定要求进行规范化管理；具体位置应符合《污染源监测技术规范》的规定与要求。</w:t>
      </w:r>
    </w:p>
    <w:p w14:paraId="511956F3">
      <w:pPr>
        <w:pStyle w:val="109"/>
        <w:autoSpaceDE/>
        <w:autoSpaceDN/>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（3）排污口立标管理</w:t>
      </w:r>
    </w:p>
    <w:p w14:paraId="542988DC">
      <w:pPr>
        <w:pStyle w:val="109"/>
        <w:autoSpaceDE/>
        <w:autoSpaceDN/>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企业污染物排放口的标志，应按《排污单位污染物排放口二维码标识技术规范》（HJ 1297-2023）、《危险废物识别标志设置技术规范》（HJ 1276-2022）、《环境保护图形标志排放口（源）》（15562.1-1995）及《环境保护图形标志固体废物贮存（处置）场》（GB 15562.2-1995）修改单的规定，设置国家环保总局统一制作的环境保护图形标志牌。</w:t>
      </w:r>
    </w:p>
    <w:p w14:paraId="58743EEE">
      <w:pPr>
        <w:pStyle w:val="109"/>
        <w:autoSpaceDE/>
        <w:autoSpaceDN/>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304800" cy="2715260"/>
            <wp:effectExtent l="0" t="0" r="0" b="8890"/>
            <wp:docPr id="1690541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4110" name="图片 32"/>
                    <pic:cNvPicPr>
                      <a:picLocks noChangeAspect="1" noChangeArrowheads="1"/>
                    </pic:cNvPicPr>
                  </pic:nvPicPr>
                  <pic:blipFill>
                    <a:blip r:embed="rId69">
                      <a:extLst>
                        <a:ext uri="{28A0092B-C50C-407E-A947-70E740481C1C}">
                          <a14:useLocalDpi xmlns:a14="http://schemas.microsoft.com/office/drawing/2010/main" val="0"/>
                        </a:ext>
                      </a:extLst>
                    </a:blip>
                    <a:srcRect r="94293"/>
                    <a:stretch>
                      <a:fillRect/>
                    </a:stretch>
                  </pic:blipFill>
                  <pic:spPr>
                    <a:xfrm>
                      <a:off x="0" y="0"/>
                      <a:ext cx="304800" cy="271526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4114800" cy="2701925"/>
            <wp:effectExtent l="0" t="0" r="0" b="3175"/>
            <wp:docPr id="16978890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8900" name="图片 31"/>
                    <pic:cNvPicPr>
                      <a:picLocks noChangeAspect="1" noChangeArrowheads="1"/>
                    </pic:cNvPicPr>
                  </pic:nvPicPr>
                  <pic:blipFill>
                    <a:blip r:embed="rId69">
                      <a:extLst>
                        <a:ext uri="{28A0092B-C50C-407E-A947-70E740481C1C}">
                          <a14:useLocalDpi xmlns:a14="http://schemas.microsoft.com/office/drawing/2010/main" val="0"/>
                        </a:ext>
                      </a:extLst>
                    </a:blip>
                    <a:srcRect l="22444"/>
                    <a:stretch>
                      <a:fillRect/>
                    </a:stretch>
                  </pic:blipFill>
                  <pic:spPr>
                    <a:xfrm>
                      <a:off x="0" y="0"/>
                      <a:ext cx="4114800" cy="2701925"/>
                    </a:xfrm>
                    <a:prstGeom prst="rect">
                      <a:avLst/>
                    </a:prstGeom>
                    <a:noFill/>
                    <a:ln>
                      <a:noFill/>
                    </a:ln>
                    <a:effectLst/>
                  </pic:spPr>
                </pic:pic>
              </a:graphicData>
            </a:graphic>
          </wp:inline>
        </w:drawing>
      </w:r>
    </w:p>
    <w:p w14:paraId="7E9F1696">
      <w:pPr>
        <w:pStyle w:val="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排污标志图</w:t>
      </w:r>
    </w:p>
    <w:p w14:paraId="38326870">
      <w:pPr>
        <w:pStyle w:val="109"/>
        <w:autoSpaceDE/>
        <w:autoSpaceDN/>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（4）排污口建档管理</w:t>
      </w:r>
    </w:p>
    <w:p w14:paraId="00DD528E">
      <w:pPr>
        <w:ind w:firstLine="480"/>
        <w:rPr>
          <w:bCs/>
          <w:color w:val="000000" w:themeColor="text1"/>
          <w14:textFill>
            <w14:solidFill>
              <w14:schemeClr w14:val="tx1"/>
            </w14:solidFill>
          </w14:textFill>
        </w:rPr>
      </w:pPr>
      <w:r>
        <w:rPr>
          <w:color w:val="000000" w:themeColor="text1"/>
          <w14:textFill>
            <w14:solidFill>
              <w14:schemeClr w14:val="tx1"/>
            </w14:solidFill>
          </w14:textFill>
        </w:rPr>
        <w:t>要求使用统一印刷的《中华人民共和国规范化排污口标志登记证》，并按要求填写有关内容；根据排污口管理档案内容要求，项目建成后，应将主要污染物种类、数量、浓度、排放去向、达标情况及设施运行情况记录于档案。</w:t>
      </w:r>
    </w:p>
    <w:p w14:paraId="3972F795">
      <w:pPr>
        <w:ind w:firstLine="480"/>
        <w:rPr>
          <w:b/>
          <w:color w:val="000000" w:themeColor="text1"/>
          <w14:textFill>
            <w14:solidFill>
              <w14:schemeClr w14:val="tx1"/>
            </w14:solidFill>
          </w14:textFill>
        </w:rPr>
      </w:pPr>
      <w:r>
        <w:rPr>
          <w:bCs/>
          <w:color w:val="000000" w:themeColor="text1"/>
          <w14:textFill>
            <w14:solidFill>
              <w14:schemeClr w14:val="tx1"/>
            </w14:solidFill>
          </w14:textFill>
        </w:rPr>
        <w:t>排污口是企业排放污染物进入环境的通道，强化排污口的管理是实施污染物总量控制的基础工作之一，也是区域环境管理逐步实现污染物排放科学化、定量化的重要手段。</w:t>
      </w:r>
    </w:p>
    <w:p w14:paraId="0A90E6E0">
      <w:pPr>
        <w:pStyle w:val="3"/>
        <w:rPr>
          <w:rFonts w:ascii="Times New Roman" w:cs="Times New Roman"/>
          <w:color w:val="000000" w:themeColor="text1"/>
          <w14:textFill>
            <w14:solidFill>
              <w14:schemeClr w14:val="tx1"/>
            </w14:solidFill>
          </w14:textFill>
        </w:rPr>
      </w:pPr>
      <w:bookmarkStart w:id="657" w:name="_Toc517684790"/>
      <w:bookmarkStart w:id="658" w:name="_Toc225268356"/>
      <w:bookmarkStart w:id="659" w:name="_Toc480388264"/>
      <w:r>
        <w:rPr>
          <w:rFonts w:ascii="Times New Roman" w:cs="Times New Roman"/>
          <w:color w:val="000000" w:themeColor="text1"/>
          <w14:textFill>
            <w14:solidFill>
              <w14:schemeClr w14:val="tx1"/>
            </w14:solidFill>
          </w14:textFill>
        </w:rPr>
        <w:t>企业内部环境管理措施</w:t>
      </w:r>
      <w:bookmarkEnd w:id="657"/>
      <w:bookmarkEnd w:id="658"/>
      <w:bookmarkEnd w:id="659"/>
    </w:p>
    <w:p w14:paraId="73F5C762">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 xml:space="preserve">建立健全企业环境管理台账和资料 </w:t>
      </w:r>
    </w:p>
    <w:p w14:paraId="36EEFAA8">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按照“规范、真实、全面、细致”的原则，建立环境管理台账和资料。内容包括：适用于本企业的环境法律、法规、规章制度及相关政策性文件，建设项目环境影响评价文件和“三同时”验收资料，企业环境保护职责和管理制度，企业污染物排放总量控制指标和排污申报登记表，废水、废气、噪声等污染物处理装置日常运行记录、原辅材料购买复印件及使用台账、治污设施检修停运申请报告、环保部门批复文件和监测记录报表，固体废物的产生量、处置量，固体废物贮存、处置和利用设施的运行管理情况，工业固体废物委托处理协议、危险废物安全处置五联单据，防范环境风险的措施和突发环境事件应急预案、应急演练组织实施方案和记录，突发环境事件总结材料，安全防护和消防设施日常维护保养记录，企业环境管理工作人员专业技术培训登记情况；环境评价文件中规定的环境监控监测记录，企业总平面布置图和污水管网线路图（总平面布置图应包括废水、废气污染源和排放口位置等）。企业环境管理档案分类分年度装订，资料和台账完善整齐，装订规范，排污许可证齐全，污染物处理装置日常运行状况和监测记录连续、完整，指标符和环境管理要求。环境管理档案有固定场所存放，资料保存应在5年及以上，确保环保部门执法人员随时调阅检查。 </w:t>
      </w:r>
    </w:p>
    <w:p w14:paraId="0912C2D8">
      <w:pPr>
        <w:ind w:firstLine="480"/>
        <w:rPr>
          <w:b/>
          <w:color w:val="000000" w:themeColor="text1"/>
          <w14:textFill>
            <w14:solidFill>
              <w14:schemeClr w14:val="tx1"/>
            </w14:solidFill>
          </w14:textFill>
        </w:rPr>
      </w:pPr>
      <w:r>
        <w:rPr>
          <w:color w:val="000000" w:themeColor="text1"/>
          <w14:textFill>
            <w14:solidFill>
              <w14:schemeClr w14:val="tx1"/>
            </w14:solidFill>
          </w14:textFill>
        </w:rPr>
        <w:t xml:space="preserve">建立和完善企业内部环境管理制度 </w:t>
      </w:r>
    </w:p>
    <w:p w14:paraId="2FC99AB5">
      <w:pPr>
        <w:ind w:firstLine="480"/>
        <w:rPr>
          <w:color w:val="000000" w:themeColor="text1"/>
          <w14:textFill>
            <w14:solidFill>
              <w14:schemeClr w14:val="tx1"/>
            </w14:solidFill>
          </w14:textFill>
        </w:rPr>
      </w:pPr>
      <w:r>
        <w:rPr>
          <w:color w:val="000000" w:themeColor="text1"/>
          <w14:textFill>
            <w14:solidFill>
              <w14:schemeClr w14:val="tx1"/>
            </w14:solidFill>
          </w14:textFill>
        </w:rPr>
        <w:t>企业应建立健全以下环境管理制度：</w:t>
      </w:r>
    </w:p>
    <w:p w14:paraId="6440DB1B">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（1）企业环境综合管理制度 </w:t>
      </w:r>
    </w:p>
    <w:p w14:paraId="27229458">
      <w:pPr>
        <w:ind w:firstLine="480"/>
        <w:rPr>
          <w:color w:val="000000" w:themeColor="text1"/>
          <w14:textFill>
            <w14:solidFill>
              <w14:schemeClr w14:val="tx1"/>
            </w14:solidFill>
          </w14:textFill>
        </w:rPr>
      </w:pPr>
      <w:r>
        <w:rPr>
          <w:color w:val="000000" w:themeColor="text1"/>
          <w14:textFill>
            <w14:solidFill>
              <w14:schemeClr w14:val="tx1"/>
            </w14:solidFill>
          </w14:textFill>
        </w:rPr>
        <w:t>主要包括：企业环境保护规划与计划，企业污染减排计划，企业各部门环境职责分工，环境报告制度，环境监测制度，环境管理制度，危险废物环境管理制度，环境宣传教育和培训制度等。</w:t>
      </w:r>
    </w:p>
    <w:p w14:paraId="74A1BF45">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（2）企业环境保护设施设备运行管理制度 </w:t>
      </w:r>
    </w:p>
    <w:p w14:paraId="7C33A8F5">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主要包括：企业环境保护设施设备操作规程，交接班制度，台账制度，环境保护设施设备维护保养管理制度等。  </w:t>
      </w:r>
    </w:p>
    <w:p w14:paraId="64E5B89C">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（3）企业环境应急管理制度 </w:t>
      </w:r>
    </w:p>
    <w:p w14:paraId="5BE83161">
      <w:pPr>
        <w:ind w:firstLine="480"/>
        <w:rPr>
          <w:color w:val="000000" w:themeColor="text1"/>
          <w14:textFill>
            <w14:solidFill>
              <w14:schemeClr w14:val="tx1"/>
            </w14:solidFill>
          </w14:textFill>
        </w:rPr>
      </w:pPr>
      <w:r>
        <w:rPr>
          <w:color w:val="000000" w:themeColor="text1"/>
          <w14:textFill>
            <w14:solidFill>
              <w14:schemeClr w14:val="tx1"/>
            </w14:solidFill>
          </w14:textFill>
        </w:rPr>
        <w:t>主要包括：环境风险管理制度，突发环境事件应急报告制度，综合环境应急预案和有关专项环境应急预案等。</w:t>
      </w:r>
    </w:p>
    <w:p w14:paraId="75BB47FA">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（4）企业环境监督员管理制度 </w:t>
      </w:r>
    </w:p>
    <w:p w14:paraId="2CC537AF">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主要包括：企业环境管理总负责人和企业环境监督员工作职责、工作规范等。 </w:t>
      </w:r>
    </w:p>
    <w:p w14:paraId="24F603C7">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（5）企业内部环境监督管理制度 </w:t>
      </w:r>
    </w:p>
    <w:p w14:paraId="0CFB9C8C">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主要包括：环境保护设施设备运转巡查制度等。 </w:t>
      </w:r>
    </w:p>
    <w:p w14:paraId="2BB163A1">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（6）危险化学品和危险废物管理制度 </w:t>
      </w:r>
    </w:p>
    <w:p w14:paraId="4F47D6E1">
      <w:pPr>
        <w:ind w:firstLine="480"/>
        <w:rPr>
          <w:color w:val="000000" w:themeColor="text1"/>
          <w14:textFill>
            <w14:solidFill>
              <w14:schemeClr w14:val="tx1"/>
            </w14:solidFill>
          </w14:textFill>
        </w:rPr>
      </w:pPr>
      <w:r>
        <w:rPr>
          <w:color w:val="000000" w:themeColor="text1"/>
          <w14:textFill>
            <w14:solidFill>
              <w14:schemeClr w14:val="tx1"/>
            </w14:solidFill>
          </w14:textFill>
        </w:rPr>
        <w:t>主要包括：危险化学品保管和贮存管理制度，危险废物环境管理制度等。</w:t>
      </w:r>
    </w:p>
    <w:p w14:paraId="120B42D8">
      <w:pPr>
        <w:ind w:firstLine="480"/>
        <w:rPr>
          <w:color w:val="000000" w:themeColor="text1"/>
          <w14:textFill>
            <w14:solidFill>
              <w14:schemeClr w14:val="tx1"/>
            </w14:solidFill>
          </w14:textFill>
        </w:rPr>
      </w:pPr>
      <w:r>
        <w:rPr>
          <w:color w:val="000000" w:themeColor="text1"/>
          <w14:textFill>
            <w14:solidFill>
              <w14:schemeClr w14:val="tx1"/>
            </w14:solidFill>
          </w14:textFill>
        </w:rPr>
        <w:t>环境管理制度以企业内部文件形式下发到车间、部门。</w:t>
      </w:r>
    </w:p>
    <w:p w14:paraId="5510086C">
      <w:pPr>
        <w:pStyle w:val="4"/>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 xml:space="preserve">建立和完善企业内部环境管理体系 </w:t>
      </w:r>
    </w:p>
    <w:p w14:paraId="631FFAAA">
      <w:pPr>
        <w:ind w:firstLine="480"/>
        <w:rPr>
          <w:color w:val="000000" w:themeColor="text1"/>
          <w14:textFill>
            <w14:solidFill>
              <w14:schemeClr w14:val="tx1"/>
            </w14:solidFill>
          </w14:textFill>
        </w:rPr>
      </w:pPr>
      <w:r>
        <w:rPr>
          <w:color w:val="000000" w:themeColor="text1"/>
          <w14:textFill>
            <w14:solidFill>
              <w14:schemeClr w14:val="tx1"/>
            </w14:solidFill>
          </w14:textFill>
        </w:rPr>
        <w:t>企业应明确设置环境监督管理机构，建立企业领导、环境管理部门、车间负责人和车间环保员组成的企业环境管理责任体系，定期或不定期召开企业环保情况报告会和专题会议，专题研究解决企业的环境保护问题，共同做好本企业的环境保护工作。</w:t>
      </w:r>
    </w:p>
    <w:p w14:paraId="5CE02705">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（1）企业环境管理总负责人 </w:t>
      </w:r>
    </w:p>
    <w:p w14:paraId="1E45CDCD">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企业确定1名主要领导担任环境管理总负责人。其职责主要包括：在企业内全面负责环境管理工作，制定企业环境战略和总体目标；监督、指导企业环境监督员或其他环境管理人员的工作，审核企业环境报告和环境信息；组织制定、实施企业污染减排计划，落实削减目标；组织制定并实施企业内部环境管理制度；建立并组织实施企业突发环境事件的应急处置救援制度。 </w:t>
      </w:r>
    </w:p>
    <w:p w14:paraId="76F4E2EC">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（2）企业环境管理机构 </w:t>
      </w:r>
    </w:p>
    <w:p w14:paraId="2BB27371">
      <w:pPr>
        <w:ind w:firstLine="480"/>
        <w:rPr>
          <w:color w:val="000000" w:themeColor="text1"/>
          <w14:textFill>
            <w14:solidFill>
              <w14:schemeClr w14:val="tx1"/>
            </w14:solidFill>
          </w14:textFill>
        </w:rPr>
      </w:pPr>
      <w:r>
        <w:rPr>
          <w:color w:val="000000" w:themeColor="text1"/>
          <w14:textFill>
            <w14:solidFill>
              <w14:schemeClr w14:val="tx1"/>
            </w14:solidFill>
          </w14:textFill>
        </w:rPr>
        <w:t>本企业的环境管理机构的职责和目标应包括但不限于以下内容：</w:t>
      </w:r>
    </w:p>
    <w:p w14:paraId="78038BB1">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制定企业环境战略和总体目标；组织开展企业环境工作及部署相应计划；完善企业环境管理体系建设；督促企业各个环节的污染防治工作；检验企业环境工作成果，发布企业环境报告等。 </w:t>
      </w:r>
    </w:p>
    <w:p w14:paraId="3B12F6BE">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（3）企业环境监督员或者其他环境管理人员 </w:t>
      </w:r>
    </w:p>
    <w:p w14:paraId="6190B129">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企业应根据企业规模和污染物产生排放实际情况以及环境保护主管部门要求，设置专兼职的企业环境监督员或其他环境管理人员。其职责主要包括：制定并监督实施企业的环保工作计划和规章制度；推动企业污染减排计划实施和工作技术支持；协助组织编制企业新、改、扩建项目环境影响报告及“三同时”计划；负责检查企业产生污染的生产设施、污染防治设施及存在环境安全隐患设施的运转情况；检查并掌握企业污染物的排放情况；负责向环境保护主管部门报告污染物排放情况、污染防治设施运行情况、污染物削减工程进展情况以及主要污染物减排目标实现情况，接受环境保护主管部门的指导和监督，并配合环境保护主管部门监督检查；协助开展清洁生产、节能节水等工作；组织编写企业环境应急预案，组织应急演练，对企业突发环境事件及时向环境保护主管部门报告，并进行处理；负责环境统计工作；组织对企业职工的环保知识培训。 </w:t>
      </w:r>
    </w:p>
    <w:p w14:paraId="06E95F72">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废气、污水等处理设施必须配备保证其正常运行的足够操作人员，设立能够监测主要污染物和特征污染物的化验室，配备化验人员。  </w:t>
      </w:r>
    </w:p>
    <w:p w14:paraId="41FF3AF5">
      <w:pPr>
        <w:ind w:firstLine="480"/>
        <w:rPr>
          <w:color w:val="000000" w:themeColor="text1"/>
          <w14:textFill>
            <w14:solidFill>
              <w14:schemeClr w14:val="tx1"/>
            </w14:solidFill>
          </w14:textFill>
        </w:rPr>
      </w:pPr>
      <w:r>
        <w:rPr>
          <w:color w:val="000000" w:themeColor="text1"/>
          <w14:textFill>
            <w14:solidFill>
              <w14:schemeClr w14:val="tx1"/>
            </w14:solidFill>
          </w14:textFill>
        </w:rPr>
        <w:t>鼓励企业自律，主动发布环境报告、公开环境信息、填写自愿减排协议和在区域内构建合理的上下游产业链等。</w:t>
      </w:r>
    </w:p>
    <w:p w14:paraId="778598B9">
      <w:pPr>
        <w:pStyle w:val="3"/>
        <w:rPr>
          <w:rFonts w:ascii="Times New Roman" w:cs="Times New Roman"/>
          <w:color w:val="000000" w:themeColor="text1"/>
          <w14:textFill>
            <w14:solidFill>
              <w14:schemeClr w14:val="tx1"/>
            </w14:solidFill>
          </w14:textFill>
        </w:rPr>
      </w:pPr>
      <w:bookmarkStart w:id="660" w:name="_Toc517684791"/>
      <w:bookmarkStart w:id="661" w:name="_Toc225268357"/>
      <w:r>
        <w:rPr>
          <w:rFonts w:ascii="Times New Roman" w:cs="Times New Roman"/>
          <w:color w:val="000000" w:themeColor="text1"/>
          <w14:textFill>
            <w14:solidFill>
              <w14:schemeClr w14:val="tx1"/>
            </w14:solidFill>
          </w14:textFill>
        </w:rPr>
        <w:t>环境监测</w:t>
      </w:r>
      <w:bookmarkEnd w:id="660"/>
      <w:bookmarkEnd w:id="661"/>
    </w:p>
    <w:p w14:paraId="5B40FB99">
      <w:pPr>
        <w:ind w:firstLine="480"/>
        <w:rPr>
          <w:color w:val="000000" w:themeColor="text1"/>
          <w14:textFill>
            <w14:solidFill>
              <w14:schemeClr w14:val="tx1"/>
            </w14:solidFill>
          </w14:textFill>
        </w:rPr>
      </w:pPr>
      <w:r>
        <w:rPr>
          <w:color w:val="000000" w:themeColor="text1"/>
          <w14:textFill>
            <w14:solidFill>
              <w14:schemeClr w14:val="tx1"/>
            </w14:solidFill>
          </w14:textFill>
        </w:rPr>
        <w:t>环境监测（包括污染源监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14:paraId="408F1366">
      <w:pPr>
        <w:ind w:firstLine="480"/>
        <w:rPr>
          <w:color w:val="000000" w:themeColor="text1"/>
          <w14:textFill>
            <w14:solidFill>
              <w14:schemeClr w14:val="tx1"/>
            </w14:solidFill>
          </w14:textFill>
        </w:rPr>
      </w:pPr>
      <w:r>
        <w:rPr>
          <w:color w:val="000000" w:themeColor="text1"/>
          <w14:textFill>
            <w14:solidFill>
              <w14:schemeClr w14:val="tx1"/>
            </w14:solidFill>
          </w14:textFill>
        </w:rPr>
        <w:t>环境监测的范围：包括污染源源强（装置或车间的所有排放口）与环境质量（厂区、厂界、敏感区域）。从气、水、噪声三方面进行监控；</w:t>
      </w:r>
    </w:p>
    <w:p w14:paraId="4BE80F4A">
      <w:pPr>
        <w:ind w:firstLine="480"/>
        <w:rPr>
          <w:color w:val="000000" w:themeColor="text1"/>
          <w14:textFill>
            <w14:solidFill>
              <w14:schemeClr w14:val="tx1"/>
            </w14:solidFill>
          </w14:textFill>
        </w:rPr>
      </w:pPr>
      <w:r>
        <w:rPr>
          <w:color w:val="000000" w:themeColor="text1"/>
          <w14:textFill>
            <w14:solidFill>
              <w14:schemeClr w14:val="tx1"/>
            </w14:solidFill>
          </w14:textFill>
        </w:rPr>
        <w:t>监测布点的基本原则：监测点的布置要能准确反映企业的污染排放情况，企业附近地区的环境质量情况及污染物危险情况。大气监测点设在各主要污染源的下风向区域及敏感点。水污染源监测点设在厂区污水总排口。地下水监控点设在厂区西北角绿化井。噪声监测点设在主要噪声设备岗位、车间外及厂界等。</w:t>
      </w:r>
    </w:p>
    <w:p w14:paraId="209F5E8E">
      <w:pPr>
        <w:ind w:firstLine="480"/>
        <w:rPr>
          <w:color w:val="000000" w:themeColor="text1"/>
          <w14:textFill>
            <w14:solidFill>
              <w14:schemeClr w14:val="tx1"/>
            </w14:solidFill>
          </w14:textFill>
        </w:rPr>
      </w:pPr>
      <w:r>
        <w:rPr>
          <w:color w:val="000000" w:themeColor="text1"/>
          <w14:textFill>
            <w14:solidFill>
              <w14:schemeClr w14:val="tx1"/>
            </w14:solidFill>
          </w14:textFill>
        </w:rPr>
        <w:t>工作分配：企业设立的环境监测组所进行的监测分析工作主要为自身的环境管理、保障环保设施正常运行并实现污染物达标排放服务。为政府部门环境管理服务的监测工作由政府所属环境监测机构承担。本项目主要由乌鲁木齐市环境监测站承担，本报告书制定的环境监测工作计划可供其参考。</w:t>
      </w:r>
    </w:p>
    <w:p w14:paraId="1CFB2ACE">
      <w:pPr>
        <w:ind w:firstLine="480"/>
        <w:rPr>
          <w:color w:val="000000" w:themeColor="text1"/>
          <w14:textFill>
            <w14:solidFill>
              <w14:schemeClr w14:val="tx1"/>
            </w14:solidFill>
          </w14:textFill>
        </w:rPr>
      </w:pPr>
      <w:r>
        <w:rPr>
          <w:color w:val="000000" w:themeColor="text1"/>
          <w14:textFill>
            <w14:solidFill>
              <w14:schemeClr w14:val="tx1"/>
            </w14:solidFill>
          </w14:textFill>
        </w:rPr>
        <w:t>监测项目及分析方法：依据该建设项目的生产特点、污染物排放特征确定本项目监测内容，详见污染物排放清单。分析方法选取《空气和废气监测分析方法》《水和废水监测分析方法》（第三版）、《环境监测分析方法》《污染源统一监测分析方法》中有关方法。</w:t>
      </w:r>
    </w:p>
    <w:p w14:paraId="6AA5E3AB">
      <w:pPr>
        <w:ind w:firstLine="480"/>
        <w:rPr>
          <w:color w:val="000000" w:themeColor="text1"/>
          <w14:textFill>
            <w14:solidFill>
              <w14:schemeClr w14:val="tx1"/>
            </w14:solidFill>
          </w14:textFill>
        </w:rPr>
      </w:pPr>
      <w:r>
        <w:rPr>
          <w:color w:val="000000" w:themeColor="text1"/>
          <w14:textFill>
            <w14:solidFill>
              <w14:schemeClr w14:val="tx1"/>
            </w14:solidFill>
          </w14:textFill>
        </w:rPr>
        <w:t>污染源监测内容主要包括废气、废水、固体废弃物、噪声等污染源监测。依据《排污单位自行监测技术指南 固体废物焚烧》</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HJ 1205-2021</w:t>
      </w:r>
      <w:r>
        <w:rPr>
          <w:color w:val="000000" w:themeColor="text1"/>
          <w:lang w:bidi="en-US"/>
          <w14:textFill>
            <w14:solidFill>
              <w14:schemeClr w14:val="tx1"/>
            </w14:solidFill>
          </w14:textFill>
        </w:rPr>
        <w:t>）</w:t>
      </w:r>
      <w:r>
        <w:rPr>
          <w:color w:val="000000" w:themeColor="text1"/>
          <w14:textFill>
            <w14:solidFill>
              <w14:schemeClr w14:val="tx1"/>
            </w14:solidFill>
          </w14:textFill>
        </w:rPr>
        <w:t>、《排污许可证申请与核发技术规范 危险废物焚烧》（HJ 1038-2019）确定监测内容及监测频率。</w:t>
      </w:r>
    </w:p>
    <w:p w14:paraId="79A3E16D">
      <w:pPr>
        <w:pStyle w:val="4"/>
        <w:rPr>
          <w:rFonts w:ascii="Times New Roman" w:cs="Times New Roman"/>
          <w:color w:val="000000" w:themeColor="text1"/>
          <w14:textFill>
            <w14:solidFill>
              <w14:schemeClr w14:val="tx1"/>
            </w14:solidFill>
          </w14:textFill>
        </w:rPr>
      </w:pPr>
      <w:bookmarkStart w:id="662" w:name="bookmark725"/>
      <w:bookmarkStart w:id="663" w:name="bookmark726"/>
      <w:r>
        <w:rPr>
          <w:rFonts w:ascii="Times New Roman" w:cs="Times New Roman"/>
          <w:color w:val="000000" w:themeColor="text1"/>
          <w14:textFill>
            <w14:solidFill>
              <w14:schemeClr w14:val="tx1"/>
            </w14:solidFill>
          </w14:textFill>
        </w:rPr>
        <w:t>污染源监测</w:t>
      </w:r>
      <w:bookmarkEnd w:id="662"/>
      <w:bookmarkEnd w:id="663"/>
    </w:p>
    <w:p w14:paraId="1F0C08E9">
      <w:pPr>
        <w:pStyle w:val="5"/>
        <w:rPr>
          <w:rFonts w:ascii="Times New Roman" w:hAnsi="Times New Roman"/>
          <w:color w:val="000000" w:themeColor="text1"/>
          <w14:textFill>
            <w14:solidFill>
              <w14:schemeClr w14:val="tx1"/>
            </w14:solidFill>
          </w14:textFill>
        </w:rPr>
      </w:pPr>
      <w:bookmarkStart w:id="664" w:name="bookmark728"/>
      <w:r>
        <w:rPr>
          <w:rFonts w:ascii="Times New Roman" w:hAnsi="Times New Roman"/>
          <w:color w:val="000000" w:themeColor="text1"/>
          <w14:textFill>
            <w14:solidFill>
              <w14:schemeClr w14:val="tx1"/>
            </w14:solidFill>
          </w14:textFill>
        </w:rPr>
        <w:t>正常生产运行时排污监测</w:t>
      </w:r>
      <w:bookmarkEnd w:id="664"/>
    </w:p>
    <w:p w14:paraId="2BBEA54B">
      <w:pPr>
        <w:pStyle w:val="1232"/>
        <w:spacing w:after="220" w:line="240" w:lineRule="auto"/>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本项目正常生产运行时污染源监测计划详见下表。</w:t>
      </w:r>
    </w:p>
    <w:p w14:paraId="791C1838">
      <w:pPr>
        <w:pStyle w:val="448"/>
        <w:ind w:firstLine="480"/>
        <w:rPr>
          <w:rFonts w:ascii="Times New Roman" w:hAnsi="Times New Roman" w:cs="Times New Roman"/>
          <w:color w:val="000000" w:themeColor="text1"/>
          <w:sz w:val="24"/>
          <w:szCs w:val="24"/>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671594CC">
      <w:pPr>
        <w:pStyle w:val="117"/>
        <w:rPr>
          <w:rFonts w:ascii="Times New Roman" w:hAnsi="Times New Roman" w:cs="Times New Roman"/>
          <w:color w:val="000000" w:themeColor="text1"/>
          <w14:textFill>
            <w14:solidFill>
              <w14:schemeClr w14:val="tx1"/>
            </w14:solidFill>
          </w14:textFill>
        </w:rPr>
      </w:pPr>
      <w:bookmarkStart w:id="665" w:name="_Hlk63672691"/>
      <w:bookmarkStart w:id="666" w:name="_Hlk62309151"/>
      <w:r>
        <w:rPr>
          <w:rFonts w:ascii="Times New Roman" w:hAnsi="Times New Roman" w:cs="Times New Roman"/>
          <w:color w:val="000000" w:themeColor="text1"/>
          <w14:textFill>
            <w14:solidFill>
              <w14:schemeClr w14:val="tx1"/>
            </w14:solidFill>
          </w14:textFill>
        </w:rPr>
        <w:t>本项目正常生产运行时期污染源监测计划一览表</w:t>
      </w:r>
    </w:p>
    <w:bookmarkEnd w:id="665"/>
    <w:tbl>
      <w:tblPr>
        <w:tblStyle w:val="76"/>
        <w:tblW w:w="13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72"/>
        <w:gridCol w:w="2202"/>
        <w:gridCol w:w="1152"/>
        <w:gridCol w:w="3316"/>
        <w:gridCol w:w="2009"/>
        <w:gridCol w:w="2264"/>
        <w:gridCol w:w="2053"/>
        <w:gridCol w:w="10"/>
      </w:tblGrid>
      <w:tr w14:paraId="1B1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Align w:val="center"/>
          </w:tcPr>
          <w:p w14:paraId="41FA3DCF">
            <w:pPr>
              <w:pStyle w:val="109"/>
              <w:rPr>
                <w:color w:val="000000" w:themeColor="text1"/>
                <w:szCs w:val="21"/>
                <w14:textFill>
                  <w14:solidFill>
                    <w14:schemeClr w14:val="tx1"/>
                  </w14:solidFill>
                </w14:textFill>
              </w:rPr>
            </w:pPr>
            <w:bookmarkStart w:id="667" w:name="_Hlk65150293"/>
            <w:bookmarkStart w:id="668" w:name="_Toc168379564"/>
            <w:bookmarkStart w:id="669" w:name="_Toc152152808"/>
            <w:bookmarkStart w:id="670" w:name="_Toc148758543"/>
            <w:bookmarkStart w:id="671" w:name="_Toc223425482"/>
            <w:bookmarkStart w:id="672" w:name="_Toc170709198"/>
            <w:bookmarkStart w:id="673" w:name="_Toc168379639"/>
            <w:bookmarkStart w:id="674" w:name="_Toc203819485"/>
            <w:bookmarkStart w:id="675" w:name="_Toc207359997"/>
            <w:bookmarkStart w:id="676" w:name="_Toc147035191"/>
            <w:bookmarkStart w:id="677" w:name="_Toc148348497"/>
            <w:bookmarkStart w:id="678" w:name="_Toc203819385"/>
            <w:bookmarkStart w:id="679" w:name="_Toc168379485"/>
            <w:bookmarkStart w:id="680" w:name="_Toc203819211"/>
            <w:r>
              <w:rPr>
                <w:color w:val="000000" w:themeColor="text1"/>
                <w:szCs w:val="21"/>
                <w14:textFill>
                  <w14:solidFill>
                    <w14:schemeClr w14:val="tx1"/>
                  </w14:solidFill>
                </w14:textFill>
              </w:rPr>
              <w:t>类别</w:t>
            </w:r>
          </w:p>
        </w:tc>
        <w:tc>
          <w:tcPr>
            <w:tcW w:w="2202" w:type="dxa"/>
            <w:vAlign w:val="center"/>
          </w:tcPr>
          <w:p w14:paraId="3822170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1152" w:type="dxa"/>
            <w:vAlign w:val="center"/>
          </w:tcPr>
          <w:p w14:paraId="0EDA1F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w:t>
            </w:r>
          </w:p>
        </w:tc>
        <w:tc>
          <w:tcPr>
            <w:tcW w:w="3316" w:type="dxa"/>
            <w:vAlign w:val="center"/>
          </w:tcPr>
          <w:p w14:paraId="60F4F8D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监测指标</w:t>
            </w:r>
          </w:p>
        </w:tc>
        <w:tc>
          <w:tcPr>
            <w:tcW w:w="2009" w:type="dxa"/>
            <w:vAlign w:val="center"/>
          </w:tcPr>
          <w:p w14:paraId="30FBDC5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c>
          <w:tcPr>
            <w:tcW w:w="2264" w:type="dxa"/>
            <w:vAlign w:val="center"/>
          </w:tcPr>
          <w:p w14:paraId="494126A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执行排放标准</w:t>
            </w:r>
          </w:p>
        </w:tc>
        <w:tc>
          <w:tcPr>
            <w:tcW w:w="2053" w:type="dxa"/>
            <w:vAlign w:val="center"/>
          </w:tcPr>
          <w:p w14:paraId="6375038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监测方案标准</w:t>
            </w:r>
          </w:p>
        </w:tc>
      </w:tr>
      <w:tr w14:paraId="618B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Merge w:val="restart"/>
            <w:vAlign w:val="center"/>
          </w:tcPr>
          <w:p w14:paraId="387504D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有组 织废 气</w:t>
            </w:r>
          </w:p>
        </w:tc>
        <w:tc>
          <w:tcPr>
            <w:tcW w:w="2202" w:type="dxa"/>
            <w:vAlign w:val="center"/>
          </w:tcPr>
          <w:p w14:paraId="7C47CA47">
            <w:pPr>
              <w:pStyle w:val="109"/>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 xml:space="preserve">废盐仓库贮存废气排放口 </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DA001</w:t>
            </w:r>
            <w:r>
              <w:rPr>
                <w:color w:val="000000" w:themeColor="text1"/>
                <w:szCs w:val="21"/>
                <w:lang w:bidi="en-US"/>
                <w14:textFill>
                  <w14:solidFill>
                    <w14:schemeClr w14:val="tx1"/>
                  </w14:solidFill>
                </w14:textFill>
              </w:rPr>
              <w:t>)</w:t>
            </w:r>
          </w:p>
        </w:tc>
        <w:tc>
          <w:tcPr>
            <w:tcW w:w="1152" w:type="dxa"/>
            <w:vAlign w:val="center"/>
          </w:tcPr>
          <w:p w14:paraId="6927F0A3">
            <w:pPr>
              <w:pStyle w:val="109"/>
              <w:rPr>
                <w:rFonts w:eastAsia="Times New Roman"/>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1</w:t>
            </w:r>
          </w:p>
        </w:tc>
        <w:tc>
          <w:tcPr>
            <w:tcW w:w="3316" w:type="dxa"/>
            <w:vAlign w:val="center"/>
          </w:tcPr>
          <w:p w14:paraId="3C479E5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2009" w:type="dxa"/>
            <w:vAlign w:val="center"/>
          </w:tcPr>
          <w:p w14:paraId="229161F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季度</w:t>
            </w:r>
            <w:r>
              <w:rPr>
                <w:rFonts w:eastAsia="Times New Roman"/>
                <w:color w:val="000000" w:themeColor="text1"/>
                <w:szCs w:val="21"/>
                <w14:textFill>
                  <w14:solidFill>
                    <w14:schemeClr w14:val="tx1"/>
                  </w14:solidFill>
                </w14:textFill>
              </w:rPr>
              <w:t>/</w:t>
            </w:r>
            <w:r>
              <w:rPr>
                <w:color w:val="000000" w:themeColor="text1"/>
                <w:szCs w:val="21"/>
                <w14:textFill>
                  <w14:solidFill>
                    <w14:schemeClr w14:val="tx1"/>
                  </w14:solidFill>
                </w14:textFill>
              </w:rPr>
              <w:t>次</w:t>
            </w:r>
          </w:p>
        </w:tc>
        <w:tc>
          <w:tcPr>
            <w:tcW w:w="2264" w:type="dxa"/>
            <w:vAlign w:val="center"/>
          </w:tcPr>
          <w:p w14:paraId="3E691B9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GB16297-1996</w:t>
            </w:r>
            <w:r>
              <w:rPr>
                <w:color w:val="000000" w:themeColor="text1"/>
                <w:szCs w:val="21"/>
                <w:lang w:bidi="en-US"/>
                <w14:textFill>
                  <w14:solidFill>
                    <w14:schemeClr w14:val="tx1"/>
                  </w14:solidFill>
                </w14:textFill>
              </w:rPr>
              <w:t>)</w:t>
            </w:r>
          </w:p>
        </w:tc>
        <w:tc>
          <w:tcPr>
            <w:tcW w:w="2053" w:type="dxa"/>
            <w:vAlign w:val="center"/>
          </w:tcPr>
          <w:p w14:paraId="6153A91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《排污单位自行监测技术指南 固体废物焚烧》</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HJ 1205-2021</w:t>
            </w:r>
            <w:r>
              <w:rPr>
                <w:color w:val="000000" w:themeColor="text1"/>
                <w:szCs w:val="21"/>
                <w:lang w:bidi="en-US"/>
                <w14:textFill>
                  <w14:solidFill>
                    <w14:schemeClr w14:val="tx1"/>
                  </w14:solidFill>
                </w14:textFill>
              </w:rPr>
              <w:t>）</w:t>
            </w:r>
          </w:p>
        </w:tc>
      </w:tr>
      <w:tr w14:paraId="253C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Merge w:val="continue"/>
            <w:vAlign w:val="center"/>
          </w:tcPr>
          <w:p w14:paraId="51C867F1">
            <w:pPr>
              <w:pStyle w:val="109"/>
              <w:rPr>
                <w:color w:val="000000" w:themeColor="text1"/>
                <w:szCs w:val="21"/>
                <w14:textFill>
                  <w14:solidFill>
                    <w14:schemeClr w14:val="tx1"/>
                  </w14:solidFill>
                </w14:textFill>
              </w:rPr>
            </w:pPr>
          </w:p>
        </w:tc>
        <w:tc>
          <w:tcPr>
            <w:tcW w:w="2202" w:type="dxa"/>
            <w:vAlign w:val="center"/>
          </w:tcPr>
          <w:p w14:paraId="1048598D">
            <w:pPr>
              <w:pStyle w:val="109"/>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二燃室烟气二次燃烧段前后</w:t>
            </w:r>
          </w:p>
        </w:tc>
        <w:tc>
          <w:tcPr>
            <w:tcW w:w="1152" w:type="dxa"/>
            <w:vAlign w:val="center"/>
          </w:tcPr>
          <w:p w14:paraId="42A0374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316" w:type="dxa"/>
            <w:vAlign w:val="center"/>
          </w:tcPr>
          <w:p w14:paraId="1774D24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焚烧炉温度</w:t>
            </w:r>
          </w:p>
        </w:tc>
        <w:tc>
          <w:tcPr>
            <w:tcW w:w="2009" w:type="dxa"/>
            <w:vAlign w:val="center"/>
          </w:tcPr>
          <w:p w14:paraId="77B44FA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自动监测</w:t>
            </w:r>
          </w:p>
        </w:tc>
        <w:tc>
          <w:tcPr>
            <w:tcW w:w="2264" w:type="dxa"/>
            <w:vAlign w:val="center"/>
          </w:tcPr>
          <w:p w14:paraId="5B5F98C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053" w:type="dxa"/>
            <w:vAlign w:val="center"/>
          </w:tcPr>
          <w:p w14:paraId="7D75A4B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《排污单位自行监测技术指南 固体废物焚烧》</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HJ 1205-2021</w:t>
            </w:r>
            <w:r>
              <w:rPr>
                <w:color w:val="000000" w:themeColor="text1"/>
                <w:szCs w:val="21"/>
                <w:lang w:bidi="en-US"/>
                <w14:textFill>
                  <w14:solidFill>
                    <w14:schemeClr w14:val="tx1"/>
                  </w14:solidFill>
                </w14:textFill>
              </w:rPr>
              <w:t>）</w:t>
            </w:r>
            <w:r>
              <w:rPr>
                <w:rFonts w:eastAsia="Times New Roman"/>
                <w:color w:val="000000" w:themeColor="text1"/>
                <w:szCs w:val="21"/>
                <w14:textFill>
                  <w14:solidFill>
                    <w14:schemeClr w14:val="tx1"/>
                  </w14:solidFill>
                </w14:textFill>
              </w:rPr>
              <w:t>-</w:t>
            </w:r>
          </w:p>
        </w:tc>
      </w:tr>
      <w:tr w14:paraId="11CC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Merge w:val="continue"/>
            <w:vAlign w:val="center"/>
          </w:tcPr>
          <w:p w14:paraId="1149D094">
            <w:pPr>
              <w:pStyle w:val="109"/>
              <w:rPr>
                <w:color w:val="000000" w:themeColor="text1"/>
                <w:szCs w:val="21"/>
                <w14:textFill>
                  <w14:solidFill>
                    <w14:schemeClr w14:val="tx1"/>
                  </w14:solidFill>
                </w14:textFill>
              </w:rPr>
            </w:pPr>
          </w:p>
        </w:tc>
        <w:tc>
          <w:tcPr>
            <w:tcW w:w="2202" w:type="dxa"/>
            <w:vMerge w:val="restart"/>
            <w:vAlign w:val="center"/>
          </w:tcPr>
          <w:p w14:paraId="57D3695F">
            <w:pPr>
              <w:pStyle w:val="109"/>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热解焙烧废气</w:t>
            </w:r>
            <w:r>
              <w:rPr>
                <w:color w:val="000000" w:themeColor="text1"/>
                <w:szCs w:val="21"/>
                <w14:textFill>
                  <w14:solidFill>
                    <w14:schemeClr w14:val="tx1"/>
                  </w14:solidFill>
                </w14:textFill>
              </w:rPr>
              <w:t>排放</w:t>
            </w:r>
          </w:p>
          <w:p w14:paraId="647E56C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口</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DA002</w:t>
            </w:r>
            <w:r>
              <w:rPr>
                <w:color w:val="000000" w:themeColor="text1"/>
                <w:szCs w:val="21"/>
                <w:lang w:bidi="en-US"/>
                <w14:textFill>
                  <w14:solidFill>
                    <w14:schemeClr w14:val="tx1"/>
                  </w14:solidFill>
                </w14:textFill>
              </w:rPr>
              <w:t>)</w:t>
            </w:r>
          </w:p>
        </w:tc>
        <w:tc>
          <w:tcPr>
            <w:tcW w:w="1152" w:type="dxa"/>
            <w:vMerge w:val="restart"/>
            <w:vAlign w:val="center"/>
          </w:tcPr>
          <w:p w14:paraId="5DD3CE08">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1</w:t>
            </w:r>
          </w:p>
        </w:tc>
        <w:tc>
          <w:tcPr>
            <w:tcW w:w="3316" w:type="dxa"/>
            <w:vAlign w:val="center"/>
          </w:tcPr>
          <w:p w14:paraId="2193FC8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颗粒物、一氧化碳、二氧化硫、氯化 氢、氮氧化物</w:t>
            </w:r>
          </w:p>
        </w:tc>
        <w:tc>
          <w:tcPr>
            <w:tcW w:w="2009" w:type="dxa"/>
            <w:vAlign w:val="center"/>
          </w:tcPr>
          <w:p w14:paraId="454B5E9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在线自动监测</w:t>
            </w:r>
          </w:p>
        </w:tc>
        <w:tc>
          <w:tcPr>
            <w:tcW w:w="2264" w:type="dxa"/>
            <w:vMerge w:val="restart"/>
            <w:vAlign w:val="center"/>
          </w:tcPr>
          <w:p w14:paraId="7777E23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《危险废物焚烧污染控制标准》</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GB18484</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2020</w:t>
            </w:r>
            <w:r>
              <w:rPr>
                <w:color w:val="000000" w:themeColor="text1"/>
                <w:szCs w:val="21"/>
                <w:lang w:bidi="en-US"/>
                <w14:textFill>
                  <w14:solidFill>
                    <w14:schemeClr w14:val="tx1"/>
                  </w14:solidFill>
                </w14:textFill>
              </w:rPr>
              <w:t>)</w:t>
            </w:r>
          </w:p>
        </w:tc>
        <w:tc>
          <w:tcPr>
            <w:tcW w:w="2053" w:type="dxa"/>
            <w:vMerge w:val="restart"/>
            <w:vAlign w:val="center"/>
          </w:tcPr>
          <w:p w14:paraId="4D2EA71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《排污单位自行监测技术指南 固体废物焚烧》</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HJ 1205-2021</w:t>
            </w:r>
            <w:r>
              <w:rPr>
                <w:color w:val="000000" w:themeColor="text1"/>
                <w:szCs w:val="21"/>
                <w:lang w:bidi="en-US"/>
                <w14:textFill>
                  <w14:solidFill>
                    <w14:schemeClr w14:val="tx1"/>
                  </w14:solidFill>
                </w14:textFill>
              </w:rPr>
              <w:t>）</w:t>
            </w:r>
            <w:r>
              <w:rPr>
                <w:color w:val="000000" w:themeColor="text1"/>
                <w:szCs w:val="21"/>
                <w14:textFill>
                  <w14:solidFill>
                    <w14:schemeClr w14:val="tx1"/>
                  </w14:solidFill>
                </w14:textFill>
              </w:rPr>
              <w:t>、《排污许可证申请 与核发技术规范 危 险废物焚烧》</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 xml:space="preserve">HJ </w:t>
            </w:r>
            <w:r>
              <w:rPr>
                <w:rFonts w:eastAsia="Times New Roman"/>
                <w:color w:val="000000" w:themeColor="text1"/>
                <w:szCs w:val="21"/>
                <w14:textFill>
                  <w14:solidFill>
                    <w14:schemeClr w14:val="tx1"/>
                  </w14:solidFill>
                </w14:textFill>
              </w:rPr>
              <w:t>10382019</w:t>
            </w:r>
            <w:r>
              <w:rPr>
                <w:color w:val="000000" w:themeColor="text1"/>
                <w:szCs w:val="21"/>
                <w14:textFill>
                  <w14:solidFill>
                    <w14:schemeClr w14:val="tx1"/>
                  </w14:solidFill>
                </w14:textFill>
              </w:rPr>
              <w:t>)</w:t>
            </w:r>
          </w:p>
        </w:tc>
      </w:tr>
      <w:tr w14:paraId="481F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Merge w:val="continue"/>
            <w:vAlign w:val="center"/>
          </w:tcPr>
          <w:p w14:paraId="74050BA4">
            <w:pPr>
              <w:pStyle w:val="109"/>
              <w:rPr>
                <w:color w:val="000000" w:themeColor="text1"/>
                <w:szCs w:val="21"/>
                <w14:textFill>
                  <w14:solidFill>
                    <w14:schemeClr w14:val="tx1"/>
                  </w14:solidFill>
                </w14:textFill>
              </w:rPr>
            </w:pPr>
          </w:p>
        </w:tc>
        <w:tc>
          <w:tcPr>
            <w:tcW w:w="2202" w:type="dxa"/>
            <w:vMerge w:val="continue"/>
            <w:vAlign w:val="center"/>
          </w:tcPr>
          <w:p w14:paraId="009C9209">
            <w:pPr>
              <w:pStyle w:val="109"/>
              <w:rPr>
                <w:color w:val="000000" w:themeColor="text1"/>
                <w:szCs w:val="21"/>
                <w14:textFill>
                  <w14:solidFill>
                    <w14:schemeClr w14:val="tx1"/>
                  </w14:solidFill>
                </w14:textFill>
              </w:rPr>
            </w:pPr>
          </w:p>
        </w:tc>
        <w:tc>
          <w:tcPr>
            <w:tcW w:w="1152" w:type="dxa"/>
            <w:vMerge w:val="continue"/>
            <w:vAlign w:val="center"/>
          </w:tcPr>
          <w:p w14:paraId="119B15B3">
            <w:pPr>
              <w:pStyle w:val="109"/>
              <w:rPr>
                <w:color w:val="000000" w:themeColor="text1"/>
                <w:szCs w:val="21"/>
                <w14:textFill>
                  <w14:solidFill>
                    <w14:schemeClr w14:val="tx1"/>
                  </w14:solidFill>
                </w14:textFill>
              </w:rPr>
            </w:pPr>
          </w:p>
        </w:tc>
        <w:tc>
          <w:tcPr>
            <w:tcW w:w="3316" w:type="dxa"/>
            <w:vAlign w:val="center"/>
          </w:tcPr>
          <w:p w14:paraId="059C30E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氟化物</w:t>
            </w:r>
          </w:p>
        </w:tc>
        <w:tc>
          <w:tcPr>
            <w:tcW w:w="2009" w:type="dxa"/>
            <w:vAlign w:val="center"/>
          </w:tcPr>
          <w:p w14:paraId="540BACD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半年</w:t>
            </w:r>
            <w:r>
              <w:rPr>
                <w:rFonts w:eastAsia="Times New Roman"/>
                <w:color w:val="000000" w:themeColor="text1"/>
                <w:szCs w:val="21"/>
                <w14:textFill>
                  <w14:solidFill>
                    <w14:schemeClr w14:val="tx1"/>
                  </w14:solidFill>
                </w14:textFill>
              </w:rPr>
              <w:t>/</w:t>
            </w:r>
            <w:r>
              <w:rPr>
                <w:color w:val="000000" w:themeColor="text1"/>
                <w:szCs w:val="21"/>
                <w14:textFill>
                  <w14:solidFill>
                    <w14:schemeClr w14:val="tx1"/>
                  </w14:solidFill>
                </w14:textFill>
              </w:rPr>
              <w:t>次</w:t>
            </w:r>
          </w:p>
        </w:tc>
        <w:tc>
          <w:tcPr>
            <w:tcW w:w="2264" w:type="dxa"/>
            <w:vMerge w:val="continue"/>
            <w:vAlign w:val="center"/>
          </w:tcPr>
          <w:p w14:paraId="5EF3BEA4">
            <w:pPr>
              <w:pStyle w:val="109"/>
              <w:rPr>
                <w:color w:val="000000" w:themeColor="text1"/>
                <w:szCs w:val="21"/>
                <w14:textFill>
                  <w14:solidFill>
                    <w14:schemeClr w14:val="tx1"/>
                  </w14:solidFill>
                </w14:textFill>
              </w:rPr>
            </w:pPr>
          </w:p>
        </w:tc>
        <w:tc>
          <w:tcPr>
            <w:tcW w:w="2053" w:type="dxa"/>
            <w:vMerge w:val="continue"/>
            <w:vAlign w:val="center"/>
          </w:tcPr>
          <w:p w14:paraId="47E570A5">
            <w:pPr>
              <w:pStyle w:val="109"/>
              <w:rPr>
                <w:color w:val="000000" w:themeColor="text1"/>
                <w:szCs w:val="21"/>
                <w14:textFill>
                  <w14:solidFill>
                    <w14:schemeClr w14:val="tx1"/>
                  </w14:solidFill>
                </w14:textFill>
              </w:rPr>
            </w:pPr>
          </w:p>
        </w:tc>
      </w:tr>
      <w:tr w14:paraId="7B7F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Merge w:val="continue"/>
            <w:vAlign w:val="center"/>
          </w:tcPr>
          <w:p w14:paraId="72D9DCEE">
            <w:pPr>
              <w:pStyle w:val="109"/>
              <w:rPr>
                <w:color w:val="000000" w:themeColor="text1"/>
                <w:szCs w:val="21"/>
                <w14:textFill>
                  <w14:solidFill>
                    <w14:schemeClr w14:val="tx1"/>
                  </w14:solidFill>
                </w14:textFill>
              </w:rPr>
            </w:pPr>
          </w:p>
        </w:tc>
        <w:tc>
          <w:tcPr>
            <w:tcW w:w="2202" w:type="dxa"/>
            <w:vMerge w:val="continue"/>
            <w:vAlign w:val="center"/>
          </w:tcPr>
          <w:p w14:paraId="2AFD7D30">
            <w:pPr>
              <w:pStyle w:val="109"/>
              <w:rPr>
                <w:color w:val="000000" w:themeColor="text1"/>
                <w:szCs w:val="21"/>
                <w14:textFill>
                  <w14:solidFill>
                    <w14:schemeClr w14:val="tx1"/>
                  </w14:solidFill>
                </w14:textFill>
              </w:rPr>
            </w:pPr>
          </w:p>
        </w:tc>
        <w:tc>
          <w:tcPr>
            <w:tcW w:w="1152" w:type="dxa"/>
            <w:vMerge w:val="continue"/>
            <w:vAlign w:val="center"/>
          </w:tcPr>
          <w:p w14:paraId="59B87579">
            <w:pPr>
              <w:pStyle w:val="109"/>
              <w:rPr>
                <w:color w:val="000000" w:themeColor="text1"/>
                <w:szCs w:val="21"/>
                <w14:textFill>
                  <w14:solidFill>
                    <w14:schemeClr w14:val="tx1"/>
                  </w14:solidFill>
                </w14:textFill>
              </w:rPr>
            </w:pPr>
          </w:p>
        </w:tc>
        <w:tc>
          <w:tcPr>
            <w:tcW w:w="3316" w:type="dxa"/>
            <w:vAlign w:val="center"/>
          </w:tcPr>
          <w:p w14:paraId="147F976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二噁英</w:t>
            </w:r>
          </w:p>
        </w:tc>
        <w:tc>
          <w:tcPr>
            <w:tcW w:w="2009" w:type="dxa"/>
            <w:vAlign w:val="center"/>
          </w:tcPr>
          <w:p w14:paraId="7DDFE1D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半年/次</w:t>
            </w:r>
          </w:p>
          <w:p w14:paraId="10E8FC3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（如出现超标，则加密至每季度监测一次，连续4个季度稳定达标后，排污单位可恢复每半年监测一次）</w:t>
            </w:r>
          </w:p>
        </w:tc>
        <w:tc>
          <w:tcPr>
            <w:tcW w:w="2264" w:type="dxa"/>
            <w:vMerge w:val="continue"/>
            <w:vAlign w:val="center"/>
          </w:tcPr>
          <w:p w14:paraId="55214391">
            <w:pPr>
              <w:pStyle w:val="109"/>
              <w:rPr>
                <w:color w:val="000000" w:themeColor="text1"/>
                <w:szCs w:val="21"/>
                <w14:textFill>
                  <w14:solidFill>
                    <w14:schemeClr w14:val="tx1"/>
                  </w14:solidFill>
                </w14:textFill>
              </w:rPr>
            </w:pPr>
          </w:p>
        </w:tc>
        <w:tc>
          <w:tcPr>
            <w:tcW w:w="2053" w:type="dxa"/>
            <w:vMerge w:val="continue"/>
            <w:vAlign w:val="center"/>
          </w:tcPr>
          <w:p w14:paraId="7829ED3C">
            <w:pPr>
              <w:pStyle w:val="109"/>
              <w:rPr>
                <w:color w:val="000000" w:themeColor="text1"/>
                <w:szCs w:val="21"/>
                <w14:textFill>
                  <w14:solidFill>
                    <w14:schemeClr w14:val="tx1"/>
                  </w14:solidFill>
                </w14:textFill>
              </w:rPr>
            </w:pPr>
          </w:p>
        </w:tc>
      </w:tr>
      <w:tr w14:paraId="3F89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Merge w:val="continue"/>
            <w:vAlign w:val="center"/>
          </w:tcPr>
          <w:p w14:paraId="556E6F13">
            <w:pPr>
              <w:pStyle w:val="109"/>
              <w:rPr>
                <w:color w:val="000000" w:themeColor="text1"/>
                <w:szCs w:val="21"/>
                <w14:textFill>
                  <w14:solidFill>
                    <w14:schemeClr w14:val="tx1"/>
                  </w14:solidFill>
                </w14:textFill>
              </w:rPr>
            </w:pPr>
          </w:p>
        </w:tc>
        <w:tc>
          <w:tcPr>
            <w:tcW w:w="2202" w:type="dxa"/>
            <w:vMerge w:val="continue"/>
            <w:vAlign w:val="center"/>
          </w:tcPr>
          <w:p w14:paraId="08A809CB">
            <w:pPr>
              <w:pStyle w:val="109"/>
              <w:rPr>
                <w:color w:val="000000" w:themeColor="text1"/>
                <w:szCs w:val="21"/>
                <w14:textFill>
                  <w14:solidFill>
                    <w14:schemeClr w14:val="tx1"/>
                  </w14:solidFill>
                </w14:textFill>
              </w:rPr>
            </w:pPr>
          </w:p>
        </w:tc>
        <w:tc>
          <w:tcPr>
            <w:tcW w:w="1152" w:type="dxa"/>
            <w:vMerge w:val="continue"/>
            <w:vAlign w:val="center"/>
          </w:tcPr>
          <w:p w14:paraId="318C54B6">
            <w:pPr>
              <w:pStyle w:val="109"/>
              <w:rPr>
                <w:color w:val="000000" w:themeColor="text1"/>
                <w:szCs w:val="21"/>
                <w14:textFill>
                  <w14:solidFill>
                    <w14:schemeClr w14:val="tx1"/>
                  </w14:solidFill>
                </w14:textFill>
              </w:rPr>
            </w:pPr>
          </w:p>
        </w:tc>
        <w:tc>
          <w:tcPr>
            <w:tcW w:w="3316" w:type="dxa"/>
            <w:vAlign w:val="center"/>
          </w:tcPr>
          <w:p w14:paraId="6F9AAB2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汞及其化合物，铊及其化合物，镉及其化合物，铅及其化合物，砷及其化合物，铬及其化合物，锡、锑、铜、锰、镍、钴及其化合物</w:t>
            </w:r>
          </w:p>
        </w:tc>
        <w:tc>
          <w:tcPr>
            <w:tcW w:w="2009" w:type="dxa"/>
            <w:vAlign w:val="center"/>
          </w:tcPr>
          <w:p w14:paraId="1BA4B34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月/次</w:t>
            </w:r>
          </w:p>
        </w:tc>
        <w:tc>
          <w:tcPr>
            <w:tcW w:w="2264" w:type="dxa"/>
            <w:vMerge w:val="continue"/>
            <w:vAlign w:val="center"/>
          </w:tcPr>
          <w:p w14:paraId="187DDEE5">
            <w:pPr>
              <w:pStyle w:val="109"/>
              <w:rPr>
                <w:color w:val="000000" w:themeColor="text1"/>
                <w:szCs w:val="21"/>
                <w14:textFill>
                  <w14:solidFill>
                    <w14:schemeClr w14:val="tx1"/>
                  </w14:solidFill>
                </w14:textFill>
              </w:rPr>
            </w:pPr>
          </w:p>
        </w:tc>
        <w:tc>
          <w:tcPr>
            <w:tcW w:w="2053" w:type="dxa"/>
            <w:vMerge w:val="continue"/>
            <w:vAlign w:val="center"/>
          </w:tcPr>
          <w:p w14:paraId="2FDCAA98">
            <w:pPr>
              <w:pStyle w:val="109"/>
              <w:rPr>
                <w:color w:val="000000" w:themeColor="text1"/>
                <w:szCs w:val="21"/>
                <w14:textFill>
                  <w14:solidFill>
                    <w14:schemeClr w14:val="tx1"/>
                  </w14:solidFill>
                </w14:textFill>
              </w:rPr>
            </w:pPr>
          </w:p>
        </w:tc>
      </w:tr>
      <w:tr w14:paraId="7067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Merge w:val="continue"/>
            <w:vAlign w:val="center"/>
          </w:tcPr>
          <w:p w14:paraId="1265623F">
            <w:pPr>
              <w:pStyle w:val="109"/>
              <w:rPr>
                <w:color w:val="000000" w:themeColor="text1"/>
                <w:szCs w:val="21"/>
                <w14:textFill>
                  <w14:solidFill>
                    <w14:schemeClr w14:val="tx1"/>
                  </w14:solidFill>
                </w14:textFill>
              </w:rPr>
            </w:pPr>
          </w:p>
        </w:tc>
        <w:tc>
          <w:tcPr>
            <w:tcW w:w="2202" w:type="dxa"/>
            <w:vAlign w:val="center"/>
          </w:tcPr>
          <w:p w14:paraId="5676D8B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热解焙烧窑天然气燃烧废气排气筒</w:t>
            </w:r>
          </w:p>
          <w:p w14:paraId="286599F0">
            <w:pPr>
              <w:pStyle w:val="109"/>
              <w:rPr>
                <w:color w:val="000000" w:themeColor="text1"/>
                <w:szCs w:val="21"/>
                <w14:textFill>
                  <w14:solidFill>
                    <w14:schemeClr w14:val="tx1"/>
                  </w14:solidFill>
                </w14:textFill>
              </w:rPr>
            </w:pP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DA00</w:t>
            </w:r>
            <w:r>
              <w:rPr>
                <w:color w:val="000000" w:themeColor="text1"/>
                <w:szCs w:val="21"/>
                <w:lang w:bidi="en-US"/>
                <w14:textFill>
                  <w14:solidFill>
                    <w14:schemeClr w14:val="tx1"/>
                  </w14:solidFill>
                </w14:textFill>
              </w:rPr>
              <w:t>3)</w:t>
            </w:r>
          </w:p>
        </w:tc>
        <w:tc>
          <w:tcPr>
            <w:tcW w:w="1152" w:type="dxa"/>
            <w:vAlign w:val="center"/>
          </w:tcPr>
          <w:p w14:paraId="5CCF4668">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1</w:t>
            </w:r>
          </w:p>
        </w:tc>
        <w:tc>
          <w:tcPr>
            <w:tcW w:w="3316" w:type="dxa"/>
            <w:vAlign w:val="center"/>
          </w:tcPr>
          <w:p w14:paraId="16CCE2C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颗粒物、二氧化硫、氮氧化物</w:t>
            </w:r>
          </w:p>
        </w:tc>
        <w:tc>
          <w:tcPr>
            <w:tcW w:w="2009" w:type="dxa"/>
            <w:vAlign w:val="center"/>
          </w:tcPr>
          <w:p w14:paraId="4D25458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月/次</w:t>
            </w:r>
          </w:p>
        </w:tc>
        <w:tc>
          <w:tcPr>
            <w:tcW w:w="2264" w:type="dxa"/>
            <w:vAlign w:val="center"/>
          </w:tcPr>
          <w:p w14:paraId="56F065B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GB16297-1996</w:t>
            </w:r>
            <w:r>
              <w:rPr>
                <w:color w:val="000000" w:themeColor="text1"/>
                <w:szCs w:val="21"/>
                <w:lang w:bidi="en-US"/>
                <w14:textFill>
                  <w14:solidFill>
                    <w14:schemeClr w14:val="tx1"/>
                  </w14:solidFill>
                </w14:textFill>
              </w:rPr>
              <w:t>)</w:t>
            </w:r>
          </w:p>
        </w:tc>
        <w:tc>
          <w:tcPr>
            <w:tcW w:w="2053" w:type="dxa"/>
            <w:vMerge w:val="continue"/>
            <w:vAlign w:val="center"/>
          </w:tcPr>
          <w:p w14:paraId="5F7A42F7">
            <w:pPr>
              <w:pStyle w:val="109"/>
              <w:rPr>
                <w:color w:val="000000" w:themeColor="text1"/>
                <w:szCs w:val="21"/>
                <w14:textFill>
                  <w14:solidFill>
                    <w14:schemeClr w14:val="tx1"/>
                  </w14:solidFill>
                </w14:textFill>
              </w:rPr>
            </w:pPr>
          </w:p>
        </w:tc>
      </w:tr>
      <w:tr w14:paraId="4F48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Align w:val="center"/>
          </w:tcPr>
          <w:p w14:paraId="5E18A76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无组 织废 气</w:t>
            </w:r>
          </w:p>
        </w:tc>
        <w:tc>
          <w:tcPr>
            <w:tcW w:w="2202" w:type="dxa"/>
            <w:vAlign w:val="center"/>
          </w:tcPr>
          <w:p w14:paraId="72DC084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厂(周)界监控点</w:t>
            </w:r>
          </w:p>
        </w:tc>
        <w:tc>
          <w:tcPr>
            <w:tcW w:w="1152" w:type="dxa"/>
            <w:vAlign w:val="center"/>
          </w:tcPr>
          <w:p w14:paraId="7E36FD35">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1</w:t>
            </w:r>
          </w:p>
        </w:tc>
        <w:tc>
          <w:tcPr>
            <w:tcW w:w="3316" w:type="dxa"/>
            <w:vAlign w:val="center"/>
          </w:tcPr>
          <w:p w14:paraId="03E57BB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挥发性有机物、颗粒物、氯化氢、氟化物、氨、硫化氢、臭气浓度</w:t>
            </w:r>
          </w:p>
        </w:tc>
        <w:tc>
          <w:tcPr>
            <w:tcW w:w="2009" w:type="dxa"/>
            <w:vAlign w:val="center"/>
          </w:tcPr>
          <w:p w14:paraId="15C7459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季度次</w:t>
            </w:r>
          </w:p>
        </w:tc>
        <w:tc>
          <w:tcPr>
            <w:tcW w:w="2264" w:type="dxa"/>
            <w:vAlign w:val="center"/>
          </w:tcPr>
          <w:p w14:paraId="18C66BB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《危险废物焚烧污染控制标准》</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 xml:space="preserve">GB </w:t>
            </w:r>
            <w:r>
              <w:rPr>
                <w:rFonts w:eastAsia="Times New Roman"/>
                <w:color w:val="000000" w:themeColor="text1"/>
                <w:szCs w:val="21"/>
                <w14:textFill>
                  <w14:solidFill>
                    <w14:schemeClr w14:val="tx1"/>
                  </w14:solidFill>
                </w14:textFill>
              </w:rPr>
              <w:t>18484-2001</w:t>
            </w:r>
            <w:r>
              <w:rPr>
                <w:color w:val="000000" w:themeColor="text1"/>
                <w:szCs w:val="21"/>
                <w14:textFill>
                  <w14:solidFill>
                    <w14:schemeClr w14:val="tx1"/>
                  </w14:solidFill>
                </w14:textFill>
              </w:rPr>
              <w:t>)、《恶臭污染物排放标准》</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GB14554-93</w:t>
            </w:r>
            <w:r>
              <w:rPr>
                <w:color w:val="000000" w:themeColor="text1"/>
                <w:szCs w:val="21"/>
                <w:lang w:bidi="en-US"/>
                <w14:textFill>
                  <w14:solidFill>
                    <w14:schemeClr w14:val="tx1"/>
                  </w14:solidFill>
                </w14:textFill>
              </w:rPr>
              <w:t>)</w:t>
            </w:r>
            <w:r>
              <w:rPr>
                <w:color w:val="000000" w:themeColor="text1"/>
                <w:szCs w:val="21"/>
                <w14:textFill>
                  <w14:solidFill>
                    <w14:schemeClr w14:val="tx1"/>
                  </w14:solidFill>
                </w14:textFill>
              </w:rPr>
              <w:t xml:space="preserve">、《大气污染物综合排放标准》 </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GB16297-1996</w:t>
            </w:r>
            <w:r>
              <w:rPr>
                <w:color w:val="000000" w:themeColor="text1"/>
                <w:szCs w:val="21"/>
                <w:lang w:bidi="en-US"/>
                <w14:textFill>
                  <w14:solidFill>
                    <w14:schemeClr w14:val="tx1"/>
                  </w14:solidFill>
                </w14:textFill>
              </w:rPr>
              <w:t>)</w:t>
            </w:r>
          </w:p>
        </w:tc>
        <w:tc>
          <w:tcPr>
            <w:tcW w:w="2053" w:type="dxa"/>
            <w:vMerge w:val="continue"/>
            <w:vAlign w:val="center"/>
          </w:tcPr>
          <w:p w14:paraId="0F1FBAA8">
            <w:pPr>
              <w:pStyle w:val="109"/>
              <w:rPr>
                <w:color w:val="000000" w:themeColor="text1"/>
                <w:szCs w:val="21"/>
                <w14:textFill>
                  <w14:solidFill>
                    <w14:schemeClr w14:val="tx1"/>
                  </w14:solidFill>
                </w14:textFill>
              </w:rPr>
            </w:pPr>
          </w:p>
        </w:tc>
      </w:tr>
      <w:tr w14:paraId="5D87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Merge w:val="restart"/>
            <w:vAlign w:val="center"/>
          </w:tcPr>
          <w:p w14:paraId="7CA1E83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2202" w:type="dxa"/>
            <w:vAlign w:val="center"/>
          </w:tcPr>
          <w:p w14:paraId="6A56D0E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废水总排放口</w:t>
            </w:r>
          </w:p>
        </w:tc>
        <w:tc>
          <w:tcPr>
            <w:tcW w:w="1152" w:type="dxa"/>
            <w:vAlign w:val="center"/>
          </w:tcPr>
          <w:p w14:paraId="1F9869C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316" w:type="dxa"/>
            <w:vAlign w:val="center"/>
          </w:tcPr>
          <w:p w14:paraId="351FFFC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流量、 pH 值、 化学需氧量、氨氮、悬浮物、总磷、总氮、五日生化需氧量、粪大肠菌群数</w:t>
            </w:r>
          </w:p>
        </w:tc>
        <w:tc>
          <w:tcPr>
            <w:tcW w:w="2009" w:type="dxa"/>
            <w:vAlign w:val="center"/>
          </w:tcPr>
          <w:p w14:paraId="27A3ECA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月/次</w:t>
            </w:r>
          </w:p>
        </w:tc>
        <w:tc>
          <w:tcPr>
            <w:tcW w:w="2264" w:type="dxa"/>
            <w:vAlign w:val="center"/>
          </w:tcPr>
          <w:p w14:paraId="56BB86F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《污水综合排放标准》（GB8978-1996）表4三级标准限值</w:t>
            </w:r>
          </w:p>
        </w:tc>
        <w:tc>
          <w:tcPr>
            <w:tcW w:w="2053" w:type="dxa"/>
            <w:vAlign w:val="center"/>
          </w:tcPr>
          <w:p w14:paraId="7335443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《排污单位自行监测技术指南 固体废物焚烧》</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HJ 1205-2021</w:t>
            </w:r>
            <w:r>
              <w:rPr>
                <w:color w:val="000000" w:themeColor="text1"/>
                <w:szCs w:val="21"/>
                <w:lang w:bidi="en-US"/>
                <w14:textFill>
                  <w14:solidFill>
                    <w14:schemeClr w14:val="tx1"/>
                  </w14:solidFill>
                </w14:textFill>
              </w:rPr>
              <w:t>）</w:t>
            </w:r>
          </w:p>
        </w:tc>
      </w:tr>
      <w:tr w14:paraId="245F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jc w:val="center"/>
        </w:trPr>
        <w:tc>
          <w:tcPr>
            <w:tcW w:w="672" w:type="dxa"/>
            <w:vMerge w:val="continue"/>
            <w:vAlign w:val="center"/>
          </w:tcPr>
          <w:p w14:paraId="2832C45A">
            <w:pPr>
              <w:pStyle w:val="109"/>
              <w:rPr>
                <w:color w:val="000000" w:themeColor="text1"/>
                <w:szCs w:val="21"/>
                <w14:textFill>
                  <w14:solidFill>
                    <w14:schemeClr w14:val="tx1"/>
                  </w14:solidFill>
                </w14:textFill>
              </w:rPr>
            </w:pPr>
          </w:p>
        </w:tc>
        <w:tc>
          <w:tcPr>
            <w:tcW w:w="2202" w:type="dxa"/>
            <w:vAlign w:val="center"/>
          </w:tcPr>
          <w:p w14:paraId="3EA36A5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雨水排放口</w:t>
            </w:r>
          </w:p>
        </w:tc>
        <w:tc>
          <w:tcPr>
            <w:tcW w:w="1152" w:type="dxa"/>
            <w:vAlign w:val="center"/>
          </w:tcPr>
          <w:p w14:paraId="1E32730E">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1</w:t>
            </w:r>
          </w:p>
        </w:tc>
        <w:tc>
          <w:tcPr>
            <w:tcW w:w="3316" w:type="dxa"/>
            <w:vAlign w:val="center"/>
          </w:tcPr>
          <w:p w14:paraId="10749A75">
            <w:pPr>
              <w:pStyle w:val="109"/>
              <w:rPr>
                <w:color w:val="000000" w:themeColor="text1"/>
                <w:szCs w:val="21"/>
                <w14:textFill>
                  <w14:solidFill>
                    <w14:schemeClr w14:val="tx1"/>
                  </w14:solidFill>
                </w14:textFill>
              </w:rPr>
            </w:pPr>
            <w:r>
              <w:rPr>
                <w:rFonts w:eastAsia="Times New Roman"/>
                <w:color w:val="000000" w:themeColor="text1"/>
                <w:szCs w:val="21"/>
                <w:lang w:eastAsia="en-US" w:bidi="en-US"/>
                <w14:textFill>
                  <w14:solidFill>
                    <w14:schemeClr w14:val="tx1"/>
                  </w14:solidFill>
                </w14:textFill>
              </w:rPr>
              <w:t>COD</w:t>
            </w:r>
            <w:r>
              <w:rPr>
                <w:color w:val="000000" w:themeColor="text1"/>
                <w:szCs w:val="21"/>
                <w:lang w:eastAsia="en-US" w:bidi="en-US"/>
                <w14:textFill>
                  <w14:solidFill>
                    <w14:schemeClr w14:val="tx1"/>
                  </w14:solidFill>
                </w14:textFill>
              </w:rPr>
              <w:t>、</w:t>
            </w:r>
            <w:r>
              <w:rPr>
                <w:color w:val="000000" w:themeColor="text1"/>
                <w:szCs w:val="21"/>
                <w14:textFill>
                  <w14:solidFill>
                    <w14:schemeClr w14:val="tx1"/>
                  </w14:solidFill>
                </w14:textFill>
              </w:rPr>
              <w:t>氨氮、悬浮物</w:t>
            </w:r>
          </w:p>
        </w:tc>
        <w:tc>
          <w:tcPr>
            <w:tcW w:w="2009" w:type="dxa"/>
            <w:vAlign w:val="center"/>
          </w:tcPr>
          <w:p w14:paraId="6456411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日/次</w:t>
            </w:r>
          </w:p>
          <w:p w14:paraId="4AD9701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（雨水排放口有流动水排放时开展监测，排放期间按日监测，如监测一年无异常情况，每季度第一次有流动水排放时开展按日监测）</w:t>
            </w:r>
          </w:p>
        </w:tc>
        <w:tc>
          <w:tcPr>
            <w:tcW w:w="2264" w:type="dxa"/>
            <w:vAlign w:val="center"/>
          </w:tcPr>
          <w:p w14:paraId="12AD1D36">
            <w:pPr>
              <w:pStyle w:val="109"/>
              <w:rPr>
                <w:color w:val="000000" w:themeColor="text1"/>
                <w:szCs w:val="21"/>
                <w14:textFill>
                  <w14:solidFill>
                    <w14:schemeClr w14:val="tx1"/>
                  </w14:solidFill>
                </w14:textFill>
              </w:rPr>
            </w:pPr>
            <w:r>
              <w:rPr>
                <w:rFonts w:eastAsia="Times New Roman"/>
                <w:color w:val="000000" w:themeColor="text1"/>
                <w:szCs w:val="21"/>
                <w14:textFill>
                  <w14:solidFill>
                    <w14:schemeClr w14:val="tx1"/>
                  </w14:solidFill>
                </w14:textFill>
              </w:rPr>
              <w:t>/</w:t>
            </w:r>
          </w:p>
        </w:tc>
        <w:tc>
          <w:tcPr>
            <w:tcW w:w="2053" w:type="dxa"/>
            <w:vAlign w:val="center"/>
          </w:tcPr>
          <w:p w14:paraId="16465CB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《排污许可证申请 与核发技术规范 危 险废物焚烧》</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 xml:space="preserve">HJ </w:t>
            </w:r>
            <w:r>
              <w:rPr>
                <w:rFonts w:eastAsia="Times New Roman"/>
                <w:color w:val="000000" w:themeColor="text1"/>
                <w:szCs w:val="21"/>
                <w14:textFill>
                  <w14:solidFill>
                    <w14:schemeClr w14:val="tx1"/>
                  </w14:solidFill>
                </w14:textFill>
              </w:rPr>
              <w:t>1038-2019</w:t>
            </w:r>
            <w:r>
              <w:rPr>
                <w:color w:val="000000" w:themeColor="text1"/>
                <w:szCs w:val="21"/>
                <w14:textFill>
                  <w14:solidFill>
                    <w14:schemeClr w14:val="tx1"/>
                  </w14:solidFill>
                </w14:textFill>
              </w:rPr>
              <w:t>)</w:t>
            </w:r>
          </w:p>
        </w:tc>
      </w:tr>
      <w:tr w14:paraId="6EB4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72" w:type="dxa"/>
            <w:vAlign w:val="center"/>
          </w:tcPr>
          <w:p w14:paraId="7EABDD2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202" w:type="dxa"/>
            <w:vAlign w:val="center"/>
          </w:tcPr>
          <w:p w14:paraId="224FA76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w:t>
            </w:r>
            <w:r>
              <w:rPr>
                <w:rFonts w:eastAsia="Times New Roman"/>
                <w:color w:val="000000" w:themeColor="text1"/>
                <w:szCs w:val="21"/>
                <w:lang w:bidi="en-US"/>
                <w14:textFill>
                  <w14:solidFill>
                    <w14:schemeClr w14:val="tx1"/>
                  </w14:solidFill>
                </w14:textFill>
              </w:rPr>
              <w:t>1m</w:t>
            </w:r>
            <w:r>
              <w:rPr>
                <w:color w:val="000000" w:themeColor="text1"/>
                <w:szCs w:val="21"/>
                <w:lang w:bidi="en-US"/>
                <w14:textFill>
                  <w14:solidFill>
                    <w14:schemeClr w14:val="tx1"/>
                  </w14:solidFill>
                </w14:textFill>
              </w:rPr>
              <w:t>、</w:t>
            </w:r>
            <w:r>
              <w:rPr>
                <w:color w:val="000000" w:themeColor="text1"/>
                <w:szCs w:val="21"/>
                <w14:textFill>
                  <w14:solidFill>
                    <w14:schemeClr w14:val="tx1"/>
                  </w14:solidFill>
                </w14:textFill>
              </w:rPr>
              <w:t xml:space="preserve">高于围墙 </w:t>
            </w:r>
            <w:r>
              <w:rPr>
                <w:rFonts w:eastAsia="Times New Roman"/>
                <w:color w:val="000000" w:themeColor="text1"/>
                <w:szCs w:val="21"/>
                <w:lang w:bidi="en-US"/>
                <w14:textFill>
                  <w14:solidFill>
                    <w14:schemeClr w14:val="tx1"/>
                  </w14:solidFill>
                </w14:textFill>
              </w:rPr>
              <w:t>0.5m</w:t>
            </w:r>
            <w:r>
              <w:rPr>
                <w:color w:val="000000" w:themeColor="text1"/>
                <w:szCs w:val="21"/>
                <w14:textFill>
                  <w14:solidFill>
                    <w14:schemeClr w14:val="tx1"/>
                  </w14:solidFill>
                </w14:textFill>
              </w:rPr>
              <w:t>以上的位置</w:t>
            </w:r>
          </w:p>
        </w:tc>
        <w:tc>
          <w:tcPr>
            <w:tcW w:w="1152" w:type="dxa"/>
            <w:vAlign w:val="center"/>
          </w:tcPr>
          <w:p w14:paraId="64D55DC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每侧厂界</w:t>
            </w:r>
          </w:p>
          <w:p w14:paraId="687C5D5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至少</w:t>
            </w:r>
            <w:r>
              <w:rPr>
                <w:rFonts w:eastAsia="Times New Roman"/>
                <w:color w:val="000000" w:themeColor="text1"/>
                <w:szCs w:val="21"/>
                <w14:textFill>
                  <w14:solidFill>
                    <w14:schemeClr w14:val="tx1"/>
                  </w14:solidFill>
                </w14:textFill>
              </w:rPr>
              <w:t>1</w:t>
            </w:r>
            <w:r>
              <w:rPr>
                <w:color w:val="000000" w:themeColor="text1"/>
                <w:szCs w:val="21"/>
                <w14:textFill>
                  <w14:solidFill>
                    <w14:schemeClr w14:val="tx1"/>
                  </w14:solidFill>
                </w14:textFill>
              </w:rPr>
              <w:t>个</w:t>
            </w:r>
          </w:p>
        </w:tc>
        <w:tc>
          <w:tcPr>
            <w:tcW w:w="3316" w:type="dxa"/>
            <w:vAlign w:val="center"/>
          </w:tcPr>
          <w:p w14:paraId="06157A3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等效</w:t>
            </w:r>
            <w:r>
              <w:rPr>
                <w:rFonts w:eastAsia="Times New Roman"/>
                <w:color w:val="000000" w:themeColor="text1"/>
                <w:szCs w:val="21"/>
                <w:lang w:eastAsia="en-US" w:bidi="en-US"/>
                <w14:textFill>
                  <w14:solidFill>
                    <w14:schemeClr w14:val="tx1"/>
                  </w14:solidFill>
                </w14:textFill>
              </w:rPr>
              <w:t>A</w:t>
            </w:r>
            <w:r>
              <w:rPr>
                <w:color w:val="000000" w:themeColor="text1"/>
                <w:szCs w:val="21"/>
                <w14:textFill>
                  <w14:solidFill>
                    <w14:schemeClr w14:val="tx1"/>
                  </w14:solidFill>
                </w14:textFill>
              </w:rPr>
              <w:t>声级(昼夜)</w:t>
            </w:r>
          </w:p>
        </w:tc>
        <w:tc>
          <w:tcPr>
            <w:tcW w:w="2009" w:type="dxa"/>
            <w:vAlign w:val="center"/>
          </w:tcPr>
          <w:p w14:paraId="00FF79B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季度次</w:t>
            </w:r>
          </w:p>
        </w:tc>
        <w:tc>
          <w:tcPr>
            <w:tcW w:w="2264" w:type="dxa"/>
            <w:vAlign w:val="center"/>
          </w:tcPr>
          <w:p w14:paraId="63EDF9A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w:t>
            </w:r>
            <w:r>
              <w:rPr>
                <w:rFonts w:eastAsia="Arial Unicode MS"/>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 12348-</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2008)3</w:t>
            </w:r>
            <w:r>
              <w:rPr>
                <w:color w:val="000000" w:themeColor="text1"/>
                <w:szCs w:val="21"/>
                <w14:textFill>
                  <w14:solidFill>
                    <w14:schemeClr w14:val="tx1"/>
                  </w14:solidFill>
                </w14:textFill>
              </w:rPr>
              <w:t>类标准</w:t>
            </w:r>
          </w:p>
        </w:tc>
        <w:tc>
          <w:tcPr>
            <w:tcW w:w="2063" w:type="dxa"/>
            <w:gridSpan w:val="2"/>
            <w:vAlign w:val="center"/>
          </w:tcPr>
          <w:p w14:paraId="3B8EC1F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 境噪声排放标准》</w:t>
            </w:r>
            <w:r>
              <w:rPr>
                <w:rFonts w:eastAsia="Times New Roman"/>
                <w:color w:val="000000" w:themeColor="text1"/>
                <w:szCs w:val="21"/>
                <w:lang w:bidi="en-US"/>
                <w14:textFill>
                  <w14:solidFill>
                    <w14:schemeClr w14:val="tx1"/>
                  </w14:solidFill>
                </w14:textFill>
              </w:rPr>
              <w:t xml:space="preserve">(GB </w:t>
            </w:r>
            <w:r>
              <w:rPr>
                <w:rFonts w:eastAsia="Times New Roman"/>
                <w:color w:val="000000" w:themeColor="text1"/>
                <w:szCs w:val="21"/>
                <w14:textFill>
                  <w14:solidFill>
                    <w14:schemeClr w14:val="tx1"/>
                  </w14:solidFill>
                </w14:textFill>
              </w:rPr>
              <w:t>12348-2008)</w:t>
            </w:r>
          </w:p>
        </w:tc>
      </w:tr>
      <w:tr w14:paraId="49DD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672" w:type="dxa"/>
            <w:vAlign w:val="center"/>
          </w:tcPr>
          <w:p w14:paraId="17A1037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2202" w:type="dxa"/>
            <w:vAlign w:val="center"/>
          </w:tcPr>
          <w:p w14:paraId="170DE1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焚烧炉渣/焚烧残渣</w:t>
            </w:r>
          </w:p>
          <w:p w14:paraId="0A86BD2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（处理后的废盐）</w:t>
            </w:r>
          </w:p>
        </w:tc>
        <w:tc>
          <w:tcPr>
            <w:tcW w:w="1152" w:type="dxa"/>
            <w:vAlign w:val="center"/>
          </w:tcPr>
          <w:p w14:paraId="6E141CE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316" w:type="dxa"/>
            <w:vAlign w:val="center"/>
          </w:tcPr>
          <w:p w14:paraId="14A65EB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热灼减率</w:t>
            </w:r>
          </w:p>
        </w:tc>
        <w:tc>
          <w:tcPr>
            <w:tcW w:w="2009" w:type="dxa"/>
            <w:vAlign w:val="center"/>
          </w:tcPr>
          <w:p w14:paraId="4D8BF8A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周/次</w:t>
            </w:r>
          </w:p>
        </w:tc>
        <w:tc>
          <w:tcPr>
            <w:tcW w:w="2264" w:type="dxa"/>
            <w:vAlign w:val="center"/>
          </w:tcPr>
          <w:p w14:paraId="0DCE1F2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063" w:type="dxa"/>
            <w:gridSpan w:val="2"/>
            <w:vAlign w:val="center"/>
          </w:tcPr>
          <w:p w14:paraId="378D7C1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《排污单位自行监测技术指南 固体废物焚烧》</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HJ 1205-2021</w:t>
            </w:r>
            <w:r>
              <w:rPr>
                <w:color w:val="000000" w:themeColor="text1"/>
                <w:szCs w:val="21"/>
                <w:lang w:bidi="en-US"/>
                <w14:textFill>
                  <w14:solidFill>
                    <w14:schemeClr w14:val="tx1"/>
                  </w14:solidFill>
                </w14:textFill>
              </w:rPr>
              <w:t>）</w:t>
            </w:r>
          </w:p>
        </w:tc>
      </w:tr>
    </w:tbl>
    <w:p w14:paraId="58BAC9EA">
      <w:pPr>
        <w:pStyle w:val="28"/>
        <w:ind w:firstLine="420"/>
        <w:rPr>
          <w:rFonts w:ascii="Times New Roman" w:eastAsia="黑体" w:cs="Times New Roman"/>
          <w:color w:val="000000" w:themeColor="text1"/>
          <w:sz w:val="21"/>
          <w:szCs w:val="21"/>
          <w14:textFill>
            <w14:solidFill>
              <w14:schemeClr w14:val="tx1"/>
            </w14:solidFill>
          </w14:textFill>
        </w:rPr>
      </w:pPr>
      <w:r>
        <w:rPr>
          <w:rFonts w:ascii="Times New Roman" w:eastAsia="黑体" w:cs="Times New Roman"/>
          <w:color w:val="000000" w:themeColor="text1"/>
          <w:sz w:val="21"/>
          <w:szCs w:val="21"/>
          <w14:textFill>
            <w14:solidFill>
              <w14:schemeClr w14:val="tx1"/>
            </w14:solidFill>
          </w14:textFill>
        </w:rPr>
        <w:t>注：企业运营过程中应根据所处理废盐的具体成分分析检测指标调整废气例行监测的特征污染物。</w:t>
      </w:r>
      <w:bookmarkEnd w:id="667"/>
    </w:p>
    <w:bookmarkEnd w:id="666"/>
    <w:bookmarkEnd w:id="668"/>
    <w:bookmarkEnd w:id="669"/>
    <w:bookmarkEnd w:id="670"/>
    <w:bookmarkEnd w:id="671"/>
    <w:bookmarkEnd w:id="672"/>
    <w:bookmarkEnd w:id="673"/>
    <w:bookmarkEnd w:id="674"/>
    <w:bookmarkEnd w:id="675"/>
    <w:bookmarkEnd w:id="676"/>
    <w:bookmarkEnd w:id="677"/>
    <w:bookmarkEnd w:id="678"/>
    <w:bookmarkEnd w:id="679"/>
    <w:bookmarkEnd w:id="680"/>
    <w:p w14:paraId="17FDC1A7">
      <w:pPr>
        <w:pStyle w:val="1295"/>
        <w:keepNext/>
        <w:keepLines/>
        <w:numPr>
          <w:ilvl w:val="3"/>
          <w:numId w:val="14"/>
        </w:numPr>
        <w:tabs>
          <w:tab w:val="left" w:pos="1529"/>
        </w:tabs>
        <w:spacing w:before="180" w:after="80" w:line="499" w:lineRule="exact"/>
        <w:ind w:firstLine="580"/>
        <w:rPr>
          <w:rFonts w:ascii="Times New Roman" w:hAnsi="Times New Roman" w:cs="Times New Roman"/>
          <w:color w:val="000000" w:themeColor="text1"/>
          <w14:textFill>
            <w14:solidFill>
              <w14:schemeClr w14:val="tx1"/>
            </w14:solidFill>
          </w14:textFill>
        </w:rPr>
        <w:sectPr>
          <w:type w:val="nextColumn"/>
          <w:pgSz w:w="16838" w:h="11906" w:orient="landscape"/>
          <w:pgMar w:top="1418" w:right="1247" w:bottom="1418" w:left="1247" w:header="964" w:footer="964" w:gutter="0"/>
          <w:cols w:space="720" w:num="1"/>
          <w:docGrid w:linePitch="312" w:charSpace="0"/>
        </w:sectPr>
      </w:pPr>
      <w:bookmarkStart w:id="681" w:name="bookmark730"/>
      <w:bookmarkStart w:id="682" w:name="_Toc388796779"/>
      <w:bookmarkStart w:id="683" w:name="_Toc517684792"/>
    </w:p>
    <w:p w14:paraId="65936BF9">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污染事故状态下监测</w:t>
      </w:r>
      <w:bookmarkEnd w:id="681"/>
    </w:p>
    <w:p w14:paraId="63A22D1C">
      <w:pPr>
        <w:ind w:firstLine="480"/>
        <w:rPr>
          <w:color w:val="000000" w:themeColor="text1"/>
          <w14:textFill>
            <w14:solidFill>
              <w14:schemeClr w14:val="tx1"/>
            </w14:solidFill>
          </w14:textFill>
        </w:rPr>
      </w:pPr>
      <w:r>
        <w:rPr>
          <w:color w:val="000000" w:themeColor="text1"/>
          <w14:textFill>
            <w14:solidFill>
              <w14:schemeClr w14:val="tx1"/>
            </w14:solidFill>
          </w14:textFill>
        </w:rPr>
        <w:t>当发生较大及污染事故时，为及时有效的了解本企业事故对外界环境的影响，便于上级部门的指挥和调度，公司需委托当地环境监测站或第三方检测机构进行环境监测，直至污染消除。</w:t>
      </w:r>
    </w:p>
    <w:p w14:paraId="5FA97C76">
      <w:pPr>
        <w:ind w:firstLine="480"/>
        <w:rPr>
          <w:color w:val="000000" w:themeColor="text1"/>
          <w14:textFill>
            <w14:solidFill>
              <w14:schemeClr w14:val="tx1"/>
            </w14:solidFill>
          </w14:textFill>
        </w:rPr>
      </w:pPr>
      <w:r>
        <w:rPr>
          <w:color w:val="000000" w:themeColor="text1"/>
          <w14:textFill>
            <w14:solidFill>
              <w14:schemeClr w14:val="tx1"/>
            </w14:solidFill>
          </w14:textFill>
        </w:rPr>
        <w:t>根据事故类型和事故大小，确定监测点布置，从发生事故开始，直至污染影响消除，方可解除监测。</w:t>
      </w:r>
    </w:p>
    <w:p w14:paraId="0418AD49">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）废水监测</w:t>
      </w:r>
    </w:p>
    <w:p w14:paraId="41BC8B02">
      <w:pPr>
        <w:ind w:firstLine="480"/>
        <w:rPr>
          <w:color w:val="000000" w:themeColor="text1"/>
          <w14:textFill>
            <w14:solidFill>
              <w14:schemeClr w14:val="tx1"/>
            </w14:solidFill>
          </w14:textFill>
        </w:rPr>
      </w:pPr>
      <w:r>
        <w:rPr>
          <w:color w:val="000000" w:themeColor="text1"/>
          <w14:textFill>
            <w14:solidFill>
              <w14:schemeClr w14:val="tx1"/>
            </w14:solidFill>
          </w14:textFill>
        </w:rPr>
        <w:t>监测点：厂内监测点布设同正常生产时的监测采样点。</w:t>
      </w:r>
    </w:p>
    <w:p w14:paraId="792D9C1F">
      <w:pPr>
        <w:ind w:firstLine="480"/>
        <w:rPr>
          <w:color w:val="000000" w:themeColor="text1"/>
          <w14:textFill>
            <w14:solidFill>
              <w14:schemeClr w14:val="tx1"/>
            </w14:solidFill>
          </w14:textFill>
        </w:rPr>
      </w:pPr>
      <w:r>
        <w:rPr>
          <w:color w:val="000000" w:themeColor="text1"/>
          <w14:textFill>
            <w14:solidFill>
              <w14:schemeClr w14:val="tx1"/>
            </w14:solidFill>
          </w14:textFill>
        </w:rPr>
        <w:t>监测因子：</w:t>
      </w:r>
      <w:r>
        <w:rPr>
          <w:rFonts w:eastAsia="Times New Roman"/>
          <w:color w:val="000000" w:themeColor="text1"/>
          <w:lang w:bidi="en-US"/>
          <w14:textFill>
            <w14:solidFill>
              <w14:schemeClr w14:val="tx1"/>
            </w14:solidFill>
          </w14:textFill>
        </w:rPr>
        <w:t>pH</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COD</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SS</w:t>
      </w:r>
      <w:r>
        <w:rPr>
          <w:color w:val="000000" w:themeColor="text1"/>
          <w:lang w:bidi="en-US"/>
          <w14:textFill>
            <w14:solidFill>
              <w14:schemeClr w14:val="tx1"/>
            </w14:solidFill>
          </w14:textFill>
        </w:rPr>
        <w:t>、</w:t>
      </w:r>
      <w:r>
        <w:rPr>
          <w:color w:val="000000" w:themeColor="text1"/>
          <w14:textFill>
            <w14:solidFill>
              <w14:schemeClr w14:val="tx1"/>
            </w14:solidFill>
          </w14:textFill>
        </w:rPr>
        <w:t>氨氮、总磷、石油类、全盐量等，视排放的污染因子确定。</w:t>
      </w:r>
    </w:p>
    <w:p w14:paraId="65CB4DA4">
      <w:pPr>
        <w:ind w:firstLine="480"/>
        <w:rPr>
          <w:color w:val="000000" w:themeColor="text1"/>
          <w14:textFill>
            <w14:solidFill>
              <w14:schemeClr w14:val="tx1"/>
            </w14:solidFill>
          </w14:textFill>
        </w:rPr>
      </w:pPr>
      <w:r>
        <w:rPr>
          <w:color w:val="000000" w:themeColor="text1"/>
          <w14:textFill>
            <w14:solidFill>
              <w14:schemeClr w14:val="tx1"/>
            </w14:solidFill>
          </w14:textFill>
        </w:rPr>
        <w:t>监测频率：每</w:t>
      </w:r>
      <w:r>
        <w:rPr>
          <w:rFonts w:eastAsia="Times New Roman"/>
          <w:color w:val="000000" w:themeColor="text1"/>
          <w:lang w:bidi="en-US"/>
          <w14:textFill>
            <w14:solidFill>
              <w14:schemeClr w14:val="tx1"/>
            </w14:solidFill>
          </w14:textFill>
        </w:rPr>
        <w:t>2h</w:t>
      </w:r>
      <w:r>
        <w:rPr>
          <w:color w:val="000000" w:themeColor="text1"/>
          <w14:textFill>
            <w14:solidFill>
              <w14:schemeClr w14:val="tx1"/>
            </w14:solidFill>
          </w14:textFill>
        </w:rPr>
        <w:t>一次。</w:t>
      </w:r>
    </w:p>
    <w:p w14:paraId="436E7A7F">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）废气监测</w:t>
      </w:r>
    </w:p>
    <w:p w14:paraId="005E45E3">
      <w:pPr>
        <w:ind w:firstLine="480"/>
        <w:rPr>
          <w:color w:val="000000" w:themeColor="text1"/>
          <w14:textFill>
            <w14:solidFill>
              <w14:schemeClr w14:val="tx1"/>
            </w14:solidFill>
          </w14:textFill>
        </w:rPr>
      </w:pPr>
      <w:r>
        <w:rPr>
          <w:color w:val="000000" w:themeColor="text1"/>
          <w14:textFill>
            <w14:solidFill>
              <w14:schemeClr w14:val="tx1"/>
            </w14:solidFill>
          </w14:textFill>
        </w:rPr>
        <w:t>火灾爆炸：监测因子根据事故具体情况确定。下风向布设</w:t>
      </w:r>
      <w:r>
        <w:rPr>
          <w:rFonts w:eastAsia="Times New Roman"/>
          <w:color w:val="000000" w:themeColor="text1"/>
          <w14:textFill>
            <w14:solidFill>
              <w14:schemeClr w14:val="tx1"/>
            </w14:solidFill>
          </w14:textFill>
        </w:rPr>
        <w:t>2</w:t>
      </w:r>
      <w:r>
        <w:rPr>
          <w:rFonts w:eastAsia="Arial Unicode MS"/>
          <w:color w:val="000000" w:themeColor="text1"/>
          <w14:textFill>
            <w14:solidFill>
              <w14:schemeClr w14:val="tx1"/>
            </w14:solidFill>
          </w14:textFill>
        </w:rPr>
        <w:t>-</w:t>
      </w:r>
      <w:r>
        <w:rPr>
          <w:rFonts w:eastAsia="Times New Roman"/>
          <w:color w:val="000000" w:themeColor="text1"/>
          <w14:textFill>
            <w14:solidFill>
              <w14:schemeClr w14:val="tx1"/>
            </w14:solidFill>
          </w14:textFill>
        </w:rPr>
        <w:t>5</w:t>
      </w:r>
      <w:r>
        <w:rPr>
          <w:color w:val="000000" w:themeColor="text1"/>
          <w14:textFill>
            <w14:solidFill>
              <w14:schemeClr w14:val="tx1"/>
            </w14:solidFill>
          </w14:textFill>
        </w:rPr>
        <w:t>个监测点，</w:t>
      </w:r>
      <w:r>
        <w:rPr>
          <w:rFonts w:eastAsia="Times New Roman"/>
          <w:color w:val="000000" w:themeColor="text1"/>
          <w14:textFill>
            <w14:solidFill>
              <w14:schemeClr w14:val="tx1"/>
            </w14:solidFill>
          </w14:textFill>
        </w:rPr>
        <w:t>1</w:t>
      </w:r>
      <w:r>
        <w:rPr>
          <w:rFonts w:eastAsia="Arial Unicode MS"/>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个位于项目厂界外</w:t>
      </w:r>
      <w:r>
        <w:rPr>
          <w:rFonts w:eastAsia="Times New Roman"/>
          <w:color w:val="000000" w:themeColor="text1"/>
          <w:lang w:bidi="en-US"/>
          <w14:textFill>
            <w14:solidFill>
              <w14:schemeClr w14:val="tx1"/>
            </w14:solidFill>
          </w14:textFill>
        </w:rPr>
        <w:t>10m</w:t>
      </w:r>
      <w:r>
        <w:rPr>
          <w:color w:val="000000" w:themeColor="text1"/>
          <w14:textFill>
            <w14:solidFill>
              <w14:schemeClr w14:val="tx1"/>
            </w14:solidFill>
          </w14:textFill>
        </w:rPr>
        <w:t>处，下风向</w:t>
      </w:r>
      <w:r>
        <w:rPr>
          <w:rFonts w:eastAsia="Times New Roman"/>
          <w:color w:val="000000" w:themeColor="text1"/>
          <w:lang w:bidi="en-US"/>
          <w14:textFill>
            <w14:solidFill>
              <w14:schemeClr w14:val="tx1"/>
            </w14:solidFill>
          </w14:textFill>
        </w:rPr>
        <w:t>200m</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500m</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1000m</w:t>
      </w:r>
      <w:r>
        <w:rPr>
          <w:color w:val="000000" w:themeColor="text1"/>
          <w14:textFill>
            <w14:solidFill>
              <w14:schemeClr w14:val="tx1"/>
            </w14:solidFill>
          </w14:textFill>
        </w:rPr>
        <w:t>处各设</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个监测点，连续监测</w:t>
      </w:r>
      <w:r>
        <w:rPr>
          <w:rFonts w:eastAsia="Times New Roman"/>
          <w:color w:val="000000" w:themeColor="text1"/>
          <w:lang w:bidi="en-US"/>
          <w14:textFill>
            <w14:solidFill>
              <w14:schemeClr w14:val="tx1"/>
            </w14:solidFill>
          </w14:textFill>
        </w:rPr>
        <w:t>2d</w:t>
      </w:r>
      <w:r>
        <w:rPr>
          <w:color w:val="000000" w:themeColor="text1"/>
          <w:lang w:bidi="en-US"/>
          <w14:textFill>
            <w14:solidFill>
              <w14:schemeClr w14:val="tx1"/>
            </w14:solidFill>
          </w14:textFill>
        </w:rPr>
        <w:t>，</w:t>
      </w:r>
      <w:r>
        <w:rPr>
          <w:color w:val="000000" w:themeColor="text1"/>
          <w14:textFill>
            <w14:solidFill>
              <w14:schemeClr w14:val="tx1"/>
            </w14:solidFill>
          </w14:textFill>
        </w:rPr>
        <w:t>每天</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次，必要时可增加监测频次。周边居民区等处可视具体风向确定点位。</w:t>
      </w:r>
    </w:p>
    <w:p w14:paraId="3BABD095">
      <w:pPr>
        <w:ind w:firstLine="480"/>
        <w:rPr>
          <w:color w:val="000000" w:themeColor="text1"/>
          <w14:textFill>
            <w14:solidFill>
              <w14:schemeClr w14:val="tx1"/>
            </w14:solidFill>
          </w14:textFill>
        </w:rPr>
      </w:pPr>
      <w:r>
        <w:rPr>
          <w:color w:val="000000" w:themeColor="text1"/>
          <w14:textFill>
            <w14:solidFill>
              <w14:schemeClr w14:val="tx1"/>
            </w14:solidFill>
          </w14:textFill>
        </w:rPr>
        <w:t>废气处理设施非正常排放状况：监测因子根据事故具体情况确定。下风向布设</w:t>
      </w:r>
      <w:r>
        <w:rPr>
          <w:rFonts w:eastAsia="Times New Roman"/>
          <w:color w:val="000000" w:themeColor="text1"/>
          <w14:textFill>
            <w14:solidFill>
              <w14:schemeClr w14:val="tx1"/>
            </w14:solidFill>
          </w14:textFill>
        </w:rPr>
        <w:t>2</w:t>
      </w:r>
      <w:r>
        <w:rPr>
          <w:rFonts w:eastAsia="Arial Unicode MS"/>
          <w:color w:val="000000" w:themeColor="text1"/>
          <w14:textFill>
            <w14:solidFill>
              <w14:schemeClr w14:val="tx1"/>
            </w14:solidFill>
          </w14:textFill>
        </w:rPr>
        <w:t>-</w:t>
      </w:r>
      <w:r>
        <w:rPr>
          <w:rFonts w:eastAsia="Times New Roman"/>
          <w:color w:val="000000" w:themeColor="text1"/>
          <w14:textFill>
            <w14:solidFill>
              <w14:schemeClr w14:val="tx1"/>
            </w14:solidFill>
          </w14:textFill>
        </w:rPr>
        <w:t>5</w:t>
      </w:r>
      <w:r>
        <w:rPr>
          <w:color w:val="000000" w:themeColor="text1"/>
          <w14:textFill>
            <w14:solidFill>
              <w14:schemeClr w14:val="tx1"/>
            </w14:solidFill>
          </w14:textFill>
        </w:rPr>
        <w:t>个监测点，若当天风速较大</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1.5m/s</w:t>
      </w:r>
      <w:r>
        <w:rPr>
          <w:color w:val="000000" w:themeColor="text1"/>
          <w:lang w:bidi="en-US"/>
          <w14:textFill>
            <w14:solidFill>
              <w14:schemeClr w14:val="tx1"/>
            </w14:solidFill>
          </w14:textFill>
        </w:rPr>
        <w:t>）</w:t>
      </w:r>
      <w:r>
        <w:rPr>
          <w:color w:val="000000" w:themeColor="text1"/>
          <w14:textFill>
            <w14:solidFill>
              <w14:schemeClr w14:val="tx1"/>
            </w14:solidFill>
          </w14:textFill>
        </w:rPr>
        <w:t>，则考虑在下风向</w:t>
      </w:r>
      <w:r>
        <w:rPr>
          <w:rFonts w:eastAsia="Times New Roman"/>
          <w:color w:val="000000" w:themeColor="text1"/>
          <w:lang w:bidi="en-US"/>
          <w14:textFill>
            <w14:solidFill>
              <w14:schemeClr w14:val="tx1"/>
            </w14:solidFill>
          </w14:textFill>
        </w:rPr>
        <w:t>200m</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500m</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1000m</w:t>
      </w:r>
      <w:r>
        <w:rPr>
          <w:color w:val="000000" w:themeColor="text1"/>
          <w14:textFill>
            <w14:solidFill>
              <w14:schemeClr w14:val="tx1"/>
            </w14:solidFill>
          </w14:textFill>
        </w:rPr>
        <w:t>处各设</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个监测点，连续监测</w:t>
      </w:r>
      <w:r>
        <w:rPr>
          <w:rFonts w:eastAsia="Times New Roman"/>
          <w:color w:val="000000" w:themeColor="text1"/>
          <w:lang w:bidi="en-US"/>
          <w14:textFill>
            <w14:solidFill>
              <w14:schemeClr w14:val="tx1"/>
            </w14:solidFill>
          </w14:textFill>
        </w:rPr>
        <w:t>2d</w:t>
      </w:r>
      <w:r>
        <w:rPr>
          <w:color w:val="000000" w:themeColor="text1"/>
          <w:lang w:bidi="en-US"/>
          <w14:textFill>
            <w14:solidFill>
              <w14:schemeClr w14:val="tx1"/>
            </w14:solidFill>
          </w14:textFill>
        </w:rPr>
        <w:t>，</w:t>
      </w:r>
      <w:r>
        <w:rPr>
          <w:color w:val="000000" w:themeColor="text1"/>
          <w14:textFill>
            <w14:solidFill>
              <w14:schemeClr w14:val="tx1"/>
            </w14:solidFill>
          </w14:textFill>
        </w:rPr>
        <w:t>每天</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次；若当天风速较小</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1.5m/s</w:t>
      </w:r>
      <w:r>
        <w:rPr>
          <w:color w:val="000000" w:themeColor="text1"/>
          <w:lang w:bidi="en-US"/>
          <w14:textFill>
            <w14:solidFill>
              <w14:schemeClr w14:val="tx1"/>
            </w14:solidFill>
          </w14:textFill>
        </w:rPr>
        <w:t>）</w:t>
      </w:r>
      <w:r>
        <w:rPr>
          <w:color w:val="000000" w:themeColor="text1"/>
          <w14:textFill>
            <w14:solidFill>
              <w14:schemeClr w14:val="tx1"/>
            </w14:solidFill>
          </w14:textFill>
        </w:rPr>
        <w:t>，则考虑在厂区内及下风向</w:t>
      </w:r>
      <w:r>
        <w:rPr>
          <w:rFonts w:eastAsia="Times New Roman"/>
          <w:color w:val="000000" w:themeColor="text1"/>
          <w:lang w:bidi="en-US"/>
          <w14:textFill>
            <w14:solidFill>
              <w14:schemeClr w14:val="tx1"/>
            </w14:solidFill>
          </w14:textFill>
        </w:rPr>
        <w:t>150m</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500m</w:t>
      </w:r>
      <w:r>
        <w:rPr>
          <w:color w:val="000000" w:themeColor="text1"/>
          <w14:textFill>
            <w14:solidFill>
              <w14:schemeClr w14:val="tx1"/>
            </w14:solidFill>
          </w14:textFill>
        </w:rPr>
        <w:t>处各设</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个监测点，连续监测</w:t>
      </w:r>
      <w:r>
        <w:rPr>
          <w:rFonts w:eastAsia="Times New Roman"/>
          <w:color w:val="000000" w:themeColor="text1"/>
          <w:lang w:bidi="en-US"/>
          <w14:textFill>
            <w14:solidFill>
              <w14:schemeClr w14:val="tx1"/>
            </w14:solidFill>
          </w14:textFill>
        </w:rPr>
        <w:t>2d</w:t>
      </w:r>
      <w:r>
        <w:rPr>
          <w:color w:val="000000" w:themeColor="text1"/>
          <w:lang w:bidi="en-US"/>
          <w14:textFill>
            <w14:solidFill>
              <w14:schemeClr w14:val="tx1"/>
            </w14:solidFill>
          </w14:textFill>
        </w:rPr>
        <w:t>，</w:t>
      </w:r>
      <w:r>
        <w:rPr>
          <w:color w:val="000000" w:themeColor="text1"/>
          <w14:textFill>
            <w14:solidFill>
              <w14:schemeClr w14:val="tx1"/>
            </w14:solidFill>
          </w14:textFill>
        </w:rPr>
        <w:t>每天</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次。</w:t>
      </w:r>
    </w:p>
    <w:p w14:paraId="496DCA08">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）噪声监测点</w:t>
      </w:r>
    </w:p>
    <w:p w14:paraId="13EC7E55">
      <w:pPr>
        <w:ind w:firstLine="480"/>
        <w:rPr>
          <w:color w:val="000000" w:themeColor="text1"/>
          <w14:textFill>
            <w14:solidFill>
              <w14:schemeClr w14:val="tx1"/>
            </w14:solidFill>
          </w14:textFill>
        </w:rPr>
      </w:pPr>
      <w:r>
        <w:rPr>
          <w:color w:val="000000" w:themeColor="text1"/>
          <w14:textFill>
            <w14:solidFill>
              <w14:schemeClr w14:val="tx1"/>
            </w14:solidFill>
          </w14:textFill>
        </w:rPr>
        <w:t>监测点设在正常生产运行的监测点，设备异常事故引起厂界噪声超标时，及时停机进行检修，消除异常后进行厂界监测，直至厂界达标。</w:t>
      </w:r>
    </w:p>
    <w:p w14:paraId="72B74C28">
      <w:pPr>
        <w:pStyle w:val="4"/>
        <w:rPr>
          <w:rFonts w:ascii="Times New Roman" w:cs="Times New Roman"/>
          <w:color w:val="000000" w:themeColor="text1"/>
          <w14:textFill>
            <w14:solidFill>
              <w14:schemeClr w14:val="tx1"/>
            </w14:solidFill>
          </w14:textFill>
        </w:rPr>
      </w:pPr>
      <w:bookmarkStart w:id="684" w:name="bookmark733"/>
      <w:bookmarkStart w:id="685" w:name="bookmark732"/>
      <w:r>
        <w:rPr>
          <w:rFonts w:ascii="Times New Roman" w:cs="Times New Roman"/>
          <w:color w:val="000000" w:themeColor="text1"/>
          <w14:textFill>
            <w14:solidFill>
              <w14:schemeClr w14:val="tx1"/>
            </w14:solidFill>
          </w14:textFill>
        </w:rPr>
        <w:t>环境质量监测</w:t>
      </w:r>
      <w:bookmarkEnd w:id="684"/>
      <w:bookmarkEnd w:id="685"/>
    </w:p>
    <w:p w14:paraId="7CF18D18">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sz w:val="28"/>
          <w:szCs w:val="28"/>
          <w14:textFill>
            <w14:solidFill>
              <w14:schemeClr w14:val="tx1"/>
            </w14:solidFill>
          </w14:textFill>
        </w:rPr>
        <w:t>1</w:t>
      </w:r>
      <w:r>
        <w:rPr>
          <w:color w:val="000000" w:themeColor="text1"/>
          <w14:textFill>
            <w14:solidFill>
              <w14:schemeClr w14:val="tx1"/>
            </w14:solidFill>
          </w14:textFill>
        </w:rPr>
        <w:t>）大气环境质量监测</w:t>
      </w:r>
    </w:p>
    <w:p w14:paraId="59BEC794">
      <w:pPr>
        <w:ind w:firstLine="480"/>
        <w:rPr>
          <w:color w:val="000000" w:themeColor="text1"/>
          <w14:textFill>
            <w14:solidFill>
              <w14:schemeClr w14:val="tx1"/>
            </w14:solidFill>
          </w14:textFill>
        </w:rPr>
      </w:pPr>
      <w:r>
        <w:rPr>
          <w:color w:val="000000" w:themeColor="text1"/>
          <w14:textFill>
            <w14:solidFill>
              <w14:schemeClr w14:val="tx1"/>
            </w14:solidFill>
          </w14:textFill>
        </w:rPr>
        <w:t>监测时段：每年一次。</w:t>
      </w:r>
    </w:p>
    <w:p w14:paraId="06FB6E55">
      <w:pPr>
        <w:ind w:firstLine="480"/>
        <w:rPr>
          <w:color w:val="000000" w:themeColor="text1"/>
          <w14:textFill>
            <w14:solidFill>
              <w14:schemeClr w14:val="tx1"/>
            </w14:solidFill>
          </w14:textFill>
        </w:rPr>
      </w:pPr>
      <w:r>
        <w:rPr>
          <w:color w:val="000000" w:themeColor="text1"/>
          <w14:textFill>
            <w14:solidFill>
              <w14:schemeClr w14:val="tx1"/>
            </w14:solidFill>
          </w14:textFill>
        </w:rPr>
        <w:t>监测点位：厂区全年主导风向下风向500m处。</w:t>
      </w:r>
    </w:p>
    <w:p w14:paraId="76C46620">
      <w:pPr>
        <w:ind w:firstLine="480"/>
        <w:rPr>
          <w:color w:val="000000" w:themeColor="text1"/>
          <w14:textFill>
            <w14:solidFill>
              <w14:schemeClr w14:val="tx1"/>
            </w14:solidFill>
          </w14:textFill>
        </w:rPr>
      </w:pPr>
      <w:r>
        <w:rPr>
          <w:color w:val="000000" w:themeColor="text1"/>
          <w14:textFill>
            <w14:solidFill>
              <w14:schemeClr w14:val="tx1"/>
            </w14:solidFill>
          </w14:textFill>
        </w:rPr>
        <w:t>监测项目：氨气、臭气浓度、</w:t>
      </w:r>
      <w:r>
        <w:rPr>
          <w:rFonts w:eastAsia="Times New Roman"/>
          <w:color w:val="000000" w:themeColor="text1"/>
          <w:lang w:bidi="en-US"/>
          <w14:textFill>
            <w14:solidFill>
              <w14:schemeClr w14:val="tx1"/>
            </w14:solidFill>
          </w14:textFill>
        </w:rPr>
        <w:t>VOCs</w:t>
      </w:r>
      <w:r>
        <w:rPr>
          <w:color w:val="000000" w:themeColor="text1"/>
          <w:lang w:bidi="en-US"/>
          <w14:textFill>
            <w14:solidFill>
              <w14:schemeClr w14:val="tx1"/>
            </w14:solidFill>
          </w14:textFill>
        </w:rPr>
        <w:t>、</w:t>
      </w:r>
      <w:r>
        <w:rPr>
          <w:color w:val="000000" w:themeColor="text1"/>
          <w14:textFill>
            <w14:solidFill>
              <w14:schemeClr w14:val="tx1"/>
            </w14:solidFill>
          </w14:textFill>
        </w:rPr>
        <w:t>颗粒物、氯化氢、氟化物、</w:t>
      </w:r>
      <w:r>
        <w:rPr>
          <w:rFonts w:eastAsia="Times New Roman"/>
          <w:color w:val="000000" w:themeColor="text1"/>
          <w:lang w:bidi="en-US"/>
          <w14:textFill>
            <w14:solidFill>
              <w14:schemeClr w14:val="tx1"/>
            </w14:solidFill>
          </w14:textFill>
        </w:rPr>
        <w:t>SO</w:t>
      </w:r>
      <w:r>
        <w:rPr>
          <w:rFonts w:eastAsia="Times New Roman"/>
          <w:color w:val="000000" w:themeColor="text1"/>
          <w:vertAlign w:val="subscript"/>
          <w:lang w:bidi="en-US"/>
          <w14:textFill>
            <w14:solidFill>
              <w14:schemeClr w14:val="tx1"/>
            </w14:solidFill>
          </w14:textFill>
        </w:rPr>
        <w:t>2</w:t>
      </w:r>
      <w:r>
        <w:rPr>
          <w:color w:val="000000" w:themeColor="text1"/>
          <w:lang w:bidi="en-US"/>
          <w14:textFill>
            <w14:solidFill>
              <w14:schemeClr w14:val="tx1"/>
            </w14:solidFill>
          </w14:textFill>
        </w:rPr>
        <w:t>、</w:t>
      </w:r>
      <w:r>
        <w:rPr>
          <w:rFonts w:eastAsia="Times New Roman"/>
          <w:smallCaps/>
          <w:color w:val="000000" w:themeColor="text1"/>
          <w:lang w:bidi="en-US"/>
          <w14:textFill>
            <w14:solidFill>
              <w14:schemeClr w14:val="tx1"/>
            </w14:solidFill>
          </w14:textFill>
        </w:rPr>
        <w:t>NOx</w:t>
      </w:r>
      <w:r>
        <w:rPr>
          <w:smallCaps/>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CO</w:t>
      </w:r>
      <w:r>
        <w:rPr>
          <w:color w:val="000000" w:themeColor="text1"/>
          <w:lang w:bidi="en-US"/>
          <w14:textFill>
            <w14:solidFill>
              <w14:schemeClr w14:val="tx1"/>
            </w14:solidFill>
          </w14:textFill>
        </w:rPr>
        <w:t>、</w:t>
      </w:r>
      <w:r>
        <w:rPr>
          <w:color w:val="000000" w:themeColor="text1"/>
          <w14:textFill>
            <w14:solidFill>
              <w14:schemeClr w14:val="tx1"/>
            </w14:solidFill>
          </w14:textFill>
        </w:rPr>
        <w:t>汞、镉、铬、铅、</w:t>
      </w:r>
      <w:r>
        <w:rPr>
          <w:rFonts w:hint="eastAsia"/>
          <w:color w:val="000000" w:themeColor="text1"/>
          <w14:textFill>
            <w14:solidFill>
              <w14:schemeClr w14:val="tx1"/>
            </w14:solidFill>
          </w14:textFill>
        </w:rPr>
        <w:t>铊、</w:t>
      </w:r>
      <w:r>
        <w:rPr>
          <w:color w:val="000000" w:themeColor="text1"/>
          <w14:textFill>
            <w14:solidFill>
              <w14:schemeClr w14:val="tx1"/>
            </w14:solidFill>
          </w14:textFill>
        </w:rPr>
        <w:t>砷、锡</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锑</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铜</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锰</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镍</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钴</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Sn+Sb+Cu+Mn+Ni+Co</w:t>
      </w:r>
      <w:r>
        <w:rPr>
          <w:color w:val="000000" w:themeColor="text1"/>
          <w:lang w:bidi="en-US"/>
          <w14:textFill>
            <w14:solidFill>
              <w14:schemeClr w14:val="tx1"/>
            </w14:solidFill>
          </w14:textFill>
        </w:rPr>
        <w:t>）、</w:t>
      </w:r>
      <w:r>
        <w:rPr>
          <w:color w:val="000000" w:themeColor="text1"/>
          <w14:textFill>
            <w14:solidFill>
              <w14:schemeClr w14:val="tx1"/>
            </w14:solidFill>
          </w14:textFill>
        </w:rPr>
        <w:t>二噁英。</w:t>
      </w:r>
    </w:p>
    <w:p w14:paraId="678EE31E">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）土壤监测：在厂内车间主导风向下风向设</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个监测点，采集</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个柱状样品</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0.5-3m</w:t>
      </w:r>
      <w:r>
        <w:rPr>
          <w:color w:val="000000" w:themeColor="text1"/>
          <w:lang w:bidi="en-US"/>
          <w14:textFill>
            <w14:solidFill>
              <w14:schemeClr w14:val="tx1"/>
            </w14:solidFill>
          </w14:textFill>
        </w:rPr>
        <w:t>）</w:t>
      </w:r>
      <w:r>
        <w:rPr>
          <w:color w:val="000000" w:themeColor="text1"/>
          <w14:textFill>
            <w14:solidFill>
              <w14:schemeClr w14:val="tx1"/>
            </w14:solidFill>
          </w14:textFill>
        </w:rPr>
        <w:t>，在厂区办公区布设</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个对照监测点，采集表面样品。监测因子为砷、镉、铬（六价）、铜、铅、汞、镍、挥发性有机物、半挥发性有机物、石油烃、氟化物、二噁英，频率为每</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年监测一次。</w:t>
      </w:r>
    </w:p>
    <w:p w14:paraId="6FABDBB9">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）地下水跟踪监测方案：</w:t>
      </w:r>
    </w:p>
    <w:p w14:paraId="2F1942A4">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监测点的位置：根据导则，对于二级评价项目，项目运行期跟踪监测点的布置一般不少于</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个，本项目拟在建设项目场地上、侧向、下游各布设</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个，其中监测点位于下游的监测点为污染扩散监测点。监测层位为潜水含水层，采样深度为水位以下</w:t>
      </w:r>
      <w:r>
        <w:rPr>
          <w:rFonts w:eastAsia="Times New Roman"/>
          <w:color w:val="000000" w:themeColor="text1"/>
          <w:lang w:bidi="en-US"/>
          <w14:textFill>
            <w14:solidFill>
              <w14:schemeClr w14:val="tx1"/>
            </w14:solidFill>
          </w14:textFill>
        </w:rPr>
        <w:t>1.0m</w:t>
      </w:r>
      <w:r>
        <w:rPr>
          <w:color w:val="000000" w:themeColor="text1"/>
          <w14:textFill>
            <w14:solidFill>
              <w14:schemeClr w14:val="tx1"/>
            </w14:solidFill>
          </w14:textFill>
        </w:rPr>
        <w:t>之内。</w:t>
      </w:r>
    </w:p>
    <w:p w14:paraId="771E5FEC">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监测因子：</w:t>
      </w:r>
      <w:r>
        <w:rPr>
          <w:rFonts w:eastAsia="Times New Roman"/>
          <w:color w:val="000000" w:themeColor="text1"/>
          <w:lang w:bidi="en-US"/>
          <w14:textFill>
            <w14:solidFill>
              <w14:schemeClr w14:val="tx1"/>
            </w14:solidFill>
          </w14:textFill>
        </w:rPr>
        <w:t>K</w:t>
      </w:r>
      <w:r>
        <w:rPr>
          <w:rFonts w:eastAsia="Times New Roman"/>
          <w:color w:val="000000" w:themeColor="text1"/>
          <w:vertAlign w:val="superscript"/>
          <w:lang w:bidi="en-US"/>
          <w14:textFill>
            <w14:solidFill>
              <w14:schemeClr w14:val="tx1"/>
            </w14:solidFill>
          </w14:textFill>
        </w:rPr>
        <w:t>+</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Na</w:t>
      </w:r>
      <w:r>
        <w:rPr>
          <w:rFonts w:eastAsia="Times New Roman"/>
          <w:color w:val="000000" w:themeColor="text1"/>
          <w:vertAlign w:val="superscript"/>
          <w:lang w:bidi="en-US"/>
          <w14:textFill>
            <w14:solidFill>
              <w14:schemeClr w14:val="tx1"/>
            </w14:solidFill>
          </w14:textFill>
        </w:rPr>
        <w:t>+</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Ca</w:t>
      </w:r>
      <w:r>
        <w:rPr>
          <w:rFonts w:eastAsia="Times New Roman"/>
          <w:color w:val="000000" w:themeColor="text1"/>
          <w:vertAlign w:val="superscript"/>
          <w:lang w:bidi="en-US"/>
          <w14:textFill>
            <w14:solidFill>
              <w14:schemeClr w14:val="tx1"/>
            </w14:solidFill>
          </w14:textFill>
        </w:rPr>
        <w:t>2+</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Mg</w:t>
      </w:r>
      <w:r>
        <w:rPr>
          <w:rFonts w:eastAsia="Times New Roman"/>
          <w:color w:val="000000" w:themeColor="text1"/>
          <w:vertAlign w:val="superscript"/>
          <w:lang w:bidi="en-US"/>
          <w14:textFill>
            <w14:solidFill>
              <w14:schemeClr w14:val="tx1"/>
            </w14:solidFill>
          </w14:textFill>
        </w:rPr>
        <w:t>2+</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CO</w:t>
      </w:r>
      <w:r>
        <w:rPr>
          <w:rFonts w:eastAsia="Times New Roman"/>
          <w:color w:val="000000" w:themeColor="text1"/>
          <w:vertAlign w:val="subscript"/>
          <w:lang w:bidi="en-US"/>
          <w14:textFill>
            <w14:solidFill>
              <w14:schemeClr w14:val="tx1"/>
            </w14:solidFill>
          </w14:textFill>
        </w:rPr>
        <w:t>3</w:t>
      </w:r>
      <w:r>
        <w:rPr>
          <w:rFonts w:eastAsia="Times New Roman"/>
          <w:color w:val="000000" w:themeColor="text1"/>
          <w:vertAlign w:val="superscript"/>
          <w:lang w:bidi="en-US"/>
          <w14:textFill>
            <w14:solidFill>
              <w14:schemeClr w14:val="tx1"/>
            </w14:solidFill>
          </w14:textFill>
        </w:rPr>
        <w:t>2-</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HCO</w:t>
      </w:r>
      <w:r>
        <w:rPr>
          <w:rFonts w:eastAsia="Times New Roman"/>
          <w:color w:val="000000" w:themeColor="text1"/>
          <w:vertAlign w:val="superscript"/>
          <w:lang w:bidi="en-US"/>
          <w14:textFill>
            <w14:solidFill>
              <w14:schemeClr w14:val="tx1"/>
            </w14:solidFill>
          </w14:textFill>
        </w:rPr>
        <w:t>3-</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Cl</w:t>
      </w:r>
      <w:r>
        <w:rPr>
          <w:rFonts w:eastAsia="Times New Roman"/>
          <w:color w:val="000000" w:themeColor="text1"/>
          <w:vertAlign w:val="superscript"/>
          <w:lang w:bidi="en-US"/>
          <w14:textFill>
            <w14:solidFill>
              <w14:schemeClr w14:val="tx1"/>
            </w14:solidFill>
          </w14:textFill>
        </w:rPr>
        <w:t>-</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SO</w:t>
      </w:r>
      <w:r>
        <w:rPr>
          <w:rFonts w:eastAsia="Times New Roman"/>
          <w:color w:val="000000" w:themeColor="text1"/>
          <w:vertAlign w:val="subscript"/>
          <w:lang w:bidi="en-US"/>
          <w14:textFill>
            <w14:solidFill>
              <w14:schemeClr w14:val="tx1"/>
            </w14:solidFill>
          </w14:textFill>
        </w:rPr>
        <w:t>4</w:t>
      </w:r>
      <w:r>
        <w:rPr>
          <w:rFonts w:eastAsia="Times New Roman"/>
          <w:color w:val="000000" w:themeColor="text1"/>
          <w:vertAlign w:val="superscript"/>
          <w:lang w:bidi="en-US"/>
          <w14:textFill>
            <w14:solidFill>
              <w14:schemeClr w14:val="tx1"/>
            </w14:solidFill>
          </w14:textFill>
        </w:rPr>
        <w:t>2-</w:t>
      </w:r>
      <w:r>
        <w:rPr>
          <w:color w:val="000000" w:themeColor="text1"/>
          <w:lang w:bidi="en-US"/>
          <w14:textFill>
            <w14:solidFill>
              <w14:schemeClr w14:val="tx1"/>
            </w14:solidFill>
          </w14:textFill>
        </w:rPr>
        <w:t>、</w:t>
      </w:r>
      <w:r>
        <w:rPr>
          <w:rFonts w:eastAsia="Times New Roman"/>
          <w:color w:val="000000" w:themeColor="text1"/>
          <w:lang w:bidi="en-US"/>
          <w14:textFill>
            <w14:solidFill>
              <w14:schemeClr w14:val="tx1"/>
            </w14:solidFill>
          </w14:textFill>
        </w:rPr>
        <w:t>pH</w:t>
      </w:r>
      <w:r>
        <w:rPr>
          <w:color w:val="000000" w:themeColor="text1"/>
          <w:lang w:bidi="en-US"/>
          <w14:textFill>
            <w14:solidFill>
              <w14:schemeClr w14:val="tx1"/>
            </w14:solidFill>
          </w14:textFill>
        </w:rPr>
        <w:t>、</w:t>
      </w:r>
      <w:r>
        <w:rPr>
          <w:color w:val="000000" w:themeColor="text1"/>
          <w14:textFill>
            <w14:solidFill>
              <w14:schemeClr w14:val="tx1"/>
            </w14:solidFill>
          </w14:textFill>
        </w:rPr>
        <w:t>总硬度、溶解性总固体、氨氮、硝酸盐（以</w:t>
      </w:r>
      <w:r>
        <w:rPr>
          <w:rFonts w:eastAsia="Times New Roman"/>
          <w:color w:val="000000" w:themeColor="text1"/>
          <w:lang w:bidi="en-US"/>
          <w14:textFill>
            <w14:solidFill>
              <w14:schemeClr w14:val="tx1"/>
            </w14:solidFill>
          </w14:textFill>
        </w:rPr>
        <w:t>N</w:t>
      </w:r>
      <w:r>
        <w:rPr>
          <w:color w:val="000000" w:themeColor="text1"/>
          <w14:textFill>
            <w14:solidFill>
              <w14:schemeClr w14:val="tx1"/>
            </w14:solidFill>
          </w14:textFill>
        </w:rPr>
        <w:t>计）、亚硝酸盐、高锰酸盐指数、挥发性酚类、氯化物、氰化物、砷、汞、铬（六价）、铅、氟化物、镉、铁、锰、硫酸盐、粪大肠菌群。</w:t>
      </w:r>
    </w:p>
    <w:p w14:paraId="6352D279">
      <w:pPr>
        <w:ind w:firstLine="560"/>
        <w:rPr>
          <w:color w:val="000000" w:themeColor="text1"/>
          <w14:textFill>
            <w14:solidFill>
              <w14:schemeClr w14:val="tx1"/>
            </w14:solidFill>
          </w14:textFill>
        </w:rPr>
      </w:pPr>
      <w:r>
        <w:rPr>
          <w:rFonts w:ascii="Cambria Math" w:hAnsi="Cambria Math" w:cs="Cambria Math"/>
          <w:color w:val="000000" w:themeColor="text1"/>
          <w:sz w:val="28"/>
          <w:szCs w:val="28"/>
          <w14:textFill>
            <w14:solidFill>
              <w14:schemeClr w14:val="tx1"/>
            </w14:solidFill>
          </w14:textFill>
        </w:rPr>
        <w:t>③</w:t>
      </w:r>
      <w:r>
        <w:rPr>
          <w:color w:val="000000" w:themeColor="text1"/>
          <w14:textFill>
            <w14:solidFill>
              <w14:schemeClr w14:val="tx1"/>
            </w14:solidFill>
          </w14:textFill>
        </w:rPr>
        <w:t>监测频率：每年监测一次。</w:t>
      </w:r>
    </w:p>
    <w:p w14:paraId="7B6161F7">
      <w:pPr>
        <w:ind w:firstLine="480"/>
        <w:rPr>
          <w:color w:val="000000" w:themeColor="text1"/>
          <w14:textFill>
            <w14:solidFill>
              <w14:schemeClr w14:val="tx1"/>
            </w14:solidFill>
          </w14:textFill>
        </w:rPr>
      </w:pPr>
      <w:r>
        <w:rPr>
          <w:color w:val="000000" w:themeColor="text1"/>
          <w14:textFill>
            <w14:solidFill>
              <w14:schemeClr w14:val="tx1"/>
            </w14:solidFill>
          </w14:textFill>
        </w:rPr>
        <w:t>若企业不具备上述污染源及环境质量的监测条件，须委托有监测能力的监测单位进行监测，监测结果以报告形式上报当地生态环境部门。如发现问题，必须及时纠正，防止环境污染。</w:t>
      </w:r>
    </w:p>
    <w:p w14:paraId="61F84427">
      <w:pPr>
        <w:ind w:firstLine="480"/>
        <w:rPr>
          <w:color w:val="000000" w:themeColor="text1"/>
          <w14:textFill>
            <w14:solidFill>
              <w14:schemeClr w14:val="tx1"/>
            </w14:solidFill>
          </w14:textFill>
        </w:rPr>
      </w:pPr>
      <w:r>
        <w:rPr>
          <w:color w:val="000000" w:themeColor="text1"/>
          <w14:textFill>
            <w14:solidFill>
              <w14:schemeClr w14:val="tx1"/>
            </w14:solidFill>
          </w14:textFill>
        </w:rPr>
        <w:t>上述污染源监测及环境质量监测须委托当地环境监测站或得到环境管理部门认可的有资质单位进行监测，如厂内自行安排人员开展监测工作，根据《环境监测人员持证上岗考核制度》（环发</w:t>
      </w:r>
      <w:r>
        <w:rPr>
          <w:rFonts w:eastAsia="Times New Roman"/>
          <w:color w:val="000000" w:themeColor="text1"/>
          <w14:textFill>
            <w14:solidFill>
              <w14:schemeClr w14:val="tx1"/>
            </w14:solidFill>
          </w14:textFill>
        </w:rPr>
        <w:t>[2014]114</w:t>
      </w:r>
      <w:r>
        <w:rPr>
          <w:color w:val="000000" w:themeColor="text1"/>
          <w14:textFill>
            <w14:solidFill>
              <w14:schemeClr w14:val="tx1"/>
            </w14:solidFill>
          </w14:textFill>
        </w:rPr>
        <w:t>号），负责环境监测工作的人员需有环境监测上岗证。</w:t>
      </w:r>
    </w:p>
    <w:p w14:paraId="0C5B7D17">
      <w:pPr>
        <w:ind w:firstLine="480"/>
        <w:rPr>
          <w:color w:val="000000" w:themeColor="text1"/>
          <w14:textFill>
            <w14:solidFill>
              <w14:schemeClr w14:val="tx1"/>
            </w14:solidFill>
          </w14:textFill>
        </w:rPr>
      </w:pPr>
      <w:r>
        <w:rPr>
          <w:color w:val="000000" w:themeColor="text1"/>
          <w14:textFill>
            <w14:solidFill>
              <w14:schemeClr w14:val="tx1"/>
            </w14:solidFill>
          </w14:textFill>
        </w:rPr>
        <w:t>企业将以上监测结果按月、季进行统计，编制环境监测报表，上报上级环保部门，如发现问题，必须及时采取纠正措施，防止环境污染。</w:t>
      </w:r>
    </w:p>
    <w:p w14:paraId="3738C581">
      <w:pPr>
        <w:ind w:firstLine="480"/>
        <w:rPr>
          <w:color w:val="000000" w:themeColor="text1"/>
          <w14:textFill>
            <w14:solidFill>
              <w14:schemeClr w14:val="tx1"/>
            </w14:solidFill>
          </w14:textFill>
        </w:rPr>
      </w:pPr>
      <w:r>
        <w:rPr>
          <w:color w:val="000000" w:themeColor="text1"/>
          <w14:textFill>
            <w14:solidFill>
              <w14:schemeClr w14:val="tx1"/>
            </w14:solidFill>
          </w14:textFill>
        </w:rPr>
        <w:t>上述监测内容若企业不具备监测条件，需委托当地环境监测站监测，监测结果以报告书形式上报环保部门。</w:t>
      </w:r>
    </w:p>
    <w:p w14:paraId="20D89C53">
      <w:pPr>
        <w:pStyle w:val="3"/>
        <w:rPr>
          <w:rFonts w:ascii="Times New Roman" w:cs="Times New Roman"/>
          <w:color w:val="000000" w:themeColor="text1"/>
          <w14:textFill>
            <w14:solidFill>
              <w14:schemeClr w14:val="tx1"/>
            </w14:solidFill>
          </w14:textFill>
        </w:rPr>
      </w:pPr>
      <w:bookmarkStart w:id="686" w:name="_Toc225268358"/>
      <w:r>
        <w:rPr>
          <w:rFonts w:ascii="Times New Roman" w:cs="Times New Roman"/>
          <w:color w:val="000000" w:themeColor="text1"/>
          <w14:textFill>
            <w14:solidFill>
              <w14:schemeClr w14:val="tx1"/>
            </w14:solidFill>
          </w14:textFill>
        </w:rPr>
        <w:t>竣工验收管理</w:t>
      </w:r>
      <w:bookmarkEnd w:id="682"/>
      <w:bookmarkEnd w:id="683"/>
      <w:bookmarkEnd w:id="686"/>
    </w:p>
    <w:p w14:paraId="30F1D8B2">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竣工验收管理及要求</w:t>
      </w:r>
    </w:p>
    <w:p w14:paraId="4912F583">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根据《建设项目竣工环境保护验收暂行办法》，建设项目竣工后建设单位自主开展环境保护验收及相关监督管理。</w:t>
      </w:r>
    </w:p>
    <w:p w14:paraId="77617C0D">
      <w:pPr>
        <w:ind w:firstLine="480"/>
        <w:rPr>
          <w:color w:val="000000" w:themeColor="text1"/>
          <w14:textFill>
            <w14:solidFill>
              <w14:schemeClr w14:val="tx1"/>
            </w14:solidFill>
          </w14:textFill>
        </w:rPr>
      </w:pPr>
      <w:r>
        <w:rPr>
          <w:color w:val="000000" w:themeColor="text1"/>
          <w14:textFill>
            <w14:solidFill>
              <w14:schemeClr w14:val="tx1"/>
            </w14:solidFill>
          </w14:textFill>
        </w:rPr>
        <w:t>项目建设中应配套建设气、水、噪声或者固体废物污染防治设施，正式投入生产或使用之前自主开展环境保护验收。</w:t>
      </w:r>
    </w:p>
    <w:p w14:paraId="71E0FA47">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w:t>
      </w:r>
    </w:p>
    <w:p w14:paraId="5EEE63DC">
      <w:pPr>
        <w:ind w:firstLine="480"/>
        <w:rPr>
          <w:color w:val="000000" w:themeColor="text1"/>
          <w14:textFill>
            <w14:solidFill>
              <w14:schemeClr w14:val="tx1"/>
            </w14:solidFill>
          </w14:textFill>
        </w:rPr>
      </w:pPr>
      <w:r>
        <w:rPr>
          <w:color w:val="000000" w:themeColor="text1"/>
          <w14:textFill>
            <w14:solidFill>
              <w14:schemeClr w14:val="tx1"/>
            </w14:solidFill>
          </w14:textFill>
        </w:rPr>
        <w:t>验收报告分为验收监测（调查）报告、验收意见和其他需要说明的事项等三项内容。</w:t>
      </w:r>
    </w:p>
    <w:p w14:paraId="7A79E8AD">
      <w:pPr>
        <w:ind w:firstLine="480"/>
        <w:rPr>
          <w:color w:val="000000" w:themeColor="text1"/>
          <w14:textFill>
            <w14:solidFill>
              <w14:schemeClr w14:val="tx1"/>
            </w14:solidFill>
          </w14:textFill>
        </w:rPr>
      </w:pPr>
      <w:r>
        <w:rPr>
          <w:color w:val="000000" w:themeColor="text1"/>
          <w14:textFill>
            <w14:solidFill>
              <w14:schemeClr w14:val="tx1"/>
            </w14:solidFill>
          </w14:textFill>
        </w:rPr>
        <w:t>（1）建设项目竣工环境保护验收的主要依据包括：</w:t>
      </w:r>
    </w:p>
    <w:p w14:paraId="31E03B6C">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建设项目环境保护相关法律、法规、规章、标准和规范性文件；</w:t>
      </w:r>
    </w:p>
    <w:p w14:paraId="02545A68">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建设项目竣工环境保护验收技术规范；</w:t>
      </w:r>
    </w:p>
    <w:p w14:paraId="791CF5C9">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建设项目环境影响报告书及审批部门审批决定。</w:t>
      </w:r>
    </w:p>
    <w:p w14:paraId="670E0E17">
      <w:pPr>
        <w:ind w:firstLine="480"/>
        <w:rPr>
          <w:color w:val="000000" w:themeColor="text1"/>
          <w14:textFill>
            <w14:solidFill>
              <w14:schemeClr w14:val="tx1"/>
            </w14:solidFill>
          </w14:textFill>
        </w:rPr>
      </w:pPr>
      <w:r>
        <w:rPr>
          <w:color w:val="000000" w:themeColor="text1"/>
          <w14:textFill>
            <w14:solidFill>
              <w14:schemeClr w14:val="tx1"/>
            </w14:solidFill>
          </w14:textFill>
        </w:rPr>
        <w:t>（2）验收的程序和内容</w:t>
      </w:r>
    </w:p>
    <w:p w14:paraId="213F72AE">
      <w:pPr>
        <w:ind w:firstLine="480"/>
        <w:rPr>
          <w:color w:val="000000" w:themeColor="text1"/>
          <w14:textFill>
            <w14:solidFill>
              <w14:schemeClr w14:val="tx1"/>
            </w14:solidFill>
          </w14:textFill>
        </w:rPr>
      </w:pPr>
      <w:r>
        <w:rPr>
          <w:color w:val="000000" w:themeColor="text1"/>
          <w14:textFill>
            <w14:solidFill>
              <w14:schemeClr w14:val="tx1"/>
            </w14:solidFill>
          </w14:textFill>
        </w:rPr>
        <w:t>建设项目竣工后，建设单位应当如实查验、监测、记载建设项目环境保护设施的建设和调试情况，编制验收监测（调查）报告。以排放污染物为主的建设项目，参照《建设项目竣工环境保护验收技术指南污染影响类》编制验收监测报告。</w:t>
      </w:r>
    </w:p>
    <w:p w14:paraId="1A1F4D63">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建设单位应当确保调试期间污染物排放符合国家和地方有关污染物排放标准和排污许可等相关管理规定。</w:t>
      </w:r>
    </w:p>
    <w:p w14:paraId="3DE89014">
      <w:pPr>
        <w:ind w:firstLine="480"/>
        <w:rPr>
          <w:color w:val="000000" w:themeColor="text1"/>
          <w14:textFill>
            <w14:solidFill>
              <w14:schemeClr w14:val="tx1"/>
            </w14:solidFill>
          </w14:textFill>
        </w:rPr>
      </w:pPr>
      <w:r>
        <w:rPr>
          <w:color w:val="000000" w:themeColor="text1"/>
          <w14:textFill>
            <w14:solidFill>
              <w14:schemeClr w14:val="tx1"/>
            </w14:solidFill>
          </w14:textFill>
        </w:rPr>
        <w:t>环境保护设施未与主体工程同时建成的，或者应当取得排污许可证但未取得的，建设单位不得对该建设项目环境保护设施进行调试。</w:t>
      </w:r>
    </w:p>
    <w:p w14:paraId="1DEC2330">
      <w:pPr>
        <w:ind w:firstLine="480"/>
        <w:rPr>
          <w:color w:val="000000" w:themeColor="text1"/>
          <w14:textFill>
            <w14:solidFill>
              <w14:schemeClr w14:val="tx1"/>
            </w14:solidFill>
          </w14:textFill>
        </w:rPr>
      </w:pPr>
      <w:r>
        <w:rPr>
          <w:color w:val="000000" w:themeColor="text1"/>
          <w14:textFill>
            <w14:solidFill>
              <w14:schemeClr w14:val="tx1"/>
            </w14:solidFill>
          </w14:textFill>
        </w:rPr>
        <w:t>调试期间，建设单位应当对环境保护设施运行情况和建设项目对环境的影响进行监测。验收监测应当在确保主体工程调试工况稳定、环境保护设施运行正常的情况下进行，并如实记录监测时的实际工况。国家和地方有关污染物排放标准或者行业验收技术规范对工况和生产负荷另有规定的，按其规定执行。建设单位开展验收监测活动，可根据自身条件和能力，利用自有人员、场所和设备自行监测；也可以委托其他有能力的监测机构开展监测。</w:t>
      </w:r>
    </w:p>
    <w:p w14:paraId="070EACB3">
      <w:pPr>
        <w:ind w:firstLine="480"/>
        <w:rPr>
          <w:color w:val="000000" w:themeColor="text1"/>
          <w14:textFill>
            <w14:solidFill>
              <w14:schemeClr w14:val="tx1"/>
            </w14:solidFill>
          </w14:textFill>
        </w:rPr>
      </w:pPr>
      <w:r>
        <w:rPr>
          <w:color w:val="000000" w:themeColor="text1"/>
          <w14:textFill>
            <w14:solidFill>
              <w14:schemeClr w14:val="tx1"/>
            </w14:solidFill>
          </w14:textFill>
        </w:rPr>
        <w:t>（3）验收监测（调查）报告编制完成后，建设单位应当根据验收监测（调查）报告结论，逐一检查是否存在验收不合格的情形，提出验收意见。存在问题的，建设单位应当进行整改，整改完成后方可提出验收意见。</w:t>
      </w:r>
    </w:p>
    <w:p w14:paraId="590414B6">
      <w:pPr>
        <w:ind w:firstLine="480"/>
        <w:rPr>
          <w:color w:val="000000" w:themeColor="text1"/>
          <w14:textFill>
            <w14:solidFill>
              <w14:schemeClr w14:val="tx1"/>
            </w14:solidFill>
          </w14:textFill>
        </w:rPr>
      </w:pPr>
      <w:r>
        <w:rPr>
          <w:color w:val="000000" w:themeColor="text1"/>
          <w14:textFill>
            <w14:solidFill>
              <w14:schemeClr w14:val="tx1"/>
            </w14:solidFill>
          </w14:textFill>
        </w:rPr>
        <w:t>验收意见包括工程建设基本情况、工程变动情况、环境保护设施落实情况、环境保护设施调试效果、工程建设对环境的影响、验收结论和后续要求等内容，验收结论应当明确该建设项目环境保护设施是否验收合格。</w:t>
      </w:r>
    </w:p>
    <w:p w14:paraId="0C9B611D">
      <w:pPr>
        <w:ind w:firstLine="480"/>
        <w:rPr>
          <w:color w:val="000000" w:themeColor="text1"/>
          <w14:textFill>
            <w14:solidFill>
              <w14:schemeClr w14:val="tx1"/>
            </w14:solidFill>
          </w14:textFill>
        </w:rPr>
      </w:pPr>
      <w:r>
        <w:rPr>
          <w:color w:val="000000" w:themeColor="text1"/>
          <w14:textFill>
            <w14:solidFill>
              <w14:schemeClr w14:val="tx1"/>
            </w14:solidFill>
          </w14:textFill>
        </w:rPr>
        <w:t>建设项目配套建设的环境保护设施经验收合格后，其主体工程方可投入生产或者使用；未经验收或者验收不合格的，不得投入生产或者使用。</w:t>
      </w:r>
    </w:p>
    <w:p w14:paraId="3FE94497">
      <w:pPr>
        <w:ind w:firstLine="480"/>
        <w:rPr>
          <w:color w:val="000000" w:themeColor="text1"/>
          <w14:textFill>
            <w14:solidFill>
              <w14:schemeClr w14:val="tx1"/>
            </w14:solidFill>
          </w14:textFill>
        </w:rPr>
      </w:pPr>
      <w:r>
        <w:rPr>
          <w:color w:val="000000" w:themeColor="text1"/>
          <w14:textFill>
            <w14:solidFill>
              <w14:schemeClr w14:val="tx1"/>
            </w14:solidFill>
          </w14:textFill>
        </w:rPr>
        <w:t>（4）除按照国家需要保密的情形外，建设单位应当通过其网站或其他便于公众知晓的方式，向社会公开下列信息：</w:t>
      </w:r>
    </w:p>
    <w:p w14:paraId="72F93164">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color w:val="000000" w:themeColor="text1"/>
          <w14:textFill>
            <w14:solidFill>
              <w14:schemeClr w14:val="tx1"/>
            </w14:solidFill>
          </w14:textFill>
        </w:rPr>
        <w:t>建设项目配套建设的环境保护设施竣工后，公开竣工日期；</w:t>
      </w:r>
    </w:p>
    <w:p w14:paraId="5CE8AFAE">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②</w:t>
      </w:r>
      <w:r>
        <w:rPr>
          <w:color w:val="000000" w:themeColor="text1"/>
          <w14:textFill>
            <w14:solidFill>
              <w14:schemeClr w14:val="tx1"/>
            </w14:solidFill>
          </w14:textFill>
        </w:rPr>
        <w:t>对建设项目配套建设的环境保护设施进行调试前，公开调试的起止日期；</w:t>
      </w:r>
    </w:p>
    <w:p w14:paraId="65A884D8">
      <w:pPr>
        <w:ind w:firstLine="480"/>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③</w:t>
      </w:r>
      <w:r>
        <w:rPr>
          <w:color w:val="000000" w:themeColor="text1"/>
          <w14:textFill>
            <w14:solidFill>
              <w14:schemeClr w14:val="tx1"/>
            </w14:solidFill>
          </w14:textFill>
        </w:rPr>
        <w:t>验收报告编制完成后5个工作日内，公开验收报告，公示的期限不得少于20个工作日。</w:t>
      </w:r>
    </w:p>
    <w:p w14:paraId="0CFD3C1F">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建设单位公开上述信息的同时，应当向所在地县级以上环境保护主管部门报送相关信息，并接受监督检查。</w:t>
      </w:r>
    </w:p>
    <w:p w14:paraId="69F82915">
      <w:pPr>
        <w:ind w:firstLine="480"/>
        <w:rPr>
          <w:color w:val="000000" w:themeColor="text1"/>
          <w14:textFill>
            <w14:solidFill>
              <w14:schemeClr w14:val="tx1"/>
            </w14:solidFill>
          </w14:textFill>
        </w:rPr>
      </w:pPr>
      <w:r>
        <w:rPr>
          <w:color w:val="000000" w:themeColor="text1"/>
          <w14:textFill>
            <w14:solidFill>
              <w14:schemeClr w14:val="tx1"/>
            </w14:solidFill>
          </w14:textFill>
        </w:rPr>
        <w:t>（5）除需要取得排污许可证的水和大气污染防治设施外，其他环境保护设施的验收期限一般不超过3个月；需要对该类环境保护设施进行调试或者整改的，验收期限可以适当延期，但最长不超过12个月。</w:t>
      </w:r>
    </w:p>
    <w:p w14:paraId="704CF0D4">
      <w:pPr>
        <w:ind w:firstLine="480"/>
        <w:rPr>
          <w:color w:val="000000" w:themeColor="text1"/>
          <w14:textFill>
            <w14:solidFill>
              <w14:schemeClr w14:val="tx1"/>
            </w14:solidFill>
          </w14:textFill>
        </w:rPr>
      </w:pPr>
      <w:r>
        <w:rPr>
          <w:color w:val="000000" w:themeColor="text1"/>
          <w14:textFill>
            <w14:solidFill>
              <w14:schemeClr w14:val="tx1"/>
            </w14:solidFill>
          </w14:textFill>
        </w:rPr>
        <w:t>验收期限是指自建设项目环境保护设施竣工之日起至建设单位向社会公开验收报告之日止的时间。</w:t>
      </w:r>
    </w:p>
    <w:p w14:paraId="52BFEBED">
      <w:pPr>
        <w:ind w:firstLine="480"/>
        <w:rPr>
          <w:color w:val="000000" w:themeColor="text1"/>
          <w14:textFill>
            <w14:solidFill>
              <w14:schemeClr w14:val="tx1"/>
            </w14:solidFill>
          </w14:textFill>
        </w:rPr>
      </w:pPr>
      <w:r>
        <w:rPr>
          <w:color w:val="000000" w:themeColor="text1"/>
          <w14:textFill>
            <w14:solidFill>
              <w14:schemeClr w14:val="tx1"/>
            </w14:solidFill>
          </w14:textFill>
        </w:rPr>
        <w:t>（6）验收报告公示期满后5个工作日内，建设单位应当登录全国建设项目竣工环境保护验收信息平台，填报建设项目基本信息、环境保护设施验收情况等相关信息，环境保护主管部门对上述信息予以公开。</w:t>
      </w:r>
    </w:p>
    <w:p w14:paraId="27CAC721">
      <w:pPr>
        <w:ind w:firstLine="480"/>
        <w:rPr>
          <w:color w:val="000000" w:themeColor="text1"/>
          <w14:textFill>
            <w14:solidFill>
              <w14:schemeClr w14:val="tx1"/>
            </w14:solidFill>
          </w14:textFill>
        </w:rPr>
      </w:pPr>
      <w:r>
        <w:rPr>
          <w:color w:val="000000" w:themeColor="text1"/>
          <w14:textFill>
            <w14:solidFill>
              <w14:schemeClr w14:val="tx1"/>
            </w14:solidFill>
          </w14:textFill>
        </w:rPr>
        <w:t>建设单位应当将验收报告以及其他档案资料存档备查。</w:t>
      </w:r>
    </w:p>
    <w:p w14:paraId="29460346">
      <w:pPr>
        <w:ind w:firstLine="480"/>
        <w:rPr>
          <w:color w:val="000000" w:themeColor="text1"/>
          <w14:textFill>
            <w14:solidFill>
              <w14:schemeClr w14:val="tx1"/>
            </w14:solidFill>
          </w14:textFill>
        </w:rPr>
      </w:pPr>
      <w:r>
        <w:rPr>
          <w:color w:val="000000" w:themeColor="text1"/>
          <w14:textFill>
            <w14:solidFill>
              <w14:schemeClr w14:val="tx1"/>
            </w14:solidFill>
          </w14:textFill>
        </w:rPr>
        <w:t>（7）纳入排污许可管理的建设项目，排污单位应当在项目产生实际污染物排放之前，按照国家排污许可有关管理规定要求，申请排污许可证，不得无证排污或不按证排污。建设项目验收报告中与污染物排放相关的主要内容应当纳入该项目验收完成当年排污许可证执行年报。</w:t>
      </w:r>
    </w:p>
    <w:p w14:paraId="7DF85670">
      <w:pPr>
        <w:ind w:firstLine="480"/>
        <w:rPr>
          <w:color w:val="000000" w:themeColor="text1"/>
          <w14:textFill>
            <w14:solidFill>
              <w14:schemeClr w14:val="tx1"/>
            </w14:solidFill>
          </w14:textFill>
        </w:rPr>
      </w:pPr>
      <w:r>
        <w:rPr>
          <w:color w:val="000000" w:themeColor="text1"/>
          <w14:textFill>
            <w14:solidFill>
              <w14:schemeClr w14:val="tx1"/>
            </w14:solidFill>
          </w14:textFill>
        </w:rPr>
        <w:t>竣工环境保护验收申请报告未经批准，不得正式投入生产。</w:t>
      </w:r>
    </w:p>
    <w:p w14:paraId="3B1907DD">
      <w:pPr>
        <w:ind w:firstLine="480"/>
        <w:rPr>
          <w:color w:val="000000" w:themeColor="text1"/>
          <w14:textFill>
            <w14:solidFill>
              <w14:schemeClr w14:val="tx1"/>
            </w14:solidFill>
          </w14:textFill>
        </w:rPr>
      </w:pPr>
      <w:r>
        <w:rPr>
          <w:color w:val="000000" w:themeColor="text1"/>
          <w14:textFill>
            <w14:solidFill>
              <w14:schemeClr w14:val="tx1"/>
            </w14:solidFill>
          </w14:textFill>
        </w:rPr>
        <w:t>企业自主验收流程示意见图1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.6-1。</w:t>
      </w:r>
    </w:p>
    <w:p w14:paraId="4A4F88D2">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304790" cy="6112510"/>
            <wp:effectExtent l="0" t="0" r="0" b="254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309257" cy="6117587"/>
                    </a:xfrm>
                    <a:prstGeom prst="rect">
                      <a:avLst/>
                    </a:prstGeom>
                    <a:noFill/>
                    <a:ln>
                      <a:noFill/>
                    </a:ln>
                  </pic:spPr>
                </pic:pic>
              </a:graphicData>
            </a:graphic>
          </wp:inline>
        </w:drawing>
      </w:r>
    </w:p>
    <w:p w14:paraId="6840AA77">
      <w:pPr>
        <w:pStyle w:val="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企业自主验收流程示意图</w:t>
      </w:r>
    </w:p>
    <w:p w14:paraId="13D890B1">
      <w:pPr>
        <w:pStyle w:val="4"/>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环保竣工验收</w:t>
      </w:r>
    </w:p>
    <w:p w14:paraId="76339AA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本项目环保竣工验收汇总见下表。</w:t>
      </w:r>
    </w:p>
    <w:p w14:paraId="34C02BDE">
      <w:pPr>
        <w:pStyle w:val="1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环保竣工验收一览表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0"/>
        <w:gridCol w:w="1123"/>
        <w:gridCol w:w="2092"/>
        <w:gridCol w:w="2086"/>
        <w:gridCol w:w="963"/>
        <w:gridCol w:w="2028"/>
      </w:tblGrid>
      <w:tr w14:paraId="730D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Align w:val="center"/>
          </w:tcPr>
          <w:p w14:paraId="4B5FB69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处理对象</w:t>
            </w:r>
          </w:p>
        </w:tc>
        <w:tc>
          <w:tcPr>
            <w:tcW w:w="1706" w:type="pct"/>
            <w:gridSpan w:val="2"/>
            <w:vAlign w:val="center"/>
          </w:tcPr>
          <w:p w14:paraId="31ECC1F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验收内容</w:t>
            </w:r>
          </w:p>
        </w:tc>
        <w:tc>
          <w:tcPr>
            <w:tcW w:w="1618" w:type="pct"/>
            <w:gridSpan w:val="2"/>
            <w:vAlign w:val="center"/>
          </w:tcPr>
          <w:p w14:paraId="62DA8F1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c>
          <w:tcPr>
            <w:tcW w:w="1076" w:type="pct"/>
            <w:vAlign w:val="center"/>
          </w:tcPr>
          <w:p w14:paraId="75AFC46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验收标准</w:t>
            </w:r>
          </w:p>
        </w:tc>
      </w:tr>
      <w:tr w14:paraId="40DD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Merge w:val="restart"/>
            <w:vAlign w:val="center"/>
          </w:tcPr>
          <w:p w14:paraId="775C226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596" w:type="pct"/>
            <w:vAlign w:val="center"/>
          </w:tcPr>
          <w:p w14:paraId="24A0EB3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废盐仓库贮存废气、配伍废气</w:t>
            </w:r>
          </w:p>
        </w:tc>
        <w:tc>
          <w:tcPr>
            <w:tcW w:w="1110" w:type="pct"/>
            <w:vAlign w:val="center"/>
          </w:tcPr>
          <w:p w14:paraId="4C6B709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VOCs</w:t>
            </w:r>
          </w:p>
        </w:tc>
        <w:tc>
          <w:tcPr>
            <w:tcW w:w="1618" w:type="pct"/>
            <w:gridSpan w:val="2"/>
            <w:vAlign w:val="center"/>
          </w:tcPr>
          <w:p w14:paraId="50CA6C9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废气负压收集后通过二级活性炭吸附装置处理后经由 15m 高排气筒DA001排放</w:t>
            </w:r>
          </w:p>
        </w:tc>
        <w:tc>
          <w:tcPr>
            <w:tcW w:w="1076" w:type="pct"/>
            <w:vAlign w:val="center"/>
          </w:tcPr>
          <w:p w14:paraId="00B5287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GB16297-1996</w:t>
            </w:r>
            <w:r>
              <w:rPr>
                <w:color w:val="000000" w:themeColor="text1"/>
                <w:szCs w:val="21"/>
                <w:lang w:bidi="en-US"/>
                <w14:textFill>
                  <w14:solidFill>
                    <w14:schemeClr w14:val="tx1"/>
                  </w14:solidFill>
                </w14:textFill>
              </w:rPr>
              <w:t>)</w:t>
            </w:r>
          </w:p>
        </w:tc>
      </w:tr>
      <w:tr w14:paraId="2E53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Merge w:val="continue"/>
            <w:vAlign w:val="center"/>
          </w:tcPr>
          <w:p w14:paraId="7CEF4EA8">
            <w:pPr>
              <w:pStyle w:val="109"/>
              <w:rPr>
                <w:color w:val="000000" w:themeColor="text1"/>
                <w:szCs w:val="21"/>
                <w14:textFill>
                  <w14:solidFill>
                    <w14:schemeClr w14:val="tx1"/>
                  </w14:solidFill>
                </w14:textFill>
              </w:rPr>
            </w:pPr>
          </w:p>
        </w:tc>
        <w:tc>
          <w:tcPr>
            <w:tcW w:w="596" w:type="pct"/>
            <w:vAlign w:val="center"/>
          </w:tcPr>
          <w:p w14:paraId="03A97C58">
            <w:pPr>
              <w:pStyle w:val="109"/>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热解焙烧废气</w:t>
            </w:r>
          </w:p>
        </w:tc>
        <w:tc>
          <w:tcPr>
            <w:tcW w:w="1110" w:type="pct"/>
            <w:vAlign w:val="center"/>
          </w:tcPr>
          <w:p w14:paraId="5048B4E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颗粒物、一氧化碳、二氧化硫、氯化 氢、氮氧化物、氟化物、二噁英、汞及其化合物，铊及其化合物，镉及其化合物，铅及其化合物，砷及其化合物，铬及其化合物，锡、锑、铜、锰、镍、钴及其化合物</w:t>
            </w:r>
          </w:p>
        </w:tc>
        <w:tc>
          <w:tcPr>
            <w:tcW w:w="1618" w:type="pct"/>
            <w:gridSpan w:val="2"/>
            <w:vAlign w:val="center"/>
          </w:tcPr>
          <w:p w14:paraId="1051430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“二燃室（SNCR）+石墨急冷塔+二级碱洗塔+水洗塔+湿电除尘+引风机+活性炭吸附+GGH换热+热风炉（电加热）+SCR”处理后通过1根50m 高排气筒DA002排放</w:t>
            </w:r>
          </w:p>
        </w:tc>
        <w:tc>
          <w:tcPr>
            <w:tcW w:w="1076" w:type="pct"/>
            <w:vAlign w:val="center"/>
          </w:tcPr>
          <w:p w14:paraId="188480F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《危险废物焚烧污染控制标准》</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GB18484</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2020</w:t>
            </w:r>
            <w:r>
              <w:rPr>
                <w:color w:val="000000" w:themeColor="text1"/>
                <w:szCs w:val="21"/>
                <w:lang w:bidi="en-US"/>
                <w14:textFill>
                  <w14:solidFill>
                    <w14:schemeClr w14:val="tx1"/>
                  </w14:solidFill>
                </w14:textFill>
              </w:rPr>
              <w:t>)</w:t>
            </w:r>
          </w:p>
        </w:tc>
      </w:tr>
      <w:tr w14:paraId="72CF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Merge w:val="continue"/>
            <w:vAlign w:val="center"/>
          </w:tcPr>
          <w:p w14:paraId="4D1ECDCD">
            <w:pPr>
              <w:pStyle w:val="109"/>
              <w:rPr>
                <w:color w:val="000000" w:themeColor="text1"/>
                <w:szCs w:val="21"/>
                <w14:textFill>
                  <w14:solidFill>
                    <w14:schemeClr w14:val="tx1"/>
                  </w14:solidFill>
                </w14:textFill>
              </w:rPr>
            </w:pPr>
          </w:p>
        </w:tc>
        <w:tc>
          <w:tcPr>
            <w:tcW w:w="596" w:type="pct"/>
            <w:vAlign w:val="center"/>
          </w:tcPr>
          <w:p w14:paraId="31CA108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热解焙烧窑天然气燃烧废气</w:t>
            </w:r>
          </w:p>
        </w:tc>
        <w:tc>
          <w:tcPr>
            <w:tcW w:w="1110" w:type="pct"/>
            <w:vAlign w:val="center"/>
          </w:tcPr>
          <w:p w14:paraId="2FEA04A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烟尘、SO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、NOx</w:t>
            </w:r>
          </w:p>
        </w:tc>
        <w:tc>
          <w:tcPr>
            <w:tcW w:w="1618" w:type="pct"/>
            <w:gridSpan w:val="2"/>
            <w:vAlign w:val="center"/>
          </w:tcPr>
          <w:p w14:paraId="3FC2730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采用低氮燃烧技术，燃烧烟气通过1根15m 高排气筒DA003排放</w:t>
            </w:r>
          </w:p>
        </w:tc>
        <w:tc>
          <w:tcPr>
            <w:tcW w:w="1076" w:type="pct"/>
            <w:vAlign w:val="center"/>
          </w:tcPr>
          <w:p w14:paraId="21C3E25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GB16297-1996</w:t>
            </w:r>
            <w:r>
              <w:rPr>
                <w:color w:val="000000" w:themeColor="text1"/>
                <w:szCs w:val="21"/>
                <w:lang w:bidi="en-US"/>
                <w14:textFill>
                  <w14:solidFill>
                    <w14:schemeClr w14:val="tx1"/>
                  </w14:solidFill>
                </w14:textFill>
              </w:rPr>
              <w:t>)</w:t>
            </w:r>
          </w:p>
        </w:tc>
      </w:tr>
      <w:tr w14:paraId="0D56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Merge w:val="continue"/>
            <w:vAlign w:val="center"/>
          </w:tcPr>
          <w:p w14:paraId="220D7985">
            <w:pPr>
              <w:pStyle w:val="109"/>
              <w:rPr>
                <w:color w:val="000000" w:themeColor="text1"/>
                <w:szCs w:val="21"/>
                <w14:textFill>
                  <w14:solidFill>
                    <w14:schemeClr w14:val="tx1"/>
                  </w14:solidFill>
                </w14:textFill>
              </w:rPr>
            </w:pPr>
          </w:p>
        </w:tc>
        <w:tc>
          <w:tcPr>
            <w:tcW w:w="596" w:type="pct"/>
            <w:vAlign w:val="center"/>
          </w:tcPr>
          <w:p w14:paraId="79FBADD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w:t>
            </w:r>
          </w:p>
        </w:tc>
        <w:tc>
          <w:tcPr>
            <w:tcW w:w="1110" w:type="pct"/>
            <w:vAlign w:val="center"/>
          </w:tcPr>
          <w:p w14:paraId="474A1396">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挥发性有机物、氨、臭气浓度</w:t>
            </w:r>
          </w:p>
        </w:tc>
        <w:tc>
          <w:tcPr>
            <w:tcW w:w="1618" w:type="pct"/>
            <w:gridSpan w:val="2"/>
            <w:vAlign w:val="center"/>
          </w:tcPr>
          <w:p w14:paraId="7FDE37B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076" w:type="pct"/>
            <w:vAlign w:val="center"/>
          </w:tcPr>
          <w:p w14:paraId="0B0D03C3">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《恶臭污染物排放标准》</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GB14554-93</w:t>
            </w:r>
            <w:r>
              <w:rPr>
                <w:color w:val="000000" w:themeColor="text1"/>
                <w:szCs w:val="21"/>
                <w:lang w:bidi="en-US"/>
                <w14:textFill>
                  <w14:solidFill>
                    <w14:schemeClr w14:val="tx1"/>
                  </w14:solidFill>
                </w14:textFill>
              </w:rPr>
              <w:t>)</w:t>
            </w:r>
            <w:r>
              <w:rPr>
                <w:color w:val="000000" w:themeColor="text1"/>
                <w:szCs w:val="21"/>
                <w14:textFill>
                  <w14:solidFill>
                    <w14:schemeClr w14:val="tx1"/>
                  </w14:solidFill>
                </w14:textFill>
              </w:rPr>
              <w:t xml:space="preserve">、《大气污染物综合排放标准》 </w:t>
            </w:r>
            <w:r>
              <w:rPr>
                <w:color w:val="000000" w:themeColor="text1"/>
                <w:szCs w:val="21"/>
                <w:lang w:bidi="en-US"/>
                <w14:textFill>
                  <w14:solidFill>
                    <w14:schemeClr w14:val="tx1"/>
                  </w14:solidFill>
                </w14:textFill>
              </w:rPr>
              <w:t>(</w:t>
            </w:r>
            <w:r>
              <w:rPr>
                <w:rFonts w:eastAsia="Times New Roman"/>
                <w:color w:val="000000" w:themeColor="text1"/>
                <w:szCs w:val="21"/>
                <w:lang w:bidi="en-US"/>
                <w14:textFill>
                  <w14:solidFill>
                    <w14:schemeClr w14:val="tx1"/>
                  </w14:solidFill>
                </w14:textFill>
              </w:rPr>
              <w:t>GB16297-1996</w:t>
            </w:r>
            <w:r>
              <w:rPr>
                <w:color w:val="000000" w:themeColor="text1"/>
                <w:szCs w:val="21"/>
                <w:lang w:bidi="en-US"/>
                <w14:textFill>
                  <w14:solidFill>
                    <w14:schemeClr w14:val="tx1"/>
                  </w14:solidFill>
                </w14:textFill>
              </w:rPr>
              <w:t>)</w:t>
            </w:r>
          </w:p>
        </w:tc>
      </w:tr>
      <w:tr w14:paraId="2B29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Merge w:val="restart"/>
            <w:vAlign w:val="center"/>
          </w:tcPr>
          <w:p w14:paraId="38A4824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废水处理</w:t>
            </w:r>
          </w:p>
        </w:tc>
        <w:tc>
          <w:tcPr>
            <w:tcW w:w="596" w:type="pct"/>
            <w:vAlign w:val="center"/>
          </w:tcPr>
          <w:p w14:paraId="1A26642A">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1110" w:type="pct"/>
            <w:vAlign w:val="center"/>
          </w:tcPr>
          <w:p w14:paraId="4DDD639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COD、氨氮、SS、总氮、总磷</w:t>
            </w:r>
          </w:p>
        </w:tc>
        <w:tc>
          <w:tcPr>
            <w:tcW w:w="1618" w:type="pct"/>
            <w:gridSpan w:val="2"/>
            <w:vAlign w:val="center"/>
          </w:tcPr>
          <w:p w14:paraId="41428AD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化粪池处理后排入园区污水管网</w:t>
            </w:r>
          </w:p>
        </w:tc>
        <w:tc>
          <w:tcPr>
            <w:tcW w:w="1076" w:type="pct"/>
            <w:vMerge w:val="restart"/>
            <w:vAlign w:val="center"/>
          </w:tcPr>
          <w:p w14:paraId="30D65FE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《污水综合排放标准》（GB8978-1996）表4三级标准限值</w:t>
            </w:r>
          </w:p>
        </w:tc>
      </w:tr>
      <w:tr w14:paraId="150C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Merge w:val="continue"/>
            <w:vAlign w:val="center"/>
          </w:tcPr>
          <w:p w14:paraId="672BC834">
            <w:pPr>
              <w:pStyle w:val="109"/>
              <w:rPr>
                <w:color w:val="000000" w:themeColor="text1"/>
                <w:szCs w:val="21"/>
                <w14:textFill>
                  <w14:solidFill>
                    <w14:schemeClr w14:val="tx1"/>
                  </w14:solidFill>
                </w14:textFill>
              </w:rPr>
            </w:pPr>
          </w:p>
        </w:tc>
        <w:tc>
          <w:tcPr>
            <w:tcW w:w="596" w:type="pct"/>
            <w:vAlign w:val="center"/>
          </w:tcPr>
          <w:p w14:paraId="15AC6B0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循环冷却水排水、实验室废水、地面冲洗废水</w:t>
            </w:r>
          </w:p>
        </w:tc>
        <w:tc>
          <w:tcPr>
            <w:tcW w:w="1110" w:type="pct"/>
            <w:vAlign w:val="center"/>
          </w:tcPr>
          <w:p w14:paraId="4B25AF8B">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全盐量、COD、氨氮、SS</w:t>
            </w:r>
          </w:p>
        </w:tc>
        <w:tc>
          <w:tcPr>
            <w:tcW w:w="1618" w:type="pct"/>
            <w:gridSpan w:val="2"/>
            <w:vAlign w:val="center"/>
          </w:tcPr>
          <w:p w14:paraId="1291BF5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排入园区污水管网</w:t>
            </w:r>
          </w:p>
        </w:tc>
        <w:tc>
          <w:tcPr>
            <w:tcW w:w="1076" w:type="pct"/>
            <w:vMerge w:val="continue"/>
            <w:vAlign w:val="center"/>
          </w:tcPr>
          <w:p w14:paraId="7C66F686">
            <w:pPr>
              <w:pStyle w:val="109"/>
              <w:rPr>
                <w:color w:val="000000" w:themeColor="text1"/>
                <w:szCs w:val="21"/>
                <w14:textFill>
                  <w14:solidFill>
                    <w14:schemeClr w14:val="tx1"/>
                  </w14:solidFill>
                </w14:textFill>
              </w:rPr>
            </w:pPr>
          </w:p>
        </w:tc>
      </w:tr>
      <w:tr w14:paraId="34C2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Merge w:val="continue"/>
            <w:vAlign w:val="center"/>
          </w:tcPr>
          <w:p w14:paraId="17921171">
            <w:pPr>
              <w:pStyle w:val="109"/>
              <w:rPr>
                <w:color w:val="000000" w:themeColor="text1"/>
                <w:szCs w:val="21"/>
                <w14:textFill>
                  <w14:solidFill>
                    <w14:schemeClr w14:val="tx1"/>
                  </w14:solidFill>
                </w14:textFill>
              </w:rPr>
            </w:pPr>
          </w:p>
        </w:tc>
        <w:tc>
          <w:tcPr>
            <w:tcW w:w="1706" w:type="pct"/>
            <w:gridSpan w:val="2"/>
            <w:vAlign w:val="center"/>
          </w:tcPr>
          <w:p w14:paraId="59B3E85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烟气处理系统废水</w:t>
            </w:r>
          </w:p>
        </w:tc>
        <w:tc>
          <w:tcPr>
            <w:tcW w:w="1618" w:type="pct"/>
            <w:gridSpan w:val="2"/>
            <w:vAlign w:val="center"/>
          </w:tcPr>
          <w:p w14:paraId="65E4B4E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多效蒸发处理</w:t>
            </w:r>
          </w:p>
        </w:tc>
        <w:tc>
          <w:tcPr>
            <w:tcW w:w="1076" w:type="pct"/>
            <w:vAlign w:val="center"/>
          </w:tcPr>
          <w:p w14:paraId="11FD12A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冷凝水回用于急冷塔、水洗塔补水</w:t>
            </w:r>
          </w:p>
        </w:tc>
      </w:tr>
      <w:tr w14:paraId="0E46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Merge w:val="restart"/>
            <w:vAlign w:val="center"/>
          </w:tcPr>
          <w:p w14:paraId="22F6840D">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固废处置</w:t>
            </w:r>
          </w:p>
        </w:tc>
        <w:tc>
          <w:tcPr>
            <w:tcW w:w="1706" w:type="pct"/>
            <w:gridSpan w:val="2"/>
            <w:vAlign w:val="center"/>
          </w:tcPr>
          <w:p w14:paraId="6634BB0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一般废物暂存库</w:t>
            </w:r>
          </w:p>
        </w:tc>
        <w:tc>
          <w:tcPr>
            <w:tcW w:w="1618" w:type="pct"/>
            <w:gridSpan w:val="2"/>
            <w:vAlign w:val="center"/>
          </w:tcPr>
          <w:p w14:paraId="0FF76F8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防渗、定期外售</w:t>
            </w:r>
          </w:p>
        </w:tc>
        <w:tc>
          <w:tcPr>
            <w:tcW w:w="1076" w:type="pct"/>
            <w:vAlign w:val="center"/>
          </w:tcPr>
          <w:p w14:paraId="227F720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不排放</w:t>
            </w:r>
          </w:p>
        </w:tc>
      </w:tr>
      <w:tr w14:paraId="0EE6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Merge w:val="continue"/>
            <w:vAlign w:val="center"/>
          </w:tcPr>
          <w:p w14:paraId="3A6132F5">
            <w:pPr>
              <w:pStyle w:val="109"/>
              <w:rPr>
                <w:color w:val="000000" w:themeColor="text1"/>
                <w:szCs w:val="21"/>
                <w14:textFill>
                  <w14:solidFill>
                    <w14:schemeClr w14:val="tx1"/>
                  </w14:solidFill>
                </w14:textFill>
              </w:rPr>
            </w:pPr>
          </w:p>
        </w:tc>
        <w:tc>
          <w:tcPr>
            <w:tcW w:w="1706" w:type="pct"/>
            <w:gridSpan w:val="2"/>
            <w:vAlign w:val="center"/>
          </w:tcPr>
          <w:p w14:paraId="3DECA33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危险废物暂存库</w:t>
            </w:r>
          </w:p>
        </w:tc>
        <w:tc>
          <w:tcPr>
            <w:tcW w:w="1618" w:type="pct"/>
            <w:gridSpan w:val="2"/>
            <w:vAlign w:val="center"/>
          </w:tcPr>
          <w:p w14:paraId="3A3F4AE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防渗、定期委托资质单位处理</w:t>
            </w:r>
          </w:p>
        </w:tc>
        <w:tc>
          <w:tcPr>
            <w:tcW w:w="1076" w:type="pct"/>
            <w:vAlign w:val="center"/>
          </w:tcPr>
          <w:p w14:paraId="29286CE9">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不排放</w:t>
            </w:r>
          </w:p>
        </w:tc>
      </w:tr>
      <w:tr w14:paraId="23BA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Align w:val="center"/>
          </w:tcPr>
          <w:p w14:paraId="4CDCBFC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环保图形标志化</w:t>
            </w:r>
          </w:p>
        </w:tc>
        <w:tc>
          <w:tcPr>
            <w:tcW w:w="1706" w:type="pct"/>
            <w:gridSpan w:val="2"/>
            <w:vAlign w:val="center"/>
          </w:tcPr>
          <w:p w14:paraId="4BB73B72">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废气、废水、固废、噪声排放口标识牌</w:t>
            </w:r>
          </w:p>
        </w:tc>
        <w:tc>
          <w:tcPr>
            <w:tcW w:w="2694" w:type="pct"/>
            <w:gridSpan w:val="3"/>
            <w:vAlign w:val="center"/>
          </w:tcPr>
          <w:p w14:paraId="4F7056AF">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《环境保护图形标志-排放口（源）》</w:t>
            </w:r>
          </w:p>
        </w:tc>
      </w:tr>
      <w:tr w14:paraId="778E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Align w:val="center"/>
          </w:tcPr>
          <w:p w14:paraId="405BC3F4">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厂界噪声</w:t>
            </w:r>
          </w:p>
        </w:tc>
        <w:tc>
          <w:tcPr>
            <w:tcW w:w="1706" w:type="pct"/>
            <w:gridSpan w:val="2"/>
            <w:vAlign w:val="center"/>
          </w:tcPr>
          <w:p w14:paraId="1B793665">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tc>
        <w:tc>
          <w:tcPr>
            <w:tcW w:w="1107" w:type="pct"/>
            <w:vAlign w:val="center"/>
          </w:tcPr>
          <w:p w14:paraId="14287080">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昼间≤65dB(A)</w:t>
            </w:r>
          </w:p>
          <w:p w14:paraId="6E708DA1">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夜间≤55dB(A)</w:t>
            </w:r>
          </w:p>
        </w:tc>
        <w:tc>
          <w:tcPr>
            <w:tcW w:w="1587" w:type="pct"/>
            <w:gridSpan w:val="2"/>
            <w:vAlign w:val="center"/>
          </w:tcPr>
          <w:p w14:paraId="6EF63CFE">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《工业企业厂界环境噪声排放标准》3类</w:t>
            </w:r>
          </w:p>
        </w:tc>
      </w:tr>
      <w:tr w14:paraId="7FD0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0" w:type="pct"/>
            <w:vAlign w:val="center"/>
          </w:tcPr>
          <w:p w14:paraId="3A2F39CC">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其他</w:t>
            </w:r>
          </w:p>
        </w:tc>
        <w:tc>
          <w:tcPr>
            <w:tcW w:w="4400" w:type="pct"/>
            <w:gridSpan w:val="5"/>
            <w:vAlign w:val="center"/>
          </w:tcPr>
          <w:p w14:paraId="40C92658">
            <w:pPr>
              <w:pStyle w:val="109"/>
              <w:rPr>
                <w:color w:val="000000" w:themeColor="text1"/>
                <w:szCs w:val="21"/>
                <w14:textFill>
                  <w14:solidFill>
                    <w14:schemeClr w14:val="tx1"/>
                  </w14:solidFill>
                </w14:textFill>
              </w:rPr>
            </w:pPr>
            <w:r>
              <w:rPr>
                <w:color w:val="000000" w:themeColor="text1"/>
                <w:szCs w:val="21"/>
                <w14:textFill>
                  <w14:solidFill>
                    <w14:schemeClr w14:val="tx1"/>
                  </w14:solidFill>
                </w14:textFill>
              </w:rPr>
              <w:t>厂区绿化、施工期污染防治措施、环境管理与监控、排污口规范化，环境风险防范及应急救援措施，设置容积为4472m³的事故水池1座</w:t>
            </w:r>
          </w:p>
        </w:tc>
      </w:tr>
    </w:tbl>
    <w:p w14:paraId="092D9ACC">
      <w:pPr>
        <w:ind w:firstLine="480"/>
        <w:rPr>
          <w:color w:val="000000" w:themeColor="text1"/>
          <w14:textFill>
            <w14:solidFill>
              <w14:schemeClr w14:val="tx1"/>
            </w14:solidFill>
          </w14:textFill>
        </w:rPr>
        <w:sectPr>
          <w:type w:val="nextColumn"/>
          <w:pgSz w:w="11906" w:h="16838"/>
          <w:pgMar w:top="1418" w:right="1247" w:bottom="1418" w:left="1247" w:header="964" w:footer="964" w:gutter="0"/>
          <w:cols w:space="720" w:num="1"/>
          <w:docGrid w:linePitch="312" w:charSpace="0"/>
        </w:sectPr>
      </w:pPr>
    </w:p>
    <w:p w14:paraId="35984705">
      <w:pPr>
        <w:pStyle w:val="2"/>
        <w:rPr>
          <w:rFonts w:ascii="Times New Roman" w:cs="Times New Roman"/>
          <w:color w:val="000000" w:themeColor="text1"/>
          <w14:textFill>
            <w14:solidFill>
              <w14:schemeClr w14:val="tx1"/>
            </w14:solidFill>
          </w14:textFill>
        </w:rPr>
      </w:pPr>
      <w:bookmarkStart w:id="687" w:name="_Toc225268359"/>
      <w:bookmarkStart w:id="688" w:name="_Hlk63680184"/>
      <w:bookmarkStart w:id="689" w:name="_Toc185324172"/>
      <w:bookmarkStart w:id="690" w:name="_Toc213225928"/>
      <w:bookmarkStart w:id="691" w:name="_Toc280691510"/>
      <w:bookmarkStart w:id="692" w:name="_Toc316033267"/>
      <w:bookmarkStart w:id="693" w:name="_Toc230420322"/>
      <w:bookmarkStart w:id="694" w:name="_Toc321822021"/>
      <w:bookmarkStart w:id="695" w:name="_Toc330460861"/>
      <w:bookmarkStart w:id="696" w:name="_Toc278649777"/>
      <w:bookmarkStart w:id="697" w:name="_Toc293592742"/>
      <w:bookmarkStart w:id="698" w:name="_Toc329793841"/>
      <w:r>
        <w:rPr>
          <w:rFonts w:ascii="Times New Roman" w:cs="Times New Roman"/>
          <w:color w:val="000000" w:themeColor="text1"/>
          <w14:textFill>
            <w14:solidFill>
              <w14:schemeClr w14:val="tx1"/>
            </w14:solidFill>
          </w14:textFill>
        </w:rPr>
        <w:t>污染物排放总量控制分析</w:t>
      </w:r>
      <w:bookmarkEnd w:id="687"/>
      <w:bookmarkEnd w:id="688"/>
    </w:p>
    <w:p w14:paraId="5DED1020">
      <w:pPr>
        <w:pStyle w:val="3"/>
        <w:rPr>
          <w:color w:val="000000" w:themeColor="text1"/>
          <w14:textFill>
            <w14:solidFill>
              <w14:schemeClr w14:val="tx1"/>
            </w14:solidFill>
          </w14:textFill>
        </w:rPr>
      </w:pPr>
      <w:bookmarkStart w:id="699" w:name="_Toc225268360"/>
      <w:bookmarkStart w:id="700" w:name="_Toc27233"/>
      <w:r>
        <w:rPr>
          <w:color w:val="000000" w:themeColor="text1"/>
          <w14:textFill>
            <w14:solidFill>
              <w14:schemeClr w14:val="tx1"/>
            </w14:solidFill>
          </w14:textFill>
        </w:rPr>
        <w:t>意义和目的</w:t>
      </w:r>
      <w:bookmarkEnd w:id="699"/>
      <w:bookmarkEnd w:id="700"/>
    </w:p>
    <w:p w14:paraId="6A90954E">
      <w:pPr>
        <w:ind w:firstLine="480"/>
        <w:jc w:val="both"/>
        <w:rPr>
          <w:rFonts w:ascii="Times New Roman Regular" w:hAnsi="Times New Roman Regular" w:cs="Times New Roman Regular"/>
          <w:color w:val="000000" w:themeColor="text1"/>
          <w:lang w:bidi="zh-CN"/>
          <w14:textFill>
            <w14:solidFill>
              <w14:schemeClr w14:val="tx1"/>
            </w14:solidFill>
          </w14:textFill>
        </w:rPr>
      </w:pPr>
      <w:r>
        <w:rPr>
          <w:rFonts w:ascii="Times New Roman Regular" w:hAnsi="Times New Roman Regular" w:cs="Times New Roman Regular"/>
          <w:color w:val="000000" w:themeColor="text1"/>
          <w:lang w:bidi="zh-CN"/>
          <w14:textFill>
            <w14:solidFill>
              <w14:schemeClr w14:val="tx1"/>
            </w14:solidFill>
          </w14:textFill>
        </w:rPr>
        <w:t>目前，我国实行的是区域污染物排放总量目标控制，即区域排污量在一定时期内不得突破分配的污染物排放总量。因此，本项目的总量控制应以区域总量不突破为前提，通过对本项目污染物排放总量及控制途径分析，最大限度地减少各类污染物进入环境，以确保项目所在地的环境质量目标能得到实现，达到本项目建设的经济效益、环境效益和社会效益的三统一，促进本区域经济的可持续发展。</w:t>
      </w:r>
    </w:p>
    <w:p w14:paraId="47BCD0F0">
      <w:pPr>
        <w:pStyle w:val="3"/>
        <w:rPr>
          <w:color w:val="000000" w:themeColor="text1"/>
          <w14:textFill>
            <w14:solidFill>
              <w14:schemeClr w14:val="tx1"/>
            </w14:solidFill>
          </w14:textFill>
        </w:rPr>
      </w:pPr>
      <w:bookmarkStart w:id="701" w:name="_Toc1414"/>
      <w:bookmarkStart w:id="702" w:name="_Toc225268361"/>
      <w:r>
        <w:rPr>
          <w:color w:val="000000" w:themeColor="text1"/>
          <w14:textFill>
            <w14:solidFill>
              <w14:schemeClr w14:val="tx1"/>
            </w14:solidFill>
          </w14:textFill>
        </w:rPr>
        <w:t>原则</w:t>
      </w:r>
      <w:bookmarkEnd w:id="701"/>
      <w:bookmarkEnd w:id="702"/>
    </w:p>
    <w:p w14:paraId="31A86DD7">
      <w:pPr>
        <w:ind w:firstLine="480"/>
        <w:jc w:val="both"/>
        <w:rPr>
          <w:rFonts w:ascii="Times New Roman Regular" w:hAnsi="Times New Roman Regular" w:cs="Times New Roman Regular"/>
          <w:color w:val="000000" w:themeColor="text1"/>
          <w:lang w:bidi="zh-CN"/>
          <w14:textFill>
            <w14:solidFill>
              <w14:schemeClr w14:val="tx1"/>
            </w14:solidFill>
          </w14:textFill>
        </w:rPr>
      </w:pPr>
      <w:r>
        <w:rPr>
          <w:rFonts w:ascii="Times New Roman Regular" w:hAnsi="Times New Roman Regular" w:cs="Times New Roman Regular"/>
          <w:color w:val="000000" w:themeColor="text1"/>
          <w:lang w:bidi="zh-CN"/>
          <w14:textFill>
            <w14:solidFill>
              <w14:schemeClr w14:val="tx1"/>
            </w14:solidFill>
          </w14:textFill>
        </w:rPr>
        <w:t>本项目污染物排放量控制按如下原则进行：</w:t>
      </w:r>
    </w:p>
    <w:p w14:paraId="258AA51A">
      <w:pPr>
        <w:ind w:firstLine="480"/>
        <w:jc w:val="both"/>
        <w:rPr>
          <w:rFonts w:ascii="Times New Roman Regular" w:hAnsi="Times New Roman Regular" w:cs="Times New Roman Regular"/>
          <w:color w:val="000000" w:themeColor="text1"/>
          <w:lang w:bidi="zh-CN"/>
          <w14:textFill>
            <w14:solidFill>
              <w14:schemeClr w14:val="tx1"/>
            </w14:solidFill>
          </w14:textFill>
        </w:rPr>
      </w:pPr>
      <w:r>
        <w:rPr>
          <w:rFonts w:ascii="Times New Roman Regular" w:hAnsi="Times New Roman Regular" w:cs="Times New Roman Regular"/>
          <w:color w:val="000000" w:themeColor="text1"/>
          <w:lang w:bidi="zh-CN"/>
          <w14:textFill>
            <w14:solidFill>
              <w14:schemeClr w14:val="tx1"/>
            </w14:solidFill>
          </w14:textFill>
        </w:rPr>
        <w:t>（1）符合排放标准原则：即项目建成投产后，其污染物的排放浓度应满足各污染物排放标准中有关要求。</w:t>
      </w:r>
    </w:p>
    <w:p w14:paraId="52ECA1AC">
      <w:pPr>
        <w:ind w:firstLine="480"/>
        <w:jc w:val="both"/>
        <w:rPr>
          <w:rFonts w:ascii="Times New Roman Regular" w:hAnsi="Times New Roman Regular" w:cs="Times New Roman Regular"/>
          <w:color w:val="000000" w:themeColor="text1"/>
          <w:lang w:bidi="zh-CN"/>
          <w14:textFill>
            <w14:solidFill>
              <w14:schemeClr w14:val="tx1"/>
            </w14:solidFill>
          </w14:textFill>
        </w:rPr>
      </w:pPr>
      <w:r>
        <w:rPr>
          <w:rFonts w:ascii="Times New Roman Regular" w:hAnsi="Times New Roman Regular" w:cs="Times New Roman Regular"/>
          <w:color w:val="000000" w:themeColor="text1"/>
          <w:lang w:bidi="zh-CN"/>
          <w14:textFill>
            <w14:solidFill>
              <w14:schemeClr w14:val="tx1"/>
            </w14:solidFill>
          </w14:textFill>
        </w:rPr>
        <w:t>（2）实事求是、符合当地总量分配原则：在符合排放标准原则的基础上，</w:t>
      </w:r>
    </w:p>
    <w:p w14:paraId="5B032B69">
      <w:pPr>
        <w:ind w:firstLine="480"/>
        <w:jc w:val="both"/>
        <w:rPr>
          <w:rFonts w:ascii="Times New Roman Regular" w:hAnsi="Times New Roman Regular" w:cs="Times New Roman Regular"/>
          <w:color w:val="000000" w:themeColor="text1"/>
          <w:lang w:bidi="zh-CN"/>
          <w14:textFill>
            <w14:solidFill>
              <w14:schemeClr w14:val="tx1"/>
            </w14:solidFill>
          </w14:textFill>
        </w:rPr>
      </w:pPr>
      <w:r>
        <w:rPr>
          <w:rFonts w:ascii="Times New Roman Regular" w:hAnsi="Times New Roman Regular" w:cs="Times New Roman Regular"/>
          <w:color w:val="000000" w:themeColor="text1"/>
          <w:lang w:bidi="zh-CN"/>
          <w14:textFill>
            <w14:solidFill>
              <w14:schemeClr w14:val="tx1"/>
            </w14:solidFill>
          </w14:textFill>
        </w:rPr>
        <w:t>充分考虑当地环保部门的总量分配情况，按其要求，确定合理的污染物排放总量。</w:t>
      </w:r>
    </w:p>
    <w:p w14:paraId="23A53283">
      <w:pPr>
        <w:pStyle w:val="3"/>
        <w:rPr>
          <w:color w:val="000000" w:themeColor="text1"/>
          <w14:textFill>
            <w14:solidFill>
              <w14:schemeClr w14:val="tx1"/>
            </w14:solidFill>
          </w14:textFill>
        </w:rPr>
      </w:pPr>
      <w:bookmarkStart w:id="703" w:name="_Toc225268362"/>
      <w:bookmarkStart w:id="704" w:name="_Toc21248"/>
      <w:r>
        <w:rPr>
          <w:color w:val="000000" w:themeColor="text1"/>
          <w14:textFill>
            <w14:solidFill>
              <w14:schemeClr w14:val="tx1"/>
            </w14:solidFill>
          </w14:textFill>
        </w:rPr>
        <w:t>总量控制因子</w:t>
      </w:r>
      <w:bookmarkEnd w:id="703"/>
      <w:bookmarkEnd w:id="704"/>
    </w:p>
    <w:p w14:paraId="211E3918">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污染物总量控制是将某一区域作为一个完整体系，以实现环境质量目标为目的，确定区域内各类污染物的允许排放量，从而在保证实现环境质量目标的前提下促进区域经济的健康发展。“十四五”期间，国家继续实施主要污染物总量控制制度，将化学需氧量、氨氮、氮氧化物、挥发性有机物等主要污染物作为总量控制指标。</w:t>
      </w:r>
    </w:p>
    <w:p w14:paraId="1F810C10">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（1）污染物总量控制因子</w:t>
      </w:r>
    </w:p>
    <w:p w14:paraId="033BBDF6">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根据《新疆维吾尔自治区重金属污染防控工作方案》，防控重点内容如下：</w:t>
      </w:r>
    </w:p>
    <w:p w14:paraId="25F32D8E">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（一）重点重金属污染物。重点防控的重金属污染物是铅、汞、镉、铬、砷、铊和锑，并对铅、汞、镉、铬和砷五种重点重金属污染物排放量实施总量控制。</w:t>
      </w:r>
    </w:p>
    <w:p w14:paraId="7D277A59">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以及皮革鞣制加工业等6个行业。</w:t>
      </w:r>
    </w:p>
    <w:p w14:paraId="5E56841A">
      <w:pPr>
        <w:pStyle w:val="130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本项目不属于上述6个行业，因此不需要进行重金属污染物排放总量控制。</w:t>
      </w:r>
    </w:p>
    <w:p w14:paraId="34B87A16">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根据项目所在区域环境特征，结合项目污染物排放特征，建议本项目实施总量控制的大气污染物为</w:t>
      </w:r>
      <w:r>
        <w:rPr>
          <w:rFonts w:hint="eastAsia" w:ascii="Times New Roman" w:hAnsi="Times New Roman" w:eastAsia="宋体" w:cs="Times New Roman"/>
          <w:color w:val="000000" w:themeColor="text1"/>
          <w14:textFill>
            <w14:solidFill>
              <w14:schemeClr w14:val="tx1"/>
            </w14:solidFill>
          </w14:textFill>
        </w:rPr>
        <w:t>颗粒物、二氧化硫、氮氧化物和挥发性有机物</w:t>
      </w:r>
      <w:r>
        <w:rPr>
          <w:rFonts w:ascii="Times New Roman" w:hAnsi="Times New Roman" w:eastAsia="宋体" w:cs="Times New Roman"/>
          <w:color w:val="000000" w:themeColor="text1"/>
          <w14:textFill>
            <w14:solidFill>
              <w14:schemeClr w14:val="tx1"/>
            </w14:solidFill>
          </w14:textFill>
        </w:rPr>
        <w:t>；本项目废水依托</w:t>
      </w:r>
      <w:r>
        <w:rPr>
          <w:rFonts w:hint="eastAsia" w:ascii="Times New Roman" w:hAnsi="Times New Roman" w:eastAsia="宋体" w:cs="Times New Roman"/>
          <w:color w:val="000000" w:themeColor="text1"/>
          <w14:textFill>
            <w14:solidFill>
              <w14:schemeClr w14:val="tx1"/>
            </w14:solidFill>
          </w14:textFill>
        </w:rPr>
        <w:t>乌鲁木齐昆仑新水源甘泉堡水务有限责任公司</w:t>
      </w:r>
      <w:r>
        <w:rPr>
          <w:rFonts w:ascii="Times New Roman" w:hAnsi="Times New Roman" w:eastAsia="宋体" w:cs="Times New Roman"/>
          <w:color w:val="000000" w:themeColor="text1"/>
          <w14:textFill>
            <w14:solidFill>
              <w14:schemeClr w14:val="tx1"/>
            </w14:solidFill>
          </w14:textFill>
        </w:rPr>
        <w:t>处理，其总量纳入</w:t>
      </w:r>
      <w:r>
        <w:rPr>
          <w:rFonts w:hint="eastAsia" w:ascii="Times New Roman" w:hAnsi="Times New Roman" w:eastAsia="宋体" w:cs="Times New Roman"/>
          <w:color w:val="000000" w:themeColor="text1"/>
          <w14:textFill>
            <w14:solidFill>
              <w14:schemeClr w14:val="tx1"/>
            </w14:solidFill>
          </w14:textFill>
        </w:rPr>
        <w:t>乌鲁木齐昆仑新水源甘泉堡水务有限责任公司</w:t>
      </w:r>
      <w:r>
        <w:rPr>
          <w:rFonts w:ascii="Times New Roman" w:hAnsi="Times New Roman" w:eastAsia="宋体" w:cs="Times New Roman"/>
          <w:color w:val="000000" w:themeColor="text1"/>
          <w14:textFill>
            <w14:solidFill>
              <w14:schemeClr w14:val="tx1"/>
            </w14:solidFill>
          </w14:textFill>
        </w:rPr>
        <w:t>管理。因此，本项目不设废水污染物排放总量控制指标</w:t>
      </w:r>
      <w:r>
        <w:rPr>
          <w:rFonts w:hint="eastAsia" w:ascii="Times New Roman" w:hAnsi="Times New Roman" w:eastAsia="宋体" w:cs="Times New Roman"/>
          <w:color w:val="000000" w:themeColor="text1"/>
          <w14:textFill>
            <w14:solidFill>
              <w14:schemeClr w14:val="tx1"/>
            </w14:solidFill>
          </w14:textFill>
        </w:rPr>
        <w:t>。</w:t>
      </w:r>
    </w:p>
    <w:p w14:paraId="24306148">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（2）总量控制分析</w:t>
      </w:r>
    </w:p>
    <w:p w14:paraId="6F10BEFA">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本项目总量控制建议指标为</w:t>
      </w:r>
      <w:r>
        <w:rPr>
          <w:rFonts w:hint="eastAsia" w:ascii="Times New Roman" w:hAnsi="Times New Roman" w:eastAsia="宋体" w:cs="Times New Roman"/>
          <w:color w:val="000000" w:themeColor="text1"/>
          <w14:textFill>
            <w14:solidFill>
              <w14:schemeClr w14:val="tx1"/>
            </w14:solidFill>
          </w14:textFill>
        </w:rPr>
        <w:t>：</w:t>
      </w:r>
      <w:bookmarkStart w:id="705" w:name="OLE_LINK6"/>
      <w:r>
        <w:rPr>
          <w:rFonts w:ascii="Times New Roman" w:hAnsi="Times New Roman" w:eastAsia="宋体" w:cs="Times New Roman"/>
          <w:color w:val="000000" w:themeColor="text1"/>
          <w14:textFill>
            <w14:solidFill>
              <w14:schemeClr w14:val="tx1"/>
            </w14:solidFill>
          </w14:textFill>
        </w:rPr>
        <w:t>颗粒物：</w:t>
      </w:r>
      <w:r>
        <w:rPr>
          <w:rFonts w:hint="eastAsia" w:ascii="Times New Roman" w:hAnsi="Times New Roman" w:eastAsia="宋体" w:cs="Times New Roman"/>
          <w:color w:val="000000" w:themeColor="text1"/>
          <w14:textFill>
            <w14:solidFill>
              <w14:schemeClr w14:val="tx1"/>
            </w14:solidFill>
          </w14:textFill>
        </w:rPr>
        <w:t>0.813</w:t>
      </w:r>
      <w:r>
        <w:rPr>
          <w:rFonts w:ascii="Times New Roman" w:hAnsi="Times New Roman" w:eastAsia="宋体" w:cs="Times New Roman"/>
          <w:color w:val="000000" w:themeColor="text1"/>
          <w14:textFill>
            <w14:solidFill>
              <w14:schemeClr w14:val="tx1"/>
            </w14:solidFill>
          </w14:textFill>
        </w:rPr>
        <w:t>t/a</w:t>
      </w:r>
      <w:bookmarkEnd w:id="705"/>
      <w:r>
        <w:rPr>
          <w:rFonts w:hint="eastAsia" w:ascii="Times New Roman" w:hAnsi="Times New Roman" w:eastAsia="宋体" w:cs="Times New Roman"/>
          <w:color w:val="000000" w:themeColor="text1"/>
          <w14:textFill>
            <w14:solidFill>
              <w14:schemeClr w14:val="tx1"/>
            </w14:solidFill>
          </w14:textFill>
        </w:rPr>
        <w:t>，二氧化硫：2.46</w:t>
      </w:r>
      <w:r>
        <w:rPr>
          <w:rFonts w:ascii="Times New Roman" w:hAnsi="Times New Roman" w:eastAsia="宋体" w:cs="Times New Roman"/>
          <w:color w:val="000000" w:themeColor="text1"/>
          <w14:textFill>
            <w14:solidFill>
              <w14:schemeClr w14:val="tx1"/>
            </w14:solidFill>
          </w14:textFill>
        </w:rPr>
        <w:t>t/a</w:t>
      </w:r>
      <w:r>
        <w:rPr>
          <w:rFonts w:hint="eastAsia" w:ascii="Times New Roman" w:hAnsi="Times New Roman" w:eastAsia="宋体" w:cs="Times New Roman"/>
          <w:color w:val="000000" w:themeColor="text1"/>
          <w14:textFill>
            <w14:solidFill>
              <w14:schemeClr w14:val="tx1"/>
            </w14:solidFill>
          </w14:textFill>
        </w:rPr>
        <w:t>，氮氧化物：6.361</w:t>
      </w:r>
      <w:r>
        <w:rPr>
          <w:rFonts w:ascii="Times New Roman" w:hAnsi="Times New Roman" w:eastAsia="宋体" w:cs="Times New Roman"/>
          <w:color w:val="000000" w:themeColor="text1"/>
          <w14:textFill>
            <w14:solidFill>
              <w14:schemeClr w14:val="tx1"/>
            </w14:solidFill>
          </w14:textFill>
        </w:rPr>
        <w:t>t/a</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VOCs：0.25t/a。</w:t>
      </w:r>
    </w:p>
    <w:p w14:paraId="707B6305">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（3）区域削减方案</w:t>
      </w:r>
    </w:p>
    <w:p w14:paraId="4892ADBA">
      <w:pPr>
        <w:pStyle w:val="25"/>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根据《建设项目主要污染物排放总量控制指标审核及管理暂行办法》（环发〔2014〕197号文），“对于细颗粒物（PM</w:t>
      </w:r>
      <w:r>
        <w:rPr>
          <w:rFonts w:ascii="Times New Roman" w:hAnsi="Times New Roman" w:eastAsia="宋体" w:cs="Times New Roman"/>
          <w:color w:val="000000" w:themeColor="text1"/>
          <w:vertAlign w:val="subscript"/>
          <w14:textFill>
            <w14:solidFill>
              <w14:schemeClr w14:val="tx1"/>
            </w14:solidFill>
          </w14:textFill>
        </w:rPr>
        <w:t>2.5</w:t>
      </w:r>
      <w:r>
        <w:rPr>
          <w:rFonts w:ascii="Times New Roman" w:hAnsi="Times New Roman" w:eastAsia="宋体" w:cs="Times New Roman"/>
          <w:color w:val="000000" w:themeColor="text1"/>
          <w14:textFill>
            <w14:solidFill>
              <w14:schemeClr w14:val="tx1"/>
            </w14:solidFill>
          </w14:textFill>
        </w:rPr>
        <w:t>）年平均浓度不达标的城市，二氧化硫、氮氧化物、烟粉尘、挥发性有机物四项污染物均需进行2倍削减替代；地方有更严格倍量替代要求的，按照相关规定执行”。</w:t>
      </w:r>
    </w:p>
    <w:p w14:paraId="161B0DBF">
      <w:pPr>
        <w:ind w:firstLine="480"/>
        <w:rPr>
          <w:b/>
          <w:color w:val="000000" w:themeColor="text1"/>
          <w14:textFill>
            <w14:solidFill>
              <w14:schemeClr w14:val="tx1"/>
            </w14:solidFill>
          </w14:textFill>
        </w:rPr>
      </w:pPr>
      <w:r>
        <w:rPr>
          <w:color w:val="000000" w:themeColor="text1"/>
          <w14:textFill>
            <w14:solidFill>
              <w14:schemeClr w14:val="tx1"/>
            </w14:solidFill>
          </w14:textFill>
        </w:rPr>
        <w:t>本项目所在区域属于</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14:textFill>
            <w14:solidFill>
              <w14:schemeClr w14:val="tx1"/>
            </w14:solidFill>
          </w14:textFill>
        </w:rPr>
        <w:t>不达标区，因此本项目排放的废气须执行倍量削减替代要求。</w:t>
      </w:r>
      <w:r>
        <w:rPr>
          <w:color w:val="000000" w:themeColor="text1"/>
          <w:sz w:val="30"/>
          <w:szCs w:val="30"/>
          <w14:textFill>
            <w14:solidFill>
              <w14:schemeClr w14:val="tx1"/>
            </w14:solidFill>
          </w14:textFill>
        </w:rPr>
        <w:br w:type="page"/>
      </w:r>
      <w:bookmarkStart w:id="706" w:name="_Toc225268363"/>
      <w:r>
        <w:rPr>
          <w:color w:val="000000" w:themeColor="text1"/>
          <w14:textFill>
            <w14:solidFill>
              <w14:schemeClr w14:val="tx1"/>
            </w14:solidFill>
          </w14:textFill>
        </w:rPr>
        <w:t>结论</w:t>
      </w:r>
      <w:bookmarkEnd w:id="689"/>
      <w:bookmarkEnd w:id="690"/>
      <w:bookmarkEnd w:id="691"/>
      <w:bookmarkEnd w:id="692"/>
      <w:bookmarkEnd w:id="693"/>
      <w:bookmarkEnd w:id="694"/>
      <w:bookmarkEnd w:id="695"/>
      <w:bookmarkEnd w:id="696"/>
      <w:bookmarkEnd w:id="697"/>
      <w:bookmarkEnd w:id="698"/>
      <w:bookmarkEnd w:id="706"/>
    </w:p>
    <w:p w14:paraId="26EB190D">
      <w:pPr>
        <w:pStyle w:val="3"/>
        <w:rPr>
          <w:color w:val="000000" w:themeColor="text1"/>
          <w14:textFill>
            <w14:solidFill>
              <w14:schemeClr w14:val="tx1"/>
            </w14:solidFill>
          </w14:textFill>
        </w:rPr>
      </w:pPr>
      <w:bookmarkStart w:id="707" w:name="_Toc213225929"/>
      <w:bookmarkStart w:id="708" w:name="_Toc293592743"/>
      <w:bookmarkStart w:id="709" w:name="_Toc316033268"/>
      <w:bookmarkStart w:id="710" w:name="_Toc280691511"/>
      <w:bookmarkStart w:id="711" w:name="_Toc175074462"/>
      <w:bookmarkStart w:id="712" w:name="_Toc225647333"/>
      <w:bookmarkStart w:id="713" w:name="_Toc321822022"/>
      <w:bookmarkStart w:id="714" w:name="_Toc329793842"/>
      <w:bookmarkStart w:id="715" w:name="_Toc330460862"/>
      <w:bookmarkStart w:id="716" w:name="_Toc278649778"/>
      <w:bookmarkStart w:id="717" w:name="_Toc225268364"/>
      <w:bookmarkStart w:id="718" w:name="_Toc230420323"/>
      <w:bookmarkStart w:id="719" w:name="_Toc185324173"/>
      <w:r>
        <w:rPr>
          <w:color w:val="000000" w:themeColor="text1"/>
          <w14:textFill>
            <w14:solidFill>
              <w14:schemeClr w14:val="tx1"/>
            </w14:solidFill>
          </w14:textFill>
        </w:rPr>
        <w:t>项目概况</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242CD83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乌鲁木齐甘泉堡经济技术开发区（工业区）化工园区，新疆华瑞化工技术有限公司现有厂区内，本项目设计废盐接收量为5万吨/年，主要为乌鲁木齐甘泉堡经济技术开发区内企业，并辐射周边企业及园区(以处理乌鲁木齐市辖区内废盐为主)。建设1条热解焙烧窑焚烧处理废盐生产线，包含进料系统、盐渣热解系统、焚烧系统、烟气净化处理系统，处理量约为6.25t/h，年工作时数8000小时。同时建设1条融雪剂生产线，以项目处置后的废盐为原料，生产融雪剂，具备年产融雪剂46000t的规模。</w:t>
      </w:r>
    </w:p>
    <w:p w14:paraId="676ED326">
      <w:pPr>
        <w:pStyle w:val="3"/>
        <w:rPr>
          <w:color w:val="000000" w:themeColor="text1"/>
          <w14:textFill>
            <w14:solidFill>
              <w14:schemeClr w14:val="tx1"/>
            </w14:solidFill>
          </w14:textFill>
        </w:rPr>
      </w:pPr>
      <w:bookmarkStart w:id="720" w:name="_Toc225268365"/>
      <w:r>
        <w:rPr>
          <w:color w:val="000000" w:themeColor="text1"/>
          <w14:textFill>
            <w14:solidFill>
              <w14:schemeClr w14:val="tx1"/>
            </w14:solidFill>
          </w14:textFill>
        </w:rPr>
        <w:t>项目建设可行性分析</w:t>
      </w:r>
      <w:bookmarkEnd w:id="720"/>
    </w:p>
    <w:p w14:paraId="21A7429B">
      <w:pPr>
        <w:pStyle w:val="4"/>
        <w:rPr>
          <w:color w:val="000000" w:themeColor="text1"/>
          <w14:textFill>
            <w14:solidFill>
              <w14:schemeClr w14:val="tx1"/>
            </w14:solidFill>
          </w14:textFill>
        </w:rPr>
      </w:pPr>
      <w:r>
        <w:rPr>
          <w:color w:val="000000" w:themeColor="text1"/>
          <w14:textFill>
            <w14:solidFill>
              <w14:schemeClr w14:val="tx1"/>
            </w14:solidFill>
          </w14:textFill>
        </w:rPr>
        <w:t>产业政策符合性</w:t>
      </w:r>
    </w:p>
    <w:p w14:paraId="24D65C67">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w:t>
      </w:r>
      <w:r>
        <w:rPr>
          <w:rFonts w:ascii="Times New Roman" w:hAnsi="Times New Roman"/>
          <w:color w:val="000000" w:themeColor="text1"/>
          <w:szCs w:val="21"/>
          <w14:textFill>
            <w14:solidFill>
              <w14:schemeClr w14:val="tx1"/>
            </w14:solidFill>
          </w14:textFill>
        </w:rPr>
        <w:t>拟建</w:t>
      </w:r>
      <w:r>
        <w:rPr>
          <w:rFonts w:ascii="Times New Roman" w:hAnsi="Times New Roman"/>
          <w:color w:val="000000" w:themeColor="text1"/>
          <w14:textFill>
            <w14:solidFill>
              <w14:schemeClr w14:val="tx1"/>
            </w14:solidFill>
          </w14:textFill>
        </w:rPr>
        <w:t>1</w:t>
      </w:r>
      <w:r>
        <w:rPr>
          <w:rFonts w:ascii="Times New Roman" w:hAnsi="Times New Roman"/>
          <w:color w:val="000000" w:themeColor="text1"/>
          <w:szCs w:val="21"/>
          <w14:textFill>
            <w14:solidFill>
              <w14:schemeClr w14:val="tx1"/>
            </w14:solidFill>
          </w14:textFill>
        </w:rPr>
        <w:t>条</w:t>
      </w:r>
      <w:r>
        <w:rPr>
          <w:rFonts w:ascii="Times New Roman" w:hAnsi="Times New Roman"/>
          <w:color w:val="000000" w:themeColor="text1"/>
          <w14:textFill>
            <w14:solidFill>
              <w14:schemeClr w14:val="tx1"/>
            </w14:solidFill>
          </w14:textFill>
        </w:rPr>
        <w:t>废盐处置</w:t>
      </w:r>
      <w:r>
        <w:rPr>
          <w:rFonts w:ascii="Times New Roman" w:hAnsi="Times New Roman"/>
          <w:color w:val="000000" w:themeColor="text1"/>
          <w:szCs w:val="21"/>
          <w14:textFill>
            <w14:solidFill>
              <w14:schemeClr w14:val="tx1"/>
            </w14:solidFill>
          </w14:textFill>
        </w:rPr>
        <w:t>生产线，采用“热解焙烧法”对废盐进行处理</w:t>
      </w:r>
      <w:r>
        <w:rPr>
          <w:rFonts w:ascii="Times New Roman" w:hAnsi="Times New Roman"/>
          <w:color w:val="000000" w:themeColor="text1"/>
          <w14:textFill>
            <w14:solidFill>
              <w14:schemeClr w14:val="tx1"/>
            </w14:solidFill>
          </w14:textFill>
        </w:rPr>
        <w:t>。本项目属于《产业结构调整指导目录》（2024年本）鼓励类-四十二类中环境保护与资源节约综合利用-“10.工业“三废”循环利用：“三废”综合利用与治理技术、装备和工程，“三废”处理用生物菌种和添加剂开发与生产，废水高效循环利用技术应用，工业难降解有机废水循环利用、高盐废水循环利用、循环水回收利用、高效分离膜材料、高效催化氧化材料等技术装备，高盐废水和工业副产盐的资源化利用，轻烃类石化副产物综合利用技术装备，硫回收装备(低温克劳斯法)”，符合产业政策要求。</w:t>
      </w:r>
    </w:p>
    <w:p w14:paraId="28B2FA12">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2025年7月17日该项目取得《新疆维吾尔自治区投资项目备案证》，备案证号：2507171677650108000064，项目代码2507-650108-04-01-117714)，本项目的建设符合产业政策要求。</w:t>
      </w:r>
    </w:p>
    <w:p w14:paraId="7E10A8FF">
      <w:pPr>
        <w:pStyle w:val="28"/>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同时本项目符合</w:t>
      </w:r>
      <w:r>
        <w:rPr>
          <w:color w:val="000000" w:themeColor="text1"/>
          <w:szCs w:val="28"/>
          <w14:textFill>
            <w14:solidFill>
              <w14:schemeClr w14:val="tx1"/>
            </w14:solidFill>
          </w14:textFill>
        </w:rPr>
        <w:t>《西部地区鼓励类产业目录（2025年本）》</w:t>
      </w:r>
      <w:r>
        <w:rPr>
          <w:rFonts w:ascii="Times New Roman" w:cs="Times New Roman"/>
          <w:color w:val="000000" w:themeColor="text1"/>
          <w:szCs w:val="28"/>
          <w14:textFill>
            <w14:solidFill>
              <w14:schemeClr w14:val="tx1"/>
            </w14:solidFill>
          </w14:textFill>
        </w:rPr>
        <w:t>《市场准入负面清单（2025年版）》</w:t>
      </w:r>
      <w:r>
        <w:rPr>
          <w:rFonts w:hint="eastAsia" w:ascii="Times New Roman" w:cs="Times New Roman"/>
          <w:color w:val="000000" w:themeColor="text1"/>
          <w:szCs w:val="28"/>
          <w14:textFill>
            <w14:solidFill>
              <w14:schemeClr w14:val="tx1"/>
            </w14:solidFill>
          </w14:textFill>
        </w:rPr>
        <w:t>的相关要求。</w:t>
      </w:r>
    </w:p>
    <w:p w14:paraId="75303C22">
      <w:pPr>
        <w:pStyle w:val="4"/>
        <w:rPr>
          <w:color w:val="000000" w:themeColor="text1"/>
          <w14:textFill>
            <w14:solidFill>
              <w14:schemeClr w14:val="tx1"/>
            </w14:solidFill>
          </w14:textFill>
        </w:rPr>
      </w:pPr>
      <w:r>
        <w:rPr>
          <w:color w:val="000000" w:themeColor="text1"/>
          <w14:textFill>
            <w14:solidFill>
              <w14:schemeClr w14:val="tx1"/>
            </w14:solidFill>
          </w14:textFill>
        </w:rPr>
        <w:t>选址合理性</w:t>
      </w:r>
    </w:p>
    <w:p w14:paraId="390C2773">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项目为乌鲁木齐甘泉堡经济技术开发区（工业区）化工园区煤化工、精细化工产业提供必需的危险废物处置配套保障，是产业链安全、稳定、绿色运行的关键支撑环节。因此本项目符合园区总体规划及产业布局要求，是园区化工及新材料产业高质量、可持续发展的重要环保配套项目，符合《乌鲁木齐甘泉堡经济技术开发区（工业区）化工园区总体规划（2023-2035）》规划要求。</w:t>
      </w:r>
    </w:p>
    <w:p w14:paraId="040621BB">
      <w:pPr>
        <w:pStyle w:val="207"/>
        <w:ind w:firstLine="496"/>
        <w:rPr>
          <w:rFonts w:ascii="Times New Roman" w:hAnsi="Times New Roman"/>
          <w:color w:val="000000" w:themeColor="text1"/>
          <w:kern w:val="0"/>
          <w14:textFill>
            <w14:solidFill>
              <w14:schemeClr w14:val="tx1"/>
            </w14:solidFill>
          </w14:textFill>
        </w:rPr>
      </w:pPr>
      <w:r>
        <w:rPr>
          <w:color w:val="000000" w:themeColor="text1"/>
          <w14:textFill>
            <w14:solidFill>
              <w14:schemeClr w14:val="tx1"/>
            </w14:solidFill>
          </w14:textFill>
        </w:rPr>
        <w:t>项目用地为三类工业用地，符合乌鲁木齐甘泉堡经济技术开发区（工业区）化工园区土地利用规划，</w:t>
      </w:r>
      <w:r>
        <w:rPr>
          <w:rFonts w:hint="eastAsia"/>
          <w:color w:val="000000" w:themeColor="text1"/>
          <w14:textFill>
            <w14:solidFill>
              <w14:schemeClr w14:val="tx1"/>
            </w14:solidFill>
          </w14:textFill>
        </w:rPr>
        <w:t>同时本项目符合</w:t>
      </w:r>
      <w:r>
        <w:rPr>
          <w:bCs/>
          <w:color w:val="000000" w:themeColor="text1"/>
          <w14:textFill>
            <w14:solidFill>
              <w14:schemeClr w14:val="tx1"/>
            </w14:solidFill>
          </w14:textFill>
        </w:rPr>
        <w:t>《乌鲁木齐市生态环境准入清单（2023年版）》</w:t>
      </w:r>
      <w:r>
        <w:rPr>
          <w:rFonts w:hint="eastAsia"/>
          <w:bCs/>
          <w:color w:val="000000" w:themeColor="text1"/>
          <w14:textFill>
            <w14:solidFill>
              <w14:schemeClr w14:val="tx1"/>
            </w14:solidFill>
          </w14:textFill>
        </w:rPr>
        <w:t>的相关要求</w:t>
      </w:r>
      <w:r>
        <w:rPr>
          <w:rFonts w:ascii="Times New Roman" w:hAnsi="Times New Roman"/>
          <w:color w:val="000000" w:themeColor="text1"/>
          <w:kern w:val="0"/>
          <w14:textFill>
            <w14:solidFill>
              <w14:schemeClr w14:val="tx1"/>
            </w14:solidFill>
          </w14:textFill>
        </w:rPr>
        <w:t>。</w:t>
      </w:r>
    </w:p>
    <w:p w14:paraId="567FDC03">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14:textFill>
            <w14:solidFill>
              <w14:schemeClr w14:val="tx1"/>
            </w14:solidFill>
          </w14:textFill>
        </w:rPr>
        <w:t>综上，</w:t>
      </w:r>
      <w:r>
        <w:rPr>
          <w:rFonts w:ascii="Times New Roman" w:hAnsi="Times New Roman"/>
          <w:color w:val="000000" w:themeColor="text1"/>
          <w14:textFill>
            <w14:solidFill>
              <w14:schemeClr w14:val="tx1"/>
            </w14:solidFill>
          </w14:textFill>
        </w:rPr>
        <w:t>本项目选址于此基本合理。</w:t>
      </w:r>
    </w:p>
    <w:p w14:paraId="02283C14">
      <w:pPr>
        <w:pStyle w:val="3"/>
        <w:rPr>
          <w:color w:val="000000" w:themeColor="text1"/>
          <w14:textFill>
            <w14:solidFill>
              <w14:schemeClr w14:val="tx1"/>
            </w14:solidFill>
          </w14:textFill>
        </w:rPr>
      </w:pPr>
      <w:bookmarkStart w:id="721" w:name="_Toc225268366"/>
      <w:r>
        <w:rPr>
          <w:color w:val="000000" w:themeColor="text1"/>
          <w14:textFill>
            <w14:solidFill>
              <w14:schemeClr w14:val="tx1"/>
            </w14:solidFill>
          </w14:textFill>
        </w:rPr>
        <w:t>环境质量现状结论</w:t>
      </w:r>
      <w:bookmarkEnd w:id="721"/>
    </w:p>
    <w:p w14:paraId="5C958EB3">
      <w:pPr>
        <w:pStyle w:val="4"/>
        <w:rPr>
          <w:color w:val="000000" w:themeColor="text1"/>
          <w14:textFill>
            <w14:solidFill>
              <w14:schemeClr w14:val="tx1"/>
            </w14:solidFill>
          </w14:textFill>
        </w:rPr>
      </w:pPr>
      <w:r>
        <w:rPr>
          <w:color w:val="000000" w:themeColor="text1"/>
          <w14:textFill>
            <w14:solidFill>
              <w14:schemeClr w14:val="tx1"/>
            </w14:solidFill>
          </w14:textFill>
        </w:rPr>
        <w:t>大气环境</w:t>
      </w:r>
    </w:p>
    <w:p w14:paraId="09FFFBA4">
      <w:pPr>
        <w:ind w:firstLine="480"/>
        <w:jc w:val="both"/>
        <w:rPr>
          <w:color w:val="000000" w:themeColor="text1"/>
          <w:lang w:val="zh-CN" w:bidi="zh-CN"/>
          <w14:textFill>
            <w14:solidFill>
              <w14:schemeClr w14:val="tx1"/>
            </w14:solidFill>
          </w14:textFill>
        </w:rPr>
      </w:pPr>
      <w:r>
        <w:rPr>
          <w:color w:val="000000" w:themeColor="text1"/>
          <w:lang w:val="zh-CN" w:bidi="zh-CN"/>
          <w14:textFill>
            <w14:solidFill>
              <w14:schemeClr w14:val="tx1"/>
            </w14:solidFill>
          </w14:textFill>
        </w:rPr>
        <w:t>本评价选择离本项目最近的国控监测站点乌鲁木齐市的2023年数据进行统计分析，作为本项目环境空气现状评价基本污染物SO</w:t>
      </w:r>
      <w:r>
        <w:rPr>
          <w:color w:val="000000" w:themeColor="text1"/>
          <w:vertAlign w:val="subscript"/>
          <w:lang w:val="zh-CN" w:bidi="zh-CN"/>
          <w14:textFill>
            <w14:solidFill>
              <w14:schemeClr w14:val="tx1"/>
            </w14:solidFill>
          </w14:textFill>
        </w:rPr>
        <w:t>2</w:t>
      </w:r>
      <w:r>
        <w:rPr>
          <w:color w:val="000000" w:themeColor="text1"/>
          <w:lang w:val="zh-CN" w:bidi="zh-CN"/>
          <w14:textFill>
            <w14:solidFill>
              <w14:schemeClr w14:val="tx1"/>
            </w14:solidFill>
          </w14:textFill>
        </w:rPr>
        <w:t>、NO</w:t>
      </w:r>
      <w:r>
        <w:rPr>
          <w:color w:val="000000" w:themeColor="text1"/>
          <w:vertAlign w:val="subscript"/>
          <w:lang w:val="zh-CN" w:bidi="zh-CN"/>
          <w14:textFill>
            <w14:solidFill>
              <w14:schemeClr w14:val="tx1"/>
            </w14:solidFill>
          </w14:textFill>
        </w:rPr>
        <w:t>2</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、CO和O</w:t>
      </w:r>
      <w:r>
        <w:rPr>
          <w:color w:val="000000" w:themeColor="text1"/>
          <w:vertAlign w:val="subscript"/>
          <w:lang w:val="zh-CN" w:bidi="zh-CN"/>
          <w14:textFill>
            <w14:solidFill>
              <w14:schemeClr w14:val="tx1"/>
            </w14:solidFill>
          </w14:textFill>
        </w:rPr>
        <w:t>3</w:t>
      </w:r>
      <w:r>
        <w:rPr>
          <w:color w:val="000000" w:themeColor="text1"/>
          <w:lang w:val="zh-CN" w:bidi="zh-CN"/>
          <w14:textFill>
            <w14:solidFill>
              <w14:schemeClr w14:val="tx1"/>
            </w14:solidFill>
          </w14:textFill>
        </w:rPr>
        <w:t>的数据来源</w:t>
      </w:r>
      <w:r>
        <w:rPr>
          <w:rFonts w:hint="eastAsia"/>
          <w:color w:val="000000" w:themeColor="text1"/>
          <w:lang w:val="zh-CN" w:bidi="zh-CN"/>
          <w14:textFill>
            <w14:solidFill>
              <w14:schemeClr w14:val="tx1"/>
            </w14:solidFill>
          </w14:textFill>
        </w:rPr>
        <w:t>，根据站点监测数据可知，</w:t>
      </w:r>
      <w:r>
        <w:rPr>
          <w:color w:val="000000" w:themeColor="text1"/>
          <w:lang w:val="zh-CN" w:bidi="zh-CN"/>
          <w14:textFill>
            <w14:solidFill>
              <w14:schemeClr w14:val="tx1"/>
            </w14:solidFill>
          </w14:textFill>
        </w:rPr>
        <w:t>乌鲁木齐市超过《环境空气质量标准》（GB3095-2026）</w:t>
      </w:r>
      <w:r>
        <w:rPr>
          <w:rFonts w:hint="eastAsia"/>
          <w:color w:val="000000" w:themeColor="text1"/>
          <w:lang w:val="zh-CN" w:bidi="zh-CN"/>
          <w14:textFill>
            <w14:solidFill>
              <w14:schemeClr w14:val="tx1"/>
            </w14:solidFill>
          </w14:textFill>
        </w:rPr>
        <w:t>过渡阶段</w:t>
      </w:r>
      <w:r>
        <w:rPr>
          <w:color w:val="000000" w:themeColor="text1"/>
          <w:lang w:val="zh-CN" w:bidi="zh-CN"/>
          <w14:textFill>
            <w14:solidFill>
              <w14:schemeClr w14:val="tx1"/>
            </w14:solidFill>
          </w14:textFill>
        </w:rPr>
        <w:t>二级标准限值的污染物为PM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。因此判定乌鲁木齐市为环境空气质量不达标区。</w:t>
      </w:r>
    </w:p>
    <w:p w14:paraId="70905526">
      <w:pPr>
        <w:ind w:firstLine="480"/>
        <w:rPr>
          <w:color w:val="000000" w:themeColor="text1"/>
          <w14:textFill>
            <w14:solidFill>
              <w14:schemeClr w14:val="tx1"/>
            </w14:solidFill>
          </w14:textFill>
        </w:rPr>
      </w:pPr>
      <w:r>
        <w:rPr>
          <w:color w:val="000000" w:themeColor="text1"/>
          <w:lang w:val="zh-CN" w:bidi="zh-CN"/>
          <w14:textFill>
            <w14:solidFill>
              <w14:schemeClr w14:val="tx1"/>
            </w14:solidFill>
          </w14:textFill>
        </w:rPr>
        <w:t>项目区环境空气质量PM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超标原因主要受项目区气候干燥、春秋两季风沙大造成PM</w:t>
      </w:r>
      <w:r>
        <w:rPr>
          <w:color w:val="000000" w:themeColor="text1"/>
          <w:vertAlign w:val="subscript"/>
          <w:lang w:val="zh-CN" w:bidi="zh-CN"/>
          <w14:textFill>
            <w14:solidFill>
              <w14:schemeClr w14:val="tx1"/>
            </w14:solidFill>
          </w14:textFill>
        </w:rPr>
        <w:t>10</w:t>
      </w:r>
      <w:r>
        <w:rPr>
          <w:color w:val="000000" w:themeColor="text1"/>
          <w:lang w:val="zh-CN" w:bidi="zh-CN"/>
          <w14:textFill>
            <w14:solidFill>
              <w14:schemeClr w14:val="tx1"/>
            </w14:solidFill>
          </w14:textFill>
        </w:rPr>
        <w:t>、PM</w:t>
      </w:r>
      <w:r>
        <w:rPr>
          <w:color w:val="000000" w:themeColor="text1"/>
          <w:vertAlign w:val="subscript"/>
          <w:lang w:val="zh-CN" w:bidi="zh-CN"/>
          <w14:textFill>
            <w14:solidFill>
              <w14:schemeClr w14:val="tx1"/>
            </w14:solidFill>
          </w14:textFill>
        </w:rPr>
        <w:t>2.5</w:t>
      </w:r>
      <w:r>
        <w:rPr>
          <w:color w:val="000000" w:themeColor="text1"/>
          <w:lang w:val="zh-CN" w:bidi="zh-CN"/>
          <w14:textFill>
            <w14:solidFill>
              <w14:schemeClr w14:val="tx1"/>
            </w14:solidFill>
          </w14:textFill>
        </w:rPr>
        <w:t>超标。</w:t>
      </w:r>
    </w:p>
    <w:p w14:paraId="6C1F87C4">
      <w:pPr>
        <w:ind w:firstLine="480"/>
        <w:rPr>
          <w:color w:val="000000" w:themeColor="text1"/>
          <w14:textFill>
            <w14:solidFill>
              <w14:schemeClr w14:val="tx1"/>
            </w14:solidFill>
          </w14:textFill>
        </w:rPr>
      </w:pPr>
      <w:r>
        <w:rPr>
          <w:color w:val="000000" w:themeColor="text1"/>
          <w14:textFill>
            <w14:solidFill>
              <w14:schemeClr w14:val="tx1"/>
            </w14:solidFill>
          </w14:textFill>
        </w:rPr>
        <w:t>本次监测的各特征污染物</w:t>
      </w:r>
      <w:r>
        <w:rPr>
          <w:rFonts w:hint="eastAsia"/>
          <w:color w:val="000000" w:themeColor="text1"/>
          <w14:textFill>
            <w14:solidFill>
              <w14:schemeClr w14:val="tx1"/>
            </w14:solidFill>
          </w14:textFill>
        </w:rPr>
        <w:t>氨、硫化氢、氯化氢、氟化物、非甲烷总烃、二噁英、TSP、铅、镉、六价铬、砷、镍、汞、锰及其化合物、臭气浓度</w:t>
      </w:r>
      <w:r>
        <w:rPr>
          <w:color w:val="000000" w:themeColor="text1"/>
          <w14:textFill>
            <w14:solidFill>
              <w14:schemeClr w14:val="tx1"/>
            </w14:solidFill>
          </w14:textFill>
        </w:rPr>
        <w:t>均满足《环境空气质量标准》（GB3095-2026）过渡阶段二级标准及《环境影响评价技术导则 大气环境》（HJ2.2-2018）附录D其他污染物空气质量浓度参考限值的要求。</w:t>
      </w:r>
    </w:p>
    <w:p w14:paraId="3AD5AA13">
      <w:pPr>
        <w:pStyle w:val="4"/>
        <w:rPr>
          <w:color w:val="000000" w:themeColor="text1"/>
          <w14:textFill>
            <w14:solidFill>
              <w14:schemeClr w14:val="tx1"/>
            </w14:solidFill>
          </w14:textFill>
        </w:rPr>
      </w:pPr>
      <w:r>
        <w:rPr>
          <w:color w:val="000000" w:themeColor="text1"/>
          <w14:textFill>
            <w14:solidFill>
              <w14:schemeClr w14:val="tx1"/>
            </w14:solidFill>
          </w14:textFill>
        </w:rPr>
        <w:t>地下水环境</w:t>
      </w:r>
    </w:p>
    <w:p w14:paraId="12308B2B">
      <w:pPr>
        <w:ind w:firstLine="480"/>
        <w:rPr>
          <w:color w:val="000000" w:themeColor="text1"/>
          <w14:textFill>
            <w14:solidFill>
              <w14:schemeClr w14:val="tx1"/>
            </w14:solidFill>
          </w14:textFill>
        </w:rPr>
      </w:pPr>
      <w:r>
        <w:rPr>
          <w:rFonts w:hint="eastAsia"/>
          <w:color w:val="000000" w:themeColor="text1"/>
          <w:lang w:val="zh-CN" w:bidi="zh-CN"/>
          <w14:textFill>
            <w14:solidFill>
              <w14:schemeClr w14:val="tx1"/>
            </w14:solidFill>
          </w14:textFill>
        </w:rPr>
        <w:t>监测期间，</w:t>
      </w:r>
      <w:r>
        <w:rPr>
          <w:color w:val="000000" w:themeColor="text1"/>
          <w:lang w:val="zh-CN" w:bidi="zh-CN"/>
          <w14:textFill>
            <w14:solidFill>
              <w14:schemeClr w14:val="tx1"/>
            </w14:solidFill>
          </w14:textFill>
        </w:rPr>
        <w:t>地下水监测点钠、总硬度、溶解性总固体、硫酸盐、氯化物、氟化物，超标与区域水文地质条件有关，反应的是干旱区浅层地下水的共性。其余监测因子均满足《地下水质量标准》（GB/T14848-2017）中Ⅲ类标准的限值要求。石油类满足《地表水环境质量标准》（GB3838-2002）中Ⅲ类标准的限值要求。</w:t>
      </w:r>
    </w:p>
    <w:p w14:paraId="6B57B015">
      <w:pPr>
        <w:pStyle w:val="4"/>
        <w:rPr>
          <w:color w:val="000000" w:themeColor="text1"/>
          <w14:textFill>
            <w14:solidFill>
              <w14:schemeClr w14:val="tx1"/>
            </w14:solidFill>
          </w14:textFill>
        </w:rPr>
      </w:pPr>
      <w:r>
        <w:rPr>
          <w:color w:val="000000" w:themeColor="text1"/>
          <w14:textFill>
            <w14:solidFill>
              <w14:schemeClr w14:val="tx1"/>
            </w14:solidFill>
          </w14:textFill>
        </w:rPr>
        <w:t>声环境</w:t>
      </w:r>
    </w:p>
    <w:p w14:paraId="1E0B1010">
      <w:pPr>
        <w:ind w:firstLine="480"/>
        <w:rPr>
          <w:color w:val="000000" w:themeColor="text1"/>
          <w14:textFill>
            <w14:solidFill>
              <w14:schemeClr w14:val="tx1"/>
            </w14:solidFill>
          </w14:textFill>
        </w:rPr>
      </w:pPr>
      <w:r>
        <w:rPr>
          <w:color w:val="000000" w:themeColor="text1"/>
          <w14:textFill>
            <w14:solidFill>
              <w14:schemeClr w14:val="tx1"/>
            </w14:solidFill>
          </w14:textFill>
        </w:rPr>
        <w:t>拟建项目厂址处声环境质量现状良好，监测点位昼间、夜间噪声的监测值均满足《声环境质量标准》（GB3096-2008）中的3类标准要求。</w:t>
      </w:r>
    </w:p>
    <w:p w14:paraId="29740829">
      <w:pPr>
        <w:pStyle w:val="4"/>
        <w:rPr>
          <w:color w:val="000000" w:themeColor="text1"/>
          <w14:textFill>
            <w14:solidFill>
              <w14:schemeClr w14:val="tx1"/>
            </w14:solidFill>
          </w14:textFill>
        </w:rPr>
      </w:pPr>
      <w:r>
        <w:rPr>
          <w:color w:val="000000" w:themeColor="text1"/>
          <w14:textFill>
            <w14:solidFill>
              <w14:schemeClr w14:val="tx1"/>
            </w14:solidFill>
          </w14:textFill>
        </w:rPr>
        <w:t>土壤环境</w:t>
      </w:r>
    </w:p>
    <w:p w14:paraId="6369D845">
      <w:pPr>
        <w:ind w:firstLine="480"/>
        <w:rPr>
          <w:color w:val="000000" w:themeColor="text1"/>
          <w14:textFill>
            <w14:solidFill>
              <w14:schemeClr w14:val="tx1"/>
            </w14:solidFill>
          </w14:textFill>
        </w:rPr>
      </w:pPr>
      <w:r>
        <w:rPr>
          <w:color w:val="000000" w:themeColor="text1"/>
          <w14:textFill>
            <w14:solidFill>
              <w14:schemeClr w14:val="tx1"/>
            </w14:solidFill>
          </w14:textFill>
        </w:rPr>
        <w:t>本次评价的各监测指标均不超标，满足《土壤环境质量 建设用地土壤污染风险管控标准（试行）》（GB33600-2018）筛选值二类用地标准要求，项目所在厂区及周边敏感点土壤质量较好。</w:t>
      </w:r>
    </w:p>
    <w:p w14:paraId="6E9AC4ED">
      <w:pPr>
        <w:pStyle w:val="3"/>
        <w:rPr>
          <w:color w:val="000000" w:themeColor="text1"/>
          <w14:textFill>
            <w14:solidFill>
              <w14:schemeClr w14:val="tx1"/>
            </w14:solidFill>
          </w14:textFill>
        </w:rPr>
      </w:pPr>
      <w:bookmarkStart w:id="722" w:name="_Toc225268367"/>
      <w:r>
        <w:rPr>
          <w:color w:val="000000" w:themeColor="text1"/>
          <w14:textFill>
            <w14:solidFill>
              <w14:schemeClr w14:val="tx1"/>
            </w14:solidFill>
          </w14:textFill>
        </w:rPr>
        <w:t>环境影响预测结论</w:t>
      </w:r>
      <w:bookmarkEnd w:id="722"/>
    </w:p>
    <w:p w14:paraId="4281AD96">
      <w:pPr>
        <w:pStyle w:val="197"/>
        <w:ind w:firstLineChars="200"/>
        <w:rPr>
          <w:rFonts w:ascii="Times New Roman" w:hAnsi="Times New Roman"/>
          <w:b/>
          <w:color w:val="000000" w:themeColor="text1"/>
          <w:szCs w:val="24"/>
          <w14:textFill>
            <w14:solidFill>
              <w14:schemeClr w14:val="tx1"/>
            </w14:solidFill>
          </w14:textFill>
        </w:rPr>
      </w:pPr>
      <w:r>
        <w:rPr>
          <w:rFonts w:ascii="Times New Roman" w:hAnsi="Times New Roman"/>
          <w:b/>
          <w:color w:val="000000" w:themeColor="text1"/>
          <w:szCs w:val="24"/>
          <w14:textFill>
            <w14:solidFill>
              <w14:schemeClr w14:val="tx1"/>
            </w14:solidFill>
          </w14:textFill>
        </w:rPr>
        <w:t>（1）环境空气</w:t>
      </w:r>
    </w:p>
    <w:p w14:paraId="03ED2624">
      <w:pPr>
        <w:pStyle w:val="197"/>
        <w:ind w:firstLine="480" w:firstLineChars="2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根据环境空气预测结果，本项目P</w:t>
      </w:r>
      <w:r>
        <w:rPr>
          <w:rFonts w:hint="eastAsia" w:ascii="Times New Roman" w:hAnsi="Times New Roman"/>
          <w:color w:val="000000" w:themeColor="text1"/>
          <w:szCs w:val="24"/>
          <w:vertAlign w:val="subscript"/>
          <w14:textFill>
            <w14:solidFill>
              <w14:schemeClr w14:val="tx1"/>
            </w14:solidFill>
          </w14:textFill>
        </w:rPr>
        <w:t>HCl</w:t>
      </w:r>
      <w:r>
        <w:rPr>
          <w:rFonts w:ascii="Times New Roman" w:hAnsi="Times New Roman"/>
          <w:color w:val="000000" w:themeColor="text1"/>
          <w:szCs w:val="24"/>
          <w14:textFill>
            <w14:solidFill>
              <w14:schemeClr w14:val="tx1"/>
            </w14:solidFill>
          </w14:textFill>
        </w:rPr>
        <w:t>max=</w:t>
      </w:r>
      <w:r>
        <w:rPr>
          <w:rFonts w:hint="eastAsia" w:ascii="Times New Roman" w:hAnsi="Times New Roman"/>
          <w:color w:val="000000" w:themeColor="text1"/>
          <w:szCs w:val="24"/>
          <w14:textFill>
            <w14:solidFill>
              <w14:schemeClr w14:val="tx1"/>
            </w14:solidFill>
          </w14:textFill>
        </w:rPr>
        <w:t>4.62</w:t>
      </w:r>
      <w:r>
        <w:rPr>
          <w:rFonts w:ascii="Times New Roman" w:hAnsi="Times New Roman"/>
          <w:color w:val="000000" w:themeColor="text1"/>
          <w:szCs w:val="24"/>
          <w14:textFill>
            <w14:solidFill>
              <w14:schemeClr w14:val="tx1"/>
            </w14:solidFill>
          </w14:textFill>
        </w:rPr>
        <w:t>%，D</w:t>
      </w:r>
      <w:r>
        <w:rPr>
          <w:rFonts w:ascii="Times New Roman" w:hAnsi="Times New Roman"/>
          <w:color w:val="000000" w:themeColor="text1"/>
          <w:szCs w:val="24"/>
          <w:vertAlign w:val="subscript"/>
          <w14:textFill>
            <w14:solidFill>
              <w14:schemeClr w14:val="tx1"/>
            </w14:solidFill>
          </w14:textFill>
        </w:rPr>
        <w:t>10%</w:t>
      </w:r>
      <w:r>
        <w:rPr>
          <w:rFonts w:ascii="Times New Roman" w:hAnsi="Times New Roman"/>
          <w:color w:val="000000" w:themeColor="text1"/>
          <w:szCs w:val="24"/>
          <w14:textFill>
            <w14:solidFill>
              <w14:schemeClr w14:val="tx1"/>
            </w14:solidFill>
          </w14:textFill>
        </w:rPr>
        <w:t>未出现。因此，环境空气影响评价等级定为二级，评价范围取以该项目区为中心，边长5km矩形区域范围，项目运行对周围环境影响较小。</w:t>
      </w:r>
    </w:p>
    <w:p w14:paraId="3BDCF3F7">
      <w:pPr>
        <w:pStyle w:val="197"/>
        <w:ind w:firstLineChars="20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（2）地表水</w:t>
      </w:r>
    </w:p>
    <w:p w14:paraId="2DC2DBB4">
      <w:pPr>
        <w:pStyle w:val="1299"/>
        <w:spacing w:line="360" w:lineRule="auto"/>
        <w:ind w:firstLine="480"/>
        <w:jc w:val="left"/>
        <w:rPr>
          <w:rFonts w:cs="Times New Roman"/>
          <w:b/>
          <w:bCs/>
          <w:color w:val="000000" w:themeColor="text1"/>
          <w14:textFill>
            <w14:solidFill>
              <w14:schemeClr w14:val="tx1"/>
            </w14:solidFill>
          </w14:textFill>
        </w:rPr>
      </w:pPr>
      <w:r>
        <w:rPr>
          <w:color w:val="000000" w:themeColor="text1"/>
          <w:szCs w:val="24"/>
          <w14:textFill>
            <w14:solidFill>
              <w14:schemeClr w14:val="tx1"/>
            </w14:solidFill>
          </w14:textFill>
        </w:rPr>
        <w:t>本项目建成后废水不直接排入地表水系，本项目依托</w:t>
      </w:r>
      <w:r>
        <w:rPr>
          <w:color w:val="000000" w:themeColor="text1"/>
          <w:lang w:bidi="zh-CN"/>
          <w14:textFill>
            <w14:solidFill>
              <w14:schemeClr w14:val="tx1"/>
            </w14:solidFill>
          </w14:textFill>
        </w:rPr>
        <w:t>新疆甘泉堡工业园区污水处理厂</w:t>
      </w:r>
      <w:r>
        <w:rPr>
          <w:color w:val="000000" w:themeColor="text1"/>
          <w:szCs w:val="24"/>
          <w14:textFill>
            <w14:solidFill>
              <w14:schemeClr w14:val="tx1"/>
            </w14:solidFill>
          </w14:textFill>
        </w:rPr>
        <w:t>处理排放废水，</w:t>
      </w:r>
      <w:r>
        <w:rPr>
          <w:rFonts w:cs="Times New Roman"/>
          <w:color w:val="000000" w:themeColor="text1"/>
          <w:szCs w:val="24"/>
          <w14:textFill>
            <w14:solidFill>
              <w14:schemeClr w14:val="tx1"/>
            </w14:solidFill>
          </w14:textFill>
        </w:rPr>
        <w:t>甘泉堡南区污水处理厂</w:t>
      </w:r>
      <w:r>
        <w:rPr>
          <w:rFonts w:cs="Times New Roman"/>
          <w:color w:val="000000" w:themeColor="text1"/>
          <w14:textFill>
            <w14:solidFill>
              <w14:schemeClr w14:val="tx1"/>
            </w14:solidFill>
          </w14:textFill>
        </w:rPr>
        <w:t>处理后的尾水中主要污染物物pH、BOD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CODcr、氨氮、总磷执行《地表水环境质量标准》（GB3838-2002）IV类水质标准；浊度、色度、粪大肠杆菌执行《城市污水再生利用景观环境用水水质》（GB/T18921-2019）相关标准；其余污染物执行《城镇污水处理厂污染物排放标准》（GB18918-2002）中一级A标准，处理达标的水全部排入北沙窝，用于荒漠林灌溉。</w:t>
      </w:r>
    </w:p>
    <w:p w14:paraId="27735259">
      <w:pPr>
        <w:pStyle w:val="1299"/>
        <w:spacing w:line="360" w:lineRule="auto"/>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本项目废水主要为常规污染物，不会对</w:t>
      </w:r>
      <w:r>
        <w:rPr>
          <w:rFonts w:cs="Times New Roman"/>
          <w:color w:val="000000" w:themeColor="text1"/>
          <w:szCs w:val="24"/>
          <w14:textFill>
            <w14:solidFill>
              <w14:schemeClr w14:val="tx1"/>
            </w14:solidFill>
          </w14:textFill>
        </w:rPr>
        <w:t>甘泉堡南区污水处理厂造成</w:t>
      </w:r>
      <w:r>
        <w:rPr>
          <w:rFonts w:cs="Times New Roman"/>
          <w:color w:val="000000" w:themeColor="text1"/>
          <w14:textFill>
            <w14:solidFill>
              <w14:schemeClr w14:val="tx1"/>
            </w14:solidFill>
          </w14:textFill>
        </w:rPr>
        <w:t>稳定达标排放造成</w:t>
      </w:r>
      <w:r>
        <w:rPr>
          <w:rFonts w:cs="Times New Roman"/>
          <w:color w:val="000000" w:themeColor="text1"/>
          <w:szCs w:val="24"/>
          <w14:textFill>
            <w14:solidFill>
              <w14:schemeClr w14:val="tx1"/>
            </w14:solidFill>
          </w14:textFill>
        </w:rPr>
        <w:t>影响，同时甘泉堡南区污水处理厂</w:t>
      </w:r>
      <w:r>
        <w:rPr>
          <w:rFonts w:cs="Times New Roman"/>
          <w:color w:val="000000" w:themeColor="text1"/>
          <w14:textFill>
            <w14:solidFill>
              <w14:schemeClr w14:val="tx1"/>
            </w14:solidFill>
          </w14:textFill>
        </w:rPr>
        <w:t>排放标准均覆盖本项目废水污染物。</w:t>
      </w:r>
    </w:p>
    <w:p w14:paraId="2688301C">
      <w:pPr>
        <w:pStyle w:val="197"/>
        <w:ind w:firstLine="480" w:firstLineChars="200"/>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t>综上所述，本项目</w:t>
      </w:r>
      <w:r>
        <w:rPr>
          <w:rFonts w:hint="eastAsia"/>
          <w:color w:val="000000" w:themeColor="text1"/>
          <w14:textFill>
            <w14:solidFill>
              <w14:schemeClr w14:val="tx1"/>
            </w14:solidFill>
          </w14:textFill>
        </w:rPr>
        <w:t>废水对周边地表水环境影响较小</w:t>
      </w:r>
      <w:r>
        <w:rPr>
          <w:color w:val="000000" w:themeColor="text1"/>
          <w14:textFill>
            <w14:solidFill>
              <w14:schemeClr w14:val="tx1"/>
            </w14:solidFill>
          </w14:textFill>
        </w:rPr>
        <w:t>。</w:t>
      </w:r>
    </w:p>
    <w:p w14:paraId="51AA72CB">
      <w:pPr>
        <w:pStyle w:val="197"/>
        <w:ind w:firstLineChars="20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（3）地下水</w:t>
      </w:r>
    </w:p>
    <w:p w14:paraId="1302C0AC">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4"/>
          <w14:textFill>
            <w14:solidFill>
              <w14:schemeClr w14:val="tx1"/>
            </w14:solidFill>
          </w14:textFill>
        </w:rPr>
        <w:t>本项目</w:t>
      </w:r>
      <w:r>
        <w:rPr>
          <w:rFonts w:hint="eastAsia" w:ascii="Times New Roman" w:hAnsi="Times New Roman"/>
          <w:color w:val="000000" w:themeColor="text1"/>
          <w:szCs w:val="24"/>
          <w14:textFill>
            <w14:solidFill>
              <w14:schemeClr w14:val="tx1"/>
            </w14:solidFill>
          </w14:textFill>
        </w:rPr>
        <w:t>用地</w:t>
      </w:r>
      <w:r>
        <w:rPr>
          <w:rFonts w:ascii="Times New Roman" w:hAnsi="Times New Roman"/>
          <w:color w:val="000000" w:themeColor="text1"/>
          <w:szCs w:val="24"/>
          <w14:textFill>
            <w14:solidFill>
              <w14:schemeClr w14:val="tx1"/>
            </w14:solidFill>
          </w14:textFill>
        </w:rPr>
        <w:t>内地面均进行硬化</w:t>
      </w:r>
      <w:r>
        <w:rPr>
          <w:rFonts w:hint="eastAsia" w:ascii="Times New Roman" w:hAnsi="Times New Roman"/>
          <w:color w:val="000000" w:themeColor="text1"/>
          <w:szCs w:val="24"/>
          <w14:textFill>
            <w14:solidFill>
              <w14:schemeClr w14:val="tx1"/>
            </w14:solidFill>
          </w14:textFill>
        </w:rPr>
        <w:t>，且按要求进行防渗处理</w:t>
      </w:r>
      <w:r>
        <w:rPr>
          <w:rFonts w:ascii="Times New Roman" w:hAnsi="Times New Roman"/>
          <w:color w:val="000000" w:themeColor="text1"/>
          <w:szCs w:val="24"/>
          <w14:textFill>
            <w14:solidFill>
              <w14:schemeClr w14:val="tx1"/>
            </w14:solidFill>
          </w14:textFill>
        </w:rPr>
        <w:t>，</w:t>
      </w:r>
      <w:r>
        <w:rPr>
          <w:rFonts w:hint="eastAsia" w:ascii="Times New Roman" w:hAnsi="Times New Roman"/>
          <w:color w:val="000000" w:themeColor="text1"/>
          <w:szCs w:val="24"/>
          <w14:textFill>
            <w14:solidFill>
              <w14:schemeClr w14:val="tx1"/>
            </w14:solidFill>
          </w14:textFill>
        </w:rPr>
        <w:t>各生产设施、环保设施均位于地上，</w:t>
      </w:r>
      <w:r>
        <w:rPr>
          <w:rFonts w:ascii="Times New Roman" w:hAnsi="Times New Roman"/>
          <w:color w:val="000000" w:themeColor="text1"/>
          <w:szCs w:val="24"/>
          <w14:textFill>
            <w14:solidFill>
              <w14:schemeClr w14:val="tx1"/>
            </w14:solidFill>
          </w14:textFill>
        </w:rPr>
        <w:t>项目运行对地下水影响较小。厂区</w:t>
      </w:r>
      <w:r>
        <w:rPr>
          <w:rFonts w:hint="eastAsia" w:ascii="Times New Roman" w:hAnsi="Times New Roman"/>
          <w:color w:val="000000" w:themeColor="text1"/>
          <w:szCs w:val="24"/>
          <w14:textFill>
            <w14:solidFill>
              <w14:schemeClr w14:val="tx1"/>
            </w14:solidFill>
          </w14:textFill>
        </w:rPr>
        <w:t>周边评价范围内无</w:t>
      </w:r>
      <w:r>
        <w:rPr>
          <w:rFonts w:ascii="Times New Roman" w:hAnsi="Times New Roman"/>
          <w:color w:val="000000" w:themeColor="text1"/>
          <w14:textFill>
            <w14:solidFill>
              <w14:schemeClr w14:val="tx1"/>
            </w14:solidFill>
          </w14:textFill>
        </w:rPr>
        <w:t>饮用水源，</w:t>
      </w:r>
      <w:r>
        <w:rPr>
          <w:rFonts w:hint="eastAsia" w:ascii="Times New Roman" w:hAnsi="Times New Roman"/>
          <w:color w:val="000000" w:themeColor="text1"/>
          <w14:textFill>
            <w14:solidFill>
              <w14:schemeClr w14:val="tx1"/>
            </w14:solidFill>
          </w14:textFill>
        </w:rPr>
        <w:t>项目的建设</w:t>
      </w:r>
      <w:r>
        <w:rPr>
          <w:rFonts w:ascii="Times New Roman" w:hAnsi="Times New Roman"/>
          <w:color w:val="000000" w:themeColor="text1"/>
          <w14:textFill>
            <w14:solidFill>
              <w14:schemeClr w14:val="tx1"/>
            </w14:solidFill>
          </w14:textFill>
        </w:rPr>
        <w:t>对厂区附近的地下水影响较小。</w:t>
      </w:r>
    </w:p>
    <w:p w14:paraId="6BA641AD">
      <w:pPr>
        <w:pStyle w:val="197"/>
        <w:ind w:firstLineChars="20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（4）声环境</w:t>
      </w:r>
    </w:p>
    <w:p w14:paraId="643276B7">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4"/>
          <w14:textFill>
            <w14:solidFill>
              <w14:schemeClr w14:val="tx1"/>
            </w14:solidFill>
          </w14:textFill>
        </w:rPr>
        <w:t>根据噪声预测结果可知，项目各厂界昼、夜间噪声预测值均能满足《工业企业厂界环境噪声排放标准》（GB12348-2008）3类标准，同时满足《声环境质量标准》（GB3096-2008）3类标准，因此，项目产生噪声对周边环境影响较小。</w:t>
      </w:r>
    </w:p>
    <w:p w14:paraId="7F0147D5">
      <w:pPr>
        <w:pStyle w:val="197"/>
        <w:ind w:firstLineChars="20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（5）土壤环境</w:t>
      </w:r>
    </w:p>
    <w:p w14:paraId="6F2DB228">
      <w:pPr>
        <w:pStyle w:val="197"/>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4"/>
          <w14:textFill>
            <w14:solidFill>
              <w14:schemeClr w14:val="tx1"/>
            </w14:solidFill>
          </w14:textFill>
        </w:rPr>
        <w:t>厂区及周边区域目前土壤环境质量良好；根据预测评价，拟建项目运营期对其土壤环境影响较小；在严格落实土壤环境保护措施的条件下，拟建项目对土壤环境影响风险较小。</w:t>
      </w:r>
    </w:p>
    <w:p w14:paraId="4718AB6E">
      <w:pPr>
        <w:pStyle w:val="3"/>
        <w:rPr>
          <w:color w:val="000000" w:themeColor="text1"/>
          <w14:textFill>
            <w14:solidFill>
              <w14:schemeClr w14:val="tx1"/>
            </w14:solidFill>
          </w14:textFill>
        </w:rPr>
      </w:pPr>
      <w:bookmarkStart w:id="723" w:name="_Toc225268368"/>
      <w:r>
        <w:rPr>
          <w:color w:val="000000" w:themeColor="text1"/>
          <w14:textFill>
            <w14:solidFill>
              <w14:schemeClr w14:val="tx1"/>
            </w14:solidFill>
          </w14:textFill>
        </w:rPr>
        <w:t>污染物排放及防治措施</w:t>
      </w:r>
      <w:bookmarkEnd w:id="723"/>
    </w:p>
    <w:p w14:paraId="6EF1986A">
      <w:pPr>
        <w:pStyle w:val="4"/>
        <w:rPr>
          <w:color w:val="000000" w:themeColor="text1"/>
          <w14:textFill>
            <w14:solidFill>
              <w14:schemeClr w14:val="tx1"/>
            </w14:solidFill>
          </w14:textFill>
        </w:rPr>
      </w:pPr>
      <w:r>
        <w:rPr>
          <w:color w:val="000000" w:themeColor="text1"/>
          <w14:textFill>
            <w14:solidFill>
              <w14:schemeClr w14:val="tx1"/>
            </w14:solidFill>
          </w14:textFill>
        </w:rPr>
        <w:t>废气</w:t>
      </w:r>
    </w:p>
    <w:p w14:paraId="10E5E2D2">
      <w:pPr>
        <w:ind w:firstLine="480"/>
        <w:rPr>
          <w:color w:val="000000" w:themeColor="text1"/>
          <w14:textFill>
            <w14:solidFill>
              <w14:schemeClr w14:val="tx1"/>
            </w14:solidFill>
          </w14:textFill>
        </w:rPr>
      </w:pPr>
      <w:r>
        <w:rPr>
          <w:color w:val="000000" w:themeColor="text1"/>
          <w:lang w:val="zh-CN"/>
          <w14:textFill>
            <w14:solidFill>
              <w14:schemeClr w14:val="tx1"/>
            </w14:solidFill>
          </w14:textFill>
        </w:rPr>
        <w:t>本项目产生的废气储运为废盐储存过程中产生的废气、配伍过程中产生的废气、废盐处置废气</w:t>
      </w:r>
      <w:r>
        <w:rPr>
          <w:rFonts w:hint="eastAsia"/>
          <w:color w:val="000000" w:themeColor="text1"/>
          <w:lang w:val="zh-CN"/>
          <w14:textFill>
            <w14:solidFill>
              <w14:schemeClr w14:val="tx1"/>
            </w14:solidFill>
          </w14:textFill>
        </w:rPr>
        <w:t>、氨水储罐呼吸废气</w:t>
      </w:r>
      <w:r>
        <w:rPr>
          <w:color w:val="000000" w:themeColor="text1"/>
          <w:lang w:val="zh-CN"/>
          <w14:textFill>
            <w14:solidFill>
              <w14:schemeClr w14:val="tx1"/>
            </w14:solidFill>
          </w14:textFill>
        </w:rPr>
        <w:t>。</w:t>
      </w:r>
    </w:p>
    <w:p w14:paraId="0C5EAC30">
      <w:pPr>
        <w:pStyle w:val="38"/>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废盐仓库储存废气</w:t>
      </w:r>
      <w:r>
        <w:rPr>
          <w:rFonts w:hint="eastAsia"/>
          <w:color w:val="000000" w:themeColor="text1"/>
          <w:sz w:val="24"/>
          <w:szCs w:val="24"/>
          <w14:textFill>
            <w14:solidFill>
              <w14:schemeClr w14:val="tx1"/>
            </w14:solidFill>
          </w14:textFill>
        </w:rPr>
        <w:t>、配伍废气</w:t>
      </w:r>
    </w:p>
    <w:p w14:paraId="3717579D">
      <w:pPr>
        <w:pStyle w:val="38"/>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废盐仓库储存、配伍过程会产生挥发性有机废气</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废盐仓库</w:t>
      </w:r>
      <w:r>
        <w:rPr>
          <w:rFonts w:hint="eastAsia"/>
          <w:color w:val="000000" w:themeColor="text1"/>
          <w:sz w:val="24"/>
          <w:szCs w:val="24"/>
          <w14:textFill>
            <w14:solidFill>
              <w14:schemeClr w14:val="tx1"/>
            </w14:solidFill>
          </w14:textFill>
        </w:rPr>
        <w:t>为封闭式</w:t>
      </w:r>
      <w:r>
        <w:rPr>
          <w:color w:val="000000" w:themeColor="text1"/>
          <w:sz w:val="24"/>
          <w:szCs w:val="24"/>
          <w14:textFill>
            <w14:solidFill>
              <w14:schemeClr w14:val="tx1"/>
            </w14:solidFill>
          </w14:textFill>
        </w:rPr>
        <w:t>，采用负压操作系统收集，经二级活性炭吸附装置净化处理后经高15m的排气筒</w:t>
      </w:r>
      <w:r>
        <w:rPr>
          <w:rFonts w:hint="eastAsia"/>
          <w:color w:val="000000" w:themeColor="text1"/>
          <w:sz w:val="24"/>
          <w:szCs w:val="24"/>
          <w14:textFill>
            <w14:solidFill>
              <w14:schemeClr w14:val="tx1"/>
            </w14:solidFill>
          </w14:textFill>
        </w:rPr>
        <w:t>DA001</w:t>
      </w:r>
      <w:r>
        <w:rPr>
          <w:color w:val="000000" w:themeColor="text1"/>
          <w:sz w:val="24"/>
          <w:szCs w:val="24"/>
          <w14:textFill>
            <w14:solidFill>
              <w14:schemeClr w14:val="tx1"/>
            </w14:solidFill>
          </w14:textFill>
        </w:rPr>
        <w:t>排放；</w:t>
      </w:r>
      <w:r>
        <w:rPr>
          <w:rFonts w:hint="eastAsia"/>
          <w:color w:val="000000" w:themeColor="text1"/>
          <w:sz w:val="24"/>
          <w:szCs w:val="24"/>
          <w14:textFill>
            <w14:solidFill>
              <w14:schemeClr w14:val="tx1"/>
            </w14:solidFill>
          </w14:textFill>
        </w:rPr>
        <w:t>车间内</w:t>
      </w:r>
      <w:r>
        <w:rPr>
          <w:color w:val="000000" w:themeColor="text1"/>
          <w:sz w:val="24"/>
          <w:szCs w:val="24"/>
          <w14:textFill>
            <w14:solidFill>
              <w14:schemeClr w14:val="tx1"/>
            </w14:solidFill>
          </w14:textFill>
        </w:rPr>
        <w:t>设置单独封闭的配伍间，并进行抽负压设计，配伍过程产生的废气</w:t>
      </w:r>
      <w:r>
        <w:rPr>
          <w:rFonts w:hint="eastAsia"/>
          <w:color w:val="000000" w:themeColor="text1"/>
          <w:sz w:val="24"/>
          <w:szCs w:val="24"/>
          <w14:textFill>
            <w14:solidFill>
              <w14:schemeClr w14:val="tx1"/>
            </w14:solidFill>
          </w14:textFill>
        </w:rPr>
        <w:t>与废盐仓库废气共用一套废气处理设施，挥发性有机废气</w:t>
      </w:r>
      <w:r>
        <w:rPr>
          <w:color w:val="000000" w:themeColor="text1"/>
          <w:sz w:val="24"/>
          <w:szCs w:val="24"/>
          <w:lang w:val="zh-CN"/>
          <w14:textFill>
            <w14:solidFill>
              <w14:schemeClr w14:val="tx1"/>
            </w14:solidFill>
          </w14:textFill>
        </w:rPr>
        <w:t>满足</w:t>
      </w:r>
      <w:r>
        <w:rPr>
          <w:color w:val="000000" w:themeColor="text1"/>
          <w:sz w:val="24"/>
          <w:szCs w:val="24"/>
          <w14:textFill>
            <w14:solidFill>
              <w14:schemeClr w14:val="tx1"/>
            </w14:solidFill>
          </w14:textFill>
        </w:rPr>
        <w:t>《大气污染物综合排放标准》</w:t>
      </w:r>
      <w:r>
        <w:rPr>
          <w:color w:val="000000" w:themeColor="text1"/>
          <w:sz w:val="24"/>
          <w:szCs w:val="24"/>
          <w:lang w:bidi="en-US"/>
          <w14:textFill>
            <w14:solidFill>
              <w14:schemeClr w14:val="tx1"/>
            </w14:solidFill>
          </w14:textFill>
        </w:rPr>
        <w:t>(</w:t>
      </w:r>
      <w:r>
        <w:rPr>
          <w:rFonts w:eastAsia="Times New Roman"/>
          <w:color w:val="000000" w:themeColor="text1"/>
          <w:sz w:val="24"/>
          <w:szCs w:val="24"/>
          <w:lang w:bidi="en-US"/>
          <w14:textFill>
            <w14:solidFill>
              <w14:schemeClr w14:val="tx1"/>
            </w14:solidFill>
          </w14:textFill>
        </w:rPr>
        <w:t>GB16297-1996</w:t>
      </w:r>
      <w:r>
        <w:rPr>
          <w:color w:val="000000" w:themeColor="text1"/>
          <w:sz w:val="24"/>
          <w:szCs w:val="24"/>
          <w:lang w:bidi="en-US"/>
          <w14:textFill>
            <w14:solidFill>
              <w14:schemeClr w14:val="tx1"/>
            </w14:solidFill>
          </w14:textFill>
        </w:rPr>
        <w:t>)</w:t>
      </w:r>
      <w:r>
        <w:rPr>
          <w:color w:val="000000" w:themeColor="text1"/>
          <w:sz w:val="24"/>
          <w:szCs w:val="24"/>
          <w14:textFill>
            <w14:solidFill>
              <w14:schemeClr w14:val="tx1"/>
            </w14:solidFill>
          </w14:textFill>
        </w:rPr>
        <w:t>中表</w:t>
      </w:r>
      <w:r>
        <w:rPr>
          <w:rFonts w:eastAsia="Times New Roman"/>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标准要求（</w:t>
      </w:r>
      <w:r>
        <w:rPr>
          <w:rFonts w:hint="eastAsia"/>
          <w:color w:val="000000" w:themeColor="text1"/>
          <w:sz w:val="24"/>
          <w:szCs w:val="24"/>
          <w14:textFill>
            <w14:solidFill>
              <w14:schemeClr w14:val="tx1"/>
            </w14:solidFill>
          </w14:textFill>
        </w:rPr>
        <w:t>非甲烷总烃</w:t>
      </w:r>
      <w:r>
        <w:rPr>
          <w:color w:val="000000" w:themeColor="text1"/>
          <w:sz w:val="24"/>
          <w:szCs w:val="24"/>
          <w14:textFill>
            <w14:solidFill>
              <w14:schemeClr w14:val="tx1"/>
            </w14:solidFill>
          </w14:textFill>
        </w:rPr>
        <w:t>最高允许排放浓度120mg/m³，15m排气筒最高允许排放速率10kg/h）。</w:t>
      </w:r>
    </w:p>
    <w:p w14:paraId="0821A62E">
      <w:pPr>
        <w:pStyle w:val="38"/>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热解焙烧窑废气</w:t>
      </w:r>
    </w:p>
    <w:p w14:paraId="72F8E4DA">
      <w:pPr>
        <w:pStyle w:val="38"/>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废盐处置废气经过</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二燃室（SNCR）+石墨急冷塔+二级碱洗塔+水洗塔+湿电除尘+引风机+活性炭吸附+GGH换热+热风炉（电加热）+SCR</w:t>
      </w:r>
      <w:r>
        <w:rPr>
          <w:rFonts w:hint="eastAsia"/>
          <w:color w:val="000000" w:themeColor="text1"/>
          <w:sz w:val="24"/>
          <w:szCs w:val="24"/>
          <w14:textFill>
            <w14:solidFill>
              <w14:schemeClr w14:val="tx1"/>
            </w14:solidFill>
          </w14:textFill>
        </w:rPr>
        <w:t>”处理后</w:t>
      </w:r>
      <w:r>
        <w:rPr>
          <w:color w:val="000000" w:themeColor="text1"/>
          <w:sz w:val="24"/>
          <w:szCs w:val="24"/>
          <w14:textFill>
            <w14:solidFill>
              <w14:schemeClr w14:val="tx1"/>
            </w14:solidFill>
          </w14:textFill>
        </w:rPr>
        <w:t>，通过</w:t>
      </w:r>
      <w:r>
        <w:rPr>
          <w:rFonts w:hint="eastAsia"/>
          <w:color w:val="000000" w:themeColor="text1"/>
          <w:sz w:val="24"/>
          <w:szCs w:val="24"/>
          <w14:textFill>
            <w14:solidFill>
              <w14:schemeClr w14:val="tx1"/>
            </w14:solidFill>
          </w14:textFill>
        </w:rPr>
        <w:t>50</w:t>
      </w:r>
      <w:r>
        <w:rPr>
          <w:color w:val="000000" w:themeColor="text1"/>
          <w:sz w:val="24"/>
          <w:szCs w:val="24"/>
          <w14:textFill>
            <w14:solidFill>
              <w14:schemeClr w14:val="tx1"/>
            </w14:solidFill>
          </w14:textFill>
        </w:rPr>
        <w:t>m高排气筒</w:t>
      </w:r>
      <w:r>
        <w:rPr>
          <w:rFonts w:hint="eastAsia"/>
          <w:color w:val="000000" w:themeColor="text1"/>
          <w:sz w:val="24"/>
          <w:szCs w:val="24"/>
          <w14:textFill>
            <w14:solidFill>
              <w14:schemeClr w14:val="tx1"/>
            </w14:solidFill>
          </w14:textFill>
        </w:rPr>
        <w:t>DA002</w:t>
      </w:r>
      <w:r>
        <w:rPr>
          <w:color w:val="000000" w:themeColor="text1"/>
          <w:sz w:val="24"/>
          <w:szCs w:val="24"/>
          <w14:textFill>
            <w14:solidFill>
              <w14:schemeClr w14:val="tx1"/>
            </w14:solidFill>
          </w14:textFill>
        </w:rPr>
        <w:t>排放</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各污染物</w:t>
      </w:r>
      <w:r>
        <w:rPr>
          <w:rFonts w:hint="eastAsia"/>
          <w:color w:val="000000" w:themeColor="text1"/>
          <w:sz w:val="24"/>
          <w:szCs w:val="24"/>
          <w14:textFill>
            <w14:solidFill>
              <w14:schemeClr w14:val="tx1"/>
            </w14:solidFill>
          </w14:textFill>
        </w:rPr>
        <w:t>均</w:t>
      </w:r>
      <w:r>
        <w:rPr>
          <w:color w:val="000000" w:themeColor="text1"/>
          <w:sz w:val="24"/>
          <w:szCs w:val="24"/>
          <w14:textFill>
            <w14:solidFill>
              <w14:schemeClr w14:val="tx1"/>
            </w14:solidFill>
          </w14:textFill>
        </w:rPr>
        <w:t>满足《危险废物焚烧污染控制标准》（GB18484-2020）表3限值要求</w:t>
      </w:r>
      <w:r>
        <w:rPr>
          <w:rFonts w:hint="eastAsia"/>
          <w:color w:val="000000" w:themeColor="text1"/>
          <w:sz w:val="24"/>
          <w:szCs w:val="24"/>
          <w14:textFill>
            <w14:solidFill>
              <w14:schemeClr w14:val="tx1"/>
            </w14:solidFill>
          </w14:textFill>
        </w:rPr>
        <w:t>。</w:t>
      </w:r>
    </w:p>
    <w:p w14:paraId="3513490D">
      <w:pPr>
        <w:pStyle w:val="38"/>
        <w:spacing w:line="360" w:lineRule="auto"/>
        <w:ind w:firstLine="480" w:firstLineChars="200"/>
        <w:rPr>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热解焙烧窑</w:t>
      </w:r>
      <w:r>
        <w:rPr>
          <w:rFonts w:hint="eastAsia"/>
          <w:color w:val="000000" w:themeColor="text1"/>
          <w:sz w:val="24"/>
          <w:szCs w:val="24"/>
          <w14:textFill>
            <w14:solidFill>
              <w14:schemeClr w14:val="tx1"/>
            </w14:solidFill>
          </w14:textFill>
        </w:rPr>
        <w:t>天然气燃烧废气</w:t>
      </w:r>
    </w:p>
    <w:p w14:paraId="3617044D">
      <w:pPr>
        <w:pStyle w:val="38"/>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采用低氮燃烧器，燃烧烟气经15m高的排气筒DA003排放。</w:t>
      </w:r>
      <w:r>
        <w:rPr>
          <w:bCs/>
          <w:color w:val="000000" w:themeColor="text1"/>
          <w:sz w:val="24"/>
          <w:szCs w:val="24"/>
          <w14:textFill>
            <w14:solidFill>
              <w14:schemeClr w14:val="tx1"/>
            </w14:solidFill>
          </w14:textFill>
        </w:rPr>
        <w:t>天然气燃烧废气</w:t>
      </w:r>
      <w:r>
        <w:rPr>
          <w:color w:val="000000" w:themeColor="text1"/>
          <w:sz w:val="24"/>
          <w:szCs w:val="24"/>
          <w14:textFill>
            <w14:solidFill>
              <w14:schemeClr w14:val="tx1"/>
            </w14:solidFill>
          </w14:textFill>
        </w:rPr>
        <w:t>满足《大气污染物综合排放标准》（GB16297-1996）中表2标准（颗粒物120mg/m³；3.5kg/h、二氧化硫550mg/m³；2.6kg/h、氮氧化物240mg/m³；0.77kg/h）。</w:t>
      </w:r>
    </w:p>
    <w:p w14:paraId="33093CB2">
      <w:pPr>
        <w:pStyle w:val="38"/>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4、氨水罐呼吸废气</w:t>
      </w:r>
    </w:p>
    <w:p w14:paraId="43BAE741">
      <w:pPr>
        <w:pStyle w:val="38"/>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氨水储罐设置呼吸阀，呼吸废气经二级水封吸收处理后无组织排放，满足</w:t>
      </w:r>
      <w:r>
        <w:rPr>
          <w:color w:val="000000" w:themeColor="text1"/>
          <w:sz w:val="24"/>
          <w:szCs w:val="24"/>
          <w14:textFill>
            <w14:solidFill>
              <w14:schemeClr w14:val="tx1"/>
            </w14:solidFill>
          </w14:textFill>
        </w:rPr>
        <w:t>《恶臭污染物排放标准》 (</w:t>
      </w:r>
      <w:r>
        <w:rPr>
          <w:rFonts w:eastAsia="Times New Roman"/>
          <w:color w:val="000000" w:themeColor="text1"/>
          <w:sz w:val="24"/>
          <w:szCs w:val="24"/>
          <w:lang w:bidi="en-US"/>
          <w14:textFill>
            <w14:solidFill>
              <w14:schemeClr w14:val="tx1"/>
            </w14:solidFill>
          </w14:textFill>
        </w:rPr>
        <w:t>GB14554-93</w:t>
      </w:r>
      <w:r>
        <w:rPr>
          <w:color w:val="000000" w:themeColor="text1"/>
          <w:sz w:val="24"/>
          <w:szCs w:val="24"/>
          <w14:textFill>
            <w14:solidFill>
              <w14:schemeClr w14:val="tx1"/>
            </w14:solidFill>
          </w14:textFill>
        </w:rPr>
        <w:t>)表</w:t>
      </w:r>
      <w:r>
        <w:rPr>
          <w:rFonts w:eastAsia="Times New Roman"/>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标准要求</w:t>
      </w:r>
      <w:r>
        <w:rPr>
          <w:rFonts w:hint="eastAsia"/>
          <w:color w:val="000000" w:themeColor="text1"/>
          <w:sz w:val="24"/>
          <w:szCs w:val="24"/>
          <w14:textFill>
            <w14:solidFill>
              <w14:schemeClr w14:val="tx1"/>
            </w14:solidFill>
          </w14:textFill>
        </w:rPr>
        <w:t>（1.5mg/m³）。</w:t>
      </w:r>
    </w:p>
    <w:p w14:paraId="27005500">
      <w:pPr>
        <w:pStyle w:val="4"/>
        <w:rPr>
          <w:color w:val="000000" w:themeColor="text1"/>
          <w14:textFill>
            <w14:solidFill>
              <w14:schemeClr w14:val="tx1"/>
            </w14:solidFill>
          </w14:textFill>
        </w:rPr>
      </w:pPr>
      <w:r>
        <w:rPr>
          <w:color w:val="000000" w:themeColor="text1"/>
          <w14:textFill>
            <w14:solidFill>
              <w14:schemeClr w14:val="tx1"/>
            </w14:solidFill>
          </w14:textFill>
        </w:rPr>
        <w:t>废水</w:t>
      </w:r>
    </w:p>
    <w:p w14:paraId="52C9B73E">
      <w:pPr>
        <w:ind w:firstLine="480"/>
        <w:rPr>
          <w:color w:val="000000" w:themeColor="text1"/>
          <w14:textFill>
            <w14:solidFill>
              <w14:schemeClr w14:val="tx1"/>
            </w14:solidFill>
          </w14:textFill>
        </w:rPr>
      </w:pPr>
      <w:r>
        <w:rPr>
          <w:color w:val="000000" w:themeColor="text1"/>
          <w14:textFill>
            <w14:solidFill>
              <w14:schemeClr w14:val="tx1"/>
            </w14:solidFill>
          </w14:textFill>
        </w:rPr>
        <w:t>烟气处理系统废水中和后排入多效蒸发器处理</w:t>
      </w:r>
      <w:r>
        <w:rPr>
          <w:rFonts w:hint="eastAsia"/>
          <w:color w:val="000000" w:themeColor="text1"/>
          <w14:textFill>
            <w14:solidFill>
              <w14:schemeClr w14:val="tx1"/>
            </w14:solidFill>
          </w14:textFill>
        </w:rPr>
        <w:t>，冷凝水</w:t>
      </w:r>
      <w:r>
        <w:rPr>
          <w:color w:val="000000" w:themeColor="text1"/>
          <w14:textFill>
            <w14:solidFill>
              <w14:schemeClr w14:val="tx1"/>
            </w14:solidFill>
          </w14:textFill>
        </w:rPr>
        <w:t>作为水洗塔和急冷塔补水使用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生活污水经化粪池预处理后排入市政污水管网。循环冷却系统排污水、化验室废水、地面冲洗废水</w:t>
      </w:r>
      <w:r>
        <w:rPr>
          <w:rFonts w:hint="eastAsia"/>
          <w:color w:val="000000" w:themeColor="text1"/>
          <w14:textFill>
            <w14:solidFill>
              <w14:schemeClr w14:val="tx1"/>
            </w14:solidFill>
          </w14:textFill>
        </w:rPr>
        <w:t>直接</w:t>
      </w:r>
      <w:r>
        <w:rPr>
          <w:color w:val="000000" w:themeColor="text1"/>
          <w14:textFill>
            <w14:solidFill>
              <w14:schemeClr w14:val="tx1"/>
            </w14:solidFill>
          </w14:textFill>
        </w:rPr>
        <w:t>排入市政污水管网</w:t>
      </w:r>
      <w:r>
        <w:rPr>
          <w:rFonts w:hint="eastAsia"/>
          <w:color w:val="000000" w:themeColor="text1"/>
          <w14:textFill>
            <w14:solidFill>
              <w14:schemeClr w14:val="tx1"/>
            </w14:solidFill>
          </w14:textFill>
        </w:rPr>
        <w:t>，外排废水满足</w:t>
      </w:r>
      <w:r>
        <w:rPr>
          <w:color w:val="000000" w:themeColor="text1"/>
          <w14:textFill>
            <w14:solidFill>
              <w14:schemeClr w14:val="tx1"/>
            </w14:solidFill>
          </w14:textFill>
        </w:rPr>
        <w:t>《污水综合排放标准》（GB8978-1996）</w:t>
      </w: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三级标准</w:t>
      </w:r>
      <w:r>
        <w:rPr>
          <w:rFonts w:hint="eastAsia"/>
          <w:color w:val="000000" w:themeColor="text1"/>
          <w14:textFill>
            <w14:solidFill>
              <w14:schemeClr w14:val="tx1"/>
            </w14:solidFill>
          </w14:textFill>
        </w:rPr>
        <w:t>及污水处理厂接管标准要求。</w:t>
      </w:r>
    </w:p>
    <w:p w14:paraId="1F87A1FD">
      <w:pPr>
        <w:pStyle w:val="4"/>
        <w:rPr>
          <w:color w:val="000000" w:themeColor="text1"/>
          <w14:textFill>
            <w14:solidFill>
              <w14:schemeClr w14:val="tx1"/>
            </w14:solidFill>
          </w14:textFill>
        </w:rPr>
      </w:pPr>
      <w:r>
        <w:rPr>
          <w:color w:val="000000" w:themeColor="text1"/>
          <w14:textFill>
            <w14:solidFill>
              <w14:schemeClr w14:val="tx1"/>
            </w14:solidFill>
          </w14:textFill>
        </w:rPr>
        <w:t>固体废物</w:t>
      </w:r>
    </w:p>
    <w:p w14:paraId="2F0C0980">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本项目产生的固废主要包括废活性炭、多效蒸发废盐；废气处理设施沉淀池泥渣；废脱硝催化剂；废盐包装袋；化验残渣、化验废液、破损的化验容器；废润滑油及废油桶；生活垃圾。</w:t>
      </w:r>
    </w:p>
    <w:p w14:paraId="4F2B2C0F">
      <w:pPr>
        <w:ind w:firstLine="480"/>
        <w:rPr>
          <w:color w:val="000000" w:themeColor="text1"/>
          <w14:textFill>
            <w14:solidFill>
              <w14:schemeClr w14:val="tx1"/>
            </w14:solidFill>
          </w14:textFill>
        </w:rPr>
      </w:pPr>
      <w:r>
        <w:rPr>
          <w:color w:val="000000" w:themeColor="text1"/>
          <w14:textFill>
            <w14:solidFill>
              <w14:schemeClr w14:val="tx1"/>
            </w14:solidFill>
          </w14:textFill>
        </w:rPr>
        <w:t>废活性炭、多效蒸发废盐；废气处理设施沉淀池泥渣；废脱硝催化剂；废盐包装袋；化验残渣、化验废液、破损的化验容器；废润滑油及废油桶</w:t>
      </w:r>
      <w:r>
        <w:rPr>
          <w:rFonts w:hint="eastAsia"/>
          <w:color w:val="000000" w:themeColor="text1"/>
          <w14:textFill>
            <w14:solidFill>
              <w14:schemeClr w14:val="tx1"/>
            </w14:solidFill>
          </w14:textFill>
        </w:rPr>
        <w:t>属于危险废物，</w:t>
      </w:r>
      <w:r>
        <w:rPr>
          <w:color w:val="000000" w:themeColor="text1"/>
          <w14:textFill>
            <w14:solidFill>
              <w14:schemeClr w14:val="tx1"/>
            </w14:solidFill>
          </w14:textFill>
        </w:rPr>
        <w:t>经收集在厂区危废间暂存后，委托有相关资质的危废处置单位进行收集处置。</w:t>
      </w:r>
      <w:r>
        <w:rPr>
          <w:rFonts w:hint="eastAsia"/>
          <w:color w:val="000000" w:themeColor="text1"/>
          <w14:textFill>
            <w14:solidFill>
              <w14:schemeClr w14:val="tx1"/>
            </w14:solidFill>
          </w14:textFill>
        </w:rPr>
        <w:t>危废间</w:t>
      </w:r>
      <w:r>
        <w:rPr>
          <w:color w:val="000000" w:themeColor="text1"/>
          <w14:textFill>
            <w14:solidFill>
              <w14:schemeClr w14:val="tx1"/>
            </w14:solidFill>
          </w14:textFill>
        </w:rPr>
        <w:t>严格按照《危险废物贮存污染控制标准》（GB18597-2023）</w:t>
      </w:r>
      <w:r>
        <w:rPr>
          <w:rFonts w:hint="eastAsia"/>
          <w:color w:val="000000" w:themeColor="text1"/>
          <w14:textFill>
            <w14:solidFill>
              <w14:schemeClr w14:val="tx1"/>
            </w14:solidFill>
          </w14:textFill>
        </w:rPr>
        <w:t>建设和管理。</w:t>
      </w:r>
    </w:p>
    <w:p w14:paraId="315E1F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r>
        <w:rPr>
          <w:color w:val="000000" w:themeColor="text1"/>
          <w14:textFill>
            <w14:solidFill>
              <w14:schemeClr w14:val="tx1"/>
            </w14:solidFill>
          </w14:textFill>
        </w:rPr>
        <w:t>由环卫部门统一收集处理。</w:t>
      </w:r>
    </w:p>
    <w:p w14:paraId="02FBD012">
      <w:pPr>
        <w:ind w:firstLine="480"/>
        <w:rPr>
          <w:color w:val="000000" w:themeColor="text1"/>
          <w14:textFill>
            <w14:solidFill>
              <w14:schemeClr w14:val="tx1"/>
            </w14:solidFill>
          </w14:textFill>
        </w:rPr>
      </w:pPr>
      <w:r>
        <w:rPr>
          <w:color w:val="000000" w:themeColor="text1"/>
          <w14:textFill>
            <w14:solidFill>
              <w14:schemeClr w14:val="tx1"/>
            </w14:solidFill>
          </w14:textFill>
        </w:rPr>
        <w:t>建设项目不向周围环境排放固体废弃物，对周围环境不会带来二次污染及其他影响。</w:t>
      </w:r>
    </w:p>
    <w:p w14:paraId="1169F784">
      <w:pPr>
        <w:pStyle w:val="4"/>
        <w:rPr>
          <w:color w:val="000000" w:themeColor="text1"/>
          <w14:textFill>
            <w14:solidFill>
              <w14:schemeClr w14:val="tx1"/>
            </w14:solidFill>
          </w14:textFill>
        </w:rPr>
      </w:pPr>
      <w:r>
        <w:rPr>
          <w:color w:val="000000" w:themeColor="text1"/>
          <w14:textFill>
            <w14:solidFill>
              <w14:schemeClr w14:val="tx1"/>
            </w14:solidFill>
          </w14:textFill>
        </w:rPr>
        <w:t>噪声</w:t>
      </w:r>
    </w:p>
    <w:p w14:paraId="2949468B">
      <w:pPr>
        <w:ind w:firstLine="480"/>
        <w:rPr>
          <w:color w:val="000000" w:themeColor="text1"/>
          <w14:textFill>
            <w14:solidFill>
              <w14:schemeClr w14:val="tx1"/>
            </w14:solidFill>
          </w14:textFill>
        </w:rPr>
      </w:pPr>
      <w:r>
        <w:rPr>
          <w:color w:val="000000" w:themeColor="text1"/>
          <w14:textFill>
            <w14:solidFill>
              <w14:schemeClr w14:val="tx1"/>
            </w14:solidFill>
          </w14:textFill>
        </w:rPr>
        <w:t>通过采用隔声减振、厂区绿化、加强管理等方法控制噪声影响，厂界噪声可满足《工业企业厂界环境噪声排放标准》（GB12348-2008）3类标准。</w:t>
      </w:r>
    </w:p>
    <w:p w14:paraId="7B2406D4">
      <w:pPr>
        <w:pStyle w:val="4"/>
        <w:rPr>
          <w:color w:val="000000" w:themeColor="text1"/>
          <w14:textFill>
            <w14:solidFill>
              <w14:schemeClr w14:val="tx1"/>
            </w14:solidFill>
          </w14:textFill>
        </w:rPr>
      </w:pPr>
      <w:r>
        <w:rPr>
          <w:color w:val="000000" w:themeColor="text1"/>
          <w14:textFill>
            <w14:solidFill>
              <w14:schemeClr w14:val="tx1"/>
            </w14:solidFill>
          </w14:textFill>
        </w:rPr>
        <w:t>环境风险</w:t>
      </w:r>
    </w:p>
    <w:p w14:paraId="3026E608">
      <w:pPr>
        <w:ind w:firstLine="480"/>
        <w:rPr>
          <w:color w:val="000000" w:themeColor="text1"/>
          <w14:textFill>
            <w14:solidFill>
              <w14:schemeClr w14:val="tx1"/>
            </w14:solidFill>
          </w14:textFill>
        </w:rPr>
      </w:pPr>
      <w:r>
        <w:rPr>
          <w:color w:val="000000" w:themeColor="text1"/>
          <w14:textFill>
            <w14:solidFill>
              <w14:schemeClr w14:val="tx1"/>
            </w14:solidFill>
          </w14:textFill>
        </w:rPr>
        <w:t>项目在设计中充分考虑了各种危险因素和可能造成的危害，并采取了相应的预防措施。只要各工作岗位严格遵守岗位操作规程，避免误操作，加强设备的维护和管理，项目可以在设计年限内平稳安全地运行。从环境控制的角度来评价，经采取相应应急措施，能大大减少事故发生概率，并且如一旦发生事故，能迅速采取有力措施，减小对环境污染，其潜在的事故风险是可以防范的。</w:t>
      </w:r>
    </w:p>
    <w:p w14:paraId="5F5393DA">
      <w:pPr>
        <w:pStyle w:val="3"/>
        <w:rPr>
          <w:color w:val="000000" w:themeColor="text1"/>
          <w14:textFill>
            <w14:solidFill>
              <w14:schemeClr w14:val="tx1"/>
            </w14:solidFill>
          </w14:textFill>
        </w:rPr>
      </w:pPr>
      <w:bookmarkStart w:id="724" w:name="_Toc225268369"/>
      <w:r>
        <w:rPr>
          <w:color w:val="000000" w:themeColor="text1"/>
          <w14:textFill>
            <w14:solidFill>
              <w14:schemeClr w14:val="tx1"/>
            </w14:solidFill>
          </w14:textFill>
        </w:rPr>
        <w:t>总量控制</w:t>
      </w:r>
      <w:bookmarkEnd w:id="724"/>
    </w:p>
    <w:p w14:paraId="37FA7157">
      <w:pPr>
        <w:ind w:firstLine="480"/>
        <w:rPr>
          <w:color w:val="000000" w:themeColor="text1"/>
          <w14:textFill>
            <w14:solidFill>
              <w14:schemeClr w14:val="tx1"/>
            </w14:solidFill>
          </w14:textFill>
        </w:rPr>
      </w:pPr>
      <w:r>
        <w:rPr>
          <w:color w:val="000000" w:themeColor="text1"/>
          <w14:textFill>
            <w14:solidFill>
              <w14:schemeClr w14:val="tx1"/>
            </w14:solidFill>
          </w14:textFill>
        </w:rPr>
        <w:t>根据项目所在区域环境特征，结合项目污染物排放特征，建议本项目实施总量控制的大气污染物为</w:t>
      </w:r>
      <w:r>
        <w:rPr>
          <w:rFonts w:hint="eastAsia"/>
          <w:color w:val="000000" w:themeColor="text1"/>
          <w14:textFill>
            <w14:solidFill>
              <w14:schemeClr w14:val="tx1"/>
            </w14:solidFill>
          </w14:textFill>
        </w:rPr>
        <w:t>颗粒物、二氧化硫、氮氧化物和挥发性有机物</w:t>
      </w:r>
      <w:r>
        <w:rPr>
          <w:color w:val="000000" w:themeColor="text1"/>
          <w14:textFill>
            <w14:solidFill>
              <w14:schemeClr w14:val="tx1"/>
            </w14:solidFill>
          </w14:textFill>
        </w:rPr>
        <w:t>；本项目废水依托</w:t>
      </w:r>
      <w:r>
        <w:rPr>
          <w:rFonts w:hint="eastAsia"/>
          <w:color w:val="000000" w:themeColor="text1"/>
          <w14:textFill>
            <w14:solidFill>
              <w14:schemeClr w14:val="tx1"/>
            </w14:solidFill>
          </w14:textFill>
        </w:rPr>
        <w:t>乌鲁木齐昆仑新水源甘泉堡水务有限责任公司</w:t>
      </w:r>
      <w:r>
        <w:rPr>
          <w:color w:val="000000" w:themeColor="text1"/>
          <w14:textFill>
            <w14:solidFill>
              <w14:schemeClr w14:val="tx1"/>
            </w14:solidFill>
          </w14:textFill>
        </w:rPr>
        <w:t>处理，其总量纳入</w:t>
      </w:r>
      <w:r>
        <w:rPr>
          <w:rFonts w:hint="eastAsia"/>
          <w:color w:val="000000" w:themeColor="text1"/>
          <w14:textFill>
            <w14:solidFill>
              <w14:schemeClr w14:val="tx1"/>
            </w14:solidFill>
          </w14:textFill>
        </w:rPr>
        <w:t>乌鲁木齐昆仑新水源甘泉堡水务有限责任公司</w:t>
      </w:r>
      <w:r>
        <w:rPr>
          <w:color w:val="000000" w:themeColor="text1"/>
          <w14:textFill>
            <w14:solidFill>
              <w14:schemeClr w14:val="tx1"/>
            </w14:solidFill>
          </w14:textFill>
        </w:rPr>
        <w:t>管理。因此，本项目不设废水污染物排放总量控制指标</w:t>
      </w:r>
      <w:r>
        <w:rPr>
          <w:rFonts w:hint="eastAsia"/>
          <w:color w:val="000000" w:themeColor="text1"/>
          <w14:textFill>
            <w14:solidFill>
              <w14:schemeClr w14:val="tx1"/>
            </w14:solidFill>
          </w14:textFill>
        </w:rPr>
        <w:t>。</w:t>
      </w:r>
    </w:p>
    <w:p w14:paraId="245BEEF5">
      <w:pPr>
        <w:ind w:firstLine="480"/>
        <w:rPr>
          <w:color w:val="000000" w:themeColor="text1"/>
          <w:szCs w:val="21"/>
          <w14:textFill>
            <w14:solidFill>
              <w14:schemeClr w14:val="tx1"/>
            </w14:solidFill>
          </w14:textFill>
        </w:rPr>
      </w:pPr>
      <w:r>
        <w:rPr>
          <w:color w:val="000000" w:themeColor="text1"/>
          <w14:textFill>
            <w14:solidFill>
              <w14:schemeClr w14:val="tx1"/>
            </w14:solidFill>
          </w14:textFill>
        </w:rPr>
        <w:t>本项目总量控制建议指标为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颗粒物：</w:t>
      </w:r>
      <w:r>
        <w:rPr>
          <w:rFonts w:hint="eastAsia"/>
          <w:color w:val="000000" w:themeColor="text1"/>
          <w14:textFill>
            <w14:solidFill>
              <w14:schemeClr w14:val="tx1"/>
            </w14:solidFill>
          </w14:textFill>
        </w:rPr>
        <w:t>0.813</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，二氧化硫：2.46</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，氮氧化物：6.361</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VOCs：0.25t/a。</w:t>
      </w:r>
    </w:p>
    <w:p w14:paraId="75EB01E5">
      <w:pPr>
        <w:pStyle w:val="3"/>
        <w:rPr>
          <w:color w:val="000000" w:themeColor="text1"/>
          <w14:textFill>
            <w14:solidFill>
              <w14:schemeClr w14:val="tx1"/>
            </w14:solidFill>
          </w14:textFill>
        </w:rPr>
      </w:pPr>
      <w:bookmarkStart w:id="725" w:name="_Toc225268370"/>
      <w:r>
        <w:rPr>
          <w:color w:val="000000" w:themeColor="text1"/>
          <w14:textFill>
            <w14:solidFill>
              <w14:schemeClr w14:val="tx1"/>
            </w14:solidFill>
          </w14:textFill>
        </w:rPr>
        <w:t>环境影响损益分析</w:t>
      </w:r>
      <w:bookmarkEnd w:id="725"/>
    </w:p>
    <w:p w14:paraId="53B4A6AD">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本项目总投资5000万元，其中环保投资</w:t>
      </w:r>
      <w:r>
        <w:rPr>
          <w:rFonts w:hint="eastAsia" w:ascii="Times New Roman" w:hAnsi="Times New Roman"/>
          <w:color w:val="000000" w:themeColor="text1"/>
          <w14:textFill>
            <w14:solidFill>
              <w14:schemeClr w14:val="tx1"/>
            </w14:solidFill>
          </w14:textFill>
        </w:rPr>
        <w:t>675</w:t>
      </w:r>
      <w:r>
        <w:rPr>
          <w:rFonts w:ascii="Times New Roman" w:hAnsi="Times New Roman"/>
          <w:color w:val="000000" w:themeColor="text1"/>
          <w14:textFill>
            <w14:solidFill>
              <w14:schemeClr w14:val="tx1"/>
            </w14:solidFill>
          </w14:textFill>
        </w:rPr>
        <w:t>万元，占总投资额的</w:t>
      </w:r>
      <w:r>
        <w:rPr>
          <w:rFonts w:hint="eastAsia" w:ascii="Times New Roman" w:hAnsi="Times New Roman"/>
          <w:color w:val="000000" w:themeColor="text1"/>
          <w14:textFill>
            <w14:solidFill>
              <w14:schemeClr w14:val="tx1"/>
            </w14:solidFill>
          </w14:textFill>
        </w:rPr>
        <w:t>13</w:t>
      </w:r>
      <w:r>
        <w:rPr>
          <w:rFonts w:ascii="Times New Roman" w:hAnsi="Times New Roman"/>
          <w:color w:val="000000" w:themeColor="text1"/>
          <w14:textFill>
            <w14:solidFill>
              <w14:schemeClr w14:val="tx1"/>
            </w14:solidFill>
          </w14:textFill>
        </w:rPr>
        <w:t>.5%。在充分考虑污染物治理措施的基础上，环保投资占总投资适宜。项目环保投资经济效益较为明显，同时具有较好的环境效益和社会效益，保证做到污染物达标排放，减轻对环境的污染，保护人群健康。因此，项目环保设施产生的环境效益和社会效益较为明显，环保投资是可行、合理和有价值的。</w:t>
      </w:r>
    </w:p>
    <w:p w14:paraId="2E8A13F5">
      <w:pPr>
        <w:pStyle w:val="3"/>
        <w:rPr>
          <w:b/>
          <w:bCs/>
          <w:color w:val="000000" w:themeColor="text1"/>
          <w14:textFill>
            <w14:solidFill>
              <w14:schemeClr w14:val="tx1"/>
            </w14:solidFill>
          </w14:textFill>
        </w:rPr>
      </w:pPr>
      <w:bookmarkStart w:id="726" w:name="_Toc225268371"/>
      <w:r>
        <w:rPr>
          <w:color w:val="000000" w:themeColor="text1"/>
          <w14:textFill>
            <w14:solidFill>
              <w14:schemeClr w14:val="tx1"/>
            </w14:solidFill>
          </w14:textFill>
        </w:rPr>
        <w:t>公众参与结论</w:t>
      </w:r>
    </w:p>
    <w:p w14:paraId="022C59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根据《中华人民共和国环境影响评价法》（</w:t>
      </w:r>
      <w:r>
        <w:rPr>
          <w:color w:val="000000" w:themeColor="text1"/>
          <w14:textFill>
            <w14:solidFill>
              <w14:schemeClr w14:val="tx1"/>
            </w14:solidFill>
          </w14:textFill>
        </w:rPr>
        <w:t xml:space="preserve">2018.12.29 </w:t>
      </w:r>
      <w:r>
        <w:rPr>
          <w:rFonts w:hint="eastAsia"/>
          <w:color w:val="000000" w:themeColor="text1"/>
          <w14:textFill>
            <w14:solidFill>
              <w14:schemeClr w14:val="tx1"/>
            </w14:solidFill>
          </w14:textFill>
        </w:rPr>
        <w:t>修正）、《环境影响评价公众参与办法》（中华人民共和国生态环境部令第</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号）等相关规定，新疆华瑞化工技术有限公司2025年8月10日在乌鲁木齐市生态环境协会网站发布了第一次环境影响评价信息公示；于2</w:t>
      </w:r>
      <w:r>
        <w:rPr>
          <w:color w:val="000000" w:themeColor="text1"/>
          <w14:textFill>
            <w14:solidFill>
              <w14:schemeClr w14:val="tx1"/>
            </w14:solidFill>
          </w14:textFill>
        </w:rPr>
        <w:t>02</w:t>
      </w:r>
      <w:r>
        <w:rPr>
          <w:rFonts w:hint="eastAsia"/>
          <w:color w:val="000000" w:themeColor="text1"/>
          <w14:textFill>
            <w14:solidFill>
              <w14:schemeClr w14:val="tx1"/>
            </w14:solidFill>
          </w14:textFill>
        </w:rPr>
        <w:t>6年4月1日在新疆维吾尔自治区生态环境保护产业协会网站发布了征求意见稿公示，并分别于</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日和</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新疆法制报</w:t>
      </w:r>
      <w:r>
        <w:rPr>
          <w:rFonts w:hint="eastAsia"/>
          <w:color w:val="000000" w:themeColor="text1"/>
          <w14:textFill>
            <w14:solidFill>
              <w14:schemeClr w14:val="tx1"/>
            </w14:solidFill>
          </w14:textFill>
        </w:rPr>
        <w:t>》上刊登了本项目的公示材料</w:t>
      </w:r>
      <w:r>
        <w:rPr>
          <w:rFonts w:hint="eastAsia"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根据公示及调查情况，项目公示期间未收到公众提出反对意见。</w:t>
      </w:r>
    </w:p>
    <w:p w14:paraId="467E46B0">
      <w:pPr>
        <w:pStyle w:val="3"/>
        <w:rPr>
          <w:color w:val="000000" w:themeColor="text1"/>
          <w14:textFill>
            <w14:solidFill>
              <w14:schemeClr w14:val="tx1"/>
            </w14:solidFill>
          </w14:textFill>
        </w:rPr>
      </w:pPr>
      <w:r>
        <w:rPr>
          <w:color w:val="000000" w:themeColor="text1"/>
          <w14:textFill>
            <w14:solidFill>
              <w14:schemeClr w14:val="tx1"/>
            </w14:solidFill>
          </w14:textFill>
        </w:rPr>
        <w:t>综合结论</w:t>
      </w:r>
      <w:bookmarkEnd w:id="726"/>
    </w:p>
    <w:p w14:paraId="756AAB25">
      <w:pPr>
        <w:pStyle w:val="207"/>
        <w:ind w:firstLine="49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建设符合产业政策，基本符合园区总体规划。工艺选择符合清洁生产要求；各项污染物能够达标排放；项目运行后对周围环境影响较轻；在建立可靠的风险防范措施后，环境风险可控。当地公众普遍支持该项目建设；项目建成后对当地经济和</w:t>
      </w:r>
      <w:r>
        <w:rPr>
          <w:rFonts w:hint="eastAsia" w:ascii="Times New Roman" w:hAnsi="Times New Roman"/>
          <w:color w:val="000000" w:themeColor="text1"/>
          <w14:textFill>
            <w14:solidFill>
              <w14:schemeClr w14:val="tx1"/>
            </w14:solidFill>
          </w14:textFill>
        </w:rPr>
        <w:t>固废的综合利用</w:t>
      </w:r>
      <w:r>
        <w:rPr>
          <w:rFonts w:ascii="Times New Roman" w:hAnsi="Times New Roman"/>
          <w:color w:val="000000" w:themeColor="text1"/>
          <w14:textFill>
            <w14:solidFill>
              <w14:schemeClr w14:val="tx1"/>
            </w14:solidFill>
          </w14:textFill>
        </w:rPr>
        <w:t>起到促进作用。项目建设过程中认真落实环境保护“三同时”，保证各种环保设施的正常运行和污染物长期稳定达标排放。在落实并保证以上条件实施的前提下，从环保角度分析，项目建设基本可行。</w:t>
      </w:r>
    </w:p>
    <w:p w14:paraId="1834A926">
      <w:pPr>
        <w:pStyle w:val="3"/>
        <w:rPr>
          <w:color w:val="000000" w:themeColor="text1"/>
          <w14:textFill>
            <w14:solidFill>
              <w14:schemeClr w14:val="tx1"/>
            </w14:solidFill>
          </w14:textFill>
        </w:rPr>
      </w:pPr>
      <w:bookmarkStart w:id="727" w:name="_Toc321822040"/>
      <w:bookmarkStart w:id="728" w:name="_Toc230420338"/>
      <w:bookmarkStart w:id="729" w:name="_Toc185324183"/>
      <w:bookmarkStart w:id="730" w:name="_Toc175074472"/>
      <w:bookmarkStart w:id="731" w:name="_Toc329793859"/>
      <w:bookmarkStart w:id="732" w:name="_Toc278649795"/>
      <w:bookmarkStart w:id="733" w:name="_Toc225268372"/>
      <w:bookmarkStart w:id="734" w:name="_Toc316033283"/>
      <w:bookmarkStart w:id="735" w:name="_Toc293592759"/>
      <w:bookmarkStart w:id="736" w:name="_Toc213225939"/>
      <w:bookmarkStart w:id="737" w:name="_Toc330460865"/>
      <w:bookmarkStart w:id="738" w:name="_Toc280691528"/>
      <w:bookmarkStart w:id="739" w:name="_Toc225647348"/>
      <w:r>
        <w:rPr>
          <w:color w:val="000000" w:themeColor="text1"/>
          <w14:textFill>
            <w14:solidFill>
              <w14:schemeClr w14:val="tx1"/>
            </w14:solidFill>
          </w14:textFill>
        </w:rPr>
        <w:t>要求与建议</w:t>
      </w:r>
      <w:bookmarkEnd w:id="727"/>
      <w:bookmarkEnd w:id="728"/>
      <w:bookmarkEnd w:id="729"/>
      <w:bookmarkEnd w:id="730"/>
      <w:bookmarkEnd w:id="731"/>
      <w:bookmarkEnd w:id="732"/>
      <w:bookmarkEnd w:id="733"/>
      <w:bookmarkEnd w:id="734"/>
      <w:bookmarkEnd w:id="735"/>
      <w:bookmarkEnd w:id="736"/>
      <w:bookmarkEnd w:id="737"/>
      <w:bookmarkEnd w:id="738"/>
      <w:bookmarkEnd w:id="739"/>
    </w:p>
    <w:p w14:paraId="3749D047">
      <w:pPr>
        <w:pStyle w:val="4"/>
        <w:rPr>
          <w:color w:val="000000" w:themeColor="text1"/>
          <w14:textFill>
            <w14:solidFill>
              <w14:schemeClr w14:val="tx1"/>
            </w14:solidFill>
          </w14:textFill>
        </w:rPr>
      </w:pPr>
      <w:bookmarkStart w:id="740" w:name="_Toc278649796"/>
      <w:bookmarkStart w:id="741" w:name="_Toc280691529"/>
      <w:bookmarkStart w:id="742" w:name="_Toc213225940"/>
      <w:bookmarkStart w:id="743" w:name="_Toc225647349"/>
      <w:bookmarkStart w:id="744" w:name="_Toc175074473"/>
      <w:bookmarkStart w:id="745" w:name="_Toc316033284"/>
      <w:bookmarkStart w:id="746" w:name="_Toc185324184"/>
      <w:bookmarkStart w:id="747" w:name="_Toc293592760"/>
      <w:bookmarkStart w:id="748" w:name="_Toc230420339"/>
      <w:bookmarkStart w:id="749" w:name="_Toc321822041"/>
      <w:bookmarkStart w:id="750" w:name="_Toc329793860"/>
      <w:r>
        <w:rPr>
          <w:color w:val="000000" w:themeColor="text1"/>
          <w14:textFill>
            <w14:solidFill>
              <w14:schemeClr w14:val="tx1"/>
            </w14:solidFill>
          </w14:textFill>
        </w:rPr>
        <w:t>要求</w:t>
      </w:r>
      <w:bookmarkEnd w:id="740"/>
      <w:bookmarkEnd w:id="741"/>
      <w:bookmarkEnd w:id="742"/>
      <w:bookmarkEnd w:id="743"/>
      <w:bookmarkEnd w:id="744"/>
      <w:bookmarkEnd w:id="745"/>
      <w:bookmarkEnd w:id="746"/>
      <w:bookmarkEnd w:id="747"/>
      <w:bookmarkEnd w:id="748"/>
      <w:bookmarkEnd w:id="749"/>
      <w:bookmarkEnd w:id="750"/>
    </w:p>
    <w:p w14:paraId="0B6ED26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建设单位在项目实施过程中，务必认真落实本项目的各项治理措施，加强对环保设施的运行管理，制定有效的管理规章制度，落实到人，防止出现事故性排放，确保建设项目的污染物排放量满足污染物排放总量控制指标的要求，同时应重视引进和建立先进的环保管理模式，完善管理机制，强化企业职工自身的环保意识。</w:t>
      </w:r>
    </w:p>
    <w:p w14:paraId="3589E87F">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处置后的废盐</w:t>
      </w:r>
      <w:r>
        <w:rPr>
          <w:color w:val="000000" w:themeColor="text1"/>
          <w14:textFill>
            <w14:solidFill>
              <w14:schemeClr w14:val="tx1"/>
            </w14:solidFill>
          </w14:textFill>
        </w:rPr>
        <w:t>产生后对有害成分进行检测，并应进一步完善产品质量标准</w:t>
      </w:r>
      <w:r>
        <w:rPr>
          <w:rFonts w:hint="eastAsia"/>
          <w:color w:val="000000" w:themeColor="text1"/>
          <w14:textFill>
            <w14:solidFill>
              <w14:schemeClr w14:val="tx1"/>
            </w14:solidFill>
          </w14:textFill>
        </w:rPr>
        <w:t>，处置后的废盐</w:t>
      </w:r>
      <w:r>
        <w:rPr>
          <w:color w:val="000000" w:themeColor="text1"/>
          <w14:textFill>
            <w14:solidFill>
              <w14:schemeClr w14:val="tx1"/>
            </w14:solidFill>
          </w14:textFill>
        </w:rPr>
        <w:t>不得随意倾倒、弃置；明确责任单位，对因产品质量问题导致的污染事件负责等。</w:t>
      </w:r>
      <w:r>
        <w:rPr>
          <w:rFonts w:hint="eastAsia"/>
          <w:color w:val="000000" w:themeColor="text1"/>
          <w14:textFill>
            <w14:solidFill>
              <w14:schemeClr w14:val="tx1"/>
            </w14:solidFill>
          </w14:textFill>
        </w:rPr>
        <w:t>融雪剂</w:t>
      </w:r>
      <w:r>
        <w:rPr>
          <w:color w:val="000000" w:themeColor="text1"/>
          <w14:textFill>
            <w14:solidFill>
              <w14:schemeClr w14:val="tx1"/>
            </w14:solidFill>
          </w14:textFill>
        </w:rPr>
        <w:t>出售前应确保产品质量满足产品质量标准，同时符合市场监管部门的产品质量管理要求，每批次副产品必须检测合格后方可出售。不合格副产品不得对外出售，应作为危险废物根据相关要求进行全程管控，不得销售至下游生产企业，防止杂质和有毒有害成分进入产业链。</w:t>
      </w:r>
    </w:p>
    <w:p w14:paraId="06A92363">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）加强设备维护，确保废气处理设施正常运行，避免非正常排放；保障废气收集效率，降低无组织排放。</w:t>
      </w:r>
    </w:p>
    <w:p w14:paraId="21BF38E0">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4</w:t>
      </w:r>
      <w:r>
        <w:rPr>
          <w:color w:val="000000" w:themeColor="text1"/>
          <w14:textFill>
            <w14:solidFill>
              <w14:schemeClr w14:val="tx1"/>
            </w14:solidFill>
          </w14:textFill>
        </w:rPr>
        <w:t>）项目设计中应严格按照安全评价中的布局要求布置，加强职工安全防范教育，严格执行安全生产的要求。定期演习事故应急预案。</w:t>
      </w:r>
    </w:p>
    <w:p w14:paraId="3FF5ADC9">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5</w:t>
      </w:r>
      <w:r>
        <w:rPr>
          <w:color w:val="000000" w:themeColor="text1"/>
          <w14:textFill>
            <w14:solidFill>
              <w14:schemeClr w14:val="tx1"/>
            </w14:solidFill>
          </w14:textFill>
        </w:rPr>
        <w:t>）在日常的生产工作中增加与园区内及周边群众的沟通，就项目环保、安全上的防治措施与公众深入交流，及时解决公众提出的合理化建议。</w:t>
      </w:r>
    </w:p>
    <w:p w14:paraId="3338B901">
      <w:pPr>
        <w:ind w:firstLine="480"/>
        <w:rPr>
          <w:color w:val="000000" w:themeColor="text1"/>
          <w14:textFill>
            <w14:solidFill>
              <w14:schemeClr w14:val="tx1"/>
            </w14:solidFill>
          </w14:textFill>
        </w:rPr>
      </w:pPr>
      <w:r>
        <w:rPr>
          <w:color w:val="000000" w:themeColor="text1"/>
          <w14:textFill>
            <w14:solidFill>
              <w14:schemeClr w14:val="tx1"/>
            </w14:solidFill>
          </w14:textFill>
        </w:rPr>
        <w:t>以上环境影响评价结论仅限于本环境影响报告书中所述的选址、建设规模、建设方案及所述的污染防治措施，当以上内容发生较大变化时应另行评价。</w:t>
      </w:r>
    </w:p>
    <w:p w14:paraId="221E192E">
      <w:pPr>
        <w:pStyle w:val="4"/>
        <w:rPr>
          <w:color w:val="000000" w:themeColor="text1"/>
          <w14:textFill>
            <w14:solidFill>
              <w14:schemeClr w14:val="tx1"/>
            </w14:solidFill>
          </w14:textFill>
        </w:rPr>
      </w:pPr>
      <w:bookmarkStart w:id="751" w:name="_Toc280691530"/>
      <w:bookmarkStart w:id="752" w:name="_Toc185324185"/>
      <w:bookmarkStart w:id="753" w:name="_Toc278649797"/>
      <w:bookmarkStart w:id="754" w:name="_Toc230420340"/>
      <w:bookmarkStart w:id="755" w:name="_Toc329793861"/>
      <w:bookmarkStart w:id="756" w:name="_Toc175074474"/>
      <w:bookmarkStart w:id="757" w:name="_Toc321822042"/>
      <w:bookmarkStart w:id="758" w:name="_Toc213225941"/>
      <w:bookmarkStart w:id="759" w:name="_Toc316033285"/>
      <w:bookmarkStart w:id="760" w:name="_Toc293592761"/>
      <w:r>
        <w:rPr>
          <w:color w:val="000000" w:themeColor="text1"/>
          <w14:textFill>
            <w14:solidFill>
              <w14:schemeClr w14:val="tx1"/>
            </w14:solidFill>
          </w14:textFill>
        </w:rPr>
        <w:t>建议</w:t>
      </w:r>
      <w:bookmarkEnd w:id="751"/>
      <w:bookmarkEnd w:id="752"/>
      <w:bookmarkEnd w:id="753"/>
      <w:bookmarkEnd w:id="754"/>
      <w:bookmarkEnd w:id="755"/>
      <w:bookmarkEnd w:id="756"/>
      <w:bookmarkEnd w:id="757"/>
      <w:bookmarkEnd w:id="758"/>
      <w:bookmarkEnd w:id="759"/>
      <w:bookmarkEnd w:id="760"/>
    </w:p>
    <w:p w14:paraId="77B8CDED">
      <w:pPr>
        <w:ind w:firstLine="480"/>
        <w:rPr>
          <w:color w:val="000000" w:themeColor="text1"/>
          <w14:textFill>
            <w14:solidFill>
              <w14:schemeClr w14:val="tx1"/>
            </w14:solidFill>
          </w14:textFill>
        </w:rPr>
      </w:pPr>
      <w:r>
        <w:rPr>
          <w:color w:val="000000" w:themeColor="text1"/>
          <w14:textFill>
            <w14:solidFill>
              <w14:schemeClr w14:val="tx1"/>
            </w14:solidFill>
          </w14:textFill>
        </w:rPr>
        <w:t>（1）环评建议</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从技术的可靠性和适用性再进一步论证，优化设计。</w:t>
      </w:r>
    </w:p>
    <w:p w14:paraId="07C10399">
      <w:pPr>
        <w:ind w:firstLine="480"/>
        <w:rPr>
          <w:color w:val="000000" w:themeColor="text1"/>
          <w14:textFill>
            <w14:solidFill>
              <w14:schemeClr w14:val="tx1"/>
            </w14:solidFill>
          </w14:textFill>
        </w:rPr>
      </w:pPr>
      <w:r>
        <w:rPr>
          <w:color w:val="000000" w:themeColor="text1"/>
          <w14:textFill>
            <w14:solidFill>
              <w14:schemeClr w14:val="tx1"/>
            </w14:solidFill>
          </w14:textFill>
        </w:rPr>
        <w:t>（2）完善产业园循环理念，实施相关企业联合，加强资源综合利用。</w:t>
      </w:r>
    </w:p>
    <w:p w14:paraId="12B3B9DC">
      <w:pPr>
        <w:ind w:firstLine="480"/>
        <w:rPr>
          <w:color w:val="000000" w:themeColor="text1"/>
          <w14:textFill>
            <w14:solidFill>
              <w14:schemeClr w14:val="tx1"/>
            </w14:solidFill>
          </w14:textFill>
        </w:rPr>
      </w:pPr>
      <w:r>
        <w:rPr>
          <w:color w:val="000000" w:themeColor="text1"/>
          <w14:textFill>
            <w14:solidFill>
              <w14:schemeClr w14:val="tx1"/>
            </w14:solidFill>
          </w14:textFill>
        </w:rPr>
        <w:t>（3）加强热解焙烧窑系统和尾气处理系统的设计和运行管理，切实做到污染物排放达标，加强对项目周围敏感目标的保护；</w:t>
      </w:r>
    </w:p>
    <w:p w14:paraId="13EDE605">
      <w:pPr>
        <w:ind w:firstLine="480"/>
        <w:rPr>
          <w:color w:val="000000" w:themeColor="text1"/>
          <w14:textFill>
            <w14:solidFill>
              <w14:schemeClr w14:val="tx1"/>
            </w14:solidFill>
          </w14:textFill>
        </w:rPr>
      </w:pPr>
      <w:r>
        <w:rPr>
          <w:color w:val="000000" w:themeColor="text1"/>
          <w14:textFill>
            <w14:solidFill>
              <w14:schemeClr w14:val="tx1"/>
            </w14:solidFill>
          </w14:textFill>
        </w:rPr>
        <w:t>（4）按照国家有关规定制定危险废物管理计划，建立危险废物转移台帐；</w:t>
      </w:r>
    </w:p>
    <w:p w14:paraId="289E1107">
      <w:pPr>
        <w:ind w:firstLine="480"/>
        <w:rPr>
          <w:color w:val="000000" w:themeColor="text1"/>
          <w14:textFill>
            <w14:solidFill>
              <w14:schemeClr w14:val="tx1"/>
            </w14:solidFill>
          </w14:textFill>
        </w:rPr>
      </w:pPr>
      <w:r>
        <w:rPr>
          <w:color w:val="000000" w:themeColor="text1"/>
          <w14:textFill>
            <w14:solidFill>
              <w14:schemeClr w14:val="tx1"/>
            </w14:solidFill>
          </w14:textFill>
        </w:rPr>
        <w:t>（5）进一步加强主要噪声源的隔声降噪措施，减轻项目生产噪声对周围环境的影响；</w:t>
      </w:r>
    </w:p>
    <w:p w14:paraId="530010C2">
      <w:pPr>
        <w:ind w:firstLine="480"/>
        <w:rPr>
          <w:color w:val="000000" w:themeColor="text1"/>
          <w14:textFill>
            <w14:solidFill>
              <w14:schemeClr w14:val="tx1"/>
            </w14:solidFill>
          </w14:textFill>
        </w:rPr>
      </w:pPr>
      <w:r>
        <w:rPr>
          <w:color w:val="000000" w:themeColor="text1"/>
          <w14:textFill>
            <w14:solidFill>
              <w14:schemeClr w14:val="tx1"/>
            </w14:solidFill>
          </w14:textFill>
        </w:rPr>
        <w:t>（6）企业应加强环境管理工作，提高全体职工的环保意识，使清洁生产成为职工自觉的行为，保证工程设计及环评提出的各项污染防治措施的落实及正常运行。</w:t>
      </w:r>
    </w:p>
    <w:p w14:paraId="0ECDD0B0">
      <w:pPr>
        <w:ind w:firstLine="480"/>
        <w:rPr>
          <w:color w:val="000000" w:themeColor="text1"/>
          <w14:textFill>
            <w14:solidFill>
              <w14:schemeClr w14:val="tx1"/>
            </w14:solidFill>
          </w14:textFill>
        </w:rPr>
      </w:pPr>
    </w:p>
    <w:sectPr>
      <w:headerReference r:id="rId36" w:type="default"/>
      <w:type w:val="nextColumn"/>
      <w:pgSz w:w="11907" w:h="16840"/>
      <w:pgMar w:top="1418" w:right="1247" w:bottom="1418" w:left="1247" w:header="964" w:footer="964"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TimesNewRomanPSMT">
    <w:altName w:val="MS Gothic"/>
    <w:panose1 w:val="00000000000000000000"/>
    <w:charset w:val="80"/>
    <w:family w:val="auto"/>
    <w:pitch w:val="default"/>
    <w:sig w:usb0="00000000" w:usb1="00000000" w:usb2="00000010" w:usb3="00000000" w:csb0="00060000" w:csb1="00000000"/>
  </w:font>
  <w:font w:name="MS Gothic">
    <w:panose1 w:val="020B0609070205080204"/>
    <w:charset w:val="80"/>
    <w:family w:val="auto"/>
    <w:pitch w:val="default"/>
    <w:sig w:usb0="E00002FF" w:usb1="6AC7FDFB" w:usb2="00000012" w:usb3="00000000" w:csb0="4002009F" w:csb1="DFD7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ˎ̥">
    <w:altName w:val="Segoe Print"/>
    <w:panose1 w:val="00000000000000000000"/>
    <w:charset w:val="00"/>
    <w:family w:val="roma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仿宋">
    <w:panose1 w:val="02010600040101010101"/>
    <w:charset w:val="86"/>
    <w:family w:val="auto"/>
    <w:pitch w:val="default"/>
    <w:sig w:usb0="00000287" w:usb1="080F0000" w:usb2="00000000" w:usb3="00000000" w:csb0="0004009F" w:csb1="DFD70000"/>
  </w:font>
  <w:font w:name="Microsoft YaHei UI">
    <w:altName w:val="宋体"/>
    <w:panose1 w:val="020B0503020204020204"/>
    <w:charset w:val="86"/>
    <w:family w:val="swiss"/>
    <w:pitch w:val="default"/>
    <w:sig w:usb0="00000000" w:usb1="00000000" w:usb2="00000016" w:usb3="00000000" w:csb0="0004001F" w:csb1="00000000"/>
  </w:font>
  <w:font w:name="隶书">
    <w:panose1 w:val="02010509060101010101"/>
    <w:charset w:val="86"/>
    <w:family w:val="modern"/>
    <w:pitch w:val="default"/>
    <w:sig w:usb0="00000001" w:usb1="080E0000" w:usb2="0000000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Garamond">
    <w:panose1 w:val="02020404030301010803"/>
    <w:charset w:val="00"/>
    <w:family w:val="roman"/>
    <w:pitch w:val="default"/>
    <w:sig w:usb0="00000287" w:usb1="00000000" w:usb2="00000000" w:usb3="00000000" w:csb0="0000009F" w:csb1="DFD70000"/>
  </w:font>
  <w:font w:name="Tahoma">
    <w:panose1 w:val="020B0604030504040204"/>
    <w:charset w:val="00"/>
    <w:family w:val="swiss"/>
    <w:pitch w:val="default"/>
    <w:sig w:usb0="E1002EFF" w:usb1="C000605B" w:usb2="00000029" w:usb3="00000000" w:csb0="200101FF" w:csb1="20280000"/>
  </w:font>
  <w:font w:name="Batang">
    <w:panose1 w:val="02030600000101010101"/>
    <w:charset w:val="81"/>
    <w:family w:val="roman"/>
    <w:pitch w:val="default"/>
    <w:sig w:usb0="B00002AF" w:usb1="69D77CFB" w:usb2="00000030" w:usb3="00000000" w:csb0="4008009F" w:csb1="DFD70000"/>
  </w:font>
  <w:font w:name="Arial Unicode MS">
    <w:panose1 w:val="020B0604020202020204"/>
    <w:charset w:val="86"/>
    <w:family w:val="swiss"/>
    <w:pitch w:val="default"/>
    <w:sig w:usb0="FFFFFFFF" w:usb1="E9FFFFFF" w:usb2="0000003F" w:usb3="00000000" w:csb0="603F01FF" w:csb1="FFFF0000"/>
  </w:font>
  <w:font w:name="Century">
    <w:panose1 w:val="02040604050505020304"/>
    <w:charset w:val="00"/>
    <w:family w:val="roman"/>
    <w:pitch w:val="default"/>
    <w:sig w:usb0="00000287" w:usb1="00000000" w:usb2="00000000" w:usb3="00000000" w:csb0="2000009F" w:csb1="DFD70000"/>
  </w:font>
  <w:font w:name="TimesNewRoman">
    <w:altName w:val="Times New Roman"/>
    <w:panose1 w:val="00000000000000000000"/>
    <w:charset w:val="00"/>
    <w:family w:val="roman"/>
    <w:pitch w:val="default"/>
    <w:sig w:usb0="00000000" w:usb1="00000000" w:usb2="00000000" w:usb3="00000000" w:csb0="00000001" w:csb1="00000000"/>
  </w:font>
  <w:font w:name="汉鼎简书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创艺简楷体">
    <w:altName w:val="黑体"/>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Symusic">
    <w:altName w:val="Segoe Print"/>
    <w:panose1 w:val="00000000000000000000"/>
    <w:charset w:val="00"/>
    <w:family w:val="auto"/>
    <w:pitch w:val="default"/>
    <w:sig w:usb0="00000000" w:usb1="00000000" w:usb2="00000000" w:usb3="00000000" w:csb0="000001FF" w:csb1="00000000"/>
  </w:font>
  <w:font w:name="Bodoni PosterCompressed">
    <w:altName w:val="MS PGothic"/>
    <w:panose1 w:val="00000000000000000000"/>
    <w:charset w:val="00"/>
    <w:family w:val="roman"/>
    <w:pitch w:val="default"/>
    <w:sig w:usb0="00000000" w:usb1="00000000" w:usb2="00000000" w:usb3="00000000" w:csb0="00000093" w:csb1="00000000"/>
  </w:font>
  <w:font w:name="MS PGothic">
    <w:panose1 w:val="020B0600070205080204"/>
    <w:charset w:val="80"/>
    <w:family w:val="auto"/>
    <w:pitch w:val="default"/>
    <w:sig w:usb0="E00002FF" w:usb1="6AC7FDFB" w:usb2="00000012" w:usb3="00000000" w:csb0="4002009F" w:csb1="DFD70000"/>
  </w:font>
  <w:font w:name="长城楷体">
    <w:altName w:val="仿宋"/>
    <w:panose1 w:val="00000000000000000000"/>
    <w:charset w:val="86"/>
    <w:family w:val="modern"/>
    <w:pitch w:val="default"/>
    <w:sig w:usb0="00000000" w:usb1="00000000" w:usb2="00000010" w:usb3="00000000" w:csb0="00040000" w:csb1="00000000"/>
  </w:font>
  <w:font w:name="Raavi">
    <w:panose1 w:val="020B0502040204020203"/>
    <w:charset w:val="00"/>
    <w:family w:val="swiss"/>
    <w:pitch w:val="default"/>
    <w:sig w:usb0="00020003" w:usb1="00000000" w:usb2="00000000" w:usb3="00000000" w:csb0="00000001" w:csb1="00000000"/>
  </w:font>
  <w:font w:name="宋体-18030">
    <w:altName w:val="宋体"/>
    <w:panose1 w:val="00000000000000000000"/>
    <w:charset w:val="86"/>
    <w:family w:val="modern"/>
    <w:pitch w:val="default"/>
    <w:sig w:usb0="00000000" w:usb1="00000000" w:usb2="000A005E" w:usb3="00000000" w:csb0="00040001" w:csb1="00000000"/>
  </w:font>
  <w:font w:name="Cambria Math">
    <w:panose1 w:val="02040503050406030204"/>
    <w:charset w:val="00"/>
    <w:family w:val="roman"/>
    <w:pitch w:val="default"/>
    <w:sig w:usb0="E00002FF" w:usb1="420024FF" w:usb2="00000000" w:usb3="00000000" w:csb0="2000019F" w:csb1="00000000"/>
  </w:font>
  <w:font w:name="Times New Roman Regular">
    <w:altName w:val="Times New Roman"/>
    <w:panose1 w:val="00000000000000000000"/>
    <w:charset w:val="00"/>
    <w:family w:val="auto"/>
    <w:pitch w:val="default"/>
    <w:sig w:usb0="00000000" w:usb1="00000000" w:usb2="00000009" w:usb3="00000000" w:csb0="400001FF" w:csb1="FFFF0000"/>
  </w:font>
  <w:font w:name="楷体">
    <w:panose1 w:val="02010609060101010101"/>
    <w:charset w:val="86"/>
    <w:family w:val="auto"/>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TimesNewRomanPS-ItalicMT">
    <w:altName w:val="微软雅黑"/>
    <w:panose1 w:val="00000000000000000000"/>
    <w:charset w:val="86"/>
    <w:family w:val="auto"/>
    <w:pitch w:val="default"/>
    <w:sig w:usb0="00000000" w:usb1="00000000" w:usb2="00000010" w:usb3="00000000" w:csb0="00040000" w:csb1="00000000"/>
  </w:font>
  <w:font w:name="瀹嬩綋">
    <w:altName w:val="宋体"/>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04C000" w:usb3="00000000" w:csb0="00000001" w:csb1="40000000"/>
  </w:font>
  <w:font w:name="MS Mincho">
    <w:panose1 w:val="02020609040205080304"/>
    <w:charset w:val="80"/>
    <w:family w:val="modern"/>
    <w:pitch w:val="default"/>
    <w:sig w:usb0="E00002FF" w:usb1="6AC7FDFB" w:usb2="00000012" w:usb3="00000000" w:csb0="4002009F" w:csb1="DFD70000"/>
  </w:font>
  <w:font w:name="SimSun,Bold">
    <w:altName w:val="宋体"/>
    <w:panose1 w:val="00000000000000000000"/>
    <w:charset w:val="86"/>
    <w:family w:val="auto"/>
    <w:pitch w:val="default"/>
    <w:sig w:usb0="00000000" w:usb1="00000000" w:usb2="00000010"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683C1">
    <w:pPr>
      <w:pStyle w:val="4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E9CC1">
    <w:pPr>
      <w:ind w:firstLine="48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DA33D">
    <w:pPr>
      <w:pStyle w:val="46"/>
      <w:pBdr>
        <w:top w:val="single" w:color="auto" w:sz="4" w:space="1"/>
      </w:pBdr>
      <w:ind w:firstLine="360"/>
      <w:jc w:val="center"/>
    </w:pPr>
    <w:r>
      <w:rPr>
        <w:rFonts w:hAnsi="宋体"/>
      </w:rPr>
      <w:fldChar w:fldCharType="begin"/>
    </w:r>
    <w:r>
      <w:rPr>
        <w:rFonts w:hAnsi="宋体"/>
      </w:rPr>
      <w:instrText xml:space="preserve">PAGE   \* MERGEFORMAT</w:instrText>
    </w:r>
    <w:r>
      <w:rPr>
        <w:rFonts w:hAnsi="宋体"/>
      </w:rPr>
      <w:fldChar w:fldCharType="separate"/>
    </w:r>
    <w:r>
      <w:rPr>
        <w:rFonts w:hAnsi="宋体"/>
        <w:lang w:val="zh-CN"/>
      </w:rPr>
      <w:t>392</w:t>
    </w:r>
    <w:r>
      <w:rPr>
        <w:rFonts w:hAnsi="宋体"/>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ED24D">
    <w:pPr>
      <w:pStyle w:val="46"/>
      <w:framePr w:wrap="around" w:vAnchor="text" w:hAnchor="margin" w:xAlign="center" w:y="1"/>
      <w:ind w:firstLine="360"/>
      <w:rPr>
        <w:rStyle w:val="85"/>
      </w:rPr>
    </w:pPr>
    <w:r>
      <w:fldChar w:fldCharType="begin"/>
    </w:r>
    <w:r>
      <w:rPr>
        <w:rStyle w:val="85"/>
      </w:rPr>
      <w:instrText xml:space="preserve">PAGE  </w:instrText>
    </w:r>
    <w:r>
      <w:fldChar w:fldCharType="end"/>
    </w:r>
  </w:p>
  <w:p w14:paraId="568693BC">
    <w:pPr>
      <w:pStyle w:val="46"/>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DCBCF">
    <w:pPr>
      <w:pStyle w:val="46"/>
      <w:pBdr>
        <w:top w:val="single" w:color="auto" w:sz="4" w:space="1"/>
      </w:pBdr>
      <w:ind w:firstLine="360"/>
      <w:jc w:val="center"/>
    </w:pPr>
    <w:r>
      <w:rPr>
        <w:rFonts w:hAnsi="宋体"/>
      </w:rPr>
      <w:fldChar w:fldCharType="begin"/>
    </w:r>
    <w:r>
      <w:rPr>
        <w:rFonts w:hAnsi="宋体"/>
      </w:rPr>
      <w:instrText xml:space="preserve">PAGE   \* MERGEFORMAT</w:instrText>
    </w:r>
    <w:r>
      <w:rPr>
        <w:rFonts w:hAnsi="宋体"/>
      </w:rPr>
      <w:fldChar w:fldCharType="separate"/>
    </w:r>
    <w:r>
      <w:rPr>
        <w:rFonts w:hint="eastAsia" w:hAnsi="宋体"/>
      </w:rPr>
      <w:t>271</w:t>
    </w:r>
    <w:r>
      <w:rPr>
        <w:rFonts w:hAnsi="宋体"/>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44D0">
    <w:pPr>
      <w:pStyle w:val="46"/>
      <w:pBdr>
        <w:top w:val="single" w:color="auto" w:sz="4" w:space="1"/>
      </w:pBdr>
      <w:ind w:firstLine="360"/>
      <w:jc w:val="center"/>
    </w:pPr>
    <w:r>
      <w:rPr>
        <w:rFonts w:hAnsi="宋体"/>
      </w:rPr>
      <w:fldChar w:fldCharType="begin"/>
    </w:r>
    <w:r>
      <w:rPr>
        <w:rFonts w:hAnsi="宋体"/>
      </w:rPr>
      <w:instrText xml:space="preserve">PAGE   \* MERGEFORMAT</w:instrText>
    </w:r>
    <w:r>
      <w:rPr>
        <w:rFonts w:hAnsi="宋体"/>
      </w:rPr>
      <w:fldChar w:fldCharType="separate"/>
    </w:r>
    <w:r>
      <w:rPr>
        <w:rFonts w:hint="eastAsia" w:hAnsi="宋体"/>
      </w:rPr>
      <w:t>271</w:t>
    </w:r>
    <w:r>
      <w:rPr>
        <w:rFonts w:hAnsi="宋体"/>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E400B">
    <w:pPr>
      <w:pStyle w:val="4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16936">
    <w:pPr>
      <w:pStyle w:val="4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91B48">
    <w:pPr>
      <w:pStyle w:val="46"/>
      <w:ind w:firstLine="360"/>
      <w:jc w:val="center"/>
    </w:pPr>
    <w:r>
      <w:fldChar w:fldCharType="begin"/>
    </w:r>
    <w:r>
      <w:instrText xml:space="preserve">PAGE   \* MERGEFORMAT</w:instrText>
    </w:r>
    <w:r>
      <w:fldChar w:fldCharType="separate"/>
    </w:r>
    <w:r>
      <w:rPr>
        <w:lang w:val="zh-CN"/>
      </w:rPr>
      <w:t>III</w:t>
    </w:r>
    <w:r>
      <w:fldChar w:fldCharType="end"/>
    </w:r>
  </w:p>
  <w:p w14:paraId="14884F42">
    <w:pPr>
      <w:pStyle w:val="4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D7EF2">
    <w:pPr>
      <w:pStyle w:val="46"/>
      <w:pBdr>
        <w:top w:val="single" w:color="auto" w:sz="4" w:space="1"/>
      </w:pBdr>
      <w:ind w:firstLine="360"/>
      <w:jc w:val="center"/>
    </w:pPr>
    <w:r>
      <w:rPr>
        <w:rFonts w:hAnsi="宋体"/>
      </w:rPr>
      <w:fldChar w:fldCharType="begin"/>
    </w:r>
    <w:r>
      <w:rPr>
        <w:rFonts w:hAnsi="宋体"/>
      </w:rPr>
      <w:instrText xml:space="preserve">PAGE   \* MERGEFORMAT</w:instrText>
    </w:r>
    <w:r>
      <w:rPr>
        <w:rFonts w:hAnsi="宋体"/>
      </w:rPr>
      <w:fldChar w:fldCharType="separate"/>
    </w:r>
    <w:r>
      <w:rPr>
        <w:rFonts w:hAnsi="宋体"/>
        <w:lang w:val="zh-CN"/>
      </w:rPr>
      <w:t>44</w:t>
    </w:r>
    <w:r>
      <w:rPr>
        <w:rFonts w:hAnsi="宋体"/>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FB33C">
    <w:pPr>
      <w:pStyle w:val="46"/>
      <w:pBdr>
        <w:top w:val="single" w:color="auto" w:sz="4" w:space="1"/>
      </w:pBdr>
      <w:ind w:firstLine="360"/>
      <w:jc w:val="center"/>
    </w:pPr>
    <w:r>
      <w:fldChar w:fldCharType="begin"/>
    </w:r>
    <w:r>
      <w:instrText xml:space="preserve">PAGE   \* MERGEFORMAT</w:instrText>
    </w:r>
    <w:r>
      <w:fldChar w:fldCharType="separate"/>
    </w:r>
    <w:r>
      <w:rPr>
        <w:lang w:val="zh-CN"/>
      </w:rPr>
      <w:t>42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08EFD">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B50D">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778EC">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F1C3C">
    <w:pPr>
      <w:ind w:left="48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A7115">
    <w:pPr>
      <w:pStyle w:val="48"/>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8A31F">
    <w:pPr>
      <w:pStyle w:val="48"/>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D664F">
    <w:pPr>
      <w:pStyle w:val="48"/>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FA661">
    <w:pPr>
      <w:pStyle w:val="48"/>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ECEAA">
    <w:pPr>
      <w:pStyle w:val="48"/>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2211A">
    <w:pPr>
      <w:pStyle w:val="48"/>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ED02E">
    <w:pPr>
      <w:pStyle w:val="48"/>
      <w:ind w:firstLine="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854EE">
    <w:pPr>
      <w:pStyle w:val="48"/>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40839">
    <w:pPr>
      <w:pStyle w:val="28"/>
      <w:kinsoku w:val="0"/>
      <w:overflowPunct w:val="0"/>
      <w:spacing w:before="0" w:line="14" w:lineRule="auto"/>
      <w:ind w:left="0" w:firstLine="400"/>
      <w:rPr>
        <w:rFonts w:ascii="Times New Roman" w:cs="Times New Roman" w:eastAsiaTheme="minorEastAsia"/>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3C906">
    <w:pPr>
      <w:pStyle w:val="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13D4D">
    <w:pPr>
      <w:pStyle w:val="4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74071">
    <w:pPr>
      <w:pStyle w:val="48"/>
      <w:pBdr>
        <w:bottom w:val="single" w:color="auto" w:sz="6" w:space="2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ACC3D">
    <w:pPr>
      <w:pStyle w:val="4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E38CD">
    <w:pPr>
      <w:pStyle w:val="48"/>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488BF">
    <w:pPr>
      <w:spacing w:line="1" w:lineRule="exact"/>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8ADA3">
    <w:pPr>
      <w:pStyle w:val="48"/>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F035">
    <w:pPr>
      <w:pStyle w:val="4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00000013"/>
    <w:multiLevelType w:val="multilevel"/>
    <w:tmpl w:val="00000013"/>
    <w:lvl w:ilvl="0" w:tentative="0">
      <w:start w:val="1"/>
      <w:numFmt w:val="bullet"/>
      <w:pStyle w:val="38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F1141E6"/>
    <w:multiLevelType w:val="multilevel"/>
    <w:tmpl w:val="0F1141E6"/>
    <w:lvl w:ilvl="0" w:tentative="0">
      <w:start w:val="1"/>
      <w:numFmt w:val="bullet"/>
      <w:lvlText w:val=""/>
      <w:lvlPicBulletId w:val="0"/>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pStyle w:val="845"/>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19726A4B"/>
    <w:multiLevelType w:val="multilevel"/>
    <w:tmpl w:val="19726A4B"/>
    <w:lvl w:ilvl="0" w:tentative="0">
      <w:start w:val="1"/>
      <w:numFmt w:val="decimal"/>
      <w:pStyle w:val="1244"/>
      <w:suff w:val="nothing"/>
      <w:lvlText w:val="（%1）"/>
      <w:lvlJc w:val="left"/>
      <w:pPr>
        <w:ind w:left="283" w:firstLine="0"/>
      </w:pPr>
      <w:rPr>
        <w:rFonts w:hint="default"/>
      </w:rPr>
    </w:lvl>
    <w:lvl w:ilvl="1" w:tentative="0">
      <w:start w:val="1"/>
      <w:numFmt w:val="decimalEnclosedCircle"/>
      <w:pStyle w:val="1246"/>
      <w:lvlText w:val="%2"/>
      <w:lvlJc w:val="left"/>
      <w:pPr>
        <w:ind w:left="1260" w:hanging="360"/>
      </w:pPr>
      <w:rPr>
        <w:rFonts w:hint="default"/>
      </w:rPr>
    </w:lvl>
    <w:lvl w:ilvl="2" w:tentative="0">
      <w:start w:val="1"/>
      <w:numFmt w:val="lowerRoman"/>
      <w:pStyle w:val="1247"/>
      <w:lvlText w:val="%3."/>
      <w:lvlJc w:val="right"/>
      <w:pPr>
        <w:ind w:left="1740" w:hanging="420"/>
      </w:pPr>
    </w:lvl>
    <w:lvl w:ilvl="3" w:tentative="0">
      <w:start w:val="1"/>
      <w:numFmt w:val="decimal"/>
      <w:pStyle w:val="1248"/>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A7D6E3C"/>
    <w:multiLevelType w:val="multilevel"/>
    <w:tmpl w:val="1A7D6E3C"/>
    <w:lvl w:ilvl="0" w:tentative="0">
      <w:start w:val="1"/>
      <w:numFmt w:val="decimal"/>
      <w:suff w:val="nothing"/>
      <w:lvlText w:val="（%1）"/>
      <w:lvlJc w:val="left"/>
      <w:pPr>
        <w:ind w:left="866" w:hanging="440"/>
      </w:pPr>
      <w:rPr>
        <w:rFonts w:hint="eastAsia"/>
        <w:color w:val="000000" w:themeColor="text1"/>
        <w14:textFill>
          <w14:solidFill>
            <w14:schemeClr w14:val="tx1"/>
          </w14:solidFill>
        </w14:textFill>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
    <w:nsid w:val="4CC67A44"/>
    <w:multiLevelType w:val="multilevel"/>
    <w:tmpl w:val="4CC67A44"/>
    <w:lvl w:ilvl="0" w:tentative="0">
      <w:start w:val="8"/>
      <w:numFmt w:val="decimal"/>
      <w:lvlText w:val="%1"/>
      <w:lvlJc w:val="left"/>
    </w:lvl>
    <w:lvl w:ilvl="1" w:tentative="0">
      <w:start w:val="3"/>
      <w:numFmt w:val="decimal"/>
      <w:lvlText w:val="%1.%2"/>
      <w:lvlJc w:val="left"/>
      <w:rPr>
        <w:rFonts w:ascii="Times New Roman" w:hAnsi="Times New Roman" w:eastAsia="Times New Roman" w:cs="Times New Roman"/>
        <w:b/>
        <w:bCs/>
        <w:i w:val="0"/>
        <w:iCs w:val="0"/>
        <w:smallCaps w:val="0"/>
        <w:strike w:val="0"/>
        <w:color w:val="000000"/>
        <w:spacing w:val="0"/>
        <w:w w:val="100"/>
        <w:position w:val="0"/>
        <w:sz w:val="32"/>
        <w:szCs w:val="32"/>
        <w:u w:val="none"/>
        <w:shd w:val="clear" w:color="auto" w:fill="auto"/>
        <w:lang w:val="zh-CN" w:eastAsia="zh-CN" w:bidi="zh-CN"/>
      </w:rPr>
    </w:lvl>
    <w:lvl w:ilvl="2" w:tentative="0">
      <w:start w:val="1"/>
      <w:numFmt w:val="decimal"/>
      <w:lvlText w:val="%1.%2.%3"/>
      <w:lvlJc w:val="left"/>
      <w:rPr>
        <w:rFonts w:ascii="Times New Roman" w:hAnsi="Times New Roman" w:eastAsia="Times New Roman" w:cs="Times New Roman"/>
        <w:b/>
        <w:bCs/>
        <w:i w:val="0"/>
        <w:iCs w:val="0"/>
        <w:smallCaps w:val="0"/>
        <w:strike w:val="0"/>
        <w:color w:val="000000"/>
        <w:spacing w:val="0"/>
        <w:w w:val="100"/>
        <w:position w:val="0"/>
        <w:sz w:val="30"/>
        <w:szCs w:val="30"/>
        <w:u w:val="none"/>
        <w:shd w:val="clear" w:color="auto" w:fill="auto"/>
        <w:lang w:val="zh-CN" w:eastAsia="zh-CN" w:bidi="zh-CN"/>
      </w:rPr>
    </w:lvl>
    <w:lvl w:ilvl="3" w:tentative="0">
      <w:start w:val="1"/>
      <w:numFmt w:val="decimal"/>
      <w:lvlText w:val="%1.%2.%3.%4"/>
      <w:lvlJc w:val="left"/>
      <w:rPr>
        <w:rFonts w:ascii="Times New Roman" w:hAnsi="Times New Roman" w:eastAsia="Times New Roman" w:cs="Times New Roman"/>
        <w:b/>
        <w:bCs/>
        <w:i w:val="0"/>
        <w:iCs w:val="0"/>
        <w:smallCaps w:val="0"/>
        <w:strike w:val="0"/>
        <w:color w:val="000000"/>
        <w:spacing w:val="0"/>
        <w:w w:val="100"/>
        <w:position w:val="0"/>
        <w:sz w:val="28"/>
        <w:szCs w:val="28"/>
        <w:u w:val="none"/>
        <w:shd w:val="clear" w:color="auto" w:fill="auto"/>
        <w:lang w:val="zh-CN" w:eastAsia="zh-CN" w:bidi="zh-CN"/>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4EF71933"/>
    <w:multiLevelType w:val="multilevel"/>
    <w:tmpl w:val="4EF71933"/>
    <w:lvl w:ilvl="0" w:tentative="0">
      <w:start w:val="1"/>
      <w:numFmt w:val="decimal"/>
      <w:pStyle w:val="2"/>
      <w:suff w:val="space"/>
      <w:lvlText w:val="%1."/>
      <w:lvlJc w:val="left"/>
      <w:pPr>
        <w:ind w:left="0" w:firstLine="0"/>
      </w:pPr>
      <w:rPr>
        <w:rFonts w:hint="eastAsia" w:ascii="黑体" w:hAnsi="黑体" w:eastAsia="黑体"/>
        <w:b w:val="0"/>
        <w:bCs/>
        <w:w w:val="100"/>
        <w:sz w:val="32"/>
      </w:rPr>
    </w:lvl>
    <w:lvl w:ilvl="1" w:tentative="0">
      <w:start w:val="1"/>
      <w:numFmt w:val="decimal"/>
      <w:pStyle w:val="3"/>
      <w:suff w:val="space"/>
      <w:lvlText w:val="%1.%2."/>
      <w:lvlJc w:val="left"/>
      <w:pPr>
        <w:ind w:left="0" w:firstLine="0"/>
      </w:pPr>
    </w:lvl>
    <w:lvl w:ilvl="2" w:tentative="0">
      <w:start w:val="1"/>
      <w:numFmt w:val="decimal"/>
      <w:pStyle w:val="4"/>
      <w:suff w:val="space"/>
      <w:lvlText w:val="%1.%2.%3."/>
      <w:lvlJc w:val="left"/>
      <w:pPr>
        <w:ind w:left="0" w:firstLine="0"/>
      </w:pPr>
      <w:rPr>
        <w:rFonts w:hint="eastAsia" w:ascii="黑体" w:hAnsi="黑体" w:eastAsia="黑体"/>
        <w:b w:val="0"/>
        <w:bCs/>
        <w:color w:val="auto"/>
        <w:sz w:val="28"/>
      </w:rPr>
    </w:lvl>
    <w:lvl w:ilvl="3" w:tentative="0">
      <w:start w:val="1"/>
      <w:numFmt w:val="decimal"/>
      <w:pStyle w:val="5"/>
      <w:suff w:val="space"/>
      <w:lvlText w:val="%1.%2.%3.%4."/>
      <w:lvlJc w:val="left"/>
      <w:pPr>
        <w:ind w:left="0" w:firstLine="0"/>
      </w:pPr>
      <w:rPr>
        <w:rFonts w:hint="eastAsia" w:ascii="黑体" w:hAnsi="黑体" w:eastAsia="黑体"/>
        <w:b w:val="0"/>
        <w:bCs/>
        <w:sz w:val="24"/>
      </w:rPr>
    </w:lvl>
    <w:lvl w:ilvl="4" w:tentative="0">
      <w:start w:val="1"/>
      <w:numFmt w:val="decimal"/>
      <w:lvlRestart w:val="2"/>
      <w:pStyle w:val="117"/>
      <w:suff w:val="space"/>
      <w:lvlText w:val="表%1.%2-%5"/>
      <w:lvlJc w:val="center"/>
      <w:rPr>
        <w:rFonts w:hint="eastAsia" w:ascii="黑体" w:hAnsi="黑体" w:eastAsia="黑体"/>
        <w:b w:val="0"/>
        <w:bCs w:val="0"/>
        <w:i w:val="0"/>
        <w:iCs w:val="0"/>
        <w:caps w:val="0"/>
        <w:smallCaps w:val="0"/>
        <w:strike w:val="0"/>
        <w:dstrike w:val="0"/>
        <w:vanish w:val="0"/>
        <w:color w:val="000000"/>
        <w:spacing w:val="0"/>
        <w:kern w:val="0"/>
        <w:position w:val="0"/>
        <w:sz w:val="24"/>
        <w:u w:val="none"/>
        <w:vertAlign w:val="baseline"/>
        <w:lang w:val="en-US"/>
      </w:rPr>
    </w:lvl>
    <w:lvl w:ilvl="5" w:tentative="0">
      <w:start w:val="1"/>
      <w:numFmt w:val="decimal"/>
      <w:lvlRestart w:val="2"/>
      <w:pStyle w:val="7"/>
      <w:suff w:val="space"/>
      <w:lvlText w:val="图%1.%2-%6"/>
      <w:lvlJc w:val="center"/>
      <w:pPr>
        <w:ind w:left="0" w:firstLine="0"/>
      </w:pPr>
      <w:rPr>
        <w:rFonts w:hint="eastAsia" w:ascii="黑体" w:hAnsi="黑体" w:eastAsia="黑体"/>
        <w:b w:val="0"/>
        <w:bCs w:val="0"/>
        <w:color w:val="auto"/>
        <w:sz w:val="24"/>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54D35C84"/>
    <w:multiLevelType w:val="multilevel"/>
    <w:tmpl w:val="54D35C84"/>
    <w:lvl w:ilvl="0" w:tentative="0">
      <w:start w:val="4"/>
      <w:numFmt w:val="decimal"/>
      <w:pStyle w:val="693"/>
      <w:suff w:val="space"/>
      <w:lvlText w:val="%1"/>
      <w:lvlJc w:val="left"/>
      <w:pPr>
        <w:ind w:left="0" w:firstLine="0"/>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eastAsia" w:ascii="黑体" w:eastAsia="黑体" w:cs="Times New Roman"/>
        <w:b w:val="0"/>
        <w:bCs w:val="0"/>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2" w:tentative="0">
      <w:start w:val="1"/>
      <w:numFmt w:val="decimal"/>
      <w:suff w:val="space"/>
      <w:lvlText w:val="%1.%2.%3"/>
      <w:lvlJc w:val="left"/>
      <w:pPr>
        <w:ind w:left="0" w:firstLine="0"/>
      </w:pPr>
      <w:rPr>
        <w:rFonts w:hint="eastAsia" w:ascii="宋体" w:eastAsia="宋体"/>
        <w:b w:val="0"/>
        <w:bCs w:val="0"/>
        <w:i w:val="0"/>
        <w:iCs w:val="0"/>
        <w:caps w:val="0"/>
        <w:smallCaps w:val="0"/>
        <w:strike w:val="0"/>
        <w:color w:val="auto"/>
        <w:spacing w:val="0"/>
        <w:sz w:val="28"/>
        <w:szCs w:val="28"/>
        <w:u w:val="none"/>
        <w14:shadow w14:blurRad="0" w14:dist="0" w14:dir="0" w14:sx="0" w14:sy="0" w14:kx="0" w14:ky="0" w14:algn="none">
          <w14:srgbClr w14:val="000000"/>
        </w14:shadow>
      </w:rPr>
    </w:lvl>
    <w:lvl w:ilvl="3" w:tentative="0">
      <w:start w:val="1"/>
      <w:numFmt w:val="decimal"/>
      <w:suff w:val="space"/>
      <w:lvlText w:val="%1.%2.%3.%4"/>
      <w:lvlJc w:val="left"/>
      <w:pPr>
        <w:ind w:left="0" w:firstLine="0"/>
      </w:pPr>
      <w:rPr>
        <w:rFonts w:hint="eastAsia" w:ascii="宋体" w:hAnsi="Arial" w:eastAsia="宋体"/>
        <w:b w:val="0"/>
        <w:bCs w:val="0"/>
        <w:i w:val="0"/>
        <w:iCs w:val="0"/>
        <w:color w:val="auto"/>
        <w:sz w:val="28"/>
        <w:szCs w:val="28"/>
      </w:rPr>
    </w:lvl>
    <w:lvl w:ilvl="4" w:tentative="0">
      <w:start w:val="1"/>
      <w:numFmt w:val="decimal"/>
      <w:suff w:val="space"/>
      <w:lvlText w:val="%5)"/>
      <w:lvlJc w:val="left"/>
      <w:pPr>
        <w:ind w:left="0" w:firstLine="567"/>
      </w:pPr>
      <w:rPr>
        <w:rFonts w:hint="eastAsia" w:ascii="宋体" w:eastAsia="宋体"/>
        <w:b w:val="0"/>
        <w:i w:val="0"/>
        <w:sz w:val="28"/>
        <w:szCs w:val="28"/>
      </w:rPr>
    </w:lvl>
    <w:lvl w:ilvl="5" w:tentative="0">
      <w:start w:val="1"/>
      <w:numFmt w:val="decimal"/>
      <w:suff w:val="space"/>
      <w:lvlText w:val="(%6)"/>
      <w:lvlJc w:val="left"/>
      <w:pPr>
        <w:ind w:left="0" w:firstLine="567"/>
      </w:pPr>
      <w:rPr>
        <w:rFonts w:hint="eastAsia" w:ascii="宋体" w:eastAsia="宋体"/>
        <w:b w:val="0"/>
        <w:bCs w:val="0"/>
        <w:i w:val="0"/>
        <w:iCs w:val="0"/>
        <w:sz w:val="28"/>
        <w:szCs w:val="28"/>
      </w:rPr>
    </w:lvl>
    <w:lvl w:ilvl="6" w:tentative="0">
      <w:start w:val="1"/>
      <w:numFmt w:val="decimal"/>
      <w:lvlText w:val="%1.%2.%3.%4.%5.%6.%7"/>
      <w:lvlJc w:val="left"/>
      <w:pPr>
        <w:tabs>
          <w:tab w:val="left" w:pos="2616"/>
        </w:tabs>
        <w:ind w:left="2616" w:hanging="1296"/>
      </w:pPr>
      <w:rPr>
        <w:rFonts w:hint="eastAsia"/>
      </w:rPr>
    </w:lvl>
    <w:lvl w:ilvl="7" w:tentative="0">
      <w:start w:val="1"/>
      <w:numFmt w:val="decimal"/>
      <w:lvlText w:val="%1.%2.%3.%4.%5.%6.%7.%8"/>
      <w:lvlJc w:val="left"/>
      <w:pPr>
        <w:tabs>
          <w:tab w:val="left" w:pos="2760"/>
        </w:tabs>
        <w:ind w:left="2760" w:hanging="1440"/>
      </w:pPr>
      <w:rPr>
        <w:rFonts w:hint="eastAsia"/>
      </w:rPr>
    </w:lvl>
    <w:lvl w:ilvl="8" w:tentative="0">
      <w:start w:val="1"/>
      <w:numFmt w:val="decimal"/>
      <w:lvlText w:val="%1.%2.%3.%4.%5.%6.%7.%8.%9"/>
      <w:lvlJc w:val="left"/>
      <w:pPr>
        <w:tabs>
          <w:tab w:val="left" w:pos="2904"/>
        </w:tabs>
        <w:ind w:left="2904" w:hanging="1584"/>
      </w:pPr>
      <w:rPr>
        <w:rFonts w:hint="eastAsia"/>
      </w:rPr>
    </w:lvl>
  </w:abstractNum>
  <w:abstractNum w:abstractNumId="7">
    <w:nsid w:val="5A5B1C77"/>
    <w:multiLevelType w:val="multilevel"/>
    <w:tmpl w:val="5A5B1C77"/>
    <w:lvl w:ilvl="0" w:tentative="0">
      <w:start w:val="1"/>
      <w:numFmt w:val="decimal"/>
      <w:suff w:val="nothing"/>
      <w:lvlText w:val="（%1）"/>
      <w:lvlJc w:val="left"/>
      <w:pPr>
        <w:ind w:left="866" w:hanging="440"/>
      </w:pPr>
      <w:rPr>
        <w:rFonts w:hint="eastAsia"/>
        <w:color w:val="000000" w:themeColor="text1"/>
        <w14:textFill>
          <w14:solidFill>
            <w14:schemeClr w14:val="tx1"/>
          </w14:solidFill>
        </w14:textFill>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67C367D4"/>
    <w:multiLevelType w:val="multilevel"/>
    <w:tmpl w:val="67C367D4"/>
    <w:lvl w:ilvl="0" w:tentative="0">
      <w:start w:val="1"/>
      <w:numFmt w:val="decimal"/>
      <w:suff w:val="nothing"/>
      <w:lvlText w:val="（%1）"/>
      <w:lvlJc w:val="left"/>
      <w:pPr>
        <w:ind w:left="866" w:hanging="440"/>
      </w:pPr>
      <w:rPr>
        <w:rFonts w:hint="eastAsia"/>
        <w:color w:val="000000" w:themeColor="text1"/>
        <w14:textFill>
          <w14:solidFill>
            <w14:schemeClr w14:val="tx1"/>
          </w14:solidFill>
        </w14:textFill>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7D480785"/>
    <w:multiLevelType w:val="multilevel"/>
    <w:tmpl w:val="7D480785"/>
    <w:lvl w:ilvl="0" w:tentative="0">
      <w:start w:val="1"/>
      <w:numFmt w:val="decimal"/>
      <w:suff w:val="nothing"/>
      <w:lvlText w:val="（%1）"/>
      <w:lvlJc w:val="left"/>
      <w:pPr>
        <w:ind w:left="866" w:hanging="440"/>
      </w:pPr>
      <w:rPr>
        <w:rFonts w:hint="eastAsia"/>
        <w:color w:val="000000" w:themeColor="text1"/>
        <w14:textFill>
          <w14:solidFill>
            <w14:schemeClr w14:val="tx1"/>
          </w14:solidFill>
        </w14:textFill>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8"/>
  </w:num>
  <w:num w:numId="11">
    <w:abstractNumId w:val="7"/>
  </w:num>
  <w:num w:numId="12">
    <w:abstractNumId w:val="9"/>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bordersDoNotSurroundHeader w:val="1"/>
  <w:bordersDoNotSurroundFooter w:val="1"/>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documentProtection w:edit="readOnly" w:enforcement="0"/>
  <w:defaultTabStop w:val="7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1F0"/>
    <w:rsid w:val="00000D77"/>
    <w:rsid w:val="00001819"/>
    <w:rsid w:val="00001E32"/>
    <w:rsid w:val="00003E60"/>
    <w:rsid w:val="0000551A"/>
    <w:rsid w:val="00005C3D"/>
    <w:rsid w:val="00006714"/>
    <w:rsid w:val="00006FAB"/>
    <w:rsid w:val="00007E29"/>
    <w:rsid w:val="00011C4F"/>
    <w:rsid w:val="00011EA3"/>
    <w:rsid w:val="00012987"/>
    <w:rsid w:val="00015BCE"/>
    <w:rsid w:val="0001646B"/>
    <w:rsid w:val="00017D1E"/>
    <w:rsid w:val="00020320"/>
    <w:rsid w:val="000218CB"/>
    <w:rsid w:val="0002339F"/>
    <w:rsid w:val="00024745"/>
    <w:rsid w:val="00024B2F"/>
    <w:rsid w:val="00024F13"/>
    <w:rsid w:val="00026D7F"/>
    <w:rsid w:val="00032023"/>
    <w:rsid w:val="00033A5B"/>
    <w:rsid w:val="00033E50"/>
    <w:rsid w:val="0003639E"/>
    <w:rsid w:val="00036A30"/>
    <w:rsid w:val="00040330"/>
    <w:rsid w:val="00042BBB"/>
    <w:rsid w:val="00043836"/>
    <w:rsid w:val="00044960"/>
    <w:rsid w:val="00045810"/>
    <w:rsid w:val="0004596B"/>
    <w:rsid w:val="000460B1"/>
    <w:rsid w:val="00047C5C"/>
    <w:rsid w:val="0005119E"/>
    <w:rsid w:val="00051886"/>
    <w:rsid w:val="0005329E"/>
    <w:rsid w:val="00053773"/>
    <w:rsid w:val="00054394"/>
    <w:rsid w:val="000545A7"/>
    <w:rsid w:val="00054F55"/>
    <w:rsid w:val="0005527B"/>
    <w:rsid w:val="00055CF6"/>
    <w:rsid w:val="000604D8"/>
    <w:rsid w:val="00060684"/>
    <w:rsid w:val="000606BC"/>
    <w:rsid w:val="0006119D"/>
    <w:rsid w:val="00061CAE"/>
    <w:rsid w:val="00062279"/>
    <w:rsid w:val="00063A0B"/>
    <w:rsid w:val="00063EA4"/>
    <w:rsid w:val="00066ED9"/>
    <w:rsid w:val="00070275"/>
    <w:rsid w:val="000704D9"/>
    <w:rsid w:val="00070EF4"/>
    <w:rsid w:val="0007189D"/>
    <w:rsid w:val="00071FDD"/>
    <w:rsid w:val="000770D5"/>
    <w:rsid w:val="00077663"/>
    <w:rsid w:val="00077A94"/>
    <w:rsid w:val="00081806"/>
    <w:rsid w:val="000818D4"/>
    <w:rsid w:val="000839D1"/>
    <w:rsid w:val="00083F1C"/>
    <w:rsid w:val="00085C35"/>
    <w:rsid w:val="00086D2A"/>
    <w:rsid w:val="0008704E"/>
    <w:rsid w:val="00090145"/>
    <w:rsid w:val="00090286"/>
    <w:rsid w:val="00091078"/>
    <w:rsid w:val="00091EA3"/>
    <w:rsid w:val="000922F9"/>
    <w:rsid w:val="00094F89"/>
    <w:rsid w:val="00095334"/>
    <w:rsid w:val="000966FE"/>
    <w:rsid w:val="00097005"/>
    <w:rsid w:val="000971FD"/>
    <w:rsid w:val="00097B24"/>
    <w:rsid w:val="00097BC6"/>
    <w:rsid w:val="00097C7C"/>
    <w:rsid w:val="000A2A5C"/>
    <w:rsid w:val="000A2EF6"/>
    <w:rsid w:val="000A3297"/>
    <w:rsid w:val="000A49D0"/>
    <w:rsid w:val="000A712D"/>
    <w:rsid w:val="000B12E6"/>
    <w:rsid w:val="000B194C"/>
    <w:rsid w:val="000B24D6"/>
    <w:rsid w:val="000B3E74"/>
    <w:rsid w:val="000B4A82"/>
    <w:rsid w:val="000B6FB9"/>
    <w:rsid w:val="000C1EC9"/>
    <w:rsid w:val="000C340B"/>
    <w:rsid w:val="000C34E3"/>
    <w:rsid w:val="000C43DB"/>
    <w:rsid w:val="000C5156"/>
    <w:rsid w:val="000C63F6"/>
    <w:rsid w:val="000C668E"/>
    <w:rsid w:val="000C7ED9"/>
    <w:rsid w:val="000D078C"/>
    <w:rsid w:val="000D0FB5"/>
    <w:rsid w:val="000D0FE6"/>
    <w:rsid w:val="000D3151"/>
    <w:rsid w:val="000D38B7"/>
    <w:rsid w:val="000D3C25"/>
    <w:rsid w:val="000D3DE7"/>
    <w:rsid w:val="000D623E"/>
    <w:rsid w:val="000D6B29"/>
    <w:rsid w:val="000E0429"/>
    <w:rsid w:val="000E05FF"/>
    <w:rsid w:val="000E11E6"/>
    <w:rsid w:val="000E1FA5"/>
    <w:rsid w:val="000E3407"/>
    <w:rsid w:val="000E47F4"/>
    <w:rsid w:val="000E60C1"/>
    <w:rsid w:val="000F0BCF"/>
    <w:rsid w:val="000F2780"/>
    <w:rsid w:val="000F2FE3"/>
    <w:rsid w:val="000F300B"/>
    <w:rsid w:val="000F5818"/>
    <w:rsid w:val="000F75F1"/>
    <w:rsid w:val="00100734"/>
    <w:rsid w:val="00100EB3"/>
    <w:rsid w:val="00101F28"/>
    <w:rsid w:val="00103464"/>
    <w:rsid w:val="00103D98"/>
    <w:rsid w:val="00110261"/>
    <w:rsid w:val="00112CDE"/>
    <w:rsid w:val="00113C38"/>
    <w:rsid w:val="00114BC5"/>
    <w:rsid w:val="00115DAD"/>
    <w:rsid w:val="00116966"/>
    <w:rsid w:val="001207BB"/>
    <w:rsid w:val="00121D4F"/>
    <w:rsid w:val="001221B1"/>
    <w:rsid w:val="00122207"/>
    <w:rsid w:val="00122B89"/>
    <w:rsid w:val="001237B5"/>
    <w:rsid w:val="00123843"/>
    <w:rsid w:val="00123F39"/>
    <w:rsid w:val="00126E5F"/>
    <w:rsid w:val="0012793D"/>
    <w:rsid w:val="00130A7D"/>
    <w:rsid w:val="00131917"/>
    <w:rsid w:val="00132EDD"/>
    <w:rsid w:val="00136F4B"/>
    <w:rsid w:val="0013709C"/>
    <w:rsid w:val="0013738B"/>
    <w:rsid w:val="00137E76"/>
    <w:rsid w:val="00141446"/>
    <w:rsid w:val="00142F21"/>
    <w:rsid w:val="00144C6C"/>
    <w:rsid w:val="00145C09"/>
    <w:rsid w:val="00146318"/>
    <w:rsid w:val="0014709D"/>
    <w:rsid w:val="001517F0"/>
    <w:rsid w:val="001519DA"/>
    <w:rsid w:val="00153BAA"/>
    <w:rsid w:val="00153D8F"/>
    <w:rsid w:val="001561D3"/>
    <w:rsid w:val="00157653"/>
    <w:rsid w:val="00157B25"/>
    <w:rsid w:val="00162365"/>
    <w:rsid w:val="00164090"/>
    <w:rsid w:val="001644B5"/>
    <w:rsid w:val="0016455D"/>
    <w:rsid w:val="00167ACD"/>
    <w:rsid w:val="0017055A"/>
    <w:rsid w:val="001708B1"/>
    <w:rsid w:val="00170CD9"/>
    <w:rsid w:val="00174B65"/>
    <w:rsid w:val="00175765"/>
    <w:rsid w:val="00175788"/>
    <w:rsid w:val="00175E1B"/>
    <w:rsid w:val="00177100"/>
    <w:rsid w:val="001771AD"/>
    <w:rsid w:val="001779ED"/>
    <w:rsid w:val="0018015F"/>
    <w:rsid w:val="00180871"/>
    <w:rsid w:val="00181B11"/>
    <w:rsid w:val="00184C85"/>
    <w:rsid w:val="00186734"/>
    <w:rsid w:val="00190A00"/>
    <w:rsid w:val="00190ADB"/>
    <w:rsid w:val="00190C07"/>
    <w:rsid w:val="00191026"/>
    <w:rsid w:val="001913B3"/>
    <w:rsid w:val="00191462"/>
    <w:rsid w:val="001915DF"/>
    <w:rsid w:val="00191BF5"/>
    <w:rsid w:val="00191D67"/>
    <w:rsid w:val="001922CE"/>
    <w:rsid w:val="00192ABC"/>
    <w:rsid w:val="00193CAB"/>
    <w:rsid w:val="00195142"/>
    <w:rsid w:val="001961D3"/>
    <w:rsid w:val="0019633A"/>
    <w:rsid w:val="00196E4C"/>
    <w:rsid w:val="00197035"/>
    <w:rsid w:val="001A05AA"/>
    <w:rsid w:val="001A109B"/>
    <w:rsid w:val="001A1838"/>
    <w:rsid w:val="001A2017"/>
    <w:rsid w:val="001A286A"/>
    <w:rsid w:val="001A3681"/>
    <w:rsid w:val="001A42BA"/>
    <w:rsid w:val="001A5629"/>
    <w:rsid w:val="001A78A4"/>
    <w:rsid w:val="001A7F9F"/>
    <w:rsid w:val="001B0D37"/>
    <w:rsid w:val="001B0F86"/>
    <w:rsid w:val="001B31F0"/>
    <w:rsid w:val="001B39AB"/>
    <w:rsid w:val="001B4C1D"/>
    <w:rsid w:val="001B4D8C"/>
    <w:rsid w:val="001B6BD6"/>
    <w:rsid w:val="001B7D44"/>
    <w:rsid w:val="001B7FB8"/>
    <w:rsid w:val="001C0B5C"/>
    <w:rsid w:val="001C263B"/>
    <w:rsid w:val="001C295E"/>
    <w:rsid w:val="001C3E27"/>
    <w:rsid w:val="001C419E"/>
    <w:rsid w:val="001C6197"/>
    <w:rsid w:val="001C72DA"/>
    <w:rsid w:val="001C7997"/>
    <w:rsid w:val="001C7B78"/>
    <w:rsid w:val="001D076D"/>
    <w:rsid w:val="001D11A6"/>
    <w:rsid w:val="001D1C60"/>
    <w:rsid w:val="001D266E"/>
    <w:rsid w:val="001D2A94"/>
    <w:rsid w:val="001D3DFA"/>
    <w:rsid w:val="001D4264"/>
    <w:rsid w:val="001D525C"/>
    <w:rsid w:val="001D611B"/>
    <w:rsid w:val="001D6B8A"/>
    <w:rsid w:val="001D7142"/>
    <w:rsid w:val="001D72E8"/>
    <w:rsid w:val="001D7C8F"/>
    <w:rsid w:val="001E025A"/>
    <w:rsid w:val="001E21D6"/>
    <w:rsid w:val="001E29D9"/>
    <w:rsid w:val="001E30F7"/>
    <w:rsid w:val="001E3410"/>
    <w:rsid w:val="001E39F7"/>
    <w:rsid w:val="001E415F"/>
    <w:rsid w:val="001E4C7C"/>
    <w:rsid w:val="001E67C0"/>
    <w:rsid w:val="001E6D92"/>
    <w:rsid w:val="001F1F22"/>
    <w:rsid w:val="001F36AE"/>
    <w:rsid w:val="001F3997"/>
    <w:rsid w:val="001F3A21"/>
    <w:rsid w:val="001F3D28"/>
    <w:rsid w:val="001F461E"/>
    <w:rsid w:val="001F7E6D"/>
    <w:rsid w:val="001F7F77"/>
    <w:rsid w:val="001F7FA2"/>
    <w:rsid w:val="00201DB2"/>
    <w:rsid w:val="00203D21"/>
    <w:rsid w:val="00204190"/>
    <w:rsid w:val="00204AC1"/>
    <w:rsid w:val="002051C2"/>
    <w:rsid w:val="0020528C"/>
    <w:rsid w:val="00212D15"/>
    <w:rsid w:val="00213AE1"/>
    <w:rsid w:val="002142B8"/>
    <w:rsid w:val="00214566"/>
    <w:rsid w:val="002160D8"/>
    <w:rsid w:val="00217D21"/>
    <w:rsid w:val="002216E2"/>
    <w:rsid w:val="0022170E"/>
    <w:rsid w:val="00221D1B"/>
    <w:rsid w:val="00223767"/>
    <w:rsid w:val="00223D84"/>
    <w:rsid w:val="00224231"/>
    <w:rsid w:val="00224654"/>
    <w:rsid w:val="00225BFF"/>
    <w:rsid w:val="002262EF"/>
    <w:rsid w:val="00226561"/>
    <w:rsid w:val="00230FAC"/>
    <w:rsid w:val="00231BE0"/>
    <w:rsid w:val="00232705"/>
    <w:rsid w:val="00232E74"/>
    <w:rsid w:val="0023314B"/>
    <w:rsid w:val="0023341D"/>
    <w:rsid w:val="00233FD2"/>
    <w:rsid w:val="00235D04"/>
    <w:rsid w:val="00235FEF"/>
    <w:rsid w:val="00236124"/>
    <w:rsid w:val="00236BFB"/>
    <w:rsid w:val="0024071F"/>
    <w:rsid w:val="0024167B"/>
    <w:rsid w:val="00241759"/>
    <w:rsid w:val="00241A7F"/>
    <w:rsid w:val="00244040"/>
    <w:rsid w:val="00245E57"/>
    <w:rsid w:val="00246A23"/>
    <w:rsid w:val="00246A2B"/>
    <w:rsid w:val="00246A7E"/>
    <w:rsid w:val="00251C19"/>
    <w:rsid w:val="002526D8"/>
    <w:rsid w:val="002529B1"/>
    <w:rsid w:val="00252FC2"/>
    <w:rsid w:val="00253533"/>
    <w:rsid w:val="00255AA2"/>
    <w:rsid w:val="00256DBD"/>
    <w:rsid w:val="002578EE"/>
    <w:rsid w:val="002606BE"/>
    <w:rsid w:val="00261D36"/>
    <w:rsid w:val="00262773"/>
    <w:rsid w:val="00262DE1"/>
    <w:rsid w:val="00262E62"/>
    <w:rsid w:val="002651A2"/>
    <w:rsid w:val="002656AD"/>
    <w:rsid w:val="00265780"/>
    <w:rsid w:val="0026587F"/>
    <w:rsid w:val="002676DA"/>
    <w:rsid w:val="00270117"/>
    <w:rsid w:val="002705B3"/>
    <w:rsid w:val="002728E6"/>
    <w:rsid w:val="00272918"/>
    <w:rsid w:val="00275736"/>
    <w:rsid w:val="002757B5"/>
    <w:rsid w:val="0027679E"/>
    <w:rsid w:val="002769ED"/>
    <w:rsid w:val="00276C72"/>
    <w:rsid w:val="0028064C"/>
    <w:rsid w:val="00281F86"/>
    <w:rsid w:val="0028377B"/>
    <w:rsid w:val="00283AA4"/>
    <w:rsid w:val="00286E42"/>
    <w:rsid w:val="00287923"/>
    <w:rsid w:val="002910F8"/>
    <w:rsid w:val="00291CCE"/>
    <w:rsid w:val="00294C9B"/>
    <w:rsid w:val="00295F38"/>
    <w:rsid w:val="002960F5"/>
    <w:rsid w:val="00296C85"/>
    <w:rsid w:val="00296E55"/>
    <w:rsid w:val="002A180E"/>
    <w:rsid w:val="002A2ED9"/>
    <w:rsid w:val="002A303B"/>
    <w:rsid w:val="002A43F5"/>
    <w:rsid w:val="002A494E"/>
    <w:rsid w:val="002A52D5"/>
    <w:rsid w:val="002A628E"/>
    <w:rsid w:val="002A646F"/>
    <w:rsid w:val="002A7BA6"/>
    <w:rsid w:val="002B30F5"/>
    <w:rsid w:val="002B3497"/>
    <w:rsid w:val="002B446B"/>
    <w:rsid w:val="002B465B"/>
    <w:rsid w:val="002B4E15"/>
    <w:rsid w:val="002C1119"/>
    <w:rsid w:val="002C3B0F"/>
    <w:rsid w:val="002C705B"/>
    <w:rsid w:val="002C7C74"/>
    <w:rsid w:val="002D018E"/>
    <w:rsid w:val="002D11E1"/>
    <w:rsid w:val="002D1D7A"/>
    <w:rsid w:val="002D2365"/>
    <w:rsid w:val="002D34BA"/>
    <w:rsid w:val="002D505A"/>
    <w:rsid w:val="002D5383"/>
    <w:rsid w:val="002D5D51"/>
    <w:rsid w:val="002D7758"/>
    <w:rsid w:val="002D7830"/>
    <w:rsid w:val="002D7D06"/>
    <w:rsid w:val="002D7F53"/>
    <w:rsid w:val="002E10E5"/>
    <w:rsid w:val="002E19F7"/>
    <w:rsid w:val="002E1AD4"/>
    <w:rsid w:val="002E2CCF"/>
    <w:rsid w:val="002E3581"/>
    <w:rsid w:val="002E4BBB"/>
    <w:rsid w:val="002E4C91"/>
    <w:rsid w:val="002E4EBF"/>
    <w:rsid w:val="002E53A4"/>
    <w:rsid w:val="002E5C79"/>
    <w:rsid w:val="002E5FFA"/>
    <w:rsid w:val="002E6557"/>
    <w:rsid w:val="002F11A2"/>
    <w:rsid w:val="002F2099"/>
    <w:rsid w:val="002F353C"/>
    <w:rsid w:val="002F3A36"/>
    <w:rsid w:val="002F4A77"/>
    <w:rsid w:val="002F5FBB"/>
    <w:rsid w:val="002F66E5"/>
    <w:rsid w:val="002F7300"/>
    <w:rsid w:val="002F7854"/>
    <w:rsid w:val="002F7CFB"/>
    <w:rsid w:val="00300636"/>
    <w:rsid w:val="00300C32"/>
    <w:rsid w:val="003019B2"/>
    <w:rsid w:val="00301BA3"/>
    <w:rsid w:val="0030310B"/>
    <w:rsid w:val="00305966"/>
    <w:rsid w:val="00306262"/>
    <w:rsid w:val="003062A3"/>
    <w:rsid w:val="00307C0A"/>
    <w:rsid w:val="00307CB6"/>
    <w:rsid w:val="00310033"/>
    <w:rsid w:val="00310866"/>
    <w:rsid w:val="00311398"/>
    <w:rsid w:val="00311980"/>
    <w:rsid w:val="003135C3"/>
    <w:rsid w:val="00314F28"/>
    <w:rsid w:val="00315ABD"/>
    <w:rsid w:val="00316A63"/>
    <w:rsid w:val="00316B08"/>
    <w:rsid w:val="003203FF"/>
    <w:rsid w:val="00321AEA"/>
    <w:rsid w:val="003256FB"/>
    <w:rsid w:val="00325928"/>
    <w:rsid w:val="0032711E"/>
    <w:rsid w:val="00327A2C"/>
    <w:rsid w:val="003306A1"/>
    <w:rsid w:val="00331328"/>
    <w:rsid w:val="0033136D"/>
    <w:rsid w:val="003317B8"/>
    <w:rsid w:val="00332535"/>
    <w:rsid w:val="00333703"/>
    <w:rsid w:val="003344AB"/>
    <w:rsid w:val="00334B74"/>
    <w:rsid w:val="00335742"/>
    <w:rsid w:val="00336173"/>
    <w:rsid w:val="0033799C"/>
    <w:rsid w:val="00341F38"/>
    <w:rsid w:val="0034204E"/>
    <w:rsid w:val="00342187"/>
    <w:rsid w:val="00343486"/>
    <w:rsid w:val="00345329"/>
    <w:rsid w:val="00345682"/>
    <w:rsid w:val="0034581A"/>
    <w:rsid w:val="00345A39"/>
    <w:rsid w:val="00346D98"/>
    <w:rsid w:val="00346FCA"/>
    <w:rsid w:val="003473D4"/>
    <w:rsid w:val="00352675"/>
    <w:rsid w:val="003548AB"/>
    <w:rsid w:val="00355796"/>
    <w:rsid w:val="00355CFF"/>
    <w:rsid w:val="00355D33"/>
    <w:rsid w:val="00355D78"/>
    <w:rsid w:val="00356957"/>
    <w:rsid w:val="00357A9C"/>
    <w:rsid w:val="00361707"/>
    <w:rsid w:val="003629F8"/>
    <w:rsid w:val="00363D74"/>
    <w:rsid w:val="00364E06"/>
    <w:rsid w:val="00365085"/>
    <w:rsid w:val="00365B56"/>
    <w:rsid w:val="00366734"/>
    <w:rsid w:val="00366A1F"/>
    <w:rsid w:val="0036704A"/>
    <w:rsid w:val="00367FF9"/>
    <w:rsid w:val="00380C83"/>
    <w:rsid w:val="00380CAE"/>
    <w:rsid w:val="00380EA6"/>
    <w:rsid w:val="003819E5"/>
    <w:rsid w:val="00381AAD"/>
    <w:rsid w:val="0038308A"/>
    <w:rsid w:val="003842D5"/>
    <w:rsid w:val="00384600"/>
    <w:rsid w:val="00386317"/>
    <w:rsid w:val="00386522"/>
    <w:rsid w:val="003909D4"/>
    <w:rsid w:val="00390D33"/>
    <w:rsid w:val="00392156"/>
    <w:rsid w:val="00394298"/>
    <w:rsid w:val="00394E1E"/>
    <w:rsid w:val="00395687"/>
    <w:rsid w:val="00396D49"/>
    <w:rsid w:val="00396EE5"/>
    <w:rsid w:val="003975E0"/>
    <w:rsid w:val="003A2270"/>
    <w:rsid w:val="003A3AF9"/>
    <w:rsid w:val="003A3CDD"/>
    <w:rsid w:val="003A5EE9"/>
    <w:rsid w:val="003A75F2"/>
    <w:rsid w:val="003B09BE"/>
    <w:rsid w:val="003B0D06"/>
    <w:rsid w:val="003B15F4"/>
    <w:rsid w:val="003B26A2"/>
    <w:rsid w:val="003B3E57"/>
    <w:rsid w:val="003B4CBE"/>
    <w:rsid w:val="003B5095"/>
    <w:rsid w:val="003B51AD"/>
    <w:rsid w:val="003B51BF"/>
    <w:rsid w:val="003B6DC1"/>
    <w:rsid w:val="003C007E"/>
    <w:rsid w:val="003C04F7"/>
    <w:rsid w:val="003C0AD4"/>
    <w:rsid w:val="003C17FD"/>
    <w:rsid w:val="003C1AE5"/>
    <w:rsid w:val="003C1DF3"/>
    <w:rsid w:val="003C1E26"/>
    <w:rsid w:val="003C255A"/>
    <w:rsid w:val="003C4BE7"/>
    <w:rsid w:val="003C5B45"/>
    <w:rsid w:val="003C60EB"/>
    <w:rsid w:val="003C6DE3"/>
    <w:rsid w:val="003D0462"/>
    <w:rsid w:val="003D068D"/>
    <w:rsid w:val="003D0CB9"/>
    <w:rsid w:val="003D17E1"/>
    <w:rsid w:val="003D189C"/>
    <w:rsid w:val="003D1A59"/>
    <w:rsid w:val="003D1B64"/>
    <w:rsid w:val="003D1CFF"/>
    <w:rsid w:val="003D2E1C"/>
    <w:rsid w:val="003D3916"/>
    <w:rsid w:val="003D58EE"/>
    <w:rsid w:val="003D6214"/>
    <w:rsid w:val="003E143A"/>
    <w:rsid w:val="003E1556"/>
    <w:rsid w:val="003E1BE5"/>
    <w:rsid w:val="003E3ADE"/>
    <w:rsid w:val="003E4038"/>
    <w:rsid w:val="003E41AA"/>
    <w:rsid w:val="003E427B"/>
    <w:rsid w:val="003E4B2A"/>
    <w:rsid w:val="003E5993"/>
    <w:rsid w:val="003E5E1A"/>
    <w:rsid w:val="003E7061"/>
    <w:rsid w:val="003E7FB7"/>
    <w:rsid w:val="003F0223"/>
    <w:rsid w:val="003F198B"/>
    <w:rsid w:val="003F262A"/>
    <w:rsid w:val="003F41EB"/>
    <w:rsid w:val="003F4A5D"/>
    <w:rsid w:val="003F51D1"/>
    <w:rsid w:val="003F597C"/>
    <w:rsid w:val="003F7573"/>
    <w:rsid w:val="00400028"/>
    <w:rsid w:val="00401D01"/>
    <w:rsid w:val="00401E8E"/>
    <w:rsid w:val="0040377F"/>
    <w:rsid w:val="0040631D"/>
    <w:rsid w:val="004079E7"/>
    <w:rsid w:val="00410F1A"/>
    <w:rsid w:val="004125B3"/>
    <w:rsid w:val="00413195"/>
    <w:rsid w:val="0041506B"/>
    <w:rsid w:val="0041539B"/>
    <w:rsid w:val="004154AC"/>
    <w:rsid w:val="004156D8"/>
    <w:rsid w:val="004162CA"/>
    <w:rsid w:val="00417A00"/>
    <w:rsid w:val="00421BBA"/>
    <w:rsid w:val="00421F46"/>
    <w:rsid w:val="004221CC"/>
    <w:rsid w:val="004224AE"/>
    <w:rsid w:val="00422576"/>
    <w:rsid w:val="00423428"/>
    <w:rsid w:val="0042354B"/>
    <w:rsid w:val="00423D21"/>
    <w:rsid w:val="00424353"/>
    <w:rsid w:val="0042472B"/>
    <w:rsid w:val="00425582"/>
    <w:rsid w:val="004259AF"/>
    <w:rsid w:val="004259BC"/>
    <w:rsid w:val="00426D01"/>
    <w:rsid w:val="00427638"/>
    <w:rsid w:val="00432D5F"/>
    <w:rsid w:val="0043380A"/>
    <w:rsid w:val="00433D3B"/>
    <w:rsid w:val="0043502A"/>
    <w:rsid w:val="00436268"/>
    <w:rsid w:val="00436B98"/>
    <w:rsid w:val="0043705D"/>
    <w:rsid w:val="00437380"/>
    <w:rsid w:val="00437864"/>
    <w:rsid w:val="00441AB6"/>
    <w:rsid w:val="004430FE"/>
    <w:rsid w:val="00443A5F"/>
    <w:rsid w:val="00445072"/>
    <w:rsid w:val="00445633"/>
    <w:rsid w:val="00445FEC"/>
    <w:rsid w:val="00446F32"/>
    <w:rsid w:val="004478EC"/>
    <w:rsid w:val="00447FD7"/>
    <w:rsid w:val="0045143B"/>
    <w:rsid w:val="00452EAC"/>
    <w:rsid w:val="004532EF"/>
    <w:rsid w:val="00453594"/>
    <w:rsid w:val="00455EBE"/>
    <w:rsid w:val="00456C82"/>
    <w:rsid w:val="00457751"/>
    <w:rsid w:val="004579D5"/>
    <w:rsid w:val="004604FA"/>
    <w:rsid w:val="00460F2B"/>
    <w:rsid w:val="004619B4"/>
    <w:rsid w:val="00461BA6"/>
    <w:rsid w:val="004630C5"/>
    <w:rsid w:val="0046604C"/>
    <w:rsid w:val="00467370"/>
    <w:rsid w:val="00467BAE"/>
    <w:rsid w:val="00467DEA"/>
    <w:rsid w:val="00472146"/>
    <w:rsid w:val="0047327D"/>
    <w:rsid w:val="00474655"/>
    <w:rsid w:val="00474915"/>
    <w:rsid w:val="0047642C"/>
    <w:rsid w:val="00476480"/>
    <w:rsid w:val="00482D46"/>
    <w:rsid w:val="00483469"/>
    <w:rsid w:val="004852B5"/>
    <w:rsid w:val="004911EE"/>
    <w:rsid w:val="00492C09"/>
    <w:rsid w:val="004959F2"/>
    <w:rsid w:val="00495B31"/>
    <w:rsid w:val="00495EFA"/>
    <w:rsid w:val="004977D8"/>
    <w:rsid w:val="004A198B"/>
    <w:rsid w:val="004A31FC"/>
    <w:rsid w:val="004A416F"/>
    <w:rsid w:val="004A491A"/>
    <w:rsid w:val="004B0048"/>
    <w:rsid w:val="004B073A"/>
    <w:rsid w:val="004B2C96"/>
    <w:rsid w:val="004B4F62"/>
    <w:rsid w:val="004B6F22"/>
    <w:rsid w:val="004B7654"/>
    <w:rsid w:val="004B7BD8"/>
    <w:rsid w:val="004C22CD"/>
    <w:rsid w:val="004C25B5"/>
    <w:rsid w:val="004C2707"/>
    <w:rsid w:val="004C364E"/>
    <w:rsid w:val="004C4CB8"/>
    <w:rsid w:val="004C67EF"/>
    <w:rsid w:val="004C6CD9"/>
    <w:rsid w:val="004C7071"/>
    <w:rsid w:val="004D0647"/>
    <w:rsid w:val="004D13B1"/>
    <w:rsid w:val="004D2B7C"/>
    <w:rsid w:val="004D6B68"/>
    <w:rsid w:val="004D714E"/>
    <w:rsid w:val="004D79FB"/>
    <w:rsid w:val="004D7B06"/>
    <w:rsid w:val="004E01E2"/>
    <w:rsid w:val="004E221F"/>
    <w:rsid w:val="004E42AF"/>
    <w:rsid w:val="004E4898"/>
    <w:rsid w:val="004E5640"/>
    <w:rsid w:val="004E75CA"/>
    <w:rsid w:val="004F08D5"/>
    <w:rsid w:val="004F214F"/>
    <w:rsid w:val="004F2AEF"/>
    <w:rsid w:val="004F2D9B"/>
    <w:rsid w:val="004F340B"/>
    <w:rsid w:val="004F405E"/>
    <w:rsid w:val="004F532E"/>
    <w:rsid w:val="004F62BB"/>
    <w:rsid w:val="004F763B"/>
    <w:rsid w:val="004F77D7"/>
    <w:rsid w:val="00501D23"/>
    <w:rsid w:val="00501F24"/>
    <w:rsid w:val="005032FA"/>
    <w:rsid w:val="00506ED8"/>
    <w:rsid w:val="00510187"/>
    <w:rsid w:val="005139D3"/>
    <w:rsid w:val="005141C1"/>
    <w:rsid w:val="00514AA9"/>
    <w:rsid w:val="005151E9"/>
    <w:rsid w:val="005160F2"/>
    <w:rsid w:val="00517B37"/>
    <w:rsid w:val="005202AD"/>
    <w:rsid w:val="00522E67"/>
    <w:rsid w:val="005230F6"/>
    <w:rsid w:val="0052356E"/>
    <w:rsid w:val="005261FE"/>
    <w:rsid w:val="005262B6"/>
    <w:rsid w:val="005272CC"/>
    <w:rsid w:val="0053210A"/>
    <w:rsid w:val="00532B44"/>
    <w:rsid w:val="005339E8"/>
    <w:rsid w:val="005359BE"/>
    <w:rsid w:val="005373AF"/>
    <w:rsid w:val="005402A5"/>
    <w:rsid w:val="00542EFF"/>
    <w:rsid w:val="005436ED"/>
    <w:rsid w:val="00544060"/>
    <w:rsid w:val="00544F8A"/>
    <w:rsid w:val="0054696E"/>
    <w:rsid w:val="00547700"/>
    <w:rsid w:val="00550132"/>
    <w:rsid w:val="00550E3A"/>
    <w:rsid w:val="00554E52"/>
    <w:rsid w:val="00555623"/>
    <w:rsid w:val="00556589"/>
    <w:rsid w:val="00556FA9"/>
    <w:rsid w:val="00557BD0"/>
    <w:rsid w:val="00562878"/>
    <w:rsid w:val="005641C3"/>
    <w:rsid w:val="00565125"/>
    <w:rsid w:val="005655E8"/>
    <w:rsid w:val="005657E6"/>
    <w:rsid w:val="00570349"/>
    <w:rsid w:val="00570648"/>
    <w:rsid w:val="00570CA5"/>
    <w:rsid w:val="005713A3"/>
    <w:rsid w:val="00571B27"/>
    <w:rsid w:val="00573F28"/>
    <w:rsid w:val="0057417A"/>
    <w:rsid w:val="0057597C"/>
    <w:rsid w:val="00577791"/>
    <w:rsid w:val="00580196"/>
    <w:rsid w:val="00582490"/>
    <w:rsid w:val="00582552"/>
    <w:rsid w:val="005866B0"/>
    <w:rsid w:val="00591573"/>
    <w:rsid w:val="005928FE"/>
    <w:rsid w:val="00592936"/>
    <w:rsid w:val="0059338A"/>
    <w:rsid w:val="00594DF3"/>
    <w:rsid w:val="0059616C"/>
    <w:rsid w:val="00596AB7"/>
    <w:rsid w:val="00597325"/>
    <w:rsid w:val="0059771E"/>
    <w:rsid w:val="005A2A1B"/>
    <w:rsid w:val="005A5E6C"/>
    <w:rsid w:val="005A5FC4"/>
    <w:rsid w:val="005A61B5"/>
    <w:rsid w:val="005B0B5D"/>
    <w:rsid w:val="005B0BD7"/>
    <w:rsid w:val="005B2D7B"/>
    <w:rsid w:val="005B3CF0"/>
    <w:rsid w:val="005B3F13"/>
    <w:rsid w:val="005B3FFC"/>
    <w:rsid w:val="005B478E"/>
    <w:rsid w:val="005B4E3D"/>
    <w:rsid w:val="005B52E4"/>
    <w:rsid w:val="005B69DF"/>
    <w:rsid w:val="005B74E5"/>
    <w:rsid w:val="005B7BCF"/>
    <w:rsid w:val="005C02AD"/>
    <w:rsid w:val="005C1029"/>
    <w:rsid w:val="005C1932"/>
    <w:rsid w:val="005C23DC"/>
    <w:rsid w:val="005C2FBE"/>
    <w:rsid w:val="005C32D3"/>
    <w:rsid w:val="005C3661"/>
    <w:rsid w:val="005C4430"/>
    <w:rsid w:val="005C4B06"/>
    <w:rsid w:val="005C6EFD"/>
    <w:rsid w:val="005D031A"/>
    <w:rsid w:val="005D1C2F"/>
    <w:rsid w:val="005D1CCF"/>
    <w:rsid w:val="005D1F35"/>
    <w:rsid w:val="005D2A50"/>
    <w:rsid w:val="005D6EAA"/>
    <w:rsid w:val="005D7BD2"/>
    <w:rsid w:val="005E001C"/>
    <w:rsid w:val="005E14CB"/>
    <w:rsid w:val="005E1DB7"/>
    <w:rsid w:val="005E26F0"/>
    <w:rsid w:val="005E5C15"/>
    <w:rsid w:val="005E64CC"/>
    <w:rsid w:val="005E71A0"/>
    <w:rsid w:val="005E7532"/>
    <w:rsid w:val="005E77B1"/>
    <w:rsid w:val="005F05E9"/>
    <w:rsid w:val="005F064D"/>
    <w:rsid w:val="005F3832"/>
    <w:rsid w:val="005F3C88"/>
    <w:rsid w:val="005F41C9"/>
    <w:rsid w:val="005F4535"/>
    <w:rsid w:val="005F5883"/>
    <w:rsid w:val="005F5B7E"/>
    <w:rsid w:val="005F5B87"/>
    <w:rsid w:val="005F605A"/>
    <w:rsid w:val="005F62E8"/>
    <w:rsid w:val="005F66AB"/>
    <w:rsid w:val="005F6E7A"/>
    <w:rsid w:val="00600BC6"/>
    <w:rsid w:val="006022D2"/>
    <w:rsid w:val="0060239A"/>
    <w:rsid w:val="00602D62"/>
    <w:rsid w:val="00603506"/>
    <w:rsid w:val="00603F30"/>
    <w:rsid w:val="00604A29"/>
    <w:rsid w:val="00604A60"/>
    <w:rsid w:val="006053A1"/>
    <w:rsid w:val="006055F3"/>
    <w:rsid w:val="00606AF6"/>
    <w:rsid w:val="0060745A"/>
    <w:rsid w:val="00611D7F"/>
    <w:rsid w:val="00613002"/>
    <w:rsid w:val="0061439D"/>
    <w:rsid w:val="006168B0"/>
    <w:rsid w:val="006169EC"/>
    <w:rsid w:val="00620269"/>
    <w:rsid w:val="0062053A"/>
    <w:rsid w:val="00620551"/>
    <w:rsid w:val="00621AB0"/>
    <w:rsid w:val="00622E90"/>
    <w:rsid w:val="00622F15"/>
    <w:rsid w:val="006233B8"/>
    <w:rsid w:val="006240B7"/>
    <w:rsid w:val="006248E3"/>
    <w:rsid w:val="006265DF"/>
    <w:rsid w:val="0063011A"/>
    <w:rsid w:val="0063056C"/>
    <w:rsid w:val="006315FC"/>
    <w:rsid w:val="006316DA"/>
    <w:rsid w:val="00631B68"/>
    <w:rsid w:val="00632946"/>
    <w:rsid w:val="00632A75"/>
    <w:rsid w:val="0063407F"/>
    <w:rsid w:val="00635794"/>
    <w:rsid w:val="0063606E"/>
    <w:rsid w:val="00636998"/>
    <w:rsid w:val="00636A47"/>
    <w:rsid w:val="00640710"/>
    <w:rsid w:val="00640A78"/>
    <w:rsid w:val="0064229C"/>
    <w:rsid w:val="00645AF6"/>
    <w:rsid w:val="006477E2"/>
    <w:rsid w:val="006509D5"/>
    <w:rsid w:val="00651BA2"/>
    <w:rsid w:val="00652681"/>
    <w:rsid w:val="0065681C"/>
    <w:rsid w:val="0066090D"/>
    <w:rsid w:val="00660E11"/>
    <w:rsid w:val="00664199"/>
    <w:rsid w:val="006647AF"/>
    <w:rsid w:val="00670ACA"/>
    <w:rsid w:val="006716C2"/>
    <w:rsid w:val="006730F9"/>
    <w:rsid w:val="0067339C"/>
    <w:rsid w:val="00673A53"/>
    <w:rsid w:val="006740A5"/>
    <w:rsid w:val="0067458D"/>
    <w:rsid w:val="00676026"/>
    <w:rsid w:val="00676A02"/>
    <w:rsid w:val="00676E19"/>
    <w:rsid w:val="00677AE4"/>
    <w:rsid w:val="00680048"/>
    <w:rsid w:val="006803BD"/>
    <w:rsid w:val="00681E7E"/>
    <w:rsid w:val="00683860"/>
    <w:rsid w:val="00685DAF"/>
    <w:rsid w:val="00686882"/>
    <w:rsid w:val="0068734F"/>
    <w:rsid w:val="00691324"/>
    <w:rsid w:val="006914C7"/>
    <w:rsid w:val="006914E1"/>
    <w:rsid w:val="00693708"/>
    <w:rsid w:val="006939B8"/>
    <w:rsid w:val="00693AAF"/>
    <w:rsid w:val="00694812"/>
    <w:rsid w:val="00694AF6"/>
    <w:rsid w:val="00695182"/>
    <w:rsid w:val="00697F55"/>
    <w:rsid w:val="006A0F8E"/>
    <w:rsid w:val="006A10D5"/>
    <w:rsid w:val="006A1518"/>
    <w:rsid w:val="006A222A"/>
    <w:rsid w:val="006A28D2"/>
    <w:rsid w:val="006A6268"/>
    <w:rsid w:val="006A654F"/>
    <w:rsid w:val="006A74B4"/>
    <w:rsid w:val="006B0AA1"/>
    <w:rsid w:val="006B1055"/>
    <w:rsid w:val="006B17B0"/>
    <w:rsid w:val="006B2380"/>
    <w:rsid w:val="006B31D7"/>
    <w:rsid w:val="006B4A45"/>
    <w:rsid w:val="006B5311"/>
    <w:rsid w:val="006B5598"/>
    <w:rsid w:val="006B55E3"/>
    <w:rsid w:val="006B5E88"/>
    <w:rsid w:val="006B63DD"/>
    <w:rsid w:val="006B663A"/>
    <w:rsid w:val="006B72E2"/>
    <w:rsid w:val="006B7ACF"/>
    <w:rsid w:val="006C09E3"/>
    <w:rsid w:val="006C249E"/>
    <w:rsid w:val="006C2594"/>
    <w:rsid w:val="006C28B6"/>
    <w:rsid w:val="006C2F34"/>
    <w:rsid w:val="006C3CA6"/>
    <w:rsid w:val="006C4925"/>
    <w:rsid w:val="006C6E5D"/>
    <w:rsid w:val="006C7901"/>
    <w:rsid w:val="006D0AEA"/>
    <w:rsid w:val="006D26F4"/>
    <w:rsid w:val="006D2E3F"/>
    <w:rsid w:val="006D3825"/>
    <w:rsid w:val="006D4115"/>
    <w:rsid w:val="006D6840"/>
    <w:rsid w:val="006D776A"/>
    <w:rsid w:val="006E0281"/>
    <w:rsid w:val="006E10BD"/>
    <w:rsid w:val="006E21EF"/>
    <w:rsid w:val="006E27AA"/>
    <w:rsid w:val="006E29CA"/>
    <w:rsid w:val="006E347B"/>
    <w:rsid w:val="006E3639"/>
    <w:rsid w:val="006E42F2"/>
    <w:rsid w:val="006E5A74"/>
    <w:rsid w:val="006E5B3A"/>
    <w:rsid w:val="006E621C"/>
    <w:rsid w:val="006F0357"/>
    <w:rsid w:val="006F257A"/>
    <w:rsid w:val="006F32DB"/>
    <w:rsid w:val="006F35F6"/>
    <w:rsid w:val="006F3F86"/>
    <w:rsid w:val="006F45C0"/>
    <w:rsid w:val="006F4684"/>
    <w:rsid w:val="006F5671"/>
    <w:rsid w:val="006F70E0"/>
    <w:rsid w:val="00700CFC"/>
    <w:rsid w:val="00700D2C"/>
    <w:rsid w:val="0070186F"/>
    <w:rsid w:val="00701874"/>
    <w:rsid w:val="00701F5B"/>
    <w:rsid w:val="007020BF"/>
    <w:rsid w:val="00704056"/>
    <w:rsid w:val="00704871"/>
    <w:rsid w:val="00706A02"/>
    <w:rsid w:val="007102F1"/>
    <w:rsid w:val="00710388"/>
    <w:rsid w:val="007107A7"/>
    <w:rsid w:val="007124F1"/>
    <w:rsid w:val="00712E81"/>
    <w:rsid w:val="00713F5A"/>
    <w:rsid w:val="007156E0"/>
    <w:rsid w:val="007164D3"/>
    <w:rsid w:val="0072075B"/>
    <w:rsid w:val="007221E8"/>
    <w:rsid w:val="0072242A"/>
    <w:rsid w:val="007224BB"/>
    <w:rsid w:val="00722B05"/>
    <w:rsid w:val="007247BE"/>
    <w:rsid w:val="00725167"/>
    <w:rsid w:val="007260D1"/>
    <w:rsid w:val="00727A74"/>
    <w:rsid w:val="00730224"/>
    <w:rsid w:val="00731637"/>
    <w:rsid w:val="007317B4"/>
    <w:rsid w:val="007317BA"/>
    <w:rsid w:val="0073210E"/>
    <w:rsid w:val="007333FD"/>
    <w:rsid w:val="00733C18"/>
    <w:rsid w:val="00734728"/>
    <w:rsid w:val="007360A1"/>
    <w:rsid w:val="00736E26"/>
    <w:rsid w:val="00740137"/>
    <w:rsid w:val="0074054C"/>
    <w:rsid w:val="00741063"/>
    <w:rsid w:val="0074265C"/>
    <w:rsid w:val="00743213"/>
    <w:rsid w:val="007443A0"/>
    <w:rsid w:val="00744A86"/>
    <w:rsid w:val="00744BB7"/>
    <w:rsid w:val="00746C6C"/>
    <w:rsid w:val="0075025A"/>
    <w:rsid w:val="00750E71"/>
    <w:rsid w:val="00751E16"/>
    <w:rsid w:val="0075433F"/>
    <w:rsid w:val="007559BE"/>
    <w:rsid w:val="00756234"/>
    <w:rsid w:val="007567CF"/>
    <w:rsid w:val="007569F1"/>
    <w:rsid w:val="00757B64"/>
    <w:rsid w:val="0076005A"/>
    <w:rsid w:val="007601CB"/>
    <w:rsid w:val="00761DA4"/>
    <w:rsid w:val="00762406"/>
    <w:rsid w:val="007631C7"/>
    <w:rsid w:val="007647DB"/>
    <w:rsid w:val="007652EA"/>
    <w:rsid w:val="00766145"/>
    <w:rsid w:val="007664CD"/>
    <w:rsid w:val="0076678C"/>
    <w:rsid w:val="007667DC"/>
    <w:rsid w:val="007671D2"/>
    <w:rsid w:val="00767411"/>
    <w:rsid w:val="0076784F"/>
    <w:rsid w:val="00770199"/>
    <w:rsid w:val="007706C3"/>
    <w:rsid w:val="007706C9"/>
    <w:rsid w:val="00770E42"/>
    <w:rsid w:val="00770EF4"/>
    <w:rsid w:val="00771089"/>
    <w:rsid w:val="00772B7A"/>
    <w:rsid w:val="007731F5"/>
    <w:rsid w:val="00773EF0"/>
    <w:rsid w:val="007741BD"/>
    <w:rsid w:val="00776750"/>
    <w:rsid w:val="00776AC9"/>
    <w:rsid w:val="00777424"/>
    <w:rsid w:val="00780340"/>
    <w:rsid w:val="00780C16"/>
    <w:rsid w:val="007810E1"/>
    <w:rsid w:val="00781A72"/>
    <w:rsid w:val="007834F6"/>
    <w:rsid w:val="007843CA"/>
    <w:rsid w:val="00785BD0"/>
    <w:rsid w:val="00785FE8"/>
    <w:rsid w:val="00786917"/>
    <w:rsid w:val="007900C9"/>
    <w:rsid w:val="007915C4"/>
    <w:rsid w:val="00791EA9"/>
    <w:rsid w:val="00791F13"/>
    <w:rsid w:val="00792ED2"/>
    <w:rsid w:val="0079457A"/>
    <w:rsid w:val="00797D27"/>
    <w:rsid w:val="007A1A02"/>
    <w:rsid w:val="007A1B24"/>
    <w:rsid w:val="007A2411"/>
    <w:rsid w:val="007A2C27"/>
    <w:rsid w:val="007A3E98"/>
    <w:rsid w:val="007A4070"/>
    <w:rsid w:val="007A4182"/>
    <w:rsid w:val="007A68E2"/>
    <w:rsid w:val="007A6A4D"/>
    <w:rsid w:val="007B05D6"/>
    <w:rsid w:val="007B1611"/>
    <w:rsid w:val="007B3180"/>
    <w:rsid w:val="007B3341"/>
    <w:rsid w:val="007B439E"/>
    <w:rsid w:val="007B4CFF"/>
    <w:rsid w:val="007B5B2C"/>
    <w:rsid w:val="007B64EE"/>
    <w:rsid w:val="007B65D7"/>
    <w:rsid w:val="007B66E1"/>
    <w:rsid w:val="007B7F51"/>
    <w:rsid w:val="007C11E2"/>
    <w:rsid w:val="007C17D8"/>
    <w:rsid w:val="007C2722"/>
    <w:rsid w:val="007C43E4"/>
    <w:rsid w:val="007C5732"/>
    <w:rsid w:val="007C5C72"/>
    <w:rsid w:val="007C6A07"/>
    <w:rsid w:val="007C6C71"/>
    <w:rsid w:val="007C7C56"/>
    <w:rsid w:val="007D0713"/>
    <w:rsid w:val="007D07E3"/>
    <w:rsid w:val="007D23A5"/>
    <w:rsid w:val="007D3760"/>
    <w:rsid w:val="007D390F"/>
    <w:rsid w:val="007D49C8"/>
    <w:rsid w:val="007D4B44"/>
    <w:rsid w:val="007D5DC7"/>
    <w:rsid w:val="007D615F"/>
    <w:rsid w:val="007D6A86"/>
    <w:rsid w:val="007D7690"/>
    <w:rsid w:val="007D7ADC"/>
    <w:rsid w:val="007E3648"/>
    <w:rsid w:val="007E438B"/>
    <w:rsid w:val="007E4EF5"/>
    <w:rsid w:val="007E6636"/>
    <w:rsid w:val="007E6EDA"/>
    <w:rsid w:val="007F2413"/>
    <w:rsid w:val="007F25C5"/>
    <w:rsid w:val="007F33EB"/>
    <w:rsid w:val="007F408B"/>
    <w:rsid w:val="007F63AA"/>
    <w:rsid w:val="007F6BC9"/>
    <w:rsid w:val="007F6FE1"/>
    <w:rsid w:val="007F7D59"/>
    <w:rsid w:val="007F7E6C"/>
    <w:rsid w:val="008008CD"/>
    <w:rsid w:val="00801FEF"/>
    <w:rsid w:val="00804198"/>
    <w:rsid w:val="008046B1"/>
    <w:rsid w:val="00805BF4"/>
    <w:rsid w:val="00806CD9"/>
    <w:rsid w:val="008147BE"/>
    <w:rsid w:val="00814922"/>
    <w:rsid w:val="008150D7"/>
    <w:rsid w:val="008178BC"/>
    <w:rsid w:val="008219F8"/>
    <w:rsid w:val="00823C03"/>
    <w:rsid w:val="00823EAB"/>
    <w:rsid w:val="00824AF3"/>
    <w:rsid w:val="00826123"/>
    <w:rsid w:val="00830FB0"/>
    <w:rsid w:val="008331BB"/>
    <w:rsid w:val="00833532"/>
    <w:rsid w:val="00835040"/>
    <w:rsid w:val="00835350"/>
    <w:rsid w:val="00835C8E"/>
    <w:rsid w:val="0083640F"/>
    <w:rsid w:val="00836C54"/>
    <w:rsid w:val="00836DA2"/>
    <w:rsid w:val="008372FE"/>
    <w:rsid w:val="008401FC"/>
    <w:rsid w:val="0084024C"/>
    <w:rsid w:val="00842CB7"/>
    <w:rsid w:val="00843C6A"/>
    <w:rsid w:val="00844893"/>
    <w:rsid w:val="0084583B"/>
    <w:rsid w:val="008459A9"/>
    <w:rsid w:val="008460EA"/>
    <w:rsid w:val="0084681F"/>
    <w:rsid w:val="008502EA"/>
    <w:rsid w:val="00850535"/>
    <w:rsid w:val="00850B8D"/>
    <w:rsid w:val="00851A64"/>
    <w:rsid w:val="0085248C"/>
    <w:rsid w:val="00852FD1"/>
    <w:rsid w:val="008559D0"/>
    <w:rsid w:val="00856B67"/>
    <w:rsid w:val="00857B50"/>
    <w:rsid w:val="008610D8"/>
    <w:rsid w:val="00861AC8"/>
    <w:rsid w:val="008648EB"/>
    <w:rsid w:val="00864BDD"/>
    <w:rsid w:val="00866B22"/>
    <w:rsid w:val="008670E0"/>
    <w:rsid w:val="00867871"/>
    <w:rsid w:val="008704F2"/>
    <w:rsid w:val="00874364"/>
    <w:rsid w:val="008764D2"/>
    <w:rsid w:val="0088110A"/>
    <w:rsid w:val="00882134"/>
    <w:rsid w:val="00883CA6"/>
    <w:rsid w:val="00884031"/>
    <w:rsid w:val="008844CA"/>
    <w:rsid w:val="0088648C"/>
    <w:rsid w:val="00887348"/>
    <w:rsid w:val="008905F0"/>
    <w:rsid w:val="00891953"/>
    <w:rsid w:val="00893532"/>
    <w:rsid w:val="00893C7C"/>
    <w:rsid w:val="00894E09"/>
    <w:rsid w:val="008958D1"/>
    <w:rsid w:val="008970DF"/>
    <w:rsid w:val="008A38E5"/>
    <w:rsid w:val="008A45BB"/>
    <w:rsid w:val="008A4C89"/>
    <w:rsid w:val="008A4F6E"/>
    <w:rsid w:val="008A5CA7"/>
    <w:rsid w:val="008A5CEE"/>
    <w:rsid w:val="008A67ED"/>
    <w:rsid w:val="008A7433"/>
    <w:rsid w:val="008A7E1B"/>
    <w:rsid w:val="008B0D5A"/>
    <w:rsid w:val="008B1BFB"/>
    <w:rsid w:val="008B1EBD"/>
    <w:rsid w:val="008B3CEA"/>
    <w:rsid w:val="008B598A"/>
    <w:rsid w:val="008B7904"/>
    <w:rsid w:val="008C0CC9"/>
    <w:rsid w:val="008C1B81"/>
    <w:rsid w:val="008C31F5"/>
    <w:rsid w:val="008C419A"/>
    <w:rsid w:val="008C50AB"/>
    <w:rsid w:val="008C5E65"/>
    <w:rsid w:val="008C6A1E"/>
    <w:rsid w:val="008C6C7A"/>
    <w:rsid w:val="008C7B32"/>
    <w:rsid w:val="008D03F7"/>
    <w:rsid w:val="008D1498"/>
    <w:rsid w:val="008D4F44"/>
    <w:rsid w:val="008D6A9B"/>
    <w:rsid w:val="008E005E"/>
    <w:rsid w:val="008E121A"/>
    <w:rsid w:val="008E1DCA"/>
    <w:rsid w:val="008E1DD5"/>
    <w:rsid w:val="008E22ED"/>
    <w:rsid w:val="008E2A4C"/>
    <w:rsid w:val="008E2E41"/>
    <w:rsid w:val="008E34B7"/>
    <w:rsid w:val="008E41C5"/>
    <w:rsid w:val="008E5D19"/>
    <w:rsid w:val="008E7D72"/>
    <w:rsid w:val="008E7E43"/>
    <w:rsid w:val="008F1CB5"/>
    <w:rsid w:val="008F2B56"/>
    <w:rsid w:val="008F2CFD"/>
    <w:rsid w:val="008F3436"/>
    <w:rsid w:val="008F4D3C"/>
    <w:rsid w:val="008F5162"/>
    <w:rsid w:val="008F5CC9"/>
    <w:rsid w:val="008F7156"/>
    <w:rsid w:val="0090074A"/>
    <w:rsid w:val="00901B12"/>
    <w:rsid w:val="00902611"/>
    <w:rsid w:val="00903312"/>
    <w:rsid w:val="009035C0"/>
    <w:rsid w:val="0090423D"/>
    <w:rsid w:val="009042A1"/>
    <w:rsid w:val="00904B9A"/>
    <w:rsid w:val="00905F90"/>
    <w:rsid w:val="00907E06"/>
    <w:rsid w:val="0091006C"/>
    <w:rsid w:val="00910192"/>
    <w:rsid w:val="0091054E"/>
    <w:rsid w:val="009107E0"/>
    <w:rsid w:val="009112BA"/>
    <w:rsid w:val="00911A5C"/>
    <w:rsid w:val="009131AC"/>
    <w:rsid w:val="00913CD0"/>
    <w:rsid w:val="00914934"/>
    <w:rsid w:val="00916030"/>
    <w:rsid w:val="00916450"/>
    <w:rsid w:val="0091675F"/>
    <w:rsid w:val="009172CA"/>
    <w:rsid w:val="00920B9B"/>
    <w:rsid w:val="00921573"/>
    <w:rsid w:val="00921684"/>
    <w:rsid w:val="00922D65"/>
    <w:rsid w:val="009230D6"/>
    <w:rsid w:val="00923DAF"/>
    <w:rsid w:val="00924EBF"/>
    <w:rsid w:val="00924F99"/>
    <w:rsid w:val="009251C2"/>
    <w:rsid w:val="00926B81"/>
    <w:rsid w:val="00926EAD"/>
    <w:rsid w:val="00926F5B"/>
    <w:rsid w:val="00927343"/>
    <w:rsid w:val="00927A27"/>
    <w:rsid w:val="009302D3"/>
    <w:rsid w:val="00930A23"/>
    <w:rsid w:val="0093276C"/>
    <w:rsid w:val="00932C82"/>
    <w:rsid w:val="00933E9D"/>
    <w:rsid w:val="009342C5"/>
    <w:rsid w:val="0093457E"/>
    <w:rsid w:val="00934BD6"/>
    <w:rsid w:val="009369C3"/>
    <w:rsid w:val="009371EE"/>
    <w:rsid w:val="00937742"/>
    <w:rsid w:val="00940875"/>
    <w:rsid w:val="00942A01"/>
    <w:rsid w:val="009435AB"/>
    <w:rsid w:val="009452FB"/>
    <w:rsid w:val="009462E4"/>
    <w:rsid w:val="00950FE2"/>
    <w:rsid w:val="00952AD3"/>
    <w:rsid w:val="00953256"/>
    <w:rsid w:val="00953473"/>
    <w:rsid w:val="0095451A"/>
    <w:rsid w:val="00954B07"/>
    <w:rsid w:val="00955393"/>
    <w:rsid w:val="009563A0"/>
    <w:rsid w:val="00957E42"/>
    <w:rsid w:val="009602B8"/>
    <w:rsid w:val="00960325"/>
    <w:rsid w:val="0096066B"/>
    <w:rsid w:val="009606CD"/>
    <w:rsid w:val="0096152C"/>
    <w:rsid w:val="009615E6"/>
    <w:rsid w:val="009624D7"/>
    <w:rsid w:val="00962810"/>
    <w:rsid w:val="00963813"/>
    <w:rsid w:val="00964BC5"/>
    <w:rsid w:val="00964F35"/>
    <w:rsid w:val="00965393"/>
    <w:rsid w:val="009664B8"/>
    <w:rsid w:val="00966EA0"/>
    <w:rsid w:val="00966F61"/>
    <w:rsid w:val="009702B9"/>
    <w:rsid w:val="0097097E"/>
    <w:rsid w:val="00970B9F"/>
    <w:rsid w:val="00971219"/>
    <w:rsid w:val="009714E4"/>
    <w:rsid w:val="009723DB"/>
    <w:rsid w:val="0097309B"/>
    <w:rsid w:val="00973E13"/>
    <w:rsid w:val="009741CE"/>
    <w:rsid w:val="009742EF"/>
    <w:rsid w:val="00976146"/>
    <w:rsid w:val="00977D1F"/>
    <w:rsid w:val="00977E39"/>
    <w:rsid w:val="0098018B"/>
    <w:rsid w:val="00981630"/>
    <w:rsid w:val="0098190F"/>
    <w:rsid w:val="009819BB"/>
    <w:rsid w:val="009822BD"/>
    <w:rsid w:val="009835A9"/>
    <w:rsid w:val="00986B33"/>
    <w:rsid w:val="00991FE1"/>
    <w:rsid w:val="009923E2"/>
    <w:rsid w:val="00992EF1"/>
    <w:rsid w:val="009949D8"/>
    <w:rsid w:val="00995400"/>
    <w:rsid w:val="00997180"/>
    <w:rsid w:val="009A0930"/>
    <w:rsid w:val="009A0B49"/>
    <w:rsid w:val="009A1755"/>
    <w:rsid w:val="009A1D6B"/>
    <w:rsid w:val="009A2F0C"/>
    <w:rsid w:val="009A3DC3"/>
    <w:rsid w:val="009A4747"/>
    <w:rsid w:val="009A6CA8"/>
    <w:rsid w:val="009B0A5C"/>
    <w:rsid w:val="009B2269"/>
    <w:rsid w:val="009B25B6"/>
    <w:rsid w:val="009B39E8"/>
    <w:rsid w:val="009B530E"/>
    <w:rsid w:val="009B63AE"/>
    <w:rsid w:val="009B63B9"/>
    <w:rsid w:val="009B6F4B"/>
    <w:rsid w:val="009B7791"/>
    <w:rsid w:val="009C0208"/>
    <w:rsid w:val="009C04CB"/>
    <w:rsid w:val="009C1423"/>
    <w:rsid w:val="009C4B20"/>
    <w:rsid w:val="009C4F2F"/>
    <w:rsid w:val="009C5385"/>
    <w:rsid w:val="009C56B9"/>
    <w:rsid w:val="009D20C9"/>
    <w:rsid w:val="009D30E1"/>
    <w:rsid w:val="009D3CD8"/>
    <w:rsid w:val="009D4E39"/>
    <w:rsid w:val="009D583C"/>
    <w:rsid w:val="009D5D94"/>
    <w:rsid w:val="009E1EBD"/>
    <w:rsid w:val="009E1FE6"/>
    <w:rsid w:val="009E2F5A"/>
    <w:rsid w:val="009E3ACA"/>
    <w:rsid w:val="009E4FD0"/>
    <w:rsid w:val="009E6795"/>
    <w:rsid w:val="009F0E6E"/>
    <w:rsid w:val="009F1C45"/>
    <w:rsid w:val="009F2171"/>
    <w:rsid w:val="009F3BBF"/>
    <w:rsid w:val="009F42B0"/>
    <w:rsid w:val="009F4965"/>
    <w:rsid w:val="009F4C8C"/>
    <w:rsid w:val="009F4DC3"/>
    <w:rsid w:val="009F5AEB"/>
    <w:rsid w:val="009F5DDE"/>
    <w:rsid w:val="009F5F94"/>
    <w:rsid w:val="009F6034"/>
    <w:rsid w:val="009F60DE"/>
    <w:rsid w:val="009F65F1"/>
    <w:rsid w:val="009F6DAD"/>
    <w:rsid w:val="00A03736"/>
    <w:rsid w:val="00A0630E"/>
    <w:rsid w:val="00A063E5"/>
    <w:rsid w:val="00A068EA"/>
    <w:rsid w:val="00A11326"/>
    <w:rsid w:val="00A132E1"/>
    <w:rsid w:val="00A15F01"/>
    <w:rsid w:val="00A1648E"/>
    <w:rsid w:val="00A16984"/>
    <w:rsid w:val="00A16E70"/>
    <w:rsid w:val="00A2153E"/>
    <w:rsid w:val="00A2262C"/>
    <w:rsid w:val="00A2343D"/>
    <w:rsid w:val="00A2479A"/>
    <w:rsid w:val="00A25282"/>
    <w:rsid w:val="00A25E9E"/>
    <w:rsid w:val="00A26543"/>
    <w:rsid w:val="00A27698"/>
    <w:rsid w:val="00A31DB5"/>
    <w:rsid w:val="00A32521"/>
    <w:rsid w:val="00A3436F"/>
    <w:rsid w:val="00A349F5"/>
    <w:rsid w:val="00A35296"/>
    <w:rsid w:val="00A3742F"/>
    <w:rsid w:val="00A4044D"/>
    <w:rsid w:val="00A406B0"/>
    <w:rsid w:val="00A41B53"/>
    <w:rsid w:val="00A42C0C"/>
    <w:rsid w:val="00A42D97"/>
    <w:rsid w:val="00A447F6"/>
    <w:rsid w:val="00A4491B"/>
    <w:rsid w:val="00A45391"/>
    <w:rsid w:val="00A45AF7"/>
    <w:rsid w:val="00A46BAA"/>
    <w:rsid w:val="00A46C2B"/>
    <w:rsid w:val="00A47127"/>
    <w:rsid w:val="00A5083F"/>
    <w:rsid w:val="00A5241A"/>
    <w:rsid w:val="00A53F2A"/>
    <w:rsid w:val="00A55C04"/>
    <w:rsid w:val="00A56068"/>
    <w:rsid w:val="00A57592"/>
    <w:rsid w:val="00A60D5B"/>
    <w:rsid w:val="00A612FF"/>
    <w:rsid w:val="00A61367"/>
    <w:rsid w:val="00A619F7"/>
    <w:rsid w:val="00A62E17"/>
    <w:rsid w:val="00A67DD2"/>
    <w:rsid w:val="00A70C26"/>
    <w:rsid w:val="00A70D05"/>
    <w:rsid w:val="00A716B1"/>
    <w:rsid w:val="00A734F7"/>
    <w:rsid w:val="00A736DE"/>
    <w:rsid w:val="00A7456E"/>
    <w:rsid w:val="00A7492B"/>
    <w:rsid w:val="00A7510C"/>
    <w:rsid w:val="00A765AE"/>
    <w:rsid w:val="00A76C8C"/>
    <w:rsid w:val="00A80030"/>
    <w:rsid w:val="00A80184"/>
    <w:rsid w:val="00A8078B"/>
    <w:rsid w:val="00A812C1"/>
    <w:rsid w:val="00A814DD"/>
    <w:rsid w:val="00A81EC1"/>
    <w:rsid w:val="00A82396"/>
    <w:rsid w:val="00A839F1"/>
    <w:rsid w:val="00A83CDC"/>
    <w:rsid w:val="00A83E9C"/>
    <w:rsid w:val="00A8482A"/>
    <w:rsid w:val="00A848B6"/>
    <w:rsid w:val="00A85510"/>
    <w:rsid w:val="00A859E2"/>
    <w:rsid w:val="00A85A51"/>
    <w:rsid w:val="00A86574"/>
    <w:rsid w:val="00A869EE"/>
    <w:rsid w:val="00A86D47"/>
    <w:rsid w:val="00A94053"/>
    <w:rsid w:val="00AA1218"/>
    <w:rsid w:val="00AA1850"/>
    <w:rsid w:val="00AA2118"/>
    <w:rsid w:val="00AA4684"/>
    <w:rsid w:val="00AA4EED"/>
    <w:rsid w:val="00AA5019"/>
    <w:rsid w:val="00AA5AA0"/>
    <w:rsid w:val="00AA5FA7"/>
    <w:rsid w:val="00AA6577"/>
    <w:rsid w:val="00AA7117"/>
    <w:rsid w:val="00AA7274"/>
    <w:rsid w:val="00AA748C"/>
    <w:rsid w:val="00AB0387"/>
    <w:rsid w:val="00AB0851"/>
    <w:rsid w:val="00AB0F3D"/>
    <w:rsid w:val="00AB1EAB"/>
    <w:rsid w:val="00AB2725"/>
    <w:rsid w:val="00AB27C7"/>
    <w:rsid w:val="00AB28DF"/>
    <w:rsid w:val="00AB2998"/>
    <w:rsid w:val="00AB4291"/>
    <w:rsid w:val="00AB77CC"/>
    <w:rsid w:val="00AC00F2"/>
    <w:rsid w:val="00AC01CF"/>
    <w:rsid w:val="00AC0878"/>
    <w:rsid w:val="00AC18C9"/>
    <w:rsid w:val="00AC2224"/>
    <w:rsid w:val="00AC2641"/>
    <w:rsid w:val="00AC3D9E"/>
    <w:rsid w:val="00AC3E94"/>
    <w:rsid w:val="00AC459D"/>
    <w:rsid w:val="00AC48BD"/>
    <w:rsid w:val="00AC52DE"/>
    <w:rsid w:val="00AC5AE8"/>
    <w:rsid w:val="00AD0791"/>
    <w:rsid w:val="00AD0D29"/>
    <w:rsid w:val="00AD13EE"/>
    <w:rsid w:val="00AD34F9"/>
    <w:rsid w:val="00AD39C7"/>
    <w:rsid w:val="00AD7C94"/>
    <w:rsid w:val="00AE11F5"/>
    <w:rsid w:val="00AE1A2D"/>
    <w:rsid w:val="00AE3648"/>
    <w:rsid w:val="00AE5240"/>
    <w:rsid w:val="00AE5255"/>
    <w:rsid w:val="00AE5C83"/>
    <w:rsid w:val="00AE60FE"/>
    <w:rsid w:val="00AE619A"/>
    <w:rsid w:val="00AE671F"/>
    <w:rsid w:val="00AF347C"/>
    <w:rsid w:val="00AF4EA5"/>
    <w:rsid w:val="00AF52A2"/>
    <w:rsid w:val="00AF5B59"/>
    <w:rsid w:val="00AF638E"/>
    <w:rsid w:val="00AF74D0"/>
    <w:rsid w:val="00AF7AD4"/>
    <w:rsid w:val="00B0015D"/>
    <w:rsid w:val="00B012BF"/>
    <w:rsid w:val="00B04DAC"/>
    <w:rsid w:val="00B05817"/>
    <w:rsid w:val="00B06358"/>
    <w:rsid w:val="00B10C42"/>
    <w:rsid w:val="00B11946"/>
    <w:rsid w:val="00B119AE"/>
    <w:rsid w:val="00B150AE"/>
    <w:rsid w:val="00B153F5"/>
    <w:rsid w:val="00B15594"/>
    <w:rsid w:val="00B166F7"/>
    <w:rsid w:val="00B208C8"/>
    <w:rsid w:val="00B21765"/>
    <w:rsid w:val="00B24EB6"/>
    <w:rsid w:val="00B255A8"/>
    <w:rsid w:val="00B258D1"/>
    <w:rsid w:val="00B30305"/>
    <w:rsid w:val="00B303DD"/>
    <w:rsid w:val="00B3067B"/>
    <w:rsid w:val="00B31272"/>
    <w:rsid w:val="00B31A3F"/>
    <w:rsid w:val="00B31B03"/>
    <w:rsid w:val="00B33129"/>
    <w:rsid w:val="00B339D8"/>
    <w:rsid w:val="00B33C6A"/>
    <w:rsid w:val="00B348FF"/>
    <w:rsid w:val="00B34BEF"/>
    <w:rsid w:val="00B353F5"/>
    <w:rsid w:val="00B363B3"/>
    <w:rsid w:val="00B36A23"/>
    <w:rsid w:val="00B36B3A"/>
    <w:rsid w:val="00B37B4E"/>
    <w:rsid w:val="00B42EE4"/>
    <w:rsid w:val="00B437E5"/>
    <w:rsid w:val="00B44ED7"/>
    <w:rsid w:val="00B458C9"/>
    <w:rsid w:val="00B472C8"/>
    <w:rsid w:val="00B4738F"/>
    <w:rsid w:val="00B500E9"/>
    <w:rsid w:val="00B5173B"/>
    <w:rsid w:val="00B52451"/>
    <w:rsid w:val="00B52CFB"/>
    <w:rsid w:val="00B5324E"/>
    <w:rsid w:val="00B533B7"/>
    <w:rsid w:val="00B5414D"/>
    <w:rsid w:val="00B5423C"/>
    <w:rsid w:val="00B54555"/>
    <w:rsid w:val="00B5511C"/>
    <w:rsid w:val="00B55327"/>
    <w:rsid w:val="00B554B4"/>
    <w:rsid w:val="00B5567E"/>
    <w:rsid w:val="00B55686"/>
    <w:rsid w:val="00B560A7"/>
    <w:rsid w:val="00B60B21"/>
    <w:rsid w:val="00B6109E"/>
    <w:rsid w:val="00B63E4D"/>
    <w:rsid w:val="00B63F49"/>
    <w:rsid w:val="00B63F7A"/>
    <w:rsid w:val="00B6530C"/>
    <w:rsid w:val="00B66DB7"/>
    <w:rsid w:val="00B738D4"/>
    <w:rsid w:val="00B73A9E"/>
    <w:rsid w:val="00B80BCA"/>
    <w:rsid w:val="00B80C18"/>
    <w:rsid w:val="00B80E1E"/>
    <w:rsid w:val="00B8111E"/>
    <w:rsid w:val="00B81731"/>
    <w:rsid w:val="00B81FFF"/>
    <w:rsid w:val="00B822AF"/>
    <w:rsid w:val="00B82CA2"/>
    <w:rsid w:val="00B837CA"/>
    <w:rsid w:val="00B83A8D"/>
    <w:rsid w:val="00B83D7B"/>
    <w:rsid w:val="00B83F05"/>
    <w:rsid w:val="00B84E10"/>
    <w:rsid w:val="00B850EE"/>
    <w:rsid w:val="00B85411"/>
    <w:rsid w:val="00B860B0"/>
    <w:rsid w:val="00B864E8"/>
    <w:rsid w:val="00B876D9"/>
    <w:rsid w:val="00B90AD2"/>
    <w:rsid w:val="00B90DB8"/>
    <w:rsid w:val="00B91074"/>
    <w:rsid w:val="00B925C7"/>
    <w:rsid w:val="00B9314E"/>
    <w:rsid w:val="00B933AF"/>
    <w:rsid w:val="00B93ABF"/>
    <w:rsid w:val="00B93E3D"/>
    <w:rsid w:val="00B940B3"/>
    <w:rsid w:val="00B94246"/>
    <w:rsid w:val="00B9490C"/>
    <w:rsid w:val="00B94C64"/>
    <w:rsid w:val="00B95037"/>
    <w:rsid w:val="00B95AD3"/>
    <w:rsid w:val="00B9674E"/>
    <w:rsid w:val="00B970F9"/>
    <w:rsid w:val="00B97BF8"/>
    <w:rsid w:val="00BA09AF"/>
    <w:rsid w:val="00BA1D1C"/>
    <w:rsid w:val="00BA3823"/>
    <w:rsid w:val="00BA5930"/>
    <w:rsid w:val="00BA5B5F"/>
    <w:rsid w:val="00BA5D39"/>
    <w:rsid w:val="00BA6E29"/>
    <w:rsid w:val="00BA7090"/>
    <w:rsid w:val="00BB11DE"/>
    <w:rsid w:val="00BB158D"/>
    <w:rsid w:val="00BB21CC"/>
    <w:rsid w:val="00BB2E3D"/>
    <w:rsid w:val="00BB3941"/>
    <w:rsid w:val="00BB3A64"/>
    <w:rsid w:val="00BB55C4"/>
    <w:rsid w:val="00BB5AB0"/>
    <w:rsid w:val="00BB5B34"/>
    <w:rsid w:val="00BB5CC1"/>
    <w:rsid w:val="00BC06E6"/>
    <w:rsid w:val="00BC0B6B"/>
    <w:rsid w:val="00BC17B9"/>
    <w:rsid w:val="00BC189B"/>
    <w:rsid w:val="00BC21B7"/>
    <w:rsid w:val="00BC34CE"/>
    <w:rsid w:val="00BC4B6A"/>
    <w:rsid w:val="00BC6635"/>
    <w:rsid w:val="00BD08A9"/>
    <w:rsid w:val="00BD0AB4"/>
    <w:rsid w:val="00BD0EF7"/>
    <w:rsid w:val="00BD162A"/>
    <w:rsid w:val="00BD195F"/>
    <w:rsid w:val="00BD1D8E"/>
    <w:rsid w:val="00BD20AA"/>
    <w:rsid w:val="00BD24A7"/>
    <w:rsid w:val="00BD4EF4"/>
    <w:rsid w:val="00BD6618"/>
    <w:rsid w:val="00BD6A86"/>
    <w:rsid w:val="00BD732D"/>
    <w:rsid w:val="00BD77BD"/>
    <w:rsid w:val="00BE234F"/>
    <w:rsid w:val="00BE2919"/>
    <w:rsid w:val="00BE2F29"/>
    <w:rsid w:val="00BE39F2"/>
    <w:rsid w:val="00BE3D3F"/>
    <w:rsid w:val="00BE4B38"/>
    <w:rsid w:val="00BE5782"/>
    <w:rsid w:val="00BE66DC"/>
    <w:rsid w:val="00BE7BF1"/>
    <w:rsid w:val="00BF0598"/>
    <w:rsid w:val="00BF11AD"/>
    <w:rsid w:val="00BF1511"/>
    <w:rsid w:val="00BF38AD"/>
    <w:rsid w:val="00BF731E"/>
    <w:rsid w:val="00BF7C5E"/>
    <w:rsid w:val="00BF7EE2"/>
    <w:rsid w:val="00BF7F92"/>
    <w:rsid w:val="00C01235"/>
    <w:rsid w:val="00C0145B"/>
    <w:rsid w:val="00C02470"/>
    <w:rsid w:val="00C02BDC"/>
    <w:rsid w:val="00C02C35"/>
    <w:rsid w:val="00C0300F"/>
    <w:rsid w:val="00C041C4"/>
    <w:rsid w:val="00C0456D"/>
    <w:rsid w:val="00C05164"/>
    <w:rsid w:val="00C07CDD"/>
    <w:rsid w:val="00C11483"/>
    <w:rsid w:val="00C11C6F"/>
    <w:rsid w:val="00C12246"/>
    <w:rsid w:val="00C125C3"/>
    <w:rsid w:val="00C134E0"/>
    <w:rsid w:val="00C15287"/>
    <w:rsid w:val="00C1714F"/>
    <w:rsid w:val="00C202FD"/>
    <w:rsid w:val="00C20EA9"/>
    <w:rsid w:val="00C23A88"/>
    <w:rsid w:val="00C23E16"/>
    <w:rsid w:val="00C252F8"/>
    <w:rsid w:val="00C25488"/>
    <w:rsid w:val="00C273A5"/>
    <w:rsid w:val="00C27BF9"/>
    <w:rsid w:val="00C27F2D"/>
    <w:rsid w:val="00C34C34"/>
    <w:rsid w:val="00C34D82"/>
    <w:rsid w:val="00C35BAE"/>
    <w:rsid w:val="00C37B6A"/>
    <w:rsid w:val="00C37C7B"/>
    <w:rsid w:val="00C42770"/>
    <w:rsid w:val="00C44AEC"/>
    <w:rsid w:val="00C46345"/>
    <w:rsid w:val="00C463D0"/>
    <w:rsid w:val="00C469AE"/>
    <w:rsid w:val="00C46D10"/>
    <w:rsid w:val="00C50080"/>
    <w:rsid w:val="00C51944"/>
    <w:rsid w:val="00C51AF7"/>
    <w:rsid w:val="00C52561"/>
    <w:rsid w:val="00C5540C"/>
    <w:rsid w:val="00C5672D"/>
    <w:rsid w:val="00C609BC"/>
    <w:rsid w:val="00C62192"/>
    <w:rsid w:val="00C630BF"/>
    <w:rsid w:val="00C63659"/>
    <w:rsid w:val="00C663D8"/>
    <w:rsid w:val="00C66C5D"/>
    <w:rsid w:val="00C70460"/>
    <w:rsid w:val="00C746BF"/>
    <w:rsid w:val="00C75003"/>
    <w:rsid w:val="00C751E9"/>
    <w:rsid w:val="00C7613C"/>
    <w:rsid w:val="00C80A14"/>
    <w:rsid w:val="00C820B1"/>
    <w:rsid w:val="00C83EAB"/>
    <w:rsid w:val="00C85021"/>
    <w:rsid w:val="00C85912"/>
    <w:rsid w:val="00C86BAC"/>
    <w:rsid w:val="00C87EC7"/>
    <w:rsid w:val="00C90725"/>
    <w:rsid w:val="00C9109B"/>
    <w:rsid w:val="00C91539"/>
    <w:rsid w:val="00C93692"/>
    <w:rsid w:val="00C93A3B"/>
    <w:rsid w:val="00C954E3"/>
    <w:rsid w:val="00C958F6"/>
    <w:rsid w:val="00C965B4"/>
    <w:rsid w:val="00C9767B"/>
    <w:rsid w:val="00C97D6E"/>
    <w:rsid w:val="00C97EE3"/>
    <w:rsid w:val="00CA0D48"/>
    <w:rsid w:val="00CA1D8D"/>
    <w:rsid w:val="00CA41E2"/>
    <w:rsid w:val="00CA4420"/>
    <w:rsid w:val="00CA7870"/>
    <w:rsid w:val="00CB1805"/>
    <w:rsid w:val="00CB195B"/>
    <w:rsid w:val="00CB3000"/>
    <w:rsid w:val="00CB3691"/>
    <w:rsid w:val="00CB39E8"/>
    <w:rsid w:val="00CB40DE"/>
    <w:rsid w:val="00CB4D6F"/>
    <w:rsid w:val="00CB5133"/>
    <w:rsid w:val="00CB7D25"/>
    <w:rsid w:val="00CC1208"/>
    <w:rsid w:val="00CC38A2"/>
    <w:rsid w:val="00CC4D09"/>
    <w:rsid w:val="00CC50CC"/>
    <w:rsid w:val="00CC57DA"/>
    <w:rsid w:val="00CC6380"/>
    <w:rsid w:val="00CC7123"/>
    <w:rsid w:val="00CC71BC"/>
    <w:rsid w:val="00CC7263"/>
    <w:rsid w:val="00CD01C8"/>
    <w:rsid w:val="00CD0E89"/>
    <w:rsid w:val="00CD137D"/>
    <w:rsid w:val="00CD3267"/>
    <w:rsid w:val="00CD3299"/>
    <w:rsid w:val="00CD47FB"/>
    <w:rsid w:val="00CD49BA"/>
    <w:rsid w:val="00CD5A39"/>
    <w:rsid w:val="00CD5D8A"/>
    <w:rsid w:val="00CD5E6D"/>
    <w:rsid w:val="00CD5F1C"/>
    <w:rsid w:val="00CD6A9D"/>
    <w:rsid w:val="00CE061F"/>
    <w:rsid w:val="00CE1785"/>
    <w:rsid w:val="00CE3464"/>
    <w:rsid w:val="00CE3A91"/>
    <w:rsid w:val="00CE6F6D"/>
    <w:rsid w:val="00CE7F84"/>
    <w:rsid w:val="00CF6116"/>
    <w:rsid w:val="00CF7EF0"/>
    <w:rsid w:val="00D00EB1"/>
    <w:rsid w:val="00D01CFA"/>
    <w:rsid w:val="00D030FC"/>
    <w:rsid w:val="00D03438"/>
    <w:rsid w:val="00D0493E"/>
    <w:rsid w:val="00D04CCF"/>
    <w:rsid w:val="00D06FA0"/>
    <w:rsid w:val="00D070F4"/>
    <w:rsid w:val="00D077EE"/>
    <w:rsid w:val="00D110D2"/>
    <w:rsid w:val="00D1174F"/>
    <w:rsid w:val="00D1243E"/>
    <w:rsid w:val="00D13195"/>
    <w:rsid w:val="00D14A3F"/>
    <w:rsid w:val="00D1595D"/>
    <w:rsid w:val="00D15BDF"/>
    <w:rsid w:val="00D1715F"/>
    <w:rsid w:val="00D20155"/>
    <w:rsid w:val="00D20BDF"/>
    <w:rsid w:val="00D217F5"/>
    <w:rsid w:val="00D21BC1"/>
    <w:rsid w:val="00D22280"/>
    <w:rsid w:val="00D227DB"/>
    <w:rsid w:val="00D22E98"/>
    <w:rsid w:val="00D23BE1"/>
    <w:rsid w:val="00D23EEB"/>
    <w:rsid w:val="00D2533A"/>
    <w:rsid w:val="00D25D63"/>
    <w:rsid w:val="00D263DC"/>
    <w:rsid w:val="00D276AD"/>
    <w:rsid w:val="00D27B28"/>
    <w:rsid w:val="00D30480"/>
    <w:rsid w:val="00D32279"/>
    <w:rsid w:val="00D32C46"/>
    <w:rsid w:val="00D33488"/>
    <w:rsid w:val="00D36159"/>
    <w:rsid w:val="00D3797D"/>
    <w:rsid w:val="00D4129E"/>
    <w:rsid w:val="00D4304F"/>
    <w:rsid w:val="00D450E3"/>
    <w:rsid w:val="00D46371"/>
    <w:rsid w:val="00D46BE7"/>
    <w:rsid w:val="00D51C98"/>
    <w:rsid w:val="00D51DD4"/>
    <w:rsid w:val="00D53C53"/>
    <w:rsid w:val="00D5461D"/>
    <w:rsid w:val="00D55C6C"/>
    <w:rsid w:val="00D56113"/>
    <w:rsid w:val="00D572FA"/>
    <w:rsid w:val="00D579A2"/>
    <w:rsid w:val="00D631EF"/>
    <w:rsid w:val="00D65899"/>
    <w:rsid w:val="00D65916"/>
    <w:rsid w:val="00D65E83"/>
    <w:rsid w:val="00D664F8"/>
    <w:rsid w:val="00D73FBF"/>
    <w:rsid w:val="00D75D2B"/>
    <w:rsid w:val="00D81B7E"/>
    <w:rsid w:val="00D826E3"/>
    <w:rsid w:val="00D84914"/>
    <w:rsid w:val="00D85768"/>
    <w:rsid w:val="00D85862"/>
    <w:rsid w:val="00D86237"/>
    <w:rsid w:val="00D86B24"/>
    <w:rsid w:val="00D86F86"/>
    <w:rsid w:val="00D87103"/>
    <w:rsid w:val="00D9244B"/>
    <w:rsid w:val="00D94A41"/>
    <w:rsid w:val="00D950C7"/>
    <w:rsid w:val="00DA1A98"/>
    <w:rsid w:val="00DA1CF7"/>
    <w:rsid w:val="00DA393F"/>
    <w:rsid w:val="00DA3A2F"/>
    <w:rsid w:val="00DA3F53"/>
    <w:rsid w:val="00DA4F75"/>
    <w:rsid w:val="00DA5A20"/>
    <w:rsid w:val="00DA67E7"/>
    <w:rsid w:val="00DA6C23"/>
    <w:rsid w:val="00DA70CD"/>
    <w:rsid w:val="00DA782C"/>
    <w:rsid w:val="00DA7C62"/>
    <w:rsid w:val="00DB03E1"/>
    <w:rsid w:val="00DB0455"/>
    <w:rsid w:val="00DB089F"/>
    <w:rsid w:val="00DB0A5C"/>
    <w:rsid w:val="00DB256B"/>
    <w:rsid w:val="00DB28B4"/>
    <w:rsid w:val="00DB2A23"/>
    <w:rsid w:val="00DB373B"/>
    <w:rsid w:val="00DB3851"/>
    <w:rsid w:val="00DB457A"/>
    <w:rsid w:val="00DB47ED"/>
    <w:rsid w:val="00DB5107"/>
    <w:rsid w:val="00DB5171"/>
    <w:rsid w:val="00DB517B"/>
    <w:rsid w:val="00DB5496"/>
    <w:rsid w:val="00DB5A84"/>
    <w:rsid w:val="00DC11BE"/>
    <w:rsid w:val="00DC14E8"/>
    <w:rsid w:val="00DC21D9"/>
    <w:rsid w:val="00DC3EB0"/>
    <w:rsid w:val="00DC4AA3"/>
    <w:rsid w:val="00DC51C6"/>
    <w:rsid w:val="00DC7463"/>
    <w:rsid w:val="00DD1FBF"/>
    <w:rsid w:val="00DD5473"/>
    <w:rsid w:val="00DD6949"/>
    <w:rsid w:val="00DD7318"/>
    <w:rsid w:val="00DD773B"/>
    <w:rsid w:val="00DE0082"/>
    <w:rsid w:val="00DE1438"/>
    <w:rsid w:val="00DE1B4A"/>
    <w:rsid w:val="00DE1F7D"/>
    <w:rsid w:val="00DE21AA"/>
    <w:rsid w:val="00DE2B15"/>
    <w:rsid w:val="00DE2CE1"/>
    <w:rsid w:val="00DE31FA"/>
    <w:rsid w:val="00DE6D46"/>
    <w:rsid w:val="00DE6DA2"/>
    <w:rsid w:val="00DE729D"/>
    <w:rsid w:val="00DF0BBD"/>
    <w:rsid w:val="00DF213A"/>
    <w:rsid w:val="00DF380D"/>
    <w:rsid w:val="00DF3C30"/>
    <w:rsid w:val="00DF3F2F"/>
    <w:rsid w:val="00DF422E"/>
    <w:rsid w:val="00DF57C8"/>
    <w:rsid w:val="00DF580E"/>
    <w:rsid w:val="00DF5D49"/>
    <w:rsid w:val="00DF6770"/>
    <w:rsid w:val="00DF6A93"/>
    <w:rsid w:val="00DF7423"/>
    <w:rsid w:val="00E005F1"/>
    <w:rsid w:val="00E0090F"/>
    <w:rsid w:val="00E00F34"/>
    <w:rsid w:val="00E02481"/>
    <w:rsid w:val="00E030BA"/>
    <w:rsid w:val="00E047CE"/>
    <w:rsid w:val="00E05F7B"/>
    <w:rsid w:val="00E06CEC"/>
    <w:rsid w:val="00E077BF"/>
    <w:rsid w:val="00E101E7"/>
    <w:rsid w:val="00E1079D"/>
    <w:rsid w:val="00E11E6C"/>
    <w:rsid w:val="00E13DD0"/>
    <w:rsid w:val="00E16495"/>
    <w:rsid w:val="00E1669E"/>
    <w:rsid w:val="00E20142"/>
    <w:rsid w:val="00E221C7"/>
    <w:rsid w:val="00E234D5"/>
    <w:rsid w:val="00E253F7"/>
    <w:rsid w:val="00E25D01"/>
    <w:rsid w:val="00E335F6"/>
    <w:rsid w:val="00E33D55"/>
    <w:rsid w:val="00E35366"/>
    <w:rsid w:val="00E36A66"/>
    <w:rsid w:val="00E36DEE"/>
    <w:rsid w:val="00E37842"/>
    <w:rsid w:val="00E400C9"/>
    <w:rsid w:val="00E4031D"/>
    <w:rsid w:val="00E40BD9"/>
    <w:rsid w:val="00E41140"/>
    <w:rsid w:val="00E428D1"/>
    <w:rsid w:val="00E4606B"/>
    <w:rsid w:val="00E50718"/>
    <w:rsid w:val="00E50F53"/>
    <w:rsid w:val="00E5252D"/>
    <w:rsid w:val="00E548FA"/>
    <w:rsid w:val="00E55909"/>
    <w:rsid w:val="00E568D6"/>
    <w:rsid w:val="00E56D1F"/>
    <w:rsid w:val="00E61C80"/>
    <w:rsid w:val="00E62058"/>
    <w:rsid w:val="00E6220B"/>
    <w:rsid w:val="00E62AF1"/>
    <w:rsid w:val="00E639AE"/>
    <w:rsid w:val="00E6491D"/>
    <w:rsid w:val="00E6723A"/>
    <w:rsid w:val="00E67C7A"/>
    <w:rsid w:val="00E7008C"/>
    <w:rsid w:val="00E71F14"/>
    <w:rsid w:val="00E7205E"/>
    <w:rsid w:val="00E74442"/>
    <w:rsid w:val="00E75CA6"/>
    <w:rsid w:val="00E768FE"/>
    <w:rsid w:val="00E8083A"/>
    <w:rsid w:val="00E80C24"/>
    <w:rsid w:val="00E81590"/>
    <w:rsid w:val="00E816BF"/>
    <w:rsid w:val="00E81F46"/>
    <w:rsid w:val="00E82487"/>
    <w:rsid w:val="00E827F9"/>
    <w:rsid w:val="00E82E21"/>
    <w:rsid w:val="00E845AA"/>
    <w:rsid w:val="00E854A3"/>
    <w:rsid w:val="00E8736E"/>
    <w:rsid w:val="00E874A4"/>
    <w:rsid w:val="00E90671"/>
    <w:rsid w:val="00E91B1A"/>
    <w:rsid w:val="00E9233B"/>
    <w:rsid w:val="00E92FA9"/>
    <w:rsid w:val="00E931F1"/>
    <w:rsid w:val="00E9354B"/>
    <w:rsid w:val="00E957F1"/>
    <w:rsid w:val="00E964ED"/>
    <w:rsid w:val="00E97DB4"/>
    <w:rsid w:val="00EA063C"/>
    <w:rsid w:val="00EA14A1"/>
    <w:rsid w:val="00EA3A7B"/>
    <w:rsid w:val="00EA3C9D"/>
    <w:rsid w:val="00EA46BF"/>
    <w:rsid w:val="00EA5095"/>
    <w:rsid w:val="00EA5ADA"/>
    <w:rsid w:val="00EA5CD1"/>
    <w:rsid w:val="00EA69AA"/>
    <w:rsid w:val="00EA6EE5"/>
    <w:rsid w:val="00EA7718"/>
    <w:rsid w:val="00EA7C9F"/>
    <w:rsid w:val="00EB0498"/>
    <w:rsid w:val="00EB0530"/>
    <w:rsid w:val="00EB1759"/>
    <w:rsid w:val="00EB2228"/>
    <w:rsid w:val="00EB2B9B"/>
    <w:rsid w:val="00EB2C58"/>
    <w:rsid w:val="00EB31C8"/>
    <w:rsid w:val="00EB463F"/>
    <w:rsid w:val="00EB4F3A"/>
    <w:rsid w:val="00EB59C3"/>
    <w:rsid w:val="00EB7664"/>
    <w:rsid w:val="00EC07D4"/>
    <w:rsid w:val="00EC15FB"/>
    <w:rsid w:val="00EC2772"/>
    <w:rsid w:val="00EC2AEB"/>
    <w:rsid w:val="00EC4491"/>
    <w:rsid w:val="00ED044A"/>
    <w:rsid w:val="00ED1036"/>
    <w:rsid w:val="00ED2FE9"/>
    <w:rsid w:val="00ED4C2D"/>
    <w:rsid w:val="00ED4D6C"/>
    <w:rsid w:val="00ED65E0"/>
    <w:rsid w:val="00ED6AA6"/>
    <w:rsid w:val="00ED7008"/>
    <w:rsid w:val="00ED781E"/>
    <w:rsid w:val="00EE197D"/>
    <w:rsid w:val="00EE2495"/>
    <w:rsid w:val="00EE2B31"/>
    <w:rsid w:val="00EE2DDC"/>
    <w:rsid w:val="00EE576E"/>
    <w:rsid w:val="00EE596F"/>
    <w:rsid w:val="00EE60B1"/>
    <w:rsid w:val="00EE7D11"/>
    <w:rsid w:val="00EF2179"/>
    <w:rsid w:val="00EF3BF9"/>
    <w:rsid w:val="00EF5A49"/>
    <w:rsid w:val="00EF706A"/>
    <w:rsid w:val="00EF7735"/>
    <w:rsid w:val="00F00350"/>
    <w:rsid w:val="00F007C6"/>
    <w:rsid w:val="00F01A9B"/>
    <w:rsid w:val="00F02F51"/>
    <w:rsid w:val="00F02FF5"/>
    <w:rsid w:val="00F037B6"/>
    <w:rsid w:val="00F04F93"/>
    <w:rsid w:val="00F054C6"/>
    <w:rsid w:val="00F056E3"/>
    <w:rsid w:val="00F06030"/>
    <w:rsid w:val="00F10B21"/>
    <w:rsid w:val="00F1251F"/>
    <w:rsid w:val="00F127A7"/>
    <w:rsid w:val="00F12908"/>
    <w:rsid w:val="00F16B86"/>
    <w:rsid w:val="00F16F0A"/>
    <w:rsid w:val="00F17098"/>
    <w:rsid w:val="00F17BDC"/>
    <w:rsid w:val="00F21169"/>
    <w:rsid w:val="00F21E15"/>
    <w:rsid w:val="00F225F0"/>
    <w:rsid w:val="00F245B8"/>
    <w:rsid w:val="00F27098"/>
    <w:rsid w:val="00F33B33"/>
    <w:rsid w:val="00F340FF"/>
    <w:rsid w:val="00F342C1"/>
    <w:rsid w:val="00F345CC"/>
    <w:rsid w:val="00F36D95"/>
    <w:rsid w:val="00F37C4F"/>
    <w:rsid w:val="00F4024B"/>
    <w:rsid w:val="00F40F78"/>
    <w:rsid w:val="00F41080"/>
    <w:rsid w:val="00F41594"/>
    <w:rsid w:val="00F41816"/>
    <w:rsid w:val="00F41D04"/>
    <w:rsid w:val="00F41F81"/>
    <w:rsid w:val="00F41FBB"/>
    <w:rsid w:val="00F43E76"/>
    <w:rsid w:val="00F43F4A"/>
    <w:rsid w:val="00F4553F"/>
    <w:rsid w:val="00F47F07"/>
    <w:rsid w:val="00F5083F"/>
    <w:rsid w:val="00F51B50"/>
    <w:rsid w:val="00F51F05"/>
    <w:rsid w:val="00F5302B"/>
    <w:rsid w:val="00F5371A"/>
    <w:rsid w:val="00F54243"/>
    <w:rsid w:val="00F549AA"/>
    <w:rsid w:val="00F55F39"/>
    <w:rsid w:val="00F57652"/>
    <w:rsid w:val="00F57CE8"/>
    <w:rsid w:val="00F57F72"/>
    <w:rsid w:val="00F609BE"/>
    <w:rsid w:val="00F60A59"/>
    <w:rsid w:val="00F60ED8"/>
    <w:rsid w:val="00F62508"/>
    <w:rsid w:val="00F62FD1"/>
    <w:rsid w:val="00F63981"/>
    <w:rsid w:val="00F63C0E"/>
    <w:rsid w:val="00F66AE0"/>
    <w:rsid w:val="00F71AF6"/>
    <w:rsid w:val="00F720E0"/>
    <w:rsid w:val="00F733B6"/>
    <w:rsid w:val="00F73944"/>
    <w:rsid w:val="00F743B5"/>
    <w:rsid w:val="00F74BAA"/>
    <w:rsid w:val="00F74E4E"/>
    <w:rsid w:val="00F758F5"/>
    <w:rsid w:val="00F75AB6"/>
    <w:rsid w:val="00F763DB"/>
    <w:rsid w:val="00F7675F"/>
    <w:rsid w:val="00F77434"/>
    <w:rsid w:val="00F8057C"/>
    <w:rsid w:val="00F805BB"/>
    <w:rsid w:val="00F81474"/>
    <w:rsid w:val="00F81585"/>
    <w:rsid w:val="00F82FF5"/>
    <w:rsid w:val="00F84781"/>
    <w:rsid w:val="00F8549D"/>
    <w:rsid w:val="00F865F7"/>
    <w:rsid w:val="00F86F90"/>
    <w:rsid w:val="00F8761A"/>
    <w:rsid w:val="00F878A1"/>
    <w:rsid w:val="00F87A36"/>
    <w:rsid w:val="00F90972"/>
    <w:rsid w:val="00F9140B"/>
    <w:rsid w:val="00F91D0F"/>
    <w:rsid w:val="00F92090"/>
    <w:rsid w:val="00F9331D"/>
    <w:rsid w:val="00F9351C"/>
    <w:rsid w:val="00F938B3"/>
    <w:rsid w:val="00F939DA"/>
    <w:rsid w:val="00F93FD3"/>
    <w:rsid w:val="00FA0209"/>
    <w:rsid w:val="00FA08D1"/>
    <w:rsid w:val="00FA10D3"/>
    <w:rsid w:val="00FA1F14"/>
    <w:rsid w:val="00FA3810"/>
    <w:rsid w:val="00FA7E4A"/>
    <w:rsid w:val="00FB095E"/>
    <w:rsid w:val="00FB0C3B"/>
    <w:rsid w:val="00FB14CF"/>
    <w:rsid w:val="00FB29BC"/>
    <w:rsid w:val="00FB3840"/>
    <w:rsid w:val="00FB3D34"/>
    <w:rsid w:val="00FB41BB"/>
    <w:rsid w:val="00FB4910"/>
    <w:rsid w:val="00FB49D7"/>
    <w:rsid w:val="00FB4D88"/>
    <w:rsid w:val="00FC131C"/>
    <w:rsid w:val="00FC23D4"/>
    <w:rsid w:val="00FC3075"/>
    <w:rsid w:val="00FC4931"/>
    <w:rsid w:val="00FC61CC"/>
    <w:rsid w:val="00FC6F24"/>
    <w:rsid w:val="00FD070D"/>
    <w:rsid w:val="00FD0C60"/>
    <w:rsid w:val="00FD0D8E"/>
    <w:rsid w:val="00FD1E9A"/>
    <w:rsid w:val="00FD299F"/>
    <w:rsid w:val="00FD4536"/>
    <w:rsid w:val="00FD5532"/>
    <w:rsid w:val="00FD787A"/>
    <w:rsid w:val="00FE3E23"/>
    <w:rsid w:val="00FE3EA5"/>
    <w:rsid w:val="00FE4FF0"/>
    <w:rsid w:val="00FE5DA4"/>
    <w:rsid w:val="00FE7043"/>
    <w:rsid w:val="00FE7958"/>
    <w:rsid w:val="00FF0637"/>
    <w:rsid w:val="00FF16E5"/>
    <w:rsid w:val="00FF20D1"/>
    <w:rsid w:val="00FF2640"/>
    <w:rsid w:val="00FF3666"/>
    <w:rsid w:val="00FF3FF1"/>
    <w:rsid w:val="04EF15C2"/>
    <w:rsid w:val="13321AF3"/>
    <w:rsid w:val="1C0445AD"/>
    <w:rsid w:val="2C4B4770"/>
    <w:rsid w:val="3DC538CB"/>
    <w:rsid w:val="4F94597F"/>
    <w:rsid w:val="57C04DDC"/>
    <w:rsid w:val="7438445B"/>
    <w:rsid w:val="773E4DB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qFormat="1" w:uiPriority="0" w:semiHidden="0" w:name="annotation subject"/>
    <w:lsdException w:qFormat="1" w:unhideWhenUsed="0" w:uiPriority="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qFormat="1" w:uiPriority="0" w:semiHidden="0"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line="360" w:lineRule="auto"/>
      <w:ind w:firstLine="200" w:firstLineChars="200"/>
    </w:pPr>
    <w:rPr>
      <w:rFonts w:ascii="Times New Roman" w:hAnsi="Times New Roman" w:eastAsia="宋体" w:cs="Times New Roman"/>
      <w:sz w:val="24"/>
      <w:szCs w:val="24"/>
      <w:lang w:val="en-US" w:eastAsia="zh-CN" w:bidi="ar-SA"/>
    </w:rPr>
  </w:style>
  <w:style w:type="paragraph" w:styleId="2">
    <w:name w:val="heading 1"/>
    <w:basedOn w:val="1"/>
    <w:next w:val="1"/>
    <w:link w:val="101"/>
    <w:qFormat/>
    <w:uiPriority w:val="0"/>
    <w:pPr>
      <w:numPr>
        <w:ilvl w:val="0"/>
        <w:numId w:val="1"/>
      </w:numPr>
      <w:ind w:firstLineChars="0"/>
      <w:jc w:val="center"/>
      <w:outlineLvl w:val="0"/>
    </w:pPr>
    <w:rPr>
      <w:rFonts w:ascii="黑体" w:eastAsia="黑体" w:cs="黑体"/>
      <w:sz w:val="32"/>
      <w:szCs w:val="32"/>
    </w:rPr>
  </w:style>
  <w:style w:type="paragraph" w:styleId="3">
    <w:name w:val="heading 2"/>
    <w:basedOn w:val="1"/>
    <w:next w:val="1"/>
    <w:link w:val="102"/>
    <w:qFormat/>
    <w:uiPriority w:val="0"/>
    <w:pPr>
      <w:numPr>
        <w:ilvl w:val="1"/>
        <w:numId w:val="1"/>
      </w:numPr>
      <w:ind w:firstLineChars="0"/>
      <w:outlineLvl w:val="1"/>
    </w:pPr>
    <w:rPr>
      <w:rFonts w:ascii="黑体" w:eastAsia="黑体" w:cs="黑体"/>
      <w:sz w:val="30"/>
      <w:szCs w:val="30"/>
    </w:rPr>
  </w:style>
  <w:style w:type="paragraph" w:styleId="4">
    <w:name w:val="heading 3"/>
    <w:basedOn w:val="1"/>
    <w:next w:val="1"/>
    <w:link w:val="103"/>
    <w:qFormat/>
    <w:uiPriority w:val="99"/>
    <w:pPr>
      <w:numPr>
        <w:ilvl w:val="2"/>
        <w:numId w:val="1"/>
      </w:numPr>
      <w:ind w:firstLineChars="0"/>
      <w:outlineLvl w:val="2"/>
    </w:pPr>
    <w:rPr>
      <w:rFonts w:ascii="黑体" w:eastAsia="黑体" w:cs="黑体"/>
      <w:sz w:val="28"/>
      <w:szCs w:val="28"/>
    </w:rPr>
  </w:style>
  <w:style w:type="paragraph" w:styleId="5">
    <w:name w:val="heading 4"/>
    <w:basedOn w:val="1"/>
    <w:next w:val="1"/>
    <w:link w:val="104"/>
    <w:qFormat/>
    <w:uiPriority w:val="0"/>
    <w:pPr>
      <w:numPr>
        <w:ilvl w:val="3"/>
        <w:numId w:val="1"/>
      </w:numPr>
      <w:ind w:firstLineChars="0"/>
      <w:outlineLvl w:val="3"/>
    </w:pPr>
    <w:rPr>
      <w:rFonts w:ascii="黑体" w:hAnsi="黑体" w:eastAsia="黑体"/>
      <w:szCs w:val="27"/>
    </w:rPr>
  </w:style>
  <w:style w:type="paragraph" w:styleId="6">
    <w:name w:val="heading 5"/>
    <w:basedOn w:val="1"/>
    <w:next w:val="1"/>
    <w:link w:val="105"/>
    <w:qFormat/>
    <w:uiPriority w:val="0"/>
    <w:pPr>
      <w:spacing w:before="36"/>
      <w:ind w:left="630"/>
      <w:outlineLvl w:val="4"/>
    </w:pPr>
    <w:rPr>
      <w:rFonts w:ascii="宋体" w:cs="宋体"/>
      <w:b/>
      <w:bCs/>
    </w:rPr>
  </w:style>
  <w:style w:type="paragraph" w:styleId="7">
    <w:name w:val="heading 6"/>
    <w:basedOn w:val="1"/>
    <w:next w:val="1"/>
    <w:link w:val="110"/>
    <w:unhideWhenUsed/>
    <w:qFormat/>
    <w:uiPriority w:val="0"/>
    <w:pPr>
      <w:keepLines/>
      <w:numPr>
        <w:ilvl w:val="5"/>
        <w:numId w:val="1"/>
      </w:numPr>
      <w:ind w:firstLineChars="0"/>
      <w:jc w:val="center"/>
      <w:outlineLvl w:val="5"/>
    </w:pPr>
    <w:rPr>
      <w:rFonts w:eastAsia="黑体" w:asciiTheme="majorHAnsi" w:hAnsiTheme="majorHAnsi" w:cstheme="majorBidi"/>
      <w:bCs/>
    </w:rPr>
  </w:style>
  <w:style w:type="paragraph" w:styleId="8">
    <w:name w:val="heading 7"/>
    <w:basedOn w:val="1"/>
    <w:next w:val="1"/>
    <w:link w:val="194"/>
    <w:qFormat/>
    <w:uiPriority w:val="0"/>
    <w:pPr>
      <w:keepNext/>
      <w:keepLines/>
      <w:overflowPunct w:val="0"/>
      <w:ind w:firstLine="0" w:firstLineChars="0"/>
      <w:jc w:val="both"/>
      <w:textAlignment w:val="baseline"/>
      <w:outlineLvl w:val="6"/>
    </w:pPr>
    <w:rPr>
      <w:rFonts w:ascii="Calibri" w:hAnsi="Calibri" w:eastAsia="仿宋_GB2312"/>
      <w:spacing w:val="-4"/>
      <w:kern w:val="20"/>
      <w:sz w:val="28"/>
      <w:szCs w:val="20"/>
      <w:lang w:val="zh-CN"/>
    </w:rPr>
  </w:style>
  <w:style w:type="paragraph" w:styleId="9">
    <w:name w:val="heading 8"/>
    <w:basedOn w:val="1"/>
    <w:next w:val="1"/>
    <w:link w:val="195"/>
    <w:qFormat/>
    <w:uiPriority w:val="0"/>
    <w:pPr>
      <w:keepNext/>
      <w:keepLines/>
      <w:overflowPunct w:val="0"/>
      <w:ind w:firstLine="0" w:firstLineChars="0"/>
      <w:jc w:val="both"/>
      <w:textAlignment w:val="baseline"/>
      <w:outlineLvl w:val="7"/>
    </w:pPr>
    <w:rPr>
      <w:rFonts w:ascii="Arial" w:hAnsi="Arial" w:eastAsia="仿宋_GB2312"/>
      <w:b/>
      <w:spacing w:val="-4"/>
      <w:kern w:val="20"/>
      <w:sz w:val="18"/>
      <w:szCs w:val="20"/>
      <w:lang w:val="zh-CN"/>
    </w:rPr>
  </w:style>
  <w:style w:type="paragraph" w:styleId="10">
    <w:name w:val="heading 9"/>
    <w:basedOn w:val="1"/>
    <w:next w:val="1"/>
    <w:link w:val="196"/>
    <w:qFormat/>
    <w:uiPriority w:val="0"/>
    <w:pPr>
      <w:keepNext/>
      <w:keepLines/>
      <w:overflowPunct w:val="0"/>
      <w:ind w:firstLine="0" w:firstLineChars="0"/>
      <w:jc w:val="both"/>
      <w:textAlignment w:val="baseline"/>
      <w:outlineLvl w:val="8"/>
    </w:pPr>
    <w:rPr>
      <w:rFonts w:ascii="Arial" w:hAnsi="Arial" w:eastAsia="仿宋_GB2312"/>
      <w:spacing w:val="-6"/>
      <w:kern w:val="20"/>
      <w:sz w:val="18"/>
      <w:szCs w:val="20"/>
      <w:lang w:val="zh-CN"/>
    </w:rPr>
  </w:style>
  <w:style w:type="character" w:default="1" w:styleId="83">
    <w:name w:val="Default Paragraph Font"/>
    <w:semiHidden/>
    <w:unhideWhenUsed/>
    <w:uiPriority w:val="1"/>
  </w:style>
  <w:style w:type="table" w:default="1" w:styleId="76">
    <w:name w:val="Normal Table"/>
    <w:semiHidden/>
    <w:unhideWhenUsed/>
    <w:uiPriority w:val="99"/>
    <w:tblPr>
      <w:tblCellMar>
        <w:top w:w="0" w:type="dxa"/>
        <w:left w:w="108" w:type="dxa"/>
        <w:bottom w:w="0" w:type="dxa"/>
        <w:right w:w="108" w:type="dxa"/>
      </w:tblCellMar>
    </w:tblPr>
  </w:style>
  <w:style w:type="paragraph" w:styleId="11">
    <w:name w:val="List 3"/>
    <w:basedOn w:val="1"/>
    <w:qFormat/>
    <w:uiPriority w:val="0"/>
    <w:pPr>
      <w:autoSpaceDE/>
      <w:autoSpaceDN/>
      <w:spacing w:line="240" w:lineRule="auto"/>
      <w:ind w:left="100" w:leftChars="400" w:hanging="200" w:hangingChars="200"/>
      <w:jc w:val="both"/>
    </w:pPr>
    <w:rPr>
      <w:rFonts w:ascii="Calibri" w:hAnsi="Calibri"/>
      <w:kern w:val="2"/>
      <w:sz w:val="21"/>
    </w:rPr>
  </w:style>
  <w:style w:type="paragraph" w:styleId="12">
    <w:name w:val="toc 7"/>
    <w:basedOn w:val="1"/>
    <w:next w:val="1"/>
    <w:autoRedefine/>
    <w:unhideWhenUsed/>
    <w:qFormat/>
    <w:uiPriority w:val="39"/>
    <w:pPr>
      <w:autoSpaceDE/>
      <w:autoSpaceDN/>
      <w:spacing w:after="160" w:line="278" w:lineRule="auto"/>
      <w:ind w:left="2520" w:leftChars="1200" w:firstLine="0" w:firstLineChars="0"/>
    </w:pPr>
    <w:rPr>
      <w:rFonts w:asciiTheme="minorHAnsi" w:hAnsiTheme="minorHAnsi" w:eastAsiaTheme="minorEastAsia" w:cstheme="minorBidi"/>
      <w:kern w:val="2"/>
      <w:sz w:val="22"/>
      <w14:ligatures w14:val="standardContextual"/>
    </w:rPr>
  </w:style>
  <w:style w:type="paragraph" w:styleId="13">
    <w:name w:val="List Number 2"/>
    <w:basedOn w:val="1"/>
    <w:qFormat/>
    <w:uiPriority w:val="0"/>
    <w:pPr>
      <w:tabs>
        <w:tab w:val="left" w:pos="360"/>
      </w:tabs>
      <w:autoSpaceDE/>
      <w:autoSpaceDN/>
      <w:spacing w:line="240" w:lineRule="auto"/>
      <w:ind w:left="360" w:hanging="360" w:firstLineChars="0"/>
      <w:jc w:val="both"/>
    </w:pPr>
    <w:rPr>
      <w:rFonts w:ascii="Calibri" w:hAnsi="Calibri"/>
      <w:kern w:val="2"/>
      <w:sz w:val="21"/>
      <w:szCs w:val="20"/>
    </w:rPr>
  </w:style>
  <w:style w:type="paragraph" w:styleId="14">
    <w:name w:val="Note Heading"/>
    <w:basedOn w:val="1"/>
    <w:next w:val="1"/>
    <w:link w:val="543"/>
    <w:qFormat/>
    <w:uiPriority w:val="0"/>
    <w:pPr>
      <w:autoSpaceDE/>
      <w:autoSpaceDN/>
      <w:spacing w:before="156" w:beforeLines="50" w:after="156" w:afterLines="50" w:line="240" w:lineRule="auto"/>
      <w:ind w:firstLine="0" w:firstLineChars="0"/>
      <w:jc w:val="center"/>
    </w:pPr>
    <w:rPr>
      <w:rFonts w:eastAsia="黑体" w:asciiTheme="minorHAnsi" w:hAnsiTheme="minorHAnsi" w:cstheme="minorBidi"/>
      <w:kern w:val="2"/>
    </w:rPr>
  </w:style>
  <w:style w:type="paragraph" w:styleId="15">
    <w:name w:val="List Bullet 4"/>
    <w:basedOn w:val="1"/>
    <w:qFormat/>
    <w:uiPriority w:val="0"/>
    <w:pPr>
      <w:tabs>
        <w:tab w:val="left" w:pos="1280"/>
      </w:tabs>
      <w:autoSpaceDE/>
      <w:autoSpaceDN/>
      <w:spacing w:line="240" w:lineRule="auto"/>
      <w:ind w:left="1280" w:hanging="720" w:firstLineChars="0"/>
      <w:jc w:val="both"/>
    </w:pPr>
    <w:rPr>
      <w:rFonts w:ascii="Calibri" w:hAnsi="Calibri"/>
      <w:kern w:val="2"/>
      <w:sz w:val="21"/>
      <w:szCs w:val="20"/>
    </w:rPr>
  </w:style>
  <w:style w:type="paragraph" w:styleId="16">
    <w:name w:val="E-mail Signature"/>
    <w:basedOn w:val="1"/>
    <w:link w:val="400"/>
    <w:qFormat/>
    <w:uiPriority w:val="0"/>
    <w:pPr>
      <w:autoSpaceDE/>
      <w:autoSpaceDN/>
      <w:spacing w:line="240" w:lineRule="auto"/>
      <w:ind w:firstLine="0" w:firstLineChars="0"/>
      <w:jc w:val="both"/>
    </w:pPr>
    <w:rPr>
      <w:rFonts w:asciiTheme="minorHAnsi" w:hAnsiTheme="minorHAnsi" w:eastAsiaTheme="minorEastAsia" w:cstheme="minorBidi"/>
      <w:kern w:val="2"/>
      <w:sz w:val="21"/>
    </w:rPr>
  </w:style>
  <w:style w:type="paragraph" w:styleId="17">
    <w:name w:val="List Number"/>
    <w:basedOn w:val="1"/>
    <w:qFormat/>
    <w:uiPriority w:val="0"/>
    <w:pPr>
      <w:tabs>
        <w:tab w:val="left" w:pos="360"/>
      </w:tabs>
      <w:autoSpaceDE/>
      <w:autoSpaceDN/>
      <w:spacing w:line="240" w:lineRule="auto"/>
      <w:ind w:left="360" w:hanging="360" w:firstLineChars="0"/>
      <w:jc w:val="both"/>
    </w:pPr>
    <w:rPr>
      <w:rFonts w:ascii="Calibri" w:hAnsi="Calibri"/>
      <w:kern w:val="2"/>
      <w:sz w:val="21"/>
      <w:szCs w:val="20"/>
    </w:rPr>
  </w:style>
  <w:style w:type="paragraph" w:styleId="18">
    <w:name w:val="Normal Indent"/>
    <w:basedOn w:val="1"/>
    <w:link w:val="384"/>
    <w:unhideWhenUsed/>
    <w:qFormat/>
    <w:uiPriority w:val="0"/>
    <w:pPr>
      <w:ind w:firstLine="420"/>
    </w:pPr>
  </w:style>
  <w:style w:type="paragraph" w:styleId="19">
    <w:name w:val="caption"/>
    <w:basedOn w:val="1"/>
    <w:next w:val="1"/>
    <w:link w:val="503"/>
    <w:qFormat/>
    <w:uiPriority w:val="0"/>
    <w:pPr>
      <w:autoSpaceDE/>
      <w:autoSpaceDN/>
      <w:spacing w:line="312" w:lineRule="auto"/>
      <w:ind w:firstLine="480"/>
      <w:jc w:val="both"/>
    </w:pPr>
    <w:rPr>
      <w:rFonts w:eastAsia="仿宋_GB2312" w:asciiTheme="minorHAnsi" w:hAnsiTheme="minorHAnsi" w:cstheme="minorBidi"/>
      <w:kern w:val="2"/>
      <w:szCs w:val="20"/>
    </w:rPr>
  </w:style>
  <w:style w:type="paragraph" w:styleId="20">
    <w:name w:val="List Bullet"/>
    <w:basedOn w:val="1"/>
    <w:qFormat/>
    <w:uiPriority w:val="0"/>
    <w:pPr>
      <w:tabs>
        <w:tab w:val="left" w:pos="720"/>
      </w:tabs>
      <w:autoSpaceDE/>
      <w:autoSpaceDN/>
      <w:spacing w:line="240" w:lineRule="auto"/>
      <w:ind w:left="720" w:hanging="720" w:firstLineChars="0"/>
      <w:jc w:val="both"/>
    </w:pPr>
    <w:rPr>
      <w:rFonts w:ascii="Calibri" w:hAnsi="Calibri"/>
      <w:kern w:val="2"/>
      <w:sz w:val="21"/>
      <w:szCs w:val="20"/>
    </w:rPr>
  </w:style>
  <w:style w:type="paragraph" w:styleId="21">
    <w:name w:val="envelope address"/>
    <w:basedOn w:val="1"/>
    <w:qFormat/>
    <w:uiPriority w:val="0"/>
    <w:pPr>
      <w:autoSpaceDE/>
      <w:autoSpaceDN/>
      <w:spacing w:line="240" w:lineRule="auto"/>
      <w:ind w:left="100" w:leftChars="1400" w:firstLine="0" w:firstLineChars="0"/>
      <w:jc w:val="both"/>
    </w:pPr>
    <w:rPr>
      <w:rFonts w:ascii="Arial" w:hAnsi="Arial" w:cs="Arial"/>
      <w:kern w:val="2"/>
    </w:rPr>
  </w:style>
  <w:style w:type="paragraph" w:styleId="22">
    <w:name w:val="Document Map"/>
    <w:basedOn w:val="1"/>
    <w:link w:val="398"/>
    <w:qFormat/>
    <w:uiPriority w:val="0"/>
    <w:pPr>
      <w:autoSpaceDE/>
      <w:autoSpaceDN/>
      <w:spacing w:line="240" w:lineRule="auto"/>
      <w:ind w:firstLine="0" w:firstLineChars="0"/>
      <w:jc w:val="both"/>
    </w:pPr>
    <w:rPr>
      <w:rFonts w:ascii="宋体" w:hAnsiTheme="minorHAnsi" w:eastAsiaTheme="minorEastAsia" w:cstheme="minorBidi"/>
      <w:kern w:val="2"/>
      <w:sz w:val="18"/>
      <w:szCs w:val="18"/>
    </w:rPr>
  </w:style>
  <w:style w:type="paragraph" w:styleId="23">
    <w:name w:val="annotation text"/>
    <w:basedOn w:val="1"/>
    <w:link w:val="120"/>
    <w:unhideWhenUsed/>
    <w:qFormat/>
    <w:uiPriority w:val="0"/>
  </w:style>
  <w:style w:type="paragraph" w:styleId="24">
    <w:name w:val="Salutation"/>
    <w:basedOn w:val="1"/>
    <w:next w:val="1"/>
    <w:link w:val="380"/>
    <w:qFormat/>
    <w:uiPriority w:val="0"/>
    <w:pPr>
      <w:autoSpaceDE/>
      <w:autoSpaceDN/>
      <w:spacing w:line="240" w:lineRule="auto"/>
      <w:ind w:firstLine="0" w:firstLineChars="0"/>
      <w:jc w:val="both"/>
    </w:pPr>
    <w:rPr>
      <w:rFonts w:asciiTheme="minorHAnsi" w:hAnsiTheme="minorHAnsi" w:eastAsiaTheme="minorEastAsia" w:cstheme="minorBidi"/>
      <w:kern w:val="2"/>
      <w:sz w:val="21"/>
    </w:rPr>
  </w:style>
  <w:style w:type="paragraph" w:styleId="25">
    <w:name w:val="Body Text 3"/>
    <w:basedOn w:val="1"/>
    <w:link w:val="210"/>
    <w:qFormat/>
    <w:uiPriority w:val="0"/>
    <w:pPr>
      <w:autoSpaceDE/>
      <w:autoSpaceDN/>
      <w:ind w:firstLine="0" w:firstLineChars="0"/>
      <w:jc w:val="both"/>
    </w:pPr>
    <w:rPr>
      <w:rFonts w:ascii="仿宋_GB2312" w:hAnsi="宋体" w:eastAsia="仿宋_GB2312" w:cstheme="minorBidi"/>
      <w:kern w:val="2"/>
      <w:szCs w:val="20"/>
    </w:rPr>
  </w:style>
  <w:style w:type="paragraph" w:styleId="26">
    <w:name w:val="Closing"/>
    <w:basedOn w:val="1"/>
    <w:link w:val="239"/>
    <w:qFormat/>
    <w:uiPriority w:val="0"/>
    <w:pPr>
      <w:autoSpaceDE/>
      <w:autoSpaceDN/>
      <w:spacing w:line="240" w:lineRule="auto"/>
      <w:ind w:left="100" w:leftChars="2100" w:firstLine="0" w:firstLineChars="0"/>
      <w:jc w:val="both"/>
    </w:pPr>
    <w:rPr>
      <w:rFonts w:asciiTheme="minorHAnsi" w:hAnsiTheme="minorHAnsi" w:eastAsiaTheme="minorEastAsia" w:cstheme="minorBidi"/>
      <w:kern w:val="2"/>
      <w:sz w:val="21"/>
    </w:rPr>
  </w:style>
  <w:style w:type="paragraph" w:styleId="27">
    <w:name w:val="List Bullet 3"/>
    <w:basedOn w:val="1"/>
    <w:qFormat/>
    <w:uiPriority w:val="0"/>
    <w:pPr>
      <w:autoSpaceDE/>
      <w:autoSpaceDN/>
      <w:spacing w:line="240" w:lineRule="auto"/>
      <w:ind w:left="2470" w:firstLine="0" w:firstLineChars="0"/>
      <w:jc w:val="both"/>
    </w:pPr>
    <w:rPr>
      <w:rFonts w:ascii="Calibri" w:hAnsi="Calibri"/>
      <w:kern w:val="2"/>
      <w:sz w:val="21"/>
      <w:szCs w:val="20"/>
    </w:rPr>
  </w:style>
  <w:style w:type="paragraph" w:styleId="28">
    <w:name w:val="Body Text"/>
    <w:basedOn w:val="1"/>
    <w:link w:val="100"/>
    <w:qFormat/>
    <w:uiPriority w:val="0"/>
    <w:pPr>
      <w:spacing w:before="36"/>
      <w:ind w:left="148"/>
    </w:pPr>
    <w:rPr>
      <w:rFonts w:ascii="宋体" w:cs="宋体"/>
    </w:rPr>
  </w:style>
  <w:style w:type="paragraph" w:styleId="29">
    <w:name w:val="Body Text Indent"/>
    <w:basedOn w:val="1"/>
    <w:link w:val="167"/>
    <w:unhideWhenUsed/>
    <w:qFormat/>
    <w:uiPriority w:val="0"/>
    <w:pPr>
      <w:spacing w:after="120"/>
      <w:ind w:left="420" w:leftChars="200"/>
    </w:pPr>
  </w:style>
  <w:style w:type="paragraph" w:styleId="30">
    <w:name w:val="List Number 3"/>
    <w:basedOn w:val="1"/>
    <w:qFormat/>
    <w:uiPriority w:val="0"/>
    <w:pPr>
      <w:tabs>
        <w:tab w:val="left" w:pos="960"/>
      </w:tabs>
      <w:autoSpaceDE/>
      <w:autoSpaceDN/>
      <w:spacing w:line="240" w:lineRule="auto"/>
      <w:ind w:left="960" w:hanging="450" w:firstLineChars="0"/>
      <w:jc w:val="both"/>
    </w:pPr>
    <w:rPr>
      <w:rFonts w:ascii="Calibri" w:hAnsi="Calibri"/>
      <w:kern w:val="2"/>
      <w:sz w:val="21"/>
      <w:szCs w:val="20"/>
    </w:rPr>
  </w:style>
  <w:style w:type="paragraph" w:styleId="31">
    <w:name w:val="List 2"/>
    <w:basedOn w:val="1"/>
    <w:qFormat/>
    <w:uiPriority w:val="0"/>
    <w:pPr>
      <w:autoSpaceDE/>
      <w:autoSpaceDN/>
      <w:spacing w:line="240" w:lineRule="auto"/>
      <w:ind w:left="840" w:hanging="420" w:firstLineChars="0"/>
      <w:jc w:val="both"/>
    </w:pPr>
    <w:rPr>
      <w:rFonts w:ascii="Calibri" w:hAnsi="Calibri" w:eastAsia="仿宋_GB2312"/>
      <w:kern w:val="2"/>
      <w:sz w:val="28"/>
      <w:szCs w:val="20"/>
    </w:rPr>
  </w:style>
  <w:style w:type="paragraph" w:styleId="32">
    <w:name w:val="List Continue"/>
    <w:basedOn w:val="1"/>
    <w:qFormat/>
    <w:uiPriority w:val="0"/>
    <w:pPr>
      <w:autoSpaceDE/>
      <w:autoSpaceDN/>
      <w:spacing w:after="120" w:line="240" w:lineRule="auto"/>
      <w:ind w:left="420" w:leftChars="200" w:firstLine="0" w:firstLineChars="0"/>
      <w:jc w:val="both"/>
    </w:pPr>
    <w:rPr>
      <w:rFonts w:ascii="Calibri" w:hAnsi="Calibri"/>
      <w:kern w:val="2"/>
      <w:sz w:val="21"/>
    </w:rPr>
  </w:style>
  <w:style w:type="paragraph" w:styleId="33">
    <w:name w:val="Block Text"/>
    <w:basedOn w:val="1"/>
    <w:qFormat/>
    <w:uiPriority w:val="0"/>
    <w:pPr>
      <w:autoSpaceDE/>
      <w:autoSpaceDN/>
      <w:spacing w:line="240" w:lineRule="auto"/>
      <w:ind w:left="525" w:right="651" w:firstLine="0" w:firstLineChars="0"/>
    </w:pPr>
    <w:rPr>
      <w:rFonts w:ascii="Calibri" w:hAnsi="Calibri" w:eastAsia="仿宋_GB2312"/>
      <w:kern w:val="2"/>
      <w:sz w:val="32"/>
      <w:szCs w:val="20"/>
    </w:rPr>
  </w:style>
  <w:style w:type="paragraph" w:styleId="34">
    <w:name w:val="List Bullet 2"/>
    <w:basedOn w:val="1"/>
    <w:qFormat/>
    <w:uiPriority w:val="0"/>
    <w:pPr>
      <w:tabs>
        <w:tab w:val="left" w:pos="720"/>
      </w:tabs>
      <w:autoSpaceDE/>
      <w:autoSpaceDN/>
      <w:spacing w:line="240" w:lineRule="auto"/>
      <w:ind w:left="720" w:hanging="720" w:firstLineChars="0"/>
      <w:jc w:val="both"/>
    </w:pPr>
    <w:rPr>
      <w:rFonts w:ascii="Calibri" w:hAnsi="Calibri"/>
      <w:kern w:val="2"/>
      <w:sz w:val="21"/>
      <w:szCs w:val="20"/>
    </w:rPr>
  </w:style>
  <w:style w:type="paragraph" w:styleId="35">
    <w:name w:val="HTML Address"/>
    <w:basedOn w:val="1"/>
    <w:link w:val="434"/>
    <w:qFormat/>
    <w:uiPriority w:val="0"/>
    <w:pPr>
      <w:autoSpaceDE/>
      <w:autoSpaceDN/>
      <w:spacing w:line="240" w:lineRule="auto"/>
      <w:ind w:firstLine="0" w:firstLineChars="0"/>
      <w:jc w:val="both"/>
    </w:pPr>
    <w:rPr>
      <w:rFonts w:asciiTheme="minorHAnsi" w:hAnsiTheme="minorHAnsi" w:eastAsiaTheme="minorEastAsia" w:cstheme="minorBidi"/>
      <w:i/>
      <w:iCs/>
      <w:kern w:val="2"/>
      <w:sz w:val="21"/>
    </w:rPr>
  </w:style>
  <w:style w:type="paragraph" w:styleId="36">
    <w:name w:val="toc 5"/>
    <w:basedOn w:val="1"/>
    <w:next w:val="1"/>
    <w:autoRedefine/>
    <w:unhideWhenUsed/>
    <w:qFormat/>
    <w:uiPriority w:val="39"/>
    <w:pPr>
      <w:autoSpaceDE/>
      <w:autoSpaceDN/>
      <w:spacing w:after="160" w:line="278" w:lineRule="auto"/>
      <w:ind w:left="1680" w:leftChars="800" w:firstLine="0" w:firstLineChars="0"/>
    </w:pPr>
    <w:rPr>
      <w:rFonts w:asciiTheme="minorHAnsi" w:hAnsiTheme="minorHAnsi" w:eastAsiaTheme="minorEastAsia" w:cstheme="minorBidi"/>
      <w:kern w:val="2"/>
      <w:sz w:val="22"/>
      <w14:ligatures w14:val="standardContextual"/>
    </w:rPr>
  </w:style>
  <w:style w:type="paragraph" w:styleId="37">
    <w:name w:val="toc 3"/>
    <w:basedOn w:val="1"/>
    <w:next w:val="1"/>
    <w:autoRedefine/>
    <w:unhideWhenUsed/>
    <w:qFormat/>
    <w:uiPriority w:val="39"/>
    <w:pPr>
      <w:autoSpaceDE/>
      <w:autoSpaceDN/>
      <w:spacing w:after="160" w:line="278" w:lineRule="auto"/>
      <w:ind w:left="840" w:leftChars="400" w:firstLine="0" w:firstLineChars="0"/>
    </w:pPr>
    <w:rPr>
      <w:rFonts w:asciiTheme="minorHAnsi" w:hAnsiTheme="minorHAnsi" w:eastAsiaTheme="minorEastAsia" w:cstheme="minorBidi"/>
      <w:kern w:val="2"/>
      <w:sz w:val="22"/>
      <w14:ligatures w14:val="standardContextual"/>
    </w:rPr>
  </w:style>
  <w:style w:type="paragraph" w:styleId="38">
    <w:name w:val="Plain Text"/>
    <w:basedOn w:val="1"/>
    <w:link w:val="173"/>
    <w:qFormat/>
    <w:uiPriority w:val="0"/>
    <w:pPr>
      <w:autoSpaceDE/>
      <w:autoSpaceDN/>
      <w:spacing w:line="312" w:lineRule="atLeast"/>
      <w:ind w:firstLine="0" w:firstLineChars="0"/>
      <w:jc w:val="both"/>
      <w:textAlignment w:val="baseline"/>
    </w:pPr>
    <w:rPr>
      <w:rFonts w:ascii="宋体" w:hAnsi="Courier New"/>
      <w:sz w:val="21"/>
      <w:szCs w:val="20"/>
    </w:rPr>
  </w:style>
  <w:style w:type="paragraph" w:styleId="39">
    <w:name w:val="List Bullet 5"/>
    <w:basedOn w:val="1"/>
    <w:qFormat/>
    <w:uiPriority w:val="0"/>
    <w:pPr>
      <w:tabs>
        <w:tab w:val="left" w:pos="902"/>
      </w:tabs>
      <w:autoSpaceDE/>
      <w:autoSpaceDN/>
      <w:spacing w:line="240" w:lineRule="auto"/>
      <w:ind w:left="902" w:hanging="390" w:firstLineChars="0"/>
      <w:jc w:val="both"/>
    </w:pPr>
    <w:rPr>
      <w:rFonts w:ascii="Calibri" w:hAnsi="Calibri"/>
      <w:kern w:val="2"/>
      <w:sz w:val="21"/>
      <w:szCs w:val="20"/>
    </w:rPr>
  </w:style>
  <w:style w:type="paragraph" w:styleId="40">
    <w:name w:val="List Number 4"/>
    <w:basedOn w:val="1"/>
    <w:qFormat/>
    <w:uiPriority w:val="0"/>
    <w:pPr>
      <w:tabs>
        <w:tab w:val="left" w:pos="720"/>
      </w:tabs>
      <w:autoSpaceDE/>
      <w:autoSpaceDN/>
      <w:spacing w:line="240" w:lineRule="auto"/>
      <w:ind w:left="720" w:hanging="720" w:firstLineChars="0"/>
      <w:jc w:val="both"/>
    </w:pPr>
    <w:rPr>
      <w:rFonts w:ascii="Calibri" w:hAnsi="Calibri"/>
      <w:kern w:val="2"/>
      <w:sz w:val="21"/>
      <w:szCs w:val="20"/>
    </w:rPr>
  </w:style>
  <w:style w:type="paragraph" w:styleId="41">
    <w:name w:val="toc 8"/>
    <w:basedOn w:val="1"/>
    <w:next w:val="1"/>
    <w:autoRedefine/>
    <w:unhideWhenUsed/>
    <w:qFormat/>
    <w:uiPriority w:val="39"/>
    <w:pPr>
      <w:autoSpaceDE/>
      <w:autoSpaceDN/>
      <w:spacing w:after="160" w:line="278" w:lineRule="auto"/>
      <w:ind w:left="2940" w:leftChars="1400" w:firstLine="0" w:firstLineChars="0"/>
    </w:pPr>
    <w:rPr>
      <w:rFonts w:asciiTheme="minorHAnsi" w:hAnsiTheme="minorHAnsi" w:eastAsiaTheme="minorEastAsia" w:cstheme="minorBidi"/>
      <w:kern w:val="2"/>
      <w:sz w:val="22"/>
      <w14:ligatures w14:val="standardContextual"/>
    </w:rPr>
  </w:style>
  <w:style w:type="paragraph" w:styleId="42">
    <w:name w:val="Date"/>
    <w:basedOn w:val="1"/>
    <w:next w:val="1"/>
    <w:link w:val="118"/>
    <w:unhideWhenUsed/>
    <w:qFormat/>
    <w:uiPriority w:val="0"/>
    <w:pPr>
      <w:ind w:left="100" w:leftChars="2500"/>
    </w:pPr>
  </w:style>
  <w:style w:type="paragraph" w:styleId="43">
    <w:name w:val="Body Text Indent 2"/>
    <w:basedOn w:val="1"/>
    <w:link w:val="337"/>
    <w:qFormat/>
    <w:uiPriority w:val="0"/>
    <w:pPr>
      <w:autoSpaceDE/>
      <w:autoSpaceDN/>
      <w:spacing w:before="93" w:beforeLines="30" w:after="93" w:afterLines="30"/>
      <w:ind w:firstLine="482"/>
      <w:jc w:val="both"/>
    </w:pPr>
    <w:rPr>
      <w:rFonts w:asciiTheme="minorHAnsi" w:hAnsiTheme="minorHAnsi" w:eastAsiaTheme="minorEastAsia" w:cstheme="minorBidi"/>
      <w:kern w:val="2"/>
    </w:rPr>
  </w:style>
  <w:style w:type="paragraph" w:styleId="44">
    <w:name w:val="List Continue 5"/>
    <w:basedOn w:val="1"/>
    <w:qFormat/>
    <w:uiPriority w:val="0"/>
    <w:pPr>
      <w:autoSpaceDE/>
      <w:autoSpaceDN/>
      <w:spacing w:after="120" w:line="240" w:lineRule="auto"/>
      <w:ind w:left="2100" w:leftChars="1000" w:firstLine="0" w:firstLineChars="0"/>
      <w:jc w:val="both"/>
    </w:pPr>
    <w:rPr>
      <w:rFonts w:ascii="Calibri" w:hAnsi="Calibri"/>
      <w:kern w:val="2"/>
      <w:sz w:val="21"/>
    </w:rPr>
  </w:style>
  <w:style w:type="paragraph" w:styleId="45">
    <w:name w:val="Balloon Text"/>
    <w:basedOn w:val="1"/>
    <w:link w:val="115"/>
    <w:unhideWhenUsed/>
    <w:qFormat/>
    <w:uiPriority w:val="0"/>
    <w:pPr>
      <w:spacing w:line="240" w:lineRule="auto"/>
    </w:pPr>
    <w:rPr>
      <w:sz w:val="18"/>
      <w:szCs w:val="18"/>
    </w:rPr>
  </w:style>
  <w:style w:type="paragraph" w:styleId="46">
    <w:name w:val="footer"/>
    <w:basedOn w:val="1"/>
    <w:link w:val="108"/>
    <w:unhideWhenUsed/>
    <w:qFormat/>
    <w:uiPriority w:val="0"/>
    <w:pPr>
      <w:tabs>
        <w:tab w:val="center" w:pos="4153"/>
        <w:tab w:val="right" w:pos="8306"/>
      </w:tabs>
    </w:pPr>
    <w:rPr>
      <w:sz w:val="18"/>
      <w:szCs w:val="18"/>
    </w:rPr>
  </w:style>
  <w:style w:type="paragraph" w:styleId="47">
    <w:name w:val="envelope return"/>
    <w:basedOn w:val="1"/>
    <w:qFormat/>
    <w:uiPriority w:val="0"/>
    <w:pPr>
      <w:autoSpaceDE/>
      <w:autoSpaceDN/>
      <w:spacing w:line="240" w:lineRule="auto"/>
      <w:ind w:firstLine="0" w:firstLineChars="0"/>
      <w:jc w:val="both"/>
    </w:pPr>
    <w:rPr>
      <w:rFonts w:ascii="Arial" w:hAnsi="Arial" w:cs="Arial"/>
      <w:kern w:val="2"/>
      <w:sz w:val="21"/>
    </w:rPr>
  </w:style>
  <w:style w:type="paragraph" w:styleId="48">
    <w:name w:val="header"/>
    <w:basedOn w:val="1"/>
    <w:link w:val="107"/>
    <w:unhideWhenUsed/>
    <w:qFormat/>
    <w:uiPriority w:val="0"/>
    <w:pPr>
      <w:pBdr>
        <w:bottom w:val="single" w:color="auto" w:sz="6" w:space="1"/>
      </w:pBdr>
      <w:tabs>
        <w:tab w:val="center" w:pos="4153"/>
        <w:tab w:val="right" w:pos="8306"/>
      </w:tabs>
      <w:jc w:val="center"/>
    </w:pPr>
    <w:rPr>
      <w:sz w:val="18"/>
      <w:szCs w:val="18"/>
    </w:rPr>
  </w:style>
  <w:style w:type="paragraph" w:styleId="49">
    <w:name w:val="Signature"/>
    <w:basedOn w:val="1"/>
    <w:link w:val="574"/>
    <w:qFormat/>
    <w:uiPriority w:val="0"/>
    <w:pPr>
      <w:autoSpaceDE/>
      <w:autoSpaceDN/>
      <w:spacing w:line="240" w:lineRule="auto"/>
      <w:ind w:left="100" w:leftChars="2100" w:firstLine="0" w:firstLineChars="0"/>
      <w:jc w:val="both"/>
    </w:pPr>
    <w:rPr>
      <w:rFonts w:asciiTheme="minorHAnsi" w:hAnsiTheme="minorHAnsi" w:eastAsiaTheme="minorEastAsia" w:cstheme="minorBidi"/>
      <w:kern w:val="2"/>
      <w:sz w:val="21"/>
    </w:rPr>
  </w:style>
  <w:style w:type="paragraph" w:styleId="50">
    <w:name w:val="toc 1"/>
    <w:basedOn w:val="1"/>
    <w:next w:val="1"/>
    <w:autoRedefine/>
    <w:unhideWhenUsed/>
    <w:qFormat/>
    <w:uiPriority w:val="39"/>
  </w:style>
  <w:style w:type="paragraph" w:styleId="51">
    <w:name w:val="List Continue 4"/>
    <w:basedOn w:val="1"/>
    <w:qFormat/>
    <w:uiPriority w:val="0"/>
    <w:pPr>
      <w:autoSpaceDE/>
      <w:autoSpaceDN/>
      <w:spacing w:after="120" w:line="240" w:lineRule="auto"/>
      <w:ind w:left="1680" w:leftChars="800" w:firstLine="0" w:firstLineChars="0"/>
      <w:jc w:val="both"/>
    </w:pPr>
    <w:rPr>
      <w:rFonts w:ascii="Calibri" w:hAnsi="Calibri"/>
      <w:kern w:val="2"/>
      <w:sz w:val="21"/>
    </w:rPr>
  </w:style>
  <w:style w:type="paragraph" w:styleId="52">
    <w:name w:val="toc 4"/>
    <w:basedOn w:val="1"/>
    <w:next w:val="1"/>
    <w:autoRedefine/>
    <w:unhideWhenUsed/>
    <w:qFormat/>
    <w:uiPriority w:val="39"/>
    <w:pPr>
      <w:autoSpaceDE/>
      <w:autoSpaceDN/>
      <w:spacing w:after="160" w:line="278" w:lineRule="auto"/>
      <w:ind w:left="1260" w:leftChars="600" w:firstLine="0" w:firstLineChars="0"/>
    </w:pPr>
    <w:rPr>
      <w:rFonts w:asciiTheme="minorHAnsi" w:hAnsiTheme="minorHAnsi" w:eastAsiaTheme="minorEastAsia" w:cstheme="minorBidi"/>
      <w:kern w:val="2"/>
      <w:sz w:val="22"/>
      <w14:ligatures w14:val="standardContextual"/>
    </w:rPr>
  </w:style>
  <w:style w:type="paragraph" w:styleId="53">
    <w:name w:val="Subtitle"/>
    <w:basedOn w:val="1"/>
    <w:link w:val="215"/>
    <w:qFormat/>
    <w:uiPriority w:val="0"/>
    <w:pPr>
      <w:autoSpaceDE/>
      <w:autoSpaceDN/>
      <w:spacing w:before="240" w:after="60" w:line="312" w:lineRule="auto"/>
      <w:ind w:firstLine="0" w:firstLineChars="0"/>
      <w:jc w:val="center"/>
      <w:outlineLvl w:val="1"/>
    </w:pPr>
    <w:rPr>
      <w:rFonts w:ascii="Arial" w:hAnsi="Arial" w:cs="Arial" w:eastAsiaTheme="minorEastAsia"/>
      <w:b/>
      <w:bCs/>
      <w:kern w:val="28"/>
      <w:sz w:val="32"/>
      <w:szCs w:val="32"/>
    </w:rPr>
  </w:style>
  <w:style w:type="paragraph" w:styleId="54">
    <w:name w:val="List Number 5"/>
    <w:basedOn w:val="1"/>
    <w:qFormat/>
    <w:uiPriority w:val="0"/>
    <w:pPr>
      <w:tabs>
        <w:tab w:val="left" w:pos="720"/>
      </w:tabs>
      <w:autoSpaceDE/>
      <w:autoSpaceDN/>
      <w:spacing w:line="240" w:lineRule="auto"/>
      <w:ind w:left="720" w:hanging="720" w:firstLineChars="0"/>
      <w:jc w:val="both"/>
    </w:pPr>
    <w:rPr>
      <w:rFonts w:ascii="Calibri" w:hAnsi="Calibri"/>
      <w:kern w:val="2"/>
      <w:sz w:val="21"/>
      <w:szCs w:val="20"/>
    </w:rPr>
  </w:style>
  <w:style w:type="paragraph" w:styleId="55">
    <w:name w:val="List"/>
    <w:basedOn w:val="1"/>
    <w:qFormat/>
    <w:uiPriority w:val="0"/>
    <w:pPr>
      <w:autoSpaceDE/>
      <w:autoSpaceDN/>
      <w:ind w:left="-2" w:leftChars="-1" w:right="-108" w:rightChars="-45" w:firstLine="420"/>
      <w:textAlignment w:val="baseline"/>
    </w:pPr>
    <w:rPr>
      <w:rFonts w:ascii="黑体" w:hAnsi="Calibri" w:eastAsia="黑体"/>
      <w:kern w:val="2"/>
      <w:sz w:val="21"/>
      <w:szCs w:val="20"/>
    </w:rPr>
  </w:style>
  <w:style w:type="paragraph" w:styleId="56">
    <w:name w:val="footnote text"/>
    <w:basedOn w:val="1"/>
    <w:link w:val="572"/>
    <w:qFormat/>
    <w:uiPriority w:val="0"/>
    <w:pPr>
      <w:autoSpaceDE/>
      <w:autoSpaceDN/>
    </w:pPr>
    <w:rPr>
      <w:rFonts w:ascii="宋体" w:hAnsiTheme="minorHAnsi" w:eastAsiaTheme="minorEastAsia" w:cstheme="minorBidi"/>
      <w:kern w:val="2"/>
      <w:sz w:val="18"/>
      <w:szCs w:val="20"/>
    </w:rPr>
  </w:style>
  <w:style w:type="paragraph" w:styleId="57">
    <w:name w:val="toc 6"/>
    <w:basedOn w:val="1"/>
    <w:next w:val="1"/>
    <w:autoRedefine/>
    <w:unhideWhenUsed/>
    <w:qFormat/>
    <w:uiPriority w:val="39"/>
    <w:pPr>
      <w:autoSpaceDE/>
      <w:autoSpaceDN/>
      <w:spacing w:after="160" w:line="278" w:lineRule="auto"/>
      <w:ind w:left="2100" w:leftChars="1000" w:firstLine="0" w:firstLineChars="0"/>
    </w:pPr>
    <w:rPr>
      <w:rFonts w:asciiTheme="minorHAnsi" w:hAnsiTheme="minorHAnsi" w:eastAsiaTheme="minorEastAsia" w:cstheme="minorBidi"/>
      <w:kern w:val="2"/>
      <w:sz w:val="22"/>
      <w14:ligatures w14:val="standardContextual"/>
    </w:rPr>
  </w:style>
  <w:style w:type="paragraph" w:styleId="58">
    <w:name w:val="List 5"/>
    <w:basedOn w:val="1"/>
    <w:qFormat/>
    <w:uiPriority w:val="0"/>
    <w:pPr>
      <w:autoSpaceDE/>
      <w:autoSpaceDN/>
      <w:spacing w:line="240" w:lineRule="auto"/>
      <w:ind w:left="100" w:leftChars="800" w:hanging="200" w:hangingChars="200"/>
      <w:jc w:val="both"/>
    </w:pPr>
    <w:rPr>
      <w:rFonts w:ascii="Calibri" w:hAnsi="Calibri"/>
      <w:kern w:val="2"/>
      <w:sz w:val="21"/>
    </w:rPr>
  </w:style>
  <w:style w:type="paragraph" w:styleId="59">
    <w:name w:val="Body Text Indent 3"/>
    <w:basedOn w:val="1"/>
    <w:link w:val="228"/>
    <w:qFormat/>
    <w:uiPriority w:val="0"/>
    <w:pPr>
      <w:autoSpaceDE/>
      <w:autoSpaceDN/>
      <w:ind w:right="69" w:rightChars="33" w:firstLine="560"/>
      <w:jc w:val="both"/>
    </w:pPr>
    <w:rPr>
      <w:rFonts w:ascii="仿宋_GB2312" w:hAnsi="宋体" w:eastAsia="仿宋_GB2312" w:cstheme="minorBidi"/>
      <w:kern w:val="2"/>
      <w:sz w:val="28"/>
    </w:rPr>
  </w:style>
  <w:style w:type="paragraph" w:styleId="60">
    <w:name w:val="index 7"/>
    <w:basedOn w:val="1"/>
    <w:next w:val="1"/>
    <w:qFormat/>
    <w:uiPriority w:val="0"/>
    <w:pPr>
      <w:autoSpaceDE/>
      <w:autoSpaceDN/>
      <w:spacing w:line="240" w:lineRule="auto"/>
      <w:ind w:left="1200" w:leftChars="1200" w:firstLine="0" w:firstLineChars="0"/>
      <w:jc w:val="both"/>
    </w:pPr>
    <w:rPr>
      <w:rFonts w:ascii="Calibri" w:hAnsi="Calibri"/>
      <w:kern w:val="2"/>
      <w:sz w:val="21"/>
    </w:rPr>
  </w:style>
  <w:style w:type="paragraph" w:styleId="61">
    <w:name w:val="table of figures"/>
    <w:next w:val="1"/>
    <w:qFormat/>
    <w:uiPriority w:val="0"/>
    <w:pPr>
      <w:adjustRightInd w:val="0"/>
      <w:snapToGrid w:val="0"/>
      <w:spacing w:before="120" w:line="240" w:lineRule="atLeast"/>
      <w:jc w:val="center"/>
    </w:pPr>
    <w:rPr>
      <w:rFonts w:ascii="Calibri" w:hAnsi="Calibri" w:eastAsia="宋体" w:cs="Times New Roman"/>
      <w:b/>
      <w:sz w:val="24"/>
      <w:lang w:val="en-US" w:eastAsia="zh-CN" w:bidi="ar-SA"/>
    </w:rPr>
  </w:style>
  <w:style w:type="paragraph" w:styleId="62">
    <w:name w:val="toc 2"/>
    <w:basedOn w:val="1"/>
    <w:next w:val="1"/>
    <w:autoRedefine/>
    <w:unhideWhenUsed/>
    <w:qFormat/>
    <w:uiPriority w:val="39"/>
    <w:pPr>
      <w:ind w:left="420" w:leftChars="200"/>
    </w:pPr>
  </w:style>
  <w:style w:type="paragraph" w:styleId="63">
    <w:name w:val="toc 9"/>
    <w:basedOn w:val="1"/>
    <w:next w:val="1"/>
    <w:autoRedefine/>
    <w:unhideWhenUsed/>
    <w:qFormat/>
    <w:uiPriority w:val="39"/>
    <w:pPr>
      <w:autoSpaceDE/>
      <w:autoSpaceDN/>
      <w:spacing w:after="160" w:line="278" w:lineRule="auto"/>
      <w:ind w:left="3360" w:leftChars="1600" w:firstLine="0" w:firstLineChars="0"/>
    </w:pPr>
    <w:rPr>
      <w:rFonts w:asciiTheme="minorHAnsi" w:hAnsiTheme="minorHAnsi" w:eastAsiaTheme="minorEastAsia" w:cstheme="minorBidi"/>
      <w:kern w:val="2"/>
      <w:sz w:val="22"/>
      <w14:ligatures w14:val="standardContextual"/>
    </w:rPr>
  </w:style>
  <w:style w:type="paragraph" w:styleId="64">
    <w:name w:val="Body Text 2"/>
    <w:basedOn w:val="1"/>
    <w:link w:val="208"/>
    <w:qFormat/>
    <w:uiPriority w:val="0"/>
    <w:pPr>
      <w:autoSpaceDE/>
      <w:autoSpaceDN/>
      <w:spacing w:before="60" w:line="520" w:lineRule="exact"/>
      <w:ind w:firstLine="0" w:firstLineChars="0"/>
      <w:jc w:val="both"/>
    </w:pPr>
    <w:rPr>
      <w:rFonts w:ascii="宋体" w:hAnsi="Calibri"/>
      <w:spacing w:val="8"/>
      <w:kern w:val="2"/>
      <w:sz w:val="28"/>
      <w:szCs w:val="20"/>
      <w:lang w:val="zh-CN"/>
    </w:rPr>
  </w:style>
  <w:style w:type="paragraph" w:styleId="65">
    <w:name w:val="List 4"/>
    <w:basedOn w:val="1"/>
    <w:qFormat/>
    <w:uiPriority w:val="0"/>
    <w:pPr>
      <w:autoSpaceDE/>
      <w:autoSpaceDN/>
      <w:spacing w:line="240" w:lineRule="auto"/>
      <w:ind w:left="100" w:leftChars="600" w:hanging="200" w:hangingChars="200"/>
      <w:jc w:val="both"/>
    </w:pPr>
    <w:rPr>
      <w:rFonts w:ascii="Calibri" w:hAnsi="Calibri"/>
      <w:kern w:val="2"/>
      <w:sz w:val="21"/>
    </w:rPr>
  </w:style>
  <w:style w:type="paragraph" w:styleId="66">
    <w:name w:val="List Continue 2"/>
    <w:basedOn w:val="1"/>
    <w:qFormat/>
    <w:uiPriority w:val="0"/>
    <w:pPr>
      <w:autoSpaceDE/>
      <w:autoSpaceDN/>
      <w:spacing w:after="120" w:line="240" w:lineRule="auto"/>
      <w:ind w:left="840" w:leftChars="400" w:firstLine="0" w:firstLineChars="0"/>
      <w:jc w:val="both"/>
    </w:pPr>
    <w:rPr>
      <w:rFonts w:ascii="Calibri" w:hAnsi="Calibri"/>
      <w:kern w:val="2"/>
      <w:sz w:val="21"/>
    </w:rPr>
  </w:style>
  <w:style w:type="paragraph" w:styleId="67">
    <w:name w:val="Message Header"/>
    <w:basedOn w:val="1"/>
    <w:link w:val="546"/>
    <w:qFormat/>
    <w:uiPriority w:val="0"/>
    <w:pPr>
      <w:pBdr>
        <w:top w:val="single" w:color="auto" w:sz="6" w:space="1"/>
        <w:left w:val="single" w:color="auto" w:sz="6" w:space="1"/>
        <w:bottom w:val="single" w:color="auto" w:sz="6" w:space="1"/>
        <w:right w:val="single" w:color="auto" w:sz="6" w:space="1"/>
      </w:pBdr>
      <w:shd w:val="pct20" w:color="auto" w:fill="auto"/>
      <w:autoSpaceDE/>
      <w:autoSpaceDN/>
      <w:spacing w:line="240" w:lineRule="auto"/>
      <w:ind w:left="1080" w:leftChars="500" w:hanging="1080" w:hangingChars="500"/>
      <w:jc w:val="both"/>
    </w:pPr>
    <w:rPr>
      <w:rFonts w:ascii="Arial" w:hAnsi="Arial" w:cs="Arial" w:eastAsiaTheme="minorEastAsia"/>
      <w:kern w:val="2"/>
      <w:shd w:val="pct20" w:color="auto" w:fill="auto"/>
    </w:rPr>
  </w:style>
  <w:style w:type="paragraph" w:styleId="68">
    <w:name w:val="HTML Preformatted"/>
    <w:basedOn w:val="1"/>
    <w:link w:val="29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ind w:firstLine="0" w:firstLineChars="0"/>
    </w:pPr>
    <w:rPr>
      <w:rFonts w:ascii="宋体" w:hAnsi="宋体" w:eastAsiaTheme="minorEastAsia" w:cstheme="minorBidi"/>
      <w:color w:val="000000"/>
      <w:sz w:val="21"/>
      <w:szCs w:val="21"/>
    </w:rPr>
  </w:style>
  <w:style w:type="paragraph" w:styleId="69">
    <w:name w:val="Normal (Web)"/>
    <w:basedOn w:val="1"/>
    <w:link w:val="716"/>
    <w:unhideWhenUsed/>
    <w:qFormat/>
    <w:uiPriority w:val="99"/>
    <w:pPr>
      <w:widowControl/>
      <w:autoSpaceDE/>
      <w:autoSpaceDN/>
      <w:spacing w:before="100" w:beforeAutospacing="1" w:after="100" w:afterAutospacing="1" w:line="240" w:lineRule="auto"/>
      <w:ind w:firstLine="0" w:firstLineChars="0"/>
    </w:pPr>
    <w:rPr>
      <w:rFonts w:ascii="宋体" w:hAnsi="宋体" w:cs="宋体"/>
    </w:rPr>
  </w:style>
  <w:style w:type="paragraph" w:styleId="70">
    <w:name w:val="List Continue 3"/>
    <w:basedOn w:val="1"/>
    <w:qFormat/>
    <w:uiPriority w:val="0"/>
    <w:pPr>
      <w:autoSpaceDE/>
      <w:autoSpaceDN/>
      <w:spacing w:after="120" w:line="240" w:lineRule="auto"/>
      <w:ind w:left="1260" w:leftChars="600" w:firstLine="0" w:firstLineChars="0"/>
      <w:jc w:val="both"/>
    </w:pPr>
    <w:rPr>
      <w:rFonts w:ascii="Calibri" w:hAnsi="Calibri"/>
      <w:kern w:val="2"/>
      <w:sz w:val="21"/>
    </w:rPr>
  </w:style>
  <w:style w:type="paragraph" w:styleId="71">
    <w:name w:val="index 1"/>
    <w:basedOn w:val="1"/>
    <w:next w:val="1"/>
    <w:qFormat/>
    <w:uiPriority w:val="0"/>
    <w:pPr>
      <w:widowControl/>
      <w:autoSpaceDE/>
      <w:autoSpaceDN/>
      <w:spacing w:line="240" w:lineRule="auto"/>
      <w:ind w:left="-53" w:leftChars="-25" w:right="-1" w:firstLine="0" w:firstLineChars="0"/>
      <w:jc w:val="center"/>
    </w:pPr>
    <w:rPr>
      <w:rFonts w:ascii="Calibri" w:hAnsi="Calibri"/>
      <w:sz w:val="21"/>
      <w:szCs w:val="21"/>
    </w:rPr>
  </w:style>
  <w:style w:type="paragraph" w:styleId="72">
    <w:name w:val="Title"/>
    <w:basedOn w:val="1"/>
    <w:link w:val="497"/>
    <w:qFormat/>
    <w:uiPriority w:val="0"/>
    <w:pPr>
      <w:autoSpaceDE/>
      <w:autoSpaceDN/>
      <w:spacing w:before="240" w:after="60" w:line="240" w:lineRule="auto"/>
      <w:ind w:firstLine="0" w:firstLineChars="0"/>
      <w:jc w:val="center"/>
      <w:outlineLvl w:val="0"/>
    </w:pPr>
    <w:rPr>
      <w:rFonts w:ascii="Arial" w:hAnsi="Arial" w:cs="Arial" w:eastAsiaTheme="minorEastAsia"/>
      <w:b/>
      <w:bCs/>
      <w:kern w:val="2"/>
      <w:sz w:val="32"/>
      <w:szCs w:val="32"/>
    </w:rPr>
  </w:style>
  <w:style w:type="paragraph" w:styleId="73">
    <w:name w:val="annotation subject"/>
    <w:basedOn w:val="23"/>
    <w:next w:val="23"/>
    <w:link w:val="121"/>
    <w:unhideWhenUsed/>
    <w:qFormat/>
    <w:uiPriority w:val="0"/>
    <w:rPr>
      <w:b/>
      <w:bCs/>
    </w:rPr>
  </w:style>
  <w:style w:type="paragraph" w:styleId="74">
    <w:name w:val="Body Text First Indent"/>
    <w:basedOn w:val="28"/>
    <w:link w:val="193"/>
    <w:unhideWhenUsed/>
    <w:qFormat/>
    <w:uiPriority w:val="0"/>
    <w:pPr>
      <w:spacing w:before="0" w:after="120"/>
      <w:ind w:left="0" w:firstLine="420" w:firstLineChars="100"/>
    </w:pPr>
    <w:rPr>
      <w:rFonts w:ascii="Times New Roman" w:cs="Times New Roman"/>
    </w:rPr>
  </w:style>
  <w:style w:type="paragraph" w:styleId="75">
    <w:name w:val="Body Text First Indent 2"/>
    <w:basedOn w:val="29"/>
    <w:link w:val="168"/>
    <w:unhideWhenUsed/>
    <w:qFormat/>
    <w:uiPriority w:val="0"/>
    <w:pPr>
      <w:ind w:firstLine="420"/>
    </w:pPr>
  </w:style>
  <w:style w:type="table" w:styleId="77">
    <w:name w:val="Table Grid"/>
    <w:basedOn w:val="7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Theme"/>
    <w:basedOn w:val="7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style>
  <w:style w:type="table" w:styleId="79">
    <w:name w:val="Table Simple 1"/>
    <w:basedOn w:val="76"/>
    <w:semiHidden/>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0">
    <w:name w:val="Table Contemporary"/>
    <w:basedOn w:val="76"/>
    <w:unhideWhenUsed/>
    <w:qFormat/>
    <w:uiPriority w:val="0"/>
    <w:pPr>
      <w:widowControl w:val="0"/>
      <w:jc w:val="both"/>
    </w:pPr>
    <w:rPr>
      <w:rFonts w:ascii="Calibri" w:hAnsi="Calibri"/>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81">
    <w:name w:val="Table Grid 5"/>
    <w:basedOn w:val="76"/>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2">
    <w:name w:val="Table Grid 7"/>
    <w:basedOn w:val="77"/>
    <w:qFormat/>
    <w:uiPriority w:val="0"/>
    <w:pPr>
      <w:widowControl w:val="0"/>
      <w:jc w:val="center"/>
    </w:pPr>
    <w:rPr>
      <w:rFonts w:ascii="宋体"/>
      <w:bCs/>
      <w:sz w:val="21"/>
      <w:szCs w:val="21"/>
    </w:rPr>
    <w:tblPr>
      <w:tblBorders>
        <w:top w:val="thinThickSmallGap" w:color="auto" w:sz="12" w:space="0"/>
        <w:left w:val="thinThickSmallGap" w:color="auto" w:sz="12" w:space="0"/>
        <w:bottom w:val="thickThinSmallGap" w:color="auto" w:sz="12" w:space="0"/>
        <w:right w:val="thickThinSmallGap" w:color="auto" w:sz="12" w:space="0"/>
        <w:insideH w:val="single" w:color="000000" w:sz="6" w:space="0"/>
        <w:insideV w:val="single" w:color="000000" w:sz="6" w:space="0"/>
      </w:tblBorders>
      <w:tblCellMar>
        <w:left w:w="0" w:type="dxa"/>
        <w:right w:w="0" w:type="dxa"/>
      </w:tblCellMar>
    </w:tblPr>
    <w:tcPr>
      <w:shd w:val="clear" w:color="auto" w:fill="auto"/>
      <w:vAlign w:val="center"/>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84">
    <w:name w:val="Strong"/>
    <w:basedOn w:val="83"/>
    <w:qFormat/>
    <w:uiPriority w:val="22"/>
    <w:rPr>
      <w:b/>
      <w:bCs/>
    </w:rPr>
  </w:style>
  <w:style w:type="character" w:styleId="85">
    <w:name w:val="page number"/>
    <w:basedOn w:val="83"/>
    <w:qFormat/>
    <w:uiPriority w:val="0"/>
  </w:style>
  <w:style w:type="character" w:styleId="86">
    <w:name w:val="FollowedHyperlink"/>
    <w:basedOn w:val="83"/>
    <w:unhideWhenUsed/>
    <w:qFormat/>
    <w:uiPriority w:val="99"/>
    <w:rPr>
      <w:color w:val="954F72" w:themeColor="followedHyperlink"/>
      <w:u w:val="single"/>
      <w14:textFill>
        <w14:solidFill>
          <w14:schemeClr w14:val="folHlink"/>
        </w14:solidFill>
      </w14:textFill>
    </w:rPr>
  </w:style>
  <w:style w:type="character" w:styleId="87">
    <w:name w:val="Emphasis"/>
    <w:qFormat/>
    <w:uiPriority w:val="0"/>
    <w:rPr>
      <w:rFonts w:ascii="宋体" w:hAnsi="宋体" w:eastAsia="宋体" w:cs="Courier New"/>
      <w:i/>
      <w:iCs/>
      <w:kern w:val="2"/>
      <w:sz w:val="32"/>
      <w:szCs w:val="32"/>
      <w:lang w:val="en-US" w:eastAsia="zh-CN" w:bidi="ar-SA"/>
    </w:rPr>
  </w:style>
  <w:style w:type="character" w:styleId="88">
    <w:name w:val="line number"/>
    <w:qFormat/>
    <w:uiPriority w:val="0"/>
    <w:rPr>
      <w:rFonts w:ascii="宋体" w:hAnsi="宋体" w:eastAsia="宋体" w:cs="Courier New"/>
      <w:kern w:val="2"/>
      <w:sz w:val="32"/>
      <w:szCs w:val="32"/>
      <w:lang w:val="en-US" w:eastAsia="zh-CN" w:bidi="ar-SA"/>
    </w:rPr>
  </w:style>
  <w:style w:type="character" w:styleId="89">
    <w:name w:val="HTML Definition"/>
    <w:qFormat/>
    <w:uiPriority w:val="0"/>
    <w:rPr>
      <w:rFonts w:ascii="宋体" w:hAnsi="宋体" w:eastAsia="宋体" w:cs="Courier New"/>
      <w:i/>
      <w:iCs/>
      <w:kern w:val="2"/>
      <w:sz w:val="32"/>
      <w:szCs w:val="32"/>
      <w:lang w:val="en-US" w:eastAsia="zh-CN" w:bidi="ar-SA"/>
    </w:rPr>
  </w:style>
  <w:style w:type="character" w:styleId="90">
    <w:name w:val="HTML Typewriter"/>
    <w:qFormat/>
    <w:uiPriority w:val="0"/>
    <w:rPr>
      <w:rFonts w:ascii="Courier New" w:hAnsi="Courier New" w:eastAsia="宋体" w:cs="Courier New"/>
      <w:kern w:val="2"/>
      <w:sz w:val="20"/>
      <w:szCs w:val="20"/>
      <w:lang w:val="en-US" w:eastAsia="zh-CN" w:bidi="ar-SA"/>
    </w:rPr>
  </w:style>
  <w:style w:type="character" w:styleId="91">
    <w:name w:val="HTML Acronym"/>
    <w:qFormat/>
    <w:uiPriority w:val="0"/>
    <w:rPr>
      <w:rFonts w:ascii="宋体" w:hAnsi="宋体" w:eastAsia="宋体" w:cs="Courier New"/>
      <w:kern w:val="2"/>
      <w:sz w:val="32"/>
      <w:szCs w:val="32"/>
      <w:lang w:val="en-US" w:eastAsia="zh-CN" w:bidi="ar-SA"/>
    </w:rPr>
  </w:style>
  <w:style w:type="character" w:styleId="92">
    <w:name w:val="HTML Variable"/>
    <w:qFormat/>
    <w:uiPriority w:val="0"/>
    <w:rPr>
      <w:rFonts w:ascii="宋体" w:hAnsi="宋体" w:eastAsia="宋体" w:cs="Courier New"/>
      <w:i/>
      <w:iCs/>
      <w:kern w:val="2"/>
      <w:sz w:val="32"/>
      <w:szCs w:val="32"/>
      <w:lang w:val="en-US" w:eastAsia="zh-CN" w:bidi="ar-SA"/>
    </w:rPr>
  </w:style>
  <w:style w:type="character" w:styleId="93">
    <w:name w:val="Hyperlink"/>
    <w:basedOn w:val="83"/>
    <w:unhideWhenUsed/>
    <w:qFormat/>
    <w:uiPriority w:val="99"/>
    <w:rPr>
      <w:color w:val="0563C1" w:themeColor="hyperlink"/>
      <w:u w:val="single"/>
      <w14:textFill>
        <w14:solidFill>
          <w14:schemeClr w14:val="hlink"/>
        </w14:solidFill>
      </w14:textFill>
    </w:rPr>
  </w:style>
  <w:style w:type="character" w:styleId="94">
    <w:name w:val="HTML Code"/>
    <w:qFormat/>
    <w:uiPriority w:val="0"/>
    <w:rPr>
      <w:rFonts w:ascii="Courier New" w:hAnsi="Courier New" w:eastAsia="宋体" w:cs="Courier New"/>
      <w:kern w:val="2"/>
      <w:sz w:val="20"/>
      <w:szCs w:val="20"/>
      <w:lang w:val="en-US" w:eastAsia="zh-CN" w:bidi="ar-SA"/>
    </w:rPr>
  </w:style>
  <w:style w:type="character" w:styleId="95">
    <w:name w:val="annotation reference"/>
    <w:basedOn w:val="83"/>
    <w:unhideWhenUsed/>
    <w:qFormat/>
    <w:uiPriority w:val="0"/>
    <w:rPr>
      <w:sz w:val="21"/>
      <w:szCs w:val="21"/>
    </w:rPr>
  </w:style>
  <w:style w:type="character" w:styleId="96">
    <w:name w:val="HTML Cite"/>
    <w:qFormat/>
    <w:uiPriority w:val="0"/>
    <w:rPr>
      <w:rFonts w:ascii="宋体" w:hAnsi="宋体" w:eastAsia="宋体" w:cs="Courier New"/>
      <w:i/>
      <w:iCs/>
      <w:kern w:val="2"/>
      <w:sz w:val="32"/>
      <w:szCs w:val="32"/>
      <w:lang w:val="en-US" w:eastAsia="zh-CN" w:bidi="ar-SA"/>
    </w:rPr>
  </w:style>
  <w:style w:type="character" w:styleId="97">
    <w:name w:val="footnote reference"/>
    <w:qFormat/>
    <w:uiPriority w:val="0"/>
    <w:rPr>
      <w:rFonts w:ascii="宋体" w:hAnsi="宋体" w:eastAsia="宋体" w:cs="Courier New"/>
      <w:kern w:val="2"/>
      <w:sz w:val="32"/>
      <w:szCs w:val="32"/>
      <w:vertAlign w:val="superscript"/>
      <w:lang w:val="en-US" w:eastAsia="zh-CN" w:bidi="ar-SA"/>
    </w:rPr>
  </w:style>
  <w:style w:type="character" w:styleId="98">
    <w:name w:val="HTML Keyboard"/>
    <w:qFormat/>
    <w:uiPriority w:val="0"/>
    <w:rPr>
      <w:rFonts w:ascii="Courier New" w:hAnsi="Courier New" w:eastAsia="宋体" w:cs="Courier New"/>
      <w:kern w:val="2"/>
      <w:sz w:val="20"/>
      <w:szCs w:val="20"/>
      <w:lang w:val="en-US" w:eastAsia="zh-CN" w:bidi="ar-SA"/>
    </w:rPr>
  </w:style>
  <w:style w:type="character" w:styleId="99">
    <w:name w:val="HTML Sample"/>
    <w:qFormat/>
    <w:uiPriority w:val="0"/>
    <w:rPr>
      <w:rFonts w:ascii="Courier New" w:hAnsi="Courier New" w:eastAsia="宋体" w:cs="Courier New"/>
      <w:kern w:val="2"/>
      <w:sz w:val="32"/>
      <w:szCs w:val="32"/>
      <w:lang w:val="en-US" w:eastAsia="zh-CN" w:bidi="ar-SA"/>
    </w:rPr>
  </w:style>
  <w:style w:type="character" w:customStyle="1" w:styleId="100">
    <w:name w:val="正文文本 字符"/>
    <w:basedOn w:val="83"/>
    <w:link w:val="28"/>
    <w:qFormat/>
    <w:uiPriority w:val="0"/>
    <w:rPr>
      <w:rFonts w:ascii="Times New Roman" w:hAnsi="Times New Roman" w:cs="Times New Roman"/>
      <w:kern w:val="0"/>
      <w:sz w:val="24"/>
      <w:szCs w:val="24"/>
    </w:rPr>
  </w:style>
  <w:style w:type="character" w:customStyle="1" w:styleId="101">
    <w:name w:val="标题 1 字符"/>
    <w:basedOn w:val="83"/>
    <w:link w:val="2"/>
    <w:qFormat/>
    <w:uiPriority w:val="0"/>
    <w:rPr>
      <w:rFonts w:ascii="黑体" w:hAnsi="Times New Roman" w:eastAsia="黑体" w:cs="黑体"/>
      <w:sz w:val="32"/>
      <w:szCs w:val="32"/>
    </w:rPr>
  </w:style>
  <w:style w:type="character" w:customStyle="1" w:styleId="102">
    <w:name w:val="标题 2 字符"/>
    <w:basedOn w:val="83"/>
    <w:link w:val="3"/>
    <w:qFormat/>
    <w:uiPriority w:val="0"/>
    <w:rPr>
      <w:rFonts w:ascii="黑体" w:hAnsi="Times New Roman" w:eastAsia="黑体" w:cs="黑体"/>
      <w:sz w:val="30"/>
      <w:szCs w:val="30"/>
    </w:rPr>
  </w:style>
  <w:style w:type="character" w:customStyle="1" w:styleId="103">
    <w:name w:val="标题 3 字符"/>
    <w:basedOn w:val="83"/>
    <w:link w:val="4"/>
    <w:qFormat/>
    <w:uiPriority w:val="99"/>
    <w:rPr>
      <w:rFonts w:ascii="黑体" w:hAnsi="Times New Roman" w:eastAsia="黑体" w:cs="黑体"/>
      <w:sz w:val="28"/>
      <w:szCs w:val="28"/>
    </w:rPr>
  </w:style>
  <w:style w:type="character" w:customStyle="1" w:styleId="104">
    <w:name w:val="标题 4 字符"/>
    <w:basedOn w:val="83"/>
    <w:link w:val="5"/>
    <w:qFormat/>
    <w:uiPriority w:val="0"/>
    <w:rPr>
      <w:rFonts w:ascii="黑体" w:hAnsi="黑体" w:eastAsia="黑体" w:cs="Times New Roman"/>
      <w:sz w:val="24"/>
      <w:szCs w:val="27"/>
    </w:rPr>
  </w:style>
  <w:style w:type="character" w:customStyle="1" w:styleId="105">
    <w:name w:val="标题 5 字符"/>
    <w:basedOn w:val="83"/>
    <w:link w:val="6"/>
    <w:qFormat/>
    <w:uiPriority w:val="0"/>
    <w:rPr>
      <w:rFonts w:ascii="Times New Roman" w:hAnsi="Times New Roman" w:cs="Times New Roman"/>
      <w:b/>
      <w:bCs/>
      <w:kern w:val="0"/>
      <w:sz w:val="28"/>
      <w:szCs w:val="28"/>
    </w:rPr>
  </w:style>
  <w:style w:type="paragraph" w:styleId="106">
    <w:name w:val="List Paragraph"/>
    <w:basedOn w:val="1"/>
    <w:qFormat/>
    <w:uiPriority w:val="1"/>
    <w:pPr>
      <w:spacing w:line="320" w:lineRule="exact"/>
      <w:ind w:firstLine="0" w:firstLineChars="0"/>
    </w:pPr>
    <w:rPr>
      <w:sz w:val="21"/>
    </w:rPr>
  </w:style>
  <w:style w:type="character" w:customStyle="1" w:styleId="107">
    <w:name w:val="页眉 字符"/>
    <w:basedOn w:val="83"/>
    <w:link w:val="48"/>
    <w:qFormat/>
    <w:uiPriority w:val="0"/>
    <w:rPr>
      <w:rFonts w:ascii="Times New Roman" w:hAnsi="Times New Roman" w:cs="Times New Roman"/>
      <w:kern w:val="0"/>
      <w:sz w:val="18"/>
      <w:szCs w:val="18"/>
    </w:rPr>
  </w:style>
  <w:style w:type="character" w:customStyle="1" w:styleId="108">
    <w:name w:val="页脚 字符"/>
    <w:basedOn w:val="83"/>
    <w:link w:val="46"/>
    <w:qFormat/>
    <w:uiPriority w:val="0"/>
    <w:rPr>
      <w:rFonts w:ascii="Times New Roman" w:hAnsi="Times New Roman" w:cs="Times New Roman"/>
      <w:kern w:val="0"/>
      <w:sz w:val="18"/>
      <w:szCs w:val="18"/>
    </w:rPr>
  </w:style>
  <w:style w:type="paragraph" w:customStyle="1" w:styleId="109">
    <w:name w:val="表格"/>
    <w:basedOn w:val="1"/>
    <w:link w:val="111"/>
    <w:qFormat/>
    <w:uiPriority w:val="0"/>
    <w:pPr>
      <w:spacing w:line="360" w:lineRule="exact"/>
      <w:ind w:firstLine="0" w:firstLineChars="0"/>
      <w:jc w:val="center"/>
    </w:pPr>
    <w:rPr>
      <w:sz w:val="21"/>
    </w:rPr>
  </w:style>
  <w:style w:type="character" w:customStyle="1" w:styleId="110">
    <w:name w:val="标题 6 字符"/>
    <w:basedOn w:val="83"/>
    <w:link w:val="7"/>
    <w:qFormat/>
    <w:uiPriority w:val="0"/>
    <w:rPr>
      <w:rFonts w:eastAsia="黑体" w:asciiTheme="majorHAnsi" w:hAnsiTheme="majorHAnsi" w:cstheme="majorBidi"/>
      <w:bCs/>
      <w:sz w:val="24"/>
      <w:szCs w:val="24"/>
    </w:rPr>
  </w:style>
  <w:style w:type="character" w:customStyle="1" w:styleId="111">
    <w:name w:val="表格 字符"/>
    <w:basedOn w:val="83"/>
    <w:link w:val="109"/>
    <w:qFormat/>
    <w:uiPriority w:val="0"/>
    <w:rPr>
      <w:rFonts w:ascii="Times New Roman" w:hAnsi="Times New Roman" w:eastAsia="宋体" w:cs="Times New Roman"/>
      <w:sz w:val="21"/>
      <w:szCs w:val="24"/>
    </w:rPr>
  </w:style>
  <w:style w:type="character" w:customStyle="1" w:styleId="112">
    <w:name w:val="正文文本 (2)_"/>
    <w:basedOn w:val="83"/>
    <w:link w:val="113"/>
    <w:qFormat/>
    <w:uiPriority w:val="0"/>
    <w:rPr>
      <w:rFonts w:ascii="Times New Roman" w:hAnsi="Times New Roman" w:eastAsia="Times New Roman" w:cs="Times New Roman"/>
      <w:sz w:val="28"/>
      <w:szCs w:val="28"/>
    </w:rPr>
  </w:style>
  <w:style w:type="paragraph" w:customStyle="1" w:styleId="113">
    <w:name w:val="正文文本 (2)"/>
    <w:basedOn w:val="1"/>
    <w:link w:val="112"/>
    <w:qFormat/>
    <w:uiPriority w:val="0"/>
    <w:pPr>
      <w:autoSpaceDE/>
      <w:autoSpaceDN/>
      <w:spacing w:line="500" w:lineRule="exact"/>
      <w:ind w:firstLine="580" w:firstLineChars="0"/>
    </w:pPr>
    <w:rPr>
      <w:rFonts w:eastAsia="Times New Roman"/>
      <w:sz w:val="28"/>
      <w:szCs w:val="28"/>
    </w:rPr>
  </w:style>
  <w:style w:type="character" w:customStyle="1" w:styleId="114">
    <w:name w:val="未处理的提及1"/>
    <w:basedOn w:val="83"/>
    <w:semiHidden/>
    <w:unhideWhenUsed/>
    <w:qFormat/>
    <w:uiPriority w:val="99"/>
    <w:rPr>
      <w:color w:val="605E5C"/>
      <w:shd w:val="clear" w:color="auto" w:fill="E1DFDD"/>
    </w:rPr>
  </w:style>
  <w:style w:type="character" w:customStyle="1" w:styleId="115">
    <w:name w:val="批注框文本 字符"/>
    <w:basedOn w:val="83"/>
    <w:link w:val="45"/>
    <w:qFormat/>
    <w:uiPriority w:val="0"/>
    <w:rPr>
      <w:rFonts w:ascii="Times New Roman" w:hAnsi="Times New Roman" w:eastAsia="宋体" w:cs="Times New Roman"/>
      <w:sz w:val="18"/>
      <w:szCs w:val="18"/>
    </w:rPr>
  </w:style>
  <w:style w:type="character" w:customStyle="1" w:styleId="116">
    <w:name w:val="表标题编号 Char"/>
    <w:link w:val="117"/>
    <w:qFormat/>
    <w:uiPriority w:val="0"/>
    <w:rPr>
      <w:rFonts w:eastAsia="黑体"/>
      <w:sz w:val="24"/>
      <w:szCs w:val="22"/>
    </w:rPr>
  </w:style>
  <w:style w:type="paragraph" w:customStyle="1" w:styleId="117">
    <w:name w:val="表标题编号"/>
    <w:basedOn w:val="1"/>
    <w:link w:val="116"/>
    <w:qFormat/>
    <w:uiPriority w:val="0"/>
    <w:pPr>
      <w:numPr>
        <w:ilvl w:val="4"/>
        <w:numId w:val="1"/>
      </w:numPr>
      <w:tabs>
        <w:tab w:val="left" w:pos="0"/>
      </w:tabs>
      <w:autoSpaceDE/>
      <w:autoSpaceDN/>
      <w:spacing w:line="240" w:lineRule="auto"/>
      <w:ind w:firstLine="0" w:firstLineChars="0"/>
      <w:jc w:val="center"/>
    </w:pPr>
    <w:rPr>
      <w:rFonts w:eastAsia="黑体" w:asciiTheme="minorHAnsi" w:hAnsiTheme="minorHAnsi" w:cstheme="minorBidi"/>
      <w:szCs w:val="22"/>
    </w:rPr>
  </w:style>
  <w:style w:type="character" w:customStyle="1" w:styleId="118">
    <w:name w:val="日期 字符"/>
    <w:basedOn w:val="83"/>
    <w:link w:val="42"/>
    <w:qFormat/>
    <w:uiPriority w:val="0"/>
    <w:rPr>
      <w:rFonts w:ascii="Times New Roman" w:hAnsi="Times New Roman" w:eastAsia="宋体" w:cs="Times New Roman"/>
      <w:sz w:val="24"/>
      <w:szCs w:val="24"/>
    </w:rPr>
  </w:style>
  <w:style w:type="table" w:customStyle="1" w:styleId="119">
    <w:name w:val="网格型1"/>
    <w:basedOn w:val="7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0">
    <w:name w:val="批注文字 字符"/>
    <w:basedOn w:val="83"/>
    <w:link w:val="23"/>
    <w:qFormat/>
    <w:uiPriority w:val="0"/>
    <w:rPr>
      <w:rFonts w:ascii="Times New Roman" w:hAnsi="Times New Roman" w:eastAsia="宋体" w:cs="Times New Roman"/>
      <w:sz w:val="24"/>
      <w:szCs w:val="24"/>
    </w:rPr>
  </w:style>
  <w:style w:type="character" w:customStyle="1" w:styleId="121">
    <w:name w:val="批注主题 字符"/>
    <w:basedOn w:val="120"/>
    <w:link w:val="73"/>
    <w:qFormat/>
    <w:uiPriority w:val="0"/>
    <w:rPr>
      <w:rFonts w:ascii="Times New Roman" w:hAnsi="Times New Roman" w:eastAsia="宋体" w:cs="Times New Roman"/>
      <w:b/>
      <w:bCs/>
      <w:sz w:val="24"/>
      <w:szCs w:val="24"/>
    </w:rPr>
  </w:style>
  <w:style w:type="character" w:customStyle="1" w:styleId="122">
    <w:name w:val="表格标题 Char Char"/>
    <w:link w:val="123"/>
    <w:qFormat/>
    <w:uiPriority w:val="0"/>
    <w:rPr>
      <w:rFonts w:ascii="黑体" w:hAnsi="宋体" w:eastAsia="黑体" w:cs="宋体"/>
      <w:kern w:val="2"/>
      <w:sz w:val="24"/>
      <w:szCs w:val="24"/>
    </w:rPr>
  </w:style>
  <w:style w:type="paragraph" w:customStyle="1" w:styleId="123">
    <w:name w:val="表格标题"/>
    <w:basedOn w:val="1"/>
    <w:link w:val="122"/>
    <w:qFormat/>
    <w:uiPriority w:val="0"/>
    <w:pPr>
      <w:keepNext/>
      <w:keepLines/>
      <w:widowControl/>
      <w:autoSpaceDE/>
      <w:autoSpaceDN/>
      <w:spacing w:line="240" w:lineRule="auto"/>
      <w:ind w:firstLine="0" w:firstLineChars="0"/>
      <w:jc w:val="center"/>
    </w:pPr>
    <w:rPr>
      <w:rFonts w:ascii="黑体" w:hAnsi="宋体" w:eastAsia="黑体" w:cs="宋体"/>
      <w:kern w:val="2"/>
    </w:rPr>
  </w:style>
  <w:style w:type="paragraph" w:customStyle="1" w:styleId="124">
    <w:name w:val="表格内容（正）"/>
    <w:basedOn w:val="18"/>
    <w:qFormat/>
    <w:uiPriority w:val="0"/>
    <w:pPr>
      <w:widowControl/>
      <w:autoSpaceDE/>
      <w:autoSpaceDN/>
      <w:spacing w:line="240" w:lineRule="auto"/>
      <w:ind w:firstLine="0" w:firstLineChars="0"/>
      <w:jc w:val="center"/>
    </w:pPr>
    <w:rPr>
      <w:rFonts w:cs="宋体"/>
      <w:kern w:val="2"/>
      <w:sz w:val="21"/>
      <w:szCs w:val="21"/>
    </w:rPr>
  </w:style>
  <w:style w:type="table" w:customStyle="1" w:styleId="125">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6">
    <w:name w:val="Table Normal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7">
    <w:name w:val="Table Normal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8">
    <w:name w:val="Table Normal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9">
    <w:name w:val="Table Normal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0">
    <w:name w:val="Table Normal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1">
    <w:name w:val="Table Normal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2">
    <w:name w:val="Table Normal6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3">
    <w:name w:val="Table Normal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4">
    <w:name w:val="Table Normal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5">
    <w:name w:val="Table Normal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6">
    <w:name w:val="Table Normal1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7">
    <w:name w:val="Table Normal1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8">
    <w:name w:val="Table Normal1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9">
    <w:name w:val="Table Normal7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0">
    <w:name w:val="Table Normal1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1">
    <w:name w:val="Table Normal1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2">
    <w:name w:val="Table Normal1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3">
    <w:name w:val="Table Normal1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4">
    <w:name w:val="Table Normal1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5">
    <w:name w:val="Table Normal1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6">
    <w:name w:val="Table Normal1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7">
    <w:name w:val="Table Normal2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8">
    <w:name w:val="Table Normal2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9">
    <w:name w:val="Table Normal2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0">
    <w:name w:val="Table Normal2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1">
    <w:name w:val="Table Normal2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2">
    <w:name w:val="Table Normal2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3">
    <w:name w:val="Table Normal2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4">
    <w:name w:val="Table Normal2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5">
    <w:name w:val="Table Normal2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6">
    <w:name w:val="Table Normal2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7">
    <w:name w:val="Table Normal3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8">
    <w:name w:val="Table Normal3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59">
    <w:name w:val="Table Normal3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60">
    <w:name w:val="Table Normal3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61">
    <w:name w:val="Table Normal3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62">
    <w:name w:val="Table Normal3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63">
    <w:name w:val="Table Normal3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64">
    <w:name w:val="Table Normal3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65">
    <w:name w:val="Table Normal3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66">
    <w:name w:val="网格型2"/>
    <w:basedOn w:val="7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7">
    <w:name w:val="正文文本缩进 字符"/>
    <w:basedOn w:val="83"/>
    <w:link w:val="29"/>
    <w:qFormat/>
    <w:uiPriority w:val="0"/>
    <w:rPr>
      <w:rFonts w:ascii="Times New Roman" w:hAnsi="Times New Roman" w:eastAsia="宋体" w:cs="Times New Roman"/>
      <w:sz w:val="24"/>
      <w:szCs w:val="24"/>
    </w:rPr>
  </w:style>
  <w:style w:type="character" w:customStyle="1" w:styleId="168">
    <w:name w:val="正文文本首行缩进 2 字符"/>
    <w:basedOn w:val="167"/>
    <w:link w:val="75"/>
    <w:qFormat/>
    <w:uiPriority w:val="0"/>
    <w:rPr>
      <w:rFonts w:ascii="Times New Roman" w:hAnsi="Times New Roman" w:eastAsia="宋体" w:cs="Times New Roman"/>
      <w:sz w:val="24"/>
      <w:szCs w:val="24"/>
    </w:rPr>
  </w:style>
  <w:style w:type="table" w:customStyle="1" w:styleId="169">
    <w:name w:val="网格型3"/>
    <w:basedOn w:val="7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
    <w:name w:val="网格型4"/>
    <w:basedOn w:val="7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
    <w:name w:val="网格型5"/>
    <w:basedOn w:val="7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2">
    <w:name w:val="纯文本 字符"/>
    <w:basedOn w:val="83"/>
    <w:qFormat/>
    <w:uiPriority w:val="0"/>
    <w:rPr>
      <w:rFonts w:hAnsi="Courier New" w:cs="Courier New" w:asciiTheme="minorEastAsia"/>
      <w:sz w:val="24"/>
      <w:szCs w:val="24"/>
    </w:rPr>
  </w:style>
  <w:style w:type="character" w:customStyle="1" w:styleId="173">
    <w:name w:val="纯文本 字符1"/>
    <w:link w:val="38"/>
    <w:qFormat/>
    <w:uiPriority w:val="0"/>
    <w:rPr>
      <w:rFonts w:ascii="宋体" w:hAnsi="Courier New" w:eastAsia="宋体" w:cs="Times New Roman"/>
      <w:sz w:val="21"/>
    </w:rPr>
  </w:style>
  <w:style w:type="table" w:customStyle="1" w:styleId="174">
    <w:name w:val="Table Normal3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75">
    <w:name w:val="Table Normal4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76">
    <w:name w:val="Table Normal4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77">
    <w:name w:val="Table Normal4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78">
    <w:name w:val="Table Normal4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79">
    <w:name w:val="Table Normal4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0">
    <w:name w:val="Table Normal4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1">
    <w:name w:val="Table Normal4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2">
    <w:name w:val="Table Normal4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3">
    <w:name w:val="Table Normal4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4">
    <w:name w:val="Table Normal4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5">
    <w:name w:val="Table Normal5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6">
    <w:name w:val="Table Normal5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7">
    <w:name w:val="Table Normal5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8">
    <w:name w:val="Table Normal5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89">
    <w:name w:val="Table Normal5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90">
    <w:name w:val="网格型6"/>
    <w:basedOn w:val="76"/>
    <w:uiPriority w:val="39"/>
    <w:pPr>
      <w:widowControl w:val="0"/>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1">
    <w:name w:val="表格正文"/>
    <w:basedOn w:val="1"/>
    <w:next w:val="1"/>
    <w:link w:val="192"/>
    <w:qFormat/>
    <w:uiPriority w:val="0"/>
    <w:pPr>
      <w:autoSpaceDE/>
      <w:autoSpaceDN/>
      <w:spacing w:line="288" w:lineRule="auto"/>
      <w:ind w:firstLine="0" w:firstLineChars="0"/>
      <w:jc w:val="center"/>
    </w:pPr>
    <w:rPr>
      <w:rFonts w:eastAsiaTheme="minorEastAsia" w:cstheme="minorBidi"/>
      <w:kern w:val="2"/>
      <w:sz w:val="21"/>
      <w:szCs w:val="21"/>
    </w:rPr>
  </w:style>
  <w:style w:type="character" w:customStyle="1" w:styleId="192">
    <w:name w:val="表格正文 字符"/>
    <w:link w:val="191"/>
    <w:qFormat/>
    <w:uiPriority w:val="0"/>
    <w:rPr>
      <w:rFonts w:ascii="Times New Roman" w:hAnsi="Times New Roman"/>
      <w:kern w:val="2"/>
      <w:sz w:val="21"/>
      <w:szCs w:val="21"/>
    </w:rPr>
  </w:style>
  <w:style w:type="character" w:customStyle="1" w:styleId="193">
    <w:name w:val="正文文本首行缩进 字符"/>
    <w:basedOn w:val="100"/>
    <w:link w:val="74"/>
    <w:qFormat/>
    <w:uiPriority w:val="0"/>
    <w:rPr>
      <w:rFonts w:ascii="Times New Roman" w:hAnsi="Times New Roman" w:eastAsia="宋体" w:cs="Times New Roman"/>
      <w:kern w:val="0"/>
      <w:sz w:val="24"/>
      <w:szCs w:val="24"/>
    </w:rPr>
  </w:style>
  <w:style w:type="character" w:customStyle="1" w:styleId="194">
    <w:name w:val="标题 7 字符"/>
    <w:basedOn w:val="83"/>
    <w:link w:val="8"/>
    <w:qFormat/>
    <w:uiPriority w:val="0"/>
    <w:rPr>
      <w:rFonts w:ascii="Calibri" w:hAnsi="Calibri" w:eastAsia="仿宋_GB2312" w:cs="Times New Roman"/>
      <w:spacing w:val="-4"/>
      <w:kern w:val="20"/>
      <w:sz w:val="28"/>
      <w:lang w:val="zh-CN" w:eastAsia="zh-CN"/>
    </w:rPr>
  </w:style>
  <w:style w:type="character" w:customStyle="1" w:styleId="195">
    <w:name w:val="标题 8 字符"/>
    <w:basedOn w:val="83"/>
    <w:link w:val="9"/>
    <w:qFormat/>
    <w:uiPriority w:val="0"/>
    <w:rPr>
      <w:rFonts w:ascii="Arial" w:hAnsi="Arial" w:eastAsia="仿宋_GB2312" w:cs="Times New Roman"/>
      <w:b/>
      <w:spacing w:val="-4"/>
      <w:kern w:val="20"/>
      <w:sz w:val="18"/>
      <w:lang w:val="zh-CN" w:eastAsia="zh-CN"/>
    </w:rPr>
  </w:style>
  <w:style w:type="character" w:customStyle="1" w:styleId="196">
    <w:name w:val="标题 9 字符"/>
    <w:basedOn w:val="83"/>
    <w:link w:val="10"/>
    <w:qFormat/>
    <w:uiPriority w:val="0"/>
    <w:rPr>
      <w:rFonts w:ascii="Arial" w:hAnsi="Arial" w:eastAsia="仿宋_GB2312" w:cs="Times New Roman"/>
      <w:spacing w:val="-6"/>
      <w:kern w:val="20"/>
      <w:sz w:val="18"/>
      <w:lang w:val="zh-CN" w:eastAsia="zh-CN"/>
    </w:rPr>
  </w:style>
  <w:style w:type="paragraph" w:customStyle="1" w:styleId="197">
    <w:name w:val="报告正文"/>
    <w:basedOn w:val="1"/>
    <w:link w:val="198"/>
    <w:qFormat/>
    <w:uiPriority w:val="1"/>
    <w:pPr>
      <w:widowControl/>
      <w:autoSpaceDE/>
      <w:autoSpaceDN/>
      <w:ind w:firstLine="482" w:firstLineChars="0"/>
    </w:pPr>
    <w:rPr>
      <w:rFonts w:ascii="宋体" w:hAnsi="宋体"/>
      <w:szCs w:val="20"/>
      <w:lang w:val="zh-CN"/>
    </w:rPr>
  </w:style>
  <w:style w:type="character" w:customStyle="1" w:styleId="198">
    <w:name w:val="报告正文 Char Char"/>
    <w:link w:val="197"/>
    <w:qFormat/>
    <w:uiPriority w:val="1"/>
    <w:rPr>
      <w:rFonts w:ascii="宋体" w:hAnsi="宋体" w:eastAsia="宋体" w:cs="Times New Roman"/>
      <w:sz w:val="24"/>
      <w:lang w:val="zh-CN" w:eastAsia="zh-CN"/>
    </w:rPr>
  </w:style>
  <w:style w:type="paragraph" w:customStyle="1" w:styleId="199">
    <w:name w:val="正文首行缩进1"/>
    <w:basedOn w:val="28"/>
    <w:link w:val="200"/>
    <w:qFormat/>
    <w:uiPriority w:val="0"/>
    <w:pPr>
      <w:autoSpaceDE/>
      <w:autoSpaceDN/>
      <w:spacing w:before="0" w:after="120" w:line="240" w:lineRule="auto"/>
      <w:ind w:left="0" w:firstLine="420" w:firstLineChars="100"/>
      <w:jc w:val="both"/>
    </w:pPr>
    <w:rPr>
      <w:rFonts w:ascii="Calibri" w:hAnsi="Calibri" w:cs="Times New Roman"/>
      <w:kern w:val="2"/>
      <w:sz w:val="21"/>
      <w:lang w:val="zh-CN"/>
    </w:rPr>
  </w:style>
  <w:style w:type="character" w:customStyle="1" w:styleId="200">
    <w:name w:val="正文首行缩进 Char"/>
    <w:link w:val="199"/>
    <w:qFormat/>
    <w:uiPriority w:val="0"/>
    <w:rPr>
      <w:rFonts w:ascii="Calibri" w:hAnsi="Calibri" w:eastAsia="宋体" w:cs="Times New Roman"/>
      <w:kern w:val="2"/>
      <w:sz w:val="21"/>
      <w:szCs w:val="24"/>
      <w:lang w:val="zh-CN" w:eastAsia="zh-CN"/>
    </w:rPr>
  </w:style>
  <w:style w:type="character" w:customStyle="1" w:styleId="201">
    <w:name w:val="已访问的超级链接"/>
    <w:uiPriority w:val="0"/>
    <w:rPr>
      <w:color w:val="800080"/>
      <w:u w:val="single"/>
    </w:rPr>
  </w:style>
  <w:style w:type="character" w:customStyle="1" w:styleId="202">
    <w:name w:val="HTML 引文1"/>
    <w:uiPriority w:val="0"/>
    <w:rPr>
      <w:rFonts w:ascii="宋体" w:hAnsi="宋体" w:eastAsia="宋体" w:cs="Courier New"/>
      <w:i/>
      <w:iCs/>
      <w:kern w:val="2"/>
      <w:sz w:val="32"/>
      <w:szCs w:val="32"/>
      <w:lang w:val="en-US" w:eastAsia="zh-CN"/>
    </w:rPr>
  </w:style>
  <w:style w:type="character" w:customStyle="1" w:styleId="203">
    <w:name w:val="k1"/>
    <w:basedOn w:val="83"/>
    <w:uiPriority w:val="0"/>
  </w:style>
  <w:style w:type="character" w:customStyle="1" w:styleId="204">
    <w:name w:val="articlebody3"/>
    <w:uiPriority w:val="0"/>
    <w:rPr>
      <w:sz w:val="21"/>
      <w:szCs w:val="21"/>
    </w:rPr>
  </w:style>
  <w:style w:type="character" w:customStyle="1" w:styleId="205">
    <w:name w:val="样式 标题4 1.1.1.1 Char"/>
    <w:link w:val="206"/>
    <w:qFormat/>
    <w:uiPriority w:val="0"/>
    <w:rPr>
      <w:rFonts w:ascii="宋体" w:hAnsi="宋体" w:cs="宋体"/>
      <w:b/>
      <w:bCs/>
      <w:sz w:val="24"/>
    </w:rPr>
  </w:style>
  <w:style w:type="paragraph" w:customStyle="1" w:styleId="206">
    <w:name w:val="样式 标题4 1.1.1.1"/>
    <w:basedOn w:val="5"/>
    <w:next w:val="207"/>
    <w:link w:val="205"/>
    <w:qFormat/>
    <w:uiPriority w:val="0"/>
    <w:pPr>
      <w:keepNext/>
      <w:keepLines/>
      <w:numPr>
        <w:ilvl w:val="0"/>
        <w:numId w:val="0"/>
      </w:numPr>
      <w:autoSpaceDE/>
      <w:autoSpaceDN/>
      <w:jc w:val="both"/>
    </w:pPr>
    <w:rPr>
      <w:rFonts w:ascii="宋体" w:hAnsi="宋体" w:cs="宋体" w:eastAsiaTheme="minorEastAsia"/>
      <w:b/>
      <w:bCs/>
      <w:szCs w:val="20"/>
    </w:rPr>
  </w:style>
  <w:style w:type="paragraph" w:customStyle="1" w:styleId="207">
    <w:name w:val="正文格式"/>
    <w:basedOn w:val="64"/>
    <w:next w:val="28"/>
    <w:link w:val="209"/>
    <w:qFormat/>
    <w:uiPriority w:val="0"/>
    <w:pPr>
      <w:spacing w:before="0" w:line="360" w:lineRule="auto"/>
      <w:ind w:firstLine="200" w:firstLineChars="200"/>
    </w:pPr>
    <w:rPr>
      <w:sz w:val="24"/>
      <w:szCs w:val="24"/>
    </w:rPr>
  </w:style>
  <w:style w:type="character" w:customStyle="1" w:styleId="208">
    <w:name w:val="正文文本 2 字符"/>
    <w:basedOn w:val="83"/>
    <w:link w:val="64"/>
    <w:qFormat/>
    <w:uiPriority w:val="0"/>
    <w:rPr>
      <w:rFonts w:ascii="宋体" w:hAnsi="Calibri" w:eastAsia="宋体" w:cs="Times New Roman"/>
      <w:spacing w:val="8"/>
      <w:kern w:val="2"/>
      <w:sz w:val="28"/>
      <w:lang w:val="zh-CN" w:eastAsia="zh-CN"/>
    </w:rPr>
  </w:style>
  <w:style w:type="character" w:customStyle="1" w:styleId="209">
    <w:name w:val="正文格式 Char Char"/>
    <w:link w:val="207"/>
    <w:qFormat/>
    <w:uiPriority w:val="0"/>
    <w:rPr>
      <w:rFonts w:ascii="宋体" w:hAnsi="Calibri" w:eastAsia="宋体" w:cs="Times New Roman"/>
      <w:spacing w:val="8"/>
      <w:kern w:val="2"/>
      <w:sz w:val="24"/>
      <w:szCs w:val="24"/>
      <w:lang w:val="zh-CN" w:eastAsia="zh-CN"/>
    </w:rPr>
  </w:style>
  <w:style w:type="character" w:customStyle="1" w:styleId="210">
    <w:name w:val="正文文本 3 字符"/>
    <w:link w:val="25"/>
    <w:qFormat/>
    <w:uiPriority w:val="0"/>
    <w:rPr>
      <w:rFonts w:ascii="仿宋_GB2312" w:hAnsi="宋体" w:eastAsia="仿宋_GB2312"/>
      <w:kern w:val="2"/>
      <w:sz w:val="24"/>
    </w:rPr>
  </w:style>
  <w:style w:type="character" w:customStyle="1" w:styleId="211">
    <w:name w:val="正文文本 3 字符1"/>
    <w:basedOn w:val="83"/>
    <w:semiHidden/>
    <w:uiPriority w:val="99"/>
    <w:rPr>
      <w:rFonts w:ascii="Times New Roman" w:hAnsi="Times New Roman" w:eastAsia="宋体" w:cs="Times New Roman"/>
      <w:sz w:val="16"/>
      <w:szCs w:val="16"/>
    </w:rPr>
  </w:style>
  <w:style w:type="character" w:customStyle="1" w:styleId="212">
    <w:name w:val="Char Char41"/>
    <w:qFormat/>
    <w:uiPriority w:val="0"/>
    <w:rPr>
      <w:rFonts w:eastAsia="宋体"/>
      <w:b/>
      <w:bCs/>
      <w:kern w:val="44"/>
      <w:sz w:val="28"/>
      <w:szCs w:val="28"/>
      <w:lang w:val="en-US" w:eastAsia="zh-CN" w:bidi="ar-SA"/>
    </w:rPr>
  </w:style>
  <w:style w:type="character" w:customStyle="1" w:styleId="213">
    <w:name w:val="报告书正文 Char"/>
    <w:uiPriority w:val="0"/>
    <w:rPr>
      <w:rFonts w:ascii="宋体" w:hAnsi="宋体" w:eastAsia="宋体" w:cs="宋体"/>
      <w:kern w:val="0"/>
      <w:sz w:val="24"/>
      <w:szCs w:val="24"/>
    </w:rPr>
  </w:style>
  <w:style w:type="character" w:customStyle="1" w:styleId="214">
    <w:name w:val="下标"/>
    <w:uiPriority w:val="0"/>
    <w:rPr>
      <w:sz w:val="24"/>
      <w:vertAlign w:val="subscript"/>
    </w:rPr>
  </w:style>
  <w:style w:type="character" w:customStyle="1" w:styleId="215">
    <w:name w:val="副标题 字符"/>
    <w:link w:val="53"/>
    <w:uiPriority w:val="0"/>
    <w:rPr>
      <w:rFonts w:ascii="Arial" w:hAnsi="Arial" w:cs="Arial"/>
      <w:b/>
      <w:bCs/>
      <w:kern w:val="28"/>
      <w:sz w:val="32"/>
      <w:szCs w:val="32"/>
    </w:rPr>
  </w:style>
  <w:style w:type="character" w:customStyle="1" w:styleId="216">
    <w:name w:val="副标题 字符1"/>
    <w:basedOn w:val="83"/>
    <w:uiPriority w:val="11"/>
    <w:rPr>
      <w:b/>
      <w:bCs/>
      <w:kern w:val="28"/>
      <w:sz w:val="32"/>
      <w:szCs w:val="32"/>
    </w:rPr>
  </w:style>
  <w:style w:type="character" w:customStyle="1" w:styleId="217">
    <w:name w:val="兴化美联正文样式 Char"/>
    <w:link w:val="218"/>
    <w:qFormat/>
    <w:uiPriority w:val="0"/>
    <w:rPr>
      <w:rFonts w:ascii="宋体" w:hAnsi="宋体" w:cs="宋体"/>
      <w:color w:val="000000"/>
      <w:sz w:val="24"/>
      <w:szCs w:val="24"/>
    </w:rPr>
  </w:style>
  <w:style w:type="paragraph" w:customStyle="1" w:styleId="218">
    <w:name w:val="兴化美联正文样式"/>
    <w:basedOn w:val="1"/>
    <w:link w:val="217"/>
    <w:qFormat/>
    <w:uiPriority w:val="0"/>
    <w:pPr>
      <w:widowControl/>
      <w:autoSpaceDE/>
      <w:autoSpaceDN/>
      <w:ind w:firstLine="480"/>
    </w:pPr>
    <w:rPr>
      <w:rFonts w:ascii="宋体" w:hAnsi="宋体" w:cs="宋体" w:eastAsiaTheme="minorEastAsia"/>
      <w:color w:val="000000"/>
    </w:rPr>
  </w:style>
  <w:style w:type="character" w:customStyle="1" w:styleId="219">
    <w:name w:val="批注文字 Char2"/>
    <w:semiHidden/>
    <w:qFormat/>
    <w:uiPriority w:val="99"/>
    <w:rPr>
      <w:rFonts w:ascii="Times New Roman" w:hAnsi="Times New Roman" w:eastAsia="宋体" w:cs="Times New Roman"/>
      <w:szCs w:val="24"/>
    </w:rPr>
  </w:style>
  <w:style w:type="character" w:customStyle="1" w:styleId="220">
    <w:name w:val="正文1 Char"/>
    <w:qFormat/>
    <w:uiPriority w:val="0"/>
    <w:rPr>
      <w:rFonts w:ascii="宋体"/>
      <w:spacing w:val="6"/>
      <w:sz w:val="28"/>
    </w:rPr>
  </w:style>
  <w:style w:type="character" w:customStyle="1" w:styleId="221">
    <w:name w:val="页眉 Char Char"/>
    <w:uiPriority w:val="0"/>
    <w:rPr>
      <w:rFonts w:ascii="Times New Roman" w:hAnsi="Times New Roman" w:eastAsia="宋体" w:cs="Times New Roman"/>
      <w:sz w:val="18"/>
      <w:szCs w:val="18"/>
    </w:rPr>
  </w:style>
  <w:style w:type="character" w:customStyle="1" w:styleId="222">
    <w:name w:val="样式 仿宋_GB2312 小四2"/>
    <w:uiPriority w:val="0"/>
    <w:rPr>
      <w:rFonts w:ascii="Times New Roman" w:hAnsi="Times New Roman" w:eastAsia="仿宋_GB2312" w:cs="Courier New"/>
      <w:kern w:val="2"/>
      <w:sz w:val="24"/>
      <w:szCs w:val="24"/>
      <w:lang w:val="en-US" w:eastAsia="zh-CN" w:bidi="ar-SA"/>
    </w:rPr>
  </w:style>
  <w:style w:type="character" w:customStyle="1" w:styleId="223">
    <w:name w:val="zimu_111"/>
    <w:uiPriority w:val="0"/>
    <w:rPr>
      <w:rFonts w:hint="default" w:ascii="Verdana" w:hAnsi="Verdana"/>
      <w:b/>
      <w:bCs/>
      <w:color w:val="0F54A1"/>
      <w:sz w:val="15"/>
      <w:szCs w:val="15"/>
      <w:u w:val="none"/>
    </w:rPr>
  </w:style>
  <w:style w:type="character" w:customStyle="1" w:styleId="224">
    <w:name w:val="表格 Char Char"/>
    <w:qFormat/>
    <w:uiPriority w:val="0"/>
    <w:rPr>
      <w:rFonts w:ascii="仿宋_GB2312" w:eastAsia="仿宋_GB2312"/>
      <w:color w:val="000000"/>
      <w:sz w:val="24"/>
      <w:szCs w:val="21"/>
      <w:lang w:val="en-US" w:eastAsia="zh-CN" w:bidi="ar-SA"/>
    </w:rPr>
  </w:style>
  <w:style w:type="character" w:customStyle="1" w:styleId="225">
    <w:name w:val="a) Char"/>
    <w:uiPriority w:val="0"/>
    <w:rPr>
      <w:rFonts w:ascii="宋体" w:hAnsi="宋体" w:eastAsia="宋体" w:cs="宋体"/>
      <w:kern w:val="0"/>
      <w:sz w:val="28"/>
      <w:szCs w:val="20"/>
    </w:rPr>
  </w:style>
  <w:style w:type="character" w:customStyle="1" w:styleId="226">
    <w:name w:val="标题 2 + 行距: 标题2+首行缩进 0倍 Char Char"/>
    <w:link w:val="227"/>
    <w:uiPriority w:val="0"/>
    <w:rPr>
      <w:rFonts w:ascii="黑体" w:eastAsia="黑体" w:cs="宋体"/>
      <w:sz w:val="30"/>
    </w:rPr>
  </w:style>
  <w:style w:type="paragraph" w:customStyle="1" w:styleId="227">
    <w:name w:val="标题 2 + 行距: 标题2+首行缩进 0倍"/>
    <w:basedOn w:val="3"/>
    <w:link w:val="226"/>
    <w:uiPriority w:val="0"/>
    <w:pPr>
      <w:keepNext/>
      <w:keepLines/>
      <w:widowControl/>
      <w:numPr>
        <w:ilvl w:val="0"/>
        <w:numId w:val="0"/>
      </w:numPr>
      <w:tabs>
        <w:tab w:val="left" w:pos="8140"/>
      </w:tabs>
      <w:autoSpaceDE/>
      <w:autoSpaceDN/>
    </w:pPr>
    <w:rPr>
      <w:rFonts w:cs="宋体" w:hAnsiTheme="minorHAnsi"/>
      <w:szCs w:val="20"/>
    </w:rPr>
  </w:style>
  <w:style w:type="character" w:customStyle="1" w:styleId="228">
    <w:name w:val="正文文本缩进 3 字符"/>
    <w:link w:val="59"/>
    <w:uiPriority w:val="0"/>
    <w:rPr>
      <w:rFonts w:ascii="仿宋_GB2312" w:hAnsi="宋体" w:eastAsia="仿宋_GB2312"/>
      <w:kern w:val="2"/>
      <w:sz w:val="28"/>
      <w:szCs w:val="24"/>
    </w:rPr>
  </w:style>
  <w:style w:type="character" w:customStyle="1" w:styleId="229">
    <w:name w:val="正文文本缩进 3 字符1"/>
    <w:basedOn w:val="83"/>
    <w:semiHidden/>
    <w:uiPriority w:val="99"/>
    <w:rPr>
      <w:rFonts w:ascii="Times New Roman" w:hAnsi="Times New Roman" w:eastAsia="宋体" w:cs="Times New Roman"/>
      <w:sz w:val="16"/>
      <w:szCs w:val="16"/>
    </w:rPr>
  </w:style>
  <w:style w:type="character" w:customStyle="1" w:styleId="230">
    <w:name w:val="style21"/>
    <w:uiPriority w:val="0"/>
    <w:rPr>
      <w:sz w:val="40"/>
      <w:szCs w:val="40"/>
    </w:rPr>
  </w:style>
  <w:style w:type="character" w:customStyle="1" w:styleId="231">
    <w:name w:val="标题 5 Char1"/>
    <w:uiPriority w:val="0"/>
    <w:rPr>
      <w:rFonts w:ascii="宋体" w:hAnsi="宋体" w:eastAsia="宋体" w:cs="宋体"/>
      <w:b/>
      <w:kern w:val="0"/>
      <w:sz w:val="28"/>
      <w:szCs w:val="20"/>
    </w:rPr>
  </w:style>
  <w:style w:type="character" w:customStyle="1" w:styleId="232">
    <w:name w:val="样式 1.1二级标题 Char"/>
    <w:link w:val="233"/>
    <w:qFormat/>
    <w:uiPriority w:val="0"/>
    <w:rPr>
      <w:rFonts w:ascii="黑体" w:eastAsia="黑体" w:cs="宋体"/>
      <w:b/>
      <w:sz w:val="30"/>
      <w:szCs w:val="30"/>
    </w:rPr>
  </w:style>
  <w:style w:type="paragraph" w:customStyle="1" w:styleId="233">
    <w:name w:val="样式 1.1二级标题"/>
    <w:basedOn w:val="234"/>
    <w:link w:val="232"/>
    <w:qFormat/>
    <w:uiPriority w:val="0"/>
    <w:pPr>
      <w:spacing w:before="0" w:beforeLines="0"/>
    </w:pPr>
    <w:rPr>
      <w:rFonts w:ascii="黑体" w:cs="宋体" w:hAnsiTheme="minorHAnsi"/>
      <w:szCs w:val="30"/>
      <w:lang w:val="en-US"/>
    </w:rPr>
  </w:style>
  <w:style w:type="paragraph" w:customStyle="1" w:styleId="234">
    <w:name w:val="1.1二级标题"/>
    <w:basedOn w:val="1"/>
    <w:link w:val="235"/>
    <w:qFormat/>
    <w:uiPriority w:val="0"/>
    <w:pPr>
      <w:widowControl/>
      <w:autoSpaceDE/>
      <w:autoSpaceDN/>
      <w:spacing w:before="156" w:beforeLines="50"/>
      <w:ind w:left="134" w:firstLine="0" w:firstLineChars="0"/>
      <w:outlineLvl w:val="1"/>
    </w:pPr>
    <w:rPr>
      <w:rFonts w:ascii="Calibri" w:hAnsi="Calibri" w:eastAsia="黑体"/>
      <w:b/>
      <w:sz w:val="30"/>
      <w:szCs w:val="20"/>
      <w:lang w:val="zh-CN"/>
    </w:rPr>
  </w:style>
  <w:style w:type="character" w:customStyle="1" w:styleId="235">
    <w:name w:val="1.1二级标题 Char"/>
    <w:link w:val="234"/>
    <w:qFormat/>
    <w:uiPriority w:val="0"/>
    <w:rPr>
      <w:rFonts w:ascii="Calibri" w:hAnsi="Calibri" w:eastAsia="黑体" w:cs="Times New Roman"/>
      <w:b/>
      <w:sz w:val="30"/>
      <w:lang w:val="zh-CN" w:eastAsia="zh-CN"/>
    </w:rPr>
  </w:style>
  <w:style w:type="character" w:customStyle="1" w:styleId="236">
    <w:name w:val="fontstyle11"/>
    <w:qFormat/>
    <w:uiPriority w:val="0"/>
    <w:rPr>
      <w:rFonts w:ascii="TimesNewRomanPSMT" w:hAnsi="TimesNewRomanPSMT" w:eastAsia="TimesNewRomanPSMT" w:cs="TimesNewRomanPSMT"/>
      <w:color w:val="000000"/>
      <w:sz w:val="24"/>
      <w:szCs w:val="24"/>
    </w:rPr>
  </w:style>
  <w:style w:type="character" w:customStyle="1" w:styleId="237">
    <w:name w:val="Font Style322"/>
    <w:uiPriority w:val="0"/>
    <w:rPr>
      <w:rFonts w:ascii="Times New Roman" w:hAnsi="Times New Roman" w:cs="Times New Roman"/>
      <w:i/>
      <w:iCs/>
      <w:sz w:val="22"/>
      <w:szCs w:val="22"/>
    </w:rPr>
  </w:style>
  <w:style w:type="character" w:customStyle="1" w:styleId="238">
    <w:name w:val="批注引用1"/>
    <w:uiPriority w:val="0"/>
    <w:rPr>
      <w:rFonts w:ascii="宋体" w:hAnsi="宋体" w:eastAsia="宋体" w:cs="Courier New"/>
      <w:kern w:val="2"/>
      <w:sz w:val="21"/>
      <w:szCs w:val="21"/>
      <w:lang w:val="en-US" w:eastAsia="zh-CN"/>
    </w:rPr>
  </w:style>
  <w:style w:type="character" w:customStyle="1" w:styleId="239">
    <w:name w:val="结束语 字符"/>
    <w:link w:val="26"/>
    <w:uiPriority w:val="0"/>
    <w:rPr>
      <w:kern w:val="2"/>
      <w:sz w:val="21"/>
      <w:szCs w:val="24"/>
    </w:rPr>
  </w:style>
  <w:style w:type="character" w:customStyle="1" w:styleId="240">
    <w:name w:val="结束语 字符1"/>
    <w:basedOn w:val="83"/>
    <w:semiHidden/>
    <w:uiPriority w:val="99"/>
    <w:rPr>
      <w:rFonts w:ascii="Times New Roman" w:hAnsi="Times New Roman" w:eastAsia="宋体" w:cs="Times New Roman"/>
      <w:sz w:val="24"/>
      <w:szCs w:val="24"/>
    </w:rPr>
  </w:style>
  <w:style w:type="character" w:customStyle="1" w:styleId="241">
    <w:name w:val="Char Char3"/>
    <w:uiPriority w:val="0"/>
    <w:rPr>
      <w:rFonts w:eastAsia="宋体"/>
      <w:kern w:val="2"/>
      <w:sz w:val="21"/>
      <w:lang w:val="en-US" w:eastAsia="zh-CN" w:bidi="ar-SA"/>
    </w:rPr>
  </w:style>
  <w:style w:type="character" w:customStyle="1" w:styleId="242">
    <w:name w:val="正文(首行缩进)宋旭峰 Char"/>
    <w:uiPriority w:val="0"/>
    <w:rPr>
      <w:rFonts w:ascii="Times New Roman" w:hAnsi="Times New Roman" w:eastAsia="宋体" w:cs="TimesNewRomanPSMT"/>
      <w:snapToGrid w:val="0"/>
      <w:kern w:val="0"/>
      <w:sz w:val="24"/>
      <w:szCs w:val="24"/>
    </w:rPr>
  </w:style>
  <w:style w:type="character" w:customStyle="1" w:styleId="243">
    <w:name w:val="text1"/>
    <w:uiPriority w:val="0"/>
    <w:rPr>
      <w:color w:val="000000"/>
      <w:sz w:val="20"/>
      <w:szCs w:val="20"/>
      <w:u w:val="none"/>
    </w:rPr>
  </w:style>
  <w:style w:type="character" w:customStyle="1" w:styleId="244">
    <w:name w:val="正文 楷体 Char Char"/>
    <w:link w:val="245"/>
    <w:qFormat/>
    <w:uiPriority w:val="0"/>
    <w:rPr>
      <w:rFonts w:ascii="楷体_GB2312" w:hAnsi="楷体_GB2312" w:eastAsia="楷体_GB2312" w:cs="宋体"/>
      <w:kern w:val="2"/>
      <w:sz w:val="24"/>
      <w:szCs w:val="24"/>
    </w:rPr>
  </w:style>
  <w:style w:type="paragraph" w:customStyle="1" w:styleId="245">
    <w:name w:val="正文 楷体"/>
    <w:basedOn w:val="1"/>
    <w:link w:val="244"/>
    <w:qFormat/>
    <w:uiPriority w:val="0"/>
    <w:pPr>
      <w:autoSpaceDE/>
      <w:autoSpaceDN/>
      <w:spacing w:line="500" w:lineRule="exact"/>
      <w:jc w:val="both"/>
    </w:pPr>
    <w:rPr>
      <w:rFonts w:ascii="楷体_GB2312" w:hAnsi="楷体_GB2312" w:eastAsia="楷体_GB2312" w:cs="宋体"/>
      <w:kern w:val="2"/>
    </w:rPr>
  </w:style>
  <w:style w:type="character" w:customStyle="1" w:styleId="246">
    <w:name w:val="表号 Char Char"/>
    <w:link w:val="247"/>
    <w:uiPriority w:val="0"/>
    <w:rPr>
      <w:rFonts w:ascii="宋体" w:hAnsi="宋体" w:cs="宋体"/>
      <w:snapToGrid w:val="0"/>
      <w:color w:val="000000"/>
      <w:sz w:val="24"/>
      <w:szCs w:val="24"/>
    </w:rPr>
  </w:style>
  <w:style w:type="paragraph" w:customStyle="1" w:styleId="247">
    <w:name w:val="表号"/>
    <w:basedOn w:val="1"/>
    <w:link w:val="246"/>
    <w:uiPriority w:val="0"/>
    <w:pPr>
      <w:widowControl/>
      <w:autoSpaceDE/>
      <w:autoSpaceDN/>
      <w:spacing w:line="240" w:lineRule="auto"/>
      <w:ind w:firstLine="480"/>
    </w:pPr>
    <w:rPr>
      <w:rFonts w:ascii="宋体" w:hAnsi="宋体" w:cs="宋体" w:eastAsiaTheme="minorEastAsia"/>
      <w:snapToGrid w:val="0"/>
      <w:color w:val="000000"/>
    </w:rPr>
  </w:style>
  <w:style w:type="character" w:customStyle="1" w:styleId="248">
    <w:name w:val="缩进 Char"/>
    <w:qFormat/>
    <w:uiPriority w:val="0"/>
    <w:rPr>
      <w:rFonts w:eastAsia="宋体"/>
    </w:rPr>
  </w:style>
  <w:style w:type="character" w:customStyle="1" w:styleId="249">
    <w:name w:val="a1"/>
    <w:uiPriority w:val="0"/>
    <w:rPr>
      <w:rFonts w:hint="eastAsia" w:ascii="宋体" w:hAnsi="宋体" w:eastAsia="宋体"/>
      <w:color w:val="000000"/>
      <w:spacing w:val="360"/>
      <w:sz w:val="18"/>
      <w:szCs w:val="18"/>
    </w:rPr>
  </w:style>
  <w:style w:type="character" w:customStyle="1" w:styleId="250">
    <w:name w:val="正文（首行缩进两字） Char Char Char Char Char Char Char Char Char Char Char Char Char Char Char"/>
    <w:qFormat/>
    <w:uiPriority w:val="0"/>
    <w:rPr>
      <w:rFonts w:eastAsia="宋体"/>
      <w:kern w:val="2"/>
      <w:sz w:val="30"/>
      <w:lang w:val="en-US" w:eastAsia="zh-CN"/>
    </w:rPr>
  </w:style>
  <w:style w:type="character" w:customStyle="1" w:styleId="251">
    <w:name w:val="表格右"/>
    <w:uiPriority w:val="0"/>
    <w:rPr>
      <w:rFonts w:ascii="宋体" w:hAnsi="宋体" w:eastAsia="宋体"/>
      <w:color w:val="000080"/>
      <w:kern w:val="2"/>
      <w:sz w:val="18"/>
      <w:szCs w:val="24"/>
      <w:lang w:val="en-US" w:eastAsia="zh-CN"/>
    </w:rPr>
  </w:style>
  <w:style w:type="character" w:customStyle="1" w:styleId="252">
    <w:name w:val="文字 Char Char"/>
    <w:link w:val="253"/>
    <w:uiPriority w:val="0"/>
    <w:rPr>
      <w:rFonts w:ascii="宋体" w:hAnsi="宋体" w:cs="宋体"/>
      <w:sz w:val="28"/>
      <w:szCs w:val="28"/>
    </w:rPr>
  </w:style>
  <w:style w:type="paragraph" w:customStyle="1" w:styleId="253">
    <w:name w:val="文字"/>
    <w:basedOn w:val="1"/>
    <w:link w:val="252"/>
    <w:uiPriority w:val="0"/>
    <w:pPr>
      <w:widowControl/>
      <w:tabs>
        <w:tab w:val="left" w:pos="6720"/>
      </w:tabs>
      <w:autoSpaceDE/>
      <w:autoSpaceDN/>
      <w:spacing w:line="600" w:lineRule="exact"/>
      <w:ind w:firstLine="0" w:firstLineChars="0"/>
    </w:pPr>
    <w:rPr>
      <w:rFonts w:ascii="宋体" w:hAnsi="宋体" w:cs="宋体" w:eastAsiaTheme="minorEastAsia"/>
      <w:sz w:val="28"/>
      <w:szCs w:val="28"/>
    </w:rPr>
  </w:style>
  <w:style w:type="character" w:customStyle="1" w:styleId="254">
    <w:name w:val="fontstyle01"/>
    <w:qFormat/>
    <w:uiPriority w:val="0"/>
    <w:rPr>
      <w:rFonts w:ascii="宋体" w:hAnsi="宋体" w:eastAsia="宋体" w:cs="宋体"/>
      <w:color w:val="000000"/>
      <w:sz w:val="24"/>
      <w:szCs w:val="24"/>
    </w:rPr>
  </w:style>
  <w:style w:type="character" w:customStyle="1" w:styleId="255">
    <w:name w:val="样式 5 + 首行缩进:  2 字符 Char Char"/>
    <w:link w:val="256"/>
    <w:uiPriority w:val="0"/>
    <w:rPr>
      <w:rFonts w:ascii="楷体_GB2312" w:hAnsi="宋体" w:eastAsia="楷体_GB2312" w:cs="宋体"/>
      <w:color w:val="000000"/>
      <w:spacing w:val="-2"/>
      <w:kern w:val="2"/>
      <w:sz w:val="30"/>
      <w:szCs w:val="30"/>
    </w:rPr>
  </w:style>
  <w:style w:type="paragraph" w:customStyle="1" w:styleId="256">
    <w:name w:val="样式 5 + 首行缩进:  2 字符"/>
    <w:basedOn w:val="1"/>
    <w:link w:val="255"/>
    <w:uiPriority w:val="0"/>
    <w:pPr>
      <w:autoSpaceDE/>
      <w:autoSpaceDN/>
      <w:spacing w:line="240" w:lineRule="auto"/>
      <w:ind w:firstLine="592"/>
      <w:jc w:val="both"/>
    </w:pPr>
    <w:rPr>
      <w:rFonts w:ascii="楷体_GB2312" w:hAnsi="宋体" w:eastAsia="楷体_GB2312" w:cs="宋体"/>
      <w:color w:val="000000"/>
      <w:spacing w:val="-2"/>
      <w:kern w:val="2"/>
      <w:sz w:val="30"/>
      <w:szCs w:val="30"/>
    </w:rPr>
  </w:style>
  <w:style w:type="character" w:customStyle="1" w:styleId="257">
    <w:name w:val="px14"/>
    <w:basedOn w:val="83"/>
    <w:uiPriority w:val="0"/>
  </w:style>
  <w:style w:type="character" w:customStyle="1" w:styleId="258">
    <w:name w:val="EmailStyle442"/>
    <w:uiPriority w:val="0"/>
    <w:rPr>
      <w:rFonts w:ascii="Arial" w:hAnsi="Arial" w:eastAsia="宋体" w:cs="Arial"/>
      <w:color w:val="auto"/>
      <w:sz w:val="20"/>
    </w:rPr>
  </w:style>
  <w:style w:type="character" w:customStyle="1" w:styleId="259">
    <w:name w:val="报告书正文 Char Char"/>
    <w:link w:val="260"/>
    <w:uiPriority w:val="0"/>
    <w:rPr>
      <w:rFonts w:ascii="宋体" w:hAnsi="宋体" w:cs="宋体"/>
      <w:sz w:val="24"/>
      <w:szCs w:val="24"/>
    </w:rPr>
  </w:style>
  <w:style w:type="paragraph" w:customStyle="1" w:styleId="260">
    <w:name w:val="报告书正文"/>
    <w:basedOn w:val="1"/>
    <w:link w:val="259"/>
    <w:uiPriority w:val="0"/>
    <w:pPr>
      <w:widowControl/>
      <w:autoSpaceDE/>
      <w:autoSpaceDN/>
      <w:ind w:firstLine="480"/>
    </w:pPr>
    <w:rPr>
      <w:rFonts w:ascii="宋体" w:hAnsi="宋体" w:cs="宋体" w:eastAsiaTheme="minorEastAsia"/>
    </w:rPr>
  </w:style>
  <w:style w:type="character" w:customStyle="1" w:styleId="261">
    <w:name w:val="18"/>
    <w:qFormat/>
    <w:uiPriority w:val="0"/>
    <w:rPr>
      <w:rFonts w:hint="eastAsia" w:ascii="PMingLiU" w:hAnsi="PMingLiU" w:eastAsia="PMingLiU"/>
      <w:color w:val="000000"/>
      <w:spacing w:val="0"/>
      <w:sz w:val="20"/>
      <w:szCs w:val="20"/>
    </w:rPr>
  </w:style>
  <w:style w:type="character" w:customStyle="1" w:styleId="262">
    <w:name w:val="Font Style303"/>
    <w:uiPriority w:val="0"/>
    <w:rPr>
      <w:rFonts w:ascii="宋体" w:eastAsia="宋体" w:cs="宋体"/>
      <w:sz w:val="20"/>
      <w:szCs w:val="20"/>
    </w:rPr>
  </w:style>
  <w:style w:type="character" w:customStyle="1" w:styleId="263">
    <w:name w:val="个人撰写风格"/>
    <w:uiPriority w:val="0"/>
    <w:rPr>
      <w:rFonts w:ascii="Arial" w:hAnsi="Arial" w:eastAsia="宋体" w:cs="Arial"/>
      <w:color w:val="auto"/>
      <w:sz w:val="20"/>
    </w:rPr>
  </w:style>
  <w:style w:type="character" w:customStyle="1" w:styleId="264">
    <w:name w:val="1标题 Char"/>
    <w:uiPriority w:val="0"/>
    <w:rPr>
      <w:rFonts w:ascii="宋体" w:hAnsi="宋体" w:eastAsia="宋体"/>
      <w:sz w:val="28"/>
    </w:rPr>
  </w:style>
  <w:style w:type="character" w:customStyle="1" w:styleId="265">
    <w:name w:val="表格 Char"/>
    <w:qFormat/>
    <w:uiPriority w:val="0"/>
    <w:rPr>
      <w:rFonts w:ascii="宋体" w:hAnsi="宋体"/>
      <w:kern w:val="2"/>
      <w:sz w:val="21"/>
    </w:rPr>
  </w:style>
  <w:style w:type="character" w:customStyle="1" w:styleId="266">
    <w:name w:val="正文(首行缩进) Char1"/>
    <w:link w:val="267"/>
    <w:qFormat/>
    <w:uiPriority w:val="0"/>
    <w:rPr>
      <w:rFonts w:ascii="宋体" w:hAnsi="宋体"/>
      <w:snapToGrid w:val="0"/>
      <w:spacing w:val="2"/>
      <w:kern w:val="2"/>
      <w:sz w:val="24"/>
      <w:szCs w:val="24"/>
    </w:rPr>
  </w:style>
  <w:style w:type="paragraph" w:customStyle="1" w:styleId="267">
    <w:name w:val="正文(首行缩进)"/>
    <w:basedOn w:val="1"/>
    <w:link w:val="266"/>
    <w:qFormat/>
    <w:uiPriority w:val="0"/>
    <w:pPr>
      <w:autoSpaceDE/>
      <w:autoSpaceDN/>
      <w:ind w:firstLine="549" w:firstLineChars="225"/>
      <w:jc w:val="both"/>
    </w:pPr>
    <w:rPr>
      <w:rFonts w:ascii="宋体" w:hAnsi="宋体" w:eastAsiaTheme="minorEastAsia" w:cstheme="minorBidi"/>
      <w:snapToGrid w:val="0"/>
      <w:spacing w:val="2"/>
      <w:kern w:val="2"/>
    </w:rPr>
  </w:style>
  <w:style w:type="character" w:customStyle="1" w:styleId="268">
    <w:name w:val="正文首行缩进 Char2"/>
    <w:qFormat/>
    <w:uiPriority w:val="0"/>
    <w:rPr>
      <w:rFonts w:ascii="Calibri" w:hAnsi="Calibri" w:cs="Times New Roman"/>
      <w:kern w:val="2"/>
      <w:sz w:val="21"/>
      <w:szCs w:val="24"/>
    </w:rPr>
  </w:style>
  <w:style w:type="character" w:customStyle="1" w:styleId="269">
    <w:name w:val="正文文本 3 Char1"/>
    <w:qFormat/>
    <w:uiPriority w:val="0"/>
    <w:rPr>
      <w:rFonts w:ascii="Calibri" w:hAnsi="Calibri" w:eastAsia="仿宋_GB2312" w:cs="Times New Roman"/>
      <w:kern w:val="2"/>
      <w:sz w:val="18"/>
      <w:szCs w:val="24"/>
    </w:rPr>
  </w:style>
  <w:style w:type="character" w:customStyle="1" w:styleId="270">
    <w:name w:val="a121"/>
    <w:uiPriority w:val="0"/>
    <w:rPr>
      <w:rFonts w:hint="default" w:ascii="ˎ̥" w:hAnsi="ˎ̥"/>
      <w:color w:val="004891"/>
      <w:sz w:val="18"/>
      <w:szCs w:val="18"/>
      <w:u w:val="none"/>
    </w:rPr>
  </w:style>
  <w:style w:type="character" w:customStyle="1" w:styleId="271">
    <w:name w:val="EmailStyle554"/>
    <w:uiPriority w:val="0"/>
    <w:rPr>
      <w:rFonts w:ascii="Arial" w:hAnsi="Arial" w:eastAsia="宋体" w:cs="Arial"/>
      <w:color w:val="auto"/>
      <w:sz w:val="20"/>
    </w:rPr>
  </w:style>
  <w:style w:type="character" w:customStyle="1" w:styleId="272">
    <w:name w:val="（1）标题 Char Char"/>
    <w:link w:val="273"/>
    <w:uiPriority w:val="0"/>
    <w:rPr>
      <w:sz w:val="28"/>
    </w:rPr>
  </w:style>
  <w:style w:type="paragraph" w:customStyle="1" w:styleId="273">
    <w:name w:val="（1）标题"/>
    <w:basedOn w:val="1"/>
    <w:link w:val="272"/>
    <w:uiPriority w:val="0"/>
    <w:pPr>
      <w:widowControl/>
      <w:autoSpaceDE/>
      <w:autoSpaceDN/>
      <w:spacing w:line="240" w:lineRule="auto"/>
      <w:ind w:firstLine="560"/>
    </w:pPr>
    <w:rPr>
      <w:rFonts w:asciiTheme="minorHAnsi" w:hAnsiTheme="minorHAnsi" w:eastAsiaTheme="minorEastAsia" w:cstheme="minorBidi"/>
      <w:sz w:val="28"/>
      <w:szCs w:val="20"/>
    </w:rPr>
  </w:style>
  <w:style w:type="character" w:customStyle="1" w:styleId="274">
    <w:name w:val="未命名11"/>
    <w:qFormat/>
    <w:uiPriority w:val="0"/>
    <w:rPr>
      <w:rFonts w:hint="eastAsia" w:ascii="宋体" w:hAnsi="宋体" w:eastAsia="宋体"/>
      <w:sz w:val="18"/>
      <w:szCs w:val="18"/>
    </w:rPr>
  </w:style>
  <w:style w:type="character" w:customStyle="1" w:styleId="275">
    <w:name w:val="Char Char2"/>
    <w:link w:val="276"/>
    <w:uiPriority w:val="0"/>
    <w:rPr>
      <w:kern w:val="2"/>
      <w:sz w:val="21"/>
      <w:szCs w:val="24"/>
    </w:rPr>
  </w:style>
  <w:style w:type="paragraph" w:customStyle="1" w:styleId="276">
    <w:name w:val="Char1"/>
    <w:basedOn w:val="1"/>
    <w:link w:val="275"/>
    <w:qFormat/>
    <w:uiPriority w:val="0"/>
    <w:pPr>
      <w:autoSpaceDE/>
      <w:autoSpaceDN/>
      <w:spacing w:line="240" w:lineRule="auto"/>
      <w:ind w:firstLine="0" w:firstLineChars="0"/>
      <w:jc w:val="both"/>
    </w:pPr>
    <w:rPr>
      <w:rFonts w:asciiTheme="minorHAnsi" w:hAnsiTheme="minorHAnsi" w:eastAsiaTheme="minorEastAsia" w:cstheme="minorBidi"/>
      <w:kern w:val="2"/>
      <w:sz w:val="21"/>
    </w:rPr>
  </w:style>
  <w:style w:type="character" w:customStyle="1" w:styleId="277">
    <w:name w:val="text_edit1"/>
    <w:uiPriority w:val="0"/>
    <w:rPr>
      <w:color w:val="3366CC"/>
      <w:sz w:val="24"/>
      <w:szCs w:val="24"/>
    </w:rPr>
  </w:style>
  <w:style w:type="character" w:customStyle="1" w:styleId="278">
    <w:name w:val="单晶硅项目正文 Char"/>
    <w:link w:val="279"/>
    <w:qFormat/>
    <w:uiPriority w:val="0"/>
    <w:rPr>
      <w:rFonts w:ascii="宋体" w:hAnsi="宋体"/>
      <w:color w:val="000000"/>
      <w:sz w:val="24"/>
      <w:szCs w:val="24"/>
    </w:rPr>
  </w:style>
  <w:style w:type="paragraph" w:customStyle="1" w:styleId="279">
    <w:name w:val="单晶硅项目正文"/>
    <w:basedOn w:val="1"/>
    <w:link w:val="278"/>
    <w:qFormat/>
    <w:uiPriority w:val="0"/>
    <w:pPr>
      <w:autoSpaceDE/>
      <w:autoSpaceDN/>
      <w:spacing w:line="560" w:lineRule="exact"/>
      <w:ind w:firstLine="480"/>
      <w:jc w:val="both"/>
    </w:pPr>
    <w:rPr>
      <w:rFonts w:ascii="宋体" w:hAnsi="宋体" w:eastAsiaTheme="minorEastAsia" w:cstheme="minorBidi"/>
      <w:color w:val="000000"/>
    </w:rPr>
  </w:style>
  <w:style w:type="character" w:customStyle="1" w:styleId="280">
    <w:name w:val="s1"/>
    <w:basedOn w:val="83"/>
    <w:uiPriority w:val="0"/>
  </w:style>
  <w:style w:type="character" w:customStyle="1" w:styleId="281">
    <w:name w:val="样式 居中 首行缩进:  0 字符 Char Char Char"/>
    <w:uiPriority w:val="0"/>
    <w:rPr>
      <w:rFonts w:ascii="宋体" w:hAnsi="宋体" w:eastAsia="宋体" w:cs="宋体"/>
      <w:color w:val="FF0000"/>
      <w:kern w:val="0"/>
      <w:sz w:val="18"/>
      <w:szCs w:val="18"/>
    </w:rPr>
  </w:style>
  <w:style w:type="character" w:customStyle="1" w:styleId="282">
    <w:name w:val="EmailStyle5091"/>
    <w:uiPriority w:val="0"/>
    <w:rPr>
      <w:rFonts w:ascii="Arial" w:hAnsi="Arial" w:eastAsia="宋体" w:cs="Arial"/>
      <w:color w:val="auto"/>
      <w:sz w:val="20"/>
    </w:rPr>
  </w:style>
  <w:style w:type="character" w:customStyle="1" w:styleId="283">
    <w:name w:val="Char Char8"/>
    <w:uiPriority w:val="0"/>
    <w:rPr>
      <w:rFonts w:ascii="宋体" w:hAnsi="宋体" w:eastAsia="宋体" w:cs="Times New Roman"/>
      <w:b/>
      <w:szCs w:val="24"/>
    </w:rPr>
  </w:style>
  <w:style w:type="character" w:customStyle="1" w:styleId="284">
    <w:name w:val="s"/>
    <w:basedOn w:val="83"/>
    <w:uiPriority w:val="0"/>
  </w:style>
  <w:style w:type="character" w:customStyle="1" w:styleId="285">
    <w:name w:val="缩进 Char Char"/>
    <w:link w:val="286"/>
    <w:qFormat/>
    <w:uiPriority w:val="0"/>
    <w:rPr>
      <w:kern w:val="2"/>
      <w:sz w:val="24"/>
      <w:szCs w:val="24"/>
    </w:rPr>
  </w:style>
  <w:style w:type="paragraph" w:customStyle="1" w:styleId="286">
    <w:name w:val="缩进"/>
    <w:basedOn w:val="1"/>
    <w:link w:val="285"/>
    <w:qFormat/>
    <w:uiPriority w:val="0"/>
    <w:pPr>
      <w:autoSpaceDE/>
      <w:autoSpaceDN/>
      <w:jc w:val="both"/>
    </w:pPr>
    <w:rPr>
      <w:rFonts w:asciiTheme="minorHAnsi" w:hAnsiTheme="minorHAnsi" w:eastAsiaTheme="minorEastAsia" w:cstheme="minorBidi"/>
      <w:kern w:val="2"/>
    </w:rPr>
  </w:style>
  <w:style w:type="character" w:customStyle="1" w:styleId="287">
    <w:name w:val="apple-style-span"/>
    <w:basedOn w:val="83"/>
    <w:uiPriority w:val="0"/>
  </w:style>
  <w:style w:type="character" w:customStyle="1" w:styleId="288">
    <w:name w:val="邓表后空格 Char"/>
    <w:link w:val="289"/>
    <w:uiPriority w:val="0"/>
    <w:rPr>
      <w:rFonts w:ascii="楷体_GB2312" w:hAnsi="楷体_GB2312"/>
      <w:kern w:val="2"/>
      <w:sz w:val="18"/>
      <w:szCs w:val="24"/>
    </w:rPr>
  </w:style>
  <w:style w:type="paragraph" w:customStyle="1" w:styleId="289">
    <w:name w:val="邓表后空格"/>
    <w:basedOn w:val="245"/>
    <w:link w:val="288"/>
    <w:qFormat/>
    <w:uiPriority w:val="0"/>
    <w:pPr>
      <w:spacing w:line="240" w:lineRule="exact"/>
      <w:ind w:firstLine="0" w:firstLineChars="0"/>
    </w:pPr>
    <w:rPr>
      <w:rFonts w:eastAsiaTheme="minorEastAsia" w:cstheme="minorBidi"/>
      <w:sz w:val="18"/>
    </w:rPr>
  </w:style>
  <w:style w:type="character" w:customStyle="1" w:styleId="290">
    <w:name w:val="EmailStyle5591"/>
    <w:uiPriority w:val="0"/>
    <w:rPr>
      <w:rFonts w:ascii="Arial" w:hAnsi="Arial" w:eastAsia="宋体" w:cs="Arial"/>
      <w:color w:val="auto"/>
      <w:sz w:val="20"/>
    </w:rPr>
  </w:style>
  <w:style w:type="character" w:customStyle="1" w:styleId="291">
    <w:name w:val="样式5 Char Char"/>
    <w:link w:val="292"/>
    <w:uiPriority w:val="0"/>
    <w:rPr>
      <w:kern w:val="2"/>
      <w:sz w:val="24"/>
      <w:szCs w:val="24"/>
    </w:rPr>
  </w:style>
  <w:style w:type="paragraph" w:customStyle="1" w:styleId="292">
    <w:name w:val="样式5"/>
    <w:basedOn w:val="1"/>
    <w:link w:val="291"/>
    <w:uiPriority w:val="0"/>
    <w:pPr>
      <w:autoSpaceDE/>
      <w:autoSpaceDN/>
      <w:ind w:firstLine="510" w:firstLineChars="0"/>
      <w:jc w:val="both"/>
    </w:pPr>
    <w:rPr>
      <w:rFonts w:asciiTheme="minorHAnsi" w:hAnsiTheme="minorHAnsi" w:eastAsiaTheme="minorEastAsia" w:cstheme="minorBidi"/>
      <w:kern w:val="2"/>
    </w:rPr>
  </w:style>
  <w:style w:type="character" w:customStyle="1" w:styleId="293">
    <w:name w:val="HTML 预设格式 字符"/>
    <w:link w:val="68"/>
    <w:qFormat/>
    <w:uiPriority w:val="0"/>
    <w:rPr>
      <w:rFonts w:ascii="宋体" w:hAnsi="宋体"/>
      <w:color w:val="000000"/>
      <w:sz w:val="21"/>
      <w:szCs w:val="21"/>
    </w:rPr>
  </w:style>
  <w:style w:type="character" w:customStyle="1" w:styleId="294">
    <w:name w:val="HTML 预设格式 字符1"/>
    <w:basedOn w:val="83"/>
    <w:semiHidden/>
    <w:uiPriority w:val="99"/>
    <w:rPr>
      <w:rFonts w:ascii="Courier New" w:hAnsi="Courier New" w:eastAsia="宋体" w:cs="Courier New"/>
    </w:rPr>
  </w:style>
  <w:style w:type="character" w:customStyle="1" w:styleId="295">
    <w:name w:val="表格1 Char"/>
    <w:qFormat/>
    <w:uiPriority w:val="0"/>
    <w:rPr>
      <w:szCs w:val="24"/>
    </w:rPr>
  </w:style>
  <w:style w:type="character" w:customStyle="1" w:styleId="296">
    <w:name w:val="postbody1"/>
    <w:uiPriority w:val="0"/>
    <w:rPr>
      <w:sz w:val="21"/>
      <w:szCs w:val="21"/>
    </w:rPr>
  </w:style>
  <w:style w:type="character" w:customStyle="1" w:styleId="297">
    <w:name w:val="777777777 Char Char Char Char Char Char"/>
    <w:uiPriority w:val="0"/>
    <w:rPr>
      <w:rFonts w:eastAsia="宋体"/>
      <w:kern w:val="2"/>
      <w:sz w:val="28"/>
      <w:lang w:val="en-US" w:eastAsia="zh-CN"/>
    </w:rPr>
  </w:style>
  <w:style w:type="character" w:customStyle="1" w:styleId="298">
    <w:name w:val="正文A Char"/>
    <w:link w:val="299"/>
    <w:qFormat/>
    <w:uiPriority w:val="0"/>
    <w:rPr>
      <w:rFonts w:ascii="华文仿宋" w:hAnsi="华文仿宋"/>
      <w:sz w:val="24"/>
      <w:szCs w:val="24"/>
    </w:rPr>
  </w:style>
  <w:style w:type="paragraph" w:customStyle="1" w:styleId="299">
    <w:name w:val="正文A"/>
    <w:basedOn w:val="1"/>
    <w:link w:val="298"/>
    <w:qFormat/>
    <w:uiPriority w:val="0"/>
    <w:pPr>
      <w:autoSpaceDE/>
      <w:autoSpaceDN/>
      <w:spacing w:line="500" w:lineRule="exact"/>
      <w:ind w:firstLine="480"/>
      <w:jc w:val="both"/>
    </w:pPr>
    <w:rPr>
      <w:rFonts w:ascii="华文仿宋" w:hAnsi="华文仿宋" w:eastAsiaTheme="minorEastAsia" w:cstheme="minorBidi"/>
    </w:rPr>
  </w:style>
  <w:style w:type="character" w:customStyle="1" w:styleId="300">
    <w:name w:val="标题4 Char Char"/>
    <w:unhideWhenUsed/>
    <w:qFormat/>
    <w:uiPriority w:val="0"/>
    <w:rPr>
      <w:sz w:val="28"/>
    </w:rPr>
  </w:style>
  <w:style w:type="character" w:customStyle="1" w:styleId="301">
    <w:name w:val="邓表头标题 Char"/>
    <w:link w:val="302"/>
    <w:uiPriority w:val="0"/>
    <w:rPr>
      <w:rFonts w:ascii="黑体" w:hAnsi="黑体" w:eastAsia="黑体"/>
      <w:b/>
      <w:bCs/>
      <w:kern w:val="2"/>
      <w:sz w:val="21"/>
      <w:szCs w:val="21"/>
    </w:rPr>
  </w:style>
  <w:style w:type="paragraph" w:customStyle="1" w:styleId="302">
    <w:name w:val="邓表头标题"/>
    <w:basedOn w:val="1"/>
    <w:link w:val="301"/>
    <w:qFormat/>
    <w:uiPriority w:val="0"/>
    <w:pPr>
      <w:autoSpaceDE/>
      <w:autoSpaceDN/>
      <w:spacing w:line="240" w:lineRule="auto"/>
      <w:ind w:firstLine="0" w:firstLineChars="0"/>
      <w:jc w:val="center"/>
    </w:pPr>
    <w:rPr>
      <w:rFonts w:ascii="黑体" w:hAnsi="黑体" w:eastAsia="黑体" w:cstheme="minorBidi"/>
      <w:b/>
      <w:bCs/>
      <w:kern w:val="2"/>
      <w:sz w:val="21"/>
      <w:szCs w:val="21"/>
    </w:rPr>
  </w:style>
  <w:style w:type="character" w:customStyle="1" w:styleId="303">
    <w:name w:val="EmailStyle5551"/>
    <w:uiPriority w:val="0"/>
    <w:rPr>
      <w:rFonts w:ascii="Arial" w:hAnsi="Arial" w:eastAsia="宋体" w:cs="Arial"/>
      <w:color w:val="auto"/>
      <w:sz w:val="20"/>
    </w:rPr>
  </w:style>
  <w:style w:type="character" w:customStyle="1" w:styleId="304">
    <w:name w:val="font14px"/>
    <w:basedOn w:val="83"/>
    <w:uiPriority w:val="0"/>
  </w:style>
  <w:style w:type="character" w:customStyle="1" w:styleId="305">
    <w:name w:val="标题 31"/>
    <w:uiPriority w:val="0"/>
    <w:rPr>
      <w:rFonts w:ascii="黑体" w:eastAsia="黑体"/>
      <w:b/>
      <w:sz w:val="28"/>
      <w:lang w:val="en-US" w:eastAsia="zh-CN"/>
    </w:rPr>
  </w:style>
  <w:style w:type="character" w:customStyle="1" w:styleId="306">
    <w:name w:val="line41"/>
    <w:uiPriority w:val="0"/>
    <w:rPr>
      <w:spacing w:val="300"/>
    </w:rPr>
  </w:style>
  <w:style w:type="character" w:customStyle="1" w:styleId="307">
    <w:name w:val="redfont"/>
    <w:basedOn w:val="83"/>
    <w:uiPriority w:val="0"/>
  </w:style>
  <w:style w:type="character" w:customStyle="1" w:styleId="308">
    <w:name w:val="正文！！！！！ Char Char"/>
    <w:link w:val="309"/>
    <w:qFormat/>
    <w:uiPriority w:val="0"/>
    <w:rPr>
      <w:rFonts w:ascii="宋体" w:hAnsi="宋体" w:cs="宋体"/>
      <w:snapToGrid w:val="0"/>
      <w:sz w:val="24"/>
      <w:szCs w:val="24"/>
    </w:rPr>
  </w:style>
  <w:style w:type="paragraph" w:customStyle="1" w:styleId="309">
    <w:name w:val="正文！！！！！"/>
    <w:basedOn w:val="245"/>
    <w:link w:val="308"/>
    <w:qFormat/>
    <w:uiPriority w:val="0"/>
    <w:pPr>
      <w:adjustRightInd w:val="0"/>
      <w:snapToGrid w:val="0"/>
      <w:spacing w:line="360" w:lineRule="auto"/>
    </w:pPr>
    <w:rPr>
      <w:rFonts w:ascii="宋体" w:hAnsi="宋体" w:eastAsiaTheme="minorEastAsia"/>
      <w:snapToGrid w:val="0"/>
      <w:kern w:val="0"/>
    </w:rPr>
  </w:style>
  <w:style w:type="character" w:customStyle="1" w:styleId="310">
    <w:name w:val="HTML 键盘1"/>
    <w:uiPriority w:val="0"/>
    <w:rPr>
      <w:rFonts w:ascii="Courier New" w:hAnsi="Courier New" w:eastAsia="宋体" w:cs="Courier New"/>
      <w:kern w:val="2"/>
      <w:sz w:val="20"/>
      <w:szCs w:val="20"/>
      <w:lang w:val="en-US" w:eastAsia="zh-CN"/>
    </w:rPr>
  </w:style>
  <w:style w:type="character" w:customStyle="1" w:styleId="311">
    <w:name w:val="表号 Char"/>
    <w:qFormat/>
    <w:uiPriority w:val="0"/>
    <w:rPr>
      <w:rFonts w:ascii="宋体" w:hAnsi="宋体" w:eastAsia="宋体" w:cs="宋体"/>
      <w:snapToGrid w:val="0"/>
      <w:color w:val="000000"/>
      <w:kern w:val="0"/>
      <w:sz w:val="24"/>
      <w:szCs w:val="24"/>
    </w:rPr>
  </w:style>
  <w:style w:type="character" w:customStyle="1" w:styleId="312">
    <w:name w:val="表头A Char"/>
    <w:link w:val="313"/>
    <w:qFormat/>
    <w:uiPriority w:val="0"/>
    <w:rPr>
      <w:b/>
      <w:sz w:val="24"/>
      <w:szCs w:val="24"/>
    </w:rPr>
  </w:style>
  <w:style w:type="paragraph" w:customStyle="1" w:styleId="313">
    <w:name w:val="表头A"/>
    <w:basedOn w:val="1"/>
    <w:link w:val="312"/>
    <w:qFormat/>
    <w:uiPriority w:val="0"/>
    <w:pPr>
      <w:widowControl/>
      <w:autoSpaceDE/>
      <w:autoSpaceDN/>
      <w:spacing w:line="400" w:lineRule="exact"/>
      <w:ind w:firstLine="0" w:firstLineChars="0"/>
      <w:jc w:val="center"/>
    </w:pPr>
    <w:rPr>
      <w:rFonts w:asciiTheme="minorHAnsi" w:hAnsiTheme="minorHAnsi" w:eastAsiaTheme="minorEastAsia" w:cstheme="minorBidi"/>
      <w:b/>
    </w:rPr>
  </w:style>
  <w:style w:type="character" w:customStyle="1" w:styleId="314">
    <w:name w:val="周晟-正文 Char Char"/>
    <w:link w:val="315"/>
    <w:qFormat/>
    <w:uiPriority w:val="0"/>
    <w:rPr>
      <w:rFonts w:ascii="宋体" w:hAnsi="宋体"/>
      <w:color w:val="0000FF"/>
      <w:sz w:val="24"/>
    </w:rPr>
  </w:style>
  <w:style w:type="paragraph" w:customStyle="1" w:styleId="315">
    <w:name w:val="周晟-正文"/>
    <w:basedOn w:val="1"/>
    <w:link w:val="314"/>
    <w:qFormat/>
    <w:uiPriority w:val="0"/>
    <w:pPr>
      <w:widowControl/>
      <w:topLinePunct/>
      <w:autoSpaceDE/>
      <w:autoSpaceDN/>
      <w:ind w:firstLine="567"/>
      <w:jc w:val="both"/>
    </w:pPr>
    <w:rPr>
      <w:rFonts w:ascii="宋体" w:hAnsi="宋体" w:eastAsiaTheme="minorEastAsia" w:cstheme="minorBidi"/>
      <w:color w:val="0000FF"/>
      <w:szCs w:val="20"/>
    </w:rPr>
  </w:style>
  <w:style w:type="character" w:customStyle="1" w:styleId="316">
    <w:name w:val="正文格式 Char1"/>
    <w:qFormat/>
    <w:uiPriority w:val="0"/>
    <w:rPr>
      <w:rFonts w:ascii="宋体" w:hAnsi="宋体" w:eastAsia="宋体" w:cs="宋体"/>
      <w:sz w:val="24"/>
      <w:szCs w:val="24"/>
    </w:rPr>
  </w:style>
  <w:style w:type="character" w:customStyle="1" w:styleId="317">
    <w:name w:val="EmailStyle4891"/>
    <w:uiPriority w:val="0"/>
    <w:rPr>
      <w:rFonts w:ascii="Arial" w:hAnsi="Arial" w:eastAsia="宋体" w:cs="Arial"/>
      <w:color w:val="auto"/>
      <w:sz w:val="20"/>
    </w:rPr>
  </w:style>
  <w:style w:type="character" w:customStyle="1" w:styleId="318">
    <w:name w:val="EmailStyle4421"/>
    <w:uiPriority w:val="0"/>
    <w:rPr>
      <w:rFonts w:ascii="Arial" w:hAnsi="Arial" w:eastAsia="宋体" w:cs="Arial"/>
      <w:color w:val="auto"/>
      <w:sz w:val="20"/>
    </w:rPr>
  </w:style>
  <w:style w:type="character" w:customStyle="1" w:styleId="319">
    <w:name w:val="t31"/>
    <w:uiPriority w:val="0"/>
    <w:rPr>
      <w:rFonts w:cs="Times New Roman"/>
      <w:color w:val="000000"/>
      <w:sz w:val="20"/>
      <w:szCs w:val="20"/>
    </w:rPr>
  </w:style>
  <w:style w:type="character" w:customStyle="1" w:styleId="320">
    <w:name w:val="行号1"/>
    <w:uiPriority w:val="0"/>
    <w:rPr>
      <w:rFonts w:ascii="宋体" w:hAnsi="宋体" w:eastAsia="宋体" w:cs="Courier New"/>
      <w:kern w:val="2"/>
      <w:sz w:val="32"/>
      <w:szCs w:val="32"/>
      <w:lang w:val="en-US" w:eastAsia="zh-CN"/>
    </w:rPr>
  </w:style>
  <w:style w:type="character" w:customStyle="1" w:styleId="321">
    <w:name w:val="1.标题 1 Char"/>
    <w:uiPriority w:val="0"/>
    <w:rPr>
      <w:rFonts w:eastAsia="宋体"/>
      <w:b/>
      <w:bCs/>
      <w:kern w:val="44"/>
      <w:sz w:val="44"/>
      <w:szCs w:val="44"/>
      <w:lang w:val="en-US" w:eastAsia="zh-CN" w:bidi="ar-SA"/>
    </w:rPr>
  </w:style>
  <w:style w:type="character" w:customStyle="1" w:styleId="322">
    <w:name w:val="c1"/>
    <w:uiPriority w:val="0"/>
    <w:rPr>
      <w:rFonts w:hint="default" w:ascii="ˎ̥" w:hAnsi="ˎ̥"/>
      <w:color w:val="000000"/>
      <w:sz w:val="21"/>
      <w:szCs w:val="21"/>
      <w:u w:val="none"/>
    </w:rPr>
  </w:style>
  <w:style w:type="character" w:customStyle="1" w:styleId="323">
    <w:name w:val="单晶硅表头 Char"/>
    <w:link w:val="324"/>
    <w:qFormat/>
    <w:uiPriority w:val="0"/>
    <w:rPr>
      <w:rFonts w:ascii="黑体" w:hAnsi="宋体" w:eastAsia="黑体" w:cs="仿宋_GB2312"/>
      <w:sz w:val="24"/>
      <w:szCs w:val="24"/>
    </w:rPr>
  </w:style>
  <w:style w:type="paragraph" w:customStyle="1" w:styleId="324">
    <w:name w:val="单晶硅表头"/>
    <w:basedOn w:val="1"/>
    <w:link w:val="323"/>
    <w:qFormat/>
    <w:uiPriority w:val="0"/>
    <w:pPr>
      <w:autoSpaceDE/>
      <w:autoSpaceDN/>
      <w:spacing w:line="560" w:lineRule="exact"/>
      <w:ind w:firstLine="0" w:firstLineChars="0"/>
      <w:jc w:val="center"/>
    </w:pPr>
    <w:rPr>
      <w:rFonts w:ascii="黑体" w:hAnsi="宋体" w:eastAsia="黑体" w:cs="仿宋_GB2312"/>
    </w:rPr>
  </w:style>
  <w:style w:type="character" w:customStyle="1" w:styleId="325">
    <w:name w:val="正文样式 Char Char"/>
    <w:link w:val="326"/>
    <w:uiPriority w:val="0"/>
    <w:rPr>
      <w:spacing w:val="4"/>
      <w:kern w:val="2"/>
      <w:sz w:val="24"/>
      <w:szCs w:val="24"/>
    </w:rPr>
  </w:style>
  <w:style w:type="paragraph" w:customStyle="1" w:styleId="326">
    <w:name w:val="正文样式"/>
    <w:basedOn w:val="1"/>
    <w:link w:val="325"/>
    <w:uiPriority w:val="0"/>
    <w:pPr>
      <w:autoSpaceDE/>
      <w:autoSpaceDN/>
      <w:spacing w:line="240" w:lineRule="auto"/>
      <w:ind w:firstLine="0" w:firstLineChars="0"/>
      <w:jc w:val="both"/>
    </w:pPr>
    <w:rPr>
      <w:rFonts w:asciiTheme="minorHAnsi" w:hAnsiTheme="minorHAnsi" w:eastAsiaTheme="minorEastAsia" w:cstheme="minorBidi"/>
      <w:spacing w:val="4"/>
      <w:kern w:val="2"/>
    </w:rPr>
  </w:style>
  <w:style w:type="character" w:customStyle="1" w:styleId="327">
    <w:name w:val="样式 (符号) 宋体 小四 行距: 固定值 26 磅 Char Char Char"/>
    <w:uiPriority w:val="0"/>
    <w:rPr>
      <w:rFonts w:ascii="宋体" w:hAnsi="宋体" w:eastAsia="宋体" w:cs="宋体"/>
      <w:color w:val="000000"/>
      <w:kern w:val="0"/>
      <w:sz w:val="28"/>
      <w:szCs w:val="28"/>
    </w:rPr>
  </w:style>
  <w:style w:type="character" w:customStyle="1" w:styleId="328">
    <w:name w:val="ulmenu1"/>
    <w:basedOn w:val="83"/>
    <w:uiPriority w:val="0"/>
  </w:style>
  <w:style w:type="character" w:customStyle="1" w:styleId="329">
    <w:name w:val="样式 正文首行缩进 2 + (符号) 宋体 Char Char"/>
    <w:link w:val="330"/>
    <w:uiPriority w:val="0"/>
    <w:rPr>
      <w:rFonts w:ascii="宋体" w:eastAsia="宋体"/>
      <w:kern w:val="2"/>
      <w:sz w:val="24"/>
      <w:szCs w:val="24"/>
    </w:rPr>
  </w:style>
  <w:style w:type="paragraph" w:customStyle="1" w:styleId="330">
    <w:name w:val="样式 正文首行缩进 2 + (符号) 宋体"/>
    <w:basedOn w:val="331"/>
    <w:link w:val="329"/>
    <w:uiPriority w:val="0"/>
    <w:pPr>
      <w:spacing w:after="0" w:line="360" w:lineRule="auto"/>
      <w:ind w:left="0" w:leftChars="0" w:firstLine="200"/>
    </w:pPr>
    <w:rPr>
      <w:rFonts w:ascii="宋体" w:hAnsiTheme="minorHAnsi" w:cstheme="minorBidi"/>
      <w:sz w:val="24"/>
      <w:lang w:val="en-US"/>
    </w:rPr>
  </w:style>
  <w:style w:type="paragraph" w:customStyle="1" w:styleId="331">
    <w:name w:val="正文首行缩进 21"/>
    <w:basedOn w:val="29"/>
    <w:link w:val="332"/>
    <w:qFormat/>
    <w:uiPriority w:val="0"/>
    <w:pPr>
      <w:autoSpaceDE/>
      <w:autoSpaceDN/>
      <w:spacing w:line="240" w:lineRule="auto"/>
      <w:ind w:firstLine="420"/>
      <w:jc w:val="both"/>
    </w:pPr>
    <w:rPr>
      <w:rFonts w:ascii="Calibri" w:hAnsi="Calibri"/>
      <w:kern w:val="2"/>
      <w:sz w:val="21"/>
      <w:lang w:val="zh-CN"/>
    </w:rPr>
  </w:style>
  <w:style w:type="character" w:customStyle="1" w:styleId="332">
    <w:name w:val="正文首行缩进 2 Char"/>
    <w:basedOn w:val="167"/>
    <w:link w:val="331"/>
    <w:qFormat/>
    <w:uiPriority w:val="0"/>
    <w:rPr>
      <w:rFonts w:ascii="Calibri" w:hAnsi="Calibri" w:eastAsia="宋体" w:cs="Times New Roman"/>
      <w:kern w:val="2"/>
      <w:sz w:val="21"/>
      <w:szCs w:val="24"/>
      <w:lang w:val="zh-CN" w:eastAsia="zh-CN"/>
    </w:rPr>
  </w:style>
  <w:style w:type="character" w:customStyle="1" w:styleId="333">
    <w:name w:val="正文-ls Char Char"/>
    <w:link w:val="334"/>
    <w:qFormat/>
    <w:uiPriority w:val="0"/>
    <w:rPr>
      <w:rFonts w:hAnsi="宋体" w:eastAsia="宋体" w:cs="宋体"/>
      <w:kern w:val="2"/>
      <w:sz w:val="24"/>
      <w:szCs w:val="24"/>
    </w:rPr>
  </w:style>
  <w:style w:type="paragraph" w:customStyle="1" w:styleId="334">
    <w:name w:val="正文-ls"/>
    <w:basedOn w:val="1"/>
    <w:link w:val="333"/>
    <w:qFormat/>
    <w:uiPriority w:val="0"/>
    <w:pPr>
      <w:autoSpaceDE/>
      <w:autoSpaceDN/>
      <w:jc w:val="both"/>
    </w:pPr>
    <w:rPr>
      <w:rFonts w:hAnsi="宋体" w:cs="宋体" w:asciiTheme="minorHAnsi"/>
      <w:kern w:val="2"/>
    </w:rPr>
  </w:style>
  <w:style w:type="character" w:customStyle="1" w:styleId="335">
    <w:name w:val="样式11 Char"/>
    <w:link w:val="336"/>
    <w:qFormat/>
    <w:uiPriority w:val="0"/>
    <w:rPr>
      <w:rFonts w:ascii="黑体" w:eastAsia="黑体" w:cs="黑体"/>
      <w:b/>
      <w:bCs/>
      <w:sz w:val="30"/>
      <w:szCs w:val="28"/>
      <w:lang w:val="zh-CN"/>
    </w:rPr>
  </w:style>
  <w:style w:type="paragraph" w:customStyle="1" w:styleId="336">
    <w:name w:val="样式11"/>
    <w:basedOn w:val="1"/>
    <w:link w:val="335"/>
    <w:qFormat/>
    <w:uiPriority w:val="0"/>
    <w:pPr>
      <w:ind w:firstLine="0" w:firstLineChars="0"/>
      <w:jc w:val="both"/>
      <w:outlineLvl w:val="1"/>
    </w:pPr>
    <w:rPr>
      <w:rFonts w:ascii="黑体" w:eastAsia="黑体" w:cs="黑体" w:hAnsiTheme="minorHAnsi"/>
      <w:b/>
      <w:bCs/>
      <w:sz w:val="30"/>
      <w:szCs w:val="28"/>
      <w:lang w:val="zh-CN"/>
    </w:rPr>
  </w:style>
  <w:style w:type="character" w:customStyle="1" w:styleId="337">
    <w:name w:val="正文文本缩进 2 字符"/>
    <w:link w:val="43"/>
    <w:uiPriority w:val="0"/>
    <w:rPr>
      <w:kern w:val="2"/>
      <w:sz w:val="24"/>
      <w:szCs w:val="24"/>
    </w:rPr>
  </w:style>
  <w:style w:type="character" w:customStyle="1" w:styleId="338">
    <w:name w:val="正文文本缩进 2 字符1"/>
    <w:basedOn w:val="83"/>
    <w:semiHidden/>
    <w:uiPriority w:val="99"/>
    <w:rPr>
      <w:rFonts w:ascii="Times New Roman" w:hAnsi="Times New Roman" w:eastAsia="宋体" w:cs="Times New Roman"/>
      <w:sz w:val="24"/>
      <w:szCs w:val="24"/>
    </w:rPr>
  </w:style>
  <w:style w:type="character" w:customStyle="1" w:styleId="339">
    <w:name w:val="Font Style347"/>
    <w:uiPriority w:val="0"/>
    <w:rPr>
      <w:rFonts w:ascii="Times New Roman" w:hAnsi="Times New Roman" w:cs="Times New Roman"/>
      <w:sz w:val="14"/>
      <w:szCs w:val="14"/>
    </w:rPr>
  </w:style>
  <w:style w:type="character" w:customStyle="1" w:styleId="340">
    <w:name w:val="Char Char"/>
    <w:link w:val="341"/>
    <w:qFormat/>
    <w:uiPriority w:val="0"/>
    <w:rPr>
      <w:kern w:val="2"/>
      <w:sz w:val="21"/>
      <w:szCs w:val="24"/>
    </w:rPr>
  </w:style>
  <w:style w:type="paragraph" w:customStyle="1" w:styleId="341">
    <w:name w:val="Char3"/>
    <w:basedOn w:val="1"/>
    <w:link w:val="340"/>
    <w:qFormat/>
    <w:uiPriority w:val="0"/>
    <w:pPr>
      <w:autoSpaceDE/>
      <w:autoSpaceDN/>
      <w:spacing w:line="240" w:lineRule="auto"/>
      <w:ind w:firstLine="0" w:firstLineChars="0"/>
      <w:jc w:val="both"/>
    </w:pPr>
    <w:rPr>
      <w:rFonts w:asciiTheme="minorHAnsi" w:hAnsiTheme="minorHAnsi" w:eastAsiaTheme="minorEastAsia" w:cstheme="minorBidi"/>
      <w:kern w:val="2"/>
      <w:sz w:val="21"/>
    </w:rPr>
  </w:style>
  <w:style w:type="character" w:customStyle="1" w:styleId="342">
    <w:name w:val="正文邓 Char"/>
    <w:link w:val="343"/>
    <w:uiPriority w:val="0"/>
    <w:rPr>
      <w:bCs/>
      <w:color w:val="000000"/>
      <w:sz w:val="24"/>
      <w:szCs w:val="26"/>
    </w:rPr>
  </w:style>
  <w:style w:type="paragraph" w:customStyle="1" w:styleId="343">
    <w:name w:val="正文邓"/>
    <w:basedOn w:val="1"/>
    <w:link w:val="342"/>
    <w:qFormat/>
    <w:uiPriority w:val="0"/>
    <w:pPr>
      <w:autoSpaceDE/>
      <w:autoSpaceDN/>
      <w:ind w:firstLine="480"/>
    </w:pPr>
    <w:rPr>
      <w:rFonts w:asciiTheme="minorHAnsi" w:hAnsiTheme="minorHAnsi" w:eastAsiaTheme="minorEastAsia" w:cstheme="minorBidi"/>
      <w:bCs/>
      <w:color w:val="000000"/>
      <w:szCs w:val="26"/>
    </w:rPr>
  </w:style>
  <w:style w:type="character" w:customStyle="1" w:styleId="344">
    <w:name w:val="标题-ls Char"/>
    <w:uiPriority w:val="0"/>
    <w:rPr>
      <w:rFonts w:ascii="黑体" w:eastAsia="黑体"/>
      <w:bCs/>
      <w:kern w:val="2"/>
      <w:sz w:val="28"/>
      <w:szCs w:val="28"/>
      <w:lang w:val="en-US" w:eastAsia="zh-CN" w:bidi="ar-SA"/>
    </w:rPr>
  </w:style>
  <w:style w:type="character" w:customStyle="1" w:styleId="345">
    <w:name w:val="font61"/>
    <w:qFormat/>
    <w:uiPriority w:val="0"/>
    <w:rPr>
      <w:rFonts w:hint="eastAsia" w:ascii="宋体" w:hAnsi="宋体" w:eastAsia="宋体" w:cs="宋体"/>
      <w:b/>
      <w:color w:val="000000"/>
      <w:sz w:val="20"/>
      <w:szCs w:val="20"/>
      <w:u w:val="none"/>
    </w:rPr>
  </w:style>
  <w:style w:type="character" w:customStyle="1" w:styleId="346">
    <w:name w:val="标题 2 Char1"/>
    <w:qFormat/>
    <w:uiPriority w:val="0"/>
    <w:rPr>
      <w:rFonts w:ascii="Arial" w:hAnsi="Arial" w:eastAsia="黑体"/>
      <w:b/>
      <w:bCs/>
      <w:kern w:val="2"/>
      <w:sz w:val="32"/>
      <w:szCs w:val="32"/>
      <w:lang w:val="en-US" w:eastAsia="zh-CN"/>
    </w:rPr>
  </w:style>
  <w:style w:type="character" w:customStyle="1" w:styleId="347">
    <w:name w:val="样式 样式 首行缩进:  0.85 厘米 + 段前: 0.5 行 Char1"/>
    <w:link w:val="348"/>
    <w:uiPriority w:val="0"/>
    <w:rPr>
      <w:kern w:val="2"/>
      <w:sz w:val="24"/>
    </w:rPr>
  </w:style>
  <w:style w:type="paragraph" w:customStyle="1" w:styleId="348">
    <w:name w:val="样式 样式 首行缩进:  0.85 厘米 + 段前: 0.5 行"/>
    <w:basedOn w:val="1"/>
    <w:link w:val="347"/>
    <w:uiPriority w:val="0"/>
    <w:pPr>
      <w:autoSpaceDE/>
      <w:autoSpaceDN/>
      <w:spacing w:before="50"/>
      <w:ind w:firstLine="482" w:firstLineChars="0"/>
      <w:jc w:val="both"/>
    </w:pPr>
    <w:rPr>
      <w:rFonts w:asciiTheme="minorHAnsi" w:hAnsiTheme="minorHAnsi" w:eastAsiaTheme="minorEastAsia" w:cstheme="minorBidi"/>
      <w:kern w:val="2"/>
      <w:szCs w:val="20"/>
    </w:rPr>
  </w:style>
  <w:style w:type="character" w:customStyle="1" w:styleId="349">
    <w:name w:val="HTML 样本1"/>
    <w:uiPriority w:val="0"/>
    <w:rPr>
      <w:rFonts w:ascii="Courier New" w:hAnsi="Courier New" w:eastAsia="宋体" w:cs="Courier New"/>
      <w:kern w:val="2"/>
      <w:sz w:val="32"/>
      <w:szCs w:val="32"/>
      <w:lang w:val="en-US" w:eastAsia="zh-CN"/>
    </w:rPr>
  </w:style>
  <w:style w:type="character" w:customStyle="1" w:styleId="350">
    <w:name w:val="文档结构图 Char1"/>
    <w:link w:val="351"/>
    <w:qFormat/>
    <w:uiPriority w:val="0"/>
    <w:rPr>
      <w:rFonts w:ascii="宋体"/>
      <w:kern w:val="2"/>
      <w:sz w:val="18"/>
      <w:szCs w:val="18"/>
    </w:rPr>
  </w:style>
  <w:style w:type="paragraph" w:customStyle="1" w:styleId="351">
    <w:name w:val="文档结构图1"/>
    <w:basedOn w:val="1"/>
    <w:link w:val="350"/>
    <w:uiPriority w:val="0"/>
    <w:pPr>
      <w:autoSpaceDE/>
      <w:autoSpaceDN/>
      <w:spacing w:line="240" w:lineRule="auto"/>
      <w:ind w:firstLine="0" w:firstLineChars="0"/>
      <w:jc w:val="both"/>
    </w:pPr>
    <w:rPr>
      <w:rFonts w:ascii="宋体" w:hAnsiTheme="minorHAnsi" w:eastAsiaTheme="minorEastAsia" w:cstheme="minorBidi"/>
      <w:kern w:val="2"/>
      <w:sz w:val="18"/>
      <w:szCs w:val="18"/>
    </w:rPr>
  </w:style>
  <w:style w:type="character" w:customStyle="1" w:styleId="352">
    <w:name w:val="zw1"/>
    <w:uiPriority w:val="0"/>
    <w:rPr>
      <w:rFonts w:hint="eastAsia" w:ascii="宋体" w:hAnsi="宋体" w:eastAsia="宋体"/>
      <w:sz w:val="22"/>
      <w:szCs w:val="22"/>
    </w:rPr>
  </w:style>
  <w:style w:type="character" w:customStyle="1" w:styleId="353">
    <w:name w:val="页脚 Char1"/>
    <w:qFormat/>
    <w:uiPriority w:val="99"/>
    <w:rPr>
      <w:rFonts w:ascii="Calibri" w:hAnsi="Calibri" w:eastAsia="宋体" w:cs="Times New Roman"/>
      <w:kern w:val="2"/>
      <w:sz w:val="18"/>
      <w:szCs w:val="18"/>
    </w:rPr>
  </w:style>
  <w:style w:type="character" w:customStyle="1" w:styleId="354">
    <w:name w:val="Char Char31"/>
    <w:uiPriority w:val="0"/>
    <w:rPr>
      <w:rFonts w:eastAsia="宋体"/>
      <w:kern w:val="2"/>
      <w:sz w:val="21"/>
      <w:lang w:val="en-US" w:eastAsia="zh-CN" w:bidi="ar-SA"/>
    </w:rPr>
  </w:style>
  <w:style w:type="character" w:customStyle="1" w:styleId="355">
    <w:name w:val="1正文段落 Char Char"/>
    <w:link w:val="356"/>
    <w:uiPriority w:val="0"/>
    <w:rPr>
      <w:snapToGrid w:val="0"/>
      <w:sz w:val="24"/>
      <w:szCs w:val="24"/>
    </w:rPr>
  </w:style>
  <w:style w:type="paragraph" w:customStyle="1" w:styleId="356">
    <w:name w:val="1正文段落"/>
    <w:basedOn w:val="1"/>
    <w:link w:val="355"/>
    <w:uiPriority w:val="0"/>
    <w:pPr>
      <w:autoSpaceDE/>
      <w:autoSpaceDN/>
    </w:pPr>
    <w:rPr>
      <w:rFonts w:asciiTheme="minorHAnsi" w:hAnsiTheme="minorHAnsi" w:eastAsiaTheme="minorEastAsia" w:cstheme="minorBidi"/>
      <w:snapToGrid w:val="0"/>
    </w:rPr>
  </w:style>
  <w:style w:type="character" w:customStyle="1" w:styleId="357">
    <w:name w:val="EmailStyle5541"/>
    <w:uiPriority w:val="0"/>
    <w:rPr>
      <w:rFonts w:ascii="Arial" w:hAnsi="Arial" w:eastAsia="宋体" w:cs="Arial"/>
      <w:color w:val="auto"/>
      <w:sz w:val="20"/>
    </w:rPr>
  </w:style>
  <w:style w:type="character" w:customStyle="1" w:styleId="358">
    <w:name w:val="EmailStyle488"/>
    <w:uiPriority w:val="0"/>
    <w:rPr>
      <w:rFonts w:ascii="Arial" w:hAnsi="Arial" w:eastAsia="宋体" w:cs="Arial"/>
      <w:color w:val="auto"/>
      <w:sz w:val="20"/>
    </w:rPr>
  </w:style>
  <w:style w:type="character" w:customStyle="1" w:styleId="359">
    <w:name w:val="分目录2 Char"/>
    <w:uiPriority w:val="0"/>
    <w:rPr>
      <w:rFonts w:eastAsia="宋体"/>
      <w:snapToGrid w:val="0"/>
      <w:sz w:val="24"/>
    </w:rPr>
  </w:style>
  <w:style w:type="character" w:customStyle="1" w:styleId="360">
    <w:name w:val="分目录2 Char Char"/>
    <w:link w:val="361"/>
    <w:uiPriority w:val="0"/>
    <w:rPr>
      <w:snapToGrid w:val="0"/>
      <w:sz w:val="24"/>
    </w:rPr>
  </w:style>
  <w:style w:type="paragraph" w:customStyle="1" w:styleId="361">
    <w:name w:val="分目录2"/>
    <w:basedOn w:val="362"/>
    <w:link w:val="360"/>
    <w:uiPriority w:val="0"/>
    <w:pPr>
      <w:tabs>
        <w:tab w:val="right" w:leader="dot" w:pos="8304"/>
      </w:tabs>
      <w:ind w:firstLine="480" w:firstLineChars="200"/>
    </w:pPr>
    <w:rPr>
      <w:rFonts w:asciiTheme="minorHAnsi" w:hAnsiTheme="minorHAnsi" w:eastAsiaTheme="minorEastAsia" w:cstheme="minorBidi"/>
      <w:sz w:val="24"/>
      <w:lang w:val="en-US"/>
    </w:rPr>
  </w:style>
  <w:style w:type="paragraph" w:customStyle="1" w:styleId="362">
    <w:name w:val="分目录1"/>
    <w:basedOn w:val="1"/>
    <w:link w:val="363"/>
    <w:uiPriority w:val="0"/>
    <w:pPr>
      <w:widowControl/>
      <w:tabs>
        <w:tab w:val="right" w:leader="dot" w:pos="8304"/>
      </w:tabs>
      <w:autoSpaceDE/>
      <w:autoSpaceDN/>
      <w:ind w:firstLine="0" w:firstLineChars="0"/>
    </w:pPr>
    <w:rPr>
      <w:rFonts w:ascii="Calibri" w:hAnsi="Calibri"/>
      <w:snapToGrid w:val="0"/>
      <w:sz w:val="28"/>
      <w:szCs w:val="20"/>
      <w:lang w:val="zh-CN"/>
    </w:rPr>
  </w:style>
  <w:style w:type="character" w:customStyle="1" w:styleId="363">
    <w:name w:val="分目录1 Char Char"/>
    <w:link w:val="362"/>
    <w:uiPriority w:val="0"/>
    <w:rPr>
      <w:rFonts w:ascii="Calibri" w:hAnsi="Calibri" w:eastAsia="宋体" w:cs="Times New Roman"/>
      <w:snapToGrid w:val="0"/>
      <w:sz w:val="28"/>
      <w:lang w:val="zh-CN" w:eastAsia="zh-CN"/>
    </w:rPr>
  </w:style>
  <w:style w:type="character" w:customStyle="1" w:styleId="364">
    <w:name w:val="EmailStyle5601"/>
    <w:uiPriority w:val="0"/>
    <w:rPr>
      <w:rFonts w:ascii="Arial" w:hAnsi="Arial" w:eastAsia="宋体" w:cs="Arial"/>
      <w:color w:val="auto"/>
      <w:sz w:val="20"/>
    </w:rPr>
  </w:style>
  <w:style w:type="character" w:customStyle="1" w:styleId="365">
    <w:name w:val="样式 正文首行缩进 2 + (符号) 宋体 Char Char Char Char"/>
    <w:link w:val="366"/>
    <w:uiPriority w:val="0"/>
    <w:rPr>
      <w:rFonts w:ascii="宋体"/>
      <w:sz w:val="24"/>
      <w:szCs w:val="24"/>
    </w:rPr>
  </w:style>
  <w:style w:type="paragraph" w:customStyle="1" w:styleId="366">
    <w:name w:val="样式 正文首行缩进 2 + (符号) 宋体 Char"/>
    <w:basedOn w:val="367"/>
    <w:link w:val="365"/>
    <w:uiPriority w:val="0"/>
    <w:pPr>
      <w:spacing w:after="0" w:line="360" w:lineRule="auto"/>
      <w:ind w:left="0" w:leftChars="0" w:firstLine="200"/>
    </w:pPr>
    <w:rPr>
      <w:rFonts w:ascii="宋体" w:hAnsiTheme="minorHAnsi" w:eastAsiaTheme="minorEastAsia" w:cstheme="minorBidi"/>
      <w:kern w:val="0"/>
      <w:sz w:val="24"/>
    </w:rPr>
  </w:style>
  <w:style w:type="paragraph" w:customStyle="1" w:styleId="367">
    <w:name w:val="正文文本首行缩进 21"/>
    <w:basedOn w:val="368"/>
    <w:uiPriority w:val="0"/>
    <w:pPr>
      <w:ind w:firstLine="420" w:firstLineChars="200"/>
    </w:pPr>
  </w:style>
  <w:style w:type="paragraph" w:customStyle="1" w:styleId="368">
    <w:name w:val="正文文本缩进1"/>
    <w:basedOn w:val="1"/>
    <w:uiPriority w:val="0"/>
    <w:pPr>
      <w:autoSpaceDE/>
      <w:autoSpaceDN/>
      <w:spacing w:after="120" w:line="240" w:lineRule="auto"/>
      <w:ind w:left="420" w:leftChars="200" w:firstLine="0" w:firstLineChars="0"/>
      <w:jc w:val="both"/>
    </w:pPr>
    <w:rPr>
      <w:rFonts w:ascii="Calibri" w:hAnsi="Calibri"/>
      <w:kern w:val="2"/>
      <w:sz w:val="21"/>
    </w:rPr>
  </w:style>
  <w:style w:type="character" w:customStyle="1" w:styleId="369">
    <w:name w:val="正文样式 Char"/>
    <w:uiPriority w:val="0"/>
    <w:rPr>
      <w:rFonts w:eastAsia="宋体" w:cs="宋体"/>
      <w:kern w:val="2"/>
      <w:sz w:val="24"/>
      <w:szCs w:val="24"/>
      <w:lang w:val="en-US" w:eastAsia="zh-CN" w:bidi="ar-SA"/>
    </w:rPr>
  </w:style>
  <w:style w:type="character" w:customStyle="1" w:styleId="370">
    <w:name w:val="报告正文 Char Char Char"/>
    <w:link w:val="371"/>
    <w:uiPriority w:val="0"/>
    <w:rPr>
      <w:kern w:val="2"/>
      <w:sz w:val="28"/>
      <w:szCs w:val="28"/>
    </w:rPr>
  </w:style>
  <w:style w:type="paragraph" w:customStyle="1" w:styleId="371">
    <w:name w:val="报告正文 Char"/>
    <w:basedOn w:val="1"/>
    <w:link w:val="370"/>
    <w:uiPriority w:val="0"/>
    <w:pPr>
      <w:autoSpaceDE/>
      <w:autoSpaceDN/>
      <w:jc w:val="both"/>
    </w:pPr>
    <w:rPr>
      <w:rFonts w:asciiTheme="minorHAnsi" w:hAnsiTheme="minorHAnsi" w:eastAsiaTheme="minorEastAsia" w:cstheme="minorBidi"/>
      <w:kern w:val="2"/>
      <w:sz w:val="28"/>
      <w:szCs w:val="28"/>
    </w:rPr>
  </w:style>
  <w:style w:type="character" w:customStyle="1" w:styleId="372">
    <w:name w:val="nfont6"/>
    <w:uiPriority w:val="0"/>
    <w:rPr>
      <w:rFonts w:hint="default"/>
      <w:color w:val="FF0000"/>
      <w:spacing w:val="335"/>
      <w:sz w:val="27"/>
      <w:szCs w:val="27"/>
    </w:rPr>
  </w:style>
  <w:style w:type="character" w:customStyle="1" w:styleId="373">
    <w:name w:val="样式 正文首行缩进 2 + (符号) 宋体 + (符号) 宋体 Char"/>
    <w:uiPriority w:val="0"/>
    <w:rPr>
      <w:rFonts w:ascii="宋体" w:hAnsi="Times New Roman" w:eastAsia="宋体" w:cs="Times New Roman"/>
      <w:kern w:val="2"/>
      <w:sz w:val="24"/>
      <w:szCs w:val="24"/>
      <w:lang w:val="en-US" w:eastAsia="zh-CN" w:bidi="ar-SA"/>
    </w:rPr>
  </w:style>
  <w:style w:type="character" w:customStyle="1" w:styleId="374">
    <w:name w:val="unnamed21"/>
    <w:uiPriority w:val="0"/>
    <w:rPr>
      <w:color w:val="330000"/>
      <w:sz w:val="21"/>
      <w:szCs w:val="21"/>
      <w:u w:val="none"/>
    </w:rPr>
  </w:style>
  <w:style w:type="character" w:customStyle="1" w:styleId="375">
    <w:name w:val="Char Char7"/>
    <w:uiPriority w:val="0"/>
    <w:rPr>
      <w:rFonts w:ascii="宋体" w:hAnsi="宋体" w:eastAsia="宋体"/>
      <w:b/>
      <w:kern w:val="2"/>
      <w:sz w:val="21"/>
      <w:szCs w:val="24"/>
      <w:lang w:val="en-US" w:eastAsia="zh-CN"/>
    </w:rPr>
  </w:style>
  <w:style w:type="character" w:customStyle="1" w:styleId="376">
    <w:name w:val="Char Char4"/>
    <w:uiPriority w:val="0"/>
    <w:rPr>
      <w:rFonts w:eastAsia="宋体"/>
      <w:b/>
      <w:bCs/>
      <w:kern w:val="44"/>
      <w:sz w:val="28"/>
      <w:szCs w:val="28"/>
      <w:lang w:val="en-US" w:eastAsia="zh-CN" w:bidi="ar-SA"/>
    </w:rPr>
  </w:style>
  <w:style w:type="character" w:customStyle="1" w:styleId="377">
    <w:name w:val="题注 Char Char"/>
    <w:uiPriority w:val="0"/>
    <w:rPr>
      <w:rFonts w:ascii="Arial" w:hAnsi="Arial" w:eastAsia="黑体" w:cs="Arial"/>
      <w:kern w:val="2"/>
      <w:lang w:val="en-US" w:eastAsia="zh-CN"/>
    </w:rPr>
  </w:style>
  <w:style w:type="character" w:customStyle="1" w:styleId="378">
    <w:name w:val="样式 标题 2节H2节标题 1.1二级标题标题 lxb21.1h2第一层条二级标题 Char表标题单位名... Char Char Char"/>
    <w:link w:val="379"/>
    <w:uiPriority w:val="0"/>
    <w:rPr>
      <w:rFonts w:ascii="黑体" w:hAnsi="宋体" w:eastAsia="黑体"/>
      <w:b/>
      <w:bCs/>
      <w:color w:val="000000"/>
      <w:kern w:val="2"/>
      <w:sz w:val="28"/>
      <w:szCs w:val="28"/>
    </w:rPr>
  </w:style>
  <w:style w:type="paragraph" w:customStyle="1" w:styleId="379">
    <w:name w:val="样式 标题 2节H2节标题 1.1二级标题标题 lxb21.1h2第一层条二级标题 Char表标题单位名... Char"/>
    <w:basedOn w:val="3"/>
    <w:link w:val="378"/>
    <w:uiPriority w:val="0"/>
    <w:pPr>
      <w:numPr>
        <w:ilvl w:val="0"/>
        <w:numId w:val="0"/>
      </w:numPr>
      <w:tabs>
        <w:tab w:val="left" w:pos="567"/>
      </w:tabs>
      <w:overflowPunct w:val="0"/>
      <w:spacing w:before="156" w:beforeLines="50"/>
      <w:ind w:left="314" w:hanging="314"/>
      <w:jc w:val="both"/>
      <w:textAlignment w:val="baseline"/>
    </w:pPr>
    <w:rPr>
      <w:rFonts w:hAnsi="宋体" w:cstheme="minorBidi"/>
      <w:b/>
      <w:bCs/>
      <w:color w:val="000000"/>
      <w:kern w:val="2"/>
      <w:sz w:val="28"/>
      <w:szCs w:val="28"/>
    </w:rPr>
  </w:style>
  <w:style w:type="character" w:customStyle="1" w:styleId="380">
    <w:name w:val="称呼 字符"/>
    <w:link w:val="24"/>
    <w:uiPriority w:val="0"/>
    <w:rPr>
      <w:kern w:val="2"/>
      <w:sz w:val="21"/>
      <w:szCs w:val="24"/>
    </w:rPr>
  </w:style>
  <w:style w:type="character" w:customStyle="1" w:styleId="381">
    <w:name w:val="称呼 字符1"/>
    <w:basedOn w:val="83"/>
    <w:semiHidden/>
    <w:uiPriority w:val="99"/>
    <w:rPr>
      <w:rFonts w:ascii="Times New Roman" w:hAnsi="Times New Roman" w:eastAsia="宋体" w:cs="Times New Roman"/>
      <w:sz w:val="24"/>
      <w:szCs w:val="24"/>
    </w:rPr>
  </w:style>
  <w:style w:type="character" w:customStyle="1" w:styleId="382">
    <w:name w:val="5级正文 Char Char"/>
    <w:link w:val="383"/>
    <w:uiPriority w:val="0"/>
    <w:rPr>
      <w:b/>
      <w:kern w:val="2"/>
      <w:sz w:val="24"/>
      <w:szCs w:val="24"/>
    </w:rPr>
  </w:style>
  <w:style w:type="paragraph" w:customStyle="1" w:styleId="383">
    <w:name w:val="5级正文"/>
    <w:basedOn w:val="1"/>
    <w:next w:val="18"/>
    <w:link w:val="382"/>
    <w:qFormat/>
    <w:uiPriority w:val="0"/>
    <w:pPr>
      <w:numPr>
        <w:ilvl w:val="0"/>
        <w:numId w:val="2"/>
      </w:numPr>
      <w:autoSpaceDE/>
      <w:autoSpaceDN/>
      <w:ind w:left="0" w:firstLine="0" w:firstLineChars="0"/>
      <w:jc w:val="both"/>
      <w:outlineLvl w:val="4"/>
    </w:pPr>
    <w:rPr>
      <w:rFonts w:asciiTheme="minorHAnsi" w:hAnsiTheme="minorHAnsi" w:eastAsiaTheme="minorEastAsia" w:cstheme="minorBidi"/>
      <w:b/>
      <w:kern w:val="2"/>
    </w:rPr>
  </w:style>
  <w:style w:type="character" w:customStyle="1" w:styleId="384">
    <w:name w:val="正文缩进 字符"/>
    <w:link w:val="18"/>
    <w:qFormat/>
    <w:uiPriority w:val="0"/>
    <w:rPr>
      <w:rFonts w:ascii="Times New Roman" w:hAnsi="Times New Roman" w:eastAsia="宋体" w:cs="Times New Roman"/>
      <w:sz w:val="24"/>
      <w:szCs w:val="24"/>
    </w:rPr>
  </w:style>
  <w:style w:type="character" w:customStyle="1" w:styleId="385">
    <w:name w:val="样式1 Char Char"/>
    <w:link w:val="386"/>
    <w:uiPriority w:val="0"/>
    <w:rPr>
      <w:sz w:val="21"/>
    </w:rPr>
  </w:style>
  <w:style w:type="paragraph" w:customStyle="1" w:styleId="386">
    <w:name w:val="样式1"/>
    <w:basedOn w:val="1"/>
    <w:link w:val="385"/>
    <w:qFormat/>
    <w:uiPriority w:val="0"/>
    <w:pPr>
      <w:autoSpaceDE/>
      <w:autoSpaceDN/>
      <w:spacing w:line="240" w:lineRule="auto"/>
      <w:ind w:firstLine="0" w:firstLineChars="0"/>
      <w:jc w:val="center"/>
    </w:pPr>
    <w:rPr>
      <w:rFonts w:asciiTheme="minorHAnsi" w:hAnsiTheme="minorHAnsi" w:eastAsiaTheme="minorEastAsia" w:cstheme="minorBidi"/>
      <w:sz w:val="21"/>
      <w:szCs w:val="20"/>
    </w:rPr>
  </w:style>
  <w:style w:type="character" w:customStyle="1" w:styleId="387">
    <w:name w:val="正文首行缩进 2 Char1"/>
    <w:qFormat/>
    <w:uiPriority w:val="0"/>
    <w:rPr>
      <w:rFonts w:ascii="宋体" w:hAnsi="宋体" w:eastAsia="宋体" w:cs="宋体"/>
      <w:kern w:val="2"/>
      <w:sz w:val="24"/>
      <w:szCs w:val="24"/>
    </w:rPr>
  </w:style>
  <w:style w:type="character" w:customStyle="1" w:styleId="388">
    <w:name w:val="样式 标题 3 + 宋体 Char Char Char Char"/>
    <w:link w:val="389"/>
    <w:uiPriority w:val="0"/>
    <w:rPr>
      <w:rFonts w:ascii="宋体" w:hAnsi="宋体" w:cs="宋体"/>
      <w:b/>
      <w:bCs/>
      <w:sz w:val="32"/>
      <w:szCs w:val="32"/>
    </w:rPr>
  </w:style>
  <w:style w:type="paragraph" w:customStyle="1" w:styleId="389">
    <w:name w:val="样式 标题 3 + 宋体 Char Char"/>
    <w:basedOn w:val="4"/>
    <w:link w:val="388"/>
    <w:uiPriority w:val="0"/>
    <w:pPr>
      <w:keepNext/>
      <w:keepLines/>
      <w:widowControl/>
      <w:numPr>
        <w:ilvl w:val="0"/>
        <w:numId w:val="0"/>
      </w:numPr>
      <w:autoSpaceDE/>
      <w:autoSpaceDN/>
      <w:spacing w:before="200" w:line="420" w:lineRule="auto"/>
    </w:pPr>
    <w:rPr>
      <w:rFonts w:ascii="宋体" w:hAnsi="宋体" w:cs="宋体" w:eastAsiaTheme="minorEastAsia"/>
      <w:b/>
      <w:bCs/>
      <w:sz w:val="32"/>
      <w:szCs w:val="32"/>
    </w:rPr>
  </w:style>
  <w:style w:type="character" w:customStyle="1" w:styleId="390">
    <w:name w:val="（1）标题 Char"/>
    <w:uiPriority w:val="0"/>
    <w:rPr>
      <w:rFonts w:eastAsia="宋体"/>
      <w:sz w:val="28"/>
    </w:rPr>
  </w:style>
  <w:style w:type="character" w:customStyle="1" w:styleId="391">
    <w:name w:val="样式 仿宋_GB2312 四号"/>
    <w:uiPriority w:val="0"/>
    <w:rPr>
      <w:rFonts w:ascii="仿宋_GB2312" w:eastAsia="仿宋_GB2312"/>
      <w:sz w:val="28"/>
      <w:szCs w:val="28"/>
    </w:rPr>
  </w:style>
  <w:style w:type="character" w:customStyle="1" w:styleId="392">
    <w:name w:val="777777777 Char Char Char Char Char Char Char"/>
    <w:link w:val="393"/>
    <w:uiPriority w:val="0"/>
    <w:rPr>
      <w:sz w:val="28"/>
    </w:rPr>
  </w:style>
  <w:style w:type="paragraph" w:customStyle="1" w:styleId="393">
    <w:name w:val="777777777"/>
    <w:basedOn w:val="1"/>
    <w:link w:val="392"/>
    <w:uiPriority w:val="0"/>
    <w:pPr>
      <w:widowControl/>
      <w:autoSpaceDE/>
      <w:autoSpaceDN/>
      <w:spacing w:line="400" w:lineRule="exact"/>
      <w:ind w:firstLine="560"/>
    </w:pPr>
    <w:rPr>
      <w:rFonts w:asciiTheme="minorHAnsi" w:hAnsiTheme="minorHAnsi" w:eastAsiaTheme="minorEastAsia" w:cstheme="minorBidi"/>
      <w:sz w:val="28"/>
      <w:szCs w:val="20"/>
    </w:rPr>
  </w:style>
  <w:style w:type="character" w:customStyle="1" w:styleId="394">
    <w:name w:val="EmailStyle443"/>
    <w:uiPriority w:val="0"/>
    <w:rPr>
      <w:rFonts w:ascii="Arial" w:hAnsi="Arial" w:eastAsia="宋体" w:cs="Arial"/>
      <w:color w:val="auto"/>
      <w:sz w:val="20"/>
    </w:rPr>
  </w:style>
  <w:style w:type="character" w:customStyle="1" w:styleId="395">
    <w:name w:val="mainfirst1"/>
    <w:uiPriority w:val="0"/>
    <w:rPr>
      <w:b/>
      <w:bCs/>
      <w:color w:val="FF0000"/>
      <w:sz w:val="36"/>
      <w:szCs w:val="36"/>
    </w:rPr>
  </w:style>
  <w:style w:type="character" w:customStyle="1" w:styleId="396">
    <w:name w:val="表头标题 Char"/>
    <w:uiPriority w:val="0"/>
    <w:rPr>
      <w:rFonts w:ascii="黑体" w:hAnsi="Times New Roman" w:eastAsia="黑体" w:cs="Times New Roman"/>
      <w:bCs/>
      <w:color w:val="FF0000"/>
      <w:szCs w:val="21"/>
      <w:lang w:val="zh-CN"/>
    </w:rPr>
  </w:style>
  <w:style w:type="character" w:customStyle="1" w:styleId="397">
    <w:name w:val="HTML 缩写1"/>
    <w:uiPriority w:val="0"/>
    <w:rPr>
      <w:rFonts w:ascii="宋体" w:hAnsi="宋体" w:eastAsia="宋体" w:cs="Courier New"/>
      <w:kern w:val="2"/>
      <w:sz w:val="32"/>
      <w:szCs w:val="32"/>
      <w:lang w:val="en-US" w:eastAsia="zh-CN"/>
    </w:rPr>
  </w:style>
  <w:style w:type="character" w:customStyle="1" w:styleId="398">
    <w:name w:val="文档结构图 字符"/>
    <w:link w:val="22"/>
    <w:qFormat/>
    <w:uiPriority w:val="0"/>
    <w:rPr>
      <w:rFonts w:ascii="宋体"/>
      <w:kern w:val="2"/>
      <w:sz w:val="18"/>
      <w:szCs w:val="18"/>
    </w:rPr>
  </w:style>
  <w:style w:type="character" w:customStyle="1" w:styleId="399">
    <w:name w:val="文档结构图 字符1"/>
    <w:basedOn w:val="83"/>
    <w:semiHidden/>
    <w:uiPriority w:val="99"/>
    <w:rPr>
      <w:rFonts w:ascii="Microsoft YaHei UI" w:hAnsi="Times New Roman" w:eastAsia="Microsoft YaHei UI" w:cs="Times New Roman"/>
      <w:sz w:val="18"/>
      <w:szCs w:val="18"/>
    </w:rPr>
  </w:style>
  <w:style w:type="character" w:customStyle="1" w:styleId="400">
    <w:name w:val="电子邮件签名 字符"/>
    <w:link w:val="16"/>
    <w:uiPriority w:val="0"/>
    <w:rPr>
      <w:kern w:val="2"/>
      <w:sz w:val="21"/>
      <w:szCs w:val="24"/>
    </w:rPr>
  </w:style>
  <w:style w:type="character" w:customStyle="1" w:styleId="401">
    <w:name w:val="电子邮件签名 字符1"/>
    <w:basedOn w:val="83"/>
    <w:semiHidden/>
    <w:uiPriority w:val="99"/>
    <w:rPr>
      <w:rFonts w:ascii="Times New Roman" w:hAnsi="Times New Roman" w:eastAsia="宋体" w:cs="Times New Roman"/>
      <w:sz w:val="24"/>
      <w:szCs w:val="24"/>
    </w:rPr>
  </w:style>
  <w:style w:type="character" w:customStyle="1" w:styleId="402">
    <w:name w:val="777777777 Char"/>
    <w:uiPriority w:val="0"/>
    <w:rPr>
      <w:rFonts w:eastAsia="宋体"/>
      <w:sz w:val="28"/>
    </w:rPr>
  </w:style>
  <w:style w:type="character" w:customStyle="1" w:styleId="403">
    <w:name w:val="日期 Char1"/>
    <w:qFormat/>
    <w:uiPriority w:val="0"/>
    <w:rPr>
      <w:rFonts w:ascii="Calibri" w:hAnsi="Calibri" w:eastAsia="宋体" w:cs="Times New Roman"/>
      <w:kern w:val="2"/>
      <w:sz w:val="28"/>
      <w:szCs w:val="24"/>
    </w:rPr>
  </w:style>
  <w:style w:type="character" w:customStyle="1" w:styleId="404">
    <w:name w:val="样式 样式 表格 + (符号) 宋体 五号 居中 + 小五 Char"/>
    <w:uiPriority w:val="0"/>
    <w:rPr>
      <w:rFonts w:ascii="宋体" w:hAnsi="宋体" w:eastAsia="宋体" w:cs="宋体"/>
      <w:snapToGrid w:val="0"/>
      <w:kern w:val="0"/>
      <w:sz w:val="18"/>
      <w:szCs w:val="21"/>
    </w:rPr>
  </w:style>
  <w:style w:type="character" w:customStyle="1" w:styleId="405">
    <w:name w:val="000 Char"/>
    <w:link w:val="406"/>
    <w:qFormat/>
    <w:uiPriority w:val="0"/>
    <w:rPr>
      <w:sz w:val="24"/>
      <w:szCs w:val="24"/>
    </w:rPr>
  </w:style>
  <w:style w:type="paragraph" w:customStyle="1" w:styleId="406">
    <w:name w:val="000"/>
    <w:basedOn w:val="1"/>
    <w:link w:val="405"/>
    <w:qFormat/>
    <w:uiPriority w:val="0"/>
    <w:pPr>
      <w:autoSpaceDE/>
      <w:autoSpaceDN/>
      <w:ind w:firstLine="480"/>
      <w:jc w:val="both"/>
    </w:pPr>
    <w:rPr>
      <w:rFonts w:asciiTheme="minorHAnsi" w:hAnsiTheme="minorHAnsi" w:eastAsiaTheme="minorEastAsia" w:cstheme="minorBidi"/>
    </w:rPr>
  </w:style>
  <w:style w:type="character" w:customStyle="1" w:styleId="407">
    <w:name w:val="表格1 Char Char"/>
    <w:link w:val="408"/>
    <w:uiPriority w:val="0"/>
    <w:rPr>
      <w:rFonts w:ascii="宋体"/>
      <w:kern w:val="2"/>
      <w:sz w:val="24"/>
      <w:szCs w:val="24"/>
    </w:rPr>
  </w:style>
  <w:style w:type="paragraph" w:customStyle="1" w:styleId="408">
    <w:name w:val="表格1"/>
    <w:basedOn w:val="1"/>
    <w:link w:val="407"/>
    <w:qFormat/>
    <w:uiPriority w:val="0"/>
    <w:pPr>
      <w:autoSpaceDE/>
      <w:autoSpaceDN/>
      <w:spacing w:line="240" w:lineRule="auto"/>
      <w:ind w:firstLine="0" w:firstLineChars="0"/>
      <w:jc w:val="center"/>
    </w:pPr>
    <w:rPr>
      <w:rFonts w:ascii="宋体" w:hAnsiTheme="minorHAnsi" w:eastAsiaTheme="minorEastAsia" w:cstheme="minorBidi"/>
      <w:kern w:val="2"/>
    </w:rPr>
  </w:style>
  <w:style w:type="character" w:customStyle="1" w:styleId="409">
    <w:name w:val="环保专篇 Char Char Char Char"/>
    <w:link w:val="410"/>
    <w:uiPriority w:val="0"/>
    <w:rPr>
      <w:sz w:val="24"/>
      <w:szCs w:val="24"/>
    </w:rPr>
  </w:style>
  <w:style w:type="paragraph" w:customStyle="1" w:styleId="410">
    <w:name w:val="环保专篇 Char"/>
    <w:link w:val="409"/>
    <w:uiPriority w:val="0"/>
    <w:pPr>
      <w:spacing w:line="360" w:lineRule="auto"/>
      <w:ind w:firstLine="200" w:firstLineChars="200"/>
      <w:jc w:val="both"/>
    </w:pPr>
    <w:rPr>
      <w:rFonts w:asciiTheme="minorHAnsi" w:hAnsiTheme="minorHAnsi" w:eastAsiaTheme="minorEastAsia" w:cstheme="minorBidi"/>
      <w:sz w:val="24"/>
      <w:szCs w:val="24"/>
      <w:lang w:val="en-US" w:eastAsia="zh-CN" w:bidi="ar-SA"/>
    </w:rPr>
  </w:style>
  <w:style w:type="character" w:customStyle="1" w:styleId="411">
    <w:name w:val="HTML 变量1"/>
    <w:uiPriority w:val="0"/>
    <w:rPr>
      <w:rFonts w:ascii="宋体" w:hAnsi="宋体" w:eastAsia="宋体" w:cs="Courier New"/>
      <w:i/>
      <w:iCs/>
      <w:kern w:val="2"/>
      <w:sz w:val="32"/>
      <w:szCs w:val="32"/>
      <w:lang w:val="en-US" w:eastAsia="zh-CN"/>
    </w:rPr>
  </w:style>
  <w:style w:type="character" w:customStyle="1" w:styleId="412">
    <w:name w:val="正文小 Char"/>
    <w:link w:val="413"/>
    <w:uiPriority w:val="0"/>
    <w:rPr>
      <w:rFonts w:cs="Arial"/>
      <w:color w:val="0000FF"/>
      <w:kern w:val="2"/>
      <w:sz w:val="24"/>
    </w:rPr>
  </w:style>
  <w:style w:type="paragraph" w:customStyle="1" w:styleId="413">
    <w:name w:val="正文小"/>
    <w:basedOn w:val="43"/>
    <w:link w:val="412"/>
    <w:qFormat/>
    <w:uiPriority w:val="0"/>
    <w:pPr>
      <w:spacing w:before="0" w:beforeLines="0" w:after="0" w:afterLines="0" w:line="440" w:lineRule="exact"/>
      <w:ind w:firstLine="567"/>
    </w:pPr>
    <w:rPr>
      <w:rFonts w:cs="Arial"/>
      <w:color w:val="0000FF"/>
      <w:szCs w:val="20"/>
    </w:rPr>
  </w:style>
  <w:style w:type="character" w:customStyle="1" w:styleId="414">
    <w:name w:val="正文首行缩进 Char1"/>
    <w:qFormat/>
    <w:uiPriority w:val="0"/>
    <w:rPr>
      <w:rFonts w:eastAsia="宋体"/>
      <w:kern w:val="2"/>
      <w:sz w:val="24"/>
      <w:szCs w:val="24"/>
      <w:lang w:val="en-US" w:eastAsia="zh-CN" w:bidi="ar-SA"/>
    </w:rPr>
  </w:style>
  <w:style w:type="character" w:customStyle="1" w:styleId="415">
    <w:name w:val="纯文本 Char Char Char"/>
    <w:uiPriority w:val="0"/>
    <w:rPr>
      <w:rFonts w:ascii="宋体" w:hAnsi="Courier New" w:eastAsia="宋体" w:cs="Courier New"/>
      <w:kern w:val="2"/>
      <w:sz w:val="24"/>
      <w:szCs w:val="21"/>
      <w:lang w:val="en-US" w:eastAsia="zh-CN" w:bidi="ar-SA"/>
    </w:rPr>
  </w:style>
  <w:style w:type="character" w:customStyle="1" w:styleId="416">
    <w:name w:val="样式 标题 2 + 楷体_GB2312 Char Char"/>
    <w:link w:val="417"/>
    <w:uiPriority w:val="0"/>
    <w:rPr>
      <w:rFonts w:ascii="楷体_GB2312" w:hAnsi="楷体_GB2312" w:eastAsia="楷体_GB2312"/>
      <w:b/>
      <w:bCs/>
      <w:kern w:val="2"/>
      <w:sz w:val="30"/>
      <w:szCs w:val="32"/>
    </w:rPr>
  </w:style>
  <w:style w:type="paragraph" w:customStyle="1" w:styleId="417">
    <w:name w:val="样式 标题 2 + 楷体_GB2312"/>
    <w:basedOn w:val="3"/>
    <w:link w:val="416"/>
    <w:uiPriority w:val="0"/>
    <w:pPr>
      <w:numPr>
        <w:ilvl w:val="0"/>
        <w:numId w:val="0"/>
      </w:numPr>
      <w:autoSpaceDE/>
      <w:autoSpaceDN/>
      <w:spacing w:before="120" w:after="120" w:line="500" w:lineRule="exact"/>
      <w:jc w:val="both"/>
    </w:pPr>
    <w:rPr>
      <w:rFonts w:ascii="楷体_GB2312" w:hAnsi="楷体_GB2312" w:eastAsia="楷体_GB2312" w:cstheme="minorBidi"/>
      <w:b/>
      <w:bCs/>
      <w:kern w:val="2"/>
      <w:szCs w:val="32"/>
    </w:rPr>
  </w:style>
  <w:style w:type="character" w:customStyle="1" w:styleId="418">
    <w:name w:val="样式 正文首行缩进 2 + (符号) 宋体 + (符号) 宋体 Char Char Char"/>
    <w:basedOn w:val="329"/>
    <w:uiPriority w:val="0"/>
    <w:rPr>
      <w:rFonts w:ascii="宋体" w:eastAsia="宋体"/>
      <w:kern w:val="2"/>
      <w:sz w:val="24"/>
      <w:szCs w:val="24"/>
    </w:rPr>
  </w:style>
  <w:style w:type="character" w:customStyle="1" w:styleId="419">
    <w:name w:val="正文首行缩进 Char Char"/>
    <w:qFormat/>
    <w:uiPriority w:val="0"/>
    <w:rPr>
      <w:rFonts w:eastAsia="宋体"/>
      <w:kern w:val="2"/>
      <w:sz w:val="28"/>
      <w:szCs w:val="24"/>
      <w:lang w:val="en-US" w:eastAsia="zh-CN" w:bidi="ar-SA"/>
    </w:rPr>
  </w:style>
  <w:style w:type="character" w:customStyle="1" w:styleId="420">
    <w:name w:val="1正文段落 Char"/>
    <w:uiPriority w:val="0"/>
    <w:rPr>
      <w:rFonts w:ascii="宋体" w:hAnsi="宋体" w:eastAsia="宋体" w:cs="宋体"/>
      <w:snapToGrid w:val="0"/>
      <w:color w:val="1F497D"/>
      <w:spacing w:val="2"/>
      <w:kern w:val="0"/>
      <w:sz w:val="24"/>
      <w:szCs w:val="24"/>
    </w:rPr>
  </w:style>
  <w:style w:type="character" w:customStyle="1" w:styleId="421">
    <w:name w:val="条文首行缩进 Char"/>
    <w:link w:val="422"/>
    <w:qFormat/>
    <w:uiPriority w:val="0"/>
    <w:rPr>
      <w:rFonts w:ascii="Arial" w:hAnsi="Arial"/>
      <w:sz w:val="24"/>
      <w:szCs w:val="24"/>
    </w:rPr>
  </w:style>
  <w:style w:type="paragraph" w:customStyle="1" w:styleId="422">
    <w:name w:val="条文首行缩进"/>
    <w:basedOn w:val="1"/>
    <w:link w:val="421"/>
    <w:qFormat/>
    <w:uiPriority w:val="0"/>
    <w:pPr>
      <w:autoSpaceDE/>
      <w:autoSpaceDN/>
      <w:spacing w:line="240" w:lineRule="auto"/>
      <w:ind w:firstLine="480"/>
      <w:jc w:val="both"/>
    </w:pPr>
    <w:rPr>
      <w:rFonts w:ascii="Arial" w:hAnsi="Arial" w:eastAsiaTheme="minorEastAsia" w:cstheme="minorBidi"/>
    </w:rPr>
  </w:style>
  <w:style w:type="character" w:customStyle="1" w:styleId="423">
    <w:name w:val="中文报告书样式 Char"/>
    <w:link w:val="424"/>
    <w:qFormat/>
    <w:uiPriority w:val="0"/>
    <w:rPr>
      <w:rFonts w:ascii="宋体" w:hAnsi="宋体"/>
      <w:snapToGrid w:val="0"/>
      <w:sz w:val="24"/>
      <w:szCs w:val="24"/>
    </w:rPr>
  </w:style>
  <w:style w:type="paragraph" w:customStyle="1" w:styleId="424">
    <w:name w:val="中文报告书样式"/>
    <w:basedOn w:val="1"/>
    <w:link w:val="423"/>
    <w:qFormat/>
    <w:uiPriority w:val="0"/>
    <w:pPr>
      <w:autoSpaceDE/>
      <w:autoSpaceDN/>
      <w:ind w:firstLine="480"/>
      <w:textAlignment w:val="baseline"/>
    </w:pPr>
    <w:rPr>
      <w:rFonts w:ascii="宋体" w:hAnsi="宋体" w:eastAsiaTheme="minorEastAsia" w:cstheme="minorBidi"/>
      <w:snapToGrid w:val="0"/>
    </w:rPr>
  </w:style>
  <w:style w:type="character" w:customStyle="1" w:styleId="425">
    <w:name w:val="正文（首缩进两字） Char"/>
    <w:uiPriority w:val="0"/>
    <w:rPr>
      <w:rFonts w:ascii="宋体" w:hAnsi="宋体" w:eastAsia="宋体" w:cs="Times New Roman"/>
      <w:sz w:val="24"/>
      <w:szCs w:val="24"/>
    </w:rPr>
  </w:style>
  <w:style w:type="character" w:customStyle="1" w:styleId="426">
    <w:name w:val="正文(首行缩进) Char Char Char Char Char"/>
    <w:link w:val="427"/>
    <w:uiPriority w:val="0"/>
    <w:rPr>
      <w:rFonts w:eastAsia="宋体"/>
      <w:snapToGrid w:val="0"/>
      <w:kern w:val="2"/>
      <w:sz w:val="24"/>
      <w:szCs w:val="24"/>
    </w:rPr>
  </w:style>
  <w:style w:type="paragraph" w:customStyle="1" w:styleId="427">
    <w:name w:val="正文(首行缩进) Char Char"/>
    <w:basedOn w:val="1"/>
    <w:link w:val="426"/>
    <w:uiPriority w:val="0"/>
    <w:pPr>
      <w:autoSpaceDE/>
      <w:autoSpaceDN/>
      <w:ind w:firstLine="480"/>
      <w:jc w:val="both"/>
    </w:pPr>
    <w:rPr>
      <w:rFonts w:asciiTheme="minorHAnsi" w:hAnsiTheme="minorHAnsi" w:cstheme="minorBidi"/>
      <w:snapToGrid w:val="0"/>
      <w:kern w:val="2"/>
    </w:rPr>
  </w:style>
  <w:style w:type="character" w:customStyle="1" w:styleId="428">
    <w:name w:val="Font Style339"/>
    <w:uiPriority w:val="0"/>
    <w:rPr>
      <w:rFonts w:ascii="宋体" w:eastAsia="宋体" w:cs="宋体"/>
      <w:b/>
      <w:bCs/>
      <w:sz w:val="20"/>
      <w:szCs w:val="20"/>
    </w:rPr>
  </w:style>
  <w:style w:type="character" w:customStyle="1" w:styleId="429">
    <w:name w:val="HTML 代码1"/>
    <w:uiPriority w:val="0"/>
    <w:rPr>
      <w:rFonts w:ascii="Courier New" w:hAnsi="Courier New" w:eastAsia="宋体" w:cs="Courier New"/>
      <w:kern w:val="2"/>
      <w:sz w:val="20"/>
      <w:szCs w:val="20"/>
      <w:lang w:val="en-US" w:eastAsia="zh-CN"/>
    </w:rPr>
  </w:style>
  <w:style w:type="character" w:customStyle="1" w:styleId="430">
    <w:name w:val="表头标题格式 Char Char"/>
    <w:link w:val="431"/>
    <w:qFormat/>
    <w:uiPriority w:val="0"/>
    <w:rPr>
      <w:rFonts w:ascii="黑体" w:hAnsi="宋体" w:eastAsia="黑体" w:cs="宋体"/>
      <w:b/>
      <w:bCs/>
      <w:kern w:val="2"/>
      <w:sz w:val="24"/>
    </w:rPr>
  </w:style>
  <w:style w:type="paragraph" w:customStyle="1" w:styleId="431">
    <w:name w:val="表头标题格式"/>
    <w:basedOn w:val="1"/>
    <w:link w:val="430"/>
    <w:qFormat/>
    <w:uiPriority w:val="0"/>
    <w:pPr>
      <w:tabs>
        <w:tab w:val="left" w:pos="360"/>
        <w:tab w:val="left" w:pos="1620"/>
      </w:tabs>
      <w:autoSpaceDE/>
      <w:autoSpaceDN/>
      <w:ind w:firstLine="0" w:firstLineChars="0"/>
      <w:jc w:val="center"/>
    </w:pPr>
    <w:rPr>
      <w:rFonts w:ascii="黑体" w:hAnsi="宋体" w:eastAsia="黑体" w:cs="宋体"/>
      <w:b/>
      <w:bCs/>
      <w:kern w:val="2"/>
      <w:szCs w:val="20"/>
    </w:rPr>
  </w:style>
  <w:style w:type="character" w:customStyle="1" w:styleId="432">
    <w:name w:val="Char Char5"/>
    <w:uiPriority w:val="0"/>
    <w:rPr>
      <w:rFonts w:ascii="宋体" w:hAnsi="宋体" w:eastAsia="宋体"/>
      <w:b/>
      <w:kern w:val="2"/>
      <w:sz w:val="21"/>
      <w:szCs w:val="24"/>
      <w:lang w:val="en-US" w:eastAsia="zh-CN"/>
    </w:rPr>
  </w:style>
  <w:style w:type="character" w:customStyle="1" w:styleId="433">
    <w:name w:val="EmailStyle543"/>
    <w:uiPriority w:val="0"/>
    <w:rPr>
      <w:rFonts w:ascii="Arial" w:hAnsi="Arial" w:eastAsia="宋体" w:cs="Arial"/>
      <w:color w:val="auto"/>
      <w:sz w:val="20"/>
    </w:rPr>
  </w:style>
  <w:style w:type="character" w:customStyle="1" w:styleId="434">
    <w:name w:val="HTML 地址 字符"/>
    <w:link w:val="35"/>
    <w:uiPriority w:val="0"/>
    <w:rPr>
      <w:i/>
      <w:iCs/>
      <w:kern w:val="2"/>
      <w:sz w:val="21"/>
      <w:szCs w:val="24"/>
    </w:rPr>
  </w:style>
  <w:style w:type="character" w:customStyle="1" w:styleId="435">
    <w:name w:val="HTML 地址 字符1"/>
    <w:basedOn w:val="83"/>
    <w:semiHidden/>
    <w:uiPriority w:val="99"/>
    <w:rPr>
      <w:rFonts w:ascii="Times New Roman" w:hAnsi="Times New Roman" w:eastAsia="宋体" w:cs="Times New Roman"/>
      <w:i/>
      <w:iCs/>
      <w:sz w:val="24"/>
      <w:szCs w:val="24"/>
    </w:rPr>
  </w:style>
  <w:style w:type="character" w:customStyle="1" w:styleId="436">
    <w:name w:val="正文缩进 Char2"/>
    <w:link w:val="437"/>
    <w:qFormat/>
    <w:uiPriority w:val="0"/>
    <w:rPr>
      <w:snapToGrid w:val="0"/>
      <w:sz w:val="28"/>
    </w:rPr>
  </w:style>
  <w:style w:type="paragraph" w:customStyle="1" w:styleId="437">
    <w:name w:val="正文缩进2"/>
    <w:basedOn w:val="1"/>
    <w:link w:val="436"/>
    <w:uiPriority w:val="0"/>
    <w:pPr>
      <w:autoSpaceDE/>
      <w:autoSpaceDN/>
      <w:spacing w:line="240" w:lineRule="auto"/>
      <w:ind w:firstLine="420" w:firstLineChars="0"/>
      <w:jc w:val="both"/>
    </w:pPr>
    <w:rPr>
      <w:rFonts w:asciiTheme="minorHAnsi" w:hAnsiTheme="minorHAnsi" w:eastAsiaTheme="minorEastAsia" w:cstheme="minorBidi"/>
      <w:snapToGrid w:val="0"/>
      <w:sz w:val="28"/>
      <w:szCs w:val="20"/>
    </w:rPr>
  </w:style>
  <w:style w:type="character" w:customStyle="1" w:styleId="438">
    <w:name w:val="样式 (符号) 宋体 小四 行距: 固定值 26 磅 Char Char Char Char"/>
    <w:link w:val="439"/>
    <w:uiPriority w:val="0"/>
    <w:rPr>
      <w:rFonts w:ascii="宋体" w:hAnsi="宋体" w:cs="宋体"/>
      <w:color w:val="000000"/>
      <w:sz w:val="28"/>
      <w:szCs w:val="28"/>
    </w:rPr>
  </w:style>
  <w:style w:type="paragraph" w:customStyle="1" w:styleId="439">
    <w:name w:val="样式 (符号) 宋体 小四 行距: 固定值 26 磅 Char Char"/>
    <w:basedOn w:val="1"/>
    <w:link w:val="438"/>
    <w:uiPriority w:val="0"/>
    <w:pPr>
      <w:widowControl/>
      <w:autoSpaceDE/>
      <w:autoSpaceDN/>
      <w:ind w:firstLine="480"/>
    </w:pPr>
    <w:rPr>
      <w:rFonts w:ascii="宋体" w:hAnsi="宋体" w:cs="宋体" w:eastAsiaTheme="minorEastAsia"/>
      <w:color w:val="000000"/>
      <w:sz w:val="28"/>
      <w:szCs w:val="28"/>
    </w:rPr>
  </w:style>
  <w:style w:type="character" w:customStyle="1" w:styleId="440">
    <w:name w:val="unnamed11"/>
    <w:uiPriority w:val="0"/>
    <w:rPr>
      <w:sz w:val="21"/>
      <w:szCs w:val="21"/>
    </w:rPr>
  </w:style>
  <w:style w:type="character" w:customStyle="1" w:styleId="441">
    <w:name w:val="标题 4 Char1"/>
    <w:uiPriority w:val="0"/>
    <w:rPr>
      <w:rFonts w:ascii="Arial" w:hAnsi="Arial" w:eastAsia="黑体" w:cs="宋体"/>
      <w:b/>
      <w:bCs/>
      <w:sz w:val="28"/>
      <w:szCs w:val="28"/>
      <w:lang w:val="en-US" w:eastAsia="zh-CN"/>
    </w:rPr>
  </w:style>
  <w:style w:type="character" w:customStyle="1" w:styleId="442">
    <w:name w:val="普通文字 Char Char Char Char Char C Char Char Char Char Char Char Char"/>
    <w:uiPriority w:val="0"/>
    <w:rPr>
      <w:rFonts w:ascii="宋体" w:hAnsi="Courier New" w:eastAsia="宋体"/>
      <w:kern w:val="2"/>
      <w:sz w:val="28"/>
      <w:lang w:val="en-US" w:eastAsia="zh-CN"/>
    </w:rPr>
  </w:style>
  <w:style w:type="character" w:customStyle="1" w:styleId="443">
    <w:name w:val="样式 样式 标题 2节H2节标题 1.1二级标题标题 lxb21.1h2第一层条二级标题 Char表标题单位名... + 宋体... Char Char Char"/>
    <w:link w:val="444"/>
    <w:uiPriority w:val="0"/>
    <w:rPr>
      <w:rFonts w:ascii="宋体" w:hAnsi="宋体"/>
      <w:b/>
      <w:color w:val="000000"/>
      <w:kern w:val="2"/>
      <w:sz w:val="24"/>
      <w:szCs w:val="28"/>
    </w:rPr>
  </w:style>
  <w:style w:type="paragraph" w:customStyle="1" w:styleId="444">
    <w:name w:val="样式 样式 标题 2节H2节标题 1.1二级标题标题 lxb21.1h2第一层条二级标题 Char表标题单位名... + 宋体... Char"/>
    <w:basedOn w:val="379"/>
    <w:link w:val="443"/>
    <w:uiPriority w:val="0"/>
    <w:pPr>
      <w:ind w:left="0"/>
    </w:pPr>
    <w:rPr>
      <w:rFonts w:ascii="宋体" w:eastAsiaTheme="minorEastAsia"/>
      <w:bCs w:val="0"/>
      <w:sz w:val="24"/>
    </w:rPr>
  </w:style>
  <w:style w:type="character" w:customStyle="1" w:styleId="445">
    <w:name w:val="分目录1 Char"/>
    <w:uiPriority w:val="0"/>
    <w:rPr>
      <w:rFonts w:eastAsia="宋体"/>
      <w:snapToGrid w:val="0"/>
      <w:sz w:val="28"/>
    </w:rPr>
  </w:style>
  <w:style w:type="character" w:customStyle="1" w:styleId="446">
    <w:name w:val="EmailStyle4431"/>
    <w:uiPriority w:val="0"/>
    <w:rPr>
      <w:rFonts w:ascii="Arial" w:hAnsi="Arial" w:eastAsia="宋体" w:cs="Arial"/>
      <w:color w:val="auto"/>
      <w:sz w:val="20"/>
    </w:rPr>
  </w:style>
  <w:style w:type="character" w:customStyle="1" w:styleId="447">
    <w:name w:val="表头标题 Char Char"/>
    <w:link w:val="448"/>
    <w:qFormat/>
    <w:uiPriority w:val="0"/>
    <w:rPr>
      <w:rFonts w:ascii="黑体" w:eastAsia="黑体"/>
      <w:bCs/>
      <w:color w:val="FF0000"/>
      <w:szCs w:val="21"/>
      <w:lang w:val="zh-CN"/>
    </w:rPr>
  </w:style>
  <w:style w:type="paragraph" w:customStyle="1" w:styleId="448">
    <w:name w:val="表头标题"/>
    <w:basedOn w:val="1"/>
    <w:link w:val="447"/>
    <w:qFormat/>
    <w:uiPriority w:val="0"/>
    <w:pPr>
      <w:tabs>
        <w:tab w:val="left" w:pos="905"/>
      </w:tabs>
      <w:autoSpaceDE/>
      <w:autoSpaceDN/>
      <w:spacing w:line="240" w:lineRule="auto"/>
      <w:ind w:firstLine="0" w:firstLineChars="0"/>
      <w:jc w:val="center"/>
    </w:pPr>
    <w:rPr>
      <w:rFonts w:ascii="黑体" w:eastAsia="黑体" w:hAnsiTheme="minorHAnsi" w:cstheme="minorBidi"/>
      <w:bCs/>
      <w:color w:val="FF0000"/>
      <w:sz w:val="20"/>
      <w:szCs w:val="21"/>
      <w:lang w:val="zh-CN"/>
    </w:rPr>
  </w:style>
  <w:style w:type="character" w:customStyle="1" w:styleId="449">
    <w:name w:val="EmailStyle4881"/>
    <w:uiPriority w:val="0"/>
    <w:rPr>
      <w:rFonts w:ascii="Arial" w:hAnsi="Arial" w:eastAsia="宋体" w:cs="Arial"/>
      <w:color w:val="auto"/>
      <w:sz w:val="20"/>
    </w:rPr>
  </w:style>
  <w:style w:type="character" w:customStyle="1" w:styleId="450">
    <w:name w:val="EmailStyle5421"/>
    <w:uiPriority w:val="0"/>
    <w:rPr>
      <w:rFonts w:ascii="Arial" w:hAnsi="Arial" w:eastAsia="宋体" w:cs="Arial"/>
      <w:color w:val="auto"/>
      <w:sz w:val="20"/>
    </w:rPr>
  </w:style>
  <w:style w:type="character" w:customStyle="1" w:styleId="451">
    <w:name w:val="a) Char Char"/>
    <w:link w:val="452"/>
    <w:uiPriority w:val="0"/>
    <w:rPr>
      <w:rFonts w:ascii="宋体" w:hAnsi="宋体" w:cs="宋体"/>
      <w:sz w:val="28"/>
    </w:rPr>
  </w:style>
  <w:style w:type="paragraph" w:customStyle="1" w:styleId="452">
    <w:name w:val="a)"/>
    <w:basedOn w:val="1"/>
    <w:link w:val="451"/>
    <w:uiPriority w:val="0"/>
    <w:pPr>
      <w:widowControl/>
      <w:autoSpaceDE/>
      <w:autoSpaceDN/>
      <w:ind w:firstLine="567" w:firstLineChars="0"/>
      <w:textAlignment w:val="baseline"/>
    </w:pPr>
    <w:rPr>
      <w:rFonts w:ascii="宋体" w:hAnsi="宋体" w:cs="宋体" w:eastAsiaTheme="minorEastAsia"/>
      <w:sz w:val="28"/>
      <w:szCs w:val="20"/>
    </w:rPr>
  </w:style>
  <w:style w:type="character" w:customStyle="1" w:styleId="453">
    <w:name w:val="样式 标题 3H3B Head标题 3 Char条标题1.1.1三级标题标题3h33rd level第二层条...1 Char Char"/>
    <w:uiPriority w:val="0"/>
    <w:rPr>
      <w:rFonts w:ascii="黑体" w:hAnsi="宋体" w:eastAsia="黑体" w:cs="Times New Roman"/>
      <w:b/>
      <w:bCs/>
      <w:snapToGrid w:val="0"/>
      <w:color w:val="FF0000"/>
      <w:kern w:val="0"/>
      <w:sz w:val="24"/>
      <w:szCs w:val="24"/>
    </w:rPr>
  </w:style>
  <w:style w:type="character" w:customStyle="1" w:styleId="454">
    <w:name w:val="表格文字 Char Char"/>
    <w:uiPriority w:val="0"/>
    <w:rPr>
      <w:rFonts w:ascii="宋体" w:hAnsi="Courier New" w:eastAsia="宋体"/>
      <w:sz w:val="28"/>
      <w:lang w:val="en-US" w:eastAsia="zh-CN"/>
    </w:rPr>
  </w:style>
  <w:style w:type="character" w:customStyle="1" w:styleId="455">
    <w:name w:val="表文字 Char Char"/>
    <w:uiPriority w:val="0"/>
    <w:rPr>
      <w:rFonts w:ascii="仿宋_GB2312" w:hAnsi="宋体" w:eastAsia="仿宋_GB2312"/>
      <w:b/>
      <w:bCs/>
      <w:kern w:val="2"/>
      <w:sz w:val="18"/>
      <w:szCs w:val="18"/>
    </w:rPr>
  </w:style>
  <w:style w:type="character" w:customStyle="1" w:styleId="456">
    <w:name w:val="标题 2 + 行距: 标题2+首行缩进 0倍 Char"/>
    <w:uiPriority w:val="0"/>
    <w:rPr>
      <w:rFonts w:ascii="黑体" w:hAnsi="Times New Roman" w:eastAsia="黑体" w:cs="宋体"/>
      <w:kern w:val="0"/>
      <w:sz w:val="30"/>
      <w:szCs w:val="20"/>
    </w:rPr>
  </w:style>
  <w:style w:type="character" w:customStyle="1" w:styleId="457">
    <w:name w:val="lv3"/>
    <w:uiPriority w:val="0"/>
    <w:rPr>
      <w:rFonts w:hint="default"/>
      <w:color w:val="2E7713"/>
      <w:spacing w:val="375"/>
      <w:sz w:val="20"/>
      <w:szCs w:val="20"/>
      <w:u w:val="none"/>
    </w:rPr>
  </w:style>
  <w:style w:type="character" w:customStyle="1" w:styleId="458">
    <w:name w:val="表头 Char Char"/>
    <w:qFormat/>
    <w:uiPriority w:val="0"/>
    <w:rPr>
      <w:rFonts w:ascii="黑体" w:hAnsi="宋体" w:eastAsia="黑体"/>
      <w:b/>
      <w:color w:val="008080"/>
      <w:kern w:val="2"/>
      <w:sz w:val="24"/>
      <w:szCs w:val="24"/>
      <w:lang w:val="en-US" w:eastAsia="zh-CN" w:bidi="ar-SA"/>
    </w:rPr>
  </w:style>
  <w:style w:type="character" w:customStyle="1" w:styleId="459">
    <w:name w:val="正文文本 2 Char1"/>
    <w:qFormat/>
    <w:uiPriority w:val="0"/>
    <w:rPr>
      <w:rFonts w:ascii="Calibri" w:hAnsi="Calibri" w:eastAsia="宋体" w:cs="Times New Roman"/>
      <w:kern w:val="2"/>
      <w:sz w:val="21"/>
      <w:szCs w:val="24"/>
    </w:rPr>
  </w:style>
  <w:style w:type="character" w:customStyle="1" w:styleId="460">
    <w:name w:val="fontstyle21"/>
    <w:qFormat/>
    <w:uiPriority w:val="0"/>
    <w:rPr>
      <w:rFonts w:ascii="TimesNewRomanPSMT" w:hAnsi="TimesNewRomanPSMT" w:eastAsia="TimesNewRomanPSMT" w:cs="TimesNewRomanPSMT"/>
      <w:color w:val="000000"/>
      <w:sz w:val="24"/>
      <w:szCs w:val="24"/>
    </w:rPr>
  </w:style>
  <w:style w:type="character" w:customStyle="1" w:styleId="461">
    <w:name w:val="表头 Char"/>
    <w:qFormat/>
    <w:uiPriority w:val="0"/>
    <w:rPr>
      <w:rFonts w:eastAsia="宋体" w:cs="宋体"/>
      <w:kern w:val="2"/>
      <w:sz w:val="24"/>
      <w:szCs w:val="24"/>
      <w:lang w:val="en-US" w:eastAsia="zh-CN" w:bidi="ar-SA"/>
    </w:rPr>
  </w:style>
  <w:style w:type="character" w:customStyle="1" w:styleId="462">
    <w:name w:val="样式5 Char"/>
    <w:uiPriority w:val="0"/>
    <w:rPr>
      <w:rFonts w:eastAsia="仿宋_GB2312" w:cs="Times New Roman"/>
      <w:kern w:val="2"/>
      <w:sz w:val="21"/>
      <w:lang w:val="en-US" w:eastAsia="zh-CN" w:bidi="ar-SA"/>
    </w:rPr>
  </w:style>
  <w:style w:type="character" w:customStyle="1" w:styleId="463">
    <w:name w:val="样式4 Char"/>
    <w:uiPriority w:val="0"/>
    <w:rPr>
      <w:rFonts w:eastAsia="仿宋_GB2312" w:cs="Times New Roman"/>
      <w:kern w:val="2"/>
      <w:sz w:val="21"/>
      <w:lang w:val="en-US" w:eastAsia="zh-CN"/>
    </w:rPr>
  </w:style>
  <w:style w:type="character" w:customStyle="1" w:styleId="464">
    <w:name w:val="正文(首行缩进)宋旭峰 Char Char"/>
    <w:link w:val="465"/>
    <w:uiPriority w:val="0"/>
    <w:rPr>
      <w:rFonts w:cs="TimesNewRomanPSMT"/>
      <w:snapToGrid w:val="0"/>
      <w:sz w:val="24"/>
      <w:szCs w:val="24"/>
    </w:rPr>
  </w:style>
  <w:style w:type="paragraph" w:customStyle="1" w:styleId="465">
    <w:name w:val="正文(首行缩进)宋旭峰"/>
    <w:basedOn w:val="18"/>
    <w:link w:val="464"/>
    <w:uiPriority w:val="0"/>
    <w:pPr>
      <w:autoSpaceDE/>
      <w:autoSpaceDN/>
      <w:ind w:firstLine="480"/>
      <w:contextualSpacing/>
      <w:jc w:val="both"/>
    </w:pPr>
    <w:rPr>
      <w:rFonts w:cs="TimesNewRomanPSMT" w:asciiTheme="minorHAnsi" w:hAnsiTheme="minorHAnsi" w:eastAsiaTheme="minorEastAsia"/>
      <w:snapToGrid w:val="0"/>
    </w:rPr>
  </w:style>
  <w:style w:type="character" w:customStyle="1" w:styleId="466">
    <w:name w:val="表底说明 Char Char Char Char"/>
    <w:link w:val="467"/>
    <w:uiPriority w:val="0"/>
    <w:rPr>
      <w:sz w:val="18"/>
      <w:szCs w:val="24"/>
    </w:rPr>
  </w:style>
  <w:style w:type="paragraph" w:customStyle="1" w:styleId="467">
    <w:name w:val="表底说明 Char"/>
    <w:basedOn w:val="1"/>
    <w:link w:val="466"/>
    <w:uiPriority w:val="0"/>
    <w:pPr>
      <w:autoSpaceDE/>
      <w:autoSpaceDN/>
      <w:spacing w:line="240" w:lineRule="auto"/>
      <w:ind w:firstLine="0" w:firstLineChars="0"/>
      <w:jc w:val="both"/>
    </w:pPr>
    <w:rPr>
      <w:rFonts w:asciiTheme="minorHAnsi" w:hAnsiTheme="minorHAnsi" w:eastAsiaTheme="minorEastAsia" w:cstheme="minorBidi"/>
      <w:sz w:val="18"/>
    </w:rPr>
  </w:style>
  <w:style w:type="character" w:customStyle="1" w:styleId="468">
    <w:name w:val="样式 标题1 Char"/>
    <w:link w:val="469"/>
    <w:qFormat/>
    <w:uiPriority w:val="0"/>
    <w:rPr>
      <w:rFonts w:ascii="隶书" w:eastAsia="隶书" w:cs="宋体"/>
      <w:b/>
      <w:bCs/>
      <w:sz w:val="44"/>
      <w:szCs w:val="44"/>
    </w:rPr>
  </w:style>
  <w:style w:type="paragraph" w:customStyle="1" w:styleId="469">
    <w:name w:val="样式 标题1"/>
    <w:basedOn w:val="1"/>
    <w:next w:val="207"/>
    <w:link w:val="468"/>
    <w:qFormat/>
    <w:uiPriority w:val="0"/>
    <w:pPr>
      <w:widowControl/>
      <w:autoSpaceDE/>
      <w:autoSpaceDN/>
      <w:spacing w:afterLines="50"/>
      <w:ind w:firstLine="0" w:firstLineChars="0"/>
      <w:jc w:val="center"/>
      <w:outlineLvl w:val="0"/>
    </w:pPr>
    <w:rPr>
      <w:rFonts w:ascii="隶书" w:eastAsia="隶书" w:cs="宋体" w:hAnsiTheme="minorHAnsi"/>
      <w:b/>
      <w:bCs/>
      <w:sz w:val="44"/>
      <w:szCs w:val="44"/>
    </w:rPr>
  </w:style>
  <w:style w:type="character" w:customStyle="1" w:styleId="470">
    <w:name w:val="line31"/>
    <w:uiPriority w:val="0"/>
    <w:rPr>
      <w:color w:val="993333"/>
      <w:spacing w:val="360"/>
    </w:rPr>
  </w:style>
  <w:style w:type="character" w:customStyle="1" w:styleId="471">
    <w:name w:val="DAQO表格标题 Char"/>
    <w:link w:val="472"/>
    <w:qFormat/>
    <w:locked/>
    <w:uiPriority w:val="0"/>
    <w:rPr>
      <w:rFonts w:ascii="黑体" w:hAnsi="Calibri" w:eastAsia="黑体"/>
      <w:kern w:val="2"/>
      <w:sz w:val="21"/>
      <w:szCs w:val="24"/>
    </w:rPr>
  </w:style>
  <w:style w:type="paragraph" w:customStyle="1" w:styleId="472">
    <w:name w:val="DAQO表格标题"/>
    <w:basedOn w:val="1"/>
    <w:link w:val="471"/>
    <w:qFormat/>
    <w:uiPriority w:val="0"/>
    <w:pPr>
      <w:autoSpaceDE/>
      <w:autoSpaceDN/>
      <w:spacing w:line="336" w:lineRule="auto"/>
      <w:ind w:firstLine="0" w:firstLineChars="0"/>
      <w:jc w:val="center"/>
    </w:pPr>
    <w:rPr>
      <w:rFonts w:ascii="黑体" w:hAnsi="Calibri" w:eastAsia="黑体" w:cstheme="minorBidi"/>
      <w:kern w:val="2"/>
      <w:sz w:val="21"/>
    </w:rPr>
  </w:style>
  <w:style w:type="character" w:customStyle="1" w:styleId="473">
    <w:name w:val="正文-ls Char"/>
    <w:qFormat/>
    <w:uiPriority w:val="0"/>
    <w:rPr>
      <w:rFonts w:hAnsi="宋体" w:eastAsia="宋体" w:cs="宋体"/>
      <w:kern w:val="2"/>
      <w:sz w:val="24"/>
      <w:lang w:val="en-US" w:eastAsia="zh-CN" w:bidi="ar-SA"/>
    </w:rPr>
  </w:style>
  <w:style w:type="character" w:customStyle="1" w:styleId="474">
    <w:name w:val="1) Char"/>
    <w:basedOn w:val="225"/>
    <w:uiPriority w:val="0"/>
    <w:rPr>
      <w:rFonts w:ascii="宋体" w:hAnsi="宋体" w:eastAsia="宋体" w:cs="宋体"/>
      <w:kern w:val="0"/>
      <w:sz w:val="28"/>
      <w:szCs w:val="20"/>
    </w:rPr>
  </w:style>
  <w:style w:type="character" w:customStyle="1" w:styleId="475">
    <w:name w:val="编号-正文章条3级标题和2级条(不进目录) Char"/>
    <w:link w:val="476"/>
    <w:qFormat/>
    <w:uiPriority w:val="0"/>
    <w:rPr>
      <w:rFonts w:ascii="Arial" w:hAnsi="Arial"/>
      <w:sz w:val="24"/>
      <w:szCs w:val="24"/>
    </w:rPr>
  </w:style>
  <w:style w:type="paragraph" w:customStyle="1" w:styleId="476">
    <w:name w:val="编号-正文章条3级标题和2级条(不进目录)"/>
    <w:basedOn w:val="1"/>
    <w:link w:val="475"/>
    <w:qFormat/>
    <w:uiPriority w:val="0"/>
    <w:pPr>
      <w:autoSpaceDE/>
      <w:autoSpaceDN/>
      <w:spacing w:line="240" w:lineRule="auto"/>
      <w:ind w:firstLine="0" w:firstLineChars="0"/>
      <w:jc w:val="both"/>
      <w:outlineLvl w:val="2"/>
    </w:pPr>
    <w:rPr>
      <w:rFonts w:ascii="Arial" w:hAnsi="Arial" w:eastAsiaTheme="minorEastAsia" w:cstheme="minorBidi"/>
    </w:rPr>
  </w:style>
  <w:style w:type="character" w:customStyle="1" w:styleId="477">
    <w:name w:val="main1"/>
    <w:uiPriority w:val="0"/>
    <w:rPr>
      <w:rFonts w:hint="default"/>
      <w:color w:val="0033CC"/>
      <w:sz w:val="18"/>
      <w:szCs w:val="18"/>
    </w:rPr>
  </w:style>
  <w:style w:type="character" w:customStyle="1" w:styleId="478">
    <w:name w:val="页眉 Char1"/>
    <w:qFormat/>
    <w:uiPriority w:val="0"/>
    <w:rPr>
      <w:rFonts w:ascii="Calibri" w:hAnsi="Calibri" w:eastAsia="宋体" w:cs="Times New Roman"/>
      <w:kern w:val="2"/>
      <w:sz w:val="18"/>
      <w:szCs w:val="18"/>
    </w:rPr>
  </w:style>
  <w:style w:type="character" w:customStyle="1" w:styleId="479">
    <w:name w:val="l2 Char"/>
    <w:uiPriority w:val="0"/>
    <w:rPr>
      <w:rFonts w:ascii="Arial" w:hAnsi="Arial" w:eastAsia="黑体"/>
      <w:b/>
      <w:bCs/>
      <w:kern w:val="2"/>
      <w:sz w:val="32"/>
      <w:szCs w:val="32"/>
      <w:lang w:val="en-US" w:eastAsia="zh-CN" w:bidi="ar-SA"/>
    </w:rPr>
  </w:style>
  <w:style w:type="character" w:customStyle="1" w:styleId="480">
    <w:name w:val="neiyetest1"/>
    <w:uiPriority w:val="0"/>
    <w:rPr>
      <w:rFonts w:hint="default" w:ascii="ˎ̥" w:hAnsi="ˎ̥"/>
      <w:color w:val="000000"/>
      <w:sz w:val="20"/>
      <w:szCs w:val="20"/>
    </w:rPr>
  </w:style>
  <w:style w:type="character" w:customStyle="1" w:styleId="481">
    <w:name w:val="标题 1 Char1"/>
    <w:uiPriority w:val="0"/>
    <w:rPr>
      <w:rFonts w:ascii="Times New Roman" w:hAnsi="Times New Roman" w:eastAsia="宋体" w:cs="Times New Roman"/>
      <w:b/>
      <w:bCs/>
      <w:kern w:val="44"/>
      <w:sz w:val="44"/>
      <w:szCs w:val="44"/>
    </w:rPr>
  </w:style>
  <w:style w:type="character" w:customStyle="1" w:styleId="482">
    <w:name w:val="1标题 Char Char"/>
    <w:link w:val="483"/>
    <w:uiPriority w:val="0"/>
    <w:rPr>
      <w:rFonts w:ascii="宋体" w:hAnsi="宋体"/>
      <w:sz w:val="28"/>
    </w:rPr>
  </w:style>
  <w:style w:type="paragraph" w:customStyle="1" w:styleId="483">
    <w:name w:val="1标题"/>
    <w:basedOn w:val="1"/>
    <w:link w:val="482"/>
    <w:uiPriority w:val="0"/>
    <w:pPr>
      <w:widowControl/>
      <w:autoSpaceDE/>
      <w:autoSpaceDN/>
      <w:spacing w:line="240" w:lineRule="auto"/>
      <w:ind w:firstLine="560"/>
    </w:pPr>
    <w:rPr>
      <w:rFonts w:ascii="宋体" w:hAnsi="宋体" w:eastAsiaTheme="minorEastAsia" w:cstheme="minorBidi"/>
      <w:sz w:val="28"/>
      <w:szCs w:val="20"/>
    </w:rPr>
  </w:style>
  <w:style w:type="character" w:customStyle="1" w:styleId="484">
    <w:name w:val="批注文字 Char1"/>
    <w:qFormat/>
    <w:uiPriority w:val="0"/>
    <w:rPr>
      <w:rFonts w:ascii="Times New Roman" w:hAnsi="Times New Roman" w:eastAsia="宋体" w:cs="Times New Roman"/>
      <w:szCs w:val="24"/>
    </w:rPr>
  </w:style>
  <w:style w:type="character" w:customStyle="1" w:styleId="485">
    <w:name w:val="样式 标题 2节H2节标题 1.1二级标题标题 lxb21.1h2第一层条二级标题 Char表标题单位名... Char Char Char Char Char"/>
    <w:link w:val="486"/>
    <w:uiPriority w:val="0"/>
    <w:rPr>
      <w:rFonts w:ascii="黑体" w:hAnsi="宋体" w:eastAsia="黑体"/>
      <w:bCs/>
      <w:color w:val="000000"/>
      <w:kern w:val="2"/>
      <w:sz w:val="28"/>
      <w:szCs w:val="28"/>
    </w:rPr>
  </w:style>
  <w:style w:type="paragraph" w:customStyle="1" w:styleId="486">
    <w:name w:val="样式 标题 2节H2节标题 1.1二级标题标题 lxb21.1h2第一层条二级标题 Char表标题单位名... Char Char"/>
    <w:basedOn w:val="3"/>
    <w:link w:val="485"/>
    <w:uiPriority w:val="0"/>
    <w:pPr>
      <w:numPr>
        <w:ilvl w:val="0"/>
        <w:numId w:val="0"/>
      </w:numPr>
      <w:tabs>
        <w:tab w:val="left" w:pos="567"/>
      </w:tabs>
      <w:overflowPunct w:val="0"/>
      <w:spacing w:before="156" w:beforeLines="50"/>
      <w:ind w:left="314" w:hanging="314"/>
      <w:jc w:val="both"/>
      <w:textAlignment w:val="baseline"/>
    </w:pPr>
    <w:rPr>
      <w:rFonts w:hAnsi="宋体" w:cstheme="minorBidi"/>
      <w:bCs/>
      <w:color w:val="000000"/>
      <w:kern w:val="2"/>
      <w:sz w:val="28"/>
      <w:szCs w:val="28"/>
    </w:rPr>
  </w:style>
  <w:style w:type="character" w:customStyle="1" w:styleId="487">
    <w:name w:val="apple-converted-space"/>
    <w:basedOn w:val="83"/>
    <w:uiPriority w:val="0"/>
  </w:style>
  <w:style w:type="character" w:customStyle="1" w:styleId="488">
    <w:name w:val="H1 Char"/>
    <w:uiPriority w:val="0"/>
    <w:rPr>
      <w:rFonts w:eastAsia="隶书"/>
      <w:kern w:val="2"/>
      <w:sz w:val="44"/>
      <w:szCs w:val="24"/>
      <w:lang w:val="en-US" w:eastAsia="zh-CN" w:bidi="ar-SA"/>
    </w:rPr>
  </w:style>
  <w:style w:type="character" w:customStyle="1" w:styleId="489">
    <w:name w:val="正文1"/>
    <w:uiPriority w:val="0"/>
    <w:rPr>
      <w:rFonts w:ascii="宋体" w:hAnsi="宋体" w:eastAsia="宋体" w:cs="Times New Roman"/>
      <w:color w:val="000000"/>
      <w:sz w:val="22"/>
      <w:szCs w:val="22"/>
    </w:rPr>
  </w:style>
  <w:style w:type="character" w:customStyle="1" w:styleId="490">
    <w:name w:val="EmailStyle555"/>
    <w:uiPriority w:val="0"/>
    <w:rPr>
      <w:rFonts w:ascii="Arial" w:hAnsi="Arial" w:eastAsia="宋体" w:cs="Arial"/>
      <w:color w:val="auto"/>
      <w:sz w:val="20"/>
    </w:rPr>
  </w:style>
  <w:style w:type="character" w:customStyle="1" w:styleId="491">
    <w:name w:val="正文（首行缩进两字） Char Char Char"/>
    <w:uiPriority w:val="0"/>
    <w:rPr>
      <w:rFonts w:ascii="Arial" w:hAnsi="Arial" w:eastAsia="宋体"/>
      <w:kern w:val="2"/>
      <w:sz w:val="24"/>
      <w:szCs w:val="24"/>
      <w:lang w:val="en-US" w:eastAsia="zh-CN" w:bidi="ar-SA"/>
    </w:rPr>
  </w:style>
  <w:style w:type="character" w:customStyle="1" w:styleId="492">
    <w:name w:val="表头 Char2"/>
    <w:link w:val="493"/>
    <w:uiPriority w:val="0"/>
    <w:rPr>
      <w:rFonts w:cs="宋体"/>
      <w:kern w:val="2"/>
      <w:sz w:val="24"/>
      <w:szCs w:val="24"/>
    </w:rPr>
  </w:style>
  <w:style w:type="paragraph" w:customStyle="1" w:styleId="493">
    <w:name w:val="表头"/>
    <w:basedOn w:val="1"/>
    <w:link w:val="492"/>
    <w:qFormat/>
    <w:uiPriority w:val="0"/>
    <w:pPr>
      <w:autoSpaceDE/>
      <w:autoSpaceDN/>
      <w:ind w:firstLine="0" w:firstLineChars="0"/>
      <w:jc w:val="center"/>
    </w:pPr>
    <w:rPr>
      <w:rFonts w:cs="宋体" w:asciiTheme="minorHAnsi" w:hAnsiTheme="minorHAnsi" w:eastAsiaTheme="minorEastAsia"/>
      <w:kern w:val="2"/>
    </w:rPr>
  </w:style>
  <w:style w:type="character" w:customStyle="1" w:styleId="494">
    <w:name w:val="Font Style374"/>
    <w:uiPriority w:val="0"/>
    <w:rPr>
      <w:rFonts w:ascii="Times New Roman" w:hAnsi="Times New Roman" w:cs="Times New Roman"/>
      <w:sz w:val="12"/>
      <w:szCs w:val="12"/>
    </w:rPr>
  </w:style>
  <w:style w:type="character" w:customStyle="1" w:styleId="495">
    <w:name w:val="about-left1"/>
    <w:uiPriority w:val="0"/>
    <w:rPr>
      <w:color w:val="3A3A3A"/>
      <w:spacing w:val="15"/>
      <w:sz w:val="18"/>
      <w:szCs w:val="18"/>
      <w:u w:val="none"/>
    </w:rPr>
  </w:style>
  <w:style w:type="character" w:customStyle="1" w:styleId="496">
    <w:name w:val="正文文本缩进 Char"/>
    <w:qFormat/>
    <w:uiPriority w:val="0"/>
    <w:rPr>
      <w:rFonts w:ascii="Times New Roman" w:hAnsi="Times New Roman" w:eastAsia="宋体" w:cs="Times New Roman"/>
      <w:sz w:val="28"/>
      <w:szCs w:val="24"/>
    </w:rPr>
  </w:style>
  <w:style w:type="character" w:customStyle="1" w:styleId="497">
    <w:name w:val="标题 字符"/>
    <w:link w:val="72"/>
    <w:uiPriority w:val="0"/>
    <w:rPr>
      <w:rFonts w:ascii="Arial" w:hAnsi="Arial" w:cs="Arial"/>
      <w:b/>
      <w:bCs/>
      <w:kern w:val="2"/>
      <w:sz w:val="32"/>
      <w:szCs w:val="32"/>
    </w:rPr>
  </w:style>
  <w:style w:type="character" w:customStyle="1" w:styleId="498">
    <w:name w:val="标题 字符1"/>
    <w:basedOn w:val="83"/>
    <w:qFormat/>
    <w:uiPriority w:val="10"/>
    <w:rPr>
      <w:rFonts w:asciiTheme="majorHAnsi" w:hAnsiTheme="majorHAnsi" w:eastAsiaTheme="majorEastAsia" w:cstheme="majorBidi"/>
      <w:b/>
      <w:bCs/>
      <w:sz w:val="32"/>
      <w:szCs w:val="32"/>
    </w:rPr>
  </w:style>
  <w:style w:type="character" w:customStyle="1" w:styleId="499">
    <w:name w:val="slink1"/>
    <w:uiPriority w:val="0"/>
    <w:rPr>
      <w:rFonts w:hint="default" w:ascii="ˎ̥" w:hAnsi="ˎ̥"/>
      <w:sz w:val="18"/>
      <w:szCs w:val="18"/>
      <w:u w:val="none"/>
    </w:rPr>
  </w:style>
  <w:style w:type="character" w:customStyle="1" w:styleId="500">
    <w:name w:val="表、图名 Char Char"/>
    <w:link w:val="501"/>
    <w:uiPriority w:val="0"/>
    <w:rPr>
      <w:rFonts w:ascii="黑体" w:hAnsi="宋体" w:eastAsia="黑体" w:cs="黑体"/>
      <w:b/>
      <w:bCs/>
      <w:sz w:val="21"/>
      <w:szCs w:val="21"/>
    </w:rPr>
  </w:style>
  <w:style w:type="paragraph" w:customStyle="1" w:styleId="501">
    <w:name w:val="表、图名"/>
    <w:basedOn w:val="1"/>
    <w:link w:val="500"/>
    <w:uiPriority w:val="0"/>
    <w:pPr>
      <w:autoSpaceDE/>
      <w:autoSpaceDN/>
      <w:ind w:left="8216" w:leftChars="-3" w:hanging="8222" w:hangingChars="3900"/>
      <w:jc w:val="both"/>
      <w:textAlignment w:val="baseline"/>
    </w:pPr>
    <w:rPr>
      <w:rFonts w:ascii="黑体" w:hAnsi="宋体" w:eastAsia="黑体" w:cs="黑体"/>
      <w:b/>
      <w:bCs/>
      <w:sz w:val="21"/>
      <w:szCs w:val="21"/>
    </w:rPr>
  </w:style>
  <w:style w:type="character" w:customStyle="1" w:styleId="502">
    <w:name w:val="style11"/>
    <w:uiPriority w:val="0"/>
    <w:rPr>
      <w:rFonts w:cs="Times New Roman"/>
      <w:color w:val="FF0000"/>
    </w:rPr>
  </w:style>
  <w:style w:type="character" w:customStyle="1" w:styleId="503">
    <w:name w:val="题注 字符"/>
    <w:link w:val="19"/>
    <w:uiPriority w:val="0"/>
    <w:rPr>
      <w:rFonts w:eastAsia="仿宋_GB2312"/>
      <w:kern w:val="2"/>
      <w:sz w:val="24"/>
    </w:rPr>
  </w:style>
  <w:style w:type="character" w:customStyle="1" w:styleId="504">
    <w:name w:val="段落1 Char1"/>
    <w:link w:val="505"/>
    <w:uiPriority w:val="0"/>
    <w:rPr>
      <w:color w:val="000000"/>
      <w:spacing w:val="6"/>
      <w:kern w:val="2"/>
      <w:sz w:val="24"/>
      <w:szCs w:val="24"/>
    </w:rPr>
  </w:style>
  <w:style w:type="paragraph" w:customStyle="1" w:styleId="505">
    <w:name w:val="段落1"/>
    <w:basedOn w:val="1"/>
    <w:link w:val="504"/>
    <w:uiPriority w:val="0"/>
    <w:pPr>
      <w:autoSpaceDE/>
      <w:autoSpaceDN/>
      <w:spacing w:line="440" w:lineRule="exact"/>
      <w:ind w:firstLine="504"/>
      <w:jc w:val="both"/>
      <w:textAlignment w:val="baseline"/>
    </w:pPr>
    <w:rPr>
      <w:rFonts w:asciiTheme="minorHAnsi" w:hAnsiTheme="minorHAnsi" w:eastAsiaTheme="minorEastAsia" w:cstheme="minorBidi"/>
      <w:color w:val="000000"/>
      <w:spacing w:val="6"/>
      <w:kern w:val="2"/>
    </w:rPr>
  </w:style>
  <w:style w:type="character" w:customStyle="1" w:styleId="506">
    <w:name w:val="hottext"/>
    <w:basedOn w:val="83"/>
    <w:uiPriority w:val="0"/>
  </w:style>
  <w:style w:type="character" w:customStyle="1" w:styleId="507">
    <w:name w:val="bb"/>
    <w:basedOn w:val="83"/>
    <w:uiPriority w:val="0"/>
  </w:style>
  <w:style w:type="character" w:customStyle="1" w:styleId="508">
    <w:name w:val="正文缩进 Char1"/>
    <w:uiPriority w:val="0"/>
    <w:rPr>
      <w:rFonts w:ascii="Times New Roman" w:hAnsi="Times New Roman" w:eastAsia="宋体" w:cs="Times New Roman"/>
      <w:szCs w:val="24"/>
    </w:rPr>
  </w:style>
  <w:style w:type="character" w:customStyle="1" w:styleId="509">
    <w:name w:val="flzx_p1"/>
    <w:uiPriority w:val="0"/>
    <w:rPr>
      <w:rFonts w:hint="default" w:ascii="Arial" w:hAnsi="Arial" w:cs="Arial"/>
      <w:color w:val="003483"/>
      <w:sz w:val="30"/>
      <w:szCs w:val="30"/>
      <w:u w:val="none"/>
    </w:rPr>
  </w:style>
  <w:style w:type="character" w:customStyle="1" w:styleId="510">
    <w:name w:val="环保专篇 Char Char"/>
    <w:link w:val="511"/>
    <w:uiPriority w:val="0"/>
    <w:rPr>
      <w:kern w:val="2"/>
      <w:sz w:val="24"/>
      <w:szCs w:val="24"/>
    </w:rPr>
  </w:style>
  <w:style w:type="paragraph" w:customStyle="1" w:styleId="511">
    <w:name w:val="环保专篇"/>
    <w:link w:val="510"/>
    <w:uiPriority w:val="0"/>
    <w:pPr>
      <w:spacing w:line="360" w:lineRule="auto"/>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512">
    <w:name w:val="4 Char Char"/>
    <w:link w:val="513"/>
    <w:uiPriority w:val="0"/>
    <w:rPr>
      <w:rFonts w:eastAsia="方正仿宋简体"/>
      <w:w w:val="80"/>
      <w:kern w:val="2"/>
      <w:sz w:val="24"/>
      <w:szCs w:val="24"/>
    </w:rPr>
  </w:style>
  <w:style w:type="paragraph" w:customStyle="1" w:styleId="513">
    <w:name w:val="4"/>
    <w:basedOn w:val="1"/>
    <w:next w:val="28"/>
    <w:link w:val="512"/>
    <w:uiPriority w:val="0"/>
    <w:pPr>
      <w:autoSpaceDE/>
      <w:autoSpaceDN/>
      <w:spacing w:line="240" w:lineRule="exact"/>
      <w:ind w:firstLine="0" w:firstLineChars="0"/>
      <w:jc w:val="center"/>
    </w:pPr>
    <w:rPr>
      <w:rFonts w:eastAsia="方正仿宋简体" w:asciiTheme="minorHAnsi" w:hAnsiTheme="minorHAnsi" w:cstheme="minorBidi"/>
      <w:w w:val="80"/>
      <w:kern w:val="2"/>
    </w:rPr>
  </w:style>
  <w:style w:type="character" w:customStyle="1" w:styleId="514">
    <w:name w:val="Font Style336"/>
    <w:uiPriority w:val="0"/>
    <w:rPr>
      <w:rFonts w:ascii="宋体" w:eastAsia="宋体" w:cs="宋体"/>
      <w:sz w:val="16"/>
      <w:szCs w:val="16"/>
    </w:rPr>
  </w:style>
  <w:style w:type="character" w:customStyle="1" w:styleId="515">
    <w:name w:val="第一条"/>
    <w:basedOn w:val="83"/>
    <w:uiPriority w:val="0"/>
  </w:style>
  <w:style w:type="character" w:customStyle="1" w:styleId="516">
    <w:name w:val="xb"/>
    <w:basedOn w:val="83"/>
    <w:uiPriority w:val="0"/>
  </w:style>
  <w:style w:type="character" w:customStyle="1" w:styleId="517">
    <w:name w:val="Font Style404"/>
    <w:uiPriority w:val="0"/>
    <w:rPr>
      <w:rFonts w:ascii="宋体" w:eastAsia="宋体" w:cs="宋体"/>
      <w:b/>
      <w:bCs/>
      <w:w w:val="150"/>
      <w:sz w:val="14"/>
      <w:szCs w:val="14"/>
    </w:rPr>
  </w:style>
  <w:style w:type="character" w:customStyle="1" w:styleId="518">
    <w:name w:val="表格标题zz Char"/>
    <w:link w:val="519"/>
    <w:qFormat/>
    <w:uiPriority w:val="0"/>
    <w:rPr>
      <w:b/>
      <w:kern w:val="2"/>
      <w:sz w:val="24"/>
      <w:szCs w:val="24"/>
    </w:rPr>
  </w:style>
  <w:style w:type="paragraph" w:customStyle="1" w:styleId="519">
    <w:name w:val="表格标题zz"/>
    <w:link w:val="518"/>
    <w:qFormat/>
    <w:uiPriority w:val="0"/>
    <w:pPr>
      <w:spacing w:before="120" w:line="360" w:lineRule="auto"/>
      <w:jc w:val="center"/>
    </w:pPr>
    <w:rPr>
      <w:rFonts w:asciiTheme="minorHAnsi" w:hAnsiTheme="minorHAnsi" w:eastAsiaTheme="minorEastAsia" w:cstheme="minorBidi"/>
      <w:b/>
      <w:kern w:val="2"/>
      <w:sz w:val="24"/>
      <w:szCs w:val="24"/>
      <w:lang w:val="en-US" w:eastAsia="zh-CN" w:bidi="ar-SA"/>
    </w:rPr>
  </w:style>
  <w:style w:type="character" w:customStyle="1" w:styleId="520">
    <w:name w:val="正文内容 Char Char"/>
    <w:link w:val="521"/>
    <w:uiPriority w:val="0"/>
    <w:rPr>
      <w:rFonts w:cs="宋体"/>
      <w:sz w:val="24"/>
    </w:rPr>
  </w:style>
  <w:style w:type="paragraph" w:customStyle="1" w:styleId="521">
    <w:name w:val="正文内容"/>
    <w:basedOn w:val="1"/>
    <w:link w:val="520"/>
    <w:uiPriority w:val="0"/>
    <w:pPr>
      <w:autoSpaceDE/>
      <w:autoSpaceDN/>
      <w:jc w:val="both"/>
    </w:pPr>
    <w:rPr>
      <w:rFonts w:cs="宋体" w:asciiTheme="minorHAnsi" w:hAnsiTheme="minorHAnsi" w:eastAsiaTheme="minorEastAsia"/>
      <w:szCs w:val="20"/>
    </w:rPr>
  </w:style>
  <w:style w:type="character" w:customStyle="1" w:styleId="522">
    <w:name w:val="纯文本 Char1"/>
    <w:qFormat/>
    <w:uiPriority w:val="0"/>
    <w:rPr>
      <w:rFonts w:ascii="宋体" w:hAnsi="Courier New"/>
      <w:sz w:val="28"/>
    </w:rPr>
  </w:style>
  <w:style w:type="character" w:customStyle="1" w:styleId="523">
    <w:name w:val="样式 楷体 小四"/>
    <w:uiPriority w:val="0"/>
    <w:rPr>
      <w:rFonts w:ascii="Times New Roman" w:hAnsi="Times New Roman" w:eastAsia="宋体"/>
      <w:sz w:val="24"/>
      <w:szCs w:val="24"/>
    </w:rPr>
  </w:style>
  <w:style w:type="character" w:customStyle="1" w:styleId="524">
    <w:name w:val="blogsep2"/>
    <w:uiPriority w:val="0"/>
  </w:style>
  <w:style w:type="character" w:customStyle="1" w:styleId="525">
    <w:name w:val="标题 Char Char"/>
    <w:uiPriority w:val="0"/>
    <w:rPr>
      <w:rFonts w:ascii="Cambria" w:hAnsi="Cambria" w:cs="Times New Roman"/>
      <w:b/>
      <w:bCs/>
      <w:kern w:val="2"/>
      <w:sz w:val="32"/>
      <w:szCs w:val="32"/>
    </w:rPr>
  </w:style>
  <w:style w:type="character" w:customStyle="1" w:styleId="526">
    <w:name w:val="正文(首行缩进) Char Char Char Char Char Char"/>
    <w:link w:val="527"/>
    <w:uiPriority w:val="0"/>
    <w:rPr>
      <w:snapToGrid w:val="0"/>
      <w:kern w:val="2"/>
      <w:sz w:val="24"/>
      <w:szCs w:val="24"/>
    </w:rPr>
  </w:style>
  <w:style w:type="paragraph" w:customStyle="1" w:styleId="527">
    <w:name w:val="正文(首行缩进) Char Char Char"/>
    <w:basedOn w:val="1"/>
    <w:link w:val="526"/>
    <w:uiPriority w:val="0"/>
    <w:pPr>
      <w:autoSpaceDE/>
      <w:autoSpaceDN/>
      <w:ind w:firstLine="480"/>
      <w:jc w:val="both"/>
    </w:pPr>
    <w:rPr>
      <w:rFonts w:asciiTheme="minorHAnsi" w:hAnsiTheme="minorHAnsi" w:eastAsiaTheme="minorEastAsia" w:cstheme="minorBidi"/>
      <w:snapToGrid w:val="0"/>
      <w:kern w:val="2"/>
    </w:rPr>
  </w:style>
  <w:style w:type="character" w:customStyle="1" w:styleId="528">
    <w:name w:val="标题2 Char1"/>
    <w:uiPriority w:val="0"/>
    <w:rPr>
      <w:rFonts w:ascii="Arial" w:hAnsi="Arial" w:eastAsia="黑体"/>
      <w:b/>
      <w:bCs/>
      <w:kern w:val="2"/>
      <w:sz w:val="32"/>
      <w:szCs w:val="32"/>
      <w:lang w:val="en-US" w:eastAsia="zh-CN" w:bidi="ar-SA"/>
    </w:rPr>
  </w:style>
  <w:style w:type="character" w:customStyle="1" w:styleId="529">
    <w:name w:val="正文文本 3 Char2"/>
    <w:semiHidden/>
    <w:qFormat/>
    <w:uiPriority w:val="99"/>
    <w:rPr>
      <w:rFonts w:ascii="Times New Roman" w:hAnsi="Times New Roman" w:eastAsia="宋体" w:cs="Times New Roman"/>
      <w:sz w:val="16"/>
      <w:szCs w:val="16"/>
    </w:rPr>
  </w:style>
  <w:style w:type="character" w:customStyle="1" w:styleId="530">
    <w:name w:val="Font Style348"/>
    <w:uiPriority w:val="0"/>
    <w:rPr>
      <w:rFonts w:ascii="宋体" w:eastAsia="宋体" w:cs="宋体"/>
      <w:sz w:val="14"/>
      <w:szCs w:val="14"/>
    </w:rPr>
  </w:style>
  <w:style w:type="character" w:customStyle="1" w:styleId="531">
    <w:name w:val="text"/>
    <w:basedOn w:val="83"/>
    <w:qFormat/>
    <w:uiPriority w:val="0"/>
  </w:style>
  <w:style w:type="character" w:customStyle="1" w:styleId="532">
    <w:name w:val="正文文本 + 间距 -2 pt"/>
    <w:qFormat/>
    <w:uiPriority w:val="0"/>
    <w:rPr>
      <w:rFonts w:ascii="黑体" w:hAnsi="黑体" w:eastAsia="黑体" w:cs="黑体"/>
      <w:color w:val="000000"/>
      <w:spacing w:val="-40"/>
      <w:w w:val="100"/>
      <w:position w:val="0"/>
      <w:sz w:val="29"/>
      <w:szCs w:val="29"/>
      <w:u w:val="none"/>
      <w:lang w:val="zh-CN"/>
    </w:rPr>
  </w:style>
  <w:style w:type="character" w:customStyle="1" w:styleId="533">
    <w:name w:val="题注 Char"/>
    <w:qFormat/>
    <w:uiPriority w:val="0"/>
    <w:rPr>
      <w:rFonts w:ascii="Arial" w:hAnsi="Arial" w:eastAsia="黑体" w:cs="Arial"/>
      <w:kern w:val="2"/>
      <w:lang w:val="en-US" w:eastAsia="zh-CN" w:bidi="ar-SA"/>
    </w:rPr>
  </w:style>
  <w:style w:type="character" w:customStyle="1" w:styleId="534">
    <w:name w:val="da1"/>
    <w:uiPriority w:val="0"/>
    <w:rPr>
      <w:rFonts w:hint="default"/>
      <w:color w:val="000000"/>
      <w:spacing w:val="360"/>
      <w:sz w:val="21"/>
      <w:szCs w:val="21"/>
      <w:u w:val="none"/>
    </w:rPr>
  </w:style>
  <w:style w:type="character" w:customStyle="1" w:styleId="535">
    <w:name w:val="Font Style316"/>
    <w:qFormat/>
    <w:uiPriority w:val="0"/>
    <w:rPr>
      <w:rFonts w:ascii="宋体" w:eastAsia="宋体" w:cs="宋体"/>
      <w:b/>
      <w:bCs/>
      <w:sz w:val="20"/>
      <w:szCs w:val="20"/>
    </w:rPr>
  </w:style>
  <w:style w:type="character" w:customStyle="1" w:styleId="536">
    <w:name w:val="aspmaker1"/>
    <w:uiPriority w:val="0"/>
    <w:rPr>
      <w:rFonts w:hint="default" w:ascii="Verdana" w:hAnsi="Verdana"/>
      <w:sz w:val="20"/>
      <w:szCs w:val="20"/>
    </w:rPr>
  </w:style>
  <w:style w:type="character" w:customStyle="1" w:styleId="537">
    <w:name w:val="hf-正文 Char"/>
    <w:link w:val="538"/>
    <w:qFormat/>
    <w:uiPriority w:val="0"/>
    <w:rPr>
      <w:kern w:val="30"/>
      <w:sz w:val="24"/>
      <w:szCs w:val="24"/>
      <w:u w:color="000000"/>
    </w:rPr>
  </w:style>
  <w:style w:type="paragraph" w:customStyle="1" w:styleId="538">
    <w:name w:val="hf-正文"/>
    <w:basedOn w:val="1"/>
    <w:link w:val="537"/>
    <w:qFormat/>
    <w:uiPriority w:val="0"/>
    <w:pPr>
      <w:autoSpaceDE/>
      <w:autoSpaceDN/>
      <w:ind w:firstLine="470" w:firstLineChars="196"/>
    </w:pPr>
    <w:rPr>
      <w:rFonts w:asciiTheme="minorHAnsi" w:hAnsiTheme="minorHAnsi" w:eastAsiaTheme="minorEastAsia" w:cstheme="minorBidi"/>
      <w:kern w:val="30"/>
      <w:u w:color="000000"/>
    </w:rPr>
  </w:style>
  <w:style w:type="character" w:customStyle="1" w:styleId="539">
    <w:name w:val="Font Style337"/>
    <w:uiPriority w:val="0"/>
    <w:rPr>
      <w:rFonts w:ascii="宋体" w:eastAsia="宋体" w:cs="宋体"/>
      <w:sz w:val="22"/>
      <w:szCs w:val="22"/>
    </w:rPr>
  </w:style>
  <w:style w:type="character" w:customStyle="1" w:styleId="540">
    <w:name w:val="Char Char Char"/>
    <w:uiPriority w:val="0"/>
    <w:rPr>
      <w:rFonts w:ascii="黑体" w:hAnsi="宋体" w:eastAsia="黑体"/>
      <w:b/>
      <w:sz w:val="44"/>
      <w:szCs w:val="44"/>
      <w:lang w:val="en-US" w:eastAsia="zh-CN" w:bidi="ar-SA"/>
    </w:rPr>
  </w:style>
  <w:style w:type="character" w:customStyle="1" w:styleId="541">
    <w:name w:val="正文（首行缩进两字） Char Char Char Char Char Char Char Char Char"/>
    <w:uiPriority w:val="0"/>
    <w:rPr>
      <w:rFonts w:eastAsia="宋体"/>
      <w:kern w:val="2"/>
      <w:sz w:val="21"/>
      <w:szCs w:val="24"/>
      <w:lang w:val="en-US" w:eastAsia="zh-CN" w:bidi="ar-SA"/>
    </w:rPr>
  </w:style>
  <w:style w:type="character" w:customStyle="1" w:styleId="542">
    <w:name w:val="正文1 字符"/>
    <w:qFormat/>
    <w:uiPriority w:val="0"/>
    <w:rPr>
      <w:rFonts w:ascii="Times New Roman" w:hAnsi="Times New Roman" w:eastAsia="宋体" w:cs="宋体"/>
      <w:color w:val="000000"/>
      <w:kern w:val="0"/>
      <w:sz w:val="24"/>
      <w:szCs w:val="26"/>
    </w:rPr>
  </w:style>
  <w:style w:type="character" w:customStyle="1" w:styleId="543">
    <w:name w:val="注释标题 字符"/>
    <w:link w:val="14"/>
    <w:qFormat/>
    <w:uiPriority w:val="0"/>
    <w:rPr>
      <w:rFonts w:eastAsia="黑体"/>
      <w:kern w:val="2"/>
      <w:sz w:val="24"/>
      <w:szCs w:val="24"/>
    </w:rPr>
  </w:style>
  <w:style w:type="character" w:customStyle="1" w:styleId="544">
    <w:name w:val="注释标题 字符1"/>
    <w:basedOn w:val="83"/>
    <w:semiHidden/>
    <w:uiPriority w:val="99"/>
    <w:rPr>
      <w:rFonts w:ascii="Times New Roman" w:hAnsi="Times New Roman" w:eastAsia="宋体" w:cs="Times New Roman"/>
      <w:sz w:val="24"/>
      <w:szCs w:val="24"/>
    </w:rPr>
  </w:style>
  <w:style w:type="character" w:customStyle="1" w:styleId="545">
    <w:name w:val="Font Style375"/>
    <w:uiPriority w:val="0"/>
    <w:rPr>
      <w:rFonts w:ascii="Times New Roman" w:hAnsi="Times New Roman" w:cs="Times New Roman"/>
      <w:sz w:val="22"/>
      <w:szCs w:val="22"/>
    </w:rPr>
  </w:style>
  <w:style w:type="character" w:customStyle="1" w:styleId="546">
    <w:name w:val="信息标题 字符"/>
    <w:link w:val="67"/>
    <w:uiPriority w:val="0"/>
    <w:rPr>
      <w:rFonts w:ascii="Arial" w:hAnsi="Arial" w:cs="Arial"/>
      <w:kern w:val="2"/>
      <w:sz w:val="24"/>
      <w:szCs w:val="24"/>
      <w:shd w:val="pct20" w:color="auto" w:fill="auto"/>
    </w:rPr>
  </w:style>
  <w:style w:type="character" w:customStyle="1" w:styleId="547">
    <w:name w:val="信息标题 字符1"/>
    <w:basedOn w:val="83"/>
    <w:semiHidden/>
    <w:uiPriority w:val="99"/>
    <w:rPr>
      <w:rFonts w:asciiTheme="majorHAnsi" w:hAnsiTheme="majorHAnsi" w:eastAsiaTheme="majorEastAsia" w:cstheme="majorBidi"/>
      <w:sz w:val="24"/>
      <w:szCs w:val="24"/>
      <w:shd w:val="pct20" w:color="auto" w:fill="auto"/>
    </w:rPr>
  </w:style>
  <w:style w:type="character" w:customStyle="1" w:styleId="548">
    <w:name w:val="样式 标题 3 + 宋体 Char Char Char"/>
    <w:uiPriority w:val="0"/>
    <w:rPr>
      <w:rFonts w:ascii="宋体" w:hAnsi="宋体" w:eastAsia="宋体" w:cs="宋体"/>
      <w:b/>
      <w:bCs/>
      <w:sz w:val="32"/>
      <w:szCs w:val="32"/>
    </w:rPr>
  </w:style>
  <w:style w:type="character" w:customStyle="1" w:styleId="549">
    <w:name w:val="Font Style399"/>
    <w:qFormat/>
    <w:uiPriority w:val="0"/>
    <w:rPr>
      <w:rFonts w:ascii="宋体" w:eastAsia="宋体" w:cs="宋体"/>
      <w:i/>
      <w:iCs/>
      <w:spacing w:val="60"/>
      <w:w w:val="200"/>
      <w:sz w:val="10"/>
      <w:szCs w:val="10"/>
    </w:rPr>
  </w:style>
  <w:style w:type="character" w:customStyle="1" w:styleId="550">
    <w:name w:val="Font Style338"/>
    <w:uiPriority w:val="0"/>
    <w:rPr>
      <w:rFonts w:ascii="宋体" w:eastAsia="宋体" w:cs="宋体"/>
      <w:w w:val="120"/>
      <w:sz w:val="18"/>
      <w:szCs w:val="18"/>
    </w:rPr>
  </w:style>
  <w:style w:type="character" w:customStyle="1" w:styleId="551">
    <w:name w:val="样式 居中 首行缩进:  0 字符 Char Char Char Char"/>
    <w:link w:val="552"/>
    <w:uiPriority w:val="0"/>
    <w:rPr>
      <w:rFonts w:ascii="宋体" w:hAnsi="宋体" w:eastAsia="宋体"/>
      <w:color w:val="FF0000"/>
      <w:kern w:val="2"/>
      <w:sz w:val="18"/>
      <w:szCs w:val="18"/>
    </w:rPr>
  </w:style>
  <w:style w:type="paragraph" w:customStyle="1" w:styleId="552">
    <w:name w:val="样式 居中 首行缩进:  0 字符 Char Char"/>
    <w:basedOn w:val="1"/>
    <w:next w:val="1"/>
    <w:link w:val="551"/>
    <w:uiPriority w:val="0"/>
    <w:pPr>
      <w:tabs>
        <w:tab w:val="left" w:pos="9128"/>
      </w:tabs>
      <w:autoSpaceDE/>
      <w:autoSpaceDN/>
      <w:spacing w:line="240" w:lineRule="auto"/>
      <w:ind w:firstLine="0" w:firstLineChars="0"/>
      <w:jc w:val="center"/>
    </w:pPr>
    <w:rPr>
      <w:rFonts w:ascii="宋体" w:hAnsi="宋体" w:cstheme="minorBidi"/>
      <w:color w:val="FF0000"/>
      <w:kern w:val="2"/>
      <w:sz w:val="18"/>
      <w:szCs w:val="18"/>
    </w:rPr>
  </w:style>
  <w:style w:type="character" w:customStyle="1" w:styleId="553">
    <w:name w:val="ms-rtefontface-111"/>
    <w:qFormat/>
    <w:uiPriority w:val="0"/>
    <w:rPr>
      <w:rFonts w:hint="eastAsia" w:ascii="方正仿宋简体" w:hAnsi="Garamond" w:eastAsia="方正仿宋简体"/>
      <w:sz w:val="32"/>
      <w:szCs w:val="32"/>
    </w:rPr>
  </w:style>
  <w:style w:type="character" w:customStyle="1" w:styleId="554">
    <w:name w:val="标题 3 Char Char1"/>
    <w:uiPriority w:val="0"/>
    <w:rPr>
      <w:rFonts w:eastAsia="黑体"/>
      <w:kern w:val="2"/>
      <w:sz w:val="24"/>
      <w:szCs w:val="24"/>
      <w:lang w:val="en-US" w:eastAsia="zh-CN" w:bidi="ar-SA"/>
    </w:rPr>
  </w:style>
  <w:style w:type="character" w:customStyle="1" w:styleId="555">
    <w:name w:val="正文文本缩进 2 Char Char Char"/>
    <w:uiPriority w:val="0"/>
    <w:rPr>
      <w:rFonts w:ascii="Arial" w:hAnsi="Arial" w:eastAsia="宋体"/>
      <w:kern w:val="2"/>
      <w:sz w:val="24"/>
      <w:szCs w:val="24"/>
      <w:lang w:val="en-US" w:eastAsia="zh-CN" w:bidi="ar-SA"/>
    </w:rPr>
  </w:style>
  <w:style w:type="character" w:customStyle="1" w:styleId="556">
    <w:name w:val="批注文字 Char Char"/>
    <w:uiPriority w:val="0"/>
    <w:rPr>
      <w:rFonts w:ascii="Times New Roman" w:hAnsi="Times New Roman" w:eastAsia="宋体" w:cs="Times New Roman"/>
      <w:szCs w:val="20"/>
    </w:rPr>
  </w:style>
  <w:style w:type="character" w:customStyle="1" w:styleId="557">
    <w:name w:val="文字 Char"/>
    <w:uiPriority w:val="0"/>
    <w:rPr>
      <w:rFonts w:ascii="宋体" w:hAnsi="宋体" w:eastAsia="宋体" w:cs="宋体"/>
      <w:kern w:val="0"/>
      <w:sz w:val="28"/>
      <w:szCs w:val="28"/>
    </w:rPr>
  </w:style>
  <w:style w:type="character" w:customStyle="1" w:styleId="558">
    <w:name w:val="5 Char Char"/>
    <w:link w:val="559"/>
    <w:uiPriority w:val="0"/>
    <w:rPr>
      <w:rFonts w:ascii="楷体_GB2312" w:eastAsia="楷体_GB2312"/>
      <w:sz w:val="30"/>
      <w:szCs w:val="30"/>
    </w:rPr>
  </w:style>
  <w:style w:type="paragraph" w:customStyle="1" w:styleId="559">
    <w:name w:val="5"/>
    <w:basedOn w:val="1"/>
    <w:link w:val="558"/>
    <w:uiPriority w:val="0"/>
    <w:pPr>
      <w:autoSpaceDE/>
      <w:autoSpaceDN/>
      <w:spacing w:line="480" w:lineRule="auto"/>
      <w:ind w:firstLine="0" w:firstLineChars="0"/>
      <w:jc w:val="center"/>
      <w:textAlignment w:val="baseline"/>
    </w:pPr>
    <w:rPr>
      <w:rFonts w:ascii="楷体_GB2312" w:eastAsia="楷体_GB2312" w:hAnsiTheme="minorHAnsi" w:cstheme="minorBidi"/>
      <w:sz w:val="30"/>
      <w:szCs w:val="30"/>
    </w:rPr>
  </w:style>
  <w:style w:type="character" w:customStyle="1" w:styleId="560">
    <w:name w:val="正文 楷体 Char"/>
    <w:qFormat/>
    <w:uiPriority w:val="0"/>
    <w:rPr>
      <w:rFonts w:ascii="楷体_GB2312" w:hAnsi="楷体_GB2312" w:eastAsia="楷体_GB2312" w:cs="宋体"/>
      <w:sz w:val="24"/>
      <w:szCs w:val="24"/>
    </w:rPr>
  </w:style>
  <w:style w:type="character" w:customStyle="1" w:styleId="561">
    <w:name w:val="digest1"/>
    <w:qFormat/>
    <w:uiPriority w:val="0"/>
    <w:rPr>
      <w:color w:val="393939"/>
      <w:sz w:val="20"/>
      <w:szCs w:val="20"/>
    </w:rPr>
  </w:style>
  <w:style w:type="character" w:customStyle="1" w:styleId="562">
    <w:name w:val="样式 居中 首行缩进:  0 字符 Char Char Char Char Char"/>
    <w:link w:val="563"/>
    <w:uiPriority w:val="0"/>
    <w:rPr>
      <w:rFonts w:eastAsia="仿宋_GB2312"/>
      <w:kern w:val="2"/>
      <w:sz w:val="21"/>
    </w:rPr>
  </w:style>
  <w:style w:type="paragraph" w:customStyle="1" w:styleId="563">
    <w:name w:val="样式 居中 首行缩进:  0 字符"/>
    <w:basedOn w:val="1"/>
    <w:next w:val="1"/>
    <w:link w:val="562"/>
    <w:uiPriority w:val="0"/>
    <w:pPr>
      <w:tabs>
        <w:tab w:val="left" w:pos="9128"/>
      </w:tabs>
      <w:autoSpaceDE/>
      <w:autoSpaceDN/>
      <w:spacing w:line="500" w:lineRule="exact"/>
      <w:ind w:firstLine="0" w:firstLineChars="0"/>
      <w:jc w:val="center"/>
    </w:pPr>
    <w:rPr>
      <w:rFonts w:eastAsia="仿宋_GB2312" w:asciiTheme="minorHAnsi" w:hAnsiTheme="minorHAnsi" w:cstheme="minorBidi"/>
      <w:kern w:val="2"/>
      <w:sz w:val="21"/>
      <w:szCs w:val="20"/>
    </w:rPr>
  </w:style>
  <w:style w:type="character" w:customStyle="1" w:styleId="564">
    <w:name w:val="正文3 Char"/>
    <w:semiHidden/>
    <w:uiPriority w:val="0"/>
    <w:rPr>
      <w:rFonts w:ascii="宋体" w:hAnsi="宋体" w:eastAsia="宋体" w:cs="Times New Roman"/>
      <w:bCs/>
      <w:snapToGrid w:val="0"/>
      <w:kern w:val="0"/>
      <w:sz w:val="24"/>
      <w:szCs w:val="28"/>
      <w:lang w:val="zh-CN"/>
    </w:rPr>
  </w:style>
  <w:style w:type="character" w:customStyle="1" w:styleId="565">
    <w:name w:val="Font Style302"/>
    <w:qFormat/>
    <w:uiPriority w:val="0"/>
    <w:rPr>
      <w:rFonts w:ascii="宋体" w:eastAsia="宋体" w:cs="宋体"/>
      <w:sz w:val="20"/>
      <w:szCs w:val="20"/>
    </w:rPr>
  </w:style>
  <w:style w:type="character" w:customStyle="1" w:styleId="566">
    <w:name w:val="样式 正文首行缩进 2 + (符号) 宋体 + (符号) 宋体 Char Char"/>
    <w:basedOn w:val="329"/>
    <w:link w:val="567"/>
    <w:uiPriority w:val="0"/>
    <w:rPr>
      <w:rFonts w:ascii="宋体" w:eastAsia="宋体"/>
      <w:kern w:val="2"/>
      <w:sz w:val="24"/>
      <w:szCs w:val="24"/>
    </w:rPr>
  </w:style>
  <w:style w:type="paragraph" w:customStyle="1" w:styleId="567">
    <w:name w:val="样式 正文首行缩进 2 + (符号) 宋体 + (符号) 宋体"/>
    <w:basedOn w:val="330"/>
    <w:link w:val="566"/>
    <w:uiPriority w:val="0"/>
  </w:style>
  <w:style w:type="character" w:customStyle="1" w:styleId="568">
    <w:name w:val="标题 3 Char1"/>
    <w:qFormat/>
    <w:uiPriority w:val="0"/>
    <w:rPr>
      <w:rFonts w:ascii="仿宋_GB2312" w:hAnsi="宋体" w:eastAsia="仿宋_GB2312" w:cs="Times New Roman"/>
      <w:b/>
      <w:sz w:val="24"/>
      <w:szCs w:val="24"/>
    </w:rPr>
  </w:style>
  <w:style w:type="character" w:customStyle="1" w:styleId="569">
    <w:name w:val="标题 1 Char2"/>
    <w:uiPriority w:val="0"/>
    <w:rPr>
      <w:rFonts w:ascii="黑体" w:hAnsi="宋体" w:eastAsia="黑体" w:cs="Times New Roman"/>
      <w:b/>
      <w:bCs/>
      <w:color w:val="000000"/>
      <w:kern w:val="44"/>
      <w:sz w:val="32"/>
      <w:szCs w:val="32"/>
    </w:rPr>
  </w:style>
  <w:style w:type="character" w:customStyle="1" w:styleId="570">
    <w:name w:val="样式 仿宋_GB2312 小四 黑色"/>
    <w:uiPriority w:val="0"/>
    <w:rPr>
      <w:rFonts w:ascii="Times New Roman" w:hAnsi="Times New Roman" w:eastAsia="仿宋_GB2312" w:cs="Courier New"/>
      <w:color w:val="000000"/>
      <w:kern w:val="2"/>
      <w:sz w:val="24"/>
      <w:szCs w:val="24"/>
      <w:lang w:val="en-US" w:eastAsia="zh-CN" w:bidi="ar-SA"/>
    </w:rPr>
  </w:style>
  <w:style w:type="character" w:customStyle="1" w:styleId="571">
    <w:name w:val="一标题 Char Char"/>
    <w:uiPriority w:val="0"/>
    <w:rPr>
      <w:rFonts w:eastAsia="宋体"/>
      <w:sz w:val="28"/>
    </w:rPr>
  </w:style>
  <w:style w:type="character" w:customStyle="1" w:styleId="572">
    <w:name w:val="脚注文本 字符"/>
    <w:link w:val="56"/>
    <w:uiPriority w:val="0"/>
    <w:rPr>
      <w:rFonts w:ascii="宋体"/>
      <w:kern w:val="2"/>
      <w:sz w:val="18"/>
    </w:rPr>
  </w:style>
  <w:style w:type="character" w:customStyle="1" w:styleId="573">
    <w:name w:val="脚注文本 字符1"/>
    <w:basedOn w:val="83"/>
    <w:semiHidden/>
    <w:uiPriority w:val="99"/>
    <w:rPr>
      <w:rFonts w:ascii="Times New Roman" w:hAnsi="Times New Roman" w:eastAsia="宋体" w:cs="Times New Roman"/>
      <w:sz w:val="18"/>
      <w:szCs w:val="18"/>
    </w:rPr>
  </w:style>
  <w:style w:type="character" w:customStyle="1" w:styleId="574">
    <w:name w:val="签名 字符"/>
    <w:link w:val="49"/>
    <w:uiPriority w:val="0"/>
    <w:rPr>
      <w:kern w:val="2"/>
      <w:sz w:val="21"/>
      <w:szCs w:val="24"/>
    </w:rPr>
  </w:style>
  <w:style w:type="character" w:customStyle="1" w:styleId="575">
    <w:name w:val="签名 字符1"/>
    <w:basedOn w:val="83"/>
    <w:semiHidden/>
    <w:uiPriority w:val="99"/>
    <w:rPr>
      <w:rFonts w:ascii="Times New Roman" w:hAnsi="Times New Roman" w:eastAsia="宋体" w:cs="Times New Roman"/>
      <w:sz w:val="24"/>
      <w:szCs w:val="24"/>
    </w:rPr>
  </w:style>
  <w:style w:type="character" w:customStyle="1" w:styleId="576">
    <w:name w:val="Char Char42"/>
    <w:qFormat/>
    <w:uiPriority w:val="0"/>
    <w:rPr>
      <w:rFonts w:eastAsia="宋体"/>
      <w:b/>
      <w:bCs/>
      <w:kern w:val="44"/>
      <w:sz w:val="28"/>
      <w:szCs w:val="28"/>
      <w:lang w:val="en-US" w:eastAsia="zh-CN" w:bidi="ar-SA"/>
    </w:rPr>
  </w:style>
  <w:style w:type="character" w:customStyle="1" w:styleId="577">
    <w:name w:val="Char Char6"/>
    <w:uiPriority w:val="0"/>
    <w:rPr>
      <w:rFonts w:ascii="宋体" w:hAnsi="宋体" w:eastAsia="宋体"/>
      <w:b/>
      <w:kern w:val="2"/>
      <w:sz w:val="21"/>
      <w:szCs w:val="24"/>
      <w:lang w:val="en-US" w:eastAsia="zh-CN"/>
    </w:rPr>
  </w:style>
  <w:style w:type="character" w:customStyle="1" w:styleId="578">
    <w:name w:val="正文(首行缩进)宋旭峰 Char Char Char"/>
    <w:uiPriority w:val="0"/>
    <w:rPr>
      <w:rFonts w:eastAsia="宋体" w:cs="TimesNewRomanPSMT"/>
      <w:snapToGrid w:val="0"/>
      <w:sz w:val="24"/>
      <w:szCs w:val="24"/>
      <w:lang w:val="en-US" w:eastAsia="zh-CN" w:bidi="ar-SA"/>
    </w:rPr>
  </w:style>
  <w:style w:type="character" w:customStyle="1" w:styleId="579">
    <w:name w:val="样式 (西文) 宋体 (中文) 仿宋_GB2312 黑色"/>
    <w:uiPriority w:val="0"/>
    <w:rPr>
      <w:rFonts w:ascii="Times New Roman" w:hAnsi="Times New Roman" w:eastAsia="仿宋_GB2312" w:cs="Courier New"/>
      <w:color w:val="000000"/>
      <w:kern w:val="2"/>
      <w:sz w:val="32"/>
      <w:szCs w:val="32"/>
      <w:lang w:val="en-US" w:eastAsia="zh-CN" w:bidi="ar-SA"/>
    </w:rPr>
  </w:style>
  <w:style w:type="character" w:customStyle="1" w:styleId="580">
    <w:name w:val="正文（首行式样2） Char Char"/>
    <w:link w:val="581"/>
    <w:uiPriority w:val="0"/>
    <w:rPr>
      <w:rFonts w:eastAsia="仿宋_GB2312"/>
      <w:kern w:val="2"/>
      <w:sz w:val="28"/>
    </w:rPr>
  </w:style>
  <w:style w:type="paragraph" w:customStyle="1" w:styleId="581">
    <w:name w:val="正文（首行式样2）"/>
    <w:basedOn w:val="18"/>
    <w:link w:val="580"/>
    <w:uiPriority w:val="0"/>
    <w:pPr>
      <w:autoSpaceDE/>
      <w:autoSpaceDN/>
      <w:spacing w:line="540" w:lineRule="exact"/>
      <w:ind w:right="-13" w:rightChars="-6" w:firstLine="560"/>
      <w:jc w:val="both"/>
    </w:pPr>
    <w:rPr>
      <w:rFonts w:eastAsia="仿宋_GB2312" w:asciiTheme="minorHAnsi" w:hAnsiTheme="minorHAnsi" w:cstheme="minorBidi"/>
      <w:kern w:val="2"/>
      <w:sz w:val="28"/>
      <w:szCs w:val="20"/>
    </w:rPr>
  </w:style>
  <w:style w:type="character" w:customStyle="1" w:styleId="582">
    <w:name w:val="正文(首行缩进) Char"/>
    <w:qFormat/>
    <w:uiPriority w:val="0"/>
    <w:rPr>
      <w:rFonts w:ascii="宋体" w:hAnsi="宋体" w:eastAsia="宋体" w:cs="宋体"/>
      <w:color w:val="000000"/>
      <w:kern w:val="0"/>
      <w:sz w:val="24"/>
      <w:szCs w:val="24"/>
    </w:rPr>
  </w:style>
  <w:style w:type="character" w:customStyle="1" w:styleId="583">
    <w:name w:val="一标题 Char Char Char"/>
    <w:link w:val="584"/>
    <w:uiPriority w:val="0"/>
    <w:rPr>
      <w:sz w:val="28"/>
    </w:rPr>
  </w:style>
  <w:style w:type="paragraph" w:customStyle="1" w:styleId="584">
    <w:name w:val="一标题 Char"/>
    <w:basedOn w:val="1"/>
    <w:link w:val="583"/>
    <w:uiPriority w:val="0"/>
    <w:pPr>
      <w:widowControl/>
      <w:autoSpaceDE/>
      <w:autoSpaceDN/>
      <w:spacing w:line="240" w:lineRule="auto"/>
      <w:ind w:firstLine="538" w:firstLineChars="192"/>
    </w:pPr>
    <w:rPr>
      <w:rFonts w:asciiTheme="minorHAnsi" w:hAnsiTheme="minorHAnsi" w:eastAsiaTheme="minorEastAsia" w:cstheme="minorBidi"/>
      <w:sz w:val="28"/>
      <w:szCs w:val="20"/>
    </w:rPr>
  </w:style>
  <w:style w:type="character" w:customStyle="1" w:styleId="585">
    <w:name w:val="表底说明 Char Char"/>
    <w:link w:val="586"/>
    <w:uiPriority w:val="0"/>
    <w:rPr>
      <w:rFonts w:eastAsia="宋体"/>
      <w:kern w:val="2"/>
      <w:sz w:val="18"/>
      <w:szCs w:val="24"/>
    </w:rPr>
  </w:style>
  <w:style w:type="paragraph" w:customStyle="1" w:styleId="586">
    <w:name w:val="表底说明"/>
    <w:basedOn w:val="1"/>
    <w:link w:val="585"/>
    <w:uiPriority w:val="0"/>
    <w:pPr>
      <w:autoSpaceDE/>
      <w:autoSpaceDN/>
      <w:spacing w:line="240" w:lineRule="auto"/>
      <w:ind w:firstLine="0" w:firstLineChars="0"/>
      <w:jc w:val="both"/>
    </w:pPr>
    <w:rPr>
      <w:rFonts w:asciiTheme="minorHAnsi" w:hAnsiTheme="minorHAnsi" w:cstheme="minorBidi"/>
      <w:kern w:val="2"/>
      <w:sz w:val="18"/>
    </w:rPr>
  </w:style>
  <w:style w:type="character" w:customStyle="1" w:styleId="587">
    <w:name w:val="样式 宋体 小四"/>
    <w:qFormat/>
    <w:uiPriority w:val="0"/>
    <w:rPr>
      <w:rFonts w:ascii="楷体_GB2312" w:hAnsi="楷体_GB2312" w:eastAsia="楷体_GB2312" w:cs="楷体_GB2312"/>
      <w:sz w:val="24"/>
      <w:szCs w:val="24"/>
    </w:rPr>
  </w:style>
  <w:style w:type="character" w:customStyle="1" w:styleId="588">
    <w:name w:val="EmailStyle5081"/>
    <w:uiPriority w:val="0"/>
    <w:rPr>
      <w:rFonts w:ascii="Arial" w:hAnsi="Arial" w:eastAsia="宋体" w:cs="Arial"/>
      <w:color w:val="auto"/>
      <w:sz w:val="20"/>
    </w:rPr>
  </w:style>
  <w:style w:type="character" w:customStyle="1" w:styleId="589">
    <w:name w:val="表头1 Char"/>
    <w:link w:val="590"/>
    <w:qFormat/>
    <w:uiPriority w:val="0"/>
    <w:rPr>
      <w:rFonts w:ascii="黑体" w:hAnsi="黑体" w:eastAsia="黑体"/>
      <w:sz w:val="24"/>
      <w:szCs w:val="24"/>
    </w:rPr>
  </w:style>
  <w:style w:type="paragraph" w:customStyle="1" w:styleId="590">
    <w:name w:val="表头1"/>
    <w:basedOn w:val="1"/>
    <w:next w:val="1"/>
    <w:link w:val="589"/>
    <w:qFormat/>
    <w:uiPriority w:val="0"/>
    <w:pPr>
      <w:tabs>
        <w:tab w:val="left" w:pos="605"/>
      </w:tabs>
      <w:autoSpaceDE/>
      <w:autoSpaceDN/>
      <w:spacing w:line="240" w:lineRule="auto"/>
      <w:ind w:firstLine="480"/>
      <w:jc w:val="center"/>
    </w:pPr>
    <w:rPr>
      <w:rFonts w:ascii="黑体" w:hAnsi="黑体" w:eastAsia="黑体" w:cstheme="minorBidi"/>
    </w:rPr>
  </w:style>
  <w:style w:type="character" w:customStyle="1" w:styleId="591">
    <w:name w:val="表格后空行 Char Char"/>
    <w:link w:val="592"/>
    <w:qFormat/>
    <w:uiPriority w:val="0"/>
    <w:rPr>
      <w:rFonts w:cs="宋体"/>
      <w:color w:val="000000"/>
      <w:sz w:val="21"/>
      <w:u w:color="000000"/>
    </w:rPr>
  </w:style>
  <w:style w:type="paragraph" w:customStyle="1" w:styleId="592">
    <w:name w:val="表格后空行"/>
    <w:basedOn w:val="1"/>
    <w:link w:val="591"/>
    <w:qFormat/>
    <w:uiPriority w:val="0"/>
    <w:pPr>
      <w:widowControl/>
      <w:autoSpaceDE/>
      <w:autoSpaceDN/>
      <w:spacing w:line="240" w:lineRule="exact"/>
      <w:ind w:firstLine="0" w:firstLineChars="0"/>
      <w:jc w:val="both"/>
      <w:textAlignment w:val="baseline"/>
    </w:pPr>
    <w:rPr>
      <w:rFonts w:cs="宋体" w:asciiTheme="minorHAnsi" w:hAnsiTheme="minorHAnsi" w:eastAsiaTheme="minorEastAsia"/>
      <w:color w:val="000000"/>
      <w:sz w:val="21"/>
      <w:szCs w:val="20"/>
      <w:u w:color="000000"/>
    </w:rPr>
  </w:style>
  <w:style w:type="character" w:customStyle="1" w:styleId="593">
    <w:name w:val="777777777 Char Char Char Char Char1"/>
    <w:uiPriority w:val="0"/>
    <w:rPr>
      <w:rFonts w:eastAsia="宋体"/>
      <w:kern w:val="2"/>
      <w:sz w:val="28"/>
      <w:lang w:val="en-US" w:eastAsia="zh-CN"/>
    </w:rPr>
  </w:style>
  <w:style w:type="character" w:customStyle="1" w:styleId="594">
    <w:name w:val="style10"/>
    <w:basedOn w:val="83"/>
    <w:uiPriority w:val="0"/>
  </w:style>
  <w:style w:type="character" w:customStyle="1" w:styleId="595">
    <w:name w:val="表格内容 Char"/>
    <w:qFormat/>
    <w:uiPriority w:val="0"/>
    <w:rPr>
      <w:rFonts w:ascii="Times New Roman" w:hAnsi="Times New Roman" w:eastAsia="宋体" w:cs="Times New Roman"/>
      <w:szCs w:val="21"/>
    </w:rPr>
  </w:style>
  <w:style w:type="character" w:customStyle="1" w:styleId="596">
    <w:name w:val="表体 Char"/>
    <w:link w:val="597"/>
    <w:uiPriority w:val="0"/>
    <w:rPr>
      <w:rFonts w:ascii="黑体" w:hAnsi="宋体" w:eastAsia="黑体" w:cs="宋体"/>
      <w:color w:val="000080"/>
      <w:kern w:val="24"/>
      <w:sz w:val="21"/>
    </w:rPr>
  </w:style>
  <w:style w:type="paragraph" w:customStyle="1" w:styleId="597">
    <w:name w:val="表体"/>
    <w:basedOn w:val="493"/>
    <w:link w:val="596"/>
    <w:uiPriority w:val="0"/>
    <w:pPr>
      <w:widowControl/>
      <w:overflowPunct w:val="0"/>
      <w:adjustRightInd w:val="0"/>
      <w:spacing w:line="240" w:lineRule="atLeast"/>
      <w:ind w:left="-57" w:right="-57"/>
      <w:textAlignment w:val="baseline"/>
    </w:pPr>
    <w:rPr>
      <w:rFonts w:ascii="黑体" w:hAnsi="宋体" w:eastAsia="黑体"/>
      <w:color w:val="000080"/>
      <w:kern w:val="24"/>
      <w:sz w:val="21"/>
      <w:szCs w:val="20"/>
    </w:rPr>
  </w:style>
  <w:style w:type="character" w:customStyle="1" w:styleId="598">
    <w:name w:val="headline-content2"/>
    <w:basedOn w:val="83"/>
    <w:uiPriority w:val="0"/>
  </w:style>
  <w:style w:type="character" w:customStyle="1" w:styleId="599">
    <w:name w:val="维药表格文字 Char"/>
    <w:link w:val="600"/>
    <w:qFormat/>
    <w:uiPriority w:val="0"/>
    <w:rPr>
      <w:rFonts w:ascii="宋体" w:hAnsi="宋体" w:cs="宋体"/>
      <w:bCs/>
      <w:sz w:val="24"/>
      <w:szCs w:val="21"/>
    </w:rPr>
  </w:style>
  <w:style w:type="paragraph" w:customStyle="1" w:styleId="600">
    <w:name w:val="维药表格文字"/>
    <w:basedOn w:val="1"/>
    <w:link w:val="599"/>
    <w:qFormat/>
    <w:uiPriority w:val="0"/>
    <w:pPr>
      <w:widowControl/>
      <w:tabs>
        <w:tab w:val="left" w:pos="720"/>
      </w:tabs>
      <w:autoSpaceDE/>
      <w:autoSpaceDN/>
      <w:spacing w:line="360" w:lineRule="exact"/>
      <w:ind w:firstLine="0" w:firstLineChars="0"/>
      <w:jc w:val="center"/>
    </w:pPr>
    <w:rPr>
      <w:rFonts w:ascii="宋体" w:hAnsi="宋体" w:cs="宋体" w:eastAsiaTheme="minorEastAsia"/>
      <w:bCs/>
      <w:szCs w:val="21"/>
    </w:rPr>
  </w:style>
  <w:style w:type="character" w:customStyle="1" w:styleId="601">
    <w:name w:val="批注框文本 Char1"/>
    <w:qFormat/>
    <w:uiPriority w:val="0"/>
    <w:rPr>
      <w:rFonts w:ascii="Times New Roman" w:hAnsi="Times New Roman" w:eastAsia="宋体" w:cs="Times New Roman"/>
      <w:sz w:val="18"/>
      <w:szCs w:val="18"/>
    </w:rPr>
  </w:style>
  <w:style w:type="character" w:customStyle="1" w:styleId="602">
    <w:name w:val="样式 样式 表格 + (符号) 宋体 五号 居中 + 小五 Char Char"/>
    <w:link w:val="603"/>
    <w:uiPriority w:val="0"/>
    <w:rPr>
      <w:rFonts w:ascii="宋体" w:hAnsi="宋体" w:cs="宋体"/>
      <w:snapToGrid w:val="0"/>
      <w:sz w:val="18"/>
      <w:szCs w:val="21"/>
    </w:rPr>
  </w:style>
  <w:style w:type="paragraph" w:customStyle="1" w:styleId="603">
    <w:name w:val="样式 样式 表格 + (符号) 宋体 五号 居中 + 小五"/>
    <w:basedOn w:val="1"/>
    <w:link w:val="602"/>
    <w:uiPriority w:val="0"/>
    <w:pPr>
      <w:widowControl/>
      <w:kinsoku w:val="0"/>
      <w:overflowPunct w:val="0"/>
      <w:autoSpaceDE/>
      <w:autoSpaceDN/>
      <w:spacing w:line="240" w:lineRule="auto"/>
      <w:ind w:firstLine="0" w:firstLineChars="0"/>
      <w:jc w:val="center"/>
    </w:pPr>
    <w:rPr>
      <w:rFonts w:ascii="宋体" w:hAnsi="宋体" w:cs="宋体" w:eastAsiaTheme="minorEastAsia"/>
      <w:snapToGrid w:val="0"/>
      <w:sz w:val="18"/>
      <w:szCs w:val="21"/>
    </w:rPr>
  </w:style>
  <w:style w:type="character" w:customStyle="1" w:styleId="604">
    <w:name w:val="highlight1"/>
    <w:uiPriority w:val="0"/>
    <w:rPr>
      <w:sz w:val="14"/>
      <w:szCs w:val="14"/>
    </w:rPr>
  </w:style>
  <w:style w:type="character" w:customStyle="1" w:styleId="605">
    <w:name w:val="style1"/>
    <w:qFormat/>
    <w:uiPriority w:val="0"/>
    <w:rPr>
      <w:rFonts w:hint="default" w:ascii="Tahoma" w:hAnsi="Tahoma" w:cs="Tahoma"/>
    </w:rPr>
  </w:style>
  <w:style w:type="character" w:customStyle="1" w:styleId="606">
    <w:name w:val="无间隔 Char"/>
    <w:link w:val="607"/>
    <w:qFormat/>
    <w:uiPriority w:val="0"/>
    <w:rPr>
      <w:sz w:val="22"/>
    </w:rPr>
  </w:style>
  <w:style w:type="paragraph" w:customStyle="1" w:styleId="607">
    <w:name w:val="无间隔1"/>
    <w:link w:val="606"/>
    <w:uiPriority w:val="0"/>
    <w:rPr>
      <w:rFonts w:asciiTheme="minorHAnsi" w:hAnsiTheme="minorHAnsi" w:eastAsiaTheme="minorEastAsia" w:cstheme="minorBidi"/>
      <w:sz w:val="22"/>
      <w:lang w:val="en-US" w:eastAsia="zh-CN" w:bidi="ar-SA"/>
    </w:rPr>
  </w:style>
  <w:style w:type="character" w:customStyle="1" w:styleId="608">
    <w:name w:val="样式10 Char"/>
    <w:link w:val="609"/>
    <w:qFormat/>
    <w:uiPriority w:val="0"/>
    <w:rPr>
      <w:rFonts w:ascii="宋体" w:hAnsi="宋体"/>
      <w:bCs/>
      <w:sz w:val="24"/>
      <w:szCs w:val="28"/>
    </w:rPr>
  </w:style>
  <w:style w:type="paragraph" w:customStyle="1" w:styleId="609">
    <w:name w:val="样式10"/>
    <w:basedOn w:val="5"/>
    <w:link w:val="608"/>
    <w:qFormat/>
    <w:uiPriority w:val="0"/>
    <w:pPr>
      <w:keepNext/>
      <w:keepLines/>
      <w:numPr>
        <w:ilvl w:val="0"/>
        <w:numId w:val="0"/>
      </w:numPr>
      <w:autoSpaceDE/>
      <w:autoSpaceDN/>
      <w:jc w:val="both"/>
      <w:outlineLvl w:val="4"/>
    </w:pPr>
    <w:rPr>
      <w:rFonts w:ascii="宋体" w:hAnsi="宋体" w:eastAsiaTheme="minorEastAsia" w:cstheme="minorBidi"/>
      <w:bCs/>
      <w:szCs w:val="28"/>
    </w:rPr>
  </w:style>
  <w:style w:type="character" w:customStyle="1" w:styleId="610">
    <w:name w:val="1) Char Char"/>
    <w:basedOn w:val="451"/>
    <w:link w:val="611"/>
    <w:uiPriority w:val="0"/>
    <w:rPr>
      <w:rFonts w:ascii="宋体" w:hAnsi="宋体" w:cs="宋体"/>
      <w:sz w:val="28"/>
    </w:rPr>
  </w:style>
  <w:style w:type="paragraph" w:customStyle="1" w:styleId="611">
    <w:name w:val="1)"/>
    <w:basedOn w:val="452"/>
    <w:link w:val="610"/>
    <w:uiPriority w:val="0"/>
    <w:pPr>
      <w:ind w:firstLine="845"/>
    </w:pPr>
  </w:style>
  <w:style w:type="character" w:customStyle="1" w:styleId="612">
    <w:name w:val="表格内字体 Char"/>
    <w:link w:val="613"/>
    <w:qFormat/>
    <w:uiPriority w:val="0"/>
    <w:rPr>
      <w:rFonts w:ascii="宋体" w:cs="宋体"/>
      <w:kern w:val="2"/>
      <w:sz w:val="21"/>
      <w:szCs w:val="21"/>
    </w:rPr>
  </w:style>
  <w:style w:type="paragraph" w:customStyle="1" w:styleId="613">
    <w:name w:val="表格内字体"/>
    <w:basedOn w:val="1"/>
    <w:link w:val="612"/>
    <w:qFormat/>
    <w:uiPriority w:val="0"/>
    <w:pPr>
      <w:widowControl/>
      <w:autoSpaceDE/>
      <w:autoSpaceDN/>
      <w:spacing w:line="360" w:lineRule="exact"/>
      <w:ind w:firstLine="0" w:firstLineChars="0"/>
      <w:jc w:val="center"/>
    </w:pPr>
    <w:rPr>
      <w:rFonts w:ascii="宋体" w:cs="宋体" w:hAnsiTheme="minorHAnsi" w:eastAsiaTheme="minorEastAsia"/>
      <w:kern w:val="2"/>
      <w:sz w:val="21"/>
      <w:szCs w:val="21"/>
    </w:rPr>
  </w:style>
  <w:style w:type="character" w:customStyle="1" w:styleId="614">
    <w:name w:val="页码1"/>
    <w:basedOn w:val="83"/>
    <w:uiPriority w:val="0"/>
  </w:style>
  <w:style w:type="character" w:customStyle="1" w:styleId="615">
    <w:name w:val="正文文字缩进 21 Char Char"/>
    <w:qFormat/>
    <w:uiPriority w:val="0"/>
    <w:rPr>
      <w:rFonts w:eastAsia="宋体"/>
      <w:kern w:val="2"/>
      <w:sz w:val="21"/>
      <w:szCs w:val="24"/>
      <w:lang w:val="en-US" w:eastAsia="zh-CN" w:bidi="ar-SA"/>
    </w:rPr>
  </w:style>
  <w:style w:type="character" w:customStyle="1" w:styleId="616">
    <w:name w:val="EmailStyle542"/>
    <w:uiPriority w:val="0"/>
    <w:rPr>
      <w:rFonts w:ascii="Arial" w:hAnsi="Arial" w:eastAsia="宋体" w:cs="Arial"/>
      <w:color w:val="auto"/>
      <w:sz w:val="20"/>
    </w:rPr>
  </w:style>
  <w:style w:type="character" w:customStyle="1" w:styleId="617">
    <w:name w:val="表格题目1 字符"/>
    <w:link w:val="618"/>
    <w:qFormat/>
    <w:uiPriority w:val="0"/>
    <w:rPr>
      <w:rFonts w:eastAsia="黑体"/>
      <w:color w:val="000000"/>
      <w:kern w:val="2"/>
      <w:sz w:val="21"/>
      <w:szCs w:val="24"/>
    </w:rPr>
  </w:style>
  <w:style w:type="paragraph" w:customStyle="1" w:styleId="618">
    <w:name w:val="表格题目1"/>
    <w:basedOn w:val="1"/>
    <w:link w:val="617"/>
    <w:qFormat/>
    <w:uiPriority w:val="0"/>
    <w:pPr>
      <w:autoSpaceDE/>
      <w:autoSpaceDN/>
      <w:spacing w:line="360" w:lineRule="exact"/>
      <w:ind w:firstLine="420"/>
      <w:jc w:val="both"/>
    </w:pPr>
    <w:rPr>
      <w:rFonts w:eastAsia="黑体" w:asciiTheme="minorHAnsi" w:hAnsiTheme="minorHAnsi" w:cstheme="minorBidi"/>
      <w:color w:val="000000"/>
      <w:kern w:val="2"/>
      <w:sz w:val="21"/>
    </w:rPr>
  </w:style>
  <w:style w:type="character" w:customStyle="1" w:styleId="619">
    <w:name w:val="EmailStyle489"/>
    <w:uiPriority w:val="0"/>
    <w:rPr>
      <w:rFonts w:ascii="Arial" w:hAnsi="Arial" w:eastAsia="宋体" w:cs="Arial"/>
      <w:color w:val="auto"/>
      <w:sz w:val="20"/>
    </w:rPr>
  </w:style>
  <w:style w:type="character" w:customStyle="1" w:styleId="620">
    <w:name w:val="hottext1"/>
    <w:uiPriority w:val="0"/>
    <w:rPr>
      <w:rFonts w:hint="eastAsia" w:ascii="宋体" w:hAnsi="宋体" w:eastAsia="宋体"/>
      <w:color w:val="333333"/>
      <w:spacing w:val="260"/>
      <w:sz w:val="20"/>
      <w:szCs w:val="20"/>
      <w:u w:val="none"/>
    </w:rPr>
  </w:style>
  <w:style w:type="character" w:customStyle="1" w:styleId="621">
    <w:name w:val="正文3 Char Char"/>
    <w:link w:val="622"/>
    <w:uiPriority w:val="0"/>
    <w:rPr>
      <w:rFonts w:ascii="楷体_GB2312" w:hAnsi="Calibri" w:eastAsia="楷体_GB2312" w:cs="宋体"/>
      <w:b/>
      <w:kern w:val="2"/>
      <w:sz w:val="24"/>
      <w:szCs w:val="24"/>
    </w:rPr>
  </w:style>
  <w:style w:type="paragraph" w:customStyle="1" w:styleId="622">
    <w:name w:val="正文3"/>
    <w:basedOn w:val="326"/>
    <w:link w:val="621"/>
    <w:qFormat/>
    <w:uiPriority w:val="0"/>
    <w:pPr>
      <w:adjustRightInd w:val="0"/>
      <w:snapToGrid w:val="0"/>
      <w:spacing w:line="500" w:lineRule="exact"/>
      <w:ind w:firstLine="200"/>
      <w:jc w:val="center"/>
    </w:pPr>
    <w:rPr>
      <w:rFonts w:ascii="楷体_GB2312" w:hAnsi="Calibri" w:eastAsia="楷体_GB2312" w:cs="宋体"/>
      <w:b/>
      <w:spacing w:val="0"/>
    </w:rPr>
  </w:style>
  <w:style w:type="character" w:customStyle="1" w:styleId="623">
    <w:name w:val="我的表格文字 Char"/>
    <w:link w:val="624"/>
    <w:qFormat/>
    <w:uiPriority w:val="0"/>
    <w:rPr>
      <w:rFonts w:ascii="宋体"/>
      <w:szCs w:val="21"/>
    </w:rPr>
  </w:style>
  <w:style w:type="paragraph" w:customStyle="1" w:styleId="624">
    <w:name w:val="我的表格文字"/>
    <w:basedOn w:val="1"/>
    <w:link w:val="623"/>
    <w:qFormat/>
    <w:uiPriority w:val="0"/>
    <w:pPr>
      <w:autoSpaceDE/>
      <w:autoSpaceDN/>
      <w:spacing w:line="360" w:lineRule="exact"/>
      <w:ind w:firstLine="0" w:firstLineChars="0"/>
      <w:jc w:val="center"/>
      <w:textAlignment w:val="center"/>
    </w:pPr>
    <w:rPr>
      <w:rFonts w:ascii="宋体" w:hAnsiTheme="minorHAnsi" w:eastAsiaTheme="minorEastAsia" w:cstheme="minorBidi"/>
      <w:sz w:val="20"/>
      <w:szCs w:val="21"/>
    </w:rPr>
  </w:style>
  <w:style w:type="character" w:customStyle="1" w:styleId="625">
    <w:name w:val="HTML 定义1"/>
    <w:uiPriority w:val="0"/>
    <w:rPr>
      <w:rFonts w:ascii="宋体" w:hAnsi="宋体" w:eastAsia="宋体" w:cs="Courier New"/>
      <w:i/>
      <w:iCs/>
      <w:kern w:val="2"/>
      <w:sz w:val="32"/>
      <w:szCs w:val="32"/>
      <w:lang w:val="en-US" w:eastAsia="zh-CN"/>
    </w:rPr>
  </w:style>
  <w:style w:type="character" w:customStyle="1" w:styleId="626">
    <w:name w:val="样式1.1.1三级标题 Char Char"/>
    <w:qFormat/>
    <w:uiPriority w:val="0"/>
    <w:rPr>
      <w:rFonts w:ascii="宋体" w:hAnsi="宋体"/>
      <w:b/>
      <w:bCs/>
      <w:sz w:val="28"/>
      <w:szCs w:val="28"/>
    </w:rPr>
  </w:style>
  <w:style w:type="character" w:customStyle="1" w:styleId="627">
    <w:name w:val="HTML 打字机1"/>
    <w:uiPriority w:val="0"/>
    <w:rPr>
      <w:rFonts w:ascii="Courier New" w:hAnsi="Courier New" w:eastAsia="宋体" w:cs="Courier New"/>
      <w:kern w:val="2"/>
      <w:sz w:val="20"/>
      <w:szCs w:val="20"/>
      <w:lang w:val="en-US" w:eastAsia="zh-CN"/>
    </w:rPr>
  </w:style>
  <w:style w:type="character" w:customStyle="1" w:styleId="628">
    <w:name w:val="样式13 Char"/>
    <w:basedOn w:val="205"/>
    <w:link w:val="629"/>
    <w:qFormat/>
    <w:uiPriority w:val="0"/>
    <w:rPr>
      <w:rFonts w:ascii="宋体" w:hAnsi="宋体" w:cs="宋体"/>
      <w:sz w:val="24"/>
    </w:rPr>
  </w:style>
  <w:style w:type="paragraph" w:customStyle="1" w:styleId="629">
    <w:name w:val="样式13"/>
    <w:basedOn w:val="206"/>
    <w:next w:val="207"/>
    <w:link w:val="628"/>
    <w:qFormat/>
    <w:uiPriority w:val="0"/>
  </w:style>
  <w:style w:type="character" w:customStyle="1" w:styleId="630">
    <w:name w:val="EmailStyle5431"/>
    <w:uiPriority w:val="0"/>
    <w:rPr>
      <w:rFonts w:ascii="Arial" w:hAnsi="Arial" w:eastAsia="宋体" w:cs="Arial"/>
      <w:color w:val="auto"/>
      <w:sz w:val="20"/>
    </w:rPr>
  </w:style>
  <w:style w:type="character" w:customStyle="1" w:styleId="631">
    <w:name w:val="Char Char27"/>
    <w:qFormat/>
    <w:uiPriority w:val="0"/>
    <w:rPr>
      <w:rFonts w:eastAsia="宋体"/>
      <w:kern w:val="2"/>
      <w:sz w:val="18"/>
      <w:szCs w:val="18"/>
      <w:lang w:val="en-US" w:eastAsia="zh-CN" w:bidi="ar-SA"/>
    </w:rPr>
  </w:style>
  <w:style w:type="character" w:customStyle="1" w:styleId="632">
    <w:name w:val="正文(首行缩进) Char Char Char Char Char Char Char"/>
    <w:link w:val="633"/>
    <w:uiPriority w:val="0"/>
    <w:rPr>
      <w:rFonts w:eastAsia="宋体"/>
      <w:snapToGrid w:val="0"/>
      <w:kern w:val="2"/>
      <w:sz w:val="24"/>
      <w:szCs w:val="24"/>
    </w:rPr>
  </w:style>
  <w:style w:type="paragraph" w:customStyle="1" w:styleId="633">
    <w:name w:val="正文(首行缩进) Char Char Char Char"/>
    <w:basedOn w:val="1"/>
    <w:link w:val="632"/>
    <w:uiPriority w:val="0"/>
    <w:pPr>
      <w:autoSpaceDE/>
      <w:autoSpaceDN/>
      <w:ind w:firstLine="480"/>
      <w:jc w:val="both"/>
    </w:pPr>
    <w:rPr>
      <w:rFonts w:asciiTheme="minorHAnsi" w:hAnsiTheme="minorHAnsi" w:cstheme="minorBidi"/>
      <w:snapToGrid w:val="0"/>
      <w:kern w:val="2"/>
    </w:rPr>
  </w:style>
  <w:style w:type="character" w:customStyle="1" w:styleId="634">
    <w:name w:val="纯文本 Char2"/>
    <w:semiHidden/>
    <w:qFormat/>
    <w:uiPriority w:val="99"/>
    <w:rPr>
      <w:rFonts w:ascii="宋体" w:hAnsi="Courier New" w:eastAsia="宋体" w:cs="Courier New"/>
      <w:szCs w:val="21"/>
    </w:rPr>
  </w:style>
  <w:style w:type="character" w:customStyle="1" w:styleId="635">
    <w:name w:val=". [(iii)] Char"/>
    <w:uiPriority w:val="0"/>
    <w:rPr>
      <w:rFonts w:ascii="Arial" w:hAnsi="Arial" w:eastAsia="黑体"/>
      <w:kern w:val="2"/>
      <w:sz w:val="21"/>
      <w:szCs w:val="21"/>
      <w:lang w:val="en-US" w:eastAsia="zh-CN" w:bidi="ar-SA"/>
    </w:rPr>
  </w:style>
  <w:style w:type="character" w:customStyle="1" w:styleId="636">
    <w:name w:val="样式 小四"/>
    <w:uiPriority w:val="0"/>
    <w:rPr>
      <w:color w:val="000080"/>
      <w:sz w:val="24"/>
    </w:rPr>
  </w:style>
  <w:style w:type="character" w:customStyle="1" w:styleId="637">
    <w:name w:val="个人答复风格"/>
    <w:uiPriority w:val="0"/>
    <w:rPr>
      <w:rFonts w:ascii="Arial" w:hAnsi="Arial" w:eastAsia="宋体" w:cs="Arial"/>
      <w:color w:val="auto"/>
      <w:sz w:val="20"/>
    </w:rPr>
  </w:style>
  <w:style w:type="character" w:customStyle="1" w:styleId="638">
    <w:name w:val="表格文字 Char"/>
    <w:qFormat/>
    <w:uiPriority w:val="0"/>
    <w:rPr>
      <w:rFonts w:ascii="宋体" w:hAnsi="Courier New" w:eastAsia="宋体"/>
      <w:sz w:val="28"/>
      <w:lang w:val="en-US" w:eastAsia="zh-CN" w:bidi="ar-SA"/>
    </w:rPr>
  </w:style>
  <w:style w:type="character" w:customStyle="1" w:styleId="639">
    <w:name w:val="正文格式 Char"/>
    <w:qFormat/>
    <w:uiPriority w:val="0"/>
    <w:rPr>
      <w:rFonts w:ascii="宋体" w:hAnsi="Times New Roman" w:eastAsia="宋体" w:cs="Times New Roman"/>
      <w:spacing w:val="8"/>
      <w:kern w:val="0"/>
      <w:sz w:val="24"/>
      <w:szCs w:val="24"/>
    </w:rPr>
  </w:style>
  <w:style w:type="character" w:customStyle="1" w:styleId="640">
    <w:name w:val="标题 3-biao-ls Char"/>
    <w:uiPriority w:val="0"/>
    <w:rPr>
      <w:rFonts w:ascii="黑体" w:hAnsi="宋体" w:eastAsia="黑体"/>
      <w:kern w:val="2"/>
      <w:sz w:val="24"/>
      <w:szCs w:val="24"/>
      <w:lang w:val="en-US" w:eastAsia="zh-CN" w:bidi="ar-SA"/>
    </w:rPr>
  </w:style>
  <w:style w:type="character" w:customStyle="1" w:styleId="641">
    <w:name w:val="样式 样式 标题 2节H2节标题 1.1二级标题标题 lxb21.1h2第一层条二级标题 Char表标题单位名... + 宋体... Char Char"/>
    <w:uiPriority w:val="0"/>
    <w:rPr>
      <w:rFonts w:ascii="宋体" w:hAnsi="宋体" w:eastAsia="宋体" w:cs="Times New Roman"/>
      <w:bCs/>
      <w:color w:val="000000"/>
      <w:sz w:val="24"/>
      <w:szCs w:val="28"/>
    </w:rPr>
  </w:style>
  <w:style w:type="character" w:customStyle="1" w:styleId="642">
    <w:name w:val="表头标题格式 Char"/>
    <w:qFormat/>
    <w:uiPriority w:val="0"/>
    <w:rPr>
      <w:rFonts w:ascii="黑体" w:hAnsi="宋体" w:eastAsia="黑体" w:cs="宋体"/>
      <w:b/>
      <w:bCs/>
      <w:sz w:val="24"/>
      <w:szCs w:val="20"/>
    </w:rPr>
  </w:style>
  <w:style w:type="character" w:customStyle="1" w:styleId="643">
    <w:name w:val="样式 标题 3H3B Head标题 3 Char条标题1.1.1三级标题标题3h33rd level第二层条...1 Char Char Char"/>
    <w:link w:val="644"/>
    <w:uiPriority w:val="0"/>
    <w:rPr>
      <w:rFonts w:ascii="仿宋_GB2312" w:hAnsi="宋体" w:eastAsia="仿宋_GB2312"/>
      <w:bCs/>
      <w:snapToGrid w:val="0"/>
      <w:color w:val="FF0000"/>
      <w:sz w:val="24"/>
      <w:szCs w:val="24"/>
    </w:rPr>
  </w:style>
  <w:style w:type="paragraph" w:customStyle="1" w:styleId="644">
    <w:name w:val="样式 标题 3H3B Head标题 3 Char条标题1.1.1三级标题标题3h33rd level第二层条...1 Char"/>
    <w:basedOn w:val="4"/>
    <w:link w:val="643"/>
    <w:uiPriority w:val="0"/>
    <w:pPr>
      <w:numPr>
        <w:ilvl w:val="0"/>
        <w:numId w:val="0"/>
      </w:numPr>
      <w:tabs>
        <w:tab w:val="left" w:pos="709"/>
      </w:tabs>
      <w:overflowPunct w:val="0"/>
      <w:spacing w:before="31" w:after="31"/>
      <w:ind w:firstLine="480" w:firstLineChars="200"/>
      <w:jc w:val="both"/>
      <w:textAlignment w:val="baseline"/>
    </w:pPr>
    <w:rPr>
      <w:rFonts w:ascii="仿宋_GB2312" w:hAnsi="宋体" w:eastAsia="仿宋_GB2312" w:cstheme="minorBidi"/>
      <w:bCs/>
      <w:snapToGrid w:val="0"/>
      <w:color w:val="FF0000"/>
      <w:sz w:val="24"/>
      <w:szCs w:val="24"/>
    </w:rPr>
  </w:style>
  <w:style w:type="character" w:customStyle="1" w:styleId="645">
    <w:name w:val="样式1.1.1三级标题 Char"/>
    <w:link w:val="646"/>
    <w:qFormat/>
    <w:uiPriority w:val="0"/>
    <w:rPr>
      <w:b/>
      <w:sz w:val="24"/>
    </w:rPr>
  </w:style>
  <w:style w:type="paragraph" w:customStyle="1" w:styleId="646">
    <w:name w:val="样式1.1.1三级标题"/>
    <w:basedOn w:val="1"/>
    <w:next w:val="1"/>
    <w:link w:val="645"/>
    <w:qFormat/>
    <w:uiPriority w:val="0"/>
    <w:pPr>
      <w:widowControl/>
      <w:autoSpaceDE/>
      <w:autoSpaceDN/>
      <w:ind w:left="510"/>
      <w:outlineLvl w:val="2"/>
    </w:pPr>
    <w:rPr>
      <w:rFonts w:asciiTheme="minorHAnsi" w:hAnsiTheme="minorHAnsi" w:eastAsiaTheme="minorEastAsia" w:cstheme="minorBidi"/>
      <w:b/>
      <w:szCs w:val="20"/>
    </w:rPr>
  </w:style>
  <w:style w:type="character" w:customStyle="1" w:styleId="647">
    <w:name w:val="！正文 Char"/>
    <w:link w:val="648"/>
    <w:locked/>
    <w:uiPriority w:val="0"/>
    <w:rPr>
      <w:rFonts w:eastAsia="Times New Roman"/>
      <w:kern w:val="2"/>
      <w:sz w:val="24"/>
    </w:rPr>
  </w:style>
  <w:style w:type="paragraph" w:customStyle="1" w:styleId="648">
    <w:name w:val="！正文"/>
    <w:basedOn w:val="1"/>
    <w:link w:val="647"/>
    <w:qFormat/>
    <w:uiPriority w:val="0"/>
    <w:pPr>
      <w:autoSpaceDE/>
      <w:autoSpaceDN/>
      <w:spacing w:line="500" w:lineRule="exact"/>
      <w:jc w:val="both"/>
    </w:pPr>
    <w:rPr>
      <w:rFonts w:eastAsia="Times New Roman" w:asciiTheme="minorHAnsi" w:hAnsiTheme="minorHAnsi" w:cstheme="minorBidi"/>
      <w:kern w:val="2"/>
      <w:szCs w:val="20"/>
    </w:rPr>
  </w:style>
  <w:style w:type="character" w:customStyle="1" w:styleId="649">
    <w:name w:val="正文文本 + 13.5 pt"/>
    <w:qFormat/>
    <w:uiPriority w:val="0"/>
    <w:rPr>
      <w:rFonts w:ascii="黑体" w:hAnsi="黑体" w:eastAsia="黑体" w:cs="黑体"/>
      <w:color w:val="000000"/>
      <w:spacing w:val="10"/>
      <w:w w:val="100"/>
      <w:position w:val="0"/>
      <w:sz w:val="27"/>
      <w:szCs w:val="27"/>
      <w:u w:val="none"/>
      <w:lang w:val="zh-CN"/>
    </w:rPr>
  </w:style>
  <w:style w:type="character" w:customStyle="1" w:styleId="650">
    <w:name w:val="样式 兴化美联正文样式 + 自动设置 Char"/>
    <w:link w:val="651"/>
    <w:qFormat/>
    <w:uiPriority w:val="0"/>
    <w:rPr>
      <w:rFonts w:ascii="宋体" w:hAnsi="宋体" w:cs="宋体"/>
      <w:sz w:val="24"/>
      <w:szCs w:val="24"/>
    </w:rPr>
  </w:style>
  <w:style w:type="paragraph" w:customStyle="1" w:styleId="651">
    <w:name w:val="样式 兴化美联正文样式 + 自动设置"/>
    <w:basedOn w:val="218"/>
    <w:link w:val="650"/>
    <w:qFormat/>
    <w:uiPriority w:val="0"/>
    <w:rPr>
      <w:color w:val="auto"/>
    </w:rPr>
  </w:style>
  <w:style w:type="character" w:customStyle="1" w:styleId="652">
    <w:name w:val="样式 首行缩进:  2 字符 Char Char"/>
    <w:link w:val="653"/>
    <w:uiPriority w:val="0"/>
    <w:rPr>
      <w:rFonts w:eastAsia="仿宋_GB2312" w:cs="宋体"/>
      <w:kern w:val="2"/>
      <w:sz w:val="24"/>
    </w:rPr>
  </w:style>
  <w:style w:type="paragraph" w:customStyle="1" w:styleId="653">
    <w:name w:val="样式 首行缩进:  2 字符"/>
    <w:basedOn w:val="1"/>
    <w:link w:val="652"/>
    <w:uiPriority w:val="0"/>
    <w:pPr>
      <w:autoSpaceDE/>
      <w:autoSpaceDN/>
      <w:spacing w:line="520" w:lineRule="exact"/>
      <w:jc w:val="both"/>
    </w:pPr>
    <w:rPr>
      <w:rFonts w:eastAsia="仿宋_GB2312" w:cs="宋体" w:asciiTheme="minorHAnsi" w:hAnsiTheme="minorHAnsi"/>
      <w:kern w:val="2"/>
      <w:szCs w:val="20"/>
    </w:rPr>
  </w:style>
  <w:style w:type="character" w:customStyle="1" w:styleId="654">
    <w:name w:val="Char Char32"/>
    <w:link w:val="655"/>
    <w:qFormat/>
    <w:uiPriority w:val="0"/>
    <w:rPr>
      <w:szCs w:val="24"/>
    </w:rPr>
  </w:style>
  <w:style w:type="paragraph" w:customStyle="1" w:styleId="655">
    <w:name w:val="Char2"/>
    <w:basedOn w:val="1"/>
    <w:link w:val="654"/>
    <w:uiPriority w:val="0"/>
    <w:pPr>
      <w:autoSpaceDE/>
      <w:autoSpaceDN/>
      <w:spacing w:line="240" w:lineRule="auto"/>
      <w:ind w:firstLine="0" w:firstLineChars="0"/>
      <w:jc w:val="both"/>
    </w:pPr>
    <w:rPr>
      <w:rFonts w:asciiTheme="minorHAnsi" w:hAnsiTheme="minorHAnsi" w:eastAsiaTheme="minorEastAsia" w:cstheme="minorBidi"/>
      <w:sz w:val="20"/>
    </w:rPr>
  </w:style>
  <w:style w:type="character" w:customStyle="1" w:styleId="656">
    <w:name w:val="highlight"/>
    <w:basedOn w:val="83"/>
    <w:uiPriority w:val="0"/>
  </w:style>
  <w:style w:type="character" w:customStyle="1" w:styleId="657">
    <w:name w:val="样式4 Char Char"/>
    <w:uiPriority w:val="0"/>
    <w:rPr>
      <w:rFonts w:eastAsia="仿宋_GB2312" w:cs="Times New Roman"/>
      <w:kern w:val="2"/>
      <w:sz w:val="21"/>
      <w:lang w:val="en-US" w:eastAsia="zh-CN" w:bidi="ar-SA"/>
    </w:rPr>
  </w:style>
  <w:style w:type="paragraph" w:customStyle="1" w:styleId="658">
    <w:name w:val="样式 标题 2W2 +2"/>
    <w:basedOn w:val="3"/>
    <w:uiPriority w:val="0"/>
    <w:pPr>
      <w:keepNext/>
      <w:keepLines/>
      <w:widowControl/>
      <w:numPr>
        <w:ilvl w:val="0"/>
        <w:numId w:val="0"/>
      </w:numPr>
      <w:autoSpaceDE/>
      <w:autoSpaceDN/>
      <w:spacing w:before="156" w:beforeLines="50" w:after="156" w:afterLines="50" w:line="240" w:lineRule="auto"/>
      <w:ind w:left="-288"/>
    </w:pPr>
    <w:rPr>
      <w:rFonts w:hAnsi="宋体" w:cs="宋体"/>
      <w:b/>
      <w:kern w:val="2"/>
      <w:szCs w:val="20"/>
      <w:lang w:val="zh-CN"/>
    </w:rPr>
  </w:style>
  <w:style w:type="paragraph" w:customStyle="1" w:styleId="659">
    <w:name w:val="Style43"/>
    <w:basedOn w:val="1"/>
    <w:uiPriority w:val="0"/>
    <w:pPr>
      <w:autoSpaceDE/>
      <w:autoSpaceDN/>
      <w:spacing w:line="240" w:lineRule="auto"/>
      <w:ind w:firstLine="0" w:firstLineChars="0"/>
    </w:pPr>
    <w:rPr>
      <w:rFonts w:ascii="宋体" w:hAnsi="Calibri"/>
      <w:szCs w:val="20"/>
    </w:rPr>
  </w:style>
  <w:style w:type="paragraph" w:customStyle="1" w:styleId="660">
    <w:name w:val="样式 纯文本表格内容纯文本 Char普通文字加粗正文普通文字 Char Char普通文字 Char Char Cha...4"/>
    <w:basedOn w:val="38"/>
    <w:qFormat/>
    <w:uiPriority w:val="0"/>
    <w:pPr>
      <w:spacing w:line="500" w:lineRule="exact"/>
      <w:textAlignment w:val="auto"/>
    </w:pPr>
    <w:rPr>
      <w:rFonts w:hAnsi="宋体" w:eastAsia="楷体_GB2312" w:cs="宋体"/>
      <w:kern w:val="2"/>
      <w:sz w:val="24"/>
      <w:szCs w:val="22"/>
      <w:lang w:val="zh-CN"/>
    </w:rPr>
  </w:style>
  <w:style w:type="paragraph" w:customStyle="1" w:styleId="661">
    <w:name w:val="公式"/>
    <w:basedOn w:val="1"/>
    <w:uiPriority w:val="0"/>
    <w:pPr>
      <w:autoSpaceDE/>
      <w:autoSpaceDN/>
      <w:spacing w:line="288" w:lineRule="auto"/>
      <w:ind w:firstLine="0" w:firstLineChars="0"/>
      <w:jc w:val="center"/>
      <w:textAlignment w:val="baseline"/>
    </w:pPr>
    <w:rPr>
      <w:rFonts w:ascii="Calibri" w:hAnsi="Calibri"/>
    </w:rPr>
  </w:style>
  <w:style w:type="paragraph" w:customStyle="1" w:styleId="662">
    <w:name w:val="样式 第一章章节 + 段后: 0.5 行"/>
    <w:basedOn w:val="663"/>
    <w:qFormat/>
    <w:uiPriority w:val="0"/>
    <w:rPr>
      <w:rFonts w:cs="宋体"/>
      <w:bCs w:val="0"/>
      <w:szCs w:val="20"/>
    </w:rPr>
  </w:style>
  <w:style w:type="paragraph" w:customStyle="1" w:styleId="663">
    <w:name w:val="第一章章节"/>
    <w:basedOn w:val="2"/>
    <w:uiPriority w:val="0"/>
    <w:pPr>
      <w:keepNext/>
      <w:keepLines/>
      <w:pageBreakBefore/>
      <w:numPr>
        <w:numId w:val="0"/>
      </w:numPr>
      <w:autoSpaceDE/>
      <w:autoSpaceDN/>
      <w:spacing w:before="120" w:after="156" w:afterLines="50"/>
      <w:ind w:left="2159" w:hanging="1619"/>
    </w:pPr>
    <w:rPr>
      <w:rFonts w:ascii="Calibri" w:hAnsi="Calibri" w:cs="Times New Roman"/>
      <w:b/>
      <w:bCs/>
      <w:color w:val="000000"/>
      <w:kern w:val="44"/>
      <w:sz w:val="44"/>
      <w:szCs w:val="44"/>
      <w:lang w:val="zh-CN"/>
    </w:rPr>
  </w:style>
  <w:style w:type="paragraph" w:customStyle="1" w:styleId="664">
    <w:name w:val="（11）标题"/>
    <w:basedOn w:val="1"/>
    <w:uiPriority w:val="0"/>
    <w:pPr>
      <w:widowControl/>
      <w:autoSpaceDE/>
      <w:autoSpaceDN/>
      <w:spacing w:line="240" w:lineRule="auto"/>
      <w:ind w:firstLine="538" w:firstLineChars="192"/>
    </w:pPr>
    <w:rPr>
      <w:rFonts w:ascii="宋体" w:hAnsi="宋体" w:cs="宋体"/>
      <w:sz w:val="28"/>
      <w:szCs w:val="20"/>
    </w:rPr>
  </w:style>
  <w:style w:type="paragraph" w:customStyle="1" w:styleId="665">
    <w:name w:val="依据文字"/>
    <w:basedOn w:val="331"/>
    <w:uiPriority w:val="0"/>
    <w:pPr>
      <w:tabs>
        <w:tab w:val="left" w:pos="420"/>
        <w:tab w:val="left" w:pos="870"/>
        <w:tab w:val="left" w:pos="3150"/>
      </w:tabs>
      <w:autoSpaceDE w:val="0"/>
      <w:autoSpaceDN w:val="0"/>
      <w:adjustRightInd w:val="0"/>
      <w:spacing w:before="60" w:after="0" w:line="336" w:lineRule="auto"/>
      <w:ind w:left="0" w:leftChars="0" w:firstLine="527" w:firstLineChars="0"/>
      <w:textAlignment w:val="baseline"/>
    </w:pPr>
    <w:rPr>
      <w:rFonts w:ascii="宋体"/>
      <w:sz w:val="24"/>
      <w:szCs w:val="20"/>
    </w:rPr>
  </w:style>
  <w:style w:type="paragraph" w:customStyle="1" w:styleId="666">
    <w:name w:val="表内5中4"/>
    <w:basedOn w:val="1"/>
    <w:qFormat/>
    <w:uiPriority w:val="0"/>
    <w:pPr>
      <w:autoSpaceDE/>
      <w:autoSpaceDN/>
      <w:spacing w:line="240" w:lineRule="auto"/>
      <w:ind w:firstLine="0" w:firstLineChars="0"/>
      <w:jc w:val="center"/>
    </w:pPr>
    <w:rPr>
      <w:rFonts w:ascii="宋体" w:hAnsi="Calibri"/>
      <w:bCs/>
      <w:kern w:val="2"/>
      <w:sz w:val="21"/>
      <w:szCs w:val="20"/>
    </w:rPr>
  </w:style>
  <w:style w:type="paragraph" w:customStyle="1" w:styleId="667">
    <w:name w:val="Char Char Char Char Char Char Char Char Char Char Char Char2"/>
    <w:basedOn w:val="1"/>
    <w:next w:val="1"/>
    <w:uiPriority w:val="0"/>
    <w:pPr>
      <w:autoSpaceDE/>
      <w:autoSpaceDN/>
      <w:jc w:val="both"/>
    </w:pPr>
    <w:rPr>
      <w:rFonts w:ascii="宋体" w:hAnsi="宋体" w:cs="宋体"/>
      <w:kern w:val="2"/>
    </w:rPr>
  </w:style>
  <w:style w:type="paragraph" w:customStyle="1" w:styleId="668">
    <w:name w:val="样式 目录 1 + 首行缩进:  2 字符"/>
    <w:basedOn w:val="669"/>
    <w:uiPriority w:val="0"/>
    <w:pPr>
      <w:widowControl/>
      <w:tabs>
        <w:tab w:val="right" w:leader="dot" w:pos="8303"/>
      </w:tabs>
      <w:spacing w:before="0" w:after="0" w:line="500" w:lineRule="exact"/>
      <w:jc w:val="both"/>
    </w:pPr>
    <w:rPr>
      <w:rFonts w:ascii="黑体" w:hAnsi="黑体" w:cs="宋体"/>
      <w:caps w:val="0"/>
      <w:kern w:val="0"/>
      <w:sz w:val="28"/>
    </w:rPr>
  </w:style>
  <w:style w:type="paragraph" w:customStyle="1" w:styleId="669">
    <w:name w:val="目录 11"/>
    <w:basedOn w:val="1"/>
    <w:next w:val="1"/>
    <w:qFormat/>
    <w:uiPriority w:val="39"/>
    <w:pPr>
      <w:autoSpaceDE/>
      <w:autoSpaceDN/>
      <w:spacing w:before="120" w:after="120" w:line="240" w:lineRule="auto"/>
      <w:ind w:firstLine="0" w:firstLineChars="0"/>
    </w:pPr>
    <w:rPr>
      <w:rFonts w:ascii="Calibri" w:hAnsi="Calibri"/>
      <w:b/>
      <w:bCs/>
      <w:caps/>
      <w:kern w:val="2"/>
      <w:sz w:val="20"/>
      <w:szCs w:val="20"/>
    </w:rPr>
  </w:style>
  <w:style w:type="paragraph" w:customStyle="1" w:styleId="670">
    <w:name w:val="1-正文"/>
    <w:basedOn w:val="1"/>
    <w:uiPriority w:val="0"/>
    <w:pPr>
      <w:widowControl/>
      <w:autoSpaceDE/>
      <w:autoSpaceDN/>
    </w:pPr>
    <w:rPr>
      <w:rFonts w:ascii="宋体" w:hAnsi="宋体" w:cs="宋体"/>
    </w:rPr>
  </w:style>
  <w:style w:type="paragraph" w:customStyle="1" w:styleId="671">
    <w:name w:val="TOC 标题2"/>
    <w:basedOn w:val="2"/>
    <w:next w:val="1"/>
    <w:unhideWhenUsed/>
    <w:qFormat/>
    <w:uiPriority w:val="39"/>
    <w:pPr>
      <w:keepNext/>
      <w:keepLines/>
      <w:widowControl/>
      <w:numPr>
        <w:numId w:val="0"/>
      </w:numPr>
      <w:autoSpaceDE/>
      <w:autoSpaceDN/>
      <w:spacing w:before="480" w:line="276" w:lineRule="auto"/>
      <w:jc w:val="left"/>
      <w:outlineLvl w:val="9"/>
    </w:pPr>
    <w:rPr>
      <w:rFonts w:ascii="Cambria" w:hAnsi="Cambria" w:eastAsia="宋体" w:cs="Times New Roman"/>
      <w:b/>
      <w:bCs/>
      <w:color w:val="365F91"/>
      <w:sz w:val="28"/>
      <w:szCs w:val="28"/>
      <w:lang w:val="zh-CN"/>
    </w:rPr>
  </w:style>
  <w:style w:type="paragraph" w:customStyle="1" w:styleId="672">
    <w:name w:val="环评 正文"/>
    <w:basedOn w:val="64"/>
    <w:qFormat/>
    <w:uiPriority w:val="0"/>
    <w:pPr>
      <w:spacing w:before="0" w:line="360" w:lineRule="auto"/>
      <w:ind w:firstLine="880" w:firstLineChars="200"/>
    </w:pPr>
    <w:rPr>
      <w:rFonts w:ascii="Calibri"/>
      <w:bCs/>
      <w:color w:val="000000"/>
      <w:spacing w:val="0"/>
      <w:kern w:val="0"/>
      <w:sz w:val="24"/>
      <w:szCs w:val="24"/>
    </w:rPr>
  </w:style>
  <w:style w:type="paragraph" w:customStyle="1" w:styleId="673">
    <w:name w:val="目录 41"/>
    <w:basedOn w:val="1"/>
    <w:next w:val="1"/>
    <w:qFormat/>
    <w:uiPriority w:val="39"/>
    <w:pPr>
      <w:autoSpaceDE/>
      <w:autoSpaceDN/>
      <w:spacing w:line="240" w:lineRule="auto"/>
      <w:ind w:left="630" w:firstLine="0" w:firstLineChars="0"/>
    </w:pPr>
    <w:rPr>
      <w:rFonts w:ascii="Calibri" w:hAnsi="Calibri"/>
      <w:kern w:val="2"/>
      <w:sz w:val="18"/>
      <w:szCs w:val="18"/>
    </w:rPr>
  </w:style>
  <w:style w:type="paragraph" w:customStyle="1" w:styleId="674">
    <w:name w:val="正文文本2"/>
    <w:basedOn w:val="1"/>
    <w:qFormat/>
    <w:uiPriority w:val="0"/>
    <w:pPr>
      <w:ind w:firstLine="480"/>
      <w:jc w:val="both"/>
    </w:pPr>
    <w:rPr>
      <w:rFonts w:ascii="宋体" w:hAnsi="Calibri"/>
      <w:kern w:val="2"/>
    </w:rPr>
  </w:style>
  <w:style w:type="paragraph" w:customStyle="1" w:styleId="675">
    <w:name w:val="Char Char Char Char Char Char Char Char Char Char Char Char Char Char Char Char Char Char Char Char Char Char"/>
    <w:basedOn w:val="1"/>
    <w:uiPriority w:val="0"/>
    <w:pPr>
      <w:widowControl/>
      <w:autoSpaceDE/>
      <w:autoSpaceDN/>
      <w:spacing w:after="160" w:line="240" w:lineRule="exact"/>
      <w:ind w:firstLine="0" w:firstLineChars="0"/>
    </w:pPr>
    <w:rPr>
      <w:rFonts w:ascii="Calibri" w:hAnsi="Calibri"/>
      <w:kern w:val="2"/>
      <w:sz w:val="21"/>
    </w:rPr>
  </w:style>
  <w:style w:type="paragraph" w:customStyle="1" w:styleId="676">
    <w:name w:val="12 Char Char Char Char Char Char Char"/>
    <w:basedOn w:val="1"/>
    <w:qFormat/>
    <w:uiPriority w:val="0"/>
    <w:pPr>
      <w:autoSpaceDE/>
      <w:autoSpaceDN/>
    </w:pPr>
    <w:rPr>
      <w:rFonts w:ascii="Calibri" w:hAnsi="Calibri"/>
      <w:kern w:val="2"/>
      <w:sz w:val="21"/>
      <w:szCs w:val="20"/>
    </w:rPr>
  </w:style>
  <w:style w:type="paragraph" w:customStyle="1" w:styleId="677">
    <w:name w:val="图例"/>
    <w:basedOn w:val="1"/>
    <w:uiPriority w:val="0"/>
    <w:pPr>
      <w:widowControl/>
      <w:autoSpaceDE/>
      <w:autoSpaceDN/>
      <w:spacing w:before="240" w:after="120" w:line="240" w:lineRule="auto"/>
      <w:ind w:firstLine="0" w:firstLineChars="0"/>
      <w:jc w:val="center"/>
    </w:pPr>
    <w:rPr>
      <w:rFonts w:ascii="宋体" w:hAnsi="宋体" w:eastAsia="楷体_GB2312" w:cs="宋体"/>
      <w:sz w:val="28"/>
    </w:rPr>
  </w:style>
  <w:style w:type="paragraph" w:customStyle="1" w:styleId="678">
    <w:name w:val="目录 71"/>
    <w:basedOn w:val="1"/>
    <w:next w:val="1"/>
    <w:qFormat/>
    <w:uiPriority w:val="39"/>
    <w:pPr>
      <w:autoSpaceDE/>
      <w:autoSpaceDN/>
      <w:spacing w:line="240" w:lineRule="auto"/>
      <w:ind w:left="1260" w:firstLine="0" w:firstLineChars="0"/>
    </w:pPr>
    <w:rPr>
      <w:rFonts w:ascii="Calibri" w:hAnsi="Calibri"/>
      <w:kern w:val="2"/>
      <w:sz w:val="18"/>
      <w:szCs w:val="18"/>
    </w:rPr>
  </w:style>
  <w:style w:type="paragraph" w:customStyle="1" w:styleId="679">
    <w:name w:val="表格内容居中"/>
    <w:qFormat/>
    <w:uiPriority w:val="0"/>
    <w:pPr>
      <w:adjustRightInd w:val="0"/>
      <w:snapToGrid w:val="0"/>
      <w:jc w:val="center"/>
    </w:pPr>
    <w:rPr>
      <w:rFonts w:ascii="Calibri" w:hAnsi="Calibri" w:eastAsia="宋体" w:cs="Times New Roman"/>
      <w:snapToGrid w:val="0"/>
      <w:sz w:val="21"/>
      <w:szCs w:val="21"/>
      <w:lang w:val="en-US" w:eastAsia="zh-CN" w:bidi="ar-SA"/>
    </w:rPr>
  </w:style>
  <w:style w:type="paragraph" w:customStyle="1" w:styleId="680">
    <w:name w:val="表格名和图名"/>
    <w:basedOn w:val="1"/>
    <w:uiPriority w:val="0"/>
    <w:pPr>
      <w:autoSpaceDE/>
      <w:autoSpaceDN/>
      <w:ind w:firstLine="0" w:firstLineChars="0"/>
      <w:jc w:val="center"/>
    </w:pPr>
    <w:rPr>
      <w:rFonts w:ascii="Calibri" w:hAnsi="Calibri"/>
      <w:color w:val="000000"/>
      <w:kern w:val="2"/>
    </w:rPr>
  </w:style>
  <w:style w:type="paragraph" w:customStyle="1" w:styleId="681">
    <w:name w:val="目录 31"/>
    <w:basedOn w:val="1"/>
    <w:next w:val="1"/>
    <w:qFormat/>
    <w:uiPriority w:val="39"/>
    <w:pPr>
      <w:autoSpaceDE/>
      <w:autoSpaceDN/>
      <w:spacing w:line="240" w:lineRule="auto"/>
      <w:ind w:left="420" w:firstLine="0" w:firstLineChars="0"/>
    </w:pPr>
    <w:rPr>
      <w:rFonts w:ascii="Calibri" w:hAnsi="Calibri"/>
      <w:i/>
      <w:iCs/>
      <w:kern w:val="2"/>
      <w:sz w:val="20"/>
      <w:szCs w:val="20"/>
    </w:rPr>
  </w:style>
  <w:style w:type="paragraph" w:customStyle="1" w:styleId="682">
    <w:name w:val="正文！！！"/>
    <w:basedOn w:val="1"/>
    <w:qFormat/>
    <w:uiPriority w:val="0"/>
    <w:pPr>
      <w:autoSpaceDE/>
      <w:autoSpaceDN/>
      <w:spacing w:line="500" w:lineRule="exact"/>
      <w:jc w:val="both"/>
    </w:pPr>
    <w:rPr>
      <w:rFonts w:ascii="楷体_GB2312" w:hAnsi="宋体" w:eastAsia="楷体_GB2312"/>
      <w:kern w:val="2"/>
    </w:rPr>
  </w:style>
  <w:style w:type="paragraph" w:customStyle="1" w:styleId="683">
    <w:name w:val="2（1.1）"/>
    <w:basedOn w:val="1"/>
    <w:qFormat/>
    <w:uiPriority w:val="0"/>
    <w:pPr>
      <w:widowControl/>
      <w:tabs>
        <w:tab w:val="left" w:pos="567"/>
      </w:tabs>
      <w:autoSpaceDE/>
      <w:autoSpaceDN/>
      <w:spacing w:beforeLines="100" w:afterLines="100"/>
      <w:ind w:left="567" w:firstLine="0" w:firstLineChars="0"/>
      <w:outlineLvl w:val="1"/>
    </w:pPr>
    <w:rPr>
      <w:rFonts w:ascii="Calibri" w:hAnsi="Calibri" w:eastAsia="黑体"/>
      <w:b/>
    </w:rPr>
  </w:style>
  <w:style w:type="paragraph" w:customStyle="1" w:styleId="684">
    <w:name w:val="Char Char Char1 Char Char Char Char Char Char Char Char Char Char Char Char Char Char Char Char Char Char Char1"/>
    <w:basedOn w:val="1"/>
    <w:uiPriority w:val="0"/>
    <w:pPr>
      <w:autoSpaceDE/>
      <w:autoSpaceDN/>
      <w:spacing w:line="240" w:lineRule="auto"/>
      <w:ind w:firstLine="0" w:firstLineChars="0"/>
      <w:jc w:val="both"/>
    </w:pPr>
    <w:rPr>
      <w:rFonts w:ascii="Calibri" w:hAnsi="Calibri"/>
      <w:kern w:val="2"/>
      <w:sz w:val="21"/>
    </w:rPr>
  </w:style>
  <w:style w:type="paragraph" w:customStyle="1" w:styleId="685">
    <w:name w:val="左侧"/>
    <w:uiPriority w:val="0"/>
    <w:pPr>
      <w:spacing w:line="280" w:lineRule="exact"/>
      <w:jc w:val="center"/>
    </w:pPr>
    <w:rPr>
      <w:rFonts w:ascii="Batang" w:hAnsi="Batang" w:eastAsia="宋体" w:cs="Times New Roman"/>
      <w:color w:val="000000"/>
      <w:sz w:val="21"/>
      <w:lang w:val="en-US" w:eastAsia="zh-CN" w:bidi="ar-SA"/>
    </w:rPr>
  </w:style>
  <w:style w:type="paragraph" w:customStyle="1" w:styleId="686">
    <w:name w:val="xl37"/>
    <w:basedOn w:val="1"/>
    <w:uiPriority w:val="0"/>
    <w:pPr>
      <w:widowControl/>
      <w:pBdr>
        <w:top w:val="single" w:color="auto" w:sz="4" w:space="0"/>
        <w:left w:val="single" w:color="auto" w:sz="4" w:space="0"/>
        <w:bottom w:val="single" w:color="auto" w:sz="8"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rPr>
  </w:style>
  <w:style w:type="paragraph" w:customStyle="1" w:styleId="687">
    <w:name w:val="xl22"/>
    <w:basedOn w:val="1"/>
    <w:uiPriority w:val="0"/>
    <w:pPr>
      <w:widowControl/>
      <w:autoSpaceDE/>
      <w:autoSpaceDN/>
      <w:spacing w:before="100" w:beforeAutospacing="1" w:after="100" w:afterAutospacing="1" w:line="240" w:lineRule="auto"/>
      <w:ind w:firstLine="0" w:firstLineChars="0"/>
      <w:jc w:val="center"/>
      <w:textAlignment w:val="center"/>
    </w:pPr>
    <w:rPr>
      <w:rFonts w:ascii="Arial Unicode MS" w:hAnsi="Arial Unicode MS" w:eastAsia="Arial Unicode MS" w:cs="Arial Unicode MS"/>
      <w:sz w:val="16"/>
      <w:szCs w:val="16"/>
    </w:rPr>
  </w:style>
  <w:style w:type="paragraph" w:customStyle="1" w:styleId="688">
    <w:name w:val="1.1.1无标"/>
    <w:basedOn w:val="1"/>
    <w:qFormat/>
    <w:uiPriority w:val="0"/>
    <w:pPr>
      <w:autoSpaceDE/>
      <w:autoSpaceDN/>
      <w:ind w:left="300" w:leftChars="300" w:right="300" w:rightChars="300"/>
      <w:jc w:val="both"/>
    </w:pPr>
    <w:rPr>
      <w:rFonts w:ascii="宋体" w:hAnsi="宋体" w:cs="Century"/>
      <w:kern w:val="2"/>
    </w:rPr>
  </w:style>
  <w:style w:type="paragraph" w:customStyle="1" w:styleId="689">
    <w:name w:val="表内容"/>
    <w:uiPriority w:val="0"/>
    <w:pPr>
      <w:jc w:val="center"/>
    </w:pPr>
    <w:rPr>
      <w:rFonts w:ascii="Calibri" w:hAnsi="Calibri" w:eastAsia="宋体" w:cs="Times New Roman"/>
      <w:kern w:val="2"/>
      <w:sz w:val="21"/>
      <w:szCs w:val="22"/>
      <w:lang w:val="en-US" w:eastAsia="zh-CN" w:bidi="ar-SA"/>
    </w:rPr>
  </w:style>
  <w:style w:type="paragraph" w:customStyle="1" w:styleId="690">
    <w:name w:val="目录 61"/>
    <w:basedOn w:val="1"/>
    <w:next w:val="1"/>
    <w:qFormat/>
    <w:uiPriority w:val="39"/>
    <w:pPr>
      <w:autoSpaceDE/>
      <w:autoSpaceDN/>
      <w:spacing w:line="240" w:lineRule="auto"/>
      <w:ind w:left="1050" w:firstLine="0" w:firstLineChars="0"/>
    </w:pPr>
    <w:rPr>
      <w:rFonts w:ascii="Calibri" w:hAnsi="Calibri"/>
      <w:kern w:val="2"/>
      <w:sz w:val="18"/>
      <w:szCs w:val="18"/>
    </w:rPr>
  </w:style>
  <w:style w:type="paragraph" w:customStyle="1" w:styleId="691">
    <w:name w:val="Body text|21"/>
    <w:basedOn w:val="1"/>
    <w:qFormat/>
    <w:uiPriority w:val="0"/>
    <w:pPr>
      <w:shd w:val="clear" w:color="auto" w:fill="FFFFFF"/>
      <w:autoSpaceDE/>
      <w:autoSpaceDN/>
      <w:spacing w:before="1640" w:line="312" w:lineRule="exact"/>
      <w:ind w:firstLine="0" w:firstLineChars="0"/>
    </w:pPr>
    <w:rPr>
      <w:rFonts w:ascii="PMingLiU" w:hAnsi="PMingLiU" w:eastAsia="PMingLiU" w:cs="宋体"/>
      <w:color w:val="000000"/>
      <w:sz w:val="20"/>
      <w:szCs w:val="20"/>
    </w:rPr>
  </w:style>
  <w:style w:type="paragraph" w:customStyle="1" w:styleId="692">
    <w:name w:val="Char Char Char1 Char Char Char1"/>
    <w:basedOn w:val="1"/>
    <w:uiPriority w:val="0"/>
    <w:pPr>
      <w:widowControl/>
      <w:autoSpaceDE/>
      <w:autoSpaceDN/>
      <w:spacing w:line="240" w:lineRule="auto"/>
      <w:ind w:firstLine="0" w:firstLineChars="0"/>
    </w:pPr>
    <w:rPr>
      <w:rFonts w:ascii="宋体" w:hAnsi="宋体" w:cs="宋体"/>
      <w:szCs w:val="21"/>
    </w:rPr>
  </w:style>
  <w:style w:type="paragraph" w:customStyle="1" w:styleId="693">
    <w:name w:val="表格文字左"/>
    <w:basedOn w:val="1"/>
    <w:qFormat/>
    <w:uiPriority w:val="0"/>
    <w:pPr>
      <w:keepNext/>
      <w:widowControl/>
      <w:numPr>
        <w:ilvl w:val="0"/>
        <w:numId w:val="3"/>
      </w:numPr>
      <w:autoSpaceDE/>
      <w:autoSpaceDN/>
      <w:ind w:left="20" w:leftChars="20" w:firstLineChars="0"/>
    </w:pPr>
    <w:rPr>
      <w:rFonts w:ascii="Calibri" w:hAnsi="Calibri"/>
      <w:kern w:val="2"/>
      <w:sz w:val="21"/>
      <w:szCs w:val="18"/>
    </w:rPr>
  </w:style>
  <w:style w:type="paragraph" w:customStyle="1" w:styleId="694">
    <w:name w:val="目录 51"/>
    <w:basedOn w:val="1"/>
    <w:next w:val="1"/>
    <w:qFormat/>
    <w:uiPriority w:val="39"/>
    <w:pPr>
      <w:autoSpaceDE/>
      <w:autoSpaceDN/>
      <w:spacing w:line="240" w:lineRule="auto"/>
      <w:ind w:left="840" w:firstLine="0" w:firstLineChars="0"/>
    </w:pPr>
    <w:rPr>
      <w:rFonts w:ascii="Calibri" w:hAnsi="Calibri"/>
      <w:kern w:val="2"/>
      <w:sz w:val="18"/>
      <w:szCs w:val="18"/>
    </w:rPr>
  </w:style>
  <w:style w:type="paragraph" w:customStyle="1" w:styleId="695">
    <w:name w:val="正文2"/>
    <w:qFormat/>
    <w:uiPriority w:val="0"/>
    <w:pPr>
      <w:widowControl w:val="0"/>
      <w:adjustRightInd w:val="0"/>
      <w:spacing w:line="360" w:lineRule="atLeast"/>
      <w:textAlignment w:val="baseline"/>
    </w:pPr>
    <w:rPr>
      <w:rFonts w:ascii="宋体" w:hAnsi="Calibri" w:eastAsia="宋体" w:cs="Times New Roman"/>
      <w:sz w:val="24"/>
      <w:lang w:val="en-US" w:eastAsia="zh-CN" w:bidi="ar-SA"/>
    </w:rPr>
  </w:style>
  <w:style w:type="paragraph" w:customStyle="1" w:styleId="696">
    <w:name w:val="样式 标题 2 + 段前: 1 行 段后: 0.5 行"/>
    <w:basedOn w:val="3"/>
    <w:uiPriority w:val="0"/>
    <w:pPr>
      <w:keepNext/>
      <w:keepLines/>
      <w:numPr>
        <w:ilvl w:val="0"/>
        <w:numId w:val="0"/>
      </w:numPr>
      <w:tabs>
        <w:tab w:val="left" w:pos="567"/>
      </w:tabs>
      <w:autoSpaceDE/>
      <w:autoSpaceDN/>
      <w:spacing w:before="312" w:beforeLines="100" w:after="156" w:afterLines="50" w:line="500" w:lineRule="exact"/>
      <w:jc w:val="both"/>
    </w:pPr>
    <w:rPr>
      <w:rFonts w:ascii="Arial" w:hAnsi="Arial" w:cs="宋体"/>
      <w:b/>
      <w:kern w:val="2"/>
      <w:sz w:val="28"/>
      <w:szCs w:val="20"/>
      <w:lang w:val="zh-CN"/>
    </w:rPr>
  </w:style>
  <w:style w:type="paragraph" w:customStyle="1" w:styleId="697">
    <w:name w:val="样式 正文首行缩进 + 首行缩进:  2 字符"/>
    <w:basedOn w:val="698"/>
    <w:uiPriority w:val="0"/>
    <w:pPr>
      <w:widowControl/>
      <w:tabs>
        <w:tab w:val="left" w:pos="7020"/>
      </w:tabs>
      <w:adjustRightInd w:val="0"/>
      <w:snapToGrid w:val="0"/>
      <w:spacing w:after="0"/>
      <w:ind w:firstLine="0" w:firstLineChars="0"/>
      <w:jc w:val="center"/>
      <w:textAlignment w:val="center"/>
    </w:pPr>
    <w:rPr>
      <w:rFonts w:ascii="宋体" w:hAnsi="宋体" w:cs="宋体"/>
      <w:snapToGrid w:val="0"/>
      <w:spacing w:val="-6"/>
      <w:kern w:val="0"/>
      <w:sz w:val="24"/>
      <w:szCs w:val="21"/>
    </w:rPr>
  </w:style>
  <w:style w:type="paragraph" w:customStyle="1" w:styleId="698">
    <w:name w:val="正文文本首行缩进1"/>
    <w:basedOn w:val="28"/>
    <w:uiPriority w:val="0"/>
    <w:pPr>
      <w:autoSpaceDE/>
      <w:autoSpaceDN/>
      <w:spacing w:before="0" w:after="120" w:line="240" w:lineRule="auto"/>
      <w:ind w:left="0" w:firstLine="420" w:firstLineChars="100"/>
      <w:jc w:val="both"/>
    </w:pPr>
    <w:rPr>
      <w:rFonts w:ascii="Calibri" w:hAnsi="Calibri" w:cs="Times New Roman"/>
      <w:kern w:val="2"/>
      <w:sz w:val="18"/>
      <w:lang w:val="zh-CN"/>
    </w:rPr>
  </w:style>
  <w:style w:type="paragraph" w:customStyle="1" w:styleId="699">
    <w:name w:val="默认段落字体 Para"/>
    <w:basedOn w:val="1"/>
    <w:uiPriority w:val="0"/>
    <w:pPr>
      <w:autoSpaceDE/>
      <w:autoSpaceDN/>
      <w:spacing w:line="240" w:lineRule="auto"/>
      <w:ind w:firstLine="0" w:firstLineChars="0"/>
      <w:jc w:val="both"/>
    </w:pPr>
    <w:rPr>
      <w:rFonts w:ascii="Calibri" w:hAnsi="Calibri"/>
      <w:kern w:val="2"/>
      <w:sz w:val="21"/>
    </w:rPr>
  </w:style>
  <w:style w:type="paragraph" w:customStyle="1" w:styleId="700">
    <w:name w:val="目录 91"/>
    <w:basedOn w:val="1"/>
    <w:next w:val="1"/>
    <w:qFormat/>
    <w:uiPriority w:val="39"/>
    <w:pPr>
      <w:autoSpaceDE/>
      <w:autoSpaceDN/>
      <w:spacing w:line="240" w:lineRule="auto"/>
      <w:ind w:left="1680" w:firstLine="0" w:firstLineChars="0"/>
    </w:pPr>
    <w:rPr>
      <w:rFonts w:ascii="Calibri" w:hAnsi="Calibri"/>
      <w:kern w:val="2"/>
      <w:sz w:val="18"/>
      <w:szCs w:val="18"/>
    </w:rPr>
  </w:style>
  <w:style w:type="paragraph" w:customStyle="1" w:styleId="701">
    <w:name w:val="样式 四号2"/>
    <w:basedOn w:val="1"/>
    <w:uiPriority w:val="0"/>
    <w:pPr>
      <w:autoSpaceDE/>
      <w:autoSpaceDN/>
      <w:spacing w:line="440" w:lineRule="exact"/>
      <w:jc w:val="both"/>
    </w:pPr>
    <w:rPr>
      <w:rFonts w:ascii="Calibri" w:hAnsi="Calibri"/>
      <w:sz w:val="28"/>
    </w:rPr>
  </w:style>
  <w:style w:type="paragraph" w:customStyle="1" w:styleId="702">
    <w:name w:val="样式 样式 正文首行缩进 + 首行缩进:  2 字符 + 首行缩进:  2 字符"/>
    <w:basedOn w:val="1"/>
    <w:uiPriority w:val="0"/>
    <w:pPr>
      <w:topLinePunct/>
      <w:autoSpaceDE/>
      <w:autoSpaceDN/>
      <w:ind w:firstLine="480" w:firstLineChars="0"/>
      <w:jc w:val="both"/>
      <w:textAlignment w:val="baseline"/>
    </w:pPr>
    <w:rPr>
      <w:rFonts w:ascii="Calibri" w:hAnsi="宋体" w:eastAsia="Times New Roman"/>
      <w:szCs w:val="20"/>
    </w:rPr>
  </w:style>
  <w:style w:type="paragraph" w:customStyle="1" w:styleId="703">
    <w:name w:val="标题样式1"/>
    <w:basedOn w:val="28"/>
    <w:uiPriority w:val="0"/>
    <w:pPr>
      <w:widowControl/>
      <w:autoSpaceDE/>
      <w:autoSpaceDN/>
      <w:spacing w:before="0" w:line="360" w:lineRule="atLeast"/>
      <w:ind w:left="0" w:firstLine="0" w:firstLineChars="0"/>
      <w:jc w:val="center"/>
      <w:textAlignment w:val="baseline"/>
    </w:pPr>
    <w:rPr>
      <w:rFonts w:hAnsi="宋体"/>
      <w:b/>
      <w:bCs/>
      <w:snapToGrid w:val="0"/>
      <w:szCs w:val="20"/>
      <w:lang w:val="zh-CN"/>
    </w:rPr>
  </w:style>
  <w:style w:type="paragraph" w:customStyle="1" w:styleId="704">
    <w:name w:val="目录 21"/>
    <w:basedOn w:val="1"/>
    <w:next w:val="1"/>
    <w:qFormat/>
    <w:uiPriority w:val="39"/>
    <w:pPr>
      <w:autoSpaceDE/>
      <w:autoSpaceDN/>
      <w:spacing w:line="240" w:lineRule="auto"/>
      <w:ind w:left="210" w:firstLine="0" w:firstLineChars="0"/>
    </w:pPr>
    <w:rPr>
      <w:rFonts w:ascii="Calibri" w:hAnsi="Calibri"/>
      <w:smallCaps/>
      <w:kern w:val="2"/>
      <w:sz w:val="20"/>
      <w:szCs w:val="20"/>
    </w:rPr>
  </w:style>
  <w:style w:type="paragraph" w:customStyle="1" w:styleId="705">
    <w:name w:val="Char Char Char Char Char Char1 Char"/>
    <w:basedOn w:val="1"/>
    <w:uiPriority w:val="0"/>
    <w:pPr>
      <w:autoSpaceDE/>
      <w:autoSpaceDN/>
      <w:jc w:val="both"/>
    </w:pPr>
    <w:rPr>
      <w:rFonts w:ascii="Calibri" w:hAnsi="Calibri"/>
      <w:kern w:val="2"/>
    </w:rPr>
  </w:style>
  <w:style w:type="paragraph" w:customStyle="1" w:styleId="706">
    <w:name w:val="xl2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pPr>
    <w:rPr>
      <w:rFonts w:ascii="Arial Unicode MS" w:hAnsi="Arial Unicode MS" w:eastAsia="Arial Unicode MS" w:cs="Arial Unicode MS"/>
    </w:rPr>
  </w:style>
  <w:style w:type="paragraph" w:customStyle="1" w:styleId="707">
    <w:name w:val="表内59"/>
    <w:basedOn w:val="1"/>
    <w:qFormat/>
    <w:uiPriority w:val="0"/>
    <w:pPr>
      <w:autoSpaceDE/>
      <w:autoSpaceDN/>
      <w:spacing w:line="300" w:lineRule="auto"/>
      <w:ind w:firstLine="0" w:firstLineChars="0"/>
      <w:jc w:val="center"/>
    </w:pPr>
    <w:rPr>
      <w:rFonts w:ascii="宋体" w:hAnsi="Calibri"/>
      <w:snapToGrid w:val="0"/>
      <w:kern w:val="2"/>
      <w:sz w:val="21"/>
      <w:szCs w:val="21"/>
    </w:rPr>
  </w:style>
  <w:style w:type="paragraph" w:customStyle="1" w:styleId="708">
    <w:name w:val="纯文本2"/>
    <w:basedOn w:val="1"/>
    <w:uiPriority w:val="0"/>
    <w:pPr>
      <w:autoSpaceDE/>
      <w:autoSpaceDN/>
      <w:spacing w:line="240" w:lineRule="atLeast"/>
      <w:ind w:firstLine="0" w:firstLineChars="0"/>
      <w:jc w:val="center"/>
    </w:pPr>
    <w:rPr>
      <w:rFonts w:ascii="宋体" w:hAnsi="宋体"/>
      <w:bCs/>
      <w:iCs/>
      <w:kern w:val="2"/>
      <w:sz w:val="18"/>
      <w:szCs w:val="18"/>
    </w:rPr>
  </w:style>
  <w:style w:type="paragraph" w:customStyle="1" w:styleId="709">
    <w:name w:val="font8"/>
    <w:basedOn w:val="1"/>
    <w:uiPriority w:val="0"/>
    <w:pPr>
      <w:widowControl/>
      <w:autoSpaceDE/>
      <w:autoSpaceDN/>
      <w:spacing w:before="100" w:beforeAutospacing="1" w:after="100" w:afterAutospacing="1" w:line="240" w:lineRule="auto"/>
      <w:ind w:firstLine="0" w:firstLineChars="0"/>
    </w:pPr>
    <w:rPr>
      <w:rFonts w:ascii="Calibri" w:hAnsi="Calibri" w:eastAsia="Arial Unicode MS"/>
      <w:sz w:val="16"/>
      <w:szCs w:val="16"/>
    </w:rPr>
  </w:style>
  <w:style w:type="paragraph" w:customStyle="1" w:styleId="710">
    <w:name w:val="font9"/>
    <w:basedOn w:val="1"/>
    <w:uiPriority w:val="0"/>
    <w:pPr>
      <w:widowControl/>
      <w:autoSpaceDE/>
      <w:autoSpaceDN/>
      <w:spacing w:before="100" w:beforeAutospacing="1" w:after="100" w:afterAutospacing="1" w:line="240" w:lineRule="auto"/>
      <w:ind w:firstLine="0" w:firstLineChars="0"/>
    </w:pPr>
    <w:rPr>
      <w:rFonts w:ascii="Calibri" w:hAnsi="Calibri" w:eastAsia="Arial Unicode MS"/>
      <w:sz w:val="22"/>
      <w:szCs w:val="22"/>
    </w:rPr>
  </w:style>
  <w:style w:type="paragraph" w:customStyle="1" w:styleId="711">
    <w:name w:val="xl28"/>
    <w:basedOn w:val="1"/>
    <w:uiPriority w:val="0"/>
    <w:pPr>
      <w:widowControl/>
      <w:autoSpaceDE/>
      <w:autoSpaceDN/>
      <w:spacing w:before="100" w:beforeAutospacing="1" w:after="100" w:afterAutospacing="1" w:line="240" w:lineRule="auto"/>
      <w:ind w:firstLine="0" w:firstLineChars="0"/>
    </w:pPr>
    <w:rPr>
      <w:rFonts w:ascii="Calibri" w:hAnsi="Calibri"/>
      <w:b/>
      <w:sz w:val="32"/>
      <w:szCs w:val="20"/>
    </w:rPr>
  </w:style>
  <w:style w:type="paragraph" w:customStyle="1" w:styleId="712">
    <w:name w:val="列表段落1"/>
    <w:basedOn w:val="1"/>
    <w:uiPriority w:val="0"/>
    <w:pPr>
      <w:autoSpaceDE/>
      <w:autoSpaceDN/>
      <w:spacing w:line="240" w:lineRule="auto"/>
      <w:ind w:firstLine="420"/>
      <w:jc w:val="both"/>
    </w:pPr>
    <w:rPr>
      <w:rFonts w:ascii="Calibri" w:hAnsi="Calibri"/>
      <w:kern w:val="2"/>
      <w:sz w:val="21"/>
      <w:szCs w:val="22"/>
    </w:rPr>
  </w:style>
  <w:style w:type="paragraph" w:customStyle="1" w:styleId="713">
    <w:name w:val="图表名称"/>
    <w:next w:val="197"/>
    <w:qFormat/>
    <w:uiPriority w:val="0"/>
    <w:pPr>
      <w:spacing w:line="360" w:lineRule="auto"/>
      <w:jc w:val="center"/>
    </w:pPr>
    <w:rPr>
      <w:rFonts w:ascii="Calibri" w:hAnsi="Calibri" w:eastAsia="宋体" w:cs="Times New Roman"/>
      <w:b/>
      <w:bCs/>
      <w:kern w:val="2"/>
      <w:sz w:val="21"/>
      <w:szCs w:val="28"/>
      <w:lang w:val="en-US" w:eastAsia="zh-CN" w:bidi="ar-SA"/>
    </w:rPr>
  </w:style>
  <w:style w:type="paragraph" w:customStyle="1" w:styleId="714">
    <w:name w:val="Style82"/>
    <w:basedOn w:val="1"/>
    <w:uiPriority w:val="0"/>
    <w:pPr>
      <w:autoSpaceDE/>
      <w:autoSpaceDN/>
      <w:spacing w:line="240" w:lineRule="auto"/>
      <w:ind w:firstLine="0" w:firstLineChars="0"/>
    </w:pPr>
    <w:rPr>
      <w:rFonts w:ascii="宋体" w:hAnsi="Calibri"/>
      <w:szCs w:val="20"/>
    </w:rPr>
  </w:style>
  <w:style w:type="paragraph" w:customStyle="1" w:styleId="715">
    <w:name w:val="目录 81"/>
    <w:basedOn w:val="1"/>
    <w:next w:val="1"/>
    <w:qFormat/>
    <w:uiPriority w:val="39"/>
    <w:pPr>
      <w:autoSpaceDE/>
      <w:autoSpaceDN/>
      <w:spacing w:line="240" w:lineRule="auto"/>
      <w:ind w:left="1470" w:firstLine="0" w:firstLineChars="0"/>
    </w:pPr>
    <w:rPr>
      <w:rFonts w:ascii="Calibri" w:hAnsi="Calibri"/>
      <w:kern w:val="2"/>
      <w:sz w:val="18"/>
      <w:szCs w:val="18"/>
    </w:rPr>
  </w:style>
  <w:style w:type="character" w:customStyle="1" w:styleId="716">
    <w:name w:val="普通(网站) 字符"/>
    <w:link w:val="69"/>
    <w:qFormat/>
    <w:uiPriority w:val="99"/>
    <w:rPr>
      <w:rFonts w:ascii="宋体" w:hAnsi="宋体" w:eastAsia="宋体" w:cs="宋体"/>
      <w:sz w:val="24"/>
      <w:szCs w:val="24"/>
    </w:rPr>
  </w:style>
  <w:style w:type="paragraph" w:customStyle="1" w:styleId="717">
    <w:name w:val="样式 标题 2 + 四号"/>
    <w:basedOn w:val="3"/>
    <w:uiPriority w:val="0"/>
    <w:pPr>
      <w:keepNext/>
      <w:keepLines/>
      <w:widowControl/>
      <w:numPr>
        <w:ilvl w:val="0"/>
        <w:numId w:val="0"/>
      </w:numPr>
      <w:autoSpaceDE/>
      <w:autoSpaceDN/>
      <w:spacing w:before="260" w:after="260" w:line="416" w:lineRule="auto"/>
    </w:pPr>
    <w:rPr>
      <w:rFonts w:ascii="Arial" w:hAnsi="Arial" w:cs="宋体"/>
      <w:b/>
      <w:bCs/>
      <w:kern w:val="2"/>
      <w:sz w:val="28"/>
      <w:szCs w:val="32"/>
      <w:lang w:val="zh-CN"/>
    </w:rPr>
  </w:style>
  <w:style w:type="paragraph" w:customStyle="1" w:styleId="718">
    <w:name w:val="Char Char Char Char Char1 Char"/>
    <w:basedOn w:val="1"/>
    <w:semiHidden/>
    <w:uiPriority w:val="0"/>
    <w:pPr>
      <w:widowControl/>
      <w:autoSpaceDE/>
      <w:autoSpaceDN/>
      <w:ind w:firstLine="0" w:firstLineChars="0"/>
    </w:pPr>
    <w:rPr>
      <w:rFonts w:ascii="宋体" w:hAnsi="宋体" w:eastAsia="黑体" w:cs="宋体"/>
      <w:spacing w:val="20"/>
      <w:sz w:val="32"/>
      <w:szCs w:val="32"/>
    </w:rPr>
  </w:style>
  <w:style w:type="paragraph" w:customStyle="1" w:styleId="719">
    <w:name w:val="报告"/>
    <w:basedOn w:val="1"/>
    <w:uiPriority w:val="0"/>
    <w:pPr>
      <w:autoSpaceDE/>
      <w:autoSpaceDN/>
      <w:ind w:firstLine="505" w:firstLineChars="0"/>
      <w:jc w:val="both"/>
      <w:textAlignment w:val="center"/>
    </w:pPr>
    <w:rPr>
      <w:rFonts w:ascii="TimesNewRoman" w:hAnsi="TimesNewRoman"/>
      <w:szCs w:val="20"/>
    </w:rPr>
  </w:style>
  <w:style w:type="paragraph" w:customStyle="1" w:styleId="720">
    <w:name w:val="12 Char Char Char Char"/>
    <w:basedOn w:val="1"/>
    <w:uiPriority w:val="0"/>
    <w:pPr>
      <w:autoSpaceDE/>
      <w:autoSpaceDN/>
    </w:pPr>
    <w:rPr>
      <w:rFonts w:ascii="Calibri" w:hAnsi="Calibri"/>
      <w:kern w:val="2"/>
      <w:sz w:val="21"/>
      <w:szCs w:val="20"/>
    </w:rPr>
  </w:style>
  <w:style w:type="paragraph" w:customStyle="1" w:styleId="721">
    <w:name w:val="行左"/>
    <w:basedOn w:val="1"/>
    <w:uiPriority w:val="0"/>
    <w:pPr>
      <w:widowControl/>
      <w:autoSpaceDE/>
      <w:autoSpaceDN/>
      <w:ind w:firstLine="480"/>
    </w:pPr>
    <w:rPr>
      <w:rFonts w:ascii="仿宋_GB2312" w:hAnsi="宋体" w:eastAsia="仿宋_GB2312" w:cs="宋体"/>
      <w:color w:val="000000"/>
      <w:position w:val="-32"/>
    </w:rPr>
  </w:style>
  <w:style w:type="paragraph" w:customStyle="1" w:styleId="722">
    <w:name w:val="普通段落文字"/>
    <w:basedOn w:val="1"/>
    <w:uiPriority w:val="0"/>
    <w:pPr>
      <w:widowControl/>
      <w:autoSpaceDE/>
      <w:autoSpaceDN/>
      <w:spacing w:line="300" w:lineRule="auto"/>
      <w:ind w:firstLine="567"/>
    </w:pPr>
    <w:rPr>
      <w:rFonts w:ascii="宋体" w:hAnsi="宋体" w:cs="宋体"/>
      <w:sz w:val="28"/>
      <w:szCs w:val="28"/>
    </w:rPr>
  </w:style>
  <w:style w:type="paragraph" w:customStyle="1" w:styleId="723">
    <w:name w:val="签名1"/>
    <w:basedOn w:val="1"/>
    <w:uiPriority w:val="0"/>
    <w:pPr>
      <w:autoSpaceDE/>
      <w:autoSpaceDN/>
      <w:spacing w:line="240" w:lineRule="auto"/>
      <w:ind w:left="100" w:leftChars="2100" w:firstLine="0" w:firstLineChars="0"/>
      <w:jc w:val="both"/>
    </w:pPr>
    <w:rPr>
      <w:rFonts w:ascii="Calibri" w:hAnsi="Calibri"/>
      <w:kern w:val="2"/>
      <w:sz w:val="21"/>
    </w:rPr>
  </w:style>
  <w:style w:type="paragraph" w:customStyle="1" w:styleId="724">
    <w:name w:val="样式 标题 + 两端对齐 左侧:  2.2 厘米1"/>
    <w:basedOn w:val="72"/>
    <w:uiPriority w:val="0"/>
    <w:pPr>
      <w:tabs>
        <w:tab w:val="left" w:pos="0"/>
      </w:tabs>
      <w:spacing w:before="0" w:after="100" w:afterAutospacing="1" w:line="360" w:lineRule="auto"/>
      <w:ind w:left="1247" w:hanging="57"/>
      <w:jc w:val="both"/>
    </w:pPr>
    <w:rPr>
      <w:rFonts w:ascii="楷体_GB2312" w:eastAsia="隶书" w:cs="宋体"/>
      <w:szCs w:val="20"/>
    </w:rPr>
  </w:style>
  <w:style w:type="paragraph" w:customStyle="1" w:styleId="725">
    <w:name w:val="文 本"/>
    <w:basedOn w:val="726"/>
    <w:qFormat/>
    <w:uiPriority w:val="0"/>
    <w:pPr>
      <w:ind w:firstLine="480"/>
    </w:pPr>
  </w:style>
  <w:style w:type="paragraph" w:customStyle="1" w:styleId="726">
    <w:name w:val="正文5"/>
    <w:basedOn w:val="727"/>
    <w:qFormat/>
    <w:uiPriority w:val="0"/>
    <w:pPr>
      <w:spacing w:line="360" w:lineRule="auto"/>
      <w:ind w:firstLine="200"/>
    </w:pPr>
  </w:style>
  <w:style w:type="paragraph" w:customStyle="1" w:styleId="727">
    <w:name w:val="TEXT"/>
    <w:basedOn w:val="1"/>
    <w:qFormat/>
    <w:uiPriority w:val="0"/>
    <w:pPr>
      <w:autoSpaceDE/>
      <w:autoSpaceDN/>
      <w:spacing w:line="440" w:lineRule="exact"/>
      <w:ind w:firstLine="480"/>
      <w:jc w:val="both"/>
    </w:pPr>
    <w:rPr>
      <w:rFonts w:ascii="Calibri" w:hAnsi="Calibri" w:cs="宋体"/>
      <w:kern w:val="2"/>
      <w:szCs w:val="20"/>
    </w:rPr>
  </w:style>
  <w:style w:type="paragraph" w:customStyle="1" w:styleId="728">
    <w:name w:val="正文样式3"/>
    <w:basedOn w:val="1"/>
    <w:uiPriority w:val="0"/>
    <w:pPr>
      <w:keepLines/>
      <w:autoSpaceDE/>
      <w:autoSpaceDN/>
      <w:spacing w:line="20" w:lineRule="atLeast"/>
      <w:ind w:firstLine="0" w:firstLineChars="0"/>
      <w:jc w:val="center"/>
      <w:textAlignment w:val="baseline"/>
    </w:pPr>
    <w:rPr>
      <w:rFonts w:ascii="Calibri" w:hAnsi="Calibri"/>
      <w:szCs w:val="20"/>
    </w:rPr>
  </w:style>
  <w:style w:type="paragraph" w:customStyle="1" w:styleId="729">
    <w:name w:val="正文文本缩进 31"/>
    <w:basedOn w:val="1"/>
    <w:qFormat/>
    <w:uiPriority w:val="0"/>
    <w:pPr>
      <w:widowControl/>
      <w:tabs>
        <w:tab w:val="left" w:pos="0"/>
      </w:tabs>
      <w:autoSpaceDE/>
      <w:autoSpaceDN/>
      <w:spacing w:line="396" w:lineRule="atLeast"/>
      <w:ind w:firstLine="560" w:firstLineChars="0"/>
      <w:textAlignment w:val="baseline"/>
    </w:pPr>
    <w:rPr>
      <w:rFonts w:ascii="宋体" w:hAnsi="宋体" w:cs="宋体"/>
      <w:szCs w:val="20"/>
    </w:rPr>
  </w:style>
  <w:style w:type="paragraph" w:customStyle="1" w:styleId="730">
    <w:name w:val="Char Char Char Char Char Char Char Char Char1 Char Char Char Char"/>
    <w:basedOn w:val="1"/>
    <w:uiPriority w:val="0"/>
    <w:pPr>
      <w:autoSpaceDE/>
      <w:autoSpaceDN/>
      <w:jc w:val="both"/>
    </w:pPr>
    <w:rPr>
      <w:rFonts w:ascii="宋体" w:hAnsi="宋体" w:cs="宋体"/>
      <w:kern w:val="2"/>
      <w:szCs w:val="26"/>
    </w:rPr>
  </w:style>
  <w:style w:type="paragraph" w:customStyle="1" w:styleId="731">
    <w:name w:val="表头名称"/>
    <w:basedOn w:val="437"/>
    <w:uiPriority w:val="0"/>
    <w:pPr>
      <w:widowControl/>
      <w:autoSpaceDE w:val="0"/>
      <w:autoSpaceDN w:val="0"/>
      <w:adjustRightInd w:val="0"/>
      <w:spacing w:before="100" w:beforeAutospacing="1"/>
      <w:ind w:firstLine="353" w:firstLineChars="147"/>
      <w:jc w:val="left"/>
    </w:pPr>
    <w:rPr>
      <w:rFonts w:ascii="宋体" w:hAnsi="宋体" w:eastAsia="黑体" w:cs="宋体"/>
      <w:snapToGrid/>
      <w:color w:val="000000"/>
      <w:sz w:val="24"/>
      <w:szCs w:val="24"/>
    </w:rPr>
  </w:style>
  <w:style w:type="paragraph" w:customStyle="1" w:styleId="732">
    <w:name w:val="Char Char 字元 字元 字元 Char Char Char Char1"/>
    <w:basedOn w:val="1"/>
    <w:uiPriority w:val="0"/>
    <w:pPr>
      <w:widowControl/>
      <w:autoSpaceDE/>
      <w:autoSpaceDN/>
      <w:ind w:firstLine="0" w:firstLineChars="0"/>
    </w:pPr>
    <w:rPr>
      <w:rFonts w:ascii="宋体" w:hAnsi="宋体" w:cs="宋体"/>
      <w:szCs w:val="20"/>
    </w:rPr>
  </w:style>
  <w:style w:type="paragraph" w:customStyle="1" w:styleId="733">
    <w:name w:val="样式 小四 黑色 首行缩进:  0.36 厘米 行距: 1.5 倍行距"/>
    <w:basedOn w:val="1"/>
    <w:uiPriority w:val="0"/>
    <w:pPr>
      <w:autoSpaceDE/>
      <w:autoSpaceDN/>
      <w:ind w:firstLine="0" w:firstLineChars="0"/>
      <w:jc w:val="both"/>
    </w:pPr>
    <w:rPr>
      <w:rFonts w:ascii="Calibri" w:hAnsi="Calibri"/>
      <w:color w:val="000000"/>
      <w:kern w:val="2"/>
      <w:szCs w:val="20"/>
    </w:rPr>
  </w:style>
  <w:style w:type="paragraph" w:customStyle="1" w:styleId="734">
    <w:name w:val="日期1"/>
    <w:basedOn w:val="1"/>
    <w:next w:val="1"/>
    <w:uiPriority w:val="0"/>
    <w:pPr>
      <w:overflowPunct w:val="0"/>
      <w:autoSpaceDE/>
      <w:autoSpaceDN/>
      <w:ind w:firstLine="560" w:firstLineChars="0"/>
    </w:pPr>
    <w:rPr>
      <w:rFonts w:ascii="仿宋_GB2312" w:hAnsi="Calibri"/>
      <w:kern w:val="2"/>
      <w:sz w:val="28"/>
      <w:szCs w:val="20"/>
    </w:rPr>
  </w:style>
  <w:style w:type="paragraph" w:customStyle="1" w:styleId="735">
    <w:name w:val="列表 31"/>
    <w:basedOn w:val="1"/>
    <w:uiPriority w:val="0"/>
    <w:pPr>
      <w:autoSpaceDE/>
      <w:autoSpaceDN/>
      <w:spacing w:line="240" w:lineRule="auto"/>
      <w:ind w:left="100" w:leftChars="400" w:hanging="200" w:hangingChars="200"/>
      <w:jc w:val="both"/>
    </w:pPr>
    <w:rPr>
      <w:rFonts w:ascii="Calibri" w:hAnsi="Calibri"/>
      <w:kern w:val="2"/>
      <w:sz w:val="21"/>
    </w:rPr>
  </w:style>
  <w:style w:type="paragraph" w:customStyle="1" w:styleId="736">
    <w:name w:val="样式 四号 首行缩进:  2 字符"/>
    <w:basedOn w:val="1"/>
    <w:qFormat/>
    <w:uiPriority w:val="0"/>
    <w:pPr>
      <w:autoSpaceDE/>
      <w:autoSpaceDN/>
      <w:spacing w:line="480" w:lineRule="atLeast"/>
      <w:jc w:val="both"/>
    </w:pPr>
    <w:rPr>
      <w:rFonts w:ascii="Calibri" w:hAnsi="Calibri"/>
      <w:kern w:val="2"/>
    </w:rPr>
  </w:style>
  <w:style w:type="paragraph" w:customStyle="1" w:styleId="737">
    <w:name w:val="居中正文"/>
    <w:basedOn w:val="18"/>
    <w:next w:val="18"/>
    <w:uiPriority w:val="0"/>
    <w:pPr>
      <w:autoSpaceDE/>
      <w:autoSpaceDN/>
      <w:spacing w:line="540" w:lineRule="exact"/>
      <w:ind w:right="-13" w:rightChars="-6" w:firstLine="200"/>
      <w:jc w:val="center"/>
    </w:pPr>
    <w:rPr>
      <w:rFonts w:ascii="Calibri" w:hAnsi="Calibri" w:eastAsia="仿宋_GB2312"/>
      <w:kern w:val="2"/>
      <w:sz w:val="28"/>
      <w:szCs w:val="20"/>
      <w:lang w:val="zh-CN"/>
    </w:rPr>
  </w:style>
  <w:style w:type="paragraph" w:customStyle="1" w:styleId="738">
    <w:name w:val="样式（1）"/>
    <w:basedOn w:val="273"/>
    <w:uiPriority w:val="0"/>
  </w:style>
  <w:style w:type="paragraph" w:customStyle="1" w:styleId="739">
    <w:name w:val="列出段落2"/>
    <w:basedOn w:val="1"/>
    <w:uiPriority w:val="0"/>
    <w:pPr>
      <w:autoSpaceDE/>
      <w:autoSpaceDN/>
      <w:spacing w:line="240" w:lineRule="auto"/>
      <w:ind w:firstLine="420"/>
      <w:jc w:val="both"/>
    </w:pPr>
    <w:rPr>
      <w:rFonts w:ascii="Calibri" w:hAnsi="Calibri"/>
      <w:kern w:val="2"/>
      <w:sz w:val="21"/>
      <w:szCs w:val="22"/>
    </w:rPr>
  </w:style>
  <w:style w:type="paragraph" w:customStyle="1" w:styleId="740">
    <w:name w:val="表格文字样式14"/>
    <w:basedOn w:val="1"/>
    <w:qFormat/>
    <w:uiPriority w:val="0"/>
    <w:pPr>
      <w:overflowPunct w:val="0"/>
      <w:autoSpaceDE/>
      <w:autoSpaceDN/>
      <w:spacing w:line="360" w:lineRule="exact"/>
      <w:ind w:firstLine="0" w:firstLineChars="0"/>
      <w:jc w:val="center"/>
    </w:pPr>
    <w:rPr>
      <w:rFonts w:ascii="宋体" w:hAnsi="宋体"/>
      <w:bCs/>
      <w:snapToGrid w:val="0"/>
      <w:sz w:val="21"/>
      <w:szCs w:val="21"/>
    </w:rPr>
  </w:style>
  <w:style w:type="paragraph" w:customStyle="1" w:styleId="741">
    <w:name w:val="3 Char"/>
    <w:basedOn w:val="1"/>
    <w:next w:val="1"/>
    <w:uiPriority w:val="0"/>
    <w:pPr>
      <w:autoSpaceDE/>
      <w:autoSpaceDN/>
      <w:jc w:val="both"/>
    </w:pPr>
    <w:rPr>
      <w:rFonts w:ascii="宋体" w:hAnsi="宋体" w:eastAsia="汉鼎简书宋" w:cs="宋体"/>
      <w:kern w:val="2"/>
    </w:rPr>
  </w:style>
  <w:style w:type="paragraph" w:customStyle="1" w:styleId="742">
    <w:name w:val="0"/>
    <w:basedOn w:val="1"/>
    <w:uiPriority w:val="0"/>
    <w:pPr>
      <w:widowControl/>
      <w:autoSpaceDE/>
      <w:autoSpaceDN/>
      <w:spacing w:line="240" w:lineRule="auto"/>
      <w:ind w:firstLine="0" w:firstLineChars="0"/>
      <w:jc w:val="both"/>
    </w:pPr>
    <w:rPr>
      <w:rFonts w:ascii="Calibri" w:hAnsi="Calibri"/>
      <w:sz w:val="21"/>
      <w:szCs w:val="21"/>
    </w:rPr>
  </w:style>
  <w:style w:type="paragraph" w:customStyle="1" w:styleId="743">
    <w:name w:val="Char Char Char Char Char Char Char Char Char"/>
    <w:basedOn w:val="1"/>
    <w:qFormat/>
    <w:uiPriority w:val="0"/>
    <w:pPr>
      <w:autoSpaceDE/>
      <w:autoSpaceDN/>
      <w:spacing w:line="240" w:lineRule="auto"/>
      <w:ind w:firstLine="0" w:firstLineChars="0"/>
      <w:jc w:val="both"/>
    </w:pPr>
    <w:rPr>
      <w:rFonts w:ascii="Calibri" w:hAnsi="Calibri"/>
      <w:kern w:val="2"/>
      <w:sz w:val="21"/>
    </w:rPr>
  </w:style>
  <w:style w:type="paragraph" w:customStyle="1" w:styleId="744">
    <w:name w:val="标题三 楷体"/>
    <w:basedOn w:val="4"/>
    <w:uiPriority w:val="0"/>
    <w:pPr>
      <w:numPr>
        <w:ilvl w:val="0"/>
        <w:numId w:val="0"/>
      </w:numPr>
      <w:autoSpaceDE/>
      <w:autoSpaceDN/>
      <w:spacing w:line="500" w:lineRule="exact"/>
      <w:jc w:val="both"/>
    </w:pPr>
    <w:rPr>
      <w:rFonts w:ascii="楷体_GB2312" w:hAnsi="Calibri" w:eastAsia="楷体_GB2312" w:cs="Times New Roman"/>
      <w:b/>
      <w:snapToGrid w:val="0"/>
      <w:sz w:val="24"/>
      <w:szCs w:val="24"/>
      <w:lang w:val="zh-CN"/>
    </w:rPr>
  </w:style>
  <w:style w:type="paragraph" w:customStyle="1" w:styleId="745">
    <w:name w:val="样式7"/>
    <w:basedOn w:val="8"/>
    <w:uiPriority w:val="0"/>
    <w:pPr>
      <w:overflowPunct/>
      <w:autoSpaceDE/>
      <w:autoSpaceDN/>
      <w:jc w:val="left"/>
      <w:textAlignment w:val="auto"/>
    </w:pPr>
    <w:rPr>
      <w:rFonts w:ascii="宋体" w:hAnsi="宋体" w:eastAsia="宋体" w:cs="宋体"/>
      <w:b/>
      <w:spacing w:val="0"/>
      <w:kern w:val="0"/>
      <w:sz w:val="24"/>
    </w:rPr>
  </w:style>
  <w:style w:type="paragraph" w:customStyle="1" w:styleId="746">
    <w:name w:val="Style13"/>
    <w:basedOn w:val="1"/>
    <w:qFormat/>
    <w:uiPriority w:val="0"/>
    <w:pPr>
      <w:autoSpaceDE/>
      <w:autoSpaceDN/>
      <w:spacing w:line="240" w:lineRule="auto"/>
      <w:ind w:firstLine="0" w:firstLineChars="0"/>
    </w:pPr>
    <w:rPr>
      <w:rFonts w:ascii="宋体" w:hAnsi="Calibri"/>
      <w:szCs w:val="20"/>
    </w:rPr>
  </w:style>
  <w:style w:type="paragraph" w:customStyle="1" w:styleId="747">
    <w:name w:val="样式 宋体 居中 行距: 固定值 16 磅"/>
    <w:basedOn w:val="1"/>
    <w:qFormat/>
    <w:uiPriority w:val="0"/>
    <w:pPr>
      <w:autoSpaceDE/>
      <w:autoSpaceDN/>
      <w:spacing w:line="320" w:lineRule="exact"/>
      <w:ind w:firstLine="0" w:firstLineChars="0"/>
      <w:jc w:val="center"/>
    </w:pPr>
    <w:rPr>
      <w:rFonts w:ascii="楷体_GB2312" w:hAnsi="楷体_GB2312" w:eastAsia="楷体_GB2312" w:cs="楷体_GB2312"/>
      <w:kern w:val="2"/>
      <w:sz w:val="21"/>
      <w:szCs w:val="21"/>
    </w:rPr>
  </w:style>
  <w:style w:type="paragraph" w:customStyle="1" w:styleId="748">
    <w:name w:val="Char Char Char Char Char Char Char Char Char Char Char Char11"/>
    <w:basedOn w:val="1"/>
    <w:next w:val="1"/>
    <w:uiPriority w:val="0"/>
    <w:pPr>
      <w:autoSpaceDE/>
      <w:autoSpaceDN/>
      <w:jc w:val="both"/>
    </w:pPr>
    <w:rPr>
      <w:rFonts w:ascii="宋体" w:hAnsi="宋体" w:cs="宋体"/>
      <w:kern w:val="2"/>
    </w:rPr>
  </w:style>
  <w:style w:type="paragraph" w:customStyle="1" w:styleId="749">
    <w:name w:val="Char Char Char Char Char Char Char Char Char Char Char1"/>
    <w:basedOn w:val="1"/>
    <w:uiPriority w:val="0"/>
    <w:pPr>
      <w:autoSpaceDE/>
      <w:autoSpaceDN/>
      <w:spacing w:line="240" w:lineRule="auto"/>
      <w:ind w:firstLine="0" w:firstLineChars="0"/>
      <w:jc w:val="both"/>
    </w:pPr>
    <w:rPr>
      <w:rFonts w:ascii="Calibri" w:hAnsi="Calibri"/>
      <w:kern w:val="2"/>
      <w:sz w:val="21"/>
    </w:rPr>
  </w:style>
  <w:style w:type="paragraph" w:customStyle="1" w:styleId="750">
    <w:name w:val="正文仿宋"/>
    <w:basedOn w:val="1"/>
    <w:uiPriority w:val="0"/>
    <w:pPr>
      <w:autoSpaceDE/>
      <w:autoSpaceDN/>
      <w:ind w:firstLine="567" w:firstLineChars="0"/>
      <w:jc w:val="both"/>
    </w:pPr>
    <w:rPr>
      <w:rFonts w:ascii="Calibri" w:hAnsi="Calibri" w:eastAsia="仿宋_GB2312"/>
      <w:snapToGrid w:val="0"/>
      <w:szCs w:val="20"/>
    </w:rPr>
  </w:style>
  <w:style w:type="paragraph" w:customStyle="1" w:styleId="751">
    <w:name w:val="正文999"/>
    <w:basedOn w:val="1"/>
    <w:uiPriority w:val="0"/>
    <w:pPr>
      <w:autoSpaceDE/>
      <w:autoSpaceDN/>
      <w:ind w:firstLine="480"/>
      <w:jc w:val="both"/>
    </w:pPr>
    <w:rPr>
      <w:rFonts w:ascii="宋体" w:hAnsi="宋体"/>
      <w:kern w:val="2"/>
    </w:rPr>
  </w:style>
  <w:style w:type="paragraph" w:customStyle="1" w:styleId="752">
    <w:name w:val="基准标题"/>
    <w:basedOn w:val="28"/>
    <w:next w:val="28"/>
    <w:uiPriority w:val="0"/>
    <w:pPr>
      <w:widowControl/>
      <w:autoSpaceDE/>
      <w:autoSpaceDN/>
      <w:spacing w:before="0" w:line="280" w:lineRule="exact"/>
      <w:ind w:left="0" w:firstLine="0" w:firstLineChars="0"/>
      <w:outlineLvl w:val="0"/>
    </w:pPr>
    <w:rPr>
      <w:rFonts w:hAnsi="宋体"/>
      <w:bCs/>
      <w:spacing w:val="-10"/>
      <w:sz w:val="18"/>
      <w:lang w:val="zh-CN"/>
    </w:rPr>
  </w:style>
  <w:style w:type="paragraph" w:customStyle="1" w:styleId="753">
    <w:name w:val="Char5"/>
    <w:basedOn w:val="1"/>
    <w:next w:val="1"/>
    <w:uiPriority w:val="0"/>
    <w:pPr>
      <w:autoSpaceDE/>
      <w:autoSpaceDN/>
      <w:jc w:val="both"/>
    </w:pPr>
    <w:rPr>
      <w:rFonts w:ascii="宋体" w:hAnsi="宋体" w:cs="宋体"/>
      <w:kern w:val="2"/>
    </w:rPr>
  </w:style>
  <w:style w:type="paragraph" w:customStyle="1" w:styleId="754">
    <w:name w:val="样式"/>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755">
    <w:name w:val="湛江码头表"/>
    <w:basedOn w:val="1"/>
    <w:uiPriority w:val="0"/>
    <w:pPr>
      <w:autoSpaceDE/>
      <w:autoSpaceDN/>
      <w:spacing w:line="240" w:lineRule="auto"/>
      <w:ind w:firstLine="0" w:firstLineChars="0"/>
      <w:jc w:val="center"/>
    </w:pPr>
    <w:rPr>
      <w:rFonts w:ascii="Calibri" w:hAnsi="Calibri" w:eastAsia="仿宋_GB2312"/>
      <w:sz w:val="21"/>
      <w:lang w:eastAsia="zh-TW"/>
    </w:rPr>
  </w:style>
  <w:style w:type="paragraph" w:customStyle="1" w:styleId="756">
    <w:name w:val="Char32"/>
    <w:basedOn w:val="1"/>
    <w:uiPriority w:val="0"/>
    <w:pPr>
      <w:autoSpaceDE/>
      <w:autoSpaceDN/>
      <w:spacing w:line="240" w:lineRule="auto"/>
      <w:ind w:firstLine="0" w:firstLineChars="0"/>
      <w:jc w:val="both"/>
    </w:pPr>
    <w:rPr>
      <w:rFonts w:ascii="Calibri" w:hAnsi="Calibri"/>
      <w:kern w:val="2"/>
      <w:sz w:val="21"/>
    </w:rPr>
  </w:style>
  <w:style w:type="paragraph" w:customStyle="1" w:styleId="757">
    <w:name w:val="xl24"/>
    <w:basedOn w:val="1"/>
    <w:uiPriority w:val="0"/>
    <w:pPr>
      <w:widowControl/>
      <w:pBdr>
        <w:bottom w:val="single" w:color="auto" w:sz="4" w:space="0"/>
        <w:right w:val="single" w:color="auto" w:sz="4" w:space="0"/>
      </w:pBdr>
      <w:autoSpaceDE/>
      <w:autoSpaceDN/>
      <w:spacing w:before="100" w:beforeAutospacing="1" w:after="100" w:afterAutospacing="1" w:line="240" w:lineRule="auto"/>
      <w:ind w:firstLine="0" w:firstLineChars="0"/>
      <w:jc w:val="center"/>
    </w:pPr>
    <w:rPr>
      <w:rFonts w:ascii="Calibri" w:hAnsi="Calibri"/>
      <w:sz w:val="21"/>
      <w:szCs w:val="21"/>
    </w:rPr>
  </w:style>
  <w:style w:type="paragraph" w:customStyle="1" w:styleId="758">
    <w:name w:val="日期2"/>
    <w:basedOn w:val="1"/>
    <w:next w:val="1"/>
    <w:uiPriority w:val="0"/>
    <w:pPr>
      <w:overflowPunct w:val="0"/>
      <w:autoSpaceDE/>
      <w:autoSpaceDN/>
      <w:ind w:firstLine="560" w:firstLineChars="0"/>
    </w:pPr>
    <w:rPr>
      <w:rFonts w:ascii="仿宋_GB2312" w:hAnsi="Calibri"/>
      <w:kern w:val="2"/>
      <w:sz w:val="28"/>
      <w:szCs w:val="20"/>
    </w:rPr>
  </w:style>
  <w:style w:type="paragraph" w:customStyle="1" w:styleId="759">
    <w:name w:val="Char Char Char Char1"/>
    <w:basedOn w:val="1"/>
    <w:next w:val="1"/>
    <w:uiPriority w:val="0"/>
    <w:pPr>
      <w:autoSpaceDE/>
      <w:autoSpaceDN/>
      <w:jc w:val="both"/>
    </w:pPr>
    <w:rPr>
      <w:rFonts w:ascii="宋体" w:hAnsi="宋体" w:cs="宋体"/>
      <w:kern w:val="2"/>
    </w:rPr>
  </w:style>
  <w:style w:type="paragraph" w:customStyle="1" w:styleId="760">
    <w:name w:val="6 Char Char Char Char Char Char1 Char"/>
    <w:basedOn w:val="1"/>
    <w:uiPriority w:val="0"/>
    <w:pPr>
      <w:widowControl/>
      <w:autoSpaceDE/>
      <w:autoSpaceDN/>
      <w:spacing w:line="240" w:lineRule="auto"/>
      <w:ind w:firstLine="0" w:firstLineChars="0"/>
    </w:pPr>
    <w:rPr>
      <w:rFonts w:ascii="宋体" w:hAnsi="宋体" w:cs="宋体"/>
    </w:rPr>
  </w:style>
  <w:style w:type="paragraph" w:customStyle="1" w:styleId="761">
    <w:name w:val="样式 样式 表格标题 + 段前: 0.5 行 + 段前: 0.5 行1"/>
    <w:basedOn w:val="1"/>
    <w:uiPriority w:val="0"/>
    <w:pPr>
      <w:spacing w:before="156" w:beforeLines="50" w:line="400" w:lineRule="exact"/>
      <w:ind w:firstLine="0" w:firstLineChars="0"/>
      <w:jc w:val="center"/>
    </w:pPr>
    <w:rPr>
      <w:rFonts w:ascii="黑体" w:hAnsi="Calibri" w:eastAsia="黑体" w:cs="宋体"/>
      <w:kern w:val="2"/>
      <w:szCs w:val="20"/>
      <w:lang w:val="zh-CN"/>
    </w:rPr>
  </w:style>
  <w:style w:type="paragraph" w:customStyle="1" w:styleId="762">
    <w:name w:val="二级标题 Char Char Char"/>
    <w:basedOn w:val="1"/>
    <w:next w:val="1"/>
    <w:uiPriority w:val="0"/>
    <w:pPr>
      <w:widowControl/>
      <w:autoSpaceDE/>
      <w:autoSpaceDN/>
      <w:spacing w:line="529" w:lineRule="exact"/>
    </w:pPr>
    <w:rPr>
      <w:rFonts w:ascii="宋体" w:hAnsi="宋体" w:cs="宋体"/>
    </w:rPr>
  </w:style>
  <w:style w:type="paragraph" w:customStyle="1" w:styleId="763">
    <w:name w:val="五级条标题"/>
    <w:basedOn w:val="764"/>
    <w:next w:val="1"/>
    <w:uiPriority w:val="0"/>
    <w:pPr>
      <w:tabs>
        <w:tab w:val="left" w:pos="360"/>
      </w:tabs>
      <w:outlineLvl w:val="6"/>
    </w:pPr>
  </w:style>
  <w:style w:type="paragraph" w:customStyle="1" w:styleId="764">
    <w:name w:val="四级条标题"/>
    <w:basedOn w:val="765"/>
    <w:next w:val="1"/>
    <w:uiPriority w:val="0"/>
    <w:pPr>
      <w:tabs>
        <w:tab w:val="left" w:pos="360"/>
      </w:tabs>
      <w:outlineLvl w:val="5"/>
    </w:pPr>
  </w:style>
  <w:style w:type="paragraph" w:customStyle="1" w:styleId="765">
    <w:name w:val="三级条标题"/>
    <w:basedOn w:val="766"/>
    <w:next w:val="1"/>
    <w:uiPriority w:val="0"/>
    <w:pPr>
      <w:tabs>
        <w:tab w:val="left" w:pos="360"/>
      </w:tabs>
      <w:outlineLvl w:val="4"/>
    </w:pPr>
  </w:style>
  <w:style w:type="paragraph" w:customStyle="1" w:styleId="766">
    <w:name w:val="二级条标题"/>
    <w:basedOn w:val="767"/>
    <w:next w:val="1"/>
    <w:uiPriority w:val="0"/>
    <w:pPr>
      <w:tabs>
        <w:tab w:val="left" w:pos="360"/>
      </w:tabs>
      <w:outlineLvl w:val="3"/>
    </w:pPr>
  </w:style>
  <w:style w:type="paragraph" w:customStyle="1" w:styleId="767">
    <w:name w:val="一级条标题"/>
    <w:basedOn w:val="2"/>
    <w:next w:val="1"/>
    <w:uiPriority w:val="0"/>
    <w:pPr>
      <w:widowControl/>
      <w:numPr>
        <w:numId w:val="0"/>
      </w:numPr>
      <w:tabs>
        <w:tab w:val="left" w:pos="360"/>
      </w:tabs>
      <w:autoSpaceDE/>
      <w:autoSpaceDN/>
      <w:spacing w:line="240" w:lineRule="auto"/>
      <w:jc w:val="both"/>
      <w:outlineLvl w:val="2"/>
    </w:pPr>
    <w:rPr>
      <w:rFonts w:hAnsi="Calibri" w:cs="Times New Roman"/>
      <w:sz w:val="21"/>
      <w:szCs w:val="20"/>
    </w:rPr>
  </w:style>
  <w:style w:type="paragraph" w:customStyle="1" w:styleId="768">
    <w:name w:val="xl72"/>
    <w:basedOn w:val="1"/>
    <w:uiPriority w:val="0"/>
    <w:pPr>
      <w:widowControl/>
      <w:pBdr>
        <w:left w:val="single" w:color="auto" w:sz="4" w:space="0"/>
        <w:right w:val="single" w:color="auto" w:sz="4" w:space="0"/>
      </w:pBdr>
      <w:autoSpaceDE/>
      <w:autoSpaceDN/>
      <w:spacing w:before="100" w:beforeAutospacing="1" w:after="100" w:afterAutospacing="1" w:line="240" w:lineRule="auto"/>
      <w:ind w:firstLine="0" w:firstLineChars="0"/>
      <w:jc w:val="center"/>
      <w:textAlignment w:val="center"/>
    </w:pPr>
    <w:rPr>
      <w:rFonts w:ascii="宋体" w:hAnsi="宋体"/>
    </w:rPr>
  </w:style>
  <w:style w:type="paragraph" w:customStyle="1" w:styleId="769">
    <w:name w:val="报告一"/>
    <w:basedOn w:val="371"/>
    <w:next w:val="371"/>
    <w:uiPriority w:val="0"/>
    <w:pPr>
      <w:keepNext/>
      <w:widowControl/>
      <w:tabs>
        <w:tab w:val="left" w:pos="3319"/>
        <w:tab w:val="left" w:pos="3600"/>
      </w:tabs>
      <w:spacing w:line="240" w:lineRule="auto"/>
      <w:ind w:left="560" w:firstLine="0" w:firstLineChars="0"/>
      <w:outlineLvl w:val="3"/>
    </w:pPr>
    <w:rPr>
      <w:rFonts w:ascii="仿宋_GB2312" w:hAnsi="宋体" w:eastAsia="仿宋_GB2312"/>
      <w:b/>
      <w:bCs/>
    </w:rPr>
  </w:style>
  <w:style w:type="paragraph" w:customStyle="1" w:styleId="770">
    <w:name w:val="Char6"/>
    <w:basedOn w:val="1"/>
    <w:uiPriority w:val="0"/>
    <w:pPr>
      <w:autoSpaceDE/>
      <w:autoSpaceDN/>
      <w:spacing w:line="240" w:lineRule="auto"/>
      <w:ind w:firstLine="0" w:firstLineChars="0"/>
      <w:jc w:val="both"/>
    </w:pPr>
    <w:rPr>
      <w:rFonts w:ascii="Calibri" w:hAnsi="Calibri"/>
      <w:kern w:val="2"/>
      <w:sz w:val="21"/>
    </w:rPr>
  </w:style>
  <w:style w:type="paragraph" w:customStyle="1" w:styleId="771">
    <w:name w:val="xl47"/>
    <w:basedOn w:val="1"/>
    <w:uiPriority w:val="0"/>
    <w:pPr>
      <w:widowControl/>
      <w:pBdr>
        <w:top w:val="single" w:color="auto" w:sz="4" w:space="0"/>
        <w:left w:val="single" w:color="auto" w:sz="4"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rPr>
  </w:style>
  <w:style w:type="paragraph" w:customStyle="1" w:styleId="772">
    <w:name w:val="正文文本缩进 21"/>
    <w:basedOn w:val="1"/>
    <w:uiPriority w:val="0"/>
    <w:pPr>
      <w:widowControl/>
      <w:autoSpaceDE/>
      <w:autoSpaceDN/>
      <w:spacing w:line="360" w:lineRule="atLeast"/>
      <w:ind w:firstLine="425" w:firstLineChars="0"/>
      <w:textAlignment w:val="baseline"/>
    </w:pPr>
    <w:rPr>
      <w:rFonts w:ascii="宋体" w:hAnsi="宋体" w:cs="宋体"/>
      <w:spacing w:val="20"/>
      <w:szCs w:val="20"/>
    </w:rPr>
  </w:style>
  <w:style w:type="paragraph" w:customStyle="1" w:styleId="773">
    <w:name w:val="注释标题1"/>
    <w:basedOn w:val="437"/>
    <w:next w:val="437"/>
    <w:uiPriority w:val="0"/>
    <w:pPr>
      <w:widowControl/>
      <w:tabs>
        <w:tab w:val="left" w:pos="315"/>
      </w:tabs>
      <w:snapToGrid w:val="0"/>
      <w:spacing w:before="120" w:line="360" w:lineRule="auto"/>
      <w:ind w:left="315" w:hanging="315"/>
      <w:jc w:val="left"/>
    </w:pPr>
    <w:rPr>
      <w:rFonts w:ascii="宋体" w:hAnsi="宋体" w:cs="宋体"/>
      <w:snapToGrid/>
      <w:sz w:val="24"/>
    </w:rPr>
  </w:style>
  <w:style w:type="paragraph" w:customStyle="1" w:styleId="774">
    <w:name w:val="三级标题！！！"/>
    <w:basedOn w:val="775"/>
    <w:qFormat/>
    <w:uiPriority w:val="0"/>
    <w:pPr>
      <w:outlineLvl w:val="2"/>
    </w:pPr>
    <w:rPr>
      <w:sz w:val="24"/>
      <w:szCs w:val="28"/>
    </w:rPr>
  </w:style>
  <w:style w:type="paragraph" w:customStyle="1" w:styleId="775">
    <w:name w:val="二级标题！！！"/>
    <w:basedOn w:val="1"/>
    <w:qFormat/>
    <w:uiPriority w:val="0"/>
    <w:pPr>
      <w:autoSpaceDE/>
      <w:autoSpaceDN/>
      <w:spacing w:line="500" w:lineRule="exact"/>
      <w:ind w:firstLine="0" w:firstLineChars="0"/>
      <w:jc w:val="both"/>
      <w:outlineLvl w:val="1"/>
    </w:pPr>
    <w:rPr>
      <w:rFonts w:ascii="楷体_GB2312" w:hAnsi="宋体" w:eastAsia="楷体_GB2312"/>
      <w:b/>
      <w:kern w:val="2"/>
      <w:sz w:val="28"/>
    </w:rPr>
  </w:style>
  <w:style w:type="paragraph" w:customStyle="1" w:styleId="776">
    <w:name w:val="Char Char Char Char Char Char Char Char Char Char"/>
    <w:basedOn w:val="1"/>
    <w:uiPriority w:val="0"/>
    <w:pPr>
      <w:widowControl/>
      <w:autoSpaceDE/>
      <w:autoSpaceDN/>
      <w:spacing w:after="160" w:line="240" w:lineRule="exact"/>
      <w:ind w:firstLine="0" w:firstLineChars="0"/>
    </w:pPr>
    <w:rPr>
      <w:rFonts w:ascii="Arial" w:hAnsi="Arial" w:eastAsia="Times New Roman" w:cs="Verdana"/>
      <w:b/>
      <w:lang w:eastAsia="en-US"/>
    </w:rPr>
  </w:style>
  <w:style w:type="paragraph" w:customStyle="1" w:styleId="777">
    <w:name w:val="样式 样式 标题 1标题1章节H1一、h11st levelSection Headl1H11H12第A章第*...2 + 加粗..."/>
    <w:basedOn w:val="1"/>
    <w:uiPriority w:val="0"/>
    <w:pPr>
      <w:keepNext/>
      <w:keepLines/>
      <w:widowControl/>
      <w:autoSpaceDE/>
      <w:autoSpaceDN/>
      <w:spacing w:before="240" w:after="240" w:line="520" w:lineRule="exact"/>
      <w:ind w:firstLine="0" w:firstLineChars="0"/>
      <w:outlineLvl w:val="0"/>
    </w:pPr>
    <w:rPr>
      <w:rFonts w:ascii="宋体" w:hAnsi="宋体" w:eastAsia="黑体" w:cs="宋体"/>
      <w:b/>
      <w:bCs/>
      <w:color w:val="000000"/>
      <w:sz w:val="32"/>
      <w:szCs w:val="20"/>
    </w:rPr>
  </w:style>
  <w:style w:type="paragraph" w:customStyle="1" w:styleId="778">
    <w:name w:val="结束语1"/>
    <w:basedOn w:val="1"/>
    <w:uiPriority w:val="0"/>
    <w:pPr>
      <w:autoSpaceDE/>
      <w:autoSpaceDN/>
      <w:spacing w:line="240" w:lineRule="auto"/>
      <w:ind w:left="100" w:leftChars="2100" w:firstLine="0" w:firstLineChars="0"/>
      <w:jc w:val="both"/>
    </w:pPr>
    <w:rPr>
      <w:rFonts w:ascii="Calibri" w:hAnsi="Calibri"/>
      <w:kern w:val="2"/>
      <w:sz w:val="21"/>
    </w:rPr>
  </w:style>
  <w:style w:type="paragraph" w:customStyle="1" w:styleId="779">
    <w:name w:val="正文仿宋小四"/>
    <w:basedOn w:val="1"/>
    <w:uiPriority w:val="0"/>
    <w:pPr>
      <w:autoSpaceDE/>
      <w:autoSpaceDN/>
      <w:ind w:firstLine="480"/>
      <w:jc w:val="both"/>
    </w:pPr>
    <w:rPr>
      <w:rFonts w:ascii="Calibri" w:hAnsi="Calibri" w:eastAsia="仿宋_GB2312"/>
      <w:kern w:val="2"/>
    </w:rPr>
  </w:style>
  <w:style w:type="paragraph" w:customStyle="1" w:styleId="780">
    <w:name w:val="Char61"/>
    <w:basedOn w:val="1"/>
    <w:uiPriority w:val="0"/>
    <w:pPr>
      <w:autoSpaceDE/>
      <w:autoSpaceDN/>
      <w:spacing w:line="240" w:lineRule="auto"/>
      <w:ind w:firstLine="0" w:firstLineChars="0"/>
      <w:jc w:val="both"/>
    </w:pPr>
    <w:rPr>
      <w:rFonts w:ascii="Calibri" w:hAnsi="Calibri"/>
      <w:kern w:val="2"/>
      <w:sz w:val="21"/>
    </w:rPr>
  </w:style>
  <w:style w:type="paragraph" w:customStyle="1" w:styleId="781">
    <w:name w:val="Char Char Char Char Char Char Char Char Char Char Char Char Char Char Char Char Char Char Char Char Char Char Char1"/>
    <w:basedOn w:val="1"/>
    <w:uiPriority w:val="0"/>
    <w:pPr>
      <w:autoSpaceDE/>
      <w:autoSpaceDN/>
      <w:spacing w:line="240" w:lineRule="auto"/>
      <w:ind w:firstLine="0" w:firstLineChars="0"/>
      <w:jc w:val="both"/>
    </w:pPr>
    <w:rPr>
      <w:rFonts w:ascii="Calibri" w:hAnsi="Calibri"/>
      <w:kern w:val="2"/>
      <w:sz w:val="21"/>
    </w:rPr>
  </w:style>
  <w:style w:type="paragraph" w:customStyle="1" w:styleId="782">
    <w:name w:val="TAB"/>
    <w:basedOn w:val="28"/>
    <w:uiPriority w:val="0"/>
    <w:pPr>
      <w:widowControl/>
      <w:autoSpaceDE/>
      <w:autoSpaceDN/>
      <w:spacing w:before="60" w:after="60" w:line="240" w:lineRule="auto"/>
      <w:ind w:left="0" w:firstLine="0" w:firstLineChars="0"/>
    </w:pPr>
    <w:rPr>
      <w:rFonts w:ascii="Arial" w:hAnsi="Arial" w:cs="Times New Roman"/>
      <w:sz w:val="18"/>
      <w:szCs w:val="20"/>
      <w:lang w:val="zh-CN" w:eastAsia="fr-FR"/>
    </w:rPr>
  </w:style>
  <w:style w:type="paragraph" w:customStyle="1" w:styleId="783">
    <w:name w:val="p16"/>
    <w:basedOn w:val="1"/>
    <w:uiPriority w:val="0"/>
    <w:pPr>
      <w:widowControl/>
      <w:autoSpaceDE/>
      <w:autoSpaceDN/>
      <w:spacing w:line="240" w:lineRule="auto"/>
      <w:ind w:firstLine="0" w:firstLineChars="0"/>
    </w:pPr>
    <w:rPr>
      <w:rFonts w:ascii="宋体" w:hAnsi="宋体" w:cs="宋体"/>
      <w:sz w:val="21"/>
      <w:szCs w:val="21"/>
    </w:rPr>
  </w:style>
  <w:style w:type="paragraph" w:customStyle="1" w:styleId="784">
    <w:name w:val="样式 标题 2 + 宋体 居中 首行缩进:  2 字符"/>
    <w:basedOn w:val="3"/>
    <w:uiPriority w:val="0"/>
    <w:pPr>
      <w:keepNext/>
      <w:keepLines/>
      <w:widowControl/>
      <w:numPr>
        <w:ilvl w:val="0"/>
        <w:numId w:val="0"/>
      </w:numPr>
      <w:autoSpaceDE/>
      <w:autoSpaceDN/>
      <w:spacing w:line="500" w:lineRule="exact"/>
      <w:ind w:firstLine="601"/>
      <w:jc w:val="center"/>
    </w:pPr>
    <w:rPr>
      <w:rFonts w:ascii="宋体" w:hAnsi="宋体" w:eastAsia="宋体" w:cs="宋体"/>
      <w:b/>
      <w:bCs/>
      <w:kern w:val="2"/>
      <w:lang w:val="zh-CN"/>
    </w:rPr>
  </w:style>
  <w:style w:type="paragraph" w:customStyle="1" w:styleId="785">
    <w:name w:val="样式 标题 2节H2节标题 1.1二级标题标题 lxb21.1h2第一层条二级标题 Char表标题单位名...1"/>
    <w:basedOn w:val="3"/>
    <w:uiPriority w:val="0"/>
    <w:pPr>
      <w:numPr>
        <w:ilvl w:val="0"/>
        <w:numId w:val="0"/>
      </w:numPr>
      <w:tabs>
        <w:tab w:val="left" w:pos="567"/>
      </w:tabs>
      <w:overflowPunct w:val="0"/>
      <w:spacing w:before="156" w:beforeLines="50"/>
      <w:jc w:val="both"/>
      <w:textAlignment w:val="baseline"/>
    </w:pPr>
    <w:rPr>
      <w:rFonts w:hAnsi="宋体" w:cs="Times New Roman"/>
      <w:bCs/>
      <w:color w:val="000000"/>
      <w:kern w:val="32"/>
      <w:sz w:val="28"/>
      <w:szCs w:val="28"/>
      <w:lang w:val="zh-CN"/>
    </w:rPr>
  </w:style>
  <w:style w:type="paragraph" w:customStyle="1" w:styleId="786">
    <w:name w:val="7"/>
    <w:basedOn w:val="1"/>
    <w:next w:val="787"/>
    <w:uiPriority w:val="0"/>
    <w:pPr>
      <w:widowControl/>
      <w:autoSpaceDE/>
      <w:autoSpaceDN/>
      <w:ind w:firstLine="480"/>
    </w:pPr>
    <w:rPr>
      <w:rFonts w:ascii="宋体" w:hAnsi="宋体" w:cs="宋体"/>
    </w:rPr>
  </w:style>
  <w:style w:type="paragraph" w:customStyle="1" w:styleId="787">
    <w:name w:val="正文文本缩进 22"/>
    <w:basedOn w:val="1"/>
    <w:uiPriority w:val="0"/>
    <w:pPr>
      <w:autoSpaceDE/>
      <w:autoSpaceDN/>
      <w:spacing w:before="93" w:beforeLines="30" w:after="93" w:afterLines="30"/>
      <w:ind w:firstLine="482"/>
      <w:jc w:val="both"/>
    </w:pPr>
    <w:rPr>
      <w:rFonts w:ascii="Calibri" w:hAnsi="Calibri"/>
      <w:kern w:val="2"/>
    </w:rPr>
  </w:style>
  <w:style w:type="paragraph" w:customStyle="1" w:styleId="788">
    <w:name w:val="注释标题2"/>
    <w:basedOn w:val="1"/>
    <w:next w:val="1"/>
    <w:uiPriority w:val="0"/>
    <w:pPr>
      <w:autoSpaceDE/>
      <w:autoSpaceDN/>
      <w:spacing w:before="156" w:beforeLines="50" w:after="156" w:afterLines="50" w:line="240" w:lineRule="auto"/>
      <w:ind w:firstLine="0" w:firstLineChars="0"/>
      <w:jc w:val="center"/>
    </w:pPr>
    <w:rPr>
      <w:rFonts w:ascii="Calibri" w:hAnsi="Calibri" w:eastAsia="黑体"/>
      <w:kern w:val="2"/>
    </w:rPr>
  </w:style>
  <w:style w:type="paragraph" w:customStyle="1" w:styleId="789">
    <w:name w:val="标题三！！！！！！！"/>
    <w:basedOn w:val="4"/>
    <w:qFormat/>
    <w:uiPriority w:val="0"/>
    <w:pPr>
      <w:numPr>
        <w:ilvl w:val="0"/>
        <w:numId w:val="0"/>
      </w:numPr>
      <w:autoSpaceDE/>
      <w:autoSpaceDN/>
      <w:spacing w:line="500" w:lineRule="exact"/>
      <w:jc w:val="both"/>
    </w:pPr>
    <w:rPr>
      <w:rFonts w:ascii="楷体_GB2312" w:hAnsi="楷体_GB2312" w:eastAsia="楷体_GB2312" w:cs="楷体_GB2312"/>
      <w:b/>
      <w:kern w:val="2"/>
      <w:lang w:val="zh-CN"/>
    </w:rPr>
  </w:style>
  <w:style w:type="paragraph" w:customStyle="1" w:styleId="790">
    <w:name w:val="bg正文首行缩进"/>
    <w:basedOn w:val="1"/>
    <w:uiPriority w:val="0"/>
    <w:pPr>
      <w:widowControl/>
      <w:autoSpaceDE/>
      <w:autoSpaceDN/>
      <w:spacing w:line="400" w:lineRule="exact"/>
      <w:ind w:firstLine="482" w:firstLineChars="0"/>
    </w:pPr>
    <w:rPr>
      <w:rFonts w:ascii="宋体" w:hAnsi="宋体" w:cs="宋体"/>
      <w:szCs w:val="20"/>
    </w:rPr>
  </w:style>
  <w:style w:type="paragraph" w:customStyle="1" w:styleId="791">
    <w:name w:val="表内字"/>
    <w:basedOn w:val="1"/>
    <w:qFormat/>
    <w:uiPriority w:val="0"/>
    <w:pPr>
      <w:widowControl/>
      <w:autoSpaceDE/>
      <w:autoSpaceDN/>
      <w:spacing w:line="320" w:lineRule="exact"/>
      <w:ind w:firstLine="0" w:firstLineChars="0"/>
      <w:jc w:val="center"/>
    </w:pPr>
    <w:rPr>
      <w:rFonts w:ascii="Calibri" w:hAnsi="Calibri" w:cs="Calibri"/>
    </w:rPr>
  </w:style>
  <w:style w:type="paragraph" w:customStyle="1" w:styleId="792">
    <w:name w:val="zi14"/>
    <w:basedOn w:val="1"/>
    <w:uiPriority w:val="0"/>
    <w:pPr>
      <w:widowControl/>
      <w:autoSpaceDE/>
      <w:autoSpaceDN/>
      <w:spacing w:before="100" w:beforeAutospacing="1" w:after="100" w:afterAutospacing="1" w:line="240" w:lineRule="auto"/>
      <w:ind w:firstLine="0" w:firstLineChars="0"/>
    </w:pPr>
    <w:rPr>
      <w:rFonts w:ascii="宋体" w:hAnsi="宋体" w:cs="宋体"/>
      <w:b/>
      <w:bCs/>
      <w:color w:val="004499"/>
      <w:sz w:val="23"/>
      <w:szCs w:val="23"/>
    </w:rPr>
  </w:style>
  <w:style w:type="paragraph" w:customStyle="1" w:styleId="793">
    <w:name w:val="项目符号1"/>
    <w:basedOn w:val="1"/>
    <w:uiPriority w:val="0"/>
    <w:pPr>
      <w:tabs>
        <w:tab w:val="left" w:pos="935"/>
      </w:tabs>
      <w:autoSpaceDE/>
      <w:autoSpaceDN/>
      <w:spacing w:before="120" w:after="120" w:line="312" w:lineRule="auto"/>
      <w:ind w:left="935" w:hanging="425" w:firstLineChars="0"/>
      <w:jc w:val="both"/>
    </w:pPr>
    <w:rPr>
      <w:rFonts w:ascii="Arial" w:hAnsi="Arial" w:eastAsia="楷体_GB2312"/>
      <w:b/>
      <w:kern w:val="2"/>
      <w:sz w:val="28"/>
      <w:szCs w:val="20"/>
    </w:rPr>
  </w:style>
  <w:style w:type="paragraph" w:customStyle="1" w:styleId="794">
    <w:name w:val="标题4 样式"/>
    <w:qFormat/>
    <w:uiPriority w:val="0"/>
    <w:pPr>
      <w:snapToGrid w:val="0"/>
      <w:spacing w:line="360" w:lineRule="auto"/>
      <w:outlineLvl w:val="3"/>
    </w:pPr>
    <w:rPr>
      <w:rFonts w:ascii="宋体" w:hAnsi="宋体" w:eastAsia="仿宋" w:cs="宋体"/>
      <w:b/>
      <w:bCs/>
      <w:kern w:val="2"/>
      <w:sz w:val="24"/>
      <w:lang w:val="en-US" w:eastAsia="zh-CN" w:bidi="ar-SA"/>
    </w:rPr>
  </w:style>
  <w:style w:type="paragraph" w:customStyle="1" w:styleId="795">
    <w:name w:val="标题三"/>
    <w:basedOn w:val="3"/>
    <w:qFormat/>
    <w:uiPriority w:val="0"/>
    <w:pPr>
      <w:numPr>
        <w:ilvl w:val="0"/>
        <w:numId w:val="0"/>
      </w:numPr>
      <w:autoSpaceDE/>
      <w:autoSpaceDN/>
      <w:spacing w:line="480" w:lineRule="exact"/>
      <w:jc w:val="both"/>
      <w:outlineLvl w:val="2"/>
    </w:pPr>
    <w:rPr>
      <w:rFonts w:ascii="楷体_GB2312" w:hAnsi="Arial" w:eastAsia="楷体_GB2312" w:cs="Times New Roman"/>
      <w:b/>
      <w:color w:val="000000"/>
      <w:kern w:val="2"/>
      <w:sz w:val="24"/>
      <w:szCs w:val="24"/>
      <w:lang w:val="zh-CN"/>
    </w:rPr>
  </w:style>
  <w:style w:type="paragraph" w:customStyle="1" w:styleId="796">
    <w:name w:val="样式 (符号) 宋体 小四 行距: 固定值 26 磅"/>
    <w:basedOn w:val="1"/>
    <w:uiPriority w:val="0"/>
    <w:pPr>
      <w:widowControl/>
      <w:autoSpaceDE/>
      <w:autoSpaceDN/>
      <w:spacing w:line="280" w:lineRule="exact"/>
      <w:ind w:firstLine="0" w:firstLineChars="0"/>
    </w:pPr>
    <w:rPr>
      <w:rFonts w:ascii="宋体" w:hAnsi="宋体" w:cs="宋体"/>
      <w:bCs/>
      <w:spacing w:val="-8"/>
      <w:sz w:val="18"/>
      <w:szCs w:val="18"/>
    </w:rPr>
  </w:style>
  <w:style w:type="paragraph" w:customStyle="1" w:styleId="797">
    <w:name w:val="列出段落1"/>
    <w:basedOn w:val="1"/>
    <w:uiPriority w:val="0"/>
    <w:pPr>
      <w:autoSpaceDE/>
      <w:autoSpaceDN/>
      <w:spacing w:line="240" w:lineRule="auto"/>
      <w:ind w:firstLine="420"/>
      <w:jc w:val="both"/>
    </w:pPr>
    <w:rPr>
      <w:rFonts w:ascii="Calibri" w:hAnsi="Calibri"/>
      <w:kern w:val="2"/>
      <w:sz w:val="21"/>
      <w:szCs w:val="22"/>
    </w:rPr>
  </w:style>
  <w:style w:type="paragraph" w:customStyle="1" w:styleId="798">
    <w:name w:val="文本块1"/>
    <w:basedOn w:val="1"/>
    <w:uiPriority w:val="0"/>
    <w:pPr>
      <w:autoSpaceDE/>
      <w:autoSpaceDN/>
      <w:spacing w:line="240" w:lineRule="auto"/>
      <w:ind w:left="525" w:right="651" w:firstLine="0" w:firstLineChars="0"/>
    </w:pPr>
    <w:rPr>
      <w:rFonts w:ascii="Calibri" w:hAnsi="Calibri" w:eastAsia="仿宋_GB2312"/>
      <w:kern w:val="2"/>
      <w:sz w:val="32"/>
      <w:szCs w:val="20"/>
    </w:rPr>
  </w:style>
  <w:style w:type="paragraph" w:customStyle="1" w:styleId="799">
    <w:name w:val="样式 标题三！！！！"/>
    <w:basedOn w:val="1"/>
    <w:uiPriority w:val="0"/>
    <w:pPr>
      <w:spacing w:line="500" w:lineRule="exact"/>
      <w:ind w:firstLine="0" w:firstLineChars="0"/>
      <w:jc w:val="both"/>
      <w:outlineLvl w:val="2"/>
    </w:pPr>
    <w:rPr>
      <w:rFonts w:ascii="楷体_GB2312" w:hAnsi="楷体_GB2312" w:eastAsia="楷体_GB2312" w:cs="楷体_GB2312"/>
      <w:b/>
      <w:bCs/>
      <w:sz w:val="28"/>
      <w:szCs w:val="28"/>
      <w:lang w:val="zh-CN"/>
    </w:rPr>
  </w:style>
  <w:style w:type="paragraph" w:customStyle="1" w:styleId="800">
    <w:name w:val="正文单倍行距"/>
    <w:basedOn w:val="1"/>
    <w:uiPriority w:val="0"/>
    <w:pPr>
      <w:tabs>
        <w:tab w:val="left" w:pos="8640"/>
      </w:tabs>
      <w:autoSpaceDE/>
      <w:autoSpaceDN/>
      <w:spacing w:line="240" w:lineRule="auto"/>
      <w:jc w:val="both"/>
    </w:pPr>
    <w:rPr>
      <w:rFonts w:ascii="Calibri" w:hAnsi="Calibri" w:eastAsia="仿宋_GB2312"/>
      <w:kern w:val="2"/>
    </w:rPr>
  </w:style>
  <w:style w:type="paragraph" w:customStyle="1" w:styleId="801">
    <w:name w:val="插图标题"/>
    <w:basedOn w:val="1"/>
    <w:uiPriority w:val="0"/>
    <w:pPr>
      <w:widowControl/>
      <w:tabs>
        <w:tab w:val="left" w:pos="1134"/>
        <w:tab w:val="right" w:pos="7371"/>
      </w:tabs>
      <w:overflowPunct w:val="0"/>
      <w:autoSpaceDE/>
      <w:autoSpaceDN/>
      <w:spacing w:line="240" w:lineRule="auto"/>
      <w:ind w:firstLine="567" w:firstLineChars="0"/>
      <w:jc w:val="center"/>
      <w:textAlignment w:val="baseline"/>
    </w:pPr>
    <w:rPr>
      <w:rFonts w:ascii="黑体" w:hAnsi="宋体" w:eastAsia="黑体" w:cs="宋体"/>
      <w:sz w:val="28"/>
      <w:szCs w:val="20"/>
    </w:rPr>
  </w:style>
  <w:style w:type="paragraph" w:customStyle="1" w:styleId="802">
    <w:name w:val="列表1"/>
    <w:basedOn w:val="1"/>
    <w:uiPriority w:val="0"/>
    <w:pPr>
      <w:autoSpaceDE/>
      <w:autoSpaceDN/>
      <w:ind w:left="-2" w:leftChars="-1" w:right="-108" w:rightChars="-45" w:firstLine="420"/>
      <w:textAlignment w:val="baseline"/>
    </w:pPr>
    <w:rPr>
      <w:rFonts w:ascii="黑体" w:hAnsi="Calibri" w:eastAsia="黑体"/>
      <w:kern w:val="2"/>
      <w:sz w:val="21"/>
      <w:szCs w:val="20"/>
    </w:rPr>
  </w:style>
  <w:style w:type="paragraph" w:customStyle="1" w:styleId="803">
    <w:name w:val="xl5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jc w:val="center"/>
      <w:textAlignment w:val="center"/>
    </w:pPr>
    <w:rPr>
      <w:rFonts w:ascii="宋体" w:hAnsi="宋体" w:eastAsia="Arial Unicode MS" w:cs="宋体"/>
      <w:sz w:val="20"/>
      <w:szCs w:val="20"/>
    </w:rPr>
  </w:style>
  <w:style w:type="paragraph" w:customStyle="1" w:styleId="804">
    <w:name w:val="右5"/>
    <w:basedOn w:val="1"/>
    <w:uiPriority w:val="0"/>
    <w:pPr>
      <w:widowControl/>
      <w:autoSpaceDE/>
      <w:autoSpaceDN/>
      <w:ind w:left="42" w:firstLine="0" w:firstLineChars="0"/>
      <w:jc w:val="right"/>
    </w:pPr>
    <w:rPr>
      <w:rFonts w:ascii="宋体" w:hAnsi="宋体" w:cs="宋体"/>
      <w:color w:val="000080"/>
      <w:kern w:val="28"/>
      <w:sz w:val="18"/>
      <w:szCs w:val="18"/>
    </w:rPr>
  </w:style>
  <w:style w:type="paragraph" w:customStyle="1" w:styleId="805">
    <w:name w:val="正文（首行缩进两个字） + 首行缩进:  2 字符"/>
    <w:basedOn w:val="1"/>
    <w:qFormat/>
    <w:uiPriority w:val="0"/>
    <w:pPr>
      <w:autoSpaceDE/>
      <w:autoSpaceDN/>
      <w:spacing w:line="440" w:lineRule="exact"/>
      <w:jc w:val="both"/>
    </w:pPr>
    <w:rPr>
      <w:rFonts w:ascii="Calibri" w:hAnsi="Calibri" w:eastAsia="仿宋_GB2312"/>
      <w:kern w:val="2"/>
      <w:sz w:val="21"/>
      <w:szCs w:val="20"/>
      <w:lang w:val="zh-CN"/>
    </w:rPr>
  </w:style>
  <w:style w:type="paragraph" w:customStyle="1" w:styleId="806">
    <w:name w:val="16"/>
    <w:basedOn w:val="1"/>
    <w:uiPriority w:val="0"/>
    <w:pPr>
      <w:widowControl/>
      <w:autoSpaceDE/>
      <w:autoSpaceDN/>
      <w:spacing w:line="240" w:lineRule="auto"/>
      <w:ind w:firstLine="0" w:firstLineChars="0"/>
    </w:pPr>
    <w:rPr>
      <w:rFonts w:ascii="宋体" w:hAnsi="宋体" w:cs="宋体"/>
    </w:rPr>
  </w:style>
  <w:style w:type="paragraph" w:customStyle="1" w:styleId="807">
    <w:name w:val="Char Char Char Char Char Char Char Char Char Char Char Char Char Char Char Char Char Char Char Char Char Char Char Char Char Char Char Char Char Char Char Char Char Char Char Char Char Char Char Char Char Char"/>
    <w:basedOn w:val="1"/>
    <w:next w:val="1"/>
    <w:uiPriority w:val="0"/>
    <w:pPr>
      <w:autoSpaceDE/>
      <w:autoSpaceDN/>
      <w:jc w:val="both"/>
    </w:pPr>
    <w:rPr>
      <w:rFonts w:ascii="宋体" w:hAnsi="宋体" w:cs="宋体"/>
      <w:kern w:val="2"/>
    </w:rPr>
  </w:style>
  <w:style w:type="paragraph" w:customStyle="1" w:styleId="808">
    <w:name w:val="777777777 Char Char"/>
    <w:basedOn w:val="1"/>
    <w:uiPriority w:val="0"/>
    <w:pPr>
      <w:widowControl/>
      <w:autoSpaceDE/>
      <w:autoSpaceDN/>
      <w:spacing w:line="400" w:lineRule="exact"/>
      <w:ind w:firstLine="560"/>
    </w:pPr>
    <w:rPr>
      <w:rFonts w:ascii="宋体" w:hAnsi="宋体" w:cs="宋体"/>
      <w:sz w:val="28"/>
      <w:szCs w:val="20"/>
    </w:rPr>
  </w:style>
  <w:style w:type="paragraph" w:customStyle="1" w:styleId="809">
    <w:name w:val="表－居中列"/>
    <w:basedOn w:val="1"/>
    <w:uiPriority w:val="0"/>
    <w:pPr>
      <w:autoSpaceDE/>
      <w:autoSpaceDN/>
      <w:spacing w:line="320" w:lineRule="exact"/>
      <w:ind w:firstLine="0" w:firstLineChars="0"/>
      <w:jc w:val="center"/>
    </w:pPr>
    <w:rPr>
      <w:rFonts w:ascii="楷体_GB2312" w:hAnsi="Calibri" w:eastAsia="楷体_GB2312" w:cs="Arial"/>
      <w:snapToGrid w:val="0"/>
      <w:spacing w:val="-20"/>
      <w:sz w:val="21"/>
      <w:szCs w:val="21"/>
      <w:lang w:eastAsia="ja-JP"/>
    </w:rPr>
  </w:style>
  <w:style w:type="paragraph" w:customStyle="1" w:styleId="810">
    <w:name w:val="正文（首行缩进）"/>
    <w:basedOn w:val="1"/>
    <w:uiPriority w:val="0"/>
    <w:pPr>
      <w:widowControl/>
      <w:autoSpaceDE/>
      <w:autoSpaceDN/>
      <w:ind w:firstLine="480"/>
    </w:pPr>
    <w:rPr>
      <w:rFonts w:ascii="宋体" w:hAnsi="宋体" w:cs="宋体"/>
      <w:color w:val="000000"/>
      <w:szCs w:val="20"/>
    </w:rPr>
  </w:style>
  <w:style w:type="paragraph" w:customStyle="1" w:styleId="811">
    <w:name w:val="xl32"/>
    <w:basedOn w:val="1"/>
    <w:uiPriority w:val="0"/>
    <w:pPr>
      <w:widowControl/>
      <w:pBdr>
        <w:top w:val="single" w:color="auto" w:sz="4" w:space="0"/>
        <w:left w:val="single" w:color="auto" w:sz="4" w:space="0"/>
        <w:bottom w:val="single" w:color="auto" w:sz="8"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812">
    <w:name w:val="2.2.2.1"/>
    <w:basedOn w:val="813"/>
    <w:qFormat/>
    <w:uiPriority w:val="0"/>
    <w:pPr>
      <w:tabs>
        <w:tab w:val="left" w:pos="709"/>
        <w:tab w:val="left" w:pos="851"/>
      </w:tabs>
      <w:ind w:left="851" w:hanging="851"/>
      <w:outlineLvl w:val="3"/>
    </w:pPr>
    <w:rPr>
      <w:b w:val="0"/>
    </w:rPr>
  </w:style>
  <w:style w:type="paragraph" w:customStyle="1" w:styleId="813">
    <w:name w:val="2.2"/>
    <w:basedOn w:val="1"/>
    <w:qFormat/>
    <w:uiPriority w:val="0"/>
    <w:pPr>
      <w:widowControl/>
      <w:tabs>
        <w:tab w:val="left" w:pos="709"/>
      </w:tabs>
      <w:autoSpaceDE/>
      <w:autoSpaceDN/>
      <w:spacing w:beforeLines="50" w:afterLines="50"/>
      <w:ind w:left="709" w:firstLine="0" w:firstLineChars="0"/>
      <w:outlineLvl w:val="2"/>
    </w:pPr>
    <w:rPr>
      <w:rFonts w:ascii="Calibri" w:hAnsi="Calibri"/>
      <w:b/>
    </w:rPr>
  </w:style>
  <w:style w:type="paragraph" w:customStyle="1" w:styleId="814">
    <w:name w:val="正文应用"/>
    <w:basedOn w:val="1"/>
    <w:uiPriority w:val="0"/>
    <w:pPr>
      <w:autoSpaceDE/>
      <w:autoSpaceDN/>
      <w:jc w:val="both"/>
    </w:pPr>
    <w:rPr>
      <w:rFonts w:ascii="Calibri" w:hAnsi="Calibri"/>
      <w:kern w:val="2"/>
    </w:rPr>
  </w:style>
  <w:style w:type="paragraph" w:customStyle="1" w:styleId="815">
    <w:name w:val="封面2"/>
    <w:basedOn w:val="1"/>
    <w:uiPriority w:val="0"/>
    <w:pPr>
      <w:autoSpaceDE/>
      <w:autoSpaceDN/>
      <w:spacing w:line="240" w:lineRule="auto"/>
      <w:ind w:firstLine="0" w:firstLineChars="0"/>
      <w:jc w:val="center"/>
    </w:pPr>
    <w:rPr>
      <w:rFonts w:ascii="Calibri" w:hAnsi="Calibri"/>
      <w:b/>
      <w:kern w:val="2"/>
      <w:sz w:val="44"/>
    </w:rPr>
  </w:style>
  <w:style w:type="paragraph" w:customStyle="1" w:styleId="816">
    <w:name w:val="二级无标题条"/>
    <w:basedOn w:val="1"/>
    <w:uiPriority w:val="0"/>
    <w:pPr>
      <w:autoSpaceDE/>
      <w:autoSpaceDN/>
      <w:spacing w:line="240" w:lineRule="auto"/>
      <w:ind w:firstLine="0" w:firstLineChars="0"/>
      <w:jc w:val="both"/>
    </w:pPr>
    <w:rPr>
      <w:rFonts w:ascii="Calibri" w:hAnsi="Calibri"/>
      <w:kern w:val="2"/>
      <w:sz w:val="21"/>
    </w:rPr>
  </w:style>
  <w:style w:type="paragraph" w:customStyle="1" w:styleId="817">
    <w:name w:val="右侧"/>
    <w:uiPriority w:val="0"/>
    <w:pPr>
      <w:spacing w:line="280" w:lineRule="exact"/>
      <w:jc w:val="right"/>
    </w:pPr>
    <w:rPr>
      <w:rFonts w:ascii="Batang" w:hAnsi="Batang" w:eastAsia="宋体" w:cs="Times New Roman"/>
      <w:color w:val="000000"/>
      <w:sz w:val="18"/>
      <w:lang w:val="en-US" w:eastAsia="zh-CN" w:bidi="ar-SA"/>
    </w:rPr>
  </w:style>
  <w:style w:type="paragraph" w:customStyle="1" w:styleId="818">
    <w:name w:val="样式 宋体 四号 行距: 1.5 倍行距"/>
    <w:basedOn w:val="1"/>
    <w:uiPriority w:val="0"/>
    <w:pPr>
      <w:widowControl/>
      <w:autoSpaceDE/>
      <w:autoSpaceDN/>
      <w:ind w:right="-169" w:firstLine="482" w:firstLineChars="0"/>
    </w:pPr>
    <w:rPr>
      <w:rFonts w:ascii="宋体" w:hAnsi="宋体" w:cs="宋体"/>
      <w:b/>
      <w:szCs w:val="20"/>
    </w:rPr>
  </w:style>
  <w:style w:type="paragraph" w:customStyle="1" w:styleId="819">
    <w:name w:val="标题二"/>
    <w:basedOn w:val="3"/>
    <w:qFormat/>
    <w:uiPriority w:val="0"/>
    <w:pPr>
      <w:numPr>
        <w:ilvl w:val="0"/>
        <w:numId w:val="0"/>
      </w:numPr>
      <w:autoSpaceDE/>
      <w:autoSpaceDN/>
      <w:spacing w:line="480" w:lineRule="exact"/>
      <w:jc w:val="both"/>
    </w:pPr>
    <w:rPr>
      <w:rFonts w:ascii="楷体_GB2312" w:eastAsia="楷体_GB2312" w:cs="Times New Roman"/>
      <w:b/>
      <w:snapToGrid w:val="0"/>
      <w:sz w:val="28"/>
      <w:szCs w:val="28"/>
      <w:lang w:val="zh-CN"/>
    </w:rPr>
  </w:style>
  <w:style w:type="paragraph" w:customStyle="1" w:styleId="820">
    <w:name w:val="讲稿"/>
    <w:basedOn w:val="1"/>
    <w:uiPriority w:val="0"/>
    <w:pPr>
      <w:autoSpaceDE/>
      <w:autoSpaceDN/>
      <w:spacing w:line="240" w:lineRule="auto"/>
      <w:ind w:firstLine="431" w:firstLineChars="0"/>
      <w:jc w:val="both"/>
    </w:pPr>
    <w:rPr>
      <w:rFonts w:ascii="Arial" w:hAnsi="Arial"/>
      <w:sz w:val="21"/>
      <w:szCs w:val="20"/>
    </w:rPr>
  </w:style>
  <w:style w:type="paragraph" w:customStyle="1" w:styleId="821">
    <w:name w:val="Char Char Char Char Char Char Char Char Char Char Char Char Char Char Char Char Char Char Char Char Char Char Char Char Char Char Char Char Char Char Char Char Char Char Char Char Char Char Char Char Char Char1"/>
    <w:basedOn w:val="1"/>
    <w:next w:val="1"/>
    <w:uiPriority w:val="0"/>
    <w:pPr>
      <w:autoSpaceDE/>
      <w:autoSpaceDN/>
      <w:jc w:val="both"/>
    </w:pPr>
    <w:rPr>
      <w:rFonts w:ascii="宋体" w:hAnsi="宋体" w:cs="宋体"/>
      <w:kern w:val="2"/>
    </w:rPr>
  </w:style>
  <w:style w:type="paragraph" w:customStyle="1" w:styleId="822">
    <w:name w:val="表格文字居中 Char"/>
    <w:basedOn w:val="199"/>
    <w:uiPriority w:val="0"/>
    <w:pPr>
      <w:keepNext/>
      <w:tabs>
        <w:tab w:val="left" w:pos="628"/>
        <w:tab w:val="left" w:pos="1727"/>
        <w:tab w:val="left" w:pos="1884"/>
        <w:tab w:val="left" w:pos="2660"/>
        <w:tab w:val="left" w:pos="4200"/>
      </w:tabs>
      <w:snapToGrid w:val="0"/>
      <w:spacing w:before="100" w:beforeAutospacing="1" w:after="0" w:line="360" w:lineRule="auto"/>
      <w:ind w:firstLine="0" w:firstLineChars="200"/>
      <w:jc w:val="center"/>
    </w:pPr>
    <w:rPr>
      <w:rFonts w:ascii="宋体"/>
      <w:bCs/>
      <w:color w:val="000000"/>
      <w:kern w:val="0"/>
      <w:sz w:val="24"/>
      <w:szCs w:val="28"/>
    </w:rPr>
  </w:style>
  <w:style w:type="paragraph" w:customStyle="1" w:styleId="823">
    <w:name w:val="TOC 标题1"/>
    <w:basedOn w:val="2"/>
    <w:next w:val="1"/>
    <w:qFormat/>
    <w:uiPriority w:val="39"/>
    <w:pPr>
      <w:keepNext/>
      <w:keepLines/>
      <w:widowControl/>
      <w:numPr>
        <w:numId w:val="0"/>
      </w:numPr>
      <w:autoSpaceDE/>
      <w:autoSpaceDN/>
      <w:spacing w:before="480" w:line="276" w:lineRule="auto"/>
      <w:jc w:val="left"/>
      <w:outlineLvl w:val="9"/>
    </w:pPr>
    <w:rPr>
      <w:rFonts w:ascii="Cambria" w:hAnsi="Cambria" w:eastAsia="宋体" w:cs="Times New Roman"/>
      <w:b/>
      <w:bCs/>
      <w:color w:val="365F91"/>
      <w:sz w:val="28"/>
      <w:szCs w:val="28"/>
      <w:lang w:val="zh-CN"/>
    </w:rPr>
  </w:style>
  <w:style w:type="paragraph" w:customStyle="1" w:styleId="824">
    <w:name w:val="插图"/>
    <w:next w:val="1"/>
    <w:uiPriority w:val="0"/>
    <w:pPr>
      <w:snapToGrid w:val="0"/>
      <w:spacing w:line="240" w:lineRule="exact"/>
      <w:jc w:val="center"/>
    </w:pPr>
    <w:rPr>
      <w:rFonts w:ascii="宋体" w:hAnsi="Calibri" w:eastAsia="宋体" w:cs="Times New Roman"/>
      <w:kern w:val="2"/>
      <w:sz w:val="21"/>
      <w:szCs w:val="21"/>
      <w:lang w:val="en-US" w:eastAsia="zh-CN" w:bidi="ar-SA"/>
    </w:rPr>
  </w:style>
  <w:style w:type="paragraph" w:customStyle="1" w:styleId="825">
    <w:name w:val="样式 (西文) 楷体_GB2312 (中文) 楷体_GB2312 (符号) Arial 四号 黑色 首行缩进:  2 ..."/>
    <w:basedOn w:val="1"/>
    <w:uiPriority w:val="0"/>
    <w:pPr>
      <w:autoSpaceDE/>
      <w:autoSpaceDN/>
      <w:ind w:firstLine="560"/>
      <w:jc w:val="both"/>
    </w:pPr>
    <w:rPr>
      <w:rFonts w:ascii="Arial" w:hAnsi="Arial" w:eastAsia="楷体_GB2312" w:cs="宋体"/>
      <w:color w:val="000000"/>
      <w:kern w:val="2"/>
      <w:sz w:val="28"/>
      <w:szCs w:val="28"/>
    </w:rPr>
  </w:style>
  <w:style w:type="paragraph" w:customStyle="1" w:styleId="826">
    <w:name w:val="Style104"/>
    <w:basedOn w:val="1"/>
    <w:uiPriority w:val="0"/>
    <w:pPr>
      <w:autoSpaceDE/>
      <w:autoSpaceDN/>
      <w:spacing w:line="240" w:lineRule="auto"/>
      <w:ind w:firstLine="0" w:firstLineChars="0"/>
      <w:jc w:val="center"/>
    </w:pPr>
    <w:rPr>
      <w:rFonts w:ascii="宋体" w:hAnsi="Calibri"/>
      <w:szCs w:val="20"/>
    </w:rPr>
  </w:style>
  <w:style w:type="paragraph" w:customStyle="1" w:styleId="827">
    <w:name w:val="6"/>
    <w:basedOn w:val="1"/>
    <w:next w:val="53"/>
    <w:uiPriority w:val="0"/>
    <w:pPr>
      <w:widowControl/>
      <w:autoSpaceDE/>
      <w:autoSpaceDN/>
      <w:ind w:firstLine="420" w:firstLineChars="0"/>
      <w:jc w:val="center"/>
    </w:pPr>
    <w:rPr>
      <w:rFonts w:ascii="黑体" w:hAnsi="Arial" w:eastAsia="黑体" w:cs="宋体"/>
      <w:color w:val="000000"/>
      <w:kern w:val="28"/>
      <w:szCs w:val="28"/>
    </w:rPr>
  </w:style>
  <w:style w:type="paragraph" w:customStyle="1" w:styleId="828">
    <w:name w:val="表格文字5号"/>
    <w:basedOn w:val="1"/>
    <w:uiPriority w:val="0"/>
    <w:pPr>
      <w:autoSpaceDE/>
      <w:autoSpaceDN/>
      <w:spacing w:line="240" w:lineRule="auto"/>
      <w:ind w:firstLine="0" w:firstLineChars="0"/>
      <w:jc w:val="center"/>
    </w:pPr>
    <w:rPr>
      <w:rFonts w:ascii="宋体" w:hAnsi="宋体"/>
      <w:sz w:val="21"/>
      <w:szCs w:val="28"/>
    </w:rPr>
  </w:style>
  <w:style w:type="paragraph" w:customStyle="1" w:styleId="829">
    <w:name w:val="样式 仿宋_GB2312 小四1"/>
    <w:basedOn w:val="1"/>
    <w:uiPriority w:val="0"/>
    <w:pPr>
      <w:autoSpaceDE/>
      <w:autoSpaceDN/>
      <w:ind w:firstLine="480"/>
      <w:jc w:val="both"/>
      <w:textAlignment w:val="baseline"/>
    </w:pPr>
    <w:rPr>
      <w:rFonts w:ascii="Calibri" w:hAnsi="Calibri" w:eastAsia="仿宋_GB2312"/>
    </w:rPr>
  </w:style>
  <w:style w:type="paragraph" w:customStyle="1" w:styleId="830">
    <w:name w:val="Char11"/>
    <w:basedOn w:val="1"/>
    <w:uiPriority w:val="0"/>
    <w:pPr>
      <w:autoSpaceDE/>
      <w:autoSpaceDN/>
      <w:spacing w:line="240" w:lineRule="auto"/>
      <w:ind w:firstLine="0" w:firstLineChars="0"/>
      <w:jc w:val="both"/>
    </w:pPr>
    <w:rPr>
      <w:rFonts w:ascii="Calibri" w:hAnsi="Calibri"/>
      <w:kern w:val="2"/>
      <w:sz w:val="21"/>
    </w:rPr>
  </w:style>
  <w:style w:type="paragraph" w:customStyle="1" w:styleId="831">
    <w:name w:val="列表接续 51"/>
    <w:basedOn w:val="1"/>
    <w:uiPriority w:val="0"/>
    <w:pPr>
      <w:autoSpaceDE/>
      <w:autoSpaceDN/>
      <w:spacing w:after="120" w:line="240" w:lineRule="auto"/>
      <w:ind w:left="2100" w:leftChars="1000" w:firstLine="0" w:firstLineChars="0"/>
      <w:jc w:val="both"/>
    </w:pPr>
    <w:rPr>
      <w:rFonts w:ascii="Calibri" w:hAnsi="Calibri"/>
      <w:kern w:val="2"/>
      <w:sz w:val="21"/>
    </w:rPr>
  </w:style>
  <w:style w:type="paragraph" w:customStyle="1" w:styleId="832">
    <w:name w:val="文档结构图11"/>
    <w:basedOn w:val="1"/>
    <w:uiPriority w:val="0"/>
    <w:pPr>
      <w:widowControl/>
      <w:shd w:val="clear" w:color="auto" w:fill="000080"/>
      <w:tabs>
        <w:tab w:val="left" w:pos="480"/>
        <w:tab w:val="left" w:pos="1680"/>
        <w:tab w:val="left" w:pos="3960"/>
        <w:tab w:val="left" w:pos="5400"/>
        <w:tab w:val="left" w:pos="6840"/>
      </w:tabs>
      <w:autoSpaceDE/>
      <w:autoSpaceDN/>
      <w:spacing w:line="240" w:lineRule="atLeast"/>
      <w:ind w:firstLine="482" w:firstLineChars="0"/>
      <w:textAlignment w:val="baseline"/>
    </w:pPr>
    <w:rPr>
      <w:rFonts w:ascii="宋体" w:hAnsi="宋体" w:eastAsia="创艺简楷体" w:cs="宋体"/>
      <w:sz w:val="28"/>
      <w:szCs w:val="20"/>
    </w:rPr>
  </w:style>
  <w:style w:type="paragraph" w:customStyle="1" w:styleId="833">
    <w:name w:val="列表 51"/>
    <w:basedOn w:val="1"/>
    <w:uiPriority w:val="0"/>
    <w:pPr>
      <w:autoSpaceDE/>
      <w:autoSpaceDN/>
      <w:spacing w:line="240" w:lineRule="auto"/>
      <w:ind w:left="100" w:leftChars="800" w:hanging="200" w:hangingChars="200"/>
      <w:jc w:val="both"/>
    </w:pPr>
    <w:rPr>
      <w:rFonts w:ascii="Calibri" w:hAnsi="Calibri"/>
      <w:kern w:val="2"/>
      <w:sz w:val="21"/>
    </w:rPr>
  </w:style>
  <w:style w:type="paragraph" w:customStyle="1" w:styleId="834">
    <w:name w:val="表头！！！"/>
    <w:basedOn w:val="1"/>
    <w:uiPriority w:val="0"/>
    <w:pPr>
      <w:autoSpaceDE/>
      <w:autoSpaceDN/>
      <w:ind w:firstLine="0" w:firstLineChars="0"/>
      <w:jc w:val="center"/>
    </w:pPr>
    <w:rPr>
      <w:rFonts w:ascii="黑体" w:hAnsi="Calibri" w:eastAsia="楷体_GB2312" w:cs="宋体"/>
      <w:b/>
      <w:kern w:val="2"/>
      <w:szCs w:val="20"/>
    </w:rPr>
  </w:style>
  <w:style w:type="paragraph" w:customStyle="1" w:styleId="835">
    <w:name w:val="Char22"/>
    <w:basedOn w:val="1"/>
    <w:uiPriority w:val="0"/>
    <w:pPr>
      <w:autoSpaceDE/>
      <w:autoSpaceDN/>
      <w:spacing w:line="240" w:lineRule="auto"/>
      <w:ind w:firstLine="0" w:firstLineChars="0"/>
      <w:jc w:val="both"/>
    </w:pPr>
    <w:rPr>
      <w:rFonts w:ascii="Calibri" w:hAnsi="Calibri"/>
      <w:kern w:val="2"/>
      <w:sz w:val="21"/>
    </w:rPr>
  </w:style>
  <w:style w:type="paragraph" w:customStyle="1" w:styleId="836">
    <w:name w:val="默认段落字体 Para Char Char Char Char"/>
    <w:basedOn w:val="1"/>
    <w:qFormat/>
    <w:uiPriority w:val="0"/>
    <w:pPr>
      <w:autoSpaceDE/>
      <w:autoSpaceDN/>
      <w:spacing w:line="240" w:lineRule="auto"/>
      <w:ind w:firstLine="0" w:firstLineChars="0"/>
      <w:jc w:val="both"/>
    </w:pPr>
    <w:rPr>
      <w:rFonts w:ascii="Calibri" w:hAnsi="Calibri"/>
      <w:kern w:val="2"/>
    </w:rPr>
  </w:style>
  <w:style w:type="paragraph" w:customStyle="1" w:styleId="837">
    <w:name w:val="正文(首行缩进两字2)"/>
    <w:basedOn w:val="18"/>
    <w:uiPriority w:val="0"/>
    <w:pPr>
      <w:autoSpaceDE/>
      <w:autoSpaceDN/>
      <w:spacing w:line="480" w:lineRule="exact"/>
      <w:ind w:right="-13" w:rightChars="-6" w:firstLine="560"/>
      <w:jc w:val="both"/>
    </w:pPr>
    <w:rPr>
      <w:rFonts w:ascii="Calibri" w:hAnsi="Calibri" w:eastAsia="仿宋_GB2312"/>
      <w:kern w:val="2"/>
      <w:sz w:val="28"/>
      <w:szCs w:val="20"/>
      <w:lang w:val="zh-CN"/>
    </w:rPr>
  </w:style>
  <w:style w:type="paragraph" w:customStyle="1" w:styleId="838">
    <w:name w:val="样式 标题 + 两端对齐"/>
    <w:basedOn w:val="72"/>
    <w:uiPriority w:val="0"/>
    <w:pPr>
      <w:tabs>
        <w:tab w:val="left" w:pos="0"/>
      </w:tabs>
      <w:spacing w:before="0" w:after="100" w:afterAutospacing="1" w:line="360" w:lineRule="auto"/>
      <w:ind w:left="57" w:hanging="57"/>
    </w:pPr>
    <w:rPr>
      <w:rFonts w:ascii="隶书" w:eastAsia="隶书" w:cs="宋体"/>
      <w:sz w:val="44"/>
      <w:szCs w:val="44"/>
    </w:rPr>
  </w:style>
  <w:style w:type="paragraph" w:customStyle="1" w:styleId="839">
    <w:name w:val="a"/>
    <w:basedOn w:val="1"/>
    <w:uiPriority w:val="0"/>
    <w:pPr>
      <w:widowControl/>
      <w:autoSpaceDE/>
      <w:autoSpaceDN/>
      <w:spacing w:before="100" w:beforeAutospacing="1" w:after="100" w:afterAutospacing="1" w:line="240" w:lineRule="auto"/>
      <w:ind w:firstLine="0" w:firstLineChars="0"/>
    </w:pPr>
    <w:rPr>
      <w:rFonts w:ascii="宋体" w:hAnsi="宋体"/>
    </w:rPr>
  </w:style>
  <w:style w:type="paragraph" w:customStyle="1" w:styleId="840">
    <w:name w:val="正文样式2"/>
    <w:basedOn w:val="1"/>
    <w:next w:val="728"/>
    <w:uiPriority w:val="0"/>
    <w:pPr>
      <w:keepNext/>
      <w:widowControl/>
      <w:autoSpaceDE/>
      <w:autoSpaceDN/>
      <w:spacing w:line="480" w:lineRule="atLeast"/>
      <w:ind w:firstLine="567" w:firstLineChars="0"/>
      <w:textAlignment w:val="baseline"/>
    </w:pPr>
    <w:rPr>
      <w:rFonts w:ascii="黑体" w:hAnsi="宋体" w:eastAsia="黑体" w:cs="宋体"/>
      <w:sz w:val="28"/>
      <w:szCs w:val="20"/>
    </w:rPr>
  </w:style>
  <w:style w:type="paragraph" w:customStyle="1" w:styleId="841">
    <w:name w:val="Char Char1 Char Char Char Char Char Char Char Char Char Char Char Char Char Char Char Char Char Char Char Char1 Char"/>
    <w:basedOn w:val="1"/>
    <w:uiPriority w:val="0"/>
    <w:pPr>
      <w:autoSpaceDE/>
      <w:autoSpaceDN/>
      <w:jc w:val="both"/>
    </w:pPr>
    <w:rPr>
      <w:rFonts w:ascii="宋体" w:hAnsi="宋体" w:cs="宋体"/>
      <w:kern w:val="2"/>
    </w:rPr>
  </w:style>
  <w:style w:type="paragraph" w:customStyle="1" w:styleId="842">
    <w:name w:val="Char Char Char Char Char Char1 Char1"/>
    <w:basedOn w:val="1"/>
    <w:uiPriority w:val="0"/>
    <w:pPr>
      <w:autoSpaceDE/>
      <w:autoSpaceDN/>
      <w:spacing w:line="240" w:lineRule="auto"/>
      <w:ind w:firstLine="0" w:firstLineChars="0"/>
      <w:jc w:val="both"/>
    </w:pPr>
    <w:rPr>
      <w:rFonts w:ascii="Calibri" w:hAnsi="Calibri"/>
      <w:kern w:val="2"/>
      <w:sz w:val="21"/>
    </w:rPr>
  </w:style>
  <w:style w:type="paragraph" w:customStyle="1" w:styleId="843">
    <w:name w:val="正文文本缩进 221"/>
    <w:basedOn w:val="1"/>
    <w:uiPriority w:val="0"/>
    <w:pPr>
      <w:widowControl/>
      <w:autoSpaceDE/>
      <w:autoSpaceDN/>
      <w:spacing w:line="360" w:lineRule="atLeast"/>
      <w:ind w:firstLine="425" w:firstLineChars="0"/>
      <w:textAlignment w:val="baseline"/>
    </w:pPr>
    <w:rPr>
      <w:rFonts w:ascii="宋体" w:hAnsi="宋体" w:cs="宋体"/>
      <w:spacing w:val="20"/>
      <w:szCs w:val="20"/>
    </w:rPr>
  </w:style>
  <w:style w:type="paragraph" w:customStyle="1" w:styleId="844">
    <w:name w:val="表文"/>
    <w:basedOn w:val="1"/>
    <w:uiPriority w:val="0"/>
    <w:pPr>
      <w:keepNext/>
      <w:autoSpaceDE/>
      <w:autoSpaceDN/>
      <w:spacing w:line="240" w:lineRule="exact"/>
      <w:ind w:firstLine="0" w:firstLineChars="0"/>
      <w:jc w:val="center"/>
    </w:pPr>
    <w:rPr>
      <w:rFonts w:ascii="Calibri" w:hAnsi="宋体"/>
      <w:kern w:val="2"/>
      <w:sz w:val="18"/>
      <w:szCs w:val="18"/>
    </w:rPr>
  </w:style>
  <w:style w:type="paragraph" w:customStyle="1" w:styleId="845">
    <w:name w:val="五级无标题条"/>
    <w:basedOn w:val="1"/>
    <w:qFormat/>
    <w:uiPriority w:val="0"/>
    <w:pPr>
      <w:numPr>
        <w:ilvl w:val="2"/>
        <w:numId w:val="4"/>
      </w:numPr>
      <w:autoSpaceDE/>
      <w:autoSpaceDN/>
      <w:spacing w:line="240" w:lineRule="auto"/>
      <w:ind w:left="0" w:firstLine="0" w:firstLineChars="0"/>
      <w:jc w:val="both"/>
    </w:pPr>
    <w:rPr>
      <w:rFonts w:ascii="Calibri" w:hAnsi="Calibri"/>
      <w:kern w:val="2"/>
      <w:sz w:val="21"/>
    </w:rPr>
  </w:style>
  <w:style w:type="paragraph" w:customStyle="1" w:styleId="846">
    <w:name w:val="xl41"/>
    <w:basedOn w:val="1"/>
    <w:uiPriority w:val="0"/>
    <w:pPr>
      <w:widowControl/>
      <w:pBdr>
        <w:top w:val="single" w:color="auto" w:sz="8"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rPr>
  </w:style>
  <w:style w:type="paragraph" w:customStyle="1" w:styleId="847">
    <w:name w:val="xl2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848">
    <w:name w:val="图片居中"/>
    <w:basedOn w:val="207"/>
    <w:next w:val="207"/>
    <w:qFormat/>
    <w:uiPriority w:val="0"/>
    <w:pPr>
      <w:spacing w:line="240" w:lineRule="auto"/>
      <w:ind w:firstLine="0" w:firstLineChars="0"/>
      <w:jc w:val="center"/>
    </w:pPr>
    <w:rPr>
      <w:rFonts w:hAnsi="宋体" w:cs="宋体"/>
      <w:spacing w:val="0"/>
      <w:sz w:val="21"/>
      <w:szCs w:val="20"/>
    </w:rPr>
  </w:style>
  <w:style w:type="paragraph" w:customStyle="1" w:styleId="849">
    <w:name w:val="Char Char24"/>
    <w:basedOn w:val="1"/>
    <w:qFormat/>
    <w:uiPriority w:val="0"/>
    <w:pPr>
      <w:autoSpaceDE/>
      <w:autoSpaceDN/>
      <w:spacing w:line="240" w:lineRule="auto"/>
      <w:ind w:firstLine="0" w:firstLineChars="0"/>
      <w:jc w:val="both"/>
    </w:pPr>
    <w:rPr>
      <w:rFonts w:ascii="Calibri" w:hAnsi="Calibri"/>
      <w:kern w:val="2"/>
    </w:rPr>
  </w:style>
  <w:style w:type="paragraph" w:customStyle="1" w:styleId="850">
    <w:name w:val="1 Char Char Char Char Char Char Char Char Char Char Char Char Char Char Char Char Char Char Char Char Char Char"/>
    <w:basedOn w:val="1"/>
    <w:uiPriority w:val="0"/>
    <w:pPr>
      <w:widowControl/>
      <w:autoSpaceDE/>
      <w:autoSpaceDN/>
      <w:spacing w:line="240" w:lineRule="auto"/>
      <w:ind w:firstLine="0" w:firstLineChars="0"/>
    </w:pPr>
    <w:rPr>
      <w:rFonts w:ascii="宋体" w:hAnsi="宋体" w:cs="宋体"/>
    </w:rPr>
  </w:style>
  <w:style w:type="paragraph" w:customStyle="1" w:styleId="851">
    <w:name w:val="表格文字样式"/>
    <w:basedOn w:val="1"/>
    <w:uiPriority w:val="0"/>
    <w:pPr>
      <w:widowControl/>
      <w:spacing w:line="240" w:lineRule="exact"/>
      <w:ind w:firstLine="0" w:firstLineChars="0"/>
    </w:pPr>
    <w:rPr>
      <w:rFonts w:ascii="仿宋_GB2312" w:hAnsi="宋体" w:eastAsia="仿宋_GB2312" w:cs="仿宋_GB2312"/>
      <w:szCs w:val="21"/>
    </w:rPr>
  </w:style>
  <w:style w:type="paragraph" w:customStyle="1" w:styleId="852">
    <w:name w:val="Char Char Char Char"/>
    <w:basedOn w:val="1"/>
    <w:qFormat/>
    <w:uiPriority w:val="0"/>
    <w:pPr>
      <w:autoSpaceDE/>
      <w:autoSpaceDN/>
      <w:jc w:val="both"/>
    </w:pPr>
    <w:rPr>
      <w:rFonts w:ascii="宋体" w:hAnsi="宋体" w:cs="宋体"/>
      <w:kern w:val="2"/>
    </w:rPr>
  </w:style>
  <w:style w:type="paragraph" w:customStyle="1" w:styleId="853">
    <w:name w:val="正文楷体"/>
    <w:basedOn w:val="1"/>
    <w:uiPriority w:val="0"/>
    <w:pPr>
      <w:autoSpaceDE/>
      <w:autoSpaceDN/>
      <w:spacing w:line="500" w:lineRule="exact"/>
      <w:jc w:val="both"/>
    </w:pPr>
    <w:rPr>
      <w:rFonts w:ascii="宋体" w:hAnsi="宋体" w:eastAsia="楷体_GB2312"/>
      <w:kern w:val="2"/>
    </w:rPr>
  </w:style>
  <w:style w:type="paragraph" w:customStyle="1" w:styleId="854">
    <w:name w:val="列出段落3"/>
    <w:basedOn w:val="1"/>
    <w:qFormat/>
    <w:uiPriority w:val="1"/>
    <w:pPr>
      <w:autoSpaceDE/>
      <w:autoSpaceDN/>
      <w:spacing w:line="240" w:lineRule="auto"/>
      <w:ind w:firstLine="420"/>
      <w:jc w:val="both"/>
    </w:pPr>
    <w:rPr>
      <w:rFonts w:ascii="Calibri" w:hAnsi="Calibri"/>
      <w:kern w:val="2"/>
      <w:sz w:val="21"/>
      <w:szCs w:val="22"/>
    </w:rPr>
  </w:style>
  <w:style w:type="paragraph" w:customStyle="1" w:styleId="855">
    <w:name w:val="样式 正文 首行缩进:  2 字符 + 首行缩进:  2 字符"/>
    <w:basedOn w:val="1"/>
    <w:uiPriority w:val="0"/>
    <w:pPr>
      <w:autoSpaceDE/>
      <w:autoSpaceDN/>
      <w:spacing w:line="480" w:lineRule="exact"/>
      <w:ind w:firstLine="560"/>
      <w:jc w:val="both"/>
    </w:pPr>
    <w:rPr>
      <w:rFonts w:ascii="Calibri" w:hAnsi="Calibri"/>
      <w:kern w:val="2"/>
      <w:sz w:val="28"/>
      <w:szCs w:val="20"/>
    </w:rPr>
  </w:style>
  <w:style w:type="paragraph" w:customStyle="1" w:styleId="856">
    <w:name w:val="设计文本"/>
    <w:basedOn w:val="1"/>
    <w:uiPriority w:val="0"/>
    <w:pPr>
      <w:autoSpaceDE/>
      <w:autoSpaceDN/>
      <w:spacing w:line="240" w:lineRule="auto"/>
      <w:ind w:firstLine="0" w:firstLineChars="0"/>
      <w:jc w:val="center"/>
    </w:pPr>
    <w:rPr>
      <w:rFonts w:ascii="Calibri" w:hAnsi="Calibri"/>
      <w:kern w:val="2"/>
      <w:szCs w:val="20"/>
    </w:rPr>
  </w:style>
  <w:style w:type="paragraph" w:customStyle="1" w:styleId="857">
    <w:name w:val="默认段落字体 Para Char Char Char Char Char Char Char Char Char Char Char Char Char Char Char Char Char Char Char"/>
    <w:basedOn w:val="4"/>
    <w:uiPriority w:val="0"/>
    <w:pPr>
      <w:keepNext/>
      <w:keepLines/>
      <w:numPr>
        <w:ilvl w:val="0"/>
        <w:numId w:val="0"/>
      </w:numPr>
      <w:tabs>
        <w:tab w:val="left" w:pos="851"/>
        <w:tab w:val="left" w:pos="900"/>
      </w:tabs>
      <w:autoSpaceDE/>
      <w:autoSpaceDN/>
      <w:spacing w:before="120" w:after="120"/>
      <w:ind w:left="-12" w:leftChars="-12" w:firstLine="200" w:firstLineChars="200"/>
    </w:pPr>
    <w:rPr>
      <w:rFonts w:ascii="宋体" w:hAnsi="宋体" w:eastAsia="仿宋_GB2312" w:cs="Times New Roman"/>
      <w:b/>
      <w:kern w:val="2"/>
      <w:sz w:val="32"/>
      <w:szCs w:val="20"/>
      <w:lang w:val="zh-CN"/>
    </w:rPr>
  </w:style>
  <w:style w:type="paragraph" w:customStyle="1" w:styleId="858">
    <w:name w:val="Char Char Char Char Char Char Char Char Char Char Char Char Char Char Char Char Char Char Char Char Char Char Char Char Char Char"/>
    <w:basedOn w:val="1"/>
    <w:uiPriority w:val="0"/>
    <w:pPr>
      <w:autoSpaceDE/>
      <w:autoSpaceDN/>
      <w:spacing w:line="240" w:lineRule="auto"/>
      <w:ind w:firstLine="0" w:firstLineChars="0"/>
      <w:jc w:val="both"/>
    </w:pPr>
    <w:rPr>
      <w:rFonts w:ascii="Calibri" w:hAnsi="Calibri"/>
      <w:kern w:val="2"/>
      <w:sz w:val="21"/>
    </w:rPr>
  </w:style>
  <w:style w:type="paragraph" w:customStyle="1" w:styleId="859">
    <w:name w:val="表格注"/>
    <w:basedOn w:val="1"/>
    <w:next w:val="1"/>
    <w:qFormat/>
    <w:uiPriority w:val="0"/>
    <w:pPr>
      <w:autoSpaceDE/>
      <w:autoSpaceDN/>
      <w:spacing w:line="240" w:lineRule="exact"/>
      <w:ind w:firstLine="0" w:firstLineChars="0"/>
    </w:pPr>
    <w:rPr>
      <w:rFonts w:ascii="Calibri" w:hAnsi="Calibri"/>
      <w:kern w:val="2"/>
      <w:sz w:val="18"/>
    </w:rPr>
  </w:style>
  <w:style w:type="paragraph" w:customStyle="1" w:styleId="860">
    <w:name w:val="纯文本1"/>
    <w:basedOn w:val="1"/>
    <w:uiPriority w:val="0"/>
    <w:pPr>
      <w:autoSpaceDE/>
      <w:autoSpaceDN/>
      <w:spacing w:line="240" w:lineRule="atLeast"/>
      <w:ind w:firstLine="0" w:firstLineChars="0"/>
      <w:jc w:val="center"/>
    </w:pPr>
    <w:rPr>
      <w:rFonts w:ascii="宋体" w:hAnsi="宋体"/>
      <w:bCs/>
      <w:iCs/>
      <w:kern w:val="2"/>
      <w:sz w:val="18"/>
      <w:szCs w:val="18"/>
    </w:rPr>
  </w:style>
  <w:style w:type="paragraph" w:customStyle="1" w:styleId="861">
    <w:name w:val="列表编号 31"/>
    <w:basedOn w:val="1"/>
    <w:uiPriority w:val="0"/>
    <w:pPr>
      <w:tabs>
        <w:tab w:val="left" w:pos="960"/>
      </w:tabs>
      <w:autoSpaceDE/>
      <w:autoSpaceDN/>
      <w:spacing w:line="240" w:lineRule="auto"/>
      <w:ind w:left="960" w:hanging="450" w:firstLineChars="0"/>
      <w:jc w:val="both"/>
    </w:pPr>
    <w:rPr>
      <w:rFonts w:ascii="Calibri" w:hAnsi="Calibri"/>
      <w:kern w:val="2"/>
      <w:sz w:val="21"/>
      <w:szCs w:val="20"/>
    </w:rPr>
  </w:style>
  <w:style w:type="paragraph" w:customStyle="1" w:styleId="862">
    <w:name w:val="HD4"/>
    <w:basedOn w:val="1"/>
    <w:uiPriority w:val="0"/>
    <w:pPr>
      <w:widowControl/>
      <w:autoSpaceDE/>
      <w:autoSpaceDN/>
      <w:spacing w:before="240" w:after="120" w:line="520" w:lineRule="exact"/>
      <w:ind w:firstLine="0" w:firstLineChars="0"/>
    </w:pPr>
    <w:rPr>
      <w:rFonts w:ascii="宋体" w:hAnsi="宋体" w:cs="宋体"/>
      <w:b/>
      <w:sz w:val="28"/>
      <w:szCs w:val="20"/>
    </w:rPr>
  </w:style>
  <w:style w:type="paragraph" w:customStyle="1" w:styleId="863">
    <w:name w:val="p0"/>
    <w:basedOn w:val="1"/>
    <w:qFormat/>
    <w:uiPriority w:val="0"/>
    <w:pPr>
      <w:widowControl/>
      <w:autoSpaceDE/>
      <w:autoSpaceDN/>
      <w:spacing w:before="100" w:beforeAutospacing="1" w:after="100" w:afterAutospacing="1" w:line="240" w:lineRule="auto"/>
      <w:ind w:firstLine="0" w:firstLineChars="0"/>
    </w:pPr>
    <w:rPr>
      <w:rFonts w:ascii="宋体" w:hAnsi="宋体" w:cs="宋体"/>
      <w:szCs w:val="20"/>
    </w:rPr>
  </w:style>
  <w:style w:type="paragraph" w:customStyle="1" w:styleId="864">
    <w:name w:val="Char Char Char Char Char Char Char Char Char Char2"/>
    <w:basedOn w:val="1"/>
    <w:next w:val="1"/>
    <w:uiPriority w:val="0"/>
    <w:pPr>
      <w:autoSpaceDE/>
      <w:autoSpaceDN/>
      <w:jc w:val="both"/>
    </w:pPr>
    <w:rPr>
      <w:rFonts w:ascii="宋体" w:hAnsi="宋体" w:cs="宋体"/>
      <w:kern w:val="2"/>
    </w:rPr>
  </w:style>
  <w:style w:type="paragraph" w:customStyle="1" w:styleId="865">
    <w:name w:val="样式 标题 4 + (西文) Times New Roman (中文) 楷体_GB2312 非加粗 黑色 首行缩进:  ..."/>
    <w:basedOn w:val="5"/>
    <w:uiPriority w:val="0"/>
    <w:pPr>
      <w:keepNext/>
      <w:keepLines/>
      <w:numPr>
        <w:ilvl w:val="0"/>
        <w:numId w:val="0"/>
      </w:numPr>
      <w:autoSpaceDE/>
      <w:autoSpaceDN/>
      <w:spacing w:before="156" w:beforeLines="50" w:after="156" w:afterLines="50"/>
      <w:jc w:val="both"/>
      <w:outlineLvl w:val="9"/>
    </w:pPr>
    <w:rPr>
      <w:rFonts w:ascii="Times New Roman" w:hAnsi="Times New Roman" w:eastAsia="宋体" w:cs="宋体"/>
      <w:b/>
      <w:bCs/>
      <w:szCs w:val="20"/>
    </w:rPr>
  </w:style>
  <w:style w:type="paragraph" w:customStyle="1" w:styleId="866">
    <w:name w:val="封面5"/>
    <w:basedOn w:val="1"/>
    <w:uiPriority w:val="0"/>
    <w:pPr>
      <w:autoSpaceDE/>
      <w:autoSpaceDN/>
      <w:spacing w:line="240" w:lineRule="auto"/>
      <w:ind w:firstLine="0" w:firstLineChars="0"/>
      <w:jc w:val="both"/>
    </w:pPr>
    <w:rPr>
      <w:rFonts w:ascii="Calibri" w:hAnsi="Calibri"/>
      <w:kern w:val="2"/>
      <w:sz w:val="21"/>
    </w:rPr>
  </w:style>
  <w:style w:type="paragraph" w:customStyle="1" w:styleId="867">
    <w:name w:val="Char Char Char Char Char Char Char Char Char Char Char Char Char Char Char Char Char Char Char Char Char Char Char Char Char Char2"/>
    <w:basedOn w:val="1"/>
    <w:uiPriority w:val="0"/>
    <w:pPr>
      <w:autoSpaceDE/>
      <w:autoSpaceDN/>
      <w:spacing w:line="240" w:lineRule="auto"/>
      <w:ind w:firstLine="0" w:firstLineChars="0"/>
      <w:jc w:val="both"/>
    </w:pPr>
    <w:rPr>
      <w:rFonts w:ascii="Calibri" w:hAnsi="Calibri"/>
      <w:kern w:val="2"/>
      <w:sz w:val="21"/>
    </w:rPr>
  </w:style>
  <w:style w:type="paragraph" w:customStyle="1" w:styleId="868">
    <w:name w:val="样式 标题 3 + 宋体"/>
    <w:basedOn w:val="4"/>
    <w:uiPriority w:val="0"/>
    <w:pPr>
      <w:keepNext/>
      <w:keepLines/>
      <w:widowControl/>
      <w:numPr>
        <w:ilvl w:val="0"/>
        <w:numId w:val="0"/>
      </w:numPr>
      <w:autoSpaceDE/>
      <w:autoSpaceDN/>
      <w:spacing w:before="200"/>
    </w:pPr>
    <w:rPr>
      <w:rFonts w:ascii="宋体" w:hAnsi="宋体" w:cs="宋体"/>
      <w:color w:val="000000"/>
      <w:kern w:val="2"/>
      <w:lang w:val="zh-CN"/>
    </w:rPr>
  </w:style>
  <w:style w:type="paragraph" w:customStyle="1" w:styleId="869">
    <w:name w:val="样式3"/>
    <w:basedOn w:val="3"/>
    <w:uiPriority w:val="0"/>
    <w:pPr>
      <w:numPr>
        <w:ilvl w:val="0"/>
        <w:numId w:val="0"/>
      </w:numPr>
      <w:tabs>
        <w:tab w:val="left" w:pos="567"/>
        <w:tab w:val="left" w:pos="3920"/>
        <w:tab w:val="left" w:pos="5670"/>
      </w:tabs>
      <w:autoSpaceDE/>
      <w:autoSpaceDN/>
      <w:spacing w:before="156" w:beforeLines="50" w:after="60" w:line="312" w:lineRule="auto"/>
      <w:contextualSpacing/>
      <w:jc w:val="both"/>
    </w:pPr>
    <w:rPr>
      <w:rFonts w:ascii="Times New Roman" w:eastAsia="宋体" w:cs="Times New Roman"/>
      <w:b/>
      <w:color w:val="000000"/>
      <w:sz w:val="28"/>
      <w:szCs w:val="24"/>
      <w:lang w:val="zh-CN"/>
    </w:rPr>
  </w:style>
  <w:style w:type="paragraph" w:customStyle="1" w:styleId="870">
    <w:name w:val="标题样式3"/>
    <w:basedOn w:val="4"/>
    <w:uiPriority w:val="0"/>
    <w:pPr>
      <w:widowControl/>
      <w:numPr>
        <w:ilvl w:val="0"/>
        <w:numId w:val="0"/>
      </w:numPr>
      <w:autoSpaceDE/>
      <w:autoSpaceDN/>
      <w:spacing w:line="400" w:lineRule="atLeast"/>
      <w:ind w:firstLine="510"/>
    </w:pPr>
    <w:rPr>
      <w:rFonts w:ascii="宋体" w:hAnsi="宋体" w:cs="宋体"/>
      <w:snapToGrid w:val="0"/>
      <w:kern w:val="2"/>
      <w:sz w:val="24"/>
      <w:szCs w:val="20"/>
      <w:lang w:val="zh-CN"/>
    </w:rPr>
  </w:style>
  <w:style w:type="paragraph" w:customStyle="1" w:styleId="871">
    <w:name w:val="天康正文"/>
    <w:basedOn w:val="1"/>
    <w:uiPriority w:val="0"/>
    <w:pPr>
      <w:autoSpaceDE/>
      <w:autoSpaceDN/>
      <w:spacing w:line="560" w:lineRule="exact"/>
      <w:jc w:val="both"/>
    </w:pPr>
    <w:rPr>
      <w:rFonts w:ascii="宋体" w:hAnsi="Calibri" w:cs="宋体"/>
      <w:spacing w:val="8"/>
      <w:kern w:val="2"/>
      <w:szCs w:val="20"/>
    </w:rPr>
  </w:style>
  <w:style w:type="paragraph" w:customStyle="1" w:styleId="872">
    <w:name w:val="表格 32"/>
    <w:basedOn w:val="1"/>
    <w:uiPriority w:val="0"/>
    <w:pPr>
      <w:jc w:val="center"/>
      <w:textAlignment w:val="baseline"/>
    </w:pPr>
    <w:rPr>
      <w:rFonts w:ascii="Calibri" w:hAnsi="Calibri"/>
    </w:rPr>
  </w:style>
  <w:style w:type="paragraph" w:customStyle="1" w:styleId="873">
    <w:name w:val="表内式样"/>
    <w:uiPriority w:val="0"/>
    <w:pPr>
      <w:widowControl w:val="0"/>
      <w:adjustRightInd w:val="0"/>
      <w:spacing w:line="320" w:lineRule="exact"/>
      <w:jc w:val="center"/>
      <w:textAlignment w:val="baseline"/>
    </w:pPr>
    <w:rPr>
      <w:rFonts w:ascii="Calibri" w:hAnsi="Calibri" w:eastAsia="宋体" w:cs="Times New Roman"/>
      <w:w w:val="80"/>
      <w:lang w:val="en-US" w:eastAsia="zh-CN" w:bidi="ar-SA"/>
    </w:rPr>
  </w:style>
  <w:style w:type="paragraph" w:customStyle="1" w:styleId="874">
    <w:name w:val="xl30"/>
    <w:basedOn w:val="1"/>
    <w:uiPriority w:val="0"/>
    <w:pPr>
      <w:widowControl/>
      <w:pBdr>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jc w:val="both"/>
    </w:pPr>
    <w:rPr>
      <w:rFonts w:ascii="宋体" w:hAnsi="宋体"/>
    </w:rPr>
  </w:style>
  <w:style w:type="paragraph" w:customStyle="1" w:styleId="875">
    <w:name w:val="Char21"/>
    <w:basedOn w:val="1"/>
    <w:uiPriority w:val="0"/>
    <w:pPr>
      <w:autoSpaceDE/>
      <w:autoSpaceDN/>
      <w:spacing w:line="240" w:lineRule="auto"/>
      <w:ind w:firstLine="0" w:firstLineChars="0"/>
      <w:jc w:val="both"/>
    </w:pPr>
    <w:rPr>
      <w:rFonts w:ascii="Calibri" w:hAnsi="Calibri"/>
      <w:kern w:val="2"/>
      <w:sz w:val="21"/>
    </w:rPr>
  </w:style>
  <w:style w:type="paragraph" w:customStyle="1" w:styleId="876">
    <w:name w:val="Char Char Char Char Char Char Char Char Char Char Char Char Char Char Char Char"/>
    <w:basedOn w:val="1"/>
    <w:uiPriority w:val="0"/>
    <w:pPr>
      <w:autoSpaceDE/>
      <w:autoSpaceDN/>
      <w:spacing w:line="240" w:lineRule="auto"/>
      <w:ind w:firstLine="0" w:firstLineChars="0"/>
      <w:jc w:val="both"/>
    </w:pPr>
    <w:rPr>
      <w:rFonts w:ascii="Calibri" w:hAnsi="Calibri"/>
      <w:kern w:val="2"/>
      <w:sz w:val="21"/>
    </w:rPr>
  </w:style>
  <w:style w:type="paragraph" w:customStyle="1" w:styleId="877">
    <w:name w:val="正文居中"/>
    <w:basedOn w:val="199"/>
    <w:uiPriority w:val="0"/>
    <w:pPr>
      <w:tabs>
        <w:tab w:val="left" w:pos="1960"/>
        <w:tab w:val="left" w:pos="2380"/>
        <w:tab w:val="left" w:pos="3080"/>
      </w:tabs>
      <w:adjustRightInd w:val="0"/>
      <w:spacing w:before="48" w:after="0" w:line="360" w:lineRule="auto"/>
      <w:ind w:firstLine="464" w:firstLineChars="200"/>
      <w:textAlignment w:val="baseline"/>
    </w:pPr>
    <w:rPr>
      <w:rFonts w:hAnsi="宋体"/>
      <w:spacing w:val="-4"/>
      <w:kern w:val="0"/>
      <w:sz w:val="24"/>
    </w:rPr>
  </w:style>
  <w:style w:type="paragraph" w:customStyle="1" w:styleId="878">
    <w:name w:val="图表标题"/>
    <w:qFormat/>
    <w:uiPriority w:val="0"/>
    <w:pPr>
      <w:spacing w:before="156" w:beforeLines="50" w:after="156" w:afterLines="50" w:line="360" w:lineRule="auto"/>
      <w:jc w:val="center"/>
    </w:pPr>
    <w:rPr>
      <w:rFonts w:ascii="Calibri" w:hAnsi="Calibri" w:eastAsia="华文细黑" w:cs="Times New Roman"/>
      <w:kern w:val="2"/>
      <w:sz w:val="21"/>
      <w:szCs w:val="22"/>
      <w:lang w:val="en-US" w:eastAsia="zh-CN" w:bidi="ar-SA"/>
    </w:rPr>
  </w:style>
  <w:style w:type="paragraph" w:customStyle="1" w:styleId="879">
    <w:name w:val="Char Char Char Char Char Char Char Char Char Char Char Char Char Char Char Char2"/>
    <w:basedOn w:val="1"/>
    <w:uiPriority w:val="0"/>
    <w:pPr>
      <w:autoSpaceDE/>
      <w:autoSpaceDN/>
      <w:jc w:val="both"/>
    </w:pPr>
    <w:rPr>
      <w:rFonts w:ascii="Calibri" w:hAnsi="Calibri"/>
      <w:kern w:val="2"/>
    </w:rPr>
  </w:style>
  <w:style w:type="paragraph" w:customStyle="1" w:styleId="880">
    <w:name w:val="TOC 标题11"/>
    <w:basedOn w:val="2"/>
    <w:next w:val="1"/>
    <w:unhideWhenUsed/>
    <w:qFormat/>
    <w:uiPriority w:val="39"/>
    <w:pPr>
      <w:keepNext/>
      <w:keepLines/>
      <w:numPr>
        <w:numId w:val="0"/>
      </w:numPr>
      <w:autoSpaceDE/>
      <w:autoSpaceDN/>
      <w:spacing w:before="480" w:line="276" w:lineRule="auto"/>
      <w:jc w:val="both"/>
      <w:outlineLvl w:val="9"/>
    </w:pPr>
    <w:rPr>
      <w:rFonts w:ascii="Cambria" w:hAnsi="Cambria" w:eastAsia="宋体" w:cs="Times New Roman"/>
      <w:b/>
      <w:bCs/>
      <w:color w:val="365F91"/>
      <w:sz w:val="28"/>
      <w:szCs w:val="28"/>
      <w:lang w:val="zh-CN"/>
    </w:rPr>
  </w:style>
  <w:style w:type="paragraph" w:customStyle="1" w:styleId="881">
    <w:name w:val="样式2"/>
    <w:basedOn w:val="3"/>
    <w:qFormat/>
    <w:uiPriority w:val="0"/>
    <w:pPr>
      <w:numPr>
        <w:ilvl w:val="0"/>
        <w:numId w:val="0"/>
      </w:numPr>
      <w:tabs>
        <w:tab w:val="left" w:pos="567"/>
        <w:tab w:val="left" w:pos="3920"/>
        <w:tab w:val="left" w:pos="5670"/>
      </w:tabs>
      <w:autoSpaceDE/>
      <w:autoSpaceDN/>
      <w:spacing w:before="156" w:beforeLines="50" w:after="60" w:line="312" w:lineRule="auto"/>
      <w:contextualSpacing/>
      <w:jc w:val="both"/>
    </w:pPr>
    <w:rPr>
      <w:rFonts w:ascii="Times New Roman" w:eastAsia="宋体" w:cs="Times New Roman"/>
      <w:b/>
      <w:color w:val="000000"/>
      <w:sz w:val="28"/>
      <w:szCs w:val="24"/>
      <w:lang w:val="zh-CN"/>
    </w:rPr>
  </w:style>
  <w:style w:type="paragraph" w:customStyle="1" w:styleId="882">
    <w:name w:val="样式 正文文本缩进 + 行距: 多倍行距 1.3 字行 Char"/>
    <w:basedOn w:val="29"/>
    <w:uiPriority w:val="0"/>
    <w:pPr>
      <w:spacing w:after="0"/>
      <w:ind w:left="0" w:leftChars="0" w:firstLine="0" w:firstLineChars="0"/>
      <w:jc w:val="both"/>
      <w:textAlignment w:val="baseline"/>
    </w:pPr>
    <w:rPr>
      <w:rFonts w:ascii="黑体" w:hAnsi="宋体" w:eastAsia="黑体"/>
      <w:b/>
      <w:color w:val="000000"/>
      <w:lang w:val="zh-CN"/>
    </w:rPr>
  </w:style>
  <w:style w:type="paragraph" w:customStyle="1" w:styleId="883">
    <w:name w:val="环表头"/>
    <w:basedOn w:val="884"/>
    <w:next w:val="1"/>
    <w:uiPriority w:val="0"/>
    <w:pPr>
      <w:spacing w:before="60" w:after="60"/>
      <w:ind w:right="28" w:firstLine="0" w:firstLineChars="0"/>
      <w:jc w:val="center"/>
    </w:pPr>
    <w:rPr>
      <w:rFonts w:ascii="黑体" w:eastAsia="黑体"/>
      <w:color w:val="auto"/>
    </w:rPr>
  </w:style>
  <w:style w:type="paragraph" w:customStyle="1" w:styleId="884">
    <w:name w:val="环正文"/>
    <w:basedOn w:val="1"/>
    <w:uiPriority w:val="0"/>
    <w:pPr>
      <w:widowControl/>
      <w:suppressAutoHyphens/>
      <w:autoSpaceDE/>
      <w:autoSpaceDN/>
      <w:spacing w:line="500" w:lineRule="atLeast"/>
      <w:ind w:firstLine="480"/>
      <w:textAlignment w:val="baseline"/>
    </w:pPr>
    <w:rPr>
      <w:rFonts w:ascii="仿宋_GB2312" w:hAnsi="宋体" w:eastAsia="仿宋_GB2312"/>
      <w:color w:val="000000"/>
    </w:rPr>
  </w:style>
  <w:style w:type="paragraph" w:customStyle="1" w:styleId="885">
    <w:name w:val="样式 标题 2 + 黑色"/>
    <w:basedOn w:val="3"/>
    <w:next w:val="331"/>
    <w:uiPriority w:val="0"/>
    <w:pPr>
      <w:keepNext/>
      <w:keepLines/>
      <w:numPr>
        <w:ilvl w:val="0"/>
        <w:numId w:val="0"/>
      </w:numPr>
      <w:autoSpaceDE/>
      <w:autoSpaceDN/>
      <w:jc w:val="both"/>
    </w:pPr>
    <w:rPr>
      <w:rFonts w:hAnsi="Arial" w:cs="Times New Roman"/>
      <w:b/>
      <w:bCs/>
      <w:color w:val="000000"/>
      <w:kern w:val="18"/>
      <w:lang w:val="zh-CN"/>
    </w:rPr>
  </w:style>
  <w:style w:type="paragraph" w:customStyle="1" w:styleId="886">
    <w:name w:val="pt9"/>
    <w:basedOn w:val="1"/>
    <w:qFormat/>
    <w:uiPriority w:val="0"/>
    <w:pPr>
      <w:widowControl/>
      <w:autoSpaceDE/>
      <w:autoSpaceDN/>
      <w:spacing w:before="100" w:beforeAutospacing="1" w:after="100" w:afterAutospacing="1" w:line="240" w:lineRule="auto"/>
      <w:ind w:firstLine="0" w:firstLineChars="0"/>
    </w:pPr>
    <w:rPr>
      <w:rFonts w:ascii="Calibri" w:hAnsi="Calibri"/>
      <w:color w:val="000000"/>
      <w:sz w:val="18"/>
      <w:szCs w:val="18"/>
    </w:rPr>
  </w:style>
  <w:style w:type="paragraph" w:customStyle="1" w:styleId="887">
    <w:name w:val="Char"/>
    <w:basedOn w:val="1"/>
    <w:qFormat/>
    <w:uiPriority w:val="0"/>
    <w:pPr>
      <w:autoSpaceDE/>
      <w:autoSpaceDN/>
      <w:spacing w:line="240" w:lineRule="auto"/>
      <w:ind w:firstLine="0" w:firstLineChars="0"/>
      <w:jc w:val="both"/>
    </w:pPr>
    <w:rPr>
      <w:rFonts w:ascii="宋体" w:hAnsi="宋体" w:cs="Courier New"/>
      <w:kern w:val="2"/>
      <w:sz w:val="32"/>
      <w:szCs w:val="32"/>
    </w:rPr>
  </w:style>
  <w:style w:type="paragraph" w:customStyle="1" w:styleId="888">
    <w:name w:val="正文文字首航缩2字"/>
    <w:basedOn w:val="1"/>
    <w:uiPriority w:val="0"/>
    <w:pPr>
      <w:widowControl/>
      <w:autoSpaceDE/>
      <w:autoSpaceDN/>
    </w:pPr>
    <w:rPr>
      <w:rFonts w:ascii="宋体" w:hAnsi="宋体" w:cs="宋体"/>
    </w:rPr>
  </w:style>
  <w:style w:type="paragraph" w:customStyle="1" w:styleId="889">
    <w:name w:val="表格5"/>
    <w:uiPriority w:val="0"/>
    <w:pPr>
      <w:jc w:val="both"/>
    </w:pPr>
    <w:rPr>
      <w:rFonts w:ascii="宋体" w:hAnsi="宋体" w:eastAsia="宋体" w:cs="Times New Roman"/>
      <w:color w:val="000000"/>
      <w:sz w:val="24"/>
      <w:szCs w:val="24"/>
      <w:lang w:val="en-US" w:eastAsia="zh-CN" w:bidi="ar-SA"/>
    </w:rPr>
  </w:style>
  <w:style w:type="paragraph" w:customStyle="1" w:styleId="890">
    <w:name w:val="Char Char Char Char Char"/>
    <w:basedOn w:val="1"/>
    <w:uiPriority w:val="0"/>
    <w:pPr>
      <w:autoSpaceDE/>
      <w:autoSpaceDN/>
      <w:spacing w:line="240" w:lineRule="auto"/>
      <w:ind w:firstLine="0" w:firstLineChars="0"/>
      <w:jc w:val="both"/>
    </w:pPr>
    <w:rPr>
      <w:rFonts w:ascii="Calibri" w:hAnsi="Calibri"/>
      <w:kern w:val="2"/>
      <w:sz w:val="21"/>
      <w:szCs w:val="20"/>
    </w:rPr>
  </w:style>
  <w:style w:type="paragraph" w:customStyle="1" w:styleId="891">
    <w:name w:val="目录"/>
    <w:basedOn w:val="1"/>
    <w:uiPriority w:val="0"/>
    <w:pPr>
      <w:widowControl/>
      <w:tabs>
        <w:tab w:val="right" w:leader="dot" w:pos="8505"/>
      </w:tabs>
      <w:overflowPunct w:val="0"/>
      <w:autoSpaceDE/>
      <w:autoSpaceDN/>
      <w:ind w:left="568" w:right="851" w:hanging="284" w:firstLineChars="0"/>
      <w:textAlignment w:val="baseline"/>
    </w:pPr>
    <w:rPr>
      <w:rFonts w:ascii="宋体" w:hAnsi="宋体" w:cs="宋体"/>
      <w:sz w:val="28"/>
      <w:szCs w:val="20"/>
    </w:rPr>
  </w:style>
  <w:style w:type="paragraph" w:customStyle="1" w:styleId="892">
    <w:name w:val="前言、引言标题"/>
    <w:next w:val="1"/>
    <w:uiPriority w:val="0"/>
    <w:pPr>
      <w:shd w:val="clear" w:color="FFFFFF" w:fill="FFFFFF"/>
      <w:tabs>
        <w:tab w:val="left" w:pos="903"/>
      </w:tabs>
      <w:spacing w:before="640" w:after="560"/>
      <w:ind w:left="903" w:hanging="315"/>
      <w:jc w:val="center"/>
      <w:outlineLvl w:val="0"/>
    </w:pPr>
    <w:rPr>
      <w:rFonts w:ascii="黑体" w:hAnsi="Calibri" w:eastAsia="黑体" w:cs="Times New Roman"/>
      <w:sz w:val="32"/>
      <w:lang w:val="en-US" w:eastAsia="zh-CN" w:bidi="ar-SA"/>
    </w:rPr>
  </w:style>
  <w:style w:type="paragraph" w:customStyle="1" w:styleId="893">
    <w:name w:val="样式 正文文本缩进 + 首行缩进:  1 字符 行距: 固定值 26 磅"/>
    <w:basedOn w:val="1"/>
    <w:qFormat/>
    <w:uiPriority w:val="0"/>
    <w:pPr>
      <w:autoSpaceDE/>
      <w:autoSpaceDN/>
      <w:ind w:firstLine="561" w:firstLineChars="0"/>
    </w:pPr>
    <w:rPr>
      <w:rFonts w:ascii="Calibri" w:hAnsi="Calibri"/>
      <w:kern w:val="2"/>
      <w:szCs w:val="20"/>
    </w:rPr>
  </w:style>
  <w:style w:type="paragraph" w:customStyle="1" w:styleId="894">
    <w:name w:val="样式 标题 + 居中"/>
    <w:basedOn w:val="72"/>
    <w:uiPriority w:val="0"/>
    <w:pPr>
      <w:tabs>
        <w:tab w:val="left" w:pos="0"/>
      </w:tabs>
      <w:spacing w:before="0" w:after="100" w:afterAutospacing="1" w:line="360" w:lineRule="auto"/>
      <w:ind w:left="57" w:hanging="57"/>
    </w:pPr>
    <w:rPr>
      <w:rFonts w:ascii="楷体_GB2312" w:eastAsia="隶书" w:cs="宋体"/>
      <w:sz w:val="36"/>
      <w:szCs w:val="20"/>
    </w:rPr>
  </w:style>
  <w:style w:type="paragraph" w:customStyle="1" w:styleId="895">
    <w:name w:val="表后空格"/>
    <w:basedOn w:val="245"/>
    <w:qFormat/>
    <w:uiPriority w:val="0"/>
    <w:pPr>
      <w:spacing w:line="240" w:lineRule="exact"/>
      <w:ind w:firstLine="480"/>
    </w:pPr>
    <w:rPr>
      <w:kern w:val="0"/>
    </w:rPr>
  </w:style>
  <w:style w:type="paragraph" w:customStyle="1" w:styleId="896">
    <w:name w:val="样式 小四 行距: 1.5 倍行距"/>
    <w:basedOn w:val="1"/>
    <w:uiPriority w:val="0"/>
    <w:pPr>
      <w:widowControl/>
      <w:autoSpaceDE/>
      <w:autoSpaceDN/>
      <w:ind w:firstLine="0" w:firstLineChars="0"/>
    </w:pPr>
    <w:rPr>
      <w:rFonts w:ascii="宋体" w:hAnsi="宋体" w:cs="宋体"/>
      <w:szCs w:val="20"/>
    </w:rPr>
  </w:style>
  <w:style w:type="paragraph" w:customStyle="1" w:styleId="897">
    <w:name w:val="普通(网站)1"/>
    <w:basedOn w:val="1"/>
    <w:uiPriority w:val="0"/>
    <w:pPr>
      <w:widowControl/>
      <w:autoSpaceDE/>
      <w:autoSpaceDN/>
      <w:spacing w:before="100" w:beforeAutospacing="1" w:after="100" w:afterAutospacing="1" w:line="240" w:lineRule="auto"/>
      <w:ind w:firstLine="0" w:firstLineChars="0"/>
    </w:pPr>
    <w:rPr>
      <w:rFonts w:ascii="宋体" w:hAnsi="宋体"/>
      <w:szCs w:val="20"/>
    </w:rPr>
  </w:style>
  <w:style w:type="paragraph" w:customStyle="1" w:styleId="898">
    <w:name w:val="流程文字"/>
    <w:basedOn w:val="1"/>
    <w:uiPriority w:val="0"/>
    <w:pPr>
      <w:tabs>
        <w:tab w:val="left" w:pos="6480"/>
      </w:tabs>
      <w:topLinePunct/>
      <w:autoSpaceDE/>
      <w:autoSpaceDN/>
      <w:spacing w:line="360" w:lineRule="atLeast"/>
      <w:ind w:firstLine="0" w:firstLineChars="0"/>
      <w:jc w:val="center"/>
      <w:textAlignment w:val="baseline"/>
    </w:pPr>
    <w:rPr>
      <w:rFonts w:ascii="Calibri" w:hAnsi="Calibri" w:eastAsia="仿宋_GB2312"/>
      <w:kern w:val="2"/>
      <w:sz w:val="21"/>
      <w:szCs w:val="20"/>
    </w:rPr>
  </w:style>
  <w:style w:type="paragraph" w:customStyle="1" w:styleId="899">
    <w:name w:val="font6"/>
    <w:basedOn w:val="1"/>
    <w:uiPriority w:val="0"/>
    <w:pPr>
      <w:widowControl/>
      <w:autoSpaceDE/>
      <w:autoSpaceDN/>
      <w:spacing w:before="100" w:beforeAutospacing="1" w:after="100" w:afterAutospacing="1" w:line="240" w:lineRule="auto"/>
      <w:ind w:firstLine="0" w:firstLineChars="0"/>
    </w:pPr>
    <w:rPr>
      <w:rFonts w:ascii="Calibri" w:hAnsi="Calibri" w:eastAsia="Arial Unicode MS"/>
    </w:rPr>
  </w:style>
  <w:style w:type="paragraph" w:customStyle="1" w:styleId="900">
    <w:name w:val="图表名"/>
    <w:basedOn w:val="1"/>
    <w:link w:val="901"/>
    <w:qFormat/>
    <w:uiPriority w:val="0"/>
    <w:pPr>
      <w:widowControl/>
      <w:autoSpaceDE/>
      <w:autoSpaceDN/>
      <w:ind w:firstLine="0" w:firstLineChars="0"/>
      <w:jc w:val="center"/>
    </w:pPr>
    <w:rPr>
      <w:rFonts w:ascii="宋体" w:hAnsi="宋体" w:eastAsia="黑体"/>
      <w:snapToGrid w:val="0"/>
      <w:color w:val="000000"/>
      <w:sz w:val="28"/>
      <w:szCs w:val="28"/>
      <w:lang w:val="zh-CN"/>
    </w:rPr>
  </w:style>
  <w:style w:type="character" w:customStyle="1" w:styleId="901">
    <w:name w:val="图表名 Char"/>
    <w:link w:val="900"/>
    <w:qFormat/>
    <w:uiPriority w:val="0"/>
    <w:rPr>
      <w:rFonts w:ascii="宋体" w:hAnsi="宋体" w:eastAsia="黑体" w:cs="Times New Roman"/>
      <w:snapToGrid w:val="0"/>
      <w:color w:val="000000"/>
      <w:sz w:val="28"/>
      <w:szCs w:val="28"/>
      <w:lang w:val="zh-CN" w:eastAsia="zh-CN"/>
    </w:rPr>
  </w:style>
  <w:style w:type="paragraph" w:customStyle="1" w:styleId="902">
    <w:name w:val="样式4"/>
    <w:basedOn w:val="18"/>
    <w:uiPriority w:val="0"/>
    <w:pPr>
      <w:autoSpaceDE/>
      <w:autoSpaceDN/>
      <w:spacing w:line="460" w:lineRule="exact"/>
      <w:ind w:firstLine="0" w:firstLineChars="0"/>
      <w:jc w:val="both"/>
    </w:pPr>
    <w:rPr>
      <w:rFonts w:ascii="Arial" w:hAnsi="Arial"/>
      <w:kern w:val="2"/>
    </w:rPr>
  </w:style>
  <w:style w:type="paragraph" w:customStyle="1" w:styleId="903">
    <w:name w:val="自定义正文"/>
    <w:basedOn w:val="1"/>
    <w:uiPriority w:val="0"/>
    <w:pPr>
      <w:autoSpaceDE/>
      <w:autoSpaceDN/>
      <w:ind w:firstLine="560" w:firstLineChars="0"/>
      <w:jc w:val="both"/>
    </w:pPr>
    <w:rPr>
      <w:rFonts w:ascii="Calibri" w:hAnsi="Calibri"/>
      <w:sz w:val="28"/>
      <w:szCs w:val="20"/>
    </w:rPr>
  </w:style>
  <w:style w:type="paragraph" w:customStyle="1" w:styleId="904">
    <w:name w:val="正文（自定）"/>
    <w:basedOn w:val="1"/>
    <w:uiPriority w:val="0"/>
    <w:pPr>
      <w:widowControl/>
      <w:autoSpaceDE/>
      <w:autoSpaceDN/>
    </w:pPr>
    <w:rPr>
      <w:rFonts w:ascii="宋体" w:hAnsi="宋体" w:cs="宋体"/>
    </w:rPr>
  </w:style>
  <w:style w:type="paragraph" w:customStyle="1" w:styleId="905">
    <w:name w:val="content"/>
    <w:basedOn w:val="1"/>
    <w:uiPriority w:val="0"/>
    <w:pPr>
      <w:widowControl/>
      <w:autoSpaceDE/>
      <w:autoSpaceDN/>
      <w:spacing w:before="100" w:beforeAutospacing="1" w:after="100" w:afterAutospacing="1" w:line="240" w:lineRule="auto"/>
      <w:ind w:firstLine="0" w:firstLineChars="0"/>
    </w:pPr>
    <w:rPr>
      <w:rFonts w:ascii="宋体" w:hAnsi="宋体" w:cs="宋体"/>
      <w:sz w:val="22"/>
      <w:szCs w:val="22"/>
    </w:rPr>
  </w:style>
  <w:style w:type="paragraph" w:customStyle="1" w:styleId="906">
    <w:name w:val="样式 标题 3H3B Head标题 3 Char条标题1.1.1三级标题h33rd level第二层条ReH..."/>
    <w:basedOn w:val="4"/>
    <w:qFormat/>
    <w:uiPriority w:val="0"/>
    <w:pPr>
      <w:numPr>
        <w:ilvl w:val="0"/>
        <w:numId w:val="0"/>
      </w:numPr>
      <w:autoSpaceDE/>
      <w:autoSpaceDN/>
      <w:spacing w:line="500" w:lineRule="exact"/>
      <w:jc w:val="both"/>
    </w:pPr>
    <w:rPr>
      <w:rFonts w:ascii="楷体_GB2312" w:hAnsi="楷体_GB2312" w:eastAsia="楷体_GB2312" w:cs="楷体_GB2312"/>
      <w:b/>
      <w:bCs/>
      <w:kern w:val="2"/>
      <w:lang w:val="zh-CN"/>
    </w:rPr>
  </w:style>
  <w:style w:type="paragraph" w:customStyle="1" w:styleId="907">
    <w:name w:val="日期3"/>
    <w:basedOn w:val="1"/>
    <w:next w:val="1"/>
    <w:uiPriority w:val="0"/>
    <w:pPr>
      <w:overflowPunct w:val="0"/>
      <w:autoSpaceDE/>
      <w:autoSpaceDN/>
      <w:ind w:firstLine="560" w:firstLineChars="0"/>
    </w:pPr>
    <w:rPr>
      <w:rFonts w:ascii="仿宋_GB2312" w:hAnsi="Calibri"/>
      <w:kern w:val="2"/>
      <w:sz w:val="28"/>
      <w:szCs w:val="20"/>
    </w:rPr>
  </w:style>
  <w:style w:type="paragraph" w:customStyle="1" w:styleId="908">
    <w:name w:val="1、"/>
    <w:basedOn w:val="1"/>
    <w:uiPriority w:val="0"/>
    <w:pPr>
      <w:widowControl/>
      <w:autoSpaceDE/>
      <w:autoSpaceDN/>
      <w:ind w:firstLine="461" w:firstLineChars="192"/>
    </w:pPr>
    <w:rPr>
      <w:rFonts w:ascii="宋体" w:hAnsi="宋体" w:cs="宋体"/>
      <w:szCs w:val="20"/>
    </w:rPr>
  </w:style>
  <w:style w:type="paragraph" w:customStyle="1" w:styleId="909">
    <w:name w:val="标2-ls."/>
    <w:basedOn w:val="3"/>
    <w:uiPriority w:val="0"/>
    <w:pPr>
      <w:keepNext/>
      <w:keepLines/>
      <w:numPr>
        <w:ilvl w:val="0"/>
        <w:numId w:val="0"/>
      </w:numPr>
      <w:tabs>
        <w:tab w:val="left" w:pos="567"/>
      </w:tabs>
      <w:autoSpaceDE/>
      <w:autoSpaceDN/>
      <w:spacing w:before="31" w:beforeLines="10" w:after="31" w:afterLines="10"/>
      <w:jc w:val="both"/>
    </w:pPr>
    <w:rPr>
      <w:rFonts w:ascii="Times New Roman" w:cs="宋体"/>
      <w:bCs/>
      <w:kern w:val="2"/>
      <w:sz w:val="28"/>
      <w:szCs w:val="20"/>
      <w:lang w:val="zh-CN"/>
    </w:rPr>
  </w:style>
  <w:style w:type="paragraph" w:customStyle="1" w:styleId="910">
    <w:name w:val="列表接续 21"/>
    <w:basedOn w:val="1"/>
    <w:uiPriority w:val="0"/>
    <w:pPr>
      <w:autoSpaceDE/>
      <w:autoSpaceDN/>
      <w:spacing w:after="120" w:line="240" w:lineRule="auto"/>
      <w:ind w:left="840" w:leftChars="400" w:firstLine="0" w:firstLineChars="0"/>
      <w:jc w:val="both"/>
    </w:pPr>
    <w:rPr>
      <w:rFonts w:ascii="Calibri" w:hAnsi="Calibri"/>
      <w:kern w:val="2"/>
      <w:sz w:val="21"/>
    </w:rPr>
  </w:style>
  <w:style w:type="paragraph" w:customStyle="1" w:styleId="911">
    <w:name w:val="标题 C"/>
    <w:basedOn w:val="1"/>
    <w:uiPriority w:val="0"/>
    <w:pPr>
      <w:kinsoku w:val="0"/>
      <w:wordWrap w:val="0"/>
      <w:autoSpaceDE/>
      <w:autoSpaceDN/>
      <w:spacing w:before="60" w:after="60" w:line="120" w:lineRule="atLeast"/>
      <w:ind w:firstLine="0" w:firstLineChars="0"/>
      <w:jc w:val="both"/>
      <w:textAlignment w:val="baseline"/>
    </w:pPr>
    <w:rPr>
      <w:rFonts w:ascii="Calibri" w:hAnsi="Calibri"/>
      <w:spacing w:val="32"/>
      <w:szCs w:val="20"/>
    </w:rPr>
  </w:style>
  <w:style w:type="paragraph" w:customStyle="1" w:styleId="912">
    <w:name w:val="默认段落字体 Para Char1"/>
    <w:basedOn w:val="1"/>
    <w:next w:val="1"/>
    <w:qFormat/>
    <w:uiPriority w:val="0"/>
    <w:pPr>
      <w:widowControl/>
      <w:autoSpaceDE/>
      <w:autoSpaceDN/>
    </w:pPr>
    <w:rPr>
      <w:rFonts w:ascii="宋体" w:hAnsi="宋体" w:cs="宋体"/>
    </w:rPr>
  </w:style>
  <w:style w:type="paragraph" w:customStyle="1" w:styleId="913">
    <w:name w:val="列表接续 41"/>
    <w:basedOn w:val="1"/>
    <w:uiPriority w:val="0"/>
    <w:pPr>
      <w:autoSpaceDE/>
      <w:autoSpaceDN/>
      <w:spacing w:after="120" w:line="240" w:lineRule="auto"/>
      <w:ind w:left="1680" w:leftChars="800" w:firstLine="0" w:firstLineChars="0"/>
      <w:jc w:val="both"/>
    </w:pPr>
    <w:rPr>
      <w:rFonts w:ascii="Calibri" w:hAnsi="Calibri"/>
      <w:kern w:val="2"/>
      <w:sz w:val="21"/>
    </w:rPr>
  </w:style>
  <w:style w:type="paragraph" w:customStyle="1" w:styleId="914">
    <w:name w:val="样式6"/>
    <w:basedOn w:val="1"/>
    <w:uiPriority w:val="0"/>
    <w:pPr>
      <w:tabs>
        <w:tab w:val="left" w:pos="9128"/>
      </w:tabs>
      <w:autoSpaceDE/>
      <w:autoSpaceDN/>
      <w:spacing w:line="500" w:lineRule="exact"/>
      <w:jc w:val="both"/>
    </w:pPr>
    <w:rPr>
      <w:rFonts w:ascii="Calibri" w:hAnsi="Calibri" w:eastAsia="仿宋_GB2312"/>
      <w:kern w:val="2"/>
      <w:szCs w:val="20"/>
    </w:rPr>
  </w:style>
  <w:style w:type="paragraph" w:customStyle="1" w:styleId="915">
    <w:name w:val="Char Char Char Char Char Char Char Char Char Char Char Char Char1"/>
    <w:basedOn w:val="1"/>
    <w:uiPriority w:val="0"/>
    <w:pPr>
      <w:spacing w:before="50" w:after="50"/>
      <w:ind w:firstLine="560"/>
      <w:jc w:val="both"/>
    </w:pPr>
    <w:rPr>
      <w:rFonts w:ascii="Calibri" w:hAnsi="Calibri" w:eastAsia="仿宋_GB2312"/>
      <w:color w:val="000000"/>
      <w:kern w:val="2"/>
    </w:rPr>
  </w:style>
  <w:style w:type="paragraph" w:customStyle="1" w:styleId="916">
    <w:name w:val="样式 标题 3 + 小三 加粗 行距: 固定值 26 磅"/>
    <w:basedOn w:val="4"/>
    <w:uiPriority w:val="0"/>
    <w:pPr>
      <w:keepNext/>
      <w:keepLines/>
      <w:numPr>
        <w:ilvl w:val="0"/>
        <w:numId w:val="0"/>
      </w:numPr>
      <w:autoSpaceDE/>
      <w:autoSpaceDN/>
      <w:spacing w:before="260" w:after="260" w:line="520" w:lineRule="exact"/>
      <w:jc w:val="both"/>
    </w:pPr>
    <w:rPr>
      <w:rFonts w:ascii="Calibri" w:hAnsi="Calibri" w:eastAsia="宋体" w:cs="宋体"/>
      <w:b/>
      <w:bCs/>
      <w:kern w:val="2"/>
      <w:szCs w:val="20"/>
      <w:lang w:val="zh-CN"/>
    </w:rPr>
  </w:style>
  <w:style w:type="paragraph" w:customStyle="1" w:styleId="917">
    <w:name w:val="Char Char Char2 Char Char Char Char Char Char Char Char Char Char"/>
    <w:basedOn w:val="1"/>
    <w:uiPriority w:val="0"/>
    <w:pPr>
      <w:autoSpaceDE/>
      <w:autoSpaceDN/>
      <w:spacing w:line="240" w:lineRule="auto"/>
      <w:ind w:firstLine="0" w:firstLineChars="0"/>
      <w:jc w:val="both"/>
    </w:pPr>
    <w:rPr>
      <w:rFonts w:ascii="Calibri" w:hAnsi="Calibri"/>
      <w:kern w:val="2"/>
      <w:sz w:val="21"/>
    </w:rPr>
  </w:style>
  <w:style w:type="paragraph" w:customStyle="1" w:styleId="918">
    <w:name w:val="p18"/>
    <w:basedOn w:val="1"/>
    <w:uiPriority w:val="0"/>
    <w:pPr>
      <w:widowControl/>
      <w:autoSpaceDE/>
      <w:autoSpaceDN/>
      <w:spacing w:line="400" w:lineRule="atLeast"/>
      <w:ind w:firstLine="420" w:firstLineChars="0"/>
      <w:jc w:val="both"/>
    </w:pPr>
    <w:rPr>
      <w:rFonts w:ascii="Calibri" w:hAnsi="Calibri"/>
      <w:sz w:val="21"/>
      <w:szCs w:val="21"/>
    </w:rPr>
  </w:style>
  <w:style w:type="paragraph" w:customStyle="1" w:styleId="919">
    <w:name w:val="晏?3"/>
    <w:basedOn w:val="1"/>
    <w:next w:val="1"/>
    <w:uiPriority w:val="0"/>
    <w:pPr>
      <w:keepNext/>
      <w:keepLines/>
      <w:widowControl/>
      <w:autoSpaceDE/>
      <w:autoSpaceDN/>
      <w:ind w:firstLine="567" w:firstLineChars="0"/>
      <w:textAlignment w:val="baseline"/>
    </w:pPr>
    <w:rPr>
      <w:rFonts w:ascii="宋体" w:hAnsi="宋体" w:cs="宋体"/>
      <w:b/>
      <w:bCs/>
      <w:sz w:val="28"/>
      <w:szCs w:val="28"/>
    </w:rPr>
  </w:style>
  <w:style w:type="paragraph" w:customStyle="1" w:styleId="920">
    <w:name w:val="Char Char Char Char Char Char Char Char Char Char Char Char Char Char Char"/>
    <w:basedOn w:val="1"/>
    <w:uiPriority w:val="0"/>
    <w:pPr>
      <w:widowControl/>
      <w:autoSpaceDE/>
      <w:autoSpaceDN/>
    </w:pPr>
    <w:rPr>
      <w:rFonts w:ascii="宋体" w:hAnsi="宋体" w:cs="宋体"/>
    </w:rPr>
  </w:style>
  <w:style w:type="paragraph" w:customStyle="1" w:styleId="921">
    <w:name w:val="xl27"/>
    <w:basedOn w:val="1"/>
    <w:uiPriority w:val="0"/>
    <w:pPr>
      <w:widowControl/>
      <w:autoSpaceDE/>
      <w:autoSpaceDN/>
      <w:spacing w:before="100" w:beforeAutospacing="1" w:after="100" w:afterAutospacing="1" w:line="240" w:lineRule="auto"/>
      <w:ind w:firstLine="0" w:firstLineChars="0"/>
      <w:jc w:val="center"/>
    </w:pPr>
    <w:rPr>
      <w:rFonts w:ascii="Calibri" w:hAnsi="Calibri"/>
      <w:sz w:val="20"/>
      <w:szCs w:val="20"/>
    </w:rPr>
  </w:style>
  <w:style w:type="paragraph" w:customStyle="1" w:styleId="922">
    <w:name w:val="xl2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宋体" w:hAnsi="Calibri" w:eastAsia="Arial Unicode MS"/>
      <w:sz w:val="20"/>
      <w:szCs w:val="20"/>
    </w:rPr>
  </w:style>
  <w:style w:type="paragraph" w:customStyle="1" w:styleId="923">
    <w:name w:val="样式222"/>
    <w:basedOn w:val="3"/>
    <w:uiPriority w:val="0"/>
    <w:pPr>
      <w:widowControl/>
      <w:numPr>
        <w:ilvl w:val="0"/>
        <w:numId w:val="0"/>
      </w:numPr>
      <w:autoSpaceDE/>
      <w:autoSpaceDN/>
      <w:spacing w:line="240" w:lineRule="auto"/>
      <w:ind w:firstLine="560" w:firstLineChars="200"/>
      <w:outlineLvl w:val="9"/>
    </w:pPr>
    <w:rPr>
      <w:rFonts w:ascii="宋体" w:hAnsi="宋体" w:eastAsia="宋体" w:cs="宋体"/>
      <w:kern w:val="2"/>
      <w:sz w:val="28"/>
      <w:szCs w:val="20"/>
      <w:lang w:val="zh-CN"/>
    </w:rPr>
  </w:style>
  <w:style w:type="paragraph" w:customStyle="1" w:styleId="924">
    <w:name w:val="p15"/>
    <w:basedOn w:val="1"/>
    <w:uiPriority w:val="0"/>
    <w:pPr>
      <w:widowControl/>
      <w:autoSpaceDE/>
      <w:autoSpaceDN/>
      <w:spacing w:line="240" w:lineRule="auto"/>
      <w:ind w:firstLine="0" w:firstLineChars="0"/>
      <w:jc w:val="both"/>
    </w:pPr>
    <w:rPr>
      <w:rFonts w:ascii="宋体" w:hAnsi="宋体" w:cs="宋体"/>
      <w:sz w:val="21"/>
      <w:szCs w:val="21"/>
    </w:rPr>
  </w:style>
  <w:style w:type="paragraph" w:customStyle="1" w:styleId="925">
    <w:name w:val="xl3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926">
    <w:name w:val="Char Char Char Char Char Char Char"/>
    <w:basedOn w:val="1"/>
    <w:next w:val="1"/>
    <w:uiPriority w:val="0"/>
    <w:pPr>
      <w:autoSpaceDE/>
      <w:autoSpaceDN/>
      <w:jc w:val="both"/>
    </w:pPr>
    <w:rPr>
      <w:rFonts w:ascii="宋体" w:hAnsi="宋体" w:cs="宋体"/>
      <w:kern w:val="2"/>
    </w:rPr>
  </w:style>
  <w:style w:type="paragraph" w:customStyle="1" w:styleId="927">
    <w:name w:val="表头 Char Char Char"/>
    <w:basedOn w:val="19"/>
    <w:next w:val="1"/>
    <w:qFormat/>
    <w:uiPriority w:val="0"/>
    <w:pPr>
      <w:spacing w:line="360" w:lineRule="auto"/>
      <w:ind w:firstLine="0" w:firstLineChars="0"/>
      <w:jc w:val="center"/>
      <w:textAlignment w:val="center"/>
    </w:pPr>
    <w:rPr>
      <w:rFonts w:ascii="黑体" w:hAnsi="Arial" w:eastAsia="黑体" w:cs="Arial"/>
    </w:rPr>
  </w:style>
  <w:style w:type="paragraph" w:customStyle="1" w:styleId="928">
    <w:name w:val="标题二！！！！！"/>
    <w:basedOn w:val="3"/>
    <w:qFormat/>
    <w:uiPriority w:val="0"/>
    <w:pPr>
      <w:numPr>
        <w:ilvl w:val="0"/>
        <w:numId w:val="0"/>
      </w:numPr>
      <w:autoSpaceDE/>
      <w:autoSpaceDN/>
      <w:spacing w:before="120" w:after="120" w:line="500" w:lineRule="exact"/>
      <w:jc w:val="both"/>
    </w:pPr>
    <w:rPr>
      <w:rFonts w:ascii="楷体_GB2312" w:hAnsi="楷体_GB2312" w:eastAsia="楷体_GB2312" w:cs="楷体_GB2312"/>
      <w:b/>
      <w:bCs/>
      <w:kern w:val="2"/>
      <w:lang w:val="zh-CN"/>
    </w:rPr>
  </w:style>
  <w:style w:type="paragraph" w:customStyle="1" w:styleId="929">
    <w:name w:val="Char41"/>
    <w:basedOn w:val="1"/>
    <w:uiPriority w:val="0"/>
    <w:pPr>
      <w:autoSpaceDE/>
      <w:autoSpaceDN/>
      <w:spacing w:line="240" w:lineRule="auto"/>
      <w:ind w:firstLine="0" w:firstLineChars="0"/>
      <w:jc w:val="both"/>
    </w:pPr>
    <w:rPr>
      <w:rFonts w:ascii="Calibri" w:hAnsi="Calibri"/>
      <w:kern w:val="2"/>
      <w:sz w:val="21"/>
    </w:rPr>
  </w:style>
  <w:style w:type="paragraph" w:customStyle="1" w:styleId="930">
    <w:name w:val="样式19"/>
    <w:basedOn w:val="3"/>
    <w:uiPriority w:val="0"/>
    <w:pPr>
      <w:numPr>
        <w:ilvl w:val="0"/>
        <w:numId w:val="0"/>
      </w:numPr>
      <w:tabs>
        <w:tab w:val="left" w:pos="567"/>
        <w:tab w:val="left" w:pos="630"/>
        <w:tab w:val="left" w:pos="840"/>
        <w:tab w:val="left" w:pos="1287"/>
        <w:tab w:val="left" w:pos="3920"/>
        <w:tab w:val="left" w:pos="5670"/>
      </w:tabs>
      <w:autoSpaceDE/>
      <w:autoSpaceDN/>
      <w:spacing w:before="156" w:beforeLines="50" w:after="60" w:line="520" w:lineRule="exact"/>
      <w:ind w:firstLine="567"/>
      <w:contextualSpacing/>
      <w:jc w:val="both"/>
    </w:pPr>
    <w:rPr>
      <w:rFonts w:ascii="Times New Roman" w:eastAsia="华文行楷" w:cs="Times New Roman"/>
      <w:b/>
      <w:bCs/>
      <w:color w:val="000000"/>
      <w:sz w:val="28"/>
      <w:lang w:val="zh-CN"/>
    </w:rPr>
  </w:style>
  <w:style w:type="paragraph" w:customStyle="1" w:styleId="931">
    <w:name w:val="普通(网站)11"/>
    <w:basedOn w:val="1"/>
    <w:uiPriority w:val="0"/>
    <w:pPr>
      <w:widowControl/>
      <w:autoSpaceDE/>
      <w:autoSpaceDN/>
      <w:spacing w:before="100" w:beforeAutospacing="1" w:after="100" w:afterAutospacing="1" w:line="240" w:lineRule="auto"/>
      <w:ind w:firstLine="0" w:firstLineChars="0"/>
    </w:pPr>
    <w:rPr>
      <w:rFonts w:hint="eastAsia" w:ascii="Calibri" w:hAnsi="Calibri"/>
      <w:kern w:val="2"/>
      <w:szCs w:val="20"/>
    </w:rPr>
  </w:style>
  <w:style w:type="paragraph" w:customStyle="1" w:styleId="932">
    <w:name w:val="xl40"/>
    <w:basedOn w:val="1"/>
    <w:uiPriority w:val="0"/>
    <w:pPr>
      <w:widowControl/>
      <w:pBdr>
        <w:top w:val="single" w:color="auto" w:sz="8" w:space="0"/>
        <w:left w:val="single" w:color="auto" w:sz="8"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rPr>
  </w:style>
  <w:style w:type="paragraph" w:customStyle="1" w:styleId="933">
    <w:name w:val="p17"/>
    <w:basedOn w:val="1"/>
    <w:uiPriority w:val="0"/>
    <w:pPr>
      <w:widowControl/>
      <w:autoSpaceDE/>
      <w:autoSpaceDN/>
      <w:spacing w:line="400" w:lineRule="atLeast"/>
      <w:ind w:firstLine="0" w:firstLineChars="0"/>
      <w:jc w:val="center"/>
    </w:pPr>
    <w:rPr>
      <w:rFonts w:ascii="Calibri" w:hAnsi="Calibri"/>
      <w:sz w:val="21"/>
      <w:szCs w:val="21"/>
    </w:rPr>
  </w:style>
  <w:style w:type="paragraph" w:customStyle="1" w:styleId="934">
    <w:name w:val="正文文本缩进 32"/>
    <w:basedOn w:val="1"/>
    <w:uiPriority w:val="0"/>
    <w:pPr>
      <w:autoSpaceDE/>
      <w:autoSpaceDN/>
      <w:ind w:right="69" w:rightChars="33" w:firstLine="560"/>
      <w:jc w:val="both"/>
    </w:pPr>
    <w:rPr>
      <w:rFonts w:ascii="仿宋_GB2312" w:hAnsi="宋体" w:eastAsia="仿宋_GB2312"/>
      <w:kern w:val="2"/>
      <w:sz w:val="28"/>
    </w:rPr>
  </w:style>
  <w:style w:type="paragraph" w:customStyle="1" w:styleId="935">
    <w:name w:val="列表接续 31"/>
    <w:basedOn w:val="1"/>
    <w:uiPriority w:val="0"/>
    <w:pPr>
      <w:autoSpaceDE/>
      <w:autoSpaceDN/>
      <w:spacing w:after="120" w:line="240" w:lineRule="auto"/>
      <w:ind w:left="1260" w:leftChars="600" w:firstLine="0" w:firstLineChars="0"/>
      <w:jc w:val="both"/>
    </w:pPr>
    <w:rPr>
      <w:rFonts w:ascii="Calibri" w:hAnsi="Calibri"/>
      <w:kern w:val="2"/>
      <w:sz w:val="21"/>
    </w:rPr>
  </w:style>
  <w:style w:type="paragraph" w:customStyle="1" w:styleId="936">
    <w:name w:val="Char Char1"/>
    <w:basedOn w:val="1"/>
    <w:next w:val="1"/>
    <w:uiPriority w:val="0"/>
    <w:pPr>
      <w:autoSpaceDE/>
      <w:autoSpaceDN/>
      <w:jc w:val="both"/>
    </w:pPr>
    <w:rPr>
      <w:rFonts w:ascii="宋体" w:hAnsi="宋体" w:cs="宋体"/>
      <w:kern w:val="2"/>
    </w:rPr>
  </w:style>
  <w:style w:type="paragraph" w:customStyle="1" w:styleId="937">
    <w:name w:val="正文表格"/>
    <w:basedOn w:val="1"/>
    <w:uiPriority w:val="0"/>
    <w:pPr>
      <w:keepNext/>
      <w:keepLines/>
      <w:autoSpaceDE/>
      <w:autoSpaceDN/>
      <w:spacing w:before="80" w:line="240" w:lineRule="auto"/>
      <w:ind w:firstLine="0" w:firstLineChars="0"/>
      <w:jc w:val="center"/>
      <w:textAlignment w:val="bottom"/>
    </w:pPr>
    <w:rPr>
      <w:rFonts w:ascii="Calibri" w:hAnsi="Calibri"/>
      <w:kern w:val="2"/>
      <w:sz w:val="21"/>
    </w:rPr>
  </w:style>
  <w:style w:type="paragraph" w:customStyle="1" w:styleId="938">
    <w:name w:val="Style102"/>
    <w:basedOn w:val="1"/>
    <w:uiPriority w:val="0"/>
    <w:pPr>
      <w:autoSpaceDE/>
      <w:autoSpaceDN/>
      <w:spacing w:line="466" w:lineRule="exact"/>
      <w:ind w:firstLine="0" w:firstLineChars="0"/>
      <w:jc w:val="center"/>
    </w:pPr>
    <w:rPr>
      <w:rFonts w:ascii="宋体" w:hAnsi="Calibri"/>
      <w:szCs w:val="20"/>
    </w:rPr>
  </w:style>
  <w:style w:type="paragraph" w:customStyle="1" w:styleId="939">
    <w:name w:val="Char Char1 Char Char Char Char Char Char Char Char Char Char Char Char Char Char Char Char Char Char Char Char1 Char1"/>
    <w:basedOn w:val="1"/>
    <w:uiPriority w:val="0"/>
    <w:pPr>
      <w:autoSpaceDE/>
      <w:autoSpaceDN/>
      <w:jc w:val="both"/>
    </w:pPr>
    <w:rPr>
      <w:rFonts w:ascii="宋体" w:hAnsi="宋体" w:cs="宋体"/>
      <w:kern w:val="2"/>
    </w:rPr>
  </w:style>
  <w:style w:type="paragraph" w:customStyle="1" w:styleId="940">
    <w:name w:val="样式 正文缩进 + 首行缩进:  2 字符"/>
    <w:basedOn w:val="18"/>
    <w:uiPriority w:val="0"/>
    <w:pPr>
      <w:spacing w:line="240" w:lineRule="auto"/>
      <w:ind w:firstLine="480"/>
      <w:jc w:val="both"/>
    </w:pPr>
    <w:rPr>
      <w:rFonts w:ascii="仿宋_GB2312" w:hAnsi="Calibri" w:eastAsia="仿宋_GB2312" w:cs="宋体"/>
      <w:szCs w:val="20"/>
      <w:lang w:val="zh-CN"/>
    </w:rPr>
  </w:style>
  <w:style w:type="paragraph" w:customStyle="1" w:styleId="941">
    <w:name w:val="图标标题"/>
    <w:basedOn w:val="1"/>
    <w:qFormat/>
    <w:uiPriority w:val="0"/>
    <w:pPr>
      <w:widowControl/>
      <w:autoSpaceDE/>
      <w:autoSpaceDN/>
      <w:spacing w:line="240" w:lineRule="auto"/>
      <w:ind w:firstLine="0" w:firstLineChars="0"/>
      <w:jc w:val="center"/>
    </w:pPr>
    <w:rPr>
      <w:rFonts w:ascii="宋体" w:hAnsi="宋体" w:eastAsia="黑体" w:cs="宋体"/>
      <w:sz w:val="21"/>
    </w:rPr>
  </w:style>
  <w:style w:type="paragraph" w:customStyle="1" w:styleId="942">
    <w:name w:val="简单回函地址"/>
    <w:basedOn w:val="1"/>
    <w:qFormat/>
    <w:uiPriority w:val="0"/>
    <w:pPr>
      <w:autoSpaceDE/>
      <w:autoSpaceDN/>
      <w:spacing w:line="312" w:lineRule="atLeast"/>
      <w:ind w:firstLine="0" w:firstLineChars="0"/>
      <w:jc w:val="both"/>
      <w:textAlignment w:val="baseline"/>
    </w:pPr>
    <w:rPr>
      <w:rFonts w:ascii="Calibri" w:hAnsi="Calibri"/>
      <w:sz w:val="21"/>
      <w:szCs w:val="20"/>
    </w:rPr>
  </w:style>
  <w:style w:type="paragraph" w:customStyle="1" w:styleId="943">
    <w:name w:val="封面3"/>
    <w:basedOn w:val="815"/>
    <w:uiPriority w:val="0"/>
    <w:rPr>
      <w:rFonts w:ascii="宋体" w:hAnsi="宋体"/>
      <w:sz w:val="96"/>
      <w:szCs w:val="96"/>
    </w:rPr>
  </w:style>
  <w:style w:type="paragraph" w:customStyle="1" w:styleId="944">
    <w:name w:val="xl43"/>
    <w:basedOn w:val="1"/>
    <w:uiPriority w:val="0"/>
    <w:pPr>
      <w:widowControl/>
      <w:pBdr>
        <w:top w:val="single" w:color="auto" w:sz="8" w:space="0"/>
        <w:left w:val="single" w:color="auto" w:sz="4" w:space="0"/>
        <w:bottom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rPr>
  </w:style>
  <w:style w:type="paragraph" w:customStyle="1" w:styleId="945">
    <w:name w:val="Char Char Char Char Char Char1 Char2"/>
    <w:basedOn w:val="1"/>
    <w:uiPriority w:val="0"/>
    <w:pPr>
      <w:autoSpaceDE/>
      <w:autoSpaceDN/>
      <w:spacing w:line="240" w:lineRule="auto"/>
      <w:ind w:firstLine="0" w:firstLineChars="0"/>
      <w:jc w:val="both"/>
    </w:pPr>
    <w:rPr>
      <w:rFonts w:ascii="Calibri" w:hAnsi="Calibri"/>
      <w:kern w:val="2"/>
      <w:sz w:val="21"/>
    </w:rPr>
  </w:style>
  <w:style w:type="paragraph" w:customStyle="1" w:styleId="946">
    <w:name w:val="xl5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textAlignment w:val="center"/>
    </w:pPr>
    <w:rPr>
      <w:rFonts w:ascii="宋体" w:hAnsi="宋体" w:eastAsia="Arial Unicode MS" w:cs="宋体"/>
      <w:sz w:val="20"/>
      <w:szCs w:val="20"/>
    </w:rPr>
  </w:style>
  <w:style w:type="paragraph" w:customStyle="1" w:styleId="947">
    <w:name w:val="章章"/>
    <w:basedOn w:val="2"/>
    <w:uiPriority w:val="0"/>
    <w:pPr>
      <w:widowControl/>
      <w:numPr>
        <w:numId w:val="0"/>
      </w:numPr>
      <w:autoSpaceDE/>
      <w:autoSpaceDN/>
      <w:spacing w:line="240" w:lineRule="auto"/>
      <w:outlineLvl w:val="9"/>
    </w:pPr>
    <w:rPr>
      <w:rFonts w:ascii="宋体" w:hAnsi="宋体" w:eastAsia="宋体" w:cs="宋体"/>
      <w:kern w:val="2"/>
      <w:sz w:val="28"/>
      <w:szCs w:val="20"/>
      <w:lang w:val="zh-CN"/>
    </w:rPr>
  </w:style>
  <w:style w:type="paragraph" w:customStyle="1" w:styleId="948">
    <w:name w:val="样式 标题 + 两端对齐 左侧:  2.2 厘米"/>
    <w:basedOn w:val="72"/>
    <w:uiPriority w:val="0"/>
    <w:pPr>
      <w:tabs>
        <w:tab w:val="left" w:pos="0"/>
      </w:tabs>
      <w:spacing w:before="0" w:after="100" w:afterAutospacing="1" w:line="360" w:lineRule="auto"/>
      <w:ind w:left="1247" w:hanging="57"/>
      <w:jc w:val="left"/>
    </w:pPr>
    <w:rPr>
      <w:rFonts w:ascii="楷体_GB2312" w:eastAsia="隶书" w:cs="宋体"/>
      <w:sz w:val="44"/>
      <w:szCs w:val="20"/>
    </w:rPr>
  </w:style>
  <w:style w:type="paragraph" w:customStyle="1" w:styleId="949">
    <w:name w:val="xl3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950">
    <w:name w:val="表格，五宋"/>
    <w:uiPriority w:val="0"/>
    <w:pPr>
      <w:adjustRightInd w:val="0"/>
      <w:spacing w:line="360" w:lineRule="exact"/>
      <w:jc w:val="center"/>
    </w:pPr>
    <w:rPr>
      <w:rFonts w:ascii="Calibri" w:hAnsi="Calibri" w:eastAsia="宋体" w:cs="Times New Roman"/>
      <w:sz w:val="21"/>
      <w:lang w:val="en-US" w:eastAsia="zh-CN" w:bidi="ar-SA"/>
    </w:rPr>
  </w:style>
  <w:style w:type="paragraph" w:customStyle="1" w:styleId="951">
    <w:name w:val="Char Char Char Char Char Char Char Char Char Char1"/>
    <w:basedOn w:val="1"/>
    <w:next w:val="1"/>
    <w:uiPriority w:val="0"/>
    <w:pPr>
      <w:autoSpaceDE/>
      <w:autoSpaceDN/>
      <w:jc w:val="both"/>
    </w:pPr>
    <w:rPr>
      <w:rFonts w:ascii="宋体" w:hAnsi="宋体" w:cs="宋体"/>
      <w:kern w:val="2"/>
    </w:rPr>
  </w:style>
  <w:style w:type="paragraph" w:customStyle="1" w:styleId="952">
    <w:name w:val="索引 11"/>
    <w:basedOn w:val="1"/>
    <w:next w:val="1"/>
    <w:uiPriority w:val="0"/>
    <w:pPr>
      <w:widowControl/>
      <w:autoSpaceDE/>
      <w:autoSpaceDN/>
      <w:spacing w:line="240" w:lineRule="auto"/>
      <w:ind w:left="-53" w:leftChars="-25" w:right="-1" w:firstLine="0" w:firstLineChars="0"/>
      <w:jc w:val="center"/>
    </w:pPr>
    <w:rPr>
      <w:rFonts w:ascii="Calibri" w:hAnsi="Calibri"/>
      <w:sz w:val="21"/>
      <w:szCs w:val="21"/>
    </w:rPr>
  </w:style>
  <w:style w:type="paragraph" w:customStyle="1" w:styleId="953">
    <w:name w:val="Char Char Char1"/>
    <w:basedOn w:val="1"/>
    <w:next w:val="1"/>
    <w:uiPriority w:val="0"/>
    <w:pPr>
      <w:autoSpaceDE/>
      <w:autoSpaceDN/>
      <w:jc w:val="both"/>
    </w:pPr>
    <w:rPr>
      <w:rFonts w:ascii="宋体" w:hAnsi="宋体" w:cs="宋体"/>
      <w:kern w:val="2"/>
    </w:rPr>
  </w:style>
  <w:style w:type="paragraph" w:customStyle="1" w:styleId="954">
    <w:name w:val="正文（首行缩进两字） Char Char Char Char1 Char11"/>
    <w:basedOn w:val="1"/>
    <w:next w:val="18"/>
    <w:uiPriority w:val="0"/>
    <w:pPr>
      <w:autoSpaceDE/>
      <w:autoSpaceDN/>
      <w:spacing w:line="440" w:lineRule="exact"/>
      <w:jc w:val="both"/>
    </w:pPr>
    <w:rPr>
      <w:rFonts w:ascii="Arial" w:hAnsi="Arial"/>
      <w:kern w:val="2"/>
    </w:rPr>
  </w:style>
  <w:style w:type="paragraph" w:customStyle="1" w:styleId="955">
    <w:name w:val="右五"/>
    <w:basedOn w:val="956"/>
    <w:next w:val="1"/>
    <w:uiPriority w:val="0"/>
    <w:pPr>
      <w:jc w:val="right"/>
    </w:pPr>
  </w:style>
  <w:style w:type="paragraph" w:customStyle="1" w:styleId="956">
    <w:name w:val="左五"/>
    <w:basedOn w:val="1"/>
    <w:uiPriority w:val="0"/>
    <w:pPr>
      <w:autoSpaceDE/>
      <w:autoSpaceDN/>
      <w:spacing w:line="280" w:lineRule="exact"/>
      <w:ind w:firstLine="0" w:firstLineChars="0"/>
    </w:pPr>
    <w:rPr>
      <w:rFonts w:ascii="宋体" w:hAnsi="Symusic"/>
      <w:color w:val="000000"/>
      <w:kern w:val="2"/>
      <w:sz w:val="18"/>
    </w:rPr>
  </w:style>
  <w:style w:type="paragraph" w:customStyle="1" w:styleId="957">
    <w:name w:val="Char4"/>
    <w:basedOn w:val="1"/>
    <w:uiPriority w:val="0"/>
    <w:pPr>
      <w:autoSpaceDE/>
      <w:autoSpaceDN/>
      <w:spacing w:line="240" w:lineRule="auto"/>
      <w:ind w:firstLine="0" w:firstLineChars="0"/>
      <w:jc w:val="both"/>
    </w:pPr>
    <w:rPr>
      <w:rFonts w:ascii="Calibri" w:hAnsi="Calibri"/>
      <w:kern w:val="2"/>
      <w:sz w:val="21"/>
    </w:rPr>
  </w:style>
  <w:style w:type="paragraph" w:customStyle="1" w:styleId="958">
    <w:name w:val="样式 化工城正文 + 首行缩进:  2 字符 行距: 多倍行距 1.35 字行"/>
    <w:basedOn w:val="1"/>
    <w:uiPriority w:val="0"/>
    <w:pPr>
      <w:autoSpaceDE/>
      <w:autoSpaceDN/>
      <w:spacing w:line="324" w:lineRule="auto"/>
      <w:ind w:firstLine="480"/>
      <w:jc w:val="both"/>
    </w:pPr>
    <w:rPr>
      <w:rFonts w:ascii="宋体" w:hAnsi="宋体" w:cs="宋体"/>
      <w:kern w:val="2"/>
      <w:szCs w:val="20"/>
    </w:rPr>
  </w:style>
  <w:style w:type="paragraph" w:customStyle="1" w:styleId="959">
    <w:name w:val="Char Char Char Char Char1"/>
    <w:basedOn w:val="1"/>
    <w:uiPriority w:val="0"/>
    <w:pPr>
      <w:autoSpaceDE/>
      <w:autoSpaceDN/>
      <w:spacing w:line="240" w:lineRule="auto"/>
      <w:ind w:firstLine="0" w:firstLineChars="0"/>
      <w:jc w:val="both"/>
    </w:pPr>
    <w:rPr>
      <w:rFonts w:ascii="Calibri" w:hAnsi="Calibri"/>
      <w:kern w:val="2"/>
      <w:sz w:val="21"/>
      <w:szCs w:val="20"/>
    </w:rPr>
  </w:style>
  <w:style w:type="paragraph" w:customStyle="1" w:styleId="960">
    <w:name w:val="责任页"/>
    <w:basedOn w:val="1"/>
    <w:uiPriority w:val="0"/>
    <w:pPr>
      <w:autoSpaceDE/>
      <w:autoSpaceDN/>
      <w:spacing w:line="300" w:lineRule="auto"/>
      <w:ind w:firstLine="0" w:firstLineChars="0"/>
      <w:jc w:val="both"/>
    </w:pPr>
    <w:rPr>
      <w:rFonts w:ascii="Calibri" w:hAnsi="Calibri"/>
      <w:kern w:val="2"/>
      <w:sz w:val="28"/>
    </w:rPr>
  </w:style>
  <w:style w:type="paragraph" w:customStyle="1" w:styleId="961">
    <w:name w:val="_Style 45"/>
    <w:basedOn w:val="1"/>
    <w:qFormat/>
    <w:uiPriority w:val="0"/>
    <w:pPr>
      <w:autoSpaceDE/>
      <w:autoSpaceDN/>
      <w:ind w:firstLine="0" w:firstLineChars="0"/>
      <w:jc w:val="both"/>
    </w:pPr>
    <w:rPr>
      <w:rFonts w:ascii="Calibri" w:hAnsi="Calibri"/>
      <w:kern w:val="2"/>
      <w:sz w:val="28"/>
    </w:rPr>
  </w:style>
  <w:style w:type="paragraph" w:customStyle="1" w:styleId="962">
    <w:name w:val="图片"/>
    <w:basedOn w:val="1"/>
    <w:uiPriority w:val="0"/>
    <w:pPr>
      <w:widowControl/>
      <w:autoSpaceDE/>
      <w:autoSpaceDN/>
      <w:spacing w:line="400" w:lineRule="exact"/>
      <w:ind w:firstLine="567" w:firstLineChars="0"/>
      <w:jc w:val="center"/>
      <w:textAlignment w:val="baseline"/>
    </w:pPr>
    <w:rPr>
      <w:rFonts w:ascii="宋体" w:hAnsi="宋体" w:cs="宋体"/>
      <w:sz w:val="28"/>
      <w:szCs w:val="20"/>
    </w:rPr>
  </w:style>
  <w:style w:type="paragraph" w:customStyle="1" w:styleId="963">
    <w:name w:val="Style108"/>
    <w:basedOn w:val="1"/>
    <w:uiPriority w:val="0"/>
    <w:pPr>
      <w:autoSpaceDE/>
      <w:autoSpaceDN/>
      <w:spacing w:line="240" w:lineRule="auto"/>
      <w:ind w:firstLine="0" w:firstLineChars="0"/>
    </w:pPr>
    <w:rPr>
      <w:rFonts w:ascii="宋体" w:hAnsi="Calibri"/>
      <w:szCs w:val="20"/>
    </w:rPr>
  </w:style>
  <w:style w:type="paragraph" w:customStyle="1" w:styleId="964">
    <w:name w:val="默认段落字体 Para Char3"/>
    <w:basedOn w:val="1"/>
    <w:next w:val="1"/>
    <w:qFormat/>
    <w:uiPriority w:val="0"/>
    <w:pPr>
      <w:widowControl/>
      <w:autoSpaceDE/>
      <w:autoSpaceDN/>
    </w:pPr>
    <w:rPr>
      <w:rFonts w:ascii="宋体" w:hAnsi="宋体" w:cs="宋体"/>
    </w:rPr>
  </w:style>
  <w:style w:type="paragraph" w:customStyle="1" w:styleId="965">
    <w:name w:val="Char Char Char Char Char Char Char Char Char3"/>
    <w:basedOn w:val="1"/>
    <w:uiPriority w:val="0"/>
    <w:pPr>
      <w:autoSpaceDE/>
      <w:autoSpaceDN/>
      <w:spacing w:line="240" w:lineRule="auto"/>
      <w:ind w:firstLine="0" w:firstLineChars="0"/>
      <w:jc w:val="both"/>
    </w:pPr>
    <w:rPr>
      <w:rFonts w:ascii="Calibri" w:hAnsi="Calibri"/>
      <w:kern w:val="2"/>
      <w:sz w:val="21"/>
    </w:rPr>
  </w:style>
  <w:style w:type="paragraph" w:customStyle="1" w:styleId="966">
    <w:name w:val="样式 表头 + 首行缩进:  2 字符"/>
    <w:basedOn w:val="1"/>
    <w:uiPriority w:val="0"/>
    <w:pPr>
      <w:keepNext/>
      <w:tabs>
        <w:tab w:val="left" w:pos="3319"/>
        <w:tab w:val="left" w:pos="3600"/>
      </w:tabs>
      <w:autoSpaceDE/>
      <w:autoSpaceDN/>
      <w:spacing w:line="240" w:lineRule="auto"/>
      <w:ind w:firstLine="0" w:firstLineChars="0"/>
      <w:jc w:val="center"/>
    </w:pPr>
    <w:rPr>
      <w:rFonts w:ascii="Calibri" w:hAnsi="Calibri" w:eastAsia="仿宋_GB2312"/>
      <w:b/>
      <w:bCs/>
      <w:color w:val="000000"/>
      <w:kern w:val="2"/>
      <w:szCs w:val="20"/>
    </w:rPr>
  </w:style>
  <w:style w:type="paragraph" w:customStyle="1" w:styleId="967">
    <w:name w:val="样式 正文文本缩进 3 + 小四"/>
    <w:basedOn w:val="934"/>
    <w:uiPriority w:val="0"/>
    <w:pPr>
      <w:widowControl/>
      <w:spacing w:line="240" w:lineRule="auto"/>
      <w:ind w:right="0" w:rightChars="0" w:firstLine="0" w:firstLineChars="0"/>
      <w:jc w:val="left"/>
    </w:pPr>
    <w:rPr>
      <w:rFonts w:ascii="宋体" w:eastAsia="宋体" w:cs="宋体"/>
      <w:w w:val="90"/>
      <w:kern w:val="0"/>
      <w:sz w:val="24"/>
      <w:szCs w:val="16"/>
    </w:rPr>
  </w:style>
  <w:style w:type="paragraph" w:customStyle="1" w:styleId="968">
    <w:name w:val="默认段落字体 Para Char"/>
    <w:basedOn w:val="1"/>
    <w:qFormat/>
    <w:uiPriority w:val="0"/>
    <w:pPr>
      <w:widowControl/>
      <w:autoSpaceDE/>
      <w:autoSpaceDN/>
      <w:spacing w:line="240" w:lineRule="auto"/>
      <w:ind w:firstLine="0" w:firstLineChars="0"/>
    </w:pPr>
    <w:rPr>
      <w:rFonts w:ascii="宋体" w:hAnsi="宋体" w:cs="宋体"/>
    </w:rPr>
  </w:style>
  <w:style w:type="paragraph" w:customStyle="1" w:styleId="969">
    <w:name w:val="xl5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textAlignment w:val="center"/>
    </w:pPr>
    <w:rPr>
      <w:rFonts w:ascii="宋体" w:hAnsi="宋体" w:eastAsia="Arial Unicode MS" w:cs="宋体"/>
      <w:color w:val="000000"/>
      <w:sz w:val="20"/>
      <w:szCs w:val="20"/>
    </w:rPr>
  </w:style>
  <w:style w:type="paragraph" w:customStyle="1" w:styleId="970">
    <w:name w:val="样式66"/>
    <w:basedOn w:val="1"/>
    <w:uiPriority w:val="0"/>
    <w:pPr>
      <w:widowControl/>
      <w:autoSpaceDE/>
      <w:autoSpaceDN/>
      <w:spacing w:line="240" w:lineRule="auto"/>
      <w:ind w:firstLine="560"/>
    </w:pPr>
    <w:rPr>
      <w:rFonts w:ascii="宋体" w:hAnsi="宋体" w:cs="宋体"/>
      <w:sz w:val="28"/>
      <w:szCs w:val="20"/>
    </w:rPr>
  </w:style>
  <w:style w:type="paragraph" w:customStyle="1" w:styleId="971">
    <w:name w:val="样式 标题 3 + 黑色"/>
    <w:basedOn w:val="4"/>
    <w:uiPriority w:val="0"/>
    <w:pPr>
      <w:keepNext/>
      <w:keepLines/>
      <w:widowControl/>
      <w:numPr>
        <w:ilvl w:val="0"/>
        <w:numId w:val="0"/>
      </w:numPr>
      <w:autoSpaceDE/>
      <w:autoSpaceDN/>
      <w:spacing w:before="100" w:after="100" w:line="240" w:lineRule="auto"/>
    </w:pPr>
    <w:rPr>
      <w:rFonts w:ascii="宋体" w:hAnsi="宋体" w:eastAsia="宋体" w:cs="宋体"/>
      <w:b/>
      <w:color w:val="000000"/>
      <w:kern w:val="2"/>
      <w:sz w:val="24"/>
      <w:szCs w:val="24"/>
      <w:lang w:val="zh-CN"/>
    </w:rPr>
  </w:style>
  <w:style w:type="paragraph" w:customStyle="1" w:styleId="972">
    <w:name w:val="项目点符号"/>
    <w:basedOn w:val="1"/>
    <w:qFormat/>
    <w:uiPriority w:val="0"/>
    <w:pPr>
      <w:autoSpaceDE/>
      <w:autoSpaceDN/>
      <w:spacing w:line="360" w:lineRule="exact"/>
      <w:ind w:firstLine="0" w:firstLineChars="0"/>
      <w:jc w:val="center"/>
    </w:pPr>
    <w:rPr>
      <w:rFonts w:ascii="Calibri" w:hAnsi="Calibri"/>
      <w:bCs/>
      <w:spacing w:val="-10"/>
      <w:kern w:val="2"/>
      <w:sz w:val="21"/>
      <w:szCs w:val="21"/>
    </w:rPr>
  </w:style>
  <w:style w:type="paragraph" w:customStyle="1" w:styleId="973">
    <w:name w:val="信息标题1"/>
    <w:basedOn w:val="1"/>
    <w:uiPriority w:val="0"/>
    <w:pPr>
      <w:pBdr>
        <w:top w:val="single" w:color="auto" w:sz="6" w:space="1"/>
        <w:left w:val="single" w:color="auto" w:sz="6" w:space="1"/>
        <w:bottom w:val="single" w:color="auto" w:sz="6" w:space="1"/>
        <w:right w:val="single" w:color="auto" w:sz="6" w:space="1"/>
      </w:pBdr>
      <w:shd w:val="pct20" w:color="auto" w:fill="auto"/>
      <w:autoSpaceDE/>
      <w:autoSpaceDN/>
      <w:spacing w:line="240" w:lineRule="auto"/>
      <w:ind w:left="1080" w:leftChars="500" w:hanging="1080" w:hangingChars="500"/>
      <w:jc w:val="both"/>
    </w:pPr>
    <w:rPr>
      <w:rFonts w:ascii="Arial" w:hAnsi="Arial" w:cs="Arial"/>
      <w:kern w:val="2"/>
      <w:shd w:val="pct20" w:color="auto" w:fill="auto"/>
    </w:rPr>
  </w:style>
  <w:style w:type="paragraph" w:customStyle="1" w:styleId="974">
    <w:name w:val="样式 行距: 1.5 倍行距"/>
    <w:basedOn w:val="1"/>
    <w:uiPriority w:val="0"/>
    <w:pPr>
      <w:tabs>
        <w:tab w:val="left" w:pos="630"/>
      </w:tabs>
      <w:autoSpaceDE/>
      <w:autoSpaceDN/>
      <w:ind w:firstLine="0" w:firstLineChars="0"/>
      <w:jc w:val="both"/>
    </w:pPr>
    <w:rPr>
      <w:rFonts w:ascii="宋体" w:hAnsi="宋体"/>
      <w:color w:val="000000"/>
      <w:kern w:val="2"/>
      <w:szCs w:val="20"/>
    </w:rPr>
  </w:style>
  <w:style w:type="paragraph" w:customStyle="1" w:styleId="975">
    <w:name w:val="xl42"/>
    <w:basedOn w:val="1"/>
    <w:uiPriority w:val="0"/>
    <w:pPr>
      <w:widowControl/>
      <w:pBdr>
        <w:top w:val="single" w:color="auto" w:sz="8" w:space="0"/>
        <w:left w:val="single" w:color="auto" w:sz="4" w:space="0"/>
        <w:bottom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976">
    <w:name w:val="Char Char Char Char Char Char Char Char Char2"/>
    <w:basedOn w:val="1"/>
    <w:uiPriority w:val="0"/>
    <w:pPr>
      <w:autoSpaceDE/>
      <w:autoSpaceDN/>
      <w:spacing w:line="240" w:lineRule="auto"/>
      <w:ind w:firstLine="0" w:firstLineChars="0"/>
      <w:jc w:val="both"/>
    </w:pPr>
    <w:rPr>
      <w:rFonts w:ascii="Calibri" w:hAnsi="Calibri"/>
      <w:kern w:val="2"/>
      <w:sz w:val="21"/>
    </w:rPr>
  </w:style>
  <w:style w:type="paragraph" w:customStyle="1" w:styleId="977">
    <w:name w:val="表文1"/>
    <w:basedOn w:val="1"/>
    <w:uiPriority w:val="0"/>
    <w:pPr>
      <w:autoSpaceDE/>
      <w:autoSpaceDN/>
      <w:spacing w:before="156" w:beforeLines="50" w:after="156" w:afterLines="50"/>
      <w:ind w:firstLine="0" w:firstLineChars="0"/>
      <w:jc w:val="both"/>
    </w:pPr>
    <w:rPr>
      <w:rFonts w:ascii="宋体" w:hAnsi="宋体"/>
      <w:kern w:val="2"/>
      <w:sz w:val="21"/>
      <w:szCs w:val="20"/>
    </w:rPr>
  </w:style>
  <w:style w:type="paragraph" w:customStyle="1" w:styleId="978">
    <w:name w:val="Style25"/>
    <w:basedOn w:val="1"/>
    <w:uiPriority w:val="0"/>
    <w:pPr>
      <w:autoSpaceDE/>
      <w:autoSpaceDN/>
      <w:spacing w:line="240" w:lineRule="auto"/>
      <w:ind w:firstLine="0" w:firstLineChars="0"/>
      <w:jc w:val="center"/>
    </w:pPr>
    <w:rPr>
      <w:rFonts w:ascii="宋体" w:hAnsi="Calibri"/>
      <w:szCs w:val="20"/>
    </w:rPr>
  </w:style>
  <w:style w:type="paragraph" w:customStyle="1" w:styleId="979">
    <w:name w:val="TOC 标题3"/>
    <w:basedOn w:val="2"/>
    <w:next w:val="1"/>
    <w:uiPriority w:val="0"/>
    <w:pPr>
      <w:keepNext/>
      <w:keepLines/>
      <w:widowControl/>
      <w:numPr>
        <w:numId w:val="0"/>
      </w:numPr>
      <w:autoSpaceDE/>
      <w:autoSpaceDN/>
      <w:spacing w:before="480" w:line="276" w:lineRule="auto"/>
      <w:jc w:val="left"/>
      <w:outlineLvl w:val="9"/>
    </w:pPr>
    <w:rPr>
      <w:rFonts w:ascii="Cambria" w:hAnsi="Cambria" w:eastAsia="宋体" w:cs="Times New Roman"/>
      <w:b/>
      <w:bCs/>
      <w:color w:val="365F91"/>
      <w:sz w:val="28"/>
      <w:szCs w:val="28"/>
      <w:lang w:val="zh-CN"/>
    </w:rPr>
  </w:style>
  <w:style w:type="paragraph" w:customStyle="1" w:styleId="980">
    <w:name w:val="样式 首行缩进:  0.85 厘米"/>
    <w:basedOn w:val="1"/>
    <w:qFormat/>
    <w:uiPriority w:val="0"/>
    <w:pPr>
      <w:autoSpaceDE/>
      <w:autoSpaceDN/>
      <w:spacing w:line="500" w:lineRule="exact"/>
      <w:jc w:val="both"/>
    </w:pPr>
    <w:rPr>
      <w:rFonts w:ascii="楷体_GB2312" w:hAnsi="楷体_GB2312" w:eastAsia="楷体_GB2312" w:cs="楷体_GB2312"/>
      <w:kern w:val="2"/>
    </w:rPr>
  </w:style>
  <w:style w:type="paragraph" w:customStyle="1" w:styleId="981">
    <w:name w:val="zhang正文"/>
    <w:basedOn w:val="368"/>
    <w:uiPriority w:val="0"/>
    <w:pPr>
      <w:widowControl/>
      <w:autoSpaceDE w:val="0"/>
      <w:autoSpaceDN w:val="0"/>
      <w:adjustRightInd w:val="0"/>
      <w:snapToGrid w:val="0"/>
      <w:spacing w:after="0" w:line="500" w:lineRule="exact"/>
      <w:ind w:left="0" w:leftChars="0" w:firstLine="539"/>
      <w:jc w:val="left"/>
      <w:textAlignment w:val="baseline"/>
    </w:pPr>
    <w:rPr>
      <w:rFonts w:ascii="宋体" w:hAnsi="宋体" w:eastAsia="楷体_GB2312" w:cs="宋体"/>
      <w:kern w:val="0"/>
      <w:sz w:val="28"/>
      <w:szCs w:val="20"/>
    </w:rPr>
  </w:style>
  <w:style w:type="paragraph" w:customStyle="1" w:styleId="982">
    <w:name w:val="表后空行"/>
    <w:basedOn w:val="1"/>
    <w:uiPriority w:val="0"/>
    <w:pPr>
      <w:widowControl/>
      <w:overflowPunct w:val="0"/>
      <w:autoSpaceDE/>
      <w:autoSpaceDN/>
      <w:spacing w:line="240" w:lineRule="auto"/>
      <w:ind w:firstLine="0" w:firstLineChars="0"/>
      <w:textAlignment w:val="baseline"/>
    </w:pPr>
    <w:rPr>
      <w:rFonts w:ascii="宋体" w:hAnsi="宋体" w:cs="宋体"/>
      <w:kern w:val="28"/>
      <w:sz w:val="10"/>
      <w:szCs w:val="20"/>
    </w:rPr>
  </w:style>
  <w:style w:type="paragraph" w:customStyle="1" w:styleId="983">
    <w:name w:val="纯文本3"/>
    <w:basedOn w:val="1"/>
    <w:uiPriority w:val="0"/>
    <w:pPr>
      <w:autoSpaceDE/>
      <w:autoSpaceDN/>
      <w:spacing w:line="240" w:lineRule="atLeast"/>
      <w:ind w:firstLine="0" w:firstLineChars="0"/>
      <w:jc w:val="center"/>
    </w:pPr>
    <w:rPr>
      <w:rFonts w:ascii="宋体" w:hAnsi="宋体"/>
      <w:bCs/>
      <w:iCs/>
      <w:kern w:val="2"/>
      <w:sz w:val="18"/>
      <w:szCs w:val="18"/>
    </w:rPr>
  </w:style>
  <w:style w:type="paragraph" w:customStyle="1" w:styleId="984">
    <w:name w:val="Style61"/>
    <w:basedOn w:val="1"/>
    <w:uiPriority w:val="0"/>
    <w:pPr>
      <w:autoSpaceDE/>
      <w:autoSpaceDN/>
      <w:spacing w:line="240" w:lineRule="auto"/>
      <w:ind w:firstLine="0" w:firstLineChars="0"/>
    </w:pPr>
    <w:rPr>
      <w:rFonts w:ascii="宋体" w:hAnsi="Calibri"/>
      <w:szCs w:val="20"/>
    </w:rPr>
  </w:style>
  <w:style w:type="paragraph" w:customStyle="1" w:styleId="985">
    <w:name w:val="Char Char 字元 字元 字元 Char Char Char Char"/>
    <w:basedOn w:val="1"/>
    <w:uiPriority w:val="0"/>
    <w:pPr>
      <w:widowControl/>
      <w:autoSpaceDE/>
      <w:autoSpaceDN/>
      <w:ind w:firstLine="0" w:firstLineChars="0"/>
    </w:pPr>
    <w:rPr>
      <w:rFonts w:ascii="宋体" w:hAnsi="宋体" w:cs="宋体"/>
      <w:szCs w:val="20"/>
    </w:rPr>
  </w:style>
  <w:style w:type="paragraph" w:customStyle="1" w:styleId="986">
    <w:name w:val="Char Char Char2 Char Char Char Char Char Char Char Char Char Char3"/>
    <w:basedOn w:val="1"/>
    <w:uiPriority w:val="0"/>
    <w:pPr>
      <w:autoSpaceDE/>
      <w:autoSpaceDN/>
      <w:spacing w:line="240" w:lineRule="auto"/>
      <w:ind w:firstLine="0" w:firstLineChars="0"/>
      <w:jc w:val="both"/>
    </w:pPr>
    <w:rPr>
      <w:rFonts w:ascii="Calibri" w:hAnsi="Calibri"/>
      <w:kern w:val="2"/>
      <w:sz w:val="21"/>
    </w:rPr>
  </w:style>
  <w:style w:type="paragraph" w:customStyle="1" w:styleId="987">
    <w:name w:val="表"/>
    <w:basedOn w:val="1"/>
    <w:qFormat/>
    <w:uiPriority w:val="0"/>
    <w:pPr>
      <w:autoSpaceDE/>
      <w:autoSpaceDN/>
      <w:spacing w:line="240" w:lineRule="auto"/>
      <w:ind w:firstLine="0" w:firstLineChars="0"/>
      <w:jc w:val="center"/>
    </w:pPr>
    <w:rPr>
      <w:rFonts w:ascii="Calibri" w:hAnsi="Calibri"/>
      <w:kern w:val="2"/>
    </w:rPr>
  </w:style>
  <w:style w:type="paragraph" w:customStyle="1" w:styleId="988">
    <w:name w:val="Char Char Char Char Char Char Char Char Char Char Char Char Char Char Char Char Char Char Char Char Char Char Char Char Char Char Char Char Char Char Char Char Char Char Char Char Char Char Char Char Char Char2"/>
    <w:basedOn w:val="1"/>
    <w:next w:val="1"/>
    <w:uiPriority w:val="0"/>
    <w:pPr>
      <w:autoSpaceDE/>
      <w:autoSpaceDN/>
      <w:jc w:val="both"/>
    </w:pPr>
    <w:rPr>
      <w:rFonts w:ascii="宋体" w:hAnsi="宋体" w:cs="宋体"/>
      <w:kern w:val="2"/>
    </w:rPr>
  </w:style>
  <w:style w:type="paragraph" w:customStyle="1" w:styleId="989">
    <w:name w:val="xl6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jc w:val="center"/>
      <w:textAlignment w:val="center"/>
    </w:pPr>
    <w:rPr>
      <w:rFonts w:ascii="宋体" w:hAnsi="宋体" w:eastAsia="Arial Unicode MS" w:cs="宋体"/>
      <w:b/>
      <w:bCs/>
      <w:sz w:val="20"/>
      <w:szCs w:val="20"/>
    </w:rPr>
  </w:style>
  <w:style w:type="paragraph" w:customStyle="1" w:styleId="990">
    <w:name w:val="HTML 预设格式1"/>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ind w:firstLine="0" w:firstLineChars="0"/>
    </w:pPr>
    <w:rPr>
      <w:rFonts w:ascii="宋体" w:hAnsi="宋体"/>
      <w:color w:val="000000"/>
      <w:sz w:val="21"/>
      <w:szCs w:val="21"/>
    </w:rPr>
  </w:style>
  <w:style w:type="paragraph" w:customStyle="1" w:styleId="991">
    <w:name w:val="表文字"/>
    <w:basedOn w:val="1"/>
    <w:qFormat/>
    <w:uiPriority w:val="0"/>
    <w:pPr>
      <w:overflowPunct w:val="0"/>
      <w:spacing w:line="240" w:lineRule="atLeast"/>
      <w:ind w:firstLine="0" w:firstLineChars="0"/>
      <w:jc w:val="center"/>
      <w:textAlignment w:val="baseline"/>
    </w:pPr>
    <w:rPr>
      <w:rFonts w:ascii="Calibri" w:hAnsi="Calibri"/>
      <w:szCs w:val="20"/>
    </w:rPr>
  </w:style>
  <w:style w:type="paragraph" w:customStyle="1" w:styleId="992">
    <w:name w:val="样式 标题 3H3B Head标题 3 Char条标题1.1.1三级标题标题3h33rd level第二层条..."/>
    <w:basedOn w:val="4"/>
    <w:uiPriority w:val="0"/>
    <w:pPr>
      <w:numPr>
        <w:ilvl w:val="0"/>
        <w:numId w:val="0"/>
      </w:numPr>
      <w:tabs>
        <w:tab w:val="left" w:pos="709"/>
      </w:tabs>
      <w:overflowPunct w:val="0"/>
      <w:spacing w:before="31" w:after="31"/>
      <w:ind w:firstLine="480" w:firstLineChars="200"/>
      <w:textAlignment w:val="baseline"/>
    </w:pPr>
    <w:rPr>
      <w:rFonts w:ascii="仿宋_GB2312" w:hAnsi="宋体" w:eastAsia="仿宋_GB2312" w:cs="宋体"/>
      <w:b/>
      <w:snapToGrid w:val="0"/>
      <w:color w:val="000000"/>
      <w:sz w:val="24"/>
      <w:szCs w:val="24"/>
      <w:lang w:val="zh-CN"/>
    </w:rPr>
  </w:style>
  <w:style w:type="paragraph" w:customStyle="1" w:styleId="993">
    <w:name w:val="表题"/>
    <w:basedOn w:val="1"/>
    <w:uiPriority w:val="0"/>
    <w:pPr>
      <w:spacing w:line="480" w:lineRule="atLeast"/>
      <w:ind w:firstLine="0" w:firstLineChars="0"/>
      <w:jc w:val="center"/>
      <w:textAlignment w:val="baseline"/>
    </w:pPr>
    <w:rPr>
      <w:rFonts w:ascii="黑体" w:hAnsi="Calibri" w:eastAsia="黑体"/>
      <w:kern w:val="16"/>
      <w:sz w:val="21"/>
      <w:szCs w:val="20"/>
    </w:rPr>
  </w:style>
  <w:style w:type="paragraph" w:customStyle="1" w:styleId="994">
    <w:name w:val="注："/>
    <w:next w:val="1"/>
    <w:uiPriority w:val="0"/>
    <w:pPr>
      <w:widowControl w:val="0"/>
      <w:tabs>
        <w:tab w:val="left" w:pos="895"/>
      </w:tabs>
      <w:autoSpaceDE w:val="0"/>
      <w:autoSpaceDN w:val="0"/>
      <w:ind w:left="895" w:hanging="420"/>
      <w:jc w:val="both"/>
    </w:pPr>
    <w:rPr>
      <w:rFonts w:ascii="宋体" w:hAnsi="Calibri" w:eastAsia="宋体" w:cs="Times New Roman"/>
      <w:sz w:val="18"/>
      <w:lang w:val="en-US" w:eastAsia="zh-CN" w:bidi="ar-SA"/>
    </w:rPr>
  </w:style>
  <w:style w:type="paragraph" w:customStyle="1" w:styleId="995">
    <w:name w:val="C2"/>
    <w:basedOn w:val="1"/>
    <w:qFormat/>
    <w:uiPriority w:val="0"/>
    <w:pPr>
      <w:autoSpaceDE/>
      <w:autoSpaceDN/>
      <w:spacing w:line="240" w:lineRule="auto"/>
      <w:ind w:firstLine="0" w:firstLineChars="0"/>
      <w:jc w:val="both"/>
    </w:pPr>
    <w:rPr>
      <w:rFonts w:ascii="Calibri" w:hAnsi="Calibri"/>
      <w:sz w:val="28"/>
      <w:szCs w:val="20"/>
    </w:rPr>
  </w:style>
  <w:style w:type="paragraph" w:customStyle="1" w:styleId="996">
    <w:name w:val="Char Char Char1 Char Char Char"/>
    <w:basedOn w:val="1"/>
    <w:uiPriority w:val="0"/>
    <w:pPr>
      <w:widowControl/>
      <w:autoSpaceDE/>
      <w:autoSpaceDN/>
      <w:spacing w:line="240" w:lineRule="auto"/>
      <w:ind w:firstLine="0" w:firstLineChars="0"/>
    </w:pPr>
    <w:rPr>
      <w:rFonts w:ascii="宋体" w:hAnsi="宋体" w:cs="宋体"/>
    </w:rPr>
  </w:style>
  <w:style w:type="paragraph" w:customStyle="1" w:styleId="997">
    <w:name w:val="Char Char Char1 Char Char Char Char Char Char Char Char Char Char Char Char Char Char Char Char Char Char Char"/>
    <w:basedOn w:val="1"/>
    <w:uiPriority w:val="0"/>
    <w:pPr>
      <w:autoSpaceDE/>
      <w:autoSpaceDN/>
      <w:spacing w:line="240" w:lineRule="auto"/>
      <w:ind w:firstLine="0" w:firstLineChars="0"/>
      <w:jc w:val="both"/>
    </w:pPr>
    <w:rPr>
      <w:rFonts w:ascii="Calibri" w:hAnsi="Calibri"/>
      <w:kern w:val="2"/>
      <w:sz w:val="21"/>
    </w:rPr>
  </w:style>
  <w:style w:type="paragraph" w:customStyle="1" w:styleId="998">
    <w:name w:val="font5"/>
    <w:basedOn w:val="1"/>
    <w:uiPriority w:val="0"/>
    <w:pPr>
      <w:widowControl/>
      <w:autoSpaceDE/>
      <w:autoSpaceDN/>
      <w:spacing w:before="100" w:beforeAutospacing="1" w:after="100" w:afterAutospacing="1" w:line="240" w:lineRule="auto"/>
      <w:ind w:firstLine="0" w:firstLineChars="0"/>
    </w:pPr>
    <w:rPr>
      <w:rFonts w:hint="eastAsia" w:ascii="宋体" w:hAnsi="宋体" w:cs="Arial Unicode MS"/>
      <w:sz w:val="18"/>
      <w:szCs w:val="18"/>
    </w:rPr>
  </w:style>
  <w:style w:type="paragraph" w:customStyle="1" w:styleId="999">
    <w:name w:val="xl2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1000">
    <w:name w:val="xl59"/>
    <w:basedOn w:val="1"/>
    <w:uiPriority w:val="0"/>
    <w:pPr>
      <w:widowControl/>
      <w:pBdr>
        <w:bottom w:val="single" w:color="auto" w:sz="8" w:space="0"/>
        <w:right w:val="single" w:color="000000" w:sz="8" w:space="0"/>
      </w:pBdr>
      <w:autoSpaceDE/>
      <w:autoSpaceDN/>
      <w:spacing w:before="100" w:beforeAutospacing="1" w:after="100" w:afterAutospacing="1" w:line="288" w:lineRule="auto"/>
      <w:ind w:firstLine="0" w:firstLineChars="0"/>
      <w:jc w:val="both"/>
      <w:textAlignment w:val="top"/>
    </w:pPr>
    <w:rPr>
      <w:rFonts w:ascii="Arial Unicode MS" w:hAnsi="Arial Unicode MS" w:eastAsia="Arial Unicode MS"/>
      <w:sz w:val="21"/>
      <w:szCs w:val="20"/>
    </w:rPr>
  </w:style>
  <w:style w:type="paragraph" w:customStyle="1" w:styleId="1001">
    <w:name w:val="Char Char Char Char Char Char Char Char Char Char Char Char Char Char Char Char Char Char Char Char Char Char Char Char Char Char Char Char Char Char Char Char Char Char Char Char Char Char Char1"/>
    <w:basedOn w:val="1"/>
    <w:uiPriority w:val="0"/>
    <w:pPr>
      <w:autoSpaceDE/>
      <w:autoSpaceDN/>
      <w:spacing w:line="240" w:lineRule="auto"/>
      <w:ind w:firstLine="0" w:firstLineChars="0"/>
      <w:jc w:val="both"/>
    </w:pPr>
    <w:rPr>
      <w:rFonts w:ascii="Calibri" w:hAnsi="Calibri"/>
      <w:kern w:val="2"/>
      <w:sz w:val="21"/>
    </w:rPr>
  </w:style>
  <w:style w:type="paragraph" w:customStyle="1" w:styleId="1002">
    <w:name w:val="样式 正文文本缩进 3 + 行距: 固定值 19 磅"/>
    <w:basedOn w:val="934"/>
    <w:uiPriority w:val="0"/>
    <w:pPr>
      <w:widowControl/>
      <w:spacing w:after="120" w:line="380" w:lineRule="exact"/>
      <w:ind w:right="0" w:rightChars="0" w:firstLine="0" w:firstLineChars="0"/>
      <w:jc w:val="center"/>
    </w:pPr>
    <w:rPr>
      <w:rFonts w:ascii="宋体" w:eastAsia="宋体" w:cs="宋体"/>
      <w:kern w:val="0"/>
      <w:sz w:val="16"/>
      <w:szCs w:val="20"/>
    </w:rPr>
  </w:style>
  <w:style w:type="paragraph" w:customStyle="1" w:styleId="1003">
    <w:name w:val="Char12"/>
    <w:basedOn w:val="1"/>
    <w:uiPriority w:val="0"/>
    <w:pPr>
      <w:autoSpaceDE/>
      <w:autoSpaceDN/>
      <w:spacing w:line="240" w:lineRule="auto"/>
      <w:ind w:firstLine="0" w:firstLineChars="0"/>
      <w:jc w:val="both"/>
    </w:pPr>
    <w:rPr>
      <w:rFonts w:ascii="Calibri" w:hAnsi="Calibri"/>
      <w:kern w:val="2"/>
      <w:sz w:val="21"/>
      <w:szCs w:val="20"/>
    </w:rPr>
  </w:style>
  <w:style w:type="paragraph" w:customStyle="1" w:styleId="1004">
    <w:name w:val="封面落款"/>
    <w:basedOn w:val="1"/>
    <w:uiPriority w:val="0"/>
    <w:pPr>
      <w:widowControl/>
      <w:tabs>
        <w:tab w:val="left" w:pos="1134"/>
        <w:tab w:val="right" w:pos="7371"/>
      </w:tabs>
      <w:overflowPunct w:val="0"/>
      <w:autoSpaceDE/>
      <w:autoSpaceDN/>
      <w:ind w:firstLine="0" w:firstLineChars="0"/>
      <w:jc w:val="center"/>
      <w:textAlignment w:val="baseline"/>
    </w:pPr>
    <w:rPr>
      <w:rFonts w:ascii="宋体" w:hAnsi="宋体" w:eastAsia="黑体" w:cs="宋体"/>
      <w:color w:val="0000FF"/>
      <w:spacing w:val="20"/>
      <w:sz w:val="44"/>
      <w:szCs w:val="20"/>
    </w:rPr>
  </w:style>
  <w:style w:type="paragraph" w:customStyle="1" w:styleId="1005">
    <w:name w:val="9"/>
    <w:basedOn w:val="1"/>
    <w:uiPriority w:val="0"/>
    <w:pPr>
      <w:widowControl/>
      <w:autoSpaceDE/>
      <w:autoSpaceDN/>
      <w:spacing w:line="500" w:lineRule="exact"/>
      <w:ind w:firstLine="720" w:firstLineChars="0"/>
    </w:pPr>
    <w:rPr>
      <w:rFonts w:ascii="宋体" w:hAnsi="宋体" w:cs="宋体"/>
      <w:sz w:val="28"/>
    </w:rPr>
  </w:style>
  <w:style w:type="paragraph" w:customStyle="1" w:styleId="1006">
    <w:name w:val="样式 样式 标题 3 + 首行缩进:  2 字符 + 首行缩进:  0.35 厘米 行距: 固定值 28 磅"/>
    <w:basedOn w:val="1"/>
    <w:uiPriority w:val="0"/>
    <w:pPr>
      <w:keepNext/>
      <w:keepLines/>
      <w:widowControl/>
      <w:autoSpaceDE/>
      <w:autoSpaceDN/>
      <w:spacing w:line="560" w:lineRule="exact"/>
      <w:ind w:firstLine="0" w:firstLineChars="0"/>
      <w:outlineLvl w:val="2"/>
    </w:pPr>
    <w:rPr>
      <w:rFonts w:ascii="宋体" w:hAnsi="宋体" w:cs="宋体"/>
      <w:b/>
      <w:bCs/>
      <w:sz w:val="28"/>
      <w:szCs w:val="28"/>
    </w:rPr>
  </w:style>
  <w:style w:type="paragraph" w:customStyle="1" w:styleId="1007">
    <w:name w:val="Char Char Char1 Char Char Char Char"/>
    <w:basedOn w:val="1"/>
    <w:uiPriority w:val="0"/>
    <w:pPr>
      <w:widowControl/>
      <w:autoSpaceDE/>
      <w:autoSpaceDN/>
      <w:spacing w:line="240" w:lineRule="auto"/>
      <w:ind w:firstLine="0" w:firstLineChars="0"/>
    </w:pPr>
    <w:rPr>
      <w:rFonts w:ascii="宋体" w:hAnsi="宋体" w:cs="宋体"/>
    </w:rPr>
  </w:style>
  <w:style w:type="paragraph" w:customStyle="1" w:styleId="1008">
    <w:name w:val="表哥标题"/>
    <w:basedOn w:val="1"/>
    <w:uiPriority w:val="0"/>
    <w:pPr>
      <w:autoSpaceDE/>
      <w:autoSpaceDN/>
      <w:ind w:firstLine="964" w:firstLineChars="400"/>
      <w:jc w:val="both"/>
    </w:pPr>
    <w:rPr>
      <w:rFonts w:ascii="黑体" w:hAnsi="宋体" w:eastAsia="黑体"/>
      <w:b/>
      <w:kern w:val="2"/>
    </w:rPr>
  </w:style>
  <w:style w:type="paragraph" w:customStyle="1" w:styleId="1009">
    <w:name w:val="Char7"/>
    <w:basedOn w:val="1"/>
    <w:next w:val="1"/>
    <w:uiPriority w:val="0"/>
    <w:pPr>
      <w:autoSpaceDE/>
      <w:autoSpaceDN/>
      <w:jc w:val="both"/>
    </w:pPr>
    <w:rPr>
      <w:rFonts w:ascii="宋体" w:hAnsi="宋体" w:cs="宋体"/>
      <w:kern w:val="2"/>
    </w:rPr>
  </w:style>
  <w:style w:type="paragraph" w:customStyle="1" w:styleId="1010">
    <w:name w:val="正文01"/>
    <w:basedOn w:val="29"/>
    <w:qFormat/>
    <w:uiPriority w:val="0"/>
    <w:pPr>
      <w:autoSpaceDE/>
      <w:autoSpaceDN/>
      <w:spacing w:line="400" w:lineRule="exact"/>
      <w:jc w:val="both"/>
    </w:pPr>
    <w:rPr>
      <w:rFonts w:ascii="Arial" w:hAnsi="Arial" w:cs="Arial"/>
      <w:kern w:val="2"/>
      <w:lang w:val="zh-CN"/>
    </w:rPr>
  </w:style>
  <w:style w:type="paragraph" w:customStyle="1" w:styleId="1011">
    <w:name w:val="正文86"/>
    <w:basedOn w:val="1"/>
    <w:qFormat/>
    <w:uiPriority w:val="0"/>
    <w:pPr>
      <w:tabs>
        <w:tab w:val="left" w:pos="567"/>
      </w:tabs>
      <w:autoSpaceDE/>
      <w:autoSpaceDN/>
      <w:spacing w:line="500" w:lineRule="exact"/>
      <w:ind w:firstLine="480"/>
      <w:jc w:val="both"/>
    </w:pPr>
    <w:rPr>
      <w:rFonts w:ascii="楷体_GB2312" w:hAnsi="Calibri" w:eastAsia="楷体_GB2312" w:cs="宋体"/>
    </w:rPr>
  </w:style>
  <w:style w:type="paragraph" w:customStyle="1" w:styleId="1012">
    <w:name w:val="谏壁标题3（chen）"/>
    <w:basedOn w:val="1"/>
    <w:uiPriority w:val="0"/>
    <w:pPr>
      <w:keepNext/>
      <w:keepLines/>
      <w:autoSpaceDE/>
      <w:autoSpaceDN/>
      <w:spacing w:before="100" w:after="120"/>
      <w:ind w:firstLine="0" w:firstLineChars="0"/>
      <w:jc w:val="both"/>
      <w:outlineLvl w:val="2"/>
    </w:pPr>
    <w:rPr>
      <w:rFonts w:ascii="Calibri" w:hAnsi="Calibri" w:eastAsia="黑体"/>
      <w:kern w:val="2"/>
      <w:sz w:val="30"/>
      <w:szCs w:val="32"/>
    </w:rPr>
  </w:style>
  <w:style w:type="paragraph" w:customStyle="1" w:styleId="1013">
    <w:name w:val="样式 标题 1 + 加粗"/>
    <w:basedOn w:val="2"/>
    <w:uiPriority w:val="0"/>
    <w:pPr>
      <w:keepNext/>
      <w:keepLines/>
      <w:pageBreakBefore/>
      <w:numPr>
        <w:numId w:val="0"/>
      </w:numPr>
      <w:autoSpaceDE/>
      <w:autoSpaceDN/>
      <w:spacing w:before="100" w:beforeAutospacing="1" w:after="100" w:afterAutospacing="1"/>
      <w:jc w:val="both"/>
    </w:pPr>
    <w:rPr>
      <w:rFonts w:ascii="Calibri" w:hAnsi="Calibri" w:cs="Times New Roman"/>
      <w:b/>
      <w:color w:val="000000"/>
      <w:kern w:val="44"/>
      <w:szCs w:val="44"/>
      <w:vertAlign w:val="superscript"/>
      <w:lang w:val="zh-CN"/>
    </w:rPr>
  </w:style>
  <w:style w:type="paragraph" w:customStyle="1" w:styleId="1014">
    <w:name w:val="我的正文"/>
    <w:basedOn w:val="1"/>
    <w:uiPriority w:val="0"/>
    <w:pPr>
      <w:autoSpaceDE/>
      <w:autoSpaceDN/>
      <w:spacing w:line="440" w:lineRule="exact"/>
      <w:jc w:val="both"/>
    </w:pPr>
    <w:rPr>
      <w:rFonts w:ascii="Calibri" w:hAnsi="Calibri"/>
      <w:kern w:val="2"/>
    </w:rPr>
  </w:style>
  <w:style w:type="paragraph" w:customStyle="1" w:styleId="1015">
    <w:name w:val="标题 2 + 首行缩进： 0磅"/>
    <w:basedOn w:val="227"/>
    <w:uiPriority w:val="0"/>
  </w:style>
  <w:style w:type="paragraph" w:customStyle="1" w:styleId="1016">
    <w:name w:val="a01"/>
    <w:basedOn w:val="1"/>
    <w:uiPriority w:val="0"/>
    <w:pPr>
      <w:widowControl/>
      <w:autoSpaceDE/>
      <w:autoSpaceDN/>
      <w:spacing w:before="100" w:beforeAutospacing="1" w:after="100" w:afterAutospacing="1" w:line="345" w:lineRule="atLeast"/>
      <w:ind w:firstLine="0" w:firstLineChars="0"/>
    </w:pPr>
    <w:rPr>
      <w:rFonts w:ascii="宋体" w:hAnsi="宋体" w:cs="宋体"/>
      <w:color w:val="000000"/>
      <w:sz w:val="23"/>
      <w:szCs w:val="23"/>
    </w:rPr>
  </w:style>
  <w:style w:type="paragraph" w:customStyle="1" w:styleId="1017">
    <w:name w:val="表左"/>
    <w:basedOn w:val="1"/>
    <w:uiPriority w:val="0"/>
    <w:pPr>
      <w:autoSpaceDE/>
      <w:autoSpaceDN/>
      <w:spacing w:line="280" w:lineRule="exact"/>
      <w:ind w:firstLine="0" w:firstLineChars="0"/>
    </w:pPr>
    <w:rPr>
      <w:rFonts w:ascii="宋体" w:hAnsi="Calibri"/>
      <w:color w:val="000000"/>
      <w:kern w:val="2"/>
      <w:sz w:val="18"/>
    </w:rPr>
  </w:style>
  <w:style w:type="paragraph" w:customStyle="1" w:styleId="1018">
    <w:name w:val="表头！！！！！！！！！！！！！！！"/>
    <w:basedOn w:val="1"/>
    <w:qFormat/>
    <w:uiPriority w:val="0"/>
    <w:pPr>
      <w:autoSpaceDE/>
      <w:autoSpaceDN/>
      <w:spacing w:line="500" w:lineRule="exact"/>
      <w:ind w:firstLine="0" w:firstLineChars="0"/>
      <w:jc w:val="center"/>
    </w:pPr>
    <w:rPr>
      <w:rFonts w:ascii="宋体" w:hAnsi="宋体" w:cs="宋体"/>
      <w:b/>
      <w:kern w:val="2"/>
    </w:rPr>
  </w:style>
  <w:style w:type="paragraph" w:customStyle="1" w:styleId="1019">
    <w:name w:val="Char Char Char2"/>
    <w:basedOn w:val="1"/>
    <w:next w:val="1"/>
    <w:uiPriority w:val="0"/>
    <w:pPr>
      <w:autoSpaceDE/>
      <w:autoSpaceDN/>
      <w:jc w:val="both"/>
    </w:pPr>
    <w:rPr>
      <w:rFonts w:ascii="宋体" w:hAnsi="宋体" w:cs="宋体"/>
      <w:kern w:val="2"/>
    </w:rPr>
  </w:style>
  <w:style w:type="paragraph" w:customStyle="1" w:styleId="1020">
    <w:name w:val="HD1"/>
    <w:basedOn w:val="2"/>
    <w:uiPriority w:val="0"/>
    <w:pPr>
      <w:keepNext/>
      <w:keepLines/>
      <w:widowControl/>
      <w:numPr>
        <w:numId w:val="0"/>
      </w:numPr>
      <w:autoSpaceDE/>
      <w:autoSpaceDN/>
      <w:spacing w:before="240" w:after="240" w:line="480" w:lineRule="exact"/>
    </w:pPr>
    <w:rPr>
      <w:rFonts w:ascii="宋体" w:hAnsi="宋体" w:cs="宋体"/>
      <w:kern w:val="44"/>
      <w:szCs w:val="20"/>
      <w:lang w:val="zh-CN"/>
    </w:rPr>
  </w:style>
  <w:style w:type="paragraph" w:customStyle="1" w:styleId="1021">
    <w:name w:val="图名"/>
    <w:basedOn w:val="1"/>
    <w:uiPriority w:val="0"/>
    <w:pPr>
      <w:widowControl/>
      <w:autoSpaceDE/>
      <w:autoSpaceDN/>
      <w:ind w:firstLine="0" w:firstLineChars="0"/>
    </w:pPr>
    <w:rPr>
      <w:rFonts w:ascii="黑体" w:hAnsi="宋体" w:eastAsia="黑体" w:cs="宋体"/>
      <w:color w:val="000000"/>
    </w:rPr>
  </w:style>
  <w:style w:type="paragraph" w:customStyle="1" w:styleId="1022">
    <w:name w:val="word"/>
    <w:basedOn w:val="1"/>
    <w:qFormat/>
    <w:uiPriority w:val="0"/>
    <w:pPr>
      <w:autoSpaceDE/>
      <w:autoSpaceDN/>
      <w:spacing w:before="156" w:beforeLines="50"/>
      <w:ind w:firstLine="480"/>
      <w:jc w:val="both"/>
    </w:pPr>
    <w:rPr>
      <w:rFonts w:ascii="宋体" w:hAnsi="宋体"/>
      <w:color w:val="0000FF"/>
      <w:kern w:val="2"/>
      <w:szCs w:val="20"/>
    </w:rPr>
  </w:style>
  <w:style w:type="paragraph" w:customStyle="1" w:styleId="1023">
    <w:name w:val="样式 首行缩进:  2 字符3"/>
    <w:basedOn w:val="1"/>
    <w:uiPriority w:val="0"/>
    <w:pPr>
      <w:widowControl/>
      <w:autoSpaceDE/>
      <w:autoSpaceDN/>
      <w:spacing w:line="240" w:lineRule="auto"/>
      <w:ind w:firstLine="567"/>
    </w:pPr>
    <w:rPr>
      <w:rFonts w:ascii="宋体" w:hAnsi="宋体" w:cs="宋体"/>
    </w:rPr>
  </w:style>
  <w:style w:type="paragraph" w:customStyle="1" w:styleId="1024">
    <w:name w:val="样式8"/>
    <w:basedOn w:val="1"/>
    <w:uiPriority w:val="0"/>
    <w:pPr>
      <w:autoSpaceDE/>
      <w:autoSpaceDN/>
      <w:spacing w:line="240" w:lineRule="auto"/>
      <w:ind w:firstLine="499" w:firstLineChars="0"/>
      <w:jc w:val="both"/>
    </w:pPr>
    <w:rPr>
      <w:rFonts w:ascii="宋体" w:hAnsi="Calibri"/>
      <w:color w:val="000000"/>
      <w:kern w:val="2"/>
      <w:sz w:val="28"/>
      <w:szCs w:val="20"/>
    </w:rPr>
  </w:style>
  <w:style w:type="paragraph" w:customStyle="1" w:styleId="1025">
    <w:name w:val="Style97"/>
    <w:basedOn w:val="1"/>
    <w:qFormat/>
    <w:uiPriority w:val="0"/>
    <w:pPr>
      <w:autoSpaceDE/>
      <w:autoSpaceDN/>
      <w:spacing w:line="240" w:lineRule="auto"/>
      <w:ind w:firstLine="0" w:firstLineChars="0"/>
      <w:jc w:val="center"/>
    </w:pPr>
    <w:rPr>
      <w:rFonts w:ascii="宋体" w:hAnsi="Calibri"/>
      <w:szCs w:val="20"/>
    </w:rPr>
  </w:style>
  <w:style w:type="paragraph" w:customStyle="1" w:styleId="1026">
    <w:name w:val="正文（首行缩进两字）m"/>
    <w:basedOn w:val="18"/>
    <w:uiPriority w:val="0"/>
    <w:pPr>
      <w:tabs>
        <w:tab w:val="left" w:pos="1848"/>
        <w:tab w:val="left" w:pos="6061"/>
        <w:tab w:val="left" w:pos="8665"/>
      </w:tabs>
      <w:autoSpaceDE/>
      <w:autoSpaceDN/>
      <w:spacing w:before="156" w:beforeLines="50" w:line="460" w:lineRule="exact"/>
      <w:ind w:firstLine="480"/>
      <w:jc w:val="both"/>
    </w:pPr>
    <w:rPr>
      <w:rFonts w:ascii="宋体" w:hAnsi="宋体"/>
      <w:kern w:val="2"/>
      <w:szCs w:val="20"/>
      <w:lang w:val="zh-CN"/>
    </w:rPr>
  </w:style>
  <w:style w:type="paragraph" w:customStyle="1" w:styleId="1027">
    <w:name w:val="正文文本 21"/>
    <w:basedOn w:val="1"/>
    <w:uiPriority w:val="0"/>
    <w:pPr>
      <w:autoSpaceDE/>
      <w:autoSpaceDN/>
      <w:spacing w:before="60" w:line="520" w:lineRule="exact"/>
      <w:ind w:firstLine="0" w:firstLineChars="0"/>
      <w:jc w:val="both"/>
    </w:pPr>
    <w:rPr>
      <w:rFonts w:ascii="宋体" w:hAnsi="Calibri"/>
      <w:spacing w:val="8"/>
      <w:kern w:val="2"/>
      <w:sz w:val="28"/>
      <w:szCs w:val="20"/>
    </w:rPr>
  </w:style>
  <w:style w:type="paragraph" w:customStyle="1" w:styleId="1028">
    <w:name w:val="样式 样式 标题 3H3B Head标题 3 Char条标题1.1.1三级标题标题3h33rd level第二层条... + 加粗"/>
    <w:basedOn w:val="992"/>
    <w:uiPriority w:val="0"/>
    <w:rPr>
      <w:b w:val="0"/>
      <w:bCs/>
    </w:rPr>
  </w:style>
  <w:style w:type="paragraph" w:customStyle="1" w:styleId="1029">
    <w:name w:val="样式 宋体 居中"/>
    <w:basedOn w:val="1"/>
    <w:uiPriority w:val="0"/>
    <w:pPr>
      <w:autoSpaceDE/>
      <w:autoSpaceDN/>
      <w:spacing w:line="240" w:lineRule="auto"/>
      <w:ind w:firstLine="0" w:firstLineChars="0"/>
      <w:jc w:val="center"/>
    </w:pPr>
    <w:rPr>
      <w:rFonts w:ascii="宋体" w:hAnsi="宋体" w:eastAsia="楷体_GB2312" w:cs="宋体"/>
      <w:kern w:val="2"/>
      <w:sz w:val="21"/>
      <w:szCs w:val="20"/>
    </w:rPr>
  </w:style>
  <w:style w:type="paragraph" w:customStyle="1" w:styleId="1030">
    <w:name w:val="Char Char Char Char Char Char Char Char Char Char Char Char1 Char"/>
    <w:basedOn w:val="1"/>
    <w:next w:val="1"/>
    <w:uiPriority w:val="0"/>
    <w:pPr>
      <w:autoSpaceDE/>
      <w:autoSpaceDN/>
      <w:jc w:val="both"/>
    </w:pPr>
    <w:rPr>
      <w:rFonts w:ascii="宋体" w:hAnsi="宋体" w:cs="宋体"/>
      <w:kern w:val="2"/>
    </w:rPr>
  </w:style>
  <w:style w:type="paragraph" w:customStyle="1" w:styleId="1031">
    <w:name w:val="xl36"/>
    <w:basedOn w:val="1"/>
    <w:uiPriority w:val="0"/>
    <w:pPr>
      <w:widowControl/>
      <w:pBdr>
        <w:top w:val="single" w:color="auto" w:sz="4" w:space="0"/>
        <w:left w:val="single" w:color="auto" w:sz="4" w:space="0"/>
        <w:bottom w:val="single" w:color="auto" w:sz="8"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rPr>
  </w:style>
  <w:style w:type="paragraph" w:customStyle="1" w:styleId="1032">
    <w:name w:val="HTML 地址1"/>
    <w:basedOn w:val="1"/>
    <w:uiPriority w:val="0"/>
    <w:pPr>
      <w:autoSpaceDE/>
      <w:autoSpaceDN/>
      <w:spacing w:line="240" w:lineRule="auto"/>
      <w:ind w:firstLine="0" w:firstLineChars="0"/>
      <w:jc w:val="both"/>
    </w:pPr>
    <w:rPr>
      <w:rFonts w:ascii="Calibri" w:hAnsi="Calibri"/>
      <w:i/>
      <w:iCs/>
      <w:kern w:val="2"/>
      <w:sz w:val="21"/>
    </w:rPr>
  </w:style>
  <w:style w:type="paragraph" w:customStyle="1" w:styleId="1033">
    <w:name w:val="1） Char"/>
    <w:basedOn w:val="1"/>
    <w:uiPriority w:val="0"/>
    <w:pPr>
      <w:widowControl/>
      <w:autoSpaceDE/>
      <w:autoSpaceDN/>
      <w:spacing w:line="400" w:lineRule="exact"/>
    </w:pPr>
    <w:rPr>
      <w:rFonts w:ascii="宋体" w:hAnsi="宋体" w:cs="宋体"/>
      <w:sz w:val="28"/>
      <w:szCs w:val="20"/>
    </w:rPr>
  </w:style>
  <w:style w:type="paragraph" w:customStyle="1" w:styleId="1034">
    <w:name w:val="Char42"/>
    <w:basedOn w:val="1"/>
    <w:uiPriority w:val="0"/>
    <w:pPr>
      <w:autoSpaceDE/>
      <w:autoSpaceDN/>
      <w:spacing w:line="240" w:lineRule="auto"/>
      <w:ind w:firstLine="0" w:firstLineChars="0"/>
      <w:jc w:val="both"/>
    </w:pPr>
    <w:rPr>
      <w:rFonts w:ascii="Calibri" w:hAnsi="Calibri"/>
      <w:kern w:val="2"/>
      <w:sz w:val="21"/>
    </w:rPr>
  </w:style>
  <w:style w:type="paragraph" w:customStyle="1" w:styleId="1035">
    <w:name w:val="xl3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宋体" w:hAnsi="Calibri" w:eastAsia="Arial Unicode MS"/>
      <w:sz w:val="20"/>
      <w:szCs w:val="20"/>
    </w:rPr>
  </w:style>
  <w:style w:type="paragraph" w:customStyle="1" w:styleId="1036">
    <w:name w:val="正文标准样式"/>
    <w:basedOn w:val="1"/>
    <w:uiPriority w:val="0"/>
    <w:pPr>
      <w:autoSpaceDE/>
      <w:autoSpaceDN/>
      <w:spacing w:line="300" w:lineRule="auto"/>
      <w:ind w:firstLine="482" w:firstLineChars="0"/>
      <w:jc w:val="both"/>
      <w:textAlignment w:val="baseline"/>
    </w:pPr>
    <w:rPr>
      <w:rFonts w:ascii="Calibri" w:hAnsi="Calibri"/>
      <w:szCs w:val="20"/>
    </w:rPr>
  </w:style>
  <w:style w:type="paragraph" w:customStyle="1" w:styleId="1037">
    <w:name w:val="批注主题1"/>
    <w:basedOn w:val="23"/>
    <w:next w:val="23"/>
    <w:uiPriority w:val="0"/>
    <w:pPr>
      <w:autoSpaceDE/>
      <w:autoSpaceDN/>
      <w:spacing w:line="240" w:lineRule="auto"/>
      <w:ind w:firstLine="0" w:firstLineChars="0"/>
    </w:pPr>
    <w:rPr>
      <w:rFonts w:ascii="Calibri" w:hAnsi="Calibri"/>
      <w:b/>
      <w:bCs/>
      <w:kern w:val="2"/>
      <w:sz w:val="21"/>
      <w:lang w:val="zh-CN"/>
    </w:rPr>
  </w:style>
  <w:style w:type="paragraph" w:customStyle="1" w:styleId="1038">
    <w:name w:val="索引 71"/>
    <w:basedOn w:val="1"/>
    <w:next w:val="1"/>
    <w:uiPriority w:val="0"/>
    <w:pPr>
      <w:autoSpaceDE/>
      <w:autoSpaceDN/>
      <w:spacing w:line="240" w:lineRule="auto"/>
      <w:ind w:left="1200" w:leftChars="1200" w:firstLine="0" w:firstLineChars="0"/>
      <w:jc w:val="both"/>
    </w:pPr>
    <w:rPr>
      <w:rFonts w:ascii="Calibri" w:hAnsi="Calibri"/>
      <w:kern w:val="2"/>
      <w:sz w:val="21"/>
    </w:rPr>
  </w:style>
  <w:style w:type="paragraph" w:customStyle="1" w:styleId="1039">
    <w:name w:val="节的样式"/>
    <w:basedOn w:val="1"/>
    <w:uiPriority w:val="0"/>
    <w:pPr>
      <w:widowControl/>
      <w:autoSpaceDE/>
      <w:autoSpaceDN/>
      <w:spacing w:line="240" w:lineRule="auto"/>
      <w:ind w:firstLine="560"/>
      <w:jc w:val="center"/>
    </w:pPr>
    <w:rPr>
      <w:rFonts w:ascii="宋体" w:hAnsi="宋体" w:cs="宋体"/>
      <w:sz w:val="28"/>
      <w:szCs w:val="20"/>
    </w:rPr>
  </w:style>
  <w:style w:type="paragraph" w:customStyle="1" w:styleId="1040">
    <w:name w:val="Char Char Char Char Char Char Char Char Char Char Char Char Char Char Char Char Char Char Char Char Char Char Char"/>
    <w:basedOn w:val="1"/>
    <w:uiPriority w:val="0"/>
    <w:pPr>
      <w:autoSpaceDE/>
      <w:autoSpaceDN/>
      <w:spacing w:line="240" w:lineRule="auto"/>
      <w:ind w:firstLine="0" w:firstLineChars="0"/>
      <w:jc w:val="both"/>
    </w:pPr>
    <w:rPr>
      <w:rFonts w:ascii="Calibri" w:hAnsi="Calibri"/>
      <w:kern w:val="2"/>
      <w:sz w:val="21"/>
    </w:rPr>
  </w:style>
  <w:style w:type="paragraph" w:customStyle="1" w:styleId="1041">
    <w:name w:val="标题一"/>
    <w:basedOn w:val="3"/>
    <w:uiPriority w:val="0"/>
    <w:pPr>
      <w:numPr>
        <w:ilvl w:val="0"/>
        <w:numId w:val="0"/>
      </w:numPr>
      <w:autoSpaceDE/>
      <w:autoSpaceDN/>
      <w:spacing w:line="480" w:lineRule="exact"/>
      <w:jc w:val="center"/>
      <w:outlineLvl w:val="0"/>
    </w:pPr>
    <w:rPr>
      <w:rFonts w:ascii="楷体_GB2312" w:eastAsia="楷体_GB2312" w:cs="Times New Roman"/>
      <w:b/>
      <w:snapToGrid w:val="0"/>
      <w:lang w:val="zh-CN"/>
    </w:rPr>
  </w:style>
  <w:style w:type="paragraph" w:customStyle="1" w:styleId="1042">
    <w:name w:val="列表编号 51"/>
    <w:basedOn w:val="1"/>
    <w:uiPriority w:val="0"/>
    <w:pPr>
      <w:tabs>
        <w:tab w:val="left" w:pos="720"/>
      </w:tabs>
      <w:autoSpaceDE/>
      <w:autoSpaceDN/>
      <w:spacing w:line="240" w:lineRule="auto"/>
      <w:ind w:left="720" w:hanging="720" w:firstLineChars="0"/>
      <w:jc w:val="both"/>
    </w:pPr>
    <w:rPr>
      <w:rFonts w:ascii="Calibri" w:hAnsi="Calibri"/>
      <w:kern w:val="2"/>
      <w:sz w:val="21"/>
      <w:szCs w:val="20"/>
    </w:rPr>
  </w:style>
  <w:style w:type="paragraph" w:customStyle="1" w:styleId="1043">
    <w:name w:val="表格名称"/>
    <w:basedOn w:val="1"/>
    <w:next w:val="1"/>
    <w:qFormat/>
    <w:uiPriority w:val="0"/>
    <w:pPr>
      <w:autoSpaceDE/>
      <w:autoSpaceDN/>
      <w:spacing w:line="240" w:lineRule="auto"/>
      <w:ind w:firstLine="0" w:firstLineChars="0"/>
      <w:jc w:val="center"/>
    </w:pPr>
    <w:rPr>
      <w:rFonts w:ascii="宋体" w:hAnsi="宋体" w:eastAsia="黑体"/>
      <w:bCs/>
      <w:kern w:val="2"/>
      <w:szCs w:val="21"/>
    </w:rPr>
  </w:style>
  <w:style w:type="paragraph" w:customStyle="1" w:styleId="1044">
    <w:name w:val="xl51"/>
    <w:basedOn w:val="1"/>
    <w:uiPriority w:val="0"/>
    <w:pPr>
      <w:widowControl/>
      <w:pBdr>
        <w:bottom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28"/>
      <w:szCs w:val="28"/>
    </w:rPr>
  </w:style>
  <w:style w:type="paragraph" w:customStyle="1" w:styleId="1045">
    <w:name w:val="xl3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宋体" w:hAnsi="Calibri" w:eastAsia="Arial Unicode MS"/>
    </w:rPr>
  </w:style>
  <w:style w:type="paragraph" w:customStyle="1" w:styleId="1046">
    <w:name w:val="标3-ls"/>
    <w:basedOn w:val="4"/>
    <w:uiPriority w:val="0"/>
    <w:pPr>
      <w:keepNext/>
      <w:keepLines/>
      <w:numPr>
        <w:ilvl w:val="0"/>
        <w:numId w:val="0"/>
      </w:numPr>
      <w:tabs>
        <w:tab w:val="left" w:pos="709"/>
      </w:tabs>
      <w:autoSpaceDE/>
      <w:autoSpaceDN/>
      <w:spacing w:before="31" w:beforeLines="10" w:after="31" w:afterLines="10"/>
      <w:ind w:firstLine="480" w:firstLineChars="200"/>
      <w:jc w:val="both"/>
    </w:pPr>
    <w:rPr>
      <w:rFonts w:ascii="Calibri" w:hAnsi="Calibri" w:eastAsia="仿宋_GB2312" w:cs="宋体"/>
      <w:b/>
      <w:bCs/>
      <w:kern w:val="2"/>
      <w:sz w:val="24"/>
      <w:szCs w:val="20"/>
      <w:lang w:val="zh-CN"/>
    </w:rPr>
  </w:style>
  <w:style w:type="paragraph" w:customStyle="1" w:styleId="1047">
    <w:name w:val="Char Char Char Char Char Char Char Char Char Char Char Char Char Char Char Char Char Char Char Char Char Char Char Char Char Char Char Char Char Char Char Char Char Char Char Char Char Char Char"/>
    <w:basedOn w:val="1"/>
    <w:uiPriority w:val="0"/>
    <w:pPr>
      <w:autoSpaceDE/>
      <w:autoSpaceDN/>
      <w:spacing w:line="240" w:lineRule="auto"/>
      <w:ind w:firstLine="0" w:firstLineChars="0"/>
      <w:jc w:val="both"/>
    </w:pPr>
    <w:rPr>
      <w:rFonts w:ascii="Calibri" w:hAnsi="Calibri"/>
      <w:kern w:val="2"/>
      <w:sz w:val="21"/>
    </w:rPr>
  </w:style>
  <w:style w:type="paragraph" w:customStyle="1" w:styleId="1048">
    <w:name w:val="B正文"/>
    <w:basedOn w:val="1"/>
    <w:qFormat/>
    <w:uiPriority w:val="0"/>
    <w:pPr>
      <w:widowControl/>
      <w:autoSpaceDE/>
      <w:autoSpaceDN/>
    </w:pPr>
    <w:rPr>
      <w:rFonts w:ascii="Calibri" w:hAnsi="Calibri" w:cs="宋体"/>
    </w:rPr>
  </w:style>
  <w:style w:type="paragraph" w:customStyle="1" w:styleId="1049">
    <w:name w:val="Char1 Char Char Char"/>
    <w:basedOn w:val="1"/>
    <w:qFormat/>
    <w:uiPriority w:val="0"/>
    <w:pPr>
      <w:widowControl/>
      <w:autoSpaceDE/>
      <w:autoSpaceDN/>
      <w:spacing w:line="240" w:lineRule="auto"/>
      <w:ind w:firstLine="0" w:firstLineChars="0"/>
    </w:pPr>
    <w:rPr>
      <w:rFonts w:ascii="宋体" w:hAnsi="宋体" w:cs="宋体"/>
    </w:rPr>
  </w:style>
  <w:style w:type="paragraph" w:customStyle="1" w:styleId="1050">
    <w:name w:val="图文框"/>
    <w:basedOn w:val="1"/>
    <w:uiPriority w:val="0"/>
    <w:pPr>
      <w:autoSpaceDE/>
      <w:autoSpaceDN/>
      <w:spacing w:line="240" w:lineRule="auto"/>
      <w:ind w:left="-111" w:leftChars="-53" w:right="-101" w:rightChars="-48" w:firstLine="0" w:firstLineChars="0"/>
      <w:jc w:val="center"/>
    </w:pPr>
    <w:rPr>
      <w:rFonts w:ascii="Calibri" w:hAnsi="Calibri"/>
      <w:snapToGrid w:val="0"/>
      <w:sz w:val="21"/>
      <w:szCs w:val="20"/>
    </w:rPr>
  </w:style>
  <w:style w:type="paragraph" w:customStyle="1" w:styleId="1051">
    <w:name w:val="dandan6-13正文"/>
    <w:basedOn w:val="1"/>
    <w:next w:val="1"/>
    <w:qFormat/>
    <w:uiPriority w:val="0"/>
    <w:pPr>
      <w:keepNext/>
      <w:keepLines/>
      <w:widowControl/>
      <w:autoSpaceDE/>
      <w:autoSpaceDN/>
      <w:spacing w:before="40" w:after="40" w:line="240" w:lineRule="auto"/>
      <w:ind w:firstLine="0" w:firstLineChars="0"/>
      <w:jc w:val="center"/>
      <w:textAlignment w:val="baseline"/>
    </w:pPr>
    <w:rPr>
      <w:rFonts w:ascii="Calibri" w:hAnsi="Calibri" w:cs="宋体"/>
      <w:szCs w:val="28"/>
    </w:rPr>
  </w:style>
  <w:style w:type="paragraph" w:customStyle="1" w:styleId="1052">
    <w:name w:val="Char Char Char Char Char Char Char Char Char Char Char Char"/>
    <w:basedOn w:val="1"/>
    <w:next w:val="1"/>
    <w:uiPriority w:val="0"/>
    <w:pPr>
      <w:autoSpaceDE/>
      <w:autoSpaceDN/>
      <w:jc w:val="both"/>
    </w:pPr>
    <w:rPr>
      <w:rFonts w:ascii="宋体" w:hAnsi="宋体" w:cs="宋体"/>
      <w:kern w:val="2"/>
    </w:rPr>
  </w:style>
  <w:style w:type="paragraph" w:customStyle="1" w:styleId="1053">
    <w:name w:val="【正文】"/>
    <w:basedOn w:val="1"/>
    <w:qFormat/>
    <w:uiPriority w:val="0"/>
    <w:pPr>
      <w:autoSpaceDE/>
      <w:autoSpaceDN/>
      <w:spacing w:line="440" w:lineRule="exact"/>
      <w:ind w:firstLine="544"/>
      <w:jc w:val="both"/>
    </w:pPr>
    <w:rPr>
      <w:rFonts w:ascii="Calibri" w:hAnsi="Calibri" w:cs="宋体"/>
      <w:spacing w:val="16"/>
      <w:kern w:val="2"/>
    </w:rPr>
  </w:style>
  <w:style w:type="paragraph" w:customStyle="1" w:styleId="1054">
    <w:name w:val="自制表格"/>
    <w:basedOn w:val="1"/>
    <w:next w:val="1"/>
    <w:uiPriority w:val="0"/>
    <w:pPr>
      <w:autoSpaceDE/>
      <w:autoSpaceDN/>
      <w:spacing w:after="120" w:line="240" w:lineRule="auto"/>
      <w:ind w:firstLine="0" w:firstLineChars="0"/>
      <w:jc w:val="both"/>
    </w:pPr>
    <w:rPr>
      <w:rFonts w:ascii="宋体" w:hAnsi="Calibri"/>
      <w:kern w:val="10"/>
      <w:sz w:val="28"/>
      <w:szCs w:val="20"/>
    </w:rPr>
  </w:style>
  <w:style w:type="paragraph" w:customStyle="1" w:styleId="1055">
    <w:name w:val="xl4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宋体" w:hAnsi="Calibri" w:eastAsia="Arial Unicode MS"/>
      <w:sz w:val="20"/>
      <w:szCs w:val="20"/>
    </w:rPr>
  </w:style>
  <w:style w:type="paragraph" w:customStyle="1" w:styleId="1056">
    <w:name w:val="注×："/>
    <w:uiPriority w:val="0"/>
    <w:pPr>
      <w:widowControl w:val="0"/>
      <w:tabs>
        <w:tab w:val="left" w:pos="630"/>
      </w:tabs>
      <w:autoSpaceDE w:val="0"/>
      <w:autoSpaceDN w:val="0"/>
      <w:jc w:val="both"/>
    </w:pPr>
    <w:rPr>
      <w:rFonts w:ascii="宋体" w:hAnsi="Calibri" w:eastAsia="宋体" w:cs="Times New Roman"/>
      <w:sz w:val="18"/>
      <w:lang w:val="en-US" w:eastAsia="zh-CN" w:bidi="ar-SA"/>
    </w:rPr>
  </w:style>
  <w:style w:type="paragraph" w:customStyle="1" w:styleId="1057">
    <w:name w:val="xl6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textAlignment w:val="center"/>
    </w:pPr>
    <w:rPr>
      <w:rFonts w:ascii="宋体" w:hAnsi="宋体" w:eastAsia="Arial Unicode MS" w:cs="宋体"/>
      <w:sz w:val="18"/>
      <w:szCs w:val="18"/>
    </w:rPr>
  </w:style>
  <w:style w:type="paragraph" w:styleId="1058">
    <w:name w:val="No Spacing"/>
    <w:qFormat/>
    <w:uiPriority w:val="1"/>
    <w:rPr>
      <w:rFonts w:ascii="Calibri" w:hAnsi="Calibri" w:eastAsia="宋体" w:cs="Times New Roman"/>
      <w:sz w:val="22"/>
      <w:szCs w:val="22"/>
      <w:lang w:val="en-US" w:eastAsia="zh-CN" w:bidi="ar-SA"/>
    </w:rPr>
  </w:style>
  <w:style w:type="paragraph" w:customStyle="1" w:styleId="1059">
    <w:name w:val="xl52"/>
    <w:basedOn w:val="1"/>
    <w:uiPriority w:val="0"/>
    <w:pPr>
      <w:widowControl/>
      <w:pBdr>
        <w:top w:val="single" w:color="auto" w:sz="8" w:space="0"/>
      </w:pBdr>
      <w:autoSpaceDE/>
      <w:autoSpaceDN/>
      <w:spacing w:before="100" w:beforeAutospacing="1" w:after="100" w:afterAutospacing="1"/>
      <w:textAlignment w:val="center"/>
    </w:pPr>
    <w:rPr>
      <w:rFonts w:ascii="Arial Unicode MS" w:hAnsi="Arial Unicode MS" w:eastAsia="Arial Unicode MS" w:cs="Arial Unicode MS"/>
    </w:rPr>
  </w:style>
  <w:style w:type="paragraph" w:customStyle="1" w:styleId="1060">
    <w:name w:val="标2"/>
    <w:basedOn w:val="3"/>
    <w:next w:val="983"/>
    <w:uiPriority w:val="0"/>
    <w:pPr>
      <w:keepNext/>
      <w:keepLines/>
      <w:widowControl/>
      <w:numPr>
        <w:ilvl w:val="0"/>
        <w:numId w:val="0"/>
      </w:numPr>
      <w:tabs>
        <w:tab w:val="left" w:pos="315"/>
        <w:tab w:val="left" w:pos="1134"/>
        <w:tab w:val="left" w:pos="1400"/>
        <w:tab w:val="center" w:pos="6804"/>
        <w:tab w:val="right" w:pos="7371"/>
      </w:tabs>
      <w:overflowPunct w:val="0"/>
      <w:autoSpaceDE/>
      <w:autoSpaceDN/>
      <w:spacing w:line="500" w:lineRule="exact"/>
      <w:ind w:left="1400" w:hanging="420"/>
      <w:textAlignment w:val="baseline"/>
    </w:pPr>
    <w:rPr>
      <w:rFonts w:ascii="Arial" w:hAnsi="Arial" w:cs="宋体"/>
      <w:color w:val="FF0000"/>
      <w:sz w:val="28"/>
      <w:szCs w:val="20"/>
      <w:lang w:val="zh-CN"/>
    </w:rPr>
  </w:style>
  <w:style w:type="paragraph" w:customStyle="1" w:styleId="1061">
    <w:name w:val="文档结构图2"/>
    <w:basedOn w:val="1"/>
    <w:uiPriority w:val="0"/>
    <w:pPr>
      <w:widowControl/>
      <w:shd w:val="clear" w:color="auto" w:fill="000080"/>
      <w:tabs>
        <w:tab w:val="left" w:pos="480"/>
        <w:tab w:val="left" w:pos="1680"/>
        <w:tab w:val="left" w:pos="3960"/>
        <w:tab w:val="left" w:pos="5400"/>
        <w:tab w:val="left" w:pos="6840"/>
      </w:tabs>
      <w:autoSpaceDE/>
      <w:autoSpaceDN/>
      <w:spacing w:line="240" w:lineRule="atLeast"/>
      <w:ind w:firstLine="482" w:firstLineChars="0"/>
      <w:textAlignment w:val="baseline"/>
    </w:pPr>
    <w:rPr>
      <w:rFonts w:ascii="宋体" w:hAnsi="宋体" w:eastAsia="创艺简楷体" w:cs="宋体"/>
      <w:sz w:val="28"/>
      <w:szCs w:val="20"/>
    </w:rPr>
  </w:style>
  <w:style w:type="paragraph" w:customStyle="1" w:styleId="1062">
    <w:name w:val="Char Char Char Char Char Char Char Char Char Char Char Char Char Char Char Char Char Char Char Char Char Char Char2"/>
    <w:basedOn w:val="1"/>
    <w:uiPriority w:val="0"/>
    <w:pPr>
      <w:autoSpaceDE/>
      <w:autoSpaceDN/>
      <w:spacing w:line="240" w:lineRule="auto"/>
      <w:ind w:firstLine="0" w:firstLineChars="0"/>
      <w:jc w:val="both"/>
    </w:pPr>
    <w:rPr>
      <w:rFonts w:ascii="Calibri" w:hAnsi="Calibri"/>
      <w:kern w:val="2"/>
      <w:sz w:val="21"/>
    </w:rPr>
  </w:style>
  <w:style w:type="paragraph" w:customStyle="1" w:styleId="1063">
    <w:name w:val="xl46"/>
    <w:basedOn w:val="1"/>
    <w:uiPriority w:val="0"/>
    <w:pPr>
      <w:widowControl/>
      <w:pBdr>
        <w:top w:val="single" w:color="auto" w:sz="4" w:space="0"/>
        <w:left w:val="single" w:color="auto" w:sz="8"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rPr>
  </w:style>
  <w:style w:type="paragraph" w:customStyle="1" w:styleId="1064">
    <w:name w:val="正文表头"/>
    <w:basedOn w:val="1"/>
    <w:next w:val="937"/>
    <w:uiPriority w:val="0"/>
    <w:pPr>
      <w:keepNext/>
      <w:widowControl/>
      <w:tabs>
        <w:tab w:val="center" w:pos="4253"/>
        <w:tab w:val="right" w:pos="8505"/>
      </w:tabs>
      <w:overflowPunct w:val="0"/>
      <w:autoSpaceDE/>
      <w:autoSpaceDN/>
      <w:spacing w:before="120"/>
      <w:ind w:firstLine="0" w:firstLineChars="0"/>
      <w:jc w:val="center"/>
      <w:textAlignment w:val="baseline"/>
    </w:pPr>
    <w:rPr>
      <w:rFonts w:ascii="宋体" w:hAnsi="宋体" w:eastAsia="黑体" w:cs="宋体"/>
      <w:sz w:val="28"/>
      <w:szCs w:val="20"/>
    </w:rPr>
  </w:style>
  <w:style w:type="paragraph" w:customStyle="1" w:styleId="1065">
    <w:name w:val="xl5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jc w:val="center"/>
      <w:textAlignment w:val="center"/>
    </w:pPr>
    <w:rPr>
      <w:rFonts w:ascii="宋体" w:hAnsi="宋体" w:eastAsia="Arial Unicode MS" w:cs="宋体"/>
      <w:sz w:val="20"/>
      <w:szCs w:val="20"/>
    </w:rPr>
  </w:style>
  <w:style w:type="paragraph" w:customStyle="1" w:styleId="1066">
    <w:name w:val="表内容中"/>
    <w:basedOn w:val="42"/>
    <w:uiPriority w:val="0"/>
    <w:pPr>
      <w:autoSpaceDE/>
      <w:autoSpaceDN/>
      <w:spacing w:line="240" w:lineRule="auto"/>
      <w:ind w:left="0" w:leftChars="0" w:firstLine="0" w:firstLineChars="0"/>
      <w:jc w:val="center"/>
    </w:pPr>
    <w:rPr>
      <w:rFonts w:ascii="楷体_GB2312" w:hAnsi="宋体" w:eastAsia="楷体_GB2312"/>
      <w:color w:val="000000"/>
      <w:szCs w:val="20"/>
      <w:lang w:val="zh-CN"/>
    </w:rPr>
  </w:style>
  <w:style w:type="paragraph" w:customStyle="1" w:styleId="1067">
    <w:name w:val="表格内字体711"/>
    <w:basedOn w:val="207"/>
    <w:next w:val="207"/>
    <w:qFormat/>
    <w:uiPriority w:val="0"/>
    <w:pPr>
      <w:spacing w:line="240" w:lineRule="auto"/>
      <w:ind w:firstLine="0" w:firstLineChars="0"/>
      <w:jc w:val="center"/>
    </w:pPr>
    <w:rPr>
      <w:rFonts w:hAnsi="宋体"/>
      <w:spacing w:val="0"/>
      <w:sz w:val="21"/>
    </w:rPr>
  </w:style>
  <w:style w:type="paragraph" w:customStyle="1" w:styleId="1068">
    <w:name w:val="表格中"/>
    <w:basedOn w:val="1"/>
    <w:uiPriority w:val="0"/>
    <w:pPr>
      <w:widowControl/>
      <w:autoSpaceDE/>
      <w:autoSpaceDN/>
      <w:spacing w:line="280" w:lineRule="exact"/>
      <w:ind w:firstLine="0" w:firstLineChars="0"/>
      <w:jc w:val="center"/>
    </w:pPr>
    <w:rPr>
      <w:rFonts w:ascii="宋体" w:hAnsi="宋体" w:cs="宋体"/>
      <w:sz w:val="18"/>
      <w:szCs w:val="20"/>
    </w:rPr>
  </w:style>
  <w:style w:type="paragraph" w:customStyle="1" w:styleId="1069">
    <w:name w:val="南郊正文"/>
    <w:basedOn w:val="1"/>
    <w:next w:val="1"/>
    <w:uiPriority w:val="0"/>
    <w:pPr>
      <w:autoSpaceDE/>
      <w:autoSpaceDN/>
      <w:spacing w:line="240" w:lineRule="auto"/>
      <w:ind w:firstLine="0" w:firstLineChars="0"/>
      <w:jc w:val="both"/>
    </w:pPr>
    <w:rPr>
      <w:rFonts w:ascii="Calibri" w:hAnsi="Calibri" w:eastAsia="仿宋_GB2312" w:cs="宋体"/>
      <w:kern w:val="2"/>
      <w:sz w:val="21"/>
      <w:szCs w:val="21"/>
    </w:rPr>
  </w:style>
  <w:style w:type="paragraph" w:customStyle="1" w:styleId="1070">
    <w:name w:val="报告节"/>
    <w:basedOn w:val="371"/>
    <w:next w:val="1"/>
    <w:uiPriority w:val="0"/>
    <w:pPr>
      <w:keepNext/>
      <w:widowControl/>
      <w:tabs>
        <w:tab w:val="left" w:pos="3319"/>
        <w:tab w:val="left" w:pos="3600"/>
      </w:tabs>
      <w:spacing w:line="720" w:lineRule="auto"/>
      <w:ind w:firstLine="0" w:firstLineChars="0"/>
      <w:jc w:val="center"/>
      <w:outlineLvl w:val="1"/>
    </w:pPr>
    <w:rPr>
      <w:rFonts w:ascii="仿宋_GB2312" w:eastAsia="仿宋_GB2312"/>
      <w:b/>
      <w:snapToGrid w:val="0"/>
      <w:sz w:val="32"/>
      <w:szCs w:val="32"/>
    </w:rPr>
  </w:style>
  <w:style w:type="paragraph" w:customStyle="1" w:styleId="1071">
    <w:name w:val="正文样式暗暗"/>
    <w:basedOn w:val="1"/>
    <w:qFormat/>
    <w:uiPriority w:val="0"/>
    <w:pPr>
      <w:widowControl/>
      <w:autoSpaceDE/>
      <w:autoSpaceDN/>
      <w:ind w:firstLine="420" w:firstLineChars="175"/>
      <w:jc w:val="both"/>
    </w:pPr>
    <w:rPr>
      <w:rFonts w:ascii="宋体" w:hAnsi="宋体" w:cs="宋体"/>
      <w:kern w:val="2"/>
    </w:rPr>
  </w:style>
  <w:style w:type="paragraph" w:customStyle="1" w:styleId="1072">
    <w:name w:val="Char62"/>
    <w:basedOn w:val="1"/>
    <w:uiPriority w:val="0"/>
    <w:pPr>
      <w:autoSpaceDE/>
      <w:autoSpaceDN/>
      <w:spacing w:line="240" w:lineRule="auto"/>
      <w:ind w:firstLine="0" w:firstLineChars="0"/>
      <w:jc w:val="both"/>
    </w:pPr>
    <w:rPr>
      <w:rFonts w:ascii="Calibri" w:hAnsi="Calibri"/>
      <w:kern w:val="2"/>
      <w:sz w:val="21"/>
    </w:rPr>
  </w:style>
  <w:style w:type="paragraph" w:customStyle="1" w:styleId="1073">
    <w:name w:val="xl5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jc w:val="center"/>
      <w:textAlignment w:val="center"/>
    </w:pPr>
    <w:rPr>
      <w:rFonts w:ascii="宋体" w:hAnsi="宋体" w:eastAsia="Arial Unicode MS" w:cs="宋体"/>
      <w:b/>
      <w:bCs/>
      <w:sz w:val="20"/>
      <w:szCs w:val="20"/>
    </w:rPr>
  </w:style>
  <w:style w:type="paragraph" w:customStyle="1" w:styleId="1074">
    <w:name w:val="标题11"/>
    <w:next w:val="1"/>
    <w:qFormat/>
    <w:uiPriority w:val="0"/>
    <w:pPr>
      <w:jc w:val="center"/>
    </w:pPr>
    <w:rPr>
      <w:rFonts w:ascii="黑体" w:hAnsi="Calibri" w:eastAsia="黑体" w:cs="宋体"/>
      <w:b/>
      <w:kern w:val="2"/>
      <w:sz w:val="32"/>
      <w:szCs w:val="32"/>
      <w:lang w:val="en-US" w:eastAsia="zh-CN" w:bidi="ar-SA"/>
    </w:rPr>
  </w:style>
  <w:style w:type="paragraph" w:customStyle="1" w:styleId="1075">
    <w:name w:val="font7"/>
    <w:basedOn w:val="1"/>
    <w:uiPriority w:val="0"/>
    <w:pPr>
      <w:widowControl/>
      <w:autoSpaceDE/>
      <w:autoSpaceDN/>
      <w:spacing w:before="100" w:beforeAutospacing="1" w:after="100" w:afterAutospacing="1" w:line="240" w:lineRule="auto"/>
      <w:ind w:firstLine="0" w:firstLineChars="0"/>
    </w:pPr>
    <w:rPr>
      <w:rFonts w:hint="eastAsia" w:ascii="宋体" w:hAnsi="宋体" w:cs="Arial Unicode MS"/>
    </w:rPr>
  </w:style>
  <w:style w:type="paragraph" w:customStyle="1" w:styleId="1076">
    <w:name w:val="font10"/>
    <w:basedOn w:val="1"/>
    <w:uiPriority w:val="0"/>
    <w:pPr>
      <w:widowControl/>
      <w:autoSpaceDE/>
      <w:autoSpaceDN/>
      <w:spacing w:before="100" w:beforeAutospacing="1" w:after="100" w:afterAutospacing="1" w:line="240" w:lineRule="auto"/>
      <w:ind w:firstLine="0" w:firstLineChars="0"/>
    </w:pPr>
    <w:rPr>
      <w:rFonts w:ascii="Calibri" w:hAnsi="Calibri" w:eastAsia="Arial Unicode MS"/>
      <w:sz w:val="22"/>
      <w:szCs w:val="22"/>
    </w:rPr>
  </w:style>
  <w:style w:type="paragraph" w:customStyle="1" w:styleId="1077">
    <w:name w:val="Char31"/>
    <w:basedOn w:val="1"/>
    <w:uiPriority w:val="0"/>
    <w:pPr>
      <w:autoSpaceDE/>
      <w:autoSpaceDN/>
      <w:spacing w:line="240" w:lineRule="auto"/>
      <w:ind w:firstLine="0" w:firstLineChars="0"/>
      <w:jc w:val="both"/>
    </w:pPr>
    <w:rPr>
      <w:rFonts w:ascii="Calibri" w:hAnsi="Calibri"/>
      <w:kern w:val="2"/>
      <w:sz w:val="21"/>
    </w:rPr>
  </w:style>
  <w:style w:type="paragraph" w:customStyle="1" w:styleId="1078">
    <w:name w:val="Char Char Char Char2"/>
    <w:basedOn w:val="1"/>
    <w:next w:val="1"/>
    <w:uiPriority w:val="0"/>
    <w:pPr>
      <w:autoSpaceDE/>
      <w:autoSpaceDN/>
      <w:jc w:val="both"/>
    </w:pPr>
    <w:rPr>
      <w:rFonts w:ascii="宋体" w:hAnsi="宋体" w:cs="宋体"/>
      <w:kern w:val="2"/>
    </w:rPr>
  </w:style>
  <w:style w:type="paragraph" w:customStyle="1" w:styleId="1079">
    <w:name w:val="电子邮件签名1"/>
    <w:basedOn w:val="1"/>
    <w:uiPriority w:val="0"/>
    <w:pPr>
      <w:autoSpaceDE/>
      <w:autoSpaceDN/>
      <w:spacing w:line="240" w:lineRule="auto"/>
      <w:ind w:firstLine="0" w:firstLineChars="0"/>
      <w:jc w:val="both"/>
    </w:pPr>
    <w:rPr>
      <w:rFonts w:ascii="Calibri" w:hAnsi="Calibri"/>
      <w:kern w:val="2"/>
      <w:sz w:val="21"/>
    </w:rPr>
  </w:style>
  <w:style w:type="paragraph" w:customStyle="1" w:styleId="1080">
    <w:name w:val="xl66"/>
    <w:basedOn w:val="1"/>
    <w:uiPriority w:val="0"/>
    <w:pPr>
      <w:widowControl/>
      <w:pBdr>
        <w:left w:val="single" w:color="auto" w:sz="4" w:space="0"/>
        <w:bottom w:val="single" w:color="auto" w:sz="4" w:space="0"/>
        <w:right w:val="single" w:color="auto" w:sz="4" w:space="0"/>
      </w:pBdr>
      <w:tabs>
        <w:tab w:val="left" w:pos="1440"/>
      </w:tabs>
      <w:autoSpaceDE/>
      <w:autoSpaceDN/>
      <w:spacing w:before="100" w:beforeAutospacing="1" w:after="100" w:afterAutospacing="1" w:line="240" w:lineRule="auto"/>
      <w:ind w:firstLine="0" w:firstLineChars="0"/>
      <w:jc w:val="center"/>
    </w:pPr>
    <w:rPr>
      <w:rFonts w:ascii="Calibri" w:hAnsi="Calibri"/>
      <w:color w:val="FF0000"/>
    </w:rPr>
  </w:style>
  <w:style w:type="paragraph" w:customStyle="1" w:styleId="1081">
    <w:name w:val="表格后"/>
    <w:basedOn w:val="1"/>
    <w:next w:val="1"/>
    <w:qFormat/>
    <w:uiPriority w:val="0"/>
    <w:pPr>
      <w:autoSpaceDE/>
      <w:autoSpaceDN/>
      <w:spacing w:before="156" w:beforeLines="50"/>
      <w:jc w:val="both"/>
    </w:pPr>
    <w:rPr>
      <w:rFonts w:ascii="Calibri" w:hAnsi="Calibri"/>
      <w:kern w:val="2"/>
      <w:szCs w:val="20"/>
    </w:rPr>
  </w:style>
  <w:style w:type="paragraph" w:customStyle="1" w:styleId="1082">
    <w:name w:val="邓表格文字"/>
    <w:basedOn w:val="1"/>
    <w:qFormat/>
    <w:uiPriority w:val="0"/>
    <w:pPr>
      <w:widowControl/>
      <w:autoSpaceDE/>
      <w:autoSpaceDN/>
      <w:spacing w:line="220" w:lineRule="exact"/>
      <w:ind w:firstLine="0" w:firstLineChars="0"/>
      <w:jc w:val="center"/>
    </w:pPr>
    <w:rPr>
      <w:rFonts w:ascii="宋体" w:hAnsi="宋体"/>
      <w:kern w:val="2"/>
      <w:sz w:val="18"/>
      <w:szCs w:val="18"/>
    </w:rPr>
  </w:style>
  <w:style w:type="paragraph" w:customStyle="1" w:styleId="1083">
    <w:name w:val="(a)"/>
    <w:basedOn w:val="808"/>
    <w:uiPriority w:val="0"/>
  </w:style>
  <w:style w:type="paragraph" w:customStyle="1" w:styleId="1084">
    <w:name w:val="数字编号列项（二级）"/>
    <w:uiPriority w:val="0"/>
    <w:pPr>
      <w:ind w:left="1260" w:leftChars="400" w:hanging="420" w:hangingChars="200"/>
      <w:jc w:val="both"/>
    </w:pPr>
    <w:rPr>
      <w:rFonts w:ascii="宋体" w:hAnsi="Calibri" w:eastAsia="宋体" w:cs="Times New Roman"/>
      <w:lang w:val="en-US" w:eastAsia="zh-CN" w:bidi="ar-SA"/>
    </w:rPr>
  </w:style>
  <w:style w:type="paragraph" w:customStyle="1" w:styleId="1085">
    <w:name w:val="表格内文字"/>
    <w:uiPriority w:val="0"/>
    <w:pPr>
      <w:keepNext/>
      <w:widowControl w:val="0"/>
      <w:spacing w:line="240" w:lineRule="atLeast"/>
      <w:ind w:left="-105" w:leftChars="-50" w:right="-105" w:rightChars="-50"/>
      <w:jc w:val="center"/>
    </w:pPr>
    <w:rPr>
      <w:rFonts w:ascii="宋体" w:hAnsi="宋体" w:eastAsia="宋体" w:cs="Times New Roman"/>
      <w:w w:val="90"/>
      <w:lang w:val="en-US" w:eastAsia="zh-CN" w:bidi="ar-SA"/>
    </w:rPr>
  </w:style>
  <w:style w:type="paragraph" w:customStyle="1" w:styleId="1086">
    <w:name w:val="xl5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textAlignment w:val="center"/>
    </w:pPr>
    <w:rPr>
      <w:rFonts w:ascii="宋体" w:hAnsi="宋体" w:eastAsia="Arial Unicode MS" w:cs="宋体"/>
      <w:sz w:val="20"/>
      <w:szCs w:val="20"/>
    </w:rPr>
  </w:style>
  <w:style w:type="paragraph" w:customStyle="1" w:styleId="1087">
    <w:name w:val="Char Char Char Char Char Char Char Char Char Char Char"/>
    <w:basedOn w:val="1"/>
    <w:uiPriority w:val="0"/>
    <w:pPr>
      <w:autoSpaceDE/>
      <w:autoSpaceDN/>
      <w:spacing w:line="240" w:lineRule="auto"/>
      <w:ind w:firstLine="0" w:firstLineChars="0"/>
      <w:jc w:val="both"/>
    </w:pPr>
    <w:rPr>
      <w:rFonts w:ascii="Calibri" w:hAnsi="Calibri"/>
      <w:kern w:val="2"/>
      <w:sz w:val="21"/>
    </w:rPr>
  </w:style>
  <w:style w:type="paragraph" w:customStyle="1" w:styleId="1088">
    <w:name w:val="Style51"/>
    <w:basedOn w:val="1"/>
    <w:uiPriority w:val="0"/>
    <w:pPr>
      <w:autoSpaceDE/>
      <w:autoSpaceDN/>
      <w:spacing w:line="240" w:lineRule="auto"/>
      <w:ind w:firstLine="0" w:firstLineChars="0"/>
    </w:pPr>
    <w:rPr>
      <w:rFonts w:ascii="宋体" w:hAnsi="Calibri"/>
      <w:szCs w:val="20"/>
    </w:rPr>
  </w:style>
  <w:style w:type="paragraph" w:customStyle="1" w:styleId="1089">
    <w:name w:val="F08013"/>
    <w:basedOn w:val="1"/>
    <w:qFormat/>
    <w:uiPriority w:val="0"/>
    <w:pPr>
      <w:autoSpaceDE/>
      <w:autoSpaceDN/>
      <w:spacing w:beforeLines="50" w:afterLines="50"/>
      <w:ind w:firstLine="480"/>
      <w:jc w:val="both"/>
    </w:pPr>
    <w:rPr>
      <w:rFonts w:ascii="宋体" w:hAnsi="宋体" w:cs="宋体"/>
      <w:kern w:val="24"/>
    </w:rPr>
  </w:style>
  <w:style w:type="paragraph" w:customStyle="1" w:styleId="1090">
    <w:name w:val="环评正文"/>
    <w:basedOn w:val="1"/>
    <w:uiPriority w:val="0"/>
    <w:pPr>
      <w:autoSpaceDE/>
      <w:autoSpaceDN/>
      <w:jc w:val="both"/>
    </w:pPr>
    <w:rPr>
      <w:rFonts w:ascii="Calibri" w:hAnsi="Calibri"/>
      <w:kern w:val="2"/>
    </w:rPr>
  </w:style>
  <w:style w:type="paragraph" w:customStyle="1" w:styleId="1091">
    <w:name w:val="HD3"/>
    <w:basedOn w:val="1"/>
    <w:uiPriority w:val="0"/>
    <w:pPr>
      <w:keepNext/>
      <w:keepLines/>
      <w:widowControl/>
      <w:autoSpaceDE/>
      <w:autoSpaceDN/>
      <w:spacing w:before="120" w:after="120" w:line="480" w:lineRule="exact"/>
      <w:ind w:firstLine="0" w:firstLineChars="0"/>
      <w:outlineLvl w:val="4"/>
    </w:pPr>
    <w:rPr>
      <w:rFonts w:ascii="宋体" w:hAnsi="宋体" w:cs="宋体"/>
      <w:b/>
      <w:sz w:val="28"/>
      <w:szCs w:val="20"/>
    </w:rPr>
  </w:style>
  <w:style w:type="paragraph" w:customStyle="1" w:styleId="1092">
    <w:name w:val="报告书表格"/>
    <w:basedOn w:val="1"/>
    <w:uiPriority w:val="0"/>
    <w:pPr>
      <w:autoSpaceDE/>
      <w:autoSpaceDN/>
      <w:spacing w:before="60" w:after="60" w:line="240" w:lineRule="atLeast"/>
      <w:ind w:firstLine="0" w:firstLineChars="0"/>
      <w:jc w:val="center"/>
      <w:textAlignment w:val="baseline"/>
    </w:pPr>
    <w:rPr>
      <w:rFonts w:ascii="Calibri" w:hAnsi="Calibri"/>
      <w:sz w:val="21"/>
      <w:szCs w:val="20"/>
    </w:rPr>
  </w:style>
  <w:style w:type="paragraph" w:customStyle="1" w:styleId="1093">
    <w:name w:val="xl4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top"/>
    </w:pPr>
    <w:rPr>
      <w:rFonts w:ascii="Arial Unicode MS" w:hAnsi="Arial Unicode MS" w:eastAsia="Arial Unicode MS" w:cs="Arial Unicode MS"/>
      <w:sz w:val="20"/>
      <w:szCs w:val="20"/>
    </w:rPr>
  </w:style>
  <w:style w:type="paragraph" w:customStyle="1" w:styleId="1094">
    <w:name w:val="小节标题"/>
    <w:basedOn w:val="1"/>
    <w:next w:val="1"/>
    <w:uiPriority w:val="0"/>
    <w:pPr>
      <w:widowControl/>
      <w:autoSpaceDE/>
      <w:autoSpaceDN/>
      <w:spacing w:before="175" w:after="102" w:line="782" w:lineRule="atLeast"/>
      <w:jc w:val="both"/>
      <w:textAlignment w:val="baseline"/>
    </w:pPr>
    <w:rPr>
      <w:rFonts w:ascii="Calibri" w:hAnsi="Calibri" w:eastAsia="黑体"/>
      <w:color w:val="000000"/>
      <w:szCs w:val="20"/>
      <w:u w:color="000000"/>
    </w:rPr>
  </w:style>
  <w:style w:type="paragraph" w:customStyle="1" w:styleId="1095">
    <w:name w:val="Char Char Char1 Char"/>
    <w:basedOn w:val="1"/>
    <w:uiPriority w:val="0"/>
    <w:pPr>
      <w:widowControl/>
      <w:autoSpaceDE/>
      <w:autoSpaceDN/>
      <w:spacing w:line="240" w:lineRule="auto"/>
      <w:ind w:firstLine="0" w:firstLineChars="0"/>
    </w:pPr>
    <w:rPr>
      <w:rFonts w:ascii="宋体" w:hAnsi="宋体" w:cs="宋体"/>
    </w:rPr>
  </w:style>
  <w:style w:type="paragraph" w:customStyle="1" w:styleId="1096">
    <w:name w:val="xl35"/>
    <w:basedOn w:val="1"/>
    <w:uiPriority w:val="0"/>
    <w:pPr>
      <w:widowControl/>
      <w:pBdr>
        <w:top w:val="single" w:color="auto" w:sz="4" w:space="0"/>
        <w:left w:val="single" w:color="auto" w:sz="8" w:space="0"/>
        <w:bottom w:val="single" w:color="auto" w:sz="8"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rPr>
  </w:style>
  <w:style w:type="paragraph" w:customStyle="1" w:styleId="1097">
    <w:name w:val="样式 标题 2 + 段后: 0.5 行"/>
    <w:basedOn w:val="3"/>
    <w:uiPriority w:val="0"/>
    <w:pPr>
      <w:numPr>
        <w:ilvl w:val="0"/>
        <w:numId w:val="0"/>
      </w:numPr>
      <w:tabs>
        <w:tab w:val="left" w:pos="567"/>
        <w:tab w:val="left" w:pos="630"/>
        <w:tab w:val="left" w:pos="840"/>
        <w:tab w:val="left" w:pos="1287"/>
        <w:tab w:val="left" w:pos="3920"/>
        <w:tab w:val="left" w:pos="5670"/>
      </w:tabs>
      <w:autoSpaceDE/>
      <w:autoSpaceDN/>
      <w:spacing w:before="156" w:beforeLines="50" w:after="156" w:afterLines="50" w:line="240" w:lineRule="auto"/>
      <w:ind w:firstLine="567"/>
      <w:contextualSpacing/>
      <w:jc w:val="both"/>
    </w:pPr>
    <w:rPr>
      <w:rFonts w:ascii="Times New Roman" w:eastAsia="仿宋_GB2312" w:cs="Times New Roman"/>
      <w:b/>
      <w:color w:val="000000"/>
      <w:kern w:val="2"/>
      <w:sz w:val="28"/>
      <w:szCs w:val="28"/>
      <w:lang w:val="zh-CN"/>
    </w:rPr>
  </w:style>
  <w:style w:type="paragraph" w:customStyle="1" w:styleId="1098">
    <w:name w:val="密级编号"/>
    <w:basedOn w:val="1"/>
    <w:uiPriority w:val="0"/>
    <w:pPr>
      <w:autoSpaceDE/>
      <w:autoSpaceDN/>
      <w:spacing w:line="240" w:lineRule="auto"/>
      <w:ind w:firstLine="0" w:firstLineChars="0"/>
      <w:jc w:val="center"/>
      <w:textAlignment w:val="baseline"/>
    </w:pPr>
    <w:rPr>
      <w:rFonts w:ascii="仿宋_GB2312" w:hAnsi="Calibri" w:eastAsia="仿宋_GB2312"/>
      <w:szCs w:val="20"/>
    </w:rPr>
  </w:style>
  <w:style w:type="paragraph" w:customStyle="1" w:styleId="1099">
    <w:name w:val="报告表格"/>
    <w:basedOn w:val="1"/>
    <w:qFormat/>
    <w:uiPriority w:val="0"/>
    <w:pPr>
      <w:widowControl/>
      <w:spacing w:before="40" w:after="40" w:line="240" w:lineRule="auto"/>
      <w:ind w:firstLine="0" w:firstLineChars="0"/>
      <w:jc w:val="center"/>
      <w:textAlignment w:val="baseline"/>
    </w:pPr>
    <w:rPr>
      <w:rFonts w:ascii="宋体" w:hAnsi="宋体" w:cs="宋体"/>
      <w:szCs w:val="20"/>
    </w:rPr>
  </w:style>
  <w:style w:type="paragraph" w:customStyle="1" w:styleId="1100">
    <w:name w:val="样式 宋体 首行缩进:  2 字符"/>
    <w:basedOn w:val="1"/>
    <w:uiPriority w:val="0"/>
    <w:pPr>
      <w:autoSpaceDE/>
      <w:autoSpaceDN/>
      <w:jc w:val="both"/>
    </w:pPr>
    <w:rPr>
      <w:rFonts w:ascii="宋体" w:hAnsi="宋体" w:cs="宋体"/>
      <w:kern w:val="2"/>
      <w:szCs w:val="20"/>
    </w:rPr>
  </w:style>
  <w:style w:type="paragraph" w:customStyle="1" w:styleId="1101">
    <w:name w:val="Char Char Char2 Char Char Char Char Char Char Char Char Char Char1"/>
    <w:basedOn w:val="1"/>
    <w:uiPriority w:val="0"/>
    <w:pPr>
      <w:autoSpaceDE/>
      <w:autoSpaceDN/>
      <w:spacing w:line="240" w:lineRule="auto"/>
      <w:ind w:firstLine="0" w:firstLineChars="0"/>
      <w:jc w:val="both"/>
    </w:pPr>
    <w:rPr>
      <w:rFonts w:ascii="Calibri" w:hAnsi="Calibri"/>
      <w:kern w:val="2"/>
      <w:sz w:val="21"/>
    </w:rPr>
  </w:style>
  <w:style w:type="paragraph" w:customStyle="1" w:styleId="1102">
    <w:name w:val="表后空行格式"/>
    <w:basedOn w:val="207"/>
    <w:qFormat/>
    <w:uiPriority w:val="99"/>
    <w:pPr>
      <w:spacing w:line="240" w:lineRule="exact"/>
      <w:ind w:firstLine="0" w:firstLineChars="0"/>
    </w:pPr>
    <w:rPr>
      <w:sz w:val="18"/>
    </w:rPr>
  </w:style>
  <w:style w:type="paragraph" w:customStyle="1" w:styleId="1103">
    <w:name w:val="样式 (西文) 楷体_GB2312 首行缩进:  0.85 厘米1"/>
    <w:basedOn w:val="1"/>
    <w:qFormat/>
    <w:uiPriority w:val="0"/>
    <w:pPr>
      <w:autoSpaceDE/>
      <w:autoSpaceDN/>
      <w:spacing w:line="500" w:lineRule="exact"/>
      <w:jc w:val="both"/>
    </w:pPr>
    <w:rPr>
      <w:rFonts w:ascii="楷体_GB2312" w:hAnsi="楷体_GB2312" w:eastAsia="楷体_GB2312" w:cs="楷体_GB2312"/>
      <w:kern w:val="2"/>
    </w:rPr>
  </w:style>
  <w:style w:type="paragraph" w:customStyle="1" w:styleId="1104">
    <w:name w:val="777777777 Char Char Char Char"/>
    <w:basedOn w:val="1"/>
    <w:uiPriority w:val="0"/>
    <w:pPr>
      <w:widowControl/>
      <w:autoSpaceDE/>
      <w:autoSpaceDN/>
      <w:spacing w:line="400" w:lineRule="exact"/>
      <w:ind w:firstLine="560"/>
    </w:pPr>
    <w:rPr>
      <w:rFonts w:ascii="宋体" w:hAnsi="宋体" w:cs="宋体"/>
      <w:sz w:val="28"/>
      <w:szCs w:val="20"/>
    </w:rPr>
  </w:style>
  <w:style w:type="paragraph" w:customStyle="1" w:styleId="1105">
    <w:name w:val="样式 首行缩进:  2 字符 行距: 固定值 23 磅"/>
    <w:basedOn w:val="1"/>
    <w:uiPriority w:val="0"/>
    <w:pPr>
      <w:widowControl/>
      <w:autoSpaceDE/>
      <w:autoSpaceDN/>
      <w:spacing w:line="460" w:lineRule="exact"/>
      <w:ind w:firstLine="648"/>
    </w:pPr>
    <w:rPr>
      <w:rFonts w:ascii="宋体" w:hAnsi="宋体" w:cs="宋体"/>
    </w:rPr>
  </w:style>
  <w:style w:type="paragraph" w:customStyle="1" w:styleId="1106">
    <w:name w:val="样式 标题 1 + (中文) 黑体 四号 段前: 7.8 磅 段后: 7.8 磅 行距: 多倍行距 1.25 字行"/>
    <w:basedOn w:val="2"/>
    <w:uiPriority w:val="0"/>
    <w:pPr>
      <w:keepNext/>
      <w:keepLines/>
      <w:widowControl/>
      <w:numPr>
        <w:numId w:val="0"/>
      </w:numPr>
      <w:autoSpaceDE/>
      <w:autoSpaceDN/>
      <w:spacing w:before="156" w:after="156" w:line="480" w:lineRule="auto"/>
      <w:ind w:firstLine="1800"/>
      <w:jc w:val="left"/>
    </w:pPr>
    <w:rPr>
      <w:rFonts w:ascii="宋体" w:hAnsi="宋体" w:cs="宋体"/>
      <w:b/>
      <w:bCs/>
      <w:color w:val="000000"/>
      <w:kern w:val="44"/>
      <w:sz w:val="30"/>
      <w:szCs w:val="30"/>
      <w:lang w:val="zh-CN"/>
    </w:rPr>
  </w:style>
  <w:style w:type="paragraph" w:customStyle="1" w:styleId="1107">
    <w:name w:val="样式 样式 样式 设计正文 + 首行缩进:  2 字符 + 首行缩进:  2 字符 + 首行缩进:  2 字符"/>
    <w:basedOn w:val="1"/>
    <w:uiPriority w:val="0"/>
    <w:pPr>
      <w:keepNext/>
      <w:autoSpaceDE/>
      <w:autoSpaceDN/>
      <w:ind w:firstLine="538" w:firstLineChars="192"/>
      <w:jc w:val="both"/>
    </w:pPr>
    <w:rPr>
      <w:rFonts w:ascii="仿宋_GB2312" w:hAnsi="Calibri" w:eastAsia="仿宋_GB2312" w:cs="宋体"/>
      <w:kern w:val="2"/>
      <w:sz w:val="28"/>
      <w:szCs w:val="20"/>
    </w:rPr>
  </w:style>
  <w:style w:type="paragraph" w:customStyle="1" w:styleId="1108">
    <w:name w:val="寄信人地址1"/>
    <w:basedOn w:val="1"/>
    <w:uiPriority w:val="0"/>
    <w:pPr>
      <w:autoSpaceDE/>
      <w:autoSpaceDN/>
      <w:spacing w:line="240" w:lineRule="auto"/>
      <w:ind w:firstLine="0" w:firstLineChars="0"/>
      <w:jc w:val="both"/>
    </w:pPr>
    <w:rPr>
      <w:rFonts w:ascii="Arial" w:hAnsi="Arial" w:cs="Arial"/>
      <w:kern w:val="2"/>
      <w:sz w:val="21"/>
    </w:rPr>
  </w:style>
  <w:style w:type="paragraph" w:customStyle="1" w:styleId="1109">
    <w:name w:val="默认段落字体 Para Char Char Char Char Char Char Char"/>
    <w:basedOn w:val="1"/>
    <w:qFormat/>
    <w:uiPriority w:val="0"/>
    <w:pPr>
      <w:autoSpaceDE/>
      <w:autoSpaceDN/>
      <w:ind w:firstLine="0" w:firstLineChars="0"/>
      <w:jc w:val="both"/>
    </w:pPr>
    <w:rPr>
      <w:rFonts w:ascii="Calibri" w:hAnsi="Calibri"/>
      <w:kern w:val="2"/>
    </w:rPr>
  </w:style>
  <w:style w:type="paragraph" w:customStyle="1" w:styleId="1110">
    <w:name w:val="4号两端对齐"/>
    <w:uiPriority w:val="0"/>
    <w:pPr>
      <w:widowControl w:val="0"/>
      <w:jc w:val="center"/>
    </w:pPr>
    <w:rPr>
      <w:rFonts w:ascii="宋体" w:hAnsi="宋体" w:eastAsia="宋体" w:cs="Times New Roman"/>
      <w:kern w:val="2"/>
      <w:sz w:val="21"/>
      <w:szCs w:val="24"/>
      <w:lang w:val="en-US" w:eastAsia="zh-CN" w:bidi="ar-SA"/>
    </w:rPr>
  </w:style>
  <w:style w:type="paragraph" w:customStyle="1" w:styleId="1111">
    <w:name w:val="Char Char Char Char Char Char Char Char Char Char Char Char1"/>
    <w:basedOn w:val="1"/>
    <w:next w:val="1"/>
    <w:uiPriority w:val="0"/>
    <w:pPr>
      <w:autoSpaceDE/>
      <w:autoSpaceDN/>
      <w:jc w:val="both"/>
    </w:pPr>
    <w:rPr>
      <w:rFonts w:ascii="宋体" w:hAnsi="宋体" w:cs="宋体"/>
      <w:kern w:val="2"/>
    </w:rPr>
  </w:style>
  <w:style w:type="paragraph" w:customStyle="1" w:styleId="1112">
    <w:name w:val="表格内容005"/>
    <w:basedOn w:val="1"/>
    <w:uiPriority w:val="0"/>
    <w:pPr>
      <w:tabs>
        <w:tab w:val="left" w:pos="3700"/>
      </w:tabs>
      <w:autoSpaceDE/>
      <w:autoSpaceDN/>
      <w:spacing w:line="240" w:lineRule="auto"/>
      <w:ind w:firstLine="0" w:firstLineChars="0"/>
      <w:jc w:val="center"/>
    </w:pPr>
    <w:rPr>
      <w:rFonts w:ascii="宋体" w:hAnsi="Bodoni PosterCompressed" w:eastAsia="楷体_GB2312"/>
      <w:color w:val="000000"/>
      <w:kern w:val="2"/>
      <w:szCs w:val="20"/>
    </w:rPr>
  </w:style>
  <w:style w:type="paragraph" w:customStyle="1" w:styleId="1113">
    <w:name w:val="Char Char Char Char Char Char Char Char Char Char Char Char3"/>
    <w:basedOn w:val="1"/>
    <w:next w:val="1"/>
    <w:uiPriority w:val="0"/>
    <w:pPr>
      <w:autoSpaceDE/>
      <w:autoSpaceDN/>
      <w:jc w:val="both"/>
    </w:pPr>
    <w:rPr>
      <w:rFonts w:ascii="宋体" w:hAnsi="宋体" w:cs="宋体"/>
      <w:kern w:val="2"/>
    </w:rPr>
  </w:style>
  <w:style w:type="paragraph" w:customStyle="1" w:styleId="1114">
    <w:name w:val="列表 41"/>
    <w:basedOn w:val="1"/>
    <w:uiPriority w:val="0"/>
    <w:pPr>
      <w:autoSpaceDE/>
      <w:autoSpaceDN/>
      <w:spacing w:line="240" w:lineRule="auto"/>
      <w:ind w:left="100" w:leftChars="600" w:hanging="200" w:hangingChars="200"/>
      <w:jc w:val="both"/>
    </w:pPr>
    <w:rPr>
      <w:rFonts w:ascii="Calibri" w:hAnsi="Calibri"/>
      <w:kern w:val="2"/>
      <w:sz w:val="21"/>
    </w:rPr>
  </w:style>
  <w:style w:type="paragraph" w:customStyle="1" w:styleId="1115">
    <w:name w:val="段落"/>
    <w:basedOn w:val="1"/>
    <w:uiPriority w:val="0"/>
    <w:pPr>
      <w:tabs>
        <w:tab w:val="left" w:pos="1021"/>
      </w:tabs>
      <w:autoSpaceDE/>
      <w:autoSpaceDN/>
      <w:ind w:firstLine="480"/>
      <w:jc w:val="both"/>
    </w:pPr>
    <w:rPr>
      <w:rFonts w:ascii="宋体" w:hAnsi="宋体"/>
    </w:rPr>
  </w:style>
  <w:style w:type="paragraph" w:customStyle="1" w:styleId="1116">
    <w:name w:val="10"/>
    <w:basedOn w:val="1"/>
    <w:next w:val="437"/>
    <w:uiPriority w:val="0"/>
    <w:pPr>
      <w:widowControl/>
      <w:autoSpaceDE/>
      <w:autoSpaceDN/>
      <w:spacing w:line="240" w:lineRule="auto"/>
      <w:ind w:firstLine="420" w:firstLineChars="0"/>
    </w:pPr>
    <w:rPr>
      <w:rFonts w:ascii="宋体" w:hAnsi="宋体" w:cs="宋体"/>
      <w:sz w:val="28"/>
      <w:szCs w:val="20"/>
    </w:rPr>
  </w:style>
  <w:style w:type="paragraph" w:customStyle="1" w:styleId="1117">
    <w:name w:val="xl50"/>
    <w:basedOn w:val="1"/>
    <w:uiPriority w:val="0"/>
    <w:pPr>
      <w:widowControl/>
      <w:pBdr>
        <w:top w:val="single" w:color="auto" w:sz="4" w:space="0"/>
        <w:left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1118">
    <w:name w:val="样式 图表标题 + 两端对齐"/>
    <w:basedOn w:val="878"/>
    <w:uiPriority w:val="0"/>
    <w:pPr>
      <w:spacing w:before="0" w:beforeLines="0" w:after="0" w:afterLines="0" w:line="260" w:lineRule="exact"/>
      <w:jc w:val="both"/>
    </w:pPr>
    <w:rPr>
      <w:rFonts w:ascii="宋体" w:hAnsi="宋体" w:eastAsia="黑体" w:cs="宋体"/>
      <w:spacing w:val="-10"/>
      <w:kern w:val="0"/>
      <w:sz w:val="24"/>
      <w:szCs w:val="24"/>
    </w:rPr>
  </w:style>
  <w:style w:type="paragraph" w:customStyle="1" w:styleId="1119">
    <w:name w:val="图表目录1"/>
    <w:next w:val="1"/>
    <w:uiPriority w:val="0"/>
    <w:pPr>
      <w:adjustRightInd w:val="0"/>
      <w:snapToGrid w:val="0"/>
      <w:spacing w:before="120" w:line="240" w:lineRule="atLeast"/>
      <w:jc w:val="center"/>
    </w:pPr>
    <w:rPr>
      <w:rFonts w:ascii="Calibri" w:hAnsi="Calibri" w:eastAsia="宋体" w:cs="Times New Roman"/>
      <w:b/>
      <w:sz w:val="24"/>
      <w:lang w:val="en-US" w:eastAsia="zh-CN" w:bidi="ar-SA"/>
    </w:rPr>
  </w:style>
  <w:style w:type="paragraph" w:customStyle="1" w:styleId="1120">
    <w:name w:val="Char Char Char Char Char Char Char Char Char Char Char Char Char Char Char Char1"/>
    <w:basedOn w:val="1"/>
    <w:uiPriority w:val="0"/>
    <w:pPr>
      <w:autoSpaceDE/>
      <w:autoSpaceDN/>
      <w:spacing w:line="240" w:lineRule="auto"/>
      <w:ind w:firstLine="0" w:firstLineChars="0"/>
      <w:jc w:val="both"/>
    </w:pPr>
    <w:rPr>
      <w:rFonts w:ascii="Calibri" w:hAnsi="Calibri"/>
      <w:kern w:val="2"/>
      <w:sz w:val="21"/>
    </w:rPr>
  </w:style>
  <w:style w:type="paragraph" w:customStyle="1" w:styleId="1121">
    <w:name w:val="xl70"/>
    <w:basedOn w:val="1"/>
    <w:uiPriority w:val="0"/>
    <w:pPr>
      <w:widowControl/>
      <w:autoSpaceDE/>
      <w:autoSpaceDN/>
      <w:spacing w:before="100" w:beforeAutospacing="1" w:after="100" w:afterAutospacing="1" w:line="240" w:lineRule="auto"/>
      <w:ind w:firstLine="0" w:firstLineChars="0"/>
      <w:jc w:val="center"/>
    </w:pPr>
    <w:rPr>
      <w:rFonts w:ascii="Calibri" w:hAnsi="Calibri"/>
    </w:rPr>
  </w:style>
  <w:style w:type="paragraph" w:customStyle="1" w:styleId="1122">
    <w:name w:val="表格001"/>
    <w:basedOn w:val="1"/>
    <w:uiPriority w:val="0"/>
    <w:pPr>
      <w:autoSpaceDE/>
      <w:autoSpaceDN/>
      <w:spacing w:line="240" w:lineRule="auto"/>
      <w:ind w:firstLine="0" w:firstLineChars="0"/>
      <w:jc w:val="center"/>
    </w:pPr>
    <w:rPr>
      <w:rFonts w:ascii="Calibri" w:hAnsi="Calibri"/>
      <w:kern w:val="2"/>
      <w:sz w:val="21"/>
      <w:szCs w:val="20"/>
    </w:rPr>
  </w:style>
  <w:style w:type="paragraph" w:customStyle="1" w:styleId="1123">
    <w:name w:val="Char Char Char Char Char Char1"/>
    <w:basedOn w:val="1"/>
    <w:uiPriority w:val="0"/>
    <w:pPr>
      <w:autoSpaceDE/>
      <w:autoSpaceDN/>
      <w:spacing w:line="240" w:lineRule="auto"/>
      <w:ind w:firstLine="0" w:firstLineChars="0"/>
      <w:jc w:val="both"/>
    </w:pPr>
    <w:rPr>
      <w:rFonts w:ascii="Calibri" w:hAnsi="Calibri"/>
      <w:kern w:val="2"/>
      <w:sz w:val="21"/>
    </w:rPr>
  </w:style>
  <w:style w:type="paragraph" w:customStyle="1" w:styleId="1124">
    <w:name w:val="Style141"/>
    <w:basedOn w:val="1"/>
    <w:qFormat/>
    <w:uiPriority w:val="0"/>
    <w:pPr>
      <w:autoSpaceDE/>
      <w:autoSpaceDN/>
      <w:spacing w:line="240" w:lineRule="auto"/>
      <w:ind w:firstLine="0" w:firstLineChars="0"/>
    </w:pPr>
    <w:rPr>
      <w:rFonts w:ascii="宋体" w:hAnsi="Calibri"/>
      <w:szCs w:val="20"/>
    </w:rPr>
  </w:style>
  <w:style w:type="paragraph" w:customStyle="1" w:styleId="1125">
    <w:name w:val="列表 21"/>
    <w:basedOn w:val="1"/>
    <w:uiPriority w:val="0"/>
    <w:pPr>
      <w:autoSpaceDE/>
      <w:autoSpaceDN/>
      <w:spacing w:line="240" w:lineRule="auto"/>
      <w:ind w:left="840" w:hanging="420" w:firstLineChars="0"/>
      <w:jc w:val="both"/>
    </w:pPr>
    <w:rPr>
      <w:rFonts w:ascii="Calibri" w:hAnsi="Calibri" w:eastAsia="仿宋_GB2312"/>
      <w:kern w:val="2"/>
      <w:sz w:val="28"/>
      <w:szCs w:val="20"/>
    </w:rPr>
  </w:style>
  <w:style w:type="paragraph" w:customStyle="1" w:styleId="1126">
    <w:name w:val="样式 标题 1 + 首行缩进:  2 字符"/>
    <w:basedOn w:val="2"/>
    <w:uiPriority w:val="0"/>
    <w:pPr>
      <w:keepNext/>
      <w:widowControl/>
      <w:numPr>
        <w:numId w:val="0"/>
      </w:numPr>
      <w:tabs>
        <w:tab w:val="left" w:pos="1152"/>
      </w:tabs>
      <w:autoSpaceDE/>
      <w:autoSpaceDN/>
      <w:spacing w:line="500" w:lineRule="exact"/>
      <w:jc w:val="left"/>
    </w:pPr>
    <w:rPr>
      <w:rFonts w:ascii="宋体" w:hAnsi="宋体" w:eastAsia="宋体" w:cs="宋体"/>
      <w:kern w:val="2"/>
      <w:sz w:val="30"/>
      <w:szCs w:val="30"/>
      <w:lang w:val="zh-CN"/>
    </w:rPr>
  </w:style>
  <w:style w:type="paragraph" w:customStyle="1" w:styleId="1127">
    <w:name w:val="正文图小四"/>
    <w:basedOn w:val="1"/>
    <w:uiPriority w:val="0"/>
    <w:pPr>
      <w:autoSpaceDE/>
      <w:autoSpaceDN/>
      <w:spacing w:line="240" w:lineRule="auto"/>
      <w:ind w:firstLine="0" w:firstLineChars="0"/>
      <w:jc w:val="center"/>
      <w:textAlignment w:val="baseline"/>
    </w:pPr>
    <w:rPr>
      <w:rFonts w:ascii="宋体" w:hAnsi="Calibri"/>
    </w:rPr>
  </w:style>
  <w:style w:type="paragraph" w:customStyle="1" w:styleId="1128">
    <w:name w:val="xl49"/>
    <w:basedOn w:val="1"/>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1129">
    <w:name w:val="表格样式"/>
    <w:basedOn w:val="1"/>
    <w:uiPriority w:val="0"/>
    <w:pPr>
      <w:autoSpaceDE/>
      <w:autoSpaceDN/>
      <w:spacing w:line="460" w:lineRule="exact"/>
      <w:ind w:firstLine="0" w:firstLineChars="0"/>
      <w:jc w:val="center"/>
    </w:pPr>
    <w:rPr>
      <w:rFonts w:ascii="宋体" w:hAnsi="Calibri"/>
      <w:kern w:val="2"/>
    </w:rPr>
  </w:style>
  <w:style w:type="paragraph" w:customStyle="1" w:styleId="1130">
    <w:name w:val="表名"/>
    <w:basedOn w:val="1"/>
    <w:qFormat/>
    <w:uiPriority w:val="0"/>
    <w:pPr>
      <w:keepNext/>
      <w:widowControl/>
      <w:overflowPunct w:val="0"/>
      <w:autoSpaceDE/>
      <w:autoSpaceDN/>
      <w:spacing w:before="240" w:line="240" w:lineRule="auto"/>
      <w:ind w:firstLine="0" w:firstLineChars="0"/>
      <w:jc w:val="center"/>
      <w:textAlignment w:val="baseline"/>
    </w:pPr>
    <w:rPr>
      <w:rFonts w:ascii="黑体" w:hAnsi="宋体" w:eastAsia="黑体" w:cs="宋体"/>
      <w:kern w:val="24"/>
      <w:szCs w:val="20"/>
    </w:rPr>
  </w:style>
  <w:style w:type="paragraph" w:customStyle="1" w:styleId="1131">
    <w:name w:val="目录2"/>
    <w:basedOn w:val="1"/>
    <w:next w:val="1"/>
    <w:uiPriority w:val="0"/>
    <w:pPr>
      <w:widowControl/>
      <w:autoSpaceDE/>
      <w:autoSpaceDN/>
      <w:spacing w:line="500" w:lineRule="exact"/>
      <w:ind w:left="700" w:leftChars="100" w:hanging="420" w:hangingChars="150"/>
    </w:pPr>
    <w:rPr>
      <w:rFonts w:ascii="宋体" w:hAnsi="宋体" w:cs="宋体"/>
      <w:sz w:val="28"/>
      <w:szCs w:val="28"/>
    </w:rPr>
  </w:style>
  <w:style w:type="paragraph" w:customStyle="1" w:styleId="1132">
    <w:name w:val="列表编号 41"/>
    <w:basedOn w:val="1"/>
    <w:uiPriority w:val="0"/>
    <w:pPr>
      <w:tabs>
        <w:tab w:val="left" w:pos="720"/>
      </w:tabs>
      <w:autoSpaceDE/>
      <w:autoSpaceDN/>
      <w:spacing w:line="240" w:lineRule="auto"/>
      <w:ind w:left="720" w:hanging="720" w:firstLineChars="0"/>
      <w:jc w:val="both"/>
    </w:pPr>
    <w:rPr>
      <w:rFonts w:ascii="Calibri" w:hAnsi="Calibri"/>
      <w:kern w:val="2"/>
      <w:sz w:val="21"/>
      <w:szCs w:val="20"/>
    </w:rPr>
  </w:style>
  <w:style w:type="paragraph" w:customStyle="1" w:styleId="1133">
    <w:name w:val="列表编号 21"/>
    <w:basedOn w:val="1"/>
    <w:uiPriority w:val="0"/>
    <w:pPr>
      <w:tabs>
        <w:tab w:val="left" w:pos="360"/>
      </w:tabs>
      <w:autoSpaceDE/>
      <w:autoSpaceDN/>
      <w:spacing w:line="240" w:lineRule="auto"/>
      <w:ind w:left="360" w:hanging="360" w:firstLineChars="0"/>
      <w:jc w:val="both"/>
    </w:pPr>
    <w:rPr>
      <w:rFonts w:ascii="Calibri" w:hAnsi="Calibri"/>
      <w:kern w:val="2"/>
      <w:sz w:val="21"/>
      <w:szCs w:val="20"/>
    </w:rPr>
  </w:style>
  <w:style w:type="paragraph" w:customStyle="1" w:styleId="1134">
    <w:name w:val="标题四"/>
    <w:next w:val="1"/>
    <w:qFormat/>
    <w:uiPriority w:val="0"/>
    <w:pPr>
      <w:spacing w:line="360" w:lineRule="auto"/>
      <w:jc w:val="both"/>
      <w:outlineLvl w:val="3"/>
    </w:pPr>
    <w:rPr>
      <w:rFonts w:ascii="宋体" w:hAnsi="Calibri" w:eastAsia="楷体_GB2312" w:cs="宋体"/>
      <w:b/>
      <w:sz w:val="24"/>
      <w:szCs w:val="24"/>
      <w:lang w:val="zh-CN" w:eastAsia="zh-CN" w:bidi="ar-SA"/>
    </w:rPr>
  </w:style>
  <w:style w:type="paragraph" w:customStyle="1" w:styleId="1135">
    <w:name w:val="样式 左侧:  0 厘米 首行缩进:  0.85 厘米"/>
    <w:basedOn w:val="1"/>
    <w:uiPriority w:val="0"/>
    <w:pPr>
      <w:widowControl/>
      <w:autoSpaceDE/>
      <w:autoSpaceDN/>
      <w:spacing w:line="240" w:lineRule="auto"/>
      <w:ind w:firstLine="480" w:firstLineChars="0"/>
    </w:pPr>
    <w:rPr>
      <w:rFonts w:ascii="宋体" w:hAnsi="宋体" w:eastAsia="仿宋_GB2312" w:cs="宋体"/>
      <w:szCs w:val="20"/>
    </w:rPr>
  </w:style>
  <w:style w:type="paragraph" w:customStyle="1" w:styleId="1136">
    <w:name w:val="纯文本31"/>
    <w:basedOn w:val="1"/>
    <w:uiPriority w:val="0"/>
    <w:pPr>
      <w:autoSpaceDE/>
      <w:autoSpaceDN/>
      <w:spacing w:line="240" w:lineRule="atLeast"/>
      <w:ind w:firstLine="0" w:firstLineChars="0"/>
      <w:jc w:val="center"/>
    </w:pPr>
    <w:rPr>
      <w:rFonts w:ascii="宋体" w:hAnsi="宋体"/>
      <w:bCs/>
      <w:iCs/>
      <w:kern w:val="2"/>
      <w:sz w:val="18"/>
      <w:szCs w:val="18"/>
    </w:rPr>
  </w:style>
  <w:style w:type="paragraph" w:customStyle="1" w:styleId="1137">
    <w:name w:val="列表接续1"/>
    <w:basedOn w:val="1"/>
    <w:uiPriority w:val="0"/>
    <w:pPr>
      <w:autoSpaceDE/>
      <w:autoSpaceDN/>
      <w:spacing w:after="120" w:line="240" w:lineRule="auto"/>
      <w:ind w:left="420" w:leftChars="200" w:firstLine="0" w:firstLineChars="0"/>
      <w:jc w:val="both"/>
    </w:pPr>
    <w:rPr>
      <w:rFonts w:ascii="Calibri" w:hAnsi="Calibri"/>
      <w:kern w:val="2"/>
      <w:sz w:val="21"/>
    </w:rPr>
  </w:style>
  <w:style w:type="paragraph" w:customStyle="1" w:styleId="1138">
    <w:name w:val="表内5中"/>
    <w:basedOn w:val="1"/>
    <w:qFormat/>
    <w:uiPriority w:val="0"/>
    <w:pPr>
      <w:autoSpaceDE/>
      <w:autoSpaceDN/>
      <w:spacing w:line="240" w:lineRule="auto"/>
      <w:ind w:firstLine="0" w:firstLineChars="0"/>
      <w:jc w:val="center"/>
    </w:pPr>
    <w:rPr>
      <w:rFonts w:ascii="宋体" w:hAnsi="Calibri"/>
      <w:kern w:val="2"/>
      <w:sz w:val="21"/>
      <w:szCs w:val="21"/>
    </w:rPr>
  </w:style>
  <w:style w:type="paragraph" w:customStyle="1" w:styleId="1139">
    <w:name w:val="样式 居中 首行缩进:  0 字符 Char"/>
    <w:basedOn w:val="1"/>
    <w:next w:val="1"/>
    <w:uiPriority w:val="0"/>
    <w:pPr>
      <w:tabs>
        <w:tab w:val="left" w:pos="9128"/>
      </w:tabs>
      <w:autoSpaceDE/>
      <w:autoSpaceDN/>
      <w:spacing w:line="500" w:lineRule="exact"/>
      <w:jc w:val="center"/>
    </w:pPr>
    <w:rPr>
      <w:rFonts w:ascii="Calibri" w:hAnsi="Calibri" w:eastAsia="仿宋_GB2312"/>
      <w:kern w:val="2"/>
      <w:szCs w:val="20"/>
    </w:rPr>
  </w:style>
  <w:style w:type="paragraph" w:customStyle="1" w:styleId="1140">
    <w:name w:val="pic-info"/>
    <w:basedOn w:val="1"/>
    <w:uiPriority w:val="0"/>
    <w:pPr>
      <w:widowControl/>
      <w:autoSpaceDE/>
      <w:autoSpaceDN/>
      <w:spacing w:before="100" w:beforeAutospacing="1" w:after="100" w:afterAutospacing="1" w:line="240" w:lineRule="auto"/>
      <w:ind w:firstLine="0" w:firstLineChars="0"/>
    </w:pPr>
    <w:rPr>
      <w:rFonts w:ascii="宋体" w:hAnsi="宋体" w:cs="宋体"/>
    </w:rPr>
  </w:style>
  <w:style w:type="paragraph" w:customStyle="1" w:styleId="1141">
    <w:name w:val="样式2 Char"/>
    <w:basedOn w:val="18"/>
    <w:uiPriority w:val="0"/>
    <w:pPr>
      <w:widowControl/>
      <w:autoSpaceDE/>
      <w:autoSpaceDN/>
      <w:ind w:firstLine="567" w:firstLineChars="0"/>
      <w:jc w:val="both"/>
      <w:textAlignment w:val="baseline"/>
    </w:pPr>
    <w:rPr>
      <w:rFonts w:ascii="Calibri" w:hAnsi="Calibri"/>
      <w:snapToGrid w:val="0"/>
      <w:lang w:val="zh-CN"/>
    </w:rPr>
  </w:style>
  <w:style w:type="paragraph" w:customStyle="1" w:styleId="1142">
    <w:name w:val="首行缩进"/>
    <w:basedOn w:val="1"/>
    <w:qFormat/>
    <w:uiPriority w:val="0"/>
    <w:pPr>
      <w:autoSpaceDE/>
      <w:autoSpaceDN/>
      <w:spacing w:line="400" w:lineRule="exact"/>
      <w:ind w:firstLine="0" w:firstLineChars="0"/>
      <w:jc w:val="center"/>
    </w:pPr>
    <w:rPr>
      <w:rFonts w:ascii="Calibri" w:hAnsi="Calibri" w:eastAsia="黑体"/>
      <w:kern w:val="2"/>
    </w:rPr>
  </w:style>
  <w:style w:type="paragraph" w:customStyle="1" w:styleId="1143">
    <w:name w:val="Char Char Char Char Char Char Char1"/>
    <w:basedOn w:val="1"/>
    <w:next w:val="1"/>
    <w:uiPriority w:val="0"/>
    <w:pPr>
      <w:autoSpaceDE/>
      <w:autoSpaceDN/>
      <w:jc w:val="both"/>
    </w:pPr>
    <w:rPr>
      <w:rFonts w:ascii="宋体" w:hAnsi="宋体" w:cs="宋体"/>
      <w:kern w:val="2"/>
    </w:rPr>
  </w:style>
  <w:style w:type="paragraph" w:customStyle="1" w:styleId="1144">
    <w:name w:val="表格文字2"/>
    <w:basedOn w:val="1"/>
    <w:uiPriority w:val="0"/>
    <w:pPr>
      <w:tabs>
        <w:tab w:val="left" w:pos="277"/>
        <w:tab w:val="left" w:pos="600"/>
        <w:tab w:val="left" w:pos="780"/>
        <w:tab w:val="left" w:pos="2517"/>
      </w:tabs>
      <w:autoSpaceDE/>
      <w:autoSpaceDN/>
      <w:spacing w:before="60" w:line="240" w:lineRule="auto"/>
      <w:ind w:firstLine="0" w:firstLineChars="0"/>
      <w:jc w:val="center"/>
      <w:textAlignment w:val="baseline"/>
    </w:pPr>
    <w:rPr>
      <w:rFonts w:ascii="Calibri" w:hAnsi="Calibri"/>
      <w:sz w:val="21"/>
      <w:szCs w:val="21"/>
    </w:rPr>
  </w:style>
  <w:style w:type="paragraph" w:customStyle="1" w:styleId="1145">
    <w:name w:val="Char Char Char Char Char Char Char Char Char1"/>
    <w:basedOn w:val="1"/>
    <w:qFormat/>
    <w:uiPriority w:val="0"/>
    <w:pPr>
      <w:autoSpaceDE/>
      <w:autoSpaceDN/>
      <w:spacing w:line="240" w:lineRule="auto"/>
      <w:ind w:firstLine="0" w:firstLineChars="0"/>
      <w:jc w:val="both"/>
    </w:pPr>
    <w:rPr>
      <w:rFonts w:ascii="Calibri" w:hAnsi="Calibri"/>
      <w:kern w:val="2"/>
      <w:sz w:val="21"/>
    </w:rPr>
  </w:style>
  <w:style w:type="paragraph" w:customStyle="1" w:styleId="1146">
    <w:name w:val="样式 标题 2 + 首行缩进:  2 字符"/>
    <w:basedOn w:val="3"/>
    <w:uiPriority w:val="0"/>
    <w:pPr>
      <w:keepNext/>
      <w:keepLines/>
      <w:widowControl/>
      <w:numPr>
        <w:ilvl w:val="0"/>
        <w:numId w:val="0"/>
      </w:numPr>
      <w:autoSpaceDE/>
      <w:autoSpaceDN/>
      <w:spacing w:before="156" w:beforeLines="50" w:after="156" w:afterLines="50"/>
      <w:jc w:val="center"/>
    </w:pPr>
    <w:rPr>
      <w:rFonts w:ascii="Times New Roman" w:eastAsia="宋体" w:cs="宋体"/>
      <w:b/>
      <w:bCs/>
      <w:kern w:val="2"/>
      <w:lang w:val="zh-CN"/>
    </w:rPr>
  </w:style>
  <w:style w:type="paragraph" w:customStyle="1" w:styleId="1147">
    <w:name w:val="xl48"/>
    <w:basedOn w:val="1"/>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rPr>
  </w:style>
  <w:style w:type="paragraph" w:customStyle="1" w:styleId="1148">
    <w:name w:val="样式 首行缩进:  2 字符 行距: 1.5 倍行距"/>
    <w:basedOn w:val="1"/>
    <w:uiPriority w:val="0"/>
    <w:pPr>
      <w:widowControl/>
      <w:autoSpaceDE/>
      <w:autoSpaceDN/>
    </w:pPr>
    <w:rPr>
      <w:rFonts w:ascii="宋体" w:hAnsi="宋体" w:cs="宋体"/>
      <w:sz w:val="28"/>
      <w:szCs w:val="20"/>
    </w:rPr>
  </w:style>
  <w:style w:type="paragraph" w:customStyle="1" w:styleId="1149">
    <w:name w:val="项目编号"/>
    <w:basedOn w:val="1"/>
    <w:next w:val="1"/>
    <w:uiPriority w:val="0"/>
    <w:pPr>
      <w:autoSpaceDE/>
      <w:autoSpaceDN/>
      <w:spacing w:before="120" w:after="120"/>
      <w:ind w:firstLine="0" w:firstLineChars="0"/>
      <w:jc w:val="both"/>
    </w:pPr>
    <w:rPr>
      <w:rFonts w:ascii="Calibri" w:hAnsi="Calibri"/>
      <w:kern w:val="2"/>
      <w:szCs w:val="20"/>
    </w:rPr>
  </w:style>
  <w:style w:type="paragraph" w:customStyle="1" w:styleId="1150">
    <w:name w:val="WPSOffice手动目录 1"/>
    <w:qFormat/>
    <w:uiPriority w:val="0"/>
    <w:rPr>
      <w:rFonts w:ascii="Calibri" w:hAnsi="Calibri" w:eastAsia="宋体" w:cs="Times New Roman"/>
      <w:lang w:val="en-US" w:eastAsia="zh-CN" w:bidi="ar-SA"/>
    </w:rPr>
  </w:style>
  <w:style w:type="paragraph" w:customStyle="1" w:styleId="1151">
    <w:name w:val="邓图后正文"/>
    <w:basedOn w:val="1"/>
    <w:qFormat/>
    <w:uiPriority w:val="0"/>
    <w:pPr>
      <w:widowControl/>
      <w:autoSpaceDE/>
      <w:autoSpaceDN/>
      <w:ind w:firstLine="0" w:firstLineChars="0"/>
      <w:jc w:val="center"/>
    </w:pPr>
    <w:rPr>
      <w:rFonts w:ascii="黑体" w:hAnsi="黑体" w:eastAsia="黑体"/>
      <w:b/>
      <w:bCs/>
      <w:kern w:val="2"/>
    </w:rPr>
  </w:style>
  <w:style w:type="paragraph" w:customStyle="1" w:styleId="1152">
    <w:name w:val="样式 正文缩进正文（首行缩进两字）正文（首行缩进两字） Char Char Char Char Char Char Char..."/>
    <w:basedOn w:val="18"/>
    <w:uiPriority w:val="0"/>
    <w:pPr>
      <w:tabs>
        <w:tab w:val="left" w:pos="3360"/>
      </w:tabs>
      <w:autoSpaceDE/>
      <w:autoSpaceDN/>
      <w:ind w:firstLine="480"/>
      <w:jc w:val="both"/>
      <w:textAlignment w:val="baseline"/>
    </w:pPr>
    <w:rPr>
      <w:rFonts w:ascii="楷体_GB2312" w:hAnsi="Calibri" w:eastAsia="楷体_GB2312"/>
      <w:snapToGrid w:val="0"/>
      <w:lang w:val="zh-CN"/>
    </w:rPr>
  </w:style>
  <w:style w:type="paragraph" w:customStyle="1" w:styleId="1153">
    <w:name w:val="样式 图表 + 首行缩进:  2 字符1"/>
    <w:basedOn w:val="1"/>
    <w:uiPriority w:val="0"/>
    <w:pPr>
      <w:autoSpaceDE/>
      <w:autoSpaceDN/>
      <w:spacing w:before="62" w:beforeLines="20" w:after="62" w:afterLines="20" w:line="240" w:lineRule="auto"/>
      <w:ind w:left="-102" w:leftChars="-50" w:right="-105" w:rightChars="-50" w:hanging="3" w:firstLineChars="0"/>
      <w:jc w:val="center"/>
    </w:pPr>
    <w:rPr>
      <w:rFonts w:ascii="Calibri" w:hAnsi="Calibri" w:eastAsia="仿宋_GB2312"/>
      <w:color w:val="000000"/>
      <w:kern w:val="2"/>
      <w:sz w:val="21"/>
    </w:rPr>
  </w:style>
  <w:style w:type="paragraph" w:customStyle="1" w:styleId="1154">
    <w:name w:val="样式 样式 样式 首行缩进:  2 字符 + 首行缩进:  2 字符 + 首行缩进:  2 字符"/>
    <w:basedOn w:val="1"/>
    <w:qFormat/>
    <w:uiPriority w:val="0"/>
    <w:pPr>
      <w:autoSpaceDE/>
      <w:autoSpaceDN/>
      <w:spacing w:line="240" w:lineRule="auto"/>
      <w:ind w:firstLine="567"/>
      <w:jc w:val="both"/>
    </w:pPr>
    <w:rPr>
      <w:rFonts w:ascii="宋体" w:hAnsi="Calibri"/>
      <w:kern w:val="2"/>
      <w:sz w:val="27"/>
      <w:szCs w:val="20"/>
    </w:rPr>
  </w:style>
  <w:style w:type="paragraph" w:customStyle="1" w:styleId="1155">
    <w:name w:val="表居中（中文）"/>
    <w:basedOn w:val="1"/>
    <w:uiPriority w:val="0"/>
    <w:pPr>
      <w:widowControl/>
      <w:autoSpaceDE/>
      <w:autoSpaceDN/>
      <w:spacing w:line="380" w:lineRule="atLeast"/>
      <w:ind w:firstLine="0" w:firstLineChars="0"/>
      <w:jc w:val="center"/>
      <w:textAlignment w:val="baseline"/>
    </w:pPr>
    <w:rPr>
      <w:rFonts w:ascii="宋体" w:hAnsi="宋体" w:eastAsia="楷体_GB2312" w:cs="宋体"/>
      <w:szCs w:val="20"/>
    </w:rPr>
  </w:style>
  <w:style w:type="paragraph" w:customStyle="1" w:styleId="1156">
    <w:name w:val="正文文本缩进 321"/>
    <w:basedOn w:val="1"/>
    <w:uiPriority w:val="0"/>
    <w:pPr>
      <w:widowControl/>
      <w:tabs>
        <w:tab w:val="left" w:pos="0"/>
      </w:tabs>
      <w:autoSpaceDE/>
      <w:autoSpaceDN/>
      <w:spacing w:line="396" w:lineRule="atLeast"/>
      <w:ind w:firstLine="560" w:firstLineChars="0"/>
      <w:textAlignment w:val="baseline"/>
    </w:pPr>
    <w:rPr>
      <w:rFonts w:ascii="宋体" w:hAnsi="宋体" w:cs="宋体"/>
      <w:szCs w:val="20"/>
    </w:rPr>
  </w:style>
  <w:style w:type="paragraph" w:customStyle="1" w:styleId="1157">
    <w:name w:val="封面4"/>
    <w:basedOn w:val="1158"/>
    <w:uiPriority w:val="0"/>
    <w:pPr>
      <w:snapToGrid w:val="0"/>
      <w:spacing w:line="240" w:lineRule="auto"/>
      <w:jc w:val="center"/>
    </w:pPr>
    <w:rPr>
      <w:sz w:val="36"/>
    </w:rPr>
  </w:style>
  <w:style w:type="paragraph" w:customStyle="1" w:styleId="1158">
    <w:name w:val="封面1"/>
    <w:basedOn w:val="1"/>
    <w:uiPriority w:val="0"/>
    <w:pPr>
      <w:autoSpaceDE/>
      <w:autoSpaceDN/>
      <w:spacing w:line="300" w:lineRule="auto"/>
      <w:ind w:firstLine="0" w:firstLineChars="0"/>
    </w:pPr>
    <w:rPr>
      <w:rFonts w:ascii="Calibri" w:hAnsi="Calibri"/>
      <w:b/>
      <w:bCs/>
      <w:color w:val="000000"/>
      <w:kern w:val="2"/>
      <w:sz w:val="32"/>
      <w:bdr w:val="single" w:color="auto" w:sz="4" w:space="0"/>
    </w:rPr>
  </w:style>
  <w:style w:type="paragraph" w:customStyle="1" w:styleId="1159">
    <w:name w:val="称呼1"/>
    <w:basedOn w:val="1"/>
    <w:next w:val="1"/>
    <w:uiPriority w:val="0"/>
    <w:pPr>
      <w:autoSpaceDE/>
      <w:autoSpaceDN/>
      <w:spacing w:line="240" w:lineRule="auto"/>
      <w:ind w:firstLine="0" w:firstLineChars="0"/>
      <w:jc w:val="both"/>
    </w:pPr>
    <w:rPr>
      <w:rFonts w:ascii="Calibri" w:hAnsi="Calibri"/>
      <w:kern w:val="2"/>
      <w:sz w:val="21"/>
    </w:rPr>
  </w:style>
  <w:style w:type="paragraph" w:customStyle="1" w:styleId="1160">
    <w:name w:val="Char Char Char Char Char Char Char Char Char Char Char Char Char Char Char Char Char Char Char Char Char Char Char Char Char Char Char Char Char Char Char Char Char Char Char Char Char Char Char2"/>
    <w:basedOn w:val="1"/>
    <w:uiPriority w:val="0"/>
    <w:pPr>
      <w:autoSpaceDE/>
      <w:autoSpaceDN/>
      <w:spacing w:line="240" w:lineRule="auto"/>
      <w:ind w:firstLine="0" w:firstLineChars="0"/>
      <w:jc w:val="both"/>
    </w:pPr>
    <w:rPr>
      <w:rFonts w:ascii="Calibri" w:hAnsi="Calibri"/>
      <w:kern w:val="2"/>
      <w:sz w:val="21"/>
    </w:rPr>
  </w:style>
  <w:style w:type="paragraph" w:customStyle="1" w:styleId="1161">
    <w:name w:val="font0"/>
    <w:basedOn w:val="1"/>
    <w:qFormat/>
    <w:uiPriority w:val="0"/>
    <w:pPr>
      <w:widowControl/>
      <w:autoSpaceDE/>
      <w:autoSpaceDN/>
      <w:spacing w:before="100" w:beforeAutospacing="1" w:after="100" w:afterAutospacing="1" w:line="240" w:lineRule="auto"/>
      <w:ind w:firstLine="0" w:firstLineChars="0"/>
    </w:pPr>
    <w:rPr>
      <w:rFonts w:hint="eastAsia" w:ascii="宋体" w:hAnsi="宋体" w:cs="Arial Unicode MS"/>
    </w:rPr>
  </w:style>
  <w:style w:type="paragraph" w:customStyle="1" w:styleId="1162">
    <w:name w:val="样式55"/>
    <w:basedOn w:val="1"/>
    <w:uiPriority w:val="0"/>
    <w:pPr>
      <w:widowControl/>
      <w:autoSpaceDE/>
      <w:autoSpaceDN/>
      <w:spacing w:line="240" w:lineRule="auto"/>
      <w:ind w:firstLine="562"/>
    </w:pPr>
    <w:rPr>
      <w:rFonts w:ascii="宋体" w:hAnsi="宋体" w:cs="宋体"/>
      <w:b/>
      <w:sz w:val="28"/>
      <w:szCs w:val="20"/>
    </w:rPr>
  </w:style>
  <w:style w:type="paragraph" w:customStyle="1" w:styleId="1163">
    <w:name w:val="公式样式1"/>
    <w:basedOn w:val="1"/>
    <w:uiPriority w:val="0"/>
    <w:pPr>
      <w:autoSpaceDE/>
      <w:autoSpaceDN/>
      <w:spacing w:line="240" w:lineRule="auto"/>
      <w:ind w:firstLine="0" w:firstLineChars="0"/>
      <w:jc w:val="center"/>
    </w:pPr>
    <w:rPr>
      <w:rFonts w:ascii="宋体" w:hAnsi="宋体"/>
      <w:color w:val="FF0000"/>
      <w:kern w:val="2"/>
      <w:sz w:val="21"/>
    </w:rPr>
  </w:style>
  <w:style w:type="paragraph" w:customStyle="1" w:styleId="1164">
    <w:name w:val="Char Char Char Char Char Char Char Char Char Char Char Char Char"/>
    <w:basedOn w:val="1"/>
    <w:uiPriority w:val="0"/>
    <w:pPr>
      <w:spacing w:before="50" w:after="50"/>
      <w:ind w:firstLine="560"/>
      <w:jc w:val="both"/>
    </w:pPr>
    <w:rPr>
      <w:rFonts w:ascii="Calibri" w:hAnsi="Calibri" w:eastAsia="仿宋_GB2312"/>
      <w:color w:val="000000"/>
      <w:kern w:val="2"/>
    </w:rPr>
  </w:style>
  <w:style w:type="paragraph" w:customStyle="1" w:styleId="1165">
    <w:name w:val="正文 小四 行距: 1.5 倍行距"/>
    <w:basedOn w:val="1"/>
    <w:qFormat/>
    <w:uiPriority w:val="0"/>
    <w:pPr>
      <w:autoSpaceDE/>
      <w:autoSpaceDN/>
      <w:ind w:firstLine="480"/>
      <w:jc w:val="both"/>
    </w:pPr>
    <w:rPr>
      <w:rFonts w:ascii="Calibri" w:hAnsi="Calibri" w:cs="宋体"/>
      <w:kern w:val="2"/>
      <w:szCs w:val="20"/>
    </w:rPr>
  </w:style>
  <w:style w:type="paragraph" w:customStyle="1" w:styleId="1166">
    <w:name w:val="Style50"/>
    <w:basedOn w:val="1"/>
    <w:uiPriority w:val="0"/>
    <w:pPr>
      <w:autoSpaceDE/>
      <w:autoSpaceDN/>
      <w:spacing w:line="240" w:lineRule="auto"/>
      <w:ind w:firstLine="0" w:firstLineChars="0"/>
    </w:pPr>
    <w:rPr>
      <w:rFonts w:ascii="宋体" w:hAnsi="Calibri"/>
      <w:szCs w:val="20"/>
    </w:rPr>
  </w:style>
  <w:style w:type="paragraph" w:customStyle="1" w:styleId="1167">
    <w:name w:val="Char Char Char Char Char Char Char Char Char Char Char Char Char Char Char Char Char Char Char Char Char Char Char Char Char Char1"/>
    <w:basedOn w:val="1"/>
    <w:uiPriority w:val="0"/>
    <w:pPr>
      <w:autoSpaceDE/>
      <w:autoSpaceDN/>
      <w:spacing w:line="240" w:lineRule="auto"/>
      <w:ind w:firstLine="0" w:firstLineChars="0"/>
      <w:jc w:val="both"/>
    </w:pPr>
    <w:rPr>
      <w:rFonts w:ascii="Calibri" w:hAnsi="Calibri"/>
      <w:kern w:val="2"/>
      <w:sz w:val="21"/>
    </w:rPr>
  </w:style>
  <w:style w:type="paragraph" w:customStyle="1" w:styleId="1168">
    <w:name w:val="封面标题"/>
    <w:basedOn w:val="1"/>
    <w:next w:val="1004"/>
    <w:uiPriority w:val="0"/>
    <w:pPr>
      <w:widowControl/>
      <w:tabs>
        <w:tab w:val="left" w:pos="1134"/>
        <w:tab w:val="right" w:pos="7371"/>
      </w:tabs>
      <w:overflowPunct w:val="0"/>
      <w:autoSpaceDE/>
      <w:autoSpaceDN/>
      <w:ind w:firstLine="0" w:firstLineChars="0"/>
      <w:jc w:val="center"/>
      <w:textAlignment w:val="baseline"/>
    </w:pPr>
    <w:rPr>
      <w:rFonts w:ascii="Arial" w:hAnsi="宋体" w:eastAsia="黑体" w:cs="宋体"/>
      <w:color w:val="FF0000"/>
      <w:spacing w:val="20"/>
      <w:kern w:val="52"/>
      <w:sz w:val="52"/>
      <w:szCs w:val="20"/>
    </w:rPr>
  </w:style>
  <w:style w:type="paragraph" w:customStyle="1" w:styleId="1169">
    <w:name w:val="（1）"/>
    <w:basedOn w:val="808"/>
    <w:uiPriority w:val="0"/>
  </w:style>
  <w:style w:type="paragraph" w:customStyle="1" w:styleId="1170">
    <w:name w:val="标题样式2"/>
    <w:basedOn w:val="3"/>
    <w:uiPriority w:val="0"/>
    <w:pPr>
      <w:widowControl/>
      <w:numPr>
        <w:ilvl w:val="0"/>
        <w:numId w:val="0"/>
      </w:numPr>
      <w:tabs>
        <w:tab w:val="left" w:pos="4142"/>
        <w:tab w:val="left" w:pos="6833"/>
        <w:tab w:val="left" w:pos="9030"/>
        <w:tab w:val="left" w:pos="9287"/>
      </w:tabs>
      <w:overflowPunct w:val="0"/>
      <w:topLinePunct/>
      <w:spacing w:before="15" w:beforeLines="5" w:after="15" w:afterLines="5" w:line="360" w:lineRule="atLeast"/>
      <w:jc w:val="center"/>
      <w:textAlignment w:val="baseline"/>
      <w:outlineLvl w:val="9"/>
    </w:pPr>
    <w:rPr>
      <w:rFonts w:ascii="Times New Roman" w:eastAsia="宋体" w:cs="宋体"/>
      <w:bCs/>
      <w:snapToGrid w:val="0"/>
      <w:sz w:val="21"/>
      <w:szCs w:val="20"/>
      <w:lang w:val="zh-CN"/>
    </w:rPr>
  </w:style>
  <w:style w:type="paragraph" w:customStyle="1" w:styleId="1171">
    <w:name w:val="环评报告书"/>
    <w:basedOn w:val="5"/>
    <w:uiPriority w:val="0"/>
    <w:pPr>
      <w:keepNext/>
      <w:keepLines/>
      <w:numPr>
        <w:ilvl w:val="0"/>
        <w:numId w:val="0"/>
      </w:numPr>
      <w:tabs>
        <w:tab w:val="left" w:pos="840"/>
        <w:tab w:val="left" w:pos="1080"/>
      </w:tabs>
      <w:autoSpaceDE/>
      <w:autoSpaceDN/>
      <w:ind w:left="561" w:hanging="561"/>
      <w:jc w:val="both"/>
      <w:textAlignment w:val="baseline"/>
      <w:outlineLvl w:val="9"/>
    </w:pPr>
    <w:rPr>
      <w:rFonts w:ascii="Times New Roman" w:hAnsi="Times New Roman" w:eastAsia="长城楷体" w:cs="宋体"/>
      <w:sz w:val="28"/>
      <w:szCs w:val="20"/>
    </w:rPr>
  </w:style>
  <w:style w:type="paragraph" w:customStyle="1" w:styleId="1172">
    <w:name w:val="悬挂式正文"/>
    <w:basedOn w:val="1"/>
    <w:uiPriority w:val="0"/>
    <w:pPr>
      <w:widowControl/>
      <w:tabs>
        <w:tab w:val="left" w:pos="1134"/>
        <w:tab w:val="right" w:pos="7371"/>
      </w:tabs>
      <w:overflowPunct w:val="0"/>
      <w:autoSpaceDE/>
      <w:autoSpaceDN/>
      <w:ind w:left="1701" w:hanging="1134" w:firstLineChars="0"/>
      <w:textAlignment w:val="baseline"/>
    </w:pPr>
    <w:rPr>
      <w:rFonts w:ascii="宋体" w:hAnsi="宋体" w:cs="宋体"/>
      <w:sz w:val="28"/>
      <w:szCs w:val="20"/>
    </w:rPr>
  </w:style>
  <w:style w:type="paragraph" w:customStyle="1" w:styleId="1173">
    <w:name w:val="样式 表格 + 居中"/>
    <w:basedOn w:val="1"/>
    <w:uiPriority w:val="0"/>
    <w:pPr>
      <w:widowControl/>
      <w:kinsoku w:val="0"/>
      <w:overflowPunct w:val="0"/>
      <w:autoSpaceDE/>
      <w:autoSpaceDN/>
      <w:spacing w:line="240" w:lineRule="auto"/>
      <w:ind w:firstLine="0" w:firstLineChars="0"/>
      <w:jc w:val="center"/>
    </w:pPr>
    <w:rPr>
      <w:rFonts w:ascii="宋体" w:hAnsi="宋体" w:cs="宋体"/>
      <w:snapToGrid w:val="0"/>
      <w:color w:val="000000"/>
    </w:rPr>
  </w:style>
  <w:style w:type="paragraph" w:customStyle="1" w:styleId="1174">
    <w:name w:val="1名"/>
    <w:basedOn w:val="1"/>
    <w:uiPriority w:val="0"/>
    <w:pPr>
      <w:autoSpaceDE/>
      <w:autoSpaceDN/>
      <w:spacing w:before="120" w:line="240" w:lineRule="auto"/>
      <w:ind w:firstLine="0" w:firstLineChars="0"/>
      <w:jc w:val="both"/>
    </w:pPr>
    <w:rPr>
      <w:rFonts w:ascii="宋体" w:hAnsi="Calibri"/>
      <w:kern w:val="2"/>
      <w:sz w:val="28"/>
      <w:szCs w:val="20"/>
    </w:rPr>
  </w:style>
  <w:style w:type="paragraph" w:customStyle="1" w:styleId="1175">
    <w:name w:val="正文！"/>
    <w:basedOn w:val="1"/>
    <w:qFormat/>
    <w:uiPriority w:val="0"/>
    <w:pPr>
      <w:autoSpaceDE/>
      <w:autoSpaceDN/>
      <w:spacing w:line="500" w:lineRule="exact"/>
      <w:ind w:firstLine="482" w:firstLineChars="0"/>
      <w:jc w:val="both"/>
    </w:pPr>
    <w:rPr>
      <w:rFonts w:ascii="楷体_GB2312" w:hAnsi="Calibri" w:eastAsia="楷体_GB2312" w:cs="宋体"/>
      <w:kern w:val="2"/>
      <w:szCs w:val="20"/>
    </w:rPr>
  </w:style>
  <w:style w:type="paragraph" w:customStyle="1" w:styleId="1176">
    <w:name w:val="Char Char Char Char Char Char Char Char Char Char Char Char12"/>
    <w:basedOn w:val="1"/>
    <w:next w:val="1"/>
    <w:uiPriority w:val="0"/>
    <w:pPr>
      <w:autoSpaceDE/>
      <w:autoSpaceDN/>
      <w:jc w:val="both"/>
    </w:pPr>
    <w:rPr>
      <w:rFonts w:ascii="宋体" w:hAnsi="宋体" w:cs="宋体"/>
      <w:kern w:val="2"/>
    </w:rPr>
  </w:style>
  <w:style w:type="paragraph" w:customStyle="1" w:styleId="1177">
    <w:name w:val="8"/>
    <w:basedOn w:val="1"/>
    <w:next w:val="983"/>
    <w:uiPriority w:val="0"/>
    <w:pPr>
      <w:widowControl/>
      <w:autoSpaceDE/>
      <w:autoSpaceDN/>
      <w:spacing w:line="240" w:lineRule="auto"/>
      <w:ind w:firstLine="0" w:firstLineChars="0"/>
    </w:pPr>
    <w:rPr>
      <w:rFonts w:ascii="宋体" w:hAnsi="Courier New" w:cs="Courier New"/>
      <w:szCs w:val="21"/>
    </w:rPr>
  </w:style>
  <w:style w:type="paragraph" w:customStyle="1" w:styleId="1178">
    <w:name w:val="标题 1 + 段前: 0.5 行 段后: 0.5 行1"/>
    <w:basedOn w:val="1"/>
    <w:qFormat/>
    <w:uiPriority w:val="0"/>
    <w:pPr>
      <w:widowControl/>
      <w:autoSpaceDE/>
      <w:autoSpaceDN/>
      <w:spacing w:before="240" w:after="100" w:afterAutospacing="1" w:line="240" w:lineRule="auto"/>
      <w:ind w:firstLine="0" w:firstLineChars="0"/>
      <w:jc w:val="center"/>
      <w:outlineLvl w:val="0"/>
    </w:pPr>
    <w:rPr>
      <w:rFonts w:ascii="黑体" w:hAnsi="宋体" w:eastAsia="黑体" w:cs="宋体"/>
      <w:kern w:val="44"/>
      <w:sz w:val="36"/>
      <w:szCs w:val="36"/>
    </w:rPr>
  </w:style>
  <w:style w:type="paragraph" w:customStyle="1" w:styleId="1179">
    <w:name w:val="标准"/>
    <w:basedOn w:val="1"/>
    <w:uiPriority w:val="0"/>
    <w:pPr>
      <w:autoSpaceDE/>
      <w:autoSpaceDN/>
      <w:ind w:firstLine="0" w:firstLineChars="0"/>
      <w:jc w:val="both"/>
      <w:textAlignment w:val="baseline"/>
    </w:pPr>
    <w:rPr>
      <w:rFonts w:ascii="宋体" w:hAnsi="Calibri"/>
      <w:sz w:val="28"/>
      <w:szCs w:val="20"/>
    </w:rPr>
  </w:style>
  <w:style w:type="paragraph" w:customStyle="1" w:styleId="1180">
    <w:name w:val="标题后正文"/>
    <w:basedOn w:val="1"/>
    <w:uiPriority w:val="0"/>
    <w:pPr>
      <w:autoSpaceDE/>
      <w:autoSpaceDN/>
      <w:jc w:val="both"/>
      <w:textAlignment w:val="baseline"/>
    </w:pPr>
    <w:rPr>
      <w:rFonts w:ascii="Arial" w:hAnsi="Arial"/>
      <w:snapToGrid w:val="0"/>
      <w:kern w:val="28"/>
      <w:szCs w:val="20"/>
    </w:rPr>
  </w:style>
  <w:style w:type="paragraph" w:customStyle="1" w:styleId="1181">
    <w:name w:val="样式 样式 标题 2 + 首行缩进： 0磅 + + 段前: 0.1 行 段后: 0.1 行"/>
    <w:basedOn w:val="1"/>
    <w:uiPriority w:val="0"/>
    <w:pPr>
      <w:keepNext/>
      <w:keepLines/>
      <w:widowControl/>
      <w:tabs>
        <w:tab w:val="left" w:pos="8140"/>
      </w:tabs>
      <w:autoSpaceDE/>
      <w:autoSpaceDN/>
      <w:spacing w:before="31" w:beforeLines="10" w:after="31" w:afterLines="10" w:line="560" w:lineRule="exact"/>
      <w:ind w:firstLine="0" w:firstLineChars="0"/>
      <w:outlineLvl w:val="1"/>
    </w:pPr>
    <w:rPr>
      <w:rFonts w:ascii="宋体" w:hAnsi="宋体" w:eastAsia="黑体" w:cs="宋体"/>
      <w:color w:val="000000"/>
      <w:sz w:val="30"/>
      <w:szCs w:val="20"/>
    </w:rPr>
  </w:style>
  <w:style w:type="paragraph" w:customStyle="1" w:styleId="1182">
    <w:name w:val="日期31"/>
    <w:basedOn w:val="1"/>
    <w:next w:val="1"/>
    <w:uiPriority w:val="0"/>
    <w:pPr>
      <w:overflowPunct w:val="0"/>
      <w:autoSpaceDE/>
      <w:autoSpaceDN/>
      <w:ind w:firstLine="560" w:firstLineChars="0"/>
    </w:pPr>
    <w:rPr>
      <w:rFonts w:ascii="仿宋_GB2312" w:hAnsi="Calibri"/>
      <w:kern w:val="2"/>
      <w:sz w:val="28"/>
      <w:szCs w:val="20"/>
    </w:rPr>
  </w:style>
  <w:style w:type="paragraph" w:customStyle="1" w:styleId="1183">
    <w:name w:val="表格小"/>
    <w:basedOn w:val="1"/>
    <w:qFormat/>
    <w:uiPriority w:val="0"/>
    <w:pPr>
      <w:autoSpaceDE/>
      <w:autoSpaceDN/>
      <w:spacing w:line="240" w:lineRule="auto"/>
      <w:ind w:firstLine="0" w:firstLineChars="0"/>
      <w:jc w:val="center"/>
    </w:pPr>
    <w:rPr>
      <w:rFonts w:ascii="Calibri" w:hAnsi="Calibri"/>
      <w:kern w:val="2"/>
      <w:sz w:val="18"/>
    </w:rPr>
  </w:style>
  <w:style w:type="paragraph" w:customStyle="1" w:styleId="1184">
    <w:name w:val="标题1-ls"/>
    <w:basedOn w:val="72"/>
    <w:uiPriority w:val="0"/>
    <w:pPr>
      <w:spacing w:after="312" w:afterLines="100" w:line="360" w:lineRule="auto"/>
    </w:pPr>
    <w:rPr>
      <w:rFonts w:ascii="Times New Roman" w:hAnsi="Times New Roman" w:eastAsia="黑体"/>
      <w:bCs w:val="0"/>
      <w:sz w:val="36"/>
    </w:rPr>
  </w:style>
  <w:style w:type="paragraph" w:customStyle="1" w:styleId="1185">
    <w:name w:val="Style116"/>
    <w:basedOn w:val="1"/>
    <w:qFormat/>
    <w:uiPriority w:val="0"/>
    <w:pPr>
      <w:autoSpaceDE/>
      <w:autoSpaceDN/>
      <w:spacing w:line="240" w:lineRule="auto"/>
      <w:ind w:firstLine="0" w:firstLineChars="0"/>
    </w:pPr>
    <w:rPr>
      <w:rFonts w:ascii="宋体" w:hAnsi="Calibri"/>
      <w:szCs w:val="20"/>
    </w:rPr>
  </w:style>
  <w:style w:type="paragraph" w:customStyle="1" w:styleId="1186">
    <w:name w:val="Char Char Char Char Char Char Char Char Char Char Char Char Char Char Char Char Char Char Char Char Char Char Char Char"/>
    <w:basedOn w:val="1"/>
    <w:uiPriority w:val="0"/>
    <w:pPr>
      <w:widowControl/>
      <w:autoSpaceDE/>
      <w:autoSpaceDN/>
      <w:ind w:firstLine="0" w:firstLineChars="0"/>
    </w:pPr>
    <w:rPr>
      <w:rFonts w:ascii="Calibri" w:hAnsi="Calibri"/>
      <w:kern w:val="2"/>
      <w:sz w:val="21"/>
      <w:szCs w:val="21"/>
    </w:rPr>
  </w:style>
  <w:style w:type="paragraph" w:customStyle="1" w:styleId="1187">
    <w:name w:val="Char Char Char2 Char Char Char Char Char Char Char Char Char Char2"/>
    <w:basedOn w:val="1"/>
    <w:uiPriority w:val="0"/>
    <w:pPr>
      <w:autoSpaceDE/>
      <w:autoSpaceDN/>
      <w:spacing w:line="240" w:lineRule="auto"/>
      <w:ind w:firstLine="0" w:firstLineChars="0"/>
      <w:jc w:val="both"/>
    </w:pPr>
    <w:rPr>
      <w:rFonts w:ascii="Calibri" w:hAnsi="Calibri"/>
      <w:kern w:val="2"/>
      <w:sz w:val="21"/>
    </w:rPr>
  </w:style>
  <w:style w:type="paragraph" w:customStyle="1" w:styleId="1188">
    <w:name w:val="正文文本 31"/>
    <w:basedOn w:val="1"/>
    <w:uiPriority w:val="0"/>
    <w:pPr>
      <w:autoSpaceDE/>
      <w:autoSpaceDN/>
      <w:ind w:firstLine="0" w:firstLineChars="0"/>
      <w:jc w:val="both"/>
    </w:pPr>
    <w:rPr>
      <w:rFonts w:ascii="仿宋_GB2312" w:hAnsi="宋体" w:eastAsia="仿宋_GB2312"/>
      <w:kern w:val="2"/>
      <w:szCs w:val="20"/>
    </w:rPr>
  </w:style>
  <w:style w:type="paragraph" w:customStyle="1" w:styleId="1189">
    <w:name w:val="正文样式一"/>
    <w:basedOn w:val="1"/>
    <w:uiPriority w:val="0"/>
    <w:pPr>
      <w:widowControl/>
      <w:autoSpaceDE/>
      <w:autoSpaceDN/>
      <w:spacing w:line="400" w:lineRule="atLeast"/>
      <w:ind w:firstLine="510" w:firstLineChars="0"/>
      <w:textAlignment w:val="baseline"/>
    </w:pPr>
    <w:rPr>
      <w:rFonts w:ascii="宋体" w:hAnsi="宋体" w:cs="宋体"/>
      <w:szCs w:val="20"/>
    </w:rPr>
  </w:style>
  <w:style w:type="paragraph" w:customStyle="1" w:styleId="1190">
    <w:name w:val="正文小四缩"/>
    <w:basedOn w:val="1"/>
    <w:uiPriority w:val="0"/>
    <w:pPr>
      <w:widowControl/>
      <w:autoSpaceDE/>
      <w:autoSpaceDN/>
      <w:spacing w:before="120" w:line="460" w:lineRule="atLeast"/>
      <w:ind w:firstLine="510" w:firstLineChars="0"/>
      <w:textAlignment w:val="baseline"/>
    </w:pPr>
    <w:rPr>
      <w:rFonts w:ascii="仿宋_GB2312" w:hAnsi="宋体" w:eastAsia="仿宋_GB2312" w:cs="宋体"/>
      <w:bCs/>
      <w:sz w:val="28"/>
      <w:szCs w:val="20"/>
    </w:rPr>
  </w:style>
  <w:style w:type="paragraph" w:customStyle="1" w:styleId="1191">
    <w:name w:val="日期4"/>
    <w:basedOn w:val="1"/>
    <w:next w:val="1"/>
    <w:uiPriority w:val="0"/>
    <w:pPr>
      <w:overflowPunct w:val="0"/>
      <w:autoSpaceDE/>
      <w:autoSpaceDN/>
      <w:ind w:firstLine="560" w:firstLineChars="0"/>
    </w:pPr>
    <w:rPr>
      <w:rFonts w:ascii="仿宋_GB2312" w:hAnsi="Calibri"/>
      <w:kern w:val="2"/>
      <w:sz w:val="28"/>
      <w:szCs w:val="20"/>
    </w:rPr>
  </w:style>
  <w:style w:type="paragraph" w:customStyle="1" w:styleId="1192">
    <w:name w:val="xl3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宋体" w:hAnsi="Calibri" w:eastAsia="Arial Unicode MS"/>
      <w:sz w:val="20"/>
      <w:szCs w:val="20"/>
    </w:rPr>
  </w:style>
  <w:style w:type="paragraph" w:customStyle="1" w:styleId="1193">
    <w:name w:val="样式(a)"/>
    <w:basedOn w:val="1"/>
    <w:uiPriority w:val="0"/>
    <w:pPr>
      <w:widowControl/>
      <w:autoSpaceDE/>
      <w:autoSpaceDN/>
      <w:spacing w:line="240" w:lineRule="auto"/>
      <w:ind w:firstLine="560"/>
    </w:pPr>
    <w:rPr>
      <w:rFonts w:ascii="宋体" w:hAnsi="宋体" w:cs="宋体"/>
      <w:sz w:val="28"/>
      <w:szCs w:val="20"/>
    </w:rPr>
  </w:style>
  <w:style w:type="paragraph" w:customStyle="1" w:styleId="1194">
    <w:name w:val="正文样式1"/>
    <w:basedOn w:val="1"/>
    <w:uiPriority w:val="0"/>
    <w:pPr>
      <w:widowControl/>
      <w:autoSpaceDE/>
      <w:autoSpaceDN/>
      <w:spacing w:line="480" w:lineRule="atLeast"/>
      <w:ind w:firstLine="567" w:firstLineChars="0"/>
      <w:textAlignment w:val="baseline"/>
    </w:pPr>
    <w:rPr>
      <w:rFonts w:ascii="宋体" w:hAnsi="宋体" w:cs="宋体"/>
      <w:sz w:val="28"/>
      <w:szCs w:val="20"/>
    </w:rPr>
  </w:style>
  <w:style w:type="paragraph" w:customStyle="1" w:styleId="1195">
    <w:name w:val="小四表文左齐"/>
    <w:basedOn w:val="1"/>
    <w:uiPriority w:val="0"/>
    <w:pPr>
      <w:autoSpaceDE/>
      <w:autoSpaceDN/>
      <w:spacing w:line="240" w:lineRule="auto"/>
      <w:ind w:firstLine="0" w:firstLineChars="0"/>
      <w:jc w:val="center"/>
    </w:pPr>
    <w:rPr>
      <w:rFonts w:ascii="宋体" w:hAnsi="宋体"/>
      <w:kern w:val="2"/>
      <w:sz w:val="21"/>
    </w:rPr>
  </w:style>
  <w:style w:type="paragraph" w:customStyle="1" w:styleId="1196">
    <w:name w:val="Char Char Char1 Char Char Char Char Char Char Char Char Char Char Char Char Char Char Char Char Char Char Char2"/>
    <w:basedOn w:val="1"/>
    <w:uiPriority w:val="0"/>
    <w:pPr>
      <w:autoSpaceDE/>
      <w:autoSpaceDN/>
      <w:spacing w:line="240" w:lineRule="auto"/>
      <w:ind w:firstLine="0" w:firstLineChars="0"/>
      <w:jc w:val="both"/>
    </w:pPr>
    <w:rPr>
      <w:rFonts w:ascii="Calibri" w:hAnsi="Calibri"/>
      <w:kern w:val="2"/>
      <w:sz w:val="21"/>
    </w:rPr>
  </w:style>
  <w:style w:type="paragraph" w:customStyle="1" w:styleId="1197">
    <w:name w:val="标题符"/>
    <w:basedOn w:val="1"/>
    <w:uiPriority w:val="0"/>
    <w:pPr>
      <w:tabs>
        <w:tab w:val="left" w:pos="360"/>
      </w:tabs>
      <w:overflowPunct w:val="0"/>
      <w:autoSpaceDE/>
      <w:autoSpaceDN/>
      <w:spacing w:line="480" w:lineRule="exact"/>
      <w:ind w:firstLine="560"/>
      <w:jc w:val="both"/>
    </w:pPr>
    <w:rPr>
      <w:rFonts w:ascii="Arial" w:hAnsi="Arial" w:eastAsia="仿宋_GB2312"/>
      <w:kern w:val="2"/>
      <w:sz w:val="28"/>
      <w:szCs w:val="20"/>
    </w:rPr>
  </w:style>
  <w:style w:type="paragraph" w:customStyle="1" w:styleId="1198">
    <w:name w:val="表中"/>
    <w:uiPriority w:val="0"/>
    <w:pPr>
      <w:widowControl w:val="0"/>
      <w:ind w:left="-84" w:leftChars="-40"/>
      <w:jc w:val="center"/>
    </w:pPr>
    <w:rPr>
      <w:rFonts w:ascii="Calibri" w:hAnsi="Calibri" w:eastAsia="宋体" w:cs="Times New Roman"/>
      <w:color w:val="000000"/>
      <w:kern w:val="44"/>
      <w:sz w:val="18"/>
      <w:szCs w:val="18"/>
      <w:lang w:val="en-US" w:eastAsia="zh-CN" w:bidi="ar-SA"/>
    </w:rPr>
  </w:style>
  <w:style w:type="paragraph" w:customStyle="1" w:styleId="1199">
    <w:name w:val="样式 标题 3条标题1.1.1条标题BSH-3W3 + 仿宋_GB2312 非加粗"/>
    <w:basedOn w:val="4"/>
    <w:uiPriority w:val="0"/>
    <w:pPr>
      <w:keepNext/>
      <w:keepLines/>
      <w:widowControl/>
      <w:numPr>
        <w:ilvl w:val="0"/>
        <w:numId w:val="0"/>
      </w:numPr>
      <w:tabs>
        <w:tab w:val="left" w:pos="578"/>
      </w:tabs>
      <w:autoSpaceDE/>
      <w:autoSpaceDN/>
    </w:pPr>
    <w:rPr>
      <w:rFonts w:ascii="仿宋_GB2312" w:hAnsi="仿宋_GB2312" w:eastAsia="仿宋_GB2312" w:cs="Arial Unicode MS"/>
      <w:b/>
      <w:szCs w:val="32"/>
      <w:lang w:val="zh-CN"/>
    </w:rPr>
  </w:style>
  <w:style w:type="paragraph" w:customStyle="1" w:styleId="1200">
    <w:name w:val="段"/>
    <w:qFormat/>
    <w:uiPriority w:val="0"/>
    <w:pPr>
      <w:autoSpaceDE w:val="0"/>
      <w:autoSpaceDN w:val="0"/>
      <w:ind w:firstLine="200" w:firstLineChars="200"/>
      <w:jc w:val="both"/>
    </w:pPr>
    <w:rPr>
      <w:rFonts w:ascii="宋体" w:hAnsi="Calibri" w:eastAsia="宋体" w:cs="Times New Roman"/>
      <w:lang w:val="en-US" w:eastAsia="zh-CN" w:bidi="ar-SA"/>
    </w:rPr>
  </w:style>
  <w:style w:type="paragraph" w:customStyle="1" w:styleId="1201">
    <w:name w:val="收信人地址1"/>
    <w:basedOn w:val="1"/>
    <w:uiPriority w:val="0"/>
    <w:pPr>
      <w:autoSpaceDE/>
      <w:autoSpaceDN/>
      <w:spacing w:line="240" w:lineRule="auto"/>
      <w:ind w:left="100" w:leftChars="1400" w:firstLine="0" w:firstLineChars="0"/>
      <w:jc w:val="both"/>
    </w:pPr>
    <w:rPr>
      <w:rFonts w:ascii="Arial" w:hAnsi="Arial" w:cs="Arial"/>
      <w:kern w:val="2"/>
    </w:rPr>
  </w:style>
  <w:style w:type="paragraph" w:customStyle="1" w:styleId="1202">
    <w:name w:val="4 Char"/>
    <w:basedOn w:val="1"/>
    <w:next w:val="28"/>
    <w:uiPriority w:val="0"/>
    <w:pPr>
      <w:autoSpaceDE/>
      <w:autoSpaceDN/>
      <w:spacing w:line="240" w:lineRule="exact"/>
      <w:jc w:val="center"/>
    </w:pPr>
    <w:rPr>
      <w:rFonts w:ascii="Calibri" w:hAnsi="Calibri" w:eastAsia="方正仿宋简体"/>
      <w:w w:val="80"/>
      <w:kern w:val="2"/>
    </w:rPr>
  </w:style>
  <w:style w:type="paragraph" w:customStyle="1" w:styleId="1203">
    <w:name w:val="正文！！！！！！！！！！！！"/>
    <w:basedOn w:val="1"/>
    <w:qFormat/>
    <w:uiPriority w:val="0"/>
    <w:pPr>
      <w:autoSpaceDE/>
      <w:autoSpaceDN/>
      <w:spacing w:line="500" w:lineRule="exact"/>
      <w:ind w:firstLine="480"/>
      <w:jc w:val="both"/>
    </w:pPr>
    <w:rPr>
      <w:rFonts w:ascii="楷体_GB2312" w:hAnsi="Calibri" w:eastAsia="楷体_GB2312" w:cs="宋体"/>
      <w:kern w:val="2"/>
      <w:sz w:val="21"/>
      <w:szCs w:val="21"/>
    </w:rPr>
  </w:style>
  <w:style w:type="table" w:customStyle="1" w:styleId="1204">
    <w:name w:val="表格样式-ls1"/>
    <w:basedOn w:val="76"/>
    <w:uiPriority w:val="0"/>
    <w:pPr>
      <w:widowControl w:val="0"/>
      <w:adjustRightInd w:val="0"/>
      <w:spacing w:line="360" w:lineRule="exact"/>
      <w:jc w:val="center"/>
      <w:textAlignment w:val="center"/>
    </w:pPr>
    <w:rPr>
      <w:rFonts w:ascii="Calibri" w:hAnsi="Calibri"/>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eastAsia="Raavi"/>
        <w:b w:val="0"/>
        <w:bCs/>
        <w:color w:val="auto"/>
        <w:sz w:val="21"/>
      </w:rPr>
      <w:tcPr>
        <w:tcBorders>
          <w:top w:val="nil"/>
          <w:left w:val="nil"/>
          <w:bottom w:val="nil"/>
          <w:right w:val="nil"/>
          <w:insideH w:val="nil"/>
          <w:insideV w:val="nil"/>
          <w:tl2br w:val="nil"/>
          <w:tr2bl w:val="nil"/>
        </w:tcBorders>
        <w:shd w:val="pct20" w:color="000000" w:fill="FFFFFF"/>
      </w:tcPr>
    </w:tblStylePr>
  </w:style>
  <w:style w:type="table" w:customStyle="1" w:styleId="1205">
    <w:name w:val="表格样式1"/>
    <w:basedOn w:val="80"/>
    <w:uiPriority w:val="0"/>
    <w:pPr>
      <w:adjustRightInd w:val="0"/>
      <w:spacing w:line="360" w:lineRule="exact"/>
      <w:jc w:val="center"/>
      <w:textAlignment w:val="center"/>
    </w:pPr>
    <w:rPr>
      <w:rFonts w:ascii="宋体"/>
      <w:sz w:val="21"/>
      <w:szCs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tblStylePr w:type="firstRow">
      <w:pPr>
        <w:jc w:val="center"/>
      </w:pPr>
      <w:rPr>
        <w:rFonts w:eastAsia="Raavi"/>
        <w:b w:val="0"/>
        <w:bCs/>
        <w:color w:val="auto"/>
        <w:sz w:val="21"/>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1206">
    <w:name w:val="biaoge"/>
    <w:basedOn w:val="76"/>
    <w:qFormat/>
    <w:uiPriority w:val="99"/>
    <w:pPr>
      <w:jc w:val="center"/>
    </w:pPr>
    <w:rPr>
      <w:rFonts w:ascii="Calibri" w:hAnsi="Calibri"/>
      <w:sz w:val="18"/>
      <w:lang w:eastAsia="en-US" w:bidi="en-US"/>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
    <w:tcPr>
      <w:vAlign w:val="center"/>
    </w:tcPr>
  </w:style>
  <w:style w:type="table" w:customStyle="1" w:styleId="1207">
    <w:name w:val="表格样式-ls"/>
    <w:basedOn w:val="76"/>
    <w:uiPriority w:val="0"/>
    <w:pPr>
      <w:widowControl w:val="0"/>
      <w:adjustRightInd w:val="0"/>
      <w:spacing w:line="360" w:lineRule="exact"/>
      <w:jc w:val="center"/>
      <w:textAlignment w:val="center"/>
    </w:pPr>
    <w:rPr>
      <w:rFonts w:ascii="Calibri" w:hAnsi="Calibri"/>
      <w:sz w:val="21"/>
      <w:szCs w:val="21"/>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rPr>
      <w:jc w:val="center"/>
    </w:trPr>
    <w:tcPr>
      <w:shd w:val="clear" w:color="auto" w:fill="auto"/>
      <w:vAlign w:val="center"/>
    </w:tcPr>
    <w:tblStylePr w:type="firstRow">
      <w:pPr>
        <w:jc w:val="center"/>
      </w:pPr>
      <w:rPr>
        <w:rFonts w:eastAsia="Raavi"/>
        <w:b w:val="0"/>
        <w:bCs/>
        <w:color w:val="auto"/>
        <w:sz w:val="21"/>
      </w:rPr>
      <w:tcPr>
        <w:tcBorders>
          <w:top w:val="nil"/>
          <w:left w:val="nil"/>
          <w:bottom w:val="nil"/>
          <w:right w:val="nil"/>
          <w:insideH w:val="nil"/>
          <w:insideV w:val="nil"/>
          <w:tl2br w:val="nil"/>
          <w:tr2bl w:val="nil"/>
        </w:tcBorders>
        <w:shd w:val="pct20" w:color="000000" w:fill="FFFFFF"/>
      </w:tcPr>
    </w:tblStylePr>
  </w:style>
  <w:style w:type="table" w:customStyle="1" w:styleId="1208">
    <w:name w:val="表格样式12"/>
    <w:basedOn w:val="80"/>
    <w:uiPriority w:val="0"/>
    <w:pPr>
      <w:adjustRightInd w:val="0"/>
      <w:spacing w:line="360" w:lineRule="exact"/>
      <w:jc w:val="center"/>
      <w:textAlignment w:val="center"/>
    </w:pPr>
    <w:rPr>
      <w:sz w:val="21"/>
      <w:szCs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tblStylePr w:type="firstRow">
      <w:pPr>
        <w:jc w:val="center"/>
      </w:pPr>
      <w:rPr>
        <w:rFonts w:eastAsia="Raavi"/>
        <w:b w:val="0"/>
        <w:bCs/>
        <w:color w:val="auto"/>
        <w:sz w:val="21"/>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1209">
    <w:name w:val="普通表格1"/>
    <w:unhideWhenUsed/>
    <w:qFormat/>
    <w:uiPriority w:val="0"/>
    <w:rPr>
      <w:rFonts w:ascii="Calibri" w:hAnsi="Calibri"/>
    </w:rPr>
    <w:tblPr>
      <w:tblCellMar>
        <w:top w:w="0" w:type="dxa"/>
        <w:left w:w="108" w:type="dxa"/>
        <w:bottom w:w="0" w:type="dxa"/>
        <w:right w:w="108" w:type="dxa"/>
      </w:tblCellMar>
    </w:tblPr>
  </w:style>
  <w:style w:type="table" w:customStyle="1" w:styleId="1210">
    <w:name w:val="表格样式11"/>
    <w:basedOn w:val="80"/>
    <w:uiPriority w:val="0"/>
    <w:pPr>
      <w:adjustRightInd w:val="0"/>
      <w:spacing w:line="360" w:lineRule="exact"/>
      <w:jc w:val="center"/>
      <w:textAlignment w:val="center"/>
    </w:pPr>
    <w:rPr>
      <w:rFonts w:ascii="宋体"/>
      <w:szCs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tblStylePr w:type="firstRow">
      <w:pPr>
        <w:jc w:val="center"/>
      </w:pPr>
      <w:rPr>
        <w:rFonts w:eastAsia="Raavi"/>
        <w:b w:val="0"/>
        <w:bCs/>
        <w:color w:val="auto"/>
        <w:sz w:val="21"/>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1211">
    <w:name w:val="网格型11"/>
    <w:basedOn w:val="76"/>
    <w:uiPriority w:val="0"/>
    <w:pPr>
      <w:widowControl w:val="0"/>
      <w:spacing w:line="360" w:lineRule="exact"/>
      <w:jc w:val="center"/>
    </w:pPr>
    <w:rPr>
      <w:rFonts w:ascii="宋体" w:hAnsi="Calibri"/>
      <w:sz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style>
  <w:style w:type="table" w:customStyle="1" w:styleId="1212">
    <w:name w:val="自定义1"/>
    <w:basedOn w:val="81"/>
    <w:uiPriority w:val="0"/>
    <w:pPr>
      <w:jc w:val="center"/>
    </w:pPr>
    <w:rPr>
      <w:szCs w:val="21"/>
    </w:rPr>
    <w:tblPr>
      <w:tblBorders>
        <w:top w:val="thinThickSmallGap" w:color="auto" w:sz="12" w:space="0"/>
        <w:left w:val="thinThickSmallGap" w:color="auto" w:sz="12" w:space="0"/>
        <w:bottom w:val="thickThinSmallGap" w:color="auto" w:sz="12" w:space="0"/>
        <w:right w:val="thickThinSmallGap" w:color="auto" w:sz="12" w:space="0"/>
      </w:tblBorders>
      <w:tblCellMar>
        <w:left w:w="0" w:type="dxa"/>
        <w:right w:w="0" w:type="dxa"/>
      </w:tblCellMar>
    </w:tblPr>
    <w:tcPr>
      <w:vAlign w:val="center"/>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1213">
    <w:name w:val="批注文字 Char3"/>
    <w:semiHidden/>
    <w:qFormat/>
    <w:uiPriority w:val="99"/>
    <w:rPr>
      <w:rFonts w:ascii="Calibri" w:hAnsi="Calibri" w:eastAsia="宋体" w:cs="Times New Roman"/>
      <w:szCs w:val="20"/>
    </w:rPr>
  </w:style>
  <w:style w:type="paragraph" w:customStyle="1" w:styleId="1214">
    <w:name w:val="正文（用）"/>
    <w:basedOn w:val="1"/>
    <w:next w:val="1"/>
    <w:link w:val="1215"/>
    <w:qFormat/>
    <w:uiPriority w:val="0"/>
    <w:pPr>
      <w:autoSpaceDE/>
      <w:autoSpaceDN/>
      <w:ind w:firstLine="480"/>
      <w:jc w:val="both"/>
    </w:pPr>
    <w:rPr>
      <w:lang w:val="zh-CN"/>
    </w:rPr>
  </w:style>
  <w:style w:type="character" w:customStyle="1" w:styleId="1215">
    <w:name w:val="正文（用） Char"/>
    <w:link w:val="1214"/>
    <w:qFormat/>
    <w:uiPriority w:val="0"/>
    <w:rPr>
      <w:rFonts w:ascii="Times New Roman" w:hAnsi="Times New Roman" w:eastAsia="宋体" w:cs="Times New Roman"/>
      <w:sz w:val="24"/>
      <w:szCs w:val="24"/>
      <w:lang w:val="zh-CN" w:eastAsia="zh-CN"/>
    </w:rPr>
  </w:style>
  <w:style w:type="character" w:customStyle="1" w:styleId="1216">
    <w:name w:val="标准正文文本 Char"/>
    <w:link w:val="1217"/>
    <w:qFormat/>
    <w:uiPriority w:val="0"/>
    <w:rPr>
      <w:rFonts w:ascii="Times New Roman" w:hAnsi="Times New Roman"/>
      <w:sz w:val="24"/>
      <w:szCs w:val="22"/>
    </w:rPr>
  </w:style>
  <w:style w:type="paragraph" w:customStyle="1" w:styleId="1217">
    <w:name w:val="标准正文文本"/>
    <w:basedOn w:val="1"/>
    <w:link w:val="1216"/>
    <w:qFormat/>
    <w:uiPriority w:val="0"/>
    <w:pPr>
      <w:autoSpaceDE/>
      <w:autoSpaceDN/>
      <w:ind w:firstLine="643"/>
      <w:jc w:val="both"/>
    </w:pPr>
    <w:rPr>
      <w:rFonts w:eastAsiaTheme="minorEastAsia" w:cstheme="minorBidi"/>
      <w:szCs w:val="22"/>
    </w:rPr>
  </w:style>
  <w:style w:type="paragraph" w:customStyle="1" w:styleId="1218">
    <w:name w:val="样式 正文 首行缩进:  2 字符 + (中文) 楷体_GB2312"/>
    <w:basedOn w:val="1"/>
    <w:link w:val="1219"/>
    <w:qFormat/>
    <w:uiPriority w:val="0"/>
    <w:pPr>
      <w:widowControl/>
      <w:autoSpaceDE/>
      <w:autoSpaceDN/>
      <w:spacing w:line="500" w:lineRule="exact"/>
      <w:jc w:val="both"/>
    </w:pPr>
    <w:rPr>
      <w:rFonts w:eastAsia="楷体_GB2312"/>
      <w:lang w:val="zh-CN"/>
    </w:rPr>
  </w:style>
  <w:style w:type="character" w:customStyle="1" w:styleId="1219">
    <w:name w:val="样式 正文 首行缩进:  2 字符 + (中文) 楷体_GB2312 Char"/>
    <w:link w:val="1218"/>
    <w:qFormat/>
    <w:uiPriority w:val="0"/>
    <w:rPr>
      <w:rFonts w:ascii="Times New Roman" w:hAnsi="Times New Roman" w:eastAsia="楷体_GB2312" w:cs="Times New Roman"/>
      <w:sz w:val="24"/>
      <w:szCs w:val="24"/>
      <w:lang w:val="zh-CN" w:eastAsia="zh-CN"/>
    </w:rPr>
  </w:style>
  <w:style w:type="paragraph" w:customStyle="1" w:styleId="1220">
    <w:name w:val="样式 正文文本缩进 + 行距: 1.5 倍行距"/>
    <w:basedOn w:val="1"/>
    <w:qFormat/>
    <w:uiPriority w:val="0"/>
    <w:pPr>
      <w:autoSpaceDE/>
      <w:autoSpaceDN/>
      <w:spacing w:after="120"/>
      <w:ind w:left="90" w:leftChars="32" w:firstLine="560"/>
      <w:jc w:val="both"/>
    </w:pPr>
    <w:rPr>
      <w:rFonts w:eastAsia="仿宋_GB2312" w:cs="宋体"/>
      <w:kern w:val="2"/>
    </w:rPr>
  </w:style>
  <w:style w:type="paragraph" w:customStyle="1" w:styleId="1221">
    <w:name w:val="HTML Preformatted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ind w:firstLine="0" w:firstLineChars="0"/>
    </w:pPr>
    <w:rPr>
      <w:rFonts w:ascii="宋体" w:hAnsi="宋体"/>
    </w:rPr>
  </w:style>
  <w:style w:type="character" w:customStyle="1" w:styleId="1222">
    <w:name w:val="正文 首行缩进:  2 字符 Char"/>
    <w:link w:val="1223"/>
    <w:qFormat/>
    <w:uiPriority w:val="0"/>
    <w:rPr>
      <w:rFonts w:cs="宋体"/>
      <w:kern w:val="2"/>
      <w:sz w:val="24"/>
    </w:rPr>
  </w:style>
  <w:style w:type="paragraph" w:customStyle="1" w:styleId="1223">
    <w:name w:val="正文 首行缩进:  2 字符"/>
    <w:basedOn w:val="1"/>
    <w:link w:val="1222"/>
    <w:qFormat/>
    <w:uiPriority w:val="0"/>
    <w:pPr>
      <w:autoSpaceDE/>
      <w:autoSpaceDN/>
      <w:spacing w:line="500" w:lineRule="exact"/>
    </w:pPr>
    <w:rPr>
      <w:rFonts w:cs="宋体" w:asciiTheme="minorHAnsi" w:hAnsiTheme="minorHAnsi" w:eastAsiaTheme="minorEastAsia"/>
      <w:kern w:val="2"/>
      <w:szCs w:val="20"/>
    </w:rPr>
  </w:style>
  <w:style w:type="paragraph" w:customStyle="1" w:styleId="1224">
    <w:name w:val="li_正文"/>
    <w:basedOn w:val="1"/>
    <w:qFormat/>
    <w:uiPriority w:val="0"/>
    <w:pPr>
      <w:autoSpaceDE/>
      <w:autoSpaceDN/>
      <w:spacing w:line="240" w:lineRule="auto"/>
    </w:pPr>
    <w:rPr>
      <w:rFonts w:ascii="Calibri" w:hAnsi="Calibri"/>
      <w:kern w:val="2"/>
      <w:sz w:val="28"/>
      <w:szCs w:val="28"/>
    </w:rPr>
  </w:style>
  <w:style w:type="character" w:customStyle="1" w:styleId="1225">
    <w:name w:val="页眉 Char"/>
    <w:qFormat/>
    <w:uiPriority w:val="0"/>
    <w:rPr>
      <w:kern w:val="2"/>
      <w:sz w:val="18"/>
    </w:rPr>
  </w:style>
  <w:style w:type="character" w:customStyle="1" w:styleId="1226">
    <w:name w:val="正文缩进 Char"/>
    <w:qFormat/>
    <w:uiPriority w:val="0"/>
    <w:rPr>
      <w:snapToGrid w:val="0"/>
      <w:kern w:val="2"/>
      <w:sz w:val="28"/>
    </w:rPr>
  </w:style>
  <w:style w:type="character" w:customStyle="1" w:styleId="1227">
    <w:name w:val="gray_text12"/>
    <w:basedOn w:val="83"/>
    <w:uiPriority w:val="0"/>
  </w:style>
  <w:style w:type="character" w:customStyle="1" w:styleId="1228">
    <w:name w:val="表内 Char"/>
    <w:link w:val="1229"/>
    <w:locked/>
    <w:uiPriority w:val="0"/>
    <w:rPr>
      <w:rFonts w:ascii="仿宋_GB2312" w:eastAsia="仿宋_GB2312"/>
      <w:kern w:val="2"/>
      <w:sz w:val="24"/>
    </w:rPr>
  </w:style>
  <w:style w:type="paragraph" w:customStyle="1" w:styleId="1229">
    <w:name w:val="表内"/>
    <w:basedOn w:val="1"/>
    <w:link w:val="1228"/>
    <w:uiPriority w:val="0"/>
    <w:pPr>
      <w:autoSpaceDE/>
      <w:autoSpaceDN/>
      <w:spacing w:line="240" w:lineRule="auto"/>
      <w:ind w:firstLine="0" w:firstLineChars="0"/>
      <w:jc w:val="center"/>
    </w:pPr>
    <w:rPr>
      <w:rFonts w:ascii="仿宋_GB2312" w:eastAsia="仿宋_GB2312" w:hAnsiTheme="minorHAnsi" w:cstheme="minorBidi"/>
      <w:kern w:val="2"/>
      <w:szCs w:val="20"/>
    </w:rPr>
  </w:style>
  <w:style w:type="paragraph" w:customStyle="1" w:styleId="1230">
    <w:name w:val="修订1"/>
    <w:hidden/>
    <w:semiHidden/>
    <w:uiPriority w:val="99"/>
    <w:rPr>
      <w:rFonts w:ascii="Times New Roman" w:hAnsi="Times New Roman" w:eastAsia="宋体" w:cs="Times New Roman"/>
      <w:sz w:val="24"/>
      <w:szCs w:val="24"/>
      <w:lang w:val="en-US" w:eastAsia="zh-CN" w:bidi="ar-SA"/>
    </w:rPr>
  </w:style>
  <w:style w:type="character" w:customStyle="1" w:styleId="1231">
    <w:name w:val="正文文本_"/>
    <w:basedOn w:val="83"/>
    <w:link w:val="1232"/>
    <w:uiPriority w:val="0"/>
    <w:rPr>
      <w:rFonts w:ascii="宋体" w:hAnsi="宋体" w:eastAsia="宋体" w:cs="宋体"/>
      <w:sz w:val="26"/>
      <w:szCs w:val="26"/>
      <w:lang w:val="zh-CN" w:bidi="zh-CN"/>
    </w:rPr>
  </w:style>
  <w:style w:type="paragraph" w:customStyle="1" w:styleId="1232">
    <w:name w:val="正文文本1"/>
    <w:basedOn w:val="1"/>
    <w:link w:val="1231"/>
    <w:uiPriority w:val="0"/>
    <w:pPr>
      <w:autoSpaceDE/>
      <w:autoSpaceDN/>
      <w:spacing w:line="401" w:lineRule="auto"/>
      <w:ind w:firstLine="400" w:firstLineChars="0"/>
    </w:pPr>
    <w:rPr>
      <w:rFonts w:ascii="宋体" w:hAnsi="宋体" w:cs="宋体"/>
      <w:sz w:val="26"/>
      <w:szCs w:val="26"/>
      <w:lang w:val="zh-CN" w:bidi="zh-CN"/>
    </w:rPr>
  </w:style>
  <w:style w:type="character" w:customStyle="1" w:styleId="1233">
    <w:name w:val="其他_"/>
    <w:basedOn w:val="83"/>
    <w:link w:val="1234"/>
    <w:uiPriority w:val="0"/>
    <w:rPr>
      <w:rFonts w:ascii="宋体" w:hAnsi="宋体" w:eastAsia="宋体" w:cs="宋体"/>
      <w:sz w:val="26"/>
      <w:szCs w:val="26"/>
      <w:lang w:val="zh-CN" w:bidi="zh-CN"/>
    </w:rPr>
  </w:style>
  <w:style w:type="paragraph" w:customStyle="1" w:styleId="1234">
    <w:name w:val="其他"/>
    <w:basedOn w:val="1"/>
    <w:link w:val="1233"/>
    <w:uiPriority w:val="0"/>
    <w:pPr>
      <w:autoSpaceDE/>
      <w:autoSpaceDN/>
      <w:spacing w:line="401" w:lineRule="auto"/>
      <w:ind w:firstLine="400" w:firstLineChars="0"/>
    </w:pPr>
    <w:rPr>
      <w:rFonts w:ascii="宋体" w:hAnsi="宋体" w:cs="宋体"/>
      <w:sz w:val="26"/>
      <w:szCs w:val="26"/>
      <w:lang w:val="zh-CN" w:bidi="zh-CN"/>
    </w:rPr>
  </w:style>
  <w:style w:type="character" w:customStyle="1" w:styleId="1235">
    <w:name w:val="标题 #3_"/>
    <w:basedOn w:val="83"/>
    <w:link w:val="1236"/>
    <w:uiPriority w:val="0"/>
    <w:rPr>
      <w:rFonts w:ascii="宋体" w:hAnsi="宋体" w:eastAsia="宋体" w:cs="宋体"/>
      <w:b/>
      <w:bCs/>
      <w:sz w:val="30"/>
      <w:szCs w:val="30"/>
      <w:lang w:val="zh-CN" w:bidi="zh-CN"/>
    </w:rPr>
  </w:style>
  <w:style w:type="paragraph" w:customStyle="1" w:styleId="1236">
    <w:name w:val="标题 #3"/>
    <w:basedOn w:val="1"/>
    <w:link w:val="1235"/>
    <w:uiPriority w:val="0"/>
    <w:pPr>
      <w:autoSpaceDE/>
      <w:autoSpaceDN/>
      <w:spacing w:after="30" w:line="338" w:lineRule="auto"/>
      <w:ind w:firstLine="560" w:firstLineChars="0"/>
      <w:outlineLvl w:val="2"/>
    </w:pPr>
    <w:rPr>
      <w:rFonts w:ascii="宋体" w:hAnsi="宋体" w:cs="宋体"/>
      <w:b/>
      <w:bCs/>
      <w:sz w:val="30"/>
      <w:szCs w:val="30"/>
      <w:lang w:val="zh-CN" w:bidi="zh-CN"/>
    </w:rPr>
  </w:style>
  <w:style w:type="character" w:customStyle="1" w:styleId="1237">
    <w:name w:val="正文文本 (3)_"/>
    <w:basedOn w:val="83"/>
    <w:link w:val="1238"/>
    <w:uiPriority w:val="0"/>
    <w:rPr>
      <w:rFonts w:ascii="宋体" w:hAnsi="宋体" w:eastAsia="宋体" w:cs="宋体"/>
      <w:lang w:val="zh-CN" w:bidi="zh-CN"/>
    </w:rPr>
  </w:style>
  <w:style w:type="paragraph" w:customStyle="1" w:styleId="1238">
    <w:name w:val="正文文本 (3)"/>
    <w:basedOn w:val="1"/>
    <w:link w:val="1237"/>
    <w:uiPriority w:val="0"/>
    <w:pPr>
      <w:autoSpaceDE/>
      <w:autoSpaceDN/>
      <w:spacing w:line="418" w:lineRule="exact"/>
      <w:ind w:firstLine="520" w:firstLineChars="0"/>
    </w:pPr>
    <w:rPr>
      <w:rFonts w:ascii="宋体" w:hAnsi="宋体" w:cs="宋体"/>
      <w:sz w:val="20"/>
      <w:szCs w:val="20"/>
      <w:lang w:val="zh-CN" w:bidi="zh-CN"/>
    </w:rPr>
  </w:style>
  <w:style w:type="character" w:customStyle="1" w:styleId="1239">
    <w:name w:val="表格标题_"/>
    <w:basedOn w:val="83"/>
    <w:uiPriority w:val="0"/>
    <w:rPr>
      <w:rFonts w:ascii="宋体" w:hAnsi="宋体" w:eastAsia="宋体" w:cs="宋体"/>
      <w:sz w:val="26"/>
      <w:szCs w:val="26"/>
      <w:lang w:val="zh-CN" w:eastAsia="zh-CN" w:bidi="zh-CN"/>
    </w:rPr>
  </w:style>
  <w:style w:type="character" w:customStyle="1" w:styleId="1240">
    <w:name w:val="正文文本 (9)_"/>
    <w:basedOn w:val="83"/>
    <w:link w:val="1241"/>
    <w:uiPriority w:val="0"/>
    <w:rPr>
      <w:rFonts w:ascii="宋体" w:hAnsi="宋体" w:eastAsia="宋体" w:cs="宋体"/>
      <w:sz w:val="18"/>
      <w:szCs w:val="18"/>
      <w:lang w:val="zh-CN" w:bidi="zh-CN"/>
    </w:rPr>
  </w:style>
  <w:style w:type="paragraph" w:customStyle="1" w:styleId="1241">
    <w:name w:val="正文文本 (9)"/>
    <w:basedOn w:val="1"/>
    <w:link w:val="1240"/>
    <w:uiPriority w:val="0"/>
    <w:pPr>
      <w:autoSpaceDE/>
      <w:autoSpaceDN/>
      <w:spacing w:after="60" w:line="240" w:lineRule="auto"/>
      <w:ind w:firstLine="0" w:firstLineChars="0"/>
    </w:pPr>
    <w:rPr>
      <w:rFonts w:ascii="宋体" w:hAnsi="宋体" w:cs="宋体"/>
      <w:sz w:val="18"/>
      <w:szCs w:val="18"/>
      <w:lang w:val="zh-CN" w:bidi="zh-CN"/>
    </w:rPr>
  </w:style>
  <w:style w:type="character" w:customStyle="1" w:styleId="1242">
    <w:name w:val="正文文本 (8)_"/>
    <w:basedOn w:val="83"/>
    <w:link w:val="1243"/>
    <w:uiPriority w:val="0"/>
    <w:rPr>
      <w:rFonts w:ascii="Times New Roman" w:hAnsi="Times New Roman" w:eastAsia="Times New Roman" w:cs="Times New Roman"/>
    </w:rPr>
  </w:style>
  <w:style w:type="paragraph" w:customStyle="1" w:styleId="1243">
    <w:name w:val="正文文本 (8)"/>
    <w:basedOn w:val="1"/>
    <w:link w:val="1242"/>
    <w:uiPriority w:val="0"/>
    <w:pPr>
      <w:autoSpaceDE/>
      <w:autoSpaceDN/>
      <w:spacing w:after="220" w:line="240" w:lineRule="auto"/>
      <w:ind w:firstLine="580" w:firstLineChars="0"/>
    </w:pPr>
    <w:rPr>
      <w:rFonts w:eastAsia="Times New Roman"/>
      <w:sz w:val="20"/>
      <w:szCs w:val="20"/>
    </w:rPr>
  </w:style>
  <w:style w:type="paragraph" w:customStyle="1" w:styleId="1244">
    <w:name w:val="B编号正文"/>
    <w:basedOn w:val="1"/>
    <w:link w:val="1245"/>
    <w:qFormat/>
    <w:uiPriority w:val="0"/>
    <w:pPr>
      <w:widowControl/>
      <w:numPr>
        <w:ilvl w:val="0"/>
        <w:numId w:val="5"/>
      </w:numPr>
      <w:autoSpaceDE/>
      <w:autoSpaceDN/>
      <w:ind w:firstLineChars="0"/>
    </w:pPr>
    <w:rPr>
      <w:rFonts w:cs="宋体"/>
      <w14:ligatures w14:val="standardContextual"/>
    </w:rPr>
  </w:style>
  <w:style w:type="character" w:customStyle="1" w:styleId="1245">
    <w:name w:val="B编号正文 Char"/>
    <w:basedOn w:val="83"/>
    <w:link w:val="1244"/>
    <w:qFormat/>
    <w:uiPriority w:val="0"/>
    <w:rPr>
      <w:rFonts w:ascii="Times New Roman" w:hAnsi="Times New Roman" w:eastAsia="宋体" w:cs="宋体"/>
      <w:sz w:val="24"/>
      <w:szCs w:val="24"/>
      <w14:ligatures w14:val="standardContextual"/>
    </w:rPr>
  </w:style>
  <w:style w:type="paragraph" w:customStyle="1" w:styleId="1246">
    <w:name w:val="巴二级标题"/>
    <w:basedOn w:val="1"/>
    <w:qFormat/>
    <w:uiPriority w:val="0"/>
    <w:pPr>
      <w:numPr>
        <w:ilvl w:val="1"/>
        <w:numId w:val="5"/>
      </w:numPr>
      <w:autoSpaceDE/>
      <w:autoSpaceDN/>
      <w:ind w:firstLine="0" w:firstLineChars="0"/>
      <w:outlineLvl w:val="1"/>
    </w:pPr>
    <w:rPr>
      <w:rFonts w:eastAsia="黑体"/>
      <w:color w:val="000000"/>
      <w:sz w:val="30"/>
      <w:szCs w:val="30"/>
      <w:lang w:val="zh-CN"/>
      <w14:ligatures w14:val="standardContextual"/>
    </w:rPr>
  </w:style>
  <w:style w:type="paragraph" w:customStyle="1" w:styleId="1247">
    <w:name w:val="巴三级标题"/>
    <w:basedOn w:val="1"/>
    <w:uiPriority w:val="0"/>
    <w:pPr>
      <w:numPr>
        <w:ilvl w:val="2"/>
        <w:numId w:val="5"/>
      </w:numPr>
      <w:autoSpaceDE/>
      <w:autoSpaceDN/>
      <w:ind w:firstLine="0" w:firstLineChars="0"/>
      <w:outlineLvl w:val="2"/>
    </w:pPr>
    <w:rPr>
      <w:rFonts w:eastAsia="黑体"/>
      <w:color w:val="000000"/>
      <w:kern w:val="2"/>
      <w:sz w:val="28"/>
      <w:szCs w:val="30"/>
      <w14:ligatures w14:val="standardContextual"/>
    </w:rPr>
  </w:style>
  <w:style w:type="paragraph" w:customStyle="1" w:styleId="1248">
    <w:name w:val="巴-四级标题"/>
    <w:basedOn w:val="1246"/>
    <w:uiPriority w:val="0"/>
    <w:pPr>
      <w:numPr>
        <w:ilvl w:val="3"/>
      </w:numPr>
      <w:outlineLvl w:val="3"/>
    </w:pPr>
    <w:rPr>
      <w:rFonts w:eastAsia="宋体"/>
      <w:b/>
      <w:sz w:val="24"/>
    </w:rPr>
  </w:style>
  <w:style w:type="character" w:customStyle="1" w:styleId="1249">
    <w:name w:val="正文文本 (5)_"/>
    <w:basedOn w:val="83"/>
    <w:link w:val="1250"/>
    <w:uiPriority w:val="0"/>
    <w:rPr>
      <w:rFonts w:ascii="黑体" w:hAnsi="黑体" w:eastAsia="黑体" w:cs="黑体"/>
      <w:lang w:val="zh-CN" w:bidi="zh-CN"/>
    </w:rPr>
  </w:style>
  <w:style w:type="paragraph" w:customStyle="1" w:styleId="1250">
    <w:name w:val="正文文本 (5)"/>
    <w:basedOn w:val="1"/>
    <w:link w:val="1249"/>
    <w:uiPriority w:val="0"/>
    <w:pPr>
      <w:autoSpaceDE/>
      <w:autoSpaceDN/>
      <w:spacing w:after="50" w:line="240" w:lineRule="auto"/>
      <w:ind w:firstLine="0" w:firstLineChars="0"/>
      <w:jc w:val="center"/>
    </w:pPr>
    <w:rPr>
      <w:rFonts w:ascii="黑体" w:hAnsi="黑体" w:eastAsia="黑体" w:cs="黑体"/>
      <w:sz w:val="20"/>
      <w:szCs w:val="20"/>
      <w:lang w:val="zh-CN" w:bidi="zh-CN"/>
    </w:rPr>
  </w:style>
  <w:style w:type="character" w:customStyle="1" w:styleId="1251">
    <w:name w:val="正文文本 (4)_"/>
    <w:basedOn w:val="83"/>
    <w:link w:val="1252"/>
    <w:uiPriority w:val="0"/>
    <w:rPr>
      <w:rFonts w:ascii="宋体" w:hAnsi="宋体" w:eastAsia="宋体" w:cs="宋体"/>
      <w:lang w:val="zh-CN" w:bidi="zh-CN"/>
    </w:rPr>
  </w:style>
  <w:style w:type="paragraph" w:customStyle="1" w:styleId="1252">
    <w:name w:val="正文文本 (4)"/>
    <w:basedOn w:val="1"/>
    <w:link w:val="1251"/>
    <w:uiPriority w:val="0"/>
    <w:pPr>
      <w:autoSpaceDE/>
      <w:autoSpaceDN/>
      <w:spacing w:after="90" w:line="252" w:lineRule="auto"/>
      <w:ind w:firstLine="0" w:firstLineChars="0"/>
    </w:pPr>
    <w:rPr>
      <w:rFonts w:ascii="宋体" w:hAnsi="宋体" w:cs="宋体"/>
      <w:sz w:val="20"/>
      <w:szCs w:val="20"/>
      <w:lang w:val="zh-CN" w:bidi="zh-CN"/>
    </w:rPr>
  </w:style>
  <w:style w:type="table" w:customStyle="1" w:styleId="1253">
    <w:name w:val="33"/>
    <w:basedOn w:val="76"/>
    <w:uiPriority w:val="0"/>
    <w:pPr>
      <w:widowControl w:val="0"/>
      <w:autoSpaceDE w:val="0"/>
      <w:autoSpaceDN w:val="0"/>
      <w:adjustRightInd w:val="0"/>
      <w:snapToGrid w:val="0"/>
    </w:pPr>
    <w:rPr>
      <w:kern w:val="2"/>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254">
    <w:name w:val="msonormal"/>
    <w:basedOn w:val="1"/>
    <w:uiPriority w:val="0"/>
    <w:pPr>
      <w:widowControl/>
      <w:autoSpaceDE/>
      <w:autoSpaceDN/>
      <w:spacing w:before="100" w:beforeAutospacing="1" w:after="100" w:afterAutospacing="1" w:line="240" w:lineRule="auto"/>
      <w:ind w:firstLine="0" w:firstLineChars="0"/>
    </w:pPr>
    <w:rPr>
      <w:rFonts w:ascii="宋体" w:hAnsi="宋体" w:cs="宋体"/>
    </w:rPr>
  </w:style>
  <w:style w:type="paragraph" w:customStyle="1" w:styleId="1255">
    <w:name w:val="font11"/>
    <w:basedOn w:val="1"/>
    <w:uiPriority w:val="0"/>
    <w:pPr>
      <w:widowControl/>
      <w:autoSpaceDE/>
      <w:autoSpaceDN/>
      <w:spacing w:before="100" w:beforeAutospacing="1" w:after="100" w:afterAutospacing="1" w:line="240" w:lineRule="auto"/>
      <w:ind w:firstLine="0" w:firstLineChars="0"/>
    </w:pPr>
    <w:rPr>
      <w:color w:val="000000"/>
      <w:sz w:val="21"/>
      <w:szCs w:val="21"/>
    </w:rPr>
  </w:style>
  <w:style w:type="paragraph" w:customStyle="1" w:styleId="1256">
    <w:name w:val="font12"/>
    <w:basedOn w:val="1"/>
    <w:uiPriority w:val="0"/>
    <w:pPr>
      <w:widowControl/>
      <w:autoSpaceDE/>
      <w:autoSpaceDN/>
      <w:spacing w:before="100" w:beforeAutospacing="1" w:after="100" w:afterAutospacing="1" w:line="240" w:lineRule="auto"/>
      <w:ind w:firstLine="0" w:firstLineChars="0"/>
    </w:pPr>
    <w:rPr>
      <w:rFonts w:ascii="Arial" w:hAnsi="Arial" w:cs="Arial"/>
      <w:color w:val="000000"/>
      <w:sz w:val="21"/>
      <w:szCs w:val="21"/>
    </w:rPr>
  </w:style>
  <w:style w:type="paragraph" w:customStyle="1" w:styleId="1257">
    <w:name w:val="xl65"/>
    <w:basedOn w:val="1"/>
    <w:uiPriority w:val="0"/>
    <w:pPr>
      <w:widowControl/>
      <w:pBdr>
        <w:left w:val="single" w:color="auto" w:sz="8" w:space="0"/>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b/>
      <w:bCs/>
      <w:sz w:val="21"/>
      <w:szCs w:val="21"/>
    </w:rPr>
  </w:style>
  <w:style w:type="paragraph" w:customStyle="1" w:styleId="1258">
    <w:name w:val="xl67"/>
    <w:basedOn w:val="1"/>
    <w:uiPriority w:val="0"/>
    <w:pPr>
      <w:widowControl/>
      <w:pBdr>
        <w:left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color w:val="000000"/>
      <w:sz w:val="21"/>
      <w:szCs w:val="21"/>
    </w:rPr>
  </w:style>
  <w:style w:type="paragraph" w:customStyle="1" w:styleId="1259">
    <w:name w:val="xl68"/>
    <w:basedOn w:val="1"/>
    <w:uiPriority w:val="0"/>
    <w:pPr>
      <w:widowControl/>
      <w:pBdr>
        <w:left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60">
    <w:name w:val="xl69"/>
    <w:basedOn w:val="1"/>
    <w:uiPriority w:val="0"/>
    <w:pPr>
      <w:widowControl/>
      <w:pBdr>
        <w:left w:val="single" w:color="auto" w:sz="8" w:space="0"/>
        <w:right w:val="single" w:color="auto" w:sz="8" w:space="0"/>
      </w:pBdr>
      <w:autoSpaceDE/>
      <w:autoSpaceDN/>
      <w:spacing w:before="100" w:beforeAutospacing="1" w:after="100" w:afterAutospacing="1" w:line="240" w:lineRule="auto"/>
      <w:ind w:firstLine="0" w:firstLineChars="0"/>
      <w:textAlignment w:val="center"/>
    </w:pPr>
    <w:rPr>
      <w:rFonts w:ascii="宋体" w:hAnsi="宋体" w:cs="宋体"/>
    </w:rPr>
  </w:style>
  <w:style w:type="paragraph" w:customStyle="1" w:styleId="1261">
    <w:name w:val="xl71"/>
    <w:basedOn w:val="1"/>
    <w:uiPriority w:val="0"/>
    <w:pPr>
      <w:widowControl/>
      <w:pBdr>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62">
    <w:name w:val="xl73"/>
    <w:basedOn w:val="1"/>
    <w:uiPriority w:val="0"/>
    <w:pPr>
      <w:widowControl/>
      <w:pBdr>
        <w:top w:val="single" w:color="auto" w:sz="8" w:space="0"/>
        <w:left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b/>
      <w:bCs/>
      <w:sz w:val="21"/>
      <w:szCs w:val="21"/>
    </w:rPr>
  </w:style>
  <w:style w:type="paragraph" w:customStyle="1" w:styleId="1263">
    <w:name w:val="xl74"/>
    <w:basedOn w:val="1"/>
    <w:uiPriority w:val="0"/>
    <w:pPr>
      <w:widowControl/>
      <w:pBdr>
        <w:top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b/>
      <w:bCs/>
      <w:sz w:val="21"/>
      <w:szCs w:val="21"/>
    </w:rPr>
  </w:style>
  <w:style w:type="paragraph" w:customStyle="1" w:styleId="1264">
    <w:name w:val="xl75"/>
    <w:basedOn w:val="1"/>
    <w:uiPriority w:val="0"/>
    <w:pPr>
      <w:widowControl/>
      <w:pBdr>
        <w:top w:val="single" w:color="auto" w:sz="8" w:space="0"/>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b/>
      <w:bCs/>
      <w:sz w:val="21"/>
      <w:szCs w:val="21"/>
    </w:rPr>
  </w:style>
  <w:style w:type="paragraph" w:customStyle="1" w:styleId="1265">
    <w:name w:val="xl76"/>
    <w:basedOn w:val="1"/>
    <w:uiPriority w:val="0"/>
    <w:pPr>
      <w:widowControl/>
      <w:pBdr>
        <w:top w:val="single" w:color="auto" w:sz="8" w:space="0"/>
        <w:left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color w:val="000000"/>
      <w:sz w:val="21"/>
      <w:szCs w:val="21"/>
    </w:rPr>
  </w:style>
  <w:style w:type="paragraph" w:customStyle="1" w:styleId="1266">
    <w:name w:val="xl77"/>
    <w:basedOn w:val="1"/>
    <w:uiPriority w:val="0"/>
    <w:pPr>
      <w:widowControl/>
      <w:pBdr>
        <w:top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color w:val="000000"/>
      <w:sz w:val="21"/>
      <w:szCs w:val="21"/>
    </w:rPr>
  </w:style>
  <w:style w:type="paragraph" w:customStyle="1" w:styleId="1267">
    <w:name w:val="xl78"/>
    <w:basedOn w:val="1"/>
    <w:uiPriority w:val="0"/>
    <w:pPr>
      <w:widowControl/>
      <w:pBdr>
        <w:top w:val="single" w:color="auto" w:sz="8" w:space="0"/>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color w:val="000000"/>
      <w:sz w:val="21"/>
      <w:szCs w:val="21"/>
    </w:rPr>
  </w:style>
  <w:style w:type="paragraph" w:customStyle="1" w:styleId="1268">
    <w:name w:val="xl79"/>
    <w:basedOn w:val="1"/>
    <w:uiPriority w:val="0"/>
    <w:pPr>
      <w:widowControl/>
      <w:pBdr>
        <w:bottom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69">
    <w:name w:val="xl80"/>
    <w:basedOn w:val="1"/>
    <w:uiPriority w:val="0"/>
    <w:pPr>
      <w:widowControl/>
      <w:pBdr>
        <w:top w:val="single" w:color="auto" w:sz="8" w:space="0"/>
        <w:left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70">
    <w:name w:val="xl81"/>
    <w:basedOn w:val="1"/>
    <w:uiPriority w:val="0"/>
    <w:pPr>
      <w:widowControl/>
      <w:pBdr>
        <w:top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71">
    <w:name w:val="xl82"/>
    <w:basedOn w:val="1"/>
    <w:uiPriority w:val="0"/>
    <w:pPr>
      <w:widowControl/>
      <w:pBdr>
        <w:top w:val="single" w:color="auto" w:sz="8" w:space="0"/>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72">
    <w:name w:val="xl83"/>
    <w:basedOn w:val="1"/>
    <w:uiPriority w:val="0"/>
    <w:pPr>
      <w:widowControl/>
      <w:pBdr>
        <w:top w:val="single" w:color="auto" w:sz="8" w:space="0"/>
        <w:left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b/>
      <w:bCs/>
      <w:sz w:val="21"/>
      <w:szCs w:val="21"/>
    </w:rPr>
  </w:style>
  <w:style w:type="paragraph" w:customStyle="1" w:styleId="1273">
    <w:name w:val="xl84"/>
    <w:basedOn w:val="1"/>
    <w:uiPriority w:val="0"/>
    <w:pPr>
      <w:widowControl/>
      <w:pBdr>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color w:val="000000"/>
      <w:sz w:val="21"/>
      <w:szCs w:val="21"/>
    </w:rPr>
  </w:style>
  <w:style w:type="paragraph" w:customStyle="1" w:styleId="1274">
    <w:name w:val="xl85"/>
    <w:basedOn w:val="1"/>
    <w:uiPriority w:val="0"/>
    <w:pPr>
      <w:widowControl/>
      <w:pBdr>
        <w:top w:val="single" w:color="auto" w:sz="8" w:space="0"/>
        <w:left w:val="single" w:color="auto" w:sz="8" w:space="0"/>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b/>
      <w:bCs/>
      <w:sz w:val="21"/>
      <w:szCs w:val="21"/>
    </w:rPr>
  </w:style>
  <w:style w:type="paragraph" w:customStyle="1" w:styleId="1275">
    <w:name w:val="xl86"/>
    <w:basedOn w:val="1"/>
    <w:uiPriority w:val="0"/>
    <w:pPr>
      <w:widowControl/>
      <w:pBdr>
        <w:top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sz w:val="21"/>
      <w:szCs w:val="21"/>
    </w:rPr>
  </w:style>
  <w:style w:type="paragraph" w:customStyle="1" w:styleId="1276">
    <w:name w:val="xl87"/>
    <w:basedOn w:val="1"/>
    <w:uiPriority w:val="0"/>
    <w:pPr>
      <w:widowControl/>
      <w:pBdr>
        <w:top w:val="single" w:color="auto" w:sz="8" w:space="0"/>
        <w:left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sz w:val="21"/>
      <w:szCs w:val="21"/>
    </w:rPr>
  </w:style>
  <w:style w:type="paragraph" w:customStyle="1" w:styleId="1277">
    <w:name w:val="xl88"/>
    <w:basedOn w:val="1"/>
    <w:uiPriority w:val="0"/>
    <w:pPr>
      <w:widowControl/>
      <w:pBdr>
        <w:top w:val="single" w:color="auto" w:sz="8" w:space="0"/>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sz w:val="21"/>
      <w:szCs w:val="21"/>
    </w:rPr>
  </w:style>
  <w:style w:type="paragraph" w:customStyle="1" w:styleId="1278">
    <w:name w:val="xl89"/>
    <w:basedOn w:val="1"/>
    <w:uiPriority w:val="0"/>
    <w:pPr>
      <w:widowControl/>
      <w:pBdr>
        <w:top w:val="single" w:color="auto" w:sz="8" w:space="0"/>
        <w:left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79">
    <w:name w:val="xl90"/>
    <w:basedOn w:val="1"/>
    <w:uiPriority w:val="0"/>
    <w:pPr>
      <w:widowControl/>
      <w:pBdr>
        <w:top w:val="single" w:color="auto" w:sz="8" w:space="0"/>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80">
    <w:name w:val="xl91"/>
    <w:basedOn w:val="1"/>
    <w:uiPriority w:val="0"/>
    <w:pPr>
      <w:widowControl/>
      <w:pBdr>
        <w:top w:val="single" w:color="auto" w:sz="8" w:space="0"/>
        <w:left w:val="single" w:color="auto" w:sz="8" w:space="0"/>
        <w:bottom w:val="single" w:color="auto" w:sz="8" w:space="0"/>
      </w:pBdr>
      <w:autoSpaceDE/>
      <w:autoSpaceDN/>
      <w:spacing w:before="100" w:beforeAutospacing="1" w:after="100" w:afterAutospacing="1" w:line="240" w:lineRule="auto"/>
      <w:ind w:firstLine="0" w:firstLineChars="0"/>
      <w:textAlignment w:val="center"/>
    </w:pPr>
    <w:rPr>
      <w:sz w:val="21"/>
      <w:szCs w:val="21"/>
    </w:rPr>
  </w:style>
  <w:style w:type="paragraph" w:customStyle="1" w:styleId="1281">
    <w:name w:val="xl92"/>
    <w:basedOn w:val="1"/>
    <w:uiPriority w:val="0"/>
    <w:pPr>
      <w:widowControl/>
      <w:pBdr>
        <w:top w:val="single" w:color="auto" w:sz="8" w:space="0"/>
        <w:left w:val="single" w:color="auto" w:sz="8" w:space="0"/>
        <w:bottom w:val="single" w:color="auto" w:sz="8" w:space="0"/>
      </w:pBdr>
      <w:autoSpaceDE/>
      <w:autoSpaceDN/>
      <w:spacing w:before="100" w:beforeAutospacing="1" w:after="100" w:afterAutospacing="1" w:line="240" w:lineRule="auto"/>
      <w:ind w:firstLine="0" w:firstLineChars="0"/>
      <w:textAlignment w:val="center"/>
    </w:pPr>
    <w:rPr>
      <w:rFonts w:ascii="宋体" w:hAnsi="宋体" w:cs="宋体"/>
      <w:b/>
      <w:bCs/>
      <w:sz w:val="21"/>
      <w:szCs w:val="21"/>
    </w:rPr>
  </w:style>
  <w:style w:type="paragraph" w:customStyle="1" w:styleId="1282">
    <w:name w:val="xl93"/>
    <w:basedOn w:val="1"/>
    <w:uiPriority w:val="0"/>
    <w:pPr>
      <w:widowControl/>
      <w:pBdr>
        <w:top w:val="single" w:color="auto" w:sz="8" w:space="0"/>
        <w:left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sz w:val="21"/>
      <w:szCs w:val="21"/>
    </w:rPr>
  </w:style>
  <w:style w:type="paragraph" w:customStyle="1" w:styleId="1283">
    <w:name w:val="xl94"/>
    <w:basedOn w:val="1"/>
    <w:uiPriority w:val="0"/>
    <w:pPr>
      <w:widowControl/>
      <w:pBdr>
        <w:top w:val="single" w:color="auto" w:sz="8" w:space="0"/>
      </w:pBdr>
      <w:autoSpaceDE/>
      <w:autoSpaceDN/>
      <w:spacing w:before="100" w:beforeAutospacing="1" w:after="100" w:afterAutospacing="1" w:line="240" w:lineRule="auto"/>
      <w:ind w:firstLine="0" w:firstLineChars="0"/>
      <w:jc w:val="center"/>
      <w:textAlignment w:val="center"/>
    </w:pPr>
    <w:rPr>
      <w:rFonts w:ascii="宋体" w:hAnsi="宋体" w:cs="宋体"/>
      <w:sz w:val="21"/>
      <w:szCs w:val="21"/>
    </w:rPr>
  </w:style>
  <w:style w:type="paragraph" w:customStyle="1" w:styleId="1284">
    <w:name w:val="xl95"/>
    <w:basedOn w:val="1"/>
    <w:uiPriority w:val="0"/>
    <w:pPr>
      <w:widowControl/>
      <w:pBdr>
        <w:left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85">
    <w:name w:val="xl96"/>
    <w:basedOn w:val="1"/>
    <w:uiPriority w:val="0"/>
    <w:pPr>
      <w:widowControl/>
      <w:pBdr>
        <w:top w:val="single" w:color="auto" w:sz="8" w:space="0"/>
        <w:bottom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86">
    <w:name w:val="xl97"/>
    <w:basedOn w:val="1"/>
    <w:uiPriority w:val="0"/>
    <w:pPr>
      <w:widowControl/>
      <w:pBdr>
        <w:top w:val="single" w:color="auto" w:sz="8" w:space="0"/>
        <w:left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87">
    <w:name w:val="xl98"/>
    <w:basedOn w:val="1"/>
    <w:uiPriority w:val="0"/>
    <w:pPr>
      <w:widowControl/>
      <w:pBdr>
        <w:left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88">
    <w:name w:val="xl99"/>
    <w:basedOn w:val="1"/>
    <w:uiPriority w:val="0"/>
    <w:pPr>
      <w:widowControl/>
      <w:pBdr>
        <w:left w:val="single" w:color="auto" w:sz="8" w:space="0"/>
        <w:bottom w:val="single" w:color="auto" w:sz="8" w:space="0"/>
        <w:right w:val="single" w:color="auto" w:sz="8" w:space="0"/>
      </w:pBdr>
      <w:autoSpaceDE/>
      <w:autoSpaceDN/>
      <w:spacing w:before="100" w:beforeAutospacing="1" w:after="100" w:afterAutospacing="1" w:line="240" w:lineRule="auto"/>
      <w:ind w:firstLine="0" w:firstLineChars="0"/>
      <w:jc w:val="center"/>
      <w:textAlignment w:val="center"/>
    </w:pPr>
    <w:rPr>
      <w:sz w:val="21"/>
      <w:szCs w:val="21"/>
    </w:rPr>
  </w:style>
  <w:style w:type="paragraph" w:customStyle="1" w:styleId="1289">
    <w:name w:val="ace-line"/>
    <w:basedOn w:val="1"/>
    <w:uiPriority w:val="0"/>
    <w:pPr>
      <w:widowControl/>
      <w:autoSpaceDE/>
      <w:autoSpaceDN/>
      <w:spacing w:before="100" w:beforeAutospacing="1" w:after="100" w:afterAutospacing="1" w:line="240" w:lineRule="auto"/>
      <w:ind w:firstLine="0" w:firstLineChars="0"/>
    </w:pPr>
    <w:rPr>
      <w:rFonts w:ascii="宋体" w:hAnsi="宋体" w:cs="宋体"/>
    </w:rPr>
  </w:style>
  <w:style w:type="paragraph" w:customStyle="1" w:styleId="1290">
    <w:name w:val="Char Char Char Char Char Char Char2"/>
    <w:basedOn w:val="1"/>
    <w:uiPriority w:val="0"/>
    <w:pPr>
      <w:autoSpaceDE/>
      <w:autoSpaceDN/>
      <w:ind w:firstLine="420"/>
      <w:jc w:val="both"/>
    </w:pPr>
    <w:rPr>
      <w:rFonts w:ascii="Arial" w:hAnsi="Arial" w:cs="Arial"/>
      <w:kern w:val="2"/>
      <w:sz w:val="21"/>
      <w:szCs w:val="20"/>
    </w:rPr>
  </w:style>
  <w:style w:type="paragraph" w:customStyle="1" w:styleId="1291">
    <w:name w:val="_正文格式"/>
    <w:basedOn w:val="1"/>
    <w:qFormat/>
    <w:uiPriority w:val="0"/>
    <w:pPr>
      <w:widowControl/>
      <w:autoSpaceDE/>
      <w:autoSpaceDN/>
      <w:spacing w:line="500" w:lineRule="exact"/>
      <w:ind w:firstLine="567" w:firstLineChars="0"/>
    </w:pPr>
    <w:rPr>
      <w:szCs w:val="22"/>
    </w:rPr>
  </w:style>
  <w:style w:type="character" w:customStyle="1" w:styleId="1292">
    <w:name w:val="标题 #5_"/>
    <w:basedOn w:val="83"/>
    <w:link w:val="1293"/>
    <w:uiPriority w:val="0"/>
    <w:rPr>
      <w:rFonts w:ascii="宋体" w:hAnsi="宋体" w:eastAsia="宋体" w:cs="宋体"/>
      <w:b/>
      <w:bCs/>
      <w:lang w:val="zh-CN" w:bidi="zh-CN"/>
    </w:rPr>
  </w:style>
  <w:style w:type="paragraph" w:customStyle="1" w:styleId="1293">
    <w:name w:val="标题 #5"/>
    <w:basedOn w:val="1"/>
    <w:link w:val="1292"/>
    <w:uiPriority w:val="0"/>
    <w:pPr>
      <w:autoSpaceDE/>
      <w:autoSpaceDN/>
      <w:spacing w:line="466" w:lineRule="exact"/>
      <w:ind w:firstLine="0" w:firstLineChars="0"/>
      <w:outlineLvl w:val="4"/>
    </w:pPr>
    <w:rPr>
      <w:rFonts w:ascii="宋体" w:hAnsi="宋体" w:cs="宋体"/>
      <w:b/>
      <w:bCs/>
      <w:sz w:val="20"/>
      <w:szCs w:val="20"/>
      <w:lang w:val="zh-CN" w:bidi="zh-CN"/>
    </w:rPr>
  </w:style>
  <w:style w:type="character" w:customStyle="1" w:styleId="1294">
    <w:name w:val="标题 #4_"/>
    <w:basedOn w:val="83"/>
    <w:link w:val="1295"/>
    <w:uiPriority w:val="0"/>
    <w:rPr>
      <w:rFonts w:ascii="黑体" w:hAnsi="黑体" w:eastAsia="黑体" w:cs="黑体"/>
      <w:lang w:val="zh-CN" w:bidi="zh-CN"/>
    </w:rPr>
  </w:style>
  <w:style w:type="paragraph" w:customStyle="1" w:styleId="1295">
    <w:name w:val="标题 #4"/>
    <w:basedOn w:val="1"/>
    <w:link w:val="1294"/>
    <w:uiPriority w:val="0"/>
    <w:pPr>
      <w:autoSpaceDE/>
      <w:autoSpaceDN/>
      <w:spacing w:after="140" w:line="461" w:lineRule="exact"/>
      <w:ind w:firstLine="0" w:firstLineChars="0"/>
      <w:outlineLvl w:val="3"/>
    </w:pPr>
    <w:rPr>
      <w:rFonts w:ascii="黑体" w:hAnsi="黑体" w:eastAsia="黑体" w:cs="黑体"/>
      <w:sz w:val="20"/>
      <w:szCs w:val="20"/>
      <w:lang w:val="zh-CN" w:bidi="zh-CN"/>
    </w:rPr>
  </w:style>
  <w:style w:type="character" w:customStyle="1" w:styleId="1296">
    <w:name w:val="标题 #2_"/>
    <w:basedOn w:val="83"/>
    <w:link w:val="1297"/>
    <w:uiPriority w:val="0"/>
    <w:rPr>
      <w:rFonts w:ascii="黑体" w:hAnsi="黑体" w:eastAsia="黑体" w:cs="黑体"/>
      <w:sz w:val="32"/>
      <w:szCs w:val="32"/>
      <w:lang w:val="zh-CN" w:bidi="zh-CN"/>
    </w:rPr>
  </w:style>
  <w:style w:type="paragraph" w:customStyle="1" w:styleId="1297">
    <w:name w:val="标题 #2"/>
    <w:basedOn w:val="1"/>
    <w:link w:val="1296"/>
    <w:uiPriority w:val="0"/>
    <w:pPr>
      <w:autoSpaceDE/>
      <w:autoSpaceDN/>
      <w:spacing w:after="490" w:line="240" w:lineRule="auto"/>
      <w:ind w:firstLine="0" w:firstLineChars="0"/>
      <w:outlineLvl w:val="1"/>
    </w:pPr>
    <w:rPr>
      <w:rFonts w:ascii="黑体" w:hAnsi="黑体" w:eastAsia="黑体" w:cs="黑体"/>
      <w:sz w:val="32"/>
      <w:szCs w:val="32"/>
      <w:lang w:val="zh-CN" w:bidi="zh-CN"/>
    </w:rPr>
  </w:style>
  <w:style w:type="paragraph" w:customStyle="1" w:styleId="1298">
    <w:name w:val="3级标题"/>
    <w:basedOn w:val="1"/>
    <w:qFormat/>
    <w:uiPriority w:val="1"/>
    <w:pPr>
      <w:widowControl/>
      <w:autoSpaceDE/>
      <w:autoSpaceDN/>
      <w:adjustRightInd w:val="0"/>
      <w:snapToGrid w:val="0"/>
      <w:spacing w:line="440" w:lineRule="exact"/>
      <w:jc w:val="both"/>
    </w:pPr>
    <w:rPr>
      <w:b/>
      <w:kern w:val="2"/>
    </w:rPr>
  </w:style>
  <w:style w:type="paragraph" w:customStyle="1" w:styleId="1299">
    <w:name w:val="-正文"/>
    <w:basedOn w:val="1"/>
    <w:qFormat/>
    <w:uiPriority w:val="0"/>
    <w:pPr>
      <w:autoSpaceDE/>
      <w:autoSpaceDN/>
      <w:spacing w:line="480" w:lineRule="exact"/>
      <w:jc w:val="both"/>
    </w:pPr>
    <w:rPr>
      <w:rFonts w:cs="宋体"/>
      <w:kern w:val="2"/>
      <w:szCs w:val="22"/>
    </w:rPr>
  </w:style>
  <w:style w:type="character" w:customStyle="1" w:styleId="1300">
    <w:name w:val="样式 热电厂正文 + 首行缩进:  2 字符 Char Char Char"/>
    <w:uiPriority w:val="0"/>
    <w:rPr>
      <w:rFonts w:eastAsia="宋体" w:cs="宋体"/>
      <w:kern w:val="2"/>
      <w:sz w:val="24"/>
      <w:szCs w:val="24"/>
      <w:lang w:val="en-US" w:eastAsia="zh-CN" w:bidi="ar-SA"/>
    </w:rPr>
  </w:style>
  <w:style w:type="paragraph" w:customStyle="1" w:styleId="1301">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1302">
    <w:name w:val="Table Text"/>
    <w:basedOn w:val="1"/>
    <w:semiHidden/>
    <w:qFormat/>
    <w:uiPriority w:val="0"/>
    <w:pPr>
      <w:widowControl/>
      <w:autoSpaceDE/>
      <w:autoSpaceDN/>
      <w:spacing w:line="240" w:lineRule="auto"/>
      <w:ind w:firstLine="0" w:firstLineChars="0"/>
    </w:pPr>
    <w:rPr>
      <w:rFonts w:ascii="宋体" w:hAnsi="宋体" w:cs="宋体"/>
      <w:kern w:val="2"/>
      <w:sz w:val="21"/>
      <w:szCs w:val="21"/>
      <w:lang w:eastAsia="en-US"/>
    </w:rPr>
  </w:style>
  <w:style w:type="paragraph" w:customStyle="1" w:styleId="1303">
    <w:name w:val="表格内"/>
    <w:basedOn w:val="1"/>
    <w:autoRedefine/>
    <w:qFormat/>
    <w:uiPriority w:val="0"/>
    <w:pPr>
      <w:autoSpaceDE/>
      <w:autoSpaceDN/>
      <w:spacing w:line="360" w:lineRule="exact"/>
      <w:ind w:firstLine="0" w:firstLineChars="0"/>
      <w:jc w:val="center"/>
    </w:pPr>
    <w:rPr>
      <w:snapToGrid w:val="0"/>
      <w:kern w:val="2"/>
      <w:sz w:val="21"/>
      <w:szCs w:val="21"/>
    </w:rPr>
  </w:style>
  <w:style w:type="paragraph" w:customStyle="1" w:styleId="1304">
    <w:name w:val="表格内容"/>
    <w:basedOn w:val="123"/>
    <w:autoRedefine/>
    <w:qFormat/>
    <w:uiPriority w:val="0"/>
    <w:pPr>
      <w:keepNext w:val="0"/>
      <w:keepLines w:val="0"/>
      <w:widowControl w:val="0"/>
    </w:pPr>
    <w:rPr>
      <w:rFonts w:ascii="Times New Roman" w:hAnsi="Times New Roman" w:eastAsia="楷体_GB2312" w:cs="Arial"/>
      <w:sz w:val="21"/>
    </w:rPr>
  </w:style>
  <w:style w:type="paragraph" w:customStyle="1" w:styleId="1305">
    <w:name w:val="文本"/>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06">
    <w:name w:val="表中文"/>
    <w:basedOn w:val="1"/>
    <w:link w:val="1307"/>
    <w:qFormat/>
    <w:uiPriority w:val="0"/>
    <w:pPr>
      <w:autoSpaceDE/>
      <w:autoSpaceDN/>
      <w:spacing w:line="320" w:lineRule="exact"/>
      <w:ind w:firstLine="0" w:firstLineChars="0"/>
      <w:jc w:val="center"/>
      <w:textAlignment w:val="center"/>
    </w:pPr>
    <w:rPr>
      <w:kern w:val="2"/>
      <w:sz w:val="21"/>
      <w:szCs w:val="21"/>
    </w:rPr>
  </w:style>
  <w:style w:type="character" w:customStyle="1" w:styleId="1307">
    <w:name w:val="表中文 Char"/>
    <w:link w:val="1306"/>
    <w:qFormat/>
    <w:uiPriority w:val="0"/>
    <w:rPr>
      <w:rFonts w:ascii="Times New Roman" w:hAnsi="Times New Roman" w:eastAsia="宋体" w:cs="Times New Roman"/>
      <w:kern w:val="2"/>
      <w:sz w:val="21"/>
      <w:szCs w:val="21"/>
    </w:rPr>
  </w:style>
  <w:style w:type="paragraph" w:customStyle="1" w:styleId="1308">
    <w:name w:val="Char Char Char Char Char Char Char Char Char1 Char"/>
    <w:basedOn w:val="1"/>
    <w:next w:val="1"/>
    <w:qFormat/>
    <w:uiPriority w:val="0"/>
    <w:pPr>
      <w:widowControl/>
      <w:autoSpaceDE/>
      <w:autoSpaceDN/>
    </w:pPr>
    <w:rPr>
      <w:rFonts w:hAnsi="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30.png"/><Relationship Id="rId7" Type="http://schemas.openxmlformats.org/officeDocument/2006/relationships/header" Target="header3.xml"/><Relationship Id="rId69" Type="http://schemas.openxmlformats.org/officeDocument/2006/relationships/image" Target="media/image29.png"/><Relationship Id="rId68" Type="http://schemas.openxmlformats.org/officeDocument/2006/relationships/image" Target="media/image28.png"/><Relationship Id="rId67" Type="http://schemas.openxmlformats.org/officeDocument/2006/relationships/image" Target="media/image27.emf"/><Relationship Id="rId66" Type="http://schemas.openxmlformats.org/officeDocument/2006/relationships/image" Target="media/image26.png"/><Relationship Id="rId65" Type="http://schemas.openxmlformats.org/officeDocument/2006/relationships/image" Target="media/image25.png"/><Relationship Id="rId64" Type="http://schemas.openxmlformats.org/officeDocument/2006/relationships/image" Target="media/image24.png"/><Relationship Id="rId63" Type="http://schemas.openxmlformats.org/officeDocument/2006/relationships/image" Target="media/image23.png"/><Relationship Id="rId62" Type="http://schemas.openxmlformats.org/officeDocument/2006/relationships/image" Target="media/image22.pn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image" Target="media/image19.png"/><Relationship Id="rId58" Type="http://schemas.microsoft.com/office/2007/relationships/hdphoto" Target="media/image18.wdp"/><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emf"/><Relationship Id="rId47" Type="http://schemas.openxmlformats.org/officeDocument/2006/relationships/oleObject" Target="embeddings/oleObject3.bin"/><Relationship Id="rId46" Type="http://schemas.openxmlformats.org/officeDocument/2006/relationships/image" Target="media/image7.jpeg"/><Relationship Id="rId45" Type="http://schemas.openxmlformats.org/officeDocument/2006/relationships/image" Target="media/image6.emf"/><Relationship Id="rId44" Type="http://schemas.openxmlformats.org/officeDocument/2006/relationships/oleObject" Target="embeddings/oleObject2.bin"/><Relationship Id="rId43" Type="http://schemas.openxmlformats.org/officeDocument/2006/relationships/image" Target="media/image5.jpeg"/><Relationship Id="rId42" Type="http://schemas.openxmlformats.org/officeDocument/2006/relationships/image" Target="media/image4.emf"/><Relationship Id="rId41" Type="http://schemas.openxmlformats.org/officeDocument/2006/relationships/oleObject" Target="embeddings/oleObject1.bin"/><Relationship Id="rId40" Type="http://schemas.openxmlformats.org/officeDocument/2006/relationships/image" Target="media/image3.png"/><Relationship Id="rId4" Type="http://schemas.openxmlformats.org/officeDocument/2006/relationships/endnotes" Target="endnotes.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footer" Target="footer12.xml"/><Relationship Id="rId30" Type="http://schemas.openxmlformats.org/officeDocument/2006/relationships/footer" Target="footer11.xml"/><Relationship Id="rId3" Type="http://schemas.openxmlformats.org/officeDocument/2006/relationships/footnotes" Target="footnotes.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4BF158-6DB0-4A38-A864-49EBC2905F26}">
  <ds:schemaRefs/>
</ds:datastoreItem>
</file>

<file path=docProps/app.xml><?xml version="1.0" encoding="utf-8"?>
<Properties xmlns="http://schemas.openxmlformats.org/officeDocument/2006/extended-properties" xmlns:vt="http://schemas.openxmlformats.org/officeDocument/2006/docPropsVTypes">
  <Template>Normal</Template>
  <Pages>409</Pages>
  <Words>85667</Words>
  <Characters>102963</Characters>
  <Lines>2361</Lines>
  <Paragraphs>664</Paragraphs>
  <TotalTime>9735</TotalTime>
  <ScaleCrop>false</ScaleCrop>
  <LinksUpToDate>false</LinksUpToDate>
  <CharactersWithSpaces>104405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2026-03-04T08:09:00Z</dcterms:created>
  <dc:creator>pang</dc:creator>
  <cp:lastModifiedBy>LinKang</cp:lastModifiedBy>
  <cp:lastPrinted>2026-04-14T08:45:00Z</cp:lastPrinted>
  <dcterms:modified xsi:type="dcterms:W3CDTF">2026-05-21T10:29:26Z</dcterms:modified>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y fmtid="{D5CDD505-2E9C-101B-9397-08002B2CF9AE}" pid="3" name="KSOTemplateDocerSaveRecord">
    <vt:lpwstr>eyJoZGlkIjoiNWFlMmM2NDk4NmQ2NGZkNDg0YTI4NTAyMzE0YmExNzMiLCJ1c2VySWQiOiIxMDQzNDQ3MjQ0In0=</vt:lpwstr>
  </property>
  <property fmtid="{D5CDD505-2E9C-101B-9397-08002B2CF9AE}" pid="4" name="KSOProductBuildVer">
    <vt:lpwstr>2052-12.1.0.26375</vt:lpwstr>
  </property>
  <property fmtid="{D5CDD505-2E9C-101B-9397-08002B2CF9AE}" pid="5" name="ICV">
    <vt:lpwstr>A48A2154B0C641B2B8D2E3560BF300A1_12</vt:lpwstr>
  </property>
</Properties>
</file>